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F1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黑体" w:hAnsi="黑体" w:eastAsia="黑体"/>
          <w:sz w:val="32"/>
          <w:szCs w:val="32"/>
        </w:rPr>
        <w:t>附件5　</w:t>
      </w:r>
    </w:p>
    <w:p w14:paraId="34D5D4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2" w:beforeLines="50" w:after="162" w:afterLines="50"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冶金工贸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重点检查安排表（生产经营单位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家）</w:t>
      </w:r>
    </w:p>
    <w:tbl>
      <w:tblPr>
        <w:tblStyle w:val="3"/>
        <w:tblW w:w="13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3235"/>
        <w:gridCol w:w="1739"/>
        <w:gridCol w:w="2307"/>
        <w:gridCol w:w="1219"/>
        <w:gridCol w:w="1245"/>
        <w:gridCol w:w="2543"/>
      </w:tblGrid>
      <w:tr w14:paraId="36B15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35" w:type="dxa"/>
            <w:vMerge w:val="restart"/>
            <w:noWrap w:val="0"/>
            <w:vAlign w:val="center"/>
          </w:tcPr>
          <w:p w14:paraId="79C5A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</w:rPr>
            </w:pPr>
            <w:r>
              <w:rPr>
                <w:rFonts w:hint="eastAsia" w:ascii="宋体" w:hAnsi="宋体" w:eastAsia="仿宋_GB2312" w:cs="宋体"/>
                <w:sz w:val="20"/>
                <w:szCs w:val="20"/>
              </w:rPr>
              <w:t>序号</w:t>
            </w:r>
          </w:p>
        </w:tc>
        <w:tc>
          <w:tcPr>
            <w:tcW w:w="3235" w:type="dxa"/>
            <w:vMerge w:val="restart"/>
            <w:noWrap w:val="0"/>
            <w:vAlign w:val="center"/>
          </w:tcPr>
          <w:p w14:paraId="7F3BA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</w:rPr>
            </w:pPr>
            <w:r>
              <w:rPr>
                <w:rFonts w:hint="eastAsia" w:ascii="宋体" w:hAnsi="宋体" w:eastAsia="仿宋_GB2312" w:cs="宋体"/>
                <w:sz w:val="20"/>
                <w:szCs w:val="20"/>
              </w:rPr>
              <w:t>生产经营单位名称</w:t>
            </w:r>
          </w:p>
        </w:tc>
        <w:tc>
          <w:tcPr>
            <w:tcW w:w="4046" w:type="dxa"/>
            <w:gridSpan w:val="2"/>
            <w:noWrap w:val="0"/>
            <w:vAlign w:val="center"/>
          </w:tcPr>
          <w:p w14:paraId="70F5C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</w:rPr>
            </w:pPr>
            <w:r>
              <w:rPr>
                <w:rFonts w:hint="eastAsia" w:ascii="宋体" w:hAnsi="宋体" w:eastAsia="仿宋_GB2312" w:cs="宋体"/>
                <w:sz w:val="20"/>
                <w:szCs w:val="20"/>
              </w:rPr>
              <w:t>责任单位</w:t>
            </w:r>
          </w:p>
        </w:tc>
        <w:tc>
          <w:tcPr>
            <w:tcW w:w="1219" w:type="dxa"/>
            <w:vMerge w:val="restart"/>
            <w:noWrap w:val="0"/>
            <w:vAlign w:val="center"/>
          </w:tcPr>
          <w:p w14:paraId="3DE7E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</w:rPr>
            </w:pPr>
            <w:r>
              <w:rPr>
                <w:rFonts w:hint="eastAsia" w:ascii="宋体" w:hAnsi="宋体" w:eastAsia="仿宋_GB2312" w:cs="宋体"/>
                <w:sz w:val="20"/>
                <w:szCs w:val="20"/>
              </w:rPr>
              <w:t>配合单位</w:t>
            </w:r>
          </w:p>
        </w:tc>
        <w:tc>
          <w:tcPr>
            <w:tcW w:w="1245" w:type="dxa"/>
            <w:vMerge w:val="restart"/>
            <w:noWrap w:val="0"/>
            <w:vAlign w:val="center"/>
          </w:tcPr>
          <w:p w14:paraId="7629C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</w:rPr>
            </w:pPr>
            <w:r>
              <w:rPr>
                <w:rFonts w:hint="eastAsia" w:ascii="宋体" w:hAnsi="宋体" w:eastAsia="仿宋_GB2312" w:cs="宋体"/>
                <w:sz w:val="20"/>
                <w:szCs w:val="20"/>
              </w:rPr>
              <w:t>检查时间</w:t>
            </w:r>
          </w:p>
        </w:tc>
        <w:tc>
          <w:tcPr>
            <w:tcW w:w="2543" w:type="dxa"/>
            <w:vMerge w:val="restart"/>
            <w:noWrap w:val="0"/>
            <w:vAlign w:val="center"/>
          </w:tcPr>
          <w:p w14:paraId="65498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</w:rPr>
            </w:pPr>
            <w:r>
              <w:rPr>
                <w:rFonts w:hint="eastAsia" w:ascii="宋体" w:hAnsi="宋体" w:eastAsia="仿宋_GB2312" w:cs="宋体"/>
                <w:sz w:val="20"/>
                <w:szCs w:val="20"/>
              </w:rPr>
              <w:t>备　注</w:t>
            </w:r>
          </w:p>
        </w:tc>
      </w:tr>
      <w:tr w14:paraId="687C6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735" w:type="dxa"/>
            <w:vMerge w:val="continue"/>
            <w:noWrap w:val="0"/>
            <w:vAlign w:val="center"/>
          </w:tcPr>
          <w:p w14:paraId="6482A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</w:rPr>
            </w:pPr>
          </w:p>
        </w:tc>
        <w:tc>
          <w:tcPr>
            <w:tcW w:w="3235" w:type="dxa"/>
            <w:vMerge w:val="continue"/>
            <w:noWrap w:val="0"/>
            <w:vAlign w:val="center"/>
          </w:tcPr>
          <w:p w14:paraId="51D42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</w:rPr>
            </w:pPr>
          </w:p>
        </w:tc>
        <w:tc>
          <w:tcPr>
            <w:tcW w:w="1739" w:type="dxa"/>
            <w:noWrap w:val="0"/>
            <w:vAlign w:val="center"/>
          </w:tcPr>
          <w:p w14:paraId="0F82C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</w:rPr>
            </w:pPr>
            <w:r>
              <w:rPr>
                <w:rFonts w:hint="eastAsia" w:ascii="宋体" w:hAnsi="宋体" w:eastAsia="仿宋_GB2312" w:cs="宋体"/>
                <w:sz w:val="20"/>
                <w:szCs w:val="20"/>
              </w:rPr>
              <w:t>牵头</w:t>
            </w:r>
            <w:r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  <w:t>股</w:t>
            </w:r>
            <w:r>
              <w:rPr>
                <w:rFonts w:hint="eastAsia" w:ascii="宋体" w:hAnsi="宋体" w:eastAsia="仿宋_GB2312" w:cs="宋体"/>
                <w:sz w:val="20"/>
                <w:szCs w:val="20"/>
              </w:rPr>
              <w:t>室</w:t>
            </w:r>
          </w:p>
        </w:tc>
        <w:tc>
          <w:tcPr>
            <w:tcW w:w="2307" w:type="dxa"/>
            <w:noWrap w:val="0"/>
            <w:vAlign w:val="center"/>
          </w:tcPr>
          <w:p w14:paraId="5C9D3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</w:rPr>
            </w:pPr>
            <w:r>
              <w:rPr>
                <w:rFonts w:hint="eastAsia" w:ascii="宋体" w:hAnsi="宋体" w:eastAsia="仿宋_GB2312" w:cs="宋体"/>
                <w:sz w:val="20"/>
                <w:szCs w:val="20"/>
              </w:rPr>
              <w:t>参加</w:t>
            </w:r>
            <w:r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  <w:t>股</w:t>
            </w:r>
            <w:r>
              <w:rPr>
                <w:rFonts w:hint="eastAsia" w:ascii="宋体" w:hAnsi="宋体" w:eastAsia="仿宋_GB2312" w:cs="宋体"/>
                <w:sz w:val="20"/>
                <w:szCs w:val="20"/>
              </w:rPr>
              <w:t>室</w:t>
            </w:r>
          </w:p>
        </w:tc>
        <w:tc>
          <w:tcPr>
            <w:tcW w:w="1219" w:type="dxa"/>
            <w:vMerge w:val="continue"/>
            <w:noWrap w:val="0"/>
            <w:vAlign w:val="center"/>
          </w:tcPr>
          <w:p w14:paraId="3F282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</w:rPr>
            </w:pPr>
          </w:p>
        </w:tc>
        <w:tc>
          <w:tcPr>
            <w:tcW w:w="1245" w:type="dxa"/>
            <w:vMerge w:val="continue"/>
            <w:noWrap w:val="0"/>
            <w:vAlign w:val="center"/>
          </w:tcPr>
          <w:p w14:paraId="612BF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</w:rPr>
            </w:pPr>
          </w:p>
        </w:tc>
        <w:tc>
          <w:tcPr>
            <w:tcW w:w="2543" w:type="dxa"/>
            <w:vMerge w:val="continue"/>
            <w:noWrap w:val="0"/>
            <w:vAlign w:val="center"/>
          </w:tcPr>
          <w:p w14:paraId="31C07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</w:rPr>
            </w:pPr>
          </w:p>
        </w:tc>
      </w:tr>
      <w:tr w14:paraId="30D2A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  <w:jc w:val="center"/>
        </w:trPr>
        <w:tc>
          <w:tcPr>
            <w:tcW w:w="735" w:type="dxa"/>
            <w:noWrap w:val="0"/>
            <w:vAlign w:val="center"/>
          </w:tcPr>
          <w:p w14:paraId="3A56D647">
            <w:pPr>
              <w:keepNext w:val="0"/>
              <w:keepLines w:val="0"/>
              <w:pageBreakBefore w:val="0"/>
              <w:widowControl w:val="0"/>
              <w:tabs>
                <w:tab w:val="left" w:pos="3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3235" w:type="dxa"/>
            <w:noWrap w:val="0"/>
            <w:vAlign w:val="center"/>
          </w:tcPr>
          <w:p w14:paraId="690F1D45">
            <w:pPr>
              <w:keepNext w:val="0"/>
              <w:keepLines w:val="0"/>
              <w:pageBreakBefore w:val="0"/>
              <w:widowControl w:val="0"/>
              <w:tabs>
                <w:tab w:val="left" w:pos="3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仿宋_GB2312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  <w:t xml:space="preserve">古县新源盛能源材料有限公司        古县白鸽森润磨料磨具有限公司 </w:t>
            </w:r>
          </w:p>
        </w:tc>
        <w:tc>
          <w:tcPr>
            <w:tcW w:w="1739" w:type="dxa"/>
            <w:noWrap w:val="0"/>
            <w:vAlign w:val="center"/>
          </w:tcPr>
          <w:p w14:paraId="55E3B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仿宋_GB2312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  <w:t>综合监管股</w:t>
            </w:r>
          </w:p>
        </w:tc>
        <w:tc>
          <w:tcPr>
            <w:tcW w:w="2307" w:type="dxa"/>
            <w:noWrap w:val="0"/>
            <w:vAlign w:val="center"/>
          </w:tcPr>
          <w:p w14:paraId="0CEA3F99">
            <w:pPr>
              <w:keepNext w:val="0"/>
              <w:keepLines w:val="0"/>
              <w:pageBreakBefore w:val="0"/>
              <w:widowControl w:val="0"/>
              <w:tabs>
                <w:tab w:val="left" w:pos="3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  <w:t>应急管理股、</w:t>
            </w:r>
            <w:r>
              <w:rPr>
                <w:rFonts w:hint="eastAsia" w:ascii="宋体" w:hAnsi="宋体" w:eastAsia="仿宋_GB2312" w:cs="宋体"/>
                <w:sz w:val="20"/>
                <w:szCs w:val="20"/>
                <w:lang w:eastAsia="zh-CN"/>
              </w:rPr>
              <w:t>安全宣传股、</w:t>
            </w:r>
            <w:r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  <w:t>应急管理综合行政执法大队</w:t>
            </w:r>
          </w:p>
        </w:tc>
        <w:tc>
          <w:tcPr>
            <w:tcW w:w="1219" w:type="dxa"/>
            <w:noWrap w:val="0"/>
            <w:vAlign w:val="center"/>
          </w:tcPr>
          <w:p w14:paraId="4D996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125F7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</w:rPr>
            </w:pPr>
            <w:r>
              <w:rPr>
                <w:rFonts w:hint="eastAsia" w:ascii="宋体" w:hAnsi="宋体" w:eastAsia="仿宋_GB2312" w:cs="宋体"/>
                <w:sz w:val="20"/>
                <w:szCs w:val="20"/>
              </w:rPr>
              <w:t>第</w:t>
            </w:r>
            <w:r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  <w:t>一</w:t>
            </w:r>
            <w:r>
              <w:rPr>
                <w:rFonts w:hint="eastAsia" w:ascii="宋体" w:hAnsi="宋体" w:eastAsia="仿宋_GB2312" w:cs="宋体"/>
                <w:sz w:val="20"/>
                <w:szCs w:val="20"/>
              </w:rPr>
              <w:t>季度</w:t>
            </w:r>
          </w:p>
        </w:tc>
        <w:tc>
          <w:tcPr>
            <w:tcW w:w="2543" w:type="dxa"/>
            <w:noWrap w:val="0"/>
            <w:vAlign w:val="center"/>
          </w:tcPr>
          <w:p w14:paraId="47262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  <w:t>从严落实企业安全生产主体责任，开展重大危险源安全风险大排查大整治和有限空间作业专项整治。</w:t>
            </w:r>
            <w:r>
              <w:rPr>
                <w:rFonts w:hint="eastAsia" w:ascii="宋体" w:hAnsi="宋体" w:eastAsia="仿宋_GB2312" w:cs="宋体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76874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735" w:type="dxa"/>
            <w:noWrap w:val="0"/>
            <w:vAlign w:val="center"/>
          </w:tcPr>
          <w:p w14:paraId="2AC0BFF6">
            <w:pPr>
              <w:keepNext w:val="0"/>
              <w:keepLines w:val="0"/>
              <w:pageBreakBefore w:val="0"/>
              <w:widowControl w:val="0"/>
              <w:tabs>
                <w:tab w:val="left" w:pos="3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3235" w:type="dxa"/>
            <w:noWrap w:val="0"/>
            <w:vAlign w:val="center"/>
          </w:tcPr>
          <w:p w14:paraId="71A1865A">
            <w:pPr>
              <w:keepNext w:val="0"/>
              <w:keepLines w:val="0"/>
              <w:pageBreakBefore w:val="0"/>
              <w:widowControl w:val="0"/>
              <w:tabs>
                <w:tab w:val="left" w:pos="3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</w:rPr>
            </w:pPr>
            <w:r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  <w:t xml:space="preserve">古县新源盛能源材料有限公司        古县白鸽森润磨料磨具有限公司 </w:t>
            </w:r>
          </w:p>
        </w:tc>
        <w:tc>
          <w:tcPr>
            <w:tcW w:w="1739" w:type="dxa"/>
            <w:noWrap w:val="0"/>
            <w:vAlign w:val="center"/>
          </w:tcPr>
          <w:p w14:paraId="7D9C3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</w:rPr>
            </w:pPr>
            <w:r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  <w:t>综合监管股</w:t>
            </w:r>
          </w:p>
        </w:tc>
        <w:tc>
          <w:tcPr>
            <w:tcW w:w="2307" w:type="dxa"/>
            <w:noWrap w:val="0"/>
            <w:vAlign w:val="center"/>
          </w:tcPr>
          <w:p w14:paraId="0D19A24B">
            <w:pPr>
              <w:keepNext w:val="0"/>
              <w:keepLines w:val="0"/>
              <w:pageBreakBefore w:val="0"/>
              <w:widowControl w:val="0"/>
              <w:tabs>
                <w:tab w:val="left" w:pos="3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  <w:t>应急管理股、</w:t>
            </w:r>
            <w:r>
              <w:rPr>
                <w:rFonts w:hint="eastAsia" w:ascii="宋体" w:hAnsi="宋体" w:eastAsia="仿宋_GB2312" w:cs="宋体"/>
                <w:sz w:val="20"/>
                <w:szCs w:val="20"/>
                <w:lang w:eastAsia="zh-CN"/>
              </w:rPr>
              <w:t>安全宣传股、</w:t>
            </w:r>
            <w:r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  <w:t>应急管理综合行政执法大队</w:t>
            </w:r>
          </w:p>
        </w:tc>
        <w:tc>
          <w:tcPr>
            <w:tcW w:w="1219" w:type="dxa"/>
            <w:noWrap w:val="0"/>
            <w:vAlign w:val="center"/>
          </w:tcPr>
          <w:p w14:paraId="530E0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01D7D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</w:rPr>
            </w:pPr>
            <w:r>
              <w:rPr>
                <w:rFonts w:hint="eastAsia" w:ascii="宋体" w:hAnsi="宋体" w:eastAsia="仿宋_GB2312" w:cs="宋体"/>
                <w:sz w:val="20"/>
                <w:szCs w:val="20"/>
              </w:rPr>
              <w:t>第</w:t>
            </w:r>
            <w:r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  <w:t>二</w:t>
            </w:r>
            <w:r>
              <w:rPr>
                <w:rFonts w:hint="eastAsia" w:ascii="宋体" w:hAnsi="宋体" w:eastAsia="仿宋_GB2312" w:cs="宋体"/>
                <w:sz w:val="20"/>
                <w:szCs w:val="20"/>
              </w:rPr>
              <w:t>季度</w:t>
            </w:r>
          </w:p>
        </w:tc>
        <w:tc>
          <w:tcPr>
            <w:tcW w:w="2543" w:type="dxa"/>
            <w:noWrap w:val="0"/>
            <w:vAlign w:val="center"/>
          </w:tcPr>
          <w:p w14:paraId="2A2E0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仿宋_GB2312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  <w:t>开展严厉打击违法违规生产经营行为。</w:t>
            </w:r>
          </w:p>
        </w:tc>
      </w:tr>
      <w:tr w14:paraId="15540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735" w:type="dxa"/>
            <w:noWrap w:val="0"/>
            <w:vAlign w:val="center"/>
          </w:tcPr>
          <w:p w14:paraId="582D8A81">
            <w:pPr>
              <w:keepNext w:val="0"/>
              <w:keepLines w:val="0"/>
              <w:pageBreakBefore w:val="0"/>
              <w:widowControl w:val="0"/>
              <w:tabs>
                <w:tab w:val="left" w:pos="3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仿宋_GB2312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3235" w:type="dxa"/>
            <w:noWrap w:val="0"/>
            <w:vAlign w:val="center"/>
          </w:tcPr>
          <w:p w14:paraId="2A02485A">
            <w:pPr>
              <w:keepNext w:val="0"/>
              <w:keepLines w:val="0"/>
              <w:pageBreakBefore w:val="0"/>
              <w:widowControl w:val="0"/>
              <w:tabs>
                <w:tab w:val="left" w:pos="3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  <w:t xml:space="preserve">古县新源盛能源材料有限公司         古县白鸽森润磨料磨具有限公司 </w:t>
            </w:r>
          </w:p>
        </w:tc>
        <w:tc>
          <w:tcPr>
            <w:tcW w:w="1739" w:type="dxa"/>
            <w:noWrap w:val="0"/>
            <w:vAlign w:val="center"/>
          </w:tcPr>
          <w:p w14:paraId="0E962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  <w:t>综合监管股</w:t>
            </w:r>
          </w:p>
        </w:tc>
        <w:tc>
          <w:tcPr>
            <w:tcW w:w="2307" w:type="dxa"/>
            <w:noWrap w:val="0"/>
            <w:vAlign w:val="center"/>
          </w:tcPr>
          <w:p w14:paraId="448F4AC4">
            <w:pPr>
              <w:keepNext w:val="0"/>
              <w:keepLines w:val="0"/>
              <w:pageBreakBefore w:val="0"/>
              <w:widowControl w:val="0"/>
              <w:tabs>
                <w:tab w:val="left" w:pos="3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  <w:t>应急管理股、</w:t>
            </w:r>
            <w:r>
              <w:rPr>
                <w:rFonts w:hint="eastAsia" w:ascii="宋体" w:hAnsi="宋体" w:eastAsia="仿宋_GB2312" w:cs="宋体"/>
                <w:sz w:val="20"/>
                <w:szCs w:val="20"/>
                <w:lang w:eastAsia="zh-CN"/>
              </w:rPr>
              <w:t>安全宣传股、</w:t>
            </w:r>
            <w:r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  <w:t>应急管理综合行政执法大队</w:t>
            </w:r>
          </w:p>
        </w:tc>
        <w:tc>
          <w:tcPr>
            <w:tcW w:w="1219" w:type="dxa"/>
            <w:noWrap w:val="0"/>
            <w:vAlign w:val="center"/>
          </w:tcPr>
          <w:p w14:paraId="6B2A3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1F3CC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</w:rPr>
            </w:pPr>
            <w:r>
              <w:rPr>
                <w:rFonts w:hint="eastAsia" w:ascii="宋体" w:hAnsi="宋体" w:eastAsia="仿宋_GB2312" w:cs="宋体"/>
                <w:sz w:val="20"/>
                <w:szCs w:val="20"/>
              </w:rPr>
              <w:t>第</w:t>
            </w:r>
            <w:r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  <w:t>三</w:t>
            </w:r>
            <w:r>
              <w:rPr>
                <w:rFonts w:hint="eastAsia" w:ascii="宋体" w:hAnsi="宋体" w:eastAsia="仿宋_GB2312" w:cs="宋体"/>
                <w:sz w:val="20"/>
                <w:szCs w:val="20"/>
              </w:rPr>
              <w:t>季度</w:t>
            </w:r>
          </w:p>
        </w:tc>
        <w:tc>
          <w:tcPr>
            <w:tcW w:w="2543" w:type="dxa"/>
            <w:noWrap w:val="0"/>
            <w:vAlign w:val="center"/>
          </w:tcPr>
          <w:p w14:paraId="43A0A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仿宋_GB2312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  <w:t>加强企业安全生产标准化建设、推动建立双重预防机制。</w:t>
            </w:r>
          </w:p>
        </w:tc>
      </w:tr>
      <w:tr w14:paraId="0FF74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735" w:type="dxa"/>
            <w:noWrap w:val="0"/>
            <w:vAlign w:val="center"/>
          </w:tcPr>
          <w:p w14:paraId="68790679">
            <w:pPr>
              <w:keepNext w:val="0"/>
              <w:keepLines w:val="0"/>
              <w:pageBreakBefore w:val="0"/>
              <w:widowControl w:val="0"/>
              <w:tabs>
                <w:tab w:val="left" w:pos="3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仿宋_GB2312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3235" w:type="dxa"/>
            <w:noWrap w:val="0"/>
            <w:vAlign w:val="center"/>
          </w:tcPr>
          <w:p w14:paraId="236716D8">
            <w:pPr>
              <w:keepNext w:val="0"/>
              <w:keepLines w:val="0"/>
              <w:pageBreakBefore w:val="0"/>
              <w:widowControl w:val="0"/>
              <w:tabs>
                <w:tab w:val="left" w:pos="3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  <w:t xml:space="preserve">古县新源盛能源材料有限公司         古县白鸽森润磨料磨具有限公司 </w:t>
            </w:r>
          </w:p>
        </w:tc>
        <w:tc>
          <w:tcPr>
            <w:tcW w:w="1739" w:type="dxa"/>
            <w:noWrap w:val="0"/>
            <w:vAlign w:val="center"/>
          </w:tcPr>
          <w:p w14:paraId="23F7B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  <w:t>综合监管股</w:t>
            </w:r>
          </w:p>
        </w:tc>
        <w:tc>
          <w:tcPr>
            <w:tcW w:w="2307" w:type="dxa"/>
            <w:noWrap w:val="0"/>
            <w:vAlign w:val="center"/>
          </w:tcPr>
          <w:p w14:paraId="1F7102CE">
            <w:pPr>
              <w:keepNext w:val="0"/>
              <w:keepLines w:val="0"/>
              <w:pageBreakBefore w:val="0"/>
              <w:widowControl w:val="0"/>
              <w:tabs>
                <w:tab w:val="left" w:pos="3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  <w:t>应急管理股、</w:t>
            </w:r>
            <w:r>
              <w:rPr>
                <w:rFonts w:hint="eastAsia" w:ascii="宋体" w:hAnsi="宋体" w:eastAsia="仿宋_GB2312" w:cs="宋体"/>
                <w:sz w:val="20"/>
                <w:szCs w:val="20"/>
                <w:lang w:eastAsia="zh-CN"/>
              </w:rPr>
              <w:t>安全宣传股、</w:t>
            </w:r>
            <w:r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  <w:t>应急管理综合行政执法大队</w:t>
            </w:r>
          </w:p>
        </w:tc>
        <w:tc>
          <w:tcPr>
            <w:tcW w:w="1219" w:type="dxa"/>
            <w:noWrap w:val="0"/>
            <w:vAlign w:val="center"/>
          </w:tcPr>
          <w:p w14:paraId="0461B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4708C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</w:rPr>
            </w:pPr>
            <w:r>
              <w:rPr>
                <w:rFonts w:hint="eastAsia" w:ascii="宋体" w:hAnsi="宋体" w:eastAsia="仿宋_GB2312" w:cs="宋体"/>
                <w:sz w:val="20"/>
                <w:szCs w:val="20"/>
              </w:rPr>
              <w:t>第</w:t>
            </w:r>
            <w:r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  <w:t>四</w:t>
            </w:r>
            <w:r>
              <w:rPr>
                <w:rFonts w:hint="eastAsia" w:ascii="宋体" w:hAnsi="宋体" w:eastAsia="仿宋_GB2312" w:cs="宋体"/>
                <w:sz w:val="20"/>
                <w:szCs w:val="20"/>
              </w:rPr>
              <w:t>季度</w:t>
            </w:r>
          </w:p>
        </w:tc>
        <w:tc>
          <w:tcPr>
            <w:tcW w:w="2543" w:type="dxa"/>
            <w:noWrap w:val="0"/>
            <w:vAlign w:val="center"/>
          </w:tcPr>
          <w:p w14:paraId="7973E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仿宋_GB2312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  <w:t>从严落实安全生产教育培训，加强企业安全生产标准化建设。</w:t>
            </w:r>
          </w:p>
        </w:tc>
      </w:tr>
    </w:tbl>
    <w:p w14:paraId="7D301560"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FD0C71"/>
    <w:rsid w:val="21A741F5"/>
    <w:rsid w:val="4CFD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ind w:firstLine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2025-04-28T02:20:00Z</dcterms:created>
  <dc:creator>张青芳</dc:creator>
  <cp:lastModifiedBy>张青芳</cp:lastModifiedBy>
  <dcterms:modified xsi:type="dcterms:W3CDTF">2025-04-28T02:21:19Z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FE40BCD3D2BC487281A94388EC1AFBDA_11</vt:lpwstr>
  </property>
  <property fmtid="{D5CDD505-2E9C-101B-9397-08002B2CF9AE}" pid="4" name="KSOTemplateDocerSaveRecord">
    <vt:lpwstr>eyJoZGlkIjoiNWVhN2IwMTZmMzBjYzkzYzJiZmQzYTc4NjhhYjU1NmIiLCJ1c2VySWQiOiIzMDcyNjU4MzYifQ==</vt:lpwstr>
  </property>
</Properties>
</file>