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imes New Roman" w:hAnsi="Times New Roman" w:eastAsia="方正小标宋简体" w:cs="Times New Roman"/>
          <w:color w:val="auto"/>
          <w:sz w:val="44"/>
          <w:szCs w:val="44"/>
          <w:lang w:val="en-US" w:eastAsia="zh-CN"/>
        </w:rPr>
      </w:pPr>
      <w:bookmarkStart w:id="0" w:name="_Toc514537326"/>
      <w:bookmarkStart w:id="1" w:name="_Toc514537328"/>
    </w:p>
    <w:p>
      <w:pPr>
        <w:spacing w:line="640" w:lineRule="exact"/>
        <w:jc w:val="center"/>
        <w:rPr>
          <w:rFonts w:hint="eastAsia" w:ascii="Times New Roman" w:hAnsi="Times New Roman" w:eastAsia="方正小标宋简体" w:cs="Times New Roman"/>
          <w:color w:val="auto"/>
          <w:sz w:val="44"/>
          <w:szCs w:val="44"/>
          <w:lang w:val="en-US" w:eastAsia="zh-CN"/>
        </w:rPr>
      </w:pPr>
    </w:p>
    <w:p>
      <w:pPr>
        <w:spacing w:line="640" w:lineRule="exact"/>
        <w:jc w:val="center"/>
        <w:rPr>
          <w:rFonts w:hint="eastAsia" w:ascii="方正小标宋_GBK" w:hAnsi="方正小标宋_GBK" w:eastAsia="方正小标宋_GBK" w:cs="方正小标宋_GBK"/>
          <w:color w:val="auto"/>
          <w:sz w:val="44"/>
          <w:szCs w:val="44"/>
        </w:rPr>
      </w:pPr>
      <w:r>
        <w:rPr>
          <w:rFonts w:hint="eastAsia" w:ascii="方正小标宋_GBK" w:hAnsi="方正小标宋_GBK" w:eastAsia="方正小标宋_GBK" w:cs="方正小标宋_GBK"/>
          <w:color w:val="auto"/>
          <w:sz w:val="44"/>
          <w:szCs w:val="44"/>
          <w:lang w:val="en-US" w:eastAsia="zh-CN"/>
        </w:rPr>
        <w:t>专项债券古县五马至古阳段城乡供水工程项目资金</w:t>
      </w:r>
      <w:r>
        <w:rPr>
          <w:rFonts w:hint="eastAsia" w:ascii="方正小标宋_GBK" w:hAnsi="方正小标宋_GBK" w:eastAsia="方正小标宋_GBK" w:cs="方正小标宋_GBK"/>
          <w:color w:val="auto"/>
          <w:sz w:val="44"/>
          <w:szCs w:val="44"/>
        </w:rPr>
        <w:t>绩效评价报告</w:t>
      </w:r>
    </w:p>
    <w:p>
      <w:pPr>
        <w:jc w:val="center"/>
        <w:rPr>
          <w:rFonts w:ascii="黑体" w:hAnsi="黑体" w:eastAsia="黑体" w:cs="仿宋"/>
          <w:b/>
          <w:bCs/>
          <w:spacing w:val="20"/>
          <w:sz w:val="48"/>
          <w:szCs w:val="48"/>
        </w:rPr>
      </w:pPr>
    </w:p>
    <w:p>
      <w:pPr>
        <w:jc w:val="both"/>
        <w:rPr>
          <w:rFonts w:ascii="黑体" w:hAnsi="黑体" w:eastAsia="黑体" w:cs="仿宋"/>
          <w:b/>
          <w:bCs/>
          <w:spacing w:val="20"/>
          <w:sz w:val="48"/>
          <w:szCs w:val="48"/>
        </w:rPr>
      </w:pPr>
    </w:p>
    <w:p>
      <w:pPr>
        <w:jc w:val="center"/>
        <w:rPr>
          <w:rFonts w:ascii="仿宋" w:hAnsi="仿宋" w:eastAsia="仿宋" w:cs="仿宋"/>
          <w:b/>
          <w:bCs/>
          <w:sz w:val="48"/>
          <w:szCs w:val="48"/>
          <w:highlight w:val="yellow"/>
        </w:rPr>
      </w:pPr>
    </w:p>
    <w:p>
      <w:pPr>
        <w:jc w:val="cente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ind w:firstLine="640" w:firstLineChars="200"/>
        <w:rPr>
          <w:rFonts w:hint="eastAsia" w:ascii="方正小标宋_GBK" w:hAnsi="方正小标宋_GBK" w:eastAsia="方正小标宋_GBK" w:cs="方正小标宋_GBK"/>
          <w:b w:val="0"/>
          <w:bCs w:val="0"/>
          <w:sz w:val="32"/>
          <w:szCs w:val="32"/>
          <w:highlight w:val="none"/>
          <w:shd w:val="clear"/>
          <w:lang w:val="en-US" w:eastAsia="zh-CN"/>
        </w:rPr>
      </w:pPr>
    </w:p>
    <w:p>
      <w:pPr>
        <w:pStyle w:val="2"/>
        <w:rPr>
          <w:rFonts w:hint="eastAsia" w:ascii="方正小标宋_GBK" w:hAnsi="方正小标宋_GBK" w:eastAsia="方正小标宋_GBK" w:cs="方正小标宋_GBK"/>
          <w:b w:val="0"/>
          <w:bCs w:val="0"/>
          <w:sz w:val="32"/>
          <w:szCs w:val="32"/>
          <w:highlight w:val="none"/>
          <w:shd w:val="clear"/>
          <w:lang w:val="en-US" w:eastAsia="zh-CN"/>
        </w:rPr>
      </w:pPr>
    </w:p>
    <w:p>
      <w:pPr>
        <w:pStyle w:val="2"/>
        <w:rPr>
          <w:rFonts w:hint="eastAsia" w:ascii="方正小标宋_GBK" w:hAnsi="方正小标宋_GBK" w:eastAsia="方正小标宋_GBK" w:cs="方正小标宋_GBK"/>
          <w:b w:val="0"/>
          <w:bCs w:val="0"/>
          <w:sz w:val="32"/>
          <w:szCs w:val="32"/>
          <w:highlight w:val="none"/>
          <w:shd w:val="clear"/>
          <w:lang w:val="en-US" w:eastAsia="zh-CN"/>
        </w:rPr>
      </w:pPr>
    </w:p>
    <w:p>
      <w:pPr>
        <w:pStyle w:val="2"/>
        <w:rPr>
          <w:rFonts w:hint="eastAsia" w:ascii="方正小标宋_GBK" w:hAnsi="方正小标宋_GBK" w:eastAsia="方正小标宋_GBK" w:cs="方正小标宋_GBK"/>
          <w:b w:val="0"/>
          <w:bCs w:val="0"/>
          <w:sz w:val="32"/>
          <w:szCs w:val="32"/>
          <w:highlight w:val="none"/>
          <w:shd w:val="clear"/>
          <w:lang w:val="en-US" w:eastAsia="zh-CN"/>
        </w:rPr>
      </w:pPr>
    </w:p>
    <w:p>
      <w:pPr>
        <w:pStyle w:val="2"/>
        <w:rPr>
          <w:rFonts w:hint="eastAsia" w:ascii="方正小标宋_GBK" w:hAnsi="方正小标宋_GBK" w:eastAsia="方正小标宋_GBK" w:cs="方正小标宋_GBK"/>
          <w:b w:val="0"/>
          <w:bCs w:val="0"/>
          <w:sz w:val="32"/>
          <w:szCs w:val="32"/>
          <w:highlight w:val="none"/>
          <w:shd w:val="clear"/>
          <w:lang w:val="en-US" w:eastAsia="zh-CN"/>
        </w:rPr>
      </w:pPr>
    </w:p>
    <w:p>
      <w:pPr>
        <w:ind w:firstLine="640" w:firstLineChars="200"/>
        <w:rPr>
          <w:rFonts w:hint="eastAsia" w:ascii="方正小标宋_GBK" w:hAnsi="方正小标宋_GBK" w:eastAsia="方正小标宋_GBK" w:cs="方正小标宋_GBK"/>
          <w:b w:val="0"/>
          <w:bCs w:val="0"/>
          <w:sz w:val="32"/>
          <w:szCs w:val="32"/>
          <w:highlight w:val="none"/>
          <w:shd w:val="clear"/>
          <w:lang w:val="en-US" w:eastAsia="zh-CN"/>
        </w:rPr>
      </w:pPr>
      <w:r>
        <w:rPr>
          <w:rFonts w:hint="eastAsia" w:ascii="方正小标宋_GBK" w:hAnsi="方正小标宋_GBK" w:eastAsia="方正小标宋_GBK" w:cs="方正小标宋_GBK"/>
          <w:b w:val="0"/>
          <w:bCs w:val="0"/>
          <w:sz w:val="32"/>
          <w:szCs w:val="32"/>
          <w:highlight w:val="none"/>
          <w:shd w:val="clear"/>
          <w:lang w:val="en-US" w:eastAsia="zh-CN"/>
        </w:rPr>
        <w:t>委托单位：古县财政局</w:t>
      </w:r>
    </w:p>
    <w:p>
      <w:pPr>
        <w:ind w:firstLine="640" w:firstLineChars="200"/>
        <w:rPr>
          <w:rFonts w:hint="eastAsia" w:ascii="方正小标宋_GBK" w:hAnsi="方正小标宋_GBK" w:eastAsia="方正小标宋_GBK" w:cs="方正小标宋_GBK"/>
          <w:b w:val="0"/>
          <w:bCs w:val="0"/>
          <w:sz w:val="32"/>
          <w:szCs w:val="32"/>
          <w:highlight w:val="none"/>
          <w:shd w:val="clear"/>
          <w:lang w:val="en-US" w:eastAsia="zh-CN"/>
        </w:rPr>
        <w:sectPr>
          <w:headerReference r:id="rId3" w:type="default"/>
          <w:footerReference r:id="rId4" w:type="default"/>
          <w:type w:val="continuous"/>
          <w:pgSz w:w="11906" w:h="16838"/>
          <w:pgMar w:top="1440" w:right="1800" w:bottom="1440" w:left="1800" w:header="851" w:footer="992" w:gutter="0"/>
          <w:pgNumType w:start="1"/>
          <w:cols w:space="425" w:num="1"/>
          <w:docGrid w:type="lines" w:linePitch="312" w:charSpace="0"/>
        </w:sectPr>
      </w:pPr>
      <w:r>
        <w:rPr>
          <w:rFonts w:hint="eastAsia" w:ascii="方正小标宋_GBK" w:hAnsi="方正小标宋_GBK" w:eastAsia="方正小标宋_GBK" w:cs="方正小标宋_GBK"/>
          <w:b w:val="0"/>
          <w:bCs w:val="0"/>
          <w:sz w:val="32"/>
          <w:szCs w:val="32"/>
          <w:highlight w:val="none"/>
          <w:shd w:val="clear"/>
          <w:lang w:val="en-US" w:eastAsia="zh-CN"/>
        </w:rPr>
        <w:t>评价机构：山西恒略绩效管理咨询有限公司</w:t>
      </w:r>
    </w:p>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b w:val="0"/>
          <w:bCs w:val="0"/>
          <w:sz w:val="32"/>
          <w:szCs w:val="32"/>
          <w:highlight w:val="none"/>
          <w:shd w:val="clear"/>
          <w:lang w:val="en-US" w:eastAsia="zh-CN"/>
        </w:rPr>
      </w:pPr>
    </w:p>
    <w:p>
      <w:pPr>
        <w:ind w:firstLine="640" w:firstLineChars="200"/>
        <w:jc w:val="center"/>
        <w:rPr>
          <w:rFonts w:hint="eastAsia" w:ascii="方正小标宋_GBK" w:hAnsi="方正小标宋_GBK" w:eastAsia="方正小标宋_GBK" w:cs="方正小标宋_GBK"/>
          <w:b w:val="0"/>
          <w:bCs w:val="0"/>
          <w:sz w:val="32"/>
          <w:szCs w:val="32"/>
          <w:highlight w:val="none"/>
          <w:shd w:val="clear"/>
          <w:lang w:val="en-US" w:eastAsia="zh-CN"/>
        </w:rPr>
      </w:pPr>
    </w:p>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highlight w:val="yellow"/>
        </w:rPr>
      </w:pPr>
      <w:r>
        <w:rPr>
          <w:rFonts w:hint="eastAsia" w:ascii="仿宋" w:hAnsi="仿宋" w:eastAsia="仿宋" w:cs="仿宋"/>
          <w:b/>
          <w:bCs/>
          <w:sz w:val="28"/>
          <w:szCs w:val="28"/>
        </w:rPr>
        <w:br w:type="page"/>
      </w:r>
      <w:r>
        <w:rPr>
          <w:rFonts w:hint="eastAsia" w:ascii="仿宋" w:hAnsi="仿宋" w:eastAsia="仿宋" w:cs="仿宋"/>
          <w:b/>
          <w:bCs/>
          <w:sz w:val="24"/>
          <w:szCs w:val="24"/>
        </w:rPr>
        <w:t>目录</w:t>
      </w:r>
    </w:p>
    <w:p>
      <w:pPr>
        <w:pStyle w:val="16"/>
        <w:tabs>
          <w:tab w:val="right" w:leader="dot" w:pos="8306"/>
        </w:tabs>
      </w:pPr>
      <w:r>
        <w:rPr>
          <w:rFonts w:hint="eastAsia" w:ascii="仿宋" w:hAnsi="仿宋" w:eastAsia="仿宋" w:cs="仿宋"/>
          <w:b w:val="0"/>
          <w:bCs w:val="0"/>
          <w:sz w:val="24"/>
          <w:szCs w:val="24"/>
          <w:highlight w:val="yellow"/>
        </w:rPr>
        <w:fldChar w:fldCharType="begin"/>
      </w:r>
      <w:r>
        <w:rPr>
          <w:rFonts w:hint="eastAsia" w:ascii="仿宋" w:hAnsi="仿宋" w:eastAsia="仿宋" w:cs="仿宋"/>
          <w:b w:val="0"/>
          <w:bCs w:val="0"/>
          <w:sz w:val="24"/>
          <w:szCs w:val="24"/>
          <w:highlight w:val="yellow"/>
        </w:rPr>
        <w:instrText xml:space="preserve"> TOC \o "1-3" \h \z \u </w:instrText>
      </w:r>
      <w:r>
        <w:rPr>
          <w:rFonts w:hint="eastAsia" w:ascii="仿宋" w:hAnsi="仿宋" w:eastAsia="仿宋" w:cs="仿宋"/>
          <w:b w:val="0"/>
          <w:bCs w:val="0"/>
          <w:sz w:val="24"/>
          <w:szCs w:val="24"/>
          <w:highlight w:val="yellow"/>
        </w:rPr>
        <w:fldChar w:fldCharType="separate"/>
      </w:r>
    </w:p>
    <w:p>
      <w:pPr>
        <w:pStyle w:val="16"/>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_Toc24741 </w:instrText>
      </w:r>
      <w:r>
        <w:rPr>
          <w:rFonts w:hint="eastAsia" w:ascii="仿宋" w:hAnsi="仿宋" w:eastAsia="仿宋" w:cs="仿宋"/>
          <w:bCs w:val="0"/>
          <w:szCs w:val="24"/>
          <w:highlight w:val="yellow"/>
        </w:rPr>
        <w:fldChar w:fldCharType="separate"/>
      </w:r>
      <w:r>
        <w:rPr>
          <w:rFonts w:hint="eastAsia" w:ascii="Times New Roman" w:hAnsi="Times New Roman" w:eastAsia="黑体" w:cs="Times New Roman"/>
          <w:bCs/>
          <w:kern w:val="44"/>
          <w:szCs w:val="32"/>
        </w:rPr>
        <w:t>一、项目基本情况</w:t>
      </w:r>
      <w:r>
        <w:tab/>
      </w:r>
      <w:r>
        <w:fldChar w:fldCharType="begin"/>
      </w:r>
      <w:r>
        <w:instrText xml:space="preserve"> PAGEREF _Toc24741 \h </w:instrText>
      </w:r>
      <w:r>
        <w:fldChar w:fldCharType="separate"/>
      </w:r>
      <w:r>
        <w:t>1</w:t>
      </w:r>
      <w:r>
        <w:fldChar w:fldCharType="end"/>
      </w:r>
      <w:r>
        <w:rPr>
          <w:rFonts w:hint="eastAsia" w:ascii="仿宋" w:hAnsi="仿宋" w:eastAsia="仿宋" w:cs="仿宋"/>
          <w:bCs w:val="0"/>
          <w:szCs w:val="24"/>
          <w:highlight w:val="yellow"/>
        </w:rPr>
        <w:fldChar w:fldCharType="end"/>
      </w:r>
    </w:p>
    <w:p>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_Toc6367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rPr>
        <w:t>（一）项目概况</w:t>
      </w:r>
      <w:r>
        <w:tab/>
      </w:r>
      <w:r>
        <w:fldChar w:fldCharType="begin"/>
      </w:r>
      <w:r>
        <w:instrText xml:space="preserve"> PAGEREF _Toc6367 \h </w:instrText>
      </w:r>
      <w:r>
        <w:fldChar w:fldCharType="separate"/>
      </w:r>
      <w:r>
        <w:t>1</w:t>
      </w:r>
      <w:r>
        <w:fldChar w:fldCharType="end"/>
      </w:r>
      <w:r>
        <w:rPr>
          <w:rFonts w:hint="eastAsia" w:ascii="仿宋" w:hAnsi="仿宋" w:eastAsia="仿宋" w:cs="仿宋"/>
          <w:bCs w:val="0"/>
          <w:szCs w:val="24"/>
          <w:highlight w:val="yellow"/>
        </w:rPr>
        <w:fldChar w:fldCharType="end"/>
      </w:r>
    </w:p>
    <w:p>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_Toc8736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rPr>
        <w:t>（二）项目绩效目标</w:t>
      </w:r>
      <w:r>
        <w:tab/>
      </w:r>
      <w:r>
        <w:fldChar w:fldCharType="begin"/>
      </w:r>
      <w:r>
        <w:instrText xml:space="preserve"> PAGEREF _Toc8736 \h </w:instrText>
      </w:r>
      <w:r>
        <w:fldChar w:fldCharType="separate"/>
      </w:r>
      <w:r>
        <w:t>10</w:t>
      </w:r>
      <w:r>
        <w:fldChar w:fldCharType="end"/>
      </w:r>
      <w:r>
        <w:rPr>
          <w:rFonts w:hint="eastAsia" w:ascii="仿宋" w:hAnsi="仿宋" w:eastAsia="仿宋" w:cs="仿宋"/>
          <w:bCs w:val="0"/>
          <w:szCs w:val="24"/>
          <w:highlight w:val="yellow"/>
        </w:rPr>
        <w:fldChar w:fldCharType="end"/>
      </w:r>
    </w:p>
    <w:p>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_Toc25147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lang w:eastAsia="zh-CN"/>
        </w:rPr>
        <w:t>（</w:t>
      </w:r>
      <w:r>
        <w:rPr>
          <w:rFonts w:hint="eastAsia" w:ascii="仿宋" w:hAnsi="仿宋" w:eastAsia="仿宋" w:cs="Times New Roman"/>
          <w:bCs/>
          <w:szCs w:val="32"/>
          <w:lang w:val="en-US" w:eastAsia="zh-CN"/>
        </w:rPr>
        <w:t>三</w:t>
      </w:r>
      <w:r>
        <w:rPr>
          <w:rFonts w:hint="eastAsia" w:ascii="仿宋" w:hAnsi="仿宋" w:eastAsia="仿宋" w:cs="Times New Roman"/>
          <w:bCs/>
          <w:szCs w:val="32"/>
          <w:lang w:eastAsia="zh-CN"/>
        </w:rPr>
        <w:t>）以前年度审计、检查、自查等发现的问题及整改落实情况</w:t>
      </w:r>
      <w:r>
        <w:tab/>
      </w:r>
      <w:r>
        <w:fldChar w:fldCharType="begin"/>
      </w:r>
      <w:r>
        <w:instrText xml:space="preserve"> PAGEREF _Toc25147 \h </w:instrText>
      </w:r>
      <w:r>
        <w:fldChar w:fldCharType="separate"/>
      </w:r>
      <w:r>
        <w:t>11</w:t>
      </w:r>
      <w:r>
        <w:fldChar w:fldCharType="end"/>
      </w:r>
      <w:r>
        <w:rPr>
          <w:rFonts w:hint="eastAsia" w:ascii="仿宋" w:hAnsi="仿宋" w:eastAsia="仿宋" w:cs="仿宋"/>
          <w:bCs w:val="0"/>
          <w:szCs w:val="24"/>
          <w:highlight w:val="yellow"/>
        </w:rPr>
        <w:fldChar w:fldCharType="end"/>
      </w:r>
    </w:p>
    <w:p>
      <w:pPr>
        <w:pStyle w:val="16"/>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_Toc31041 </w:instrText>
      </w:r>
      <w:r>
        <w:rPr>
          <w:rFonts w:hint="eastAsia" w:ascii="仿宋" w:hAnsi="仿宋" w:eastAsia="仿宋" w:cs="仿宋"/>
          <w:bCs w:val="0"/>
          <w:szCs w:val="24"/>
          <w:highlight w:val="yellow"/>
        </w:rPr>
        <w:fldChar w:fldCharType="separate"/>
      </w:r>
      <w:r>
        <w:rPr>
          <w:rFonts w:hint="eastAsia" w:ascii="Times New Roman" w:hAnsi="Times New Roman" w:eastAsia="黑体" w:cs="Times New Roman"/>
          <w:bCs/>
          <w:kern w:val="44"/>
          <w:szCs w:val="32"/>
          <w:lang w:val="en-US" w:eastAsia="zh-CN"/>
        </w:rPr>
        <w:t>二</w:t>
      </w:r>
      <w:r>
        <w:rPr>
          <w:rFonts w:hint="eastAsia" w:ascii="Times New Roman" w:hAnsi="Times New Roman" w:eastAsia="黑体" w:cs="Times New Roman"/>
          <w:bCs/>
          <w:kern w:val="44"/>
          <w:szCs w:val="32"/>
        </w:rPr>
        <w:t>、绩效评价工作</w:t>
      </w:r>
      <w:r>
        <w:rPr>
          <w:rFonts w:hint="eastAsia" w:ascii="Times New Roman" w:hAnsi="Times New Roman" w:eastAsia="黑体" w:cs="Times New Roman"/>
          <w:bCs/>
          <w:kern w:val="44"/>
          <w:szCs w:val="32"/>
          <w:lang w:val="en-US" w:eastAsia="zh-CN"/>
        </w:rPr>
        <w:t>开展</w:t>
      </w:r>
      <w:r>
        <w:rPr>
          <w:rFonts w:hint="eastAsia" w:ascii="Times New Roman" w:hAnsi="Times New Roman" w:eastAsia="黑体" w:cs="Times New Roman"/>
          <w:bCs/>
          <w:kern w:val="44"/>
          <w:szCs w:val="32"/>
        </w:rPr>
        <w:t>情况</w:t>
      </w:r>
      <w:r>
        <w:tab/>
      </w:r>
      <w:r>
        <w:fldChar w:fldCharType="begin"/>
      </w:r>
      <w:r>
        <w:instrText xml:space="preserve"> PAGEREF _Toc31041 \h </w:instrText>
      </w:r>
      <w:r>
        <w:fldChar w:fldCharType="separate"/>
      </w:r>
      <w:r>
        <w:t>12</w:t>
      </w:r>
      <w:r>
        <w:fldChar w:fldCharType="end"/>
      </w:r>
      <w:r>
        <w:rPr>
          <w:rFonts w:hint="eastAsia" w:ascii="仿宋" w:hAnsi="仿宋" w:eastAsia="仿宋" w:cs="仿宋"/>
          <w:bCs w:val="0"/>
          <w:szCs w:val="24"/>
          <w:highlight w:val="yellow"/>
        </w:rPr>
        <w:fldChar w:fldCharType="end"/>
      </w:r>
    </w:p>
    <w:p>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_Toc11614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rPr>
        <w:t>（一）绩效评价的目的</w:t>
      </w:r>
      <w:r>
        <w:rPr>
          <w:rFonts w:hint="eastAsia" w:ascii="仿宋" w:hAnsi="仿宋" w:eastAsia="仿宋" w:cs="Times New Roman"/>
          <w:bCs/>
          <w:szCs w:val="32"/>
          <w:lang w:eastAsia="zh-CN"/>
        </w:rPr>
        <w:t>、</w:t>
      </w:r>
      <w:r>
        <w:rPr>
          <w:rFonts w:hint="eastAsia" w:ascii="仿宋" w:hAnsi="仿宋" w:eastAsia="仿宋" w:cs="Times New Roman"/>
          <w:bCs/>
          <w:szCs w:val="32"/>
          <w:lang w:val="en-US" w:eastAsia="zh-CN"/>
        </w:rPr>
        <w:t>对象和范围、评价基准日</w:t>
      </w:r>
      <w:r>
        <w:tab/>
      </w:r>
      <w:r>
        <w:fldChar w:fldCharType="begin"/>
      </w:r>
      <w:r>
        <w:instrText xml:space="preserve"> PAGEREF _Toc11614 \h </w:instrText>
      </w:r>
      <w:r>
        <w:fldChar w:fldCharType="separate"/>
      </w:r>
      <w:r>
        <w:t>12</w:t>
      </w:r>
      <w:r>
        <w:fldChar w:fldCharType="end"/>
      </w:r>
      <w:r>
        <w:rPr>
          <w:rFonts w:hint="eastAsia" w:ascii="仿宋" w:hAnsi="仿宋" w:eastAsia="仿宋" w:cs="仿宋"/>
          <w:bCs w:val="0"/>
          <w:szCs w:val="24"/>
          <w:highlight w:val="yellow"/>
        </w:rPr>
        <w:fldChar w:fldCharType="end"/>
      </w:r>
    </w:p>
    <w:p>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_Toc26603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lang w:eastAsia="zh-CN"/>
        </w:rPr>
        <w:t>（</w:t>
      </w:r>
      <w:r>
        <w:rPr>
          <w:rFonts w:hint="eastAsia" w:ascii="仿宋" w:hAnsi="仿宋" w:eastAsia="仿宋" w:cs="Times New Roman"/>
          <w:bCs/>
          <w:szCs w:val="32"/>
          <w:lang w:val="en-US" w:eastAsia="zh-CN"/>
        </w:rPr>
        <w:t>二</w:t>
      </w:r>
      <w:r>
        <w:rPr>
          <w:rFonts w:hint="eastAsia" w:ascii="仿宋" w:hAnsi="仿宋" w:eastAsia="仿宋" w:cs="Times New Roman"/>
          <w:bCs/>
          <w:szCs w:val="32"/>
          <w:lang w:eastAsia="zh-CN"/>
        </w:rPr>
        <w:t>）</w:t>
      </w:r>
      <w:r>
        <w:rPr>
          <w:rFonts w:ascii="仿宋" w:hAnsi="仿宋" w:eastAsia="仿宋" w:cs="Times New Roman"/>
          <w:bCs/>
          <w:szCs w:val="32"/>
        </w:rPr>
        <w:t>评价内容</w:t>
      </w:r>
      <w:r>
        <w:rPr>
          <w:rFonts w:hint="eastAsia" w:ascii="仿宋" w:hAnsi="仿宋" w:eastAsia="仿宋" w:cs="Times New Roman"/>
          <w:bCs/>
          <w:szCs w:val="32"/>
          <w:lang w:eastAsia="zh-CN"/>
        </w:rPr>
        <w:t>、</w:t>
      </w:r>
      <w:r>
        <w:rPr>
          <w:rFonts w:ascii="仿宋" w:hAnsi="仿宋" w:eastAsia="仿宋" w:cs="Times New Roman"/>
          <w:bCs/>
          <w:szCs w:val="32"/>
        </w:rPr>
        <w:t>思路</w:t>
      </w:r>
      <w:r>
        <w:tab/>
      </w:r>
      <w:r>
        <w:fldChar w:fldCharType="begin"/>
      </w:r>
      <w:r>
        <w:instrText xml:space="preserve"> PAGEREF _Toc26603 \h </w:instrText>
      </w:r>
      <w:r>
        <w:fldChar w:fldCharType="separate"/>
      </w:r>
      <w:r>
        <w:t>12</w:t>
      </w:r>
      <w:r>
        <w:fldChar w:fldCharType="end"/>
      </w:r>
      <w:r>
        <w:rPr>
          <w:rFonts w:hint="eastAsia" w:ascii="仿宋" w:hAnsi="仿宋" w:eastAsia="仿宋" w:cs="仿宋"/>
          <w:bCs w:val="0"/>
          <w:szCs w:val="24"/>
          <w:highlight w:val="yellow"/>
        </w:rPr>
        <w:fldChar w:fldCharType="end"/>
      </w:r>
    </w:p>
    <w:p>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_Toc11329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rPr>
        <w:t>（</w:t>
      </w:r>
      <w:r>
        <w:rPr>
          <w:rFonts w:hint="eastAsia" w:ascii="仿宋" w:hAnsi="仿宋" w:eastAsia="仿宋" w:cs="Times New Roman"/>
          <w:bCs/>
          <w:szCs w:val="32"/>
          <w:lang w:val="en-US" w:eastAsia="zh-CN"/>
        </w:rPr>
        <w:t>三</w:t>
      </w:r>
      <w:r>
        <w:rPr>
          <w:rFonts w:hint="eastAsia" w:ascii="仿宋" w:hAnsi="仿宋" w:eastAsia="仿宋" w:cs="Times New Roman"/>
          <w:bCs/>
          <w:szCs w:val="32"/>
        </w:rPr>
        <w:t>）绩效评价的依据</w:t>
      </w:r>
      <w:r>
        <w:tab/>
      </w:r>
      <w:r>
        <w:fldChar w:fldCharType="begin"/>
      </w:r>
      <w:r>
        <w:instrText xml:space="preserve"> PAGEREF _Toc11329 \h </w:instrText>
      </w:r>
      <w:r>
        <w:fldChar w:fldCharType="separate"/>
      </w:r>
      <w:r>
        <w:t>13</w:t>
      </w:r>
      <w:r>
        <w:fldChar w:fldCharType="end"/>
      </w:r>
      <w:r>
        <w:rPr>
          <w:rFonts w:hint="eastAsia" w:ascii="仿宋" w:hAnsi="仿宋" w:eastAsia="仿宋" w:cs="仿宋"/>
          <w:bCs w:val="0"/>
          <w:szCs w:val="24"/>
          <w:highlight w:val="yellow"/>
        </w:rPr>
        <w:fldChar w:fldCharType="end"/>
      </w:r>
    </w:p>
    <w:p>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_Toc22842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rPr>
        <w:t>（</w:t>
      </w:r>
      <w:r>
        <w:rPr>
          <w:rFonts w:hint="eastAsia" w:ascii="仿宋" w:hAnsi="仿宋" w:eastAsia="仿宋" w:cs="Times New Roman"/>
          <w:bCs/>
          <w:szCs w:val="32"/>
          <w:lang w:val="en-US" w:eastAsia="zh-CN"/>
        </w:rPr>
        <w:t>五</w:t>
      </w:r>
      <w:r>
        <w:rPr>
          <w:rFonts w:hint="eastAsia" w:ascii="仿宋" w:hAnsi="仿宋" w:eastAsia="仿宋" w:cs="Times New Roman"/>
          <w:bCs/>
          <w:szCs w:val="32"/>
        </w:rPr>
        <w:t>）绩效评价的原则</w:t>
      </w:r>
      <w:r>
        <w:rPr>
          <w:rFonts w:hint="eastAsia" w:ascii="仿宋" w:hAnsi="仿宋" w:eastAsia="仿宋" w:cs="Times New Roman"/>
          <w:bCs/>
          <w:szCs w:val="32"/>
          <w:lang w:val="en-US" w:eastAsia="zh-CN"/>
        </w:rPr>
        <w:t>和方法</w:t>
      </w:r>
      <w:r>
        <w:tab/>
      </w:r>
      <w:r>
        <w:fldChar w:fldCharType="begin"/>
      </w:r>
      <w:r>
        <w:instrText xml:space="preserve"> PAGEREF _Toc22842 \h </w:instrText>
      </w:r>
      <w:r>
        <w:fldChar w:fldCharType="separate"/>
      </w:r>
      <w:r>
        <w:t>14</w:t>
      </w:r>
      <w:r>
        <w:fldChar w:fldCharType="end"/>
      </w:r>
      <w:r>
        <w:rPr>
          <w:rFonts w:hint="eastAsia" w:ascii="仿宋" w:hAnsi="仿宋" w:eastAsia="仿宋" w:cs="仿宋"/>
          <w:bCs w:val="0"/>
          <w:szCs w:val="24"/>
          <w:highlight w:val="yellow"/>
        </w:rPr>
        <w:fldChar w:fldCharType="end"/>
      </w:r>
    </w:p>
    <w:p>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_Toc8851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lang w:val="en-US" w:eastAsia="zh-CN"/>
        </w:rPr>
        <w:t>（六）评价指标体系</w:t>
      </w:r>
      <w:r>
        <w:tab/>
      </w:r>
      <w:r>
        <w:fldChar w:fldCharType="begin"/>
      </w:r>
      <w:r>
        <w:instrText xml:space="preserve"> PAGEREF _Toc8851 \h </w:instrText>
      </w:r>
      <w:r>
        <w:fldChar w:fldCharType="separate"/>
      </w:r>
      <w:r>
        <w:t>16</w:t>
      </w:r>
      <w:r>
        <w:fldChar w:fldCharType="end"/>
      </w:r>
      <w:r>
        <w:rPr>
          <w:rFonts w:hint="eastAsia" w:ascii="仿宋" w:hAnsi="仿宋" w:eastAsia="仿宋" w:cs="仿宋"/>
          <w:bCs w:val="0"/>
          <w:szCs w:val="24"/>
          <w:highlight w:val="yellow"/>
        </w:rPr>
        <w:fldChar w:fldCharType="end"/>
      </w:r>
    </w:p>
    <w:p>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_Toc23344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rPr>
        <w:t>（</w:t>
      </w:r>
      <w:r>
        <w:rPr>
          <w:rFonts w:hint="eastAsia" w:ascii="仿宋" w:hAnsi="仿宋" w:eastAsia="仿宋" w:cs="Times New Roman"/>
          <w:bCs/>
          <w:szCs w:val="32"/>
          <w:lang w:val="en-US" w:eastAsia="zh-CN"/>
        </w:rPr>
        <w:t>七</w:t>
      </w:r>
      <w:r>
        <w:rPr>
          <w:rFonts w:hint="eastAsia" w:ascii="仿宋" w:hAnsi="仿宋" w:eastAsia="仿宋" w:cs="Times New Roman"/>
          <w:bCs/>
          <w:szCs w:val="32"/>
        </w:rPr>
        <w:t>）绩效评价工作组织</w:t>
      </w:r>
      <w:r>
        <w:tab/>
      </w:r>
      <w:r>
        <w:fldChar w:fldCharType="begin"/>
      </w:r>
      <w:r>
        <w:instrText xml:space="preserve"> PAGEREF _Toc23344 \h </w:instrText>
      </w:r>
      <w:r>
        <w:fldChar w:fldCharType="separate"/>
      </w:r>
      <w:r>
        <w:t>17</w:t>
      </w:r>
      <w:r>
        <w:fldChar w:fldCharType="end"/>
      </w:r>
      <w:r>
        <w:rPr>
          <w:rFonts w:hint="eastAsia" w:ascii="仿宋" w:hAnsi="仿宋" w:eastAsia="仿宋" w:cs="仿宋"/>
          <w:bCs w:val="0"/>
          <w:szCs w:val="24"/>
          <w:highlight w:val="yellow"/>
        </w:rPr>
        <w:fldChar w:fldCharType="end"/>
      </w:r>
    </w:p>
    <w:p>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_Toc8975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lang w:eastAsia="zh-CN"/>
        </w:rPr>
        <w:t>（</w:t>
      </w:r>
      <w:r>
        <w:rPr>
          <w:rFonts w:hint="eastAsia" w:ascii="仿宋" w:hAnsi="仿宋" w:eastAsia="仿宋" w:cs="Times New Roman"/>
          <w:bCs/>
          <w:szCs w:val="32"/>
          <w:lang w:val="en-US" w:eastAsia="zh-CN"/>
        </w:rPr>
        <w:t>八</w:t>
      </w:r>
      <w:r>
        <w:rPr>
          <w:rFonts w:hint="eastAsia" w:ascii="仿宋" w:hAnsi="仿宋" w:eastAsia="仿宋" w:cs="Times New Roman"/>
          <w:bCs/>
          <w:szCs w:val="32"/>
          <w:lang w:eastAsia="zh-CN"/>
        </w:rPr>
        <w:t>）</w:t>
      </w:r>
      <w:r>
        <w:rPr>
          <w:rFonts w:hint="eastAsia" w:ascii="仿宋" w:hAnsi="仿宋" w:eastAsia="仿宋" w:cs="Times New Roman"/>
          <w:bCs/>
          <w:szCs w:val="32"/>
          <w:lang w:val="en-US" w:eastAsia="zh-CN"/>
        </w:rPr>
        <w:t>绩效评价工作过程</w:t>
      </w:r>
      <w:r>
        <w:tab/>
      </w:r>
      <w:r>
        <w:fldChar w:fldCharType="begin"/>
      </w:r>
      <w:r>
        <w:instrText xml:space="preserve"> PAGEREF _Toc8975 \h </w:instrText>
      </w:r>
      <w:r>
        <w:fldChar w:fldCharType="separate"/>
      </w:r>
      <w:r>
        <w:t>18</w:t>
      </w:r>
      <w:r>
        <w:fldChar w:fldCharType="end"/>
      </w:r>
      <w:r>
        <w:rPr>
          <w:rFonts w:hint="eastAsia" w:ascii="仿宋" w:hAnsi="仿宋" w:eastAsia="仿宋" w:cs="仿宋"/>
          <w:bCs w:val="0"/>
          <w:szCs w:val="24"/>
          <w:highlight w:val="yellow"/>
        </w:rPr>
        <w:fldChar w:fldCharType="end"/>
      </w:r>
    </w:p>
    <w:p>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_Toc10045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lang w:val="en-US" w:eastAsia="zh-CN"/>
        </w:rPr>
        <w:t>（九）评价等级</w:t>
      </w:r>
      <w:r>
        <w:tab/>
      </w:r>
      <w:r>
        <w:fldChar w:fldCharType="begin"/>
      </w:r>
      <w:r>
        <w:instrText xml:space="preserve"> PAGEREF _Toc10045 \h </w:instrText>
      </w:r>
      <w:r>
        <w:fldChar w:fldCharType="separate"/>
      </w:r>
      <w:r>
        <w:t>19</w:t>
      </w:r>
      <w:r>
        <w:fldChar w:fldCharType="end"/>
      </w:r>
      <w:r>
        <w:rPr>
          <w:rFonts w:hint="eastAsia" w:ascii="仿宋" w:hAnsi="仿宋" w:eastAsia="仿宋" w:cs="仿宋"/>
          <w:bCs w:val="0"/>
          <w:szCs w:val="24"/>
          <w:highlight w:val="yellow"/>
        </w:rPr>
        <w:fldChar w:fldCharType="end"/>
      </w:r>
    </w:p>
    <w:p>
      <w:pPr>
        <w:pStyle w:val="16"/>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_Toc13445 </w:instrText>
      </w:r>
      <w:r>
        <w:rPr>
          <w:rFonts w:hint="eastAsia" w:ascii="仿宋" w:hAnsi="仿宋" w:eastAsia="仿宋" w:cs="仿宋"/>
          <w:bCs w:val="0"/>
          <w:szCs w:val="24"/>
          <w:highlight w:val="yellow"/>
        </w:rPr>
        <w:fldChar w:fldCharType="separate"/>
      </w:r>
      <w:r>
        <w:rPr>
          <w:rFonts w:hint="eastAsia" w:ascii="Times New Roman" w:hAnsi="Times New Roman" w:eastAsia="黑体" w:cs="Times New Roman"/>
          <w:bCs/>
          <w:kern w:val="44"/>
          <w:szCs w:val="32"/>
          <w:lang w:val="en-US" w:eastAsia="zh-CN"/>
        </w:rPr>
        <w:t>三</w:t>
      </w:r>
      <w:r>
        <w:rPr>
          <w:rFonts w:hint="eastAsia" w:ascii="Times New Roman" w:hAnsi="Times New Roman" w:eastAsia="黑体" w:cs="Times New Roman"/>
          <w:bCs/>
          <w:kern w:val="44"/>
          <w:szCs w:val="32"/>
        </w:rPr>
        <w:t>、</w:t>
      </w:r>
      <w:r>
        <w:rPr>
          <w:rFonts w:hint="eastAsia" w:ascii="Times New Roman" w:hAnsi="Times New Roman" w:eastAsia="黑体" w:cs="Times New Roman"/>
          <w:bCs/>
          <w:kern w:val="44"/>
          <w:szCs w:val="32"/>
          <w:lang w:val="en-US" w:eastAsia="zh-CN"/>
        </w:rPr>
        <w:t>综合评价</w:t>
      </w:r>
      <w:r>
        <w:rPr>
          <w:rFonts w:hint="eastAsia" w:ascii="Times New Roman" w:hAnsi="Times New Roman" w:eastAsia="黑体" w:cs="Times New Roman"/>
          <w:bCs/>
          <w:kern w:val="44"/>
          <w:szCs w:val="32"/>
        </w:rPr>
        <w:t>情况</w:t>
      </w:r>
      <w:r>
        <w:rPr>
          <w:rFonts w:hint="eastAsia" w:ascii="Times New Roman" w:hAnsi="Times New Roman" w:eastAsia="黑体" w:cs="Times New Roman"/>
          <w:bCs/>
          <w:kern w:val="44"/>
          <w:szCs w:val="32"/>
          <w:lang w:val="en-US" w:eastAsia="zh-CN"/>
        </w:rPr>
        <w:t>及评价结论</w:t>
      </w:r>
      <w:r>
        <w:tab/>
      </w:r>
      <w:r>
        <w:fldChar w:fldCharType="begin"/>
      </w:r>
      <w:r>
        <w:instrText xml:space="preserve"> PAGEREF _Toc13445 \h </w:instrText>
      </w:r>
      <w:r>
        <w:fldChar w:fldCharType="separate"/>
      </w:r>
      <w:r>
        <w:t>19</w:t>
      </w:r>
      <w:r>
        <w:fldChar w:fldCharType="end"/>
      </w:r>
      <w:r>
        <w:rPr>
          <w:rFonts w:hint="eastAsia" w:ascii="仿宋" w:hAnsi="仿宋" w:eastAsia="仿宋" w:cs="仿宋"/>
          <w:bCs w:val="0"/>
          <w:szCs w:val="24"/>
          <w:highlight w:val="yellow"/>
        </w:rPr>
        <w:fldChar w:fldCharType="end"/>
      </w:r>
    </w:p>
    <w:p>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_Toc30626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lang w:eastAsia="zh-CN"/>
        </w:rPr>
        <w:t>（一）</w:t>
      </w:r>
      <w:r>
        <w:rPr>
          <w:rFonts w:hint="eastAsia" w:ascii="仿宋" w:hAnsi="仿宋" w:eastAsia="仿宋" w:cs="Times New Roman"/>
          <w:bCs/>
          <w:szCs w:val="32"/>
          <w:lang w:val="en-US" w:eastAsia="zh-CN"/>
        </w:rPr>
        <w:t>总体评分结果及评价结论</w:t>
      </w:r>
      <w:r>
        <w:tab/>
      </w:r>
      <w:r>
        <w:fldChar w:fldCharType="begin"/>
      </w:r>
      <w:r>
        <w:instrText xml:space="preserve"> PAGEREF _Toc30626 \h </w:instrText>
      </w:r>
      <w:r>
        <w:fldChar w:fldCharType="separate"/>
      </w:r>
      <w:r>
        <w:t>19</w:t>
      </w:r>
      <w:r>
        <w:fldChar w:fldCharType="end"/>
      </w:r>
      <w:r>
        <w:rPr>
          <w:rFonts w:hint="eastAsia" w:ascii="仿宋" w:hAnsi="仿宋" w:eastAsia="仿宋" w:cs="仿宋"/>
          <w:bCs w:val="0"/>
          <w:szCs w:val="24"/>
          <w:highlight w:val="yellow"/>
        </w:rPr>
        <w:fldChar w:fldCharType="end"/>
      </w:r>
    </w:p>
    <w:p>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_Toc1051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lang w:eastAsia="zh-CN"/>
        </w:rPr>
        <w:t>（</w:t>
      </w:r>
      <w:r>
        <w:rPr>
          <w:rFonts w:hint="eastAsia" w:ascii="仿宋" w:hAnsi="仿宋" w:eastAsia="仿宋" w:cs="Times New Roman"/>
          <w:bCs/>
          <w:szCs w:val="32"/>
          <w:lang w:val="en-US" w:eastAsia="zh-CN"/>
        </w:rPr>
        <w:t>二</w:t>
      </w:r>
      <w:r>
        <w:rPr>
          <w:rFonts w:hint="eastAsia" w:ascii="仿宋" w:hAnsi="仿宋" w:eastAsia="仿宋" w:cs="Times New Roman"/>
          <w:bCs/>
          <w:szCs w:val="32"/>
          <w:lang w:eastAsia="zh-CN"/>
        </w:rPr>
        <w:t>）</w:t>
      </w:r>
      <w:r>
        <w:rPr>
          <w:rFonts w:hint="eastAsia" w:ascii="仿宋" w:hAnsi="仿宋" w:eastAsia="仿宋" w:cs="Times New Roman"/>
          <w:bCs/>
          <w:szCs w:val="32"/>
          <w:lang w:val="en-US" w:eastAsia="zh-CN"/>
        </w:rPr>
        <w:t>各分项评分结果</w:t>
      </w:r>
      <w:r>
        <w:tab/>
      </w:r>
      <w:r>
        <w:fldChar w:fldCharType="begin"/>
      </w:r>
      <w:r>
        <w:instrText xml:space="preserve"> PAGEREF _Toc1051 \h </w:instrText>
      </w:r>
      <w:r>
        <w:fldChar w:fldCharType="separate"/>
      </w:r>
      <w:r>
        <w:t>20</w:t>
      </w:r>
      <w:r>
        <w:fldChar w:fldCharType="end"/>
      </w:r>
      <w:r>
        <w:rPr>
          <w:rFonts w:hint="eastAsia" w:ascii="仿宋" w:hAnsi="仿宋" w:eastAsia="仿宋" w:cs="仿宋"/>
          <w:bCs w:val="0"/>
          <w:szCs w:val="24"/>
          <w:highlight w:val="yellow"/>
        </w:rPr>
        <w:fldChar w:fldCharType="end"/>
      </w:r>
    </w:p>
    <w:p>
      <w:pPr>
        <w:pStyle w:val="16"/>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_Toc22836 </w:instrText>
      </w:r>
      <w:r>
        <w:rPr>
          <w:rFonts w:hint="eastAsia" w:ascii="仿宋" w:hAnsi="仿宋" w:eastAsia="仿宋" w:cs="仿宋"/>
          <w:bCs w:val="0"/>
          <w:szCs w:val="24"/>
          <w:highlight w:val="yellow"/>
        </w:rPr>
        <w:fldChar w:fldCharType="separate"/>
      </w:r>
      <w:r>
        <w:rPr>
          <w:rFonts w:hint="eastAsia" w:ascii="Times New Roman" w:hAnsi="Times New Roman" w:eastAsia="黑体" w:cs="Times New Roman"/>
          <w:bCs/>
          <w:kern w:val="44"/>
          <w:szCs w:val="32"/>
          <w:lang w:val="en-US" w:eastAsia="zh-CN"/>
        </w:rPr>
        <w:t>四、绩效评价指标分析</w:t>
      </w:r>
      <w:r>
        <w:tab/>
      </w:r>
      <w:r>
        <w:fldChar w:fldCharType="begin"/>
      </w:r>
      <w:r>
        <w:instrText xml:space="preserve"> PAGEREF _Toc22836 \h </w:instrText>
      </w:r>
      <w:r>
        <w:fldChar w:fldCharType="separate"/>
      </w:r>
      <w:r>
        <w:t>20</w:t>
      </w:r>
      <w:r>
        <w:fldChar w:fldCharType="end"/>
      </w:r>
      <w:r>
        <w:rPr>
          <w:rFonts w:hint="eastAsia" w:ascii="仿宋" w:hAnsi="仿宋" w:eastAsia="仿宋" w:cs="仿宋"/>
          <w:bCs w:val="0"/>
          <w:szCs w:val="24"/>
          <w:highlight w:val="yellow"/>
        </w:rPr>
        <w:fldChar w:fldCharType="end"/>
      </w:r>
    </w:p>
    <w:p>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_Toc13961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lang w:eastAsia="zh-CN"/>
        </w:rPr>
        <w:t>（</w:t>
      </w:r>
      <w:r>
        <w:rPr>
          <w:rFonts w:hint="eastAsia" w:ascii="仿宋" w:hAnsi="仿宋" w:eastAsia="仿宋" w:cs="Times New Roman"/>
          <w:bCs/>
          <w:szCs w:val="32"/>
          <w:lang w:val="en-US" w:eastAsia="zh-CN"/>
        </w:rPr>
        <w:t>一</w:t>
      </w:r>
      <w:r>
        <w:rPr>
          <w:rFonts w:hint="eastAsia" w:ascii="仿宋" w:hAnsi="仿宋" w:eastAsia="仿宋" w:cs="Times New Roman"/>
          <w:bCs/>
          <w:szCs w:val="32"/>
          <w:lang w:eastAsia="zh-CN"/>
        </w:rPr>
        <w:t>）</w:t>
      </w:r>
      <w:r>
        <w:rPr>
          <w:rFonts w:hint="eastAsia" w:ascii="仿宋" w:hAnsi="仿宋" w:eastAsia="仿宋" w:cs="Times New Roman"/>
          <w:bCs/>
          <w:szCs w:val="32"/>
          <w:lang w:val="en-US" w:eastAsia="zh-CN"/>
        </w:rPr>
        <w:t>项目决策</w:t>
      </w:r>
      <w:r>
        <w:tab/>
      </w:r>
      <w:r>
        <w:fldChar w:fldCharType="begin"/>
      </w:r>
      <w:r>
        <w:instrText xml:space="preserve"> PAGEREF _Toc13961 \h </w:instrText>
      </w:r>
      <w:r>
        <w:fldChar w:fldCharType="separate"/>
      </w:r>
      <w:r>
        <w:t>20</w:t>
      </w:r>
      <w:r>
        <w:fldChar w:fldCharType="end"/>
      </w:r>
      <w:r>
        <w:rPr>
          <w:rFonts w:hint="eastAsia" w:ascii="仿宋" w:hAnsi="仿宋" w:eastAsia="仿宋" w:cs="仿宋"/>
          <w:bCs w:val="0"/>
          <w:szCs w:val="24"/>
          <w:highlight w:val="yellow"/>
        </w:rPr>
        <w:fldChar w:fldCharType="end"/>
      </w:r>
    </w:p>
    <w:p>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_Toc25626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lang w:val="en-US" w:eastAsia="zh-CN"/>
        </w:rPr>
        <w:t>（二）项目管理</w:t>
      </w:r>
      <w:r>
        <w:tab/>
      </w:r>
      <w:r>
        <w:fldChar w:fldCharType="begin"/>
      </w:r>
      <w:r>
        <w:instrText xml:space="preserve"> PAGEREF _Toc25626 \h </w:instrText>
      </w:r>
      <w:r>
        <w:fldChar w:fldCharType="separate"/>
      </w:r>
      <w:r>
        <w:t>23</w:t>
      </w:r>
      <w:r>
        <w:fldChar w:fldCharType="end"/>
      </w:r>
      <w:r>
        <w:rPr>
          <w:rFonts w:hint="eastAsia" w:ascii="仿宋" w:hAnsi="仿宋" w:eastAsia="仿宋" w:cs="仿宋"/>
          <w:bCs w:val="0"/>
          <w:szCs w:val="24"/>
          <w:highlight w:val="yellow"/>
        </w:rPr>
        <w:fldChar w:fldCharType="end"/>
      </w:r>
    </w:p>
    <w:p>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_Toc14440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lang w:val="en-US" w:eastAsia="zh-CN"/>
        </w:rPr>
        <w:t>（三）项目产出</w:t>
      </w:r>
      <w:r>
        <w:tab/>
      </w:r>
      <w:r>
        <w:fldChar w:fldCharType="begin"/>
      </w:r>
      <w:r>
        <w:instrText xml:space="preserve"> PAGEREF _Toc14440 \h </w:instrText>
      </w:r>
      <w:r>
        <w:fldChar w:fldCharType="separate"/>
      </w:r>
      <w:r>
        <w:t>27</w:t>
      </w:r>
      <w:r>
        <w:fldChar w:fldCharType="end"/>
      </w:r>
      <w:r>
        <w:rPr>
          <w:rFonts w:hint="eastAsia" w:ascii="仿宋" w:hAnsi="仿宋" w:eastAsia="仿宋" w:cs="仿宋"/>
          <w:bCs w:val="0"/>
          <w:szCs w:val="24"/>
          <w:highlight w:val="yellow"/>
        </w:rPr>
        <w:fldChar w:fldCharType="end"/>
      </w:r>
    </w:p>
    <w:p>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_Toc23403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lang w:val="en-US" w:eastAsia="zh-CN"/>
        </w:rPr>
        <w:t>（四）项目效益</w:t>
      </w:r>
      <w:r>
        <w:tab/>
      </w:r>
      <w:r>
        <w:fldChar w:fldCharType="begin"/>
      </w:r>
      <w:r>
        <w:instrText xml:space="preserve"> PAGEREF _Toc23403 \h </w:instrText>
      </w:r>
      <w:r>
        <w:fldChar w:fldCharType="separate"/>
      </w:r>
      <w:r>
        <w:t>31</w:t>
      </w:r>
      <w:r>
        <w:fldChar w:fldCharType="end"/>
      </w:r>
      <w:r>
        <w:rPr>
          <w:rFonts w:hint="eastAsia" w:ascii="仿宋" w:hAnsi="仿宋" w:eastAsia="仿宋" w:cs="仿宋"/>
          <w:bCs w:val="0"/>
          <w:szCs w:val="24"/>
          <w:highlight w:val="yellow"/>
        </w:rPr>
        <w:fldChar w:fldCharType="end"/>
      </w:r>
    </w:p>
    <w:p>
      <w:pPr>
        <w:pStyle w:val="16"/>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_Toc11724 </w:instrText>
      </w:r>
      <w:r>
        <w:rPr>
          <w:rFonts w:hint="eastAsia" w:ascii="仿宋" w:hAnsi="仿宋" w:eastAsia="仿宋" w:cs="仿宋"/>
          <w:bCs w:val="0"/>
          <w:szCs w:val="24"/>
          <w:highlight w:val="yellow"/>
        </w:rPr>
        <w:fldChar w:fldCharType="separate"/>
      </w:r>
      <w:r>
        <w:rPr>
          <w:rFonts w:hint="eastAsia" w:ascii="Times New Roman" w:hAnsi="Times New Roman" w:eastAsia="黑体" w:cs="Times New Roman"/>
          <w:bCs/>
          <w:kern w:val="44"/>
          <w:szCs w:val="32"/>
        </w:rPr>
        <w:t>五、</w:t>
      </w:r>
      <w:r>
        <w:rPr>
          <w:rFonts w:hint="eastAsia" w:ascii="Times New Roman" w:hAnsi="Times New Roman" w:eastAsia="黑体" w:cs="Times New Roman"/>
          <w:bCs/>
          <w:kern w:val="44"/>
          <w:szCs w:val="32"/>
          <w:lang w:val="en-US" w:eastAsia="zh-CN"/>
        </w:rPr>
        <w:t>项目主要经验做法</w:t>
      </w:r>
      <w:r>
        <w:tab/>
      </w:r>
      <w:r>
        <w:fldChar w:fldCharType="begin"/>
      </w:r>
      <w:r>
        <w:instrText xml:space="preserve"> PAGEREF _Toc11724 \h </w:instrText>
      </w:r>
      <w:r>
        <w:fldChar w:fldCharType="separate"/>
      </w:r>
      <w:r>
        <w:t>33</w:t>
      </w:r>
      <w:r>
        <w:fldChar w:fldCharType="end"/>
      </w:r>
      <w:r>
        <w:rPr>
          <w:rFonts w:hint="eastAsia" w:ascii="仿宋" w:hAnsi="仿宋" w:eastAsia="仿宋" w:cs="仿宋"/>
          <w:bCs w:val="0"/>
          <w:szCs w:val="24"/>
          <w:highlight w:val="yellow"/>
        </w:rPr>
        <w:fldChar w:fldCharType="end"/>
      </w:r>
    </w:p>
    <w:p>
      <w:pPr>
        <w:pStyle w:val="16"/>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_Toc29407 </w:instrText>
      </w:r>
      <w:r>
        <w:rPr>
          <w:rFonts w:hint="eastAsia" w:ascii="仿宋" w:hAnsi="仿宋" w:eastAsia="仿宋" w:cs="仿宋"/>
          <w:bCs w:val="0"/>
          <w:szCs w:val="24"/>
          <w:highlight w:val="yellow"/>
        </w:rPr>
        <w:fldChar w:fldCharType="separate"/>
      </w:r>
      <w:r>
        <w:rPr>
          <w:rFonts w:hint="eastAsia" w:ascii="Times New Roman" w:hAnsi="Times New Roman" w:eastAsia="黑体" w:cs="Times New Roman"/>
          <w:bCs/>
          <w:kern w:val="44"/>
          <w:szCs w:val="32"/>
          <w:lang w:val="en-US" w:eastAsia="zh-CN"/>
        </w:rPr>
        <w:t>六</w:t>
      </w:r>
      <w:r>
        <w:rPr>
          <w:rFonts w:hint="eastAsia" w:ascii="Times New Roman" w:hAnsi="Times New Roman" w:eastAsia="黑体" w:cs="Times New Roman"/>
          <w:bCs/>
          <w:kern w:val="44"/>
          <w:szCs w:val="32"/>
        </w:rPr>
        <w:t>、存在的问题</w:t>
      </w:r>
      <w:r>
        <w:rPr>
          <w:rFonts w:hint="eastAsia" w:ascii="Times New Roman" w:hAnsi="Times New Roman" w:eastAsia="黑体" w:cs="Times New Roman"/>
          <w:bCs/>
          <w:kern w:val="44"/>
          <w:szCs w:val="32"/>
          <w:lang w:val="en-US" w:eastAsia="zh-CN"/>
        </w:rPr>
        <w:t>及原因分析</w:t>
      </w:r>
      <w:r>
        <w:tab/>
      </w:r>
      <w:r>
        <w:fldChar w:fldCharType="begin"/>
      </w:r>
      <w:r>
        <w:instrText xml:space="preserve"> PAGEREF _Toc29407 \h </w:instrText>
      </w:r>
      <w:r>
        <w:fldChar w:fldCharType="separate"/>
      </w:r>
      <w:r>
        <w:t>33</w:t>
      </w:r>
      <w:r>
        <w:fldChar w:fldCharType="end"/>
      </w:r>
      <w:r>
        <w:rPr>
          <w:rFonts w:hint="eastAsia" w:ascii="仿宋" w:hAnsi="仿宋" w:eastAsia="仿宋" w:cs="仿宋"/>
          <w:bCs w:val="0"/>
          <w:szCs w:val="24"/>
          <w:highlight w:val="yellow"/>
        </w:rPr>
        <w:fldChar w:fldCharType="end"/>
      </w:r>
    </w:p>
    <w:p>
      <w:pPr>
        <w:pStyle w:val="16"/>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_Toc25526 </w:instrText>
      </w:r>
      <w:r>
        <w:rPr>
          <w:rFonts w:hint="eastAsia" w:ascii="仿宋" w:hAnsi="仿宋" w:eastAsia="仿宋" w:cs="仿宋"/>
          <w:bCs w:val="0"/>
          <w:szCs w:val="24"/>
          <w:highlight w:val="yellow"/>
        </w:rPr>
        <w:fldChar w:fldCharType="separate"/>
      </w:r>
      <w:r>
        <w:rPr>
          <w:rFonts w:hint="eastAsia" w:ascii="Times New Roman" w:hAnsi="Times New Roman" w:eastAsia="黑体" w:cs="Times New Roman"/>
          <w:bCs/>
          <w:kern w:val="44"/>
          <w:szCs w:val="32"/>
          <w:lang w:val="en-US" w:eastAsia="zh-CN"/>
        </w:rPr>
        <w:t>七、下一步改进意见及政策建议</w:t>
      </w:r>
      <w:r>
        <w:tab/>
      </w:r>
      <w:r>
        <w:fldChar w:fldCharType="begin"/>
      </w:r>
      <w:r>
        <w:instrText xml:space="preserve"> PAGEREF _Toc25526 \h </w:instrText>
      </w:r>
      <w:r>
        <w:fldChar w:fldCharType="separate"/>
      </w:r>
      <w:r>
        <w:t>34</w:t>
      </w:r>
      <w:r>
        <w:fldChar w:fldCharType="end"/>
      </w:r>
      <w:r>
        <w:rPr>
          <w:rFonts w:hint="eastAsia" w:ascii="仿宋" w:hAnsi="仿宋" w:eastAsia="仿宋" w:cs="仿宋"/>
          <w:bCs w:val="0"/>
          <w:szCs w:val="24"/>
          <w:highlight w:val="yellow"/>
        </w:rPr>
        <w:fldChar w:fldCharType="end"/>
      </w:r>
    </w:p>
    <w:p>
      <w:pPr>
        <w:pStyle w:val="16"/>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_Toc13041 </w:instrText>
      </w:r>
      <w:r>
        <w:rPr>
          <w:rFonts w:hint="eastAsia" w:ascii="仿宋" w:hAnsi="仿宋" w:eastAsia="仿宋" w:cs="仿宋"/>
          <w:bCs w:val="0"/>
          <w:szCs w:val="24"/>
          <w:highlight w:val="yellow"/>
        </w:rPr>
        <w:fldChar w:fldCharType="separate"/>
      </w:r>
      <w:r>
        <w:rPr>
          <w:rFonts w:hint="eastAsia" w:ascii="Times New Roman" w:hAnsi="Times New Roman" w:eastAsia="黑体" w:cs="Times New Roman"/>
          <w:bCs/>
          <w:kern w:val="44"/>
          <w:szCs w:val="32"/>
          <w:lang w:val="en-US" w:eastAsia="zh-CN"/>
        </w:rPr>
        <w:t>八、其他需要说明的问题</w:t>
      </w:r>
      <w:r>
        <w:tab/>
      </w:r>
      <w:r>
        <w:fldChar w:fldCharType="begin"/>
      </w:r>
      <w:r>
        <w:instrText xml:space="preserve"> PAGEREF _Toc13041 \h </w:instrText>
      </w:r>
      <w:r>
        <w:fldChar w:fldCharType="separate"/>
      </w:r>
      <w:r>
        <w:t>35</w:t>
      </w:r>
      <w:r>
        <w:fldChar w:fldCharType="end"/>
      </w:r>
      <w:r>
        <w:rPr>
          <w:rFonts w:hint="eastAsia" w:ascii="仿宋" w:hAnsi="仿宋" w:eastAsia="仿宋" w:cs="仿宋"/>
          <w:bCs w:val="0"/>
          <w:szCs w:val="24"/>
          <w:highlight w:val="yellow"/>
        </w:rPr>
        <w:fldChar w:fldCharType="end"/>
      </w:r>
    </w:p>
    <w:p>
      <w:pPr>
        <w:pStyle w:val="16"/>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_Toc31276 </w:instrText>
      </w:r>
      <w:r>
        <w:rPr>
          <w:rFonts w:hint="eastAsia" w:ascii="仿宋" w:hAnsi="仿宋" w:eastAsia="仿宋" w:cs="仿宋"/>
          <w:bCs w:val="0"/>
          <w:szCs w:val="24"/>
          <w:highlight w:val="yellow"/>
        </w:rPr>
        <w:fldChar w:fldCharType="separate"/>
      </w:r>
      <w:r>
        <w:rPr>
          <w:rFonts w:ascii="黑体" w:hAnsi="黑体" w:eastAsia="黑体"/>
          <w:snapToGrid w:val="0"/>
          <w:szCs w:val="32"/>
        </w:rPr>
        <w:t>附件</w:t>
      </w:r>
      <w:r>
        <w:rPr>
          <w:rFonts w:hint="eastAsia" w:ascii="黑体" w:hAnsi="黑体" w:eastAsia="黑体"/>
          <w:snapToGrid w:val="0"/>
          <w:szCs w:val="32"/>
        </w:rPr>
        <w:t>1：评价</w:t>
      </w:r>
      <w:r>
        <w:rPr>
          <w:rFonts w:hint="eastAsia" w:ascii="黑体" w:hAnsi="黑体" w:eastAsia="黑体"/>
          <w:snapToGrid w:val="0"/>
          <w:szCs w:val="32"/>
          <w:lang w:val="en-US" w:eastAsia="zh-CN"/>
        </w:rPr>
        <w:t>得分情况表</w:t>
      </w:r>
      <w:r>
        <w:tab/>
      </w:r>
      <w:r>
        <w:fldChar w:fldCharType="begin"/>
      </w:r>
      <w:r>
        <w:instrText xml:space="preserve"> PAGEREF _Toc31276 \h </w:instrText>
      </w:r>
      <w:r>
        <w:fldChar w:fldCharType="separate"/>
      </w:r>
      <w:r>
        <w:t>36</w:t>
      </w:r>
      <w:r>
        <w:fldChar w:fldCharType="end"/>
      </w:r>
      <w:r>
        <w:rPr>
          <w:rFonts w:hint="eastAsia" w:ascii="仿宋" w:hAnsi="仿宋" w:eastAsia="仿宋" w:cs="仿宋"/>
          <w:bCs w:val="0"/>
          <w:szCs w:val="24"/>
          <w:highlight w:val="yellow"/>
        </w:rPr>
        <w:fldChar w:fldCharType="end"/>
      </w:r>
    </w:p>
    <w:p>
      <w:pPr>
        <w:pStyle w:val="16"/>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_Toc30500 </w:instrText>
      </w:r>
      <w:r>
        <w:rPr>
          <w:rFonts w:hint="eastAsia" w:ascii="仿宋" w:hAnsi="仿宋" w:eastAsia="仿宋" w:cs="仿宋"/>
          <w:bCs w:val="0"/>
          <w:szCs w:val="24"/>
          <w:highlight w:val="yellow"/>
        </w:rPr>
        <w:fldChar w:fldCharType="separate"/>
      </w:r>
      <w:r>
        <w:rPr>
          <w:rFonts w:hint="eastAsia" w:ascii="黑体" w:hAnsi="黑体" w:eastAsia="黑体"/>
          <w:snapToGrid w:val="0"/>
          <w:szCs w:val="32"/>
        </w:rPr>
        <w:t>附件2：问卷调查报告</w:t>
      </w:r>
      <w:r>
        <w:tab/>
      </w:r>
      <w:r>
        <w:fldChar w:fldCharType="begin"/>
      </w:r>
      <w:r>
        <w:instrText xml:space="preserve"> PAGEREF _Toc30500 \h </w:instrText>
      </w:r>
      <w:r>
        <w:fldChar w:fldCharType="separate"/>
      </w:r>
      <w:r>
        <w:t>52</w:t>
      </w:r>
      <w:r>
        <w:fldChar w:fldCharType="end"/>
      </w:r>
      <w:r>
        <w:rPr>
          <w:rFonts w:hint="eastAsia" w:ascii="仿宋" w:hAnsi="仿宋" w:eastAsia="仿宋" w:cs="仿宋"/>
          <w:bCs w:val="0"/>
          <w:szCs w:val="24"/>
          <w:highlight w:val="yellow"/>
        </w:rPr>
        <w:fldChar w:fldCharType="end"/>
      </w:r>
    </w:p>
    <w:p>
      <w:pPr>
        <w:pStyle w:val="16"/>
        <w:keepNext w:val="0"/>
        <w:keepLines w:val="0"/>
        <w:pageBreakBefore w:val="0"/>
        <w:widowControl/>
        <w:tabs>
          <w:tab w:val="right" w:leader="dot" w:pos="8306"/>
        </w:tabs>
        <w:kinsoku/>
        <w:wordWrap/>
        <w:overflowPunct/>
        <w:topLinePunct w:val="0"/>
        <w:autoSpaceDE/>
        <w:autoSpaceDN/>
        <w:bidi w:val="0"/>
        <w:adjustRightInd/>
        <w:snapToGrid/>
        <w:spacing w:after="0" w:line="520" w:lineRule="exact"/>
        <w:textAlignment w:val="auto"/>
        <w:rPr>
          <w:rFonts w:ascii="Arial Narrow" w:hAnsi="Arial Narrow" w:eastAsia="仿宋_GB2312"/>
          <w:b w:val="0"/>
          <w:bCs w:val="0"/>
          <w:snapToGrid w:val="0"/>
          <w:sz w:val="30"/>
          <w:szCs w:val="30"/>
          <w:highlight w:val="yellow"/>
        </w:rPr>
        <w:sectPr>
          <w:headerReference r:id="rId5" w:type="default"/>
          <w:footerReference r:id="rId6" w:type="default"/>
          <w:type w:val="continuous"/>
          <w:pgSz w:w="11906" w:h="16838"/>
          <w:pgMar w:top="1440" w:right="1800" w:bottom="1440" w:left="1800" w:header="851" w:footer="992" w:gutter="0"/>
          <w:cols w:space="425" w:num="1"/>
          <w:docGrid w:type="lines" w:linePitch="312" w:charSpace="0"/>
        </w:sectPr>
      </w:pPr>
      <w:r>
        <w:rPr>
          <w:rFonts w:hint="eastAsia" w:ascii="仿宋" w:hAnsi="仿宋" w:eastAsia="仿宋" w:cs="仿宋"/>
          <w:bCs w:val="0"/>
          <w:szCs w:val="24"/>
          <w:highlight w:val="yellow"/>
        </w:rPr>
        <w:fldChar w:fldCharType="end"/>
      </w:r>
      <w:bookmarkStart w:id="2" w:name="_Toc515810984"/>
      <w:bookmarkStart w:id="3" w:name="_Toc516473299"/>
      <w:bookmarkStart w:id="4" w:name="_Toc515811929"/>
      <w:bookmarkStart w:id="5" w:name="_Toc516554764"/>
    </w:p>
    <w:bookmarkEnd w:id="2"/>
    <w:bookmarkEnd w:id="3"/>
    <w:bookmarkEnd w:id="4"/>
    <w:bookmarkEnd w:id="5"/>
    <w:p>
      <w:pPr>
        <w:pStyle w:val="19"/>
        <w:jc w:val="center"/>
        <w:rPr>
          <w:rFonts w:hint="eastAsia" w:ascii="黑体" w:hAnsi="黑体" w:cs="黑体"/>
          <w:b/>
          <w:bCs w:val="0"/>
          <w:kern w:val="2"/>
          <w:sz w:val="44"/>
          <w:szCs w:val="44"/>
        </w:rPr>
        <w:sectPr>
          <w:footerReference r:id="rId7" w:type="default"/>
          <w:type w:val="continuous"/>
          <w:pgSz w:w="11906" w:h="16838"/>
          <w:pgMar w:top="1440" w:right="1800" w:bottom="1440" w:left="1800" w:header="851" w:footer="992" w:gutter="0"/>
          <w:pgNumType w:fmt="decimal"/>
          <w:cols w:space="425" w:num="1"/>
          <w:docGrid w:type="lines" w:linePitch="312" w:charSpace="0"/>
        </w:sectPr>
      </w:pPr>
      <w:bookmarkStart w:id="6" w:name="_Toc8704"/>
      <w:bookmarkStart w:id="7" w:name="_Toc528603037"/>
    </w:p>
    <w:bookmarkEnd w:id="0"/>
    <w:bookmarkEnd w:id="6"/>
    <w:bookmarkEnd w:id="7"/>
    <w:p>
      <w:pPr>
        <w:pStyle w:val="19"/>
        <w:keepNext w:val="0"/>
        <w:keepLines w:val="0"/>
        <w:pageBreakBefore w:val="0"/>
        <w:widowControl w:val="0"/>
        <w:kinsoku/>
        <w:wordWrap/>
        <w:overflowPunct/>
        <w:topLinePunct w:val="0"/>
        <w:autoSpaceDE/>
        <w:autoSpaceDN/>
        <w:bidi w:val="0"/>
        <w:adjustRightInd/>
        <w:snapToGrid/>
        <w:jc w:val="center"/>
        <w:textAlignment w:val="auto"/>
        <w:outlineLvl w:val="9"/>
        <w:rPr>
          <w:rFonts w:ascii="黑体" w:hAnsi="黑体" w:cs="黑体"/>
          <w:b/>
          <w:bCs w:val="0"/>
          <w:kern w:val="2"/>
          <w:sz w:val="44"/>
          <w:szCs w:val="44"/>
        </w:rPr>
      </w:pPr>
      <w:bookmarkStart w:id="8" w:name="_Toc20508"/>
      <w:r>
        <w:rPr>
          <w:rFonts w:hint="eastAsia" w:ascii="黑体" w:hAnsi="黑体" w:cs="黑体"/>
          <w:b/>
          <w:bCs w:val="0"/>
          <w:kern w:val="2"/>
          <w:sz w:val="44"/>
          <w:szCs w:val="44"/>
          <w:lang w:eastAsia="zh-CN"/>
        </w:rPr>
        <w:t>专项债券古县五马至古阳段城乡供水工程项目资金绩效评价报告</w:t>
      </w:r>
      <w:bookmarkEnd w:id="8"/>
    </w:p>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受古县财政局委托，山西恒略绩效管理咨询有限公司承担对专项债券古县五马至古阳段城乡供水工程项目支出绩效评价工作。根据《中华人民共和国预算法》、《财政部关于印发&lt;项目支出绩效评价管理办法&gt;的通知》（财预〔2020〕10号）、《中共中央国务院关于全面实施预算绩效管理的意见》(中发〔2018〕34号)、《中共山西省委山西省人民政府关于全面实施预算绩效管理的实施意见》（晋发〔2018〕39号）、《山西省政府专项债券管理暂行办法》、《山西省财政厅政府专项债券项目资金绩效管理办法》等文件的要求，我们按照政府专项债券项目资金绩效评价的评价标准、评价方法和依据本项目特点制定的评价指标，对评价对象的绩效情况进行全面的分析和综合评价，形成了本报告。</w:t>
      </w:r>
    </w:p>
    <w:p>
      <w:pPr>
        <w:spacing w:line="500" w:lineRule="exact"/>
        <w:ind w:firstLine="560" w:firstLineChars="200"/>
        <w:rPr>
          <w:rFonts w:hint="default" w:ascii="Times New Roman" w:hAnsi="Times New Roman" w:eastAsia="仿宋" w:cs="Times New Roman"/>
          <w:snapToGrid w:val="0"/>
          <w:sz w:val="28"/>
          <w:szCs w:val="28"/>
        </w:rPr>
      </w:pPr>
      <w:r>
        <w:rPr>
          <w:rFonts w:hint="eastAsia" w:ascii="Times New Roman" w:hAnsi="Times New Roman" w:eastAsia="仿宋_GB2312" w:cs="Times New Roman"/>
          <w:sz w:val="28"/>
          <w:szCs w:val="24"/>
          <w:lang w:val="en-US" w:eastAsia="zh-CN"/>
        </w:rPr>
        <w:t>本次绩效评价工作反映了专项债券古县五马至古阳段城乡供水工程项目在决策、过程、产出和效益四个方面的情况，并对项目实施中存在的问题提出改进建议，以期在今后的工作中进一步完善工作流程，提高政府专项债券资金绩效水平。现将绩效评价情况及评价结果报告如下</w:t>
      </w:r>
      <w:r>
        <w:rPr>
          <w:rFonts w:hint="default" w:ascii="Times New Roman" w:hAnsi="Times New Roman" w:eastAsia="仿宋" w:cs="Times New Roman"/>
          <w:snapToGrid w:val="0"/>
          <w:sz w:val="28"/>
          <w:szCs w:val="28"/>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ascii="Times New Roman" w:hAnsi="Times New Roman" w:eastAsia="黑体" w:cs="Times New Roman"/>
          <w:bCs/>
          <w:kern w:val="44"/>
          <w:sz w:val="32"/>
          <w:szCs w:val="32"/>
        </w:rPr>
      </w:pPr>
      <w:bookmarkStart w:id="9" w:name="_Toc24741"/>
      <w:r>
        <w:rPr>
          <w:rFonts w:hint="eastAsia" w:ascii="Times New Roman" w:hAnsi="Times New Roman" w:eastAsia="黑体" w:cs="Times New Roman"/>
          <w:bCs/>
          <w:kern w:val="44"/>
          <w:sz w:val="32"/>
          <w:szCs w:val="32"/>
        </w:rPr>
        <w:t>一、项目基本情况</w:t>
      </w:r>
      <w:bookmarkEnd w:id="1"/>
      <w:bookmarkEnd w:id="9"/>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ascii="仿宋" w:hAnsi="仿宋" w:eastAsia="仿宋" w:cs="Times New Roman"/>
          <w:b/>
          <w:bCs/>
          <w:sz w:val="32"/>
          <w:szCs w:val="32"/>
        </w:rPr>
      </w:pPr>
      <w:bookmarkStart w:id="10" w:name="_Toc514537329"/>
      <w:bookmarkStart w:id="11" w:name="_Toc6367"/>
      <w:r>
        <w:rPr>
          <w:rFonts w:hint="eastAsia" w:ascii="仿宋" w:hAnsi="仿宋" w:eastAsia="仿宋" w:cs="Times New Roman"/>
          <w:b/>
          <w:bCs/>
          <w:sz w:val="32"/>
          <w:szCs w:val="32"/>
        </w:rPr>
        <w:t>（一）项目</w:t>
      </w:r>
      <w:bookmarkEnd w:id="10"/>
      <w:r>
        <w:rPr>
          <w:rFonts w:hint="eastAsia" w:ascii="仿宋" w:hAnsi="仿宋" w:eastAsia="仿宋" w:cs="Times New Roman"/>
          <w:b/>
          <w:bCs/>
          <w:sz w:val="32"/>
          <w:szCs w:val="32"/>
        </w:rPr>
        <w:t>概况</w:t>
      </w:r>
      <w:bookmarkEnd w:id="11"/>
    </w:p>
    <w:p>
      <w:pPr>
        <w:pStyle w:val="18"/>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bookmarkStart w:id="12" w:name="_Toc514537330"/>
      <w:r>
        <w:rPr>
          <w:rFonts w:hint="eastAsia" w:ascii="Times New Roman" w:hAnsi="Times New Roman" w:eastAsia="仿宋_GB2312" w:cs="Times New Roman"/>
          <w:b/>
          <w:bCs/>
          <w:kern w:val="2"/>
          <w:sz w:val="28"/>
          <w:szCs w:val="24"/>
          <w:lang w:val="en-US" w:eastAsia="zh-CN" w:bidi="ar-SA"/>
        </w:rPr>
        <w:t>1、项目背景</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水是基础性的自然资源和战略性经济资源，水资源的可持续利用，是经济和社会可持续发展极为重要的保证。饮水是人类生存的基本需求。饮用水安全问题，直接关系到广大人民群众的身心健康和生命安全。切实做好饮用水安全保障工作，是维护最广大人民群众根本利益、落实科学发展观的基本要求，是实现全面建设小康社会目标、构建社会主义和谐社会、建设社会主义新农村的重要内容，是把以人为本真正落到实处的一项紧迫任务。</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古县五马至古阳段城乡供水工程位于山西省临汾市古县，古县位于山西省的南中部，临汾市的东北部，地处太岳山脉的东南麓。东与安泽县为邻，南与浮山县、尧都区接壤，西与洪洞县交界，北与霍州市、沁源县毗连。地理坐标在东经111°47′至112°11′、北纬36°02′至36°35′之间。全县南北长约60公里，东西宽约30公里，国土总面积为1196平方公里。</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古县隶属山西省临汾市，辖4镇3乡（即岳阳镇、北平镇、古阳镇、旧县镇、石壁乡、永乐乡、南垣乡），111个行政村。古县县城距临汾市60公里，距山西省省会太原市220公里，G309国道和G341国道纵横全境。古县五马至古阳段城乡供水工程位于古县主干线（省道323线）中段，沿涧河流域，南起岳阳镇槐树村，北至古阳镇金堆村。古县五马至古阳段城乡供水工程所在地位于涧河谷中，属于土石丘陵地区。规划范围内地势较为平缓，北部标高为1050m，南部标高为800m，呈北高南低。古县五马至古阳段城乡供水工程引水量为1154万m³/a。包括原水供水工程及中水供水工程两部分，原水供水工程从五马及麦沟水库取水，经一、二级提升泵站提水至工业园北部事故备用蓄水池，再通过重力流管线分配给园区各用水户，引水流量0.303m³/s。中水供水工程从古县污水处理厂取水，经中水一级泵站、二级提升泵站加压后给多沟方向的泰达焦化供水，引水流量0.062m³/s。</w:t>
      </w:r>
    </w:p>
    <w:p>
      <w:pPr>
        <w:pStyle w:val="18"/>
        <w:shd w:val="clear" w:color="auto"/>
        <w:spacing w:line="574" w:lineRule="exact"/>
        <w:ind w:firstLine="560" w:firstLineChars="200"/>
        <w:jc w:val="both"/>
        <w:rPr>
          <w:rFonts w:hint="default" w:ascii="Times New Roman" w:hAnsi="Times New Roman" w:eastAsia="仿宋_GB2312" w:cs="Times New Roman"/>
          <w:kern w:val="2"/>
          <w:sz w:val="28"/>
          <w:szCs w:val="24"/>
          <w:lang w:eastAsia="zh-CN" w:bidi="ar-SA"/>
        </w:rPr>
      </w:pPr>
      <w:r>
        <w:rPr>
          <w:rFonts w:hint="eastAsia" w:ascii="Times New Roman" w:hAnsi="Times New Roman" w:eastAsia="仿宋_GB2312" w:cs="Times New Roman"/>
          <w:kern w:val="2"/>
          <w:sz w:val="28"/>
          <w:szCs w:val="24"/>
          <w:lang w:val="en-US" w:eastAsia="zh-CN" w:bidi="ar-SA"/>
        </w:rPr>
        <w:t>供水工程主要建设内容包括3座泵站、1座15万m³事故备用蓄水池、1条长0.7km的隧洞和63km的供水管线及其配套设施</w:t>
      </w:r>
      <w:r>
        <w:rPr>
          <w:rFonts w:hint="default" w:ascii="Times New Roman" w:hAnsi="Times New Roman" w:eastAsia="仿宋_GB2312" w:cs="Times New Roman"/>
          <w:kern w:val="2"/>
          <w:sz w:val="28"/>
          <w:szCs w:val="24"/>
          <w:lang w:eastAsia="zh-CN" w:bidi="ar-SA"/>
        </w:rPr>
        <w:t>。</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工程实施后，可向工业园区供水1154万m³，其中水库供水957万m³，中水197万m³。</w:t>
      </w:r>
    </w:p>
    <w:p>
      <w:pPr>
        <w:pStyle w:val="18"/>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2、立项依据</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（1）《中华人民共和国预算法》（第十二届全国人民代表大会常务委员会第十次会议在2014年8月31日表决通过了《全国人大常委会关于修改〈预算法〉的决定》，并决议于2015年1月1日起施行）；</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（2）《</w:t>
      </w:r>
      <w:r>
        <w:rPr>
          <w:rFonts w:hint="default" w:ascii="Times New Roman" w:hAnsi="Times New Roman" w:eastAsia="仿宋_GB2312" w:cs="Times New Roman"/>
          <w:kern w:val="2"/>
          <w:sz w:val="28"/>
          <w:szCs w:val="24"/>
          <w:lang w:eastAsia="zh-CN" w:bidi="ar-SA"/>
        </w:rPr>
        <w:t>古县</w:t>
      </w:r>
      <w:r>
        <w:rPr>
          <w:rFonts w:hint="eastAsia" w:ascii="Times New Roman" w:hAnsi="Times New Roman" w:eastAsia="仿宋_GB2312" w:cs="Times New Roman"/>
          <w:kern w:val="2"/>
          <w:sz w:val="28"/>
          <w:szCs w:val="24"/>
          <w:lang w:val="en-US" w:eastAsia="zh-CN" w:bidi="ar-SA"/>
        </w:rPr>
        <w:t>国民经济和社会发展第十</w:t>
      </w:r>
      <w:r>
        <w:rPr>
          <w:rFonts w:hint="default" w:ascii="Times New Roman" w:hAnsi="Times New Roman" w:eastAsia="仿宋_GB2312" w:cs="Times New Roman"/>
          <w:kern w:val="2"/>
          <w:sz w:val="28"/>
          <w:szCs w:val="24"/>
          <w:lang w:eastAsia="zh-CN" w:bidi="ar-SA"/>
        </w:rPr>
        <w:t>四</w:t>
      </w:r>
      <w:r>
        <w:rPr>
          <w:rFonts w:hint="eastAsia" w:ascii="Times New Roman" w:hAnsi="Times New Roman" w:eastAsia="仿宋_GB2312" w:cs="Times New Roman"/>
          <w:kern w:val="2"/>
          <w:sz w:val="28"/>
          <w:szCs w:val="24"/>
          <w:lang w:val="en-US" w:eastAsia="zh-CN" w:bidi="ar-SA"/>
        </w:rPr>
        <w:t>个五年规划》；</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（3）《</w:t>
      </w:r>
      <w:r>
        <w:rPr>
          <w:rFonts w:hint="default" w:ascii="Times New Roman" w:hAnsi="Times New Roman" w:eastAsia="仿宋_GB2312" w:cs="Times New Roman"/>
          <w:kern w:val="2"/>
          <w:sz w:val="28"/>
          <w:szCs w:val="24"/>
          <w:lang w:eastAsia="zh-CN" w:bidi="ar-SA"/>
        </w:rPr>
        <w:t>古县</w:t>
      </w:r>
      <w:r>
        <w:rPr>
          <w:rFonts w:hint="eastAsia" w:ascii="Times New Roman" w:hAnsi="Times New Roman" w:eastAsia="仿宋_GB2312" w:cs="Times New Roman"/>
          <w:kern w:val="2"/>
          <w:sz w:val="28"/>
          <w:szCs w:val="24"/>
          <w:lang w:val="en-US" w:eastAsia="zh-CN" w:bidi="ar-SA"/>
        </w:rPr>
        <w:t>城市总体规划》；</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（4）《古县五马至古阳段城乡供水工可行性研究报告》</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（5）古县行政审批服务管理局《关于古县城乡水务有限公司古县五马至古阳段城乡供水工程可行性研究报告（代项目建议书）的批复》（古审管审发〔2021〕31号）；</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（6）《古县行政审批服务管理局关于对古县五马至古阳段城乡供水工程初步设计的批复》（古审管审发〔2022〕9号）；</w:t>
      </w:r>
    </w:p>
    <w:p>
      <w:pPr>
        <w:pStyle w:val="18"/>
        <w:shd w:val="clear" w:color="auto"/>
        <w:spacing w:line="574" w:lineRule="exact"/>
        <w:ind w:firstLine="560" w:firstLineChars="200"/>
        <w:jc w:val="both"/>
        <w:rPr>
          <w:rFonts w:hint="default"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（7）《古县城乡水务公司关于古县五马至古阳段城乡供水工程专项债券申请报告》（古水务呈〔2021〕19号）；</w:t>
      </w:r>
    </w:p>
    <w:p>
      <w:pPr>
        <w:pStyle w:val="18"/>
        <w:shd w:val="clear" w:color="auto"/>
        <w:spacing w:line="574" w:lineRule="exact"/>
        <w:ind w:firstLine="560" w:firstLineChars="200"/>
        <w:jc w:val="both"/>
        <w:rPr>
          <w:rFonts w:hint="default"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（8）其他相关政策法规。</w:t>
      </w:r>
    </w:p>
    <w:p>
      <w:pPr>
        <w:pStyle w:val="18"/>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3、项目主要内容</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根据《古县行政审批服务管理局关于对古县五马至古阳段城乡供水工程初步设计的批复》（古审管审发〔2022〕9号）：（1）建设规模及主要内容：主要建设内容包括：4座泵站、1条长0.72km的隧洞、1座长110m的管道桥、46.9km的供水管线及其配套设施。本项目总引水量为1153.8万m³/a，分原水供水工程、中水供水工程两部分。原水供水量为956.8万㎡.包括：五马水库供水480万m³/a、引沁水量指标420万m³/a，麦沟河水库供水56.8万m³/a.原水供水工程分别从五马水库及麦沟水库取水，经原水一级提升泵站、二级提升泵站、三级提升泵站提升后分别供水至工业园区各个用水企业接水口。中水供水工程供水量为197万m³/a.从古县污水处理厂排水巴氏计量槽后取水，经中水一级泵站加压后进入二级提升泵站中水吸水池，再经二级提升泵站的中水二级提升泵加压后供水至山西泰达新能源有限公司企业用水接水口；（2）项目建设工期：12个月；（3）项目总投资及资金来源：项目概算总投资14395.79万元，其中：土建工程费为5073.44万元，设备及器具购置费为2179.22万元，安装工程费为5077.69万元，工程建设其他费为925.12万元，预备费为795.33万元，建设期利息345万元，本项目所需资金除申请1亿元专项国债外，其余部分由县财政配套。</w:t>
      </w:r>
    </w:p>
    <w:p>
      <w:pPr>
        <w:pStyle w:val="18"/>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4、项目建设情况</w:t>
      </w:r>
    </w:p>
    <w:p>
      <w:pPr>
        <w:pStyle w:val="18"/>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（1）项目前期筹备情况</w:t>
      </w:r>
    </w:p>
    <w:p>
      <w:pPr>
        <w:pStyle w:val="18"/>
        <w:shd w:val="clear" w:color="auto"/>
        <w:spacing w:line="574" w:lineRule="exact"/>
        <w:ind w:firstLine="560" w:firstLineChars="200"/>
        <w:jc w:val="both"/>
        <w:rPr>
          <w:rFonts w:hint="default"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2021年5月23日，古县行政审批服务管理局《关于古县城乡水务有限公司古县五马至古阳段城乡供水工程可行性研究报告（代项目建议书）的批复》（古审管审发〔2021〕31号）批复同意项目立项。</w:t>
      </w:r>
    </w:p>
    <w:p>
      <w:pPr>
        <w:pStyle w:val="18"/>
        <w:shd w:val="clear" w:color="auto"/>
        <w:spacing w:line="574" w:lineRule="exact"/>
        <w:ind w:firstLine="560" w:firstLineChars="200"/>
        <w:jc w:val="both"/>
        <w:rPr>
          <w:rFonts w:hint="default"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2022年2月29日，《古县行政审批服务管理局关于对古县五马至古阳段城乡供水工程初步设计的批复》（古审管审发〔2022〕9号）批复同意项目初步设计。</w:t>
      </w:r>
    </w:p>
    <w:p>
      <w:pPr>
        <w:pStyle w:val="18"/>
        <w:shd w:val="clear" w:color="auto"/>
        <w:spacing w:line="574" w:lineRule="exact"/>
        <w:ind w:firstLine="562" w:firstLineChars="200"/>
        <w:jc w:val="both"/>
        <w:rPr>
          <w:rFonts w:hint="default"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（2）项目进展情况</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古县五马至古阳段城乡供水工程现已完成立项、初设、预算评审、招投标等前期手续，取得供水工程项目特许经营权，与临汾市引沁入汾管理中心签订了供水合同，并于2022年7月24日正式开工建设。</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截至目前已完成以下工程量：</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（1）泵站工程</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①中水泵站：正在进行筏板钢筋绑扎安装</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②一级泵站：原水一级泵站主厂房、进水池主体已完成，副厂房搭设脚手架</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③二级泵站：整体主体及二次结构已完成，墙面抹灰及屋面保温已完成</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④三级泵站：整体主体已完成，正在做外墙保温，抹灰粉刷。</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（2）隧洞工程</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隧洞已掘进230米，现在洞内喷浆，由于洞里石头坚硬，掘进机进度缓慢，现在水库那边采取潜孔钻与液压劈裂棒掘进，两边施工加快进度</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（3）输水管网工程：</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①一级泵站至二级泵站段DN500管道完成开挖及安装11.7公里。</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②二级泵站至三级泵站段DN500管道完成开挖及安装7.2公里。</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③三级泵站至工业园区段（宏远焦化）DN450管道完成开挖及安装2.6公里。</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④中水管网DN300管道完成开挖及安装19.5公里。</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⑤泰达段管道安装完成500米。</w:t>
      </w:r>
    </w:p>
    <w:p>
      <w:pPr>
        <w:pStyle w:val="18"/>
        <w:numPr>
          <w:ilvl w:val="0"/>
          <w:numId w:val="0"/>
        </w:numPr>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5、预期完成情况及资金投入使用情况</w:t>
      </w:r>
    </w:p>
    <w:p>
      <w:pPr>
        <w:pStyle w:val="18"/>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（1）预期完成情况</w:t>
      </w:r>
    </w:p>
    <w:p>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一级泵站整体主体正在加快建设，原水管道安装预计6月初全部完成；二级泵站整体主体建设及设备安装预计5月底全部完成；三级泵站加快进度预计5月底全部安装完成；中水泵站建设及管道安装预计7月中旬全部完成；隧道掘进及管网安装预计7月底全部完成。</w:t>
      </w:r>
    </w:p>
    <w:p>
      <w:pPr>
        <w:pStyle w:val="18"/>
        <w:shd w:val="clear" w:color="auto"/>
        <w:spacing w:line="574" w:lineRule="exact"/>
        <w:ind w:firstLine="562" w:firstLineChars="200"/>
        <w:jc w:val="both"/>
        <w:rPr>
          <w:rFonts w:hint="default"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（2）资金到位及使用情况</w:t>
      </w:r>
    </w:p>
    <w:p>
      <w:pPr>
        <w:pStyle w:val="18"/>
        <w:numPr>
          <w:ilvl w:val="0"/>
          <w:numId w:val="0"/>
        </w:numPr>
        <w:shd w:val="clear" w:color="auto"/>
        <w:spacing w:line="574" w:lineRule="exact"/>
        <w:ind w:firstLine="560" w:firstLineChars="200"/>
        <w:jc w:val="both"/>
        <w:rPr>
          <w:rFonts w:hint="default" w:ascii="Times New Roman" w:hAnsi="Times New Roman" w:eastAsia="仿宋_GB2312" w:cs="Times New Roman"/>
          <w:kern w:val="2"/>
          <w:sz w:val="28"/>
          <w:szCs w:val="24"/>
          <w:lang w:val="en-US" w:eastAsia="zh-CN" w:bidi="ar-SA"/>
        </w:rPr>
        <w:sectPr>
          <w:footerReference r:id="rId8" w:type="default"/>
          <w:pgSz w:w="11906" w:h="16838"/>
          <w:pgMar w:top="1440" w:right="1800" w:bottom="1440" w:left="1800" w:header="851" w:footer="992" w:gutter="0"/>
          <w:pgNumType w:fmt="decimal" w:start="1"/>
          <w:cols w:space="425" w:num="1"/>
          <w:docGrid w:type="lines" w:linePitch="312" w:charSpace="0"/>
        </w:sectPr>
      </w:pPr>
      <w:r>
        <w:rPr>
          <w:rFonts w:hint="eastAsia" w:ascii="Times New Roman" w:hAnsi="Times New Roman" w:eastAsia="仿宋_GB2312" w:cs="Times New Roman"/>
          <w:kern w:val="2"/>
          <w:sz w:val="28"/>
          <w:szCs w:val="24"/>
          <w:lang w:val="en-US" w:eastAsia="zh-CN" w:bidi="ar-SA"/>
        </w:rPr>
        <w:t>截止2023年5月10日，项目共计到位专项债券资金10000万元；截止2023年5月10日，项目共计使用专项债券资金10000万元。专项债券资金使用情况见表1-1。</w:t>
      </w:r>
    </w:p>
    <w:p>
      <w:pPr>
        <w:spacing w:line="500" w:lineRule="exact"/>
        <w:jc w:val="center"/>
        <w:rPr>
          <w:rFonts w:hint="eastAsia" w:ascii="Times New Roman" w:hAnsi="Times New Roman" w:eastAsia="仿宋" w:cs="Times New Roman"/>
          <w:b/>
          <w:sz w:val="24"/>
          <w:lang w:val="en-US" w:eastAsia="zh-CN"/>
        </w:rPr>
      </w:pPr>
      <w:r>
        <w:rPr>
          <w:rFonts w:hint="eastAsia" w:ascii="Times New Roman" w:hAnsi="Times New Roman" w:eastAsia="仿宋" w:cs="Times New Roman"/>
          <w:b/>
          <w:sz w:val="24"/>
          <w:lang w:val="en-US" w:eastAsia="zh-CN"/>
        </w:rPr>
        <w:t>表1-1专项债券资金使用情况表</w:t>
      </w:r>
    </w:p>
    <w:tbl>
      <w:tblPr>
        <w:tblStyle w:val="21"/>
        <w:tblW w:w="1407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832"/>
        <w:gridCol w:w="3704"/>
        <w:gridCol w:w="2273"/>
        <w:gridCol w:w="1420"/>
        <w:gridCol w:w="1237"/>
        <w:gridCol w:w="1247"/>
        <w:gridCol w:w="13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3"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hint="eastAsia" w:ascii="仿宋" w:hAnsi="仿宋" w:eastAsia="仿宋" w:cs="仿宋"/>
                <w:b/>
                <w:bCs/>
                <w:color w:val="000000"/>
                <w:kern w:val="0"/>
                <w:sz w:val="21"/>
                <w:szCs w:val="21"/>
                <w:lang w:val="en-US" w:eastAsia="zh-CN"/>
              </w:rPr>
            </w:pPr>
            <w:r>
              <w:rPr>
                <w:rFonts w:hint="eastAsia" w:ascii="仿宋" w:hAnsi="仿宋" w:eastAsia="仿宋" w:cs="仿宋"/>
                <w:b/>
                <w:bCs/>
                <w:color w:val="000000"/>
                <w:kern w:val="0"/>
                <w:sz w:val="21"/>
                <w:szCs w:val="21"/>
                <w:lang w:val="en-US" w:eastAsia="zh-CN"/>
              </w:rPr>
              <w:t>项目名称</w:t>
            </w:r>
          </w:p>
        </w:tc>
        <w:tc>
          <w:tcPr>
            <w:tcW w:w="3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hint="eastAsia" w:ascii="仿宋" w:hAnsi="仿宋" w:eastAsia="仿宋" w:cs="仿宋"/>
                <w:b/>
                <w:bCs/>
                <w:color w:val="000000"/>
                <w:kern w:val="0"/>
                <w:sz w:val="21"/>
                <w:szCs w:val="21"/>
                <w:lang w:val="en-US" w:eastAsia="zh-CN"/>
              </w:rPr>
            </w:pPr>
            <w:r>
              <w:rPr>
                <w:rFonts w:hint="eastAsia" w:ascii="仿宋" w:hAnsi="仿宋" w:eastAsia="仿宋" w:cs="仿宋"/>
                <w:b/>
                <w:bCs/>
                <w:color w:val="000000"/>
                <w:kern w:val="0"/>
                <w:sz w:val="21"/>
                <w:szCs w:val="21"/>
                <w:lang w:val="en-US" w:eastAsia="zh-CN"/>
              </w:rPr>
              <w:t>项目合同编号</w:t>
            </w:r>
          </w:p>
        </w:tc>
        <w:tc>
          <w:tcPr>
            <w:tcW w:w="2273" w:type="dxa"/>
            <w:tcBorders>
              <w:top w:val="single" w:color="000000" w:sz="4" w:space="0"/>
              <w:left w:val="single" w:color="000000" w:sz="4" w:space="0"/>
              <w:right w:val="single" w:color="000000" w:sz="4" w:space="0"/>
            </w:tcBorders>
            <w:shd w:val="clear" w:color="auto" w:fill="auto"/>
            <w:vAlign w:val="center"/>
          </w:tcPr>
          <w:p>
            <w:pPr>
              <w:widowControl/>
              <w:snapToGrid w:val="0"/>
              <w:jc w:val="center"/>
              <w:rPr>
                <w:rFonts w:hint="eastAsia" w:ascii="仿宋" w:hAnsi="仿宋" w:eastAsia="仿宋" w:cs="仿宋"/>
                <w:b/>
                <w:bCs/>
                <w:color w:val="000000"/>
                <w:kern w:val="0"/>
                <w:sz w:val="21"/>
                <w:szCs w:val="21"/>
                <w:lang w:val="en-US" w:eastAsia="zh-CN"/>
              </w:rPr>
            </w:pPr>
            <w:r>
              <w:rPr>
                <w:rFonts w:hint="eastAsia" w:ascii="仿宋" w:hAnsi="仿宋" w:eastAsia="仿宋" w:cs="仿宋"/>
                <w:b/>
                <w:bCs/>
                <w:color w:val="000000"/>
                <w:kern w:val="0"/>
                <w:sz w:val="21"/>
                <w:szCs w:val="21"/>
                <w:lang w:val="en-US" w:eastAsia="zh-CN"/>
              </w:rPr>
              <w:t>中标通知书编号</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hint="eastAsia" w:ascii="仿宋" w:hAnsi="仿宋" w:eastAsia="仿宋" w:cs="仿宋"/>
                <w:b/>
                <w:bCs/>
                <w:color w:val="000000"/>
                <w:kern w:val="0"/>
                <w:sz w:val="21"/>
                <w:szCs w:val="21"/>
                <w:lang w:val="en-US" w:eastAsia="zh-CN"/>
              </w:rPr>
            </w:pPr>
            <w:r>
              <w:rPr>
                <w:rFonts w:hint="eastAsia" w:ascii="仿宋" w:hAnsi="仿宋" w:eastAsia="仿宋" w:cs="仿宋"/>
                <w:b/>
                <w:bCs/>
                <w:color w:val="000000"/>
                <w:kern w:val="0"/>
                <w:sz w:val="21"/>
                <w:szCs w:val="21"/>
                <w:lang w:val="en-US" w:eastAsia="zh-CN"/>
              </w:rPr>
              <w:t>合同金额（元）</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hint="eastAsia" w:ascii="仿宋" w:hAnsi="仿宋" w:eastAsia="仿宋" w:cs="仿宋"/>
                <w:b/>
                <w:bCs/>
                <w:color w:val="000000"/>
                <w:kern w:val="0"/>
                <w:sz w:val="21"/>
                <w:szCs w:val="21"/>
                <w:lang w:val="en-US" w:eastAsia="zh-CN"/>
              </w:rPr>
            </w:pPr>
            <w:r>
              <w:rPr>
                <w:rFonts w:hint="eastAsia" w:ascii="仿宋" w:hAnsi="仿宋" w:eastAsia="仿宋" w:cs="仿宋"/>
                <w:b/>
                <w:bCs/>
                <w:color w:val="000000"/>
                <w:kern w:val="0"/>
                <w:sz w:val="21"/>
                <w:szCs w:val="21"/>
                <w:lang w:val="en-US" w:eastAsia="zh-CN"/>
              </w:rPr>
              <w:t>预付金额（元）</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hint="eastAsia" w:ascii="仿宋" w:hAnsi="仿宋" w:eastAsia="仿宋" w:cs="仿宋"/>
                <w:b/>
                <w:bCs/>
                <w:color w:val="000000"/>
                <w:kern w:val="0"/>
                <w:sz w:val="21"/>
                <w:szCs w:val="21"/>
                <w:lang w:val="en-US" w:eastAsia="zh-CN"/>
              </w:rPr>
            </w:pPr>
            <w:r>
              <w:rPr>
                <w:rFonts w:hint="eastAsia" w:ascii="仿宋" w:hAnsi="仿宋" w:eastAsia="仿宋" w:cs="仿宋"/>
                <w:b/>
                <w:bCs/>
                <w:color w:val="000000"/>
                <w:kern w:val="0"/>
                <w:sz w:val="21"/>
                <w:szCs w:val="21"/>
                <w:lang w:val="en-US" w:eastAsia="zh-CN"/>
              </w:rPr>
              <w:t>付款时间</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hint="eastAsia" w:ascii="仿宋" w:hAnsi="仿宋" w:eastAsia="仿宋" w:cs="仿宋"/>
                <w:b/>
                <w:bCs/>
                <w:color w:val="000000"/>
                <w:kern w:val="0"/>
                <w:sz w:val="21"/>
                <w:szCs w:val="21"/>
                <w:lang w:val="en-US" w:eastAsia="zh-CN"/>
              </w:rPr>
            </w:pPr>
            <w:r>
              <w:rPr>
                <w:rFonts w:hint="eastAsia" w:ascii="仿宋" w:hAnsi="仿宋" w:eastAsia="仿宋" w:cs="仿宋"/>
                <w:b/>
                <w:bCs/>
                <w:color w:val="000000"/>
                <w:kern w:val="0"/>
                <w:sz w:val="21"/>
                <w:szCs w:val="21"/>
                <w:lang w:val="en-US" w:eastAsia="zh-CN"/>
              </w:rPr>
              <w:t>质保金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6"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勘察费、设计费</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煤炭工业太原设计研究院集团</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GF--2000--0210</w:t>
            </w: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2690000</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2090000</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2022.1.26</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hint="eastAsia" w:ascii="仿宋" w:hAnsi="仿宋" w:eastAsia="仿宋" w:cs="仿宋"/>
                <w:color w:val="000000"/>
                <w:kern w:val="0"/>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9"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特许经营服务费</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山西智慧畅行科技有限公司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5000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5000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2022.3.24</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9"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选址规划合同</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山西九一建筑规划设计有限公司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200000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100000</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hint="eastAsia" w:ascii="仿宋" w:hAnsi="仿宋" w:eastAsia="仿宋" w:cs="仿宋"/>
                <w:color w:val="000000"/>
                <w:kern w:val="0"/>
                <w:sz w:val="21"/>
                <w:szCs w:val="21"/>
                <w:lang w:val="en-US" w:eastAsia="zh-CN"/>
              </w:rPr>
            </w:pPr>
            <w:r>
              <w:rPr>
                <w:rFonts w:hint="default" w:ascii="仿宋" w:hAnsi="仿宋" w:eastAsia="仿宋" w:cs="仿宋"/>
                <w:color w:val="000000"/>
                <w:kern w:val="0"/>
                <w:sz w:val="21"/>
                <w:szCs w:val="21"/>
                <w:lang w:val="en-US" w:eastAsia="zh-CN"/>
              </w:rPr>
              <w:t>2022.6.7</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hint="default" w:ascii="仿宋" w:hAnsi="仿宋" w:eastAsia="仿宋" w:cs="仿宋"/>
                <w:color w:val="000000"/>
                <w:kern w:val="0"/>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勘察费、设计费</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煤炭工业太原设计研究院集团</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GF--2000--0210</w:t>
            </w: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600000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2022.6.24</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6"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买卖合同（管材采购合同）</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LFGX14100120220531-GC-001-1</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LFGX14100120220531-GC-001-1</w:t>
            </w: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22105921.65</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10000000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2022.6.27</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1105296.09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9"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预付建筑施工（土建及安装工程）</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山西建筑工程集团有限公司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LFGX14100120220531-SZ-002-1</w:t>
            </w: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57325323.97</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30000000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2022.7.13</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4044905.62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测绘费</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古县瑞德测绘有限公司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5830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5830</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hint="default" w:ascii="仿宋" w:hAnsi="仿宋" w:eastAsia="仿宋" w:cs="仿宋"/>
                <w:color w:val="000000"/>
                <w:kern w:val="0"/>
                <w:sz w:val="21"/>
                <w:szCs w:val="21"/>
                <w:lang w:val="en-US" w:eastAsia="zh-CN"/>
              </w:rPr>
            </w:pPr>
            <w:r>
              <w:rPr>
                <w:rFonts w:hint="default" w:ascii="仿宋" w:hAnsi="仿宋" w:eastAsia="仿宋" w:cs="仿宋"/>
                <w:color w:val="000000"/>
                <w:kern w:val="0"/>
                <w:sz w:val="21"/>
                <w:szCs w:val="21"/>
                <w:lang w:val="en-US" w:eastAsia="zh-CN"/>
              </w:rPr>
              <w:t>2022.7.24</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hint="default" w:ascii="仿宋" w:hAnsi="仿宋" w:eastAsia="仿宋" w:cs="仿宋"/>
                <w:color w:val="000000"/>
                <w:kern w:val="0"/>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支监理费</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山西天地衡建设工程项目管理有限公司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959600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287880</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hint="default" w:ascii="仿宋" w:hAnsi="仿宋" w:eastAsia="仿宋" w:cs="仿宋"/>
                <w:color w:val="000000"/>
                <w:kern w:val="0"/>
                <w:sz w:val="21"/>
                <w:szCs w:val="21"/>
                <w:lang w:val="en-US" w:eastAsia="zh-CN"/>
              </w:rPr>
            </w:pPr>
            <w:r>
              <w:rPr>
                <w:rFonts w:hint="default" w:ascii="仿宋" w:hAnsi="仿宋" w:eastAsia="仿宋" w:cs="仿宋"/>
                <w:color w:val="000000"/>
                <w:kern w:val="0"/>
                <w:sz w:val="21"/>
                <w:szCs w:val="21"/>
                <w:lang w:val="en-US" w:eastAsia="zh-CN"/>
              </w:rPr>
              <w:t>2022.7.28</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hint="default" w:ascii="仿宋" w:hAnsi="仿宋" w:eastAsia="仿宋" w:cs="仿宋"/>
                <w:color w:val="000000"/>
                <w:kern w:val="0"/>
                <w:sz w:val="21"/>
                <w:szCs w:val="21"/>
                <w:lang w:val="en-US" w:eastAsia="zh-CN"/>
              </w:rPr>
            </w:pPr>
            <w:r>
              <w:rPr>
                <w:rFonts w:hint="default" w:ascii="仿宋" w:hAnsi="仿宋" w:eastAsia="仿宋" w:cs="仿宋"/>
                <w:color w:val="000000"/>
                <w:kern w:val="0"/>
                <w:sz w:val="21"/>
                <w:szCs w:val="21"/>
                <w:lang w:val="en-US" w:eastAsia="zh-CN"/>
              </w:rPr>
              <w:t>47980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6"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支资金平衡方案</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大华会计师事务所（特殊普通合伙）山西分所</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70000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70000</w:t>
            </w:r>
          </w:p>
        </w:tc>
        <w:tc>
          <w:tcPr>
            <w:tcW w:w="12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val="0"/>
              <w:jc w:val="center"/>
              <w:rPr>
                <w:rFonts w:hint="default" w:ascii="仿宋" w:hAnsi="仿宋" w:eastAsia="仿宋" w:cs="仿宋"/>
                <w:color w:val="000000"/>
                <w:kern w:val="0"/>
                <w:sz w:val="21"/>
                <w:szCs w:val="21"/>
                <w:lang w:val="en-US" w:eastAsia="zh-CN"/>
              </w:rPr>
            </w:pPr>
            <w:r>
              <w:rPr>
                <w:rFonts w:hint="default" w:ascii="仿宋" w:hAnsi="仿宋" w:eastAsia="仿宋" w:cs="仿宋"/>
                <w:color w:val="000000"/>
                <w:kern w:val="0"/>
                <w:sz w:val="21"/>
                <w:szCs w:val="21"/>
                <w:lang w:val="en-US" w:eastAsia="zh-CN"/>
              </w:rPr>
              <w:t>2022.7.29</w:t>
            </w:r>
          </w:p>
        </w:tc>
        <w:tc>
          <w:tcPr>
            <w:tcW w:w="13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val="0"/>
              <w:jc w:val="center"/>
              <w:rPr>
                <w:rFonts w:hint="default" w:ascii="仿宋" w:hAnsi="仿宋" w:eastAsia="仿宋" w:cs="仿宋"/>
                <w:color w:val="000000"/>
                <w:kern w:val="0"/>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支土地预审咨询费</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山西新高地科技有限公司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59850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59850</w:t>
            </w:r>
          </w:p>
        </w:tc>
        <w:tc>
          <w:tcPr>
            <w:tcW w:w="12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val="0"/>
              <w:jc w:val="center"/>
              <w:rPr>
                <w:rFonts w:hint="default" w:ascii="仿宋" w:hAnsi="仿宋" w:eastAsia="仿宋" w:cs="仿宋"/>
                <w:color w:val="000000"/>
                <w:kern w:val="0"/>
                <w:sz w:val="21"/>
                <w:szCs w:val="21"/>
                <w:lang w:val="en-US" w:eastAsia="zh-CN"/>
              </w:rPr>
            </w:pPr>
            <w:r>
              <w:rPr>
                <w:rFonts w:hint="default" w:ascii="仿宋" w:hAnsi="仿宋" w:eastAsia="仿宋" w:cs="仿宋"/>
                <w:color w:val="000000"/>
                <w:kern w:val="0"/>
                <w:sz w:val="21"/>
                <w:szCs w:val="21"/>
                <w:lang w:val="en-US" w:eastAsia="zh-CN"/>
              </w:rPr>
              <w:t>2022.7.29</w:t>
            </w:r>
          </w:p>
        </w:tc>
        <w:tc>
          <w:tcPr>
            <w:tcW w:w="13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val="0"/>
              <w:jc w:val="center"/>
              <w:rPr>
                <w:rFonts w:hint="default" w:ascii="仿宋" w:hAnsi="仿宋" w:eastAsia="仿宋" w:cs="仿宋"/>
                <w:color w:val="000000"/>
                <w:kern w:val="0"/>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支规划设计费</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山西九一建筑规划设计有限公司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100000</w:t>
            </w:r>
          </w:p>
        </w:tc>
        <w:tc>
          <w:tcPr>
            <w:tcW w:w="12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val="0"/>
              <w:jc w:val="center"/>
              <w:rPr>
                <w:rFonts w:hint="default" w:ascii="仿宋" w:hAnsi="仿宋" w:eastAsia="仿宋" w:cs="仿宋"/>
                <w:color w:val="000000"/>
                <w:kern w:val="0"/>
                <w:sz w:val="21"/>
                <w:szCs w:val="21"/>
                <w:lang w:val="en-US" w:eastAsia="zh-CN"/>
              </w:rPr>
            </w:pPr>
            <w:r>
              <w:rPr>
                <w:rFonts w:hint="default" w:ascii="仿宋" w:hAnsi="仿宋" w:eastAsia="仿宋" w:cs="仿宋"/>
                <w:color w:val="000000"/>
                <w:kern w:val="0"/>
                <w:sz w:val="21"/>
                <w:szCs w:val="21"/>
                <w:lang w:val="en-US" w:eastAsia="zh-CN"/>
              </w:rPr>
              <w:t>2022.7.29</w:t>
            </w:r>
          </w:p>
        </w:tc>
        <w:tc>
          <w:tcPr>
            <w:tcW w:w="13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val="0"/>
              <w:jc w:val="center"/>
              <w:rPr>
                <w:rFonts w:hint="default" w:ascii="仿宋" w:hAnsi="仿宋" w:eastAsia="仿宋" w:cs="仿宋"/>
                <w:color w:val="000000"/>
                <w:kern w:val="0"/>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支环境影响报告费</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山西益洁盛环境工程有限公司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50000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50000</w:t>
            </w:r>
          </w:p>
        </w:tc>
        <w:tc>
          <w:tcPr>
            <w:tcW w:w="12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val="0"/>
              <w:jc w:val="center"/>
              <w:rPr>
                <w:rFonts w:hint="default" w:ascii="仿宋" w:hAnsi="仿宋" w:eastAsia="仿宋" w:cs="仿宋"/>
                <w:color w:val="000000"/>
                <w:kern w:val="0"/>
                <w:sz w:val="21"/>
                <w:szCs w:val="21"/>
                <w:lang w:val="en-US" w:eastAsia="zh-CN"/>
              </w:rPr>
            </w:pPr>
            <w:r>
              <w:rPr>
                <w:rFonts w:hint="default" w:ascii="仿宋" w:hAnsi="仿宋" w:eastAsia="仿宋" w:cs="仿宋"/>
                <w:color w:val="000000"/>
                <w:kern w:val="0"/>
                <w:sz w:val="21"/>
                <w:szCs w:val="21"/>
                <w:lang w:val="en-US" w:eastAsia="zh-CN"/>
              </w:rPr>
              <w:t>2022.7.29</w:t>
            </w:r>
          </w:p>
        </w:tc>
        <w:tc>
          <w:tcPr>
            <w:tcW w:w="13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val="0"/>
              <w:jc w:val="center"/>
              <w:rPr>
                <w:rFonts w:hint="default" w:ascii="仿宋" w:hAnsi="仿宋" w:eastAsia="仿宋" w:cs="仿宋"/>
                <w:color w:val="000000"/>
                <w:kern w:val="0"/>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预支监理费</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山西天地衡建设工程项目管理有限公司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623740</w:t>
            </w:r>
          </w:p>
        </w:tc>
        <w:tc>
          <w:tcPr>
            <w:tcW w:w="12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val="0"/>
              <w:jc w:val="center"/>
              <w:rPr>
                <w:rFonts w:hint="default" w:ascii="仿宋" w:hAnsi="仿宋" w:eastAsia="仿宋" w:cs="仿宋"/>
                <w:color w:val="000000"/>
                <w:kern w:val="0"/>
                <w:sz w:val="21"/>
                <w:szCs w:val="21"/>
                <w:lang w:val="en-US" w:eastAsia="zh-CN"/>
              </w:rPr>
            </w:pPr>
            <w:r>
              <w:rPr>
                <w:rFonts w:hint="default" w:ascii="仿宋" w:hAnsi="仿宋" w:eastAsia="仿宋" w:cs="仿宋"/>
                <w:color w:val="000000"/>
                <w:kern w:val="0"/>
                <w:sz w:val="21"/>
                <w:szCs w:val="21"/>
                <w:lang w:val="en-US" w:eastAsia="zh-CN"/>
              </w:rPr>
              <w:t>2022.7.29</w:t>
            </w:r>
          </w:p>
        </w:tc>
        <w:tc>
          <w:tcPr>
            <w:tcW w:w="13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val="0"/>
              <w:jc w:val="center"/>
              <w:rPr>
                <w:rFonts w:hint="default" w:ascii="仿宋" w:hAnsi="仿宋" w:eastAsia="仿宋" w:cs="仿宋"/>
                <w:color w:val="000000"/>
                <w:kern w:val="0"/>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预支管材款</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高平市泫氏铸管</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11000625.56</w:t>
            </w:r>
          </w:p>
        </w:tc>
        <w:tc>
          <w:tcPr>
            <w:tcW w:w="12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val="0"/>
              <w:jc w:val="center"/>
              <w:rPr>
                <w:rFonts w:hint="default" w:ascii="仿宋" w:hAnsi="仿宋" w:eastAsia="仿宋" w:cs="仿宋"/>
                <w:color w:val="000000"/>
                <w:kern w:val="0"/>
                <w:sz w:val="21"/>
                <w:szCs w:val="21"/>
                <w:lang w:val="en-US" w:eastAsia="zh-CN"/>
              </w:rPr>
            </w:pPr>
            <w:r>
              <w:rPr>
                <w:rFonts w:hint="default" w:ascii="仿宋" w:hAnsi="仿宋" w:eastAsia="仿宋" w:cs="仿宋"/>
                <w:color w:val="000000"/>
                <w:kern w:val="0"/>
                <w:sz w:val="21"/>
                <w:szCs w:val="21"/>
                <w:lang w:val="en-US" w:eastAsia="zh-CN"/>
              </w:rPr>
              <w:t>2022.7.29</w:t>
            </w:r>
          </w:p>
        </w:tc>
        <w:tc>
          <w:tcPr>
            <w:tcW w:w="13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val="0"/>
              <w:jc w:val="center"/>
              <w:rPr>
                <w:rFonts w:hint="default" w:ascii="仿宋" w:hAnsi="仿宋" w:eastAsia="仿宋" w:cs="仿宋"/>
                <w:color w:val="000000"/>
                <w:kern w:val="0"/>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支防洪评价技术服务费</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山西万水达工程技术咨询有限公司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100000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100000</w:t>
            </w:r>
          </w:p>
        </w:tc>
        <w:tc>
          <w:tcPr>
            <w:tcW w:w="12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val="0"/>
              <w:jc w:val="center"/>
              <w:rPr>
                <w:rFonts w:hint="default" w:ascii="仿宋" w:hAnsi="仿宋" w:eastAsia="仿宋" w:cs="仿宋"/>
                <w:color w:val="000000"/>
                <w:kern w:val="0"/>
                <w:sz w:val="21"/>
                <w:szCs w:val="21"/>
                <w:lang w:val="en-US" w:eastAsia="zh-CN"/>
              </w:rPr>
            </w:pPr>
            <w:r>
              <w:rPr>
                <w:rFonts w:hint="default" w:ascii="仿宋" w:hAnsi="仿宋" w:eastAsia="仿宋" w:cs="仿宋"/>
                <w:color w:val="000000"/>
                <w:kern w:val="0"/>
                <w:sz w:val="21"/>
                <w:szCs w:val="21"/>
                <w:lang w:val="en-US" w:eastAsia="zh-CN"/>
              </w:rPr>
              <w:t>2022.7.29</w:t>
            </w:r>
          </w:p>
        </w:tc>
        <w:tc>
          <w:tcPr>
            <w:tcW w:w="13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val="0"/>
              <w:jc w:val="center"/>
              <w:rPr>
                <w:rFonts w:hint="default" w:ascii="仿宋" w:hAnsi="仿宋" w:eastAsia="仿宋" w:cs="仿宋"/>
                <w:color w:val="000000"/>
                <w:kern w:val="0"/>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支债券法律意见书费</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山西华炬律师事务所</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50000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50000</w:t>
            </w:r>
          </w:p>
        </w:tc>
        <w:tc>
          <w:tcPr>
            <w:tcW w:w="12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val="0"/>
              <w:jc w:val="center"/>
              <w:rPr>
                <w:rFonts w:hint="default" w:ascii="仿宋" w:hAnsi="仿宋" w:eastAsia="仿宋" w:cs="仿宋"/>
                <w:color w:val="000000"/>
                <w:kern w:val="0"/>
                <w:sz w:val="21"/>
                <w:szCs w:val="21"/>
                <w:lang w:val="en-US" w:eastAsia="zh-CN"/>
              </w:rPr>
            </w:pPr>
            <w:r>
              <w:rPr>
                <w:rFonts w:hint="default" w:ascii="仿宋" w:hAnsi="仿宋" w:eastAsia="仿宋" w:cs="仿宋"/>
                <w:color w:val="000000"/>
                <w:kern w:val="0"/>
                <w:sz w:val="21"/>
                <w:szCs w:val="21"/>
                <w:lang w:val="en-US" w:eastAsia="zh-CN"/>
              </w:rPr>
              <w:t>2022.7.29</w:t>
            </w:r>
          </w:p>
        </w:tc>
        <w:tc>
          <w:tcPr>
            <w:tcW w:w="1365" w:type="dxa"/>
            <w:tcBorders>
              <w:top w:val="nil"/>
              <w:left w:val="nil"/>
              <w:bottom w:val="nil"/>
              <w:right w:val="nil"/>
            </w:tcBorders>
            <w:shd w:val="clear" w:color="auto" w:fill="FFFFFF"/>
            <w:vAlign w:val="center"/>
          </w:tcPr>
          <w:p>
            <w:pPr>
              <w:widowControl/>
              <w:snapToGrid w:val="0"/>
              <w:jc w:val="center"/>
              <w:rPr>
                <w:rFonts w:hint="default" w:ascii="仿宋" w:hAnsi="仿宋" w:eastAsia="仿宋" w:cs="仿宋"/>
                <w:color w:val="000000"/>
                <w:kern w:val="0"/>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设备采购合同</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常州欧隆机电有限公司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GXTC-C-22350035</w:t>
            </w: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19321580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9660790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2022.8.22</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1932158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支管材款</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高平市泫氏铸管</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1105296.09</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2022.8.22</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支监理费</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山西天地衡建设工程项目管理有限公司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47980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2022.8.22</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风险评估</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山西中地永天土地工程有限公司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94500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94500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2022.8.23</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调查服务</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山西拓域科技有限公司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193900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193900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2022.8.23</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用地手续服务</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山西新高地科技有限公司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200000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200000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2022.8.23</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设备采购合同</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常州欧隆机电有限公司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GXTC-C-22350035</w:t>
            </w: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7728632</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2022.8.23</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设备采购合同</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常州欧隆机电有限公司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GXTC-C-22350035</w:t>
            </w: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1932158</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2022.8.23</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科研报告</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298000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298000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2022.8.24</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项目建议书</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289000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289000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2022.8.24</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地形测量</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26400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26400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2022.8.25</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支付建筑施工（土建及安装）</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山西建筑工程集团有限公司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23280418.35</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4044905.63（余）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b/>
                <w:bCs/>
                <w:color w:val="000000"/>
                <w:kern w:val="0"/>
                <w:sz w:val="21"/>
                <w:szCs w:val="21"/>
                <w:lang w:val="en-US" w:eastAsia="zh-CN"/>
              </w:rPr>
            </w:pPr>
            <w:r>
              <w:rPr>
                <w:rFonts w:hint="eastAsia" w:ascii="仿宋" w:hAnsi="仿宋" w:eastAsia="仿宋" w:cs="仿宋"/>
                <w:b/>
                <w:bCs/>
                <w:color w:val="000000"/>
                <w:kern w:val="0"/>
                <w:sz w:val="21"/>
                <w:szCs w:val="21"/>
                <w:lang w:val="en-US" w:eastAsia="zh-CN"/>
              </w:rPr>
              <w:t>合计</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b/>
                <w:bCs/>
                <w:color w:val="000000"/>
                <w:kern w:val="0"/>
                <w:sz w:val="21"/>
                <w:szCs w:val="21"/>
                <w:lang w:val="en-US" w:eastAsia="zh-CN"/>
              </w:rPr>
            </w:pP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b/>
                <w:bCs/>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b/>
                <w:bCs/>
                <w:color w:val="000000"/>
                <w:kern w:val="0"/>
                <w:sz w:val="21"/>
                <w:szCs w:val="21"/>
                <w:lang w:val="en-US" w:eastAsia="zh-CN"/>
              </w:rPr>
            </w:pPr>
            <w:r>
              <w:rPr>
                <w:rFonts w:hint="eastAsia" w:ascii="仿宋" w:hAnsi="仿宋" w:eastAsia="仿宋" w:cs="仿宋"/>
                <w:b/>
                <w:bCs/>
                <w:color w:val="000000"/>
                <w:kern w:val="0"/>
                <w:sz w:val="21"/>
                <w:szCs w:val="21"/>
                <w:lang w:val="en-US" w:eastAsia="zh-CN"/>
              </w:rPr>
              <w:t>104044905.6</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b/>
                <w:bCs/>
                <w:color w:val="000000"/>
                <w:kern w:val="0"/>
                <w:sz w:val="21"/>
                <w:szCs w:val="21"/>
                <w:lang w:val="en-US" w:eastAsia="zh-CN"/>
              </w:rPr>
            </w:pPr>
            <w:r>
              <w:rPr>
                <w:rFonts w:hint="eastAsia" w:ascii="仿宋" w:hAnsi="仿宋" w:eastAsia="仿宋" w:cs="仿宋"/>
                <w:b/>
                <w:bCs/>
                <w:color w:val="000000"/>
                <w:kern w:val="0"/>
                <w:sz w:val="21"/>
                <w:szCs w:val="21"/>
                <w:lang w:val="en-US" w:eastAsia="zh-CN"/>
              </w:rPr>
              <w:t>100000000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b/>
                <w:bCs/>
                <w:color w:val="000000"/>
                <w:kern w:val="0"/>
                <w:sz w:val="21"/>
                <w:szCs w:val="21"/>
                <w:lang w:val="en-US" w:eastAsia="zh-CN"/>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hint="eastAsia" w:ascii="仿宋" w:hAnsi="仿宋" w:eastAsia="仿宋" w:cs="仿宋"/>
                <w:b/>
                <w:bCs/>
                <w:color w:val="000000"/>
                <w:kern w:val="0"/>
                <w:sz w:val="21"/>
                <w:szCs w:val="21"/>
                <w:lang w:val="en-US" w:eastAsia="zh-CN"/>
              </w:rPr>
            </w:pPr>
          </w:p>
        </w:tc>
      </w:tr>
    </w:tbl>
    <w:p>
      <w:pPr>
        <w:rPr>
          <w:rFonts w:hint="default"/>
          <w:lang w:val="en-US" w:eastAsia="zh-CN"/>
        </w:rPr>
        <w:sectPr>
          <w:pgSz w:w="16838" w:h="11906" w:orient="landscape"/>
          <w:pgMar w:top="1800" w:right="1440" w:bottom="1800" w:left="1440" w:header="851" w:footer="992" w:gutter="0"/>
          <w:pgNumType w:fmt="decimal"/>
          <w:cols w:space="425" w:num="1"/>
          <w:docGrid w:type="lines" w:linePitch="312" w:charSpace="0"/>
        </w:sectPr>
      </w:pPr>
    </w:p>
    <w:p>
      <w:pPr>
        <w:pStyle w:val="9"/>
        <w:rPr>
          <w:rFonts w:hint="default"/>
          <w:lang w:val="en-US" w:eastAsia="zh-CN"/>
        </w:rPr>
      </w:pPr>
    </w:p>
    <w:p>
      <w:pPr>
        <w:pStyle w:val="18"/>
        <w:numPr>
          <w:ilvl w:val="0"/>
          <w:numId w:val="0"/>
        </w:numPr>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6、专项债券还本付息情况、</w:t>
      </w:r>
    </w:p>
    <w:p>
      <w:pPr>
        <w:pStyle w:val="18"/>
        <w:shd w:val="clear" w:color="auto"/>
        <w:spacing w:line="574" w:lineRule="exact"/>
        <w:ind w:firstLine="560" w:firstLineChars="200"/>
        <w:jc w:val="both"/>
        <w:rPr>
          <w:rFonts w:hint="default"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专项债券10000万元尚未开始还本付息。</w:t>
      </w:r>
    </w:p>
    <w:p>
      <w:pPr>
        <w:pStyle w:val="18"/>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7、项目形成资产及管理情况、</w:t>
      </w:r>
    </w:p>
    <w:p>
      <w:pPr>
        <w:pStyle w:val="18"/>
        <w:shd w:val="clear" w:color="auto"/>
        <w:spacing w:line="574" w:lineRule="exact"/>
        <w:ind w:firstLine="560" w:firstLineChars="200"/>
        <w:jc w:val="both"/>
        <w:rPr>
          <w:rFonts w:hint="default"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项目尚未建设完成，尚未对资产进行入账管理。</w:t>
      </w:r>
    </w:p>
    <w:p>
      <w:pPr>
        <w:pStyle w:val="18"/>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8、专项收入归集使用情况</w:t>
      </w:r>
    </w:p>
    <w:p>
      <w:pPr>
        <w:pStyle w:val="18"/>
        <w:shd w:val="clear" w:color="auto"/>
        <w:spacing w:line="574" w:lineRule="exact"/>
        <w:ind w:firstLine="560" w:firstLineChars="200"/>
        <w:jc w:val="both"/>
        <w:rPr>
          <w:rFonts w:hint="default"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项目处于建设期，尚未产生专项收入。</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13" w:name="_Toc8736"/>
      <w:r>
        <w:rPr>
          <w:rFonts w:hint="eastAsia" w:ascii="仿宋" w:hAnsi="仿宋" w:eastAsia="仿宋" w:cs="Times New Roman"/>
          <w:b/>
          <w:bCs/>
          <w:sz w:val="32"/>
          <w:szCs w:val="32"/>
        </w:rPr>
        <w:t>（二）</w:t>
      </w:r>
      <w:bookmarkEnd w:id="12"/>
      <w:r>
        <w:rPr>
          <w:rFonts w:hint="eastAsia" w:ascii="仿宋" w:hAnsi="仿宋" w:eastAsia="仿宋" w:cs="Times New Roman"/>
          <w:b/>
          <w:bCs/>
          <w:sz w:val="32"/>
          <w:szCs w:val="32"/>
        </w:rPr>
        <w:t>项目绩效目标</w:t>
      </w:r>
      <w:bookmarkEnd w:id="13"/>
    </w:p>
    <w:p>
      <w:pPr>
        <w:spacing w:line="500" w:lineRule="exact"/>
        <w:ind w:firstLine="562" w:firstLineChars="200"/>
        <w:rPr>
          <w:rFonts w:hint="eastAsia" w:ascii="Times New Roman" w:hAnsi="Times New Roman" w:eastAsia="仿宋" w:cs="Times New Roman"/>
          <w:b/>
          <w:sz w:val="28"/>
          <w:szCs w:val="24"/>
          <w:lang w:val="en-US" w:eastAsia="zh-CN"/>
        </w:rPr>
      </w:pPr>
      <w:r>
        <w:rPr>
          <w:rFonts w:hint="eastAsia" w:ascii="Times New Roman" w:hAnsi="Times New Roman" w:eastAsia="仿宋" w:cs="Times New Roman"/>
          <w:b/>
          <w:sz w:val="28"/>
          <w:szCs w:val="24"/>
          <w:lang w:val="en-US" w:eastAsia="zh-CN"/>
        </w:rPr>
        <w:t>1、项目总体目标：</w:t>
      </w:r>
    </w:p>
    <w:p>
      <w:pPr>
        <w:spacing w:line="500" w:lineRule="exact"/>
        <w:ind w:firstLine="560" w:firstLineChars="200"/>
        <w:rPr>
          <w:rFonts w:hint="default"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开展专项债券古县五马至古阳段城乡供水工程项目，解决项目区的用水问题，保障工业供水需求，改善古县岳阳镇、古阳镇工业发展过程中供水能力与发展规模不匹配的问题。</w:t>
      </w:r>
    </w:p>
    <w:p>
      <w:pPr>
        <w:spacing w:line="500" w:lineRule="exact"/>
        <w:ind w:firstLine="562" w:firstLineChars="200"/>
        <w:rPr>
          <w:rFonts w:hint="eastAsia" w:ascii="Times New Roman" w:hAnsi="Times New Roman" w:eastAsia="仿宋" w:cs="Times New Roman"/>
          <w:b/>
          <w:sz w:val="28"/>
          <w:szCs w:val="24"/>
          <w:lang w:val="en-US" w:eastAsia="zh-CN"/>
        </w:rPr>
      </w:pPr>
      <w:r>
        <w:rPr>
          <w:rFonts w:hint="eastAsia" w:ascii="Times New Roman" w:hAnsi="Times New Roman" w:eastAsia="仿宋" w:cs="Times New Roman"/>
          <w:b/>
          <w:sz w:val="28"/>
          <w:szCs w:val="24"/>
          <w:lang w:val="en-US" w:eastAsia="zh-CN"/>
        </w:rPr>
        <w:t>2、项目具体目标（建设期和运营期）</w:t>
      </w:r>
    </w:p>
    <w:p>
      <w:pPr>
        <w:spacing w:line="500" w:lineRule="exact"/>
        <w:ind w:firstLine="560" w:firstLineChars="200"/>
        <w:rPr>
          <w:rFonts w:hint="eastAsia"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实施内容完成：4座泵站、1条长0.72km的隧洞、1座长110m的管道桥、46.9km的供水管线及其配套设施。本项目总引水量为1153.8万m³/a，分原水供水工程、中水供水工程两部分。原水供水量为956.8万㎡.包括：五马水库供水480万m³/a、引沁水量指标420万m³/a，麦沟河水库供水56.8万m³/a.原水供水工程分别从五马水库及麦沟水库取水，经原水一级提升泵站、二级提升泵站、三级提升泵站提升后分别供水至工业园区各个用水企业接水口。中水供水工程供水量为197万m³/a.从古县污水处理厂排水巴氏计量槽后取水，经中水一级泵站加压后进入二级提升泵站中水吸水池，再经二级提升泵站的中水二级提升泵加压后供水至山西泰达新能源有限公司企业用水接水口；</w:t>
      </w:r>
    </w:p>
    <w:p>
      <w:pPr>
        <w:spacing w:line="500" w:lineRule="exact"/>
        <w:ind w:firstLine="560" w:firstLineChars="200"/>
        <w:rPr>
          <w:rFonts w:hint="eastAsia"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质量控制：严格分项质量控制，各分项验收合格；</w:t>
      </w:r>
    </w:p>
    <w:p>
      <w:pPr>
        <w:spacing w:line="500" w:lineRule="exact"/>
        <w:ind w:firstLine="560" w:firstLineChars="200"/>
        <w:rPr>
          <w:rFonts w:hint="eastAsia"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完成时间：项目周期为12个月；</w:t>
      </w:r>
    </w:p>
    <w:p>
      <w:pPr>
        <w:spacing w:line="500" w:lineRule="exact"/>
        <w:ind w:firstLine="560" w:firstLineChars="200"/>
        <w:rPr>
          <w:rFonts w:hint="eastAsia"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成本控制：各项成本有效控制，财政可承受；</w:t>
      </w:r>
    </w:p>
    <w:p>
      <w:pPr>
        <w:spacing w:line="500" w:lineRule="exact"/>
        <w:ind w:firstLine="560" w:firstLineChars="200"/>
        <w:rPr>
          <w:rFonts w:hint="eastAsia"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经济效益：本项目建设完成后产生的收入为工业供水收入。古县五马至古阳段城乡供水工程引水量为1154万m³/a,包括原水供水工程及中水供水工程两部分，原水供水工程从五马及麦沟水库取水，经一、二级提升泵站提水至工业园北部事故备用蓄水池，再通过重力流管线分配给园区各用水户，引水流量0.303m³/s.中水供水工程从古县污水处理厂取水，经中水一级泵站、二级提升泵站加压后给多沟方向的泰达焦化供水，引水流量0.062m³/s.项目建成后主要向古县五马至古阳段企业提供工业用水，预计近期供水规模可达到1154万m³,收费标准参考古县工业用水标准，为3.4元／m³；根据谨慎性原则，2023年、2024年、2025年投入使用预计运营负荷分别为70%、80%、90%,至2026年运营负荷达到100%,债券存续期预计可实现收入70624.80万元。</w:t>
      </w:r>
    </w:p>
    <w:p>
      <w:pPr>
        <w:spacing w:line="500" w:lineRule="exact"/>
        <w:ind w:firstLine="560" w:firstLineChars="200"/>
        <w:rPr>
          <w:rFonts w:hint="eastAsia"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社会效益：项目建成后，可解决项目区企业用水问题，可更好地服务和支撑古县的经济和社会发展；</w:t>
      </w:r>
    </w:p>
    <w:p>
      <w:pPr>
        <w:spacing w:line="500" w:lineRule="exact"/>
        <w:ind w:firstLine="560" w:firstLineChars="200"/>
        <w:rPr>
          <w:rFonts w:hint="eastAsia"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可持续影响：项目后续管理体制机制健全，管理责任落实，专项债券已制定切实可行的偿债计划；对影响项目偿债的各类风险认识全面，针对各类风险制定应对措施，措施可行、有效；古县招商引资竞争力提升；古县工业园区服务水平提升；</w:t>
      </w:r>
    </w:p>
    <w:p>
      <w:pPr>
        <w:spacing w:line="500" w:lineRule="exact"/>
        <w:ind w:firstLine="560" w:firstLineChars="200"/>
        <w:rPr>
          <w:rFonts w:hint="eastAsia"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服务对象满意度：管理方满意度≥90%；企业满意度≥90%。</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14" w:name="_Toc514537331"/>
      <w:bookmarkStart w:id="15" w:name="_Toc25147"/>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三</w:t>
      </w:r>
      <w:r>
        <w:rPr>
          <w:rFonts w:hint="eastAsia" w:ascii="仿宋" w:hAnsi="仿宋" w:eastAsia="仿宋" w:cs="Times New Roman"/>
          <w:b/>
          <w:bCs/>
          <w:sz w:val="32"/>
          <w:szCs w:val="32"/>
          <w:lang w:eastAsia="zh-CN"/>
        </w:rPr>
        <w:t>）以前年度审计、检查、自查等发现的问题及整改落实情况</w:t>
      </w:r>
      <w:bookmarkEnd w:id="14"/>
      <w:bookmarkEnd w:id="15"/>
    </w:p>
    <w:p>
      <w:pPr>
        <w:spacing w:line="500" w:lineRule="exact"/>
        <w:ind w:firstLine="560" w:firstLineChars="200"/>
        <w:rPr>
          <w:rFonts w:hint="default" w:ascii="Times New Roman" w:hAnsi="Times New Roman" w:eastAsia="仿宋_GB2312" w:cs="Times New Roman"/>
          <w:b w:val="0"/>
          <w:bCs w:val="0"/>
          <w:kern w:val="2"/>
          <w:sz w:val="28"/>
          <w:szCs w:val="24"/>
          <w:lang w:val="en-US" w:eastAsia="zh-CN" w:bidi="ar-SA"/>
        </w:rPr>
      </w:pPr>
      <w:bookmarkStart w:id="16" w:name="_Toc514537332"/>
      <w:r>
        <w:rPr>
          <w:rFonts w:hint="eastAsia" w:ascii="Times New Roman" w:hAnsi="Times New Roman" w:eastAsia="仿宋_GB2312" w:cs="Times New Roman"/>
          <w:b w:val="0"/>
          <w:bCs w:val="0"/>
          <w:kern w:val="2"/>
          <w:sz w:val="28"/>
          <w:szCs w:val="24"/>
          <w:lang w:val="en-US" w:eastAsia="zh-CN" w:bidi="ar-SA"/>
        </w:rPr>
        <w:t>项目2023年进行了绩效自评，并出具了《绩效自评报告》，绩效自评得分为97.82分，自评未反映相关问题。</w:t>
      </w:r>
    </w:p>
    <w:p>
      <w:pPr>
        <w:spacing w:line="500" w:lineRule="exact"/>
        <w:ind w:firstLine="560" w:firstLineChars="200"/>
        <w:rPr>
          <w:rFonts w:hint="default"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评价发现，该项目绩效目标设定及绩效自评表中数量指标、质量指标设定不规范，自评报告撰写不规范。</w:t>
      </w:r>
    </w:p>
    <w:bookmarkEnd w:id="16"/>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rPr>
      </w:pPr>
      <w:bookmarkStart w:id="17" w:name="_Toc514537336"/>
      <w:bookmarkStart w:id="18" w:name="_Toc31041"/>
      <w:r>
        <w:rPr>
          <w:rFonts w:hint="eastAsia" w:ascii="Times New Roman" w:hAnsi="Times New Roman" w:eastAsia="黑体" w:cs="Times New Roman"/>
          <w:bCs/>
          <w:kern w:val="44"/>
          <w:sz w:val="32"/>
          <w:szCs w:val="32"/>
          <w:lang w:val="en-US" w:eastAsia="zh-CN"/>
        </w:rPr>
        <w:t>二</w:t>
      </w:r>
      <w:r>
        <w:rPr>
          <w:rFonts w:hint="eastAsia" w:ascii="Times New Roman" w:hAnsi="Times New Roman" w:eastAsia="黑体" w:cs="Times New Roman"/>
          <w:bCs/>
          <w:kern w:val="44"/>
          <w:sz w:val="32"/>
          <w:szCs w:val="32"/>
        </w:rPr>
        <w:t>、绩效评价工作</w:t>
      </w:r>
      <w:r>
        <w:rPr>
          <w:rFonts w:hint="eastAsia" w:ascii="Times New Roman" w:hAnsi="Times New Roman" w:eastAsia="黑体" w:cs="Times New Roman"/>
          <w:bCs/>
          <w:kern w:val="44"/>
          <w:sz w:val="32"/>
          <w:szCs w:val="32"/>
          <w:lang w:val="en-US" w:eastAsia="zh-CN"/>
        </w:rPr>
        <w:t>开展</w:t>
      </w:r>
      <w:r>
        <w:rPr>
          <w:rFonts w:hint="eastAsia" w:ascii="Times New Roman" w:hAnsi="Times New Roman" w:eastAsia="黑体" w:cs="Times New Roman"/>
          <w:bCs/>
          <w:kern w:val="44"/>
          <w:sz w:val="32"/>
          <w:szCs w:val="32"/>
        </w:rPr>
        <w:t>情况</w:t>
      </w:r>
      <w:bookmarkEnd w:id="17"/>
      <w:bookmarkEnd w:id="18"/>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19" w:name="_Toc514537337"/>
      <w:bookmarkStart w:id="20" w:name="_Toc11614"/>
      <w:r>
        <w:rPr>
          <w:rFonts w:hint="eastAsia" w:ascii="仿宋" w:hAnsi="仿宋" w:eastAsia="仿宋" w:cs="Times New Roman"/>
          <w:b/>
          <w:bCs/>
          <w:sz w:val="32"/>
          <w:szCs w:val="32"/>
        </w:rPr>
        <w:t>（一）绩效评价的目的</w:t>
      </w:r>
      <w:bookmarkEnd w:id="19"/>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对象和范围、评价基准日</w:t>
      </w:r>
      <w:bookmarkEnd w:id="20"/>
    </w:p>
    <w:p>
      <w:pPr>
        <w:spacing w:line="500" w:lineRule="exact"/>
        <w:ind w:firstLine="562" w:firstLineChars="200"/>
        <w:rPr>
          <w:rFonts w:hint="default" w:ascii="Times New Roman" w:hAnsi="Times New Roman" w:eastAsia="仿宋_GB2312" w:cs="Times New Roman"/>
          <w:b/>
          <w:bCs/>
          <w:sz w:val="28"/>
          <w:szCs w:val="24"/>
          <w:lang w:val="en-US" w:eastAsia="zh-CN"/>
        </w:rPr>
      </w:pPr>
      <w:bookmarkStart w:id="21" w:name="_Toc514537338"/>
      <w:r>
        <w:rPr>
          <w:rFonts w:hint="eastAsia" w:ascii="Times New Roman" w:hAnsi="Times New Roman" w:eastAsia="仿宋_GB2312" w:cs="Times New Roman"/>
          <w:b/>
          <w:bCs/>
          <w:sz w:val="28"/>
          <w:szCs w:val="24"/>
          <w:lang w:val="en-US" w:eastAsia="zh-CN"/>
        </w:rPr>
        <w:t>1、绩效评价的目的</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对专项债券资金项目进行建设期绩效评价，主要目的是：</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1）通过绩效评价，深入了解专项债券古县五马至古阳段城乡供水工程项目资金的决策、过程、产出和绩效方面的详细情况，从而发现问题，并提出改进意见，进一步提高资金使用效率，为政府决策和财政预算管理提供依据。</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（2）督促、指导资金使用单位，严格按照政策规定用途使用资金，建立健全资金分配、管理制度，确保资金运行安全。</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3）从绩效的角度发现该项目在决策、实施和管理过程中存在的问题，寻求解决方案，为进一步深化项目管理工作提供依据，提高各职能部门管理水平，加强规范化、制度化建设，建立健全目标化管理制度，推进预算绩效管理。</w:t>
      </w:r>
    </w:p>
    <w:p>
      <w:pPr>
        <w:spacing w:line="500" w:lineRule="exact"/>
        <w:ind w:firstLine="562" w:firstLineChars="200"/>
        <w:rPr>
          <w:rFonts w:hint="default"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2、评价对象</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本次绩效评价对象为“专项债券古县五马至古阳段城乡供水工程项目资金10000万元”。</w:t>
      </w:r>
    </w:p>
    <w:p>
      <w:pPr>
        <w:spacing w:line="500" w:lineRule="exact"/>
        <w:ind w:firstLine="562" w:firstLineChars="200"/>
        <w:rPr>
          <w:rFonts w:hint="eastAsia"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3、评价范围</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本次评价的范围是专项债券古县五马至古阳段城乡供水工程项目。评价其绩效目标设定情况，资金投入和使用情况，为实现设定的绩效目标所制定的制度、采取的措施等，以及绩效目标最终的实现程度及效果。</w:t>
      </w:r>
    </w:p>
    <w:p>
      <w:pPr>
        <w:spacing w:line="500" w:lineRule="exact"/>
        <w:ind w:firstLine="562" w:firstLineChars="200"/>
        <w:rPr>
          <w:rFonts w:hint="default"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4、评价基准日</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本次评价基准日为2023年5月31日。</w:t>
      </w:r>
    </w:p>
    <w:p>
      <w:pPr>
        <w:keepNext/>
        <w:keepLines/>
        <w:spacing w:before="100" w:beforeAutospacing="1" w:after="100" w:afterAutospacing="1" w:line="500" w:lineRule="exact"/>
        <w:ind w:firstLine="642" w:firstLineChars="200"/>
        <w:contextualSpacing/>
        <w:outlineLvl w:val="1"/>
        <w:rPr>
          <w:rFonts w:hint="default" w:ascii="仿宋" w:hAnsi="仿宋" w:eastAsia="仿宋" w:cs="Times New Roman"/>
          <w:b/>
          <w:bCs/>
          <w:sz w:val="32"/>
          <w:szCs w:val="32"/>
          <w:lang w:val="en-US" w:eastAsia="zh-CN"/>
        </w:rPr>
      </w:pPr>
      <w:bookmarkStart w:id="22" w:name="_Toc26603"/>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二</w:t>
      </w:r>
      <w:r>
        <w:rPr>
          <w:rFonts w:hint="eastAsia" w:ascii="仿宋" w:hAnsi="仿宋" w:eastAsia="仿宋" w:cs="Times New Roman"/>
          <w:b/>
          <w:bCs/>
          <w:sz w:val="32"/>
          <w:szCs w:val="32"/>
          <w:lang w:eastAsia="zh-CN"/>
        </w:rPr>
        <w:t>）</w:t>
      </w:r>
      <w:r>
        <w:rPr>
          <w:rFonts w:ascii="仿宋" w:hAnsi="仿宋" w:eastAsia="仿宋" w:cs="Times New Roman"/>
          <w:b/>
          <w:bCs/>
          <w:sz w:val="32"/>
          <w:szCs w:val="32"/>
        </w:rPr>
        <w:t>评价内容</w:t>
      </w:r>
      <w:r>
        <w:rPr>
          <w:rFonts w:hint="eastAsia" w:ascii="仿宋" w:hAnsi="仿宋" w:eastAsia="仿宋" w:cs="Times New Roman"/>
          <w:b/>
          <w:bCs/>
          <w:sz w:val="32"/>
          <w:szCs w:val="32"/>
          <w:lang w:eastAsia="zh-CN"/>
        </w:rPr>
        <w:t>、</w:t>
      </w:r>
      <w:r>
        <w:rPr>
          <w:rFonts w:ascii="仿宋" w:hAnsi="仿宋" w:eastAsia="仿宋" w:cs="Times New Roman"/>
          <w:b/>
          <w:bCs/>
          <w:sz w:val="32"/>
          <w:szCs w:val="32"/>
        </w:rPr>
        <w:t>思路</w:t>
      </w:r>
      <w:bookmarkEnd w:id="22"/>
    </w:p>
    <w:p>
      <w:pPr>
        <w:spacing w:line="500" w:lineRule="exact"/>
        <w:ind w:firstLine="562" w:firstLineChars="200"/>
        <w:rPr>
          <w:rFonts w:hint="eastAsia"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1、具体的评价点包括</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（1）决策情况。包括项目立项程序是否规范、立项依据是否充分、项目绩效目标是否合理、绩效指标是否明确、项目预算编制是否科学、资金分配是否合理等。</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（2）资金管理和使用情况。包括资金落实情况、预算执行情况、资金的规范运行情况等。</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（3）组织实施情况。包括项目业务管理及财务管理制度是否健全、制度的执行情况。</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（4）项目产出和效益。包括项目产出的数量目标、时效目标和质量目标的实现程度及成本节约情况。</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（5）取得的效益情况。包括项目实施所产生的社会效益、可持续发展和服务对象满意度等情况。</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（6）政策的实施效率与效果。包括政策目标的实现情况、政策实施的效率、效果、公平性和可持续性。</w:t>
      </w:r>
    </w:p>
    <w:p>
      <w:pPr>
        <w:spacing w:line="500" w:lineRule="exact"/>
        <w:ind w:firstLine="562" w:firstLineChars="200"/>
        <w:rPr>
          <w:rFonts w:hint="default"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2、评价思路</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按照古县财政局总体要求，根据本项目的实际情况，参照绩效评价的基本方法、原则和项目特点，根据《中共中央国务院关于全面实施预算绩效管理的意见》（中发〔2018〕34号）、《财政部关于印发&lt;项目支出绩效评价管理办法&gt;的通知》（财预〔2020〕10号）、《中共山西省委山西省人民政府关于全面实施预算绩效管理的实施意见》（晋发〔2018〕39号）等相关文件要求，拟定本项目绩效评价思路为“突出实施效果，兼顾项目内容”，主要从项目的进度和资金支出情况，实施主管部门指导、监督工作开展情况，资金使用是否合规等内容进行评价；从决策、过程、产出和效益四个维度对项目资金使用管理的合规性、效率性、效益性和可持续性进行综合评价。</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23" w:name="_Toc11329"/>
      <w:r>
        <w:rPr>
          <w:rFonts w:hint="eastAsia" w:ascii="仿宋" w:hAnsi="仿宋" w:eastAsia="仿宋" w:cs="Times New Roman"/>
          <w:b/>
          <w:bCs/>
          <w:sz w:val="32"/>
          <w:szCs w:val="32"/>
        </w:rPr>
        <w:t>（</w:t>
      </w:r>
      <w:r>
        <w:rPr>
          <w:rFonts w:hint="eastAsia" w:ascii="仿宋" w:hAnsi="仿宋" w:eastAsia="仿宋" w:cs="Times New Roman"/>
          <w:b/>
          <w:bCs/>
          <w:sz w:val="32"/>
          <w:szCs w:val="32"/>
          <w:lang w:val="en-US" w:eastAsia="zh-CN"/>
        </w:rPr>
        <w:t>三</w:t>
      </w:r>
      <w:r>
        <w:rPr>
          <w:rFonts w:hint="eastAsia" w:ascii="仿宋" w:hAnsi="仿宋" w:eastAsia="仿宋" w:cs="Times New Roman"/>
          <w:b/>
          <w:bCs/>
          <w:sz w:val="32"/>
          <w:szCs w:val="32"/>
        </w:rPr>
        <w:t>）绩效评价的依据</w:t>
      </w:r>
      <w:bookmarkEnd w:id="21"/>
      <w:bookmarkEnd w:id="23"/>
    </w:p>
    <w:p>
      <w:pPr>
        <w:spacing w:line="500" w:lineRule="exact"/>
        <w:ind w:firstLine="560" w:firstLineChars="200"/>
        <w:rPr>
          <w:rFonts w:hint="eastAsia" w:ascii="Times New Roman" w:hAnsi="Times New Roman" w:eastAsia="仿宋_GB2312" w:cs="Times New Roman"/>
          <w:snapToGrid w:val="0"/>
          <w:sz w:val="28"/>
          <w:szCs w:val="28"/>
        </w:rPr>
      </w:pPr>
      <w:bookmarkStart w:id="24" w:name="_Toc18935"/>
      <w:bookmarkStart w:id="25" w:name="_Toc13471"/>
      <w:bookmarkStart w:id="26" w:name="_Toc528603069"/>
      <w:bookmarkStart w:id="27" w:name="_Toc22158"/>
      <w:bookmarkStart w:id="28" w:name="_Toc21230"/>
      <w:bookmarkStart w:id="29" w:name="_Toc28792"/>
      <w:bookmarkStart w:id="30" w:name="_Toc528680460"/>
      <w:bookmarkStart w:id="31" w:name="_Toc5073"/>
      <w:bookmarkStart w:id="32" w:name="_Toc528684135"/>
      <w:bookmarkStart w:id="33" w:name="_Toc18611"/>
      <w:bookmarkStart w:id="34" w:name="_Toc29596"/>
      <w:r>
        <w:rPr>
          <w:rFonts w:hint="eastAsia" w:ascii="Times New Roman" w:hAnsi="Times New Roman" w:eastAsia="仿宋_GB2312" w:cs="Times New Roman"/>
          <w:snapToGrid w:val="0"/>
          <w:sz w:val="28"/>
          <w:szCs w:val="28"/>
        </w:rPr>
        <w:t>1、《中华人民共和国预算法》（2018年12月29日第十三届全国人民代表大会常务委员会第七次会议通过第十三届全国人民代表大会常务委员会第七次会议决定:对《中华人民共和国预算法》作出修改）；</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rPr>
        <w:t>2、《中华人民共和国预算法实施条例》（中华人民共和国国务院令第729号，自2020年10月1日起施行）；</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rPr>
        <w:t>3、《中共中央国务院关于全面实施预算绩效管理的意见》(中发〔2018〕34号)；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rPr>
        <w:t>4、财政部《关于贯彻落实&lt;中共中央国务院关于全面实施预算绩效管理的意见&gt;的通知》（财预〔2018〕167号）；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rPr>
        <w:t>5、财政部关于印发《项目支出绩效评价管理办法》的通知（财预〔2020〕10号）；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rPr>
        <w:t>6、《中共山西省委山西省人民政府关于全面实施预算绩效管理的实施意见》（晋发〔2018〕39号）；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rPr>
        <w:t>7、山西省财政厅关于贯彻落实《中共山西省委山西省人民政府关于全面实施预算绩效管理的实施意见》的通知（晋财绩〔2019〕12号）；</w:t>
      </w:r>
    </w:p>
    <w:p>
      <w:pPr>
        <w:spacing w:line="500" w:lineRule="exact"/>
        <w:ind w:firstLine="560" w:firstLineChars="200"/>
        <w:rPr>
          <w:rFonts w:hint="eastAsia" w:ascii="Times New Roman" w:hAnsi="Times New Roman" w:eastAsia="仿宋_GB2312" w:cs="Times New Roman"/>
          <w:snapToGrid w:val="0"/>
          <w:sz w:val="28"/>
          <w:szCs w:val="28"/>
          <w:lang w:eastAsia="zh-CN"/>
        </w:rPr>
      </w:pPr>
      <w:r>
        <w:rPr>
          <w:rFonts w:hint="eastAsia" w:ascii="Times New Roman" w:hAnsi="Times New Roman" w:eastAsia="仿宋_GB2312" w:cs="Times New Roman"/>
          <w:snapToGrid w:val="0"/>
          <w:sz w:val="28"/>
          <w:szCs w:val="28"/>
        </w:rPr>
        <w:t>8、</w:t>
      </w:r>
      <w:r>
        <w:rPr>
          <w:rFonts w:hint="eastAsia" w:ascii="Times New Roman" w:hAnsi="Times New Roman" w:eastAsia="仿宋_GB2312" w:cs="Times New Roman"/>
          <w:snapToGrid w:val="0"/>
          <w:sz w:val="28"/>
          <w:szCs w:val="28"/>
          <w:lang w:eastAsia="zh-CN"/>
        </w:rPr>
        <w:t>《山西省政府专项债券管理暂行办法》；</w:t>
      </w:r>
    </w:p>
    <w:p>
      <w:pPr>
        <w:spacing w:line="500" w:lineRule="exact"/>
        <w:ind w:firstLine="560" w:firstLineChars="200"/>
        <w:rPr>
          <w:rFonts w:hint="eastAsia" w:ascii="Times New Roman" w:hAnsi="Times New Roman" w:eastAsia="仿宋_GB2312" w:cs="Times New Roman"/>
          <w:snapToGrid w:val="0"/>
          <w:sz w:val="28"/>
          <w:szCs w:val="28"/>
          <w:lang w:eastAsia="zh-CN"/>
        </w:rPr>
      </w:pPr>
      <w:r>
        <w:rPr>
          <w:rFonts w:hint="eastAsia" w:ascii="Times New Roman" w:hAnsi="Times New Roman" w:eastAsia="仿宋_GB2312" w:cs="Times New Roman"/>
          <w:snapToGrid w:val="0"/>
          <w:sz w:val="28"/>
          <w:szCs w:val="28"/>
          <w:lang w:val="en-US" w:eastAsia="zh-CN"/>
        </w:rPr>
        <w:t>9、</w:t>
      </w:r>
      <w:r>
        <w:rPr>
          <w:rFonts w:hint="eastAsia" w:ascii="Times New Roman" w:hAnsi="Times New Roman" w:eastAsia="仿宋_GB2312" w:cs="Times New Roman"/>
          <w:snapToGrid w:val="0"/>
          <w:sz w:val="28"/>
          <w:szCs w:val="28"/>
          <w:lang w:eastAsia="zh-CN"/>
        </w:rPr>
        <w:t>《山西省财政厅政府专项债券项目资金绩效管理办法》；</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10</w:t>
      </w:r>
      <w:r>
        <w:rPr>
          <w:rFonts w:hint="eastAsia" w:ascii="Times New Roman" w:hAnsi="Times New Roman" w:eastAsia="仿宋_GB2312" w:cs="Times New Roman"/>
          <w:snapToGrid w:val="0"/>
          <w:sz w:val="28"/>
          <w:szCs w:val="28"/>
          <w:lang w:eastAsia="zh-CN"/>
        </w:rPr>
        <w:t>《山西省财政厅关于做好2023年度专项债券项目事前绩效评估审核工作的通知》</w:t>
      </w:r>
      <w:r>
        <w:rPr>
          <w:rFonts w:hint="eastAsia" w:ascii="Times New Roman" w:hAnsi="Times New Roman" w:eastAsia="仿宋_GB2312" w:cs="Times New Roman"/>
          <w:snapToGrid w:val="0"/>
          <w:sz w:val="28"/>
          <w:szCs w:val="28"/>
        </w:rPr>
        <w:t>；</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11</w:t>
      </w:r>
      <w:r>
        <w:rPr>
          <w:rFonts w:hint="eastAsia" w:ascii="Times New Roman" w:hAnsi="Times New Roman" w:eastAsia="仿宋_GB2312" w:cs="Times New Roman"/>
          <w:snapToGrid w:val="0"/>
          <w:sz w:val="28"/>
          <w:szCs w:val="28"/>
        </w:rPr>
        <w:t>、其他有关的法律、法规、规章和规范性文件；</w:t>
      </w:r>
    </w:p>
    <w:p>
      <w:pPr>
        <w:spacing w:line="500" w:lineRule="exact"/>
        <w:ind w:firstLine="560" w:firstLineChars="200"/>
        <w:rPr>
          <w:rFonts w:ascii="仿宋_GB2312" w:hAnsi="仿宋" w:eastAsia="仿宋_GB2312" w:cs="仿宋_GB2312"/>
          <w:shd w:val="clear" w:color="auto" w:fill="FFFFFF"/>
        </w:rPr>
      </w:pPr>
      <w:r>
        <w:rPr>
          <w:rFonts w:hint="eastAsia" w:ascii="Times New Roman" w:hAnsi="Times New Roman" w:eastAsia="仿宋_GB2312" w:cs="Times New Roman"/>
          <w:snapToGrid w:val="0"/>
          <w:sz w:val="28"/>
          <w:szCs w:val="28"/>
        </w:rPr>
        <w:t>1</w:t>
      </w:r>
      <w:r>
        <w:rPr>
          <w:rFonts w:hint="eastAsia" w:ascii="Times New Roman" w:hAnsi="Times New Roman" w:eastAsia="仿宋_GB2312" w:cs="Times New Roman"/>
          <w:snapToGrid w:val="0"/>
          <w:sz w:val="28"/>
          <w:szCs w:val="28"/>
          <w:lang w:val="en-US" w:eastAsia="zh-CN"/>
        </w:rPr>
        <w:t>2</w:t>
      </w:r>
      <w:r>
        <w:rPr>
          <w:rFonts w:hint="eastAsia" w:ascii="Times New Roman" w:hAnsi="Times New Roman" w:eastAsia="仿宋_GB2312" w:cs="Times New Roman"/>
          <w:snapToGrid w:val="0"/>
          <w:sz w:val="28"/>
          <w:szCs w:val="28"/>
        </w:rPr>
        <w:t>、与绩效评价相关的其他资料</w:t>
      </w:r>
      <w:r>
        <w:rPr>
          <w:rFonts w:hint="default" w:ascii="Times New Roman" w:hAnsi="Times New Roman" w:eastAsia="仿宋" w:cs="Times New Roman"/>
          <w:sz w:val="28"/>
          <w:szCs w:val="28"/>
          <w:shd w:val="clear" w:color="auto" w:fill="FFFFFF"/>
        </w:rPr>
        <w:t>。</w:t>
      </w:r>
      <w:bookmarkEnd w:id="24"/>
      <w:bookmarkEnd w:id="25"/>
      <w:bookmarkEnd w:id="26"/>
      <w:bookmarkEnd w:id="27"/>
      <w:bookmarkEnd w:id="28"/>
      <w:bookmarkEnd w:id="29"/>
      <w:bookmarkEnd w:id="30"/>
      <w:bookmarkEnd w:id="31"/>
      <w:bookmarkEnd w:id="32"/>
      <w:bookmarkEnd w:id="33"/>
      <w:bookmarkEnd w:id="34"/>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35" w:name="_Toc514537339"/>
      <w:bookmarkStart w:id="36" w:name="_Toc519354505"/>
      <w:bookmarkStart w:id="37" w:name="_Toc22842"/>
      <w:r>
        <w:rPr>
          <w:rFonts w:hint="eastAsia" w:ascii="仿宋" w:hAnsi="仿宋" w:eastAsia="仿宋" w:cs="Times New Roman"/>
          <w:b/>
          <w:bCs/>
          <w:sz w:val="32"/>
          <w:szCs w:val="32"/>
        </w:rPr>
        <w:t>（</w:t>
      </w:r>
      <w:r>
        <w:rPr>
          <w:rFonts w:hint="eastAsia" w:ascii="仿宋" w:hAnsi="仿宋" w:eastAsia="仿宋" w:cs="Times New Roman"/>
          <w:b/>
          <w:bCs/>
          <w:sz w:val="32"/>
          <w:szCs w:val="32"/>
          <w:lang w:val="en-US" w:eastAsia="zh-CN"/>
        </w:rPr>
        <w:t>五</w:t>
      </w:r>
      <w:r>
        <w:rPr>
          <w:rFonts w:hint="eastAsia" w:ascii="仿宋" w:hAnsi="仿宋" w:eastAsia="仿宋" w:cs="Times New Roman"/>
          <w:b/>
          <w:bCs/>
          <w:sz w:val="32"/>
          <w:szCs w:val="32"/>
        </w:rPr>
        <w:t>）</w:t>
      </w:r>
      <w:bookmarkEnd w:id="35"/>
      <w:r>
        <w:rPr>
          <w:rFonts w:hint="eastAsia" w:ascii="仿宋" w:hAnsi="仿宋" w:eastAsia="仿宋" w:cs="Times New Roman"/>
          <w:b/>
          <w:bCs/>
          <w:sz w:val="32"/>
          <w:szCs w:val="32"/>
        </w:rPr>
        <w:t>绩效评价的原则</w:t>
      </w:r>
      <w:bookmarkEnd w:id="36"/>
      <w:r>
        <w:rPr>
          <w:rFonts w:hint="eastAsia" w:ascii="仿宋" w:hAnsi="仿宋" w:eastAsia="仿宋" w:cs="Times New Roman"/>
          <w:b/>
          <w:bCs/>
          <w:sz w:val="32"/>
          <w:szCs w:val="32"/>
          <w:lang w:val="en-US" w:eastAsia="zh-CN"/>
        </w:rPr>
        <w:t>和方法</w:t>
      </w:r>
      <w:bookmarkEnd w:id="37"/>
    </w:p>
    <w:p>
      <w:pPr>
        <w:spacing w:line="500" w:lineRule="exact"/>
        <w:ind w:firstLine="562" w:firstLineChars="200"/>
        <w:rPr>
          <w:rFonts w:hint="default" w:ascii="Times New Roman" w:hAnsi="Times New Roman" w:eastAsia="仿宋_GB2312" w:cs="Times New Roman"/>
          <w:b/>
          <w:bCs/>
          <w:sz w:val="28"/>
          <w:szCs w:val="28"/>
          <w:lang w:val="en-US" w:eastAsia="zh-CN"/>
        </w:rPr>
      </w:pPr>
      <w:r>
        <w:rPr>
          <w:rFonts w:hint="eastAsia" w:ascii="Times New Roman" w:hAnsi="Times New Roman" w:eastAsia="仿宋_GB2312" w:cs="Times New Roman"/>
          <w:b/>
          <w:bCs/>
          <w:sz w:val="28"/>
          <w:szCs w:val="28"/>
          <w:lang w:val="en-US" w:eastAsia="zh-CN"/>
        </w:rPr>
        <w:t>1、评价原则</w:t>
      </w:r>
    </w:p>
    <w:p>
      <w:pPr>
        <w:spacing w:line="500" w:lineRule="exact"/>
        <w:ind w:firstLine="560" w:firstLineChars="200"/>
        <w:rPr>
          <w:rFonts w:hint="default" w:ascii="Times New Roman" w:hAnsi="Times New Roman" w:eastAsia="仿宋_GB2312" w:cs="Times New Roman"/>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28"/>
          <w:szCs w:val="28"/>
          <w:lang w:eastAsia="zh-CN"/>
          <w14:textFill>
            <w14:solidFill>
              <w14:schemeClr w14:val="tx1"/>
            </w14:solidFill>
          </w14:textFill>
        </w:rPr>
        <w:t>专项债券古县五马至古阳段城乡供水工程项目</w:t>
      </w:r>
      <w:r>
        <w:rPr>
          <w:rFonts w:hint="default" w:ascii="Times New Roman" w:hAnsi="Times New Roman" w:eastAsia="仿宋_GB2312" w:cs="Times New Roman"/>
          <w:color w:val="000000" w:themeColor="text1"/>
          <w:sz w:val="28"/>
          <w:szCs w:val="28"/>
          <w14:textFill>
            <w14:solidFill>
              <w14:schemeClr w14:val="tx1"/>
            </w14:solidFill>
          </w14:textFill>
        </w:rPr>
        <w:t>评价过程中，我机构严格按照《财政部关于印发&lt;第三方机构预算绩效评价业务监督管理暂行办法&gt;的通知》（财监〔2021〕4号）要求，遵循以下基本原则：</w:t>
      </w:r>
    </w:p>
    <w:p>
      <w:pPr>
        <w:spacing w:line="500" w:lineRule="exact"/>
        <w:ind w:firstLine="560" w:firstLineChars="200"/>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（1）独立原则。在委托方和被评价对象提供工作便利条件和相关资料情况下独立完成委托事项。</w:t>
      </w:r>
    </w:p>
    <w:p>
      <w:pPr>
        <w:spacing w:line="500" w:lineRule="exact"/>
        <w:ind w:firstLine="560" w:firstLineChars="200"/>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（2）客观原则。按照与委托方签订的协议（合同）约定事项客观公正、实事求是地开展预算绩效评价，不得出具不实预算绩效评价报告。</w:t>
      </w:r>
    </w:p>
    <w:p>
      <w:pPr>
        <w:spacing w:line="500" w:lineRule="exact"/>
        <w:ind w:firstLine="560" w:firstLineChars="200"/>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（3）规范原则。履行必要评价程序，合理选取具有代表性的样本，对原始资料进行必要的核查验证，形成结论并出具预算绩效评价报告。</w:t>
      </w:r>
    </w:p>
    <w:p>
      <w:pPr>
        <w:spacing w:line="500" w:lineRule="exact"/>
        <w:ind w:firstLine="562" w:firstLineChars="200"/>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2、评价方法</w:t>
      </w:r>
    </w:p>
    <w:p>
      <w:pPr>
        <w:spacing w:line="500" w:lineRule="exact"/>
        <w:ind w:firstLine="560" w:firstLineChars="2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本次绩效评价主要运用</w:t>
      </w:r>
      <w:r>
        <w:rPr>
          <w:rFonts w:hint="default" w:ascii="Times New Roman" w:hAnsi="Times New Roman" w:eastAsia="仿宋_GB2312" w:cs="Times New Roman"/>
          <w:bCs/>
          <w:sz w:val="28"/>
          <w:szCs w:val="28"/>
          <w:lang w:val="en-US" w:eastAsia="zh-CN"/>
        </w:rPr>
        <w:t>比较法、</w:t>
      </w:r>
      <w:r>
        <w:rPr>
          <w:rFonts w:hint="default" w:ascii="Times New Roman" w:hAnsi="Times New Roman" w:eastAsia="仿宋_GB2312" w:cs="Times New Roman"/>
          <w:bCs/>
          <w:sz w:val="28"/>
          <w:szCs w:val="28"/>
        </w:rPr>
        <w:t>因素分析法、</w:t>
      </w:r>
      <w:r>
        <w:rPr>
          <w:rFonts w:hint="eastAsia" w:ascii="Times New Roman" w:hAnsi="Times New Roman" w:eastAsia="仿宋_GB2312" w:cs="Times New Roman"/>
          <w:bCs/>
          <w:sz w:val="28"/>
          <w:szCs w:val="28"/>
          <w:lang w:val="en-US" w:eastAsia="zh-CN"/>
        </w:rPr>
        <w:t>成本效益分析法</w:t>
      </w:r>
      <w:r>
        <w:rPr>
          <w:rFonts w:hint="default" w:ascii="Times New Roman" w:hAnsi="Times New Roman" w:eastAsia="仿宋_GB2312" w:cs="Times New Roman"/>
          <w:bCs/>
          <w:sz w:val="28"/>
          <w:szCs w:val="28"/>
          <w:lang w:eastAsia="zh-CN"/>
        </w:rPr>
        <w:t>、</w:t>
      </w:r>
      <w:r>
        <w:rPr>
          <w:rFonts w:hint="default" w:ascii="Times New Roman" w:hAnsi="Times New Roman" w:eastAsia="仿宋_GB2312" w:cs="Times New Roman"/>
          <w:bCs/>
          <w:sz w:val="28"/>
          <w:szCs w:val="28"/>
        </w:rPr>
        <w:t>公众评判法等方法，本着科学价值导向、客观公正、综合分析、群众满意、绩效相关评价原则，按照从</w:t>
      </w:r>
      <w:r>
        <w:rPr>
          <w:rFonts w:hint="default" w:ascii="Times New Roman" w:hAnsi="Times New Roman" w:eastAsia="仿宋_GB2312" w:cs="Times New Roman"/>
          <w:bCs/>
          <w:sz w:val="28"/>
          <w:szCs w:val="28"/>
          <w:lang w:val="en-US" w:eastAsia="zh-CN"/>
        </w:rPr>
        <w:t>决策</w:t>
      </w:r>
      <w:r>
        <w:rPr>
          <w:rFonts w:hint="default" w:ascii="Times New Roman" w:hAnsi="Times New Roman" w:eastAsia="仿宋_GB2312" w:cs="Times New Roman"/>
          <w:bCs/>
          <w:sz w:val="28"/>
          <w:szCs w:val="28"/>
        </w:rPr>
        <w:t>、过程、产出和效果的绩效逻辑路径，结合本项目的实际开展情况，通过指标设计和量化分析检验项目资金的效果和效益。从</w:t>
      </w:r>
      <w:r>
        <w:rPr>
          <w:rFonts w:hint="default" w:ascii="Times New Roman" w:hAnsi="Times New Roman" w:eastAsia="仿宋_GB2312" w:cs="Times New Roman"/>
          <w:color w:val="000000"/>
          <w:sz w:val="28"/>
          <w:szCs w:val="28"/>
          <w:lang w:val="en-US" w:eastAsia="zh-CN"/>
        </w:rPr>
        <w:t>决策</w:t>
      </w:r>
      <w:r>
        <w:rPr>
          <w:rFonts w:hint="default" w:ascii="Times New Roman" w:hAnsi="Times New Roman" w:eastAsia="仿宋_GB2312" w:cs="Times New Roman"/>
          <w:color w:val="000000"/>
          <w:sz w:val="28"/>
          <w:szCs w:val="28"/>
        </w:rPr>
        <w:t>、过程、产出、效益等方面</w:t>
      </w:r>
      <w:r>
        <w:rPr>
          <w:rFonts w:hint="default" w:ascii="Times New Roman" w:hAnsi="Times New Roman" w:eastAsia="仿宋_GB2312" w:cs="Times New Roman"/>
          <w:bCs/>
          <w:sz w:val="28"/>
          <w:szCs w:val="28"/>
        </w:rPr>
        <w:t>，综合考察项目的完成情况、取得的成绩及效益，运用定量和定性分析相结合的方法，总结经验做法，反思项目实施和管理中的问题，以切实提升财政资金管理的科学化、规范化和精细化水平。</w:t>
      </w:r>
    </w:p>
    <w:p>
      <w:pPr>
        <w:spacing w:line="500" w:lineRule="exact"/>
        <w:ind w:firstLine="560" w:firstLineChars="2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（1）成本效益分析法：是指将</w:t>
      </w:r>
      <w:r>
        <w:rPr>
          <w:rFonts w:hint="eastAsia" w:ascii="Times New Roman" w:hAnsi="Times New Roman" w:eastAsia="仿宋_GB2312" w:cs="Times New Roman"/>
          <w:bCs/>
          <w:sz w:val="28"/>
          <w:szCs w:val="28"/>
          <w:lang w:eastAsia="zh-CN"/>
        </w:rPr>
        <w:t>专项债券古县五马至古阳段城乡供水工程项目</w:t>
      </w:r>
      <w:r>
        <w:rPr>
          <w:rFonts w:hint="default" w:ascii="Times New Roman" w:hAnsi="Times New Roman" w:eastAsia="仿宋_GB2312" w:cs="Times New Roman"/>
          <w:bCs/>
          <w:sz w:val="28"/>
          <w:szCs w:val="28"/>
        </w:rPr>
        <w:t>的决策与产出、效益进行关联性分析，考察项目预算编制、资金分配对产出、效益的影响。</w:t>
      </w:r>
    </w:p>
    <w:p>
      <w:pPr>
        <w:spacing w:line="500" w:lineRule="exact"/>
        <w:ind w:firstLine="560" w:firstLineChars="2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（2）比较法：是指通过对绩效目标与实施效果的比较，综合分析绩效目标的实现程度。本次评价工作，通过</w:t>
      </w:r>
      <w:r>
        <w:rPr>
          <w:rFonts w:hint="eastAsia" w:ascii="Times New Roman" w:hAnsi="Times New Roman" w:eastAsia="仿宋_GB2312" w:cs="Times New Roman"/>
          <w:bCs/>
          <w:sz w:val="28"/>
          <w:szCs w:val="28"/>
          <w:lang w:eastAsia="zh-CN"/>
        </w:rPr>
        <w:t>专项债券古县五马至古阳段城乡供水工程项目</w:t>
      </w:r>
      <w:r>
        <w:rPr>
          <w:rFonts w:hint="default" w:ascii="Times New Roman" w:hAnsi="Times New Roman" w:eastAsia="仿宋_GB2312" w:cs="Times New Roman"/>
          <w:bCs/>
          <w:sz w:val="28"/>
          <w:szCs w:val="28"/>
        </w:rPr>
        <w:t>实际产出与计划产出之间的比较，资金实际绩效与目标绩效之间的比较，资金使用状况与设定评价标准之间的比较等，对资金进行综合评价。</w:t>
      </w:r>
    </w:p>
    <w:p>
      <w:pPr>
        <w:spacing w:line="500" w:lineRule="exact"/>
        <w:ind w:firstLine="560" w:firstLineChars="2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（3）因素分析法：是指通过综合分析影响绩效目标实现、实施效果的内外因素，评价绩效目标实现程度。</w:t>
      </w:r>
      <w:r>
        <w:rPr>
          <w:rFonts w:hint="eastAsia" w:ascii="Times New Roman" w:hAnsi="Times New Roman" w:eastAsia="仿宋_GB2312" w:cs="Times New Roman"/>
          <w:bCs/>
          <w:sz w:val="28"/>
          <w:szCs w:val="28"/>
          <w:lang w:eastAsia="zh-CN"/>
        </w:rPr>
        <w:t>专项债券古县五马至古阳段城乡供水工程项目</w:t>
      </w:r>
      <w:r>
        <w:rPr>
          <w:rFonts w:hint="default" w:ascii="Times New Roman" w:hAnsi="Times New Roman" w:eastAsia="仿宋_GB2312" w:cs="Times New Roman"/>
          <w:bCs/>
          <w:sz w:val="28"/>
          <w:szCs w:val="28"/>
        </w:rPr>
        <w:t>绩效评价，主要从决策、过程、产出、效益四个层面的因素展开分析评价。</w:t>
      </w:r>
    </w:p>
    <w:p>
      <w:pPr>
        <w:spacing w:line="500" w:lineRule="exact"/>
        <w:ind w:firstLine="560" w:firstLineChars="200"/>
        <w:rPr>
          <w:rFonts w:hint="eastAsia" w:ascii="Times New Roman" w:hAnsi="Times New Roman" w:eastAsia="仿宋_GB2312" w:cs="Times New Roman"/>
          <w:bCs w:val="0"/>
          <w:kern w:val="2"/>
          <w:sz w:val="28"/>
          <w:szCs w:val="24"/>
          <w:lang w:val="en-US" w:eastAsia="zh-CN" w:bidi="ar-SA"/>
        </w:rPr>
      </w:pPr>
      <w:r>
        <w:rPr>
          <w:rFonts w:hint="default" w:ascii="Times New Roman" w:hAnsi="Times New Roman" w:eastAsia="仿宋_GB2312" w:cs="Times New Roman"/>
          <w:bCs/>
          <w:sz w:val="28"/>
          <w:szCs w:val="28"/>
        </w:rPr>
        <w:t>（4）公众评判法：是指通过专家评估、访谈及调查问卷等对项目效果进行评判，评价绩效目标实现程度。本次评价所涉及满意度调查对象为</w:t>
      </w:r>
      <w:r>
        <w:rPr>
          <w:rFonts w:hint="eastAsia" w:ascii="Times New Roman" w:hAnsi="Times New Roman" w:eastAsia="仿宋_GB2312" w:cs="Times New Roman"/>
          <w:bCs/>
          <w:sz w:val="28"/>
          <w:szCs w:val="28"/>
          <w:lang w:eastAsia="zh-CN"/>
        </w:rPr>
        <w:t>专项债券古县五马至古阳段城乡供水工程项目</w:t>
      </w:r>
      <w:r>
        <w:rPr>
          <w:rFonts w:hint="eastAsia" w:ascii="Times New Roman" w:hAnsi="Times New Roman" w:eastAsia="仿宋_GB2312" w:cs="Times New Roman"/>
          <w:bCs/>
          <w:sz w:val="28"/>
          <w:szCs w:val="28"/>
          <w:lang w:val="en-US" w:eastAsia="zh-CN"/>
        </w:rPr>
        <w:t>受益群体</w:t>
      </w:r>
      <w:r>
        <w:rPr>
          <w:rFonts w:hint="default" w:ascii="Times New Roman" w:hAnsi="Times New Roman" w:eastAsia="仿宋_GB2312" w:cs="Times New Roman"/>
          <w:bCs/>
          <w:sz w:val="28"/>
          <w:szCs w:val="28"/>
        </w:rPr>
        <w:t>，通过发放调查问卷的形式了解调查对象满意度，反映财政支出的效果</w:t>
      </w:r>
      <w:r>
        <w:rPr>
          <w:rFonts w:hint="eastAsia" w:ascii="Times New Roman" w:hAnsi="Times New Roman" w:eastAsia="仿宋_GB2312" w:cs="Times New Roman"/>
          <w:bCs w:val="0"/>
          <w:kern w:val="2"/>
          <w:sz w:val="28"/>
          <w:szCs w:val="24"/>
          <w:lang w:val="en-US" w:eastAsia="zh-CN" w:bidi="ar-SA"/>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val="en-US" w:eastAsia="zh-CN"/>
        </w:rPr>
      </w:pPr>
      <w:bookmarkStart w:id="38" w:name="_Toc519354507"/>
      <w:bookmarkStart w:id="39" w:name="_Toc514537340"/>
      <w:bookmarkStart w:id="40" w:name="_Toc8851"/>
      <w:r>
        <w:rPr>
          <w:rFonts w:hint="eastAsia" w:ascii="仿宋" w:hAnsi="仿宋" w:eastAsia="仿宋" w:cs="Times New Roman"/>
          <w:b/>
          <w:bCs/>
          <w:sz w:val="32"/>
          <w:szCs w:val="32"/>
          <w:lang w:val="en-US" w:eastAsia="zh-CN"/>
        </w:rPr>
        <w:t>（六）评价指标体系</w:t>
      </w:r>
      <w:bookmarkEnd w:id="38"/>
      <w:bookmarkEnd w:id="39"/>
      <w:bookmarkEnd w:id="40"/>
    </w:p>
    <w:p>
      <w:pPr>
        <w:spacing w:line="500" w:lineRule="exact"/>
        <w:ind w:firstLine="560" w:firstLineChars="200"/>
        <w:rPr>
          <w:rFonts w:hint="default" w:ascii="Times New Roman" w:hAnsi="Times New Roman" w:eastAsia="仿宋_GB2312" w:cs="Times New Roman"/>
          <w:bCs w:val="0"/>
          <w:kern w:val="2"/>
          <w:sz w:val="28"/>
          <w:szCs w:val="24"/>
          <w:lang w:val="en-US" w:eastAsia="zh-CN" w:bidi="ar-SA"/>
        </w:rPr>
      </w:pPr>
      <w:bookmarkStart w:id="41" w:name="_Toc469065553"/>
      <w:bookmarkStart w:id="42" w:name="_Toc469065895"/>
      <w:bookmarkStart w:id="43" w:name="_Toc450549943"/>
      <w:bookmarkStart w:id="44" w:name="_Toc469065643"/>
      <w:r>
        <w:rPr>
          <w:rFonts w:hint="eastAsia" w:ascii="Times New Roman" w:hAnsi="Times New Roman" w:eastAsia="仿宋_GB2312" w:cs="Times New Roman"/>
          <w:bCs w:val="0"/>
          <w:kern w:val="2"/>
          <w:sz w:val="28"/>
          <w:szCs w:val="24"/>
          <w:lang w:val="en-US" w:eastAsia="zh-CN" w:bidi="ar-SA"/>
        </w:rPr>
        <w:t>参考财政部《项目支出绩效评价管理办法》（财预〔2020〕10号）、《山西省财政厅关于做好2023年度专项债券项目事前绩效评估审核工作的通知》等文件要求，本次评价从专项债券古县五马至古阳段城乡供水工程项目资金着手，根据绩效评价的基本原理、原则和项目特点，综合考虑项目背景、绩效目标、预算资金的投入与使用情况等内容，评价小组按照逻辑分析法，从科学性、客观性与可执行性角度出发，设计项目的绩效评价指标体系。指标体系从决策、过程、产出与效益四个方面进行考核</w:t>
      </w:r>
      <w:r>
        <w:rPr>
          <w:rFonts w:hint="default" w:ascii="Times New Roman" w:hAnsi="Times New Roman" w:eastAsia="仿宋_GB2312" w:cs="Times New Roman"/>
          <w:bCs w:val="0"/>
          <w:kern w:val="2"/>
          <w:sz w:val="28"/>
          <w:szCs w:val="24"/>
          <w:lang w:val="en-US" w:eastAsia="zh-CN" w:bidi="ar-SA"/>
        </w:rPr>
        <w:t>。</w:t>
      </w:r>
    </w:p>
    <w:p>
      <w:pPr>
        <w:spacing w:line="500" w:lineRule="exact"/>
        <w:ind w:firstLine="560" w:firstLineChars="200"/>
        <w:rPr>
          <w:rFonts w:hint="default" w:ascii="Times New Roman" w:hAnsi="Times New Roman" w:eastAsia="仿宋_GB2312" w:cs="Times New Roman"/>
          <w:bCs/>
          <w:color w:val="auto"/>
          <w:kern w:val="0"/>
          <w:sz w:val="28"/>
          <w:szCs w:val="28"/>
          <w:lang w:val="en-US" w:eastAsia="zh-CN"/>
        </w:rPr>
      </w:pPr>
      <w:r>
        <w:rPr>
          <w:rFonts w:hint="eastAsia" w:ascii="Times New Roman" w:hAnsi="Times New Roman" w:eastAsia="仿宋_GB2312" w:cs="Times New Roman"/>
          <w:bCs/>
          <w:color w:val="auto"/>
          <w:kern w:val="0"/>
          <w:sz w:val="28"/>
          <w:szCs w:val="28"/>
          <w:shd w:val="clear" w:color="auto" w:fill="FFFFFF"/>
          <w:lang w:eastAsia="zh-CN"/>
        </w:rPr>
        <w:t>专项债券古县五马至古阳段城乡供水工程项目资金</w:t>
      </w:r>
      <w:r>
        <w:rPr>
          <w:rFonts w:ascii="Times New Roman" w:hAnsi="Times New Roman" w:eastAsia="仿宋_GB2312" w:cs="Times New Roman"/>
          <w:bCs/>
          <w:color w:val="auto"/>
          <w:kern w:val="0"/>
          <w:sz w:val="28"/>
          <w:szCs w:val="28"/>
        </w:rPr>
        <w:t>绩效评价体系</w:t>
      </w:r>
      <w:r>
        <w:rPr>
          <w:rFonts w:hint="eastAsia" w:ascii="Times New Roman" w:hAnsi="Times New Roman" w:eastAsia="仿宋_GB2312" w:cs="Times New Roman"/>
          <w:bCs/>
          <w:color w:val="auto"/>
          <w:kern w:val="0"/>
          <w:sz w:val="28"/>
          <w:szCs w:val="28"/>
        </w:rPr>
        <w:t>主要包括4项一级指标、</w:t>
      </w:r>
      <w:r>
        <w:rPr>
          <w:rFonts w:hint="eastAsia" w:ascii="Times New Roman" w:hAnsi="Times New Roman" w:eastAsia="仿宋_GB2312" w:cs="Times New Roman"/>
          <w:bCs/>
          <w:color w:val="auto"/>
          <w:kern w:val="0"/>
          <w:sz w:val="28"/>
          <w:szCs w:val="28"/>
          <w:lang w:val="en-US" w:eastAsia="zh-CN"/>
        </w:rPr>
        <w:t>13</w:t>
      </w:r>
      <w:r>
        <w:rPr>
          <w:rFonts w:hint="eastAsia" w:ascii="Times New Roman" w:hAnsi="Times New Roman" w:eastAsia="仿宋_GB2312" w:cs="Times New Roman"/>
          <w:bCs/>
          <w:color w:val="auto"/>
          <w:kern w:val="0"/>
          <w:sz w:val="28"/>
          <w:szCs w:val="28"/>
        </w:rPr>
        <w:t>项二级指标、</w:t>
      </w:r>
      <w:r>
        <w:rPr>
          <w:rFonts w:hint="eastAsia" w:ascii="Times New Roman" w:hAnsi="Times New Roman" w:eastAsia="仿宋_GB2312" w:cs="Times New Roman"/>
          <w:bCs/>
          <w:color w:val="auto"/>
          <w:kern w:val="0"/>
          <w:sz w:val="28"/>
          <w:szCs w:val="28"/>
          <w:lang w:val="en-US" w:eastAsia="zh-CN"/>
        </w:rPr>
        <w:t>24</w:t>
      </w:r>
      <w:r>
        <w:rPr>
          <w:rFonts w:hint="eastAsia" w:ascii="Times New Roman" w:hAnsi="Times New Roman" w:eastAsia="仿宋_GB2312" w:cs="Times New Roman"/>
          <w:bCs/>
          <w:color w:val="auto"/>
          <w:kern w:val="0"/>
          <w:sz w:val="28"/>
          <w:szCs w:val="28"/>
        </w:rPr>
        <w:t>项三级指标</w:t>
      </w:r>
      <w:r>
        <w:rPr>
          <w:rFonts w:ascii="Times New Roman" w:hAnsi="Times New Roman" w:eastAsia="仿宋_GB2312" w:cs="Times New Roman"/>
          <w:bCs/>
          <w:color w:val="auto"/>
          <w:kern w:val="0"/>
          <w:sz w:val="28"/>
          <w:szCs w:val="28"/>
        </w:rPr>
        <w:t>。</w:t>
      </w:r>
      <w:r>
        <w:rPr>
          <w:rFonts w:hint="eastAsia" w:ascii="Times New Roman" w:hAnsi="Times New Roman" w:eastAsia="仿宋_GB2312" w:cs="Times New Roman"/>
          <w:bCs/>
          <w:color w:val="auto"/>
          <w:kern w:val="0"/>
          <w:sz w:val="28"/>
          <w:szCs w:val="28"/>
          <w:lang w:val="en-US" w:eastAsia="zh-CN"/>
        </w:rPr>
        <w:t>详见下表：</w:t>
      </w:r>
    </w:p>
    <w:tbl>
      <w:tblPr>
        <w:tblStyle w:val="21"/>
        <w:tblW w:w="8560"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152"/>
        <w:gridCol w:w="955"/>
        <w:gridCol w:w="1946"/>
        <w:gridCol w:w="802"/>
        <w:gridCol w:w="2867"/>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560" w:type="dxa"/>
            <w:gridSpan w:val="6"/>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b/>
                <w:bCs/>
                <w:color w:val="000000"/>
                <w:kern w:val="0"/>
                <w:sz w:val="24"/>
                <w:szCs w:val="24"/>
                <w:lang w:val="en-US" w:eastAsia="zh-CN"/>
              </w:rPr>
              <w:t>政府专项债券项目资金绩效评价指标体系（建设期）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99" w:hRule="atLeast"/>
        </w:trPr>
        <w:tc>
          <w:tcPr>
            <w:tcW w:w="1152"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一级指标</w:t>
            </w:r>
          </w:p>
        </w:tc>
        <w:tc>
          <w:tcPr>
            <w:tcW w:w="955"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权重</w:t>
            </w:r>
          </w:p>
        </w:tc>
        <w:tc>
          <w:tcPr>
            <w:tcW w:w="1946"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二级指标</w:t>
            </w:r>
          </w:p>
        </w:tc>
        <w:tc>
          <w:tcPr>
            <w:tcW w:w="802"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权重</w:t>
            </w: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三级指标</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1152" w:type="dxa"/>
            <w:vMerge w:val="restart"/>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决策</w:t>
            </w:r>
          </w:p>
        </w:tc>
        <w:tc>
          <w:tcPr>
            <w:tcW w:w="955" w:type="dxa"/>
            <w:vMerge w:val="restart"/>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w:t>
            </w:r>
          </w:p>
        </w:tc>
        <w:tc>
          <w:tcPr>
            <w:tcW w:w="1946" w:type="dxa"/>
            <w:vMerge w:val="restart"/>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项目立项</w:t>
            </w:r>
          </w:p>
        </w:tc>
        <w:tc>
          <w:tcPr>
            <w:tcW w:w="802" w:type="dxa"/>
            <w:vMerge w:val="restart"/>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w:t>
            </w: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立项依据充分性</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立项程序规范性</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restart"/>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绩效目标</w:t>
            </w:r>
          </w:p>
        </w:tc>
        <w:tc>
          <w:tcPr>
            <w:tcW w:w="802" w:type="dxa"/>
            <w:vMerge w:val="restart"/>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w:t>
            </w: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绩效目标合理性</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绩效目标明确性</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shd w:val="clear" w:color="auto" w:fill="auto"/>
            <w:noWrap/>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资金投入</w:t>
            </w:r>
          </w:p>
        </w:tc>
        <w:tc>
          <w:tcPr>
            <w:tcW w:w="802"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w:t>
            </w: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资金筹集使用规范性</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52" w:type="dxa"/>
            <w:vMerge w:val="restart"/>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管理</w:t>
            </w:r>
          </w:p>
        </w:tc>
        <w:tc>
          <w:tcPr>
            <w:tcW w:w="955" w:type="dxa"/>
            <w:vMerge w:val="restart"/>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w:t>
            </w:r>
          </w:p>
        </w:tc>
        <w:tc>
          <w:tcPr>
            <w:tcW w:w="1946" w:type="dxa"/>
            <w:vMerge w:val="restart"/>
            <w:shd w:val="clear" w:color="auto" w:fill="auto"/>
            <w:noWrap/>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资金管理</w:t>
            </w:r>
          </w:p>
        </w:tc>
        <w:tc>
          <w:tcPr>
            <w:tcW w:w="802" w:type="dxa"/>
            <w:vMerge w:val="restart"/>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25</w:t>
            </w: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债券资金到位率</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auto"/>
            <w:noWrap/>
            <w:vAlign w:val="center"/>
          </w:tcPr>
          <w:p>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auto"/>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自筹资金到位率</w:t>
            </w:r>
          </w:p>
        </w:tc>
        <w:tc>
          <w:tcPr>
            <w:tcW w:w="838" w:type="dxa"/>
            <w:shd w:val="clear" w:color="auto" w:fill="auto"/>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auto"/>
            <w:noWrap/>
            <w:vAlign w:val="center"/>
          </w:tcPr>
          <w:p>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资金支出进度率</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auto"/>
            <w:noWrap/>
            <w:vAlign w:val="center"/>
          </w:tcPr>
          <w:p>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资金申请和归集规范性</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auto"/>
            <w:noWrap/>
            <w:vAlign w:val="center"/>
          </w:tcPr>
          <w:p>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成本控制有效性</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auto"/>
            <w:noWrap/>
            <w:vAlign w:val="center"/>
          </w:tcPr>
          <w:p>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本息缴付及时性</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auto"/>
            <w:noWrap/>
            <w:vAlign w:val="center"/>
          </w:tcPr>
          <w:p>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资金使用合规性</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1152" w:type="dxa"/>
            <w:vMerge w:val="restart"/>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管理</w:t>
            </w:r>
          </w:p>
        </w:tc>
        <w:tc>
          <w:tcPr>
            <w:tcW w:w="955" w:type="dxa"/>
            <w:vMerge w:val="continue"/>
            <w:shd w:val="clear" w:color="auto" w:fill="FFFFFF"/>
            <w:vAlign w:val="center"/>
          </w:tcPr>
          <w:p>
            <w:pPr>
              <w:widowControl/>
              <w:snapToGrid w:val="0"/>
              <w:jc w:val="both"/>
              <w:rPr>
                <w:rFonts w:hint="eastAsia" w:ascii="仿宋" w:hAnsi="仿宋" w:eastAsia="仿宋" w:cs="仿宋"/>
                <w:color w:val="000000"/>
                <w:kern w:val="0"/>
                <w:sz w:val="24"/>
                <w:szCs w:val="24"/>
                <w:lang w:val="en-US" w:eastAsia="zh-CN"/>
              </w:rPr>
            </w:pPr>
          </w:p>
        </w:tc>
        <w:tc>
          <w:tcPr>
            <w:tcW w:w="1946" w:type="dxa"/>
            <w:vMerge w:val="restart"/>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组织管理</w:t>
            </w:r>
          </w:p>
        </w:tc>
        <w:tc>
          <w:tcPr>
            <w:tcW w:w="802" w:type="dxa"/>
            <w:vMerge w:val="restart"/>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15</w:t>
            </w: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运行机制有效性</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管理制度健全性</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制度执行有效性</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采购管理规范性</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信息公开规范性</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问题整改情况</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信息系统管理和使用范性</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52" w:type="dxa"/>
            <w:vMerge w:val="restart"/>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产出</w:t>
            </w:r>
          </w:p>
        </w:tc>
        <w:tc>
          <w:tcPr>
            <w:tcW w:w="955" w:type="dxa"/>
            <w:vMerge w:val="restart"/>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w:t>
            </w:r>
          </w:p>
        </w:tc>
        <w:tc>
          <w:tcPr>
            <w:tcW w:w="1946" w:type="dxa"/>
            <w:vMerge w:val="restart"/>
            <w:shd w:val="clear" w:color="auto" w:fill="auto"/>
            <w:noWrap/>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产出数量</w:t>
            </w:r>
          </w:p>
        </w:tc>
        <w:tc>
          <w:tcPr>
            <w:tcW w:w="802" w:type="dxa"/>
            <w:vMerge w:val="restart"/>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w:t>
            </w: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建设目标完成率</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auto"/>
            <w:noWrap/>
            <w:vAlign w:val="center"/>
          </w:tcPr>
          <w:p>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资产形成率</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restart"/>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产出质量</w:t>
            </w:r>
          </w:p>
        </w:tc>
        <w:tc>
          <w:tcPr>
            <w:tcW w:w="802" w:type="dxa"/>
            <w:vMerge w:val="restart"/>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7</w:t>
            </w: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质量达标率</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安全施工目标</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shd w:val="clear" w:color="auto" w:fill="auto"/>
            <w:noWrap/>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产出时效</w:t>
            </w:r>
          </w:p>
        </w:tc>
        <w:tc>
          <w:tcPr>
            <w:tcW w:w="802"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w:t>
            </w: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建设及时性</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restart"/>
            <w:shd w:val="clear" w:color="auto" w:fill="auto"/>
            <w:noWrap/>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产出成本</w:t>
            </w:r>
          </w:p>
        </w:tc>
        <w:tc>
          <w:tcPr>
            <w:tcW w:w="802" w:type="dxa"/>
            <w:vMerge w:val="restart"/>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w:t>
            </w: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成本节约率</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auto"/>
            <w:noWrap/>
            <w:vAlign w:val="center"/>
          </w:tcPr>
          <w:p>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社会成本</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auto"/>
            <w:noWrap/>
            <w:vAlign w:val="center"/>
          </w:tcPr>
          <w:p>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生态环境成本</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52" w:type="dxa"/>
            <w:vMerge w:val="restart"/>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效益</w:t>
            </w:r>
          </w:p>
        </w:tc>
        <w:tc>
          <w:tcPr>
            <w:tcW w:w="955" w:type="dxa"/>
            <w:vMerge w:val="restart"/>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w:t>
            </w:r>
          </w:p>
        </w:tc>
        <w:tc>
          <w:tcPr>
            <w:tcW w:w="1946" w:type="dxa"/>
            <w:vMerge w:val="restart"/>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经济效益</w:t>
            </w:r>
          </w:p>
        </w:tc>
        <w:tc>
          <w:tcPr>
            <w:tcW w:w="802" w:type="dxa"/>
            <w:vMerge w:val="restart"/>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c>
          <w:tcPr>
            <w:tcW w:w="2867" w:type="dxa"/>
            <w:shd w:val="clear" w:color="auto" w:fill="FFFFFF"/>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项目预期收入</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区域经济促进作用</w:t>
            </w:r>
          </w:p>
        </w:tc>
        <w:tc>
          <w:tcPr>
            <w:tcW w:w="838" w:type="dxa"/>
            <w:shd w:val="clear" w:color="auto" w:fill="FFFFFF"/>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社会效益</w:t>
            </w:r>
          </w:p>
        </w:tc>
        <w:tc>
          <w:tcPr>
            <w:tcW w:w="802"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c>
          <w:tcPr>
            <w:tcW w:w="2867" w:type="dxa"/>
            <w:shd w:val="clear" w:color="auto" w:fill="FFFFFF"/>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基础设施建设水平</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8"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生态效益</w:t>
            </w:r>
          </w:p>
        </w:tc>
        <w:tc>
          <w:tcPr>
            <w:tcW w:w="802"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w:t>
            </w:r>
          </w:p>
        </w:tc>
        <w:tc>
          <w:tcPr>
            <w:tcW w:w="2867" w:type="dxa"/>
            <w:shd w:val="clear" w:color="auto" w:fill="FFFFFF"/>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中心城区环境污染降低情况</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restart"/>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可持续影响</w:t>
            </w:r>
          </w:p>
        </w:tc>
        <w:tc>
          <w:tcPr>
            <w:tcW w:w="802" w:type="dxa"/>
            <w:vMerge w:val="restart"/>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人才技术支撑</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财务支撑</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外部环境支撑</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52"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p>
        </w:tc>
        <w:tc>
          <w:tcPr>
            <w:tcW w:w="1946"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满意度</w:t>
            </w:r>
          </w:p>
        </w:tc>
        <w:tc>
          <w:tcPr>
            <w:tcW w:w="802"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w:t>
            </w:r>
          </w:p>
        </w:tc>
        <w:tc>
          <w:tcPr>
            <w:tcW w:w="2867"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社会公众满意度</w:t>
            </w:r>
          </w:p>
        </w:tc>
        <w:tc>
          <w:tcPr>
            <w:tcW w:w="838" w:type="dxa"/>
            <w:shd w:val="clear" w:color="auto" w:fill="FFFFFF"/>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4053" w:type="dxa"/>
            <w:gridSpan w:val="3"/>
            <w:shd w:val="clear" w:color="auto" w:fill="auto"/>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合计</w:t>
            </w:r>
          </w:p>
        </w:tc>
        <w:tc>
          <w:tcPr>
            <w:tcW w:w="802" w:type="dxa"/>
            <w:shd w:val="clear" w:color="auto" w:fill="auto"/>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w:t>
            </w:r>
          </w:p>
        </w:tc>
        <w:tc>
          <w:tcPr>
            <w:tcW w:w="2867" w:type="dxa"/>
            <w:shd w:val="clear" w:color="auto" w:fill="auto"/>
            <w:vAlign w:val="center"/>
          </w:tcPr>
          <w:p>
            <w:pPr>
              <w:widowControl/>
              <w:snapToGrid w:val="0"/>
              <w:jc w:val="center"/>
              <w:rPr>
                <w:rFonts w:hint="eastAsia" w:ascii="仿宋" w:hAnsi="仿宋" w:eastAsia="仿宋" w:cs="仿宋"/>
                <w:color w:val="000000"/>
                <w:kern w:val="0"/>
                <w:sz w:val="24"/>
                <w:szCs w:val="24"/>
                <w:lang w:val="en-US" w:eastAsia="zh-CN"/>
              </w:rPr>
            </w:pPr>
          </w:p>
        </w:tc>
        <w:tc>
          <w:tcPr>
            <w:tcW w:w="838" w:type="dxa"/>
            <w:shd w:val="clear" w:color="auto" w:fill="auto"/>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w:t>
            </w:r>
          </w:p>
        </w:tc>
      </w:tr>
      <w:bookmarkEnd w:id="41"/>
      <w:bookmarkEnd w:id="42"/>
      <w:bookmarkEnd w:id="43"/>
      <w:bookmarkEnd w:id="44"/>
    </w:tbl>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仿宋"/>
          <w:b/>
          <w:snapToGrid w:val="0"/>
          <w:sz w:val="28"/>
          <w:szCs w:val="28"/>
        </w:rPr>
      </w:pPr>
      <w:bookmarkStart w:id="45" w:name="_Toc519354508"/>
      <w:bookmarkStart w:id="46" w:name="_Toc23344"/>
      <w:bookmarkStart w:id="47" w:name="_Toc514537341"/>
      <w:r>
        <w:rPr>
          <w:rFonts w:hint="eastAsia" w:ascii="仿宋" w:hAnsi="仿宋" w:eastAsia="仿宋" w:cs="Times New Roman"/>
          <w:b/>
          <w:bCs/>
          <w:sz w:val="32"/>
          <w:szCs w:val="32"/>
        </w:rPr>
        <w:t>（</w:t>
      </w:r>
      <w:r>
        <w:rPr>
          <w:rFonts w:hint="eastAsia" w:ascii="仿宋" w:hAnsi="仿宋" w:eastAsia="仿宋" w:cs="Times New Roman"/>
          <w:b/>
          <w:bCs/>
          <w:sz w:val="32"/>
          <w:szCs w:val="32"/>
          <w:lang w:val="en-US" w:eastAsia="zh-CN"/>
        </w:rPr>
        <w:t>七</w:t>
      </w:r>
      <w:r>
        <w:rPr>
          <w:rFonts w:hint="eastAsia" w:ascii="仿宋" w:hAnsi="仿宋" w:eastAsia="仿宋" w:cs="Times New Roman"/>
          <w:b/>
          <w:bCs/>
          <w:sz w:val="32"/>
          <w:szCs w:val="32"/>
        </w:rPr>
        <w:t>）绩效评价工作组织</w:t>
      </w:r>
      <w:bookmarkEnd w:id="45"/>
      <w:bookmarkEnd w:id="46"/>
      <w:bookmarkEnd w:id="47"/>
    </w:p>
    <w:p>
      <w:pPr>
        <w:tabs>
          <w:tab w:val="left" w:pos="1276"/>
        </w:tabs>
        <w:spacing w:line="574" w:lineRule="exact"/>
        <w:ind w:firstLine="560" w:firstLineChars="200"/>
        <w:contextualSpacing/>
        <w:rPr>
          <w:rFonts w:hint="eastAsia" w:ascii="Times New Roman" w:hAnsi="Times New Roman" w:eastAsia="仿宋" w:cs="Times New Roman"/>
          <w:color w:val="000000"/>
          <w:sz w:val="28"/>
          <w:szCs w:val="28"/>
          <w:lang w:eastAsia="zh-CN"/>
        </w:rPr>
      </w:pP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为使绩效评价工作顺利开展，成立绩效评价项目评价组，评价组主要负责现场勘察，包括查阅收集相关的制度文件、财务资料等，开展问卷调查，撰写绩效评价方案和绩效评价报告等工作。具体人员及分工如表2-1所示</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w:t>
      </w:r>
    </w:p>
    <w:p>
      <w:pPr>
        <w:autoSpaceDE w:val="0"/>
        <w:autoSpaceDN w:val="0"/>
        <w:adjustRightInd w:val="0"/>
        <w:spacing w:line="500" w:lineRule="exact"/>
        <w:jc w:val="center"/>
        <w:rPr>
          <w:rFonts w:ascii="Times New Roman" w:hAnsi="Times New Roman" w:eastAsia="仿宋" w:cs="Times New Roman"/>
          <w:b/>
          <w:color w:val="000000"/>
          <w:sz w:val="28"/>
          <w:szCs w:val="28"/>
        </w:rPr>
      </w:pPr>
      <w:r>
        <w:rPr>
          <w:rFonts w:ascii="Times New Roman" w:hAnsi="Times New Roman" w:eastAsia="仿宋" w:cs="Times New Roman"/>
          <w:b/>
          <w:bCs/>
          <w:color w:val="000000"/>
          <w:kern w:val="0"/>
          <w:sz w:val="24"/>
          <w:szCs w:val="28"/>
        </w:rPr>
        <w:t>表</w:t>
      </w:r>
      <w:r>
        <w:rPr>
          <w:rFonts w:hint="eastAsia" w:ascii="Times New Roman" w:hAnsi="Times New Roman" w:eastAsia="仿宋" w:cs="Times New Roman"/>
          <w:b/>
          <w:bCs/>
          <w:color w:val="000000"/>
          <w:kern w:val="0"/>
          <w:sz w:val="24"/>
          <w:szCs w:val="28"/>
          <w:lang w:val="en-US" w:eastAsia="zh-CN"/>
        </w:rPr>
        <w:t>2</w:t>
      </w:r>
      <w:r>
        <w:rPr>
          <w:rFonts w:ascii="Times New Roman" w:hAnsi="Times New Roman" w:eastAsia="仿宋" w:cs="Times New Roman"/>
          <w:b/>
          <w:bCs/>
          <w:color w:val="000000"/>
          <w:kern w:val="0"/>
          <w:sz w:val="24"/>
          <w:szCs w:val="28"/>
        </w:rPr>
        <w:t>-1</w:t>
      </w:r>
      <w:r>
        <w:rPr>
          <w:rFonts w:hint="eastAsia" w:ascii="Times New Roman" w:hAnsi="Times New Roman" w:eastAsia="仿宋" w:cs="Times New Roman"/>
          <w:b/>
          <w:bCs/>
          <w:color w:val="000000"/>
          <w:kern w:val="0"/>
          <w:sz w:val="24"/>
          <w:szCs w:val="28"/>
        </w:rPr>
        <w:t>评价工作组及人员分工</w:t>
      </w:r>
    </w:p>
    <w:tbl>
      <w:tblPr>
        <w:tblStyle w:val="22"/>
        <w:tblpPr w:leftFromText="180" w:rightFromText="180" w:vertAnchor="text"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1843"/>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shd w:val="clear" w:color="auto" w:fill="BEBEBE" w:themeFill="background1" w:themeFillShade="BF"/>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姓名</w:t>
            </w:r>
          </w:p>
        </w:tc>
        <w:tc>
          <w:tcPr>
            <w:tcW w:w="1843" w:type="dxa"/>
            <w:shd w:val="clear" w:color="auto" w:fill="BEBEBE" w:themeFill="background1" w:themeFillShade="BF"/>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职务</w:t>
            </w:r>
          </w:p>
        </w:tc>
        <w:tc>
          <w:tcPr>
            <w:tcW w:w="4678" w:type="dxa"/>
            <w:shd w:val="clear" w:color="auto" w:fill="BEBEBE" w:themeFill="background1" w:themeFillShade="BF"/>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邢慧慧</w:t>
            </w:r>
          </w:p>
        </w:tc>
        <w:tc>
          <w:tcPr>
            <w:tcW w:w="1843" w:type="dxa"/>
            <w:vAlign w:val="center"/>
          </w:tcPr>
          <w:p>
            <w:pPr>
              <w:autoSpaceDE w:val="0"/>
              <w:autoSpaceDN w:val="0"/>
              <w:adjustRightInd w:val="0"/>
              <w:spacing w:line="400" w:lineRule="exact"/>
              <w:jc w:val="center"/>
              <w:rPr>
                <w:rFonts w:hint="eastAsia"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rPr>
              <w:t>项目</w:t>
            </w:r>
            <w:r>
              <w:rPr>
                <w:rFonts w:hint="eastAsia" w:ascii="Times New Roman" w:hAnsi="Times New Roman" w:eastAsia="仿宋" w:cs="Times New Roman"/>
                <w:color w:val="000000"/>
                <w:sz w:val="24"/>
                <w:szCs w:val="24"/>
                <w:lang w:val="en-US" w:eastAsia="zh-CN"/>
              </w:rPr>
              <w:t>主评人</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全面负责本次绩效评价工作，统筹协调，人员培训，绩效评价方案、报告审核等。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top"/>
          </w:tcPr>
          <w:p>
            <w:pPr>
              <w:autoSpaceDE w:val="0"/>
              <w:autoSpaceDN w:val="0"/>
              <w:adjustRightInd w:val="0"/>
              <w:spacing w:line="400" w:lineRule="exact"/>
              <w:jc w:val="center"/>
              <w:rPr>
                <w:rFonts w:hint="eastAsia"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eastAsia="zh-CN"/>
              </w:rPr>
              <w:t>杨祥祥</w:t>
            </w:r>
          </w:p>
        </w:tc>
        <w:tc>
          <w:tcPr>
            <w:tcW w:w="1843" w:type="dxa"/>
            <w:vAlign w:val="center"/>
          </w:tcPr>
          <w:p>
            <w:pPr>
              <w:autoSpaceDE w:val="0"/>
              <w:autoSpaceDN w:val="0"/>
              <w:adjustRightInd w:val="0"/>
              <w:spacing w:line="400" w:lineRule="exact"/>
              <w:jc w:val="center"/>
              <w:rPr>
                <w:rFonts w:hint="eastAsia"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eastAsia="zh-CN"/>
              </w:rPr>
              <w:t>组长</w:t>
            </w:r>
          </w:p>
        </w:tc>
        <w:tc>
          <w:tcPr>
            <w:tcW w:w="4678" w:type="dxa"/>
          </w:tcPr>
          <w:p>
            <w:pPr>
              <w:autoSpaceDE w:val="0"/>
              <w:autoSpaceDN w:val="0"/>
              <w:adjustRightInd w:val="0"/>
              <w:spacing w:line="400" w:lineRule="exact"/>
              <w:jc w:val="center"/>
              <w:rPr>
                <w:rFonts w:hint="eastAsia"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eastAsia="zh-CN"/>
              </w:rPr>
              <w:t>负责设计指标体系、撰写实施方案、访谈方案、评价报告等。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top"/>
          </w:tcPr>
          <w:p>
            <w:pPr>
              <w:pStyle w:val="9"/>
              <w:ind w:left="206" w:leftChars="0"/>
              <w:jc w:val="center"/>
              <w:rPr>
                <w:rFonts w:hint="default"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kern w:val="2"/>
                <w:sz w:val="24"/>
                <w:szCs w:val="24"/>
                <w:lang w:val="en-US" w:eastAsia="zh-CN" w:bidi="ar-SA"/>
              </w:rPr>
              <w:t>张春珍</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副组长</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负责协助组长设计指标体系、撰写实施方案、访谈方案、评价报告等。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top"/>
          </w:tcPr>
          <w:p>
            <w:pPr>
              <w:pStyle w:val="9"/>
              <w:ind w:left="206" w:leftChars="0"/>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kern w:val="2"/>
                <w:sz w:val="24"/>
                <w:szCs w:val="24"/>
                <w:lang w:val="en-US" w:eastAsia="zh-CN" w:bidi="ar-SA"/>
              </w:rPr>
              <w:t>张晋梅</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top"/>
          </w:tcPr>
          <w:p>
            <w:pPr>
              <w:pStyle w:val="9"/>
              <w:ind w:left="206" w:leftChars="0"/>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kern w:val="2"/>
                <w:sz w:val="24"/>
                <w:szCs w:val="24"/>
                <w:lang w:val="en-US" w:eastAsia="zh-CN" w:bidi="ar-SA"/>
              </w:rPr>
              <w:t>王小雪</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top"/>
          </w:tcPr>
          <w:p>
            <w:pPr>
              <w:pStyle w:val="9"/>
              <w:ind w:left="206" w:leftChars="0"/>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张文英</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top"/>
          </w:tcPr>
          <w:p>
            <w:pPr>
              <w:autoSpaceDE w:val="0"/>
              <w:autoSpaceDN w:val="0"/>
              <w:adjustRightInd w:val="0"/>
              <w:spacing w:line="400" w:lineRule="exact"/>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杨睿</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top"/>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lang w:val="en-US" w:eastAsia="zh-CN"/>
              </w:rPr>
              <w:t>张聪</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bl>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48" w:name="_Toc8975"/>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八</w:t>
      </w:r>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绩效评价工作过程</w:t>
      </w:r>
      <w:bookmarkEnd w:id="48"/>
    </w:p>
    <w:p>
      <w:pPr>
        <w:spacing w:line="500"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本次绩效评价工作分为三个阶段：</w:t>
      </w:r>
    </w:p>
    <w:p>
      <w:pPr>
        <w:spacing w:line="500"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1、第一阶段为准备阶段。主要进行以下内容：</w:t>
      </w:r>
    </w:p>
    <w:p>
      <w:pPr>
        <w:spacing w:line="500"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（1）成立评价小组，评价组共8人。</w:t>
      </w:r>
    </w:p>
    <w:p>
      <w:pPr>
        <w:spacing w:line="500"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（2）培训评价人员。</w:t>
      </w:r>
    </w:p>
    <w:p>
      <w:pPr>
        <w:spacing w:line="500"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（3）收集、审核资料，进行分析整理。制定绩效评价工作方案，包括：评价工作的计划安排；拟采用的绩效评价指标和评价标准；拟采用评价方法；评价依据；有关工作条件。</w:t>
      </w:r>
    </w:p>
    <w:p>
      <w:pPr>
        <w:spacing w:line="500"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2、第二阶段为现场调研阶段。主要进行以下内容：</w:t>
      </w:r>
    </w:p>
    <w:p>
      <w:pPr>
        <w:spacing w:line="500"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（1）收集、审核资料。评价工作组在全面收集资料的基础上，根据审核后的绩效评价工作方案，对收集的资料进行分类整理、审查和分析。</w:t>
      </w:r>
    </w:p>
    <w:p>
      <w:pPr>
        <w:spacing w:line="500"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（2）现场勘查。根据项目实施单位提供的数据资料，评价工作组采取现场勘察、询查评价、问卷调查等方式进行实地勘察验证。</w:t>
      </w:r>
    </w:p>
    <w:p>
      <w:pPr>
        <w:spacing w:line="500"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3）综合评价，评价工作组根据评价工作方案确定的评价指标、评价权重、评价标准和评价方法，对涉及项目的绩效情况进行全面的定量定性分析和综合评价，根据得分的不同情况将评价结果划分为四个等级：总分在90分以上（含90分）为优，80-90分（含80分）为良，60-80分（含60分）为中，60分以下为差。</w:t>
      </w:r>
    </w:p>
    <w:p>
      <w:pPr>
        <w:spacing w:line="500"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3、第三阶段为撰写报告阶段。主要进行以下内容：</w:t>
      </w:r>
    </w:p>
    <w:p>
      <w:pPr>
        <w:spacing w:line="500"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（1）撰写评价报告。根据被评价单位的绩效评价情况，按照规定的文本格式和要求撰写绩效评价报告；</w:t>
      </w:r>
    </w:p>
    <w:p>
      <w:pPr>
        <w:spacing w:line="500"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（2）提交报告。在征求相关部门、单位意见后，对报告进行完善修改后，向委托方古县财政局提交绩效评价报告；</w:t>
      </w:r>
    </w:p>
    <w:p>
      <w:pPr>
        <w:spacing w:line="500" w:lineRule="exact"/>
        <w:ind w:firstLine="560" w:firstLineChars="200"/>
        <w:rPr>
          <w:rFonts w:hint="default" w:ascii="Times New Roman" w:hAnsi="Times New Roman" w:eastAsia="仿宋_GB2312" w:cs="Times New Roman"/>
          <w:color w:val="000000" w:themeColor="text1"/>
          <w:sz w:val="28"/>
          <w:szCs w:val="28"/>
          <w14:textFill>
            <w14:solidFill>
              <w14:schemeClr w14:val="tx1"/>
            </w14:solidFill>
          </w14:textFill>
        </w:rPr>
      </w:pPr>
      <w:r>
        <w:rPr>
          <w:rFonts w:hint="eastAsia" w:ascii="Times New Roman" w:hAnsi="Times New Roman" w:eastAsia="仿宋_GB2312" w:cs="Times New Roman"/>
          <w:bCs/>
          <w:kern w:val="0"/>
          <w:sz w:val="28"/>
          <w:szCs w:val="32"/>
          <w:lang w:val="en-US" w:eastAsia="zh-CN"/>
        </w:rPr>
        <w:t>（3）建立档案。评价工作结束后，妥善保管工作底稿和评价报告等有关资料，建立绩效评价工作档案</w:t>
      </w:r>
      <w:r>
        <w:rPr>
          <w:rFonts w:hint="eastAsia" w:ascii="Times New Roman" w:hAnsi="Times New Roman" w:eastAsia="仿宋_GB2312" w:cs="Times New Roman"/>
          <w:color w:val="000000" w:themeColor="text1"/>
          <w:sz w:val="28"/>
          <w:szCs w:val="28"/>
          <w14:textFill>
            <w14:solidFill>
              <w14:schemeClr w14:val="tx1"/>
            </w14:solidFill>
          </w14:textFill>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val="en-US" w:eastAsia="zh-CN"/>
        </w:rPr>
      </w:pPr>
      <w:bookmarkStart w:id="49" w:name="_Toc10045"/>
      <w:r>
        <w:rPr>
          <w:rFonts w:hint="eastAsia" w:ascii="仿宋" w:hAnsi="仿宋" w:eastAsia="仿宋" w:cs="Times New Roman"/>
          <w:b/>
          <w:bCs/>
          <w:sz w:val="32"/>
          <w:szCs w:val="32"/>
          <w:lang w:val="en-US" w:eastAsia="zh-CN"/>
        </w:rPr>
        <w:t>（九）评价等级</w:t>
      </w:r>
      <w:bookmarkEnd w:id="49"/>
    </w:p>
    <w:p>
      <w:pPr>
        <w:spacing w:line="500" w:lineRule="exact"/>
        <w:ind w:firstLine="560" w:firstLineChars="200"/>
        <w:rPr>
          <w:rFonts w:hint="default" w:ascii="Times New Roman" w:hAnsi="Times New Roman" w:eastAsia="仿宋"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仿宋_GB2312" w:cs="Times New Roman"/>
          <w:bCs/>
          <w:kern w:val="0"/>
          <w:sz w:val="28"/>
          <w:szCs w:val="32"/>
          <w:lang w:val="en-US" w:eastAsia="zh-CN"/>
        </w:rPr>
        <w:t>根据《项目支出绩效评价管理办法》（财预〔2020〕10号）要求，绩效评价结果采取评分和评级相结合的方式。评价实行百分制，按照综合评分分级。本次绩效评价结果等级划分标准如表</w:t>
      </w:r>
      <w:r>
        <w:rPr>
          <w:rFonts w:hint="eastAsia" w:ascii="Times New Roman" w:hAnsi="Times New Roman" w:eastAsia="仿宋_GB2312" w:cs="Times New Roman"/>
          <w:bCs/>
          <w:kern w:val="0"/>
          <w:sz w:val="28"/>
          <w:szCs w:val="32"/>
          <w:lang w:val="en-US" w:eastAsia="zh-CN"/>
        </w:rPr>
        <w:t>2</w:t>
      </w:r>
      <w:r>
        <w:rPr>
          <w:rFonts w:hint="default" w:ascii="Times New Roman" w:hAnsi="Times New Roman" w:eastAsia="仿宋_GB2312" w:cs="Times New Roman"/>
          <w:bCs/>
          <w:kern w:val="0"/>
          <w:sz w:val="28"/>
          <w:szCs w:val="32"/>
          <w:lang w:val="en-US" w:eastAsia="zh-CN"/>
        </w:rPr>
        <w:t>-</w:t>
      </w:r>
      <w:r>
        <w:rPr>
          <w:rFonts w:hint="eastAsia" w:ascii="Times New Roman" w:hAnsi="Times New Roman" w:eastAsia="仿宋_GB2312" w:cs="Times New Roman"/>
          <w:bCs/>
          <w:kern w:val="0"/>
          <w:sz w:val="28"/>
          <w:szCs w:val="32"/>
          <w:lang w:val="en-US" w:eastAsia="zh-CN"/>
        </w:rPr>
        <w:t>2</w:t>
      </w:r>
      <w:r>
        <w:rPr>
          <w:rFonts w:hint="default" w:ascii="Times New Roman" w:hAnsi="Times New Roman" w:eastAsia="仿宋" w:cs="Times New Roman"/>
          <w:b w:val="0"/>
          <w:bCs w:val="0"/>
          <w:color w:val="000000" w:themeColor="text1"/>
          <w:sz w:val="28"/>
          <w:szCs w:val="28"/>
          <w:lang w:val="en-US" w:eastAsia="zh-CN"/>
          <w14:textFill>
            <w14:solidFill>
              <w14:schemeClr w14:val="tx1"/>
            </w14:solidFill>
          </w14:textFill>
        </w:rPr>
        <w:t>。</w:t>
      </w:r>
    </w:p>
    <w:p>
      <w:pPr>
        <w:tabs>
          <w:tab w:val="left" w:pos="1276"/>
        </w:tabs>
        <w:spacing w:line="360" w:lineRule="auto"/>
        <w:contextualSpacing/>
        <w:jc w:val="center"/>
        <w:rPr>
          <w:rFonts w:hint="eastAsia" w:ascii="Times New Roman" w:hAnsi="Times New Roman" w:eastAsia="方正仿宋_GBK"/>
          <w:b/>
          <w:bCs/>
          <w:sz w:val="28"/>
        </w:rPr>
      </w:pPr>
      <w:r>
        <w:rPr>
          <w:rFonts w:hint="eastAsia" w:ascii="Times New Roman" w:hAnsi="Times New Roman" w:eastAsia="仿宋" w:cs="Times New Roman"/>
          <w:b/>
          <w:sz w:val="24"/>
          <w:szCs w:val="24"/>
          <w:lang w:val="en-US" w:eastAsia="zh-CN"/>
        </w:rPr>
        <w:t>表2-2评价结果等级划分标准</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261"/>
        <w:gridCol w:w="4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blHeader/>
        </w:trPr>
        <w:tc>
          <w:tcPr>
            <w:tcW w:w="4261" w:type="dxa"/>
            <w:shd w:val="clear" w:color="000000" w:fill="auto"/>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分值范围</w:t>
            </w:r>
          </w:p>
        </w:tc>
        <w:tc>
          <w:tcPr>
            <w:tcW w:w="4261" w:type="dxa"/>
            <w:shd w:val="clear" w:color="000000" w:fill="auto"/>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结果等级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100≥X≥90</w:t>
            </w:r>
          </w:p>
        </w:tc>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90＞X≥80</w:t>
            </w:r>
          </w:p>
        </w:tc>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80＞X≥60</w:t>
            </w:r>
          </w:p>
        </w:tc>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X＜60</w:t>
            </w:r>
          </w:p>
        </w:tc>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差</w:t>
            </w:r>
          </w:p>
        </w:tc>
      </w:tr>
    </w:tbl>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50" w:name="_Toc519354509"/>
      <w:bookmarkStart w:id="51" w:name="_Toc514537342"/>
      <w:bookmarkStart w:id="52" w:name="_Toc13445"/>
      <w:r>
        <w:rPr>
          <w:rFonts w:hint="eastAsia" w:ascii="Times New Roman" w:hAnsi="Times New Roman" w:eastAsia="黑体" w:cs="Times New Roman"/>
          <w:bCs/>
          <w:kern w:val="44"/>
          <w:sz w:val="32"/>
          <w:szCs w:val="32"/>
          <w:lang w:val="en-US" w:eastAsia="zh-CN"/>
        </w:rPr>
        <w:t>三</w:t>
      </w:r>
      <w:r>
        <w:rPr>
          <w:rFonts w:hint="eastAsia" w:ascii="Times New Roman" w:hAnsi="Times New Roman" w:eastAsia="黑体" w:cs="Times New Roman"/>
          <w:bCs/>
          <w:kern w:val="44"/>
          <w:sz w:val="32"/>
          <w:szCs w:val="32"/>
        </w:rPr>
        <w:t>、</w:t>
      </w:r>
      <w:r>
        <w:rPr>
          <w:rFonts w:hint="eastAsia" w:ascii="Times New Roman" w:hAnsi="Times New Roman" w:eastAsia="黑体" w:cs="Times New Roman"/>
          <w:bCs/>
          <w:kern w:val="44"/>
          <w:sz w:val="32"/>
          <w:szCs w:val="32"/>
          <w:lang w:val="en-US" w:eastAsia="zh-CN"/>
        </w:rPr>
        <w:t>综合评价</w:t>
      </w:r>
      <w:r>
        <w:rPr>
          <w:rFonts w:hint="eastAsia" w:ascii="Times New Roman" w:hAnsi="Times New Roman" w:eastAsia="黑体" w:cs="Times New Roman"/>
          <w:bCs/>
          <w:kern w:val="44"/>
          <w:sz w:val="32"/>
          <w:szCs w:val="32"/>
        </w:rPr>
        <w:t>情况</w:t>
      </w:r>
      <w:bookmarkEnd w:id="50"/>
      <w:bookmarkEnd w:id="51"/>
      <w:r>
        <w:rPr>
          <w:rFonts w:hint="eastAsia" w:ascii="Times New Roman" w:hAnsi="Times New Roman" w:eastAsia="黑体" w:cs="Times New Roman"/>
          <w:bCs/>
          <w:kern w:val="44"/>
          <w:sz w:val="32"/>
          <w:szCs w:val="32"/>
          <w:lang w:val="en-US" w:eastAsia="zh-CN"/>
        </w:rPr>
        <w:t>及评价结论</w:t>
      </w:r>
      <w:bookmarkEnd w:id="52"/>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53" w:name="_Toc514537343"/>
      <w:bookmarkStart w:id="54" w:name="_Toc30626"/>
      <w:r>
        <w:rPr>
          <w:rFonts w:hint="eastAsia" w:ascii="仿宋" w:hAnsi="仿宋" w:eastAsia="仿宋" w:cs="Times New Roman"/>
          <w:b/>
          <w:bCs/>
          <w:sz w:val="32"/>
          <w:szCs w:val="32"/>
          <w:lang w:eastAsia="zh-CN"/>
        </w:rPr>
        <w:t>（一）</w:t>
      </w:r>
      <w:bookmarkEnd w:id="53"/>
      <w:r>
        <w:rPr>
          <w:rFonts w:hint="eastAsia" w:ascii="仿宋" w:hAnsi="仿宋" w:eastAsia="仿宋" w:cs="Times New Roman"/>
          <w:b/>
          <w:bCs/>
          <w:sz w:val="32"/>
          <w:szCs w:val="32"/>
          <w:lang w:val="en-US" w:eastAsia="zh-CN"/>
        </w:rPr>
        <w:t>总体评分结果及评价结论</w:t>
      </w:r>
      <w:bookmarkEnd w:id="54"/>
    </w:p>
    <w:p>
      <w:pPr>
        <w:keepNext w:val="0"/>
        <w:keepLines w:val="0"/>
        <w:pageBreakBefore w:val="0"/>
        <w:widowControl w:val="0"/>
        <w:kinsoku/>
        <w:wordWrap/>
        <w:overflowPunct/>
        <w:topLinePunct w:val="0"/>
        <w:autoSpaceDE/>
        <w:autoSpaceDN/>
        <w:bidi w:val="0"/>
        <w:adjustRightInd/>
        <w:snapToGrid/>
        <w:spacing w:line="574" w:lineRule="exact"/>
        <w:ind w:firstLine="560" w:firstLineChars="200"/>
        <w:textAlignment w:val="auto"/>
        <w:outlineLvl w:val="9"/>
        <w:rPr>
          <w:rFonts w:hint="eastAsia" w:ascii="仿宋" w:hAnsi="仿宋" w:eastAsia="仿宋" w:cs="仿宋"/>
          <w:b/>
          <w:snapToGrid w:val="0"/>
          <w:sz w:val="28"/>
          <w:szCs w:val="28"/>
        </w:rPr>
      </w:pPr>
      <w:bookmarkStart w:id="55" w:name="_Toc15599"/>
      <w:bookmarkStart w:id="56" w:name="_Toc17362"/>
      <w:bookmarkStart w:id="57" w:name="_Toc528680466"/>
      <w:bookmarkStart w:id="58" w:name="_Toc28848"/>
      <w:bookmarkStart w:id="59" w:name="_Toc5485"/>
      <w:bookmarkStart w:id="60" w:name="_Toc23016"/>
      <w:bookmarkStart w:id="61" w:name="_Toc12732"/>
      <w:bookmarkStart w:id="62" w:name="_Toc528684141"/>
      <w:bookmarkStart w:id="63" w:name="_Toc22892"/>
      <w:bookmarkStart w:id="64" w:name="_Toc27419"/>
      <w:bookmarkStart w:id="65" w:name="_Toc26264"/>
      <w:r>
        <w:rPr>
          <w:rFonts w:hint="eastAsia" w:ascii="Times New Roman" w:hAnsi="Times New Roman" w:eastAsia="仿宋_GB2312" w:cs="Times New Roman"/>
          <w:bCs/>
          <w:kern w:val="0"/>
          <w:sz w:val="28"/>
          <w:szCs w:val="32"/>
          <w:lang w:val="en-US" w:eastAsia="zh-CN"/>
        </w:rPr>
        <w:t>依据项目基础信息统计，结合现场核查结果，按照评价小组制定并经专家组论证的评价指标</w:t>
      </w:r>
      <w:r>
        <w:rPr>
          <w:rFonts w:hint="eastAsia" w:ascii="Times New Roman" w:hAnsi="Times New Roman" w:eastAsia="仿宋_GB2312" w:cs="Times New Roman"/>
          <w:bCs/>
          <w:color w:val="auto"/>
          <w:kern w:val="0"/>
          <w:sz w:val="28"/>
          <w:szCs w:val="32"/>
          <w:lang w:val="en-US" w:eastAsia="zh-CN"/>
        </w:rPr>
        <w:t>体系，专项债券古县五马至古阳段城乡供水工程项目支出绩效评价综合得分93.00分，评价等级为“优”</w:t>
      </w:r>
      <w:r>
        <w:rPr>
          <w:rFonts w:hint="eastAsia" w:ascii="Times New Roman" w:hAnsi="Times New Roman" w:eastAsia="仿宋_GB2312" w:cs="Times New Roman"/>
          <w:bCs/>
          <w:kern w:val="0"/>
          <w:sz w:val="28"/>
          <w:szCs w:val="32"/>
          <w:lang w:val="en-US" w:eastAsia="zh-CN"/>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66" w:name="_Toc1051"/>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二</w:t>
      </w:r>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各分项评分结果</w:t>
      </w:r>
      <w:bookmarkEnd w:id="66"/>
    </w:p>
    <w:p>
      <w:pPr>
        <w:keepNext w:val="0"/>
        <w:keepLines w:val="0"/>
        <w:pageBreakBefore w:val="0"/>
        <w:widowControl w:val="0"/>
        <w:kinsoku/>
        <w:wordWrap/>
        <w:overflowPunct/>
        <w:topLinePunct w:val="0"/>
        <w:autoSpaceDE/>
        <w:autoSpaceDN/>
        <w:bidi w:val="0"/>
        <w:adjustRightInd/>
        <w:snapToGrid/>
        <w:spacing w:line="574" w:lineRule="exact"/>
        <w:ind w:firstLine="560" w:firstLineChars="200"/>
        <w:textAlignment w:val="auto"/>
        <w:outlineLvl w:val="9"/>
        <w:rPr>
          <w:rFonts w:hint="eastAsia" w:ascii="仿宋" w:hAnsi="仿宋" w:eastAsia="仿宋" w:cs="仿宋"/>
          <w:b/>
          <w:snapToGrid w:val="0"/>
          <w:sz w:val="28"/>
          <w:szCs w:val="28"/>
        </w:rPr>
      </w:pPr>
      <w:r>
        <w:rPr>
          <w:rFonts w:hint="eastAsia" w:ascii="Times New Roman" w:hAnsi="Times New Roman" w:eastAsia="仿宋_GB2312" w:cs="Times New Roman"/>
          <w:bCs/>
          <w:kern w:val="0"/>
          <w:sz w:val="28"/>
          <w:szCs w:val="32"/>
          <w:lang w:val="en-US" w:eastAsia="zh-CN"/>
        </w:rPr>
        <w:t>本次评价涉及四项一级指标得分情况如下：</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一级指标</w:t>
            </w:r>
          </w:p>
        </w:tc>
        <w:tc>
          <w:tcPr>
            <w:tcW w:w="184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184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2374"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A</w:t>
            </w:r>
            <w:r>
              <w:rPr>
                <w:rFonts w:hint="eastAsia" w:ascii="仿宋" w:hAnsi="仿宋" w:eastAsia="仿宋" w:cs="仿宋"/>
                <w:color w:val="000000"/>
                <w:kern w:val="0"/>
                <w:sz w:val="24"/>
                <w:szCs w:val="24"/>
                <w:lang w:val="en-US" w:eastAsia="zh-CN"/>
              </w:rPr>
              <w:t>决策</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20.00</w:t>
            </w:r>
          </w:p>
        </w:tc>
        <w:tc>
          <w:tcPr>
            <w:tcW w:w="184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17.00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85.00%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B过程</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40.00</w:t>
            </w:r>
          </w:p>
        </w:tc>
        <w:tc>
          <w:tcPr>
            <w:tcW w:w="1846" w:type="dxa"/>
            <w:vAlign w:val="center"/>
          </w:tcPr>
          <w:p>
            <w:pPr>
              <w:widowControl/>
              <w:snapToGrid w:val="0"/>
              <w:jc w:val="center"/>
              <w:rPr>
                <w:rFonts w:hint="default" w:ascii="仿宋" w:hAnsi="仿宋" w:eastAsia="仿宋" w:cs="仿宋"/>
                <w:color w:val="000000"/>
                <w:kern w:val="0"/>
                <w:sz w:val="24"/>
                <w:szCs w:val="24"/>
                <w:lang w:val="en-US"/>
              </w:rPr>
            </w:pPr>
            <w:r>
              <w:rPr>
                <w:rFonts w:hint="eastAsia" w:ascii="仿宋" w:hAnsi="仿宋" w:eastAsia="仿宋" w:cs="仿宋"/>
                <w:b w:val="0"/>
                <w:bCs w:val="0"/>
                <w:color w:val="000000"/>
                <w:kern w:val="0"/>
                <w:sz w:val="24"/>
                <w:szCs w:val="24"/>
                <w:lang w:val="en-US" w:eastAsia="zh-CN"/>
              </w:rPr>
              <w:t>36.00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90.00%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C产出</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30.00</w:t>
            </w:r>
          </w:p>
        </w:tc>
        <w:tc>
          <w:tcPr>
            <w:tcW w:w="1846" w:type="dxa"/>
            <w:vAlign w:val="center"/>
          </w:tcPr>
          <w:p>
            <w:pPr>
              <w:widowControl/>
              <w:snapToGrid w:val="0"/>
              <w:jc w:val="center"/>
              <w:rPr>
                <w:rFonts w:hint="default" w:ascii="仿宋" w:hAnsi="仿宋" w:eastAsia="仿宋" w:cs="仿宋"/>
                <w:color w:val="000000"/>
                <w:kern w:val="0"/>
                <w:sz w:val="24"/>
                <w:szCs w:val="24"/>
                <w:lang w:val="en-US"/>
              </w:rPr>
            </w:pPr>
            <w:r>
              <w:rPr>
                <w:rFonts w:hint="eastAsia" w:ascii="仿宋" w:hAnsi="仿宋" w:eastAsia="仿宋" w:cs="仿宋"/>
                <w:b w:val="0"/>
                <w:bCs w:val="0"/>
                <w:color w:val="000000"/>
                <w:kern w:val="0"/>
                <w:sz w:val="24"/>
                <w:szCs w:val="24"/>
                <w:lang w:val="en-US" w:eastAsia="zh-CN"/>
              </w:rPr>
              <w:t>30.00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86" w:hRule="atLeast"/>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D效益</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10.00</w:t>
            </w:r>
          </w:p>
        </w:tc>
        <w:tc>
          <w:tcPr>
            <w:tcW w:w="184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合计</w:t>
            </w:r>
          </w:p>
        </w:tc>
        <w:tc>
          <w:tcPr>
            <w:tcW w:w="1846" w:type="dxa"/>
            <w:vAlign w:val="center"/>
          </w:tcPr>
          <w:p>
            <w:pPr>
              <w:widowControl/>
              <w:snapToGrid w:val="0"/>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100.00</w:t>
            </w:r>
          </w:p>
        </w:tc>
        <w:tc>
          <w:tcPr>
            <w:tcW w:w="184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93.00</w:t>
            </w:r>
          </w:p>
        </w:tc>
        <w:tc>
          <w:tcPr>
            <w:tcW w:w="2374"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93.00%</w:t>
            </w:r>
          </w:p>
        </w:tc>
      </w:tr>
    </w:tbl>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67" w:name="_Toc22836"/>
      <w:r>
        <w:rPr>
          <w:rFonts w:hint="eastAsia" w:ascii="Times New Roman" w:hAnsi="Times New Roman" w:eastAsia="黑体" w:cs="Times New Roman"/>
          <w:bCs/>
          <w:kern w:val="44"/>
          <w:sz w:val="32"/>
          <w:szCs w:val="32"/>
          <w:lang w:val="en-US" w:eastAsia="zh-CN"/>
        </w:rPr>
        <w:t>四、绩效评价指标分析</w:t>
      </w:r>
      <w:bookmarkEnd w:id="67"/>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68" w:name="_Toc13961"/>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一</w:t>
      </w:r>
      <w:r>
        <w:rPr>
          <w:rFonts w:hint="eastAsia" w:ascii="仿宋" w:hAnsi="仿宋" w:eastAsia="仿宋" w:cs="Times New Roman"/>
          <w:b/>
          <w:bCs/>
          <w:sz w:val="32"/>
          <w:szCs w:val="32"/>
          <w:lang w:eastAsia="zh-CN"/>
        </w:rPr>
        <w:t>）</w:t>
      </w:r>
      <w:bookmarkEnd w:id="55"/>
      <w:bookmarkEnd w:id="56"/>
      <w:bookmarkEnd w:id="57"/>
      <w:bookmarkEnd w:id="58"/>
      <w:bookmarkEnd w:id="59"/>
      <w:bookmarkEnd w:id="60"/>
      <w:bookmarkEnd w:id="61"/>
      <w:bookmarkEnd w:id="62"/>
      <w:bookmarkEnd w:id="63"/>
      <w:bookmarkEnd w:id="64"/>
      <w:bookmarkEnd w:id="65"/>
      <w:r>
        <w:rPr>
          <w:rFonts w:hint="eastAsia" w:ascii="仿宋" w:hAnsi="仿宋" w:eastAsia="仿宋" w:cs="Times New Roman"/>
          <w:b/>
          <w:bCs/>
          <w:sz w:val="32"/>
          <w:szCs w:val="32"/>
          <w:lang w:val="en-US" w:eastAsia="zh-CN"/>
        </w:rPr>
        <w:t>项目决策</w:t>
      </w:r>
      <w:bookmarkEnd w:id="68"/>
    </w:p>
    <w:p>
      <w:pPr>
        <w:widowControl/>
        <w:spacing w:line="574" w:lineRule="exact"/>
        <w:ind w:firstLine="560" w:firstLineChars="200"/>
        <w:rPr>
          <w:rFonts w:ascii="仿宋_GB2312" w:eastAsia="仿宋_GB2312"/>
          <w:snapToGrid w:val="0"/>
          <w:sz w:val="32"/>
          <w:szCs w:val="32"/>
        </w:rPr>
      </w:pPr>
      <w:r>
        <w:rPr>
          <w:rFonts w:hint="eastAsia" w:ascii="Times New Roman" w:hAnsi="Times New Roman" w:eastAsia="仿宋_GB2312" w:cs="Times New Roman"/>
          <w:bCs/>
          <w:kern w:val="0"/>
          <w:sz w:val="28"/>
          <w:szCs w:val="32"/>
          <w:lang w:val="en-US" w:eastAsia="zh-CN"/>
        </w:rPr>
        <w:t>决策类指标权重分20.00分，实际得分为17.00分。指标得分情况表如下</w:t>
      </w:r>
      <w:r>
        <w:rPr>
          <w:rFonts w:hint="eastAsia" w:ascii="仿宋" w:hAnsi="仿宋" w:eastAsia="仿宋" w:cs="仿宋"/>
          <w:snapToGrid w:val="0"/>
          <w:sz w:val="28"/>
          <w:szCs w:val="28"/>
        </w:rPr>
        <w:t>：</w:t>
      </w:r>
    </w:p>
    <w:p>
      <w:pPr>
        <w:autoSpaceDE w:val="0"/>
        <w:autoSpaceDN w:val="0"/>
        <w:adjustRightInd w:val="0"/>
        <w:spacing w:line="500" w:lineRule="exact"/>
        <w:jc w:val="center"/>
        <w:rPr>
          <w:rFonts w:hint="eastAsia" w:ascii="Times New Roman" w:hAnsi="Times New Roman" w:eastAsia="仿宋" w:cs="Times New Roman"/>
          <w:b/>
          <w:bCs/>
          <w:color w:val="000000"/>
          <w:kern w:val="0"/>
          <w:sz w:val="24"/>
          <w:szCs w:val="28"/>
        </w:rPr>
      </w:pPr>
      <w:r>
        <w:rPr>
          <w:rFonts w:hint="eastAsia" w:ascii="Times New Roman" w:hAnsi="Times New Roman" w:eastAsia="仿宋" w:cs="Times New Roman"/>
          <w:b/>
          <w:bCs/>
          <w:color w:val="000000"/>
          <w:kern w:val="0"/>
          <w:sz w:val="24"/>
          <w:szCs w:val="28"/>
        </w:rPr>
        <w:t>表4-1</w:t>
      </w:r>
      <w:r>
        <w:rPr>
          <w:rFonts w:hint="eastAsia" w:ascii="Times New Roman" w:hAnsi="Times New Roman" w:eastAsia="仿宋" w:cs="Times New Roman"/>
          <w:b/>
          <w:bCs/>
          <w:color w:val="000000"/>
          <w:kern w:val="0"/>
          <w:sz w:val="24"/>
          <w:szCs w:val="28"/>
          <w:lang w:val="en-US" w:eastAsia="zh-CN"/>
        </w:rPr>
        <w:t>决策</w:t>
      </w:r>
      <w:r>
        <w:rPr>
          <w:rFonts w:hint="eastAsia" w:ascii="Times New Roman" w:hAnsi="Times New Roman" w:eastAsia="仿宋" w:cs="Times New Roman"/>
          <w:b/>
          <w:bCs/>
          <w:color w:val="000000"/>
          <w:kern w:val="0"/>
          <w:sz w:val="24"/>
          <w:szCs w:val="28"/>
        </w:rPr>
        <w:t>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983"/>
        <w:gridCol w:w="3066"/>
        <w:gridCol w:w="966"/>
        <w:gridCol w:w="966"/>
        <w:gridCol w:w="154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306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96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96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541"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A1项目立项</w:t>
            </w: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AII立项依据充分性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rPr>
              <w:t>4.00</w:t>
            </w:r>
          </w:p>
        </w:tc>
        <w:tc>
          <w:tcPr>
            <w:tcW w:w="1541"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A12立项程序规范性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rPr>
              <w:t>4.00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983"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A2绩效目标</w:t>
            </w:r>
          </w:p>
        </w:tc>
        <w:tc>
          <w:tcPr>
            <w:tcW w:w="306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A21绩效目标合理性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rPr>
              <w:t>2.00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A22绩效目标明确性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96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25.00%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A</w:t>
            </w:r>
            <w:r>
              <w:rPr>
                <w:rFonts w:hint="eastAsia" w:ascii="仿宋" w:hAnsi="仿宋" w:eastAsia="仿宋" w:cs="仿宋"/>
                <w:b w:val="0"/>
                <w:bCs w:val="0"/>
                <w:color w:val="000000"/>
                <w:kern w:val="0"/>
                <w:sz w:val="24"/>
                <w:szCs w:val="24"/>
                <w:lang w:val="en-US" w:eastAsia="zh-CN"/>
              </w:rPr>
              <w:t>3</w:t>
            </w:r>
            <w:r>
              <w:rPr>
                <w:rFonts w:hint="eastAsia" w:ascii="仿宋" w:hAnsi="仿宋" w:eastAsia="仿宋" w:cs="仿宋"/>
                <w:b w:val="0"/>
                <w:bCs w:val="0"/>
                <w:color w:val="000000"/>
                <w:kern w:val="0"/>
                <w:sz w:val="24"/>
                <w:szCs w:val="24"/>
              </w:rPr>
              <w:t>资金</w:t>
            </w:r>
            <w:r>
              <w:rPr>
                <w:rFonts w:hint="eastAsia" w:ascii="仿宋" w:hAnsi="仿宋" w:eastAsia="仿宋" w:cs="仿宋"/>
                <w:b w:val="0"/>
                <w:bCs w:val="0"/>
                <w:color w:val="000000"/>
                <w:kern w:val="0"/>
                <w:sz w:val="24"/>
                <w:szCs w:val="24"/>
                <w:lang w:val="en-US" w:eastAsia="zh-CN"/>
              </w:rPr>
              <w:t>投入</w:t>
            </w: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A31资金筹集使用规范性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6.00</w:t>
            </w:r>
          </w:p>
        </w:tc>
        <w:tc>
          <w:tcPr>
            <w:tcW w:w="96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5049" w:type="dxa"/>
            <w:gridSpan w:val="2"/>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合计</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20.00</w:t>
            </w:r>
          </w:p>
        </w:tc>
        <w:tc>
          <w:tcPr>
            <w:tcW w:w="96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17.00</w:t>
            </w:r>
          </w:p>
        </w:tc>
        <w:tc>
          <w:tcPr>
            <w:tcW w:w="1541"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85.00%</w:t>
            </w:r>
          </w:p>
        </w:tc>
      </w:tr>
    </w:tbl>
    <w:p>
      <w:pPr>
        <w:widowControl/>
        <w:spacing w:line="574" w:lineRule="exact"/>
        <w:ind w:firstLine="562" w:firstLineChars="200"/>
        <w:rPr>
          <w:rFonts w:hint="eastAsia" w:ascii="仿宋" w:hAnsi="仿宋" w:eastAsia="仿宋" w:cs="仿宋"/>
          <w:b/>
          <w:snapToGrid w:val="0"/>
          <w:sz w:val="28"/>
          <w:szCs w:val="28"/>
          <w:lang w:eastAsia="zh-CN"/>
        </w:rPr>
      </w:pPr>
      <w:r>
        <w:rPr>
          <w:rFonts w:hint="eastAsia" w:ascii="仿宋" w:hAnsi="仿宋" w:eastAsia="仿宋" w:cs="仿宋"/>
          <w:b/>
          <w:snapToGrid w:val="0"/>
          <w:sz w:val="28"/>
          <w:szCs w:val="28"/>
        </w:rPr>
        <w:t>AII立项依据充分性</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满分4.00分，得分4.00分。</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通过对相关法律法规、政策文件的研读和对项目实施单位提供资料的核实，专项债券古县五马至古阳段城乡供水工程项目，符合国家法律法规、国民经济发展规划和古县城市发展规划；专项债券项目属于国家和省委省政府确定的重点行业、重点区域、重大项目；项目属于国家新增专项债券资金投向领域，符合财政部确定的新增专项债券投向领域清单要求；项目已纳入财政部地方政府债务管理系统项目库和发改委国家重大项目建设库。项目以《古县国民经济和社会发展第十四个五年规划》、《古县城市总体规划》、《古县五马至古阳段城乡供水工可行性研究报告》、古县行政审批服务管理局《关于古县城乡水务有限公司古县五马至古阳段城乡供水工程可行性研究报告（代项目建议书）的批复》（古审管审发〔2021〕31号）、《古县行政审批服务管理局关于对古县五马至古阳段城乡供水工程初步设计的批复》（古审管审发〔2022〕9号）、《古县城乡水务公司关于古县五马至古阳段城乡供水工程专项债券申请报告》（古水务呈〔2021〕19号）等文件等文件作为依据；项目申报、审核、批复资料基本齐全、准确、符合相关要求，立项依据充分。</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根据评分标准，该项得满分。</w:t>
      </w:r>
    </w:p>
    <w:p>
      <w:pPr>
        <w:widowControl/>
        <w:spacing w:line="574" w:lineRule="exact"/>
        <w:ind w:firstLine="562" w:firstLineChars="200"/>
        <w:rPr>
          <w:rFonts w:hint="eastAsia" w:ascii="仿宋" w:hAnsi="仿宋" w:eastAsia="仿宋" w:cs="仿宋"/>
          <w:b/>
          <w:snapToGrid w:val="0"/>
          <w:sz w:val="28"/>
          <w:szCs w:val="28"/>
          <w:lang w:eastAsia="zh-CN"/>
        </w:rPr>
      </w:pPr>
      <w:r>
        <w:rPr>
          <w:rFonts w:hint="eastAsia" w:ascii="仿宋" w:hAnsi="仿宋" w:eastAsia="仿宋" w:cs="仿宋"/>
          <w:b/>
          <w:snapToGrid w:val="0"/>
          <w:sz w:val="28"/>
          <w:szCs w:val="28"/>
        </w:rPr>
        <w:t>A12立项程序规范性</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满分4.00分，得分4.00分。</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按照规定的程序申请设立，项目审批符合相关要求；项目已经过必要的可行性研究、事前绩效评估和集体决策：项目建议书由实施单位向行政审批部门递交，古县行政审批服务管理局《关于古县城乡水务有限公司古县五马至古阳段城乡供水工程可行性研究报告（代项目建议书）的批复》（古审管审发〔2021〕31号）、《古县行政审批服务管理局关于对古县五马至古阳段城乡供水工程初步设计的批复》（古审管审发〔2022〕9号）等文件批复项目立项和初步设计；经查询，项目单位未被中国人民银行列入征信系统黑名单；经查询，项目主体及有关主要负责人未被人民法院列为被执行人。根据评分标准，该项得满分。</w:t>
      </w:r>
    </w:p>
    <w:p>
      <w:pPr>
        <w:widowControl/>
        <w:spacing w:line="574" w:lineRule="exact"/>
        <w:ind w:firstLine="562" w:firstLineChars="200"/>
        <w:rPr>
          <w:rFonts w:hint="eastAsia" w:ascii="仿宋" w:hAnsi="仿宋" w:eastAsia="仿宋" w:cs="仿宋"/>
          <w:b/>
          <w:snapToGrid w:val="0"/>
          <w:sz w:val="28"/>
          <w:szCs w:val="28"/>
          <w:lang w:eastAsia="zh-CN"/>
        </w:rPr>
      </w:pPr>
      <w:r>
        <w:rPr>
          <w:rFonts w:hint="eastAsia" w:ascii="仿宋" w:hAnsi="仿宋" w:eastAsia="仿宋" w:cs="仿宋"/>
          <w:b/>
          <w:snapToGrid w:val="0"/>
          <w:sz w:val="28"/>
          <w:szCs w:val="28"/>
        </w:rPr>
        <w:t>A21绩效目标合理性</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满分2.00分，得分2.00分</w:t>
      </w:r>
    </w:p>
    <w:p>
      <w:pPr>
        <w:widowControl/>
        <w:spacing w:line="574" w:lineRule="exact"/>
        <w:ind w:firstLine="560" w:firstLineChars="200"/>
        <w:rPr>
          <w:rFonts w:hint="eastAsia" w:ascii="仿宋" w:hAnsi="仿宋" w:eastAsia="仿宋" w:cs="仿宋"/>
          <w:b/>
          <w:snapToGrid w:val="0"/>
          <w:sz w:val="28"/>
          <w:szCs w:val="28"/>
        </w:rPr>
      </w:pPr>
      <w:r>
        <w:rPr>
          <w:rFonts w:hint="eastAsia" w:ascii="Times New Roman" w:hAnsi="Times New Roman" w:eastAsia="仿宋_GB2312" w:cs="Times New Roman"/>
          <w:bCs/>
          <w:kern w:val="0"/>
          <w:sz w:val="28"/>
          <w:szCs w:val="32"/>
          <w:lang w:val="en-US" w:eastAsia="zh-CN"/>
        </w:rPr>
        <w:t>专项债券古县五马至古阳段城乡供水工程项目绩效总目标为：</w:t>
      </w:r>
      <w:r>
        <w:rPr>
          <w:rFonts w:hint="eastAsia" w:ascii="Times New Roman" w:hAnsi="Times New Roman" w:eastAsia="仿宋_GB2312" w:cs="Times New Roman"/>
          <w:b w:val="0"/>
          <w:bCs w:val="0"/>
          <w:kern w:val="2"/>
          <w:sz w:val="28"/>
          <w:szCs w:val="24"/>
          <w:lang w:val="en-US" w:eastAsia="zh-CN" w:bidi="ar-SA"/>
        </w:rPr>
        <w:t>开展专项债券古县五马至古阳段城乡供水工程项目，解决项目区的用水问题，保障工业供水需求，改善古县岳阳镇、古阳镇工业发展过程中供水能力与发展规模不匹配的问题</w:t>
      </w:r>
      <w:r>
        <w:rPr>
          <w:rFonts w:hint="eastAsia" w:ascii="Times New Roman" w:hAnsi="Times New Roman" w:eastAsia="仿宋_GB2312" w:cs="Times New Roman"/>
          <w:bCs/>
          <w:kern w:val="0"/>
          <w:sz w:val="28"/>
          <w:szCs w:val="32"/>
          <w:lang w:val="en-US" w:eastAsia="zh-CN"/>
        </w:rPr>
        <w:t>。项目具体绩效目标见上文。专项债券项目申报时制定了相应的绩效目标，绩效目标与债券资金投入的项目内容相符；设定的绩效目标切合实际，规范合理；绩效目标指标值符合当地经济社会发展需求。根据评分标准，该项得满分。</w:t>
      </w:r>
    </w:p>
    <w:p>
      <w:pPr>
        <w:widowControl/>
        <w:spacing w:line="574" w:lineRule="exact"/>
        <w:ind w:firstLine="562" w:firstLineChars="200"/>
        <w:rPr>
          <w:rFonts w:hint="eastAsia" w:ascii="仿宋" w:hAnsi="仿宋" w:eastAsia="仿宋" w:cs="仿宋"/>
          <w:b/>
          <w:snapToGrid w:val="0"/>
          <w:sz w:val="28"/>
          <w:szCs w:val="28"/>
          <w:lang w:eastAsia="zh-CN"/>
        </w:rPr>
      </w:pPr>
      <w:r>
        <w:rPr>
          <w:rFonts w:hint="eastAsia" w:ascii="仿宋" w:hAnsi="仿宋" w:eastAsia="仿宋" w:cs="仿宋"/>
          <w:b/>
          <w:snapToGrid w:val="0"/>
          <w:sz w:val="28"/>
          <w:szCs w:val="28"/>
        </w:rPr>
        <w:t>A22绩效目标明确性</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满分4.00分，得分1.00分。</w:t>
      </w:r>
    </w:p>
    <w:p>
      <w:pPr>
        <w:widowControl/>
        <w:spacing w:line="574" w:lineRule="exact"/>
        <w:ind w:firstLine="560" w:firstLineChars="200"/>
        <w:rPr>
          <w:rFonts w:hint="eastAsia" w:ascii="仿宋" w:hAnsi="仿宋" w:eastAsia="仿宋" w:cs="仿宋"/>
          <w:b w:val="0"/>
          <w:bCs/>
          <w:snapToGrid w:val="0"/>
          <w:sz w:val="28"/>
          <w:szCs w:val="28"/>
          <w:lang w:eastAsia="zh-CN"/>
        </w:rPr>
      </w:pPr>
      <w:r>
        <w:rPr>
          <w:rFonts w:hint="eastAsia" w:ascii="Times New Roman" w:hAnsi="Times New Roman" w:eastAsia="仿宋_GB2312" w:cs="Times New Roman"/>
          <w:bCs/>
          <w:kern w:val="0"/>
          <w:sz w:val="28"/>
          <w:szCs w:val="32"/>
          <w:lang w:val="en-US" w:eastAsia="zh-CN"/>
        </w:rPr>
        <w:t>项目绩效目标除了总体目标外还设立了分阶段（或分年度）目标；但根据项目单位提供的《绩效目标申报表》等资料，评价发现，项目相应指标值的设定不够完整，无法与项目目标任务数（或计划数）一一对应；细化分解的具体指标时间点、工作量、工作内容未达到设定清晰、可衡量、可量化的指标设定标准；设定的指标不利于日后的考核评价。根据评分标准，该项得1.00分。</w:t>
      </w:r>
    </w:p>
    <w:p>
      <w:pPr>
        <w:widowControl/>
        <w:spacing w:line="574" w:lineRule="exact"/>
        <w:ind w:firstLine="562" w:firstLineChars="200"/>
        <w:rPr>
          <w:rFonts w:hint="default" w:ascii="仿宋" w:hAnsi="仿宋" w:eastAsia="仿宋" w:cs="仿宋"/>
          <w:b/>
          <w:snapToGrid w:val="0"/>
          <w:sz w:val="28"/>
          <w:szCs w:val="28"/>
          <w:lang w:val="en-US" w:eastAsia="zh-CN"/>
        </w:rPr>
      </w:pPr>
      <w:r>
        <w:rPr>
          <w:rFonts w:hint="eastAsia" w:ascii="仿宋" w:hAnsi="仿宋" w:eastAsia="仿宋" w:cs="仿宋"/>
          <w:b/>
          <w:snapToGrid w:val="0"/>
          <w:sz w:val="28"/>
          <w:szCs w:val="28"/>
        </w:rPr>
        <w:t>A31资金筹集使用规范性</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满分6.00分，得分6.00分。</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项目资金来源符合相关规定：本项目资金来源为申请上级资金、专项债券资金、县级配套资金。</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制定了与项目全生命周期相对应的资金筹集、使用、偿还计划：根据实施单位提供的《2021年临汾市古县五马至古阳段城乡供水工程项目专项债券项目情况及资金平衡方案》，项目资金筹集、使用、偿还计划与项目全生命周期相对应。</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建设期内制定了较详细的资金使用计划，资金使用计划与资金平衡方案设定的计划支出进度相符：根据实施单位提供的项目《资金使用计划安排表》，项目资金使用与项目计划进度相对应，项目资金使用周期为2021年至2023年，项目资金平衡方案设定的计划支出进度为2021年至2023年。</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资金使用范围和规模与绩效目标以及实际需求相适应：项目初步设计批复总投资18166.32万元，其中工程费用13577.52万元、其他费用2559.67万元、基本预备费用1881.03万元、因募投专项债券产生建设期利息148.10万元；项目资金使用范围为项目实施产生的工程费用、其他费用、基本费用、建设期利息，与绩效目标及项目实际需求相适应。</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专项债券期限与项目运营期限相匹配：本项目申请额度专项债券期限为15年期6000万元、20年期4000万元，最终还本时间为2041年；项目运营期限为2023年-2041年，二者期限相匹配。</w:t>
      </w:r>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_GB2312" w:cs="Times New Roman"/>
          <w:bCs/>
          <w:kern w:val="0"/>
          <w:sz w:val="28"/>
          <w:szCs w:val="32"/>
          <w:lang w:val="en-US" w:eastAsia="zh-CN"/>
        </w:rPr>
        <w:t>根据评分标准，该项得满分</w:t>
      </w:r>
      <w:r>
        <w:rPr>
          <w:rFonts w:hint="eastAsia" w:ascii="仿宋" w:hAnsi="仿宋" w:eastAsia="仿宋" w:cs="仿宋"/>
          <w:snapToGrid w:val="0"/>
          <w:sz w:val="28"/>
          <w:szCs w:val="28"/>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69" w:name="_Toc25626"/>
      <w:r>
        <w:rPr>
          <w:rFonts w:hint="eastAsia" w:ascii="仿宋" w:hAnsi="仿宋" w:eastAsia="仿宋" w:cs="Times New Roman"/>
          <w:b/>
          <w:bCs/>
          <w:sz w:val="32"/>
          <w:szCs w:val="32"/>
          <w:lang w:val="en-US" w:eastAsia="zh-CN"/>
        </w:rPr>
        <w:t>（二）项目管理</w:t>
      </w:r>
      <w:bookmarkEnd w:id="69"/>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_GB2312" w:cs="Times New Roman"/>
          <w:bCs/>
          <w:kern w:val="0"/>
          <w:sz w:val="28"/>
          <w:szCs w:val="32"/>
          <w:lang w:val="en-US" w:eastAsia="zh-CN"/>
        </w:rPr>
        <w:t>管理类指标权重40.00分，实际得分36.00分。指标得分情况如表4-2所示</w:t>
      </w:r>
      <w:r>
        <w:rPr>
          <w:rFonts w:hint="eastAsia" w:ascii="仿宋" w:hAnsi="仿宋" w:eastAsia="仿宋" w:cs="仿宋"/>
          <w:snapToGrid w:val="0"/>
          <w:color w:val="auto"/>
          <w:sz w:val="28"/>
          <w:szCs w:val="28"/>
        </w:rPr>
        <w:t>：</w:t>
      </w:r>
    </w:p>
    <w:p>
      <w:pPr>
        <w:widowControl/>
        <w:spacing w:line="574" w:lineRule="exact"/>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表4-2过程类指标得分情况</w:t>
      </w:r>
    </w:p>
    <w:tbl>
      <w:tblPr>
        <w:tblStyle w:val="21"/>
        <w:tblW w:w="85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561"/>
        <w:gridCol w:w="3544"/>
        <w:gridCol w:w="1144"/>
        <w:gridCol w:w="845"/>
        <w:gridCol w:w="142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561"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3544"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1144"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845"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428"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05" w:hRule="atLeast"/>
          <w:jc w:val="center"/>
        </w:trPr>
        <w:tc>
          <w:tcPr>
            <w:tcW w:w="1561"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w:t>
            </w:r>
            <w:r>
              <w:rPr>
                <w:rFonts w:hint="eastAsia" w:ascii="仿宋" w:hAnsi="仿宋" w:eastAsia="仿宋" w:cs="仿宋"/>
                <w:b w:val="0"/>
                <w:bCs w:val="0"/>
                <w:color w:val="000000"/>
                <w:kern w:val="0"/>
                <w:sz w:val="24"/>
                <w:szCs w:val="24"/>
                <w:lang w:val="en-US" w:eastAsia="zh-CN"/>
              </w:rPr>
              <w:t>资金</w:t>
            </w:r>
            <w:r>
              <w:rPr>
                <w:rFonts w:hint="eastAsia" w:ascii="仿宋" w:hAnsi="仿宋" w:eastAsia="仿宋" w:cs="仿宋"/>
                <w:b w:val="0"/>
                <w:bCs w:val="0"/>
                <w:color w:val="000000"/>
                <w:kern w:val="0"/>
                <w:sz w:val="24"/>
                <w:szCs w:val="24"/>
              </w:rPr>
              <w:t>管理</w:t>
            </w:r>
          </w:p>
        </w:tc>
        <w:tc>
          <w:tcPr>
            <w:tcW w:w="354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B11债券资金到位率</w:t>
            </w:r>
          </w:p>
        </w:tc>
        <w:tc>
          <w:tcPr>
            <w:tcW w:w="1144"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845"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561"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54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B12自筹资金到位率</w:t>
            </w:r>
          </w:p>
        </w:tc>
        <w:tc>
          <w:tcPr>
            <w:tcW w:w="114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3.00</w:t>
            </w:r>
          </w:p>
        </w:tc>
        <w:tc>
          <w:tcPr>
            <w:tcW w:w="845" w:type="dxa"/>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0.00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90" w:hRule="atLeast"/>
          <w:jc w:val="center"/>
        </w:trPr>
        <w:tc>
          <w:tcPr>
            <w:tcW w:w="1561"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54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B13资金支出进度率</w:t>
            </w:r>
          </w:p>
        </w:tc>
        <w:tc>
          <w:tcPr>
            <w:tcW w:w="1144" w:type="dxa"/>
            <w:vAlign w:val="center"/>
          </w:tcPr>
          <w:p>
            <w:pPr>
              <w:widowControl/>
              <w:snapToGrid w:val="0"/>
              <w:jc w:val="center"/>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lang w:val="en-US" w:eastAsia="zh-CN"/>
              </w:rPr>
              <w:t>6.00</w:t>
            </w:r>
          </w:p>
        </w:tc>
        <w:tc>
          <w:tcPr>
            <w:tcW w:w="845" w:type="dxa"/>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6.00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561"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54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B14资金申请和归集规范性</w:t>
            </w:r>
          </w:p>
        </w:tc>
        <w:tc>
          <w:tcPr>
            <w:tcW w:w="1144"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845" w:type="dxa"/>
            <w:vAlign w:val="center"/>
          </w:tcPr>
          <w:p>
            <w:pPr>
              <w:widowControl/>
              <w:snapToGrid w:val="0"/>
              <w:jc w:val="center"/>
              <w:rPr>
                <w:rFonts w:hint="eastAsia"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4.00</w:t>
            </w:r>
          </w:p>
        </w:tc>
        <w:tc>
          <w:tcPr>
            <w:tcW w:w="1428"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561"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54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B15成本控制有效性</w:t>
            </w:r>
          </w:p>
        </w:tc>
        <w:tc>
          <w:tcPr>
            <w:tcW w:w="1144"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w:t>
            </w:r>
          </w:p>
        </w:tc>
        <w:tc>
          <w:tcPr>
            <w:tcW w:w="845" w:type="dxa"/>
            <w:vAlign w:val="center"/>
          </w:tcPr>
          <w:p>
            <w:pPr>
              <w:widowControl/>
              <w:snapToGrid w:val="0"/>
              <w:jc w:val="center"/>
              <w:rPr>
                <w:rFonts w:hint="eastAsia"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3.00</w:t>
            </w:r>
          </w:p>
        </w:tc>
        <w:tc>
          <w:tcPr>
            <w:tcW w:w="1428"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561"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54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B16本息缴付及时性</w:t>
            </w:r>
          </w:p>
        </w:tc>
        <w:tc>
          <w:tcPr>
            <w:tcW w:w="1144"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w:t>
            </w:r>
          </w:p>
        </w:tc>
        <w:tc>
          <w:tcPr>
            <w:tcW w:w="845" w:type="dxa"/>
            <w:vAlign w:val="center"/>
          </w:tcPr>
          <w:p>
            <w:pPr>
              <w:widowControl/>
              <w:snapToGrid w:val="0"/>
              <w:jc w:val="center"/>
              <w:rPr>
                <w:rFonts w:hint="eastAsia"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3.00</w:t>
            </w:r>
          </w:p>
        </w:tc>
        <w:tc>
          <w:tcPr>
            <w:tcW w:w="1428"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90" w:hRule="atLeast"/>
          <w:jc w:val="center"/>
        </w:trPr>
        <w:tc>
          <w:tcPr>
            <w:tcW w:w="1561"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54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B17资金使用合规性</w:t>
            </w:r>
          </w:p>
        </w:tc>
        <w:tc>
          <w:tcPr>
            <w:tcW w:w="1144"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845" w:type="dxa"/>
            <w:vAlign w:val="center"/>
          </w:tcPr>
          <w:p>
            <w:pPr>
              <w:widowControl/>
              <w:snapToGrid w:val="0"/>
              <w:jc w:val="center"/>
              <w:rPr>
                <w:rFonts w:hint="eastAsia"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4.00</w:t>
            </w:r>
          </w:p>
        </w:tc>
        <w:tc>
          <w:tcPr>
            <w:tcW w:w="1428"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561" w:type="dxa"/>
            <w:vMerge w:val="restart"/>
            <w:vAlign w:val="center"/>
          </w:tcPr>
          <w:p>
            <w:pPr>
              <w:widowControl/>
              <w:snapToGrid w:val="0"/>
              <w:jc w:val="center"/>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rPr>
              <w:t>B2</w:t>
            </w:r>
            <w:r>
              <w:rPr>
                <w:rFonts w:hint="eastAsia" w:ascii="仿宋" w:hAnsi="仿宋" w:eastAsia="仿宋" w:cs="仿宋"/>
                <w:b w:val="0"/>
                <w:bCs w:val="0"/>
                <w:color w:val="000000"/>
                <w:kern w:val="0"/>
                <w:sz w:val="24"/>
                <w:szCs w:val="24"/>
                <w:lang w:val="en-US" w:eastAsia="zh-CN"/>
              </w:rPr>
              <w:t>组织管理</w:t>
            </w:r>
          </w:p>
        </w:tc>
        <w:tc>
          <w:tcPr>
            <w:tcW w:w="354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B21运行机制有效性</w:t>
            </w:r>
          </w:p>
        </w:tc>
        <w:tc>
          <w:tcPr>
            <w:tcW w:w="114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3.00</w:t>
            </w:r>
          </w:p>
        </w:tc>
        <w:tc>
          <w:tcPr>
            <w:tcW w:w="845"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561"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54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B22管理制度健全性</w:t>
            </w:r>
          </w:p>
        </w:tc>
        <w:tc>
          <w:tcPr>
            <w:tcW w:w="1144"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w:t>
            </w:r>
          </w:p>
        </w:tc>
        <w:tc>
          <w:tcPr>
            <w:tcW w:w="845"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66.67%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561"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54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B23制度执行有效性</w:t>
            </w:r>
          </w:p>
        </w:tc>
        <w:tc>
          <w:tcPr>
            <w:tcW w:w="1144"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w:t>
            </w:r>
          </w:p>
        </w:tc>
        <w:tc>
          <w:tcPr>
            <w:tcW w:w="845" w:type="dxa"/>
            <w:vAlign w:val="center"/>
          </w:tcPr>
          <w:p>
            <w:pPr>
              <w:widowControl/>
              <w:snapToGrid w:val="0"/>
              <w:jc w:val="center"/>
              <w:rPr>
                <w:rFonts w:hint="eastAsia"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3.00</w:t>
            </w:r>
          </w:p>
        </w:tc>
        <w:tc>
          <w:tcPr>
            <w:tcW w:w="1428"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61"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54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B24采购管理规范性</w:t>
            </w:r>
          </w:p>
        </w:tc>
        <w:tc>
          <w:tcPr>
            <w:tcW w:w="1144"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845" w:type="dxa"/>
            <w:vAlign w:val="center"/>
          </w:tcPr>
          <w:p>
            <w:pPr>
              <w:widowControl/>
              <w:snapToGrid w:val="0"/>
              <w:jc w:val="center"/>
              <w:rPr>
                <w:rFonts w:hint="eastAsia"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2.00</w:t>
            </w:r>
          </w:p>
        </w:tc>
        <w:tc>
          <w:tcPr>
            <w:tcW w:w="1428"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561"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544"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B25信息公开规范性</w:t>
            </w:r>
          </w:p>
        </w:tc>
        <w:tc>
          <w:tcPr>
            <w:tcW w:w="1144"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w:t>
            </w:r>
          </w:p>
        </w:tc>
        <w:tc>
          <w:tcPr>
            <w:tcW w:w="845" w:type="dxa"/>
            <w:vAlign w:val="center"/>
          </w:tcPr>
          <w:p>
            <w:pPr>
              <w:widowControl/>
              <w:snapToGrid w:val="0"/>
              <w:jc w:val="center"/>
              <w:rPr>
                <w:rFonts w:hint="eastAsia"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1.00</w:t>
            </w:r>
          </w:p>
        </w:tc>
        <w:tc>
          <w:tcPr>
            <w:tcW w:w="1428"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561"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54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B26问题整改情况</w:t>
            </w:r>
          </w:p>
        </w:tc>
        <w:tc>
          <w:tcPr>
            <w:tcW w:w="1144"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w:t>
            </w:r>
          </w:p>
        </w:tc>
        <w:tc>
          <w:tcPr>
            <w:tcW w:w="845" w:type="dxa"/>
            <w:vAlign w:val="center"/>
          </w:tcPr>
          <w:p>
            <w:pPr>
              <w:widowControl/>
              <w:snapToGrid w:val="0"/>
              <w:jc w:val="center"/>
              <w:rPr>
                <w:rFonts w:hint="eastAsia"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1.00</w:t>
            </w:r>
          </w:p>
        </w:tc>
        <w:tc>
          <w:tcPr>
            <w:tcW w:w="1428"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561"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54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B27信息系统管理和使用规范性</w:t>
            </w:r>
          </w:p>
        </w:tc>
        <w:tc>
          <w:tcPr>
            <w:tcW w:w="1144"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845" w:type="dxa"/>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2.00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5105" w:type="dxa"/>
            <w:gridSpan w:val="2"/>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合计</w:t>
            </w:r>
          </w:p>
        </w:tc>
        <w:tc>
          <w:tcPr>
            <w:tcW w:w="1144" w:type="dxa"/>
            <w:vAlign w:val="center"/>
          </w:tcPr>
          <w:p>
            <w:pPr>
              <w:widowControl/>
              <w:snapToGrid w:val="0"/>
              <w:jc w:val="center"/>
              <w:rPr>
                <w:rFonts w:hint="default" w:ascii="仿宋" w:hAnsi="仿宋" w:eastAsia="仿宋" w:cs="仿宋"/>
                <w:b w:val="0"/>
                <w:bCs w:val="0"/>
                <w:color w:val="000000"/>
                <w:kern w:val="0"/>
                <w:sz w:val="24"/>
                <w:szCs w:val="24"/>
                <w:lang w:val="en-US"/>
              </w:rPr>
            </w:pPr>
            <w:r>
              <w:rPr>
                <w:rFonts w:hint="eastAsia" w:ascii="仿宋" w:hAnsi="仿宋" w:eastAsia="仿宋" w:cs="仿宋"/>
                <w:b w:val="0"/>
                <w:bCs w:val="0"/>
                <w:color w:val="000000"/>
                <w:kern w:val="0"/>
                <w:sz w:val="24"/>
                <w:szCs w:val="24"/>
                <w:lang w:val="en-US" w:eastAsia="zh-CN"/>
              </w:rPr>
              <w:t>40.00</w:t>
            </w:r>
          </w:p>
        </w:tc>
        <w:tc>
          <w:tcPr>
            <w:tcW w:w="845"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36.00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90.00%</w:t>
            </w:r>
          </w:p>
        </w:tc>
      </w:tr>
    </w:tbl>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1、资金管理</w:t>
      </w:r>
    </w:p>
    <w:p>
      <w:pPr>
        <w:widowControl/>
        <w:spacing w:line="574" w:lineRule="exact"/>
        <w:ind w:firstLine="562" w:firstLineChars="200"/>
        <w:rPr>
          <w:rFonts w:hint="default" w:ascii="仿宋" w:hAnsi="仿宋" w:eastAsia="仿宋" w:cs="仿宋"/>
          <w:b/>
          <w:snapToGrid w:val="0"/>
          <w:sz w:val="28"/>
          <w:szCs w:val="28"/>
          <w:lang w:val="en-US" w:eastAsia="zh-CN"/>
        </w:rPr>
      </w:pPr>
      <w:r>
        <w:rPr>
          <w:rFonts w:hint="eastAsia" w:ascii="仿宋" w:hAnsi="仿宋" w:eastAsia="仿宋" w:cs="仿宋"/>
          <w:b/>
          <w:snapToGrid w:val="0"/>
          <w:sz w:val="28"/>
          <w:szCs w:val="28"/>
          <w:lang w:val="en-US" w:eastAsia="zh-CN"/>
        </w:rPr>
        <w:t>B11债券资金到位率：</w:t>
      </w:r>
      <w:r>
        <w:rPr>
          <w:rFonts w:hint="eastAsia" w:ascii="Times New Roman" w:hAnsi="Times New Roman" w:eastAsia="仿宋_GB2312" w:cs="Times New Roman"/>
          <w:bCs/>
          <w:kern w:val="0"/>
          <w:sz w:val="28"/>
          <w:szCs w:val="32"/>
          <w:lang w:val="en-US" w:eastAsia="zh-CN"/>
        </w:rPr>
        <w:t>满分2.00分，得分2.00分。</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根据项目单位提供的资料，评价组核对了查验了专项债券资金账户、资金到位凭证等资料，古县五马至古阳段城乡供水工程项目专项债券资金到位10000万元；截止2023年5月31日，项目债券资金拨付到项目实施主体帐户10000万元，资金到位率为100.00%。根据评分标准，该项得2.00分。</w:t>
      </w:r>
    </w:p>
    <w:p>
      <w:pPr>
        <w:widowControl/>
        <w:spacing w:line="574" w:lineRule="exact"/>
        <w:ind w:firstLine="562" w:firstLineChars="200"/>
        <w:rPr>
          <w:rFonts w:hint="default" w:ascii="仿宋" w:hAnsi="仿宋" w:eastAsia="仿宋" w:cs="仿宋"/>
          <w:b/>
          <w:snapToGrid w:val="0"/>
          <w:sz w:val="28"/>
          <w:szCs w:val="28"/>
          <w:lang w:val="en-US" w:eastAsia="zh-CN"/>
        </w:rPr>
      </w:pPr>
      <w:r>
        <w:rPr>
          <w:rFonts w:hint="eastAsia" w:ascii="仿宋" w:hAnsi="仿宋" w:eastAsia="仿宋" w:cs="仿宋"/>
          <w:b/>
          <w:snapToGrid w:val="0"/>
          <w:sz w:val="28"/>
          <w:szCs w:val="28"/>
          <w:lang w:val="en-US" w:eastAsia="zh-CN"/>
        </w:rPr>
        <w:t>B12自筹资金到位率：</w:t>
      </w:r>
      <w:r>
        <w:rPr>
          <w:rFonts w:hint="eastAsia" w:ascii="Times New Roman" w:hAnsi="Times New Roman" w:eastAsia="仿宋_GB2312" w:cs="Times New Roman"/>
          <w:bCs/>
          <w:kern w:val="0"/>
          <w:sz w:val="28"/>
          <w:szCs w:val="32"/>
          <w:lang w:val="en-US" w:eastAsia="zh-CN"/>
        </w:rPr>
        <w:t>满分3.00分，得分0.00分。</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根据实施单位提供的资料，项目总投资18166.32万元；县级自筹资金计划投入8166.32万元，通过申请县级财政资金和上级资金来解决；截止2023年5月31日，项目自筹资金未按计划及时拨付到位，仅使用了专项债券资金10000万元；县级配套资金按项目建设进度所需到位。根据评分标准，该项得0.00分。</w:t>
      </w:r>
    </w:p>
    <w:p>
      <w:pPr>
        <w:widowControl/>
        <w:spacing w:line="574" w:lineRule="exact"/>
        <w:ind w:firstLine="562" w:firstLineChars="200"/>
        <w:rPr>
          <w:rFonts w:hint="eastAsia" w:ascii="仿宋" w:hAnsi="仿宋" w:eastAsia="仿宋" w:cs="仿宋"/>
          <w:b/>
          <w:snapToGrid w:val="0"/>
          <w:sz w:val="28"/>
          <w:szCs w:val="28"/>
          <w:lang w:val="en-US" w:eastAsia="zh-CN"/>
        </w:rPr>
      </w:pPr>
      <w:r>
        <w:rPr>
          <w:rFonts w:hint="eastAsia" w:ascii="仿宋" w:hAnsi="仿宋" w:eastAsia="仿宋" w:cs="仿宋"/>
          <w:b/>
          <w:snapToGrid w:val="0"/>
          <w:sz w:val="28"/>
          <w:szCs w:val="28"/>
          <w:lang w:val="en-US" w:eastAsia="zh-CN"/>
        </w:rPr>
        <w:t>B13资金支出进度率：</w:t>
      </w:r>
      <w:r>
        <w:rPr>
          <w:rFonts w:hint="eastAsia" w:ascii="Times New Roman" w:hAnsi="Times New Roman" w:eastAsia="仿宋_GB2312" w:cs="Times New Roman"/>
          <w:bCs/>
          <w:kern w:val="0"/>
          <w:sz w:val="28"/>
          <w:szCs w:val="32"/>
          <w:lang w:val="en-US" w:eastAsia="zh-CN"/>
        </w:rPr>
        <w:t>满分6.00分，得分6.00分。</w:t>
      </w:r>
    </w:p>
    <w:p>
      <w:pPr>
        <w:widowControl/>
        <w:spacing w:line="574" w:lineRule="exact"/>
        <w:ind w:firstLine="560" w:firstLineChars="200"/>
        <w:rPr>
          <w:rFonts w:hint="eastAsia" w:ascii="仿宋" w:hAnsi="仿宋" w:eastAsia="仿宋" w:cs="仿宋"/>
          <w:b/>
          <w:snapToGrid w:val="0"/>
          <w:sz w:val="28"/>
          <w:szCs w:val="28"/>
          <w:lang w:val="en-US" w:eastAsia="zh-CN"/>
        </w:rPr>
      </w:pPr>
      <w:r>
        <w:rPr>
          <w:rFonts w:hint="eastAsia" w:ascii="Times New Roman" w:hAnsi="Times New Roman" w:eastAsia="仿宋_GB2312" w:cs="Times New Roman"/>
          <w:bCs/>
          <w:kern w:val="0"/>
          <w:sz w:val="28"/>
          <w:szCs w:val="32"/>
          <w:lang w:val="en-US" w:eastAsia="zh-CN"/>
        </w:rPr>
        <w:t>资金支出进度率=项目建设支出金额/下达的项目债券资金金额×100%=10000/10000=100%＞90.00%，项目债券资金支出与项目建设支出进度相匹配。根据评分标准，该项得满分。</w:t>
      </w:r>
    </w:p>
    <w:p>
      <w:pPr>
        <w:widowControl/>
        <w:spacing w:line="574" w:lineRule="exact"/>
        <w:ind w:firstLine="562" w:firstLineChars="200"/>
        <w:rPr>
          <w:rFonts w:hint="default" w:ascii="仿宋" w:hAnsi="仿宋" w:eastAsia="仿宋" w:cs="仿宋"/>
          <w:b/>
          <w:snapToGrid w:val="0"/>
          <w:sz w:val="28"/>
          <w:szCs w:val="28"/>
          <w:lang w:val="en-US" w:eastAsia="zh-CN"/>
        </w:rPr>
      </w:pPr>
      <w:r>
        <w:rPr>
          <w:rFonts w:hint="eastAsia" w:ascii="仿宋" w:hAnsi="仿宋" w:eastAsia="仿宋" w:cs="仿宋"/>
          <w:b/>
          <w:snapToGrid w:val="0"/>
          <w:sz w:val="28"/>
          <w:szCs w:val="28"/>
          <w:lang w:val="en-US" w:eastAsia="zh-CN"/>
        </w:rPr>
        <w:t>B14资金申请和归集规范性：</w:t>
      </w:r>
      <w:r>
        <w:rPr>
          <w:rFonts w:hint="eastAsia" w:ascii="Times New Roman" w:hAnsi="Times New Roman" w:eastAsia="仿宋_GB2312" w:cs="Times New Roman"/>
          <w:bCs/>
          <w:kern w:val="0"/>
          <w:sz w:val="28"/>
          <w:szCs w:val="32"/>
          <w:lang w:val="en-US" w:eastAsia="zh-CN"/>
        </w:rPr>
        <w:t>满分4.00分，得分4.00分。</w:t>
      </w:r>
    </w:p>
    <w:p>
      <w:pPr>
        <w:widowControl/>
        <w:spacing w:line="574" w:lineRule="exact"/>
        <w:ind w:firstLine="560" w:firstLineChars="200"/>
        <w:rPr>
          <w:rFonts w:hint="default" w:ascii="仿宋" w:hAnsi="仿宋" w:eastAsia="仿宋" w:cs="仿宋"/>
          <w:b/>
          <w:snapToGrid w:val="0"/>
          <w:sz w:val="28"/>
          <w:szCs w:val="28"/>
          <w:lang w:val="en-US" w:eastAsia="zh-CN"/>
        </w:rPr>
      </w:pPr>
      <w:r>
        <w:rPr>
          <w:rFonts w:hint="eastAsia" w:ascii="Times New Roman" w:hAnsi="Times New Roman" w:eastAsia="仿宋_GB2312" w:cs="Times New Roman"/>
          <w:bCs/>
          <w:kern w:val="0"/>
          <w:sz w:val="28"/>
          <w:szCs w:val="32"/>
          <w:lang w:val="en-US" w:eastAsia="zh-CN"/>
        </w:rPr>
        <w:t>根据项目实施单位、古县财政局等提供的资料，专项债券项目资金申请程序手续规范;专项债券收支、还本付息及专项收入已纳入政府性基金预算管理；收支科目核算准确。根据评分标准，该项得满分。</w:t>
      </w:r>
    </w:p>
    <w:p>
      <w:pPr>
        <w:widowControl/>
        <w:spacing w:line="574" w:lineRule="exact"/>
        <w:ind w:firstLine="562" w:firstLineChars="200"/>
        <w:rPr>
          <w:rFonts w:hint="eastAsia" w:ascii="Times New Roman" w:hAnsi="Times New Roman" w:eastAsia="仿宋_GB2312" w:cs="Times New Roman"/>
          <w:bCs/>
          <w:kern w:val="0"/>
          <w:sz w:val="28"/>
          <w:szCs w:val="32"/>
          <w:lang w:val="en-US" w:eastAsia="zh-CN"/>
        </w:rPr>
      </w:pPr>
      <w:r>
        <w:rPr>
          <w:rFonts w:hint="eastAsia" w:ascii="仿宋" w:hAnsi="仿宋" w:eastAsia="仿宋" w:cs="仿宋"/>
          <w:b/>
          <w:snapToGrid w:val="0"/>
          <w:sz w:val="28"/>
          <w:szCs w:val="28"/>
          <w:lang w:val="en-US" w:eastAsia="zh-CN"/>
        </w:rPr>
        <w:t>B15成本控制有效性：</w:t>
      </w:r>
      <w:r>
        <w:rPr>
          <w:rFonts w:hint="eastAsia" w:ascii="Times New Roman" w:hAnsi="Times New Roman" w:eastAsia="仿宋_GB2312" w:cs="Times New Roman"/>
          <w:bCs/>
          <w:kern w:val="0"/>
          <w:sz w:val="28"/>
          <w:szCs w:val="32"/>
          <w:lang w:val="en-US" w:eastAsia="zh-CN"/>
        </w:rPr>
        <w:t>满分3.00分，得分3.00分。</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单位进行了有效的成本控制，成本风险预警以及应对措施落实到位：古县城乡水务有限公司在本项目实施管理中采取了相关成本控制措施，《古县城乡水务有限公司财务管理制度》中有相应的资金支出管理要求；古县城乡水务有限公司对于建设项目有明确的工程资金核算、计量标准；项目前期经过了可行性研究报告论证及批复、初步设计论证及批复，项目概算及施工图预算均经行政审批服务部门审核，项目实施过程通过政府采购确定合格施工方（公开招标）；根据项目实施单位提供的资金平衡方案确定的范围值、专项账户成本支出情况、月季年损益表，债券资金成本控制到位，未在期限内（半年）形成较大（大于等于1%）息差倒挂。根据评分标准，该项得满分。</w:t>
      </w:r>
    </w:p>
    <w:p>
      <w:pPr>
        <w:widowControl/>
        <w:spacing w:line="574" w:lineRule="exact"/>
        <w:ind w:firstLine="562" w:firstLineChars="200"/>
        <w:rPr>
          <w:rFonts w:hint="eastAsia" w:ascii="仿宋" w:hAnsi="仿宋" w:eastAsia="仿宋" w:cs="仿宋"/>
          <w:b/>
          <w:snapToGrid w:val="0"/>
          <w:sz w:val="28"/>
          <w:szCs w:val="28"/>
          <w:lang w:val="en-US" w:eastAsia="zh-CN"/>
        </w:rPr>
      </w:pPr>
      <w:r>
        <w:rPr>
          <w:rFonts w:hint="eastAsia" w:ascii="仿宋" w:hAnsi="仿宋" w:eastAsia="仿宋" w:cs="仿宋"/>
          <w:b/>
          <w:snapToGrid w:val="0"/>
          <w:sz w:val="28"/>
          <w:szCs w:val="28"/>
          <w:lang w:val="en-US" w:eastAsia="zh-CN"/>
        </w:rPr>
        <w:t>B16本息缴付及时性：</w:t>
      </w:r>
      <w:r>
        <w:rPr>
          <w:rFonts w:hint="eastAsia" w:ascii="Times New Roman" w:hAnsi="Times New Roman" w:eastAsia="仿宋_GB2312" w:cs="Times New Roman"/>
          <w:bCs/>
          <w:kern w:val="0"/>
          <w:sz w:val="28"/>
          <w:szCs w:val="32"/>
          <w:lang w:val="en-US" w:eastAsia="zh-CN"/>
        </w:rPr>
        <w:t>满分3.00分，得分3.00分。</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根据项目实施单位、古县财政局提供的相关资料，项目资金能够按《新增专项债券资金使用及偿还协议》约定的时间、额度支付利息及归还本金，新增专项债券尚未到偿还本息时间。根据评分标准，该项得满分。</w:t>
      </w:r>
    </w:p>
    <w:p>
      <w:pPr>
        <w:widowControl/>
        <w:spacing w:line="574" w:lineRule="exact"/>
        <w:ind w:firstLine="562" w:firstLineChars="200"/>
        <w:rPr>
          <w:rFonts w:hint="eastAsia" w:ascii="仿宋" w:hAnsi="仿宋" w:eastAsia="仿宋" w:cs="仿宋"/>
          <w:b/>
          <w:snapToGrid w:val="0"/>
          <w:sz w:val="28"/>
          <w:szCs w:val="28"/>
          <w:lang w:val="en-US" w:eastAsia="zh-CN"/>
        </w:rPr>
      </w:pPr>
      <w:r>
        <w:rPr>
          <w:rFonts w:hint="eastAsia" w:ascii="仿宋" w:hAnsi="仿宋" w:eastAsia="仿宋" w:cs="仿宋"/>
          <w:b/>
          <w:snapToGrid w:val="0"/>
          <w:sz w:val="28"/>
          <w:szCs w:val="28"/>
          <w:lang w:val="en-US" w:eastAsia="zh-CN"/>
        </w:rPr>
        <w:t>B17资金使用合规性：</w:t>
      </w:r>
      <w:r>
        <w:rPr>
          <w:rFonts w:hint="eastAsia" w:ascii="Times New Roman" w:hAnsi="Times New Roman" w:eastAsia="仿宋_GB2312" w:cs="Times New Roman"/>
          <w:bCs/>
          <w:kern w:val="0"/>
          <w:sz w:val="28"/>
          <w:szCs w:val="32"/>
          <w:lang w:val="en-US" w:eastAsia="zh-CN"/>
        </w:rPr>
        <w:t>满分4.00分，得分4.00分。</w:t>
      </w:r>
    </w:p>
    <w:p>
      <w:pPr>
        <w:widowControl/>
        <w:spacing w:line="574" w:lineRule="exact"/>
        <w:ind w:firstLine="560" w:firstLineChars="200"/>
        <w:rPr>
          <w:rFonts w:hint="eastAsia" w:ascii="仿宋" w:hAnsi="仿宋" w:eastAsia="仿宋" w:cs="仿宋"/>
          <w:b/>
          <w:snapToGrid w:val="0"/>
          <w:sz w:val="28"/>
          <w:szCs w:val="28"/>
          <w:lang w:val="en-US" w:eastAsia="zh-CN"/>
        </w:rPr>
      </w:pPr>
      <w:r>
        <w:rPr>
          <w:rFonts w:hint="eastAsia" w:ascii="Times New Roman" w:hAnsi="Times New Roman" w:eastAsia="仿宋_GB2312" w:cs="Times New Roman"/>
          <w:bCs/>
          <w:kern w:val="0"/>
          <w:sz w:val="28"/>
          <w:szCs w:val="32"/>
          <w:lang w:val="en-US" w:eastAsia="zh-CN"/>
        </w:rPr>
        <w:t>根据项目实施单位、古县财政局提供的相关资料，项目资金使用符合符合国家财经法规和财务管理制度以及相关专项债券资金管理制度规定的用途；项目单位在项目建设期间严格按照要求使用资金；债券资金拨付使用手续符合相关的财务审批流程：申请、审批资料齐全、合规；项目建设期间收支独立核算，设立了项目资金专户。根据评分标准，该项得满分。</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2、组织管理</w:t>
      </w:r>
    </w:p>
    <w:p>
      <w:pPr>
        <w:widowControl/>
        <w:spacing w:line="574" w:lineRule="exact"/>
        <w:ind w:firstLine="562" w:firstLineChars="200"/>
        <w:rPr>
          <w:rFonts w:hint="eastAsia" w:ascii="Times New Roman" w:hAnsi="Times New Roman" w:eastAsia="仿宋_GB2312" w:cs="Times New Roman"/>
          <w:bCs/>
          <w:kern w:val="0"/>
          <w:sz w:val="28"/>
          <w:szCs w:val="32"/>
          <w:lang w:val="en-US" w:eastAsia="zh-CN"/>
        </w:rPr>
      </w:pPr>
      <w:r>
        <w:rPr>
          <w:rFonts w:hint="eastAsia" w:ascii="仿宋" w:hAnsi="仿宋" w:eastAsia="仿宋" w:cs="仿宋"/>
          <w:b/>
          <w:snapToGrid w:val="0"/>
          <w:sz w:val="28"/>
          <w:szCs w:val="28"/>
        </w:rPr>
        <w:t>B21运行机制有效性</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满分3.00分，得分3.00分。</w:t>
      </w:r>
    </w:p>
    <w:p>
      <w:pPr>
        <w:widowControl/>
        <w:spacing w:line="574" w:lineRule="exact"/>
        <w:ind w:firstLine="560" w:firstLineChars="200"/>
        <w:rPr>
          <w:rFonts w:hint="default" w:ascii="仿宋" w:hAnsi="仿宋" w:eastAsia="仿宋" w:cs="仿宋"/>
          <w:b/>
          <w:snapToGrid w:val="0"/>
          <w:sz w:val="28"/>
          <w:szCs w:val="28"/>
          <w:lang w:val="en-US" w:eastAsia="zh-CN"/>
        </w:rPr>
      </w:pPr>
      <w:r>
        <w:rPr>
          <w:rFonts w:hint="eastAsia" w:ascii="Times New Roman" w:hAnsi="Times New Roman" w:eastAsia="仿宋_GB2312" w:cs="Times New Roman"/>
          <w:bCs/>
          <w:kern w:val="0"/>
          <w:sz w:val="28"/>
          <w:szCs w:val="32"/>
          <w:lang w:val="en-US" w:eastAsia="zh-CN"/>
        </w:rPr>
        <w:t>项目实施主体为古县财政局，该单位组织架构清晰，下设部门、人员分工明确，项目建设、维护人员岗位数量等安排到位，能够满足建设需要；古县城乡水务有限公司重大决策履行“三重一大”相关程序予以科学决策；古县城乡水务有限公司绩效目标跟踪监控机制健全，按月进行运行监控并及时上报监控情况；古县城乡水务有限公司2023年对项目进行了年度绩效自评，并出具了《项目自评报告》。根据评分标准，该项得满分。</w:t>
      </w:r>
    </w:p>
    <w:p>
      <w:pPr>
        <w:widowControl/>
        <w:spacing w:line="574" w:lineRule="exact"/>
        <w:ind w:firstLine="562" w:firstLineChars="200"/>
        <w:rPr>
          <w:rFonts w:hint="default" w:ascii="Times New Roman" w:hAnsi="Times New Roman" w:eastAsia="仿宋_GB2312" w:cs="Times New Roman"/>
          <w:bCs/>
          <w:kern w:val="0"/>
          <w:sz w:val="28"/>
          <w:szCs w:val="32"/>
          <w:lang w:val="en-US" w:eastAsia="zh-CN"/>
        </w:rPr>
      </w:pPr>
      <w:r>
        <w:rPr>
          <w:rFonts w:hint="eastAsia" w:ascii="仿宋" w:hAnsi="仿宋" w:eastAsia="仿宋" w:cs="仿宋"/>
          <w:b/>
          <w:snapToGrid w:val="0"/>
          <w:sz w:val="28"/>
          <w:szCs w:val="28"/>
        </w:rPr>
        <w:t>B22管理制度健全性</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满分3.00分，得分2.00分。</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古县城乡水务有限公司业务管理制度、技术规程、标准健全、完善，内部沟通协调机制顺畅，相关业务方面问题能得到有效解决并配有相应的内部控制保障措施。项目执行过程设立管控措施、机制等，相关措施、机制能够保证项目顺利实施；且有明确的议事规则和决策程序；但古县城乡水务有限公司未制定债券风险防控预案或措施。根据评分标准，该项得2.00分。</w:t>
      </w:r>
    </w:p>
    <w:p>
      <w:pPr>
        <w:widowControl/>
        <w:spacing w:line="574" w:lineRule="exact"/>
        <w:ind w:firstLine="562" w:firstLineChars="200"/>
        <w:rPr>
          <w:rFonts w:hint="eastAsia" w:ascii="仿宋" w:hAnsi="仿宋" w:eastAsia="仿宋" w:cs="仿宋"/>
          <w:b/>
          <w:snapToGrid w:val="0"/>
          <w:sz w:val="28"/>
          <w:szCs w:val="28"/>
          <w:lang w:eastAsia="zh-CN"/>
        </w:rPr>
      </w:pPr>
      <w:r>
        <w:rPr>
          <w:rFonts w:hint="eastAsia" w:ascii="仿宋" w:hAnsi="仿宋" w:eastAsia="仿宋" w:cs="仿宋"/>
          <w:b/>
          <w:snapToGrid w:val="0"/>
          <w:sz w:val="28"/>
          <w:szCs w:val="28"/>
        </w:rPr>
        <w:t>B23制度执行有效性</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满分3.00分，得分3.00分。</w:t>
      </w:r>
    </w:p>
    <w:p>
      <w:pPr>
        <w:widowControl/>
        <w:spacing w:line="574" w:lineRule="exact"/>
        <w:ind w:firstLine="560" w:firstLineChars="200"/>
        <w:rPr>
          <w:rFonts w:hint="eastAsia" w:ascii="仿宋" w:hAnsi="仿宋" w:eastAsia="仿宋" w:cs="仿宋"/>
          <w:b/>
          <w:snapToGrid w:val="0"/>
          <w:sz w:val="28"/>
          <w:szCs w:val="28"/>
          <w:lang w:eastAsia="zh-CN"/>
        </w:rPr>
      </w:pPr>
      <w:r>
        <w:rPr>
          <w:rFonts w:hint="eastAsia" w:ascii="Times New Roman" w:hAnsi="Times New Roman" w:eastAsia="仿宋_GB2312" w:cs="Times New Roman"/>
          <w:bCs/>
          <w:kern w:val="0"/>
          <w:sz w:val="28"/>
          <w:szCs w:val="32"/>
          <w:lang w:val="en-US" w:eastAsia="zh-CN"/>
        </w:rPr>
        <w:t>根据项目实施单位提供的资料，评价组现场调研了解到，项目实施符合相关业务、财务等管理规定；项目未变更；项目实施的人员条件、场地设备、信息支撑等落实到位；项目按计划进度实施；项目阶段性资料管理到位；项目结束后，古县城乡水务有限公司将按照项目管理要求对项目合同书、验收报告、技术签定等资料进行归档管理。根据评分标准，该项得满分。</w:t>
      </w:r>
    </w:p>
    <w:p>
      <w:pPr>
        <w:widowControl/>
        <w:spacing w:line="574" w:lineRule="exact"/>
        <w:ind w:firstLine="562" w:firstLineChars="200"/>
        <w:rPr>
          <w:rFonts w:hint="default" w:ascii="仿宋" w:hAnsi="仿宋" w:eastAsia="仿宋" w:cs="仿宋"/>
          <w:b/>
          <w:snapToGrid w:val="0"/>
          <w:sz w:val="28"/>
          <w:szCs w:val="28"/>
          <w:lang w:val="en-US" w:eastAsia="zh-CN"/>
        </w:rPr>
      </w:pPr>
      <w:r>
        <w:rPr>
          <w:rFonts w:hint="eastAsia" w:ascii="仿宋" w:hAnsi="仿宋" w:eastAsia="仿宋" w:cs="仿宋"/>
          <w:b/>
          <w:snapToGrid w:val="0"/>
          <w:sz w:val="28"/>
          <w:szCs w:val="28"/>
        </w:rPr>
        <w:t>B24采购管理规范性</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满分2.00分，得分2.00分。</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项目实施中按照政府采购目录标准进行政府采购；项目采购程序合规；项目最终的采购结果符合采购期市场价格水平。根据评分标准，该项得满分。</w:t>
      </w:r>
    </w:p>
    <w:p>
      <w:pPr>
        <w:widowControl/>
        <w:spacing w:line="574" w:lineRule="exact"/>
        <w:ind w:firstLine="562" w:firstLineChars="200"/>
        <w:rPr>
          <w:rFonts w:hint="eastAsia" w:ascii="仿宋" w:hAnsi="仿宋" w:eastAsia="仿宋" w:cs="仿宋"/>
          <w:b/>
          <w:snapToGrid w:val="0"/>
          <w:sz w:val="28"/>
          <w:szCs w:val="28"/>
          <w:lang w:eastAsia="zh-CN"/>
        </w:rPr>
      </w:pPr>
      <w:r>
        <w:rPr>
          <w:rFonts w:hint="eastAsia" w:ascii="仿宋" w:hAnsi="仿宋" w:eastAsia="仿宋" w:cs="仿宋"/>
          <w:b/>
          <w:snapToGrid w:val="0"/>
          <w:sz w:val="28"/>
          <w:szCs w:val="28"/>
        </w:rPr>
        <w:t>B25信息公开规范性</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满分1.00分，得分1.00分。</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根据公开信息查询结果，本专项债券资金按照政府债券信息公开管理办法及时披露债券资金还本付息使用等情况；披露信息准确、完整。根据评分标准，该项得满分。</w:t>
      </w:r>
    </w:p>
    <w:p>
      <w:pPr>
        <w:widowControl/>
        <w:spacing w:line="574" w:lineRule="exact"/>
        <w:ind w:firstLine="562" w:firstLineChars="200"/>
        <w:rPr>
          <w:rFonts w:hint="eastAsia" w:ascii="仿宋" w:hAnsi="仿宋" w:eastAsia="仿宋" w:cs="仿宋"/>
          <w:b/>
          <w:snapToGrid w:val="0"/>
          <w:sz w:val="28"/>
          <w:szCs w:val="28"/>
          <w:lang w:eastAsia="zh-CN"/>
        </w:rPr>
      </w:pPr>
      <w:r>
        <w:rPr>
          <w:rFonts w:hint="eastAsia" w:ascii="仿宋" w:hAnsi="仿宋" w:eastAsia="仿宋" w:cs="仿宋"/>
          <w:b/>
          <w:snapToGrid w:val="0"/>
          <w:sz w:val="28"/>
          <w:szCs w:val="28"/>
        </w:rPr>
        <w:t>B26问题整改情况</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满分1.00分，得分1.00分。</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古县城乡水务有限公司对于审计等外部监督、内部运行监控中发现的问题进行及时整改；项目2023年进行了绩效自评，并出具了《绩效自评报告》，绩效自评得分为97.82分，主要问题为项目产出及项目效益目标因项目尚未整体完成而无法全部实现，整改情况为：继续按计划推进项目，确保项目按期完工投用。根据评分标准，该项得满分。</w:t>
      </w:r>
    </w:p>
    <w:p>
      <w:pPr>
        <w:widowControl/>
        <w:spacing w:line="574" w:lineRule="exact"/>
        <w:ind w:firstLine="562" w:firstLineChars="200"/>
        <w:rPr>
          <w:rFonts w:hint="eastAsia" w:ascii="仿宋" w:hAnsi="仿宋" w:eastAsia="仿宋" w:cs="仿宋"/>
          <w:b/>
          <w:snapToGrid w:val="0"/>
          <w:sz w:val="28"/>
          <w:szCs w:val="28"/>
          <w:lang w:eastAsia="zh-CN"/>
        </w:rPr>
      </w:pPr>
      <w:r>
        <w:rPr>
          <w:rFonts w:hint="eastAsia" w:ascii="仿宋" w:hAnsi="仿宋" w:eastAsia="仿宋" w:cs="仿宋"/>
          <w:b/>
          <w:snapToGrid w:val="0"/>
          <w:sz w:val="28"/>
          <w:szCs w:val="28"/>
        </w:rPr>
        <w:t>B27信息系统管理和使用规范性</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满分2.00分，得分2.00分。</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根据债务管理系统查询结果，专项债券古县五马至古阳段城乡供水工程项目及资金使用全流程及时、准确、完整、规范地录入地方政府债务管理系统等大数据平台。根据评分标准，该项得满分。</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val="en-US" w:eastAsia="zh-CN"/>
        </w:rPr>
      </w:pPr>
      <w:bookmarkStart w:id="70" w:name="_Toc30848"/>
      <w:bookmarkStart w:id="71" w:name="_Toc528684143"/>
      <w:bookmarkStart w:id="72" w:name="_Toc16432"/>
      <w:bookmarkStart w:id="73" w:name="_Toc23505"/>
      <w:bookmarkStart w:id="74" w:name="_Toc30077"/>
      <w:bookmarkStart w:id="75" w:name="_Toc11431"/>
      <w:bookmarkStart w:id="76" w:name="_Toc29696"/>
      <w:bookmarkStart w:id="77" w:name="_Toc27638"/>
      <w:bookmarkStart w:id="78" w:name="_Toc528680468"/>
      <w:bookmarkStart w:id="79" w:name="_Toc6948"/>
      <w:bookmarkStart w:id="80" w:name="_Toc18832"/>
      <w:bookmarkStart w:id="81" w:name="_Toc14440"/>
      <w:r>
        <w:rPr>
          <w:rFonts w:hint="eastAsia" w:ascii="仿宋" w:hAnsi="仿宋" w:eastAsia="仿宋" w:cs="Times New Roman"/>
          <w:b/>
          <w:bCs/>
          <w:sz w:val="32"/>
          <w:szCs w:val="32"/>
          <w:lang w:val="en-US" w:eastAsia="zh-CN"/>
        </w:rPr>
        <w:t>（三）</w:t>
      </w:r>
      <w:bookmarkEnd w:id="70"/>
      <w:bookmarkEnd w:id="71"/>
      <w:bookmarkEnd w:id="72"/>
      <w:bookmarkEnd w:id="73"/>
      <w:bookmarkEnd w:id="74"/>
      <w:bookmarkEnd w:id="75"/>
      <w:bookmarkEnd w:id="76"/>
      <w:bookmarkEnd w:id="77"/>
      <w:bookmarkEnd w:id="78"/>
      <w:bookmarkEnd w:id="79"/>
      <w:bookmarkEnd w:id="80"/>
      <w:r>
        <w:rPr>
          <w:rFonts w:hint="eastAsia" w:ascii="仿宋" w:hAnsi="仿宋" w:eastAsia="仿宋" w:cs="Times New Roman"/>
          <w:b/>
          <w:bCs/>
          <w:sz w:val="32"/>
          <w:szCs w:val="32"/>
          <w:lang w:val="en-US" w:eastAsia="zh-CN"/>
        </w:rPr>
        <w:t>项目产出</w:t>
      </w:r>
      <w:bookmarkEnd w:id="81"/>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_GB2312" w:cs="Times New Roman"/>
          <w:bCs/>
          <w:kern w:val="0"/>
          <w:sz w:val="28"/>
          <w:szCs w:val="32"/>
          <w:lang w:val="en-US" w:eastAsia="zh-CN"/>
        </w:rPr>
        <w:t>产出类指标权重30.00分，实际得分30.00分。指标得分情况如表4-3所示</w:t>
      </w:r>
      <w:r>
        <w:rPr>
          <w:rFonts w:hint="eastAsia" w:ascii="仿宋" w:hAnsi="仿宋" w:eastAsia="仿宋" w:cs="仿宋"/>
          <w:snapToGrid w:val="0"/>
          <w:sz w:val="28"/>
          <w:szCs w:val="28"/>
        </w:rPr>
        <w:t>：</w:t>
      </w:r>
    </w:p>
    <w:p>
      <w:pPr>
        <w:widowControl/>
        <w:spacing w:line="574" w:lineRule="exact"/>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表4-3产出类指标得分情况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98"/>
        <w:gridCol w:w="4057"/>
        <w:gridCol w:w="817"/>
        <w:gridCol w:w="1077"/>
        <w:gridCol w:w="10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4057"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817"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1077"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073"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C1产出数量</w:t>
            </w:r>
          </w:p>
        </w:tc>
        <w:tc>
          <w:tcPr>
            <w:tcW w:w="405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C11建设目标完成率</w:t>
            </w:r>
          </w:p>
        </w:tc>
        <w:tc>
          <w:tcPr>
            <w:tcW w:w="81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8.00</w:t>
            </w:r>
          </w:p>
        </w:tc>
        <w:tc>
          <w:tcPr>
            <w:tcW w:w="107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8.00</w:t>
            </w:r>
          </w:p>
        </w:tc>
        <w:tc>
          <w:tcPr>
            <w:tcW w:w="107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2" w:hRule="atLeast"/>
        </w:trPr>
        <w:tc>
          <w:tcPr>
            <w:tcW w:w="1498"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4057"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C12资产形成率</w:t>
            </w:r>
          </w:p>
        </w:tc>
        <w:tc>
          <w:tcPr>
            <w:tcW w:w="81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077"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073"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C2产出质量</w:t>
            </w:r>
          </w:p>
        </w:tc>
        <w:tc>
          <w:tcPr>
            <w:tcW w:w="4057"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C21质量达标率</w:t>
            </w:r>
          </w:p>
        </w:tc>
        <w:tc>
          <w:tcPr>
            <w:tcW w:w="81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w:t>
            </w:r>
          </w:p>
        </w:tc>
        <w:tc>
          <w:tcPr>
            <w:tcW w:w="1077"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w:t>
            </w:r>
          </w:p>
        </w:tc>
        <w:tc>
          <w:tcPr>
            <w:tcW w:w="1073"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4057"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C22安全施工目标</w:t>
            </w:r>
          </w:p>
        </w:tc>
        <w:tc>
          <w:tcPr>
            <w:tcW w:w="81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07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07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Align w:val="center"/>
          </w:tcPr>
          <w:p>
            <w:pPr>
              <w:widowControl/>
              <w:snapToGrid w:val="0"/>
              <w:jc w:val="center"/>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rPr>
              <w:t>C3产出</w:t>
            </w:r>
            <w:r>
              <w:rPr>
                <w:rFonts w:hint="eastAsia" w:ascii="仿宋" w:hAnsi="仿宋" w:eastAsia="仿宋" w:cs="仿宋"/>
                <w:b w:val="0"/>
                <w:bCs w:val="0"/>
                <w:color w:val="000000"/>
                <w:kern w:val="0"/>
                <w:sz w:val="24"/>
                <w:szCs w:val="24"/>
                <w:lang w:val="en-US" w:eastAsia="zh-CN"/>
              </w:rPr>
              <w:t>成本</w:t>
            </w:r>
          </w:p>
        </w:tc>
        <w:tc>
          <w:tcPr>
            <w:tcW w:w="405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C31建设及时性</w:t>
            </w:r>
          </w:p>
        </w:tc>
        <w:tc>
          <w:tcPr>
            <w:tcW w:w="81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w:t>
            </w:r>
          </w:p>
        </w:tc>
        <w:tc>
          <w:tcPr>
            <w:tcW w:w="107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w:t>
            </w:r>
          </w:p>
        </w:tc>
        <w:tc>
          <w:tcPr>
            <w:tcW w:w="107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Merge w:val="restart"/>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C4产出时效</w:t>
            </w:r>
          </w:p>
        </w:tc>
        <w:tc>
          <w:tcPr>
            <w:tcW w:w="405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C41成本节约率</w:t>
            </w:r>
          </w:p>
        </w:tc>
        <w:tc>
          <w:tcPr>
            <w:tcW w:w="81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07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07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Merge w:val="continue"/>
            <w:vAlign w:val="center"/>
          </w:tcPr>
          <w:p>
            <w:pPr>
              <w:widowControl/>
              <w:snapToGrid w:val="0"/>
              <w:jc w:val="center"/>
              <w:rPr>
                <w:rFonts w:hint="eastAsia" w:ascii="仿宋" w:hAnsi="仿宋" w:eastAsia="仿宋" w:cs="仿宋"/>
                <w:b w:val="0"/>
                <w:bCs w:val="0"/>
                <w:color w:val="000000"/>
                <w:kern w:val="0"/>
                <w:sz w:val="24"/>
                <w:szCs w:val="24"/>
                <w:lang w:val="en-US" w:eastAsia="zh-CN"/>
              </w:rPr>
            </w:pPr>
          </w:p>
        </w:tc>
        <w:tc>
          <w:tcPr>
            <w:tcW w:w="4057"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C42社会成本</w:t>
            </w:r>
          </w:p>
        </w:tc>
        <w:tc>
          <w:tcPr>
            <w:tcW w:w="81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077"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073"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Merge w:val="continue"/>
            <w:vAlign w:val="center"/>
          </w:tcPr>
          <w:p>
            <w:pPr>
              <w:widowControl/>
              <w:snapToGrid w:val="0"/>
              <w:jc w:val="center"/>
              <w:rPr>
                <w:rFonts w:hint="eastAsia" w:ascii="仿宋" w:hAnsi="仿宋" w:eastAsia="仿宋" w:cs="仿宋"/>
                <w:b w:val="0"/>
                <w:bCs w:val="0"/>
                <w:color w:val="000000"/>
                <w:kern w:val="0"/>
                <w:sz w:val="24"/>
                <w:szCs w:val="24"/>
                <w:lang w:val="en-US" w:eastAsia="zh-CN"/>
              </w:rPr>
            </w:pPr>
          </w:p>
        </w:tc>
        <w:tc>
          <w:tcPr>
            <w:tcW w:w="4057"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C43生态环境成本</w:t>
            </w:r>
          </w:p>
        </w:tc>
        <w:tc>
          <w:tcPr>
            <w:tcW w:w="81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077"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073"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555" w:type="dxa"/>
            <w:gridSpan w:val="2"/>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合计</w:t>
            </w:r>
          </w:p>
        </w:tc>
        <w:tc>
          <w:tcPr>
            <w:tcW w:w="81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30.00</w:t>
            </w:r>
          </w:p>
        </w:tc>
        <w:tc>
          <w:tcPr>
            <w:tcW w:w="107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30.00</w:t>
            </w:r>
          </w:p>
        </w:tc>
        <w:tc>
          <w:tcPr>
            <w:tcW w:w="107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bl>
    <w:p>
      <w:pPr>
        <w:spacing w:line="574" w:lineRule="exact"/>
        <w:ind w:firstLine="562" w:firstLineChars="200"/>
        <w:rPr>
          <w:rFonts w:hint="default" w:ascii="仿宋" w:hAnsi="仿宋" w:eastAsia="仿宋" w:cs="仿宋"/>
          <w:b/>
          <w:snapToGrid w:val="0"/>
          <w:sz w:val="28"/>
          <w:szCs w:val="28"/>
          <w:lang w:val="en-US" w:eastAsia="zh-CN"/>
        </w:rPr>
      </w:pPr>
      <w:r>
        <w:rPr>
          <w:rFonts w:hint="eastAsia" w:ascii="仿宋" w:hAnsi="仿宋" w:eastAsia="仿宋" w:cs="仿宋"/>
          <w:b/>
          <w:snapToGrid w:val="0"/>
          <w:sz w:val="28"/>
          <w:szCs w:val="28"/>
        </w:rPr>
        <w:t>C11建设目标完成率</w:t>
      </w:r>
      <w:r>
        <w:rPr>
          <w:rFonts w:hint="eastAsia" w:ascii="仿宋" w:hAnsi="仿宋" w:eastAsia="仿宋" w:cs="仿宋"/>
          <w:b/>
          <w:snapToGrid w:val="0"/>
          <w:sz w:val="28"/>
          <w:szCs w:val="28"/>
          <w:lang w:val="en-US" w:eastAsia="zh-CN"/>
        </w:rPr>
        <w:t>:</w:t>
      </w:r>
      <w:r>
        <w:rPr>
          <w:rFonts w:hint="eastAsia" w:ascii="Times New Roman" w:hAnsi="Times New Roman" w:eastAsia="仿宋_GB2312" w:cs="Times New Roman"/>
          <w:bCs/>
          <w:kern w:val="0"/>
          <w:sz w:val="28"/>
          <w:szCs w:val="32"/>
          <w:lang w:val="en-US" w:eastAsia="zh-CN"/>
        </w:rPr>
        <w:t>满分8.00分，得分8.00分。</w:t>
      </w:r>
    </w:p>
    <w:p>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2023年1月，古县城乡水务有限公司出具了《古县五马至古阳段城乡供水工程项目支出绩效自评报告》：</w:t>
      </w:r>
    </w:p>
    <w:p>
      <w:pPr>
        <w:spacing w:line="574" w:lineRule="exact"/>
        <w:ind w:firstLine="562" w:firstLineChars="200"/>
        <w:rPr>
          <w:rFonts w:hint="default"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项目进展情况为：</w:t>
      </w:r>
    </w:p>
    <w:p>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古县五马至古阳段城乡供水工程现已完成立项、初设、预算评审、招投标等前期手续，取得供水工程项目特许经营权，与临汾市引沁入汾管理中心签订了供水合同，并于2022年7月24日正式开工建设。</w:t>
      </w:r>
    </w:p>
    <w:p>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截至目前已完成以下工程量：</w:t>
      </w:r>
    </w:p>
    <w:p>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（1）泵站工程</w:t>
      </w:r>
    </w:p>
    <w:p>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①中水泵站：正在进行筏板钢筋绑扎安装</w:t>
      </w:r>
    </w:p>
    <w:p>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②一级泵站：原水一级泵站主厂房、进水池主体已完成，副厂房搭设脚手架</w:t>
      </w:r>
    </w:p>
    <w:p>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③二级泵站：整体主体及二次结构已完成，墙面抹灰及屋面保温已完成</w:t>
      </w:r>
    </w:p>
    <w:p>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④三级泵站：整体主体已完成，正在做外墙保温，抹灰粉刷。</w:t>
      </w:r>
    </w:p>
    <w:p>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（2）隧洞工程</w:t>
      </w:r>
    </w:p>
    <w:p>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隧洞已掘进230米，现在洞内喷浆，由于洞里石头坚硬，掘进机进度缓慢，现在水库那边采取潜孔钻与液压劈裂棒掘进，两边施工加快进度</w:t>
      </w:r>
    </w:p>
    <w:p>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（3）输水管网工程：</w:t>
      </w:r>
    </w:p>
    <w:p>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①一级泵站至二级泵站段DN500管道完成开挖及安装11.7公里。</w:t>
      </w:r>
    </w:p>
    <w:p>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②二级泵站至三级泵站段DN500管道完成开挖及安装7.2公里。</w:t>
      </w:r>
    </w:p>
    <w:p>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③三级泵站至工业园区段（宏远焦化）DN450管道完成开挖及安装2.6公里。</w:t>
      </w:r>
    </w:p>
    <w:p>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④中水管网DN300管道完成开挖及安装19.5公里。</w:t>
      </w:r>
    </w:p>
    <w:p>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⑤泰达段管道安装完成500米。</w:t>
      </w:r>
    </w:p>
    <w:p>
      <w:pPr>
        <w:spacing w:line="574" w:lineRule="exact"/>
        <w:ind w:firstLine="562" w:firstLineChars="200"/>
        <w:rPr>
          <w:rFonts w:hint="default"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项目预期完成情况为：</w:t>
      </w:r>
    </w:p>
    <w:p>
      <w:pPr>
        <w:spacing w:line="574" w:lineRule="exact"/>
        <w:ind w:firstLine="560" w:firstLineChars="200"/>
        <w:rPr>
          <w:rFonts w:hint="default" w:ascii="仿宋" w:hAnsi="仿宋" w:eastAsia="仿宋" w:cs="仿宋"/>
          <w:b/>
          <w:snapToGrid w:val="0"/>
          <w:sz w:val="28"/>
          <w:szCs w:val="28"/>
          <w:lang w:val="en-US"/>
        </w:rPr>
      </w:pPr>
      <w:r>
        <w:rPr>
          <w:rFonts w:hint="eastAsia" w:ascii="Times New Roman" w:hAnsi="Times New Roman" w:eastAsia="仿宋_GB2312" w:cs="Times New Roman"/>
          <w:kern w:val="2"/>
          <w:sz w:val="28"/>
          <w:szCs w:val="24"/>
          <w:lang w:val="en-US" w:eastAsia="zh-CN" w:bidi="ar-SA"/>
        </w:rPr>
        <w:t>一级泵站整体主体正在加快建设，原水管道安装预计6月初全部完成；二级泵站整体主体建设及设备安装预计5月底全部完成；三级泵站加快进度预计5月底全部安装完成；中水泵站建设及管道安装预计7月中旬全部完成；隧道掘进及管网安装预计7月底全部完成。</w:t>
      </w:r>
    </w:p>
    <w:p>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项目按专项债券分年度计划完成工程建设数量目标，全部完成100%。根据评分标准，该项得满分。</w:t>
      </w:r>
    </w:p>
    <w:p>
      <w:pPr>
        <w:spacing w:line="574" w:lineRule="exact"/>
        <w:ind w:firstLine="562" w:firstLineChars="200"/>
        <w:rPr>
          <w:rFonts w:hint="eastAsia" w:ascii="仿宋" w:hAnsi="仿宋" w:eastAsia="仿宋" w:cs="仿宋"/>
          <w:b/>
          <w:snapToGrid w:val="0"/>
          <w:sz w:val="28"/>
          <w:szCs w:val="28"/>
          <w:lang w:val="en-US" w:eastAsia="zh-CN"/>
        </w:rPr>
      </w:pPr>
      <w:r>
        <w:rPr>
          <w:rFonts w:hint="eastAsia" w:ascii="仿宋" w:hAnsi="仿宋" w:eastAsia="仿宋" w:cs="仿宋"/>
          <w:b/>
          <w:snapToGrid w:val="0"/>
          <w:sz w:val="28"/>
          <w:szCs w:val="28"/>
        </w:rPr>
        <w:t>C12资产形成率</w:t>
      </w:r>
      <w:r>
        <w:rPr>
          <w:rFonts w:hint="eastAsia" w:ascii="仿宋" w:hAnsi="仿宋" w:eastAsia="仿宋" w:cs="仿宋"/>
          <w:b/>
          <w:snapToGrid w:val="0"/>
          <w:sz w:val="28"/>
          <w:szCs w:val="28"/>
          <w:lang w:val="en-US" w:eastAsia="zh-CN"/>
        </w:rPr>
        <w:t>:</w:t>
      </w:r>
      <w:r>
        <w:rPr>
          <w:rFonts w:hint="eastAsia" w:ascii="Times New Roman" w:hAnsi="Times New Roman" w:eastAsia="仿宋_GB2312" w:cs="Times New Roman"/>
          <w:bCs/>
          <w:kern w:val="0"/>
          <w:sz w:val="28"/>
          <w:szCs w:val="32"/>
          <w:lang w:val="en-US" w:eastAsia="zh-CN"/>
        </w:rPr>
        <w:t>满分2.00分，得分2.00分。</w:t>
      </w:r>
    </w:p>
    <w:p>
      <w:pPr>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专项债券古县五马至古阳段城乡供水工程项目建设期为2022年7月至2023年7月，项目目前处于建设期，建设中未能形成可备案登记资产，项目按进度计划实施。根据评分标准，该项得满分。</w:t>
      </w:r>
    </w:p>
    <w:p>
      <w:pPr>
        <w:spacing w:line="574" w:lineRule="exact"/>
        <w:ind w:firstLine="562" w:firstLineChars="200"/>
        <w:rPr>
          <w:rFonts w:hint="default" w:ascii="仿宋" w:hAnsi="仿宋" w:eastAsia="仿宋" w:cs="仿宋"/>
          <w:b/>
          <w:snapToGrid w:val="0"/>
          <w:sz w:val="28"/>
          <w:szCs w:val="28"/>
          <w:lang w:val="en-US" w:eastAsia="zh-CN"/>
        </w:rPr>
      </w:pPr>
      <w:r>
        <w:rPr>
          <w:rFonts w:hint="eastAsia" w:ascii="仿宋" w:hAnsi="仿宋" w:eastAsia="仿宋" w:cs="仿宋"/>
          <w:b/>
          <w:snapToGrid w:val="0"/>
          <w:sz w:val="28"/>
          <w:szCs w:val="28"/>
        </w:rPr>
        <w:t>C21质量达标率</w:t>
      </w:r>
      <w:r>
        <w:rPr>
          <w:rFonts w:hint="eastAsia" w:ascii="仿宋" w:hAnsi="仿宋" w:eastAsia="仿宋" w:cs="仿宋"/>
          <w:b/>
          <w:snapToGrid w:val="0"/>
          <w:sz w:val="28"/>
          <w:szCs w:val="28"/>
          <w:lang w:val="en-US" w:eastAsia="zh-CN"/>
        </w:rPr>
        <w:t>:</w:t>
      </w:r>
      <w:r>
        <w:rPr>
          <w:rFonts w:hint="eastAsia" w:ascii="Times New Roman" w:hAnsi="Times New Roman" w:eastAsia="仿宋_GB2312" w:cs="Times New Roman"/>
          <w:bCs/>
          <w:kern w:val="0"/>
          <w:sz w:val="28"/>
          <w:szCs w:val="32"/>
          <w:lang w:val="en-US" w:eastAsia="zh-CN"/>
        </w:rPr>
        <w:t>满分5.00分，得分5.00分。</w:t>
      </w:r>
    </w:p>
    <w:p>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项目工程符合国家相关行业的质量检测和验收标准，符合建设设计中的功能，项目的建设可以积极促进古县经济的发展。</w:t>
      </w:r>
    </w:p>
    <w:p>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项目实施过程中，严格实行项目监理制度，材料验收、质量检测等资料完备可查。</w:t>
      </w:r>
    </w:p>
    <w:p>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项目不存在后续可能存在的其他隐患：项目前期各项筹备工作完善，项目各项手续完备。</w:t>
      </w:r>
    </w:p>
    <w:p>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根据评分标准，该项得满分。</w:t>
      </w:r>
    </w:p>
    <w:p>
      <w:pPr>
        <w:spacing w:line="574" w:lineRule="exact"/>
        <w:ind w:firstLine="562" w:firstLineChars="200"/>
        <w:rPr>
          <w:rFonts w:hint="default" w:ascii="仿宋" w:hAnsi="仿宋" w:eastAsia="仿宋" w:cs="仿宋"/>
          <w:b/>
          <w:snapToGrid w:val="0"/>
          <w:sz w:val="28"/>
          <w:szCs w:val="28"/>
          <w:lang w:val="en-US" w:eastAsia="zh-CN"/>
        </w:rPr>
      </w:pPr>
      <w:r>
        <w:rPr>
          <w:rFonts w:hint="eastAsia" w:ascii="仿宋" w:hAnsi="仿宋" w:eastAsia="仿宋" w:cs="仿宋"/>
          <w:b/>
          <w:snapToGrid w:val="0"/>
          <w:sz w:val="28"/>
          <w:szCs w:val="28"/>
        </w:rPr>
        <w:t>C22安全施工目标</w:t>
      </w:r>
      <w:r>
        <w:rPr>
          <w:rFonts w:hint="eastAsia" w:ascii="仿宋" w:hAnsi="仿宋" w:eastAsia="仿宋" w:cs="仿宋"/>
          <w:b/>
          <w:snapToGrid w:val="0"/>
          <w:sz w:val="28"/>
          <w:szCs w:val="28"/>
          <w:lang w:val="en-US" w:eastAsia="zh-CN"/>
        </w:rPr>
        <w:t>:</w:t>
      </w:r>
      <w:r>
        <w:rPr>
          <w:rFonts w:hint="eastAsia" w:ascii="Times New Roman" w:hAnsi="Times New Roman" w:eastAsia="仿宋_GB2312" w:cs="Times New Roman"/>
          <w:bCs/>
          <w:kern w:val="0"/>
          <w:sz w:val="28"/>
          <w:szCs w:val="32"/>
          <w:lang w:val="en-US" w:eastAsia="zh-CN"/>
        </w:rPr>
        <w:t>满分2.00分，得分2.00分。</w:t>
      </w:r>
    </w:p>
    <w:p>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kern w:val="2"/>
          <w:sz w:val="28"/>
          <w:szCs w:val="24"/>
          <w:lang w:val="en-US" w:eastAsia="zh-CN" w:bidi="ar-SA"/>
        </w:rPr>
        <w:t>古县城乡水务有限公司</w:t>
      </w:r>
      <w:r>
        <w:rPr>
          <w:rFonts w:hint="eastAsia" w:ascii="Times New Roman" w:hAnsi="Times New Roman" w:eastAsia="仿宋_GB2312" w:cs="Times New Roman"/>
          <w:bCs/>
          <w:kern w:val="0"/>
          <w:sz w:val="28"/>
          <w:szCs w:val="32"/>
          <w:lang w:val="en-US" w:eastAsia="zh-CN"/>
        </w:rPr>
        <w:t>按合同约定督促施工方落实各项安全施工制度，防止各类安全事故发生，实现安全生产、文明施工管理目标；截止2023年5月31日，施工期间未发生重大安全事故。根据评分标准，该项得满分。</w:t>
      </w:r>
    </w:p>
    <w:p>
      <w:pPr>
        <w:spacing w:line="574" w:lineRule="exact"/>
        <w:ind w:firstLine="562" w:firstLineChars="200"/>
        <w:rPr>
          <w:rFonts w:hint="eastAsia" w:ascii="仿宋" w:hAnsi="仿宋" w:eastAsia="仿宋" w:cs="仿宋"/>
          <w:b/>
          <w:snapToGrid w:val="0"/>
          <w:sz w:val="28"/>
          <w:szCs w:val="28"/>
          <w:lang w:val="en-US" w:eastAsia="zh-CN"/>
        </w:rPr>
      </w:pPr>
      <w:r>
        <w:rPr>
          <w:rFonts w:hint="eastAsia" w:ascii="仿宋" w:hAnsi="仿宋" w:eastAsia="仿宋" w:cs="仿宋"/>
          <w:b/>
          <w:snapToGrid w:val="0"/>
          <w:sz w:val="28"/>
          <w:szCs w:val="28"/>
        </w:rPr>
        <w:t>C31建设及时性</w:t>
      </w:r>
      <w:r>
        <w:rPr>
          <w:rFonts w:hint="eastAsia" w:ascii="仿宋" w:hAnsi="仿宋" w:eastAsia="仿宋" w:cs="仿宋"/>
          <w:b/>
          <w:snapToGrid w:val="0"/>
          <w:sz w:val="28"/>
          <w:szCs w:val="28"/>
          <w:lang w:val="en-US" w:eastAsia="zh-CN"/>
        </w:rPr>
        <w:t>:</w:t>
      </w:r>
      <w:r>
        <w:rPr>
          <w:rFonts w:hint="eastAsia" w:ascii="Times New Roman" w:hAnsi="Times New Roman" w:eastAsia="仿宋_GB2312" w:cs="Times New Roman"/>
          <w:bCs/>
          <w:kern w:val="0"/>
          <w:sz w:val="28"/>
          <w:szCs w:val="32"/>
          <w:lang w:val="en-US" w:eastAsia="zh-CN"/>
        </w:rPr>
        <w:t>满分5.00分，得分5.00分。</w:t>
      </w:r>
    </w:p>
    <w:p>
      <w:pPr>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kern w:val="2"/>
          <w:sz w:val="28"/>
          <w:szCs w:val="24"/>
          <w:lang w:val="en-US" w:eastAsia="zh-CN" w:bidi="ar-SA"/>
        </w:rPr>
        <w:t>古县城乡水务有限公司</w:t>
      </w:r>
      <w:r>
        <w:rPr>
          <w:rFonts w:hint="eastAsia" w:ascii="Times New Roman" w:hAnsi="Times New Roman" w:eastAsia="仿宋_GB2312" w:cs="Times New Roman"/>
          <w:bCs/>
          <w:kern w:val="0"/>
          <w:sz w:val="28"/>
          <w:szCs w:val="32"/>
          <w:lang w:val="en-US" w:eastAsia="zh-CN"/>
        </w:rPr>
        <w:t>实施项目过程中，按照项目实施计划设定的计划建设期限、合同约定期限实施，阶段性工程量全部完成，项目推进进度符合年度目标设定。根据评分标准，该项得满分。</w:t>
      </w:r>
    </w:p>
    <w:p>
      <w:pPr>
        <w:spacing w:line="574" w:lineRule="exact"/>
        <w:ind w:firstLine="562" w:firstLineChars="200"/>
        <w:rPr>
          <w:rFonts w:hint="eastAsia" w:ascii="仿宋" w:hAnsi="仿宋" w:eastAsia="仿宋" w:cs="仿宋"/>
          <w:b/>
          <w:snapToGrid w:val="0"/>
          <w:sz w:val="28"/>
          <w:szCs w:val="28"/>
          <w:lang w:val="en-US" w:eastAsia="zh-CN"/>
        </w:rPr>
      </w:pPr>
      <w:r>
        <w:rPr>
          <w:rFonts w:hint="eastAsia" w:ascii="仿宋" w:hAnsi="仿宋" w:eastAsia="仿宋" w:cs="仿宋"/>
          <w:b/>
          <w:snapToGrid w:val="0"/>
          <w:sz w:val="28"/>
          <w:szCs w:val="28"/>
        </w:rPr>
        <w:t>C41成本节约率</w:t>
      </w:r>
      <w:r>
        <w:rPr>
          <w:rFonts w:hint="eastAsia" w:ascii="仿宋" w:hAnsi="仿宋" w:eastAsia="仿宋" w:cs="仿宋"/>
          <w:b/>
          <w:snapToGrid w:val="0"/>
          <w:sz w:val="28"/>
          <w:szCs w:val="28"/>
          <w:lang w:val="en-US" w:eastAsia="zh-CN"/>
        </w:rPr>
        <w:t>:</w:t>
      </w:r>
      <w:r>
        <w:rPr>
          <w:rFonts w:hint="eastAsia" w:ascii="Times New Roman" w:hAnsi="Times New Roman" w:eastAsia="仿宋_GB2312" w:cs="Times New Roman"/>
          <w:bCs/>
          <w:kern w:val="0"/>
          <w:sz w:val="28"/>
          <w:szCs w:val="32"/>
          <w:lang w:val="en-US" w:eastAsia="zh-CN"/>
        </w:rPr>
        <w:t>满分4.00分，得分4.00分。</w:t>
      </w:r>
    </w:p>
    <w:p>
      <w:pPr>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根据项目实施单位提供的资料，项目目前处于实施阶段，尚未进行完工结算审计，项目实施过程中为发现超支现象；债券资金按支出计划使用，债券资金已使用10000.00万元；项目预备费按规定用于工程建设支出，未发现违规情况。根据评分标准，该项得满分。</w:t>
      </w:r>
    </w:p>
    <w:p>
      <w:pPr>
        <w:spacing w:line="574" w:lineRule="exact"/>
        <w:ind w:firstLine="562" w:firstLineChars="200"/>
        <w:rPr>
          <w:rFonts w:hint="default" w:ascii="仿宋" w:hAnsi="仿宋" w:eastAsia="仿宋" w:cs="仿宋"/>
          <w:b/>
          <w:snapToGrid w:val="0"/>
          <w:sz w:val="28"/>
          <w:szCs w:val="28"/>
          <w:lang w:val="en-US" w:eastAsia="zh-CN"/>
        </w:rPr>
      </w:pPr>
      <w:r>
        <w:rPr>
          <w:rFonts w:hint="eastAsia" w:ascii="仿宋" w:hAnsi="仿宋" w:eastAsia="仿宋" w:cs="仿宋"/>
          <w:b/>
          <w:snapToGrid w:val="0"/>
          <w:sz w:val="28"/>
          <w:szCs w:val="28"/>
        </w:rPr>
        <w:t>C42社会成本</w:t>
      </w:r>
      <w:r>
        <w:rPr>
          <w:rFonts w:hint="eastAsia" w:ascii="仿宋" w:hAnsi="仿宋" w:eastAsia="仿宋" w:cs="仿宋"/>
          <w:b/>
          <w:snapToGrid w:val="0"/>
          <w:sz w:val="28"/>
          <w:szCs w:val="28"/>
          <w:lang w:val="en-US" w:eastAsia="zh-CN"/>
        </w:rPr>
        <w:t>:</w:t>
      </w:r>
      <w:r>
        <w:rPr>
          <w:rFonts w:hint="eastAsia" w:ascii="Times New Roman" w:hAnsi="Times New Roman" w:eastAsia="仿宋_GB2312" w:cs="Times New Roman"/>
          <w:bCs/>
          <w:kern w:val="0"/>
          <w:sz w:val="28"/>
          <w:szCs w:val="32"/>
          <w:lang w:val="en-US" w:eastAsia="zh-CN"/>
        </w:rPr>
        <w:t>满分2.00分，得分2.00分。</w:t>
      </w:r>
    </w:p>
    <w:p>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根据项目实施单位提供的资料，评价组现场调研了解到，项目未接到群众投诉，未出现媒体重大负面舆情报道，未发生重大诉讼案件。根据评分标准，该项得满分。</w:t>
      </w:r>
    </w:p>
    <w:p>
      <w:pPr>
        <w:spacing w:line="574" w:lineRule="exact"/>
        <w:ind w:firstLine="562" w:firstLineChars="200"/>
        <w:rPr>
          <w:rFonts w:hint="eastAsia" w:ascii="仿宋" w:hAnsi="仿宋" w:eastAsia="仿宋" w:cs="仿宋"/>
          <w:b/>
          <w:snapToGrid w:val="0"/>
          <w:sz w:val="28"/>
          <w:szCs w:val="28"/>
          <w:lang w:val="en-US" w:eastAsia="zh-CN"/>
        </w:rPr>
      </w:pPr>
      <w:r>
        <w:rPr>
          <w:rFonts w:hint="eastAsia" w:ascii="仿宋" w:hAnsi="仿宋" w:eastAsia="仿宋" w:cs="仿宋"/>
          <w:b/>
          <w:snapToGrid w:val="0"/>
          <w:sz w:val="28"/>
          <w:szCs w:val="28"/>
        </w:rPr>
        <w:t>C43生态环境成本</w:t>
      </w:r>
      <w:r>
        <w:rPr>
          <w:rFonts w:hint="eastAsia" w:ascii="仿宋" w:hAnsi="仿宋" w:eastAsia="仿宋" w:cs="仿宋"/>
          <w:b/>
          <w:snapToGrid w:val="0"/>
          <w:sz w:val="28"/>
          <w:szCs w:val="28"/>
          <w:lang w:val="en-US" w:eastAsia="zh-CN"/>
        </w:rPr>
        <w:t>:</w:t>
      </w:r>
      <w:r>
        <w:rPr>
          <w:rFonts w:hint="eastAsia" w:ascii="Times New Roman" w:hAnsi="Times New Roman" w:eastAsia="仿宋_GB2312" w:cs="Times New Roman"/>
          <w:bCs/>
          <w:kern w:val="0"/>
          <w:sz w:val="28"/>
          <w:szCs w:val="32"/>
          <w:lang w:val="en-US" w:eastAsia="zh-CN"/>
        </w:rPr>
        <w:t>满分2.00分，得分2.00分。</w:t>
      </w:r>
    </w:p>
    <w:p>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古县财政局在项目实施过程中制定并严格落实施工环境保护措施；未出现因环境保护不到位被处罚等情形。根据评分标准，该项得满分。</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val="en-US" w:eastAsia="zh-CN"/>
        </w:rPr>
      </w:pPr>
      <w:bookmarkStart w:id="82" w:name="_Toc32468"/>
      <w:bookmarkStart w:id="83" w:name="_Toc23403"/>
      <w:bookmarkStart w:id="84" w:name="_Toc23234"/>
      <w:bookmarkStart w:id="85" w:name="_Toc528680469"/>
      <w:bookmarkStart w:id="86" w:name="_Toc22268"/>
      <w:bookmarkStart w:id="87" w:name="_Toc528684144"/>
      <w:bookmarkStart w:id="88" w:name="_Toc31873"/>
      <w:bookmarkStart w:id="89" w:name="_Toc8932"/>
      <w:bookmarkStart w:id="90" w:name="_Toc29718"/>
      <w:bookmarkStart w:id="91" w:name="_Toc28371"/>
      <w:bookmarkStart w:id="92" w:name="_Toc19098"/>
      <w:bookmarkStart w:id="93" w:name="_Toc3853"/>
      <w:r>
        <w:rPr>
          <w:rFonts w:hint="eastAsia" w:ascii="仿宋" w:hAnsi="仿宋" w:eastAsia="仿宋" w:cs="Times New Roman"/>
          <w:b/>
          <w:bCs/>
          <w:sz w:val="32"/>
          <w:szCs w:val="32"/>
          <w:lang w:val="en-US" w:eastAsia="zh-CN"/>
        </w:rPr>
        <w:t>（四）项目效益</w:t>
      </w:r>
      <w:bookmarkEnd w:id="82"/>
      <w:bookmarkEnd w:id="83"/>
      <w:bookmarkEnd w:id="84"/>
      <w:bookmarkEnd w:id="85"/>
      <w:bookmarkEnd w:id="86"/>
      <w:bookmarkEnd w:id="87"/>
      <w:bookmarkEnd w:id="88"/>
      <w:bookmarkEnd w:id="89"/>
      <w:bookmarkEnd w:id="90"/>
      <w:bookmarkEnd w:id="91"/>
      <w:bookmarkEnd w:id="92"/>
      <w:bookmarkEnd w:id="93"/>
    </w:p>
    <w:p>
      <w:pPr>
        <w:widowControl/>
        <w:spacing w:line="574" w:lineRule="exact"/>
        <w:ind w:firstLine="560" w:firstLineChars="200"/>
        <w:rPr>
          <w:rFonts w:ascii="仿宋_GB2312" w:eastAsia="仿宋_GB2312"/>
          <w:snapToGrid w:val="0"/>
          <w:sz w:val="32"/>
          <w:szCs w:val="32"/>
        </w:rPr>
      </w:pPr>
      <w:r>
        <w:rPr>
          <w:rFonts w:hint="eastAsia" w:ascii="Times New Roman" w:hAnsi="Times New Roman" w:eastAsia="仿宋_GB2312" w:cs="Times New Roman"/>
          <w:bCs/>
          <w:kern w:val="0"/>
          <w:sz w:val="28"/>
          <w:szCs w:val="32"/>
          <w:lang w:val="en-US" w:eastAsia="zh-CN"/>
        </w:rPr>
        <w:t>效益类指标权重10.00分，实际得分10.00分。指标得分情况如表4-4所示</w:t>
      </w:r>
      <w:r>
        <w:rPr>
          <w:rFonts w:hint="eastAsia" w:ascii="仿宋" w:hAnsi="仿宋" w:eastAsia="仿宋" w:cs="仿宋"/>
          <w:snapToGrid w:val="0"/>
          <w:sz w:val="28"/>
          <w:szCs w:val="28"/>
        </w:rPr>
        <w:t>：</w:t>
      </w:r>
    </w:p>
    <w:p>
      <w:pPr>
        <w:widowControl/>
        <w:spacing w:line="574" w:lineRule="exact"/>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表4-</w:t>
      </w:r>
      <w:r>
        <w:rPr>
          <w:rFonts w:hint="eastAsia" w:ascii="Times New Roman" w:hAnsi="Times New Roman" w:eastAsia="仿宋" w:cs="Times New Roman"/>
          <w:b/>
          <w:bCs/>
          <w:color w:val="000000"/>
          <w:kern w:val="0"/>
          <w:sz w:val="24"/>
          <w:szCs w:val="28"/>
          <w:lang w:val="en-US" w:eastAsia="zh-CN"/>
        </w:rPr>
        <w:t>4</w:t>
      </w:r>
      <w:r>
        <w:rPr>
          <w:rFonts w:hint="eastAsia" w:ascii="Times New Roman" w:hAnsi="Times New Roman" w:eastAsia="仿宋" w:cs="Times New Roman"/>
          <w:b/>
          <w:bCs/>
          <w:color w:val="000000"/>
          <w:kern w:val="0"/>
          <w:sz w:val="24"/>
          <w:szCs w:val="28"/>
        </w:rPr>
        <w:t>效益类指标得分情况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Layout w:type="fixed"/>
        <w:tblCellMar>
          <w:top w:w="0" w:type="dxa"/>
          <w:left w:w="108" w:type="dxa"/>
          <w:bottom w:w="0" w:type="dxa"/>
          <w:right w:w="108" w:type="dxa"/>
        </w:tblCellMar>
      </w:tblPr>
      <w:tblGrid>
        <w:gridCol w:w="1784"/>
        <w:gridCol w:w="3572"/>
        <w:gridCol w:w="1019"/>
        <w:gridCol w:w="991"/>
        <w:gridCol w:w="11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4" w:hRule="atLeast"/>
        </w:trPr>
        <w:tc>
          <w:tcPr>
            <w:tcW w:w="1784"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二级指标</w:t>
            </w:r>
          </w:p>
        </w:tc>
        <w:tc>
          <w:tcPr>
            <w:tcW w:w="3572"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三级指标</w:t>
            </w:r>
          </w:p>
        </w:tc>
        <w:tc>
          <w:tcPr>
            <w:tcW w:w="1019"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权重</w:t>
            </w:r>
          </w:p>
        </w:tc>
        <w:tc>
          <w:tcPr>
            <w:tcW w:w="991"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得分</w:t>
            </w:r>
          </w:p>
        </w:tc>
        <w:tc>
          <w:tcPr>
            <w:tcW w:w="1156"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784" w:type="dxa"/>
            <w:vMerge w:val="restart"/>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D1经济效益</w:t>
            </w:r>
          </w:p>
        </w:tc>
        <w:tc>
          <w:tcPr>
            <w:tcW w:w="3572" w:type="dxa"/>
            <w:shd w:val="clear" w:color="auto" w:fill="auto"/>
            <w:vAlign w:val="center"/>
          </w:tcPr>
          <w:p>
            <w:pPr>
              <w:widowControl/>
              <w:snapToGrid w:val="0"/>
              <w:jc w:val="center"/>
              <w:rPr>
                <w:rFonts w:hint="eastAsia" w:ascii="Times New Roman" w:hAnsi="Times New Roman" w:eastAsia="仿宋" w:cs="Times New Roman"/>
                <w:b w:val="0"/>
                <w:bCs w:val="0"/>
                <w:color w:val="auto"/>
                <w:sz w:val="24"/>
                <w:szCs w:val="24"/>
                <w:lang w:val="en-US" w:eastAsia="zh-CN"/>
              </w:rPr>
            </w:pPr>
            <w:r>
              <w:rPr>
                <w:rFonts w:hint="eastAsia" w:ascii="仿宋" w:hAnsi="仿宋" w:eastAsia="仿宋" w:cs="仿宋"/>
                <w:color w:val="000000"/>
                <w:kern w:val="0"/>
                <w:sz w:val="24"/>
                <w:szCs w:val="24"/>
                <w:lang w:val="en-US" w:eastAsia="zh-CN"/>
              </w:rPr>
              <w:t>D11项目预期收入</w:t>
            </w:r>
          </w:p>
        </w:tc>
        <w:tc>
          <w:tcPr>
            <w:tcW w:w="1019"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w:t>
            </w:r>
          </w:p>
        </w:tc>
        <w:tc>
          <w:tcPr>
            <w:tcW w:w="991"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1.00</w:t>
            </w:r>
          </w:p>
        </w:tc>
        <w:tc>
          <w:tcPr>
            <w:tcW w:w="1156"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784" w:type="dxa"/>
            <w:vMerge w:val="continue"/>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p>
        </w:tc>
        <w:tc>
          <w:tcPr>
            <w:tcW w:w="3572" w:type="dxa"/>
            <w:shd w:val="clear" w:color="auto" w:fill="auto"/>
            <w:vAlign w:val="center"/>
          </w:tcPr>
          <w:p>
            <w:pPr>
              <w:widowControl/>
              <w:snapToGrid w:val="0"/>
              <w:jc w:val="center"/>
              <w:rPr>
                <w:rFonts w:hint="eastAsia" w:ascii="Times New Roman" w:hAnsi="Times New Roman" w:eastAsia="仿宋" w:cs="Times New Roman"/>
                <w:b w:val="0"/>
                <w:bCs w:val="0"/>
                <w:color w:val="auto"/>
                <w:sz w:val="24"/>
                <w:szCs w:val="24"/>
                <w:lang w:val="en-US" w:eastAsia="zh-CN"/>
              </w:rPr>
            </w:pPr>
            <w:r>
              <w:rPr>
                <w:rFonts w:hint="eastAsia" w:ascii="仿宋" w:hAnsi="仿宋" w:eastAsia="仿宋" w:cs="仿宋"/>
                <w:color w:val="000000"/>
                <w:kern w:val="0"/>
                <w:sz w:val="24"/>
                <w:szCs w:val="24"/>
                <w:lang w:val="en-US" w:eastAsia="zh-CN"/>
              </w:rPr>
              <w:t>D12区域经济促进作用</w:t>
            </w:r>
          </w:p>
        </w:tc>
        <w:tc>
          <w:tcPr>
            <w:tcW w:w="1019"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w:t>
            </w:r>
          </w:p>
        </w:tc>
        <w:tc>
          <w:tcPr>
            <w:tcW w:w="991"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1.00</w:t>
            </w:r>
          </w:p>
        </w:tc>
        <w:tc>
          <w:tcPr>
            <w:tcW w:w="1156"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784"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D2社会效益</w:t>
            </w:r>
          </w:p>
        </w:tc>
        <w:tc>
          <w:tcPr>
            <w:tcW w:w="3572" w:type="dxa"/>
            <w:shd w:val="clear" w:color="auto" w:fill="auto"/>
            <w:vAlign w:val="center"/>
          </w:tcPr>
          <w:p>
            <w:pPr>
              <w:widowControl/>
              <w:snapToGrid w:val="0"/>
              <w:jc w:val="center"/>
              <w:rPr>
                <w:rFonts w:hint="eastAsia" w:ascii="Times New Roman" w:hAnsi="Times New Roman" w:eastAsia="仿宋" w:cs="Times New Roman"/>
                <w:b w:val="0"/>
                <w:bCs w:val="0"/>
                <w:color w:val="auto"/>
                <w:sz w:val="24"/>
                <w:szCs w:val="24"/>
                <w:lang w:val="en-US" w:eastAsia="zh-CN"/>
              </w:rPr>
            </w:pPr>
            <w:r>
              <w:rPr>
                <w:rFonts w:hint="eastAsia" w:ascii="仿宋" w:hAnsi="仿宋" w:eastAsia="仿宋" w:cs="仿宋"/>
                <w:color w:val="000000"/>
                <w:kern w:val="0"/>
                <w:sz w:val="24"/>
                <w:szCs w:val="24"/>
                <w:lang w:val="en-US" w:eastAsia="zh-CN"/>
              </w:rPr>
              <w:t>D21基础设施建设水平</w:t>
            </w:r>
          </w:p>
        </w:tc>
        <w:tc>
          <w:tcPr>
            <w:tcW w:w="1019"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99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2.00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784"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D3生态效益</w:t>
            </w:r>
          </w:p>
        </w:tc>
        <w:tc>
          <w:tcPr>
            <w:tcW w:w="3572" w:type="dxa"/>
            <w:shd w:val="clear" w:color="auto" w:fill="auto"/>
            <w:vAlign w:val="center"/>
          </w:tcPr>
          <w:p>
            <w:pPr>
              <w:widowControl/>
              <w:snapToGrid w:val="0"/>
              <w:jc w:val="center"/>
              <w:rPr>
                <w:rFonts w:hint="eastAsia" w:ascii="Times New Roman" w:hAnsi="Times New Roman" w:eastAsia="仿宋" w:cs="Times New Roman"/>
                <w:b w:val="0"/>
                <w:bCs w:val="0"/>
                <w:color w:val="auto"/>
                <w:sz w:val="24"/>
                <w:szCs w:val="24"/>
                <w:lang w:val="en-US" w:eastAsia="zh-CN"/>
              </w:rPr>
            </w:pPr>
            <w:r>
              <w:rPr>
                <w:rFonts w:hint="eastAsia" w:ascii="仿宋" w:hAnsi="仿宋" w:eastAsia="仿宋" w:cs="仿宋"/>
                <w:color w:val="000000"/>
                <w:kern w:val="0"/>
                <w:sz w:val="24"/>
                <w:szCs w:val="24"/>
                <w:lang w:val="en-US" w:eastAsia="zh-CN"/>
              </w:rPr>
              <w:t>D31中心城区环境污染降低情况</w:t>
            </w:r>
          </w:p>
        </w:tc>
        <w:tc>
          <w:tcPr>
            <w:tcW w:w="1019"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w:t>
            </w:r>
          </w:p>
        </w:tc>
        <w:tc>
          <w:tcPr>
            <w:tcW w:w="99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1.00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40" w:hRule="atLeast"/>
        </w:trPr>
        <w:tc>
          <w:tcPr>
            <w:tcW w:w="1784" w:type="dxa"/>
            <w:vMerge w:val="restart"/>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D4可持续影响</w:t>
            </w:r>
          </w:p>
        </w:tc>
        <w:tc>
          <w:tcPr>
            <w:tcW w:w="3572" w:type="dxa"/>
            <w:shd w:val="clear" w:color="auto" w:fill="auto"/>
            <w:vAlign w:val="center"/>
          </w:tcPr>
          <w:p>
            <w:pPr>
              <w:widowControl/>
              <w:snapToGrid w:val="0"/>
              <w:jc w:val="center"/>
              <w:rPr>
                <w:rFonts w:hint="eastAsia" w:ascii="Times New Roman" w:hAnsi="Times New Roman" w:eastAsia="仿宋" w:cs="Times New Roman"/>
                <w:b w:val="0"/>
                <w:bCs w:val="0"/>
                <w:color w:val="auto"/>
                <w:sz w:val="24"/>
                <w:szCs w:val="24"/>
                <w:lang w:val="en-US" w:eastAsia="zh-CN"/>
              </w:rPr>
            </w:pPr>
            <w:r>
              <w:rPr>
                <w:rFonts w:hint="eastAsia" w:ascii="仿宋" w:hAnsi="仿宋" w:eastAsia="仿宋" w:cs="仿宋"/>
                <w:color w:val="000000"/>
                <w:kern w:val="0"/>
                <w:sz w:val="24"/>
                <w:szCs w:val="24"/>
                <w:lang w:val="en-US" w:eastAsia="zh-CN"/>
              </w:rPr>
              <w:t>D41人才技术支撑</w:t>
            </w:r>
          </w:p>
        </w:tc>
        <w:tc>
          <w:tcPr>
            <w:tcW w:w="1019"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0.50</w:t>
            </w:r>
          </w:p>
        </w:tc>
        <w:tc>
          <w:tcPr>
            <w:tcW w:w="99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0.50</w:t>
            </w:r>
          </w:p>
        </w:tc>
        <w:tc>
          <w:tcPr>
            <w:tcW w:w="1156"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0" w:hRule="atLeast"/>
        </w:trPr>
        <w:tc>
          <w:tcPr>
            <w:tcW w:w="1784" w:type="dxa"/>
            <w:vMerge w:val="continue"/>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p>
        </w:tc>
        <w:tc>
          <w:tcPr>
            <w:tcW w:w="3572" w:type="dxa"/>
            <w:shd w:val="clear" w:color="auto" w:fill="auto"/>
            <w:vAlign w:val="center"/>
          </w:tcPr>
          <w:p>
            <w:pPr>
              <w:widowControl/>
              <w:snapToGrid w:val="0"/>
              <w:jc w:val="center"/>
              <w:rPr>
                <w:rFonts w:hint="eastAsia" w:ascii="Times New Roman" w:hAnsi="Times New Roman" w:eastAsia="仿宋" w:cs="Times New Roman"/>
                <w:b w:val="0"/>
                <w:bCs w:val="0"/>
                <w:color w:val="auto"/>
                <w:sz w:val="24"/>
                <w:szCs w:val="24"/>
                <w:lang w:val="en-US" w:eastAsia="zh-CN"/>
              </w:rPr>
            </w:pPr>
            <w:r>
              <w:rPr>
                <w:rFonts w:hint="eastAsia" w:ascii="仿宋" w:hAnsi="仿宋" w:eastAsia="仿宋" w:cs="仿宋"/>
                <w:color w:val="000000"/>
                <w:kern w:val="0"/>
                <w:sz w:val="24"/>
                <w:szCs w:val="24"/>
                <w:lang w:val="en-US" w:eastAsia="zh-CN"/>
              </w:rPr>
              <w:t>D42财务支撑</w:t>
            </w:r>
          </w:p>
        </w:tc>
        <w:tc>
          <w:tcPr>
            <w:tcW w:w="1019"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0.50</w:t>
            </w:r>
          </w:p>
        </w:tc>
        <w:tc>
          <w:tcPr>
            <w:tcW w:w="99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0.50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40" w:hRule="atLeast"/>
        </w:trPr>
        <w:tc>
          <w:tcPr>
            <w:tcW w:w="1784" w:type="dxa"/>
            <w:vMerge w:val="continue"/>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p>
        </w:tc>
        <w:tc>
          <w:tcPr>
            <w:tcW w:w="3572" w:type="dxa"/>
            <w:shd w:val="clear" w:color="auto" w:fill="auto"/>
            <w:vAlign w:val="center"/>
          </w:tcPr>
          <w:p>
            <w:pPr>
              <w:widowControl/>
              <w:snapToGrid w:val="0"/>
              <w:jc w:val="center"/>
              <w:rPr>
                <w:rFonts w:hint="eastAsia" w:ascii="Times New Roman" w:hAnsi="Times New Roman" w:eastAsia="仿宋" w:cs="Times New Roman"/>
                <w:b w:val="0"/>
                <w:bCs w:val="0"/>
                <w:color w:val="auto"/>
                <w:sz w:val="24"/>
                <w:szCs w:val="24"/>
                <w:lang w:val="en-US" w:eastAsia="zh-CN"/>
              </w:rPr>
            </w:pPr>
            <w:r>
              <w:rPr>
                <w:rFonts w:hint="eastAsia" w:ascii="仿宋" w:hAnsi="仿宋" w:eastAsia="仿宋" w:cs="仿宋"/>
                <w:color w:val="000000"/>
                <w:kern w:val="0"/>
                <w:sz w:val="24"/>
                <w:szCs w:val="24"/>
                <w:lang w:val="en-US" w:eastAsia="zh-CN"/>
              </w:rPr>
              <w:t>D43外部环境支撑</w:t>
            </w:r>
          </w:p>
        </w:tc>
        <w:tc>
          <w:tcPr>
            <w:tcW w:w="1019"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w:t>
            </w:r>
          </w:p>
        </w:tc>
        <w:tc>
          <w:tcPr>
            <w:tcW w:w="99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1.00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784"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D5满意度</w:t>
            </w:r>
          </w:p>
        </w:tc>
        <w:tc>
          <w:tcPr>
            <w:tcW w:w="3572" w:type="dxa"/>
            <w:shd w:val="clear" w:color="auto" w:fill="auto"/>
            <w:vAlign w:val="center"/>
          </w:tcPr>
          <w:p>
            <w:pPr>
              <w:widowControl/>
              <w:snapToGrid w:val="0"/>
              <w:jc w:val="center"/>
              <w:rPr>
                <w:rFonts w:hint="eastAsia" w:ascii="Times New Roman" w:hAnsi="Times New Roman" w:eastAsia="仿宋" w:cs="Times New Roman"/>
                <w:b w:val="0"/>
                <w:bCs w:val="0"/>
                <w:color w:val="auto"/>
                <w:sz w:val="24"/>
                <w:szCs w:val="24"/>
                <w:lang w:val="en-US" w:eastAsia="zh-CN"/>
              </w:rPr>
            </w:pPr>
            <w:r>
              <w:rPr>
                <w:rFonts w:hint="eastAsia" w:ascii="仿宋" w:hAnsi="仿宋" w:eastAsia="仿宋" w:cs="仿宋"/>
                <w:color w:val="000000"/>
                <w:kern w:val="0"/>
                <w:sz w:val="24"/>
                <w:szCs w:val="24"/>
                <w:lang w:val="en-US" w:eastAsia="zh-CN"/>
              </w:rPr>
              <w:t>D51社会公众满意度</w:t>
            </w:r>
          </w:p>
        </w:tc>
        <w:tc>
          <w:tcPr>
            <w:tcW w:w="1019"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w:t>
            </w:r>
          </w:p>
        </w:tc>
        <w:tc>
          <w:tcPr>
            <w:tcW w:w="99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3.00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356" w:type="dxa"/>
            <w:gridSpan w:val="2"/>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合计</w:t>
            </w:r>
          </w:p>
        </w:tc>
        <w:tc>
          <w:tcPr>
            <w:tcW w:w="1019"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w:t>
            </w:r>
          </w:p>
        </w:tc>
        <w:tc>
          <w:tcPr>
            <w:tcW w:w="99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100.00%</w:t>
            </w:r>
          </w:p>
        </w:tc>
      </w:tr>
    </w:tbl>
    <w:p>
      <w:pPr>
        <w:widowControl/>
        <w:spacing w:line="574" w:lineRule="exact"/>
        <w:ind w:firstLine="562" w:firstLineChars="200"/>
        <w:rPr>
          <w:rFonts w:hint="default"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D11项目预期收入：</w:t>
      </w:r>
      <w:r>
        <w:rPr>
          <w:rFonts w:hint="eastAsia" w:ascii="Times New Roman" w:hAnsi="Times New Roman" w:eastAsia="仿宋_GB2312" w:cs="Times New Roman"/>
          <w:bCs/>
          <w:kern w:val="0"/>
          <w:sz w:val="28"/>
          <w:szCs w:val="32"/>
          <w:lang w:val="en-US" w:eastAsia="zh-CN"/>
        </w:rPr>
        <w:t>满分1.00分，得分1.00分。</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项目预期收入具备完全实现可能。</w:t>
      </w:r>
      <w:r>
        <w:rPr>
          <w:rFonts w:hint="eastAsia" w:ascii="Times New Roman" w:hAnsi="Times New Roman" w:eastAsia="仿宋_GB2312" w:cs="Times New Roman"/>
          <w:b w:val="0"/>
          <w:bCs w:val="0"/>
          <w:kern w:val="2"/>
          <w:sz w:val="28"/>
          <w:szCs w:val="24"/>
          <w:lang w:val="en-US" w:eastAsia="zh-CN" w:bidi="ar-SA"/>
        </w:rPr>
        <w:t>本项目建设完成后产生的收入为工业供水收入。古县五马至古阳段城乡供水工程引水量为1154万m³/a,包括原水供水工程及中水供水工程两部分，原水供水工程从五马及麦沟水库取水，经一、二级提升泵站提水至工业园北部事故备用蓄水池，再通过重力流管线分配给园区各用水户，引水流量0.303m³/s.中水供水工程从古县污水处理厂取水，经中水一级泵站、二级提升泵站加压后给多沟方向的泰达焦化供水，引水流量0.062m³/s.项目建成后主要向古县五马至古阳段企业提供工业用水，预计近期供水规模可达到1154万m³,收费标准参考古县工业用水标准，为3.4元／m³；根据谨慎性原则，2023年、2024年、2025年投入使用预计运营负荷分别为70%、80%、90%,至2026年运营负荷达到100%,债券存续期预计可实现收入70624.80万元</w:t>
      </w:r>
      <w:r>
        <w:rPr>
          <w:rFonts w:hint="eastAsia" w:ascii="Times New Roman" w:hAnsi="Times New Roman" w:eastAsia="仿宋_GB2312" w:cs="Times New Roman"/>
          <w:bCs/>
          <w:kern w:val="0"/>
          <w:sz w:val="28"/>
          <w:szCs w:val="32"/>
          <w:lang w:val="en-US" w:eastAsia="zh-CN"/>
        </w:rPr>
        <w:t>。根据评分标准，该项得满分。</w:t>
      </w:r>
    </w:p>
    <w:p>
      <w:pPr>
        <w:widowControl/>
        <w:spacing w:line="574" w:lineRule="exact"/>
        <w:ind w:firstLine="562" w:firstLineChars="200"/>
        <w:rPr>
          <w:rFonts w:hint="eastAsia"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D12区域经济促进作用：</w:t>
      </w:r>
      <w:r>
        <w:rPr>
          <w:rFonts w:hint="eastAsia" w:ascii="Times New Roman" w:hAnsi="Times New Roman" w:eastAsia="仿宋_GB2312" w:cs="Times New Roman"/>
          <w:bCs/>
          <w:kern w:val="0"/>
          <w:sz w:val="28"/>
          <w:szCs w:val="32"/>
          <w:lang w:val="en-US" w:eastAsia="zh-CN"/>
        </w:rPr>
        <w:t>满分1.00分，得分1.00分。</w:t>
      </w:r>
    </w:p>
    <w:p>
      <w:pPr>
        <w:widowControl/>
        <w:spacing w:line="574" w:lineRule="exact"/>
        <w:ind w:firstLine="560" w:firstLineChars="200"/>
        <w:rPr>
          <w:rFonts w:hint="eastAsia"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val="0"/>
          <w:bCs w:val="0"/>
          <w:kern w:val="2"/>
          <w:sz w:val="28"/>
          <w:szCs w:val="24"/>
          <w:lang w:val="en-US" w:eastAsia="zh-CN" w:bidi="ar-SA"/>
        </w:rPr>
        <w:t>项目建成后，可解决项目区企业用水问题，可更好地服务和支撑古县的经济和社会发展</w:t>
      </w:r>
      <w:r>
        <w:rPr>
          <w:rFonts w:hint="eastAsia" w:ascii="Times New Roman" w:hAnsi="Times New Roman" w:eastAsia="仿宋_GB2312" w:cs="Times New Roman"/>
          <w:bCs/>
          <w:kern w:val="0"/>
          <w:sz w:val="28"/>
          <w:szCs w:val="32"/>
          <w:lang w:val="en-US" w:eastAsia="zh-CN"/>
        </w:rPr>
        <w:t>。根据评分标准，该项得满分。</w:t>
      </w:r>
    </w:p>
    <w:p>
      <w:pPr>
        <w:widowControl/>
        <w:spacing w:line="574" w:lineRule="exact"/>
        <w:ind w:firstLine="562" w:firstLineChars="200"/>
        <w:rPr>
          <w:rFonts w:hint="eastAsia"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D21基础设施建设水平：</w:t>
      </w:r>
      <w:r>
        <w:rPr>
          <w:rFonts w:hint="eastAsia" w:ascii="Times New Roman" w:hAnsi="Times New Roman" w:eastAsia="仿宋_GB2312" w:cs="Times New Roman"/>
          <w:bCs/>
          <w:kern w:val="0"/>
          <w:sz w:val="28"/>
          <w:szCs w:val="32"/>
          <w:lang w:val="en-US" w:eastAsia="zh-CN"/>
        </w:rPr>
        <w:t>满分2.00分，得分2.00分。</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该项目的建设不仅完善项目区域的基础设施建设，提高古县岳阳镇、古阳镇企业供水能力，同时也是改善古县招商引资总体形象的重要举措。根据评分标准，该项得满分。</w:t>
      </w:r>
    </w:p>
    <w:p>
      <w:pPr>
        <w:widowControl/>
        <w:spacing w:line="574" w:lineRule="exact"/>
        <w:ind w:firstLine="562" w:firstLineChars="200"/>
        <w:rPr>
          <w:rFonts w:hint="eastAsia"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D31中心城区环境污染降低情况：</w:t>
      </w:r>
      <w:r>
        <w:rPr>
          <w:rFonts w:hint="eastAsia" w:ascii="Times New Roman" w:hAnsi="Times New Roman" w:eastAsia="仿宋_GB2312" w:cs="Times New Roman"/>
          <w:bCs/>
          <w:kern w:val="0"/>
          <w:sz w:val="28"/>
          <w:szCs w:val="32"/>
          <w:lang w:val="en-US" w:eastAsia="zh-CN"/>
        </w:rPr>
        <w:t>满分1.00分，得分1.00分。</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工业园区是集中体现古县产业转型与城市发展成就的区域，通过合理确定主导产业功能，将县城内现状工业企业按照不同的类型和用地需求逐步调整到市民生活区外围相对集中的工业园区，形成产业类型聚集区，能减轻中心城区环境污染，避免传统的工业被城市包围的城市发展模式所带来的环境问题。根据评分标准，该项得满分。</w:t>
      </w:r>
    </w:p>
    <w:p>
      <w:pPr>
        <w:widowControl/>
        <w:spacing w:line="574" w:lineRule="exact"/>
        <w:ind w:firstLine="562" w:firstLineChars="200"/>
        <w:rPr>
          <w:rFonts w:hint="eastAsia"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D41人才技术支撑：</w:t>
      </w:r>
      <w:r>
        <w:rPr>
          <w:rFonts w:hint="eastAsia" w:ascii="Times New Roman" w:hAnsi="Times New Roman" w:eastAsia="仿宋_GB2312" w:cs="Times New Roman"/>
          <w:bCs/>
          <w:kern w:val="0"/>
          <w:sz w:val="28"/>
          <w:szCs w:val="32"/>
          <w:lang w:val="en-US" w:eastAsia="zh-CN"/>
        </w:rPr>
        <w:t>满分0.50分，得分0.50分。</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古县城乡水务有限公司人才储备充足，项目实施完成后，能够配备满足项目持续良好建设的人才数量；能提供项目持续良好建设的技术力量。根据评分标准，该项得满分。</w:t>
      </w:r>
    </w:p>
    <w:p>
      <w:pPr>
        <w:widowControl/>
        <w:spacing w:line="574" w:lineRule="exact"/>
        <w:ind w:firstLine="562" w:firstLineChars="200"/>
        <w:rPr>
          <w:rFonts w:hint="default"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D42财务支撑：</w:t>
      </w:r>
      <w:r>
        <w:rPr>
          <w:rFonts w:hint="eastAsia" w:ascii="Times New Roman" w:hAnsi="Times New Roman" w:eastAsia="仿宋_GB2312" w:cs="Times New Roman"/>
          <w:bCs/>
          <w:kern w:val="0"/>
          <w:sz w:val="28"/>
          <w:szCs w:val="32"/>
          <w:lang w:val="en-US" w:eastAsia="zh-CN"/>
        </w:rPr>
        <w:t>满分0.50分，得分0.50分。</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项目总投资计划明确，后期续建资金有明确的来源渠道，还本付息资金来源明确且合理可行。根据评分标准，该项得满分。</w:t>
      </w:r>
    </w:p>
    <w:p>
      <w:pPr>
        <w:widowControl/>
        <w:spacing w:line="574" w:lineRule="exact"/>
        <w:ind w:firstLine="562" w:firstLineChars="200"/>
        <w:rPr>
          <w:rFonts w:hint="eastAsia"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D43外部环境支撑：</w:t>
      </w:r>
      <w:r>
        <w:rPr>
          <w:rFonts w:hint="eastAsia" w:ascii="Times New Roman" w:hAnsi="Times New Roman" w:eastAsia="仿宋_GB2312" w:cs="Times New Roman"/>
          <w:bCs/>
          <w:kern w:val="0"/>
          <w:sz w:val="28"/>
          <w:szCs w:val="32"/>
          <w:lang w:val="en-US" w:eastAsia="zh-CN"/>
        </w:rPr>
        <w:t>满分1.00分，得分1.00分。</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项目单位与主管部门沟通协调及时有效；与监管部门及其他相关部门及单位保持良好的业务关系及沟通渠道。根据评分标准，该项得满分。</w:t>
      </w:r>
    </w:p>
    <w:p>
      <w:pPr>
        <w:widowControl/>
        <w:spacing w:line="574" w:lineRule="exact"/>
        <w:ind w:firstLine="562" w:firstLineChars="200"/>
        <w:rPr>
          <w:rFonts w:hint="eastAsia" w:ascii="Times New Roman" w:hAnsi="Times New Roman" w:eastAsia="仿宋_GB2312" w:cs="Times New Roman"/>
          <w:b w:val="0"/>
          <w:bCs/>
          <w:kern w:val="0"/>
          <w:sz w:val="28"/>
          <w:szCs w:val="32"/>
          <w:lang w:val="en-US" w:eastAsia="zh-CN"/>
        </w:rPr>
      </w:pPr>
      <w:r>
        <w:rPr>
          <w:rFonts w:hint="eastAsia" w:ascii="Times New Roman" w:hAnsi="Times New Roman" w:eastAsia="仿宋_GB2312" w:cs="Times New Roman"/>
          <w:b/>
          <w:bCs w:val="0"/>
          <w:kern w:val="0"/>
          <w:sz w:val="28"/>
          <w:szCs w:val="32"/>
          <w:lang w:val="en-US" w:eastAsia="zh-CN"/>
        </w:rPr>
        <w:t>D51社会公众满意度：</w:t>
      </w:r>
      <w:r>
        <w:rPr>
          <w:rFonts w:hint="eastAsia" w:ascii="Times New Roman" w:hAnsi="Times New Roman" w:eastAsia="仿宋_GB2312" w:cs="Times New Roman"/>
          <w:b w:val="0"/>
          <w:bCs/>
          <w:kern w:val="0"/>
          <w:sz w:val="28"/>
          <w:szCs w:val="32"/>
          <w:lang w:val="en-US" w:eastAsia="zh-CN"/>
        </w:rPr>
        <w:t>满分3.00分，得分3.00分。</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本次评价结合项目实际开展情况，主要评价项目实施后，受益对象的满意度情况。评价组发放450份调查问卷，收回有用问卷450份，专项债券古县五马至古阳段城乡供水工程项目的受益群众满意度分别为：98.84%、97.38%、96.49%、95.87%、98.23%，整体满意度为97.36%＞90.00%。根据评分标准，该项得满分。</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94" w:name="_Toc514537345"/>
      <w:bookmarkStart w:id="95" w:name="_Toc11724"/>
      <w:r>
        <w:rPr>
          <w:rFonts w:hint="eastAsia" w:ascii="Times New Roman" w:hAnsi="Times New Roman" w:eastAsia="黑体" w:cs="Times New Roman"/>
          <w:bCs/>
          <w:kern w:val="44"/>
          <w:sz w:val="32"/>
          <w:szCs w:val="32"/>
        </w:rPr>
        <w:t>五、</w:t>
      </w:r>
      <w:bookmarkEnd w:id="94"/>
      <w:r>
        <w:rPr>
          <w:rFonts w:hint="eastAsia" w:ascii="Times New Roman" w:hAnsi="Times New Roman" w:eastAsia="黑体" w:cs="Times New Roman"/>
          <w:bCs/>
          <w:kern w:val="44"/>
          <w:sz w:val="32"/>
          <w:szCs w:val="32"/>
          <w:lang w:val="en-US" w:eastAsia="zh-CN"/>
        </w:rPr>
        <w:t>项目主要经验做法</w:t>
      </w:r>
      <w:bookmarkEnd w:id="95"/>
    </w:p>
    <w:p>
      <w:pPr>
        <w:widowControl/>
        <w:spacing w:line="574" w:lineRule="exact"/>
        <w:ind w:firstLine="562" w:firstLineChars="200"/>
        <w:rPr>
          <w:rFonts w:hint="eastAsia" w:ascii="仿宋" w:hAnsi="仿宋" w:eastAsia="仿宋" w:cs="仿宋"/>
          <w:b/>
          <w:bCs w:val="0"/>
          <w:snapToGrid w:val="0"/>
          <w:sz w:val="28"/>
          <w:szCs w:val="28"/>
          <w:lang w:val="en-US" w:eastAsia="zh-CN"/>
        </w:rPr>
      </w:pPr>
      <w:bookmarkStart w:id="96" w:name="_Toc514537348"/>
      <w:r>
        <w:rPr>
          <w:rFonts w:hint="eastAsia" w:ascii="Times New Roman" w:hAnsi="Times New Roman" w:eastAsia="仿宋_GB2312" w:cs="Times New Roman"/>
          <w:b/>
          <w:bCs w:val="0"/>
          <w:kern w:val="0"/>
          <w:sz w:val="28"/>
          <w:szCs w:val="32"/>
          <w:lang w:val="en-US" w:eastAsia="zh-CN"/>
        </w:rPr>
        <w:t>紧跟国家产业发展政策，为区域企业发展提供水动力、水支撑</w:t>
      </w:r>
      <w:r>
        <w:rPr>
          <w:rFonts w:hint="eastAsia" w:ascii="仿宋" w:hAnsi="仿宋" w:eastAsia="仿宋" w:cs="仿宋"/>
          <w:b/>
          <w:bCs w:val="0"/>
          <w:snapToGrid w:val="0"/>
          <w:sz w:val="28"/>
          <w:szCs w:val="28"/>
          <w:lang w:val="en-US" w:eastAsia="zh-CN"/>
        </w:rPr>
        <w:t>。</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古县紧跟《国家发展改革委关于印发促进产业集群发展的若干意见的通知》（发改企业〔2007〕2897号）提出的国家产业发展政策；涧河经济技术开发区作为古县产业转型升级的主战场和示范区，其产业布局对用水需求需尽快满足，五马水库、麦沟河水库作为古县重要水源工程，完善供水工程，充分利用两水库的水源，对古县经济发展用水将起到重要作用，为古县经济发展提供更坚实的水动力与水支撑。</w:t>
      </w:r>
    </w:p>
    <w:bookmarkEnd w:id="96"/>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97" w:name="_Toc514537349"/>
      <w:bookmarkStart w:id="98" w:name="_Toc29407"/>
      <w:r>
        <w:rPr>
          <w:rFonts w:hint="eastAsia" w:ascii="Times New Roman" w:hAnsi="Times New Roman" w:eastAsia="黑体" w:cs="Times New Roman"/>
          <w:bCs/>
          <w:kern w:val="44"/>
          <w:sz w:val="32"/>
          <w:szCs w:val="32"/>
          <w:lang w:val="en-US" w:eastAsia="zh-CN"/>
        </w:rPr>
        <w:t>六</w:t>
      </w:r>
      <w:r>
        <w:rPr>
          <w:rFonts w:hint="eastAsia" w:ascii="Times New Roman" w:hAnsi="Times New Roman" w:eastAsia="黑体" w:cs="Times New Roman"/>
          <w:bCs/>
          <w:kern w:val="44"/>
          <w:sz w:val="32"/>
          <w:szCs w:val="32"/>
        </w:rPr>
        <w:t>、存在的问题</w:t>
      </w:r>
      <w:bookmarkEnd w:id="97"/>
      <w:r>
        <w:rPr>
          <w:rFonts w:hint="eastAsia" w:ascii="Times New Roman" w:hAnsi="Times New Roman" w:eastAsia="黑体" w:cs="Times New Roman"/>
          <w:bCs/>
          <w:kern w:val="44"/>
          <w:sz w:val="32"/>
          <w:szCs w:val="32"/>
          <w:lang w:val="en-US" w:eastAsia="zh-CN"/>
        </w:rPr>
        <w:t>及原因分析</w:t>
      </w:r>
      <w:bookmarkEnd w:id="98"/>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_GB2312" w:cs="Times New Roman"/>
          <w:bCs/>
          <w:kern w:val="0"/>
          <w:sz w:val="28"/>
          <w:szCs w:val="32"/>
          <w:lang w:val="en-US" w:eastAsia="zh-CN"/>
        </w:rPr>
        <w:t>评价小组在详细查阅项目资料的基础上，结合现场实地勘察，对本次项目建设过程中存在的问题进行总结与分析，并针对问题提出了对应建议</w:t>
      </w:r>
      <w:r>
        <w:rPr>
          <w:rFonts w:hint="eastAsia" w:ascii="仿宋" w:hAnsi="仿宋" w:eastAsia="仿宋" w:cs="仿宋"/>
          <w:snapToGrid w:val="0"/>
          <w:sz w:val="28"/>
          <w:szCs w:val="28"/>
        </w:rPr>
        <w:t>。</w:t>
      </w:r>
    </w:p>
    <w:p>
      <w:pPr>
        <w:spacing w:line="574" w:lineRule="exact"/>
        <w:ind w:firstLine="562" w:firstLineChars="200"/>
        <w:rPr>
          <w:rFonts w:hint="default" w:ascii="Times New Roman" w:hAnsi="Times New Roman" w:eastAsia="仿宋_GB2312" w:cs="Times New Roman"/>
          <w:b/>
          <w:bCs w:val="0"/>
          <w:kern w:val="0"/>
          <w:sz w:val="28"/>
          <w:szCs w:val="32"/>
          <w:lang w:val="en-US" w:eastAsia="zh-CN"/>
        </w:rPr>
      </w:pPr>
      <w:bookmarkStart w:id="99" w:name="_Toc514537351"/>
      <w:bookmarkStart w:id="100" w:name="_Toc528603089"/>
      <w:r>
        <w:rPr>
          <w:rFonts w:hint="eastAsia" w:ascii="仿宋" w:hAnsi="仿宋" w:eastAsia="仿宋" w:cs="仿宋"/>
          <w:b/>
          <w:bCs w:val="0"/>
          <w:snapToGrid w:val="0"/>
          <w:sz w:val="28"/>
          <w:szCs w:val="28"/>
          <w:lang w:val="en-US" w:eastAsia="zh-CN"/>
        </w:rPr>
        <w:t>1、</w:t>
      </w:r>
      <w:r>
        <w:rPr>
          <w:rFonts w:hint="eastAsia" w:ascii="Times New Roman" w:hAnsi="Times New Roman" w:eastAsia="仿宋_GB2312" w:cs="Times New Roman"/>
          <w:b/>
          <w:bCs w:val="0"/>
          <w:kern w:val="0"/>
          <w:sz w:val="28"/>
          <w:szCs w:val="32"/>
          <w:lang w:val="en-US" w:eastAsia="zh-CN"/>
        </w:rPr>
        <w:t>项目绩效目标设定不规范。</w:t>
      </w:r>
    </w:p>
    <w:p>
      <w:pPr>
        <w:spacing w:line="574" w:lineRule="exact"/>
        <w:ind w:firstLine="560" w:firstLineChars="200"/>
        <w:rPr>
          <w:rFonts w:hint="default" w:ascii="仿宋" w:hAnsi="仿宋" w:eastAsia="仿宋" w:cs="仿宋"/>
          <w:bCs/>
          <w:snapToGrid w:val="0"/>
          <w:sz w:val="28"/>
          <w:szCs w:val="28"/>
          <w:lang w:val="en-US" w:eastAsia="zh-CN"/>
        </w:rPr>
      </w:pPr>
      <w:r>
        <w:rPr>
          <w:rFonts w:hint="eastAsia" w:ascii="Times New Roman" w:hAnsi="Times New Roman" w:eastAsia="仿宋_GB2312" w:cs="Times New Roman"/>
          <w:bCs/>
          <w:kern w:val="0"/>
          <w:sz w:val="28"/>
          <w:szCs w:val="32"/>
          <w:lang w:val="en-US" w:eastAsia="zh-CN"/>
        </w:rPr>
        <w:t>项目绩效目标除了总体目标外还设立了分阶段（或分年度）目标；但根据项目单位提供的《绩效目标申报表》等资料，评价发现，项目相应指标值的设定不够完整，无法与项目目标任务数（或计划数）一一对应；细化分解的具体指标时间点、工作量、工作内容未达到设定清晰、可衡量、可量化的指标设定标准；设定的指标不利于日后的考核评价</w:t>
      </w:r>
      <w:r>
        <w:rPr>
          <w:rFonts w:hint="eastAsia" w:ascii="仿宋" w:hAnsi="仿宋" w:eastAsia="仿宋" w:cs="仿宋"/>
          <w:bCs/>
          <w:snapToGrid w:val="0"/>
          <w:sz w:val="28"/>
          <w:szCs w:val="28"/>
          <w:lang w:val="en-US" w:eastAsia="zh-CN"/>
        </w:rPr>
        <w:t>。</w:t>
      </w:r>
    </w:p>
    <w:p>
      <w:pPr>
        <w:pStyle w:val="9"/>
        <w:numPr>
          <w:ilvl w:val="0"/>
          <w:numId w:val="0"/>
        </w:numPr>
        <w:ind w:firstLine="562" w:firstLineChars="200"/>
        <w:rPr>
          <w:rFonts w:hint="default" w:ascii="仿宋" w:hAnsi="仿宋" w:eastAsia="仿宋" w:cs="仿宋"/>
          <w:b/>
          <w:bCs/>
          <w:snapToGrid w:val="0"/>
          <w:sz w:val="28"/>
          <w:szCs w:val="28"/>
          <w:lang w:val="en-US" w:eastAsia="zh-CN"/>
        </w:rPr>
      </w:pPr>
      <w:r>
        <w:rPr>
          <w:rFonts w:hint="eastAsia" w:ascii="Times New Roman" w:hAnsi="Times New Roman" w:eastAsia="仿宋_GB2312" w:cs="Times New Roman"/>
          <w:b/>
          <w:bCs w:val="0"/>
          <w:kern w:val="0"/>
          <w:sz w:val="28"/>
          <w:szCs w:val="32"/>
          <w:lang w:val="en-US" w:eastAsia="zh-CN"/>
        </w:rPr>
        <w:t>2、县级财政配套资金未全部到位。</w:t>
      </w:r>
    </w:p>
    <w:p>
      <w:pPr>
        <w:pStyle w:val="9"/>
        <w:numPr>
          <w:ilvl w:val="0"/>
          <w:numId w:val="0"/>
        </w:numPr>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根据实施单位提供的资料，项目总投资18166.32万元；县级自筹资金计划投入8166.32万元，通过申请县级财政资金和上级资金来解决；截止2023年5月31日，项目自筹资金未按计划及时拨付到位，仅使用了专项债券资金10000万元。</w:t>
      </w:r>
    </w:p>
    <w:p>
      <w:pPr>
        <w:pStyle w:val="9"/>
        <w:numPr>
          <w:ilvl w:val="0"/>
          <w:numId w:val="0"/>
        </w:numPr>
        <w:ind w:firstLine="562" w:firstLineChars="200"/>
        <w:rPr>
          <w:rFonts w:hint="default"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3、古县财政局未制定债券风险防控预案或措施，不利于项目风险把控。</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101" w:name="_Toc528684155"/>
      <w:bookmarkStart w:id="102" w:name="_Toc528680329"/>
      <w:bookmarkStart w:id="103" w:name="_Toc528680480"/>
      <w:bookmarkStart w:id="104" w:name="_Toc25526"/>
      <w:r>
        <w:rPr>
          <w:rFonts w:hint="eastAsia" w:ascii="Times New Roman" w:hAnsi="Times New Roman" w:eastAsia="黑体" w:cs="Times New Roman"/>
          <w:bCs/>
          <w:kern w:val="44"/>
          <w:sz w:val="32"/>
          <w:szCs w:val="32"/>
          <w:lang w:val="en-US" w:eastAsia="zh-CN"/>
        </w:rPr>
        <w:t>七、下一步改进</w:t>
      </w:r>
      <w:bookmarkEnd w:id="99"/>
      <w:bookmarkEnd w:id="100"/>
      <w:bookmarkEnd w:id="101"/>
      <w:bookmarkEnd w:id="102"/>
      <w:bookmarkEnd w:id="103"/>
      <w:r>
        <w:rPr>
          <w:rFonts w:hint="eastAsia" w:ascii="Times New Roman" w:hAnsi="Times New Roman" w:eastAsia="黑体" w:cs="Times New Roman"/>
          <w:bCs/>
          <w:kern w:val="44"/>
          <w:sz w:val="32"/>
          <w:szCs w:val="32"/>
          <w:lang w:val="en-US" w:eastAsia="zh-CN"/>
        </w:rPr>
        <w:t>意见及政策建议</w:t>
      </w:r>
      <w:bookmarkEnd w:id="104"/>
    </w:p>
    <w:p>
      <w:pPr>
        <w:numPr>
          <w:ilvl w:val="0"/>
          <w:numId w:val="0"/>
        </w:numPr>
        <w:spacing w:line="574" w:lineRule="exact"/>
        <w:ind w:firstLine="562" w:firstLineChars="200"/>
        <w:rPr>
          <w:rFonts w:hint="eastAsia" w:ascii="Times New Roman" w:hAnsi="Times New Roman" w:eastAsia="仿宋_GB2312" w:cs="Times New Roman"/>
          <w:b/>
          <w:bCs w:val="0"/>
          <w:color w:val="auto"/>
          <w:kern w:val="0"/>
          <w:sz w:val="28"/>
          <w:szCs w:val="32"/>
          <w:lang w:val="en-US" w:eastAsia="zh-CN" w:bidi="ar-SA"/>
        </w:rPr>
      </w:pPr>
      <w:bookmarkStart w:id="105" w:name="_Toc514537353"/>
      <w:r>
        <w:rPr>
          <w:rFonts w:hint="eastAsia" w:ascii="Times New Roman" w:hAnsi="Times New Roman" w:eastAsia="仿宋_GB2312" w:cs="Times New Roman"/>
          <w:b/>
          <w:bCs w:val="0"/>
          <w:color w:val="auto"/>
          <w:kern w:val="0"/>
          <w:sz w:val="28"/>
          <w:szCs w:val="32"/>
          <w:lang w:val="en-US" w:eastAsia="zh-CN" w:bidi="ar-SA"/>
        </w:rPr>
        <w:t>1、加强专项债券资金绩效管理，规范设定绩效目标。</w:t>
      </w:r>
    </w:p>
    <w:p>
      <w:pPr>
        <w:numPr>
          <w:ilvl w:val="0"/>
          <w:numId w:val="0"/>
        </w:numPr>
        <w:spacing w:line="574" w:lineRule="exact"/>
        <w:ind w:firstLine="560" w:firstLineChars="200"/>
        <w:rPr>
          <w:rFonts w:hint="eastAsia" w:ascii="Times New Roman" w:hAnsi="Times New Roman" w:eastAsia="仿宋_GB2312" w:cs="Times New Roman"/>
          <w:b/>
          <w:bCs w:val="0"/>
          <w:color w:val="auto"/>
          <w:kern w:val="0"/>
          <w:sz w:val="28"/>
          <w:szCs w:val="32"/>
          <w:lang w:val="en-US" w:eastAsia="zh-CN" w:bidi="ar-SA"/>
        </w:rPr>
      </w:pPr>
      <w:r>
        <w:rPr>
          <w:rFonts w:hint="eastAsia" w:ascii="Times New Roman" w:hAnsi="Times New Roman" w:eastAsia="仿宋_GB2312" w:cs="Times New Roman"/>
          <w:b w:val="0"/>
          <w:bCs/>
          <w:color w:val="auto"/>
          <w:kern w:val="0"/>
          <w:sz w:val="28"/>
          <w:szCs w:val="32"/>
          <w:lang w:val="en-US" w:eastAsia="zh-CN" w:bidi="ar-SA"/>
        </w:rPr>
        <w:t>绩效目标应当指向明确、细化量化、合理可行，并同资金相匹配。建议项目实施单位在编制绩效目标时与资金明确的用途相关联，项目相应指标值设定完整，并与项目目标任务数（或计划数）一一对应；细化分解的具体指标时间点、工作量、工作内容达到设定清晰、可衡量、可量化的指标设定标准；同时，确保设定的指标便于日后的考核评价。</w:t>
      </w:r>
    </w:p>
    <w:p>
      <w:pPr>
        <w:numPr>
          <w:ilvl w:val="0"/>
          <w:numId w:val="0"/>
        </w:numPr>
        <w:spacing w:line="574" w:lineRule="exact"/>
        <w:ind w:firstLine="562" w:firstLineChars="200"/>
        <w:rPr>
          <w:rFonts w:hint="default" w:ascii="Times New Roman" w:hAnsi="Times New Roman" w:eastAsia="仿宋_GB2312" w:cs="Times New Roman"/>
          <w:b/>
          <w:bCs w:val="0"/>
          <w:color w:val="auto"/>
          <w:kern w:val="0"/>
          <w:sz w:val="28"/>
          <w:szCs w:val="32"/>
          <w:lang w:val="en-US" w:eastAsia="zh-CN" w:bidi="ar-SA"/>
        </w:rPr>
      </w:pPr>
      <w:r>
        <w:rPr>
          <w:rFonts w:hint="eastAsia" w:ascii="Times New Roman" w:hAnsi="Times New Roman" w:eastAsia="仿宋_GB2312" w:cs="Times New Roman"/>
          <w:b/>
          <w:bCs w:val="0"/>
          <w:color w:val="auto"/>
          <w:kern w:val="0"/>
          <w:sz w:val="28"/>
          <w:szCs w:val="32"/>
          <w:lang w:val="en-US" w:eastAsia="zh-CN" w:bidi="ar-SA"/>
        </w:rPr>
        <w:t>2、根据项目资金实际支付进度安排，及时申请资金，保证县级配套资金按项目建设进度所需到位，做好资金保障。</w:t>
      </w:r>
    </w:p>
    <w:p>
      <w:pPr>
        <w:numPr>
          <w:ilvl w:val="0"/>
          <w:numId w:val="0"/>
        </w:numPr>
        <w:spacing w:line="574" w:lineRule="exact"/>
        <w:ind w:firstLine="560" w:firstLineChars="200"/>
        <w:rPr>
          <w:rFonts w:hint="eastAsia" w:ascii="Times New Roman" w:hAnsi="Times New Roman" w:eastAsia="仿宋_GB2312" w:cs="Times New Roman"/>
          <w:bCs/>
          <w:color w:val="auto"/>
          <w:kern w:val="0"/>
          <w:sz w:val="28"/>
          <w:szCs w:val="32"/>
          <w:lang w:val="en-US" w:eastAsia="zh-CN" w:bidi="ar-SA"/>
        </w:rPr>
      </w:pPr>
      <w:r>
        <w:rPr>
          <w:rFonts w:hint="eastAsia" w:ascii="Times New Roman" w:hAnsi="Times New Roman" w:eastAsia="仿宋_GB2312" w:cs="Times New Roman"/>
          <w:bCs/>
          <w:color w:val="auto"/>
          <w:kern w:val="0"/>
          <w:sz w:val="28"/>
          <w:szCs w:val="32"/>
          <w:lang w:val="en-US" w:eastAsia="zh-CN" w:bidi="ar-SA"/>
        </w:rPr>
        <w:t>建议古县财政局根据项目资金实际支付进度安排，及时申请县级财政配套资金，确保项目资金制度进度与项目实施进度及合同约定的资金支付比例完全一致，做好资金保障。</w:t>
      </w:r>
    </w:p>
    <w:p>
      <w:pPr>
        <w:numPr>
          <w:ilvl w:val="0"/>
          <w:numId w:val="0"/>
        </w:numPr>
        <w:spacing w:line="574" w:lineRule="exact"/>
        <w:ind w:firstLine="562" w:firstLineChars="200"/>
        <w:rPr>
          <w:rFonts w:hint="eastAsia" w:ascii="Times New Roman" w:hAnsi="Times New Roman" w:eastAsia="仿宋_GB2312" w:cs="Times New Roman"/>
          <w:b/>
          <w:bCs w:val="0"/>
          <w:kern w:val="0"/>
          <w:sz w:val="28"/>
          <w:szCs w:val="32"/>
          <w:lang w:val="en-US" w:eastAsia="zh-CN" w:bidi="ar-SA"/>
        </w:rPr>
      </w:pPr>
      <w:r>
        <w:rPr>
          <w:rFonts w:hint="eastAsia" w:ascii="Times New Roman" w:hAnsi="Times New Roman" w:eastAsia="仿宋_GB2312" w:cs="Times New Roman"/>
          <w:b/>
          <w:bCs w:val="0"/>
          <w:color w:val="auto"/>
          <w:kern w:val="0"/>
          <w:sz w:val="28"/>
          <w:szCs w:val="32"/>
          <w:lang w:val="en-US" w:eastAsia="zh-CN" w:bidi="ar-SA"/>
        </w:rPr>
        <w:t>3、建议古县财政局全面认识债券资金使用、偿还风险，并制定债券风险防控预案或措施。</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106" w:name="_Toc13041"/>
      <w:r>
        <w:rPr>
          <w:rFonts w:hint="eastAsia" w:ascii="Times New Roman" w:hAnsi="Times New Roman" w:eastAsia="黑体" w:cs="Times New Roman"/>
          <w:bCs/>
          <w:kern w:val="44"/>
          <w:sz w:val="32"/>
          <w:szCs w:val="32"/>
          <w:lang w:val="en-US" w:eastAsia="zh-CN"/>
        </w:rPr>
        <w:t>八、</w:t>
      </w:r>
      <w:bookmarkEnd w:id="105"/>
      <w:bookmarkStart w:id="107" w:name="_Toc514537354"/>
      <w:r>
        <w:rPr>
          <w:rFonts w:hint="eastAsia" w:ascii="Times New Roman" w:hAnsi="Times New Roman" w:eastAsia="黑体" w:cs="Times New Roman"/>
          <w:bCs/>
          <w:kern w:val="44"/>
          <w:sz w:val="32"/>
          <w:szCs w:val="32"/>
          <w:lang w:val="en-US" w:eastAsia="zh-CN"/>
        </w:rPr>
        <w:t>其他需要说明的问题</w:t>
      </w:r>
      <w:bookmarkEnd w:id="106"/>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bidi="ar-SA"/>
        </w:rPr>
      </w:pPr>
      <w:r>
        <w:rPr>
          <w:rFonts w:hint="eastAsia" w:ascii="Times New Roman" w:hAnsi="Times New Roman" w:eastAsia="仿宋_GB2312" w:cs="Times New Roman"/>
          <w:bCs/>
          <w:kern w:val="0"/>
          <w:sz w:val="28"/>
          <w:szCs w:val="32"/>
          <w:lang w:val="en-US" w:eastAsia="zh-CN" w:bidi="ar-SA"/>
        </w:rPr>
        <w:t>无。</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bidi="ar-SA"/>
        </w:rPr>
      </w:pP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bidi="ar-SA"/>
        </w:rPr>
      </w:pPr>
      <w:r>
        <w:rPr>
          <w:rFonts w:hint="eastAsia" w:ascii="Times New Roman" w:hAnsi="Times New Roman" w:eastAsia="仿宋_GB2312" w:cs="Times New Roman"/>
          <w:bCs/>
          <w:kern w:val="0"/>
          <w:sz w:val="28"/>
          <w:szCs w:val="32"/>
          <w:lang w:val="en-US" w:eastAsia="zh-CN" w:bidi="ar-SA"/>
        </w:rPr>
        <w:t>附件1：评价指标体系</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bidi="ar-SA"/>
        </w:rPr>
      </w:pPr>
      <w:r>
        <w:rPr>
          <w:rFonts w:hint="eastAsia" w:ascii="Times New Roman" w:hAnsi="Times New Roman" w:eastAsia="仿宋_GB2312" w:cs="Times New Roman"/>
          <w:bCs/>
          <w:kern w:val="0"/>
          <w:sz w:val="28"/>
          <w:szCs w:val="32"/>
          <w:lang w:val="en-US" w:eastAsia="zh-CN" w:bidi="ar-SA"/>
        </w:rPr>
        <w:t>附件2：问卷调查报告</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bidi="ar-SA"/>
        </w:rPr>
        <w:sectPr>
          <w:pgSz w:w="11906" w:h="16838"/>
          <w:pgMar w:top="1440" w:right="1800" w:bottom="1440" w:left="1800" w:header="851" w:footer="992" w:gutter="0"/>
          <w:pgNumType w:fmt="decimal"/>
          <w:cols w:space="425" w:num="1"/>
          <w:docGrid w:type="lines" w:linePitch="312" w:charSpace="0"/>
        </w:sectPr>
      </w:pPr>
    </w:p>
    <w:p>
      <w:pPr>
        <w:widowControl/>
        <w:spacing w:line="574" w:lineRule="exact"/>
        <w:jc w:val="left"/>
        <w:outlineLvl w:val="0"/>
        <w:rPr>
          <w:rFonts w:hint="default" w:ascii="黑体" w:hAnsi="黑体" w:eastAsia="黑体"/>
          <w:snapToGrid w:val="0"/>
          <w:sz w:val="32"/>
          <w:szCs w:val="32"/>
          <w:lang w:val="en-US" w:eastAsia="zh-CN"/>
        </w:rPr>
      </w:pPr>
      <w:bookmarkStart w:id="108" w:name="_Toc31276"/>
      <w:r>
        <w:rPr>
          <w:rFonts w:ascii="黑体" w:hAnsi="黑体" w:eastAsia="黑体"/>
          <w:snapToGrid w:val="0"/>
          <w:sz w:val="32"/>
          <w:szCs w:val="32"/>
        </w:rPr>
        <w:t>附件</w:t>
      </w:r>
      <w:r>
        <w:rPr>
          <w:rFonts w:hint="eastAsia" w:ascii="黑体" w:hAnsi="黑体" w:eastAsia="黑体"/>
          <w:snapToGrid w:val="0"/>
          <w:sz w:val="32"/>
          <w:szCs w:val="32"/>
        </w:rPr>
        <w:t>1：评价</w:t>
      </w:r>
      <w:r>
        <w:rPr>
          <w:rFonts w:hint="eastAsia" w:ascii="黑体" w:hAnsi="黑体" w:eastAsia="黑体"/>
          <w:snapToGrid w:val="0"/>
          <w:sz w:val="32"/>
          <w:szCs w:val="32"/>
          <w:lang w:val="en-US" w:eastAsia="zh-CN"/>
        </w:rPr>
        <w:t>得分情况表</w:t>
      </w:r>
      <w:bookmarkEnd w:id="108"/>
    </w:p>
    <w:tbl>
      <w:tblPr>
        <w:tblStyle w:val="21"/>
        <w:tblW w:w="1395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47"/>
        <w:gridCol w:w="529"/>
        <w:gridCol w:w="1367"/>
        <w:gridCol w:w="667"/>
        <w:gridCol w:w="1204"/>
        <w:gridCol w:w="667"/>
        <w:gridCol w:w="1854"/>
        <w:gridCol w:w="4724"/>
        <w:gridCol w:w="22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6" w:hRule="atLeast"/>
        </w:trPr>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bCs/>
                <w:color w:val="auto"/>
                <w:sz w:val="24"/>
                <w:szCs w:val="24"/>
                <w:lang w:val="en-US" w:eastAsia="zh-CN"/>
              </w:rPr>
            </w:pPr>
            <w:r>
              <w:rPr>
                <w:rFonts w:hint="eastAsia" w:ascii="Times New Roman" w:hAnsi="Times New Roman" w:eastAsia="仿宋" w:cs="Times New Roman"/>
                <w:b/>
                <w:bCs/>
                <w:color w:val="auto"/>
                <w:sz w:val="24"/>
                <w:szCs w:val="24"/>
                <w:lang w:val="en-US" w:eastAsia="zh-CN"/>
              </w:rPr>
              <w:t>一级指标</w:t>
            </w:r>
          </w:p>
        </w:tc>
        <w:tc>
          <w:tcPr>
            <w:tcW w:w="5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bCs/>
                <w:color w:val="auto"/>
                <w:sz w:val="24"/>
                <w:szCs w:val="24"/>
                <w:lang w:val="en-US" w:eastAsia="zh-CN"/>
              </w:rPr>
            </w:pPr>
            <w:r>
              <w:rPr>
                <w:rFonts w:hint="eastAsia" w:ascii="Times New Roman" w:hAnsi="Times New Roman" w:eastAsia="仿宋" w:cs="Times New Roman"/>
                <w:b/>
                <w:bCs/>
                <w:color w:val="auto"/>
                <w:sz w:val="24"/>
                <w:szCs w:val="24"/>
                <w:lang w:val="en-US" w:eastAsia="zh-CN"/>
              </w:rPr>
              <w:t>权重</w:t>
            </w:r>
          </w:p>
        </w:tc>
        <w:tc>
          <w:tcPr>
            <w:tcW w:w="13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bCs/>
                <w:color w:val="auto"/>
                <w:sz w:val="24"/>
                <w:szCs w:val="24"/>
                <w:lang w:val="en-US" w:eastAsia="zh-CN"/>
              </w:rPr>
            </w:pPr>
            <w:r>
              <w:rPr>
                <w:rFonts w:hint="eastAsia" w:ascii="Times New Roman" w:hAnsi="Times New Roman" w:eastAsia="仿宋" w:cs="Times New Roman"/>
                <w:b/>
                <w:bCs/>
                <w:color w:val="auto"/>
                <w:sz w:val="24"/>
                <w:szCs w:val="24"/>
                <w:lang w:val="en-US" w:eastAsia="zh-CN"/>
              </w:rPr>
              <w:t>二级指标</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bCs/>
                <w:color w:val="auto"/>
                <w:sz w:val="24"/>
                <w:szCs w:val="24"/>
                <w:lang w:val="en-US" w:eastAsia="zh-CN"/>
              </w:rPr>
            </w:pPr>
            <w:r>
              <w:rPr>
                <w:rFonts w:hint="eastAsia" w:ascii="Times New Roman" w:hAnsi="Times New Roman" w:eastAsia="仿宋" w:cs="Times New Roman"/>
                <w:b/>
                <w:bCs/>
                <w:color w:val="auto"/>
                <w:sz w:val="24"/>
                <w:szCs w:val="24"/>
                <w:lang w:val="en-US" w:eastAsia="zh-CN"/>
              </w:rPr>
              <w:t>权重</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bCs/>
                <w:color w:val="auto"/>
                <w:sz w:val="24"/>
                <w:szCs w:val="24"/>
                <w:lang w:val="en-US" w:eastAsia="zh-CN"/>
              </w:rPr>
            </w:pPr>
            <w:r>
              <w:rPr>
                <w:rFonts w:hint="eastAsia" w:ascii="Times New Roman" w:hAnsi="Times New Roman" w:eastAsia="仿宋" w:cs="Times New Roman"/>
                <w:b/>
                <w:bCs/>
                <w:color w:val="auto"/>
                <w:sz w:val="24"/>
                <w:szCs w:val="24"/>
                <w:lang w:val="en-US" w:eastAsia="zh-CN"/>
              </w:rPr>
              <w:t>三级指标</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bCs/>
                <w:color w:val="auto"/>
                <w:sz w:val="24"/>
                <w:szCs w:val="24"/>
                <w:lang w:val="en-US" w:eastAsia="zh-CN"/>
              </w:rPr>
            </w:pPr>
            <w:r>
              <w:rPr>
                <w:rFonts w:hint="eastAsia" w:ascii="Times New Roman" w:hAnsi="Times New Roman" w:eastAsia="仿宋" w:cs="Times New Roman"/>
                <w:b/>
                <w:bCs/>
                <w:color w:val="auto"/>
                <w:sz w:val="24"/>
                <w:szCs w:val="24"/>
                <w:lang w:val="en-US" w:eastAsia="zh-CN"/>
              </w:rPr>
              <w:t>权重</w:t>
            </w:r>
          </w:p>
        </w:tc>
        <w:tc>
          <w:tcPr>
            <w:tcW w:w="18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bCs/>
                <w:color w:val="auto"/>
                <w:sz w:val="24"/>
                <w:szCs w:val="24"/>
                <w:lang w:val="en-US" w:eastAsia="zh-CN"/>
              </w:rPr>
            </w:pPr>
            <w:r>
              <w:rPr>
                <w:rFonts w:hint="eastAsia" w:ascii="Times New Roman" w:hAnsi="Times New Roman" w:eastAsia="仿宋" w:cs="Times New Roman"/>
                <w:b/>
                <w:bCs/>
                <w:color w:val="auto"/>
                <w:sz w:val="24"/>
                <w:szCs w:val="24"/>
                <w:lang w:val="en-US" w:eastAsia="zh-CN"/>
              </w:rPr>
              <w:t>指标解释</w:t>
            </w:r>
          </w:p>
        </w:tc>
        <w:tc>
          <w:tcPr>
            <w:tcW w:w="472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bCs/>
                <w:color w:val="auto"/>
                <w:sz w:val="24"/>
                <w:szCs w:val="24"/>
                <w:lang w:val="en-US" w:eastAsia="zh-CN"/>
              </w:rPr>
            </w:pPr>
            <w:r>
              <w:rPr>
                <w:rFonts w:hint="eastAsia" w:ascii="Times New Roman" w:hAnsi="Times New Roman" w:eastAsia="仿宋" w:cs="Times New Roman"/>
                <w:b/>
                <w:bCs/>
                <w:color w:val="auto"/>
                <w:sz w:val="24"/>
                <w:szCs w:val="24"/>
                <w:lang w:val="en-US" w:eastAsia="zh-CN"/>
              </w:rPr>
              <w:t>评分标准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bCs/>
                <w:color w:val="auto"/>
                <w:sz w:val="24"/>
                <w:szCs w:val="24"/>
                <w:lang w:val="en-US" w:eastAsia="zh-CN"/>
              </w:rPr>
            </w:pPr>
            <w:r>
              <w:rPr>
                <w:rFonts w:hint="eastAsia" w:ascii="Times New Roman" w:hAnsi="Times New Roman" w:eastAsia="仿宋" w:cs="Times New Roman"/>
                <w:b/>
                <w:bCs/>
                <w:color w:val="auto"/>
                <w:sz w:val="24"/>
                <w:szCs w:val="24"/>
                <w:lang w:val="en-US" w:eastAsia="zh-CN"/>
              </w:rPr>
              <w:t>数据来源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3" w:hRule="atLeast"/>
        </w:trPr>
        <w:tc>
          <w:tcPr>
            <w:tcW w:w="64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决策</w:t>
            </w:r>
          </w:p>
        </w:tc>
        <w:tc>
          <w:tcPr>
            <w:tcW w:w="52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20</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项目立项</w:t>
            </w:r>
          </w:p>
        </w:tc>
        <w:tc>
          <w:tcPr>
            <w:tcW w:w="6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8</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立项依据充分性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4</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评价项目立项是否符合专项债券支持领域及方向、项目立项依据是否充分。</w:t>
            </w:r>
          </w:p>
        </w:tc>
        <w:tc>
          <w:tcPr>
            <w:tcW w:w="472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1.项目立项是否符合国家法律法规、国民经济发展规划和城市发展规划（1分）；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2.专项债券项目是否属于国家和省委省政府确定的重点行业、重点区域、重大项目（1分）；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3.项目是否属于国家新增专项债券资金投向领域（1分）；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4.项目是否纳入财政部地方政府债务管理系统项目库和发改委国家重大项目建设库（1分）。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财政部确定的新增专项债券投向领域清单、项目立项政策文件、相关法律法规、区域内国民经济和社会发展规划、立项批复资料、项目入库查询结果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30"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立项程序规范性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4</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评价项目申请、设立过程是否符合相关要求，用以反映和考核项目立项的规范情况。</w:t>
            </w:r>
          </w:p>
        </w:tc>
        <w:tc>
          <w:tcPr>
            <w:tcW w:w="472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1.项目是否按照规定的程序申请设立，审批或备案是否符合相关要求（1分）；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2.项目是否已经过必要的可行性研究、专家论证、风险评估、绩效评估和集体决策（1分）；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3.项目单位是否被中国人民银行列入征信系统黑名单（1分）；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4.项目主体及有关主要负责人是否被人民法院列为被执行人（1分）。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项目立项申报材料、项目批复资料、风险评估报告、实施方案、资金平衡方案、事前评估报告、征信系统查询结果、失信被执行人查询结果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6"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绩效目标</w:t>
            </w:r>
          </w:p>
        </w:tc>
        <w:tc>
          <w:tcPr>
            <w:tcW w:w="6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6</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绩效目标</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合理性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8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评价绩效目标是否依据充分，是否符合客观实际，绩效目标与项目实际是否相符的情况。</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1.专项债券项目申报时是否制定相应的绩效目标，是否与债券资金投入的项目内容相符（1分）；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2.设定的绩效目标是否切合实际，规范合理；绩效目标指标值是否符合当地经济社会发展需求（1分）。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可行性研究报告批复、项目绩效目标申报表、资金平衡方案、政府年度工作报告、项目建设合同、项目进度执行情况报告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5"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绩效目标</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明确性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4</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评价项目设定的绩效目标是否完整、清晰、可衡量、可量化，是否符合客观实际，绩效目标与项目实施是否相符的情况。</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1.项目绩效目标除了总体目标外是否设立了分阶段（或分年度）目标；（1分）；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2.相应指标值的设定是否完整，是否与项目目标任务数（或计划数）相对应（1分）；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3.细化分解的具体指标时间点、工作量、工作内容是否设定清晰、可衡量、可量化的指标（1分）；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4.指标的设定依据是否充分真实合理；设定的指标是否便于日后的考核评价（1分）。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可行性研究报告批复、绩效目标申报表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6"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资金投入</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6</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资金筹集使用</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规范性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6</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项目资金使用计划是否有测算依据，与实际需求是否相适应，用以反映和考核债券项目资金使用计划的科学性、合理性情况。</w:t>
            </w:r>
          </w:p>
        </w:tc>
        <w:tc>
          <w:tcPr>
            <w:tcW w:w="472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1.项目资金来源是否符合相关规定（1分）；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2.是否制定了与项目全生命周期相对应的资金筹集、使用、偿还计划（1分）；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3.项目建设期内是否制定了较详细的资金使用计划，资金使用计划是否与资金平衡方案设定的计划支出进度相符（1分)；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4.资金使用范围和规模是否与绩效目标以及实际需求相适应(1分）；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5.专项债券期限是否与项目运营期限相匹配（1分）；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6.债券资金是否是项目资金的唯一来源(1分)。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资金筹措使用还本付息方案或计划、绩效目标申报表、资金平衡方案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3" w:hRule="atLeast"/>
        </w:trPr>
        <w:tc>
          <w:tcPr>
            <w:tcW w:w="647" w:type="dxa"/>
            <w:vMerge w:val="restart"/>
            <w:tcBorders>
              <w:top w:val="single" w:color="000000" w:sz="4" w:space="0"/>
              <w:left w:val="single" w:color="000000" w:sz="4" w:space="0"/>
              <w:bottom w:val="nil"/>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管理</w:t>
            </w:r>
          </w:p>
        </w:tc>
        <w:tc>
          <w:tcPr>
            <w:tcW w:w="529" w:type="dxa"/>
            <w:vMerge w:val="restart"/>
            <w:tcBorders>
              <w:top w:val="single" w:color="000000" w:sz="4" w:space="0"/>
              <w:left w:val="single" w:color="000000" w:sz="4" w:space="0"/>
              <w:bottom w:val="nil"/>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40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资金管理</w:t>
            </w:r>
          </w:p>
        </w:tc>
        <w:tc>
          <w:tcPr>
            <w:tcW w:w="6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25</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债券资金到位率</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评价项目债券资金的到位情况。</w:t>
            </w:r>
          </w:p>
        </w:tc>
        <w:tc>
          <w:tcPr>
            <w:tcW w:w="472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债券资金是否按计划及时拨付到项目实施主体帐户，资金到位率=（实际到位资金/计划到位资金）×100%，债券资金到位率100%（2分）；80%（含）—100%(不含)（1.5分）；60%（含）-80%(不含)(1分）；60%(不含)以下（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专项债券资金账户、资金到位凭证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9" w:hRule="atLeast"/>
        </w:trPr>
        <w:tc>
          <w:tcPr>
            <w:tcW w:w="647" w:type="dxa"/>
            <w:vMerge w:val="continue"/>
            <w:tcBorders>
              <w:top w:val="single" w:color="000000" w:sz="4" w:space="0"/>
              <w:left w:val="single" w:color="000000" w:sz="4" w:space="0"/>
              <w:bottom w:val="nil"/>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nil"/>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自筹资金到位率</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3</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评价项目单位自筹资金的到位情况。</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项目自筹资金是否按计划及时拨付到位，资金到位率=（实际到位资金/计划到位资金）×100%，资金到位率100%（3分）；80%（含）—100%(不含)（2分）；60%（含）-80%(不含)(1分）；60%(不含)以下（0分）。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自筹资金下达拨付文件、资金到位凭证、专项资金账户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58" w:hRule="atLeast"/>
        </w:trPr>
        <w:tc>
          <w:tcPr>
            <w:tcW w:w="647" w:type="dxa"/>
            <w:vMerge w:val="continue"/>
            <w:tcBorders>
              <w:top w:val="single" w:color="000000" w:sz="4" w:space="0"/>
              <w:left w:val="single" w:color="000000" w:sz="4" w:space="0"/>
              <w:bottom w:val="nil"/>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nil"/>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资金支出进度率</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6</w:t>
            </w:r>
          </w:p>
        </w:tc>
        <w:tc>
          <w:tcPr>
            <w:tcW w:w="18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评价项目资金支出与项目建设进度的匹配情况</w:t>
            </w:r>
          </w:p>
        </w:tc>
        <w:tc>
          <w:tcPr>
            <w:tcW w:w="472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债券资金支出与项目建设支出进度是否相匹配，资金支出进度率=项目建设支出金额/下达的项目债券资金金额×100%，（年度）资金支出进度率达90%及以上（6分）；80%（含）—90%（5分）；75%（含）-80%(4分）；70%（含）-75%（3分）；65%（含）-70%（2分）；60%（含）—65%（1分）；60%以下（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项目施工合同、工程建设计划进度表、实际支付凭证、资金到位凭证、专项资金账户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6" w:hRule="atLeast"/>
        </w:trPr>
        <w:tc>
          <w:tcPr>
            <w:tcW w:w="647" w:type="dxa"/>
            <w:vMerge w:val="continue"/>
            <w:tcBorders>
              <w:top w:val="single" w:color="000000" w:sz="4" w:space="0"/>
              <w:left w:val="single" w:color="000000" w:sz="4" w:space="0"/>
              <w:bottom w:val="nil"/>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nil"/>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资金申请和归集规范性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4</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评价项目债券资金申请合规性以及收支、还本付息及专项收入纳入政府性基金预算管理的情况。</w:t>
            </w:r>
          </w:p>
        </w:tc>
        <w:tc>
          <w:tcPr>
            <w:tcW w:w="472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1.专项债券项目资金申请程序手续是否规范(1.5分);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2.专项债券收支、还本付息及专项收入是否纳入政府性基金预算管理（1.5分）；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3.收支科目核算是否准确（1分）。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专项债券收支凭证、相关核算账户等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1" w:hRule="atLeast"/>
        </w:trPr>
        <w:tc>
          <w:tcPr>
            <w:tcW w:w="647" w:type="dxa"/>
            <w:vMerge w:val="continue"/>
            <w:tcBorders>
              <w:top w:val="single" w:color="000000" w:sz="4" w:space="0"/>
              <w:left w:val="single" w:color="000000" w:sz="4" w:space="0"/>
              <w:bottom w:val="nil"/>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nil"/>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成本控制</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有效性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3</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评价项目单位成本控制情况。</w:t>
            </w:r>
          </w:p>
        </w:tc>
        <w:tc>
          <w:tcPr>
            <w:tcW w:w="472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1.项目单位是否进行有效的成本控制，成本风险预警以及应对措施是否落实到位（1.5分）；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2.债券资金成本控制是否到位，未在期限内（半年）形成较大（大于等于1%）息差倒挂（1.5分）。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资金平衡方案确定的范围值、专项账户成本支出情况、月季年损益表、风险控制措施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1" w:hRule="atLeast"/>
        </w:trPr>
        <w:tc>
          <w:tcPr>
            <w:tcW w:w="647" w:type="dxa"/>
            <w:vMerge w:val="continue"/>
            <w:tcBorders>
              <w:top w:val="single" w:color="000000" w:sz="4" w:space="0"/>
              <w:left w:val="single" w:color="000000" w:sz="4" w:space="0"/>
              <w:bottom w:val="nil"/>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nil"/>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本息缴付</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及时性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3</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评价项目单位是否按偿债计划及时、足额缴付本息情况。</w:t>
            </w:r>
          </w:p>
        </w:tc>
        <w:tc>
          <w:tcPr>
            <w:tcW w:w="472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项目资金是否按《新增专项债券资金使用及偿还协议》约定的时间、额度支付利息及归还本金（3分），发现不及时、未足额还款情况一次(2分)，存在两次不及时、未足额还款情况扣3分（0分）。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新增专项债券资金使用及偿还协议、资金支付凭证等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6" w:hRule="atLeast"/>
        </w:trPr>
        <w:tc>
          <w:tcPr>
            <w:tcW w:w="647" w:type="dxa"/>
            <w:vMerge w:val="continue"/>
            <w:tcBorders>
              <w:top w:val="single" w:color="000000" w:sz="4" w:space="0"/>
              <w:left w:val="single" w:color="000000" w:sz="4" w:space="0"/>
              <w:bottom w:val="nil"/>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nil"/>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资金使用</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合规性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4</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评价项目资金使用是否符合相关的财务管理制度规定，专项债券资金是否按规定用途使用，用以反映和考核项目资金的规范运行情况。</w:t>
            </w:r>
          </w:p>
        </w:tc>
        <w:tc>
          <w:tcPr>
            <w:tcW w:w="472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1.项目资金使用是否符合符合国家财经法规和财务管理制度以及相关专项债券资金管理制度规定的用途（1分）；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2.项目单位在项目建设期间是否擅自变动、挪用项目资金（1分）；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3.债券资金拨付使用手续是否符合相关的财务审批流程（1分）；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4.项目建设期间收支是否独立核算，非预算单位是否设立项目资金专户（1分）。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专项债券资金管理办法、可行性研究报告批复、项目预算评审意见、资金平衡方案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30" w:hRule="atLeast"/>
        </w:trPr>
        <w:tc>
          <w:tcPr>
            <w:tcW w:w="647" w:type="dxa"/>
            <w:vMerge w:val="restart"/>
            <w:tcBorders>
              <w:top w:val="nil"/>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管理</w:t>
            </w:r>
          </w:p>
        </w:tc>
        <w:tc>
          <w:tcPr>
            <w:tcW w:w="529" w:type="dxa"/>
            <w:vMerge w:val="restart"/>
            <w:tcBorders>
              <w:top w:val="nil"/>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40</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组织管理</w:t>
            </w:r>
          </w:p>
        </w:tc>
        <w:tc>
          <w:tcPr>
            <w:tcW w:w="6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15</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运行机制有效性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3</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评价项目单位是否有健全的运行管理机制，是否满足项目建设需求，用以考核运行机制有效性情况。</w:t>
            </w:r>
          </w:p>
        </w:tc>
        <w:tc>
          <w:tcPr>
            <w:tcW w:w="472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1.是否具备清晰的内部管理组织架构，部门、人员分工是否明确，项目建设、维护人员岗位数量等是否安排到位，是否能够满足建设需要（1分）；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2.单位重大决策，是否履行“三重一大”相关程序予以科学决策（0.5分）；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3.是否建立健全绩效目标跟踪监控机制，是否按月进行运行监控并及时上报（1分）；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4.是否进行年度绩效自评（0.5分）。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项目建设实施方案、单位“三重一大”制度、绩效运行监控管理办法、监控数据上报资料或系统查询、单位自评报告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30" w:hRule="atLeast"/>
        </w:trPr>
        <w:tc>
          <w:tcPr>
            <w:tcW w:w="647" w:type="dxa"/>
            <w:vMerge w:val="continue"/>
            <w:tcBorders>
              <w:top w:val="nil"/>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nil"/>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管理制度健全性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3</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评价项目单位的财务和业务管理制度是否健全，用以反映和考核财务和业务管理制度对项目顺利运营的保障情况。</w:t>
            </w:r>
          </w:p>
        </w:tc>
        <w:tc>
          <w:tcPr>
            <w:tcW w:w="472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1.是否制定健全的业务、财务管理制度，资金管理办法、资金使用计划，是否有明确的议事规则和决策程序及内控管理流程，能够满足项目建设管理需求（2分）；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2.是否制定债券风险防控预案或措施（1分）；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项目财务管理制度、资金管理办法、资金使用计划、业务管理制度、议事规则、风险管理预案或风险防控措施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58" w:hRule="atLeast"/>
        </w:trPr>
        <w:tc>
          <w:tcPr>
            <w:tcW w:w="647" w:type="dxa"/>
            <w:vMerge w:val="continue"/>
            <w:tcBorders>
              <w:top w:val="nil"/>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nil"/>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制度执行有效性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3</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评价项目实施是否符合相关管理规定，用以反映和考核相关管理制度的有效执行情况。</w:t>
            </w:r>
          </w:p>
        </w:tc>
        <w:tc>
          <w:tcPr>
            <w:tcW w:w="47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1.项目实施是否符合相关业务、财务等管理规定（1分）；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2.项目变更调整理由是否充分，手续是否完备（0.5分）；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3.项目实施的人员条件、场地设备、信息支撑等是否落实到位（0.5分）；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4.项目结束后，项目合同书、验收报吿、技术签定等资料是否齐全并归档管理（1分)。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会议纪要（纪录）、审批资料、归档登记记录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9" w:hRule="atLeast"/>
        </w:trPr>
        <w:tc>
          <w:tcPr>
            <w:tcW w:w="647" w:type="dxa"/>
            <w:vMerge w:val="continue"/>
            <w:tcBorders>
              <w:top w:val="nil"/>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nil"/>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采购管理规范性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评价项目单位建设过程中采购需求、程序是否合规的情况。</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1.项目实施中按照政府采购目录标准是否进行政府采购（1分）；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2.采购程序是否合规，最终的采购结果是否符合采购期市场价格水平（1分）。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招标档案等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6" w:hRule="atLeast"/>
        </w:trPr>
        <w:tc>
          <w:tcPr>
            <w:tcW w:w="647" w:type="dxa"/>
            <w:vMerge w:val="continue"/>
            <w:tcBorders>
              <w:top w:val="nil"/>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nil"/>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信息公开</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规范性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评价项目是否及时、准确、完整地公开信息。</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1.专项债券资金是否按照政府债券信息公开管理办法及时披露债券资金还本付息使用等情况（0.5分)；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2.披露信息是否准确、完整（0.5分)。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信息披露管理规定、信息网站查询结果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9" w:hRule="atLeast"/>
        </w:trPr>
        <w:tc>
          <w:tcPr>
            <w:tcW w:w="647" w:type="dxa"/>
            <w:vMerge w:val="continue"/>
            <w:tcBorders>
              <w:top w:val="nil"/>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nil"/>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问题整改情况</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评价项目在内外部监督发现问题后的整改情况</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对于审计等外部监督、内部运行监控中发现的问题是否进行及时整改（1分）：（及时整改得1分，部分整改0.5分，未及时整改0分）。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审核监督检查认定书、内部监控发现问题通报文件、问题整改资料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1" w:hRule="atLeast"/>
        </w:trPr>
        <w:tc>
          <w:tcPr>
            <w:tcW w:w="647" w:type="dxa"/>
            <w:vMerge w:val="continue"/>
            <w:tcBorders>
              <w:top w:val="nil"/>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nil"/>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信息系统管理和使用规范性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评价项目在地方政府债务管理系统中录入信息的准确性、完整性和及时性。</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专项债券项目及资金使用全流程是否及时、准确、完整、规范地录入地方政府债务管理系统等大数据平台（2分）；未及时录入一次扣1分，扣完2分为止。</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债务管理系统查询结果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3" w:hRule="atLeast"/>
        </w:trPr>
        <w:tc>
          <w:tcPr>
            <w:tcW w:w="64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产出</w:t>
            </w:r>
          </w:p>
        </w:tc>
        <w:tc>
          <w:tcPr>
            <w:tcW w:w="52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30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产出数量</w:t>
            </w:r>
          </w:p>
        </w:tc>
        <w:tc>
          <w:tcPr>
            <w:tcW w:w="6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10</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建设目标完成率</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8</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评价项目建设是否实现预期产出数量目标。</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项目是否按专项债券分年度计划完成工程建设数量目标，全部完成100%（8分）；90%（含）以上（6分）；80%（含）-90%（4分）；70%（含）-80%（3分）；60%（含）-70%（2分）；低于60%（0分）。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绩效目标申报表、资金平衡方案、工作计划任务书、工程验收报告、目标任务完成考核情况表等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9"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资产形成率</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评价项目实施的实际形成资产与计划形成资产的比率。</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项目建设是否按计划形成相应资产，并及时进行备案登记（2分）(建设中未能形成可备案登记资产的，参照建设目标完成率。)</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资产管理台账、资产备案登记表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3"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产出质量</w:t>
            </w:r>
          </w:p>
        </w:tc>
        <w:tc>
          <w:tcPr>
            <w:tcW w:w="6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7</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质量达标率</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5</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评价项目完成的质量达标产出数与实际产出数的比率，用以反映和考核项目产出质量目标的实现程度。</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1.项目工程是否符合国家相关行业的质量检测和验收标准，是否符合建设设计中的功能（可据项目类型和需求做具体描述）（2分）；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2.项目实施过程中，是否严格实行项目监理制度，材料验收、质量检测等资料是否完备可查。（2分）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3.项目是否存在后续可能存在的其他隐患（建设前期的拆迁补偿款到位情况、具备建设资质情况等，结合具体项目面进行详细描述）（1分）。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验收报告、施工设计图、质量检测报告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58"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安全施工目标</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评价项目施工过程中安全生产周期是否达到约定要求，安全事故发生及处理情况等。用以反映和考核项目产出质量目标的实现程度。</w:t>
            </w:r>
          </w:p>
        </w:tc>
        <w:tc>
          <w:tcPr>
            <w:tcW w:w="472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1.项目单位是否按合同约定督促施工方落实各项安全施工制度，防止各类安全事故发生，实现安全生产、文明施工管理目标（1分）；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2.未发生重大安全事故（1分）；发生重大安全责任事故此项分值0分。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施工合同书、安全施工管理目标、发生安全责任事故认定书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6"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产出时效</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5</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建设及时性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5</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评价项目实际建设进度与计划建设进度的比较，用以反映和考核项目建设的进展情况。</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项目是否按照项目实施方案（或实施计划）设定的计划建设期限、合同约定期限内全部完成100%（5分）；延迟半年以内（3分）；延迟半年以上一年以下（2分）；延迟超过一年以上（0分）。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建设总计划进度表、实际完成工程进度表、验收报告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3"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产出成本</w:t>
            </w:r>
          </w:p>
        </w:tc>
        <w:tc>
          <w:tcPr>
            <w:tcW w:w="6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8</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成本节约率</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4</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评价完成项目计划工作目标的实际节约成本与计划成本的比率，用以反映和考核项目的成本节约程度。</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1.完工结算审计金额是否控制在计划投资总额内（2分）；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2.债券资金是否按支出计划使用（1分）；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3.项目预备费是否按规定用于工程建设支出（1分）。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工程结算审计报告、债券资金收支账户及相关凭证、资金平衡方案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6"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社会成本</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评价实施相关项目对社会发展、公共福利等方面可能造成的负面影响。</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1.是否接到群众投诉，投诉受理与反馈是否按相关制度及时处理（0.5分）；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2.是否出现媒体重大负面舆情报道及时控制引导，化解声誉风险（0.5分）；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3.是否发生重大诉讼案件（1分）。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相关信访部门投诉登记台账、受理后处理过程记录、处理结果意见书（报告）、媒体重大负面舆情报道处理结果意见书（报告）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9"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生态环境成本</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评价实施项目对自然生态环境可能造成的负面影响。</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1.是否制定并严格落实施工环境保护措施（1分）；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2.是否存在因环境保护不到位被处罚等情形（1分）；因环境保护不到位被行政或经济处罚（0分）。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环境保护方案或措施、行政处罚决定书、经济处罚支出凭证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58" w:hRule="atLeast"/>
        </w:trPr>
        <w:tc>
          <w:tcPr>
            <w:tcW w:w="64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效益</w:t>
            </w:r>
          </w:p>
        </w:tc>
        <w:tc>
          <w:tcPr>
            <w:tcW w:w="52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10</w:t>
            </w:r>
          </w:p>
        </w:tc>
        <w:tc>
          <w:tcPr>
            <w:tcW w:w="13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经济效益</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经济效益（结合具体项目进行细化、量化及分设指标）</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评价项目建设期是否实现预期经济效益目标。</w:t>
            </w:r>
          </w:p>
        </w:tc>
        <w:tc>
          <w:tcPr>
            <w:tcW w:w="472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按专项债券绩效目标申报表设定的年度经济效益目标及引领行业带来的直接经济效益。计划目标完成90%以上（2分）；80%（含）-90%（1.5分）；70%（含）-80%（1分）；60%（含）-70%（0.5分）；低于60%（0分）。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绩效目标申报表、可行性研究报告批复、资金平衡方案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4"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社会效益</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社会效益（结合具体项目进行细化分设指标，如：落实国家产业政策、增加社会就业岗位、带动相关配套基础设投入、带动上下游企业产值增加）</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投入建设后对社会发展带来的影响和效果，用于体现项目实施当年及一定时期内，如：落实国家产业政策、增加社会就业岗位、带动相关配套基础设投入、带动上下游企业产值增加等方面的社会效益目标实现情况。</w:t>
            </w:r>
          </w:p>
        </w:tc>
        <w:tc>
          <w:tcPr>
            <w:tcW w:w="472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投入建设后按专项债券分年度绩效目标申报表设定的年度社会效益目标是否全部实现，是否获得相关荣誉、表彰以及媒体正面宣传报道（2分）：(社会效益目标全部实现，有正面宣传报道2分；未全部实现1分；未实现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可行性研究报告及批复、绩效目标申报表、工作计划任务书、目标任务完成考核情况表、相关荣誉证书、媒体报道信息资料等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58"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生态效益</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生态效益（结合具体项目进行细化分设，如:减少环境污染、改善空气质量等）</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评价项目投入建设后对生态发展带来</w:t>
            </w:r>
            <w:bookmarkStart w:id="122" w:name="_GoBack"/>
            <w:bookmarkEnd w:id="122"/>
            <w:r>
              <w:rPr>
                <w:rFonts w:hint="eastAsia" w:ascii="Times New Roman" w:hAnsi="Times New Roman" w:eastAsia="仿宋" w:cs="Times New Roman"/>
                <w:b w:val="0"/>
                <w:bCs w:val="0"/>
                <w:color w:val="auto"/>
                <w:sz w:val="24"/>
                <w:szCs w:val="24"/>
                <w:lang w:val="en-US" w:eastAsia="zh-CN"/>
              </w:rPr>
              <w:t>的影响和效果，用于体现项目实施当年及一定时期内，如：减少环境污染、改善空气质量等方面的生态效益目标的实现情况。</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项目投入建设后按绩效目标设定的生态效益目标是否全部实现（1分）:(全部实现1分；部分实现0.5分；未实现0分。)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可行性研究报告及批复、绩效目标申报表、工作计划任务书、目标任务完成考核情况表等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3"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可持续影响</w:t>
            </w:r>
          </w:p>
        </w:tc>
        <w:tc>
          <w:tcPr>
            <w:tcW w:w="6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人才技术支撑</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0.5</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评价项目投入建设后持续配备足够数量的人才、技术，用以反映项目的可持续性。</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1.是否配备满足项目持续良好建设的人才数量（0.3分）；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2.是否能提供项目持续良好建设的技术力量（0.2分）。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项目各类技术支撑材料、人才引进资料、人才发挥作用的佐证资料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1"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财务支撑</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0.5</w:t>
            </w:r>
          </w:p>
        </w:tc>
        <w:tc>
          <w:tcPr>
            <w:tcW w:w="1854" w:type="dxa"/>
            <w:tcBorders>
              <w:top w:val="single" w:color="000000" w:sz="4" w:space="0"/>
              <w:left w:val="single" w:color="000000" w:sz="4" w:space="0"/>
              <w:bottom w:val="single" w:color="000000" w:sz="4" w:space="0"/>
              <w:right w:val="nil"/>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评价项目未来资金来源是否有保障，资金使用和工程建设是否有计划，是否能实现工程总建设目标，用于反映项目可持续情况。</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项目总投资计划是否明确，后期续建资金是否有明确的来源渠道，还本付息资金来源是否明确且合理可行（0.5分）；计划不够明确，来源渠道不确定的视情况扣分。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未来投资计划书、资金来源的政策文件、银行授信等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3"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外部环境支撑</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w:t>
            </w:r>
          </w:p>
        </w:tc>
        <w:tc>
          <w:tcPr>
            <w:tcW w:w="18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评价项目是否妥善处理主管部门、监管部门、合作单位的关系，建立良好的沟通机制并能够持续保持，用于反映项目可持续情况。</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1.项目单位与主管部门沟通协调及时有效（0.5分）；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2.与监管部门及其他相关部门及单位保持良好的业务关系及沟通渠道（0.5分）；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(存在一次被相关部门责令整改情况及不良反映，存在一次扣0.2分；直至1分扣完为止。)</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相关记录、合作协议等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6"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满意度</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3</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社会公众满意度</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3</w:t>
            </w:r>
          </w:p>
        </w:tc>
        <w:tc>
          <w:tcPr>
            <w:tcW w:w="1854" w:type="dxa"/>
            <w:tcBorders>
              <w:top w:val="single" w:color="000000" w:sz="4" w:space="0"/>
              <w:left w:val="single" w:color="000000" w:sz="4" w:space="0"/>
              <w:bottom w:val="single" w:color="000000" w:sz="4" w:space="0"/>
              <w:right w:val="nil"/>
            </w:tcBorders>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917065" cy="10160"/>
                  <wp:effectExtent l="0" t="0" r="0" b="0"/>
                  <wp:wrapNone/>
                  <wp:docPr id="1" name="图片_1"/>
                  <wp:cNvGraphicFramePr/>
                  <a:graphic xmlns:a="http://schemas.openxmlformats.org/drawingml/2006/main">
                    <a:graphicData uri="http://schemas.openxmlformats.org/drawingml/2006/picture">
                      <pic:pic xmlns:pic="http://schemas.openxmlformats.org/drawingml/2006/picture">
                        <pic:nvPicPr>
                          <pic:cNvPr id="1" name="图片_1"/>
                          <pic:cNvPicPr/>
                        </pic:nvPicPr>
                        <pic:blipFill>
                          <a:blip r:embed="rId12"/>
                          <a:stretch>
                            <a:fillRect/>
                          </a:stretch>
                        </pic:blipFill>
                        <pic:spPr>
                          <a:xfrm>
                            <a:off x="0" y="0"/>
                            <a:ext cx="1917065" cy="10160"/>
                          </a:xfrm>
                          <a:prstGeom prst="rect">
                            <a:avLst/>
                          </a:prstGeom>
                          <a:noFill/>
                          <a:ln>
                            <a:noFill/>
                          </a:ln>
                        </pic:spPr>
                      </pic:pic>
                    </a:graphicData>
                  </a:graphic>
                </wp:anchor>
              </w:drawing>
            </w:r>
            <w:r>
              <w:rPr>
                <w:rFonts w:hint="eastAsia" w:ascii="Times New Roman" w:hAnsi="Times New Roman" w:eastAsia="仿宋" w:cs="Times New Roman"/>
                <w:b w:val="0"/>
                <w:bCs w:val="0"/>
                <w:color w:val="auto"/>
                <w:sz w:val="24"/>
                <w:szCs w:val="24"/>
                <w:lang w:val="en-US" w:eastAsia="zh-CN"/>
              </w:rPr>
              <w:t>评价服务对象或项目受益人及其他相关群体的认可程度。</w:t>
            </w:r>
          </w:p>
        </w:tc>
        <w:tc>
          <w:tcPr>
            <w:tcW w:w="4724" w:type="dxa"/>
            <w:tcBorders>
              <w:top w:val="single" w:color="000000" w:sz="4" w:space="0"/>
              <w:left w:val="single" w:color="000000" w:sz="4" w:space="0"/>
              <w:bottom w:val="single" w:color="000000" w:sz="4" w:space="0"/>
              <w:right w:val="nil"/>
            </w:tcBorders>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满意度≥90%（3分）；60%≤满意度＜90%，得分＝满意度×3分，满意度＜60%，（0分）。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现场问卷或非现场电子问卷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25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合计</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100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100</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47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229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p>
        </w:tc>
      </w:tr>
    </w:tbl>
    <w:p>
      <w:pPr>
        <w:widowControl/>
        <w:spacing w:line="574" w:lineRule="exact"/>
        <w:jc w:val="left"/>
        <w:outlineLvl w:val="0"/>
        <w:rPr>
          <w:rFonts w:ascii="黑体" w:hAnsi="黑体" w:eastAsia="黑体"/>
          <w:snapToGrid w:val="0"/>
          <w:sz w:val="32"/>
          <w:szCs w:val="32"/>
        </w:rPr>
        <w:sectPr>
          <w:headerReference r:id="rId9" w:type="default"/>
          <w:pgSz w:w="16838" w:h="11906" w:orient="landscape"/>
          <w:pgMar w:top="1797" w:right="1440" w:bottom="1797" w:left="1440" w:header="851" w:footer="992" w:gutter="0"/>
          <w:pgNumType w:fmt="decimal"/>
          <w:cols w:space="425" w:num="1"/>
          <w:docGrid w:type="lines" w:linePitch="312" w:charSpace="0"/>
        </w:sectPr>
      </w:pPr>
    </w:p>
    <w:p>
      <w:pPr>
        <w:widowControl/>
        <w:spacing w:line="574" w:lineRule="exact"/>
        <w:jc w:val="left"/>
        <w:outlineLvl w:val="0"/>
        <w:rPr>
          <w:rFonts w:ascii="黑体" w:hAnsi="黑体" w:eastAsia="黑体"/>
          <w:snapToGrid w:val="0"/>
          <w:sz w:val="32"/>
          <w:szCs w:val="32"/>
        </w:rPr>
      </w:pPr>
      <w:bookmarkStart w:id="109" w:name="_Toc30500"/>
      <w:r>
        <w:rPr>
          <w:rFonts w:hint="eastAsia" w:ascii="黑体" w:hAnsi="黑体" w:eastAsia="黑体"/>
          <w:snapToGrid w:val="0"/>
          <w:sz w:val="32"/>
          <w:szCs w:val="32"/>
        </w:rPr>
        <w:t>附件2：问卷调查报告</w:t>
      </w:r>
      <w:bookmarkEnd w:id="107"/>
      <w:bookmarkEnd w:id="109"/>
      <w:bookmarkStart w:id="110" w:name="_Toc515811967"/>
      <w:bookmarkStart w:id="111" w:name="_Toc516473336"/>
      <w:bookmarkStart w:id="112" w:name="_Toc528680333"/>
      <w:bookmarkStart w:id="113" w:name="_Toc517361502"/>
      <w:bookmarkStart w:id="114" w:name="_Toc515811021"/>
      <w:bookmarkStart w:id="115" w:name="_Toc528680487"/>
      <w:bookmarkStart w:id="116" w:name="_Toc528603095"/>
      <w:bookmarkStart w:id="117" w:name="_Toc516554801"/>
    </w:p>
    <w:bookmarkEnd w:id="110"/>
    <w:bookmarkEnd w:id="111"/>
    <w:bookmarkEnd w:id="112"/>
    <w:bookmarkEnd w:id="113"/>
    <w:bookmarkEnd w:id="114"/>
    <w:bookmarkEnd w:id="115"/>
    <w:bookmarkEnd w:id="116"/>
    <w:bookmarkEnd w:id="117"/>
    <w:p>
      <w:pPr>
        <w:spacing w:line="574" w:lineRule="exact"/>
        <w:jc w:val="center"/>
        <w:rPr>
          <w:rFonts w:hint="eastAsia" w:ascii="仿宋" w:hAnsi="仿宋" w:eastAsia="仿宋" w:cs="仿宋"/>
          <w:b/>
          <w:bCs/>
          <w:snapToGrid w:val="0"/>
          <w:sz w:val="32"/>
          <w:szCs w:val="32"/>
        </w:rPr>
      </w:pPr>
      <w:r>
        <w:rPr>
          <w:rFonts w:hint="eastAsia" w:ascii="仿宋" w:hAnsi="仿宋" w:eastAsia="仿宋" w:cs="仿宋"/>
          <w:b/>
          <w:bCs/>
          <w:snapToGrid w:val="0"/>
          <w:sz w:val="32"/>
          <w:szCs w:val="32"/>
          <w:lang w:eastAsia="zh-CN"/>
        </w:rPr>
        <w:t>专项债券古县五马至古阳段城乡供水工程项目经费</w:t>
      </w:r>
      <w:r>
        <w:rPr>
          <w:rFonts w:hint="eastAsia" w:ascii="仿宋" w:hAnsi="仿宋" w:eastAsia="仿宋" w:cs="仿宋"/>
          <w:b/>
          <w:bCs/>
          <w:snapToGrid w:val="0"/>
          <w:sz w:val="32"/>
          <w:szCs w:val="32"/>
        </w:rPr>
        <w:t>绩效评价</w:t>
      </w:r>
    </w:p>
    <w:p>
      <w:pPr>
        <w:spacing w:line="574" w:lineRule="exact"/>
        <w:jc w:val="center"/>
        <w:rPr>
          <w:rFonts w:ascii="Times New Roman" w:hAnsi="Times New Roman"/>
          <w:b/>
          <w:snapToGrid w:val="0"/>
          <w:sz w:val="44"/>
          <w:szCs w:val="44"/>
        </w:rPr>
      </w:pPr>
      <w:r>
        <w:rPr>
          <w:rFonts w:hint="eastAsia" w:ascii="仿宋" w:hAnsi="仿宋" w:eastAsia="仿宋" w:cs="仿宋"/>
          <w:b/>
          <w:bCs/>
          <w:snapToGrid w:val="0"/>
          <w:sz w:val="32"/>
          <w:szCs w:val="32"/>
        </w:rPr>
        <w:t>满意度调查报告</w:t>
      </w:r>
    </w:p>
    <w:p>
      <w:pPr>
        <w:spacing w:line="574" w:lineRule="exact"/>
        <w:ind w:firstLine="883" w:firstLineChars="200"/>
        <w:rPr>
          <w:rFonts w:ascii="Times New Roman" w:hAnsi="Times New Roman"/>
          <w:b/>
          <w:snapToGrid w:val="0"/>
          <w:sz w:val="44"/>
          <w:szCs w:val="44"/>
        </w:rPr>
      </w:pP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一、调查目的</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bookmarkStart w:id="118" w:name="_Hlk28700570"/>
      <w:r>
        <w:rPr>
          <w:rFonts w:hint="eastAsia" w:ascii="Times New Roman" w:hAnsi="Times New Roman" w:eastAsia="仿宋_GB2312" w:cs="Times New Roman"/>
          <w:bCs/>
          <w:kern w:val="0"/>
          <w:sz w:val="28"/>
          <w:szCs w:val="32"/>
          <w:lang w:val="en-US" w:eastAsia="zh-CN"/>
        </w:rPr>
        <w:t>相关方满意度调查作为绩效评价中非常重要的环节，为了解专项债券古县五马至古阳段城乡供水工程项目经费的使用管理情况和项目实施情况，准确掌握满意度数据，通过向受益群众发放满意度调查问卷，了解受益群体对项目的整体满意程度，为绩效评价工作满意度调查提供数据参考。</w:t>
      </w:r>
    </w:p>
    <w:bookmarkEnd w:id="118"/>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二、调查对象</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bookmarkStart w:id="119" w:name="_Hlk28700584"/>
      <w:r>
        <w:rPr>
          <w:rFonts w:hint="eastAsia" w:ascii="Times New Roman" w:hAnsi="Times New Roman" w:eastAsia="仿宋_GB2312" w:cs="Times New Roman"/>
          <w:bCs/>
          <w:kern w:val="0"/>
          <w:sz w:val="28"/>
          <w:szCs w:val="32"/>
          <w:lang w:val="en-US" w:eastAsia="zh-CN"/>
        </w:rPr>
        <w:t>本次调查的对象为实施单位相关人员及群众。</w:t>
      </w:r>
    </w:p>
    <w:bookmarkEnd w:id="119"/>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三、调查时间</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2023年5月。</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四、调查内容</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bookmarkStart w:id="120" w:name="_Hlk28700703"/>
      <w:r>
        <w:rPr>
          <w:rFonts w:hint="eastAsia" w:ascii="Times New Roman" w:hAnsi="Times New Roman" w:eastAsia="仿宋_GB2312" w:cs="Times New Roman"/>
          <w:bCs/>
          <w:kern w:val="0"/>
          <w:sz w:val="28"/>
          <w:szCs w:val="32"/>
          <w:lang w:val="en-US" w:eastAsia="zh-CN"/>
        </w:rPr>
        <w:t>满意度调查问卷满意度调查内容包括：</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您对古县五马至古阳段城乡供水工程项目规划方向的满意程度；</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您对古县五马至古阳段城乡供水工程项目实施进度的满意程度；</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您对古县五马至古阳段城乡供水工程项目实施过程污染控制的满意程度；</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您对古县五马至古阳段城乡供水工程项目实施管理的满意程度；</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您对古县五马至古阳段城乡供水工程项目污染控制的满意程度。</w:t>
      </w:r>
    </w:p>
    <w:bookmarkEnd w:id="120"/>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五、问卷发放与回收</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专项债券古县五马至古阳段城乡供水工程项目覆盖古县全县群众，本次计划发放问卷450份。实际回收问卷450份，有效问卷450份。</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六、调查结果</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（一）满意度调查</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（1）您对古县五马至古阳段城乡供水工程项目规划方向的满意程度。</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回答非常满意的432人，满意的10人，一般的8人，不满意的0人。</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（2）您对古县五马至古阳段城乡供水工程项目实施进度的满意程度。</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回答非常满意的426人，满意的13人，一般的3人，不满意的8人。</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（3）您对古县五马至古阳段城乡供水工程项目实施过程污染控制的满意程度。</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回答非常满意的411人，满意的26人，一般的4人，不满意的9人。</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（4）您对古县五马至古阳段城乡供水工程项目实施管理的满意程度。</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回答非常满意的403人，满意的31人，一般的6人，不满意的0人。</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（5）您对古县五马至古阳段城乡供水工程项目污染控制的满意程度。</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回答非常满意的417人，满意的26人，一般的7人，不满意的0人。</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bookmarkStart w:id="121" w:name="_Hlk29977686"/>
      <w:r>
        <w:rPr>
          <w:rFonts w:hint="eastAsia" w:ascii="Times New Roman" w:hAnsi="Times New Roman" w:eastAsia="仿宋_GB2312" w:cs="Times New Roman"/>
          <w:bCs/>
          <w:kern w:val="0"/>
          <w:sz w:val="28"/>
          <w:szCs w:val="32"/>
          <w:lang w:val="en-US" w:eastAsia="zh-CN"/>
        </w:rPr>
        <w:t>（二）综合满意度</w:t>
      </w:r>
    </w:p>
    <w:bookmarkEnd w:id="121"/>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问卷调查综合满意度详见下表：</w:t>
      </w:r>
    </w:p>
    <w:tbl>
      <w:tblPr>
        <w:tblStyle w:val="22"/>
        <w:tblW w:w="94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5"/>
        <w:gridCol w:w="806"/>
        <w:gridCol w:w="611"/>
        <w:gridCol w:w="851"/>
        <w:gridCol w:w="708"/>
        <w:gridCol w:w="709"/>
        <w:gridCol w:w="709"/>
        <w:gridCol w:w="783"/>
        <w:gridCol w:w="805"/>
        <w:gridCol w:w="680"/>
        <w:gridCol w:w="8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tblHeader/>
          <w:jc w:val="center"/>
        </w:trPr>
        <w:tc>
          <w:tcPr>
            <w:tcW w:w="1925" w:type="dxa"/>
            <w:vMerge w:val="restart"/>
            <w:shd w:val="clear" w:color="auto" w:fill="B2B2B2"/>
            <w:vAlign w:val="center"/>
          </w:tcPr>
          <w:p>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调查内容</w:t>
            </w:r>
          </w:p>
        </w:tc>
        <w:tc>
          <w:tcPr>
            <w:tcW w:w="2268" w:type="dxa"/>
            <w:gridSpan w:val="3"/>
            <w:shd w:val="clear" w:color="auto" w:fill="B2B2B2"/>
            <w:vAlign w:val="center"/>
          </w:tcPr>
          <w:p>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满意</w:t>
            </w:r>
          </w:p>
        </w:tc>
        <w:tc>
          <w:tcPr>
            <w:tcW w:w="2126" w:type="dxa"/>
            <w:gridSpan w:val="3"/>
            <w:shd w:val="clear" w:color="auto" w:fill="B2B2B2"/>
            <w:vAlign w:val="center"/>
          </w:tcPr>
          <w:p>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基本满意</w:t>
            </w:r>
          </w:p>
        </w:tc>
        <w:tc>
          <w:tcPr>
            <w:tcW w:w="2268" w:type="dxa"/>
            <w:gridSpan w:val="3"/>
            <w:shd w:val="clear" w:color="auto" w:fill="B2B2B2"/>
            <w:vAlign w:val="center"/>
          </w:tcPr>
          <w:p>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一般</w:t>
            </w:r>
          </w:p>
        </w:tc>
        <w:tc>
          <w:tcPr>
            <w:tcW w:w="881" w:type="dxa"/>
            <w:vMerge w:val="restart"/>
            <w:shd w:val="clear" w:color="auto" w:fill="B2B2B2"/>
            <w:vAlign w:val="center"/>
          </w:tcPr>
          <w:p>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综合满意度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blHeader/>
          <w:jc w:val="center"/>
        </w:trPr>
        <w:tc>
          <w:tcPr>
            <w:tcW w:w="1925" w:type="dxa"/>
            <w:vMerge w:val="continue"/>
            <w:shd w:val="clear" w:color="auto" w:fill="B2B2B2"/>
            <w:vAlign w:val="center"/>
          </w:tcPr>
          <w:p>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p>
        </w:tc>
        <w:tc>
          <w:tcPr>
            <w:tcW w:w="806" w:type="dxa"/>
            <w:shd w:val="clear" w:color="auto" w:fill="B2B2B2"/>
            <w:vAlign w:val="center"/>
          </w:tcPr>
          <w:p>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满意度</w:t>
            </w:r>
          </w:p>
        </w:tc>
        <w:tc>
          <w:tcPr>
            <w:tcW w:w="611" w:type="dxa"/>
            <w:shd w:val="clear" w:color="auto" w:fill="B2B2B2"/>
            <w:vAlign w:val="center"/>
          </w:tcPr>
          <w:p>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权重</w:t>
            </w:r>
          </w:p>
        </w:tc>
        <w:tc>
          <w:tcPr>
            <w:tcW w:w="851" w:type="dxa"/>
            <w:shd w:val="clear" w:color="auto" w:fill="B2B2B2"/>
            <w:vAlign w:val="center"/>
          </w:tcPr>
          <w:p>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加权满意度</w:t>
            </w:r>
          </w:p>
        </w:tc>
        <w:tc>
          <w:tcPr>
            <w:tcW w:w="708" w:type="dxa"/>
            <w:shd w:val="clear" w:color="auto" w:fill="B2B2B2"/>
            <w:vAlign w:val="center"/>
          </w:tcPr>
          <w:p>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满意度</w:t>
            </w:r>
          </w:p>
        </w:tc>
        <w:tc>
          <w:tcPr>
            <w:tcW w:w="709" w:type="dxa"/>
            <w:shd w:val="clear" w:color="auto" w:fill="B2B2B2"/>
            <w:vAlign w:val="center"/>
          </w:tcPr>
          <w:p>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权重</w:t>
            </w:r>
          </w:p>
        </w:tc>
        <w:tc>
          <w:tcPr>
            <w:tcW w:w="709" w:type="dxa"/>
            <w:shd w:val="clear" w:color="auto" w:fill="B2B2B2"/>
            <w:vAlign w:val="center"/>
          </w:tcPr>
          <w:p>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加权满意度</w:t>
            </w:r>
          </w:p>
        </w:tc>
        <w:tc>
          <w:tcPr>
            <w:tcW w:w="783" w:type="dxa"/>
            <w:shd w:val="clear" w:color="auto" w:fill="B2B2B2"/>
            <w:vAlign w:val="center"/>
          </w:tcPr>
          <w:p>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满意度</w:t>
            </w:r>
          </w:p>
        </w:tc>
        <w:tc>
          <w:tcPr>
            <w:tcW w:w="805" w:type="dxa"/>
            <w:shd w:val="clear" w:color="auto" w:fill="B2B2B2"/>
            <w:vAlign w:val="center"/>
          </w:tcPr>
          <w:p>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权重</w:t>
            </w:r>
          </w:p>
        </w:tc>
        <w:tc>
          <w:tcPr>
            <w:tcW w:w="680" w:type="dxa"/>
            <w:shd w:val="clear" w:color="auto" w:fill="B2B2B2"/>
            <w:vAlign w:val="center"/>
          </w:tcPr>
          <w:p>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加权满意度</w:t>
            </w:r>
          </w:p>
        </w:tc>
        <w:tc>
          <w:tcPr>
            <w:tcW w:w="881" w:type="dxa"/>
            <w:vMerge w:val="continue"/>
            <w:shd w:val="clear" w:color="auto" w:fill="B2B2B2"/>
            <w:vAlign w:val="center"/>
          </w:tcPr>
          <w:p>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25" w:type="dxa"/>
            <w:vAlign w:val="center"/>
          </w:tcPr>
          <w:p>
            <w:pPr>
              <w:widowControl/>
              <w:snapToGrid w:val="0"/>
              <w:jc w:val="left"/>
              <w:rPr>
                <w:rFonts w:hint="eastAsia" w:ascii="Times New Roman" w:hAnsi="Times New Roman" w:eastAsia="仿宋" w:cs="Times New Roman"/>
                <w:color w:val="000000"/>
                <w:sz w:val="21"/>
                <w:szCs w:val="21"/>
                <w:lang w:val="en-US" w:eastAsia="zh-CN"/>
              </w:rPr>
            </w:pPr>
            <w:r>
              <w:rPr>
                <w:rFonts w:hint="eastAsia" w:ascii="仿宋" w:hAnsi="仿宋" w:eastAsia="仿宋" w:cs="仿宋"/>
                <w:sz w:val="21"/>
                <w:szCs w:val="21"/>
              </w:rPr>
              <w:t>您对</w:t>
            </w:r>
            <w:r>
              <w:rPr>
                <w:rFonts w:hint="eastAsia" w:ascii="仿宋" w:hAnsi="仿宋" w:eastAsia="仿宋" w:cs="仿宋"/>
                <w:b/>
                <w:sz w:val="21"/>
                <w:szCs w:val="21"/>
                <w:lang w:val="en-US" w:eastAsia="zh-CN"/>
              </w:rPr>
              <w:t>古县五马至古阳段城乡供水工程项目规划方向</w:t>
            </w:r>
            <w:r>
              <w:rPr>
                <w:rFonts w:hint="eastAsia" w:ascii="仿宋" w:hAnsi="仿宋" w:eastAsia="仿宋" w:cs="仿宋"/>
                <w:sz w:val="21"/>
                <w:szCs w:val="21"/>
              </w:rPr>
              <w:t>的满意程度</w:t>
            </w:r>
          </w:p>
        </w:tc>
        <w:tc>
          <w:tcPr>
            <w:tcW w:w="806"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96.00%</w:t>
            </w:r>
          </w:p>
        </w:tc>
        <w:tc>
          <w:tcPr>
            <w:tcW w:w="611" w:type="dxa"/>
            <w:vAlign w:val="center"/>
          </w:tcPr>
          <w:p>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100%</w:t>
            </w:r>
          </w:p>
        </w:tc>
        <w:tc>
          <w:tcPr>
            <w:tcW w:w="851"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96.00%</w:t>
            </w:r>
          </w:p>
        </w:tc>
        <w:tc>
          <w:tcPr>
            <w:tcW w:w="708"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2.22%</w:t>
            </w:r>
          </w:p>
        </w:tc>
        <w:tc>
          <w:tcPr>
            <w:tcW w:w="709" w:type="dxa"/>
            <w:vAlign w:val="center"/>
          </w:tcPr>
          <w:p>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80%</w:t>
            </w:r>
          </w:p>
        </w:tc>
        <w:tc>
          <w:tcPr>
            <w:tcW w:w="709"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1.78%</w:t>
            </w:r>
          </w:p>
        </w:tc>
        <w:tc>
          <w:tcPr>
            <w:tcW w:w="783"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1.78%</w:t>
            </w:r>
          </w:p>
        </w:tc>
        <w:tc>
          <w:tcPr>
            <w:tcW w:w="805" w:type="dxa"/>
            <w:vAlign w:val="center"/>
          </w:tcPr>
          <w:p>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60.00%</w:t>
            </w:r>
          </w:p>
        </w:tc>
        <w:tc>
          <w:tcPr>
            <w:tcW w:w="680"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1.07%</w:t>
            </w:r>
          </w:p>
        </w:tc>
        <w:tc>
          <w:tcPr>
            <w:tcW w:w="881"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98.84%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925" w:type="dxa"/>
            <w:vAlign w:val="center"/>
          </w:tcPr>
          <w:p>
            <w:pPr>
              <w:widowControl/>
              <w:snapToGrid w:val="0"/>
              <w:jc w:val="left"/>
              <w:rPr>
                <w:rFonts w:hint="eastAsia" w:ascii="Times New Roman" w:hAnsi="Times New Roman" w:eastAsia="仿宋" w:cs="Times New Roman"/>
                <w:color w:val="000000"/>
                <w:sz w:val="21"/>
                <w:szCs w:val="21"/>
                <w:lang w:val="en-US" w:eastAsia="zh-CN"/>
              </w:rPr>
            </w:pPr>
            <w:r>
              <w:rPr>
                <w:rFonts w:hint="eastAsia" w:ascii="仿宋" w:hAnsi="仿宋" w:eastAsia="仿宋" w:cs="仿宋"/>
                <w:sz w:val="21"/>
                <w:szCs w:val="21"/>
              </w:rPr>
              <w:t>您对</w:t>
            </w:r>
            <w:r>
              <w:rPr>
                <w:rFonts w:hint="eastAsia" w:ascii="仿宋" w:hAnsi="仿宋" w:eastAsia="仿宋" w:cs="仿宋"/>
                <w:b/>
                <w:sz w:val="21"/>
                <w:szCs w:val="21"/>
                <w:lang w:val="en-US" w:eastAsia="zh-CN"/>
              </w:rPr>
              <w:t>古县五马至古阳段城乡供水工程项目实施进度</w:t>
            </w:r>
            <w:r>
              <w:rPr>
                <w:rFonts w:hint="eastAsia" w:ascii="仿宋" w:hAnsi="仿宋" w:eastAsia="仿宋" w:cs="仿宋"/>
                <w:sz w:val="21"/>
                <w:szCs w:val="21"/>
              </w:rPr>
              <w:t>的满意程度</w:t>
            </w:r>
          </w:p>
        </w:tc>
        <w:tc>
          <w:tcPr>
            <w:tcW w:w="806"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94.67%</w:t>
            </w:r>
          </w:p>
        </w:tc>
        <w:tc>
          <w:tcPr>
            <w:tcW w:w="611" w:type="dxa"/>
            <w:vAlign w:val="center"/>
          </w:tcPr>
          <w:p>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100%</w:t>
            </w:r>
          </w:p>
        </w:tc>
        <w:tc>
          <w:tcPr>
            <w:tcW w:w="851"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94.67%</w:t>
            </w:r>
          </w:p>
        </w:tc>
        <w:tc>
          <w:tcPr>
            <w:tcW w:w="708"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2.89%</w:t>
            </w:r>
          </w:p>
        </w:tc>
        <w:tc>
          <w:tcPr>
            <w:tcW w:w="709" w:type="dxa"/>
            <w:vAlign w:val="center"/>
          </w:tcPr>
          <w:p>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80%</w:t>
            </w:r>
          </w:p>
        </w:tc>
        <w:tc>
          <w:tcPr>
            <w:tcW w:w="709"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2.31%</w:t>
            </w:r>
          </w:p>
        </w:tc>
        <w:tc>
          <w:tcPr>
            <w:tcW w:w="783"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0.67%</w:t>
            </w:r>
          </w:p>
        </w:tc>
        <w:tc>
          <w:tcPr>
            <w:tcW w:w="805" w:type="dxa"/>
            <w:vAlign w:val="center"/>
          </w:tcPr>
          <w:p>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60.00%</w:t>
            </w:r>
          </w:p>
        </w:tc>
        <w:tc>
          <w:tcPr>
            <w:tcW w:w="680"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0.40%</w:t>
            </w:r>
          </w:p>
        </w:tc>
        <w:tc>
          <w:tcPr>
            <w:tcW w:w="881"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97.38%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925" w:type="dxa"/>
            <w:vAlign w:val="center"/>
          </w:tcPr>
          <w:p>
            <w:pPr>
              <w:widowControl/>
              <w:snapToGrid w:val="0"/>
              <w:jc w:val="left"/>
              <w:rPr>
                <w:rFonts w:hint="eastAsia" w:ascii="Times New Roman" w:hAnsi="Times New Roman" w:eastAsia="仿宋" w:cs="Times New Roman"/>
                <w:color w:val="000000"/>
                <w:sz w:val="21"/>
                <w:szCs w:val="21"/>
                <w:lang w:val="en-US" w:eastAsia="zh-CN"/>
              </w:rPr>
            </w:pPr>
            <w:r>
              <w:rPr>
                <w:rFonts w:hint="eastAsia" w:ascii="仿宋" w:hAnsi="仿宋" w:eastAsia="仿宋" w:cs="仿宋"/>
                <w:sz w:val="21"/>
                <w:szCs w:val="21"/>
              </w:rPr>
              <w:t>您对</w:t>
            </w:r>
            <w:r>
              <w:rPr>
                <w:rFonts w:hint="eastAsia" w:ascii="仿宋" w:hAnsi="仿宋" w:eastAsia="仿宋" w:cs="仿宋"/>
                <w:b/>
                <w:sz w:val="21"/>
                <w:szCs w:val="21"/>
                <w:lang w:val="en-US" w:eastAsia="zh-CN"/>
              </w:rPr>
              <w:t>古县五马至古阳段城乡供水工程项目实施过程污染控制</w:t>
            </w:r>
            <w:r>
              <w:rPr>
                <w:rFonts w:hint="eastAsia" w:ascii="仿宋" w:hAnsi="仿宋" w:eastAsia="仿宋" w:cs="仿宋"/>
                <w:sz w:val="21"/>
                <w:szCs w:val="21"/>
              </w:rPr>
              <w:t>的满意程度</w:t>
            </w:r>
          </w:p>
        </w:tc>
        <w:tc>
          <w:tcPr>
            <w:tcW w:w="806"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91.33%</w:t>
            </w:r>
          </w:p>
        </w:tc>
        <w:tc>
          <w:tcPr>
            <w:tcW w:w="611" w:type="dxa"/>
            <w:vAlign w:val="center"/>
          </w:tcPr>
          <w:p>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100%</w:t>
            </w:r>
          </w:p>
        </w:tc>
        <w:tc>
          <w:tcPr>
            <w:tcW w:w="851"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91.33%</w:t>
            </w:r>
          </w:p>
        </w:tc>
        <w:tc>
          <w:tcPr>
            <w:tcW w:w="708"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5.78%</w:t>
            </w:r>
          </w:p>
        </w:tc>
        <w:tc>
          <w:tcPr>
            <w:tcW w:w="709" w:type="dxa"/>
            <w:vAlign w:val="center"/>
          </w:tcPr>
          <w:p>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80%</w:t>
            </w:r>
          </w:p>
        </w:tc>
        <w:tc>
          <w:tcPr>
            <w:tcW w:w="709"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4.62%</w:t>
            </w:r>
          </w:p>
        </w:tc>
        <w:tc>
          <w:tcPr>
            <w:tcW w:w="783"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0.89%</w:t>
            </w:r>
          </w:p>
        </w:tc>
        <w:tc>
          <w:tcPr>
            <w:tcW w:w="805" w:type="dxa"/>
            <w:vAlign w:val="center"/>
          </w:tcPr>
          <w:p>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60.00%</w:t>
            </w:r>
          </w:p>
        </w:tc>
        <w:tc>
          <w:tcPr>
            <w:tcW w:w="680"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0.53%</w:t>
            </w:r>
          </w:p>
        </w:tc>
        <w:tc>
          <w:tcPr>
            <w:tcW w:w="881"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96.49%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925" w:type="dxa"/>
            <w:vAlign w:val="center"/>
          </w:tcPr>
          <w:p>
            <w:pPr>
              <w:widowControl/>
              <w:snapToGrid w:val="0"/>
              <w:jc w:val="left"/>
              <w:rPr>
                <w:rFonts w:hint="eastAsia" w:ascii="Times New Roman" w:hAnsi="Times New Roman" w:eastAsia="仿宋" w:cs="Times New Roman"/>
                <w:color w:val="000000"/>
                <w:sz w:val="21"/>
                <w:szCs w:val="21"/>
                <w:lang w:val="en-US" w:eastAsia="zh-CN"/>
              </w:rPr>
            </w:pPr>
            <w:r>
              <w:rPr>
                <w:rFonts w:hint="eastAsia" w:ascii="仿宋" w:hAnsi="仿宋" w:eastAsia="仿宋" w:cs="仿宋"/>
                <w:sz w:val="21"/>
                <w:szCs w:val="21"/>
              </w:rPr>
              <w:t>您对</w:t>
            </w:r>
            <w:r>
              <w:rPr>
                <w:rFonts w:hint="eastAsia" w:ascii="仿宋" w:hAnsi="仿宋" w:eastAsia="仿宋" w:cs="仿宋"/>
                <w:b/>
                <w:sz w:val="21"/>
                <w:szCs w:val="21"/>
                <w:lang w:val="en-US" w:eastAsia="zh-CN"/>
              </w:rPr>
              <w:t>古县五马至古阳段城乡供水工程项目实施管理</w:t>
            </w:r>
            <w:r>
              <w:rPr>
                <w:rFonts w:hint="eastAsia" w:ascii="仿宋" w:hAnsi="仿宋" w:eastAsia="仿宋" w:cs="仿宋"/>
                <w:b w:val="0"/>
                <w:bCs w:val="0"/>
                <w:sz w:val="21"/>
                <w:szCs w:val="21"/>
                <w:lang w:val="en-US" w:eastAsia="zh-CN"/>
              </w:rPr>
              <w:t>的</w:t>
            </w:r>
            <w:r>
              <w:rPr>
                <w:rFonts w:hint="eastAsia" w:ascii="仿宋" w:hAnsi="仿宋" w:eastAsia="仿宋" w:cs="仿宋"/>
                <w:sz w:val="21"/>
                <w:szCs w:val="21"/>
              </w:rPr>
              <w:t>满意程度</w:t>
            </w:r>
          </w:p>
        </w:tc>
        <w:tc>
          <w:tcPr>
            <w:tcW w:w="806"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89.56%</w:t>
            </w:r>
          </w:p>
        </w:tc>
        <w:tc>
          <w:tcPr>
            <w:tcW w:w="611" w:type="dxa"/>
            <w:vAlign w:val="center"/>
          </w:tcPr>
          <w:p>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100%</w:t>
            </w:r>
          </w:p>
        </w:tc>
        <w:tc>
          <w:tcPr>
            <w:tcW w:w="851"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89.56%</w:t>
            </w:r>
          </w:p>
        </w:tc>
        <w:tc>
          <w:tcPr>
            <w:tcW w:w="708"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6.89%</w:t>
            </w:r>
          </w:p>
        </w:tc>
        <w:tc>
          <w:tcPr>
            <w:tcW w:w="709" w:type="dxa"/>
            <w:vAlign w:val="center"/>
          </w:tcPr>
          <w:p>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80%</w:t>
            </w:r>
          </w:p>
        </w:tc>
        <w:tc>
          <w:tcPr>
            <w:tcW w:w="709"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5.51%</w:t>
            </w:r>
          </w:p>
        </w:tc>
        <w:tc>
          <w:tcPr>
            <w:tcW w:w="783"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1.33%</w:t>
            </w:r>
          </w:p>
        </w:tc>
        <w:tc>
          <w:tcPr>
            <w:tcW w:w="805" w:type="dxa"/>
            <w:vAlign w:val="center"/>
          </w:tcPr>
          <w:p>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60.00%</w:t>
            </w:r>
          </w:p>
        </w:tc>
        <w:tc>
          <w:tcPr>
            <w:tcW w:w="680"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0.80%</w:t>
            </w:r>
          </w:p>
        </w:tc>
        <w:tc>
          <w:tcPr>
            <w:tcW w:w="881"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95.87%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925" w:type="dxa"/>
            <w:vAlign w:val="center"/>
          </w:tcPr>
          <w:p>
            <w:pPr>
              <w:widowControl/>
              <w:snapToGrid w:val="0"/>
              <w:jc w:val="left"/>
              <w:rPr>
                <w:rFonts w:hint="eastAsia" w:ascii="Times New Roman" w:hAnsi="Times New Roman" w:eastAsia="仿宋" w:cs="Times New Roman"/>
                <w:color w:val="000000"/>
                <w:sz w:val="21"/>
                <w:szCs w:val="21"/>
                <w:lang w:val="en-US" w:eastAsia="zh-CN"/>
              </w:rPr>
            </w:pPr>
            <w:r>
              <w:rPr>
                <w:rFonts w:hint="eastAsia" w:ascii="仿宋" w:hAnsi="仿宋" w:eastAsia="仿宋" w:cs="仿宋"/>
                <w:sz w:val="21"/>
                <w:szCs w:val="21"/>
                <w:lang w:val="en-US" w:eastAsia="zh-CN"/>
              </w:rPr>
              <w:t>您对</w:t>
            </w:r>
            <w:r>
              <w:rPr>
                <w:rFonts w:hint="eastAsia" w:ascii="仿宋" w:hAnsi="仿宋" w:eastAsia="仿宋" w:cs="仿宋"/>
                <w:b/>
                <w:sz w:val="21"/>
                <w:szCs w:val="21"/>
                <w:lang w:val="en-US" w:eastAsia="zh-CN"/>
              </w:rPr>
              <w:t>古县五马至古阳段城乡供水工程项目污染控制</w:t>
            </w:r>
            <w:r>
              <w:rPr>
                <w:rFonts w:hint="eastAsia" w:ascii="仿宋" w:hAnsi="仿宋" w:eastAsia="仿宋" w:cs="仿宋"/>
                <w:sz w:val="21"/>
                <w:szCs w:val="21"/>
                <w:lang w:val="en-US" w:eastAsia="zh-CN"/>
              </w:rPr>
              <w:t>的满意程度</w:t>
            </w:r>
          </w:p>
        </w:tc>
        <w:tc>
          <w:tcPr>
            <w:tcW w:w="806"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92.67%</w:t>
            </w:r>
          </w:p>
        </w:tc>
        <w:tc>
          <w:tcPr>
            <w:tcW w:w="611" w:type="dxa"/>
            <w:vAlign w:val="center"/>
          </w:tcPr>
          <w:p>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100%</w:t>
            </w:r>
          </w:p>
        </w:tc>
        <w:tc>
          <w:tcPr>
            <w:tcW w:w="851"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92.67%</w:t>
            </w:r>
          </w:p>
        </w:tc>
        <w:tc>
          <w:tcPr>
            <w:tcW w:w="708"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5.78%</w:t>
            </w:r>
          </w:p>
        </w:tc>
        <w:tc>
          <w:tcPr>
            <w:tcW w:w="709" w:type="dxa"/>
            <w:vAlign w:val="center"/>
          </w:tcPr>
          <w:p>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80%</w:t>
            </w:r>
          </w:p>
        </w:tc>
        <w:tc>
          <w:tcPr>
            <w:tcW w:w="709"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4.62%</w:t>
            </w:r>
          </w:p>
        </w:tc>
        <w:tc>
          <w:tcPr>
            <w:tcW w:w="783"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1.56%</w:t>
            </w:r>
          </w:p>
        </w:tc>
        <w:tc>
          <w:tcPr>
            <w:tcW w:w="805" w:type="dxa"/>
            <w:vAlign w:val="center"/>
          </w:tcPr>
          <w:p>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60.00%</w:t>
            </w:r>
          </w:p>
        </w:tc>
        <w:tc>
          <w:tcPr>
            <w:tcW w:w="680"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0.94%</w:t>
            </w:r>
          </w:p>
        </w:tc>
        <w:tc>
          <w:tcPr>
            <w:tcW w:w="881" w:type="dxa"/>
            <w:vAlign w:val="center"/>
          </w:tcPr>
          <w:p>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98.23%</w:t>
            </w:r>
          </w:p>
        </w:tc>
      </w:tr>
    </w:tbl>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（三）总结</w:t>
      </w:r>
    </w:p>
    <w:p>
      <w:pPr>
        <w:widowControl/>
        <w:spacing w:line="574" w:lineRule="exact"/>
        <w:ind w:firstLine="560" w:firstLineChars="200"/>
        <w:rPr>
          <w:rFonts w:hint="eastAsia" w:ascii="仿宋" w:hAnsi="仿宋" w:eastAsia="仿宋" w:cs="仿宋"/>
          <w:sz w:val="28"/>
          <w:szCs w:val="28"/>
          <w:lang w:val="en-US" w:eastAsia="zh-CN"/>
        </w:rPr>
      </w:pPr>
      <w:r>
        <w:rPr>
          <w:rFonts w:hint="eastAsia" w:ascii="Times New Roman" w:hAnsi="Times New Roman" w:eastAsia="仿宋_GB2312" w:cs="Times New Roman"/>
          <w:bCs/>
          <w:kern w:val="0"/>
          <w:sz w:val="28"/>
          <w:szCs w:val="32"/>
          <w:lang w:val="en-US" w:eastAsia="zh-CN"/>
        </w:rPr>
        <w:t>专项债券古县五马至古阳段城乡供水工程项目的受益群众满意度分别为：98.84%、97.38%、96.49%、95.87%、98.23%，整体满意度为97.36%</w:t>
      </w:r>
      <w:r>
        <w:rPr>
          <w:rFonts w:hint="eastAsia" w:ascii="仿宋" w:hAnsi="仿宋" w:eastAsia="仿宋" w:cs="仿宋"/>
          <w:sz w:val="28"/>
          <w:szCs w:val="28"/>
          <w:lang w:val="en-US" w:eastAsia="zh-CN"/>
        </w:rPr>
        <w:t>。</w:t>
      </w:r>
    </w:p>
    <w:p>
      <w:pPr>
        <w:rPr>
          <w:rFonts w:hint="eastAsia"/>
          <w:lang w:val="en-US" w:eastAsia="zh-CN"/>
        </w:rPr>
      </w:pPr>
    </w:p>
    <w:p>
      <w:pPr>
        <w:rPr>
          <w:rFonts w:hint="default"/>
          <w:lang w:val="en-US" w:eastAsia="zh-CN"/>
        </w:rPr>
        <w:sectPr>
          <w:footerReference r:id="rId10" w:type="default"/>
          <w:pgSz w:w="11906" w:h="16838"/>
          <w:pgMar w:top="1440" w:right="1797" w:bottom="1440" w:left="1797" w:header="851" w:footer="992" w:gutter="0"/>
          <w:pgNumType w:fmt="decimal"/>
          <w:cols w:space="425" w:num="1"/>
          <w:docGrid w:type="lines" w:linePitch="312" w:charSpace="0"/>
        </w:sectPr>
      </w:pPr>
    </w:p>
    <w:p>
      <w:pPr>
        <w:spacing w:line="500" w:lineRule="exact"/>
        <w:rPr>
          <w:rFonts w:hint="default" w:ascii="仿宋" w:hAnsi="仿宋" w:eastAsia="仿宋" w:cs="仿宋"/>
          <w:kern w:val="0"/>
          <w:sz w:val="28"/>
          <w:szCs w:val="32"/>
          <w:lang w:val="en-US" w:eastAsia="zh-CN"/>
        </w:rPr>
      </w:pPr>
    </w:p>
    <w:sectPr>
      <w:pgSz w:w="16838" w:h="11906" w:orient="landscape"/>
      <w:pgMar w:top="1797" w:right="1440" w:bottom="1797"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Arial Narrow">
    <w:altName w:val="Times New Roman"/>
    <w:panose1 w:val="020B0606020202030204"/>
    <w:charset w:val="00"/>
    <w:family w:val="swiss"/>
    <w:pitch w:val="default"/>
    <w:sig w:usb0="00000000"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both"/>
    </w:pP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tabs>
        <w:tab w:val="clear" w:pos="4153"/>
      </w:tabs>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p>
    <w:pPr>
      <w:pStyle w:val="14"/>
      <w:tabs>
        <w:tab w:val="clear" w:pos="4153"/>
      </w:tabs>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52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52</w:t>
                    </w:r>
                    <w:r>
                      <w:fldChar w:fldCharType="end"/>
                    </w:r>
                  </w:p>
                </w:txbxContent>
              </v:textbox>
            </v:shape>
          </w:pict>
        </mc:Fallback>
      </mc:AlternateContent>
    </w:r>
  </w:p>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rPr>
        <w:rFonts w:ascii="仿宋_GB2312" w:hAnsi="宋体" w:eastAsia="仿宋_GB23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single" w:color="auto" w:sz="12" w:space="0"/>
      </w:pBdr>
      <w:jc w:val="center"/>
      <w:rPr>
        <w:rFonts w:ascii="仿宋_GB2312" w:hAnsi="宋体" w:eastAsia="仿宋_GB2312"/>
      </w:rPr>
    </w:pPr>
    <w:r>
      <w:rPr>
        <w:rFonts w:hint="eastAsia" w:ascii="仿宋_GB2312" w:hAnsi="宋体" w:eastAsia="仿宋_GB2312"/>
        <w:lang w:eastAsia="zh-CN"/>
      </w:rPr>
      <w:t>专项债券古县五马至古阳段城乡供水工程项目资金绩效评价报告</w:t>
    </w:r>
  </w:p>
  <w:p>
    <w:pPr>
      <w:pStyle w:val="15"/>
      <w:pBdr>
        <w:bottom w:val="none" w:color="auto" w:sz="0" w:space="0"/>
      </w:pBdr>
      <w:rPr>
        <w:rFonts w:ascii="仿宋_GB2312" w:hAnsi="宋体" w:eastAsia="仿宋_GB23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single" w:color="auto" w:sz="12" w:space="0"/>
      </w:pBdr>
      <w:jc w:val="center"/>
      <w:rPr>
        <w:rFonts w:ascii="仿宋_GB2312" w:hAnsi="宋体" w:eastAsia="仿宋_GB2312"/>
      </w:rPr>
    </w:pPr>
    <w:r>
      <w:rPr>
        <w:rFonts w:hint="eastAsia" w:ascii="仿宋_GB2312" w:hAnsi="宋体" w:eastAsia="仿宋_GB2312"/>
        <w:lang w:eastAsia="zh-CN"/>
      </w:rPr>
      <w:t>专项债券古县五马至古阳段城乡供水工程项目资金绩效评价报告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false"/>
  <w:bordersDoNotSurroundFooter w:val="false"/>
  <w:doNotTrackMoves/>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wYzlhYmVjYmUyMjYzYTI1ZjVhMWE5OTYzZmVlMmIifQ=="/>
  </w:docVars>
  <w:rsids>
    <w:rsidRoot w:val="00172A27"/>
    <w:rsid w:val="00000665"/>
    <w:rsid w:val="000015E1"/>
    <w:rsid w:val="0000285E"/>
    <w:rsid w:val="00002FA7"/>
    <w:rsid w:val="000030A6"/>
    <w:rsid w:val="0000318C"/>
    <w:rsid w:val="000046D4"/>
    <w:rsid w:val="000053F8"/>
    <w:rsid w:val="00005D06"/>
    <w:rsid w:val="00011DAD"/>
    <w:rsid w:val="000124C6"/>
    <w:rsid w:val="000135F8"/>
    <w:rsid w:val="000139D8"/>
    <w:rsid w:val="00013F81"/>
    <w:rsid w:val="0001513C"/>
    <w:rsid w:val="00015E21"/>
    <w:rsid w:val="00016DF8"/>
    <w:rsid w:val="0002054A"/>
    <w:rsid w:val="000209C8"/>
    <w:rsid w:val="0002220E"/>
    <w:rsid w:val="0002265E"/>
    <w:rsid w:val="00023051"/>
    <w:rsid w:val="000236BE"/>
    <w:rsid w:val="00023C53"/>
    <w:rsid w:val="00023D8C"/>
    <w:rsid w:val="0002403D"/>
    <w:rsid w:val="000251FD"/>
    <w:rsid w:val="000258C4"/>
    <w:rsid w:val="00025A7C"/>
    <w:rsid w:val="00025D33"/>
    <w:rsid w:val="00026619"/>
    <w:rsid w:val="00027D7C"/>
    <w:rsid w:val="000306A5"/>
    <w:rsid w:val="0003256E"/>
    <w:rsid w:val="000327BC"/>
    <w:rsid w:val="0003723B"/>
    <w:rsid w:val="00040F9E"/>
    <w:rsid w:val="00043717"/>
    <w:rsid w:val="00044990"/>
    <w:rsid w:val="0004539F"/>
    <w:rsid w:val="000463EA"/>
    <w:rsid w:val="00046673"/>
    <w:rsid w:val="00047350"/>
    <w:rsid w:val="00052524"/>
    <w:rsid w:val="000527D1"/>
    <w:rsid w:val="00053C33"/>
    <w:rsid w:val="000558C7"/>
    <w:rsid w:val="00055AA9"/>
    <w:rsid w:val="00056376"/>
    <w:rsid w:val="00057000"/>
    <w:rsid w:val="00057123"/>
    <w:rsid w:val="00057A4E"/>
    <w:rsid w:val="00060E07"/>
    <w:rsid w:val="00062EFA"/>
    <w:rsid w:val="0006376F"/>
    <w:rsid w:val="00064BFA"/>
    <w:rsid w:val="0006521C"/>
    <w:rsid w:val="00065589"/>
    <w:rsid w:val="000669E5"/>
    <w:rsid w:val="00070C65"/>
    <w:rsid w:val="0007241E"/>
    <w:rsid w:val="000725F3"/>
    <w:rsid w:val="00073335"/>
    <w:rsid w:val="00073D19"/>
    <w:rsid w:val="00074D0D"/>
    <w:rsid w:val="000753C8"/>
    <w:rsid w:val="000758C5"/>
    <w:rsid w:val="00076220"/>
    <w:rsid w:val="00076335"/>
    <w:rsid w:val="000768C4"/>
    <w:rsid w:val="0007772D"/>
    <w:rsid w:val="000801E5"/>
    <w:rsid w:val="00080B1C"/>
    <w:rsid w:val="00080C5F"/>
    <w:rsid w:val="00080ED8"/>
    <w:rsid w:val="00081B3E"/>
    <w:rsid w:val="000823B4"/>
    <w:rsid w:val="00085386"/>
    <w:rsid w:val="00086E4B"/>
    <w:rsid w:val="0009067D"/>
    <w:rsid w:val="000907B4"/>
    <w:rsid w:val="00090DCB"/>
    <w:rsid w:val="00092BAE"/>
    <w:rsid w:val="00093107"/>
    <w:rsid w:val="00093115"/>
    <w:rsid w:val="000943C2"/>
    <w:rsid w:val="00097835"/>
    <w:rsid w:val="00097EC5"/>
    <w:rsid w:val="000A05B9"/>
    <w:rsid w:val="000A1DB1"/>
    <w:rsid w:val="000A1F60"/>
    <w:rsid w:val="000A206A"/>
    <w:rsid w:val="000A351A"/>
    <w:rsid w:val="000A40C5"/>
    <w:rsid w:val="000A521A"/>
    <w:rsid w:val="000A647C"/>
    <w:rsid w:val="000A7706"/>
    <w:rsid w:val="000B0BE2"/>
    <w:rsid w:val="000B2270"/>
    <w:rsid w:val="000B24FB"/>
    <w:rsid w:val="000B50DD"/>
    <w:rsid w:val="000C05F6"/>
    <w:rsid w:val="000C19BA"/>
    <w:rsid w:val="000C1B19"/>
    <w:rsid w:val="000C1C48"/>
    <w:rsid w:val="000C230D"/>
    <w:rsid w:val="000C2B52"/>
    <w:rsid w:val="000C38E0"/>
    <w:rsid w:val="000C47E5"/>
    <w:rsid w:val="000C4B97"/>
    <w:rsid w:val="000C5014"/>
    <w:rsid w:val="000C5269"/>
    <w:rsid w:val="000C6078"/>
    <w:rsid w:val="000C6944"/>
    <w:rsid w:val="000C7EC8"/>
    <w:rsid w:val="000D0747"/>
    <w:rsid w:val="000D0F75"/>
    <w:rsid w:val="000D287E"/>
    <w:rsid w:val="000D58B0"/>
    <w:rsid w:val="000D7CE6"/>
    <w:rsid w:val="000D7E5C"/>
    <w:rsid w:val="000E07C2"/>
    <w:rsid w:val="000E10E2"/>
    <w:rsid w:val="000E234A"/>
    <w:rsid w:val="000E2824"/>
    <w:rsid w:val="000E28AB"/>
    <w:rsid w:val="000E2AC9"/>
    <w:rsid w:val="000E34D6"/>
    <w:rsid w:val="000E36D4"/>
    <w:rsid w:val="000E680B"/>
    <w:rsid w:val="000F016E"/>
    <w:rsid w:val="000F08DE"/>
    <w:rsid w:val="000F10E7"/>
    <w:rsid w:val="000F22FC"/>
    <w:rsid w:val="000F489D"/>
    <w:rsid w:val="000F63BE"/>
    <w:rsid w:val="000F6DBB"/>
    <w:rsid w:val="000F7B56"/>
    <w:rsid w:val="00101473"/>
    <w:rsid w:val="00101D37"/>
    <w:rsid w:val="0010211C"/>
    <w:rsid w:val="0010351E"/>
    <w:rsid w:val="00103DC5"/>
    <w:rsid w:val="0011001F"/>
    <w:rsid w:val="00113842"/>
    <w:rsid w:val="0011387B"/>
    <w:rsid w:val="00115C93"/>
    <w:rsid w:val="00117DE1"/>
    <w:rsid w:val="0012004C"/>
    <w:rsid w:val="0012111C"/>
    <w:rsid w:val="001211F6"/>
    <w:rsid w:val="001212ED"/>
    <w:rsid w:val="00121663"/>
    <w:rsid w:val="00122A44"/>
    <w:rsid w:val="00123DAB"/>
    <w:rsid w:val="00124E66"/>
    <w:rsid w:val="00124E8C"/>
    <w:rsid w:val="00125CA6"/>
    <w:rsid w:val="00125D60"/>
    <w:rsid w:val="00125FF7"/>
    <w:rsid w:val="00126493"/>
    <w:rsid w:val="00127034"/>
    <w:rsid w:val="00127073"/>
    <w:rsid w:val="00131415"/>
    <w:rsid w:val="00131F6D"/>
    <w:rsid w:val="00132BBB"/>
    <w:rsid w:val="00133990"/>
    <w:rsid w:val="00133C45"/>
    <w:rsid w:val="00133D36"/>
    <w:rsid w:val="00134902"/>
    <w:rsid w:val="00135405"/>
    <w:rsid w:val="0013550A"/>
    <w:rsid w:val="0013625A"/>
    <w:rsid w:val="001366CB"/>
    <w:rsid w:val="00137023"/>
    <w:rsid w:val="00140599"/>
    <w:rsid w:val="001409E6"/>
    <w:rsid w:val="00142304"/>
    <w:rsid w:val="00142AB1"/>
    <w:rsid w:val="00142ED6"/>
    <w:rsid w:val="00144605"/>
    <w:rsid w:val="0014735B"/>
    <w:rsid w:val="001474B6"/>
    <w:rsid w:val="00147519"/>
    <w:rsid w:val="0015002F"/>
    <w:rsid w:val="001509EA"/>
    <w:rsid w:val="00151930"/>
    <w:rsid w:val="00151AFC"/>
    <w:rsid w:val="0015240D"/>
    <w:rsid w:val="0015246F"/>
    <w:rsid w:val="001539B7"/>
    <w:rsid w:val="00153A09"/>
    <w:rsid w:val="00154353"/>
    <w:rsid w:val="00154FC7"/>
    <w:rsid w:val="001560C5"/>
    <w:rsid w:val="001572B3"/>
    <w:rsid w:val="00157627"/>
    <w:rsid w:val="001577B7"/>
    <w:rsid w:val="00161822"/>
    <w:rsid w:val="001618C8"/>
    <w:rsid w:val="00161DCF"/>
    <w:rsid w:val="00161E79"/>
    <w:rsid w:val="0016219C"/>
    <w:rsid w:val="0016317D"/>
    <w:rsid w:val="001634B2"/>
    <w:rsid w:val="00166259"/>
    <w:rsid w:val="00166365"/>
    <w:rsid w:val="001700DA"/>
    <w:rsid w:val="00172C5B"/>
    <w:rsid w:val="00173A44"/>
    <w:rsid w:val="00174AA8"/>
    <w:rsid w:val="0017521A"/>
    <w:rsid w:val="00175C09"/>
    <w:rsid w:val="00177298"/>
    <w:rsid w:val="0017748F"/>
    <w:rsid w:val="00177F3B"/>
    <w:rsid w:val="0018037E"/>
    <w:rsid w:val="0018070F"/>
    <w:rsid w:val="00182520"/>
    <w:rsid w:val="00182552"/>
    <w:rsid w:val="00182AD1"/>
    <w:rsid w:val="0018368C"/>
    <w:rsid w:val="00183CFB"/>
    <w:rsid w:val="00184B1B"/>
    <w:rsid w:val="00184D59"/>
    <w:rsid w:val="00187F87"/>
    <w:rsid w:val="001911AF"/>
    <w:rsid w:val="001932B2"/>
    <w:rsid w:val="00193748"/>
    <w:rsid w:val="00194623"/>
    <w:rsid w:val="001949A6"/>
    <w:rsid w:val="00195D02"/>
    <w:rsid w:val="001A06DF"/>
    <w:rsid w:val="001A1E93"/>
    <w:rsid w:val="001A2610"/>
    <w:rsid w:val="001A473B"/>
    <w:rsid w:val="001A60FA"/>
    <w:rsid w:val="001A6279"/>
    <w:rsid w:val="001B1846"/>
    <w:rsid w:val="001B1DC3"/>
    <w:rsid w:val="001B3696"/>
    <w:rsid w:val="001B3704"/>
    <w:rsid w:val="001B42BE"/>
    <w:rsid w:val="001B4324"/>
    <w:rsid w:val="001B6078"/>
    <w:rsid w:val="001B60EC"/>
    <w:rsid w:val="001B74EF"/>
    <w:rsid w:val="001B7808"/>
    <w:rsid w:val="001B78F9"/>
    <w:rsid w:val="001B7EC2"/>
    <w:rsid w:val="001C0556"/>
    <w:rsid w:val="001C25FE"/>
    <w:rsid w:val="001C2C81"/>
    <w:rsid w:val="001C364E"/>
    <w:rsid w:val="001C3957"/>
    <w:rsid w:val="001C4BD4"/>
    <w:rsid w:val="001C5BD6"/>
    <w:rsid w:val="001C5E7A"/>
    <w:rsid w:val="001C5F85"/>
    <w:rsid w:val="001C6A47"/>
    <w:rsid w:val="001C7D6F"/>
    <w:rsid w:val="001D45E9"/>
    <w:rsid w:val="001D4EB7"/>
    <w:rsid w:val="001D5767"/>
    <w:rsid w:val="001D5C9F"/>
    <w:rsid w:val="001D7291"/>
    <w:rsid w:val="001E0DC7"/>
    <w:rsid w:val="001E189B"/>
    <w:rsid w:val="001E1F91"/>
    <w:rsid w:val="001E22BC"/>
    <w:rsid w:val="001E3D26"/>
    <w:rsid w:val="001E4392"/>
    <w:rsid w:val="001E43E5"/>
    <w:rsid w:val="001E4475"/>
    <w:rsid w:val="001E461E"/>
    <w:rsid w:val="001E46C5"/>
    <w:rsid w:val="001E57F6"/>
    <w:rsid w:val="001E68FE"/>
    <w:rsid w:val="001E70AF"/>
    <w:rsid w:val="001E74EF"/>
    <w:rsid w:val="001F01D8"/>
    <w:rsid w:val="001F0C4B"/>
    <w:rsid w:val="001F132F"/>
    <w:rsid w:val="001F2612"/>
    <w:rsid w:val="001F29F0"/>
    <w:rsid w:val="001F2D2F"/>
    <w:rsid w:val="001F3873"/>
    <w:rsid w:val="001F3AD6"/>
    <w:rsid w:val="001F4D13"/>
    <w:rsid w:val="001F6905"/>
    <w:rsid w:val="001F70C8"/>
    <w:rsid w:val="001F7607"/>
    <w:rsid w:val="001F7AB7"/>
    <w:rsid w:val="00200668"/>
    <w:rsid w:val="002007AD"/>
    <w:rsid w:val="0020165C"/>
    <w:rsid w:val="002029CC"/>
    <w:rsid w:val="00202C35"/>
    <w:rsid w:val="00202FAE"/>
    <w:rsid w:val="002033E4"/>
    <w:rsid w:val="00204AC8"/>
    <w:rsid w:val="002054AB"/>
    <w:rsid w:val="00206A97"/>
    <w:rsid w:val="00210125"/>
    <w:rsid w:val="002106E7"/>
    <w:rsid w:val="002112D7"/>
    <w:rsid w:val="00212298"/>
    <w:rsid w:val="00212695"/>
    <w:rsid w:val="0021452E"/>
    <w:rsid w:val="00216473"/>
    <w:rsid w:val="00216DCB"/>
    <w:rsid w:val="002204C6"/>
    <w:rsid w:val="0022078C"/>
    <w:rsid w:val="00220C84"/>
    <w:rsid w:val="00221A62"/>
    <w:rsid w:val="00222559"/>
    <w:rsid w:val="00222D4F"/>
    <w:rsid w:val="00222F3B"/>
    <w:rsid w:val="002235A3"/>
    <w:rsid w:val="00223C68"/>
    <w:rsid w:val="0022460E"/>
    <w:rsid w:val="0022556E"/>
    <w:rsid w:val="0022583E"/>
    <w:rsid w:val="00225B0A"/>
    <w:rsid w:val="002269B8"/>
    <w:rsid w:val="00227481"/>
    <w:rsid w:val="00227709"/>
    <w:rsid w:val="0023109A"/>
    <w:rsid w:val="00231695"/>
    <w:rsid w:val="00232D1A"/>
    <w:rsid w:val="00232EB9"/>
    <w:rsid w:val="00232FA5"/>
    <w:rsid w:val="00234950"/>
    <w:rsid w:val="00235519"/>
    <w:rsid w:val="002359FC"/>
    <w:rsid w:val="00235CEF"/>
    <w:rsid w:val="0023705C"/>
    <w:rsid w:val="002377A2"/>
    <w:rsid w:val="0024177D"/>
    <w:rsid w:val="00241FD9"/>
    <w:rsid w:val="002422AD"/>
    <w:rsid w:val="00243C91"/>
    <w:rsid w:val="0024416B"/>
    <w:rsid w:val="00244EF5"/>
    <w:rsid w:val="00252526"/>
    <w:rsid w:val="002528F2"/>
    <w:rsid w:val="00252C2D"/>
    <w:rsid w:val="00254634"/>
    <w:rsid w:val="00254A7F"/>
    <w:rsid w:val="00254EEA"/>
    <w:rsid w:val="00255388"/>
    <w:rsid w:val="002555F5"/>
    <w:rsid w:val="00255663"/>
    <w:rsid w:val="00256596"/>
    <w:rsid w:val="0025702A"/>
    <w:rsid w:val="00257A48"/>
    <w:rsid w:val="0026031E"/>
    <w:rsid w:val="00262D11"/>
    <w:rsid w:val="0026444C"/>
    <w:rsid w:val="002658C1"/>
    <w:rsid w:val="00265CBE"/>
    <w:rsid w:val="0026718B"/>
    <w:rsid w:val="00267A3C"/>
    <w:rsid w:val="00271BA7"/>
    <w:rsid w:val="00271EA6"/>
    <w:rsid w:val="00274061"/>
    <w:rsid w:val="00274AA4"/>
    <w:rsid w:val="00276ADC"/>
    <w:rsid w:val="00277A95"/>
    <w:rsid w:val="0028057A"/>
    <w:rsid w:val="002808CE"/>
    <w:rsid w:val="002823C0"/>
    <w:rsid w:val="002845B2"/>
    <w:rsid w:val="0028471E"/>
    <w:rsid w:val="00284F94"/>
    <w:rsid w:val="0028504C"/>
    <w:rsid w:val="00285846"/>
    <w:rsid w:val="00286220"/>
    <w:rsid w:val="00286A5D"/>
    <w:rsid w:val="00287CC8"/>
    <w:rsid w:val="00290454"/>
    <w:rsid w:val="0029157B"/>
    <w:rsid w:val="00292016"/>
    <w:rsid w:val="002946D5"/>
    <w:rsid w:val="002946F0"/>
    <w:rsid w:val="0029519D"/>
    <w:rsid w:val="00295509"/>
    <w:rsid w:val="0029678C"/>
    <w:rsid w:val="00296A98"/>
    <w:rsid w:val="00297264"/>
    <w:rsid w:val="002A1110"/>
    <w:rsid w:val="002A1D7A"/>
    <w:rsid w:val="002A2286"/>
    <w:rsid w:val="002A22EF"/>
    <w:rsid w:val="002A3455"/>
    <w:rsid w:val="002A3986"/>
    <w:rsid w:val="002A4B6B"/>
    <w:rsid w:val="002A5DED"/>
    <w:rsid w:val="002A61CF"/>
    <w:rsid w:val="002A6A90"/>
    <w:rsid w:val="002A7476"/>
    <w:rsid w:val="002B011A"/>
    <w:rsid w:val="002B20F4"/>
    <w:rsid w:val="002B245F"/>
    <w:rsid w:val="002B2B08"/>
    <w:rsid w:val="002B33D6"/>
    <w:rsid w:val="002B44DC"/>
    <w:rsid w:val="002B49BB"/>
    <w:rsid w:val="002C026F"/>
    <w:rsid w:val="002C0B75"/>
    <w:rsid w:val="002C0F7A"/>
    <w:rsid w:val="002C34BC"/>
    <w:rsid w:val="002C3D7C"/>
    <w:rsid w:val="002C43B7"/>
    <w:rsid w:val="002C4527"/>
    <w:rsid w:val="002C6035"/>
    <w:rsid w:val="002C6991"/>
    <w:rsid w:val="002C70B2"/>
    <w:rsid w:val="002C72E9"/>
    <w:rsid w:val="002D017C"/>
    <w:rsid w:val="002D086D"/>
    <w:rsid w:val="002D0D6D"/>
    <w:rsid w:val="002D1944"/>
    <w:rsid w:val="002D1E08"/>
    <w:rsid w:val="002D233A"/>
    <w:rsid w:val="002D304A"/>
    <w:rsid w:val="002D4646"/>
    <w:rsid w:val="002D6596"/>
    <w:rsid w:val="002D7706"/>
    <w:rsid w:val="002D79CE"/>
    <w:rsid w:val="002E0C1F"/>
    <w:rsid w:val="002E1CA5"/>
    <w:rsid w:val="002E238F"/>
    <w:rsid w:val="002E32EC"/>
    <w:rsid w:val="002E44DB"/>
    <w:rsid w:val="002E5208"/>
    <w:rsid w:val="002E59DB"/>
    <w:rsid w:val="002E607B"/>
    <w:rsid w:val="002E6BB0"/>
    <w:rsid w:val="002E78E9"/>
    <w:rsid w:val="002E7C12"/>
    <w:rsid w:val="002F26EA"/>
    <w:rsid w:val="002F5CBA"/>
    <w:rsid w:val="002F7039"/>
    <w:rsid w:val="002F745B"/>
    <w:rsid w:val="002F79C7"/>
    <w:rsid w:val="003001CA"/>
    <w:rsid w:val="0030061C"/>
    <w:rsid w:val="0030075D"/>
    <w:rsid w:val="00301603"/>
    <w:rsid w:val="00301B46"/>
    <w:rsid w:val="00302399"/>
    <w:rsid w:val="00302D4F"/>
    <w:rsid w:val="00304A1F"/>
    <w:rsid w:val="00305E19"/>
    <w:rsid w:val="0030657C"/>
    <w:rsid w:val="00306CF7"/>
    <w:rsid w:val="00306FBD"/>
    <w:rsid w:val="00307A39"/>
    <w:rsid w:val="00307C7A"/>
    <w:rsid w:val="00312FB1"/>
    <w:rsid w:val="00313A66"/>
    <w:rsid w:val="00314337"/>
    <w:rsid w:val="00314A06"/>
    <w:rsid w:val="00315040"/>
    <w:rsid w:val="0031513C"/>
    <w:rsid w:val="00315533"/>
    <w:rsid w:val="00316800"/>
    <w:rsid w:val="003178F8"/>
    <w:rsid w:val="00320905"/>
    <w:rsid w:val="00321BDF"/>
    <w:rsid w:val="00321CD3"/>
    <w:rsid w:val="00322FF1"/>
    <w:rsid w:val="003245B7"/>
    <w:rsid w:val="003252B6"/>
    <w:rsid w:val="003256BD"/>
    <w:rsid w:val="00325D6B"/>
    <w:rsid w:val="003266C4"/>
    <w:rsid w:val="003268EA"/>
    <w:rsid w:val="00327126"/>
    <w:rsid w:val="00331EF8"/>
    <w:rsid w:val="00332004"/>
    <w:rsid w:val="003333C5"/>
    <w:rsid w:val="00333D80"/>
    <w:rsid w:val="00334559"/>
    <w:rsid w:val="00334EB4"/>
    <w:rsid w:val="003361E6"/>
    <w:rsid w:val="00336D4A"/>
    <w:rsid w:val="00336DFF"/>
    <w:rsid w:val="00337DB6"/>
    <w:rsid w:val="003408BD"/>
    <w:rsid w:val="00340921"/>
    <w:rsid w:val="00341522"/>
    <w:rsid w:val="003441F2"/>
    <w:rsid w:val="00344BDB"/>
    <w:rsid w:val="00344C23"/>
    <w:rsid w:val="003451F7"/>
    <w:rsid w:val="00345DA1"/>
    <w:rsid w:val="0034693B"/>
    <w:rsid w:val="00350773"/>
    <w:rsid w:val="00352081"/>
    <w:rsid w:val="00352CED"/>
    <w:rsid w:val="00353407"/>
    <w:rsid w:val="003542A4"/>
    <w:rsid w:val="00354C9B"/>
    <w:rsid w:val="00356291"/>
    <w:rsid w:val="00356BF5"/>
    <w:rsid w:val="00356C3A"/>
    <w:rsid w:val="00360451"/>
    <w:rsid w:val="00360A22"/>
    <w:rsid w:val="0036157F"/>
    <w:rsid w:val="00362325"/>
    <w:rsid w:val="003640A0"/>
    <w:rsid w:val="00364B8E"/>
    <w:rsid w:val="00365C31"/>
    <w:rsid w:val="00367E8C"/>
    <w:rsid w:val="003724BA"/>
    <w:rsid w:val="00372F10"/>
    <w:rsid w:val="0037397F"/>
    <w:rsid w:val="00374932"/>
    <w:rsid w:val="003766E2"/>
    <w:rsid w:val="00377A40"/>
    <w:rsid w:val="00377D73"/>
    <w:rsid w:val="003806C1"/>
    <w:rsid w:val="00380AA3"/>
    <w:rsid w:val="00380CB0"/>
    <w:rsid w:val="00380DA4"/>
    <w:rsid w:val="0038188C"/>
    <w:rsid w:val="0038275F"/>
    <w:rsid w:val="00382FE2"/>
    <w:rsid w:val="00384D48"/>
    <w:rsid w:val="0038557C"/>
    <w:rsid w:val="003867E7"/>
    <w:rsid w:val="003868F6"/>
    <w:rsid w:val="003869C7"/>
    <w:rsid w:val="003902BC"/>
    <w:rsid w:val="0039101D"/>
    <w:rsid w:val="00391244"/>
    <w:rsid w:val="003914E1"/>
    <w:rsid w:val="00391F73"/>
    <w:rsid w:val="00392E88"/>
    <w:rsid w:val="0039664C"/>
    <w:rsid w:val="00396689"/>
    <w:rsid w:val="0039670B"/>
    <w:rsid w:val="00396945"/>
    <w:rsid w:val="003973FF"/>
    <w:rsid w:val="0039746C"/>
    <w:rsid w:val="003A1172"/>
    <w:rsid w:val="003A4963"/>
    <w:rsid w:val="003A7BD4"/>
    <w:rsid w:val="003B09C6"/>
    <w:rsid w:val="003B1BC6"/>
    <w:rsid w:val="003B30BE"/>
    <w:rsid w:val="003B3114"/>
    <w:rsid w:val="003B34B0"/>
    <w:rsid w:val="003B40D3"/>
    <w:rsid w:val="003B46F8"/>
    <w:rsid w:val="003B5149"/>
    <w:rsid w:val="003B5460"/>
    <w:rsid w:val="003B7304"/>
    <w:rsid w:val="003B78FB"/>
    <w:rsid w:val="003C0E5C"/>
    <w:rsid w:val="003C0E62"/>
    <w:rsid w:val="003C137B"/>
    <w:rsid w:val="003C14FC"/>
    <w:rsid w:val="003C16DB"/>
    <w:rsid w:val="003C1F87"/>
    <w:rsid w:val="003C43C4"/>
    <w:rsid w:val="003C49B0"/>
    <w:rsid w:val="003C552F"/>
    <w:rsid w:val="003C5AA0"/>
    <w:rsid w:val="003C5AEE"/>
    <w:rsid w:val="003C6642"/>
    <w:rsid w:val="003C6727"/>
    <w:rsid w:val="003C6AEA"/>
    <w:rsid w:val="003C75B3"/>
    <w:rsid w:val="003C7A7A"/>
    <w:rsid w:val="003D032A"/>
    <w:rsid w:val="003D2417"/>
    <w:rsid w:val="003D2664"/>
    <w:rsid w:val="003D2D73"/>
    <w:rsid w:val="003D2F65"/>
    <w:rsid w:val="003D3CDE"/>
    <w:rsid w:val="003D54E9"/>
    <w:rsid w:val="003D5839"/>
    <w:rsid w:val="003D5ABE"/>
    <w:rsid w:val="003D630B"/>
    <w:rsid w:val="003D65BE"/>
    <w:rsid w:val="003D66A2"/>
    <w:rsid w:val="003D7B38"/>
    <w:rsid w:val="003D7CD5"/>
    <w:rsid w:val="003E0CE2"/>
    <w:rsid w:val="003E1DA3"/>
    <w:rsid w:val="003E2F29"/>
    <w:rsid w:val="003E2F36"/>
    <w:rsid w:val="003E3727"/>
    <w:rsid w:val="003E3869"/>
    <w:rsid w:val="003E40E8"/>
    <w:rsid w:val="003E4486"/>
    <w:rsid w:val="003E4892"/>
    <w:rsid w:val="003E562E"/>
    <w:rsid w:val="003E6500"/>
    <w:rsid w:val="003E7B27"/>
    <w:rsid w:val="003F16DD"/>
    <w:rsid w:val="003F2C70"/>
    <w:rsid w:val="003F2FFF"/>
    <w:rsid w:val="003F3026"/>
    <w:rsid w:val="003F5611"/>
    <w:rsid w:val="003F5694"/>
    <w:rsid w:val="003F627F"/>
    <w:rsid w:val="003F6382"/>
    <w:rsid w:val="003F6DDB"/>
    <w:rsid w:val="00400AD9"/>
    <w:rsid w:val="00401512"/>
    <w:rsid w:val="00401E3B"/>
    <w:rsid w:val="00402283"/>
    <w:rsid w:val="00402817"/>
    <w:rsid w:val="00404FA8"/>
    <w:rsid w:val="00405F0F"/>
    <w:rsid w:val="0040651F"/>
    <w:rsid w:val="00406701"/>
    <w:rsid w:val="00406A25"/>
    <w:rsid w:val="00407CB7"/>
    <w:rsid w:val="00410A57"/>
    <w:rsid w:val="00410E12"/>
    <w:rsid w:val="00412A2E"/>
    <w:rsid w:val="004139F8"/>
    <w:rsid w:val="00414413"/>
    <w:rsid w:val="004144C5"/>
    <w:rsid w:val="0041451F"/>
    <w:rsid w:val="00414920"/>
    <w:rsid w:val="004151FB"/>
    <w:rsid w:val="004152A5"/>
    <w:rsid w:val="0041535D"/>
    <w:rsid w:val="00415540"/>
    <w:rsid w:val="004157A2"/>
    <w:rsid w:val="004161AB"/>
    <w:rsid w:val="004212B6"/>
    <w:rsid w:val="00423401"/>
    <w:rsid w:val="00424E79"/>
    <w:rsid w:val="004252B0"/>
    <w:rsid w:val="00425631"/>
    <w:rsid w:val="004273A7"/>
    <w:rsid w:val="00427431"/>
    <w:rsid w:val="00431078"/>
    <w:rsid w:val="00431662"/>
    <w:rsid w:val="00431D37"/>
    <w:rsid w:val="00433801"/>
    <w:rsid w:val="004343C0"/>
    <w:rsid w:val="004367E3"/>
    <w:rsid w:val="00436A30"/>
    <w:rsid w:val="00436B29"/>
    <w:rsid w:val="00437340"/>
    <w:rsid w:val="00441A43"/>
    <w:rsid w:val="00444408"/>
    <w:rsid w:val="0044471F"/>
    <w:rsid w:val="00445906"/>
    <w:rsid w:val="00445A97"/>
    <w:rsid w:val="00445C38"/>
    <w:rsid w:val="00445CCE"/>
    <w:rsid w:val="004461BD"/>
    <w:rsid w:val="004478A4"/>
    <w:rsid w:val="0045038D"/>
    <w:rsid w:val="00452057"/>
    <w:rsid w:val="0045230E"/>
    <w:rsid w:val="004526A4"/>
    <w:rsid w:val="00453218"/>
    <w:rsid w:val="00453DB1"/>
    <w:rsid w:val="00453E13"/>
    <w:rsid w:val="0045482A"/>
    <w:rsid w:val="0045692C"/>
    <w:rsid w:val="0045799E"/>
    <w:rsid w:val="00460AB9"/>
    <w:rsid w:val="00462776"/>
    <w:rsid w:val="00465120"/>
    <w:rsid w:val="00465F3C"/>
    <w:rsid w:val="00466359"/>
    <w:rsid w:val="004670CF"/>
    <w:rsid w:val="00467179"/>
    <w:rsid w:val="004672B9"/>
    <w:rsid w:val="0047036D"/>
    <w:rsid w:val="00471295"/>
    <w:rsid w:val="0047129E"/>
    <w:rsid w:val="0047378F"/>
    <w:rsid w:val="00475283"/>
    <w:rsid w:val="00476EC9"/>
    <w:rsid w:val="00477DF4"/>
    <w:rsid w:val="0048018C"/>
    <w:rsid w:val="004802BB"/>
    <w:rsid w:val="004813A4"/>
    <w:rsid w:val="00481D0C"/>
    <w:rsid w:val="00482870"/>
    <w:rsid w:val="00482EF8"/>
    <w:rsid w:val="0048312C"/>
    <w:rsid w:val="00484B6C"/>
    <w:rsid w:val="00484DE6"/>
    <w:rsid w:val="004868A5"/>
    <w:rsid w:val="00486AB6"/>
    <w:rsid w:val="00486B18"/>
    <w:rsid w:val="00487D78"/>
    <w:rsid w:val="00490DAE"/>
    <w:rsid w:val="00491B43"/>
    <w:rsid w:val="00491DC9"/>
    <w:rsid w:val="00492366"/>
    <w:rsid w:val="00492525"/>
    <w:rsid w:val="00492971"/>
    <w:rsid w:val="00492B07"/>
    <w:rsid w:val="00492E08"/>
    <w:rsid w:val="0049339B"/>
    <w:rsid w:val="004937FE"/>
    <w:rsid w:val="004938B9"/>
    <w:rsid w:val="00493A32"/>
    <w:rsid w:val="00494450"/>
    <w:rsid w:val="00496FD2"/>
    <w:rsid w:val="0049717D"/>
    <w:rsid w:val="00497D18"/>
    <w:rsid w:val="004A0E06"/>
    <w:rsid w:val="004A1726"/>
    <w:rsid w:val="004A226E"/>
    <w:rsid w:val="004A23C5"/>
    <w:rsid w:val="004A24B6"/>
    <w:rsid w:val="004A2717"/>
    <w:rsid w:val="004A355A"/>
    <w:rsid w:val="004A4475"/>
    <w:rsid w:val="004A4D73"/>
    <w:rsid w:val="004A4F60"/>
    <w:rsid w:val="004A5DE5"/>
    <w:rsid w:val="004A5E05"/>
    <w:rsid w:val="004A7024"/>
    <w:rsid w:val="004B0015"/>
    <w:rsid w:val="004B11F9"/>
    <w:rsid w:val="004B2CEC"/>
    <w:rsid w:val="004B53C3"/>
    <w:rsid w:val="004B5835"/>
    <w:rsid w:val="004B58F7"/>
    <w:rsid w:val="004B7A15"/>
    <w:rsid w:val="004B7F62"/>
    <w:rsid w:val="004C1E2E"/>
    <w:rsid w:val="004C1EEC"/>
    <w:rsid w:val="004C37D8"/>
    <w:rsid w:val="004C4949"/>
    <w:rsid w:val="004C547F"/>
    <w:rsid w:val="004C5FB7"/>
    <w:rsid w:val="004C6EFE"/>
    <w:rsid w:val="004C77BE"/>
    <w:rsid w:val="004C7949"/>
    <w:rsid w:val="004D05D8"/>
    <w:rsid w:val="004D0EF4"/>
    <w:rsid w:val="004D1FCE"/>
    <w:rsid w:val="004D3BC2"/>
    <w:rsid w:val="004D40D1"/>
    <w:rsid w:val="004D4A16"/>
    <w:rsid w:val="004E02E3"/>
    <w:rsid w:val="004E1650"/>
    <w:rsid w:val="004E42E6"/>
    <w:rsid w:val="004E4602"/>
    <w:rsid w:val="004E688E"/>
    <w:rsid w:val="004E6A27"/>
    <w:rsid w:val="004F09AC"/>
    <w:rsid w:val="004F1581"/>
    <w:rsid w:val="004F1AB4"/>
    <w:rsid w:val="004F469C"/>
    <w:rsid w:val="0050184F"/>
    <w:rsid w:val="005022B7"/>
    <w:rsid w:val="005027CB"/>
    <w:rsid w:val="00502B5D"/>
    <w:rsid w:val="005030FF"/>
    <w:rsid w:val="00503474"/>
    <w:rsid w:val="0050349F"/>
    <w:rsid w:val="00505045"/>
    <w:rsid w:val="005054F8"/>
    <w:rsid w:val="00505826"/>
    <w:rsid w:val="00506ABF"/>
    <w:rsid w:val="00506D9C"/>
    <w:rsid w:val="0050718F"/>
    <w:rsid w:val="005100E6"/>
    <w:rsid w:val="0051014E"/>
    <w:rsid w:val="00511632"/>
    <w:rsid w:val="005125B1"/>
    <w:rsid w:val="00514369"/>
    <w:rsid w:val="005145D9"/>
    <w:rsid w:val="00515DF2"/>
    <w:rsid w:val="00516346"/>
    <w:rsid w:val="0051792D"/>
    <w:rsid w:val="0052141D"/>
    <w:rsid w:val="00521E2A"/>
    <w:rsid w:val="005229B7"/>
    <w:rsid w:val="00525E04"/>
    <w:rsid w:val="00526268"/>
    <w:rsid w:val="00526921"/>
    <w:rsid w:val="00526CBB"/>
    <w:rsid w:val="005277F8"/>
    <w:rsid w:val="0052781B"/>
    <w:rsid w:val="00531242"/>
    <w:rsid w:val="00531424"/>
    <w:rsid w:val="005321A7"/>
    <w:rsid w:val="0053220E"/>
    <w:rsid w:val="00532B0D"/>
    <w:rsid w:val="00534271"/>
    <w:rsid w:val="00534926"/>
    <w:rsid w:val="00535391"/>
    <w:rsid w:val="00536FDB"/>
    <w:rsid w:val="00541919"/>
    <w:rsid w:val="00543536"/>
    <w:rsid w:val="005449B7"/>
    <w:rsid w:val="00547AC9"/>
    <w:rsid w:val="00547DB4"/>
    <w:rsid w:val="00550420"/>
    <w:rsid w:val="00550D75"/>
    <w:rsid w:val="00551330"/>
    <w:rsid w:val="005544F1"/>
    <w:rsid w:val="00560021"/>
    <w:rsid w:val="005607E4"/>
    <w:rsid w:val="005608A0"/>
    <w:rsid w:val="00562192"/>
    <w:rsid w:val="0056295A"/>
    <w:rsid w:val="0056462C"/>
    <w:rsid w:val="00564B98"/>
    <w:rsid w:val="00566A63"/>
    <w:rsid w:val="005672E7"/>
    <w:rsid w:val="00570048"/>
    <w:rsid w:val="00571221"/>
    <w:rsid w:val="0057313B"/>
    <w:rsid w:val="00575969"/>
    <w:rsid w:val="00576677"/>
    <w:rsid w:val="00576A54"/>
    <w:rsid w:val="00576CAB"/>
    <w:rsid w:val="005804A8"/>
    <w:rsid w:val="0058081D"/>
    <w:rsid w:val="00580CBD"/>
    <w:rsid w:val="00581867"/>
    <w:rsid w:val="005828B5"/>
    <w:rsid w:val="00582DDA"/>
    <w:rsid w:val="0058413F"/>
    <w:rsid w:val="00584CA7"/>
    <w:rsid w:val="0058508E"/>
    <w:rsid w:val="0058636A"/>
    <w:rsid w:val="00586A6B"/>
    <w:rsid w:val="005900C4"/>
    <w:rsid w:val="00590183"/>
    <w:rsid w:val="0059019C"/>
    <w:rsid w:val="00591FD9"/>
    <w:rsid w:val="00592F7A"/>
    <w:rsid w:val="005931F2"/>
    <w:rsid w:val="00593634"/>
    <w:rsid w:val="0059381E"/>
    <w:rsid w:val="0059635B"/>
    <w:rsid w:val="00596A2F"/>
    <w:rsid w:val="00597486"/>
    <w:rsid w:val="005A0E27"/>
    <w:rsid w:val="005A10B6"/>
    <w:rsid w:val="005A1195"/>
    <w:rsid w:val="005A232D"/>
    <w:rsid w:val="005A2341"/>
    <w:rsid w:val="005A3781"/>
    <w:rsid w:val="005A37AB"/>
    <w:rsid w:val="005A3B6D"/>
    <w:rsid w:val="005A3F8B"/>
    <w:rsid w:val="005A4C50"/>
    <w:rsid w:val="005A6A12"/>
    <w:rsid w:val="005A6AAA"/>
    <w:rsid w:val="005A7F05"/>
    <w:rsid w:val="005B34B1"/>
    <w:rsid w:val="005B4575"/>
    <w:rsid w:val="005B45F0"/>
    <w:rsid w:val="005B5296"/>
    <w:rsid w:val="005B533F"/>
    <w:rsid w:val="005B63C0"/>
    <w:rsid w:val="005B6652"/>
    <w:rsid w:val="005B6B5E"/>
    <w:rsid w:val="005B7426"/>
    <w:rsid w:val="005C0614"/>
    <w:rsid w:val="005C103F"/>
    <w:rsid w:val="005C1297"/>
    <w:rsid w:val="005C1AE7"/>
    <w:rsid w:val="005C1D54"/>
    <w:rsid w:val="005C33E1"/>
    <w:rsid w:val="005C49AC"/>
    <w:rsid w:val="005C49FB"/>
    <w:rsid w:val="005C5A4E"/>
    <w:rsid w:val="005C656F"/>
    <w:rsid w:val="005C6C51"/>
    <w:rsid w:val="005C6EE6"/>
    <w:rsid w:val="005D042D"/>
    <w:rsid w:val="005D09DB"/>
    <w:rsid w:val="005D1956"/>
    <w:rsid w:val="005D2292"/>
    <w:rsid w:val="005D4205"/>
    <w:rsid w:val="005D4BCC"/>
    <w:rsid w:val="005D6187"/>
    <w:rsid w:val="005D6D3C"/>
    <w:rsid w:val="005D74C8"/>
    <w:rsid w:val="005E0759"/>
    <w:rsid w:val="005E1481"/>
    <w:rsid w:val="005E276F"/>
    <w:rsid w:val="005E4F4E"/>
    <w:rsid w:val="005E7873"/>
    <w:rsid w:val="005F18FC"/>
    <w:rsid w:val="005F22B8"/>
    <w:rsid w:val="005F27E3"/>
    <w:rsid w:val="005F350D"/>
    <w:rsid w:val="005F49E7"/>
    <w:rsid w:val="005F5D9A"/>
    <w:rsid w:val="005F60CC"/>
    <w:rsid w:val="005F62AC"/>
    <w:rsid w:val="005F6902"/>
    <w:rsid w:val="005F745A"/>
    <w:rsid w:val="00600385"/>
    <w:rsid w:val="00600396"/>
    <w:rsid w:val="00600DB3"/>
    <w:rsid w:val="006021DA"/>
    <w:rsid w:val="00602BC1"/>
    <w:rsid w:val="00602FFD"/>
    <w:rsid w:val="0060322D"/>
    <w:rsid w:val="006038D3"/>
    <w:rsid w:val="00603E81"/>
    <w:rsid w:val="00605621"/>
    <w:rsid w:val="00606128"/>
    <w:rsid w:val="00610807"/>
    <w:rsid w:val="00610A6A"/>
    <w:rsid w:val="006141A5"/>
    <w:rsid w:val="00614513"/>
    <w:rsid w:val="00615090"/>
    <w:rsid w:val="006155B7"/>
    <w:rsid w:val="00615E61"/>
    <w:rsid w:val="0061644B"/>
    <w:rsid w:val="00617667"/>
    <w:rsid w:val="006207C4"/>
    <w:rsid w:val="006211CC"/>
    <w:rsid w:val="00621C52"/>
    <w:rsid w:val="0062359D"/>
    <w:rsid w:val="0062398A"/>
    <w:rsid w:val="0062404E"/>
    <w:rsid w:val="006245AF"/>
    <w:rsid w:val="006249FD"/>
    <w:rsid w:val="00624DBF"/>
    <w:rsid w:val="00627872"/>
    <w:rsid w:val="00630071"/>
    <w:rsid w:val="00630502"/>
    <w:rsid w:val="00633F94"/>
    <w:rsid w:val="00637755"/>
    <w:rsid w:val="00637835"/>
    <w:rsid w:val="00641203"/>
    <w:rsid w:val="00642F1E"/>
    <w:rsid w:val="006449E8"/>
    <w:rsid w:val="006454D1"/>
    <w:rsid w:val="00645C20"/>
    <w:rsid w:val="0064631E"/>
    <w:rsid w:val="00647F84"/>
    <w:rsid w:val="00650A9C"/>
    <w:rsid w:val="00650C6E"/>
    <w:rsid w:val="00652356"/>
    <w:rsid w:val="006532E9"/>
    <w:rsid w:val="00653C9F"/>
    <w:rsid w:val="006577F5"/>
    <w:rsid w:val="00660A74"/>
    <w:rsid w:val="0066108A"/>
    <w:rsid w:val="00661512"/>
    <w:rsid w:val="00661568"/>
    <w:rsid w:val="00661F2A"/>
    <w:rsid w:val="0066243B"/>
    <w:rsid w:val="00662664"/>
    <w:rsid w:val="00662F03"/>
    <w:rsid w:val="00663E70"/>
    <w:rsid w:val="00664277"/>
    <w:rsid w:val="006647DC"/>
    <w:rsid w:val="006661FA"/>
    <w:rsid w:val="00666AF5"/>
    <w:rsid w:val="00667ED9"/>
    <w:rsid w:val="006700B5"/>
    <w:rsid w:val="006729B2"/>
    <w:rsid w:val="00674411"/>
    <w:rsid w:val="00674473"/>
    <w:rsid w:val="00676A6C"/>
    <w:rsid w:val="006774C8"/>
    <w:rsid w:val="006774E0"/>
    <w:rsid w:val="006807DA"/>
    <w:rsid w:val="00681950"/>
    <w:rsid w:val="00681B45"/>
    <w:rsid w:val="00682BF2"/>
    <w:rsid w:val="00684FEA"/>
    <w:rsid w:val="00685640"/>
    <w:rsid w:val="006857CD"/>
    <w:rsid w:val="00685EC2"/>
    <w:rsid w:val="00686399"/>
    <w:rsid w:val="00686BD0"/>
    <w:rsid w:val="00687E7D"/>
    <w:rsid w:val="0069019C"/>
    <w:rsid w:val="00690258"/>
    <w:rsid w:val="00691B34"/>
    <w:rsid w:val="00691C86"/>
    <w:rsid w:val="006922C2"/>
    <w:rsid w:val="00693050"/>
    <w:rsid w:val="006944B8"/>
    <w:rsid w:val="00695FF0"/>
    <w:rsid w:val="00696015"/>
    <w:rsid w:val="00696EA3"/>
    <w:rsid w:val="00697029"/>
    <w:rsid w:val="006A00ED"/>
    <w:rsid w:val="006A0183"/>
    <w:rsid w:val="006A0A94"/>
    <w:rsid w:val="006A0A98"/>
    <w:rsid w:val="006A0CD3"/>
    <w:rsid w:val="006A24C5"/>
    <w:rsid w:val="006A2EAC"/>
    <w:rsid w:val="006A349F"/>
    <w:rsid w:val="006A4AF5"/>
    <w:rsid w:val="006A68C4"/>
    <w:rsid w:val="006B0CEE"/>
    <w:rsid w:val="006B0E88"/>
    <w:rsid w:val="006B1FE3"/>
    <w:rsid w:val="006B35CF"/>
    <w:rsid w:val="006B3EA6"/>
    <w:rsid w:val="006B416E"/>
    <w:rsid w:val="006B6B08"/>
    <w:rsid w:val="006B6CBB"/>
    <w:rsid w:val="006B77A9"/>
    <w:rsid w:val="006B7DD4"/>
    <w:rsid w:val="006C03BF"/>
    <w:rsid w:val="006C0A5A"/>
    <w:rsid w:val="006C1137"/>
    <w:rsid w:val="006C26C9"/>
    <w:rsid w:val="006C2B10"/>
    <w:rsid w:val="006C3746"/>
    <w:rsid w:val="006C3DDB"/>
    <w:rsid w:val="006C3E9C"/>
    <w:rsid w:val="006C5665"/>
    <w:rsid w:val="006C5954"/>
    <w:rsid w:val="006D0AFC"/>
    <w:rsid w:val="006D1C45"/>
    <w:rsid w:val="006D2091"/>
    <w:rsid w:val="006D2881"/>
    <w:rsid w:val="006D30FC"/>
    <w:rsid w:val="006D33D8"/>
    <w:rsid w:val="006D56DC"/>
    <w:rsid w:val="006D5944"/>
    <w:rsid w:val="006D5E16"/>
    <w:rsid w:val="006D5FD7"/>
    <w:rsid w:val="006D6EDB"/>
    <w:rsid w:val="006D7D17"/>
    <w:rsid w:val="006E106B"/>
    <w:rsid w:val="006E19B0"/>
    <w:rsid w:val="006E2104"/>
    <w:rsid w:val="006E2E59"/>
    <w:rsid w:val="006E5C03"/>
    <w:rsid w:val="006E5E77"/>
    <w:rsid w:val="006E642D"/>
    <w:rsid w:val="006E681C"/>
    <w:rsid w:val="006E74F8"/>
    <w:rsid w:val="006F0B6D"/>
    <w:rsid w:val="006F0E13"/>
    <w:rsid w:val="006F1889"/>
    <w:rsid w:val="006F3277"/>
    <w:rsid w:val="006F3301"/>
    <w:rsid w:val="006F47FB"/>
    <w:rsid w:val="006F4C16"/>
    <w:rsid w:val="006F5119"/>
    <w:rsid w:val="006F53FC"/>
    <w:rsid w:val="006F579C"/>
    <w:rsid w:val="006F5F75"/>
    <w:rsid w:val="006F6339"/>
    <w:rsid w:val="006F66DB"/>
    <w:rsid w:val="006F68B3"/>
    <w:rsid w:val="006F6BD7"/>
    <w:rsid w:val="006F6F5F"/>
    <w:rsid w:val="00700E95"/>
    <w:rsid w:val="00701781"/>
    <w:rsid w:val="00702890"/>
    <w:rsid w:val="0070339E"/>
    <w:rsid w:val="00704424"/>
    <w:rsid w:val="007048A2"/>
    <w:rsid w:val="007051CD"/>
    <w:rsid w:val="00705426"/>
    <w:rsid w:val="00705753"/>
    <w:rsid w:val="00705CB0"/>
    <w:rsid w:val="007078EA"/>
    <w:rsid w:val="00707A56"/>
    <w:rsid w:val="007102E7"/>
    <w:rsid w:val="00710D5F"/>
    <w:rsid w:val="00711ABB"/>
    <w:rsid w:val="00712421"/>
    <w:rsid w:val="00712915"/>
    <w:rsid w:val="00712FC7"/>
    <w:rsid w:val="007150C7"/>
    <w:rsid w:val="00715200"/>
    <w:rsid w:val="007158F1"/>
    <w:rsid w:val="00715964"/>
    <w:rsid w:val="0071782E"/>
    <w:rsid w:val="007179F7"/>
    <w:rsid w:val="00717CBA"/>
    <w:rsid w:val="00720128"/>
    <w:rsid w:val="0072058E"/>
    <w:rsid w:val="00720AFD"/>
    <w:rsid w:val="0072102F"/>
    <w:rsid w:val="00721C31"/>
    <w:rsid w:val="007221C1"/>
    <w:rsid w:val="00722D61"/>
    <w:rsid w:val="00723CC7"/>
    <w:rsid w:val="00723D5B"/>
    <w:rsid w:val="00723F65"/>
    <w:rsid w:val="00725753"/>
    <w:rsid w:val="00726360"/>
    <w:rsid w:val="00726566"/>
    <w:rsid w:val="0073009F"/>
    <w:rsid w:val="00733326"/>
    <w:rsid w:val="00733813"/>
    <w:rsid w:val="00734667"/>
    <w:rsid w:val="00734924"/>
    <w:rsid w:val="00735999"/>
    <w:rsid w:val="00736448"/>
    <w:rsid w:val="007369EE"/>
    <w:rsid w:val="00741420"/>
    <w:rsid w:val="00742258"/>
    <w:rsid w:val="00742892"/>
    <w:rsid w:val="00743B56"/>
    <w:rsid w:val="00744F02"/>
    <w:rsid w:val="00745E27"/>
    <w:rsid w:val="00747993"/>
    <w:rsid w:val="00747CC2"/>
    <w:rsid w:val="007504D8"/>
    <w:rsid w:val="007517D1"/>
    <w:rsid w:val="0075260A"/>
    <w:rsid w:val="007545C5"/>
    <w:rsid w:val="0075521A"/>
    <w:rsid w:val="00755729"/>
    <w:rsid w:val="00755ABE"/>
    <w:rsid w:val="00756212"/>
    <w:rsid w:val="00757106"/>
    <w:rsid w:val="007607A0"/>
    <w:rsid w:val="007607E3"/>
    <w:rsid w:val="007611BC"/>
    <w:rsid w:val="00761DC1"/>
    <w:rsid w:val="00761FBE"/>
    <w:rsid w:val="00762F38"/>
    <w:rsid w:val="00762F6D"/>
    <w:rsid w:val="00764CAD"/>
    <w:rsid w:val="0076645C"/>
    <w:rsid w:val="00766A89"/>
    <w:rsid w:val="00766AD4"/>
    <w:rsid w:val="00770A33"/>
    <w:rsid w:val="007713F3"/>
    <w:rsid w:val="0077157E"/>
    <w:rsid w:val="00772391"/>
    <w:rsid w:val="00772D42"/>
    <w:rsid w:val="007731A2"/>
    <w:rsid w:val="0077343D"/>
    <w:rsid w:val="00773C6C"/>
    <w:rsid w:val="00775EDD"/>
    <w:rsid w:val="0077661B"/>
    <w:rsid w:val="0077663C"/>
    <w:rsid w:val="00780295"/>
    <w:rsid w:val="0078145C"/>
    <w:rsid w:val="00782522"/>
    <w:rsid w:val="007828BF"/>
    <w:rsid w:val="00783089"/>
    <w:rsid w:val="00783790"/>
    <w:rsid w:val="007846D2"/>
    <w:rsid w:val="007852A1"/>
    <w:rsid w:val="00790153"/>
    <w:rsid w:val="00791723"/>
    <w:rsid w:val="00791A86"/>
    <w:rsid w:val="00791DE8"/>
    <w:rsid w:val="007921AC"/>
    <w:rsid w:val="00792249"/>
    <w:rsid w:val="0079456E"/>
    <w:rsid w:val="00794874"/>
    <w:rsid w:val="00795F5C"/>
    <w:rsid w:val="007968E2"/>
    <w:rsid w:val="00797022"/>
    <w:rsid w:val="00797A2F"/>
    <w:rsid w:val="007A12F5"/>
    <w:rsid w:val="007A178F"/>
    <w:rsid w:val="007A1AC9"/>
    <w:rsid w:val="007A1F92"/>
    <w:rsid w:val="007A2218"/>
    <w:rsid w:val="007A3260"/>
    <w:rsid w:val="007A3817"/>
    <w:rsid w:val="007A3BAD"/>
    <w:rsid w:val="007A560F"/>
    <w:rsid w:val="007A59FA"/>
    <w:rsid w:val="007A5AF8"/>
    <w:rsid w:val="007A68B7"/>
    <w:rsid w:val="007A7238"/>
    <w:rsid w:val="007B0B48"/>
    <w:rsid w:val="007B2110"/>
    <w:rsid w:val="007B21E3"/>
    <w:rsid w:val="007B3836"/>
    <w:rsid w:val="007B3DD5"/>
    <w:rsid w:val="007B4141"/>
    <w:rsid w:val="007B4348"/>
    <w:rsid w:val="007B5927"/>
    <w:rsid w:val="007B6E52"/>
    <w:rsid w:val="007B71C2"/>
    <w:rsid w:val="007B767A"/>
    <w:rsid w:val="007B7E30"/>
    <w:rsid w:val="007C08D3"/>
    <w:rsid w:val="007C2468"/>
    <w:rsid w:val="007C3882"/>
    <w:rsid w:val="007C3C7C"/>
    <w:rsid w:val="007C4A0E"/>
    <w:rsid w:val="007C5110"/>
    <w:rsid w:val="007C5F43"/>
    <w:rsid w:val="007C7472"/>
    <w:rsid w:val="007D0773"/>
    <w:rsid w:val="007D0D1A"/>
    <w:rsid w:val="007D0F9A"/>
    <w:rsid w:val="007D1F30"/>
    <w:rsid w:val="007D2C94"/>
    <w:rsid w:val="007D3496"/>
    <w:rsid w:val="007D4A5E"/>
    <w:rsid w:val="007D6692"/>
    <w:rsid w:val="007D7FC5"/>
    <w:rsid w:val="007E0297"/>
    <w:rsid w:val="007E0398"/>
    <w:rsid w:val="007E1DD6"/>
    <w:rsid w:val="007E330A"/>
    <w:rsid w:val="007E46DF"/>
    <w:rsid w:val="007E56A1"/>
    <w:rsid w:val="007E5B1E"/>
    <w:rsid w:val="007E6A2E"/>
    <w:rsid w:val="007E6E7A"/>
    <w:rsid w:val="007E7E6B"/>
    <w:rsid w:val="007F0B9F"/>
    <w:rsid w:val="007F1881"/>
    <w:rsid w:val="007F50FE"/>
    <w:rsid w:val="007F55D4"/>
    <w:rsid w:val="007F6E3B"/>
    <w:rsid w:val="007F7023"/>
    <w:rsid w:val="007F7B77"/>
    <w:rsid w:val="00801B7D"/>
    <w:rsid w:val="00802CEC"/>
    <w:rsid w:val="00803409"/>
    <w:rsid w:val="00803BA5"/>
    <w:rsid w:val="00805BA9"/>
    <w:rsid w:val="00805BF8"/>
    <w:rsid w:val="00805C28"/>
    <w:rsid w:val="00806308"/>
    <w:rsid w:val="008064D5"/>
    <w:rsid w:val="008073AF"/>
    <w:rsid w:val="00807C4D"/>
    <w:rsid w:val="00810766"/>
    <w:rsid w:val="00810CC9"/>
    <w:rsid w:val="008110D7"/>
    <w:rsid w:val="00811539"/>
    <w:rsid w:val="0081172E"/>
    <w:rsid w:val="00811BEA"/>
    <w:rsid w:val="008121E4"/>
    <w:rsid w:val="0081230F"/>
    <w:rsid w:val="0081277B"/>
    <w:rsid w:val="0081506C"/>
    <w:rsid w:val="008160F9"/>
    <w:rsid w:val="00816210"/>
    <w:rsid w:val="008167E3"/>
    <w:rsid w:val="00816DC6"/>
    <w:rsid w:val="008177D9"/>
    <w:rsid w:val="00817B30"/>
    <w:rsid w:val="00817CCE"/>
    <w:rsid w:val="00820336"/>
    <w:rsid w:val="00821DFB"/>
    <w:rsid w:val="00822AA1"/>
    <w:rsid w:val="00822F46"/>
    <w:rsid w:val="0082423E"/>
    <w:rsid w:val="00825E83"/>
    <w:rsid w:val="0082639C"/>
    <w:rsid w:val="0082695E"/>
    <w:rsid w:val="0082735D"/>
    <w:rsid w:val="0083053A"/>
    <w:rsid w:val="008306AC"/>
    <w:rsid w:val="0083128C"/>
    <w:rsid w:val="008319AF"/>
    <w:rsid w:val="00832378"/>
    <w:rsid w:val="00833285"/>
    <w:rsid w:val="00833B9F"/>
    <w:rsid w:val="008363FA"/>
    <w:rsid w:val="00836EEB"/>
    <w:rsid w:val="00837EDC"/>
    <w:rsid w:val="0084094F"/>
    <w:rsid w:val="0084097C"/>
    <w:rsid w:val="00840BE2"/>
    <w:rsid w:val="00840F0A"/>
    <w:rsid w:val="00841B3E"/>
    <w:rsid w:val="00843278"/>
    <w:rsid w:val="00844345"/>
    <w:rsid w:val="00844668"/>
    <w:rsid w:val="008446D5"/>
    <w:rsid w:val="0084499B"/>
    <w:rsid w:val="008451C2"/>
    <w:rsid w:val="00847FB2"/>
    <w:rsid w:val="008503A8"/>
    <w:rsid w:val="008526D0"/>
    <w:rsid w:val="008528F9"/>
    <w:rsid w:val="00852B0A"/>
    <w:rsid w:val="008534B0"/>
    <w:rsid w:val="008536BC"/>
    <w:rsid w:val="008546C2"/>
    <w:rsid w:val="00854987"/>
    <w:rsid w:val="0085675A"/>
    <w:rsid w:val="00856C61"/>
    <w:rsid w:val="00856CBA"/>
    <w:rsid w:val="008573EF"/>
    <w:rsid w:val="00857487"/>
    <w:rsid w:val="00857F27"/>
    <w:rsid w:val="00860454"/>
    <w:rsid w:val="00860905"/>
    <w:rsid w:val="00862D13"/>
    <w:rsid w:val="0086466D"/>
    <w:rsid w:val="008649A4"/>
    <w:rsid w:val="0086529C"/>
    <w:rsid w:val="00865C22"/>
    <w:rsid w:val="00865DEB"/>
    <w:rsid w:val="00867A00"/>
    <w:rsid w:val="00867FE8"/>
    <w:rsid w:val="0087079E"/>
    <w:rsid w:val="00871362"/>
    <w:rsid w:val="0087167A"/>
    <w:rsid w:val="00872A63"/>
    <w:rsid w:val="00875481"/>
    <w:rsid w:val="00876450"/>
    <w:rsid w:val="0087674E"/>
    <w:rsid w:val="008774AE"/>
    <w:rsid w:val="008806DB"/>
    <w:rsid w:val="00881A2A"/>
    <w:rsid w:val="00883CA7"/>
    <w:rsid w:val="00884865"/>
    <w:rsid w:val="00884FF1"/>
    <w:rsid w:val="0088666F"/>
    <w:rsid w:val="008870B5"/>
    <w:rsid w:val="008872F4"/>
    <w:rsid w:val="008874CA"/>
    <w:rsid w:val="00893139"/>
    <w:rsid w:val="0089399D"/>
    <w:rsid w:val="00893DF6"/>
    <w:rsid w:val="00894836"/>
    <w:rsid w:val="008962C4"/>
    <w:rsid w:val="0089759C"/>
    <w:rsid w:val="00897870"/>
    <w:rsid w:val="00897B60"/>
    <w:rsid w:val="008A02C0"/>
    <w:rsid w:val="008A129C"/>
    <w:rsid w:val="008A3788"/>
    <w:rsid w:val="008A3A23"/>
    <w:rsid w:val="008A436C"/>
    <w:rsid w:val="008A4F44"/>
    <w:rsid w:val="008A5B20"/>
    <w:rsid w:val="008A65EB"/>
    <w:rsid w:val="008B1A18"/>
    <w:rsid w:val="008B2B72"/>
    <w:rsid w:val="008B2E13"/>
    <w:rsid w:val="008B3589"/>
    <w:rsid w:val="008B3AD4"/>
    <w:rsid w:val="008B3FFF"/>
    <w:rsid w:val="008B4E01"/>
    <w:rsid w:val="008B61EF"/>
    <w:rsid w:val="008B652B"/>
    <w:rsid w:val="008B66C8"/>
    <w:rsid w:val="008B6718"/>
    <w:rsid w:val="008B7662"/>
    <w:rsid w:val="008C0304"/>
    <w:rsid w:val="008C0371"/>
    <w:rsid w:val="008C140B"/>
    <w:rsid w:val="008C186E"/>
    <w:rsid w:val="008C2309"/>
    <w:rsid w:val="008C2D06"/>
    <w:rsid w:val="008C3B8C"/>
    <w:rsid w:val="008C44D0"/>
    <w:rsid w:val="008C51BD"/>
    <w:rsid w:val="008C6391"/>
    <w:rsid w:val="008C7498"/>
    <w:rsid w:val="008D0C3D"/>
    <w:rsid w:val="008D1812"/>
    <w:rsid w:val="008D19DF"/>
    <w:rsid w:val="008D1CFE"/>
    <w:rsid w:val="008D1FC5"/>
    <w:rsid w:val="008D251D"/>
    <w:rsid w:val="008D28DC"/>
    <w:rsid w:val="008D2949"/>
    <w:rsid w:val="008D4026"/>
    <w:rsid w:val="008D5C17"/>
    <w:rsid w:val="008D76D1"/>
    <w:rsid w:val="008D7C21"/>
    <w:rsid w:val="008E076B"/>
    <w:rsid w:val="008E231C"/>
    <w:rsid w:val="008E2374"/>
    <w:rsid w:val="008E2637"/>
    <w:rsid w:val="008E36E8"/>
    <w:rsid w:val="008E4C11"/>
    <w:rsid w:val="008E5E82"/>
    <w:rsid w:val="008E6817"/>
    <w:rsid w:val="008E6B0C"/>
    <w:rsid w:val="008E7A08"/>
    <w:rsid w:val="008F0B14"/>
    <w:rsid w:val="008F30EE"/>
    <w:rsid w:val="008F3403"/>
    <w:rsid w:val="008F37C5"/>
    <w:rsid w:val="008F3C88"/>
    <w:rsid w:val="008F3F30"/>
    <w:rsid w:val="008F4110"/>
    <w:rsid w:val="008F52F8"/>
    <w:rsid w:val="008F581F"/>
    <w:rsid w:val="008F78CC"/>
    <w:rsid w:val="0090091F"/>
    <w:rsid w:val="00900ECE"/>
    <w:rsid w:val="00901522"/>
    <w:rsid w:val="00903488"/>
    <w:rsid w:val="00904466"/>
    <w:rsid w:val="00904D92"/>
    <w:rsid w:val="00904FC3"/>
    <w:rsid w:val="00905839"/>
    <w:rsid w:val="00907352"/>
    <w:rsid w:val="00907914"/>
    <w:rsid w:val="00907F89"/>
    <w:rsid w:val="00910AE2"/>
    <w:rsid w:val="00910FEC"/>
    <w:rsid w:val="00911197"/>
    <w:rsid w:val="009119C8"/>
    <w:rsid w:val="009123CA"/>
    <w:rsid w:val="00912AA2"/>
    <w:rsid w:val="009144E4"/>
    <w:rsid w:val="0091525F"/>
    <w:rsid w:val="00920608"/>
    <w:rsid w:val="00921D31"/>
    <w:rsid w:val="00922B1F"/>
    <w:rsid w:val="00922E54"/>
    <w:rsid w:val="00922FD5"/>
    <w:rsid w:val="0092306F"/>
    <w:rsid w:val="00923642"/>
    <w:rsid w:val="00923E92"/>
    <w:rsid w:val="00923FAB"/>
    <w:rsid w:val="00924396"/>
    <w:rsid w:val="009244B6"/>
    <w:rsid w:val="00924F42"/>
    <w:rsid w:val="00924F7D"/>
    <w:rsid w:val="0092508E"/>
    <w:rsid w:val="00925409"/>
    <w:rsid w:val="00926676"/>
    <w:rsid w:val="009269F3"/>
    <w:rsid w:val="0093130C"/>
    <w:rsid w:val="00932D06"/>
    <w:rsid w:val="00933E6A"/>
    <w:rsid w:val="00934AD2"/>
    <w:rsid w:val="00934D85"/>
    <w:rsid w:val="009353E2"/>
    <w:rsid w:val="00935D76"/>
    <w:rsid w:val="0093639A"/>
    <w:rsid w:val="00936734"/>
    <w:rsid w:val="00936E0D"/>
    <w:rsid w:val="0093770A"/>
    <w:rsid w:val="00940E45"/>
    <w:rsid w:val="00941B22"/>
    <w:rsid w:val="0094232C"/>
    <w:rsid w:val="0094239D"/>
    <w:rsid w:val="00942A31"/>
    <w:rsid w:val="00942D71"/>
    <w:rsid w:val="00943385"/>
    <w:rsid w:val="00944957"/>
    <w:rsid w:val="0094516B"/>
    <w:rsid w:val="00946073"/>
    <w:rsid w:val="009462E7"/>
    <w:rsid w:val="0094634D"/>
    <w:rsid w:val="00946952"/>
    <w:rsid w:val="00947857"/>
    <w:rsid w:val="00947F71"/>
    <w:rsid w:val="0095076F"/>
    <w:rsid w:val="00951B34"/>
    <w:rsid w:val="009529A2"/>
    <w:rsid w:val="00953264"/>
    <w:rsid w:val="009548A3"/>
    <w:rsid w:val="00954B15"/>
    <w:rsid w:val="0095534D"/>
    <w:rsid w:val="00955ABF"/>
    <w:rsid w:val="00957290"/>
    <w:rsid w:val="00957C5A"/>
    <w:rsid w:val="0096190D"/>
    <w:rsid w:val="00962526"/>
    <w:rsid w:val="00963566"/>
    <w:rsid w:val="009640D7"/>
    <w:rsid w:val="00964A8D"/>
    <w:rsid w:val="00964CB2"/>
    <w:rsid w:val="00965E7D"/>
    <w:rsid w:val="0096644B"/>
    <w:rsid w:val="0096667F"/>
    <w:rsid w:val="00966721"/>
    <w:rsid w:val="00966A88"/>
    <w:rsid w:val="00967222"/>
    <w:rsid w:val="00970D62"/>
    <w:rsid w:val="009716AD"/>
    <w:rsid w:val="00973359"/>
    <w:rsid w:val="009744A8"/>
    <w:rsid w:val="009766AB"/>
    <w:rsid w:val="009771EC"/>
    <w:rsid w:val="0097759C"/>
    <w:rsid w:val="00980178"/>
    <w:rsid w:val="00981FAA"/>
    <w:rsid w:val="00982391"/>
    <w:rsid w:val="00982770"/>
    <w:rsid w:val="0098297A"/>
    <w:rsid w:val="00983380"/>
    <w:rsid w:val="009834FE"/>
    <w:rsid w:val="0098350D"/>
    <w:rsid w:val="009837F6"/>
    <w:rsid w:val="00985C48"/>
    <w:rsid w:val="00987111"/>
    <w:rsid w:val="00987249"/>
    <w:rsid w:val="00987393"/>
    <w:rsid w:val="00987677"/>
    <w:rsid w:val="00987CEC"/>
    <w:rsid w:val="00987D53"/>
    <w:rsid w:val="009908E3"/>
    <w:rsid w:val="0099173A"/>
    <w:rsid w:val="009919DB"/>
    <w:rsid w:val="00994166"/>
    <w:rsid w:val="009960FD"/>
    <w:rsid w:val="00997A97"/>
    <w:rsid w:val="009A2097"/>
    <w:rsid w:val="009A26EE"/>
    <w:rsid w:val="009A3B3F"/>
    <w:rsid w:val="009A4918"/>
    <w:rsid w:val="009A58BC"/>
    <w:rsid w:val="009A6398"/>
    <w:rsid w:val="009A7713"/>
    <w:rsid w:val="009A7853"/>
    <w:rsid w:val="009A7E91"/>
    <w:rsid w:val="009B06D7"/>
    <w:rsid w:val="009B2015"/>
    <w:rsid w:val="009B27E7"/>
    <w:rsid w:val="009B6DDD"/>
    <w:rsid w:val="009B7445"/>
    <w:rsid w:val="009B7EB3"/>
    <w:rsid w:val="009C387D"/>
    <w:rsid w:val="009C45A4"/>
    <w:rsid w:val="009C4919"/>
    <w:rsid w:val="009C505C"/>
    <w:rsid w:val="009C51B0"/>
    <w:rsid w:val="009C5C34"/>
    <w:rsid w:val="009C63D8"/>
    <w:rsid w:val="009C6D0F"/>
    <w:rsid w:val="009C7063"/>
    <w:rsid w:val="009D003B"/>
    <w:rsid w:val="009D0511"/>
    <w:rsid w:val="009D14B3"/>
    <w:rsid w:val="009D15FC"/>
    <w:rsid w:val="009D267B"/>
    <w:rsid w:val="009D348A"/>
    <w:rsid w:val="009D4A13"/>
    <w:rsid w:val="009D5511"/>
    <w:rsid w:val="009D6288"/>
    <w:rsid w:val="009D79D9"/>
    <w:rsid w:val="009E18DA"/>
    <w:rsid w:val="009E1BCF"/>
    <w:rsid w:val="009E21EA"/>
    <w:rsid w:val="009E473B"/>
    <w:rsid w:val="009E5E8C"/>
    <w:rsid w:val="009E73B4"/>
    <w:rsid w:val="009F04E8"/>
    <w:rsid w:val="009F0B7E"/>
    <w:rsid w:val="009F117D"/>
    <w:rsid w:val="009F132B"/>
    <w:rsid w:val="009F1541"/>
    <w:rsid w:val="009F17CC"/>
    <w:rsid w:val="009F1FA3"/>
    <w:rsid w:val="009F20B3"/>
    <w:rsid w:val="009F2DB5"/>
    <w:rsid w:val="009F305C"/>
    <w:rsid w:val="009F4013"/>
    <w:rsid w:val="009F43DA"/>
    <w:rsid w:val="009F6031"/>
    <w:rsid w:val="009F6630"/>
    <w:rsid w:val="009F77BA"/>
    <w:rsid w:val="00A01706"/>
    <w:rsid w:val="00A02861"/>
    <w:rsid w:val="00A03C63"/>
    <w:rsid w:val="00A046D8"/>
    <w:rsid w:val="00A052E0"/>
    <w:rsid w:val="00A05378"/>
    <w:rsid w:val="00A05720"/>
    <w:rsid w:val="00A05E4D"/>
    <w:rsid w:val="00A06CA0"/>
    <w:rsid w:val="00A07172"/>
    <w:rsid w:val="00A07E41"/>
    <w:rsid w:val="00A103A7"/>
    <w:rsid w:val="00A11417"/>
    <w:rsid w:val="00A11595"/>
    <w:rsid w:val="00A13FBD"/>
    <w:rsid w:val="00A1581C"/>
    <w:rsid w:val="00A164F5"/>
    <w:rsid w:val="00A17156"/>
    <w:rsid w:val="00A20026"/>
    <w:rsid w:val="00A20201"/>
    <w:rsid w:val="00A207BD"/>
    <w:rsid w:val="00A218B9"/>
    <w:rsid w:val="00A22020"/>
    <w:rsid w:val="00A22234"/>
    <w:rsid w:val="00A232D8"/>
    <w:rsid w:val="00A2338E"/>
    <w:rsid w:val="00A246C8"/>
    <w:rsid w:val="00A25585"/>
    <w:rsid w:val="00A26550"/>
    <w:rsid w:val="00A2729E"/>
    <w:rsid w:val="00A27AD6"/>
    <w:rsid w:val="00A27C7D"/>
    <w:rsid w:val="00A31843"/>
    <w:rsid w:val="00A31951"/>
    <w:rsid w:val="00A31B07"/>
    <w:rsid w:val="00A3202B"/>
    <w:rsid w:val="00A32BAC"/>
    <w:rsid w:val="00A3440D"/>
    <w:rsid w:val="00A346FE"/>
    <w:rsid w:val="00A3668F"/>
    <w:rsid w:val="00A36795"/>
    <w:rsid w:val="00A4094F"/>
    <w:rsid w:val="00A43202"/>
    <w:rsid w:val="00A444BD"/>
    <w:rsid w:val="00A466F9"/>
    <w:rsid w:val="00A47677"/>
    <w:rsid w:val="00A476C2"/>
    <w:rsid w:val="00A5036B"/>
    <w:rsid w:val="00A50823"/>
    <w:rsid w:val="00A50B56"/>
    <w:rsid w:val="00A50BB9"/>
    <w:rsid w:val="00A513FF"/>
    <w:rsid w:val="00A51DDB"/>
    <w:rsid w:val="00A520F9"/>
    <w:rsid w:val="00A52E0A"/>
    <w:rsid w:val="00A5356A"/>
    <w:rsid w:val="00A53822"/>
    <w:rsid w:val="00A53AD1"/>
    <w:rsid w:val="00A53C0E"/>
    <w:rsid w:val="00A53CEC"/>
    <w:rsid w:val="00A542F5"/>
    <w:rsid w:val="00A543A7"/>
    <w:rsid w:val="00A56003"/>
    <w:rsid w:val="00A60ADE"/>
    <w:rsid w:val="00A610E3"/>
    <w:rsid w:val="00A63035"/>
    <w:rsid w:val="00A65E27"/>
    <w:rsid w:val="00A6738F"/>
    <w:rsid w:val="00A7031C"/>
    <w:rsid w:val="00A70DB6"/>
    <w:rsid w:val="00A725B9"/>
    <w:rsid w:val="00A72D84"/>
    <w:rsid w:val="00A73136"/>
    <w:rsid w:val="00A73C06"/>
    <w:rsid w:val="00A74460"/>
    <w:rsid w:val="00A75C3D"/>
    <w:rsid w:val="00A8017D"/>
    <w:rsid w:val="00A80F93"/>
    <w:rsid w:val="00A82AC1"/>
    <w:rsid w:val="00A83178"/>
    <w:rsid w:val="00A83413"/>
    <w:rsid w:val="00A84657"/>
    <w:rsid w:val="00A846A9"/>
    <w:rsid w:val="00A857EC"/>
    <w:rsid w:val="00A85D91"/>
    <w:rsid w:val="00A85E58"/>
    <w:rsid w:val="00A865C9"/>
    <w:rsid w:val="00A86E24"/>
    <w:rsid w:val="00A878FF"/>
    <w:rsid w:val="00A87CCC"/>
    <w:rsid w:val="00A914AE"/>
    <w:rsid w:val="00A92341"/>
    <w:rsid w:val="00A92428"/>
    <w:rsid w:val="00A931D5"/>
    <w:rsid w:val="00A946F0"/>
    <w:rsid w:val="00A94B0F"/>
    <w:rsid w:val="00A96EFD"/>
    <w:rsid w:val="00A97530"/>
    <w:rsid w:val="00AA042E"/>
    <w:rsid w:val="00AA3D00"/>
    <w:rsid w:val="00AA4F39"/>
    <w:rsid w:val="00AA5332"/>
    <w:rsid w:val="00AB1E47"/>
    <w:rsid w:val="00AB3352"/>
    <w:rsid w:val="00AB335E"/>
    <w:rsid w:val="00AB3A0B"/>
    <w:rsid w:val="00AB3B84"/>
    <w:rsid w:val="00AB4CF9"/>
    <w:rsid w:val="00AB4E2F"/>
    <w:rsid w:val="00AB5073"/>
    <w:rsid w:val="00AB602F"/>
    <w:rsid w:val="00AB6C25"/>
    <w:rsid w:val="00AB7138"/>
    <w:rsid w:val="00AB7BE0"/>
    <w:rsid w:val="00AC0775"/>
    <w:rsid w:val="00AC1A75"/>
    <w:rsid w:val="00AC4C3D"/>
    <w:rsid w:val="00AC50BB"/>
    <w:rsid w:val="00AC6A6C"/>
    <w:rsid w:val="00AC78B4"/>
    <w:rsid w:val="00AD0457"/>
    <w:rsid w:val="00AD0795"/>
    <w:rsid w:val="00AD081D"/>
    <w:rsid w:val="00AD11AD"/>
    <w:rsid w:val="00AD16DF"/>
    <w:rsid w:val="00AD2506"/>
    <w:rsid w:val="00AD31C2"/>
    <w:rsid w:val="00AD3C06"/>
    <w:rsid w:val="00AD4A54"/>
    <w:rsid w:val="00AD4C0D"/>
    <w:rsid w:val="00AD4D60"/>
    <w:rsid w:val="00AD5FA4"/>
    <w:rsid w:val="00AD6023"/>
    <w:rsid w:val="00AE080E"/>
    <w:rsid w:val="00AE09E8"/>
    <w:rsid w:val="00AE1EF5"/>
    <w:rsid w:val="00AE3700"/>
    <w:rsid w:val="00AE56BC"/>
    <w:rsid w:val="00AE5DBC"/>
    <w:rsid w:val="00AE5DCD"/>
    <w:rsid w:val="00AE6593"/>
    <w:rsid w:val="00AE7248"/>
    <w:rsid w:val="00AE782A"/>
    <w:rsid w:val="00AE7846"/>
    <w:rsid w:val="00AE78B1"/>
    <w:rsid w:val="00AE79C4"/>
    <w:rsid w:val="00AE7A11"/>
    <w:rsid w:val="00AF12FE"/>
    <w:rsid w:val="00AF1FD5"/>
    <w:rsid w:val="00AF2768"/>
    <w:rsid w:val="00AF2FDA"/>
    <w:rsid w:val="00AF5BCF"/>
    <w:rsid w:val="00AF5C4C"/>
    <w:rsid w:val="00AF6546"/>
    <w:rsid w:val="00AF6AA5"/>
    <w:rsid w:val="00AF735C"/>
    <w:rsid w:val="00AF77F2"/>
    <w:rsid w:val="00B00699"/>
    <w:rsid w:val="00B00CD5"/>
    <w:rsid w:val="00B04069"/>
    <w:rsid w:val="00B04E42"/>
    <w:rsid w:val="00B04EFC"/>
    <w:rsid w:val="00B053BF"/>
    <w:rsid w:val="00B05E18"/>
    <w:rsid w:val="00B06752"/>
    <w:rsid w:val="00B069A2"/>
    <w:rsid w:val="00B07D53"/>
    <w:rsid w:val="00B12507"/>
    <w:rsid w:val="00B1326F"/>
    <w:rsid w:val="00B15146"/>
    <w:rsid w:val="00B15296"/>
    <w:rsid w:val="00B15EA6"/>
    <w:rsid w:val="00B163A2"/>
    <w:rsid w:val="00B163FE"/>
    <w:rsid w:val="00B1772E"/>
    <w:rsid w:val="00B2056C"/>
    <w:rsid w:val="00B22488"/>
    <w:rsid w:val="00B2436D"/>
    <w:rsid w:val="00B2571B"/>
    <w:rsid w:val="00B30015"/>
    <w:rsid w:val="00B310F4"/>
    <w:rsid w:val="00B3137B"/>
    <w:rsid w:val="00B313F5"/>
    <w:rsid w:val="00B339DC"/>
    <w:rsid w:val="00B34499"/>
    <w:rsid w:val="00B3467A"/>
    <w:rsid w:val="00B34FD6"/>
    <w:rsid w:val="00B35D70"/>
    <w:rsid w:val="00B3648E"/>
    <w:rsid w:val="00B366AF"/>
    <w:rsid w:val="00B37655"/>
    <w:rsid w:val="00B37F56"/>
    <w:rsid w:val="00B40530"/>
    <w:rsid w:val="00B41256"/>
    <w:rsid w:val="00B4198F"/>
    <w:rsid w:val="00B43042"/>
    <w:rsid w:val="00B43446"/>
    <w:rsid w:val="00B4485E"/>
    <w:rsid w:val="00B451A9"/>
    <w:rsid w:val="00B45218"/>
    <w:rsid w:val="00B45D53"/>
    <w:rsid w:val="00B45E24"/>
    <w:rsid w:val="00B466F4"/>
    <w:rsid w:val="00B46779"/>
    <w:rsid w:val="00B47DE9"/>
    <w:rsid w:val="00B51E7D"/>
    <w:rsid w:val="00B526C9"/>
    <w:rsid w:val="00B52CF4"/>
    <w:rsid w:val="00B53FED"/>
    <w:rsid w:val="00B54685"/>
    <w:rsid w:val="00B55362"/>
    <w:rsid w:val="00B55475"/>
    <w:rsid w:val="00B56C79"/>
    <w:rsid w:val="00B57052"/>
    <w:rsid w:val="00B5732C"/>
    <w:rsid w:val="00B579B8"/>
    <w:rsid w:val="00B60805"/>
    <w:rsid w:val="00B61187"/>
    <w:rsid w:val="00B627C6"/>
    <w:rsid w:val="00B635D3"/>
    <w:rsid w:val="00B63BA4"/>
    <w:rsid w:val="00B648F9"/>
    <w:rsid w:val="00B6557B"/>
    <w:rsid w:val="00B65A6B"/>
    <w:rsid w:val="00B665FD"/>
    <w:rsid w:val="00B66794"/>
    <w:rsid w:val="00B66B66"/>
    <w:rsid w:val="00B70EA6"/>
    <w:rsid w:val="00B714AD"/>
    <w:rsid w:val="00B71CD5"/>
    <w:rsid w:val="00B71CDE"/>
    <w:rsid w:val="00B72241"/>
    <w:rsid w:val="00B7392E"/>
    <w:rsid w:val="00B73AA7"/>
    <w:rsid w:val="00B73D33"/>
    <w:rsid w:val="00B746AC"/>
    <w:rsid w:val="00B74E04"/>
    <w:rsid w:val="00B767B2"/>
    <w:rsid w:val="00B775C2"/>
    <w:rsid w:val="00B77C4C"/>
    <w:rsid w:val="00B77F68"/>
    <w:rsid w:val="00B833D9"/>
    <w:rsid w:val="00B84512"/>
    <w:rsid w:val="00B858D9"/>
    <w:rsid w:val="00B85B7C"/>
    <w:rsid w:val="00B85EC3"/>
    <w:rsid w:val="00B8709F"/>
    <w:rsid w:val="00B8711F"/>
    <w:rsid w:val="00B87282"/>
    <w:rsid w:val="00B872B8"/>
    <w:rsid w:val="00B876B6"/>
    <w:rsid w:val="00B929B9"/>
    <w:rsid w:val="00B9697D"/>
    <w:rsid w:val="00B96D50"/>
    <w:rsid w:val="00B96FDD"/>
    <w:rsid w:val="00B9715C"/>
    <w:rsid w:val="00BA0279"/>
    <w:rsid w:val="00BA045D"/>
    <w:rsid w:val="00BA0755"/>
    <w:rsid w:val="00BA1E04"/>
    <w:rsid w:val="00BA2674"/>
    <w:rsid w:val="00BA31A3"/>
    <w:rsid w:val="00BA31F3"/>
    <w:rsid w:val="00BA35A3"/>
    <w:rsid w:val="00BA4927"/>
    <w:rsid w:val="00BA4935"/>
    <w:rsid w:val="00BA5CF1"/>
    <w:rsid w:val="00BA7206"/>
    <w:rsid w:val="00BA7B04"/>
    <w:rsid w:val="00BB13C8"/>
    <w:rsid w:val="00BB18E5"/>
    <w:rsid w:val="00BB331B"/>
    <w:rsid w:val="00BB49D6"/>
    <w:rsid w:val="00BB4C2F"/>
    <w:rsid w:val="00BB50CA"/>
    <w:rsid w:val="00BB50DD"/>
    <w:rsid w:val="00BB563B"/>
    <w:rsid w:val="00BB5A94"/>
    <w:rsid w:val="00BB5EAD"/>
    <w:rsid w:val="00BB7072"/>
    <w:rsid w:val="00BB766D"/>
    <w:rsid w:val="00BC13D5"/>
    <w:rsid w:val="00BC1D6D"/>
    <w:rsid w:val="00BC2C7E"/>
    <w:rsid w:val="00BC3594"/>
    <w:rsid w:val="00BC6319"/>
    <w:rsid w:val="00BC6C96"/>
    <w:rsid w:val="00BC6D9C"/>
    <w:rsid w:val="00BC7C66"/>
    <w:rsid w:val="00BD0038"/>
    <w:rsid w:val="00BD29FF"/>
    <w:rsid w:val="00BD36DB"/>
    <w:rsid w:val="00BD4B54"/>
    <w:rsid w:val="00BD6513"/>
    <w:rsid w:val="00BD7BF5"/>
    <w:rsid w:val="00BE00CD"/>
    <w:rsid w:val="00BE0B46"/>
    <w:rsid w:val="00BE0B97"/>
    <w:rsid w:val="00BE0FAE"/>
    <w:rsid w:val="00BE10AF"/>
    <w:rsid w:val="00BE1BC7"/>
    <w:rsid w:val="00BE1D4C"/>
    <w:rsid w:val="00BE23F9"/>
    <w:rsid w:val="00BE25F0"/>
    <w:rsid w:val="00BE28B8"/>
    <w:rsid w:val="00BE2BF5"/>
    <w:rsid w:val="00BE3B47"/>
    <w:rsid w:val="00BE3FA0"/>
    <w:rsid w:val="00BE4843"/>
    <w:rsid w:val="00BE4C1D"/>
    <w:rsid w:val="00BE52B7"/>
    <w:rsid w:val="00BE5DC4"/>
    <w:rsid w:val="00BE6B00"/>
    <w:rsid w:val="00BF0787"/>
    <w:rsid w:val="00BF1112"/>
    <w:rsid w:val="00BF1514"/>
    <w:rsid w:val="00BF3D75"/>
    <w:rsid w:val="00BF503D"/>
    <w:rsid w:val="00BF53B1"/>
    <w:rsid w:val="00C008FB"/>
    <w:rsid w:val="00C01AA0"/>
    <w:rsid w:val="00C02F01"/>
    <w:rsid w:val="00C02FCD"/>
    <w:rsid w:val="00C0390F"/>
    <w:rsid w:val="00C03A0B"/>
    <w:rsid w:val="00C04C9E"/>
    <w:rsid w:val="00C068B9"/>
    <w:rsid w:val="00C06DB7"/>
    <w:rsid w:val="00C079C4"/>
    <w:rsid w:val="00C10284"/>
    <w:rsid w:val="00C11834"/>
    <w:rsid w:val="00C12A6D"/>
    <w:rsid w:val="00C137F3"/>
    <w:rsid w:val="00C13937"/>
    <w:rsid w:val="00C143E7"/>
    <w:rsid w:val="00C14462"/>
    <w:rsid w:val="00C1458C"/>
    <w:rsid w:val="00C1470E"/>
    <w:rsid w:val="00C148ED"/>
    <w:rsid w:val="00C14984"/>
    <w:rsid w:val="00C1568F"/>
    <w:rsid w:val="00C15B64"/>
    <w:rsid w:val="00C163C9"/>
    <w:rsid w:val="00C16978"/>
    <w:rsid w:val="00C16DD4"/>
    <w:rsid w:val="00C16F91"/>
    <w:rsid w:val="00C1737C"/>
    <w:rsid w:val="00C175D7"/>
    <w:rsid w:val="00C1767D"/>
    <w:rsid w:val="00C20C4D"/>
    <w:rsid w:val="00C21813"/>
    <w:rsid w:val="00C229A8"/>
    <w:rsid w:val="00C22DE7"/>
    <w:rsid w:val="00C2417C"/>
    <w:rsid w:val="00C25240"/>
    <w:rsid w:val="00C258DB"/>
    <w:rsid w:val="00C2610A"/>
    <w:rsid w:val="00C263BA"/>
    <w:rsid w:val="00C26A06"/>
    <w:rsid w:val="00C30DC8"/>
    <w:rsid w:val="00C31098"/>
    <w:rsid w:val="00C317D9"/>
    <w:rsid w:val="00C32862"/>
    <w:rsid w:val="00C32AF5"/>
    <w:rsid w:val="00C3348E"/>
    <w:rsid w:val="00C34712"/>
    <w:rsid w:val="00C35758"/>
    <w:rsid w:val="00C36E09"/>
    <w:rsid w:val="00C37E7E"/>
    <w:rsid w:val="00C37F25"/>
    <w:rsid w:val="00C40568"/>
    <w:rsid w:val="00C41760"/>
    <w:rsid w:val="00C44E4A"/>
    <w:rsid w:val="00C459E8"/>
    <w:rsid w:val="00C474C0"/>
    <w:rsid w:val="00C47959"/>
    <w:rsid w:val="00C50973"/>
    <w:rsid w:val="00C511EE"/>
    <w:rsid w:val="00C5473F"/>
    <w:rsid w:val="00C557B5"/>
    <w:rsid w:val="00C57190"/>
    <w:rsid w:val="00C60973"/>
    <w:rsid w:val="00C612BC"/>
    <w:rsid w:val="00C61E74"/>
    <w:rsid w:val="00C634DF"/>
    <w:rsid w:val="00C63C6F"/>
    <w:rsid w:val="00C6426E"/>
    <w:rsid w:val="00C65BE2"/>
    <w:rsid w:val="00C66072"/>
    <w:rsid w:val="00C67D5C"/>
    <w:rsid w:val="00C70B87"/>
    <w:rsid w:val="00C70F29"/>
    <w:rsid w:val="00C719E9"/>
    <w:rsid w:val="00C71A29"/>
    <w:rsid w:val="00C71BD9"/>
    <w:rsid w:val="00C71D3C"/>
    <w:rsid w:val="00C72940"/>
    <w:rsid w:val="00C74D19"/>
    <w:rsid w:val="00C75133"/>
    <w:rsid w:val="00C75185"/>
    <w:rsid w:val="00C76097"/>
    <w:rsid w:val="00C761F4"/>
    <w:rsid w:val="00C766D9"/>
    <w:rsid w:val="00C7709F"/>
    <w:rsid w:val="00C800F9"/>
    <w:rsid w:val="00C805DA"/>
    <w:rsid w:val="00C81E6A"/>
    <w:rsid w:val="00C8244C"/>
    <w:rsid w:val="00C83E4A"/>
    <w:rsid w:val="00C83FF0"/>
    <w:rsid w:val="00C855AD"/>
    <w:rsid w:val="00C85609"/>
    <w:rsid w:val="00C863D0"/>
    <w:rsid w:val="00C87755"/>
    <w:rsid w:val="00C8797D"/>
    <w:rsid w:val="00C87F05"/>
    <w:rsid w:val="00C90F17"/>
    <w:rsid w:val="00C911B3"/>
    <w:rsid w:val="00C91D6D"/>
    <w:rsid w:val="00C91E73"/>
    <w:rsid w:val="00C92CBD"/>
    <w:rsid w:val="00C95A4B"/>
    <w:rsid w:val="00C95BA5"/>
    <w:rsid w:val="00C9603C"/>
    <w:rsid w:val="00C96825"/>
    <w:rsid w:val="00C96DA4"/>
    <w:rsid w:val="00C97CB0"/>
    <w:rsid w:val="00CA1CC5"/>
    <w:rsid w:val="00CA2043"/>
    <w:rsid w:val="00CA2A3E"/>
    <w:rsid w:val="00CA38A5"/>
    <w:rsid w:val="00CA3FC9"/>
    <w:rsid w:val="00CA4A85"/>
    <w:rsid w:val="00CA5462"/>
    <w:rsid w:val="00CA6065"/>
    <w:rsid w:val="00CA6C1B"/>
    <w:rsid w:val="00CB0A2A"/>
    <w:rsid w:val="00CB0C04"/>
    <w:rsid w:val="00CB148A"/>
    <w:rsid w:val="00CB1617"/>
    <w:rsid w:val="00CB3248"/>
    <w:rsid w:val="00CB3896"/>
    <w:rsid w:val="00CB3A4E"/>
    <w:rsid w:val="00CB3F76"/>
    <w:rsid w:val="00CB4F0E"/>
    <w:rsid w:val="00CB5101"/>
    <w:rsid w:val="00CB5221"/>
    <w:rsid w:val="00CB5509"/>
    <w:rsid w:val="00CB596D"/>
    <w:rsid w:val="00CC0171"/>
    <w:rsid w:val="00CC0BD4"/>
    <w:rsid w:val="00CC10C7"/>
    <w:rsid w:val="00CC11FC"/>
    <w:rsid w:val="00CC400A"/>
    <w:rsid w:val="00CC6D66"/>
    <w:rsid w:val="00CC7A6F"/>
    <w:rsid w:val="00CD0EF0"/>
    <w:rsid w:val="00CD12FC"/>
    <w:rsid w:val="00CD19BE"/>
    <w:rsid w:val="00CD26B7"/>
    <w:rsid w:val="00CD30F7"/>
    <w:rsid w:val="00CD3F35"/>
    <w:rsid w:val="00CD56DD"/>
    <w:rsid w:val="00CD58B9"/>
    <w:rsid w:val="00CD6002"/>
    <w:rsid w:val="00CD74AB"/>
    <w:rsid w:val="00CD7D10"/>
    <w:rsid w:val="00CE00A5"/>
    <w:rsid w:val="00CE0C3F"/>
    <w:rsid w:val="00CE46C0"/>
    <w:rsid w:val="00CE7800"/>
    <w:rsid w:val="00CF00A4"/>
    <w:rsid w:val="00CF092C"/>
    <w:rsid w:val="00CF18BD"/>
    <w:rsid w:val="00CF2D0A"/>
    <w:rsid w:val="00CF3595"/>
    <w:rsid w:val="00CF3D3E"/>
    <w:rsid w:val="00CF479B"/>
    <w:rsid w:val="00CF4899"/>
    <w:rsid w:val="00CF4E32"/>
    <w:rsid w:val="00CF7DE0"/>
    <w:rsid w:val="00D005DD"/>
    <w:rsid w:val="00D0102B"/>
    <w:rsid w:val="00D016F6"/>
    <w:rsid w:val="00D01ED8"/>
    <w:rsid w:val="00D0297F"/>
    <w:rsid w:val="00D031E7"/>
    <w:rsid w:val="00D0357F"/>
    <w:rsid w:val="00D061A7"/>
    <w:rsid w:val="00D0667C"/>
    <w:rsid w:val="00D12CBA"/>
    <w:rsid w:val="00D130DD"/>
    <w:rsid w:val="00D13C1F"/>
    <w:rsid w:val="00D1709E"/>
    <w:rsid w:val="00D2065B"/>
    <w:rsid w:val="00D21700"/>
    <w:rsid w:val="00D258C6"/>
    <w:rsid w:val="00D25D9F"/>
    <w:rsid w:val="00D260E3"/>
    <w:rsid w:val="00D26289"/>
    <w:rsid w:val="00D31F0C"/>
    <w:rsid w:val="00D32096"/>
    <w:rsid w:val="00D32E77"/>
    <w:rsid w:val="00D358D0"/>
    <w:rsid w:val="00D363D3"/>
    <w:rsid w:val="00D374F3"/>
    <w:rsid w:val="00D379DE"/>
    <w:rsid w:val="00D40461"/>
    <w:rsid w:val="00D43585"/>
    <w:rsid w:val="00D4567D"/>
    <w:rsid w:val="00D45ACF"/>
    <w:rsid w:val="00D462F8"/>
    <w:rsid w:val="00D50589"/>
    <w:rsid w:val="00D508DF"/>
    <w:rsid w:val="00D51101"/>
    <w:rsid w:val="00D523FB"/>
    <w:rsid w:val="00D52C3B"/>
    <w:rsid w:val="00D52D75"/>
    <w:rsid w:val="00D5305B"/>
    <w:rsid w:val="00D537B9"/>
    <w:rsid w:val="00D537F5"/>
    <w:rsid w:val="00D54C87"/>
    <w:rsid w:val="00D54FEE"/>
    <w:rsid w:val="00D55238"/>
    <w:rsid w:val="00D572D7"/>
    <w:rsid w:val="00D57B96"/>
    <w:rsid w:val="00D6021B"/>
    <w:rsid w:val="00D61572"/>
    <w:rsid w:val="00D61817"/>
    <w:rsid w:val="00D6185F"/>
    <w:rsid w:val="00D6228F"/>
    <w:rsid w:val="00D63462"/>
    <w:rsid w:val="00D63C6D"/>
    <w:rsid w:val="00D65A71"/>
    <w:rsid w:val="00D6683D"/>
    <w:rsid w:val="00D6696C"/>
    <w:rsid w:val="00D66ABD"/>
    <w:rsid w:val="00D66DD4"/>
    <w:rsid w:val="00D705E7"/>
    <w:rsid w:val="00D70F62"/>
    <w:rsid w:val="00D75959"/>
    <w:rsid w:val="00D75F82"/>
    <w:rsid w:val="00D76037"/>
    <w:rsid w:val="00D760C0"/>
    <w:rsid w:val="00D804FB"/>
    <w:rsid w:val="00D8080F"/>
    <w:rsid w:val="00D81346"/>
    <w:rsid w:val="00D82E4B"/>
    <w:rsid w:val="00D83980"/>
    <w:rsid w:val="00D83A88"/>
    <w:rsid w:val="00D84166"/>
    <w:rsid w:val="00D846FE"/>
    <w:rsid w:val="00D852AE"/>
    <w:rsid w:val="00D85497"/>
    <w:rsid w:val="00D859E9"/>
    <w:rsid w:val="00D85FC5"/>
    <w:rsid w:val="00D90537"/>
    <w:rsid w:val="00D909E1"/>
    <w:rsid w:val="00D9154F"/>
    <w:rsid w:val="00D91932"/>
    <w:rsid w:val="00D92C01"/>
    <w:rsid w:val="00D93841"/>
    <w:rsid w:val="00D9489E"/>
    <w:rsid w:val="00D94CFA"/>
    <w:rsid w:val="00D9794E"/>
    <w:rsid w:val="00D97A80"/>
    <w:rsid w:val="00DA0500"/>
    <w:rsid w:val="00DA141F"/>
    <w:rsid w:val="00DA18F6"/>
    <w:rsid w:val="00DA1D46"/>
    <w:rsid w:val="00DA4DBA"/>
    <w:rsid w:val="00DA5260"/>
    <w:rsid w:val="00DA6678"/>
    <w:rsid w:val="00DB06BD"/>
    <w:rsid w:val="00DB0E74"/>
    <w:rsid w:val="00DB1506"/>
    <w:rsid w:val="00DB1958"/>
    <w:rsid w:val="00DB25E9"/>
    <w:rsid w:val="00DB2F6D"/>
    <w:rsid w:val="00DB3170"/>
    <w:rsid w:val="00DB3C2D"/>
    <w:rsid w:val="00DB3FB1"/>
    <w:rsid w:val="00DB4884"/>
    <w:rsid w:val="00DB4BC6"/>
    <w:rsid w:val="00DB5F7A"/>
    <w:rsid w:val="00DB7DEC"/>
    <w:rsid w:val="00DC022B"/>
    <w:rsid w:val="00DC04E9"/>
    <w:rsid w:val="00DC055E"/>
    <w:rsid w:val="00DC179E"/>
    <w:rsid w:val="00DC190C"/>
    <w:rsid w:val="00DC1A09"/>
    <w:rsid w:val="00DC3212"/>
    <w:rsid w:val="00DC3700"/>
    <w:rsid w:val="00DC3BF3"/>
    <w:rsid w:val="00DC4485"/>
    <w:rsid w:val="00DC4FDB"/>
    <w:rsid w:val="00DC5699"/>
    <w:rsid w:val="00DC5731"/>
    <w:rsid w:val="00DC78D3"/>
    <w:rsid w:val="00DD0C72"/>
    <w:rsid w:val="00DD1505"/>
    <w:rsid w:val="00DD1A1A"/>
    <w:rsid w:val="00DD3438"/>
    <w:rsid w:val="00DD579F"/>
    <w:rsid w:val="00DD660E"/>
    <w:rsid w:val="00DE06E4"/>
    <w:rsid w:val="00DE0BC8"/>
    <w:rsid w:val="00DE0C23"/>
    <w:rsid w:val="00DE19B1"/>
    <w:rsid w:val="00DE4058"/>
    <w:rsid w:val="00DE424A"/>
    <w:rsid w:val="00DE45A6"/>
    <w:rsid w:val="00DE4AF0"/>
    <w:rsid w:val="00DE518B"/>
    <w:rsid w:val="00DE561A"/>
    <w:rsid w:val="00DE5DE9"/>
    <w:rsid w:val="00DE67E6"/>
    <w:rsid w:val="00DE74CD"/>
    <w:rsid w:val="00DF0157"/>
    <w:rsid w:val="00DF12B3"/>
    <w:rsid w:val="00DF2124"/>
    <w:rsid w:val="00DF21C9"/>
    <w:rsid w:val="00DF26BE"/>
    <w:rsid w:val="00DF337A"/>
    <w:rsid w:val="00DF4977"/>
    <w:rsid w:val="00DF4A9C"/>
    <w:rsid w:val="00DF56F3"/>
    <w:rsid w:val="00DF5B2C"/>
    <w:rsid w:val="00DF5EC4"/>
    <w:rsid w:val="00DF6BE8"/>
    <w:rsid w:val="00DF7593"/>
    <w:rsid w:val="00DF76AB"/>
    <w:rsid w:val="00E00360"/>
    <w:rsid w:val="00E0036E"/>
    <w:rsid w:val="00E00518"/>
    <w:rsid w:val="00E00F0C"/>
    <w:rsid w:val="00E01278"/>
    <w:rsid w:val="00E01B98"/>
    <w:rsid w:val="00E027BC"/>
    <w:rsid w:val="00E03B09"/>
    <w:rsid w:val="00E052DC"/>
    <w:rsid w:val="00E05305"/>
    <w:rsid w:val="00E05FBF"/>
    <w:rsid w:val="00E06380"/>
    <w:rsid w:val="00E0795D"/>
    <w:rsid w:val="00E108D8"/>
    <w:rsid w:val="00E10FCD"/>
    <w:rsid w:val="00E11735"/>
    <w:rsid w:val="00E120EB"/>
    <w:rsid w:val="00E13CE4"/>
    <w:rsid w:val="00E14950"/>
    <w:rsid w:val="00E162BF"/>
    <w:rsid w:val="00E2079B"/>
    <w:rsid w:val="00E209D9"/>
    <w:rsid w:val="00E21D6C"/>
    <w:rsid w:val="00E22A63"/>
    <w:rsid w:val="00E2391A"/>
    <w:rsid w:val="00E23945"/>
    <w:rsid w:val="00E23A83"/>
    <w:rsid w:val="00E24810"/>
    <w:rsid w:val="00E3000B"/>
    <w:rsid w:val="00E32E1B"/>
    <w:rsid w:val="00E330FC"/>
    <w:rsid w:val="00E33129"/>
    <w:rsid w:val="00E3356E"/>
    <w:rsid w:val="00E33632"/>
    <w:rsid w:val="00E33B00"/>
    <w:rsid w:val="00E35593"/>
    <w:rsid w:val="00E35A7C"/>
    <w:rsid w:val="00E37CB0"/>
    <w:rsid w:val="00E37FA1"/>
    <w:rsid w:val="00E40844"/>
    <w:rsid w:val="00E410CB"/>
    <w:rsid w:val="00E416BE"/>
    <w:rsid w:val="00E42BAA"/>
    <w:rsid w:val="00E42BC6"/>
    <w:rsid w:val="00E43BDA"/>
    <w:rsid w:val="00E44629"/>
    <w:rsid w:val="00E45D23"/>
    <w:rsid w:val="00E51350"/>
    <w:rsid w:val="00E5142F"/>
    <w:rsid w:val="00E51B54"/>
    <w:rsid w:val="00E51E79"/>
    <w:rsid w:val="00E51EB1"/>
    <w:rsid w:val="00E52C53"/>
    <w:rsid w:val="00E52C9F"/>
    <w:rsid w:val="00E54D5A"/>
    <w:rsid w:val="00E54E9F"/>
    <w:rsid w:val="00E557F0"/>
    <w:rsid w:val="00E56D50"/>
    <w:rsid w:val="00E56FE0"/>
    <w:rsid w:val="00E57089"/>
    <w:rsid w:val="00E57557"/>
    <w:rsid w:val="00E578EE"/>
    <w:rsid w:val="00E57924"/>
    <w:rsid w:val="00E607C9"/>
    <w:rsid w:val="00E614F6"/>
    <w:rsid w:val="00E61E4D"/>
    <w:rsid w:val="00E62144"/>
    <w:rsid w:val="00E6611F"/>
    <w:rsid w:val="00E6795A"/>
    <w:rsid w:val="00E71C68"/>
    <w:rsid w:val="00E7244E"/>
    <w:rsid w:val="00E7384B"/>
    <w:rsid w:val="00E73BA8"/>
    <w:rsid w:val="00E74177"/>
    <w:rsid w:val="00E74331"/>
    <w:rsid w:val="00E7525D"/>
    <w:rsid w:val="00E752B8"/>
    <w:rsid w:val="00E75326"/>
    <w:rsid w:val="00E77198"/>
    <w:rsid w:val="00E771D6"/>
    <w:rsid w:val="00E81D34"/>
    <w:rsid w:val="00E8270E"/>
    <w:rsid w:val="00E82BE1"/>
    <w:rsid w:val="00E83893"/>
    <w:rsid w:val="00E83E43"/>
    <w:rsid w:val="00E84C5C"/>
    <w:rsid w:val="00E85551"/>
    <w:rsid w:val="00E864FB"/>
    <w:rsid w:val="00E90C56"/>
    <w:rsid w:val="00E912E4"/>
    <w:rsid w:val="00E923D0"/>
    <w:rsid w:val="00E94B46"/>
    <w:rsid w:val="00E94EFC"/>
    <w:rsid w:val="00E95600"/>
    <w:rsid w:val="00E961F6"/>
    <w:rsid w:val="00E96319"/>
    <w:rsid w:val="00E96911"/>
    <w:rsid w:val="00E96CA4"/>
    <w:rsid w:val="00E97D06"/>
    <w:rsid w:val="00EA0525"/>
    <w:rsid w:val="00EA13AC"/>
    <w:rsid w:val="00EA3803"/>
    <w:rsid w:val="00EA422F"/>
    <w:rsid w:val="00EA4D95"/>
    <w:rsid w:val="00EA5AD7"/>
    <w:rsid w:val="00EA5D3F"/>
    <w:rsid w:val="00EA6200"/>
    <w:rsid w:val="00EA6A11"/>
    <w:rsid w:val="00EA7AAA"/>
    <w:rsid w:val="00EA7DBF"/>
    <w:rsid w:val="00EB0164"/>
    <w:rsid w:val="00EB1022"/>
    <w:rsid w:val="00EB2A79"/>
    <w:rsid w:val="00EB3461"/>
    <w:rsid w:val="00EB3F7A"/>
    <w:rsid w:val="00EB460A"/>
    <w:rsid w:val="00EB48DF"/>
    <w:rsid w:val="00EB549E"/>
    <w:rsid w:val="00EB5668"/>
    <w:rsid w:val="00EB641D"/>
    <w:rsid w:val="00EB6C71"/>
    <w:rsid w:val="00EB6FF5"/>
    <w:rsid w:val="00EB72F3"/>
    <w:rsid w:val="00EC063B"/>
    <w:rsid w:val="00EC0D39"/>
    <w:rsid w:val="00EC0E8D"/>
    <w:rsid w:val="00EC2A17"/>
    <w:rsid w:val="00EC48F7"/>
    <w:rsid w:val="00EC602E"/>
    <w:rsid w:val="00EC707B"/>
    <w:rsid w:val="00ED08D3"/>
    <w:rsid w:val="00ED098C"/>
    <w:rsid w:val="00ED1588"/>
    <w:rsid w:val="00ED2056"/>
    <w:rsid w:val="00ED2726"/>
    <w:rsid w:val="00ED3FB9"/>
    <w:rsid w:val="00ED47F2"/>
    <w:rsid w:val="00ED482B"/>
    <w:rsid w:val="00ED6420"/>
    <w:rsid w:val="00ED680A"/>
    <w:rsid w:val="00ED7BE4"/>
    <w:rsid w:val="00EE02DA"/>
    <w:rsid w:val="00EE03D6"/>
    <w:rsid w:val="00EE1074"/>
    <w:rsid w:val="00EE1418"/>
    <w:rsid w:val="00EE1BC5"/>
    <w:rsid w:val="00EE1E18"/>
    <w:rsid w:val="00EE27CD"/>
    <w:rsid w:val="00EE4884"/>
    <w:rsid w:val="00EE53FD"/>
    <w:rsid w:val="00EE592F"/>
    <w:rsid w:val="00EE638E"/>
    <w:rsid w:val="00EE6ECF"/>
    <w:rsid w:val="00EE704D"/>
    <w:rsid w:val="00EE78FA"/>
    <w:rsid w:val="00EF05A9"/>
    <w:rsid w:val="00EF20FF"/>
    <w:rsid w:val="00EF3D47"/>
    <w:rsid w:val="00EF5759"/>
    <w:rsid w:val="00EF5A82"/>
    <w:rsid w:val="00EF5C40"/>
    <w:rsid w:val="00EF61BE"/>
    <w:rsid w:val="00EF683B"/>
    <w:rsid w:val="00EF694D"/>
    <w:rsid w:val="00EF7B7D"/>
    <w:rsid w:val="00F008AF"/>
    <w:rsid w:val="00F01AC1"/>
    <w:rsid w:val="00F02234"/>
    <w:rsid w:val="00F02E68"/>
    <w:rsid w:val="00F038AC"/>
    <w:rsid w:val="00F03EC6"/>
    <w:rsid w:val="00F0447F"/>
    <w:rsid w:val="00F04C94"/>
    <w:rsid w:val="00F05F1F"/>
    <w:rsid w:val="00F06B96"/>
    <w:rsid w:val="00F10B42"/>
    <w:rsid w:val="00F13B2C"/>
    <w:rsid w:val="00F2106E"/>
    <w:rsid w:val="00F212E6"/>
    <w:rsid w:val="00F21EAA"/>
    <w:rsid w:val="00F231D1"/>
    <w:rsid w:val="00F24E08"/>
    <w:rsid w:val="00F26877"/>
    <w:rsid w:val="00F2720A"/>
    <w:rsid w:val="00F27A98"/>
    <w:rsid w:val="00F27C11"/>
    <w:rsid w:val="00F27C33"/>
    <w:rsid w:val="00F30B64"/>
    <w:rsid w:val="00F319C0"/>
    <w:rsid w:val="00F32999"/>
    <w:rsid w:val="00F3510C"/>
    <w:rsid w:val="00F356E0"/>
    <w:rsid w:val="00F35835"/>
    <w:rsid w:val="00F360B4"/>
    <w:rsid w:val="00F36322"/>
    <w:rsid w:val="00F3657A"/>
    <w:rsid w:val="00F36D93"/>
    <w:rsid w:val="00F379BE"/>
    <w:rsid w:val="00F40AD0"/>
    <w:rsid w:val="00F40AD1"/>
    <w:rsid w:val="00F41197"/>
    <w:rsid w:val="00F42D23"/>
    <w:rsid w:val="00F434A3"/>
    <w:rsid w:val="00F4530F"/>
    <w:rsid w:val="00F46428"/>
    <w:rsid w:val="00F4705D"/>
    <w:rsid w:val="00F4792C"/>
    <w:rsid w:val="00F47C8F"/>
    <w:rsid w:val="00F50EB6"/>
    <w:rsid w:val="00F52205"/>
    <w:rsid w:val="00F53D50"/>
    <w:rsid w:val="00F55B56"/>
    <w:rsid w:val="00F55C38"/>
    <w:rsid w:val="00F55FCD"/>
    <w:rsid w:val="00F56046"/>
    <w:rsid w:val="00F60A55"/>
    <w:rsid w:val="00F61C39"/>
    <w:rsid w:val="00F61FF0"/>
    <w:rsid w:val="00F63DCC"/>
    <w:rsid w:val="00F650BC"/>
    <w:rsid w:val="00F66145"/>
    <w:rsid w:val="00F66893"/>
    <w:rsid w:val="00F67AAC"/>
    <w:rsid w:val="00F67F42"/>
    <w:rsid w:val="00F7087D"/>
    <w:rsid w:val="00F70A58"/>
    <w:rsid w:val="00F7242A"/>
    <w:rsid w:val="00F72456"/>
    <w:rsid w:val="00F73354"/>
    <w:rsid w:val="00F736DE"/>
    <w:rsid w:val="00F73CC8"/>
    <w:rsid w:val="00F7451A"/>
    <w:rsid w:val="00F7567B"/>
    <w:rsid w:val="00F757FE"/>
    <w:rsid w:val="00F75A1D"/>
    <w:rsid w:val="00F75A3B"/>
    <w:rsid w:val="00F75FD9"/>
    <w:rsid w:val="00F76EA4"/>
    <w:rsid w:val="00F7767F"/>
    <w:rsid w:val="00F80687"/>
    <w:rsid w:val="00F8159B"/>
    <w:rsid w:val="00F819B5"/>
    <w:rsid w:val="00F83A64"/>
    <w:rsid w:val="00F84B55"/>
    <w:rsid w:val="00F850C3"/>
    <w:rsid w:val="00F86FEF"/>
    <w:rsid w:val="00F92929"/>
    <w:rsid w:val="00F9300D"/>
    <w:rsid w:val="00F93046"/>
    <w:rsid w:val="00F93ADE"/>
    <w:rsid w:val="00F93ED2"/>
    <w:rsid w:val="00F94275"/>
    <w:rsid w:val="00F9540C"/>
    <w:rsid w:val="00F96909"/>
    <w:rsid w:val="00F96BE7"/>
    <w:rsid w:val="00F97860"/>
    <w:rsid w:val="00FA0144"/>
    <w:rsid w:val="00FA04C8"/>
    <w:rsid w:val="00FA0C3B"/>
    <w:rsid w:val="00FA15DE"/>
    <w:rsid w:val="00FA1892"/>
    <w:rsid w:val="00FA1A4D"/>
    <w:rsid w:val="00FA22E8"/>
    <w:rsid w:val="00FA242E"/>
    <w:rsid w:val="00FA3246"/>
    <w:rsid w:val="00FA32A3"/>
    <w:rsid w:val="00FA3CD9"/>
    <w:rsid w:val="00FA5360"/>
    <w:rsid w:val="00FA56AE"/>
    <w:rsid w:val="00FA57BD"/>
    <w:rsid w:val="00FA6263"/>
    <w:rsid w:val="00FA67A2"/>
    <w:rsid w:val="00FA7377"/>
    <w:rsid w:val="00FB07E8"/>
    <w:rsid w:val="00FB0AB7"/>
    <w:rsid w:val="00FB0D4B"/>
    <w:rsid w:val="00FB1D76"/>
    <w:rsid w:val="00FB41D0"/>
    <w:rsid w:val="00FB5057"/>
    <w:rsid w:val="00FB563A"/>
    <w:rsid w:val="00FB5974"/>
    <w:rsid w:val="00FB5EFC"/>
    <w:rsid w:val="00FB693F"/>
    <w:rsid w:val="00FB6CCD"/>
    <w:rsid w:val="00FB6E50"/>
    <w:rsid w:val="00FB77F8"/>
    <w:rsid w:val="00FB781D"/>
    <w:rsid w:val="00FB797D"/>
    <w:rsid w:val="00FB7F10"/>
    <w:rsid w:val="00FC17D1"/>
    <w:rsid w:val="00FC2989"/>
    <w:rsid w:val="00FC317B"/>
    <w:rsid w:val="00FC4180"/>
    <w:rsid w:val="00FC44DA"/>
    <w:rsid w:val="00FC563E"/>
    <w:rsid w:val="00FC5A79"/>
    <w:rsid w:val="00FC70C6"/>
    <w:rsid w:val="00FC7461"/>
    <w:rsid w:val="00FD0147"/>
    <w:rsid w:val="00FD0D52"/>
    <w:rsid w:val="00FD3722"/>
    <w:rsid w:val="00FD3968"/>
    <w:rsid w:val="00FD5BCD"/>
    <w:rsid w:val="00FD5F6F"/>
    <w:rsid w:val="00FD6B50"/>
    <w:rsid w:val="00FD7653"/>
    <w:rsid w:val="00FE0B1F"/>
    <w:rsid w:val="00FE133A"/>
    <w:rsid w:val="00FE1700"/>
    <w:rsid w:val="00FE19B4"/>
    <w:rsid w:val="00FE1F24"/>
    <w:rsid w:val="00FE2F91"/>
    <w:rsid w:val="00FE36D9"/>
    <w:rsid w:val="00FE3E45"/>
    <w:rsid w:val="00FE3FF0"/>
    <w:rsid w:val="00FE4996"/>
    <w:rsid w:val="00FE60E1"/>
    <w:rsid w:val="00FF0399"/>
    <w:rsid w:val="00FF19FF"/>
    <w:rsid w:val="00FF27E1"/>
    <w:rsid w:val="00FF51B5"/>
    <w:rsid w:val="00FF583F"/>
    <w:rsid w:val="00FF6C25"/>
    <w:rsid w:val="00FF75F0"/>
    <w:rsid w:val="01072BC9"/>
    <w:rsid w:val="010E116F"/>
    <w:rsid w:val="0134273F"/>
    <w:rsid w:val="013637D1"/>
    <w:rsid w:val="013730A5"/>
    <w:rsid w:val="014454E4"/>
    <w:rsid w:val="01463E5F"/>
    <w:rsid w:val="014D48BC"/>
    <w:rsid w:val="014E1610"/>
    <w:rsid w:val="015955C9"/>
    <w:rsid w:val="016607E5"/>
    <w:rsid w:val="017A00DB"/>
    <w:rsid w:val="017A0FBF"/>
    <w:rsid w:val="01847B07"/>
    <w:rsid w:val="0186033F"/>
    <w:rsid w:val="0196740A"/>
    <w:rsid w:val="01977E8B"/>
    <w:rsid w:val="01AD4741"/>
    <w:rsid w:val="01AE3620"/>
    <w:rsid w:val="01CB6255"/>
    <w:rsid w:val="01CD6B64"/>
    <w:rsid w:val="01CF004F"/>
    <w:rsid w:val="01DA6C0D"/>
    <w:rsid w:val="01DF0C11"/>
    <w:rsid w:val="01E00BEF"/>
    <w:rsid w:val="01E47572"/>
    <w:rsid w:val="01E801F1"/>
    <w:rsid w:val="01F83619"/>
    <w:rsid w:val="020A5807"/>
    <w:rsid w:val="022B2149"/>
    <w:rsid w:val="02331731"/>
    <w:rsid w:val="02345D2D"/>
    <w:rsid w:val="02454FC2"/>
    <w:rsid w:val="02462694"/>
    <w:rsid w:val="02594A4D"/>
    <w:rsid w:val="02643DF6"/>
    <w:rsid w:val="02647BC5"/>
    <w:rsid w:val="02AB6DC3"/>
    <w:rsid w:val="02AF41A7"/>
    <w:rsid w:val="02B07D32"/>
    <w:rsid w:val="02C3783E"/>
    <w:rsid w:val="02C40EF4"/>
    <w:rsid w:val="02E9492F"/>
    <w:rsid w:val="02F94FAB"/>
    <w:rsid w:val="02FA7CBC"/>
    <w:rsid w:val="03137152"/>
    <w:rsid w:val="031373EA"/>
    <w:rsid w:val="0318037A"/>
    <w:rsid w:val="031C5327"/>
    <w:rsid w:val="031C616A"/>
    <w:rsid w:val="03226A97"/>
    <w:rsid w:val="033D397C"/>
    <w:rsid w:val="0342280F"/>
    <w:rsid w:val="0355453B"/>
    <w:rsid w:val="03591FEB"/>
    <w:rsid w:val="036A299C"/>
    <w:rsid w:val="037C481F"/>
    <w:rsid w:val="038635E3"/>
    <w:rsid w:val="038C5CF7"/>
    <w:rsid w:val="03AC4D3B"/>
    <w:rsid w:val="03CE77BF"/>
    <w:rsid w:val="03E90E66"/>
    <w:rsid w:val="03E93AAE"/>
    <w:rsid w:val="03EF3ED4"/>
    <w:rsid w:val="04081A9F"/>
    <w:rsid w:val="041605C9"/>
    <w:rsid w:val="041725A0"/>
    <w:rsid w:val="042B390F"/>
    <w:rsid w:val="04345BD9"/>
    <w:rsid w:val="04374B06"/>
    <w:rsid w:val="04413EA9"/>
    <w:rsid w:val="0447540E"/>
    <w:rsid w:val="044D0D34"/>
    <w:rsid w:val="0455519A"/>
    <w:rsid w:val="045F7578"/>
    <w:rsid w:val="04635A67"/>
    <w:rsid w:val="04682B68"/>
    <w:rsid w:val="046F07F9"/>
    <w:rsid w:val="04886C9F"/>
    <w:rsid w:val="04902965"/>
    <w:rsid w:val="04974D34"/>
    <w:rsid w:val="04A10306"/>
    <w:rsid w:val="04A1554F"/>
    <w:rsid w:val="04A37E60"/>
    <w:rsid w:val="04A6014B"/>
    <w:rsid w:val="04AB5770"/>
    <w:rsid w:val="04B43609"/>
    <w:rsid w:val="04C2742E"/>
    <w:rsid w:val="04CF6CB7"/>
    <w:rsid w:val="04E54758"/>
    <w:rsid w:val="04F502D7"/>
    <w:rsid w:val="04FC5047"/>
    <w:rsid w:val="04FE5A5E"/>
    <w:rsid w:val="04FF44A6"/>
    <w:rsid w:val="050F2B10"/>
    <w:rsid w:val="0513374D"/>
    <w:rsid w:val="05156F25"/>
    <w:rsid w:val="05177D91"/>
    <w:rsid w:val="05296AA2"/>
    <w:rsid w:val="053503DF"/>
    <w:rsid w:val="05367D24"/>
    <w:rsid w:val="053706B4"/>
    <w:rsid w:val="053962D1"/>
    <w:rsid w:val="05421E3E"/>
    <w:rsid w:val="0544567B"/>
    <w:rsid w:val="05553C63"/>
    <w:rsid w:val="055579F4"/>
    <w:rsid w:val="055C0B0F"/>
    <w:rsid w:val="05770A7A"/>
    <w:rsid w:val="05846059"/>
    <w:rsid w:val="05896C46"/>
    <w:rsid w:val="05935FD9"/>
    <w:rsid w:val="05991F0C"/>
    <w:rsid w:val="05B363BA"/>
    <w:rsid w:val="05B47FC2"/>
    <w:rsid w:val="05DC24C5"/>
    <w:rsid w:val="05DF58BD"/>
    <w:rsid w:val="05E85464"/>
    <w:rsid w:val="05F30D49"/>
    <w:rsid w:val="060A2C10"/>
    <w:rsid w:val="060E052E"/>
    <w:rsid w:val="060F20BC"/>
    <w:rsid w:val="06114AEE"/>
    <w:rsid w:val="06122036"/>
    <w:rsid w:val="06335BB4"/>
    <w:rsid w:val="06507617"/>
    <w:rsid w:val="065145E0"/>
    <w:rsid w:val="06515AA2"/>
    <w:rsid w:val="06535488"/>
    <w:rsid w:val="065F69F9"/>
    <w:rsid w:val="067F04FE"/>
    <w:rsid w:val="068B2621"/>
    <w:rsid w:val="068C7071"/>
    <w:rsid w:val="069C4DF3"/>
    <w:rsid w:val="069E0344"/>
    <w:rsid w:val="06C06944"/>
    <w:rsid w:val="06EB0BBA"/>
    <w:rsid w:val="06F0593C"/>
    <w:rsid w:val="06F250E2"/>
    <w:rsid w:val="070B4E2F"/>
    <w:rsid w:val="07101A0D"/>
    <w:rsid w:val="07183A27"/>
    <w:rsid w:val="07192438"/>
    <w:rsid w:val="07264476"/>
    <w:rsid w:val="07324B33"/>
    <w:rsid w:val="07376F0A"/>
    <w:rsid w:val="073A1CF8"/>
    <w:rsid w:val="0740441E"/>
    <w:rsid w:val="074A5471"/>
    <w:rsid w:val="074D2406"/>
    <w:rsid w:val="075500D4"/>
    <w:rsid w:val="075950A2"/>
    <w:rsid w:val="07736BBF"/>
    <w:rsid w:val="077749E1"/>
    <w:rsid w:val="078D4515"/>
    <w:rsid w:val="078F4BC3"/>
    <w:rsid w:val="07910E13"/>
    <w:rsid w:val="079447BC"/>
    <w:rsid w:val="07991CFA"/>
    <w:rsid w:val="079C6CE2"/>
    <w:rsid w:val="079D1E06"/>
    <w:rsid w:val="07A07CCF"/>
    <w:rsid w:val="07A11279"/>
    <w:rsid w:val="07A26F09"/>
    <w:rsid w:val="07A33546"/>
    <w:rsid w:val="07AC5065"/>
    <w:rsid w:val="07B427B3"/>
    <w:rsid w:val="07CC3E03"/>
    <w:rsid w:val="07D52579"/>
    <w:rsid w:val="07DB1424"/>
    <w:rsid w:val="07DB3767"/>
    <w:rsid w:val="07DD4C94"/>
    <w:rsid w:val="07EE31EA"/>
    <w:rsid w:val="07EE5028"/>
    <w:rsid w:val="07F06807"/>
    <w:rsid w:val="07FC18F9"/>
    <w:rsid w:val="080A17B2"/>
    <w:rsid w:val="08111275"/>
    <w:rsid w:val="0819697C"/>
    <w:rsid w:val="081B5293"/>
    <w:rsid w:val="082C03AD"/>
    <w:rsid w:val="082D3604"/>
    <w:rsid w:val="08384674"/>
    <w:rsid w:val="083A3DAE"/>
    <w:rsid w:val="084C72FC"/>
    <w:rsid w:val="086342F7"/>
    <w:rsid w:val="08670714"/>
    <w:rsid w:val="08893F27"/>
    <w:rsid w:val="089569AB"/>
    <w:rsid w:val="08995FD6"/>
    <w:rsid w:val="08A35EC0"/>
    <w:rsid w:val="08AA301C"/>
    <w:rsid w:val="08C31689"/>
    <w:rsid w:val="08D75769"/>
    <w:rsid w:val="08F13265"/>
    <w:rsid w:val="08F40041"/>
    <w:rsid w:val="08FD2A5F"/>
    <w:rsid w:val="09016589"/>
    <w:rsid w:val="091D6CF0"/>
    <w:rsid w:val="0922288B"/>
    <w:rsid w:val="09243B38"/>
    <w:rsid w:val="0925515D"/>
    <w:rsid w:val="0939268C"/>
    <w:rsid w:val="093F0D49"/>
    <w:rsid w:val="095274E3"/>
    <w:rsid w:val="095A10AA"/>
    <w:rsid w:val="09695FE4"/>
    <w:rsid w:val="096A3D03"/>
    <w:rsid w:val="096F77AB"/>
    <w:rsid w:val="0976724F"/>
    <w:rsid w:val="09817A41"/>
    <w:rsid w:val="098418F8"/>
    <w:rsid w:val="098717F0"/>
    <w:rsid w:val="09875884"/>
    <w:rsid w:val="098B203F"/>
    <w:rsid w:val="098E5D21"/>
    <w:rsid w:val="09937C29"/>
    <w:rsid w:val="099F3AD2"/>
    <w:rsid w:val="09B85DCD"/>
    <w:rsid w:val="09BD4029"/>
    <w:rsid w:val="09F71725"/>
    <w:rsid w:val="0A151164"/>
    <w:rsid w:val="0A2B1203"/>
    <w:rsid w:val="0A2C00AF"/>
    <w:rsid w:val="0A3B3174"/>
    <w:rsid w:val="0A423D51"/>
    <w:rsid w:val="0A440816"/>
    <w:rsid w:val="0A4A3C85"/>
    <w:rsid w:val="0A4B26FA"/>
    <w:rsid w:val="0A5C460A"/>
    <w:rsid w:val="0A5C5FFD"/>
    <w:rsid w:val="0A7B1752"/>
    <w:rsid w:val="0A893404"/>
    <w:rsid w:val="0A8A1890"/>
    <w:rsid w:val="0A8A6954"/>
    <w:rsid w:val="0A8D326A"/>
    <w:rsid w:val="0A8E408C"/>
    <w:rsid w:val="0A9045B8"/>
    <w:rsid w:val="0AA7028E"/>
    <w:rsid w:val="0AB1033C"/>
    <w:rsid w:val="0AB50304"/>
    <w:rsid w:val="0ABA16AB"/>
    <w:rsid w:val="0ABE6B7B"/>
    <w:rsid w:val="0ABE753E"/>
    <w:rsid w:val="0B1E14D5"/>
    <w:rsid w:val="0B393D52"/>
    <w:rsid w:val="0B413222"/>
    <w:rsid w:val="0B5A6A9F"/>
    <w:rsid w:val="0B614F2E"/>
    <w:rsid w:val="0B632419"/>
    <w:rsid w:val="0B747497"/>
    <w:rsid w:val="0B7F7B23"/>
    <w:rsid w:val="0B917AB0"/>
    <w:rsid w:val="0B9D0163"/>
    <w:rsid w:val="0BA20C36"/>
    <w:rsid w:val="0BA92AC1"/>
    <w:rsid w:val="0BCC695A"/>
    <w:rsid w:val="0BD24F4C"/>
    <w:rsid w:val="0BEB5B47"/>
    <w:rsid w:val="0BF667A5"/>
    <w:rsid w:val="0BF80ED9"/>
    <w:rsid w:val="0BFD1539"/>
    <w:rsid w:val="0C3D6FC1"/>
    <w:rsid w:val="0C44349B"/>
    <w:rsid w:val="0C464CCD"/>
    <w:rsid w:val="0C5C6821"/>
    <w:rsid w:val="0C615ED5"/>
    <w:rsid w:val="0C660965"/>
    <w:rsid w:val="0C761D1B"/>
    <w:rsid w:val="0C762B27"/>
    <w:rsid w:val="0C78622B"/>
    <w:rsid w:val="0C804F30"/>
    <w:rsid w:val="0C9672DC"/>
    <w:rsid w:val="0C9A6165"/>
    <w:rsid w:val="0CA8444D"/>
    <w:rsid w:val="0CAA0A25"/>
    <w:rsid w:val="0CAD339C"/>
    <w:rsid w:val="0CB11960"/>
    <w:rsid w:val="0CC70892"/>
    <w:rsid w:val="0CC71613"/>
    <w:rsid w:val="0CCA5ECC"/>
    <w:rsid w:val="0CDF4705"/>
    <w:rsid w:val="0CE0131F"/>
    <w:rsid w:val="0CF21717"/>
    <w:rsid w:val="0CF5481D"/>
    <w:rsid w:val="0D0C5139"/>
    <w:rsid w:val="0D1300F1"/>
    <w:rsid w:val="0D1E35A8"/>
    <w:rsid w:val="0D27623B"/>
    <w:rsid w:val="0D375A3B"/>
    <w:rsid w:val="0D451B64"/>
    <w:rsid w:val="0D470498"/>
    <w:rsid w:val="0D503AD9"/>
    <w:rsid w:val="0D67077A"/>
    <w:rsid w:val="0D740BB5"/>
    <w:rsid w:val="0D7869BB"/>
    <w:rsid w:val="0D7F6482"/>
    <w:rsid w:val="0D880787"/>
    <w:rsid w:val="0D8C65C7"/>
    <w:rsid w:val="0D8C7983"/>
    <w:rsid w:val="0D940652"/>
    <w:rsid w:val="0D955512"/>
    <w:rsid w:val="0D9852B1"/>
    <w:rsid w:val="0D9D2876"/>
    <w:rsid w:val="0DAF67D6"/>
    <w:rsid w:val="0DD6008C"/>
    <w:rsid w:val="0DE65DD9"/>
    <w:rsid w:val="0DF7188C"/>
    <w:rsid w:val="0DFE36BF"/>
    <w:rsid w:val="0E0000B1"/>
    <w:rsid w:val="0E021DBB"/>
    <w:rsid w:val="0E0D1676"/>
    <w:rsid w:val="0E12568D"/>
    <w:rsid w:val="0E24718D"/>
    <w:rsid w:val="0E3434E7"/>
    <w:rsid w:val="0E3F3055"/>
    <w:rsid w:val="0E4B57D9"/>
    <w:rsid w:val="0E4B713D"/>
    <w:rsid w:val="0E517B4F"/>
    <w:rsid w:val="0E523CF5"/>
    <w:rsid w:val="0E59649E"/>
    <w:rsid w:val="0E5F7A2D"/>
    <w:rsid w:val="0E844162"/>
    <w:rsid w:val="0E920027"/>
    <w:rsid w:val="0E935CC1"/>
    <w:rsid w:val="0E994EEE"/>
    <w:rsid w:val="0EA12E4D"/>
    <w:rsid w:val="0EB17323"/>
    <w:rsid w:val="0EB43DBB"/>
    <w:rsid w:val="0EBC76A0"/>
    <w:rsid w:val="0EC971CC"/>
    <w:rsid w:val="0EE13AD5"/>
    <w:rsid w:val="0F016A7C"/>
    <w:rsid w:val="0F6C6657"/>
    <w:rsid w:val="0F6F2D00"/>
    <w:rsid w:val="0F70503F"/>
    <w:rsid w:val="0F71160B"/>
    <w:rsid w:val="0F7930DB"/>
    <w:rsid w:val="0F7D335D"/>
    <w:rsid w:val="0F843DD3"/>
    <w:rsid w:val="0F854118"/>
    <w:rsid w:val="0F90441A"/>
    <w:rsid w:val="0F906EC7"/>
    <w:rsid w:val="0FAD6552"/>
    <w:rsid w:val="0FAF39DA"/>
    <w:rsid w:val="0FBA5144"/>
    <w:rsid w:val="0FBF79EE"/>
    <w:rsid w:val="0FD95B6D"/>
    <w:rsid w:val="0FDC788D"/>
    <w:rsid w:val="0FE930F6"/>
    <w:rsid w:val="0FFF1745"/>
    <w:rsid w:val="10003A3A"/>
    <w:rsid w:val="1012169A"/>
    <w:rsid w:val="10164AB3"/>
    <w:rsid w:val="10285B2E"/>
    <w:rsid w:val="103B43FE"/>
    <w:rsid w:val="103F3491"/>
    <w:rsid w:val="105064B5"/>
    <w:rsid w:val="10506B92"/>
    <w:rsid w:val="10654D44"/>
    <w:rsid w:val="10750E5D"/>
    <w:rsid w:val="108735A8"/>
    <w:rsid w:val="108E298B"/>
    <w:rsid w:val="10AE67BB"/>
    <w:rsid w:val="10B06837"/>
    <w:rsid w:val="10C672B3"/>
    <w:rsid w:val="10C97F19"/>
    <w:rsid w:val="10CD72F0"/>
    <w:rsid w:val="10E13C97"/>
    <w:rsid w:val="10F14166"/>
    <w:rsid w:val="110051BC"/>
    <w:rsid w:val="110D7760"/>
    <w:rsid w:val="11267536"/>
    <w:rsid w:val="112E600F"/>
    <w:rsid w:val="11477CDE"/>
    <w:rsid w:val="114F3179"/>
    <w:rsid w:val="115C719F"/>
    <w:rsid w:val="11600CCE"/>
    <w:rsid w:val="116F7BF9"/>
    <w:rsid w:val="118B50C9"/>
    <w:rsid w:val="11A51BFB"/>
    <w:rsid w:val="11A92569"/>
    <w:rsid w:val="11B31254"/>
    <w:rsid w:val="11BE4211"/>
    <w:rsid w:val="11BF62C4"/>
    <w:rsid w:val="11C3155A"/>
    <w:rsid w:val="11D97A28"/>
    <w:rsid w:val="11DC7679"/>
    <w:rsid w:val="11EA37F8"/>
    <w:rsid w:val="11F03ABA"/>
    <w:rsid w:val="11F20BA2"/>
    <w:rsid w:val="12170E35"/>
    <w:rsid w:val="12210F7C"/>
    <w:rsid w:val="12252013"/>
    <w:rsid w:val="12406F23"/>
    <w:rsid w:val="124B1D04"/>
    <w:rsid w:val="124D6D43"/>
    <w:rsid w:val="12587C0C"/>
    <w:rsid w:val="12603983"/>
    <w:rsid w:val="1274117C"/>
    <w:rsid w:val="12756173"/>
    <w:rsid w:val="12763A50"/>
    <w:rsid w:val="12827FB6"/>
    <w:rsid w:val="128F7B7C"/>
    <w:rsid w:val="12955477"/>
    <w:rsid w:val="1296443B"/>
    <w:rsid w:val="12A61E39"/>
    <w:rsid w:val="12A8148F"/>
    <w:rsid w:val="12A97DFA"/>
    <w:rsid w:val="12AC3ED5"/>
    <w:rsid w:val="12AF178B"/>
    <w:rsid w:val="12B369EB"/>
    <w:rsid w:val="12BD1DD6"/>
    <w:rsid w:val="12C44A5B"/>
    <w:rsid w:val="12D04FA7"/>
    <w:rsid w:val="130472E9"/>
    <w:rsid w:val="13076D7C"/>
    <w:rsid w:val="130A5B09"/>
    <w:rsid w:val="13264807"/>
    <w:rsid w:val="132A6D45"/>
    <w:rsid w:val="13314C74"/>
    <w:rsid w:val="133607ED"/>
    <w:rsid w:val="1340265F"/>
    <w:rsid w:val="13403909"/>
    <w:rsid w:val="135C2BEC"/>
    <w:rsid w:val="135D699C"/>
    <w:rsid w:val="137A7A61"/>
    <w:rsid w:val="137B7731"/>
    <w:rsid w:val="138B009B"/>
    <w:rsid w:val="138C1FDC"/>
    <w:rsid w:val="13A311E4"/>
    <w:rsid w:val="13A7651F"/>
    <w:rsid w:val="13B55C54"/>
    <w:rsid w:val="13B665FD"/>
    <w:rsid w:val="13BA67A7"/>
    <w:rsid w:val="13D26FE0"/>
    <w:rsid w:val="13D326B5"/>
    <w:rsid w:val="13E87ADD"/>
    <w:rsid w:val="13EC5C53"/>
    <w:rsid w:val="14014AD5"/>
    <w:rsid w:val="141109B8"/>
    <w:rsid w:val="14707359"/>
    <w:rsid w:val="14897E53"/>
    <w:rsid w:val="14AD5CA3"/>
    <w:rsid w:val="14B300F8"/>
    <w:rsid w:val="14B50DF4"/>
    <w:rsid w:val="14BF12D4"/>
    <w:rsid w:val="14C44872"/>
    <w:rsid w:val="14CD7B51"/>
    <w:rsid w:val="14CE63F3"/>
    <w:rsid w:val="14D0088E"/>
    <w:rsid w:val="14DD7F14"/>
    <w:rsid w:val="14E95480"/>
    <w:rsid w:val="14F04F3A"/>
    <w:rsid w:val="14F93A80"/>
    <w:rsid w:val="152B4021"/>
    <w:rsid w:val="153B6BE8"/>
    <w:rsid w:val="1545763E"/>
    <w:rsid w:val="15595F34"/>
    <w:rsid w:val="15616075"/>
    <w:rsid w:val="1567235D"/>
    <w:rsid w:val="156D0120"/>
    <w:rsid w:val="15A8082A"/>
    <w:rsid w:val="15B14D30"/>
    <w:rsid w:val="15C63490"/>
    <w:rsid w:val="15D21536"/>
    <w:rsid w:val="15D2240E"/>
    <w:rsid w:val="15DC7D47"/>
    <w:rsid w:val="15EA3945"/>
    <w:rsid w:val="15EC3400"/>
    <w:rsid w:val="15F86E89"/>
    <w:rsid w:val="15FB7968"/>
    <w:rsid w:val="160A48B6"/>
    <w:rsid w:val="161C4BF3"/>
    <w:rsid w:val="162D36DA"/>
    <w:rsid w:val="16302F4C"/>
    <w:rsid w:val="16316383"/>
    <w:rsid w:val="16373297"/>
    <w:rsid w:val="167130A6"/>
    <w:rsid w:val="16752047"/>
    <w:rsid w:val="16825C85"/>
    <w:rsid w:val="168C325D"/>
    <w:rsid w:val="169E4F81"/>
    <w:rsid w:val="16A25118"/>
    <w:rsid w:val="16B05DF5"/>
    <w:rsid w:val="16BA45AC"/>
    <w:rsid w:val="16D20DC8"/>
    <w:rsid w:val="16E878A5"/>
    <w:rsid w:val="16EC651D"/>
    <w:rsid w:val="16ED048D"/>
    <w:rsid w:val="16F74275"/>
    <w:rsid w:val="16FE4722"/>
    <w:rsid w:val="170E3516"/>
    <w:rsid w:val="171259C8"/>
    <w:rsid w:val="17262B24"/>
    <w:rsid w:val="17296C52"/>
    <w:rsid w:val="173A174D"/>
    <w:rsid w:val="174D49E1"/>
    <w:rsid w:val="17664E50"/>
    <w:rsid w:val="17676F95"/>
    <w:rsid w:val="176C42B6"/>
    <w:rsid w:val="177A5A2B"/>
    <w:rsid w:val="1786241C"/>
    <w:rsid w:val="179771BA"/>
    <w:rsid w:val="179E066E"/>
    <w:rsid w:val="179E7D61"/>
    <w:rsid w:val="17A97DC9"/>
    <w:rsid w:val="17AA2F8C"/>
    <w:rsid w:val="17AD7429"/>
    <w:rsid w:val="17B5379E"/>
    <w:rsid w:val="17CC7D56"/>
    <w:rsid w:val="17D4283A"/>
    <w:rsid w:val="17D45DB2"/>
    <w:rsid w:val="17DD6795"/>
    <w:rsid w:val="17FA2B86"/>
    <w:rsid w:val="17FD64EB"/>
    <w:rsid w:val="18072BE0"/>
    <w:rsid w:val="181F269E"/>
    <w:rsid w:val="1833268C"/>
    <w:rsid w:val="183465AE"/>
    <w:rsid w:val="185B7338"/>
    <w:rsid w:val="18867860"/>
    <w:rsid w:val="18880A45"/>
    <w:rsid w:val="18981FF3"/>
    <w:rsid w:val="18A954A3"/>
    <w:rsid w:val="18B70577"/>
    <w:rsid w:val="18BC7DAC"/>
    <w:rsid w:val="18BE755B"/>
    <w:rsid w:val="18C256A0"/>
    <w:rsid w:val="18CC680E"/>
    <w:rsid w:val="18D07C10"/>
    <w:rsid w:val="18D60A6E"/>
    <w:rsid w:val="18E04D61"/>
    <w:rsid w:val="18F134C7"/>
    <w:rsid w:val="1907506E"/>
    <w:rsid w:val="190C20A7"/>
    <w:rsid w:val="19242963"/>
    <w:rsid w:val="19246F28"/>
    <w:rsid w:val="193D5C55"/>
    <w:rsid w:val="194B11AE"/>
    <w:rsid w:val="1952108D"/>
    <w:rsid w:val="19530C33"/>
    <w:rsid w:val="19637CDE"/>
    <w:rsid w:val="19710B78"/>
    <w:rsid w:val="19792055"/>
    <w:rsid w:val="197A7B42"/>
    <w:rsid w:val="197A7C78"/>
    <w:rsid w:val="198B0FB5"/>
    <w:rsid w:val="19A65C31"/>
    <w:rsid w:val="19A67C8E"/>
    <w:rsid w:val="19A852F2"/>
    <w:rsid w:val="19AA797D"/>
    <w:rsid w:val="19AC6257"/>
    <w:rsid w:val="19AE00CE"/>
    <w:rsid w:val="19BD0514"/>
    <w:rsid w:val="19D62E09"/>
    <w:rsid w:val="19E4797E"/>
    <w:rsid w:val="19EB653D"/>
    <w:rsid w:val="19F63A93"/>
    <w:rsid w:val="19F7259E"/>
    <w:rsid w:val="19FA2EBE"/>
    <w:rsid w:val="19FB0226"/>
    <w:rsid w:val="19FF602A"/>
    <w:rsid w:val="1A0B1EEC"/>
    <w:rsid w:val="1A106B09"/>
    <w:rsid w:val="1A151C8D"/>
    <w:rsid w:val="1A1757AA"/>
    <w:rsid w:val="1A392682"/>
    <w:rsid w:val="1A3D60BD"/>
    <w:rsid w:val="1A7018C9"/>
    <w:rsid w:val="1A744F8D"/>
    <w:rsid w:val="1A76471B"/>
    <w:rsid w:val="1A8D59C2"/>
    <w:rsid w:val="1A930AE4"/>
    <w:rsid w:val="1A9B1488"/>
    <w:rsid w:val="1AA22763"/>
    <w:rsid w:val="1AB5234F"/>
    <w:rsid w:val="1AB543C8"/>
    <w:rsid w:val="1AC904F0"/>
    <w:rsid w:val="1AD20279"/>
    <w:rsid w:val="1AD62319"/>
    <w:rsid w:val="1AEA2E55"/>
    <w:rsid w:val="1AEE4FE5"/>
    <w:rsid w:val="1B017C12"/>
    <w:rsid w:val="1B043BEF"/>
    <w:rsid w:val="1B187533"/>
    <w:rsid w:val="1B197529"/>
    <w:rsid w:val="1B263796"/>
    <w:rsid w:val="1B291471"/>
    <w:rsid w:val="1B2F67A3"/>
    <w:rsid w:val="1B3321B3"/>
    <w:rsid w:val="1B3B3AC6"/>
    <w:rsid w:val="1B4053B3"/>
    <w:rsid w:val="1B477F5B"/>
    <w:rsid w:val="1B56603D"/>
    <w:rsid w:val="1B687F3D"/>
    <w:rsid w:val="1B694E2A"/>
    <w:rsid w:val="1B6A5104"/>
    <w:rsid w:val="1B824367"/>
    <w:rsid w:val="1BB94B75"/>
    <w:rsid w:val="1BBC14A7"/>
    <w:rsid w:val="1BBE6C1F"/>
    <w:rsid w:val="1BEB357C"/>
    <w:rsid w:val="1BEF7785"/>
    <w:rsid w:val="1BFB4258"/>
    <w:rsid w:val="1C017601"/>
    <w:rsid w:val="1C1B0BD5"/>
    <w:rsid w:val="1C1C2B4A"/>
    <w:rsid w:val="1C262C06"/>
    <w:rsid w:val="1C316C17"/>
    <w:rsid w:val="1C3600CA"/>
    <w:rsid w:val="1C4714B0"/>
    <w:rsid w:val="1C6E5776"/>
    <w:rsid w:val="1C740A55"/>
    <w:rsid w:val="1C772355"/>
    <w:rsid w:val="1C7B7942"/>
    <w:rsid w:val="1C845483"/>
    <w:rsid w:val="1C882F84"/>
    <w:rsid w:val="1C8A5255"/>
    <w:rsid w:val="1C9922C8"/>
    <w:rsid w:val="1CAF0758"/>
    <w:rsid w:val="1CD24E95"/>
    <w:rsid w:val="1CE17F24"/>
    <w:rsid w:val="1CE77484"/>
    <w:rsid w:val="1CFF3C10"/>
    <w:rsid w:val="1D0F718B"/>
    <w:rsid w:val="1D127D2F"/>
    <w:rsid w:val="1D150A2F"/>
    <w:rsid w:val="1D1A7DA5"/>
    <w:rsid w:val="1D1D719C"/>
    <w:rsid w:val="1D302EA2"/>
    <w:rsid w:val="1D374E75"/>
    <w:rsid w:val="1D613974"/>
    <w:rsid w:val="1D687203"/>
    <w:rsid w:val="1D7A3EC0"/>
    <w:rsid w:val="1D7A6EB0"/>
    <w:rsid w:val="1D856627"/>
    <w:rsid w:val="1D8F6020"/>
    <w:rsid w:val="1D9346F0"/>
    <w:rsid w:val="1DA23729"/>
    <w:rsid w:val="1DA74AFE"/>
    <w:rsid w:val="1DBE046C"/>
    <w:rsid w:val="1DC15F91"/>
    <w:rsid w:val="1DC339D2"/>
    <w:rsid w:val="1DC7329F"/>
    <w:rsid w:val="1DCC3C07"/>
    <w:rsid w:val="1DD43877"/>
    <w:rsid w:val="1DD72904"/>
    <w:rsid w:val="1DDB53EA"/>
    <w:rsid w:val="1DE413DC"/>
    <w:rsid w:val="1DE57225"/>
    <w:rsid w:val="1DEB6B4E"/>
    <w:rsid w:val="1DEE09EF"/>
    <w:rsid w:val="1DF15F7D"/>
    <w:rsid w:val="1E0212E4"/>
    <w:rsid w:val="1E173700"/>
    <w:rsid w:val="1E1D7A2A"/>
    <w:rsid w:val="1E1F6847"/>
    <w:rsid w:val="1E363B2D"/>
    <w:rsid w:val="1E43092C"/>
    <w:rsid w:val="1E6B115A"/>
    <w:rsid w:val="1E6F00A1"/>
    <w:rsid w:val="1E76560B"/>
    <w:rsid w:val="1E845440"/>
    <w:rsid w:val="1E8E1C3D"/>
    <w:rsid w:val="1E96643F"/>
    <w:rsid w:val="1E98438B"/>
    <w:rsid w:val="1E9B0AAB"/>
    <w:rsid w:val="1EA700CC"/>
    <w:rsid w:val="1ECB5DF5"/>
    <w:rsid w:val="1EDF1F43"/>
    <w:rsid w:val="1EE27C02"/>
    <w:rsid w:val="1EEA095B"/>
    <w:rsid w:val="1EEF1D70"/>
    <w:rsid w:val="1EEF6056"/>
    <w:rsid w:val="1EF814A5"/>
    <w:rsid w:val="1F090298"/>
    <w:rsid w:val="1F0923DF"/>
    <w:rsid w:val="1F0B6A8B"/>
    <w:rsid w:val="1F320DE3"/>
    <w:rsid w:val="1F4F0D54"/>
    <w:rsid w:val="1F5908BC"/>
    <w:rsid w:val="1F6C5A31"/>
    <w:rsid w:val="1F901A88"/>
    <w:rsid w:val="1F9525CB"/>
    <w:rsid w:val="1F9E58C3"/>
    <w:rsid w:val="1FAB56CD"/>
    <w:rsid w:val="1FAE77E9"/>
    <w:rsid w:val="1FCB11EA"/>
    <w:rsid w:val="1FCC7B09"/>
    <w:rsid w:val="1FD004F5"/>
    <w:rsid w:val="1FDF1E99"/>
    <w:rsid w:val="20020FFF"/>
    <w:rsid w:val="20032C48"/>
    <w:rsid w:val="203A10EA"/>
    <w:rsid w:val="203A58C3"/>
    <w:rsid w:val="203C6565"/>
    <w:rsid w:val="204975AC"/>
    <w:rsid w:val="2054450A"/>
    <w:rsid w:val="2055747A"/>
    <w:rsid w:val="205712CC"/>
    <w:rsid w:val="20694812"/>
    <w:rsid w:val="208433EC"/>
    <w:rsid w:val="20851BEE"/>
    <w:rsid w:val="208C69E1"/>
    <w:rsid w:val="20B015AD"/>
    <w:rsid w:val="20B17EDF"/>
    <w:rsid w:val="20B45A66"/>
    <w:rsid w:val="20BF129B"/>
    <w:rsid w:val="20CA1599"/>
    <w:rsid w:val="20CB35B1"/>
    <w:rsid w:val="20D1587C"/>
    <w:rsid w:val="20D82BE0"/>
    <w:rsid w:val="20D83957"/>
    <w:rsid w:val="20D858B3"/>
    <w:rsid w:val="20EB29C6"/>
    <w:rsid w:val="20F8307A"/>
    <w:rsid w:val="20FB5128"/>
    <w:rsid w:val="21083B7E"/>
    <w:rsid w:val="2117037F"/>
    <w:rsid w:val="21183524"/>
    <w:rsid w:val="211838BB"/>
    <w:rsid w:val="21195EA4"/>
    <w:rsid w:val="211B39F2"/>
    <w:rsid w:val="213C4B57"/>
    <w:rsid w:val="214A70DD"/>
    <w:rsid w:val="21590C92"/>
    <w:rsid w:val="216407A0"/>
    <w:rsid w:val="216C23C2"/>
    <w:rsid w:val="217209EB"/>
    <w:rsid w:val="21741EDE"/>
    <w:rsid w:val="219D5CED"/>
    <w:rsid w:val="21C65433"/>
    <w:rsid w:val="21C91A50"/>
    <w:rsid w:val="21CD4DED"/>
    <w:rsid w:val="21D0528D"/>
    <w:rsid w:val="21D443B8"/>
    <w:rsid w:val="21D83A4C"/>
    <w:rsid w:val="21EE0225"/>
    <w:rsid w:val="2202589F"/>
    <w:rsid w:val="220A1452"/>
    <w:rsid w:val="221B0485"/>
    <w:rsid w:val="22236111"/>
    <w:rsid w:val="22236D6F"/>
    <w:rsid w:val="223D52FB"/>
    <w:rsid w:val="2240324F"/>
    <w:rsid w:val="2241176E"/>
    <w:rsid w:val="2242428A"/>
    <w:rsid w:val="22457A1D"/>
    <w:rsid w:val="22495EC2"/>
    <w:rsid w:val="22527758"/>
    <w:rsid w:val="225A2D5C"/>
    <w:rsid w:val="22694778"/>
    <w:rsid w:val="2274299A"/>
    <w:rsid w:val="22743327"/>
    <w:rsid w:val="22774552"/>
    <w:rsid w:val="227F4DEF"/>
    <w:rsid w:val="22834854"/>
    <w:rsid w:val="22B622E0"/>
    <w:rsid w:val="22B66849"/>
    <w:rsid w:val="22C04AF9"/>
    <w:rsid w:val="22D7712D"/>
    <w:rsid w:val="22F2022F"/>
    <w:rsid w:val="22F6486D"/>
    <w:rsid w:val="2300097A"/>
    <w:rsid w:val="230B5096"/>
    <w:rsid w:val="23117BEF"/>
    <w:rsid w:val="231628B6"/>
    <w:rsid w:val="23237A89"/>
    <w:rsid w:val="23300073"/>
    <w:rsid w:val="23357FB2"/>
    <w:rsid w:val="23397AC0"/>
    <w:rsid w:val="23406C41"/>
    <w:rsid w:val="236316A5"/>
    <w:rsid w:val="236456D4"/>
    <w:rsid w:val="236919D8"/>
    <w:rsid w:val="236E69A3"/>
    <w:rsid w:val="23934A3A"/>
    <w:rsid w:val="23970FB7"/>
    <w:rsid w:val="23B14A15"/>
    <w:rsid w:val="23BC23BE"/>
    <w:rsid w:val="23C018BE"/>
    <w:rsid w:val="23C22966"/>
    <w:rsid w:val="23C457F8"/>
    <w:rsid w:val="23C64D58"/>
    <w:rsid w:val="23D13175"/>
    <w:rsid w:val="23D6244E"/>
    <w:rsid w:val="23DF07AA"/>
    <w:rsid w:val="23F921E0"/>
    <w:rsid w:val="24087CAD"/>
    <w:rsid w:val="241E5CD3"/>
    <w:rsid w:val="242B083A"/>
    <w:rsid w:val="242C60DF"/>
    <w:rsid w:val="242C7B35"/>
    <w:rsid w:val="242F5053"/>
    <w:rsid w:val="24431F32"/>
    <w:rsid w:val="244612F8"/>
    <w:rsid w:val="24463838"/>
    <w:rsid w:val="24480BE6"/>
    <w:rsid w:val="244D4C9E"/>
    <w:rsid w:val="24554291"/>
    <w:rsid w:val="24564A89"/>
    <w:rsid w:val="24567462"/>
    <w:rsid w:val="246220C3"/>
    <w:rsid w:val="24885965"/>
    <w:rsid w:val="24A57F4B"/>
    <w:rsid w:val="24AC529F"/>
    <w:rsid w:val="24B40AE5"/>
    <w:rsid w:val="24B52BFD"/>
    <w:rsid w:val="24BA19D4"/>
    <w:rsid w:val="24BE2642"/>
    <w:rsid w:val="24C561C6"/>
    <w:rsid w:val="24C93759"/>
    <w:rsid w:val="24CD1A38"/>
    <w:rsid w:val="24D75096"/>
    <w:rsid w:val="24D82CA1"/>
    <w:rsid w:val="24E05FAA"/>
    <w:rsid w:val="24E132AD"/>
    <w:rsid w:val="24F4352B"/>
    <w:rsid w:val="25015F38"/>
    <w:rsid w:val="2515169F"/>
    <w:rsid w:val="251F743A"/>
    <w:rsid w:val="252272C8"/>
    <w:rsid w:val="252D4FD9"/>
    <w:rsid w:val="253324F2"/>
    <w:rsid w:val="255F771E"/>
    <w:rsid w:val="256C738D"/>
    <w:rsid w:val="25791DCB"/>
    <w:rsid w:val="25805DD1"/>
    <w:rsid w:val="258C2E52"/>
    <w:rsid w:val="258C4EBE"/>
    <w:rsid w:val="2597422D"/>
    <w:rsid w:val="25A17FDC"/>
    <w:rsid w:val="25A236CE"/>
    <w:rsid w:val="25A83195"/>
    <w:rsid w:val="25BB2C84"/>
    <w:rsid w:val="25BB4049"/>
    <w:rsid w:val="25DA6087"/>
    <w:rsid w:val="25DB401C"/>
    <w:rsid w:val="25E303CD"/>
    <w:rsid w:val="25EA6BF5"/>
    <w:rsid w:val="25EF7007"/>
    <w:rsid w:val="25F15692"/>
    <w:rsid w:val="2603762F"/>
    <w:rsid w:val="26043E43"/>
    <w:rsid w:val="260B5ECA"/>
    <w:rsid w:val="260D4421"/>
    <w:rsid w:val="26142D53"/>
    <w:rsid w:val="26177E67"/>
    <w:rsid w:val="261A56AD"/>
    <w:rsid w:val="262032DE"/>
    <w:rsid w:val="262804F3"/>
    <w:rsid w:val="26332151"/>
    <w:rsid w:val="263D2A8F"/>
    <w:rsid w:val="26467B9C"/>
    <w:rsid w:val="264D2EB7"/>
    <w:rsid w:val="26573C57"/>
    <w:rsid w:val="26650B52"/>
    <w:rsid w:val="266853AE"/>
    <w:rsid w:val="266D0633"/>
    <w:rsid w:val="267F4386"/>
    <w:rsid w:val="26B2353F"/>
    <w:rsid w:val="26B33E98"/>
    <w:rsid w:val="26D265DC"/>
    <w:rsid w:val="26D65054"/>
    <w:rsid w:val="26E27C3D"/>
    <w:rsid w:val="26E83527"/>
    <w:rsid w:val="26EC7974"/>
    <w:rsid w:val="26F138E4"/>
    <w:rsid w:val="26F314F0"/>
    <w:rsid w:val="26F85762"/>
    <w:rsid w:val="26FD6977"/>
    <w:rsid w:val="273067DB"/>
    <w:rsid w:val="27350840"/>
    <w:rsid w:val="2747246E"/>
    <w:rsid w:val="27554405"/>
    <w:rsid w:val="275E14AA"/>
    <w:rsid w:val="276D6C14"/>
    <w:rsid w:val="277E670C"/>
    <w:rsid w:val="27873653"/>
    <w:rsid w:val="27874909"/>
    <w:rsid w:val="27886AD7"/>
    <w:rsid w:val="279A1A2F"/>
    <w:rsid w:val="279A5200"/>
    <w:rsid w:val="27B06FBD"/>
    <w:rsid w:val="27C23036"/>
    <w:rsid w:val="27D44AE8"/>
    <w:rsid w:val="27D66A6D"/>
    <w:rsid w:val="27E169B1"/>
    <w:rsid w:val="27EC7E49"/>
    <w:rsid w:val="27ED2AF3"/>
    <w:rsid w:val="27F8754F"/>
    <w:rsid w:val="280278F1"/>
    <w:rsid w:val="280B2A12"/>
    <w:rsid w:val="28140EB7"/>
    <w:rsid w:val="28353A98"/>
    <w:rsid w:val="28386634"/>
    <w:rsid w:val="28456D01"/>
    <w:rsid w:val="284C0ECD"/>
    <w:rsid w:val="285A51EC"/>
    <w:rsid w:val="287514DE"/>
    <w:rsid w:val="287A62F4"/>
    <w:rsid w:val="288F1004"/>
    <w:rsid w:val="289044A5"/>
    <w:rsid w:val="28A01F04"/>
    <w:rsid w:val="28A73082"/>
    <w:rsid w:val="28B759C6"/>
    <w:rsid w:val="28C9108B"/>
    <w:rsid w:val="28E9510B"/>
    <w:rsid w:val="28F50D48"/>
    <w:rsid w:val="28FF49E3"/>
    <w:rsid w:val="29092622"/>
    <w:rsid w:val="290C3EC6"/>
    <w:rsid w:val="29101867"/>
    <w:rsid w:val="291B38FD"/>
    <w:rsid w:val="292802D0"/>
    <w:rsid w:val="292A7861"/>
    <w:rsid w:val="292E3091"/>
    <w:rsid w:val="29382FF3"/>
    <w:rsid w:val="29480957"/>
    <w:rsid w:val="294C4DE4"/>
    <w:rsid w:val="294F6742"/>
    <w:rsid w:val="29550B72"/>
    <w:rsid w:val="295759FE"/>
    <w:rsid w:val="297637DB"/>
    <w:rsid w:val="298C1931"/>
    <w:rsid w:val="29920A52"/>
    <w:rsid w:val="299662B0"/>
    <w:rsid w:val="29C66D8D"/>
    <w:rsid w:val="29D2304C"/>
    <w:rsid w:val="29DA0D44"/>
    <w:rsid w:val="29DB3845"/>
    <w:rsid w:val="29DF66E8"/>
    <w:rsid w:val="29E71961"/>
    <w:rsid w:val="2A071046"/>
    <w:rsid w:val="2A080FB5"/>
    <w:rsid w:val="2A2D2287"/>
    <w:rsid w:val="2A4878BF"/>
    <w:rsid w:val="2A56648A"/>
    <w:rsid w:val="2A5970EF"/>
    <w:rsid w:val="2A66746B"/>
    <w:rsid w:val="2A68410B"/>
    <w:rsid w:val="2A692962"/>
    <w:rsid w:val="2A860B63"/>
    <w:rsid w:val="2A885971"/>
    <w:rsid w:val="2A9A4ACD"/>
    <w:rsid w:val="2A9D4207"/>
    <w:rsid w:val="2A9F43AD"/>
    <w:rsid w:val="2AA05348"/>
    <w:rsid w:val="2AAC0D24"/>
    <w:rsid w:val="2AC76AA5"/>
    <w:rsid w:val="2AC94307"/>
    <w:rsid w:val="2AD4281E"/>
    <w:rsid w:val="2AD544A7"/>
    <w:rsid w:val="2AD84A19"/>
    <w:rsid w:val="2ADB4A3B"/>
    <w:rsid w:val="2AE337D3"/>
    <w:rsid w:val="2AE7042C"/>
    <w:rsid w:val="2AEF6F70"/>
    <w:rsid w:val="2AF038EE"/>
    <w:rsid w:val="2B00023D"/>
    <w:rsid w:val="2B010E5C"/>
    <w:rsid w:val="2B037EB5"/>
    <w:rsid w:val="2B04608E"/>
    <w:rsid w:val="2B115B26"/>
    <w:rsid w:val="2B1D00B9"/>
    <w:rsid w:val="2B1D59B3"/>
    <w:rsid w:val="2B276CE0"/>
    <w:rsid w:val="2B2D2CA0"/>
    <w:rsid w:val="2B3F539E"/>
    <w:rsid w:val="2B464110"/>
    <w:rsid w:val="2B520D8E"/>
    <w:rsid w:val="2B554AE9"/>
    <w:rsid w:val="2B606090"/>
    <w:rsid w:val="2B9A297C"/>
    <w:rsid w:val="2BD17DCC"/>
    <w:rsid w:val="2BD76A6A"/>
    <w:rsid w:val="2BDE4C53"/>
    <w:rsid w:val="2BE86AEF"/>
    <w:rsid w:val="2BF070CB"/>
    <w:rsid w:val="2BF83995"/>
    <w:rsid w:val="2BFA048B"/>
    <w:rsid w:val="2C045501"/>
    <w:rsid w:val="2C0C24F8"/>
    <w:rsid w:val="2C0F12E9"/>
    <w:rsid w:val="2C1D1BDB"/>
    <w:rsid w:val="2C243763"/>
    <w:rsid w:val="2C2B423A"/>
    <w:rsid w:val="2C355F6C"/>
    <w:rsid w:val="2C491642"/>
    <w:rsid w:val="2C625260"/>
    <w:rsid w:val="2C6A2E60"/>
    <w:rsid w:val="2C6E1401"/>
    <w:rsid w:val="2C6E531E"/>
    <w:rsid w:val="2C7B47D4"/>
    <w:rsid w:val="2C8503B5"/>
    <w:rsid w:val="2C8A5DE6"/>
    <w:rsid w:val="2C952626"/>
    <w:rsid w:val="2CB74281"/>
    <w:rsid w:val="2CBC6D9A"/>
    <w:rsid w:val="2CBE70D3"/>
    <w:rsid w:val="2CC10040"/>
    <w:rsid w:val="2CCD5ED9"/>
    <w:rsid w:val="2CEF51D1"/>
    <w:rsid w:val="2CF912E3"/>
    <w:rsid w:val="2D030225"/>
    <w:rsid w:val="2D0E0759"/>
    <w:rsid w:val="2D163C8A"/>
    <w:rsid w:val="2D194A70"/>
    <w:rsid w:val="2D203E90"/>
    <w:rsid w:val="2D2A1E84"/>
    <w:rsid w:val="2D2E0EF8"/>
    <w:rsid w:val="2D3929EC"/>
    <w:rsid w:val="2D3C1349"/>
    <w:rsid w:val="2D4B75FB"/>
    <w:rsid w:val="2D5D04D4"/>
    <w:rsid w:val="2D67693D"/>
    <w:rsid w:val="2D7B3D35"/>
    <w:rsid w:val="2D7F2678"/>
    <w:rsid w:val="2D830B88"/>
    <w:rsid w:val="2D842E85"/>
    <w:rsid w:val="2D8558BF"/>
    <w:rsid w:val="2D8C0979"/>
    <w:rsid w:val="2D8D2512"/>
    <w:rsid w:val="2D9C0453"/>
    <w:rsid w:val="2DA163FC"/>
    <w:rsid w:val="2DA648A1"/>
    <w:rsid w:val="2DAA1F48"/>
    <w:rsid w:val="2DB40DCE"/>
    <w:rsid w:val="2DD4649C"/>
    <w:rsid w:val="2DDC34AA"/>
    <w:rsid w:val="2DDF698E"/>
    <w:rsid w:val="2DE109D2"/>
    <w:rsid w:val="2DE113D4"/>
    <w:rsid w:val="2DEA5E13"/>
    <w:rsid w:val="2DED5318"/>
    <w:rsid w:val="2DEF2532"/>
    <w:rsid w:val="2DFD77AA"/>
    <w:rsid w:val="2E1936D3"/>
    <w:rsid w:val="2E224CAB"/>
    <w:rsid w:val="2E3E3351"/>
    <w:rsid w:val="2E3F575C"/>
    <w:rsid w:val="2E4A2B03"/>
    <w:rsid w:val="2E4C420F"/>
    <w:rsid w:val="2E4D7ABE"/>
    <w:rsid w:val="2E58518B"/>
    <w:rsid w:val="2E6D759A"/>
    <w:rsid w:val="2E7E7BD8"/>
    <w:rsid w:val="2E82428D"/>
    <w:rsid w:val="2E945C60"/>
    <w:rsid w:val="2E963248"/>
    <w:rsid w:val="2E991C65"/>
    <w:rsid w:val="2EA761E1"/>
    <w:rsid w:val="2EA76EDD"/>
    <w:rsid w:val="2EAA5952"/>
    <w:rsid w:val="2EB04149"/>
    <w:rsid w:val="2EDD121C"/>
    <w:rsid w:val="2EE11667"/>
    <w:rsid w:val="2EE80B5E"/>
    <w:rsid w:val="2EF40184"/>
    <w:rsid w:val="2EF532A4"/>
    <w:rsid w:val="2F173188"/>
    <w:rsid w:val="2F1A02B9"/>
    <w:rsid w:val="2F23785C"/>
    <w:rsid w:val="2F2C3DAB"/>
    <w:rsid w:val="2F324D29"/>
    <w:rsid w:val="2F4E2F1F"/>
    <w:rsid w:val="2F503401"/>
    <w:rsid w:val="2F721A79"/>
    <w:rsid w:val="2F8D44D6"/>
    <w:rsid w:val="2F946932"/>
    <w:rsid w:val="2F980294"/>
    <w:rsid w:val="2FBE29B8"/>
    <w:rsid w:val="2FC521E6"/>
    <w:rsid w:val="2FD33E2B"/>
    <w:rsid w:val="2FDE0EF1"/>
    <w:rsid w:val="2FDE0FB8"/>
    <w:rsid w:val="2FE06533"/>
    <w:rsid w:val="30015309"/>
    <w:rsid w:val="30062DE1"/>
    <w:rsid w:val="30075DC0"/>
    <w:rsid w:val="30083F9F"/>
    <w:rsid w:val="300A19B6"/>
    <w:rsid w:val="301B3749"/>
    <w:rsid w:val="301B6D10"/>
    <w:rsid w:val="302A13F4"/>
    <w:rsid w:val="303F71B3"/>
    <w:rsid w:val="30423C78"/>
    <w:rsid w:val="305A7149"/>
    <w:rsid w:val="30611C29"/>
    <w:rsid w:val="3066563F"/>
    <w:rsid w:val="30695030"/>
    <w:rsid w:val="30815E64"/>
    <w:rsid w:val="308F24A2"/>
    <w:rsid w:val="308F60D0"/>
    <w:rsid w:val="30AC42EE"/>
    <w:rsid w:val="30B052B1"/>
    <w:rsid w:val="30BC4D84"/>
    <w:rsid w:val="30CC4224"/>
    <w:rsid w:val="30D1059F"/>
    <w:rsid w:val="30E85D9A"/>
    <w:rsid w:val="30F552D2"/>
    <w:rsid w:val="310065E6"/>
    <w:rsid w:val="31063069"/>
    <w:rsid w:val="312D40D6"/>
    <w:rsid w:val="31431020"/>
    <w:rsid w:val="31552842"/>
    <w:rsid w:val="3156528A"/>
    <w:rsid w:val="315E4BB8"/>
    <w:rsid w:val="315F76BB"/>
    <w:rsid w:val="316A6EBA"/>
    <w:rsid w:val="31742FCA"/>
    <w:rsid w:val="31746674"/>
    <w:rsid w:val="317953DC"/>
    <w:rsid w:val="31886C1C"/>
    <w:rsid w:val="318E3C43"/>
    <w:rsid w:val="31956FF3"/>
    <w:rsid w:val="31C8425B"/>
    <w:rsid w:val="31CC03E9"/>
    <w:rsid w:val="31D32DDB"/>
    <w:rsid w:val="31EA26F1"/>
    <w:rsid w:val="31EB406B"/>
    <w:rsid w:val="31EC203C"/>
    <w:rsid w:val="31FC2412"/>
    <w:rsid w:val="321063FE"/>
    <w:rsid w:val="321D1D09"/>
    <w:rsid w:val="32224432"/>
    <w:rsid w:val="32256F9F"/>
    <w:rsid w:val="324035B3"/>
    <w:rsid w:val="3247433B"/>
    <w:rsid w:val="327370F3"/>
    <w:rsid w:val="32766055"/>
    <w:rsid w:val="328253C2"/>
    <w:rsid w:val="32834318"/>
    <w:rsid w:val="328708A3"/>
    <w:rsid w:val="32935FC0"/>
    <w:rsid w:val="329C2BF6"/>
    <w:rsid w:val="329D50FC"/>
    <w:rsid w:val="329F4A89"/>
    <w:rsid w:val="32A134A3"/>
    <w:rsid w:val="32A41F5B"/>
    <w:rsid w:val="32AE368A"/>
    <w:rsid w:val="32B17B00"/>
    <w:rsid w:val="32B846E2"/>
    <w:rsid w:val="32BE6B36"/>
    <w:rsid w:val="32BF340F"/>
    <w:rsid w:val="32C21399"/>
    <w:rsid w:val="32C3793D"/>
    <w:rsid w:val="32CF3E5C"/>
    <w:rsid w:val="32D92192"/>
    <w:rsid w:val="32E70D36"/>
    <w:rsid w:val="32F02198"/>
    <w:rsid w:val="32F04C94"/>
    <w:rsid w:val="32F617F3"/>
    <w:rsid w:val="33087F3C"/>
    <w:rsid w:val="330F01FA"/>
    <w:rsid w:val="33163C2F"/>
    <w:rsid w:val="331F3675"/>
    <w:rsid w:val="33203F6E"/>
    <w:rsid w:val="332059F6"/>
    <w:rsid w:val="333E78C4"/>
    <w:rsid w:val="3341007C"/>
    <w:rsid w:val="336E4060"/>
    <w:rsid w:val="33767461"/>
    <w:rsid w:val="3388428F"/>
    <w:rsid w:val="338E0BE3"/>
    <w:rsid w:val="3395192B"/>
    <w:rsid w:val="339C526F"/>
    <w:rsid w:val="33AF0BA1"/>
    <w:rsid w:val="33D02909"/>
    <w:rsid w:val="33DC02A3"/>
    <w:rsid w:val="33F3541C"/>
    <w:rsid w:val="33FA6E54"/>
    <w:rsid w:val="33FC1991"/>
    <w:rsid w:val="33FD4C08"/>
    <w:rsid w:val="340521A0"/>
    <w:rsid w:val="340A048B"/>
    <w:rsid w:val="3415019E"/>
    <w:rsid w:val="34571D7E"/>
    <w:rsid w:val="34725A3C"/>
    <w:rsid w:val="348815B6"/>
    <w:rsid w:val="3499790E"/>
    <w:rsid w:val="349E6B0F"/>
    <w:rsid w:val="34AE6AE3"/>
    <w:rsid w:val="34B158B7"/>
    <w:rsid w:val="34B759D1"/>
    <w:rsid w:val="34BC08B9"/>
    <w:rsid w:val="34BC71CE"/>
    <w:rsid w:val="34C70739"/>
    <w:rsid w:val="34D70601"/>
    <w:rsid w:val="34F622E1"/>
    <w:rsid w:val="350B741A"/>
    <w:rsid w:val="351425C9"/>
    <w:rsid w:val="352911D0"/>
    <w:rsid w:val="353F6679"/>
    <w:rsid w:val="35566D28"/>
    <w:rsid w:val="355E228D"/>
    <w:rsid w:val="357263A3"/>
    <w:rsid w:val="357B4DCC"/>
    <w:rsid w:val="358226A2"/>
    <w:rsid w:val="358C6480"/>
    <w:rsid w:val="359421AA"/>
    <w:rsid w:val="35A60779"/>
    <w:rsid w:val="35AE7F68"/>
    <w:rsid w:val="35B213A3"/>
    <w:rsid w:val="35C448BA"/>
    <w:rsid w:val="35D53D52"/>
    <w:rsid w:val="35E01304"/>
    <w:rsid w:val="35E5121D"/>
    <w:rsid w:val="35E9486B"/>
    <w:rsid w:val="35FB77CB"/>
    <w:rsid w:val="360B53AB"/>
    <w:rsid w:val="360D1CBF"/>
    <w:rsid w:val="361B4D46"/>
    <w:rsid w:val="362A205A"/>
    <w:rsid w:val="362A2555"/>
    <w:rsid w:val="36380BD6"/>
    <w:rsid w:val="36390C1D"/>
    <w:rsid w:val="36394E0A"/>
    <w:rsid w:val="3640148E"/>
    <w:rsid w:val="36451204"/>
    <w:rsid w:val="36507D85"/>
    <w:rsid w:val="365D01E5"/>
    <w:rsid w:val="366F7F71"/>
    <w:rsid w:val="36766677"/>
    <w:rsid w:val="36834563"/>
    <w:rsid w:val="36846FAD"/>
    <w:rsid w:val="368F5AB8"/>
    <w:rsid w:val="36912DE6"/>
    <w:rsid w:val="36B6669E"/>
    <w:rsid w:val="36BB08C6"/>
    <w:rsid w:val="36BC27CC"/>
    <w:rsid w:val="36BF6E2D"/>
    <w:rsid w:val="36C4694E"/>
    <w:rsid w:val="36C847CF"/>
    <w:rsid w:val="36CE1D8A"/>
    <w:rsid w:val="36E93A89"/>
    <w:rsid w:val="36F277D5"/>
    <w:rsid w:val="36FB0380"/>
    <w:rsid w:val="370F7803"/>
    <w:rsid w:val="3710738F"/>
    <w:rsid w:val="37141C3E"/>
    <w:rsid w:val="372E0843"/>
    <w:rsid w:val="3730666A"/>
    <w:rsid w:val="373070BF"/>
    <w:rsid w:val="37426B20"/>
    <w:rsid w:val="37933D0B"/>
    <w:rsid w:val="37936F55"/>
    <w:rsid w:val="37974492"/>
    <w:rsid w:val="379D17E0"/>
    <w:rsid w:val="379D5C05"/>
    <w:rsid w:val="37A01C19"/>
    <w:rsid w:val="37AD13F0"/>
    <w:rsid w:val="37B12555"/>
    <w:rsid w:val="37B33425"/>
    <w:rsid w:val="37B4693D"/>
    <w:rsid w:val="37D9344A"/>
    <w:rsid w:val="37DB7BBE"/>
    <w:rsid w:val="37ED4E89"/>
    <w:rsid w:val="37F2006D"/>
    <w:rsid w:val="37FA3676"/>
    <w:rsid w:val="383E0C83"/>
    <w:rsid w:val="385D345E"/>
    <w:rsid w:val="387D4E34"/>
    <w:rsid w:val="38A62381"/>
    <w:rsid w:val="38B12A39"/>
    <w:rsid w:val="38C5263D"/>
    <w:rsid w:val="38E00948"/>
    <w:rsid w:val="38EC1A9A"/>
    <w:rsid w:val="38EE4976"/>
    <w:rsid w:val="38F6157A"/>
    <w:rsid w:val="39045055"/>
    <w:rsid w:val="390F41CF"/>
    <w:rsid w:val="391707AB"/>
    <w:rsid w:val="391A3A88"/>
    <w:rsid w:val="39263ECB"/>
    <w:rsid w:val="39291040"/>
    <w:rsid w:val="39427E0D"/>
    <w:rsid w:val="395320EE"/>
    <w:rsid w:val="3966323D"/>
    <w:rsid w:val="39884828"/>
    <w:rsid w:val="39903717"/>
    <w:rsid w:val="39983FF1"/>
    <w:rsid w:val="399E6030"/>
    <w:rsid w:val="39AD3EA6"/>
    <w:rsid w:val="39BF208A"/>
    <w:rsid w:val="39C85128"/>
    <w:rsid w:val="39D263A7"/>
    <w:rsid w:val="39DC5509"/>
    <w:rsid w:val="39E4038F"/>
    <w:rsid w:val="39EC229F"/>
    <w:rsid w:val="39FA150A"/>
    <w:rsid w:val="3A0612E2"/>
    <w:rsid w:val="3A26548A"/>
    <w:rsid w:val="3A3B7A0A"/>
    <w:rsid w:val="3A4A5818"/>
    <w:rsid w:val="3A4D0978"/>
    <w:rsid w:val="3A5B73DB"/>
    <w:rsid w:val="3A6130BC"/>
    <w:rsid w:val="3A731CC1"/>
    <w:rsid w:val="3A8C3C1D"/>
    <w:rsid w:val="3AB01C62"/>
    <w:rsid w:val="3AB15A7E"/>
    <w:rsid w:val="3ACA3A17"/>
    <w:rsid w:val="3AF775AA"/>
    <w:rsid w:val="3B0E4BDE"/>
    <w:rsid w:val="3B1C26B8"/>
    <w:rsid w:val="3B225C51"/>
    <w:rsid w:val="3B441B9E"/>
    <w:rsid w:val="3B486A83"/>
    <w:rsid w:val="3B493692"/>
    <w:rsid w:val="3B5C0CC6"/>
    <w:rsid w:val="3B641A51"/>
    <w:rsid w:val="3B652E21"/>
    <w:rsid w:val="3B6976F2"/>
    <w:rsid w:val="3B7229B7"/>
    <w:rsid w:val="3B8667AC"/>
    <w:rsid w:val="3B967DCE"/>
    <w:rsid w:val="3B9B1955"/>
    <w:rsid w:val="3B9C6609"/>
    <w:rsid w:val="3BC32594"/>
    <w:rsid w:val="3BDA2924"/>
    <w:rsid w:val="3BDB3031"/>
    <w:rsid w:val="3BE745A1"/>
    <w:rsid w:val="3BEE12C0"/>
    <w:rsid w:val="3C0972FA"/>
    <w:rsid w:val="3C0E18DF"/>
    <w:rsid w:val="3C2D1207"/>
    <w:rsid w:val="3C2D1B90"/>
    <w:rsid w:val="3C2F4C8D"/>
    <w:rsid w:val="3C4318C3"/>
    <w:rsid w:val="3C460065"/>
    <w:rsid w:val="3C49170C"/>
    <w:rsid w:val="3C4A2B39"/>
    <w:rsid w:val="3C4B0F00"/>
    <w:rsid w:val="3C5B0582"/>
    <w:rsid w:val="3C6D0FAC"/>
    <w:rsid w:val="3C7A7A8F"/>
    <w:rsid w:val="3C7C6FA6"/>
    <w:rsid w:val="3C885A3C"/>
    <w:rsid w:val="3C921EBB"/>
    <w:rsid w:val="3C930FE1"/>
    <w:rsid w:val="3C9641CE"/>
    <w:rsid w:val="3C9D2F18"/>
    <w:rsid w:val="3CAF3F2C"/>
    <w:rsid w:val="3CBD0191"/>
    <w:rsid w:val="3CD17CAD"/>
    <w:rsid w:val="3D07245B"/>
    <w:rsid w:val="3D0B2306"/>
    <w:rsid w:val="3D274CC7"/>
    <w:rsid w:val="3D2A743C"/>
    <w:rsid w:val="3D2C725B"/>
    <w:rsid w:val="3D32496D"/>
    <w:rsid w:val="3D356A7E"/>
    <w:rsid w:val="3D375F58"/>
    <w:rsid w:val="3D3C536B"/>
    <w:rsid w:val="3D5122C0"/>
    <w:rsid w:val="3D654925"/>
    <w:rsid w:val="3D6E28E2"/>
    <w:rsid w:val="3D8B7F79"/>
    <w:rsid w:val="3D9027B9"/>
    <w:rsid w:val="3DBA1B25"/>
    <w:rsid w:val="3DC6039D"/>
    <w:rsid w:val="3DE67602"/>
    <w:rsid w:val="3DEC1682"/>
    <w:rsid w:val="3DF72802"/>
    <w:rsid w:val="3E044D3E"/>
    <w:rsid w:val="3E0E3A19"/>
    <w:rsid w:val="3E174533"/>
    <w:rsid w:val="3E412568"/>
    <w:rsid w:val="3E460843"/>
    <w:rsid w:val="3E4961E3"/>
    <w:rsid w:val="3E5C0C4F"/>
    <w:rsid w:val="3E5F3708"/>
    <w:rsid w:val="3E66087E"/>
    <w:rsid w:val="3E661616"/>
    <w:rsid w:val="3E6976EB"/>
    <w:rsid w:val="3E6F4471"/>
    <w:rsid w:val="3E763A1F"/>
    <w:rsid w:val="3E7E017D"/>
    <w:rsid w:val="3E80404A"/>
    <w:rsid w:val="3E8F625B"/>
    <w:rsid w:val="3E9431A8"/>
    <w:rsid w:val="3E996B99"/>
    <w:rsid w:val="3EA93808"/>
    <w:rsid w:val="3EBF738E"/>
    <w:rsid w:val="3ED35327"/>
    <w:rsid w:val="3EDB4EEC"/>
    <w:rsid w:val="3EE201C7"/>
    <w:rsid w:val="3EFD58F1"/>
    <w:rsid w:val="3F0702B3"/>
    <w:rsid w:val="3F0F34B4"/>
    <w:rsid w:val="3F120FDD"/>
    <w:rsid w:val="3F1C5781"/>
    <w:rsid w:val="3F2631E5"/>
    <w:rsid w:val="3F3801D7"/>
    <w:rsid w:val="3F403F94"/>
    <w:rsid w:val="3F404933"/>
    <w:rsid w:val="3F496250"/>
    <w:rsid w:val="3F4F0691"/>
    <w:rsid w:val="3F56074C"/>
    <w:rsid w:val="3F561C01"/>
    <w:rsid w:val="3F7F62C5"/>
    <w:rsid w:val="3F930FE2"/>
    <w:rsid w:val="3FE67B95"/>
    <w:rsid w:val="3FF426F9"/>
    <w:rsid w:val="3FF42A8C"/>
    <w:rsid w:val="3FF65D00"/>
    <w:rsid w:val="3FFE797F"/>
    <w:rsid w:val="400A1DC9"/>
    <w:rsid w:val="4012152C"/>
    <w:rsid w:val="401307EE"/>
    <w:rsid w:val="40146C8D"/>
    <w:rsid w:val="40173940"/>
    <w:rsid w:val="401E37C3"/>
    <w:rsid w:val="40291830"/>
    <w:rsid w:val="402A1928"/>
    <w:rsid w:val="4032619B"/>
    <w:rsid w:val="403E6DD1"/>
    <w:rsid w:val="40496597"/>
    <w:rsid w:val="40695C55"/>
    <w:rsid w:val="406C4800"/>
    <w:rsid w:val="406F61E1"/>
    <w:rsid w:val="4073481E"/>
    <w:rsid w:val="40A23281"/>
    <w:rsid w:val="40AA6F66"/>
    <w:rsid w:val="40C7778D"/>
    <w:rsid w:val="40CD5CF7"/>
    <w:rsid w:val="40CE6D21"/>
    <w:rsid w:val="40D84C0F"/>
    <w:rsid w:val="40E272EB"/>
    <w:rsid w:val="40E6414F"/>
    <w:rsid w:val="40F2341C"/>
    <w:rsid w:val="40FD4A2D"/>
    <w:rsid w:val="41020F0F"/>
    <w:rsid w:val="41212F19"/>
    <w:rsid w:val="412E105F"/>
    <w:rsid w:val="41310572"/>
    <w:rsid w:val="413E727C"/>
    <w:rsid w:val="41540129"/>
    <w:rsid w:val="41545E6A"/>
    <w:rsid w:val="415477B3"/>
    <w:rsid w:val="415A7D0B"/>
    <w:rsid w:val="41632BA9"/>
    <w:rsid w:val="41677A17"/>
    <w:rsid w:val="4170379F"/>
    <w:rsid w:val="417A51D0"/>
    <w:rsid w:val="41880BC3"/>
    <w:rsid w:val="41921860"/>
    <w:rsid w:val="4195076B"/>
    <w:rsid w:val="41A302C1"/>
    <w:rsid w:val="41AD0B2D"/>
    <w:rsid w:val="41B95D45"/>
    <w:rsid w:val="41CF1708"/>
    <w:rsid w:val="41D17A1A"/>
    <w:rsid w:val="41DA7123"/>
    <w:rsid w:val="41DC7951"/>
    <w:rsid w:val="41DD31BF"/>
    <w:rsid w:val="41F91B55"/>
    <w:rsid w:val="41FB2F29"/>
    <w:rsid w:val="42083495"/>
    <w:rsid w:val="421A2534"/>
    <w:rsid w:val="422252B2"/>
    <w:rsid w:val="42231B58"/>
    <w:rsid w:val="42275FA6"/>
    <w:rsid w:val="423D2D21"/>
    <w:rsid w:val="42406D66"/>
    <w:rsid w:val="42420C0B"/>
    <w:rsid w:val="42606C91"/>
    <w:rsid w:val="42667A9C"/>
    <w:rsid w:val="42832011"/>
    <w:rsid w:val="42956078"/>
    <w:rsid w:val="4296251C"/>
    <w:rsid w:val="429A57F9"/>
    <w:rsid w:val="429C5E42"/>
    <w:rsid w:val="42B00CBD"/>
    <w:rsid w:val="42B97AB8"/>
    <w:rsid w:val="42CA060B"/>
    <w:rsid w:val="42D537A6"/>
    <w:rsid w:val="42DE14CD"/>
    <w:rsid w:val="42E04AF7"/>
    <w:rsid w:val="42E507B7"/>
    <w:rsid w:val="42EA5494"/>
    <w:rsid w:val="42F746D7"/>
    <w:rsid w:val="42FE51F6"/>
    <w:rsid w:val="430022EA"/>
    <w:rsid w:val="430C695D"/>
    <w:rsid w:val="43292FE0"/>
    <w:rsid w:val="433E286F"/>
    <w:rsid w:val="43574906"/>
    <w:rsid w:val="4364061F"/>
    <w:rsid w:val="4377624E"/>
    <w:rsid w:val="437A2DB7"/>
    <w:rsid w:val="43883DE8"/>
    <w:rsid w:val="43884017"/>
    <w:rsid w:val="43961CE6"/>
    <w:rsid w:val="43B577C0"/>
    <w:rsid w:val="43C9011E"/>
    <w:rsid w:val="43D8683C"/>
    <w:rsid w:val="43DA7442"/>
    <w:rsid w:val="43E45475"/>
    <w:rsid w:val="43E771B0"/>
    <w:rsid w:val="43E95D84"/>
    <w:rsid w:val="43EB73CE"/>
    <w:rsid w:val="43ED674B"/>
    <w:rsid w:val="43F428EC"/>
    <w:rsid w:val="43F856FD"/>
    <w:rsid w:val="44055C49"/>
    <w:rsid w:val="440B5B7E"/>
    <w:rsid w:val="440B5F91"/>
    <w:rsid w:val="44112A91"/>
    <w:rsid w:val="441609FF"/>
    <w:rsid w:val="441A57D0"/>
    <w:rsid w:val="441B2154"/>
    <w:rsid w:val="441C7E51"/>
    <w:rsid w:val="4426348F"/>
    <w:rsid w:val="44416F27"/>
    <w:rsid w:val="444C46C1"/>
    <w:rsid w:val="444C6713"/>
    <w:rsid w:val="44504925"/>
    <w:rsid w:val="445C6D60"/>
    <w:rsid w:val="44702CBC"/>
    <w:rsid w:val="447E5640"/>
    <w:rsid w:val="44A240C3"/>
    <w:rsid w:val="44A514B2"/>
    <w:rsid w:val="44AD2B45"/>
    <w:rsid w:val="44AE45CC"/>
    <w:rsid w:val="44B022CD"/>
    <w:rsid w:val="44BC089C"/>
    <w:rsid w:val="44D60670"/>
    <w:rsid w:val="44EE534A"/>
    <w:rsid w:val="44FD2E6C"/>
    <w:rsid w:val="45076CFC"/>
    <w:rsid w:val="450D206A"/>
    <w:rsid w:val="450F1090"/>
    <w:rsid w:val="451C2636"/>
    <w:rsid w:val="45235FD4"/>
    <w:rsid w:val="45264590"/>
    <w:rsid w:val="4528634B"/>
    <w:rsid w:val="452A4313"/>
    <w:rsid w:val="45312B8D"/>
    <w:rsid w:val="45355607"/>
    <w:rsid w:val="4551663F"/>
    <w:rsid w:val="45532760"/>
    <w:rsid w:val="455F4293"/>
    <w:rsid w:val="45625A22"/>
    <w:rsid w:val="456673FC"/>
    <w:rsid w:val="45725B7C"/>
    <w:rsid w:val="457B0B90"/>
    <w:rsid w:val="457C757D"/>
    <w:rsid w:val="458508AE"/>
    <w:rsid w:val="459E159E"/>
    <w:rsid w:val="45A02280"/>
    <w:rsid w:val="45A12576"/>
    <w:rsid w:val="45A57E2D"/>
    <w:rsid w:val="45A9509B"/>
    <w:rsid w:val="45BF0410"/>
    <w:rsid w:val="45C15505"/>
    <w:rsid w:val="45CB3E85"/>
    <w:rsid w:val="45D01424"/>
    <w:rsid w:val="45D90E5B"/>
    <w:rsid w:val="45E70807"/>
    <w:rsid w:val="45F310AF"/>
    <w:rsid w:val="45F713E5"/>
    <w:rsid w:val="45FC2895"/>
    <w:rsid w:val="46274A64"/>
    <w:rsid w:val="463D77FC"/>
    <w:rsid w:val="46404B5A"/>
    <w:rsid w:val="46523E20"/>
    <w:rsid w:val="465578A5"/>
    <w:rsid w:val="46645944"/>
    <w:rsid w:val="46836DB9"/>
    <w:rsid w:val="468576D5"/>
    <w:rsid w:val="469A54D9"/>
    <w:rsid w:val="46B1345C"/>
    <w:rsid w:val="46BE2771"/>
    <w:rsid w:val="46C30B72"/>
    <w:rsid w:val="46C54FBF"/>
    <w:rsid w:val="46D47307"/>
    <w:rsid w:val="46E577A3"/>
    <w:rsid w:val="46EB29A5"/>
    <w:rsid w:val="46EB6D1D"/>
    <w:rsid w:val="46EC1711"/>
    <w:rsid w:val="46F86DC4"/>
    <w:rsid w:val="471A63D0"/>
    <w:rsid w:val="472D7BE7"/>
    <w:rsid w:val="472F182C"/>
    <w:rsid w:val="47363F31"/>
    <w:rsid w:val="47403290"/>
    <w:rsid w:val="47430BB8"/>
    <w:rsid w:val="4752632B"/>
    <w:rsid w:val="47613A7F"/>
    <w:rsid w:val="47664E5B"/>
    <w:rsid w:val="476D2B18"/>
    <w:rsid w:val="47702EA5"/>
    <w:rsid w:val="47780F93"/>
    <w:rsid w:val="47827D73"/>
    <w:rsid w:val="47920698"/>
    <w:rsid w:val="47952D9D"/>
    <w:rsid w:val="47AB1EC5"/>
    <w:rsid w:val="47AE2FBC"/>
    <w:rsid w:val="47B64EC1"/>
    <w:rsid w:val="47B732CA"/>
    <w:rsid w:val="47C2233D"/>
    <w:rsid w:val="47D32ADC"/>
    <w:rsid w:val="47FF0E1B"/>
    <w:rsid w:val="480B5ABB"/>
    <w:rsid w:val="481F0194"/>
    <w:rsid w:val="4824705B"/>
    <w:rsid w:val="48496376"/>
    <w:rsid w:val="48665AA4"/>
    <w:rsid w:val="486956FF"/>
    <w:rsid w:val="487045E2"/>
    <w:rsid w:val="487E055B"/>
    <w:rsid w:val="488B6CD8"/>
    <w:rsid w:val="489B4D3C"/>
    <w:rsid w:val="48AB2E79"/>
    <w:rsid w:val="48C35924"/>
    <w:rsid w:val="48C67C7E"/>
    <w:rsid w:val="48CA6AFB"/>
    <w:rsid w:val="48CB3DCC"/>
    <w:rsid w:val="48D02088"/>
    <w:rsid w:val="48DC44C0"/>
    <w:rsid w:val="48DE5761"/>
    <w:rsid w:val="48ED7C4F"/>
    <w:rsid w:val="48F363A9"/>
    <w:rsid w:val="48FE7B22"/>
    <w:rsid w:val="4903083E"/>
    <w:rsid w:val="49036D2E"/>
    <w:rsid w:val="49093D83"/>
    <w:rsid w:val="490D6D69"/>
    <w:rsid w:val="490E57D2"/>
    <w:rsid w:val="49147393"/>
    <w:rsid w:val="49226461"/>
    <w:rsid w:val="49577ED5"/>
    <w:rsid w:val="495D4386"/>
    <w:rsid w:val="496269C9"/>
    <w:rsid w:val="49664EA9"/>
    <w:rsid w:val="496B74EE"/>
    <w:rsid w:val="4976022A"/>
    <w:rsid w:val="49853805"/>
    <w:rsid w:val="498D3748"/>
    <w:rsid w:val="498F4509"/>
    <w:rsid w:val="499353F1"/>
    <w:rsid w:val="499E413B"/>
    <w:rsid w:val="49A049A4"/>
    <w:rsid w:val="49B30ECE"/>
    <w:rsid w:val="49B97696"/>
    <w:rsid w:val="49BB179A"/>
    <w:rsid w:val="49BC5F12"/>
    <w:rsid w:val="49BE3C60"/>
    <w:rsid w:val="49BF3A1B"/>
    <w:rsid w:val="49C103D4"/>
    <w:rsid w:val="49C232F1"/>
    <w:rsid w:val="49D353D9"/>
    <w:rsid w:val="49EE107F"/>
    <w:rsid w:val="49F41B6C"/>
    <w:rsid w:val="4A0372B8"/>
    <w:rsid w:val="4A042B54"/>
    <w:rsid w:val="4A046112"/>
    <w:rsid w:val="4A0C4F7A"/>
    <w:rsid w:val="4A1268F2"/>
    <w:rsid w:val="4A1B19E8"/>
    <w:rsid w:val="4A1C1F75"/>
    <w:rsid w:val="4A1E6A6E"/>
    <w:rsid w:val="4A253ED9"/>
    <w:rsid w:val="4A2974B3"/>
    <w:rsid w:val="4A4017F1"/>
    <w:rsid w:val="4A406EC7"/>
    <w:rsid w:val="4A4C14EE"/>
    <w:rsid w:val="4A60269A"/>
    <w:rsid w:val="4A6D7F0C"/>
    <w:rsid w:val="4A7D6573"/>
    <w:rsid w:val="4A8E7EF9"/>
    <w:rsid w:val="4AAD1526"/>
    <w:rsid w:val="4ABF0B2E"/>
    <w:rsid w:val="4AC11580"/>
    <w:rsid w:val="4AC15A4E"/>
    <w:rsid w:val="4AE7372B"/>
    <w:rsid w:val="4AEB1CB8"/>
    <w:rsid w:val="4AEE4965"/>
    <w:rsid w:val="4AFD3666"/>
    <w:rsid w:val="4AFD4718"/>
    <w:rsid w:val="4B022D78"/>
    <w:rsid w:val="4B135458"/>
    <w:rsid w:val="4B1556C7"/>
    <w:rsid w:val="4B1D152D"/>
    <w:rsid w:val="4B3652C6"/>
    <w:rsid w:val="4B3C1BC9"/>
    <w:rsid w:val="4B451897"/>
    <w:rsid w:val="4B486267"/>
    <w:rsid w:val="4B494027"/>
    <w:rsid w:val="4B4F3649"/>
    <w:rsid w:val="4B5B330B"/>
    <w:rsid w:val="4B62453E"/>
    <w:rsid w:val="4B631C77"/>
    <w:rsid w:val="4B6A6A21"/>
    <w:rsid w:val="4B730042"/>
    <w:rsid w:val="4B897789"/>
    <w:rsid w:val="4B966D86"/>
    <w:rsid w:val="4B990B66"/>
    <w:rsid w:val="4BAA2B08"/>
    <w:rsid w:val="4BAA4DCE"/>
    <w:rsid w:val="4BB30C8D"/>
    <w:rsid w:val="4BB70AEB"/>
    <w:rsid w:val="4BC879F1"/>
    <w:rsid w:val="4BD50972"/>
    <w:rsid w:val="4BDB0CCE"/>
    <w:rsid w:val="4BDC40DC"/>
    <w:rsid w:val="4BF25CE4"/>
    <w:rsid w:val="4C033703"/>
    <w:rsid w:val="4C09759C"/>
    <w:rsid w:val="4C105A19"/>
    <w:rsid w:val="4C245941"/>
    <w:rsid w:val="4C38071E"/>
    <w:rsid w:val="4C396201"/>
    <w:rsid w:val="4C3D1BE2"/>
    <w:rsid w:val="4C4D1EC8"/>
    <w:rsid w:val="4C567E51"/>
    <w:rsid w:val="4C6F6296"/>
    <w:rsid w:val="4C816111"/>
    <w:rsid w:val="4C8940C4"/>
    <w:rsid w:val="4C8A7526"/>
    <w:rsid w:val="4C935B3A"/>
    <w:rsid w:val="4C95425E"/>
    <w:rsid w:val="4CA26BF2"/>
    <w:rsid w:val="4CBB7E1D"/>
    <w:rsid w:val="4CBF5632"/>
    <w:rsid w:val="4CC14D5C"/>
    <w:rsid w:val="4CC505BA"/>
    <w:rsid w:val="4CC85527"/>
    <w:rsid w:val="4CD436E2"/>
    <w:rsid w:val="4CDB4344"/>
    <w:rsid w:val="4CF018B7"/>
    <w:rsid w:val="4D043746"/>
    <w:rsid w:val="4D291EF1"/>
    <w:rsid w:val="4D427EC3"/>
    <w:rsid w:val="4D4A2404"/>
    <w:rsid w:val="4D502340"/>
    <w:rsid w:val="4D5226F2"/>
    <w:rsid w:val="4D5F75EE"/>
    <w:rsid w:val="4D6921CC"/>
    <w:rsid w:val="4D75590C"/>
    <w:rsid w:val="4D870D81"/>
    <w:rsid w:val="4D912FAE"/>
    <w:rsid w:val="4D9322F7"/>
    <w:rsid w:val="4D9C0343"/>
    <w:rsid w:val="4D9D0219"/>
    <w:rsid w:val="4DA17895"/>
    <w:rsid w:val="4DA42F73"/>
    <w:rsid w:val="4DA45B06"/>
    <w:rsid w:val="4DB469F6"/>
    <w:rsid w:val="4DC535DB"/>
    <w:rsid w:val="4DD16F12"/>
    <w:rsid w:val="4DE57185"/>
    <w:rsid w:val="4DEF3FD2"/>
    <w:rsid w:val="4DF634EA"/>
    <w:rsid w:val="4E131B24"/>
    <w:rsid w:val="4E1857A3"/>
    <w:rsid w:val="4E2A1383"/>
    <w:rsid w:val="4E2A74FF"/>
    <w:rsid w:val="4E357669"/>
    <w:rsid w:val="4E377377"/>
    <w:rsid w:val="4E39204D"/>
    <w:rsid w:val="4E3F11E5"/>
    <w:rsid w:val="4E4B7997"/>
    <w:rsid w:val="4E684A33"/>
    <w:rsid w:val="4E7628F4"/>
    <w:rsid w:val="4E7C3D10"/>
    <w:rsid w:val="4E853C5F"/>
    <w:rsid w:val="4EA5257F"/>
    <w:rsid w:val="4EB955A4"/>
    <w:rsid w:val="4EC11762"/>
    <w:rsid w:val="4EC22273"/>
    <w:rsid w:val="4ECC00AA"/>
    <w:rsid w:val="4ED05701"/>
    <w:rsid w:val="4ED37E1C"/>
    <w:rsid w:val="4EEB7C4E"/>
    <w:rsid w:val="4F065A52"/>
    <w:rsid w:val="4F0D1780"/>
    <w:rsid w:val="4F2064F4"/>
    <w:rsid w:val="4F32014F"/>
    <w:rsid w:val="4F540685"/>
    <w:rsid w:val="4F56045A"/>
    <w:rsid w:val="4F6747D3"/>
    <w:rsid w:val="4F6927ED"/>
    <w:rsid w:val="4F694C67"/>
    <w:rsid w:val="4F700558"/>
    <w:rsid w:val="4F770F8A"/>
    <w:rsid w:val="4F834505"/>
    <w:rsid w:val="4F8F5488"/>
    <w:rsid w:val="4FB81503"/>
    <w:rsid w:val="4FB9469C"/>
    <w:rsid w:val="4FC41575"/>
    <w:rsid w:val="4FD00F7F"/>
    <w:rsid w:val="4FD74093"/>
    <w:rsid w:val="4FDE0813"/>
    <w:rsid w:val="4FE00420"/>
    <w:rsid w:val="4FE030E2"/>
    <w:rsid w:val="4FE2490D"/>
    <w:rsid w:val="4FF236CE"/>
    <w:rsid w:val="5007155F"/>
    <w:rsid w:val="500B3171"/>
    <w:rsid w:val="500E4812"/>
    <w:rsid w:val="50166ECB"/>
    <w:rsid w:val="5019288D"/>
    <w:rsid w:val="502604B3"/>
    <w:rsid w:val="502D08E1"/>
    <w:rsid w:val="502E38F9"/>
    <w:rsid w:val="5045161E"/>
    <w:rsid w:val="5053199D"/>
    <w:rsid w:val="50583103"/>
    <w:rsid w:val="506B6AC6"/>
    <w:rsid w:val="50774C77"/>
    <w:rsid w:val="50782FE3"/>
    <w:rsid w:val="508304EF"/>
    <w:rsid w:val="50917274"/>
    <w:rsid w:val="509A2F79"/>
    <w:rsid w:val="50A12326"/>
    <w:rsid w:val="50A54D78"/>
    <w:rsid w:val="50BC60A0"/>
    <w:rsid w:val="50D04F09"/>
    <w:rsid w:val="50D432DF"/>
    <w:rsid w:val="50E43CFE"/>
    <w:rsid w:val="50E93612"/>
    <w:rsid w:val="5101721E"/>
    <w:rsid w:val="51054037"/>
    <w:rsid w:val="51083494"/>
    <w:rsid w:val="511552EC"/>
    <w:rsid w:val="511B7CBC"/>
    <w:rsid w:val="51202A35"/>
    <w:rsid w:val="512A549D"/>
    <w:rsid w:val="513F1374"/>
    <w:rsid w:val="5140437E"/>
    <w:rsid w:val="51493243"/>
    <w:rsid w:val="514D2D43"/>
    <w:rsid w:val="51524B16"/>
    <w:rsid w:val="5153314F"/>
    <w:rsid w:val="51732259"/>
    <w:rsid w:val="517B4F01"/>
    <w:rsid w:val="518100C7"/>
    <w:rsid w:val="51A5016B"/>
    <w:rsid w:val="51AE5E5D"/>
    <w:rsid w:val="51B301C3"/>
    <w:rsid w:val="51C036D6"/>
    <w:rsid w:val="51C3443C"/>
    <w:rsid w:val="51CC5EBF"/>
    <w:rsid w:val="51D30517"/>
    <w:rsid w:val="51D95E45"/>
    <w:rsid w:val="51DC6AB8"/>
    <w:rsid w:val="51EB2DE9"/>
    <w:rsid w:val="51EE05B6"/>
    <w:rsid w:val="51F25DEF"/>
    <w:rsid w:val="52171E85"/>
    <w:rsid w:val="52264CCA"/>
    <w:rsid w:val="522C45E0"/>
    <w:rsid w:val="522C7792"/>
    <w:rsid w:val="52454E0E"/>
    <w:rsid w:val="52535AB9"/>
    <w:rsid w:val="525941F7"/>
    <w:rsid w:val="52603884"/>
    <w:rsid w:val="526D2BFC"/>
    <w:rsid w:val="52783925"/>
    <w:rsid w:val="527C2318"/>
    <w:rsid w:val="52826353"/>
    <w:rsid w:val="528642F6"/>
    <w:rsid w:val="52B34C64"/>
    <w:rsid w:val="52C503EC"/>
    <w:rsid w:val="52D17816"/>
    <w:rsid w:val="52D63354"/>
    <w:rsid w:val="52DE69FB"/>
    <w:rsid w:val="52E91A72"/>
    <w:rsid w:val="52EC11CB"/>
    <w:rsid w:val="52F12D30"/>
    <w:rsid w:val="52F755F7"/>
    <w:rsid w:val="52FC2210"/>
    <w:rsid w:val="5304690D"/>
    <w:rsid w:val="532C5643"/>
    <w:rsid w:val="53305343"/>
    <w:rsid w:val="53421FFE"/>
    <w:rsid w:val="534A48B3"/>
    <w:rsid w:val="53572610"/>
    <w:rsid w:val="535B20A4"/>
    <w:rsid w:val="53777470"/>
    <w:rsid w:val="538163F6"/>
    <w:rsid w:val="538A7B71"/>
    <w:rsid w:val="53921FD7"/>
    <w:rsid w:val="53930586"/>
    <w:rsid w:val="53947B04"/>
    <w:rsid w:val="539A6820"/>
    <w:rsid w:val="53A055D3"/>
    <w:rsid w:val="53A205BB"/>
    <w:rsid w:val="53AF50FB"/>
    <w:rsid w:val="53B151E0"/>
    <w:rsid w:val="53B632B8"/>
    <w:rsid w:val="53BB50E8"/>
    <w:rsid w:val="53C04581"/>
    <w:rsid w:val="53F0393E"/>
    <w:rsid w:val="53FD704A"/>
    <w:rsid w:val="540620EE"/>
    <w:rsid w:val="541A0545"/>
    <w:rsid w:val="541D2A61"/>
    <w:rsid w:val="542722EE"/>
    <w:rsid w:val="54374A2A"/>
    <w:rsid w:val="544F4724"/>
    <w:rsid w:val="545C73D7"/>
    <w:rsid w:val="5469664E"/>
    <w:rsid w:val="54755312"/>
    <w:rsid w:val="54851816"/>
    <w:rsid w:val="54946212"/>
    <w:rsid w:val="549D74BF"/>
    <w:rsid w:val="549E6942"/>
    <w:rsid w:val="54CA00E5"/>
    <w:rsid w:val="54CD2DFD"/>
    <w:rsid w:val="54F14CE8"/>
    <w:rsid w:val="550A6565"/>
    <w:rsid w:val="550E6C7D"/>
    <w:rsid w:val="550F3FF2"/>
    <w:rsid w:val="55140685"/>
    <w:rsid w:val="55226F8D"/>
    <w:rsid w:val="553559D8"/>
    <w:rsid w:val="5542300D"/>
    <w:rsid w:val="55441E00"/>
    <w:rsid w:val="55447ABD"/>
    <w:rsid w:val="55543389"/>
    <w:rsid w:val="555D4D2B"/>
    <w:rsid w:val="55670094"/>
    <w:rsid w:val="55716B04"/>
    <w:rsid w:val="55AB4BB4"/>
    <w:rsid w:val="55AD618B"/>
    <w:rsid w:val="55C51171"/>
    <w:rsid w:val="55CB0EF4"/>
    <w:rsid w:val="55DC3C25"/>
    <w:rsid w:val="55E06C30"/>
    <w:rsid w:val="55E95FEC"/>
    <w:rsid w:val="55F005E4"/>
    <w:rsid w:val="55F33CD9"/>
    <w:rsid w:val="55FB00B8"/>
    <w:rsid w:val="55FE762A"/>
    <w:rsid w:val="560228EC"/>
    <w:rsid w:val="56163B6A"/>
    <w:rsid w:val="56306BB8"/>
    <w:rsid w:val="564918DE"/>
    <w:rsid w:val="5652429E"/>
    <w:rsid w:val="565247BF"/>
    <w:rsid w:val="56784B96"/>
    <w:rsid w:val="56883BE3"/>
    <w:rsid w:val="568A3EEC"/>
    <w:rsid w:val="568E17D7"/>
    <w:rsid w:val="569B33D9"/>
    <w:rsid w:val="569D5CA9"/>
    <w:rsid w:val="569E120D"/>
    <w:rsid w:val="56B32F05"/>
    <w:rsid w:val="56D96DB8"/>
    <w:rsid w:val="56D97AFB"/>
    <w:rsid w:val="56DB5E37"/>
    <w:rsid w:val="56E82906"/>
    <w:rsid w:val="56EC45A2"/>
    <w:rsid w:val="56EC5DF2"/>
    <w:rsid w:val="56F43ADF"/>
    <w:rsid w:val="57103570"/>
    <w:rsid w:val="57165E45"/>
    <w:rsid w:val="571906D8"/>
    <w:rsid w:val="57292F1D"/>
    <w:rsid w:val="57336FA1"/>
    <w:rsid w:val="57442C0C"/>
    <w:rsid w:val="575D3E08"/>
    <w:rsid w:val="575E6DF7"/>
    <w:rsid w:val="5769326F"/>
    <w:rsid w:val="578A7931"/>
    <w:rsid w:val="57973AB9"/>
    <w:rsid w:val="579A36B2"/>
    <w:rsid w:val="57A10A13"/>
    <w:rsid w:val="57B15E16"/>
    <w:rsid w:val="57B61A28"/>
    <w:rsid w:val="57E04C16"/>
    <w:rsid w:val="57E10282"/>
    <w:rsid w:val="57E10A18"/>
    <w:rsid w:val="57F147F4"/>
    <w:rsid w:val="57F369A4"/>
    <w:rsid w:val="57F610FA"/>
    <w:rsid w:val="57F97081"/>
    <w:rsid w:val="58192571"/>
    <w:rsid w:val="581F4E1C"/>
    <w:rsid w:val="582B531B"/>
    <w:rsid w:val="58321906"/>
    <w:rsid w:val="5840723B"/>
    <w:rsid w:val="585E1759"/>
    <w:rsid w:val="586817E4"/>
    <w:rsid w:val="58735841"/>
    <w:rsid w:val="589943A6"/>
    <w:rsid w:val="58A0688C"/>
    <w:rsid w:val="58A51347"/>
    <w:rsid w:val="58A942C4"/>
    <w:rsid w:val="58B27DE2"/>
    <w:rsid w:val="58C5573F"/>
    <w:rsid w:val="58CF55AD"/>
    <w:rsid w:val="58D04950"/>
    <w:rsid w:val="58E80ED3"/>
    <w:rsid w:val="58FB120F"/>
    <w:rsid w:val="590F0D55"/>
    <w:rsid w:val="591A46E6"/>
    <w:rsid w:val="59492DC5"/>
    <w:rsid w:val="594A4983"/>
    <w:rsid w:val="594B44B2"/>
    <w:rsid w:val="59837277"/>
    <w:rsid w:val="59864F37"/>
    <w:rsid w:val="59A94E13"/>
    <w:rsid w:val="59AA05CF"/>
    <w:rsid w:val="59C363FA"/>
    <w:rsid w:val="59C77A85"/>
    <w:rsid w:val="59D3540A"/>
    <w:rsid w:val="59D413B8"/>
    <w:rsid w:val="59D84074"/>
    <w:rsid w:val="59DB7B32"/>
    <w:rsid w:val="59DD105F"/>
    <w:rsid w:val="59FF1AE3"/>
    <w:rsid w:val="5A1164A2"/>
    <w:rsid w:val="5A173237"/>
    <w:rsid w:val="5A1D47B4"/>
    <w:rsid w:val="5A35395E"/>
    <w:rsid w:val="5A455685"/>
    <w:rsid w:val="5A4D6E61"/>
    <w:rsid w:val="5A6F63BD"/>
    <w:rsid w:val="5A8A0AE5"/>
    <w:rsid w:val="5A8D2E03"/>
    <w:rsid w:val="5A8D5011"/>
    <w:rsid w:val="5A8E53AC"/>
    <w:rsid w:val="5A910162"/>
    <w:rsid w:val="5A982059"/>
    <w:rsid w:val="5A9C7376"/>
    <w:rsid w:val="5ABF5647"/>
    <w:rsid w:val="5AC067C1"/>
    <w:rsid w:val="5AC62C29"/>
    <w:rsid w:val="5AD377AF"/>
    <w:rsid w:val="5AD83726"/>
    <w:rsid w:val="5AD952E5"/>
    <w:rsid w:val="5AE1122D"/>
    <w:rsid w:val="5AE43746"/>
    <w:rsid w:val="5AF557D6"/>
    <w:rsid w:val="5AFD1C69"/>
    <w:rsid w:val="5B026D9C"/>
    <w:rsid w:val="5B0C4BA8"/>
    <w:rsid w:val="5B107039"/>
    <w:rsid w:val="5B1769FD"/>
    <w:rsid w:val="5B190FC1"/>
    <w:rsid w:val="5B21061C"/>
    <w:rsid w:val="5B24318B"/>
    <w:rsid w:val="5B345096"/>
    <w:rsid w:val="5B4252F0"/>
    <w:rsid w:val="5B522B29"/>
    <w:rsid w:val="5B5A6341"/>
    <w:rsid w:val="5B7406A9"/>
    <w:rsid w:val="5B7B0AE7"/>
    <w:rsid w:val="5B9000A0"/>
    <w:rsid w:val="5B903647"/>
    <w:rsid w:val="5B9B44DA"/>
    <w:rsid w:val="5BAC183B"/>
    <w:rsid w:val="5BD13847"/>
    <w:rsid w:val="5BE616F3"/>
    <w:rsid w:val="5BFE5ECB"/>
    <w:rsid w:val="5C054583"/>
    <w:rsid w:val="5C074BFC"/>
    <w:rsid w:val="5C0A6562"/>
    <w:rsid w:val="5C275553"/>
    <w:rsid w:val="5C28715E"/>
    <w:rsid w:val="5C3C0BC6"/>
    <w:rsid w:val="5C415FB3"/>
    <w:rsid w:val="5C4D5BAC"/>
    <w:rsid w:val="5C54304E"/>
    <w:rsid w:val="5C575541"/>
    <w:rsid w:val="5C610B58"/>
    <w:rsid w:val="5C651146"/>
    <w:rsid w:val="5C791F7D"/>
    <w:rsid w:val="5C9776EC"/>
    <w:rsid w:val="5CA11332"/>
    <w:rsid w:val="5CA46AC8"/>
    <w:rsid w:val="5CB31223"/>
    <w:rsid w:val="5CB744A8"/>
    <w:rsid w:val="5CB82D89"/>
    <w:rsid w:val="5CCD5D8D"/>
    <w:rsid w:val="5CD50EE5"/>
    <w:rsid w:val="5CD643B3"/>
    <w:rsid w:val="5CD96D44"/>
    <w:rsid w:val="5CF530FC"/>
    <w:rsid w:val="5D135831"/>
    <w:rsid w:val="5D2713F9"/>
    <w:rsid w:val="5D386691"/>
    <w:rsid w:val="5D3F4307"/>
    <w:rsid w:val="5D4077EE"/>
    <w:rsid w:val="5D4A130C"/>
    <w:rsid w:val="5D6152B6"/>
    <w:rsid w:val="5D644819"/>
    <w:rsid w:val="5D79238A"/>
    <w:rsid w:val="5D795C4C"/>
    <w:rsid w:val="5D7A3771"/>
    <w:rsid w:val="5D7B3E3F"/>
    <w:rsid w:val="5D8202EA"/>
    <w:rsid w:val="5D831B18"/>
    <w:rsid w:val="5D844253"/>
    <w:rsid w:val="5D850D53"/>
    <w:rsid w:val="5D881975"/>
    <w:rsid w:val="5D9D7ABA"/>
    <w:rsid w:val="5D9E336F"/>
    <w:rsid w:val="5DA41EA8"/>
    <w:rsid w:val="5DB1576E"/>
    <w:rsid w:val="5DB434FF"/>
    <w:rsid w:val="5DB63743"/>
    <w:rsid w:val="5DB92B11"/>
    <w:rsid w:val="5DBB1F5B"/>
    <w:rsid w:val="5DC56E70"/>
    <w:rsid w:val="5DCA02A9"/>
    <w:rsid w:val="5DCB1F86"/>
    <w:rsid w:val="5DD05607"/>
    <w:rsid w:val="5DD2602C"/>
    <w:rsid w:val="5DD313BD"/>
    <w:rsid w:val="5DDB1072"/>
    <w:rsid w:val="5DE71862"/>
    <w:rsid w:val="5DEB5A49"/>
    <w:rsid w:val="5DF27452"/>
    <w:rsid w:val="5E014405"/>
    <w:rsid w:val="5E1F3DE8"/>
    <w:rsid w:val="5E1F7B76"/>
    <w:rsid w:val="5E5460C4"/>
    <w:rsid w:val="5E5C5C6D"/>
    <w:rsid w:val="5E73562F"/>
    <w:rsid w:val="5E803820"/>
    <w:rsid w:val="5E8531E6"/>
    <w:rsid w:val="5E9709BB"/>
    <w:rsid w:val="5E9C0565"/>
    <w:rsid w:val="5EA3451E"/>
    <w:rsid w:val="5EB130B7"/>
    <w:rsid w:val="5EBB2812"/>
    <w:rsid w:val="5EBE40F6"/>
    <w:rsid w:val="5ECC1DF0"/>
    <w:rsid w:val="5ED634A9"/>
    <w:rsid w:val="5ED7373D"/>
    <w:rsid w:val="5EDE233A"/>
    <w:rsid w:val="5EE14D12"/>
    <w:rsid w:val="5EEA5A85"/>
    <w:rsid w:val="5EF5168C"/>
    <w:rsid w:val="5EF73D32"/>
    <w:rsid w:val="5EFB6FF5"/>
    <w:rsid w:val="5EFD32BF"/>
    <w:rsid w:val="5F076B4E"/>
    <w:rsid w:val="5F1D646F"/>
    <w:rsid w:val="5F1F12EB"/>
    <w:rsid w:val="5F225B30"/>
    <w:rsid w:val="5F22731E"/>
    <w:rsid w:val="5F380CA5"/>
    <w:rsid w:val="5F3A5B90"/>
    <w:rsid w:val="5F3A6343"/>
    <w:rsid w:val="5F4204D1"/>
    <w:rsid w:val="5F473B9D"/>
    <w:rsid w:val="5F48614C"/>
    <w:rsid w:val="5F506F4D"/>
    <w:rsid w:val="5F566CC1"/>
    <w:rsid w:val="5F6F50F9"/>
    <w:rsid w:val="5F78417A"/>
    <w:rsid w:val="5F845B9A"/>
    <w:rsid w:val="5F8602E0"/>
    <w:rsid w:val="5F8E4463"/>
    <w:rsid w:val="5FA365FF"/>
    <w:rsid w:val="5FB843FA"/>
    <w:rsid w:val="5FB937AA"/>
    <w:rsid w:val="5FBC33E8"/>
    <w:rsid w:val="5FC65213"/>
    <w:rsid w:val="5FD55C3C"/>
    <w:rsid w:val="5FD66A5E"/>
    <w:rsid w:val="5FD858B3"/>
    <w:rsid w:val="5FE9215F"/>
    <w:rsid w:val="5FEF5234"/>
    <w:rsid w:val="60066668"/>
    <w:rsid w:val="6023797A"/>
    <w:rsid w:val="602665F6"/>
    <w:rsid w:val="60280C61"/>
    <w:rsid w:val="602A2DA5"/>
    <w:rsid w:val="603437D5"/>
    <w:rsid w:val="60442EFB"/>
    <w:rsid w:val="604512A6"/>
    <w:rsid w:val="606301B2"/>
    <w:rsid w:val="60657B16"/>
    <w:rsid w:val="60671914"/>
    <w:rsid w:val="606C08AE"/>
    <w:rsid w:val="606C5055"/>
    <w:rsid w:val="606E2AF9"/>
    <w:rsid w:val="60764834"/>
    <w:rsid w:val="609059DE"/>
    <w:rsid w:val="60A03723"/>
    <w:rsid w:val="60A61919"/>
    <w:rsid w:val="60B5788C"/>
    <w:rsid w:val="60C53C98"/>
    <w:rsid w:val="60D04085"/>
    <w:rsid w:val="60E73738"/>
    <w:rsid w:val="60F0521B"/>
    <w:rsid w:val="61034502"/>
    <w:rsid w:val="611B40BF"/>
    <w:rsid w:val="61455B2C"/>
    <w:rsid w:val="615272A5"/>
    <w:rsid w:val="61597EC3"/>
    <w:rsid w:val="616B08E8"/>
    <w:rsid w:val="6177172C"/>
    <w:rsid w:val="617722EB"/>
    <w:rsid w:val="617A59DA"/>
    <w:rsid w:val="61A222F0"/>
    <w:rsid w:val="61AA4ED5"/>
    <w:rsid w:val="61B03BF8"/>
    <w:rsid w:val="61B626C8"/>
    <w:rsid w:val="61B71A29"/>
    <w:rsid w:val="61C273DC"/>
    <w:rsid w:val="61D92741"/>
    <w:rsid w:val="61F606CF"/>
    <w:rsid w:val="61FF3E90"/>
    <w:rsid w:val="622D6ADD"/>
    <w:rsid w:val="623F60CE"/>
    <w:rsid w:val="625D6320"/>
    <w:rsid w:val="626A2267"/>
    <w:rsid w:val="627629B7"/>
    <w:rsid w:val="6282282B"/>
    <w:rsid w:val="6283091F"/>
    <w:rsid w:val="62936538"/>
    <w:rsid w:val="629A142B"/>
    <w:rsid w:val="62A42602"/>
    <w:rsid w:val="62AE0698"/>
    <w:rsid w:val="62C7676C"/>
    <w:rsid w:val="62DA389A"/>
    <w:rsid w:val="62DB1422"/>
    <w:rsid w:val="62FC1F47"/>
    <w:rsid w:val="63135989"/>
    <w:rsid w:val="63240941"/>
    <w:rsid w:val="6337658B"/>
    <w:rsid w:val="633A1660"/>
    <w:rsid w:val="633C67A8"/>
    <w:rsid w:val="63432674"/>
    <w:rsid w:val="6347657C"/>
    <w:rsid w:val="63477A33"/>
    <w:rsid w:val="636730A3"/>
    <w:rsid w:val="636A3DFC"/>
    <w:rsid w:val="636B5B38"/>
    <w:rsid w:val="63716EC6"/>
    <w:rsid w:val="6388654B"/>
    <w:rsid w:val="63892AAF"/>
    <w:rsid w:val="63914CE7"/>
    <w:rsid w:val="63933E2B"/>
    <w:rsid w:val="639A36E5"/>
    <w:rsid w:val="63A964C2"/>
    <w:rsid w:val="63C911B7"/>
    <w:rsid w:val="63D00313"/>
    <w:rsid w:val="63D0752F"/>
    <w:rsid w:val="63DA13ED"/>
    <w:rsid w:val="63E276F3"/>
    <w:rsid w:val="63E94056"/>
    <w:rsid w:val="63EF6514"/>
    <w:rsid w:val="63FD6C5C"/>
    <w:rsid w:val="641B09AC"/>
    <w:rsid w:val="64207BDD"/>
    <w:rsid w:val="64241F26"/>
    <w:rsid w:val="6441127C"/>
    <w:rsid w:val="644F3C9F"/>
    <w:rsid w:val="645D336D"/>
    <w:rsid w:val="645E3128"/>
    <w:rsid w:val="64751C04"/>
    <w:rsid w:val="648452AE"/>
    <w:rsid w:val="64970633"/>
    <w:rsid w:val="64A76B97"/>
    <w:rsid w:val="64AA0748"/>
    <w:rsid w:val="64BA5BE6"/>
    <w:rsid w:val="64C050F2"/>
    <w:rsid w:val="64C20E1E"/>
    <w:rsid w:val="64C53F63"/>
    <w:rsid w:val="64D5423E"/>
    <w:rsid w:val="64E32BAC"/>
    <w:rsid w:val="64FF2315"/>
    <w:rsid w:val="650E7A2A"/>
    <w:rsid w:val="65123230"/>
    <w:rsid w:val="65142CC1"/>
    <w:rsid w:val="651F242C"/>
    <w:rsid w:val="65393BFE"/>
    <w:rsid w:val="653C1938"/>
    <w:rsid w:val="655871EB"/>
    <w:rsid w:val="657725E9"/>
    <w:rsid w:val="65930332"/>
    <w:rsid w:val="65957FD8"/>
    <w:rsid w:val="659D0615"/>
    <w:rsid w:val="65BD6733"/>
    <w:rsid w:val="65C75EB9"/>
    <w:rsid w:val="65DD67A4"/>
    <w:rsid w:val="65DF43B0"/>
    <w:rsid w:val="6602552E"/>
    <w:rsid w:val="660459D6"/>
    <w:rsid w:val="66060FC2"/>
    <w:rsid w:val="661651F5"/>
    <w:rsid w:val="661B189F"/>
    <w:rsid w:val="661D2279"/>
    <w:rsid w:val="6628521C"/>
    <w:rsid w:val="662C05F9"/>
    <w:rsid w:val="66356D6D"/>
    <w:rsid w:val="664524DF"/>
    <w:rsid w:val="664C16E2"/>
    <w:rsid w:val="664D326A"/>
    <w:rsid w:val="66513CFA"/>
    <w:rsid w:val="665A396B"/>
    <w:rsid w:val="665A729D"/>
    <w:rsid w:val="66616A64"/>
    <w:rsid w:val="666C6405"/>
    <w:rsid w:val="666D4172"/>
    <w:rsid w:val="666F4AC5"/>
    <w:rsid w:val="667674A8"/>
    <w:rsid w:val="66792569"/>
    <w:rsid w:val="667F0E0A"/>
    <w:rsid w:val="667F60C9"/>
    <w:rsid w:val="66832931"/>
    <w:rsid w:val="66836A3F"/>
    <w:rsid w:val="66840988"/>
    <w:rsid w:val="668B262C"/>
    <w:rsid w:val="66B5037E"/>
    <w:rsid w:val="66BA1A79"/>
    <w:rsid w:val="66C63BAD"/>
    <w:rsid w:val="66C8429E"/>
    <w:rsid w:val="66D161B8"/>
    <w:rsid w:val="66D84771"/>
    <w:rsid w:val="66EC2796"/>
    <w:rsid w:val="66F40A22"/>
    <w:rsid w:val="67046A6C"/>
    <w:rsid w:val="670A3AC5"/>
    <w:rsid w:val="670A56FB"/>
    <w:rsid w:val="6716125E"/>
    <w:rsid w:val="671A5DA8"/>
    <w:rsid w:val="673E3BE0"/>
    <w:rsid w:val="673F2EE3"/>
    <w:rsid w:val="674214A0"/>
    <w:rsid w:val="675033C0"/>
    <w:rsid w:val="67517501"/>
    <w:rsid w:val="6770680D"/>
    <w:rsid w:val="67713939"/>
    <w:rsid w:val="67760531"/>
    <w:rsid w:val="67783D88"/>
    <w:rsid w:val="678A5E09"/>
    <w:rsid w:val="678F48C3"/>
    <w:rsid w:val="67A26DCC"/>
    <w:rsid w:val="67B00BBE"/>
    <w:rsid w:val="67B844AA"/>
    <w:rsid w:val="67C50167"/>
    <w:rsid w:val="67E129DF"/>
    <w:rsid w:val="67F90FFD"/>
    <w:rsid w:val="67F96C52"/>
    <w:rsid w:val="681018E3"/>
    <w:rsid w:val="68136037"/>
    <w:rsid w:val="68176D09"/>
    <w:rsid w:val="681D3566"/>
    <w:rsid w:val="6820759B"/>
    <w:rsid w:val="68224A6C"/>
    <w:rsid w:val="682673B8"/>
    <w:rsid w:val="682845CA"/>
    <w:rsid w:val="68293FBD"/>
    <w:rsid w:val="683F6B0E"/>
    <w:rsid w:val="68515AE5"/>
    <w:rsid w:val="685A0A9B"/>
    <w:rsid w:val="686B6943"/>
    <w:rsid w:val="687E6EA9"/>
    <w:rsid w:val="688A1F52"/>
    <w:rsid w:val="688F7C7E"/>
    <w:rsid w:val="689A12EE"/>
    <w:rsid w:val="689C2DA1"/>
    <w:rsid w:val="689F6284"/>
    <w:rsid w:val="68A13996"/>
    <w:rsid w:val="68A76AA6"/>
    <w:rsid w:val="68B03ED7"/>
    <w:rsid w:val="68B41886"/>
    <w:rsid w:val="68B465AF"/>
    <w:rsid w:val="68CC0823"/>
    <w:rsid w:val="68DF3902"/>
    <w:rsid w:val="68EF7EB8"/>
    <w:rsid w:val="68F166D7"/>
    <w:rsid w:val="690302AB"/>
    <w:rsid w:val="691502DF"/>
    <w:rsid w:val="69295BA1"/>
    <w:rsid w:val="693441D7"/>
    <w:rsid w:val="693574CA"/>
    <w:rsid w:val="693A174A"/>
    <w:rsid w:val="69473C5E"/>
    <w:rsid w:val="69556D97"/>
    <w:rsid w:val="69592F37"/>
    <w:rsid w:val="696B368E"/>
    <w:rsid w:val="6977269B"/>
    <w:rsid w:val="699149B5"/>
    <w:rsid w:val="69A073DD"/>
    <w:rsid w:val="69BA5C94"/>
    <w:rsid w:val="69C127FB"/>
    <w:rsid w:val="69C74F96"/>
    <w:rsid w:val="69D17399"/>
    <w:rsid w:val="69D229A2"/>
    <w:rsid w:val="69D471E4"/>
    <w:rsid w:val="69DA5879"/>
    <w:rsid w:val="69DB55D5"/>
    <w:rsid w:val="69DD7ED8"/>
    <w:rsid w:val="69FE5D08"/>
    <w:rsid w:val="69FF509F"/>
    <w:rsid w:val="6A041BC0"/>
    <w:rsid w:val="6A056114"/>
    <w:rsid w:val="6A1F3A9A"/>
    <w:rsid w:val="6A251761"/>
    <w:rsid w:val="6A3134D7"/>
    <w:rsid w:val="6A3A039D"/>
    <w:rsid w:val="6A424E6A"/>
    <w:rsid w:val="6A52572E"/>
    <w:rsid w:val="6A642B0C"/>
    <w:rsid w:val="6A6E0683"/>
    <w:rsid w:val="6A7F3DFE"/>
    <w:rsid w:val="6A813932"/>
    <w:rsid w:val="6A8B4EB2"/>
    <w:rsid w:val="6A8B6757"/>
    <w:rsid w:val="6A8D70DE"/>
    <w:rsid w:val="6A916B75"/>
    <w:rsid w:val="6AA22C95"/>
    <w:rsid w:val="6AA575F8"/>
    <w:rsid w:val="6AAB1331"/>
    <w:rsid w:val="6AAB7C2F"/>
    <w:rsid w:val="6AB46AC7"/>
    <w:rsid w:val="6ABA5A26"/>
    <w:rsid w:val="6AC15B39"/>
    <w:rsid w:val="6ACC0C94"/>
    <w:rsid w:val="6AE31295"/>
    <w:rsid w:val="6AEC109D"/>
    <w:rsid w:val="6AEF08DD"/>
    <w:rsid w:val="6AF82610"/>
    <w:rsid w:val="6AFA4737"/>
    <w:rsid w:val="6AFF272E"/>
    <w:rsid w:val="6B065E84"/>
    <w:rsid w:val="6B2118A3"/>
    <w:rsid w:val="6B2933AC"/>
    <w:rsid w:val="6B2E654C"/>
    <w:rsid w:val="6B5318D1"/>
    <w:rsid w:val="6B5578F5"/>
    <w:rsid w:val="6B5829F9"/>
    <w:rsid w:val="6B781B54"/>
    <w:rsid w:val="6B900044"/>
    <w:rsid w:val="6B9C4E74"/>
    <w:rsid w:val="6BA00581"/>
    <w:rsid w:val="6BA36DCB"/>
    <w:rsid w:val="6BA95CD2"/>
    <w:rsid w:val="6BDD130F"/>
    <w:rsid w:val="6BE447FB"/>
    <w:rsid w:val="6BFE1D2C"/>
    <w:rsid w:val="6C181DDE"/>
    <w:rsid w:val="6C186A79"/>
    <w:rsid w:val="6C2C121B"/>
    <w:rsid w:val="6C475343"/>
    <w:rsid w:val="6C4862BB"/>
    <w:rsid w:val="6C6130E9"/>
    <w:rsid w:val="6C672279"/>
    <w:rsid w:val="6C7255D0"/>
    <w:rsid w:val="6C8062EC"/>
    <w:rsid w:val="6C89164F"/>
    <w:rsid w:val="6C8C7F87"/>
    <w:rsid w:val="6C922CD0"/>
    <w:rsid w:val="6C9460CE"/>
    <w:rsid w:val="6C9F3D9E"/>
    <w:rsid w:val="6CAB07AF"/>
    <w:rsid w:val="6CAD423B"/>
    <w:rsid w:val="6CAF304F"/>
    <w:rsid w:val="6CB8067C"/>
    <w:rsid w:val="6CDD2D2A"/>
    <w:rsid w:val="6CE267A4"/>
    <w:rsid w:val="6CEB6460"/>
    <w:rsid w:val="6D01746C"/>
    <w:rsid w:val="6D037748"/>
    <w:rsid w:val="6D0D06AB"/>
    <w:rsid w:val="6D113E8D"/>
    <w:rsid w:val="6D1353A0"/>
    <w:rsid w:val="6D2F6662"/>
    <w:rsid w:val="6D396A71"/>
    <w:rsid w:val="6D3A6DBB"/>
    <w:rsid w:val="6D484AF2"/>
    <w:rsid w:val="6D4B16D1"/>
    <w:rsid w:val="6D7B656A"/>
    <w:rsid w:val="6D7D4A62"/>
    <w:rsid w:val="6D7E6846"/>
    <w:rsid w:val="6D8023CD"/>
    <w:rsid w:val="6DA005A9"/>
    <w:rsid w:val="6DA767E2"/>
    <w:rsid w:val="6DB449D7"/>
    <w:rsid w:val="6DBE0C52"/>
    <w:rsid w:val="6DD66781"/>
    <w:rsid w:val="6DFA0655"/>
    <w:rsid w:val="6DFF1784"/>
    <w:rsid w:val="6E016E7E"/>
    <w:rsid w:val="6E017DE8"/>
    <w:rsid w:val="6E084EE2"/>
    <w:rsid w:val="6E174DE0"/>
    <w:rsid w:val="6E1E051D"/>
    <w:rsid w:val="6E207484"/>
    <w:rsid w:val="6E2773CA"/>
    <w:rsid w:val="6E2A5600"/>
    <w:rsid w:val="6E2D765A"/>
    <w:rsid w:val="6E394636"/>
    <w:rsid w:val="6E3E614A"/>
    <w:rsid w:val="6E400632"/>
    <w:rsid w:val="6E492579"/>
    <w:rsid w:val="6E4A4582"/>
    <w:rsid w:val="6E504E44"/>
    <w:rsid w:val="6E531C62"/>
    <w:rsid w:val="6E5F5A09"/>
    <w:rsid w:val="6E712470"/>
    <w:rsid w:val="6E8F77DB"/>
    <w:rsid w:val="6EAB5ACE"/>
    <w:rsid w:val="6EB140B1"/>
    <w:rsid w:val="6ED06C88"/>
    <w:rsid w:val="6ED36C87"/>
    <w:rsid w:val="6EDC3726"/>
    <w:rsid w:val="6EEA56BC"/>
    <w:rsid w:val="6EED76CA"/>
    <w:rsid w:val="6EFB1E81"/>
    <w:rsid w:val="6EFF1A7B"/>
    <w:rsid w:val="6EFF76D2"/>
    <w:rsid w:val="6F0155A2"/>
    <w:rsid w:val="6F0F1C4D"/>
    <w:rsid w:val="6F314612"/>
    <w:rsid w:val="6F3C2F76"/>
    <w:rsid w:val="6F65014B"/>
    <w:rsid w:val="6F6925B2"/>
    <w:rsid w:val="6F781C6B"/>
    <w:rsid w:val="6F7C3DCC"/>
    <w:rsid w:val="6F884E95"/>
    <w:rsid w:val="6F893ECF"/>
    <w:rsid w:val="6FA00221"/>
    <w:rsid w:val="6FA824AC"/>
    <w:rsid w:val="6FAF7AB6"/>
    <w:rsid w:val="6FB31474"/>
    <w:rsid w:val="6FB349B1"/>
    <w:rsid w:val="6FB35398"/>
    <w:rsid w:val="6FB47FA8"/>
    <w:rsid w:val="6FB65510"/>
    <w:rsid w:val="6FBF04B2"/>
    <w:rsid w:val="6FC96D46"/>
    <w:rsid w:val="6FCB228A"/>
    <w:rsid w:val="6FDC077E"/>
    <w:rsid w:val="6FDC7F7A"/>
    <w:rsid w:val="6FDD2D88"/>
    <w:rsid w:val="6FE00A3B"/>
    <w:rsid w:val="6FE17681"/>
    <w:rsid w:val="6FE20D80"/>
    <w:rsid w:val="6FE514E8"/>
    <w:rsid w:val="6FF3186D"/>
    <w:rsid w:val="6FF74231"/>
    <w:rsid w:val="700A0ED0"/>
    <w:rsid w:val="700F269F"/>
    <w:rsid w:val="700F4E3B"/>
    <w:rsid w:val="70222901"/>
    <w:rsid w:val="704775F3"/>
    <w:rsid w:val="704C53D3"/>
    <w:rsid w:val="705C54CD"/>
    <w:rsid w:val="706359B8"/>
    <w:rsid w:val="70912FDF"/>
    <w:rsid w:val="709A7EBF"/>
    <w:rsid w:val="70B84D9D"/>
    <w:rsid w:val="70BE0431"/>
    <w:rsid w:val="70C3773B"/>
    <w:rsid w:val="70C43953"/>
    <w:rsid w:val="70FE0223"/>
    <w:rsid w:val="70FE21C6"/>
    <w:rsid w:val="7104727C"/>
    <w:rsid w:val="711E62A1"/>
    <w:rsid w:val="712038D6"/>
    <w:rsid w:val="71233ED8"/>
    <w:rsid w:val="71237358"/>
    <w:rsid w:val="712B00D1"/>
    <w:rsid w:val="712B38B8"/>
    <w:rsid w:val="712B3F4F"/>
    <w:rsid w:val="71383046"/>
    <w:rsid w:val="71443247"/>
    <w:rsid w:val="716474DD"/>
    <w:rsid w:val="7165065B"/>
    <w:rsid w:val="71771A80"/>
    <w:rsid w:val="71900917"/>
    <w:rsid w:val="719D4CFC"/>
    <w:rsid w:val="71AA6278"/>
    <w:rsid w:val="71B55386"/>
    <w:rsid w:val="71BD6333"/>
    <w:rsid w:val="71C70DA6"/>
    <w:rsid w:val="71C754DE"/>
    <w:rsid w:val="71D665DE"/>
    <w:rsid w:val="71DD1DF2"/>
    <w:rsid w:val="71E9171C"/>
    <w:rsid w:val="71F452CD"/>
    <w:rsid w:val="72090470"/>
    <w:rsid w:val="72102971"/>
    <w:rsid w:val="722A08D8"/>
    <w:rsid w:val="722B5109"/>
    <w:rsid w:val="7234579F"/>
    <w:rsid w:val="723458BE"/>
    <w:rsid w:val="724429ED"/>
    <w:rsid w:val="72471FA0"/>
    <w:rsid w:val="724B20C6"/>
    <w:rsid w:val="725123C2"/>
    <w:rsid w:val="72614A63"/>
    <w:rsid w:val="72793892"/>
    <w:rsid w:val="727A53C8"/>
    <w:rsid w:val="729B2135"/>
    <w:rsid w:val="72A60013"/>
    <w:rsid w:val="72BB25BD"/>
    <w:rsid w:val="72C83B28"/>
    <w:rsid w:val="72CB546E"/>
    <w:rsid w:val="72CD7F4C"/>
    <w:rsid w:val="72DA6403"/>
    <w:rsid w:val="72DD2A51"/>
    <w:rsid w:val="72F413E2"/>
    <w:rsid w:val="72FB7AB5"/>
    <w:rsid w:val="73050017"/>
    <w:rsid w:val="730F0F83"/>
    <w:rsid w:val="73194BF9"/>
    <w:rsid w:val="73253A26"/>
    <w:rsid w:val="734A2C32"/>
    <w:rsid w:val="73575364"/>
    <w:rsid w:val="735A6A75"/>
    <w:rsid w:val="735F09EC"/>
    <w:rsid w:val="7375259B"/>
    <w:rsid w:val="737B7FFF"/>
    <w:rsid w:val="737F3142"/>
    <w:rsid w:val="738B36CD"/>
    <w:rsid w:val="739100AF"/>
    <w:rsid w:val="73B07652"/>
    <w:rsid w:val="73B10FC1"/>
    <w:rsid w:val="73C430A0"/>
    <w:rsid w:val="73C661D1"/>
    <w:rsid w:val="73CB5AB0"/>
    <w:rsid w:val="73E32554"/>
    <w:rsid w:val="73E3448D"/>
    <w:rsid w:val="73E821D4"/>
    <w:rsid w:val="74110767"/>
    <w:rsid w:val="74112EA8"/>
    <w:rsid w:val="74197ECB"/>
    <w:rsid w:val="74367EDD"/>
    <w:rsid w:val="743832BD"/>
    <w:rsid w:val="744066AF"/>
    <w:rsid w:val="74416D33"/>
    <w:rsid w:val="7451766C"/>
    <w:rsid w:val="746F06FF"/>
    <w:rsid w:val="74710B27"/>
    <w:rsid w:val="74874E52"/>
    <w:rsid w:val="74897168"/>
    <w:rsid w:val="74950615"/>
    <w:rsid w:val="74977EF9"/>
    <w:rsid w:val="7498089C"/>
    <w:rsid w:val="749A2B60"/>
    <w:rsid w:val="749A521B"/>
    <w:rsid w:val="74D3353D"/>
    <w:rsid w:val="74E637D3"/>
    <w:rsid w:val="74EB5809"/>
    <w:rsid w:val="74F251FD"/>
    <w:rsid w:val="74F7002D"/>
    <w:rsid w:val="74FD7E56"/>
    <w:rsid w:val="75236C81"/>
    <w:rsid w:val="754A2E68"/>
    <w:rsid w:val="754E271F"/>
    <w:rsid w:val="755F387D"/>
    <w:rsid w:val="756348B4"/>
    <w:rsid w:val="756B62FA"/>
    <w:rsid w:val="758071C6"/>
    <w:rsid w:val="75870319"/>
    <w:rsid w:val="75916EEA"/>
    <w:rsid w:val="75973794"/>
    <w:rsid w:val="75CC4EB4"/>
    <w:rsid w:val="75E47F54"/>
    <w:rsid w:val="75EE0425"/>
    <w:rsid w:val="75F93E05"/>
    <w:rsid w:val="75FC464D"/>
    <w:rsid w:val="760266C5"/>
    <w:rsid w:val="761C55F2"/>
    <w:rsid w:val="761C7166"/>
    <w:rsid w:val="76261B5A"/>
    <w:rsid w:val="763078F4"/>
    <w:rsid w:val="76362102"/>
    <w:rsid w:val="763B4A56"/>
    <w:rsid w:val="763C47F4"/>
    <w:rsid w:val="763E14D1"/>
    <w:rsid w:val="76415E64"/>
    <w:rsid w:val="765359F1"/>
    <w:rsid w:val="76907A67"/>
    <w:rsid w:val="76A715AA"/>
    <w:rsid w:val="76A92721"/>
    <w:rsid w:val="76A93DF2"/>
    <w:rsid w:val="76B0593D"/>
    <w:rsid w:val="76BC5DCC"/>
    <w:rsid w:val="76C13DE7"/>
    <w:rsid w:val="76C7076F"/>
    <w:rsid w:val="76C864FA"/>
    <w:rsid w:val="76D22345"/>
    <w:rsid w:val="76D3007E"/>
    <w:rsid w:val="76D84EE0"/>
    <w:rsid w:val="76D923B4"/>
    <w:rsid w:val="76D93241"/>
    <w:rsid w:val="76DB270D"/>
    <w:rsid w:val="76DC7998"/>
    <w:rsid w:val="76F66A11"/>
    <w:rsid w:val="771559A3"/>
    <w:rsid w:val="77186057"/>
    <w:rsid w:val="771E3154"/>
    <w:rsid w:val="77280615"/>
    <w:rsid w:val="772F5646"/>
    <w:rsid w:val="77301166"/>
    <w:rsid w:val="7742258B"/>
    <w:rsid w:val="77450687"/>
    <w:rsid w:val="77485DC1"/>
    <w:rsid w:val="77500DB8"/>
    <w:rsid w:val="7753464B"/>
    <w:rsid w:val="77583AF0"/>
    <w:rsid w:val="775D2C1A"/>
    <w:rsid w:val="775F18FA"/>
    <w:rsid w:val="7766173B"/>
    <w:rsid w:val="77665563"/>
    <w:rsid w:val="776A3DB5"/>
    <w:rsid w:val="77773171"/>
    <w:rsid w:val="7787264A"/>
    <w:rsid w:val="778C59CF"/>
    <w:rsid w:val="77A61ED0"/>
    <w:rsid w:val="77B4330D"/>
    <w:rsid w:val="77C13999"/>
    <w:rsid w:val="77C8129E"/>
    <w:rsid w:val="77CB34B8"/>
    <w:rsid w:val="77D16C91"/>
    <w:rsid w:val="77DA7C81"/>
    <w:rsid w:val="77DE3E8D"/>
    <w:rsid w:val="78010F84"/>
    <w:rsid w:val="78074366"/>
    <w:rsid w:val="78095FDE"/>
    <w:rsid w:val="781323B7"/>
    <w:rsid w:val="7816200D"/>
    <w:rsid w:val="78300794"/>
    <w:rsid w:val="78392C3E"/>
    <w:rsid w:val="78447413"/>
    <w:rsid w:val="78452835"/>
    <w:rsid w:val="784638FF"/>
    <w:rsid w:val="785A0DB1"/>
    <w:rsid w:val="7875409D"/>
    <w:rsid w:val="78756100"/>
    <w:rsid w:val="787D2C9A"/>
    <w:rsid w:val="787D5686"/>
    <w:rsid w:val="789F15FA"/>
    <w:rsid w:val="78BB24E8"/>
    <w:rsid w:val="78C07F1E"/>
    <w:rsid w:val="78C42103"/>
    <w:rsid w:val="78FC2A81"/>
    <w:rsid w:val="79035178"/>
    <w:rsid w:val="79066389"/>
    <w:rsid w:val="790A70CA"/>
    <w:rsid w:val="79157696"/>
    <w:rsid w:val="79175CFA"/>
    <w:rsid w:val="792D4F71"/>
    <w:rsid w:val="793D632E"/>
    <w:rsid w:val="7948429A"/>
    <w:rsid w:val="795C7FF5"/>
    <w:rsid w:val="79605BB8"/>
    <w:rsid w:val="79615DEF"/>
    <w:rsid w:val="7964185A"/>
    <w:rsid w:val="79713798"/>
    <w:rsid w:val="7975406D"/>
    <w:rsid w:val="797E5512"/>
    <w:rsid w:val="79801DBD"/>
    <w:rsid w:val="79860355"/>
    <w:rsid w:val="799310EB"/>
    <w:rsid w:val="79A178E7"/>
    <w:rsid w:val="79AE45BD"/>
    <w:rsid w:val="79B94E1C"/>
    <w:rsid w:val="79BA7DE6"/>
    <w:rsid w:val="79D97AE5"/>
    <w:rsid w:val="79E958BD"/>
    <w:rsid w:val="79F95C6D"/>
    <w:rsid w:val="7A046E80"/>
    <w:rsid w:val="7A17555D"/>
    <w:rsid w:val="7A1C0933"/>
    <w:rsid w:val="7A210CA6"/>
    <w:rsid w:val="7A3238FA"/>
    <w:rsid w:val="7A3A4611"/>
    <w:rsid w:val="7A491960"/>
    <w:rsid w:val="7A552C46"/>
    <w:rsid w:val="7A5B3E68"/>
    <w:rsid w:val="7A6700D4"/>
    <w:rsid w:val="7A6E7D80"/>
    <w:rsid w:val="7A7905BB"/>
    <w:rsid w:val="7A8359A4"/>
    <w:rsid w:val="7A8E76F8"/>
    <w:rsid w:val="7AA15B2F"/>
    <w:rsid w:val="7AB62E36"/>
    <w:rsid w:val="7ABF535A"/>
    <w:rsid w:val="7AD20045"/>
    <w:rsid w:val="7AD4000F"/>
    <w:rsid w:val="7AD601C9"/>
    <w:rsid w:val="7ADB6813"/>
    <w:rsid w:val="7AE91603"/>
    <w:rsid w:val="7AFC7058"/>
    <w:rsid w:val="7AFD6121"/>
    <w:rsid w:val="7AFF404C"/>
    <w:rsid w:val="7B011A54"/>
    <w:rsid w:val="7B0A506A"/>
    <w:rsid w:val="7B0C6B9C"/>
    <w:rsid w:val="7B14425C"/>
    <w:rsid w:val="7B234F60"/>
    <w:rsid w:val="7B2910FA"/>
    <w:rsid w:val="7B2B376B"/>
    <w:rsid w:val="7B2D04EA"/>
    <w:rsid w:val="7B3B21B0"/>
    <w:rsid w:val="7B422DAA"/>
    <w:rsid w:val="7B463871"/>
    <w:rsid w:val="7B4B1AA5"/>
    <w:rsid w:val="7B60147E"/>
    <w:rsid w:val="7B666243"/>
    <w:rsid w:val="7B6D749A"/>
    <w:rsid w:val="7B747F63"/>
    <w:rsid w:val="7B7878F3"/>
    <w:rsid w:val="7B8B5E20"/>
    <w:rsid w:val="7B8D3E4D"/>
    <w:rsid w:val="7BAF751D"/>
    <w:rsid w:val="7BB2383B"/>
    <w:rsid w:val="7BBC75BA"/>
    <w:rsid w:val="7BD362C8"/>
    <w:rsid w:val="7BD54046"/>
    <w:rsid w:val="7BDA5D83"/>
    <w:rsid w:val="7BDF2C08"/>
    <w:rsid w:val="7BEC2E8A"/>
    <w:rsid w:val="7BF30909"/>
    <w:rsid w:val="7BFC7E72"/>
    <w:rsid w:val="7BFF4018"/>
    <w:rsid w:val="7C035C32"/>
    <w:rsid w:val="7C0D1637"/>
    <w:rsid w:val="7C0E57A2"/>
    <w:rsid w:val="7C2A49AB"/>
    <w:rsid w:val="7C310EF5"/>
    <w:rsid w:val="7C3A79AF"/>
    <w:rsid w:val="7C54090F"/>
    <w:rsid w:val="7C5C35EE"/>
    <w:rsid w:val="7C723E1C"/>
    <w:rsid w:val="7C7B03BD"/>
    <w:rsid w:val="7C7F2ED6"/>
    <w:rsid w:val="7C8E5AD2"/>
    <w:rsid w:val="7C945955"/>
    <w:rsid w:val="7C992B5D"/>
    <w:rsid w:val="7C9B66CB"/>
    <w:rsid w:val="7C9F63FA"/>
    <w:rsid w:val="7CA611F6"/>
    <w:rsid w:val="7CAA7D05"/>
    <w:rsid w:val="7CB37F6C"/>
    <w:rsid w:val="7CB67B32"/>
    <w:rsid w:val="7CC4597B"/>
    <w:rsid w:val="7CDD45CB"/>
    <w:rsid w:val="7D020CBA"/>
    <w:rsid w:val="7D132607"/>
    <w:rsid w:val="7D2E60C5"/>
    <w:rsid w:val="7D3136DA"/>
    <w:rsid w:val="7D3943C9"/>
    <w:rsid w:val="7D3F20B7"/>
    <w:rsid w:val="7D44042B"/>
    <w:rsid w:val="7D5C2388"/>
    <w:rsid w:val="7D7076DB"/>
    <w:rsid w:val="7D7249C5"/>
    <w:rsid w:val="7D732173"/>
    <w:rsid w:val="7D761877"/>
    <w:rsid w:val="7D804EC7"/>
    <w:rsid w:val="7D8625D6"/>
    <w:rsid w:val="7D870821"/>
    <w:rsid w:val="7DC96275"/>
    <w:rsid w:val="7DD91E49"/>
    <w:rsid w:val="7E211009"/>
    <w:rsid w:val="7E350CB5"/>
    <w:rsid w:val="7E3B55B7"/>
    <w:rsid w:val="7E3B7624"/>
    <w:rsid w:val="7E465CE5"/>
    <w:rsid w:val="7E747B3F"/>
    <w:rsid w:val="7E816B73"/>
    <w:rsid w:val="7E992D34"/>
    <w:rsid w:val="7E9E1039"/>
    <w:rsid w:val="7EB23C5A"/>
    <w:rsid w:val="7EB72862"/>
    <w:rsid w:val="7EBC6F51"/>
    <w:rsid w:val="7EC71024"/>
    <w:rsid w:val="7ED82FA9"/>
    <w:rsid w:val="7EDC1B88"/>
    <w:rsid w:val="7EED5CE9"/>
    <w:rsid w:val="7EEE2EF7"/>
    <w:rsid w:val="7EF5793C"/>
    <w:rsid w:val="7F0A41B9"/>
    <w:rsid w:val="7F2B77DE"/>
    <w:rsid w:val="7F300D38"/>
    <w:rsid w:val="7F417E26"/>
    <w:rsid w:val="7F4365A6"/>
    <w:rsid w:val="7F4671C5"/>
    <w:rsid w:val="7F4E089D"/>
    <w:rsid w:val="7F523E49"/>
    <w:rsid w:val="7F5365AC"/>
    <w:rsid w:val="7F5F21DA"/>
    <w:rsid w:val="7F683C79"/>
    <w:rsid w:val="7F6A500E"/>
    <w:rsid w:val="7F7C56FC"/>
    <w:rsid w:val="7F9C1AAB"/>
    <w:rsid w:val="7FB25A93"/>
    <w:rsid w:val="7FBB1AB2"/>
    <w:rsid w:val="7FC22A69"/>
    <w:rsid w:val="7FCA2415"/>
    <w:rsid w:val="7FD55D0F"/>
    <w:rsid w:val="7FD72417"/>
    <w:rsid w:val="7FE03D47"/>
    <w:rsid w:val="7FF356A2"/>
    <w:rsid w:val="7FF60015"/>
    <w:rsid w:val="7FFC5A07"/>
    <w:rsid w:val="B7FD742B"/>
  </w:rsids>
  <m:mathPr>
    <m:mathFont m:val="Cambria Math"/>
    <m:brkBin m:val="before"/>
    <m:brkBinSub m:val="--"/>
    <m:smallFrac m:val="1"/>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link w:val="26"/>
    <w:qFormat/>
    <w:uiPriority w:val="99"/>
    <w:pPr>
      <w:keepNext/>
      <w:keepLines/>
      <w:spacing w:before="340" w:after="330" w:line="578" w:lineRule="auto"/>
      <w:outlineLvl w:val="0"/>
    </w:pPr>
    <w:rPr>
      <w:b/>
      <w:bCs/>
      <w:kern w:val="44"/>
      <w:sz w:val="44"/>
      <w:szCs w:val="44"/>
    </w:rPr>
  </w:style>
  <w:style w:type="paragraph" w:styleId="5">
    <w:name w:val="heading 2"/>
    <w:basedOn w:val="1"/>
    <w:next w:val="1"/>
    <w:qFormat/>
    <w:locked/>
    <w:uiPriority w:val="99"/>
    <w:pPr>
      <w:keepNext/>
      <w:keepLines/>
      <w:spacing w:before="260" w:after="260" w:line="416" w:lineRule="auto"/>
      <w:outlineLvl w:val="1"/>
    </w:pPr>
    <w:rPr>
      <w:rFonts w:ascii="Cambria" w:hAnsi="Cambria"/>
      <w:b/>
      <w:bCs/>
      <w:sz w:val="32"/>
      <w:szCs w:val="32"/>
    </w:rPr>
  </w:style>
  <w:style w:type="paragraph" w:styleId="6">
    <w:name w:val="heading 3"/>
    <w:basedOn w:val="1"/>
    <w:next w:val="1"/>
    <w:link w:val="27"/>
    <w:qFormat/>
    <w:uiPriority w:val="99"/>
    <w:pPr>
      <w:keepNext/>
      <w:keepLines/>
      <w:spacing w:before="260" w:after="260" w:line="416" w:lineRule="auto"/>
      <w:outlineLvl w:val="2"/>
    </w:pPr>
    <w:rPr>
      <w:rFonts w:ascii="Times New Roman" w:hAnsi="Times New Roman"/>
      <w:b/>
      <w:bCs/>
      <w:kern w:val="0"/>
      <w:sz w:val="32"/>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style>
  <w:style w:type="paragraph" w:styleId="7">
    <w:name w:val="Document Map"/>
    <w:basedOn w:val="1"/>
    <w:link w:val="45"/>
    <w:semiHidden/>
    <w:unhideWhenUsed/>
    <w:qFormat/>
    <w:uiPriority w:val="99"/>
    <w:rPr>
      <w:rFonts w:ascii="宋体"/>
      <w:sz w:val="18"/>
      <w:szCs w:val="18"/>
    </w:rPr>
  </w:style>
  <w:style w:type="paragraph" w:styleId="8">
    <w:name w:val="annotation text"/>
    <w:basedOn w:val="1"/>
    <w:link w:val="30"/>
    <w:semiHidden/>
    <w:qFormat/>
    <w:uiPriority w:val="99"/>
    <w:pPr>
      <w:jc w:val="left"/>
    </w:pPr>
    <w:rPr>
      <w:kern w:val="0"/>
      <w:sz w:val="24"/>
    </w:rPr>
  </w:style>
  <w:style w:type="paragraph" w:styleId="9">
    <w:name w:val="Body Text"/>
    <w:basedOn w:val="1"/>
    <w:next w:val="1"/>
    <w:link w:val="47"/>
    <w:qFormat/>
    <w:uiPriority w:val="99"/>
    <w:pPr>
      <w:ind w:left="206"/>
      <w:jc w:val="left"/>
    </w:pPr>
    <w:rPr>
      <w:rFonts w:ascii="宋体" w:hAnsi="宋体"/>
      <w:kern w:val="0"/>
      <w:sz w:val="18"/>
      <w:szCs w:val="18"/>
      <w:lang w:eastAsia="en-US"/>
    </w:rPr>
  </w:style>
  <w:style w:type="paragraph" w:styleId="10">
    <w:name w:val="toc 3"/>
    <w:basedOn w:val="1"/>
    <w:next w:val="1"/>
    <w:qFormat/>
    <w:uiPriority w:val="39"/>
    <w:pPr>
      <w:widowControl/>
      <w:spacing w:after="100" w:line="276" w:lineRule="auto"/>
      <w:ind w:left="440"/>
      <w:jc w:val="left"/>
    </w:pPr>
    <w:rPr>
      <w:kern w:val="0"/>
      <w:sz w:val="22"/>
      <w:szCs w:val="22"/>
    </w:rPr>
  </w:style>
  <w:style w:type="paragraph" w:styleId="11">
    <w:name w:val="Plain Text"/>
    <w:basedOn w:val="1"/>
    <w:link w:val="35"/>
    <w:qFormat/>
    <w:uiPriority w:val="99"/>
    <w:rPr>
      <w:rFonts w:ascii="宋体" w:hAnsi="Courier New"/>
      <w:kern w:val="0"/>
      <w:szCs w:val="21"/>
    </w:rPr>
  </w:style>
  <w:style w:type="paragraph" w:styleId="12">
    <w:name w:val="Date"/>
    <w:basedOn w:val="1"/>
    <w:next w:val="1"/>
    <w:link w:val="44"/>
    <w:qFormat/>
    <w:uiPriority w:val="99"/>
    <w:pPr>
      <w:ind w:left="100" w:leftChars="2500"/>
    </w:pPr>
    <w:rPr>
      <w:szCs w:val="22"/>
    </w:rPr>
  </w:style>
  <w:style w:type="paragraph" w:styleId="13">
    <w:name w:val="Balloon Text"/>
    <w:basedOn w:val="1"/>
    <w:link w:val="32"/>
    <w:semiHidden/>
    <w:qFormat/>
    <w:uiPriority w:val="99"/>
    <w:rPr>
      <w:kern w:val="0"/>
      <w:sz w:val="18"/>
      <w:szCs w:val="18"/>
    </w:rPr>
  </w:style>
  <w:style w:type="paragraph" w:styleId="14">
    <w:name w:val="footer"/>
    <w:basedOn w:val="1"/>
    <w:link w:val="29"/>
    <w:qFormat/>
    <w:uiPriority w:val="99"/>
    <w:pPr>
      <w:tabs>
        <w:tab w:val="center" w:pos="4153"/>
        <w:tab w:val="right" w:pos="8306"/>
      </w:tabs>
      <w:snapToGrid w:val="0"/>
      <w:jc w:val="left"/>
    </w:pPr>
    <w:rPr>
      <w:kern w:val="0"/>
      <w:sz w:val="18"/>
      <w:szCs w:val="18"/>
    </w:rPr>
  </w:style>
  <w:style w:type="paragraph" w:styleId="15">
    <w:name w:val="header"/>
    <w:basedOn w:val="1"/>
    <w:link w:val="28"/>
    <w:qFormat/>
    <w:uiPriority w:val="99"/>
    <w:pPr>
      <w:pBdr>
        <w:bottom w:val="single" w:color="auto" w:sz="6" w:space="1"/>
      </w:pBdr>
      <w:tabs>
        <w:tab w:val="center" w:pos="4153"/>
        <w:tab w:val="right" w:pos="8306"/>
      </w:tabs>
      <w:snapToGrid w:val="0"/>
      <w:jc w:val="center"/>
    </w:pPr>
    <w:rPr>
      <w:kern w:val="0"/>
      <w:sz w:val="18"/>
      <w:szCs w:val="18"/>
    </w:rPr>
  </w:style>
  <w:style w:type="paragraph" w:styleId="16">
    <w:name w:val="toc 1"/>
    <w:basedOn w:val="1"/>
    <w:next w:val="1"/>
    <w:qFormat/>
    <w:uiPriority w:val="39"/>
    <w:pPr>
      <w:widowControl/>
      <w:spacing w:after="100" w:line="276" w:lineRule="auto"/>
      <w:jc w:val="left"/>
    </w:pPr>
    <w:rPr>
      <w:kern w:val="0"/>
      <w:sz w:val="22"/>
      <w:szCs w:val="22"/>
    </w:rPr>
  </w:style>
  <w:style w:type="paragraph" w:styleId="17">
    <w:name w:val="toc 2"/>
    <w:basedOn w:val="1"/>
    <w:next w:val="1"/>
    <w:qFormat/>
    <w:uiPriority w:val="39"/>
    <w:pPr>
      <w:widowControl/>
      <w:spacing w:after="100" w:line="276" w:lineRule="auto"/>
      <w:ind w:left="220"/>
      <w:jc w:val="left"/>
    </w:pPr>
    <w:rPr>
      <w:kern w:val="0"/>
      <w:sz w:val="22"/>
      <w:szCs w:val="22"/>
    </w:rPr>
  </w:style>
  <w:style w:type="paragraph" w:styleId="18">
    <w:name w:val="Normal (Web)"/>
    <w:basedOn w:val="1"/>
    <w:next w:val="1"/>
    <w:qFormat/>
    <w:uiPriority w:val="99"/>
    <w:pPr>
      <w:jc w:val="left"/>
    </w:pPr>
    <w:rPr>
      <w:kern w:val="0"/>
      <w:sz w:val="24"/>
      <w:szCs w:val="22"/>
    </w:rPr>
  </w:style>
  <w:style w:type="paragraph" w:styleId="19">
    <w:name w:val="Title"/>
    <w:basedOn w:val="1"/>
    <w:next w:val="1"/>
    <w:link w:val="33"/>
    <w:qFormat/>
    <w:uiPriority w:val="0"/>
    <w:pPr>
      <w:spacing w:line="360" w:lineRule="auto"/>
      <w:outlineLvl w:val="0"/>
    </w:pPr>
    <w:rPr>
      <w:rFonts w:ascii="Times New Roman" w:hAnsi="Times New Roman" w:eastAsia="黑体"/>
      <w:bCs/>
      <w:kern w:val="0"/>
      <w:sz w:val="32"/>
      <w:szCs w:val="32"/>
    </w:rPr>
  </w:style>
  <w:style w:type="paragraph" w:styleId="20">
    <w:name w:val="annotation subject"/>
    <w:basedOn w:val="8"/>
    <w:next w:val="8"/>
    <w:link w:val="31"/>
    <w:semiHidden/>
    <w:qFormat/>
    <w:uiPriority w:val="99"/>
    <w:rPr>
      <w:b/>
      <w:bCs/>
    </w:rPr>
  </w:style>
  <w:style w:type="table" w:styleId="22">
    <w:name w:val="Table Grid"/>
    <w:basedOn w:val="21"/>
    <w:qFormat/>
    <w:locked/>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4">
    <w:name w:val="Hyperlink"/>
    <w:qFormat/>
    <w:uiPriority w:val="99"/>
    <w:rPr>
      <w:rFonts w:cs="Times New Roman"/>
      <w:color w:val="0000FF"/>
      <w:u w:val="single"/>
    </w:rPr>
  </w:style>
  <w:style w:type="character" w:styleId="25">
    <w:name w:val="annotation reference"/>
    <w:semiHidden/>
    <w:qFormat/>
    <w:uiPriority w:val="99"/>
    <w:rPr>
      <w:rFonts w:cs="Times New Roman"/>
      <w:sz w:val="21"/>
      <w:szCs w:val="21"/>
    </w:rPr>
  </w:style>
  <w:style w:type="character" w:customStyle="1" w:styleId="26">
    <w:name w:val="标题 1 Char"/>
    <w:link w:val="4"/>
    <w:qFormat/>
    <w:locked/>
    <w:uiPriority w:val="99"/>
    <w:rPr>
      <w:rFonts w:ascii="Calibri" w:hAnsi="Calibri" w:eastAsia="宋体" w:cs="Times New Roman"/>
      <w:b/>
      <w:bCs/>
      <w:kern w:val="44"/>
      <w:sz w:val="44"/>
      <w:szCs w:val="44"/>
    </w:rPr>
  </w:style>
  <w:style w:type="character" w:customStyle="1" w:styleId="27">
    <w:name w:val="标题 3 Char"/>
    <w:link w:val="6"/>
    <w:qFormat/>
    <w:locked/>
    <w:uiPriority w:val="99"/>
    <w:rPr>
      <w:rFonts w:ascii="Times New Roman" w:hAnsi="Times New Roman" w:eastAsia="宋体" w:cs="Times New Roman"/>
      <w:b/>
      <w:bCs/>
      <w:sz w:val="32"/>
      <w:szCs w:val="32"/>
    </w:rPr>
  </w:style>
  <w:style w:type="character" w:customStyle="1" w:styleId="28">
    <w:name w:val="页眉 Char"/>
    <w:link w:val="15"/>
    <w:qFormat/>
    <w:locked/>
    <w:uiPriority w:val="99"/>
    <w:rPr>
      <w:rFonts w:cs="Times New Roman"/>
      <w:sz w:val="18"/>
      <w:szCs w:val="18"/>
    </w:rPr>
  </w:style>
  <w:style w:type="character" w:customStyle="1" w:styleId="29">
    <w:name w:val="页脚 Char"/>
    <w:link w:val="14"/>
    <w:qFormat/>
    <w:locked/>
    <w:uiPriority w:val="99"/>
    <w:rPr>
      <w:rFonts w:cs="Times New Roman"/>
      <w:sz w:val="18"/>
      <w:szCs w:val="18"/>
    </w:rPr>
  </w:style>
  <w:style w:type="character" w:customStyle="1" w:styleId="30">
    <w:name w:val="批注文字 Char"/>
    <w:link w:val="8"/>
    <w:semiHidden/>
    <w:qFormat/>
    <w:locked/>
    <w:uiPriority w:val="99"/>
    <w:rPr>
      <w:rFonts w:ascii="Calibri" w:hAnsi="Calibri" w:eastAsia="宋体" w:cs="Times New Roman"/>
      <w:sz w:val="24"/>
      <w:szCs w:val="24"/>
    </w:rPr>
  </w:style>
  <w:style w:type="character" w:customStyle="1" w:styleId="31">
    <w:name w:val="批注主题 Char"/>
    <w:link w:val="20"/>
    <w:semiHidden/>
    <w:qFormat/>
    <w:locked/>
    <w:uiPriority w:val="99"/>
    <w:rPr>
      <w:rFonts w:ascii="Calibri" w:hAnsi="Calibri" w:eastAsia="宋体" w:cs="Times New Roman"/>
      <w:b/>
      <w:bCs/>
      <w:sz w:val="24"/>
      <w:szCs w:val="24"/>
    </w:rPr>
  </w:style>
  <w:style w:type="character" w:customStyle="1" w:styleId="32">
    <w:name w:val="批注框文本 Char"/>
    <w:link w:val="13"/>
    <w:semiHidden/>
    <w:qFormat/>
    <w:locked/>
    <w:uiPriority w:val="99"/>
    <w:rPr>
      <w:rFonts w:ascii="Calibri" w:hAnsi="Calibri" w:eastAsia="宋体" w:cs="Times New Roman"/>
      <w:sz w:val="18"/>
      <w:szCs w:val="18"/>
    </w:rPr>
  </w:style>
  <w:style w:type="character" w:customStyle="1" w:styleId="33">
    <w:name w:val="标题 Char1"/>
    <w:link w:val="19"/>
    <w:qFormat/>
    <w:locked/>
    <w:uiPriority w:val="99"/>
    <w:rPr>
      <w:rFonts w:ascii="Times New Roman" w:hAnsi="Times New Roman" w:eastAsia="黑体" w:cs="Times New Roman"/>
      <w:bCs/>
      <w:kern w:val="0"/>
      <w:sz w:val="32"/>
      <w:szCs w:val="32"/>
    </w:rPr>
  </w:style>
  <w:style w:type="character" w:customStyle="1" w:styleId="34">
    <w:name w:val="标题 Char"/>
    <w:qFormat/>
    <w:uiPriority w:val="99"/>
    <w:rPr>
      <w:rFonts w:ascii="Cambria" w:hAnsi="Cambria" w:eastAsia="宋体" w:cs="Times New Roman"/>
      <w:b/>
      <w:bCs/>
      <w:sz w:val="32"/>
      <w:szCs w:val="32"/>
    </w:rPr>
  </w:style>
  <w:style w:type="character" w:customStyle="1" w:styleId="35">
    <w:name w:val="纯文本 Char"/>
    <w:link w:val="11"/>
    <w:qFormat/>
    <w:locked/>
    <w:uiPriority w:val="99"/>
    <w:rPr>
      <w:rFonts w:ascii="宋体" w:hAnsi="Courier New" w:eastAsia="宋体" w:cs="Times New Roman"/>
      <w:sz w:val="21"/>
      <w:szCs w:val="21"/>
    </w:rPr>
  </w:style>
  <w:style w:type="paragraph" w:customStyle="1" w:styleId="36">
    <w:name w:val="列出段落1"/>
    <w:basedOn w:val="1"/>
    <w:qFormat/>
    <w:uiPriority w:val="99"/>
    <w:pPr>
      <w:widowControl/>
      <w:spacing w:after="200" w:line="276" w:lineRule="auto"/>
      <w:ind w:firstLine="420" w:firstLineChars="200"/>
      <w:jc w:val="left"/>
    </w:pPr>
    <w:rPr>
      <w:rFonts w:ascii="Times New Roman" w:hAnsi="Times New Roman"/>
      <w:kern w:val="0"/>
      <w:sz w:val="28"/>
      <w:szCs w:val="22"/>
      <w:lang w:eastAsia="en-US"/>
    </w:rPr>
  </w:style>
  <w:style w:type="character" w:customStyle="1" w:styleId="37">
    <w:name w:val="font01"/>
    <w:qFormat/>
    <w:uiPriority w:val="0"/>
    <w:rPr>
      <w:rFonts w:ascii="Symbol" w:hAnsi="Symbol" w:cs="Times New Roman"/>
      <w:color w:val="000000"/>
      <w:sz w:val="24"/>
      <w:szCs w:val="24"/>
      <w:u w:val="none"/>
    </w:rPr>
  </w:style>
  <w:style w:type="character" w:customStyle="1" w:styleId="38">
    <w:name w:val="font11"/>
    <w:qFormat/>
    <w:uiPriority w:val="0"/>
    <w:rPr>
      <w:rFonts w:ascii="仿宋" w:hAnsi="仿宋" w:eastAsia="仿宋" w:cs="Times New Roman"/>
      <w:color w:val="000000"/>
      <w:sz w:val="24"/>
      <w:szCs w:val="24"/>
      <w:u w:val="none"/>
    </w:rPr>
  </w:style>
  <w:style w:type="character" w:customStyle="1" w:styleId="39">
    <w:name w:val="font31"/>
    <w:qFormat/>
    <w:uiPriority w:val="0"/>
    <w:rPr>
      <w:rFonts w:ascii="宋体" w:hAnsi="宋体" w:eastAsia="宋体" w:cs="Times New Roman"/>
      <w:color w:val="000000"/>
      <w:sz w:val="24"/>
      <w:szCs w:val="24"/>
      <w:u w:val="none"/>
    </w:rPr>
  </w:style>
  <w:style w:type="paragraph" w:customStyle="1" w:styleId="40">
    <w:name w:val="TOC 标题1"/>
    <w:basedOn w:val="4"/>
    <w:next w:val="1"/>
    <w:qFormat/>
    <w:uiPriority w:val="99"/>
    <w:pPr>
      <w:widowControl/>
      <w:spacing w:before="480" w:after="0" w:line="276" w:lineRule="auto"/>
      <w:jc w:val="left"/>
      <w:outlineLvl w:val="9"/>
    </w:pPr>
    <w:rPr>
      <w:rFonts w:ascii="Cambria" w:hAnsi="Cambria"/>
      <w:color w:val="365F91"/>
      <w:kern w:val="0"/>
      <w:sz w:val="28"/>
      <w:szCs w:val="28"/>
    </w:rPr>
  </w:style>
  <w:style w:type="paragraph" w:customStyle="1" w:styleId="41">
    <w:name w:val="正文1"/>
    <w:basedOn w:val="1"/>
    <w:link w:val="42"/>
    <w:qFormat/>
    <w:uiPriority w:val="0"/>
    <w:pPr>
      <w:widowControl/>
      <w:spacing w:after="200" w:line="480" w:lineRule="auto"/>
      <w:ind w:firstLine="200" w:firstLineChars="200"/>
      <w:jc w:val="left"/>
    </w:pPr>
    <w:rPr>
      <w:rFonts w:ascii="Times New Roman" w:hAnsi="Times New Roman" w:eastAsia="仿宋"/>
      <w:kern w:val="0"/>
      <w:sz w:val="28"/>
      <w:szCs w:val="22"/>
      <w:lang w:eastAsia="en-US" w:bidi="en-US"/>
    </w:rPr>
  </w:style>
  <w:style w:type="character" w:customStyle="1" w:styleId="42">
    <w:name w:val="正文1 Char"/>
    <w:link w:val="41"/>
    <w:qFormat/>
    <w:uiPriority w:val="0"/>
    <w:rPr>
      <w:rFonts w:ascii="Times New Roman" w:hAnsi="Times New Roman" w:eastAsia="仿宋"/>
      <w:sz w:val="28"/>
      <w:szCs w:val="22"/>
      <w:lang w:eastAsia="en-US" w:bidi="en-US"/>
    </w:rPr>
  </w:style>
  <w:style w:type="paragraph" w:customStyle="1" w:styleId="43">
    <w:name w:val="修订1"/>
    <w:hidden/>
    <w:unhideWhenUsed/>
    <w:qFormat/>
    <w:uiPriority w:val="99"/>
    <w:rPr>
      <w:rFonts w:ascii="Calibri" w:hAnsi="Calibri" w:eastAsia="宋体" w:cs="Times New Roman"/>
      <w:kern w:val="2"/>
      <w:sz w:val="21"/>
      <w:szCs w:val="24"/>
      <w:lang w:val="en-US" w:eastAsia="zh-CN" w:bidi="ar-SA"/>
    </w:rPr>
  </w:style>
  <w:style w:type="character" w:customStyle="1" w:styleId="44">
    <w:name w:val="日期 Char"/>
    <w:basedOn w:val="23"/>
    <w:link w:val="12"/>
    <w:qFormat/>
    <w:uiPriority w:val="99"/>
    <w:rPr>
      <w:rFonts w:ascii="Calibri" w:hAnsi="Calibri"/>
      <w:kern w:val="2"/>
      <w:sz w:val="21"/>
      <w:szCs w:val="22"/>
    </w:rPr>
  </w:style>
  <w:style w:type="character" w:customStyle="1" w:styleId="45">
    <w:name w:val="文档结构图 Char"/>
    <w:basedOn w:val="23"/>
    <w:link w:val="7"/>
    <w:semiHidden/>
    <w:qFormat/>
    <w:uiPriority w:val="99"/>
    <w:rPr>
      <w:rFonts w:ascii="宋体" w:hAnsi="Calibri"/>
      <w:kern w:val="2"/>
      <w:sz w:val="18"/>
      <w:szCs w:val="18"/>
    </w:rPr>
  </w:style>
  <w:style w:type="character" w:customStyle="1" w:styleId="46">
    <w:name w:val="font21"/>
    <w:basedOn w:val="23"/>
    <w:qFormat/>
    <w:uiPriority w:val="0"/>
    <w:rPr>
      <w:rFonts w:hint="default" w:ascii="Arial Narrow" w:hAnsi="Arial Narrow"/>
      <w:color w:val="000000"/>
      <w:sz w:val="20"/>
      <w:szCs w:val="20"/>
      <w:u w:val="none"/>
    </w:rPr>
  </w:style>
  <w:style w:type="character" w:customStyle="1" w:styleId="47">
    <w:name w:val="正文文本 Char"/>
    <w:basedOn w:val="23"/>
    <w:link w:val="9"/>
    <w:qFormat/>
    <w:uiPriority w:val="99"/>
    <w:rPr>
      <w:rFonts w:ascii="宋体" w:hAnsi="宋体"/>
      <w:sz w:val="18"/>
      <w:szCs w:val="18"/>
      <w:lang w:eastAsia="en-US"/>
    </w:rPr>
  </w:style>
  <w:style w:type="character" w:customStyle="1" w:styleId="48">
    <w:name w:val="font61"/>
    <w:basedOn w:val="23"/>
    <w:qFormat/>
    <w:uiPriority w:val="0"/>
    <w:rPr>
      <w:color w:val="000000"/>
      <w:sz w:val="20"/>
      <w:szCs w:val="20"/>
      <w:u w:val="none"/>
    </w:rPr>
  </w:style>
  <w:style w:type="table" w:customStyle="1" w:styleId="49">
    <w:name w:val="网格型11"/>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0">
    <w:name w:val="网格型13"/>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
    <w:name w:val="网格型161"/>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2">
    <w:name w:val="网格型17"/>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3">
    <w:name w:val="网格型14"/>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4">
    <w:name w:val="网格型16"/>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5">
    <w:name w:val="网格型171"/>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6">
    <w:name w:val="网格型10"/>
    <w:basedOn w:val="21"/>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7">
    <w:name w:val="网格型8"/>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8">
    <w:name w:val="网格型113"/>
    <w:basedOn w:val="2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9">
    <w:name w:val="网格型21"/>
    <w:basedOn w:val="21"/>
    <w:qFormat/>
    <w:uiPriority w:val="9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0">
    <w:name w:val="样式1"/>
    <w:basedOn w:val="1"/>
    <w:qFormat/>
    <w:uiPriority w:val="0"/>
    <w:pPr>
      <w:tabs>
        <w:tab w:val="left" w:pos="630"/>
      </w:tabs>
      <w:ind w:firstLine="640" w:firstLineChars="200"/>
    </w:pPr>
    <w:rPr>
      <w:rFonts w:ascii="仿宋_GB2312" w:eastAsia="仿宋_GB2312" w:cs="黑体"/>
      <w:sz w:val="32"/>
      <w:szCs w:val="32"/>
    </w:rPr>
  </w:style>
  <w:style w:type="table" w:customStyle="1" w:styleId="61">
    <w:name w:val="网格型2"/>
    <w:basedOn w:val="21"/>
    <w:qFormat/>
    <w:uiPriority w:val="9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2">
    <w:name w:val="正文首行缩进 21"/>
    <w:basedOn w:val="63"/>
    <w:next w:val="18"/>
    <w:qFormat/>
    <w:uiPriority w:val="99"/>
    <w:pPr>
      <w:ind w:firstLine="200" w:firstLineChars="200"/>
    </w:pPr>
  </w:style>
  <w:style w:type="paragraph" w:customStyle="1" w:styleId="63">
    <w:name w:val="正文文本缩进1"/>
    <w:basedOn w:val="1"/>
    <w:qFormat/>
    <w:uiPriority w:val="99"/>
    <w:pPr>
      <w:ind w:left="200" w:left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63</Pages>
  <Words>29153</Words>
  <Characters>32137</Characters>
  <Lines>4</Lines>
  <Paragraphs>1</Paragraphs>
  <TotalTime>1</TotalTime>
  <ScaleCrop>false</ScaleCrop>
  <LinksUpToDate>false</LinksUpToDate>
  <CharactersWithSpaces>32193</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2022-05-10T02:03:00Z</dcterms:created>
  <dc:creator>lenovo</dc:creator>
  <cp:lastModifiedBy>greatwall</cp:lastModifiedBy>
  <cp:lastPrinted>2022-08-04T18:13:00Z</cp:lastPrinted>
  <dcterms:modified xsi:type="dcterms:W3CDTF">2025-02-17T10:32:11Z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A6690A2C88D142228864D990EEEB2B7F_13</vt:lpwstr>
  </property>
</Properties>
</file>