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eastAsia="仿宋"/>
          <w:b/>
          <w:bCs/>
          <w:spacing w:val="20"/>
          <w:sz w:val="48"/>
          <w:szCs w:val="48"/>
        </w:rPr>
      </w:pPr>
      <w:bookmarkStart w:id="0" w:name="_Toc514537326"/>
      <w:bookmarkStart w:id="1" w:name="_Toc514537328"/>
    </w:p>
    <w:p>
      <w:pPr>
        <w:spacing w:line="500" w:lineRule="exact"/>
        <w:rPr>
          <w:rFonts w:ascii="Times New Roman" w:hAnsi="Times New Roman" w:eastAsia="仿宋"/>
          <w:b/>
          <w:bCs/>
          <w:spacing w:val="20"/>
          <w:sz w:val="48"/>
          <w:szCs w:val="48"/>
        </w:rPr>
      </w:pPr>
    </w:p>
    <w:p>
      <w:pPr>
        <w:spacing w:line="500" w:lineRule="exact"/>
        <w:rPr>
          <w:rFonts w:ascii="Times New Roman" w:hAnsi="Times New Roman" w:eastAsia="仿宋"/>
          <w:b/>
          <w:bCs/>
          <w:spacing w:val="20"/>
          <w:sz w:val="48"/>
          <w:szCs w:val="48"/>
        </w:rPr>
      </w:pPr>
    </w:p>
    <w:p>
      <w:pPr>
        <w:spacing w:line="500" w:lineRule="exact"/>
        <w:rPr>
          <w:rFonts w:ascii="Times New Roman" w:hAnsi="Times New Roman" w:eastAsia="仿宋"/>
          <w:b/>
          <w:bCs/>
          <w:spacing w:val="20"/>
          <w:sz w:val="48"/>
          <w:szCs w:val="48"/>
        </w:rPr>
      </w:pPr>
    </w:p>
    <w:p>
      <w:pPr>
        <w:autoSpaceDE w:val="0"/>
        <w:autoSpaceDN w:val="0"/>
        <w:adjustRightInd w:val="0"/>
        <w:spacing w:after="312" w:afterLines="100" w:line="520" w:lineRule="exact"/>
        <w:jc w:val="center"/>
        <w:rPr>
          <w:rFonts w:ascii="仿宋" w:hAnsi="仿宋" w:eastAsia="仿宋" w:cs="仿宋"/>
          <w:b/>
          <w:kern w:val="0"/>
          <w:sz w:val="44"/>
          <w:szCs w:val="44"/>
        </w:rPr>
      </w:pPr>
      <w:r>
        <w:rPr>
          <w:rFonts w:hint="eastAsia" w:ascii="仿宋" w:hAnsi="仿宋" w:eastAsia="仿宋" w:cs="仿宋"/>
          <w:b/>
          <w:kern w:val="0"/>
          <w:sz w:val="44"/>
          <w:szCs w:val="44"/>
          <w:lang w:eastAsia="zh-CN"/>
        </w:rPr>
        <w:t>殡仪馆建设改造补助资金项目</w:t>
      </w:r>
      <w:r>
        <w:rPr>
          <w:rFonts w:ascii="仿宋" w:hAnsi="仿宋" w:eastAsia="仿宋" w:cs="仿宋"/>
          <w:b/>
          <w:kern w:val="0"/>
          <w:sz w:val="44"/>
          <w:szCs w:val="44"/>
        </w:rPr>
        <w:t>资金财政支出绩效评价报告</w:t>
      </w: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pStyle w:val="7"/>
        <w:rPr>
          <w:rFonts w:ascii="Times New Roman" w:hAnsi="Times New Roman" w:eastAsia="仿宋"/>
          <w:b/>
          <w:bCs/>
          <w:sz w:val="48"/>
          <w:szCs w:val="48"/>
          <w:highlight w:val="yellow"/>
        </w:rPr>
      </w:pPr>
    </w:p>
    <w:p>
      <w:pPr>
        <w:rPr>
          <w:rFonts w:ascii="Times New Roman" w:hAnsi="Times New Roman" w:eastAsia="仿宋"/>
          <w:b/>
          <w:bCs/>
          <w:sz w:val="48"/>
          <w:szCs w:val="48"/>
          <w:highlight w:val="yellow"/>
        </w:rPr>
      </w:pPr>
    </w:p>
    <w:p>
      <w:pPr>
        <w:pStyle w:val="7"/>
        <w:rPr>
          <w:rFonts w:ascii="Times New Roman" w:hAnsi="Times New Roman" w:eastAsia="仿宋"/>
          <w:b/>
          <w:bCs/>
          <w:sz w:val="48"/>
          <w:szCs w:val="48"/>
          <w:highlight w:val="yellow"/>
        </w:rPr>
      </w:pPr>
    </w:p>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主管单位：</w:t>
      </w:r>
      <w:r>
        <w:rPr>
          <w:rFonts w:hint="eastAsia" w:ascii="仿宋" w:hAnsi="仿宋" w:eastAsia="仿宋" w:cs="仿宋"/>
          <w:b/>
          <w:bCs/>
          <w:kern w:val="0"/>
          <w:sz w:val="28"/>
          <w:szCs w:val="28"/>
          <w:lang w:eastAsia="zh-CN"/>
        </w:rPr>
        <w:t>古县民政局</w:t>
      </w: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实施单位：</w:t>
      </w:r>
      <w:r>
        <w:rPr>
          <w:rFonts w:hint="eastAsia" w:ascii="仿宋" w:hAnsi="仿宋" w:eastAsia="仿宋" w:cs="仿宋"/>
          <w:b/>
          <w:bCs/>
          <w:kern w:val="0"/>
          <w:sz w:val="28"/>
          <w:szCs w:val="28"/>
          <w:lang w:eastAsia="zh-CN"/>
        </w:rPr>
        <w:t>古县民政局</w:t>
      </w:r>
    </w:p>
    <w:p>
      <w:pPr>
        <w:autoSpaceDE w:val="0"/>
        <w:autoSpaceDN w:val="0"/>
        <w:adjustRightInd w:val="0"/>
        <w:spacing w:line="500" w:lineRule="exact"/>
        <w:ind w:firstLine="1405" w:firstLineChars="500"/>
        <w:rPr>
          <w:rFonts w:ascii="Times New Roman" w:hAnsi="Times New Roman" w:eastAsia="仿宋"/>
          <w:b/>
          <w:bCs/>
          <w:kern w:val="0"/>
          <w:sz w:val="28"/>
          <w:szCs w:val="28"/>
        </w:rPr>
      </w:pPr>
      <w:r>
        <w:rPr>
          <w:rFonts w:ascii="Times New Roman" w:hAnsi="Times New Roman" w:eastAsia="仿宋"/>
          <w:b/>
          <w:bCs/>
          <w:kern w:val="0"/>
          <w:sz w:val="28"/>
          <w:szCs w:val="28"/>
        </w:rPr>
        <w:t>委托单位：</w:t>
      </w:r>
      <w:r>
        <w:rPr>
          <w:rFonts w:hint="eastAsia" w:ascii="Times New Roman" w:hAnsi="Times New Roman" w:eastAsia="仿宋"/>
          <w:b/>
          <w:bCs/>
          <w:kern w:val="0"/>
          <w:sz w:val="28"/>
          <w:szCs w:val="28"/>
          <w:lang w:eastAsia="zh-CN"/>
        </w:rPr>
        <w:t>古县</w:t>
      </w:r>
      <w:r>
        <w:rPr>
          <w:rFonts w:ascii="Times New Roman" w:hAnsi="Times New Roman" w:eastAsia="仿宋"/>
          <w:b/>
          <w:bCs/>
          <w:kern w:val="0"/>
          <w:sz w:val="28"/>
          <w:szCs w:val="28"/>
        </w:rPr>
        <w:t>财政局</w:t>
      </w:r>
    </w:p>
    <w:p>
      <w:pPr>
        <w:autoSpaceDE w:val="0"/>
        <w:autoSpaceDN w:val="0"/>
        <w:adjustRightInd w:val="0"/>
        <w:spacing w:line="500" w:lineRule="exact"/>
        <w:ind w:firstLine="1405" w:firstLineChars="500"/>
        <w:jc w:val="left"/>
        <w:rPr>
          <w:rFonts w:ascii="Times New Roman" w:hAnsi="Times New Roman" w:eastAsia="仿宋"/>
          <w:b/>
          <w:bCs/>
          <w:kern w:val="0"/>
          <w:sz w:val="28"/>
          <w:szCs w:val="28"/>
        </w:rPr>
      </w:pPr>
      <w:r>
        <w:rPr>
          <w:rFonts w:ascii="Times New Roman" w:hAnsi="Times New Roman" w:eastAsia="仿宋"/>
          <w:b/>
          <w:bCs/>
          <w:kern w:val="0"/>
          <w:sz w:val="28"/>
          <w:szCs w:val="28"/>
        </w:rPr>
        <w:t>评价机构：山西恒略绩效管理咨询有限公司</w:t>
      </w:r>
    </w:p>
    <w:p>
      <w:pPr>
        <w:spacing w:line="500" w:lineRule="exact"/>
        <w:rPr>
          <w:rFonts w:ascii="Times New Roman" w:hAnsi="Times New Roman" w:eastAsia="仿宋"/>
          <w:b/>
          <w:bCs/>
          <w:sz w:val="28"/>
          <w:szCs w:val="28"/>
        </w:rPr>
      </w:pPr>
    </w:p>
    <w:p>
      <w:pPr>
        <w:spacing w:line="500" w:lineRule="exact"/>
        <w:jc w:val="center"/>
        <w:rPr>
          <w:rFonts w:ascii="Times New Roman" w:hAnsi="Times New Roman" w:eastAsia="仿宋"/>
          <w:b/>
          <w:bCs/>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keepNext w:val="0"/>
        <w:keepLines w:val="0"/>
        <w:pageBreakBefore w:val="0"/>
        <w:tabs>
          <w:tab w:val="left" w:pos="1020"/>
        </w:tabs>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highlight w:val="yellow"/>
        </w:rPr>
      </w:pPr>
      <w:r>
        <w:rPr>
          <w:rFonts w:ascii="Times New Roman" w:hAnsi="Times New Roman" w:eastAsia="仿宋"/>
          <w:b/>
          <w:bCs/>
          <w:sz w:val="44"/>
          <w:szCs w:val="44"/>
        </w:rPr>
        <w:br w:type="page"/>
      </w:r>
      <w:bookmarkStart w:id="186" w:name="_GoBack"/>
      <w:r>
        <w:rPr>
          <w:rFonts w:hint="eastAsia" w:ascii="仿宋" w:hAnsi="仿宋" w:eastAsia="仿宋" w:cs="仿宋"/>
          <w:b/>
          <w:bCs w:val="0"/>
          <w:sz w:val="24"/>
          <w:szCs w:val="24"/>
        </w:rPr>
        <w:t>目  录</w:t>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TOC \o "1-3" \h \z \u </w:instrText>
      </w:r>
      <w:r>
        <w:rPr>
          <w:rFonts w:hint="eastAsia" w:ascii="仿宋" w:hAnsi="仿宋" w:eastAsia="仿宋" w:cs="仿宋"/>
          <w:sz w:val="24"/>
          <w:szCs w:val="24"/>
          <w:highlight w:val="yellow"/>
        </w:rPr>
        <w:fldChar w:fldCharType="separate"/>
      </w: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_Toc16840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报告摘要</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_Toc16840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_Toc3835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一、项目基本情况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_Toc3835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_Toc4218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（一）项目背景及概况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_Toc4218 \h </w:instrText>
      </w:r>
      <w:r>
        <w:rPr>
          <w:rFonts w:hint="eastAsia" w:ascii="仿宋" w:hAnsi="仿宋" w:eastAsia="仿宋" w:cs="仿宋"/>
          <w:sz w:val="24"/>
          <w:szCs w:val="24"/>
        </w:rPr>
        <w:fldChar w:fldCharType="separate"/>
      </w:r>
      <w:r>
        <w:rPr>
          <w:rFonts w:hint="eastAsia" w:ascii="仿宋" w:hAnsi="仿宋" w:eastAsia="仿宋" w:cs="仿宋"/>
          <w:sz w:val="24"/>
          <w:szCs w:val="24"/>
        </w:rPr>
        <w:t>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_Toc19814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（二）预算资金来源与资金使用</w:t>
      </w:r>
      <w:r>
        <w:rPr>
          <w:rFonts w:hint="eastAsia" w:ascii="仿宋" w:hAnsi="仿宋" w:eastAsia="仿宋" w:cs="仿宋"/>
          <w:sz w:val="24"/>
          <w:szCs w:val="24"/>
          <w:lang w:val="en-US" w:eastAsia="zh-CN"/>
        </w:rPr>
        <w:t>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_Toc19814 \h </w:instrText>
      </w:r>
      <w:r>
        <w:rPr>
          <w:rFonts w:hint="eastAsia" w:ascii="仿宋" w:hAnsi="仿宋" w:eastAsia="仿宋" w:cs="仿宋"/>
          <w:sz w:val="24"/>
          <w:szCs w:val="24"/>
        </w:rPr>
        <w:fldChar w:fldCharType="separate"/>
      </w:r>
      <w:r>
        <w:rPr>
          <w:rFonts w:hint="eastAsia"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_Toc7255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（三）项目立项依据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_Toc7255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_Toc156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（四）项目绩效目标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_Toc156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_Toc31221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二、项目组织实施情况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_Toc31221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14</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_Toc3869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（一）项目组织情况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_Toc3869 \h </w:instrText>
      </w:r>
      <w:r>
        <w:rPr>
          <w:rFonts w:hint="eastAsia" w:ascii="仿宋" w:hAnsi="仿宋" w:eastAsia="仿宋" w:cs="仿宋"/>
          <w:sz w:val="24"/>
          <w:szCs w:val="24"/>
        </w:rPr>
        <w:fldChar w:fldCharType="separate"/>
      </w:r>
      <w:r>
        <w:rPr>
          <w:rFonts w:hint="eastAsia" w:ascii="仿宋" w:hAnsi="仿宋" w:eastAsia="仿宋" w:cs="仿宋"/>
          <w:sz w:val="24"/>
          <w:szCs w:val="24"/>
        </w:rPr>
        <w:t>14</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_Toc12535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（二）项目实施情况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_Toc12535 \h </w:instrText>
      </w:r>
      <w:r>
        <w:rPr>
          <w:rFonts w:hint="eastAsia" w:ascii="仿宋" w:hAnsi="仿宋" w:eastAsia="仿宋" w:cs="仿宋"/>
          <w:sz w:val="24"/>
          <w:szCs w:val="24"/>
        </w:rPr>
        <w:fldChar w:fldCharType="separate"/>
      </w:r>
      <w:r>
        <w:rPr>
          <w:rFonts w:hint="eastAsia" w:ascii="仿宋" w:hAnsi="仿宋" w:eastAsia="仿宋" w:cs="仿宋"/>
          <w:sz w:val="24"/>
          <w:szCs w:val="24"/>
        </w:rPr>
        <w:t>14</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_Toc14498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三、绩效评价工作情况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_Toc14498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_Toc26217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（一）绩效评价的目的</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_Toc26217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_Toc10608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（二）绩效评价的依据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_Toc10608 \h </w:instrText>
      </w:r>
      <w:r>
        <w:rPr>
          <w:rFonts w:hint="eastAsia" w:ascii="仿宋" w:hAnsi="仿宋" w:eastAsia="仿宋" w:cs="仿宋"/>
          <w:sz w:val="24"/>
          <w:szCs w:val="24"/>
        </w:rPr>
        <w:fldChar w:fldCharType="separate"/>
      </w:r>
      <w:r>
        <w:rPr>
          <w:rFonts w:hint="eastAsia" w:ascii="仿宋" w:hAnsi="仿宋" w:eastAsia="仿宋" w:cs="仿宋"/>
          <w:sz w:val="24"/>
          <w:szCs w:val="24"/>
        </w:rPr>
        <w:t>16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_Toc3021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（三）评价对象和范围</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_Toc3021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_Toc14788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（四）绩效评价基准日</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_Toc14788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_Toc16776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（五）绩效评价的原则</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_Toc16776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_Toc15838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（六）绩效评价的方法</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_Toc15838 \h </w:instrText>
      </w:r>
      <w:r>
        <w:rPr>
          <w:rFonts w:hint="eastAsia" w:ascii="仿宋" w:hAnsi="仿宋" w:eastAsia="仿宋" w:cs="仿宋"/>
          <w:sz w:val="24"/>
          <w:szCs w:val="24"/>
        </w:rPr>
        <w:fldChar w:fldCharType="separate"/>
      </w:r>
      <w:r>
        <w:rPr>
          <w:rFonts w:hint="eastAsia" w:ascii="仿宋" w:hAnsi="仿宋" w:eastAsia="仿宋" w:cs="仿宋"/>
          <w:sz w:val="24"/>
          <w:szCs w:val="24"/>
        </w:rPr>
        <w:t>18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_Toc19757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（七）评价指标体系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_Toc19757 \h </w:instrText>
      </w:r>
      <w:r>
        <w:rPr>
          <w:rFonts w:hint="eastAsia" w:ascii="仿宋" w:hAnsi="仿宋" w:eastAsia="仿宋" w:cs="仿宋"/>
          <w:sz w:val="24"/>
          <w:szCs w:val="24"/>
        </w:rPr>
        <w:fldChar w:fldCharType="separate"/>
      </w:r>
      <w:r>
        <w:rPr>
          <w:rFonts w:hint="eastAsia" w:ascii="仿宋" w:hAnsi="仿宋" w:eastAsia="仿宋" w:cs="仿宋"/>
          <w:sz w:val="24"/>
          <w:szCs w:val="24"/>
        </w:rPr>
        <w:t>19</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_Toc16385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（八）绩效评价工作组织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_Toc16385 \h </w:instrText>
      </w:r>
      <w:r>
        <w:rPr>
          <w:rFonts w:hint="eastAsia" w:ascii="仿宋" w:hAnsi="仿宋" w:eastAsia="仿宋" w:cs="仿宋"/>
          <w:sz w:val="24"/>
          <w:szCs w:val="24"/>
        </w:rPr>
        <w:fldChar w:fldCharType="separate"/>
      </w:r>
      <w:r>
        <w:rPr>
          <w:rFonts w:hint="eastAsia" w:ascii="仿宋" w:hAnsi="仿宋" w:eastAsia="仿宋" w:cs="仿宋"/>
          <w:sz w:val="24"/>
          <w:szCs w:val="24"/>
        </w:rPr>
        <w:t>19</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_Toc15409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四、绩效评价指标分析情况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_Toc15409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22</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_Toc25802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（一）分项分析与汇总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_Toc25802 \h </w:instrText>
      </w:r>
      <w:r>
        <w:rPr>
          <w:rFonts w:hint="eastAsia" w:ascii="仿宋" w:hAnsi="仿宋" w:eastAsia="仿宋" w:cs="仿宋"/>
          <w:sz w:val="24"/>
          <w:szCs w:val="24"/>
        </w:rPr>
        <w:fldChar w:fldCharType="separate"/>
      </w:r>
      <w:r>
        <w:rPr>
          <w:rFonts w:hint="eastAsia"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_Toc27063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（二）总体得分情况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_Toc27063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_Toc8595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五、综合评价情况及结论</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_Toc8595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30</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_Toc18809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（一）评分结果</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_Toc18809 \h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_Toc24648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（二）主要结论</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_Toc24648 \h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_Toc14728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六、存在的问题和改进建议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_Toc14728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30</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_Toc14637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（一）存在的问题</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_Toc14637 \h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_Toc10943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（二）改进建议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_Toc10943 \h </w:instrText>
      </w:r>
      <w:r>
        <w:rPr>
          <w:rFonts w:hint="eastAsia" w:ascii="仿宋" w:hAnsi="仿宋" w:eastAsia="仿宋" w:cs="仿宋"/>
          <w:sz w:val="24"/>
          <w:szCs w:val="24"/>
        </w:rPr>
        <w:fldChar w:fldCharType="separate"/>
      </w:r>
      <w:r>
        <w:rPr>
          <w:rFonts w:hint="eastAsia" w:ascii="仿宋" w:hAnsi="仿宋" w:eastAsia="仿宋" w:cs="仿宋"/>
          <w:sz w:val="24"/>
          <w:szCs w:val="24"/>
        </w:rPr>
        <w:t>31</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_Toc3191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七、绩效评价结果应用建议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_Toc3191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_Toc27704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（一）以绩效评价促进项目规范管理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_Toc27704 \h </w:instrText>
      </w:r>
      <w:r>
        <w:rPr>
          <w:rFonts w:hint="eastAsia" w:ascii="仿宋" w:hAnsi="仿宋" w:eastAsia="仿宋" w:cs="仿宋"/>
          <w:sz w:val="24"/>
          <w:szCs w:val="24"/>
        </w:rPr>
        <w:fldChar w:fldCharType="separate"/>
      </w:r>
      <w:r>
        <w:rPr>
          <w:rFonts w:hint="eastAsia" w:ascii="仿宋" w:hAnsi="仿宋" w:eastAsia="仿宋" w:cs="仿宋"/>
          <w:sz w:val="24"/>
          <w:szCs w:val="24"/>
        </w:rPr>
        <w:t>31</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_Toc1444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（二）充分利用绩效结果，落实问题整改机制</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_Toc1444 \h </w:instrText>
      </w:r>
      <w:r>
        <w:rPr>
          <w:rFonts w:hint="eastAsia" w:ascii="仿宋" w:hAnsi="仿宋" w:eastAsia="仿宋" w:cs="仿宋"/>
          <w:sz w:val="24"/>
          <w:szCs w:val="24"/>
        </w:rPr>
        <w:fldChar w:fldCharType="separate"/>
      </w:r>
      <w:r>
        <w:rPr>
          <w:rFonts w:hint="eastAsia" w:ascii="仿宋" w:hAnsi="仿宋" w:eastAsia="仿宋" w:cs="仿宋"/>
          <w:sz w:val="24"/>
          <w:szCs w:val="24"/>
        </w:rPr>
        <w:t>32</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_Toc30982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（三）公开评价结果，实现社会监督</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_Toc30982 \h </w:instrText>
      </w:r>
      <w:r>
        <w:rPr>
          <w:rFonts w:hint="eastAsia" w:ascii="仿宋" w:hAnsi="仿宋" w:eastAsia="仿宋" w:cs="仿宋"/>
          <w:sz w:val="24"/>
          <w:szCs w:val="24"/>
        </w:rPr>
        <w:fldChar w:fldCharType="separate"/>
      </w:r>
      <w:r>
        <w:rPr>
          <w:rFonts w:hint="eastAsia" w:ascii="仿宋" w:hAnsi="仿宋" w:eastAsia="仿宋" w:cs="仿宋"/>
          <w:sz w:val="24"/>
          <w:szCs w:val="24"/>
        </w:rPr>
        <w:t>32</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_Toc25315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附件1：评价指标体系</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_Toc25315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33</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_Toc4207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附件2：问卷调查报告</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_Toc4207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38</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_Toc13530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w:t>
      </w:r>
      <w:r>
        <w:rPr>
          <w:rFonts w:hint="eastAsia" w:ascii="仿宋" w:hAnsi="仿宋" w:eastAsia="仿宋" w:cs="仿宋"/>
          <w:b/>
          <w:bCs/>
          <w:kern w:val="0"/>
          <w:sz w:val="24"/>
          <w:szCs w:val="24"/>
          <w:lang w:val="en-US" w:eastAsia="zh-CN"/>
        </w:rPr>
        <w:t>3</w:t>
      </w:r>
      <w:r>
        <w:rPr>
          <w:rFonts w:hint="eastAsia" w:ascii="仿宋" w:hAnsi="仿宋" w:eastAsia="仿宋" w:cs="仿宋"/>
          <w:b/>
          <w:bCs/>
          <w:kern w:val="0"/>
          <w:sz w:val="24"/>
          <w:szCs w:val="24"/>
        </w:rPr>
        <w:t>：合规性审查</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_Toc13530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40</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_Toc21843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lang w:val="en-US" w:eastAsia="zh-CN"/>
        </w:rPr>
        <w:t>附件4：访谈记录</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_Toc21843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43</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after="0" w:line="520" w:lineRule="exact"/>
        <w:textAlignment w:val="auto"/>
        <w:rPr>
          <w:rFonts w:ascii="Times New Roman" w:hAnsi="Times New Roman" w:eastAsia="仿宋"/>
          <w:sz w:val="28"/>
          <w:szCs w:val="24"/>
          <w:highlight w:val="yellow"/>
        </w:rPr>
      </w:pPr>
      <w:r>
        <w:rPr>
          <w:rFonts w:hint="eastAsia" w:ascii="仿宋" w:hAnsi="仿宋" w:eastAsia="仿宋" w:cs="仿宋"/>
          <w:sz w:val="24"/>
          <w:szCs w:val="24"/>
          <w:highlight w:val="yellow"/>
        </w:rPr>
        <w:fldChar w:fldCharType="end"/>
      </w:r>
      <w:bookmarkEnd w:id="186"/>
      <w:bookmarkStart w:id="2" w:name="_Toc515811929"/>
      <w:bookmarkStart w:id="3" w:name="_Toc516473299"/>
      <w:bookmarkStart w:id="4" w:name="_Toc516554764"/>
      <w:bookmarkStart w:id="5" w:name="_Toc515810984"/>
    </w:p>
    <w:p>
      <w:pPr>
        <w:rPr>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p>
    <w:bookmarkEnd w:id="2"/>
    <w:bookmarkEnd w:id="3"/>
    <w:bookmarkEnd w:id="4"/>
    <w:bookmarkEnd w:id="5"/>
    <w:p>
      <w:pPr>
        <w:pStyle w:val="2"/>
        <w:spacing w:before="156" w:beforeLines="50" w:after="156" w:afterLines="50" w:line="500" w:lineRule="exact"/>
        <w:jc w:val="center"/>
        <w:rPr>
          <w:rFonts w:ascii="Times New Roman" w:hAnsi="Times New Roman" w:eastAsia="黑体"/>
          <w:b w:val="0"/>
          <w:szCs w:val="32"/>
        </w:rPr>
      </w:pPr>
      <w:bookmarkStart w:id="6" w:name="_Toc8704"/>
      <w:bookmarkStart w:id="7" w:name="_Toc16840"/>
      <w:bookmarkStart w:id="8" w:name="_Toc528603037"/>
      <w:r>
        <w:rPr>
          <w:rFonts w:ascii="Times New Roman" w:hAnsi="Times New Roman" w:eastAsia="黑体"/>
          <w:b w:val="0"/>
          <w:szCs w:val="32"/>
        </w:rPr>
        <w:t>报告摘要</w:t>
      </w:r>
      <w:bookmarkEnd w:id="0"/>
      <w:bookmarkEnd w:id="6"/>
      <w:bookmarkEnd w:id="7"/>
      <w:bookmarkEnd w:id="8"/>
    </w:p>
    <w:p>
      <w:pPr>
        <w:spacing w:before="312" w:beforeLines="100" w:after="312" w:afterLines="100" w:line="500" w:lineRule="exact"/>
        <w:rPr>
          <w:rFonts w:ascii="黑体" w:hAnsi="黑体" w:eastAsia="黑体"/>
          <w:sz w:val="32"/>
          <w:szCs w:val="28"/>
        </w:rPr>
      </w:pPr>
      <w:r>
        <w:rPr>
          <w:rFonts w:ascii="黑体" w:hAnsi="黑体" w:eastAsia="黑体"/>
          <w:sz w:val="32"/>
          <w:szCs w:val="28"/>
        </w:rPr>
        <w:t>一、项目概况</w:t>
      </w:r>
    </w:p>
    <w:p>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（一）立项背景</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多年来，由于受到传统丧葬习俗的影响，城乡，尤其是农村死亡人口仍然以直接骨灰土葬的形式，致使农村山头、坡地、平畈上的坟墓越来越多，乱埋乱葬，占用良田好土，死人与活人争地现象严重，极大地影响了社会主义精神文明建设，对人们的生活环境造成了极大的影响，对生态环境造成极大的破坏。</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我国人口基数大、人均土地资源少，近年来各地积极推行革除丧葬陋俗的殡葬改革，实行火葬、改革土葬，目前殡葬改革正在不断深入推进，全国年均遗体火化率稳步提升。火葬区覆盖的国土面积占到总面积的52.4%。山西、江西等地还扩大了火葬区范围，并将实行火葬的区界细化到乡镇、村。</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据统计，目前全国每年有近50%的逝者实行了火葬，大中城市火化率多在90%以上，遗体火化率稳步提升。2018年，全国共火化遗体498.6万具，2019年我国火化遗体数量为522.7万具，火化率为52.4%，节约土地6万余亩。因此，认真规划、合理布局，加快农村殡葬设施建设已迫在眉睫。</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殡仪馆建设是配合我国殡葬业的不断改革、促进社会文明及提升殡葬文化的具体行动。可以促使殡葬事业逐步走向规范化、合理，避免乱葬；也有利于整体提升旅游城市的形象和市场竞争力。</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殡仪馆在我国又是殡葬改革的载体，是社会主义精神文明的一个阵地，它的功能应该是通过人们在殡仪馆举行的一系列活动，使人们的悲伤得到慰藉，哀思有所寄托，生者得到安慰，逝者得到安息，起到移风易俗，升华人们的思想的作用，使整个丧葬过程成为文明、健康、进步的活动。</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殡葬改革是向千年旧俗宣战的社会改革难题，山西省近年来虽然取得长足进步，低于全国平均水平；土葬中滥占耕地、骨灰装棺再葬、造豪华大墓现象屡屡发生。新的发展规划在这些方面出台了新的治理措施。2020年11月30日，山西省召开殡葬基础设施建设推进会议。山西省副省长参加会议并发表讲话。会议提到，殡葬建设工作是一项极其重要的工作，是有利于民生的大事，这关系到百姓的根本利益，并且关系到社会的稳定。山西省召开的这项会议表示，各部门都需要坚决执行国家的工作要求，加大工作的投入精力和力度，要保证能够在规定的期限内完成殡葬基础建设的任务。</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会议表示，一定要强化市级的统筹，规划、标准、招标都需要统一，要稳扎稳打地推进殡仪馆以及公益性安葬设施有规范、有序地实施。必须要强化市县主体的责任和管理的责任。要加强组织的领导，各个部门要紧密配合。要加强宣传的作用，加强引导的作用，大力地开展移风易俗的活动，以便于全面推动省殡葬事业的快速、健康、有序的发展。</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殡葬改革是树立一代新风的重要的社会改革，关系到精神文明的建设和绿色生态文明的建设。因此殡葬基础建设就显得尤为重要。在国家政策下，多地已经出台相关规定并召开有关会议，以便于全国全面推进保护生态、保护环境、倡导节俭的新殡葬方式</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结合目前中央和省级政府要求，古县民政局拟开展古县殡仪馆建设项目。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山西省殡葬基础设施建设指南》，古县殡仪馆建设项目属省定六类殡仪馆类别。占地面积不大于15亩，建筑面积不大于2000平方米。古县殡仪馆建设项目占地面积约为14.96亩，总建筑面积1944.65㎡，符合省定六类殡仪馆类别建设规模要求。</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古县殡仪馆建设项目建设内容主要包含殡仪馆建筑安装工程、设备工程、装饰装修工程以及道路场地硬化、绿化等室外公用配套工程等</w:t>
      </w:r>
      <w:r>
        <w:rPr>
          <w:rFonts w:ascii="Times New Roman" w:hAnsi="Times New Roman" w:eastAsia="仿宋"/>
          <w:sz w:val="28"/>
          <w:szCs w:val="32"/>
        </w:rPr>
        <w:t>。</w:t>
      </w:r>
    </w:p>
    <w:p>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（二）预算资金内容及来源</w:t>
      </w:r>
    </w:p>
    <w:p>
      <w:pPr>
        <w:spacing w:line="500" w:lineRule="exact"/>
        <w:ind w:firstLine="560" w:firstLineChars="200"/>
        <w:rPr>
          <w:rFonts w:ascii="Times New Roman" w:hAnsi="Times New Roman" w:eastAsia="仿宋"/>
          <w:sz w:val="28"/>
          <w:szCs w:val="32"/>
        </w:rPr>
      </w:pPr>
      <w:r>
        <w:rPr>
          <w:rFonts w:hint="eastAsia" w:ascii="Times New Roman" w:hAnsi="Times New Roman" w:eastAsia="仿宋" w:cs="Times New Roman"/>
          <w:sz w:val="28"/>
          <w:szCs w:val="24"/>
          <w:lang w:val="en-US" w:eastAsia="zh-CN"/>
        </w:rPr>
        <w:t>根据《关于古县殡仪馆建设项目初步设计进行审批的申请》（古民字〔2021〕8号），2021年10月20日，古县行政审批服务管理局《关于古县殡仪馆建设项目初步设计的批复》（古审管审发〔2021〕69号），项目总投资及资金来源：本项目概算总投资1798.17万元。其中：工程建设费1574.03万元，工程建设其他费138.51万元，预备费85.63万元。本项目所需资金除申请上级资金外，其余部分由当地配套</w:t>
      </w:r>
      <w:r>
        <w:rPr>
          <w:rFonts w:ascii="Times New Roman" w:hAnsi="Times New Roman" w:eastAsia="仿宋"/>
          <w:sz w:val="28"/>
          <w:szCs w:val="32"/>
        </w:rPr>
        <w:t>。</w:t>
      </w:r>
    </w:p>
    <w:p>
      <w:pPr>
        <w:spacing w:line="500" w:lineRule="exact"/>
        <w:ind w:firstLine="560" w:firstLineChars="200"/>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2021年，古县财政下达项目资金466.01414万元。</w:t>
      </w:r>
    </w:p>
    <w:p>
      <w:pPr>
        <w:spacing w:line="500" w:lineRule="exact"/>
        <w:ind w:firstLine="560" w:firstLineChars="200"/>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2022年7月14日，《古县财政局关于下达2022年省级财政殡仪馆建设补助资金的通知》（古财社〔2022〕0043号）文件下达古县民政局560.00万元。</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b w:val="0"/>
          <w:bCs w:val="0"/>
          <w:sz w:val="28"/>
          <w:szCs w:val="24"/>
          <w:lang w:val="en-US" w:eastAsia="zh-CN"/>
        </w:rPr>
        <w:t>2022年古县财政下达古县民政局县级配套资金15.5024万元</w:t>
      </w:r>
      <w:r>
        <w:rPr>
          <w:rFonts w:hint="eastAsia" w:ascii="Times New Roman" w:hAnsi="Times New Roman" w:eastAsia="仿宋" w:cs="Times New Roman"/>
          <w:sz w:val="28"/>
          <w:szCs w:val="24"/>
          <w:lang w:val="en-US" w:eastAsia="zh-CN"/>
        </w:rPr>
        <w:t>。</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二、评价结论</w:t>
      </w:r>
    </w:p>
    <w:p>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依据项目基础信息统计，结合现场核查结果，按照评价小组制定并经专家组论证的评价指标体系，</w:t>
      </w:r>
      <w:r>
        <w:rPr>
          <w:rFonts w:hint="eastAsia" w:ascii="Times New Roman" w:hAnsi="Times New Roman" w:eastAsia="仿宋"/>
          <w:snapToGrid w:val="0"/>
          <w:color w:val="auto"/>
          <w:sz w:val="28"/>
          <w:szCs w:val="32"/>
          <w:lang w:eastAsia="zh-CN"/>
        </w:rPr>
        <w:t>殡仪馆建设改造补助资金项目</w:t>
      </w:r>
      <w:r>
        <w:rPr>
          <w:rFonts w:hint="eastAsia" w:ascii="Times New Roman" w:hAnsi="Times New Roman" w:eastAsia="仿宋"/>
          <w:snapToGrid w:val="0"/>
          <w:color w:val="auto"/>
          <w:sz w:val="28"/>
          <w:szCs w:val="32"/>
        </w:rPr>
        <w:t>财政支出绩效评价综合得分</w:t>
      </w:r>
      <w:r>
        <w:rPr>
          <w:rFonts w:hint="eastAsia" w:ascii="Times New Roman" w:hAnsi="Times New Roman" w:eastAsia="仿宋"/>
          <w:snapToGrid w:val="0"/>
          <w:sz w:val="28"/>
          <w:szCs w:val="32"/>
          <w:lang w:val="en-US" w:eastAsia="zh-CN"/>
        </w:rPr>
        <w:t>79.00</w:t>
      </w:r>
      <w:r>
        <w:rPr>
          <w:rFonts w:hint="eastAsia" w:ascii="Times New Roman" w:hAnsi="Times New Roman" w:eastAsia="仿宋"/>
          <w:snapToGrid w:val="0"/>
          <w:color w:val="auto"/>
          <w:sz w:val="28"/>
          <w:szCs w:val="32"/>
        </w:rPr>
        <w:t>分，评价等级为“</w:t>
      </w:r>
      <w:r>
        <w:rPr>
          <w:rFonts w:hint="eastAsia" w:ascii="Times New Roman" w:hAnsi="Times New Roman" w:eastAsia="仿宋"/>
          <w:snapToGrid w:val="0"/>
          <w:color w:val="auto"/>
          <w:sz w:val="28"/>
          <w:szCs w:val="32"/>
          <w:lang w:val="en-US" w:eastAsia="zh-CN"/>
        </w:rPr>
        <w:t>中</w:t>
      </w:r>
      <w:r>
        <w:rPr>
          <w:rFonts w:hint="eastAsia" w:ascii="Times New Roman" w:hAnsi="Times New Roman" w:eastAsia="仿宋"/>
          <w:snapToGrid w:val="0"/>
          <w:color w:val="auto"/>
          <w:sz w:val="28"/>
          <w:szCs w:val="32"/>
        </w:rPr>
        <w:t>”。</w:t>
      </w:r>
    </w:p>
    <w:p>
      <w:pPr>
        <w:widowControl/>
        <w:spacing w:line="500" w:lineRule="exact"/>
        <w:ind w:firstLine="560" w:firstLineChars="200"/>
        <w:rPr>
          <w:rFonts w:ascii="Times New Roman" w:hAnsi="Times New Roman" w:eastAsia="仿宋"/>
          <w:snapToGrid w:val="0"/>
          <w:color w:val="auto"/>
          <w:sz w:val="28"/>
          <w:szCs w:val="32"/>
        </w:rPr>
      </w:pPr>
      <w:r>
        <w:rPr>
          <w:rFonts w:hint="eastAsia" w:ascii="Times New Roman" w:hAnsi="Times New Roman" w:eastAsia="仿宋"/>
          <w:sz w:val="28"/>
          <w:szCs w:val="32"/>
        </w:rPr>
        <w:t>殡仪馆建设是配合我国殡葬业的不断改革、促进社会文明及提升殡葬文化的具体行动。可以促使殡葬事业逐步走向规范化、合理，避免乱葬</w:t>
      </w:r>
      <w:r>
        <w:rPr>
          <w:rFonts w:ascii="Times New Roman" w:hAnsi="Times New Roman" w:eastAsia="仿宋"/>
          <w:snapToGrid w:val="0"/>
          <w:sz w:val="28"/>
          <w:szCs w:val="32"/>
        </w:rPr>
        <w:t>。</w:t>
      </w:r>
      <w:r>
        <w:rPr>
          <w:rFonts w:hint="eastAsia" w:ascii="Times New Roman" w:hAnsi="Times New Roman" w:eastAsia="仿宋"/>
          <w:snapToGrid w:val="0"/>
          <w:sz w:val="28"/>
          <w:szCs w:val="32"/>
          <w:lang w:val="en-US" w:eastAsia="zh-CN"/>
        </w:rPr>
        <w:t>古县殡仪馆的建设，有其必要性，且项目建设完成并投入使用后，对于区域移风易俗改进丧葬文化，更好的进行土地资源保护都有重要意义。但评价发现，古县殡仪馆建设改造补助资金项目延期严重，</w:t>
      </w:r>
      <w:r>
        <w:rPr>
          <w:rFonts w:hint="eastAsia" w:ascii="Times New Roman" w:hAnsi="Times New Roman" w:eastAsia="仿宋" w:cs="Times New Roman"/>
          <w:sz w:val="28"/>
          <w:szCs w:val="24"/>
          <w:lang w:val="en-US" w:eastAsia="zh-CN"/>
        </w:rPr>
        <w:t>计划开竣工时间为2022年1月20日至2022年12月20日</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截止评价日2023年11月15日，项目仍未整体完工，影响了项目整体效益的发挥</w:t>
      </w:r>
      <w:r>
        <w:rPr>
          <w:rFonts w:ascii="Times New Roman" w:hAnsi="Times New Roman" w:eastAsia="仿宋"/>
          <w:snapToGrid w:val="0"/>
          <w:color w:val="auto"/>
          <w:sz w:val="28"/>
          <w:szCs w:val="32"/>
        </w:rPr>
        <w:t>。</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三、存在问题</w:t>
      </w:r>
    </w:p>
    <w:p>
      <w:pPr>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1.项目整体施工进度延期严重，影响项目整体效益发挥。</w:t>
      </w:r>
    </w:p>
    <w:p>
      <w:pPr>
        <w:spacing w:line="500" w:lineRule="exact"/>
        <w:ind w:firstLine="560" w:firstLineChars="200"/>
        <w:rPr>
          <w:rFonts w:hint="eastAsia" w:ascii="Times New Roman" w:hAnsi="Times New Roman" w:eastAsia="仿宋"/>
          <w:snapToGrid w:val="0"/>
          <w:sz w:val="28"/>
          <w:szCs w:val="32"/>
          <w:lang w:val="en-US" w:eastAsia="zh-CN"/>
        </w:rPr>
      </w:pPr>
      <w:r>
        <w:rPr>
          <w:rFonts w:hint="eastAsia" w:ascii="Times New Roman" w:hAnsi="Times New Roman" w:eastAsia="仿宋"/>
          <w:snapToGrid w:val="0"/>
          <w:sz w:val="28"/>
          <w:szCs w:val="32"/>
          <w:lang w:val="en-US" w:eastAsia="zh-CN"/>
        </w:rPr>
        <w:t>2022年1月19日，古县民政局与天太建设集团有限公司签订《建设工程施工合同》，计划开竣工时间为2022年1月20日至2022年12月20日；截止2022年12月31日，项目尚未完工，尚未验收，尚未结算审核，项目严重延期。</w:t>
      </w:r>
    </w:p>
    <w:p>
      <w:pPr>
        <w:spacing w:line="500" w:lineRule="exact"/>
        <w:ind w:firstLine="562" w:firstLineChars="200"/>
        <w:rPr>
          <w:rFonts w:hint="default" w:ascii="Times New Roman" w:hAnsi="Times New Roman" w:eastAsia="仿宋"/>
          <w:b/>
          <w:bCs/>
          <w:snapToGrid w:val="0"/>
          <w:sz w:val="28"/>
          <w:szCs w:val="32"/>
          <w:lang w:val="en-US" w:eastAsia="zh-CN"/>
        </w:rPr>
      </w:pPr>
      <w:r>
        <w:rPr>
          <w:rFonts w:hint="eastAsia" w:ascii="Times New Roman" w:hAnsi="Times New Roman" w:eastAsia="仿宋"/>
          <w:b/>
          <w:bCs/>
          <w:snapToGrid w:val="0"/>
          <w:sz w:val="28"/>
          <w:szCs w:val="32"/>
          <w:lang w:val="en-US" w:eastAsia="zh-CN"/>
        </w:rPr>
        <w:t>2.项目实施管理不到位。</w:t>
      </w:r>
    </w:p>
    <w:p>
      <w:pPr>
        <w:spacing w:line="500" w:lineRule="exact"/>
        <w:ind w:firstLine="560" w:firstLineChars="200"/>
        <w:rPr>
          <w:rFonts w:ascii="Times New Roman" w:hAnsi="Times New Roman" w:eastAsia="仿宋"/>
          <w:bCs/>
          <w:snapToGrid w:val="0"/>
          <w:sz w:val="28"/>
          <w:szCs w:val="32"/>
        </w:rPr>
      </w:pPr>
      <w:r>
        <w:rPr>
          <w:rFonts w:hint="eastAsia" w:ascii="Times New Roman" w:hAnsi="Times New Roman" w:eastAsia="仿宋"/>
          <w:snapToGrid w:val="0"/>
          <w:sz w:val="28"/>
          <w:szCs w:val="32"/>
          <w:lang w:val="en-US" w:eastAsia="zh-CN"/>
        </w:rPr>
        <w:t>古县民政局项目实施管理不到位，在项目延期的情况下，未见古县民政局中期检查、监控、督促施工方按期施工完成记录资料。</w:t>
      </w:r>
      <w:r>
        <w:rPr>
          <w:rFonts w:ascii="Times New Roman" w:hAnsi="Times New Roman" w:eastAsia="仿宋"/>
          <w:bCs/>
          <w:snapToGrid w:val="0"/>
          <w:sz w:val="28"/>
          <w:szCs w:val="32"/>
        </w:rPr>
        <w:t xml:space="preserve">。  </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四、改进措施</w:t>
      </w:r>
    </w:p>
    <w:p>
      <w:pPr>
        <w:spacing w:line="500" w:lineRule="exact"/>
        <w:ind w:firstLine="562" w:firstLineChars="200"/>
        <w:rPr>
          <w:rFonts w:hint="default" w:ascii="Times New Roman" w:hAnsi="Times New Roman" w:eastAsia="仿宋"/>
          <w:b/>
          <w:bCs w:val="0"/>
          <w:snapToGrid w:val="0"/>
          <w:sz w:val="28"/>
          <w:szCs w:val="32"/>
          <w:lang w:val="en-US" w:eastAsia="zh-CN"/>
        </w:rPr>
      </w:pPr>
      <w:r>
        <w:rPr>
          <w:rFonts w:hint="eastAsia" w:ascii="Times New Roman" w:hAnsi="Times New Roman" w:eastAsia="仿宋"/>
          <w:b/>
          <w:bCs w:val="0"/>
          <w:snapToGrid w:val="0"/>
          <w:sz w:val="28"/>
          <w:szCs w:val="32"/>
          <w:lang w:val="en-US" w:eastAsia="zh-CN"/>
        </w:rPr>
        <w:t>1.加强项目实施过程管理，确保项目实施流程合法、合规。</w:t>
      </w:r>
    </w:p>
    <w:p>
      <w:pPr>
        <w:spacing w:line="500"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建议古县民政局在今后实施项目过程中，加强项目进度管理，对于延期项目及时督促施工方加快施工进度，对于延期严重情况，对施工方进行惩戒；多措并举，确保项目实施进度达标；</w:t>
      </w:r>
    </w:p>
    <w:p>
      <w:pPr>
        <w:spacing w:line="500" w:lineRule="exact"/>
        <w:ind w:firstLine="562" w:firstLineChars="200"/>
        <w:rPr>
          <w:rFonts w:hint="default" w:ascii="Times New Roman" w:hAnsi="Times New Roman" w:eastAsia="仿宋"/>
          <w:b/>
          <w:bCs w:val="0"/>
          <w:snapToGrid w:val="0"/>
          <w:sz w:val="28"/>
          <w:szCs w:val="32"/>
          <w:lang w:val="en-US" w:eastAsia="zh-CN"/>
        </w:rPr>
      </w:pPr>
      <w:r>
        <w:rPr>
          <w:rFonts w:hint="eastAsia" w:ascii="Times New Roman" w:hAnsi="Times New Roman" w:eastAsia="仿宋"/>
          <w:b/>
          <w:bCs w:val="0"/>
          <w:snapToGrid w:val="0"/>
          <w:sz w:val="28"/>
          <w:szCs w:val="32"/>
          <w:lang w:val="en-US" w:eastAsia="zh-CN"/>
        </w:rPr>
        <w:t>2.加强中期检查监控，及时跟踪发现项目实施过程中的问题并尽快解决，促进项目预期目标实现。</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b w:val="0"/>
          <w:bCs/>
          <w:snapToGrid w:val="0"/>
          <w:sz w:val="28"/>
          <w:szCs w:val="32"/>
          <w:lang w:val="en-US" w:eastAsia="zh-CN"/>
        </w:rPr>
        <w:t>同时，加强目中期检查监控，及时跟踪发现项目实施过程中的问题并尽快解决，中期检查监控资料留档备查；项目结束后，及时进行项目整体总结和自评价，确保项目预期目标实现</w:t>
      </w:r>
      <w:r>
        <w:rPr>
          <w:rFonts w:ascii="Times New Roman" w:hAnsi="Times New Roman" w:eastAsia="仿宋"/>
          <w:snapToGrid w:val="0"/>
          <w:sz w:val="28"/>
          <w:szCs w:val="32"/>
        </w:rPr>
        <w:t>。</w:t>
      </w:r>
    </w:p>
    <w:p>
      <w:pPr>
        <w:pStyle w:val="18"/>
        <w:spacing w:line="500" w:lineRule="exact"/>
        <w:rPr>
          <w:rFonts w:eastAsia="仿宋"/>
          <w:b/>
          <w:bCs w:val="0"/>
          <w:kern w:val="2"/>
          <w:sz w:val="44"/>
          <w:szCs w:val="44"/>
        </w:rPr>
        <w:sectPr>
          <w:footerReference r:id="rId7" w:type="default"/>
          <w:pgSz w:w="11906" w:h="16838"/>
          <w:pgMar w:top="1440" w:right="1800" w:bottom="1440" w:left="1800" w:header="851" w:footer="992" w:gutter="0"/>
          <w:pgNumType w:fmt="decimal" w:start="1"/>
          <w:cols w:space="425" w:num="1"/>
          <w:docGrid w:type="lines" w:linePitch="312" w:charSpace="0"/>
        </w:sectPr>
      </w:pPr>
    </w:p>
    <w:p>
      <w:pPr>
        <w:tabs>
          <w:tab w:val="center" w:pos="4153"/>
          <w:tab w:val="left" w:pos="6812"/>
        </w:tabs>
        <w:spacing w:line="500" w:lineRule="exact"/>
        <w:jc w:val="center"/>
        <w:rPr>
          <w:rFonts w:ascii="Times New Roman" w:hAnsi="Times New Roman" w:eastAsia="仿宋"/>
          <w:b/>
          <w:sz w:val="36"/>
          <w:szCs w:val="22"/>
        </w:rPr>
      </w:pPr>
      <w:bookmarkStart w:id="9" w:name="_Toc12847"/>
      <w:bookmarkStart w:id="10" w:name="_Toc4980"/>
      <w:r>
        <w:rPr>
          <w:rFonts w:hint="eastAsia" w:ascii="黑体" w:hAnsi="黑体" w:eastAsia="黑体" w:cs="黑体"/>
          <w:b/>
          <w:bCs w:val="0"/>
          <w:kern w:val="2"/>
          <w:sz w:val="44"/>
          <w:szCs w:val="44"/>
          <w:lang w:val="en-US" w:eastAsia="zh-CN" w:bidi="ar-SA"/>
        </w:rPr>
        <w:t>殡仪馆建设改造补助资金项目资金财政支出绩效评价报告</w:t>
      </w:r>
      <w:bookmarkEnd w:id="9"/>
      <w:bookmarkEnd w:id="10"/>
    </w:p>
    <w:p>
      <w:pPr>
        <w:spacing w:line="500" w:lineRule="exact"/>
        <w:ind w:firstLine="560" w:firstLineChars="200"/>
        <w:rPr>
          <w:rFonts w:ascii="Times New Roman" w:hAnsi="Times New Roman" w:eastAsia="仿宋"/>
          <w:snapToGrid w:val="0"/>
          <w:sz w:val="28"/>
          <w:szCs w:val="32"/>
          <w:highlight w:val="yellow"/>
        </w:rPr>
      </w:pPr>
      <w:r>
        <w:rPr>
          <w:rFonts w:ascii="Times New Roman" w:hAnsi="Times New Roman" w:eastAsia="仿宋"/>
          <w:snapToGrid w:val="0"/>
          <w:sz w:val="28"/>
          <w:szCs w:val="32"/>
        </w:rPr>
        <w:t>受</w:t>
      </w:r>
      <w:r>
        <w:rPr>
          <w:rFonts w:hint="eastAsia" w:ascii="Times New Roman" w:hAnsi="Times New Roman" w:eastAsia="仿宋"/>
          <w:snapToGrid w:val="0"/>
          <w:sz w:val="28"/>
          <w:szCs w:val="32"/>
          <w:lang w:eastAsia="zh-CN"/>
        </w:rPr>
        <w:t>古县</w:t>
      </w:r>
      <w:r>
        <w:rPr>
          <w:rFonts w:ascii="Times New Roman" w:hAnsi="Times New Roman" w:eastAsia="仿宋"/>
          <w:snapToGrid w:val="0"/>
          <w:sz w:val="28"/>
          <w:szCs w:val="32"/>
        </w:rPr>
        <w:t>财政局委托，山西恒略绩效管理咨询有限公司承担对</w:t>
      </w:r>
      <w:r>
        <w:rPr>
          <w:rFonts w:hint="eastAsia" w:ascii="Times New Roman" w:hAnsi="Times New Roman" w:eastAsia="仿宋"/>
          <w:snapToGrid w:val="0"/>
          <w:sz w:val="28"/>
          <w:szCs w:val="32"/>
          <w:lang w:eastAsia="zh-CN"/>
        </w:rPr>
        <w:t>殡仪馆建设改造补助资金项目</w:t>
      </w:r>
      <w:r>
        <w:rPr>
          <w:rFonts w:ascii="Times New Roman" w:hAnsi="Times New Roman" w:eastAsia="仿宋"/>
          <w:snapToGrid w:val="0"/>
          <w:sz w:val="28"/>
          <w:szCs w:val="32"/>
        </w:rPr>
        <w:t>绩效评价工作。根据《中华人民共和国预算法》（2014年8月31日第十二全国人民代表大会常务委员会第十次会议修订）、《财政部关于印发&lt;项目支出绩效评价管理办法&gt;的通知》（财预〔2020〕10号）、中共中央 国务院《关于全面实施预算绩效管理的意见》（中发〔2018〕34号）、财政部《关于贯彻落实&lt;中共中央国务院关于全面实施预算绩效管理的意见&gt;的通知》</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财预〔2018〕167号</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、中共山西省委 山西省人民政府《关于全面实施预算绩效管理的实施意见》（晋发〔2018〕39号）、</w:t>
      </w:r>
      <w:r>
        <w:rPr>
          <w:rFonts w:hint="eastAsia" w:ascii="Times New Roman" w:hAnsi="Times New Roman" w:eastAsia="仿宋"/>
          <w:snapToGrid w:val="0"/>
          <w:sz w:val="28"/>
          <w:szCs w:val="32"/>
          <w:lang w:eastAsia="zh-CN"/>
        </w:rPr>
        <w:t>《古县财政局关于印发&lt;2023年度财政重点绩效评价实施方案&gt;的通知》（古财字〔2023〕59号）</w:t>
      </w:r>
      <w:r>
        <w:rPr>
          <w:rFonts w:ascii="Times New Roman" w:hAnsi="Times New Roman" w:eastAsia="仿宋"/>
          <w:snapToGrid w:val="0"/>
          <w:sz w:val="28"/>
          <w:szCs w:val="32"/>
        </w:rPr>
        <w:t>等文件精神的要求，我们按照财政支出绩效评价的评价标准、评价方法和依据本项目特点制定的评价指标，对评价对象的绩效情况进行全面的分析和综合评价，形成了本报告</w:t>
      </w:r>
      <w:r>
        <w:rPr>
          <w:rFonts w:ascii="Times New Roman" w:hAnsi="Times New Roman" w:eastAsia="仿宋"/>
          <w:sz w:val="28"/>
          <w:szCs w:val="28"/>
        </w:rPr>
        <w:t>。</w:t>
      </w:r>
    </w:p>
    <w:p>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本次绩效评价工作反映了</w:t>
      </w:r>
      <w:r>
        <w:rPr>
          <w:rFonts w:hint="eastAsia" w:ascii="Times New Roman" w:hAnsi="Times New Roman" w:eastAsia="仿宋"/>
          <w:sz w:val="28"/>
          <w:szCs w:val="28"/>
          <w:lang w:eastAsia="zh-CN"/>
        </w:rPr>
        <w:t>殡仪馆建设改造补助资金项目</w:t>
      </w:r>
      <w:r>
        <w:rPr>
          <w:rFonts w:ascii="Times New Roman" w:hAnsi="Times New Roman" w:eastAsia="仿宋"/>
          <w:sz w:val="28"/>
          <w:szCs w:val="28"/>
        </w:rPr>
        <w:t>资金</w:t>
      </w:r>
      <w:r>
        <w:rPr>
          <w:rFonts w:ascii="Times New Roman" w:hAnsi="Times New Roman" w:eastAsia="仿宋"/>
          <w:snapToGrid w:val="0"/>
          <w:sz w:val="28"/>
          <w:szCs w:val="32"/>
        </w:rPr>
        <w:t>在决策、过程、产出和效益四个方面的情况，并对项目实施中存在的问题提出改进建议，以期在今后的工作中进一步完善工作流程，提高资金绩效水平。现将绩效评价情况及评价结果报告如下：</w:t>
      </w:r>
    </w:p>
    <w:p>
      <w:pPr>
        <w:pStyle w:val="2"/>
        <w:spacing w:before="312" w:beforeLines="100" w:after="312" w:afterLines="100" w:line="500" w:lineRule="exact"/>
        <w:rPr>
          <w:rFonts w:ascii="Times New Roman" w:hAnsi="Times New Roman" w:eastAsia="黑体"/>
          <w:b w:val="0"/>
          <w:sz w:val="32"/>
          <w:szCs w:val="32"/>
        </w:rPr>
      </w:pPr>
      <w:bookmarkStart w:id="11" w:name="_Toc3835"/>
      <w:r>
        <w:rPr>
          <w:rFonts w:ascii="Times New Roman" w:hAnsi="Times New Roman" w:eastAsia="黑体"/>
          <w:b w:val="0"/>
          <w:sz w:val="32"/>
          <w:szCs w:val="32"/>
        </w:rPr>
        <w:t>一、项目基本情况</w:t>
      </w:r>
      <w:bookmarkEnd w:id="1"/>
      <w:bookmarkEnd w:id="11"/>
    </w:p>
    <w:p>
      <w:pPr>
        <w:pStyle w:val="3"/>
        <w:spacing w:before="156" w:beforeLines="50" w:after="156" w:afterLines="50" w:line="500" w:lineRule="exact"/>
        <w:ind w:firstLine="643" w:firstLineChars="200"/>
        <w:rPr>
          <w:rFonts w:ascii="仿宋" w:hAnsi="仿宋" w:eastAsia="仿宋"/>
        </w:rPr>
      </w:pPr>
      <w:bookmarkStart w:id="12" w:name="_Toc514537329"/>
      <w:bookmarkStart w:id="13" w:name="_Toc4218"/>
      <w:r>
        <w:rPr>
          <w:rFonts w:ascii="仿宋" w:hAnsi="仿宋" w:eastAsia="仿宋"/>
        </w:rPr>
        <w:t>（一）项目</w:t>
      </w:r>
      <w:bookmarkEnd w:id="12"/>
      <w:r>
        <w:rPr>
          <w:rFonts w:ascii="仿宋" w:hAnsi="仿宋" w:eastAsia="仿宋"/>
        </w:rPr>
        <w:t>背景及概况</w:t>
      </w:r>
      <w:bookmarkEnd w:id="13"/>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bookmarkStart w:id="14" w:name="_Toc514537330"/>
      <w:r>
        <w:rPr>
          <w:rFonts w:hint="eastAsia" w:ascii="Times New Roman" w:hAnsi="Times New Roman" w:eastAsia="仿宋" w:cs="Times New Roman"/>
          <w:sz w:val="28"/>
          <w:szCs w:val="24"/>
          <w:lang w:val="en-US" w:eastAsia="zh-CN"/>
        </w:rPr>
        <w:t>多年来，由于受到传统丧葬习俗的影响，城乡，尤其是农村死亡人口仍然以直接骨灰土葬的形式，致使农村山头、坡地、平畈上的坟墓越来越多，乱埋乱葬，占用良田好土，死人与活人争地现象严重，极大地影响了社会主义精神文明建设，对人们的生活环境造成了极大的影响，对生态环境造成极大的破坏。</w:t>
      </w:r>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我国人口基数大、人均土地资源少，近年来各地积极推行革除丧葬陋俗的殡葬改革，实行火葬、改革土葬，目前殡葬改革正在不断深入推进，全国年均遗体火化率稳步提升。火葬区覆盖的国土面积占到总面积的52.4%。山西、江西等地还扩大了火葬区范围，并将实行火葬的区界细化到乡镇、村。</w:t>
      </w:r>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据统计，目前全国每年有近50%的逝者实行了火葬，大中城市火化率多在90%以上，遗体火化率稳步提升。2018年，全国共火化遗体498.6万具，2019年我国火化遗体数量为522.7万具，火化率为52.4%，节约土地6万余亩。因此，认真规划、合理布局，加快农村殡葬设施建设已迫在眉睫。</w:t>
      </w:r>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殡仪馆建设是配合我国殡葬业的不断改革、促进社会文明及提升殡葬文化的具体行动。可以促使殡葬事业逐步走向规范化、合理，避免乱葬；也有利于整体提升旅游城市的形象和市场竞争力。</w:t>
      </w:r>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殡仪馆在我国又是殡葬改革的载体，是社会主义精神文明的一个阵地，它的功能应该是通过人们在殡仪馆举行的一系列活动，使人们的悲伤得到慰藉，哀思有所寄托，生者得到安慰，逝者得到安息，起到移风易俗，升华人们的思想的作用，使整个丧葬过程成为文明、健康、进步的活动。</w:t>
      </w:r>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殡葬改革是向千年旧俗宣战的社会改革难题，山西省近年来虽然取得长足进步，低于全国平均水平；土葬中滥占耕地、骨灰装棺再葬、造豪华大墓现象屡屡发生。新的发展规划在这些方面出台了新的治理措施。2020年11月30日，山西省召开殡葬基础设施建设推进会议。山西省副省长参加会议并发表讲话。会议提到，殡葬建设工作是一项极其重要的工作，是有利于民生的大事，这关系到百姓的根本利益，并且关系到社会的稳定。山西省召开的这项会议表示，各部门都需要坚决执行国家的工作要求，加大工作的投入精力和力度，要保证能够在规定的期限内完成殡葬基础建设的任务。</w:t>
      </w:r>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会议表示，一定要强化市级的统筹，规划、标准、招标都需要统一，要稳扎稳打地推进殡仪馆以及公益性安葬设施有规范、有序地实施。必须要强化市县主体的责任和管理的责任。要加强组织的领导，各个部门要紧密配合。要加强宣传的作用，加强引导的作用，大力地开展移风易俗的活动，以便于全面推动省殡葬事业的快速、健康、有序的发展。</w:t>
      </w:r>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殡葬改革是树立一代新风的重要的社会改革，关系到精神文明的建设和绿色生态文明的建设。因此殡葬基础建设就显得尤为重要。在国家政策下，多地已经出台相关规定并召开有关会议，以便于全国全面推进保护生态、保护环境、倡导节俭的新殡葬方式</w:t>
      </w:r>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结合目前中央和省级政府要求，古县民政局拟开展古县殡仪馆建设项目。</w:t>
      </w:r>
    </w:p>
    <w:p>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山西省殡葬基础设施建设指南》，古县殡仪馆建设项目属省定六类殡仪馆类别。占地面积不大于15亩，建筑面积不大于2000平方米。古县殡仪馆建设项目占地面积约为14.96亩，总建筑面积1944.65㎡，符合省定六类殡仪馆类别建设规模要求。</w:t>
      </w:r>
    </w:p>
    <w:p>
      <w:pPr>
        <w:pStyle w:val="17"/>
        <w:spacing w:line="500" w:lineRule="exact"/>
        <w:ind w:firstLine="560" w:firstLineChars="200"/>
        <w:jc w:val="both"/>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古县殡仪馆建设项目建设内容主要包含殡仪馆建筑安装工程、设备工程、装饰装修工程以及道路场地硬化、绿化等室外公用配套工程等</w:t>
      </w:r>
      <w:r>
        <w:rPr>
          <w:rFonts w:ascii="Times New Roman" w:hAnsi="Times New Roman" w:eastAsia="仿宋"/>
          <w:snapToGrid w:val="0"/>
          <w:sz w:val="28"/>
          <w:szCs w:val="32"/>
        </w:rPr>
        <w:t>。</w:t>
      </w:r>
    </w:p>
    <w:p>
      <w:pPr>
        <w:pStyle w:val="3"/>
        <w:spacing w:before="156" w:beforeLines="50" w:after="156" w:afterLines="50" w:line="500" w:lineRule="exact"/>
        <w:ind w:firstLine="643" w:firstLineChars="200"/>
        <w:rPr>
          <w:rFonts w:hint="eastAsia" w:ascii="仿宋" w:hAnsi="仿宋" w:eastAsia="仿宋"/>
          <w:lang w:eastAsia="zh-CN"/>
        </w:rPr>
      </w:pPr>
      <w:bookmarkStart w:id="15" w:name="_Toc19814"/>
      <w:r>
        <w:rPr>
          <w:rFonts w:ascii="仿宋" w:hAnsi="仿宋" w:eastAsia="仿宋"/>
        </w:rPr>
        <w:t>（二）预算资金来源与资金使用</w:t>
      </w:r>
      <w:bookmarkEnd w:id="14"/>
      <w:r>
        <w:rPr>
          <w:rFonts w:hint="eastAsia" w:ascii="仿宋" w:hAnsi="仿宋" w:eastAsia="仿宋"/>
          <w:lang w:val="en-US" w:eastAsia="zh-CN"/>
        </w:rPr>
        <w:t>情况</w:t>
      </w:r>
      <w:bookmarkEnd w:id="15"/>
    </w:p>
    <w:p>
      <w:pPr>
        <w:spacing w:line="500" w:lineRule="exact"/>
        <w:ind w:firstLine="562" w:firstLineChars="200"/>
        <w:rPr>
          <w:rFonts w:hint="eastAsia" w:ascii="Times New Roman" w:hAnsi="Times New Roman" w:eastAsia="仿宋" w:cs="Times New Roman"/>
          <w:b/>
          <w:sz w:val="28"/>
          <w:szCs w:val="24"/>
          <w:lang w:eastAsia="zh-CN"/>
        </w:rPr>
      </w:pPr>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资金来源</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关于古县殡仪馆建设项目初步设计进行审批的申请》（古民字〔2021〕8号），2021年10月20日，古县行政审批服务管理局《关于古县殡仪馆建设项目初步设计的批复》（古审管审发〔2021〕69号），项目总投资及资金来源：本项目概算总投资1798.17万元。其中：工程建设费1574.03万元，工程建设其他费138.51万元，预备费85.63万元。本项目所需资金除申请上级资金外，其余部分由当地配套。</w:t>
      </w:r>
    </w:p>
    <w:p>
      <w:pPr>
        <w:spacing w:line="500" w:lineRule="exact"/>
        <w:ind w:firstLine="560" w:firstLineChars="200"/>
        <w:rPr>
          <w:rFonts w:hint="eastAsia" w:ascii="Times New Roman" w:hAnsi="Times New Roman" w:eastAsia="仿宋" w:cs="Times New Roman"/>
          <w:sz w:val="28"/>
          <w:szCs w:val="24"/>
          <w:lang w:eastAsia="zh-CN"/>
        </w:rPr>
        <w:sectPr>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仿宋" w:cs="Times New Roman"/>
          <w:sz w:val="28"/>
          <w:szCs w:val="24"/>
          <w:lang w:val="en-US" w:eastAsia="zh-CN"/>
        </w:rPr>
        <w:t>项目概算情况见下表1-1</w:t>
      </w:r>
      <w:r>
        <w:rPr>
          <w:rFonts w:hint="eastAsia" w:ascii="Times New Roman" w:hAnsi="Times New Roman" w:eastAsia="仿宋" w:cs="Times New Roman"/>
          <w:sz w:val="28"/>
          <w:szCs w:val="24"/>
          <w:lang w:eastAsia="zh-CN"/>
        </w:rPr>
        <w:t>。</w:t>
      </w:r>
    </w:p>
    <w:p>
      <w:pPr>
        <w:spacing w:line="500" w:lineRule="exact"/>
        <w:jc w:val="center"/>
        <w:rPr>
          <w:rFonts w:hint="default" w:ascii="Times New Roman" w:hAnsi="Times New Roman" w:eastAsia="仿宋" w:cs="Times New Roman"/>
          <w:sz w:val="28"/>
          <w:szCs w:val="24"/>
          <w:vertAlign w:val="baseline"/>
          <w:lang w:val="en-US" w:eastAsia="zh-CN"/>
        </w:rPr>
      </w:pPr>
      <w:r>
        <w:rPr>
          <w:rFonts w:hint="eastAsia" w:ascii="Times New Roman" w:hAnsi="Times New Roman" w:eastAsia="仿宋" w:cs="Times New Roman"/>
          <w:b/>
          <w:kern w:val="0"/>
          <w:sz w:val="24"/>
          <w:szCs w:val="28"/>
          <w:lang w:val="en-US" w:eastAsia="zh-CN"/>
        </w:rPr>
        <w:t>表1-1项目概算明细表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767"/>
        <w:gridCol w:w="3096"/>
        <w:gridCol w:w="943"/>
        <w:gridCol w:w="1088"/>
        <w:gridCol w:w="1025"/>
        <w:gridCol w:w="1117"/>
        <w:gridCol w:w="906"/>
        <w:gridCol w:w="996"/>
        <w:gridCol w:w="1132"/>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Merge w:val="restart"/>
          </w:tcPr>
          <w:p>
            <w:pPr>
              <w:snapToGrid w:val="0"/>
              <w:jc w:val="center"/>
              <w:rPr>
                <w:rFonts w:hint="eastAsia" w:ascii="Times New Roman" w:hAnsi="Times New Roman" w:eastAsia="仿宋" w:cs="Times New Roman"/>
                <w:b/>
                <w:bCs/>
                <w:kern w:val="0"/>
                <w:sz w:val="24"/>
                <w:szCs w:val="32"/>
                <w:lang w:val="en-US" w:eastAsia="zh-CN"/>
              </w:rPr>
            </w:pPr>
          </w:p>
          <w:p>
            <w:pPr>
              <w:snapToGrid w:val="0"/>
              <w:jc w:val="center"/>
              <w:rPr>
                <w:rFonts w:hint="eastAsia" w:ascii="Times New Roman" w:hAnsi="Times New Roman" w:eastAsia="仿宋" w:cs="Times New Roman"/>
                <w:b/>
                <w:bCs/>
                <w:kern w:val="0"/>
                <w:sz w:val="24"/>
                <w:szCs w:val="32"/>
                <w:lang w:val="en-US" w:eastAsia="zh-CN"/>
              </w:rPr>
            </w:pPr>
          </w:p>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序号</w:t>
            </w:r>
          </w:p>
        </w:tc>
        <w:tc>
          <w:tcPr>
            <w:tcW w:w="1704" w:type="dxa"/>
            <w:vMerge w:val="restart"/>
          </w:tcPr>
          <w:p>
            <w:pPr>
              <w:snapToGrid w:val="0"/>
              <w:jc w:val="center"/>
              <w:rPr>
                <w:rFonts w:hint="eastAsia" w:ascii="Times New Roman" w:hAnsi="Times New Roman" w:eastAsia="仿宋" w:cs="Times New Roman"/>
                <w:b/>
                <w:bCs/>
                <w:kern w:val="0"/>
                <w:sz w:val="24"/>
                <w:szCs w:val="32"/>
                <w:lang w:val="en-US" w:eastAsia="zh-CN"/>
              </w:rPr>
            </w:pPr>
          </w:p>
          <w:p>
            <w:pPr>
              <w:snapToGrid w:val="0"/>
              <w:jc w:val="center"/>
              <w:rPr>
                <w:rFonts w:hint="eastAsia" w:ascii="Times New Roman" w:hAnsi="Times New Roman" w:eastAsia="仿宋" w:cs="Times New Roman"/>
                <w:b/>
                <w:bCs/>
                <w:kern w:val="0"/>
                <w:sz w:val="24"/>
                <w:szCs w:val="32"/>
                <w:lang w:val="en-US" w:eastAsia="zh-CN"/>
              </w:rPr>
            </w:pPr>
          </w:p>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工程或费用名称</w:t>
            </w:r>
          </w:p>
        </w:tc>
        <w:tc>
          <w:tcPr>
            <w:tcW w:w="7264" w:type="dxa"/>
            <w:gridSpan w:val="5"/>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估算价值（万元）</w:t>
            </w:r>
          </w:p>
        </w:tc>
        <w:tc>
          <w:tcPr>
            <w:tcW w:w="921" w:type="dxa"/>
            <w:vAlign w:val="top"/>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占总投资的比例(%)</w:t>
            </w:r>
          </w:p>
        </w:tc>
        <w:tc>
          <w:tcPr>
            <w:tcW w:w="3458" w:type="dxa"/>
            <w:gridSpan w:val="3"/>
            <w:vAlign w:val="top"/>
          </w:tcPr>
          <w:p>
            <w:pPr>
              <w:snapToGrid w:val="0"/>
              <w:jc w:val="center"/>
              <w:rPr>
                <w:rFonts w:hint="eastAsia" w:ascii="Times New Roman" w:hAnsi="Times New Roman" w:eastAsia="仿宋" w:cs="Times New Roman"/>
                <w:b/>
                <w:bCs/>
                <w:kern w:val="0"/>
                <w:sz w:val="24"/>
                <w:szCs w:val="32"/>
                <w:lang w:val="en-US" w:eastAsia="zh-CN"/>
              </w:rPr>
            </w:pPr>
          </w:p>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技术经济指标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Merge w:val="continue"/>
            <w:vAlign w:val="top"/>
          </w:tcPr>
          <w:p>
            <w:pPr>
              <w:snapToGrid w:val="0"/>
              <w:jc w:val="center"/>
              <w:rPr>
                <w:rFonts w:hint="default" w:ascii="Times New Roman" w:hAnsi="Times New Roman" w:eastAsia="仿宋" w:cs="Times New Roman"/>
                <w:b/>
                <w:bCs/>
                <w:kern w:val="0"/>
                <w:sz w:val="24"/>
                <w:szCs w:val="32"/>
                <w:lang w:val="en-US" w:eastAsia="zh-CN"/>
              </w:rPr>
            </w:pPr>
          </w:p>
        </w:tc>
        <w:tc>
          <w:tcPr>
            <w:tcW w:w="1704" w:type="dxa"/>
            <w:vMerge w:val="continue"/>
            <w:vAlign w:val="top"/>
          </w:tcPr>
          <w:p>
            <w:pPr>
              <w:snapToGrid w:val="0"/>
              <w:jc w:val="center"/>
              <w:rPr>
                <w:rFonts w:hint="eastAsia" w:ascii="Times New Roman" w:hAnsi="Times New Roman" w:eastAsia="仿宋" w:cs="Times New Roman"/>
                <w:b/>
                <w:bCs/>
                <w:kern w:val="0"/>
                <w:sz w:val="24"/>
                <w:szCs w:val="32"/>
                <w:lang w:val="en-US" w:eastAsia="zh-CN"/>
              </w:rPr>
            </w:pPr>
          </w:p>
        </w:tc>
        <w:tc>
          <w:tcPr>
            <w:tcW w:w="3037" w:type="dxa"/>
            <w:vAlign w:val="top"/>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建筑工程</w:t>
            </w:r>
          </w:p>
        </w:tc>
        <w:tc>
          <w:tcPr>
            <w:tcW w:w="961" w:type="dxa"/>
            <w:vAlign w:val="top"/>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安装工程</w:t>
            </w:r>
          </w:p>
        </w:tc>
        <w:tc>
          <w:tcPr>
            <w:tcW w:w="1097" w:type="dxa"/>
            <w:vAlign w:val="top"/>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设备购置</w:t>
            </w:r>
          </w:p>
        </w:tc>
        <w:tc>
          <w:tcPr>
            <w:tcW w:w="1040" w:type="dxa"/>
            <w:vAlign w:val="top"/>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其他费用</w:t>
            </w:r>
          </w:p>
        </w:tc>
        <w:tc>
          <w:tcPr>
            <w:tcW w:w="1129" w:type="dxa"/>
            <w:vAlign w:val="top"/>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合计</w:t>
            </w:r>
          </w:p>
        </w:tc>
        <w:tc>
          <w:tcPr>
            <w:tcW w:w="921" w:type="dxa"/>
            <w:vAlign w:val="top"/>
          </w:tcPr>
          <w:p>
            <w:pPr>
              <w:snapToGrid w:val="0"/>
              <w:jc w:val="center"/>
              <w:rPr>
                <w:rFonts w:hint="eastAsia" w:ascii="Times New Roman" w:hAnsi="Times New Roman" w:eastAsia="仿宋" w:cs="Times New Roman"/>
                <w:b/>
                <w:bCs/>
                <w:kern w:val="0"/>
                <w:sz w:val="24"/>
                <w:szCs w:val="32"/>
                <w:lang w:val="en-US" w:eastAsia="zh-CN"/>
              </w:rPr>
            </w:pPr>
          </w:p>
        </w:tc>
        <w:tc>
          <w:tcPr>
            <w:tcW w:w="996" w:type="dxa"/>
            <w:textDirection w:val="tbRlV"/>
            <w:vAlign w:val="top"/>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单位</w:t>
            </w:r>
          </w:p>
        </w:tc>
        <w:tc>
          <w:tcPr>
            <w:tcW w:w="1145" w:type="dxa"/>
            <w:vAlign w:val="top"/>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数量</w:t>
            </w:r>
          </w:p>
        </w:tc>
        <w:tc>
          <w:tcPr>
            <w:tcW w:w="1317" w:type="dxa"/>
            <w:vAlign w:val="top"/>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单位价值（元）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default" w:ascii="Times New Roman" w:hAnsi="Times New Roman" w:eastAsia="仿宋" w:cs="Times New Roman"/>
                <w:kern w:val="0"/>
                <w:sz w:val="24"/>
                <w:szCs w:val="32"/>
                <w:lang w:val="en-US" w:eastAsia="zh-CN"/>
              </w:rPr>
            </w:pPr>
          </w:p>
        </w:tc>
        <w:tc>
          <w:tcPr>
            <w:tcW w:w="1704"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第一部分工程费用</w:t>
            </w:r>
          </w:p>
        </w:tc>
        <w:tc>
          <w:tcPr>
            <w:tcW w:w="303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1150.98</w:t>
            </w:r>
          </w:p>
        </w:tc>
        <w:tc>
          <w:tcPr>
            <w:tcW w:w="961"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90.70</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332.36</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1574.03</w:t>
            </w: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87.54</w:t>
            </w: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m²</w:t>
            </w: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1920.56</w:t>
            </w: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8195.70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default" w:ascii="Times New Roman" w:hAnsi="Times New Roman" w:eastAsia="仿宋" w:cs="Times New Roman"/>
                <w:kern w:val="0"/>
                <w:sz w:val="24"/>
                <w:szCs w:val="32"/>
                <w:lang w:val="en-US" w:eastAsia="zh-CN"/>
              </w:rPr>
            </w:pPr>
          </w:p>
        </w:tc>
        <w:tc>
          <w:tcPr>
            <w:tcW w:w="1704"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业务办公楼</w:t>
            </w:r>
          </w:p>
        </w:tc>
        <w:tc>
          <w:tcPr>
            <w:tcW w:w="303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113.45</w:t>
            </w:r>
          </w:p>
        </w:tc>
        <w:tc>
          <w:tcPr>
            <w:tcW w:w="961"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15.66</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129.11</w:t>
            </w: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m²</w:t>
            </w: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245.82</w:t>
            </w: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5252.22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二</w:t>
            </w:r>
          </w:p>
        </w:tc>
        <w:tc>
          <w:tcPr>
            <w:tcW w:w="1704"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综合楼</w:t>
            </w:r>
          </w:p>
        </w:tc>
        <w:tc>
          <w:tcPr>
            <w:tcW w:w="303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586.52</w:t>
            </w:r>
          </w:p>
        </w:tc>
        <w:tc>
          <w:tcPr>
            <w:tcW w:w="961"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50.61</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637.13</w:t>
            </w: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m²</w:t>
            </w: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1612.74</w:t>
            </w: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3950.61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三</w:t>
            </w:r>
          </w:p>
        </w:tc>
        <w:tc>
          <w:tcPr>
            <w:tcW w:w="1704"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其他附属设施</w:t>
            </w:r>
          </w:p>
        </w:tc>
        <w:tc>
          <w:tcPr>
            <w:tcW w:w="303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24.80</w:t>
            </w:r>
          </w:p>
        </w:tc>
        <w:tc>
          <w:tcPr>
            <w:tcW w:w="961" w:type="dxa"/>
            <w:vAlign w:val="top"/>
          </w:tcPr>
          <w:p>
            <w:pPr>
              <w:snapToGrid w:val="0"/>
              <w:jc w:val="center"/>
              <w:rPr>
                <w:rFonts w:hint="default" w:ascii="Times New Roman" w:hAnsi="Times New Roman" w:eastAsia="仿宋" w:cs="Times New Roman"/>
                <w:kern w:val="0"/>
                <w:sz w:val="24"/>
                <w:szCs w:val="32"/>
                <w:lang w:val="en-US" w:eastAsia="zh-CN"/>
              </w:rPr>
            </w:pP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24.80</w:t>
            </w: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m²</w:t>
            </w: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62.00</w:t>
            </w: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四</w:t>
            </w:r>
          </w:p>
        </w:tc>
        <w:tc>
          <w:tcPr>
            <w:tcW w:w="1704"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设备购置费</w:t>
            </w:r>
          </w:p>
        </w:tc>
        <w:tc>
          <w:tcPr>
            <w:tcW w:w="3037" w:type="dxa"/>
            <w:vAlign w:val="top"/>
          </w:tcPr>
          <w:p>
            <w:pPr>
              <w:snapToGrid w:val="0"/>
              <w:jc w:val="center"/>
              <w:rPr>
                <w:rFonts w:hint="default" w:ascii="Times New Roman" w:hAnsi="Times New Roman" w:eastAsia="仿宋" w:cs="Times New Roman"/>
                <w:kern w:val="0"/>
                <w:sz w:val="24"/>
                <w:szCs w:val="32"/>
                <w:lang w:val="en-US" w:eastAsia="zh-CN"/>
              </w:rPr>
            </w:pPr>
          </w:p>
        </w:tc>
        <w:tc>
          <w:tcPr>
            <w:tcW w:w="961" w:type="dxa"/>
            <w:vAlign w:val="top"/>
          </w:tcPr>
          <w:p>
            <w:pPr>
              <w:snapToGrid w:val="0"/>
              <w:jc w:val="center"/>
              <w:rPr>
                <w:rFonts w:hint="default" w:ascii="Times New Roman" w:hAnsi="Times New Roman" w:eastAsia="仿宋" w:cs="Times New Roman"/>
                <w:kern w:val="0"/>
                <w:sz w:val="24"/>
                <w:szCs w:val="32"/>
                <w:lang w:val="en-US" w:eastAsia="zh-CN"/>
              </w:rPr>
            </w:pP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332.36</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332.36</w:t>
            </w: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五</w:t>
            </w:r>
          </w:p>
        </w:tc>
        <w:tc>
          <w:tcPr>
            <w:tcW w:w="1704"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室外配套工程</w:t>
            </w:r>
          </w:p>
        </w:tc>
        <w:tc>
          <w:tcPr>
            <w:tcW w:w="303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426.21</w:t>
            </w:r>
          </w:p>
        </w:tc>
        <w:tc>
          <w:tcPr>
            <w:tcW w:w="961"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24.43</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450.64</w:t>
            </w: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default" w:ascii="Times New Roman" w:hAnsi="Times New Roman" w:eastAsia="仿宋" w:cs="Times New Roman"/>
                <w:kern w:val="0"/>
                <w:sz w:val="24"/>
                <w:szCs w:val="32"/>
                <w:lang w:val="en-US" w:eastAsia="zh-CN"/>
              </w:rPr>
            </w:pPr>
          </w:p>
        </w:tc>
        <w:tc>
          <w:tcPr>
            <w:tcW w:w="1704"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第二部分其他费用</w:t>
            </w:r>
          </w:p>
        </w:tc>
        <w:tc>
          <w:tcPr>
            <w:tcW w:w="3037" w:type="dxa"/>
            <w:vAlign w:val="top"/>
          </w:tcPr>
          <w:p>
            <w:pPr>
              <w:snapToGrid w:val="0"/>
              <w:jc w:val="center"/>
              <w:rPr>
                <w:rFonts w:hint="default" w:ascii="Times New Roman" w:hAnsi="Times New Roman" w:eastAsia="仿宋" w:cs="Times New Roman"/>
                <w:kern w:val="0"/>
                <w:sz w:val="24"/>
                <w:szCs w:val="32"/>
                <w:lang w:val="en-US" w:eastAsia="zh-CN"/>
              </w:rPr>
            </w:pPr>
          </w:p>
        </w:tc>
        <w:tc>
          <w:tcPr>
            <w:tcW w:w="961" w:type="dxa"/>
            <w:vAlign w:val="top"/>
          </w:tcPr>
          <w:p>
            <w:pPr>
              <w:snapToGrid w:val="0"/>
              <w:jc w:val="center"/>
              <w:rPr>
                <w:rFonts w:hint="default" w:ascii="Times New Roman" w:hAnsi="Times New Roman" w:eastAsia="仿宋" w:cs="Times New Roman"/>
                <w:kern w:val="0"/>
                <w:sz w:val="24"/>
                <w:szCs w:val="32"/>
                <w:lang w:val="en-US" w:eastAsia="zh-CN"/>
              </w:rPr>
            </w:pP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138.51</w:t>
            </w: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138.51</w:t>
            </w: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7.70</w:t>
            </w: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土地及拆迁费用</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tcPr>
          <w:p>
            <w:pPr>
              <w:snapToGrid w:val="0"/>
              <w:jc w:val="center"/>
              <w:rPr>
                <w:rFonts w:hint="default"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建设管理费</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45.26</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45.26</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tcPr>
          <w:p>
            <w:pPr>
              <w:snapToGrid w:val="0"/>
              <w:jc w:val="center"/>
              <w:rPr>
                <w:rFonts w:hint="default"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2.1</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建设单位管理费</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财建{2016}504号文*0.6</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17.17</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tcPr>
          <w:p>
            <w:pPr>
              <w:snapToGrid w:val="0"/>
              <w:jc w:val="center"/>
              <w:rPr>
                <w:rFonts w:hint="default"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2.2</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工程监理费</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晋建监协【2018】9号文*0.5</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23.82</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tcPr>
          <w:p>
            <w:pPr>
              <w:snapToGrid w:val="0"/>
              <w:jc w:val="center"/>
              <w:rPr>
                <w:rFonts w:hint="default"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2.3</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招标代理费</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差额定率累进法*0.5</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4.28</w:t>
            </w: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vAlign w:val="top"/>
          </w:tcPr>
          <w:p>
            <w:pPr>
              <w:snapToGrid w:val="0"/>
              <w:jc w:val="center"/>
              <w:rPr>
                <w:rFonts w:hint="default" w:ascii="Times New Roman" w:hAnsi="Times New Roman" w:eastAsia="仿宋" w:cs="Times New Roman"/>
                <w:kern w:val="0"/>
                <w:sz w:val="24"/>
                <w:szCs w:val="32"/>
                <w:lang w:val="en-US" w:eastAsia="zh-CN"/>
              </w:rPr>
            </w:pPr>
          </w:p>
        </w:tc>
        <w:tc>
          <w:tcPr>
            <w:tcW w:w="0" w:type="auto"/>
          </w:tcPr>
          <w:p>
            <w:pPr>
              <w:snapToGrid w:val="0"/>
              <w:jc w:val="center"/>
              <w:rPr>
                <w:rFonts w:hint="default"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可行性研究费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合同价</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3.50</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3.50</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勘察设计费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51.17</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51.17</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4.1</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工程勘察费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建筑安装工程费用×0.3%</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3.73</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4.2</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工程设计费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47.44</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4.2.1</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设计费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合同价</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43.93</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4.2.2</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竣工图编制费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基本设计费*8%</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3.51</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全过程造价咨询费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建筑安装工程费用×8%</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9.93</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9.93</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6</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环境影响评价费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市场价</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3.00</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3.00</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7</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场地准备及临时设施费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建筑安装工程费用×1.2%</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14.90</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14.90</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工程保险费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建筑安装工程费用×0.6%</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0.75</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0.75</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地质灾害危险性评估费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市场价</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10.00</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10.00</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10</w:t>
            </w: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城市基础配套设施费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免</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第三部分预备费</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[(一)+(二)]×5%</w:t>
            </w: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85.63</w:t>
            </w: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85.63</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4.76</w:t>
            </w: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top"/>
          </w:tcPr>
          <w:p>
            <w:pPr>
              <w:snapToGrid w:val="0"/>
              <w:jc w:val="center"/>
              <w:rPr>
                <w:rFonts w:hint="eastAsia" w:ascii="Times New Roman" w:hAnsi="Times New Roman" w:eastAsia="仿宋" w:cs="Times New Roman"/>
                <w:kern w:val="0"/>
                <w:sz w:val="24"/>
                <w:szCs w:val="32"/>
                <w:lang w:val="en-US" w:eastAsia="zh-CN"/>
              </w:rPr>
            </w:pPr>
          </w:p>
        </w:tc>
        <w:tc>
          <w:tcPr>
            <w:tcW w:w="1704" w:type="dxa"/>
            <w:vAlign w:val="top"/>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总投资</w:t>
            </w:r>
          </w:p>
        </w:tc>
        <w:tc>
          <w:tcPr>
            <w:tcW w:w="3037" w:type="dxa"/>
            <w:vAlign w:val="top"/>
          </w:tcPr>
          <w:p>
            <w:pPr>
              <w:snapToGrid w:val="0"/>
              <w:jc w:val="center"/>
              <w:rPr>
                <w:rFonts w:hint="eastAsia" w:ascii="Times New Roman" w:hAnsi="Times New Roman" w:eastAsia="仿宋" w:cs="Times New Roman"/>
                <w:kern w:val="0"/>
                <w:sz w:val="24"/>
                <w:szCs w:val="32"/>
                <w:lang w:val="en-US" w:eastAsia="zh-CN"/>
              </w:rPr>
            </w:pPr>
          </w:p>
        </w:tc>
        <w:tc>
          <w:tcPr>
            <w:tcW w:w="961" w:type="dxa"/>
            <w:vAlign w:val="top"/>
          </w:tcPr>
          <w:p>
            <w:pPr>
              <w:snapToGrid w:val="0"/>
              <w:jc w:val="center"/>
              <w:rPr>
                <w:rFonts w:hint="eastAsia" w:ascii="Times New Roman" w:hAnsi="Times New Roman" w:eastAsia="仿宋" w:cs="Times New Roman"/>
                <w:kern w:val="0"/>
                <w:sz w:val="24"/>
                <w:szCs w:val="32"/>
                <w:lang w:val="en-US" w:eastAsia="zh-CN"/>
              </w:rPr>
            </w:pPr>
          </w:p>
        </w:tc>
        <w:tc>
          <w:tcPr>
            <w:tcW w:w="109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1798.17</w:t>
            </w:r>
          </w:p>
        </w:tc>
        <w:tc>
          <w:tcPr>
            <w:tcW w:w="1040"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100.00</w:t>
            </w:r>
          </w:p>
        </w:tc>
        <w:tc>
          <w:tcPr>
            <w:tcW w:w="1129" w:type="dxa"/>
            <w:vAlign w:val="top"/>
          </w:tcPr>
          <w:p>
            <w:pPr>
              <w:snapToGrid w:val="0"/>
              <w:jc w:val="center"/>
              <w:rPr>
                <w:rFonts w:hint="default" w:ascii="Times New Roman" w:hAnsi="Times New Roman" w:eastAsia="仿宋" w:cs="Times New Roman"/>
                <w:kern w:val="0"/>
                <w:sz w:val="24"/>
                <w:szCs w:val="32"/>
                <w:lang w:val="en-US" w:eastAsia="zh-CN"/>
              </w:rPr>
            </w:pPr>
          </w:p>
        </w:tc>
        <w:tc>
          <w:tcPr>
            <w:tcW w:w="921" w:type="dxa"/>
            <w:vAlign w:val="top"/>
          </w:tcPr>
          <w:p>
            <w:pPr>
              <w:snapToGrid w:val="0"/>
              <w:jc w:val="center"/>
              <w:rPr>
                <w:rFonts w:hint="default" w:ascii="Times New Roman" w:hAnsi="Times New Roman" w:eastAsia="仿宋" w:cs="Times New Roman"/>
                <w:kern w:val="0"/>
                <w:sz w:val="24"/>
                <w:szCs w:val="32"/>
                <w:lang w:val="en-US" w:eastAsia="zh-CN"/>
              </w:rPr>
            </w:pPr>
          </w:p>
        </w:tc>
        <w:tc>
          <w:tcPr>
            <w:tcW w:w="996"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9362.76</w:t>
            </w:r>
          </w:p>
        </w:tc>
        <w:tc>
          <w:tcPr>
            <w:tcW w:w="1145" w:type="dxa"/>
            <w:vAlign w:val="top"/>
          </w:tcPr>
          <w:p>
            <w:pPr>
              <w:snapToGrid w:val="0"/>
              <w:jc w:val="center"/>
              <w:rPr>
                <w:rFonts w:hint="default" w:ascii="Times New Roman" w:hAnsi="Times New Roman" w:eastAsia="仿宋" w:cs="Times New Roman"/>
                <w:kern w:val="0"/>
                <w:sz w:val="24"/>
                <w:szCs w:val="32"/>
                <w:lang w:val="en-US" w:eastAsia="zh-CN"/>
              </w:rPr>
            </w:pPr>
          </w:p>
        </w:tc>
        <w:tc>
          <w:tcPr>
            <w:tcW w:w="1317" w:type="dxa"/>
            <w:vAlign w:val="top"/>
          </w:tcPr>
          <w:p>
            <w:pPr>
              <w:snapToGrid w:val="0"/>
              <w:jc w:val="center"/>
              <w:rPr>
                <w:rFonts w:hint="default" w:ascii="Times New Roman" w:hAnsi="Times New Roman" w:eastAsia="仿宋" w:cs="Times New Roman"/>
                <w:kern w:val="0"/>
                <w:sz w:val="24"/>
                <w:szCs w:val="32"/>
                <w:lang w:val="en-US" w:eastAsia="zh-CN"/>
              </w:rPr>
            </w:pPr>
          </w:p>
        </w:tc>
      </w:tr>
    </w:tbl>
    <w:p>
      <w:pPr>
        <w:pStyle w:val="7"/>
        <w:rPr>
          <w:rFonts w:hint="eastAsia"/>
          <w:b/>
          <w:bCs/>
          <w:lang w:eastAsia="zh-CN"/>
        </w:rPr>
        <w:sectPr>
          <w:pgSz w:w="16838" w:h="11906" w:orient="landscape"/>
          <w:pgMar w:top="1800" w:right="1440" w:bottom="1800" w:left="1440" w:header="851" w:footer="992" w:gutter="0"/>
          <w:pgNumType w:fmt="decimal"/>
          <w:cols w:space="425" w:num="1"/>
          <w:docGrid w:type="lines" w:linePitch="312" w:charSpace="0"/>
        </w:sectPr>
      </w:pPr>
    </w:p>
    <w:p>
      <w:pPr>
        <w:numPr>
          <w:ilvl w:val="0"/>
          <w:numId w:val="0"/>
        </w:numPr>
        <w:spacing w:line="500" w:lineRule="exact"/>
        <w:ind w:firstLine="562" w:firstLineChars="200"/>
        <w:rPr>
          <w:rFonts w:hint="default"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2、项目预算资金到位情况</w:t>
      </w:r>
    </w:p>
    <w:p>
      <w:pPr>
        <w:spacing w:line="500" w:lineRule="exact"/>
        <w:ind w:firstLine="560" w:firstLineChars="200"/>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2021年，古县财政下达项目资金466.01414万元。</w:t>
      </w:r>
    </w:p>
    <w:p>
      <w:pPr>
        <w:spacing w:line="500" w:lineRule="exact"/>
        <w:ind w:firstLine="560" w:firstLineChars="200"/>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2022年7月14日，《古县财政局关于下达2022年省级财政殡仪馆建设补助资金的通知》（古财社〔2022〕0043号）文件下达古县民政局560.00万元。</w:t>
      </w:r>
    </w:p>
    <w:p>
      <w:pPr>
        <w:spacing w:line="500" w:lineRule="exact"/>
        <w:ind w:firstLine="560" w:firstLineChars="200"/>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2022年古县财政下达古县民政局县级配套资金15.5024万元。</w:t>
      </w:r>
    </w:p>
    <w:p>
      <w:pPr>
        <w:spacing w:line="500" w:lineRule="exact"/>
        <w:ind w:firstLine="562" w:firstLineChars="200"/>
        <w:rPr>
          <w:rFonts w:hint="eastAsia"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3、资金支付</w:t>
      </w:r>
    </w:p>
    <w:p>
      <w:pPr>
        <w:spacing w:line="500" w:lineRule="exact"/>
        <w:ind w:firstLine="560" w:firstLineChars="200"/>
        <w:rPr>
          <w:rFonts w:hint="default" w:ascii="Times New Roman" w:hAnsi="Times New Roman" w:eastAsia="仿宋" w:cs="Times New Roman"/>
          <w:sz w:val="28"/>
          <w:szCs w:val="24"/>
          <w:lang w:val="en-US" w:eastAsia="zh-CN"/>
        </w:rPr>
      </w:pPr>
      <w:bookmarkStart w:id="16" w:name="_Toc7255"/>
      <w:r>
        <w:rPr>
          <w:rFonts w:hint="eastAsia" w:ascii="Times New Roman" w:hAnsi="Times New Roman" w:eastAsia="仿宋" w:cs="Times New Roman"/>
          <w:sz w:val="28"/>
          <w:szCs w:val="24"/>
          <w:lang w:val="en-US" w:eastAsia="zh-CN"/>
        </w:rPr>
        <w:t>截止2022年12月31日，殡仪馆建设改造补助资金项目共计到位1041.51654万元；截止2022年12月31日，殡仪馆建设改造补助资金项目共计支出1041.51654万元（其中2021年资金</w:t>
      </w:r>
      <w:r>
        <w:rPr>
          <w:rFonts w:hint="eastAsia" w:ascii="Times New Roman" w:hAnsi="Times New Roman" w:eastAsia="仿宋" w:cs="Times New Roman"/>
          <w:b w:val="0"/>
          <w:bCs w:val="0"/>
          <w:sz w:val="28"/>
          <w:szCs w:val="24"/>
          <w:lang w:val="en-US" w:eastAsia="zh-CN"/>
        </w:rPr>
        <w:t>466.01414万元，2022年资金575.5024万元</w:t>
      </w:r>
      <w:r>
        <w:rPr>
          <w:rFonts w:hint="eastAsia" w:ascii="Times New Roman" w:hAnsi="Times New Roman" w:eastAsia="仿宋" w:cs="Times New Roman"/>
          <w:sz w:val="28"/>
          <w:szCs w:val="24"/>
          <w:lang w:val="en-US" w:eastAsia="zh-CN"/>
        </w:rPr>
        <w:t>）。</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2021年项目资金支付情况见下表1-2，2022年项目资金支付情况见下表1-3。</w:t>
      </w:r>
    </w:p>
    <w:p>
      <w:pPr>
        <w:spacing w:line="500" w:lineRule="exact"/>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表1-2 2021年项目资金支付情况表</w:t>
      </w:r>
    </w:p>
    <w:tbl>
      <w:tblPr>
        <w:tblStyle w:val="21"/>
        <w:tblW w:w="849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153"/>
        <w:gridCol w:w="5472"/>
        <w:gridCol w:w="1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序号</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支付项目名称</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支付金额（元）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支付建设用地土地有偿使用费</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139622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支付地质灾害评估服务费</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134300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项目岩土工程勘察费</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185092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工程量清单和招标控制价编制</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34600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环境评价服务费</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6</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项目环境质量检测费</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7</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建设项目规划选址服务费</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公墓及殡仪馆建设项目规划及单体方案设计30％</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6</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公墓及殡仪馆建设项目规划及单体方案设计70％</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54200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10</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公墓及殡仪馆建设项目室外工程设计20％</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28600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公墓及殡仪馆建设项目室外工程设计40％</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57100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建设项目设计20％第一笔款</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建设项目设计20％初设设计</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14</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第一批次建设用地土地征收土地现状调查报告服务费</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15</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第一批次建设用地土地征收社会稳定风险评估报告服务费</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16</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岳阳镇贤腰村土地征收补偿款</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1728075.16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17</w:t>
            </w:r>
          </w:p>
        </w:tc>
        <w:tc>
          <w:tcPr>
            <w:tcW w:w="5472"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三合镇贾村土地征收补偿款</w:t>
            </w: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1942152.24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1153"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合计</w:t>
            </w:r>
          </w:p>
        </w:tc>
        <w:tc>
          <w:tcPr>
            <w:tcW w:w="5472" w:type="dxa"/>
            <w:shd w:val="clear" w:color="auto" w:fill="auto"/>
            <w:vAlign w:val="center"/>
          </w:tcPr>
          <w:p>
            <w:pPr>
              <w:snapToGrid w:val="0"/>
              <w:jc w:val="center"/>
              <w:rPr>
                <w:rFonts w:hint="default" w:ascii="Times New Roman" w:hAnsi="Times New Roman" w:eastAsia="仿宋" w:cs="Times New Roman"/>
                <w:kern w:val="0"/>
                <w:sz w:val="24"/>
                <w:szCs w:val="32"/>
                <w:lang w:val="en-US" w:eastAsia="zh-CN"/>
              </w:rPr>
            </w:pPr>
          </w:p>
        </w:tc>
        <w:tc>
          <w:tcPr>
            <w:tcW w:w="1874" w:type="dxa"/>
            <w:shd w:val="clear" w:color="auto" w:fill="auto"/>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4660141.4</w:t>
            </w:r>
          </w:p>
        </w:tc>
      </w:tr>
    </w:tbl>
    <w:p>
      <w:pPr>
        <w:spacing w:line="500" w:lineRule="exact"/>
        <w:jc w:val="center"/>
        <w:rPr>
          <w:rFonts w:hint="default"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表1-3 2022年项目资金支付情况表</w:t>
      </w:r>
    </w:p>
    <w:tbl>
      <w:tblPr>
        <w:tblStyle w:val="21"/>
        <w:tblW w:w="8457"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221"/>
        <w:gridCol w:w="1440"/>
        <w:gridCol w:w="1860"/>
        <w:gridCol w:w="2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3" w:hRule="atLeast"/>
        </w:trPr>
        <w:tc>
          <w:tcPr>
            <w:tcW w:w="2221" w:type="dxa"/>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支出时间</w:t>
            </w:r>
          </w:p>
        </w:tc>
        <w:tc>
          <w:tcPr>
            <w:tcW w:w="1440" w:type="dxa"/>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支出金额（元）</w:t>
            </w:r>
          </w:p>
        </w:tc>
        <w:tc>
          <w:tcPr>
            <w:tcW w:w="1860" w:type="dxa"/>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支出内容</w:t>
            </w:r>
          </w:p>
        </w:tc>
        <w:tc>
          <w:tcPr>
            <w:tcW w:w="2936" w:type="dxa"/>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22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2022年7月19日</w:t>
            </w: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2680000</w:t>
            </w:r>
          </w:p>
        </w:tc>
        <w:tc>
          <w:tcPr>
            <w:tcW w:w="186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30%工程款</w:t>
            </w:r>
          </w:p>
        </w:tc>
        <w:tc>
          <w:tcPr>
            <w:tcW w:w="2936"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天太建设集团有限公司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222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2022年7月19日</w:t>
            </w: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744052</w:t>
            </w:r>
          </w:p>
        </w:tc>
        <w:tc>
          <w:tcPr>
            <w:tcW w:w="186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30%工程款</w:t>
            </w:r>
          </w:p>
        </w:tc>
        <w:tc>
          <w:tcPr>
            <w:tcW w:w="2936"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天太建设集团有限公司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3" w:hRule="atLeast"/>
        </w:trPr>
        <w:tc>
          <w:tcPr>
            <w:tcW w:w="222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2022年7月19日</w:t>
            </w: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866400</w:t>
            </w:r>
          </w:p>
        </w:tc>
        <w:tc>
          <w:tcPr>
            <w:tcW w:w="186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30%设备款</w:t>
            </w:r>
          </w:p>
        </w:tc>
        <w:tc>
          <w:tcPr>
            <w:tcW w:w="2936"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山西永安殡仪设备制造有限公司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2022年10月18日</w:t>
            </w: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400000</w:t>
            </w:r>
          </w:p>
        </w:tc>
        <w:tc>
          <w:tcPr>
            <w:tcW w:w="186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c>
          <w:tcPr>
            <w:tcW w:w="2936"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天太建设集团有限公司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trPr>
        <w:tc>
          <w:tcPr>
            <w:tcW w:w="222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2022年10月18日</w:t>
            </w: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584426.7</w:t>
            </w:r>
          </w:p>
        </w:tc>
        <w:tc>
          <w:tcPr>
            <w:tcW w:w="186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c>
          <w:tcPr>
            <w:tcW w:w="2936"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天太建设集团有限公司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222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2022年12月14日</w:t>
            </w: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133921.3</w:t>
            </w:r>
          </w:p>
        </w:tc>
        <w:tc>
          <w:tcPr>
            <w:tcW w:w="186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监理费</w:t>
            </w:r>
          </w:p>
        </w:tc>
        <w:tc>
          <w:tcPr>
            <w:tcW w:w="2936"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黑龙江省云河建筑工程监理有限公司山西分公司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2022年12月14日</w:t>
            </w: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191200</w:t>
            </w:r>
          </w:p>
        </w:tc>
        <w:tc>
          <w:tcPr>
            <w:tcW w:w="186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变压器安装</w:t>
            </w:r>
          </w:p>
        </w:tc>
        <w:tc>
          <w:tcPr>
            <w:tcW w:w="2936"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山东永固安装工程有限公司介休分公司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222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2022年省级资金合计</w:t>
            </w: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5600000</w:t>
            </w:r>
          </w:p>
        </w:tc>
        <w:tc>
          <w:tcPr>
            <w:tcW w:w="1860"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c>
          <w:tcPr>
            <w:tcW w:w="2936"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221" w:type="dxa"/>
            <w:vMerge w:val="restart"/>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2022年县级配套</w:t>
            </w: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120024</w:t>
            </w:r>
          </w:p>
        </w:tc>
        <w:tc>
          <w:tcPr>
            <w:tcW w:w="186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植被恢复费</w:t>
            </w:r>
          </w:p>
        </w:tc>
        <w:tc>
          <w:tcPr>
            <w:tcW w:w="2936"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2221" w:type="dxa"/>
            <w:vMerge w:val="continue"/>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c>
          <w:tcPr>
            <w:tcW w:w="144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35000</w:t>
            </w:r>
          </w:p>
        </w:tc>
        <w:tc>
          <w:tcPr>
            <w:tcW w:w="186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可研报告</w:t>
            </w:r>
          </w:p>
        </w:tc>
        <w:tc>
          <w:tcPr>
            <w:tcW w:w="2936"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1" w:type="dxa"/>
            <w:shd w:val="clear" w:color="auto" w:fill="auto"/>
            <w:noWrap/>
            <w:vAlign w:val="bottom"/>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支出合计</w:t>
            </w:r>
          </w:p>
        </w:tc>
        <w:tc>
          <w:tcPr>
            <w:tcW w:w="1440" w:type="dxa"/>
            <w:shd w:val="clear" w:color="auto" w:fill="auto"/>
            <w:noWrap/>
            <w:vAlign w:val="bottom"/>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5755024.00</w:t>
            </w:r>
          </w:p>
        </w:tc>
        <w:tc>
          <w:tcPr>
            <w:tcW w:w="1860" w:type="dxa"/>
            <w:shd w:val="clear" w:color="auto" w:fill="auto"/>
            <w:noWrap/>
            <w:vAlign w:val="bottom"/>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w:t>
            </w:r>
          </w:p>
        </w:tc>
        <w:tc>
          <w:tcPr>
            <w:tcW w:w="2936" w:type="dxa"/>
            <w:shd w:val="clear" w:color="auto" w:fill="auto"/>
            <w:noWrap/>
            <w:vAlign w:val="bottom"/>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w:t>
            </w:r>
          </w:p>
        </w:tc>
      </w:tr>
    </w:tbl>
    <w:p>
      <w:pPr>
        <w:pStyle w:val="3"/>
        <w:spacing w:before="156" w:beforeLines="50" w:after="156" w:afterLines="50" w:line="500" w:lineRule="exact"/>
        <w:ind w:firstLine="643" w:firstLineChars="200"/>
        <w:rPr>
          <w:rFonts w:ascii="仿宋" w:hAnsi="仿宋" w:eastAsia="仿宋"/>
        </w:rPr>
      </w:pPr>
      <w:r>
        <w:rPr>
          <w:rFonts w:ascii="仿宋" w:hAnsi="仿宋" w:eastAsia="仿宋"/>
        </w:rPr>
        <w:t>（三）项目立项依据</w:t>
      </w:r>
      <w:bookmarkEnd w:id="16"/>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1、《中华人民共和国民政部民政事业发展第十四个五年规划（2020-2025）》；</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2、《中华人民共和国城乡规划法》（2019年修正）；</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3、《山西省城乡规划管理条例）（2010年）；</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4、《殡葬管理条例》（2012年修正本）；</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5、《山西省殡葬管理办法》（2000年）；</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6、《山西省“十四五”民政事业发展规划》（2020-2025）；</w:t>
      </w:r>
    </w:p>
    <w:p>
      <w:pPr>
        <w:pStyle w:val="52"/>
        <w:numPr>
          <w:ilvl w:val="0"/>
          <w:numId w:val="0"/>
        </w:numPr>
        <w:spacing w:line="500" w:lineRule="exact"/>
        <w:ind w:firstLine="560" w:firstLineChars="200"/>
        <w:jc w:val="both"/>
        <w:rPr>
          <w:rFonts w:ascii="Times New Roman" w:hAnsi="Times New Roman" w:eastAsia="仿宋"/>
          <w:snapToGrid w:val="0"/>
          <w:sz w:val="28"/>
          <w:szCs w:val="28"/>
        </w:rPr>
      </w:pPr>
      <w:r>
        <w:rPr>
          <w:rFonts w:hint="eastAsia" w:ascii="Times New Roman" w:hAnsi="Times New Roman" w:eastAsia="仿宋" w:cs="Times New Roman"/>
          <w:sz w:val="28"/>
          <w:szCs w:val="24"/>
          <w:lang w:val="en-US" w:eastAsia="zh-CN"/>
        </w:rPr>
        <w:t>7、《关于进一步深化殡葬改革促进殡葬事业科学发展的指导意见》（民发〔2009〕170号）</w:t>
      </w:r>
      <w:r>
        <w:rPr>
          <w:rFonts w:ascii="Times New Roman" w:hAnsi="Times New Roman" w:eastAsia="仿宋"/>
          <w:snapToGrid w:val="0"/>
          <w:sz w:val="28"/>
          <w:szCs w:val="28"/>
        </w:rPr>
        <w:t>。</w:t>
      </w:r>
    </w:p>
    <w:p>
      <w:pPr>
        <w:pStyle w:val="3"/>
        <w:spacing w:before="156" w:beforeLines="50" w:after="156" w:afterLines="50" w:line="500" w:lineRule="exact"/>
        <w:ind w:firstLine="643" w:firstLineChars="200"/>
        <w:rPr>
          <w:rFonts w:ascii="仿宋" w:hAnsi="仿宋" w:eastAsia="仿宋"/>
        </w:rPr>
      </w:pPr>
      <w:bookmarkStart w:id="17" w:name="_Toc514537331"/>
      <w:bookmarkStart w:id="18" w:name="_Toc156"/>
      <w:r>
        <w:rPr>
          <w:rFonts w:ascii="仿宋" w:hAnsi="仿宋" w:eastAsia="仿宋"/>
        </w:rPr>
        <w:t>（四）项目绩效目标</w:t>
      </w:r>
      <w:bookmarkEnd w:id="17"/>
      <w:bookmarkEnd w:id="18"/>
    </w:p>
    <w:p>
      <w:pPr>
        <w:spacing w:line="500" w:lineRule="exact"/>
        <w:ind w:firstLine="562"/>
        <w:jc w:val="both"/>
        <w:rPr>
          <w:rFonts w:ascii="仿宋" w:hAnsi="仿宋" w:eastAsia="仿宋" w:cs="仿宋"/>
          <w:b/>
          <w:color w:val="000000"/>
          <w:sz w:val="28"/>
          <w:szCs w:val="28"/>
        </w:rPr>
      </w:pPr>
      <w:bookmarkStart w:id="19" w:name="_Toc514537332"/>
      <w:r>
        <w:rPr>
          <w:rFonts w:hint="eastAsia" w:ascii="仿宋" w:hAnsi="仿宋" w:eastAsia="仿宋" w:cs="仿宋"/>
          <w:b/>
          <w:color w:val="000000"/>
          <w:sz w:val="28"/>
          <w:szCs w:val="28"/>
        </w:rPr>
        <w:t>1、项目总目标</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殡仪馆建设是配合我国殡葬业的不断改革、促进社会文明及提升殡葬文化的具体行动。可以促使殡葬事业逐步走向规范化、合理，避免乱葬；也有利于整体提升旅游城市的形象和市场竞争力。</w:t>
      </w:r>
    </w:p>
    <w:p>
      <w:pPr>
        <w:spacing w:line="500" w:lineRule="exact"/>
        <w:ind w:firstLine="562"/>
        <w:jc w:val="both"/>
        <w:rPr>
          <w:rFonts w:ascii="仿宋" w:hAnsi="仿宋" w:eastAsia="仿宋" w:cs="仿宋"/>
          <w:b/>
          <w:color w:val="000000"/>
          <w:sz w:val="28"/>
          <w:szCs w:val="28"/>
        </w:rPr>
      </w:pPr>
      <w:r>
        <w:rPr>
          <w:rFonts w:hint="eastAsia" w:ascii="仿宋" w:hAnsi="仿宋" w:eastAsia="仿宋" w:cs="仿宋"/>
          <w:b/>
          <w:color w:val="000000"/>
          <w:sz w:val="28"/>
          <w:szCs w:val="28"/>
        </w:rPr>
        <w:t>2、项目年度目标</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实施内容完成率100%：总建筑面积1920.56m²。主要建设内容：业务办公楼245.82m²、综合楼1612.74m²、其他附属设施62m²、设备购置费、室外配套工程、城市基础配套设施费等。</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质量控制：严格分项质量控制，各分项验收合格；</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完成时间：2022年1月19日，古县民政局与天太建设集团有限公司签订《建设工程施工合同》，计划开竣工时间为2022年1月20日至2022年12月20日；</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成本控制：各项成本有效控制，财政可承受；合同价≤预算价；结算价≤合同价11413508.70元；</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土地资源保护：古县目前农村殡葬行业仍以坟墓为主，毁林造墓、毁田造墓屡有发生，“死人与活人争地”问题非常突出。实施殡仪馆建设项目是保护有限的土地资源的需要；</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移风易俗改进殡葬习俗：破除丧葬旧俗和封建迷信，实行葬法与葬礼的改革，采取不占地或少占地的骨灰处理方式，有利于树立科学、文明、健康的生活方式，简化丧事，减轻群众办丧负担，提高人们的生活水平和质量。殡仪馆具有地域优势、国家政策优势和发展潜力。殡葬改革是党和政府一贯倡导的改革取向，是建设节约型社会，是积极推进新农村建设，实现经济可持续发展的一项重要工作。</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生态效益：有条件的实行集中墓葬、由修墓变植树，由坟包变树林，由滥埋乱葬变统一安葬，有利于加强环境保护，改善生态环境。通过加强管理，还可减少因拜祭引起的山火，保护山林；更加有利于古县生态旅游的发展；</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可持续影响：项目后续管理体制机制健全，管理责任落实；</w:t>
      </w:r>
    </w:p>
    <w:p>
      <w:pPr>
        <w:spacing w:line="500" w:lineRule="exact"/>
        <w:ind w:firstLine="560" w:firstLineChars="200"/>
        <w:rPr>
          <w:rFonts w:ascii="Times New Roman" w:hAnsi="Times New Roman" w:eastAsia="仿宋"/>
          <w:color w:val="FF0000"/>
          <w:sz w:val="28"/>
          <w:szCs w:val="28"/>
          <w:highlight w:val="yellow"/>
        </w:rPr>
      </w:pPr>
      <w:r>
        <w:rPr>
          <w:rFonts w:hint="eastAsia" w:ascii="Times New Roman" w:hAnsi="Times New Roman" w:eastAsia="仿宋" w:cs="Times New Roman"/>
          <w:sz w:val="28"/>
          <w:szCs w:val="24"/>
          <w:lang w:val="en-US" w:eastAsia="zh-CN"/>
        </w:rPr>
        <w:t>服务对象满意度：管理方满意度≥90%；服务对象满意度≥90%</w:t>
      </w:r>
      <w:r>
        <w:rPr>
          <w:rFonts w:ascii="Times New Roman" w:hAnsi="Times New Roman" w:eastAsia="仿宋"/>
          <w:sz w:val="28"/>
          <w:szCs w:val="28"/>
        </w:rPr>
        <w:t>。</w:t>
      </w:r>
    </w:p>
    <w:p>
      <w:pPr>
        <w:pStyle w:val="2"/>
        <w:spacing w:before="312" w:beforeLines="100" w:after="312" w:afterLines="100" w:line="500" w:lineRule="exact"/>
        <w:rPr>
          <w:rFonts w:ascii="Times New Roman" w:hAnsi="Times New Roman" w:eastAsia="黑体"/>
          <w:b w:val="0"/>
          <w:sz w:val="32"/>
          <w:szCs w:val="32"/>
        </w:rPr>
      </w:pPr>
      <w:bookmarkStart w:id="20" w:name="_Toc31221"/>
      <w:r>
        <w:rPr>
          <w:rFonts w:ascii="Times New Roman" w:hAnsi="Times New Roman" w:eastAsia="黑体"/>
          <w:b w:val="0"/>
          <w:sz w:val="32"/>
          <w:szCs w:val="32"/>
        </w:rPr>
        <w:t>二、项目组织实施情况</w:t>
      </w:r>
      <w:bookmarkEnd w:id="19"/>
      <w:bookmarkEnd w:id="20"/>
    </w:p>
    <w:p>
      <w:pPr>
        <w:pStyle w:val="3"/>
        <w:spacing w:before="156" w:beforeLines="50" w:after="156" w:afterLines="50" w:line="500" w:lineRule="exact"/>
        <w:ind w:firstLine="643" w:firstLineChars="200"/>
        <w:rPr>
          <w:rFonts w:ascii="仿宋" w:hAnsi="仿宋" w:eastAsia="仿宋"/>
        </w:rPr>
      </w:pPr>
      <w:bookmarkStart w:id="21" w:name="_Toc3869"/>
      <w:bookmarkStart w:id="22" w:name="_Toc514537333"/>
      <w:r>
        <w:rPr>
          <w:rFonts w:ascii="仿宋" w:hAnsi="仿宋" w:eastAsia="仿宋"/>
        </w:rPr>
        <w:t>（一）项目组织情况</w:t>
      </w:r>
      <w:bookmarkEnd w:id="21"/>
    </w:p>
    <w:p>
      <w:pPr>
        <w:spacing w:line="500" w:lineRule="exact"/>
        <w:ind w:firstLine="560" w:firstLineChars="200"/>
        <w:jc w:val="both"/>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项目主管部门：</w:t>
      </w:r>
      <w:r>
        <w:rPr>
          <w:rFonts w:hint="eastAsia" w:ascii="Times New Roman" w:hAnsi="Times New Roman" w:eastAsia="仿宋" w:cs="Times New Roman"/>
          <w:color w:val="auto"/>
          <w:sz w:val="28"/>
          <w:szCs w:val="28"/>
          <w:lang w:eastAsia="zh-CN"/>
        </w:rPr>
        <w:t>古县民政局</w:t>
      </w:r>
      <w:r>
        <w:rPr>
          <w:rFonts w:hint="eastAsia" w:ascii="Times New Roman" w:hAnsi="Times New Roman" w:eastAsia="仿宋" w:cs="Times New Roman"/>
          <w:color w:val="auto"/>
          <w:sz w:val="28"/>
          <w:szCs w:val="28"/>
        </w:rPr>
        <w:t>，主要负责统筹协调项目实施、验收和监督管理工作；</w:t>
      </w:r>
    </w:p>
    <w:p>
      <w:pPr>
        <w:spacing w:line="500" w:lineRule="exact"/>
        <w:ind w:firstLine="560" w:firstLineChars="200"/>
        <w:jc w:val="both"/>
        <w:rPr>
          <w:rFonts w:ascii="Times New Roman" w:hAnsi="Times New Roman" w:eastAsia="仿宋" w:cs="Times New Roman"/>
          <w:sz w:val="28"/>
          <w:szCs w:val="28"/>
        </w:rPr>
      </w:pPr>
      <w:r>
        <w:rPr>
          <w:rFonts w:hint="eastAsia" w:ascii="Times New Roman" w:hAnsi="Times New Roman" w:eastAsia="仿宋" w:cs="Times New Roman"/>
          <w:color w:val="auto"/>
          <w:sz w:val="28"/>
          <w:szCs w:val="28"/>
        </w:rPr>
        <w:t>项目实施部门：</w:t>
      </w:r>
      <w:r>
        <w:rPr>
          <w:rFonts w:hint="eastAsia" w:ascii="Times New Roman" w:hAnsi="Times New Roman" w:eastAsia="仿宋" w:cs="Times New Roman"/>
          <w:color w:val="auto"/>
          <w:sz w:val="28"/>
          <w:szCs w:val="28"/>
          <w:lang w:eastAsia="zh-CN"/>
        </w:rPr>
        <w:t>古县民政局</w:t>
      </w:r>
      <w:r>
        <w:rPr>
          <w:rFonts w:hint="eastAsia" w:ascii="Times New Roman" w:hAnsi="Times New Roman" w:eastAsia="仿宋" w:cs="Times New Roman"/>
          <w:color w:val="auto"/>
          <w:sz w:val="28"/>
          <w:szCs w:val="28"/>
        </w:rPr>
        <w:t>，主要负责项目</w:t>
      </w:r>
      <w:r>
        <w:rPr>
          <w:rFonts w:hint="eastAsia" w:ascii="Times New Roman" w:hAnsi="Times New Roman" w:eastAsia="仿宋" w:cs="Times New Roman"/>
          <w:color w:val="auto"/>
          <w:sz w:val="28"/>
          <w:szCs w:val="28"/>
          <w:lang w:val="en-US" w:eastAsia="zh-CN"/>
        </w:rPr>
        <w:t>申请、</w:t>
      </w:r>
      <w:r>
        <w:rPr>
          <w:rFonts w:hint="eastAsia" w:ascii="Times New Roman" w:hAnsi="Times New Roman" w:eastAsia="仿宋" w:cs="Times New Roman"/>
          <w:color w:val="auto"/>
          <w:sz w:val="28"/>
          <w:szCs w:val="28"/>
        </w:rPr>
        <w:t>设立，预算资金的申请，项目资金的下拨。开展建设工作，督促</w:t>
      </w:r>
      <w:r>
        <w:rPr>
          <w:rFonts w:hint="eastAsia" w:ascii="Times New Roman" w:hAnsi="Times New Roman" w:eastAsia="仿宋" w:cs="Times New Roman"/>
          <w:color w:val="auto"/>
          <w:sz w:val="28"/>
          <w:szCs w:val="28"/>
          <w:lang w:val="en-US" w:eastAsia="zh-CN"/>
        </w:rPr>
        <w:t>施工单位</w:t>
      </w:r>
      <w:r>
        <w:rPr>
          <w:rFonts w:hint="eastAsia" w:ascii="Times New Roman" w:hAnsi="Times New Roman" w:eastAsia="仿宋" w:cs="Times New Roman"/>
          <w:color w:val="auto"/>
          <w:sz w:val="28"/>
          <w:szCs w:val="28"/>
        </w:rPr>
        <w:t>按时完成建设任务和工程验收。</w:t>
      </w:r>
    </w:p>
    <w:p>
      <w:pPr>
        <w:spacing w:line="500" w:lineRule="exact"/>
        <w:ind w:firstLine="560" w:firstLineChars="200"/>
        <w:rPr>
          <w:rFonts w:ascii="Times New Roman" w:hAnsi="Times New Roman" w:eastAsia="仿宋"/>
          <w:snapToGrid w:val="0"/>
          <w:sz w:val="28"/>
          <w:szCs w:val="28"/>
        </w:rPr>
      </w:pPr>
      <w:r>
        <w:rPr>
          <w:rFonts w:hint="eastAsia" w:ascii="Times New Roman" w:hAnsi="Times New Roman" w:eastAsia="仿宋" w:cs="Times New Roman"/>
          <w:sz w:val="28"/>
          <w:szCs w:val="28"/>
          <w:lang w:val="en-US" w:eastAsia="zh-CN"/>
        </w:rPr>
        <w:t>古县财政局：负责拨付预算资金和财政资金的管理，对资金的分配、下拨、使用等全过程进行规范化管理，对专项经费的使用进行规范，组织开展绩效评价工作等。</w:t>
      </w:r>
      <w:r>
        <w:rPr>
          <w:rFonts w:hint="eastAsia" w:ascii="Times New Roman" w:hAnsi="Times New Roman" w:eastAsia="仿宋" w:cs="Times New Roman"/>
          <w:sz w:val="28"/>
          <w:szCs w:val="28"/>
        </w:rPr>
        <w:t>贯彻执行国家有关法律、法规、方针、政策，做好项目资金的预算、控制和监督，规范财会行为，依法合理、及时筹集使用建设资金、严格控制建设成本，提高投资效益</w:t>
      </w:r>
      <w:r>
        <w:rPr>
          <w:rFonts w:ascii="Times New Roman" w:hAnsi="Times New Roman" w:eastAsia="仿宋"/>
          <w:snapToGrid w:val="0"/>
          <w:sz w:val="28"/>
          <w:szCs w:val="28"/>
        </w:rPr>
        <w:t>。</w:t>
      </w:r>
    </w:p>
    <w:p>
      <w:pPr>
        <w:pStyle w:val="3"/>
        <w:spacing w:before="156" w:beforeLines="50" w:after="156" w:afterLines="50" w:line="500" w:lineRule="exact"/>
        <w:ind w:firstLine="643" w:firstLineChars="200"/>
        <w:rPr>
          <w:rFonts w:ascii="仿宋" w:hAnsi="仿宋" w:eastAsia="仿宋"/>
        </w:rPr>
      </w:pPr>
      <w:bookmarkStart w:id="23" w:name="_Toc12535"/>
      <w:r>
        <w:rPr>
          <w:rFonts w:ascii="仿宋" w:hAnsi="仿宋" w:eastAsia="仿宋"/>
        </w:rPr>
        <w:t>（二）项目实施</w:t>
      </w:r>
      <w:bookmarkEnd w:id="22"/>
      <w:r>
        <w:rPr>
          <w:rFonts w:ascii="仿宋" w:hAnsi="仿宋" w:eastAsia="仿宋"/>
        </w:rPr>
        <w:t>情况</w:t>
      </w:r>
      <w:bookmarkEnd w:id="23"/>
    </w:p>
    <w:p>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bookmarkStart w:id="24" w:name="_Toc514537334"/>
      <w:r>
        <w:rPr>
          <w:rFonts w:hint="eastAsia" w:ascii="Times New Roman" w:hAnsi="Times New Roman" w:eastAsia="仿宋" w:cs="Times New Roman"/>
          <w:b/>
          <w:bCs/>
          <w:sz w:val="28"/>
          <w:szCs w:val="24"/>
          <w:lang w:val="en-US" w:eastAsia="zh-CN"/>
        </w:rPr>
        <w:t>1、项目实施内容</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（1）可研批复内容</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民政局《关于古县殡仪馆建设项目立项的申请》（古民呈〔2021〕2号），2021年9月15日，古县行政审批服务管理局《关于古县殡仪馆建设项目可行性研究报告（代项目建议书）的批复》（古审管审发〔2021〕60号）文件批复项目立项，项目性质：新建；建设规模及内容：项目占地面积约为14.96亩，总建筑面积1944.65㎡；主要建设内容：业务区/后勤管理474.6㎡、遗体处理/悼念厅679.22㎡、火化区320㎡、寄存区237.3㎡、公共卫生间109.46㎡、其他附属设施124.07㎡及道路场地硬化、绿化、室外公用配套工程等，购置安装火化炉、遗物焚烧炉、污水处理等设备；项目建设工期：8个月；总投资及资金来源：项目总投资1799.49万元，其中建设工程费1509.18万元，工程建设其他费用157.01万元，预备费133.30万元。资金来源为除申请上级资金外，其余由县政府配套。</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关于古县殡仪馆建设项目初步设计进行审批的申请》（古民字〔2021〕8号），2021年10月20日，古县行政审批服务管理局《关于古县殡仪馆建设项目初步设计的批复》（古审管审发〔2021〕69号）同意项目初步设计，建设地址：岳阳镇贤腰村与三合镇贾村交接处水泉沟；建设规模及主要内容：总建筑面积1920.56m²。主要建设内容：业务办公楼245.82m²、综合楼1612.74m²、其他附属设施62m²、设备购置费、室外配套工程、城市基础配套设施费等；项目建设工期：12个月，从2021年9月至2022年9月；项目总投资及资金来源：本项目概算总投资1798.17万元。其中：工程建设费1574.03万元，工程建设其他费138.51万元，预备费85.63万元。本项目所需资金除申请上级资金外，其余部分由当地配套。</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2、项目实施情况</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2022年1月19日，古县民政局与天太建设集团有限公司签订《建设工程施工合同》，计划开竣工时间为2022年1月20日至2022年12月20日；合同价11413508.70元。</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截止2022年12月31日，项目尚未完工，尚未验收。</w:t>
      </w:r>
    </w:p>
    <w:bookmarkEnd w:id="24"/>
    <w:p>
      <w:pPr>
        <w:pStyle w:val="2"/>
        <w:spacing w:before="312" w:beforeLines="100" w:after="312" w:afterLines="100" w:line="500" w:lineRule="exact"/>
        <w:rPr>
          <w:rFonts w:ascii="Times New Roman" w:hAnsi="Times New Roman" w:eastAsia="黑体"/>
          <w:b w:val="0"/>
          <w:sz w:val="32"/>
          <w:szCs w:val="32"/>
        </w:rPr>
      </w:pPr>
      <w:bookmarkStart w:id="25" w:name="_Toc514537336"/>
      <w:bookmarkStart w:id="26" w:name="_Toc14498"/>
      <w:r>
        <w:rPr>
          <w:rFonts w:ascii="Times New Roman" w:hAnsi="Times New Roman" w:eastAsia="黑体"/>
          <w:b w:val="0"/>
          <w:sz w:val="32"/>
          <w:szCs w:val="32"/>
        </w:rPr>
        <w:t>三、绩效评价工作情况</w:t>
      </w:r>
      <w:bookmarkEnd w:id="25"/>
      <w:bookmarkEnd w:id="26"/>
    </w:p>
    <w:p>
      <w:pPr>
        <w:pStyle w:val="3"/>
        <w:spacing w:before="156" w:beforeLines="50" w:after="156" w:afterLines="50" w:line="500" w:lineRule="exact"/>
        <w:ind w:firstLine="643" w:firstLineChars="200"/>
        <w:rPr>
          <w:rFonts w:ascii="仿宋" w:hAnsi="仿宋" w:eastAsia="仿宋"/>
        </w:rPr>
      </w:pPr>
      <w:bookmarkStart w:id="27" w:name="_Toc26217"/>
      <w:bookmarkStart w:id="28" w:name="_Toc514537337"/>
      <w:r>
        <w:rPr>
          <w:rFonts w:ascii="仿宋" w:hAnsi="仿宋" w:eastAsia="仿宋"/>
        </w:rPr>
        <w:t>（一）绩效评价的目的</w:t>
      </w:r>
      <w:bookmarkEnd w:id="27"/>
      <w:bookmarkEnd w:id="28"/>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财政支出绩效评价旨在通过评价改善预算部门的财政支出管理，优化资源配置及提高公共服务水平。本次绩效评价遵循《财政部关于印发&lt;项目支出绩效评价管理办法&gt;的通知》（财预〔2020〕10号）、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《古县财政局关于印发&lt;2023年度财政重点绩效评价实施方案&gt;的通知》（古财字〔2023〕59号）</w:t>
      </w:r>
      <w:r>
        <w:rPr>
          <w:rFonts w:ascii="Times New Roman" w:hAnsi="Times New Roman" w:eastAsia="仿宋"/>
          <w:snapToGrid w:val="0"/>
          <w:sz w:val="28"/>
          <w:szCs w:val="28"/>
        </w:rPr>
        <w:t>的有关规定，客观、全面、公正地评价</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资金的使用效益，全面反映预算资金产出和结果的经济性、效率性、效益性和公平性。</w:t>
      </w:r>
    </w:p>
    <w:p>
      <w:pPr>
        <w:spacing w:line="500" w:lineRule="exact"/>
        <w:ind w:firstLine="560" w:firstLineChars="200"/>
        <w:rPr>
          <w:rFonts w:ascii="Times New Roman" w:hAnsi="Times New Roman" w:eastAsia="仿宋"/>
          <w:snapToGrid w:val="0"/>
          <w:sz w:val="28"/>
          <w:szCs w:val="28"/>
        </w:rPr>
      </w:pPr>
      <w:bookmarkStart w:id="29" w:name="_Toc514537338"/>
      <w:r>
        <w:rPr>
          <w:rFonts w:ascii="Times New Roman" w:hAnsi="Times New Roman" w:eastAsia="仿宋"/>
          <w:snapToGrid w:val="0"/>
          <w:sz w:val="28"/>
          <w:szCs w:val="28"/>
        </w:rPr>
        <w:t>1</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具体了解项目所涉及各项内容的进展、资金使用、制度建设及其取得的成效。总结经验，发现问题，并提出改进的意见和建议。</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2</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进一步完善相关管理制度、加强财政支出管理、强化监督，保证项目实施、资金使用管理的规范性、安全性和有效性。</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积极探索项目的预算编制、项目申报、资金的分配机制，为以后年度其他相关工作的开展奠定基础。</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4</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提出改进建议，为政府作出相关决策及以后年度预算资金安排提供重要参考，促进财政资金分配科学、公正、公平，强化资金使用单位的责任意识和绩效意识。</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5</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通过对项目实施情况的调查分析，客观反映政策目标实现程度及项目满意度。</w:t>
      </w:r>
    </w:p>
    <w:p>
      <w:pPr>
        <w:pStyle w:val="3"/>
        <w:spacing w:before="156" w:beforeLines="50" w:after="156" w:afterLines="50" w:line="500" w:lineRule="exact"/>
        <w:ind w:firstLine="643" w:firstLineChars="200"/>
        <w:rPr>
          <w:rFonts w:ascii="仿宋" w:hAnsi="仿宋" w:eastAsia="仿宋"/>
        </w:rPr>
      </w:pPr>
      <w:bookmarkStart w:id="30" w:name="_Toc10608"/>
      <w:r>
        <w:rPr>
          <w:rFonts w:ascii="仿宋" w:hAnsi="仿宋" w:eastAsia="仿宋"/>
        </w:rPr>
        <w:t>（二）绩效评价的依据</w:t>
      </w:r>
      <w:bookmarkEnd w:id="29"/>
      <w:bookmarkEnd w:id="30"/>
    </w:p>
    <w:p>
      <w:pPr>
        <w:pStyle w:val="18"/>
        <w:spacing w:line="500" w:lineRule="exact"/>
        <w:ind w:firstLine="560" w:firstLineChars="200"/>
        <w:outlineLvl w:val="9"/>
        <w:rPr>
          <w:rFonts w:hint="eastAsia" w:eastAsia="仿宋"/>
          <w:sz w:val="28"/>
          <w:szCs w:val="28"/>
          <w:shd w:val="clear" w:color="auto" w:fill="FFFFFF"/>
        </w:rPr>
      </w:pPr>
      <w:bookmarkStart w:id="31" w:name="_Toc27448"/>
      <w:bookmarkStart w:id="32" w:name="_Toc13844"/>
      <w:r>
        <w:rPr>
          <w:rFonts w:hint="eastAsia" w:eastAsia="仿宋"/>
          <w:sz w:val="28"/>
          <w:szCs w:val="28"/>
          <w:shd w:val="clear" w:color="auto" w:fill="FFFFFF"/>
        </w:rPr>
        <w:t>1、《中华人民共和国预算法》（2018年12月29日第十三届全国人民代表大会常务委员会第七次会议通过第十三届全国人民代表大会常务委员会第七次会议决定:对《中华人民共和国预算法》作出修改）；</w:t>
      </w:r>
      <w:bookmarkEnd w:id="31"/>
    </w:p>
    <w:p>
      <w:pPr>
        <w:pStyle w:val="18"/>
        <w:spacing w:line="500" w:lineRule="exact"/>
        <w:ind w:firstLine="560" w:firstLineChars="200"/>
        <w:outlineLvl w:val="9"/>
        <w:rPr>
          <w:rFonts w:hint="eastAsia" w:eastAsia="仿宋"/>
          <w:sz w:val="28"/>
          <w:szCs w:val="28"/>
          <w:shd w:val="clear" w:color="auto" w:fill="FFFFFF"/>
        </w:rPr>
      </w:pPr>
      <w:bookmarkStart w:id="33" w:name="_Toc30071"/>
      <w:r>
        <w:rPr>
          <w:rFonts w:hint="eastAsia" w:eastAsia="仿宋"/>
          <w:sz w:val="28"/>
          <w:szCs w:val="28"/>
          <w:shd w:val="clear" w:color="auto" w:fill="FFFFFF"/>
        </w:rPr>
        <w:t>2、《中华人民共和国预算法实施条例》（中华人民共和国国务院令第729号，自2020年10月1日起施行）；</w:t>
      </w:r>
      <w:bookmarkEnd w:id="33"/>
    </w:p>
    <w:p>
      <w:pPr>
        <w:pStyle w:val="18"/>
        <w:spacing w:line="500" w:lineRule="exact"/>
        <w:ind w:firstLine="560" w:firstLineChars="200"/>
        <w:outlineLvl w:val="9"/>
        <w:rPr>
          <w:rFonts w:hint="eastAsia" w:eastAsia="仿宋"/>
          <w:sz w:val="28"/>
          <w:szCs w:val="28"/>
          <w:shd w:val="clear" w:color="auto" w:fill="FFFFFF"/>
        </w:rPr>
      </w:pPr>
      <w:bookmarkStart w:id="34" w:name="_Toc22378"/>
      <w:r>
        <w:rPr>
          <w:rFonts w:hint="eastAsia" w:eastAsia="仿宋"/>
          <w:sz w:val="28"/>
          <w:szCs w:val="28"/>
          <w:shd w:val="clear" w:color="auto" w:fill="FFFFFF"/>
        </w:rPr>
        <w:t>3、财政部《关于贯彻落实&lt;中共中央 国务院关于全面实施预算绩效管理的意见&gt;的通知》（财预〔2018〕167号）；</w:t>
      </w:r>
      <w:bookmarkEnd w:id="34"/>
    </w:p>
    <w:p>
      <w:pPr>
        <w:pStyle w:val="18"/>
        <w:spacing w:line="500" w:lineRule="exact"/>
        <w:ind w:firstLine="560" w:firstLineChars="200"/>
        <w:outlineLvl w:val="9"/>
        <w:rPr>
          <w:rFonts w:hint="eastAsia" w:eastAsia="仿宋"/>
          <w:sz w:val="28"/>
          <w:szCs w:val="28"/>
          <w:shd w:val="clear" w:color="auto" w:fill="FFFFFF"/>
        </w:rPr>
      </w:pPr>
      <w:bookmarkStart w:id="35" w:name="_Toc8495"/>
      <w:r>
        <w:rPr>
          <w:rFonts w:hint="eastAsia" w:eastAsia="仿宋"/>
          <w:sz w:val="28"/>
          <w:szCs w:val="28"/>
          <w:shd w:val="clear" w:color="auto" w:fill="FFFFFF"/>
        </w:rPr>
        <w:t>4、财政部关于印发《项目支出绩效评价管理办法》的通知（财预〔2020〕10号）；</w:t>
      </w:r>
      <w:bookmarkEnd w:id="35"/>
    </w:p>
    <w:p>
      <w:pPr>
        <w:pStyle w:val="18"/>
        <w:spacing w:line="500" w:lineRule="exact"/>
        <w:ind w:firstLine="560" w:firstLineChars="200"/>
        <w:outlineLvl w:val="9"/>
        <w:rPr>
          <w:rFonts w:hint="eastAsia" w:eastAsia="仿宋"/>
          <w:sz w:val="28"/>
          <w:szCs w:val="28"/>
          <w:shd w:val="clear" w:color="auto" w:fill="FFFFFF"/>
        </w:rPr>
      </w:pPr>
      <w:bookmarkStart w:id="36" w:name="_Toc24566"/>
      <w:r>
        <w:rPr>
          <w:rFonts w:hint="eastAsia" w:eastAsia="仿宋"/>
          <w:sz w:val="28"/>
          <w:szCs w:val="28"/>
          <w:shd w:val="clear" w:color="auto" w:fill="FFFFFF"/>
        </w:rPr>
        <w:t>5、《中共中央国务院关于全面实施预算绩效管理的意见》(中发〔2018〕34号)；</w:t>
      </w:r>
      <w:bookmarkEnd w:id="36"/>
    </w:p>
    <w:p>
      <w:pPr>
        <w:pStyle w:val="18"/>
        <w:spacing w:line="500" w:lineRule="exact"/>
        <w:ind w:firstLine="560" w:firstLineChars="200"/>
        <w:outlineLvl w:val="9"/>
        <w:rPr>
          <w:rFonts w:hint="eastAsia" w:eastAsia="仿宋"/>
          <w:sz w:val="28"/>
          <w:szCs w:val="28"/>
          <w:shd w:val="clear" w:color="auto" w:fill="FFFFFF"/>
        </w:rPr>
      </w:pPr>
      <w:bookmarkStart w:id="37" w:name="_Toc20111"/>
      <w:r>
        <w:rPr>
          <w:rFonts w:hint="eastAsia" w:eastAsia="仿宋"/>
          <w:sz w:val="28"/>
          <w:szCs w:val="28"/>
          <w:shd w:val="clear" w:color="auto" w:fill="FFFFFF"/>
        </w:rPr>
        <w:t>6、《中共山西省委 山西省人民政府关于全面实施预算绩效管理的实施意见》（晋发〔2018〕39号）；</w:t>
      </w:r>
      <w:bookmarkEnd w:id="37"/>
    </w:p>
    <w:p>
      <w:pPr>
        <w:pStyle w:val="18"/>
        <w:spacing w:line="500" w:lineRule="exact"/>
        <w:ind w:firstLine="560" w:firstLineChars="200"/>
        <w:outlineLvl w:val="9"/>
        <w:rPr>
          <w:rFonts w:hint="eastAsia" w:eastAsia="仿宋"/>
          <w:sz w:val="28"/>
          <w:szCs w:val="28"/>
          <w:shd w:val="clear" w:color="auto" w:fill="FFFFFF"/>
        </w:rPr>
      </w:pPr>
      <w:bookmarkStart w:id="38" w:name="_Toc17513"/>
      <w:r>
        <w:rPr>
          <w:rFonts w:hint="eastAsia" w:eastAsia="仿宋"/>
          <w:sz w:val="28"/>
          <w:szCs w:val="28"/>
          <w:shd w:val="clear" w:color="auto" w:fill="FFFFFF"/>
        </w:rPr>
        <w:t>7、山西省财政厅关于贯彻落实《中共山西省委 山西省人民政府关于全面实施预算绩效管理的实施意见》的通知（晋财绩〔2019〕12号）；</w:t>
      </w:r>
      <w:bookmarkEnd w:id="38"/>
    </w:p>
    <w:p>
      <w:pPr>
        <w:pStyle w:val="18"/>
        <w:spacing w:line="500" w:lineRule="exact"/>
        <w:ind w:firstLine="560" w:firstLineChars="200"/>
        <w:outlineLvl w:val="9"/>
        <w:rPr>
          <w:rFonts w:hint="eastAsia" w:eastAsia="仿宋"/>
          <w:sz w:val="28"/>
          <w:szCs w:val="28"/>
          <w:shd w:val="clear" w:color="auto" w:fill="FFFFFF"/>
        </w:rPr>
      </w:pPr>
      <w:bookmarkStart w:id="39" w:name="_Toc5784"/>
      <w:r>
        <w:rPr>
          <w:rFonts w:hint="eastAsia" w:eastAsia="仿宋"/>
          <w:sz w:val="28"/>
          <w:szCs w:val="28"/>
          <w:shd w:val="clear" w:color="auto" w:fill="FFFFFF"/>
        </w:rPr>
        <w:t>8、</w:t>
      </w:r>
      <w:r>
        <w:rPr>
          <w:rFonts w:hint="eastAsia" w:eastAsia="仿宋"/>
          <w:sz w:val="28"/>
          <w:szCs w:val="28"/>
          <w:shd w:val="clear" w:color="auto" w:fill="FFFFFF"/>
          <w:lang w:eastAsia="zh-CN"/>
        </w:rPr>
        <w:t>《古县财政局关于印发&lt;2023年度财政重点绩效评价实施方案&gt;的通知》（古财字〔2023〕59号）</w:t>
      </w:r>
      <w:r>
        <w:rPr>
          <w:rFonts w:hint="eastAsia" w:eastAsia="仿宋"/>
          <w:sz w:val="28"/>
          <w:szCs w:val="28"/>
          <w:shd w:val="clear" w:color="auto" w:fill="FFFFFF"/>
        </w:rPr>
        <w:t>；</w:t>
      </w:r>
      <w:bookmarkEnd w:id="39"/>
    </w:p>
    <w:p>
      <w:pPr>
        <w:pStyle w:val="18"/>
        <w:spacing w:line="500" w:lineRule="exact"/>
        <w:ind w:firstLine="560" w:firstLineChars="200"/>
        <w:outlineLvl w:val="9"/>
        <w:rPr>
          <w:rFonts w:hint="eastAsia" w:eastAsia="仿宋"/>
          <w:sz w:val="28"/>
          <w:szCs w:val="28"/>
          <w:shd w:val="clear" w:color="auto" w:fill="FFFFFF"/>
        </w:rPr>
      </w:pPr>
      <w:bookmarkStart w:id="40" w:name="_Toc23237"/>
      <w:r>
        <w:rPr>
          <w:rFonts w:hint="eastAsia" w:eastAsia="仿宋"/>
          <w:sz w:val="28"/>
          <w:szCs w:val="28"/>
          <w:shd w:val="clear" w:color="auto" w:fill="FFFFFF"/>
        </w:rPr>
        <w:t>9、评价项目采购人或相关方提供的绩效评价指标体系；</w:t>
      </w:r>
      <w:bookmarkEnd w:id="40"/>
    </w:p>
    <w:p>
      <w:pPr>
        <w:pStyle w:val="18"/>
        <w:spacing w:line="500" w:lineRule="exact"/>
        <w:ind w:firstLine="560" w:firstLineChars="200"/>
        <w:outlineLvl w:val="9"/>
        <w:rPr>
          <w:rFonts w:hint="eastAsia" w:eastAsia="仿宋"/>
          <w:sz w:val="28"/>
          <w:szCs w:val="28"/>
          <w:shd w:val="clear" w:color="auto" w:fill="FFFFFF"/>
        </w:rPr>
      </w:pPr>
      <w:bookmarkStart w:id="41" w:name="_Toc7233"/>
      <w:r>
        <w:rPr>
          <w:rFonts w:hint="eastAsia" w:eastAsia="仿宋"/>
          <w:sz w:val="28"/>
          <w:szCs w:val="28"/>
          <w:shd w:val="clear" w:color="auto" w:fill="FFFFFF"/>
        </w:rPr>
        <w:t>10、其他有关的法律、法规规章、政策文件；</w:t>
      </w:r>
      <w:bookmarkEnd w:id="41"/>
    </w:p>
    <w:p>
      <w:pPr>
        <w:pStyle w:val="18"/>
        <w:spacing w:line="500" w:lineRule="exact"/>
        <w:ind w:firstLine="560" w:firstLineChars="200"/>
        <w:outlineLvl w:val="9"/>
        <w:rPr>
          <w:rFonts w:hint="eastAsia" w:eastAsia="仿宋"/>
          <w:sz w:val="28"/>
          <w:szCs w:val="28"/>
          <w:shd w:val="clear" w:color="auto" w:fill="FFFFFF"/>
          <w:lang w:eastAsia="zh-CN"/>
        </w:rPr>
      </w:pPr>
      <w:bookmarkStart w:id="42" w:name="_Toc13110"/>
      <w:r>
        <w:rPr>
          <w:rFonts w:hint="eastAsia" w:eastAsia="仿宋"/>
          <w:sz w:val="28"/>
          <w:szCs w:val="28"/>
          <w:shd w:val="clear" w:color="auto" w:fill="FFFFFF"/>
        </w:rPr>
        <w:t>11、与绩效评价相关的其他资料</w:t>
      </w:r>
      <w:r>
        <w:rPr>
          <w:rFonts w:hint="eastAsia" w:eastAsia="仿宋"/>
          <w:sz w:val="28"/>
          <w:szCs w:val="28"/>
          <w:shd w:val="clear" w:color="auto" w:fill="FFFFFF"/>
          <w:lang w:eastAsia="zh-CN"/>
        </w:rPr>
        <w:t>。</w:t>
      </w:r>
      <w:bookmarkEnd w:id="32"/>
      <w:bookmarkEnd w:id="42"/>
    </w:p>
    <w:p>
      <w:pPr>
        <w:pStyle w:val="3"/>
        <w:spacing w:before="156" w:beforeLines="50" w:after="156" w:afterLines="50" w:line="500" w:lineRule="exact"/>
        <w:ind w:firstLine="643" w:firstLineChars="200"/>
        <w:rPr>
          <w:rFonts w:ascii="仿宋" w:hAnsi="仿宋" w:eastAsia="仿宋"/>
        </w:rPr>
      </w:pPr>
      <w:bookmarkStart w:id="43" w:name="_Toc3021"/>
      <w:bookmarkStart w:id="44" w:name="_Toc522961240"/>
      <w:r>
        <w:rPr>
          <w:rFonts w:ascii="仿宋" w:hAnsi="仿宋" w:eastAsia="仿宋"/>
        </w:rPr>
        <w:t>（三）评价对象和范围</w:t>
      </w:r>
      <w:bookmarkEnd w:id="43"/>
      <w:bookmarkEnd w:id="44"/>
    </w:p>
    <w:p>
      <w:pPr>
        <w:pStyle w:val="18"/>
        <w:spacing w:line="500" w:lineRule="exact"/>
        <w:ind w:firstLine="562" w:firstLineChars="200"/>
        <w:outlineLvl w:val="9"/>
        <w:rPr>
          <w:rFonts w:eastAsia="仿宋"/>
          <w:b/>
          <w:sz w:val="28"/>
          <w:szCs w:val="28"/>
        </w:rPr>
      </w:pPr>
      <w:bookmarkStart w:id="45" w:name="_Toc23187"/>
      <w:bookmarkStart w:id="46" w:name="_Toc7045"/>
      <w:bookmarkStart w:id="47" w:name="_Toc27603"/>
      <w:bookmarkStart w:id="48" w:name="_Toc469065636"/>
      <w:bookmarkStart w:id="49" w:name="_Toc469065546"/>
      <w:bookmarkStart w:id="50" w:name="_Toc450549936"/>
      <w:bookmarkStart w:id="51" w:name="_Toc469065888"/>
      <w:r>
        <w:rPr>
          <w:rFonts w:eastAsia="仿宋"/>
          <w:b/>
          <w:sz w:val="28"/>
          <w:szCs w:val="28"/>
        </w:rPr>
        <w:t>1.评价对象</w:t>
      </w:r>
      <w:bookmarkEnd w:id="45"/>
      <w:bookmarkEnd w:id="46"/>
      <w:bookmarkEnd w:id="47"/>
    </w:p>
    <w:p>
      <w:pPr>
        <w:pStyle w:val="18"/>
        <w:spacing w:line="500" w:lineRule="exact"/>
        <w:ind w:firstLine="560" w:firstLineChars="200"/>
        <w:outlineLvl w:val="9"/>
        <w:rPr>
          <w:rFonts w:eastAsia="仿宋"/>
          <w:sz w:val="28"/>
          <w:szCs w:val="28"/>
          <w:highlight w:val="yellow"/>
        </w:rPr>
      </w:pPr>
      <w:bookmarkStart w:id="52" w:name="_Toc29731"/>
      <w:bookmarkStart w:id="53" w:name="_Toc4565"/>
      <w:bookmarkStart w:id="54" w:name="_Toc10146"/>
      <w:r>
        <w:rPr>
          <w:rFonts w:eastAsia="仿宋"/>
          <w:sz w:val="28"/>
          <w:szCs w:val="28"/>
        </w:rPr>
        <w:t>本次绩效评价对象为“</w:t>
      </w:r>
      <w:r>
        <w:rPr>
          <w:rFonts w:hint="eastAsia" w:eastAsia="仿宋" w:cs="Times New Roman"/>
          <w:sz w:val="28"/>
          <w:szCs w:val="28"/>
          <w:lang w:eastAsia="zh-CN"/>
        </w:rPr>
        <w:t>殡仪馆建设改造补助资金项目</w:t>
      </w:r>
      <w:r>
        <w:rPr>
          <w:rFonts w:hint="eastAsia" w:eastAsia="仿宋" w:cs="Times New Roman"/>
          <w:sz w:val="28"/>
          <w:szCs w:val="28"/>
          <w:lang w:val="en-US" w:eastAsia="zh-CN"/>
        </w:rPr>
        <w:t>2022年</w:t>
      </w:r>
      <w:r>
        <w:rPr>
          <w:rFonts w:hint="eastAsia" w:eastAsia="仿宋" w:cs="Times New Roman"/>
          <w:sz w:val="28"/>
          <w:szCs w:val="28"/>
          <w:lang w:eastAsia="zh-CN"/>
        </w:rPr>
        <w:t>资金560.00万元</w:t>
      </w:r>
      <w:r>
        <w:rPr>
          <w:rFonts w:eastAsia="仿宋"/>
          <w:sz w:val="28"/>
          <w:szCs w:val="28"/>
        </w:rPr>
        <w:t>”。</w:t>
      </w:r>
      <w:bookmarkEnd w:id="52"/>
      <w:bookmarkEnd w:id="53"/>
      <w:bookmarkEnd w:id="54"/>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2.评价范围</w:t>
      </w:r>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绩效评价范围为</w:t>
      </w:r>
      <w:r>
        <w:rPr>
          <w:rFonts w:hint="eastAsia" w:ascii="Times New Roman" w:hAnsi="Times New Roman" w:eastAsia="仿宋"/>
          <w:sz w:val="28"/>
          <w:szCs w:val="28"/>
          <w:lang w:eastAsia="zh-CN"/>
        </w:rPr>
        <w:t>殡仪馆建设改造补助资金项目</w:t>
      </w:r>
      <w:r>
        <w:rPr>
          <w:rFonts w:ascii="Times New Roman" w:hAnsi="Times New Roman" w:eastAsia="仿宋"/>
          <w:sz w:val="28"/>
          <w:szCs w:val="28"/>
        </w:rPr>
        <w:t>，以及项目资金产生的绩效（具体绩效评价范围包括决策、过程、产出、效益）。</w:t>
      </w:r>
    </w:p>
    <w:p>
      <w:pPr>
        <w:pStyle w:val="3"/>
        <w:spacing w:before="156" w:beforeLines="50" w:after="156" w:afterLines="50" w:line="500" w:lineRule="exact"/>
        <w:ind w:firstLine="643" w:firstLineChars="200"/>
        <w:rPr>
          <w:rFonts w:ascii="仿宋" w:hAnsi="仿宋" w:eastAsia="仿宋"/>
        </w:rPr>
      </w:pPr>
      <w:bookmarkStart w:id="55" w:name="_Toc479102135"/>
      <w:bookmarkStart w:id="56" w:name="_Toc14788"/>
      <w:bookmarkStart w:id="57" w:name="_Toc522961241"/>
      <w:r>
        <w:rPr>
          <w:rFonts w:ascii="仿宋" w:hAnsi="仿宋" w:eastAsia="仿宋"/>
        </w:rPr>
        <w:t>（四）</w:t>
      </w:r>
      <w:bookmarkEnd w:id="48"/>
      <w:bookmarkEnd w:id="49"/>
      <w:bookmarkEnd w:id="50"/>
      <w:bookmarkEnd w:id="51"/>
      <w:bookmarkEnd w:id="55"/>
      <w:r>
        <w:rPr>
          <w:rFonts w:ascii="仿宋" w:hAnsi="仿宋" w:eastAsia="仿宋"/>
        </w:rPr>
        <w:t>绩效评价基准日</w:t>
      </w:r>
      <w:bookmarkEnd w:id="56"/>
      <w:bookmarkEnd w:id="57"/>
    </w:p>
    <w:p>
      <w:pPr>
        <w:pStyle w:val="18"/>
        <w:spacing w:line="500" w:lineRule="exact"/>
        <w:ind w:firstLine="560" w:firstLineChars="200"/>
        <w:outlineLvl w:val="9"/>
        <w:rPr>
          <w:rFonts w:eastAsia="仿宋"/>
          <w:sz w:val="28"/>
          <w:szCs w:val="28"/>
        </w:rPr>
      </w:pPr>
      <w:bookmarkStart w:id="58" w:name="_Toc469065889"/>
      <w:bookmarkStart w:id="59" w:name="_Toc27317"/>
      <w:bookmarkStart w:id="60" w:name="_Toc469065637"/>
      <w:bookmarkStart w:id="61" w:name="_Toc469065547"/>
      <w:bookmarkStart w:id="62" w:name="_Toc479102136"/>
      <w:bookmarkStart w:id="63" w:name="_Toc469065973"/>
      <w:bookmarkStart w:id="64" w:name="_Toc19481"/>
      <w:bookmarkStart w:id="65" w:name="_Toc28549"/>
      <w:r>
        <w:rPr>
          <w:rFonts w:eastAsia="仿宋"/>
          <w:sz w:val="28"/>
          <w:szCs w:val="28"/>
        </w:rPr>
        <w:t>本次绩效评价基准日为</w:t>
      </w:r>
      <w:bookmarkEnd w:id="58"/>
      <w:bookmarkEnd w:id="59"/>
      <w:bookmarkEnd w:id="60"/>
      <w:bookmarkEnd w:id="61"/>
      <w:bookmarkEnd w:id="62"/>
      <w:bookmarkEnd w:id="63"/>
      <w:r>
        <w:rPr>
          <w:rFonts w:hint="eastAsia" w:eastAsia="仿宋"/>
          <w:sz w:val="28"/>
          <w:szCs w:val="28"/>
          <w:lang w:eastAsia="zh-CN"/>
        </w:rPr>
        <w:t>2022年12月31日</w:t>
      </w:r>
      <w:r>
        <w:rPr>
          <w:rFonts w:eastAsia="仿宋"/>
          <w:sz w:val="28"/>
          <w:szCs w:val="28"/>
        </w:rPr>
        <w:t>。</w:t>
      </w:r>
      <w:bookmarkEnd w:id="64"/>
      <w:bookmarkEnd w:id="65"/>
    </w:p>
    <w:p>
      <w:pPr>
        <w:pStyle w:val="3"/>
        <w:spacing w:before="156" w:beforeLines="50" w:after="156" w:afterLines="50" w:line="500" w:lineRule="exact"/>
        <w:ind w:firstLine="643" w:firstLineChars="200"/>
        <w:rPr>
          <w:rFonts w:ascii="仿宋" w:hAnsi="仿宋" w:eastAsia="仿宋"/>
        </w:rPr>
      </w:pPr>
      <w:bookmarkStart w:id="66" w:name="_Toc514537339"/>
      <w:bookmarkStart w:id="67" w:name="_Toc16776"/>
      <w:bookmarkStart w:id="68" w:name="_Toc519354505"/>
      <w:r>
        <w:rPr>
          <w:rFonts w:ascii="仿宋" w:hAnsi="仿宋" w:eastAsia="仿宋"/>
        </w:rPr>
        <w:t>（五）</w:t>
      </w:r>
      <w:bookmarkEnd w:id="66"/>
      <w:r>
        <w:rPr>
          <w:rFonts w:ascii="仿宋" w:hAnsi="仿宋" w:eastAsia="仿宋"/>
        </w:rPr>
        <w:t>绩效评价的原则</w:t>
      </w:r>
      <w:bookmarkEnd w:id="67"/>
      <w:bookmarkEnd w:id="68"/>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1</w:t>
      </w:r>
      <w:r>
        <w:rPr>
          <w:rFonts w:hint="eastAsia" w:ascii="Times New Roman" w:hAnsi="Times New Roman" w:eastAsia="仿宋"/>
          <w:b/>
          <w:bCs/>
          <w:sz w:val="28"/>
          <w:szCs w:val="28"/>
          <w:shd w:val="clear" w:color="auto" w:fill="FFFFFF"/>
          <w:lang w:eastAsia="zh-CN"/>
        </w:rPr>
        <w:t>、</w:t>
      </w:r>
      <w:r>
        <w:rPr>
          <w:rFonts w:ascii="Times New Roman" w:hAnsi="Times New Roman" w:eastAsia="仿宋"/>
          <w:b/>
          <w:bCs/>
          <w:sz w:val="28"/>
          <w:szCs w:val="28"/>
          <w:shd w:val="clear" w:color="auto" w:fill="FFFFFF"/>
        </w:rPr>
        <w:t>科学规范原则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注重财政支出的经济性、效率性和效益性，采用定量与定性相结合的方法。综合分析资金管理、使用、绩效等因素，规范评价工作流程，科学设置评价指标体系（详见附件1），确保绩效评价结果科学合理。</w:t>
      </w:r>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2</w:t>
      </w:r>
      <w:r>
        <w:rPr>
          <w:rFonts w:hint="eastAsia" w:ascii="Times New Roman" w:hAnsi="Times New Roman" w:eastAsia="仿宋"/>
          <w:b/>
          <w:bCs/>
          <w:sz w:val="28"/>
          <w:szCs w:val="28"/>
          <w:shd w:val="clear" w:color="auto" w:fill="FFFFFF"/>
          <w:lang w:eastAsia="zh-CN"/>
        </w:rPr>
        <w:t>、</w:t>
      </w:r>
      <w:r>
        <w:rPr>
          <w:rFonts w:ascii="Times New Roman" w:hAnsi="Times New Roman" w:eastAsia="仿宋"/>
          <w:b/>
          <w:bCs/>
          <w:sz w:val="28"/>
          <w:szCs w:val="28"/>
          <w:shd w:val="clear" w:color="auto" w:fill="FFFFFF"/>
        </w:rPr>
        <w:t>公平公正原则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本次重点支出项目绩效评价工作全过程公开透明，坚持第三方机构应遵循的公正原则开展绩效评价工作，接受社会的监督。</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3</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分级分类原则</w:t>
      </w:r>
    </w:p>
    <w:p>
      <w:pPr>
        <w:spacing w:line="500" w:lineRule="exact"/>
        <w:ind w:firstLine="560" w:firstLineChars="200"/>
        <w:rPr>
          <w:rFonts w:ascii="Times New Roman" w:hAnsi="Times New Roman" w:eastAsia="仿宋"/>
          <w:sz w:val="28"/>
          <w:szCs w:val="28"/>
        </w:rPr>
      </w:pPr>
      <w:r>
        <w:rPr>
          <w:rFonts w:ascii="Times New Roman" w:hAnsi="Times New Roman" w:eastAsia="仿宋"/>
          <w:snapToGrid w:val="0"/>
          <w:sz w:val="28"/>
          <w:szCs w:val="28"/>
        </w:rPr>
        <w:t>绩效评价由财政部门、预算部门根据评价对象的特点分类组织实施。本次评价指标分为一级、二级、三级指标对整个项目进行评价，确保评价指标基本涵盖整个项目，保障资金效益。</w:t>
      </w:r>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4</w:t>
      </w:r>
      <w:r>
        <w:rPr>
          <w:rFonts w:hint="eastAsia" w:ascii="Times New Roman" w:hAnsi="Times New Roman" w:eastAsia="仿宋"/>
          <w:b/>
          <w:bCs/>
          <w:sz w:val="28"/>
          <w:szCs w:val="28"/>
          <w:shd w:val="clear" w:color="auto" w:fill="FFFFFF"/>
          <w:lang w:eastAsia="zh-CN"/>
        </w:rPr>
        <w:t>、</w:t>
      </w:r>
      <w:r>
        <w:rPr>
          <w:rFonts w:ascii="Times New Roman" w:hAnsi="Times New Roman" w:eastAsia="仿宋"/>
          <w:b/>
          <w:bCs/>
          <w:sz w:val="28"/>
          <w:szCs w:val="28"/>
          <w:shd w:val="clear" w:color="auto" w:fill="FFFFFF"/>
        </w:rPr>
        <w:t>绩效相关原则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针对各项支出及其产出绩效进行比较，使评价结果清晰反映支出和产出绩效之间的对应关系。本次评价流程及指标设计，以资金效率最大化为出发点，合理设置考核内容，力求评价内容与强化资金管理、优化资金使用效率相关。</w:t>
      </w:r>
    </w:p>
    <w:p>
      <w:pPr>
        <w:pStyle w:val="3"/>
        <w:spacing w:before="156" w:beforeLines="50" w:after="156" w:afterLines="50" w:line="500" w:lineRule="exact"/>
        <w:ind w:firstLine="643" w:firstLineChars="200"/>
        <w:rPr>
          <w:rFonts w:ascii="仿宋" w:hAnsi="仿宋" w:eastAsia="仿宋"/>
        </w:rPr>
      </w:pPr>
      <w:bookmarkStart w:id="69" w:name="_Toc15838"/>
      <w:bookmarkStart w:id="70" w:name="_Toc519354506"/>
      <w:r>
        <w:rPr>
          <w:rFonts w:ascii="仿宋" w:hAnsi="仿宋" w:eastAsia="仿宋"/>
        </w:rPr>
        <w:t>（六）绩效评价的方法</w:t>
      </w:r>
      <w:bookmarkEnd w:id="69"/>
      <w:bookmarkEnd w:id="70"/>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本次评价工作过程中，将运用因素分析法、比较法、公众评判法、成本效益分析法和综合评价法等方法，坚持定量优先、定量与定性相结合的方式，遵循科学规范、公正公开、分级分类、绩效相关的基本原则，确保评价的科学性与有效性。</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1</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因素分析法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因素分析法是指通过综合分析影响绩效目标实现、实施效果的内外因素，评价绩效目标实现程度。本次绩效评价主要从项目立项规范性，绩效目标设定，资金拨付、使用情况，项目管理、完成情况、项目产出、效益等因素进行分析评价。</w:t>
      </w:r>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w:t>
      </w:r>
      <w:r>
        <w:rPr>
          <w:rFonts w:hint="eastAsia" w:ascii="Times New Roman" w:hAnsi="Times New Roman" w:eastAsia="仿宋"/>
          <w:b/>
          <w:sz w:val="28"/>
          <w:szCs w:val="28"/>
          <w:lang w:eastAsia="zh-CN"/>
        </w:rPr>
        <w:t>、</w:t>
      </w:r>
      <w:r>
        <w:rPr>
          <w:rFonts w:ascii="Times New Roman" w:hAnsi="Times New Roman" w:eastAsia="仿宋"/>
          <w:b/>
          <w:sz w:val="28"/>
          <w:szCs w:val="28"/>
        </w:rPr>
        <w:t>比较法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比较法是指通过对绩效目标与实施效果、历史与当期情况、不同部门和地区同类支出的比较，综合分析绩效目标实现程度。本次评价将对项目实施情况进行审核、对实施该项目进行现场实地勘察，结合项目单位提供的资料，通过综合分析绩效目标实现程度，将实际产出与该项目的绩效目标进行比较。</w:t>
      </w:r>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3</w:t>
      </w:r>
      <w:r>
        <w:rPr>
          <w:rFonts w:hint="eastAsia" w:ascii="Times New Roman" w:hAnsi="Times New Roman" w:eastAsia="仿宋"/>
          <w:b/>
          <w:sz w:val="28"/>
          <w:szCs w:val="28"/>
          <w:lang w:eastAsia="zh-CN"/>
        </w:rPr>
        <w:t>、</w:t>
      </w:r>
      <w:r>
        <w:rPr>
          <w:rFonts w:ascii="Times New Roman" w:hAnsi="Times New Roman" w:eastAsia="仿宋"/>
          <w:b/>
          <w:sz w:val="28"/>
          <w:szCs w:val="28"/>
        </w:rPr>
        <w:t>公众评判法</w:t>
      </w:r>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公众评判法是指通过专家评估、公众问卷及抽样调查等对财政支出效果进行评判，评价绩效目标实现程度。本次评价针对被评价对象设置了项目区域周边群体对项目效果满意度问卷，评价绩效目标实现程度。</w:t>
      </w:r>
    </w:p>
    <w:p>
      <w:pPr>
        <w:spacing w:line="500" w:lineRule="exact"/>
        <w:ind w:firstLine="562" w:firstLineChars="200"/>
        <w:rPr>
          <w:rFonts w:ascii="Times New Roman" w:hAnsi="Times New Roman" w:eastAsia="仿宋"/>
          <w:snapToGrid w:val="0"/>
          <w:sz w:val="28"/>
          <w:szCs w:val="28"/>
        </w:rPr>
      </w:pPr>
      <w:r>
        <w:rPr>
          <w:rFonts w:ascii="Times New Roman" w:hAnsi="Times New Roman" w:eastAsia="仿宋"/>
          <w:b/>
          <w:snapToGrid w:val="0"/>
          <w:sz w:val="28"/>
          <w:szCs w:val="28"/>
        </w:rPr>
        <w:t>4</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成本效益分析法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成本效益分析法是指将一定时期内的支出与效益进行对比分析，以评价绩效目标实现程度。本次绩效评价主要从</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的投入成本和建成后产生的效益进行对比分析。</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5</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综合指数评价法</w:t>
      </w:r>
    </w:p>
    <w:p>
      <w:pPr>
        <w:spacing w:line="500" w:lineRule="exact"/>
        <w:ind w:firstLine="560" w:firstLineChars="200"/>
        <w:rPr>
          <w:rFonts w:ascii="Times New Roman" w:hAnsi="Times New Roman" w:eastAsia="仿宋"/>
          <w:snapToGrid w:val="0"/>
          <w:sz w:val="28"/>
          <w:szCs w:val="28"/>
          <w:highlight w:val="yellow"/>
        </w:rPr>
      </w:pPr>
      <w:r>
        <w:rPr>
          <w:rFonts w:ascii="Times New Roman" w:hAnsi="Times New Roman" w:eastAsia="仿宋"/>
          <w:snapToGrid w:val="0"/>
          <w:sz w:val="28"/>
          <w:szCs w:val="28"/>
        </w:rPr>
        <w:t>综合指数评价法是指把各项绩效指标的实际水平，对照评价标准值，分别计算各项指标评价得分，再按照设定的各项指标权数计算出综合评价得分，分析评价绩效目标实现情况的评价方法。本次绩效评价根据评价标准计算得出各项三级指标得分，经过汇总得出综合评价分值。</w:t>
      </w:r>
    </w:p>
    <w:p>
      <w:pPr>
        <w:pStyle w:val="3"/>
        <w:spacing w:before="156" w:beforeLines="50" w:after="156" w:afterLines="50" w:line="500" w:lineRule="exact"/>
        <w:ind w:firstLine="643" w:firstLineChars="200"/>
        <w:rPr>
          <w:rFonts w:ascii="仿宋" w:hAnsi="仿宋" w:eastAsia="仿宋"/>
        </w:rPr>
      </w:pPr>
      <w:bookmarkStart w:id="71" w:name="_Toc19757"/>
      <w:bookmarkStart w:id="72" w:name="_Toc514537340"/>
      <w:bookmarkStart w:id="73" w:name="_Toc519354507"/>
      <w:r>
        <w:rPr>
          <w:rFonts w:ascii="仿宋" w:hAnsi="仿宋" w:eastAsia="仿宋"/>
        </w:rPr>
        <w:t>（七）评价指标体系</w:t>
      </w:r>
      <w:bookmarkEnd w:id="71"/>
      <w:bookmarkEnd w:id="72"/>
      <w:bookmarkEnd w:id="73"/>
    </w:p>
    <w:p>
      <w:pPr>
        <w:widowControl/>
        <w:spacing w:line="500" w:lineRule="exact"/>
        <w:ind w:firstLine="560" w:firstLineChars="200"/>
        <w:rPr>
          <w:rFonts w:hint="eastAsia" w:ascii="Times New Roman" w:hAnsi="Times New Roman" w:eastAsia="仿宋"/>
          <w:snapToGrid w:val="0"/>
          <w:sz w:val="28"/>
          <w:szCs w:val="28"/>
          <w:lang w:eastAsia="zh-CN"/>
        </w:rPr>
      </w:pPr>
      <w:bookmarkStart w:id="74" w:name="_Toc469065643"/>
      <w:bookmarkStart w:id="75" w:name="_Toc450549943"/>
      <w:bookmarkStart w:id="76" w:name="_Toc469065553"/>
      <w:bookmarkStart w:id="77" w:name="_Toc469065895"/>
      <w:r>
        <w:rPr>
          <w:rFonts w:ascii="Times New Roman" w:hAnsi="Times New Roman" w:eastAsia="仿宋"/>
          <w:snapToGrid w:val="0"/>
          <w:sz w:val="28"/>
          <w:szCs w:val="28"/>
        </w:rPr>
        <w:t>参照绩效评价的基本原理、原则和项目特点，评价组结合《中华人民共和国预算法》、《财政部关于印发&lt;项目支出绩效评价管理办法&gt;的通知》（财预〔2020〕10号）、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《古县财政局关于印发&lt;2023年度财政重点绩效评价实施方案&gt;的通知》（古财字〔2023〕59号）</w:t>
      </w:r>
      <w:r>
        <w:rPr>
          <w:rFonts w:ascii="Times New Roman" w:hAnsi="Times New Roman" w:eastAsia="仿宋"/>
          <w:snapToGrid w:val="0"/>
          <w:sz w:val="28"/>
          <w:szCs w:val="28"/>
        </w:rPr>
        <w:t>，及其他相关文件的要求，从决策（包括项目立项、绩效目标、资金投入）、过程（包括资金管理、组织实施）、产出和效益四个维度进行评价。评价指标体系</w:t>
      </w:r>
      <w:r>
        <w:rPr>
          <w:rFonts w:ascii="Times New Roman" w:hAnsi="Times New Roman" w:eastAsia="仿宋"/>
          <w:snapToGrid w:val="0"/>
          <w:color w:val="000000" w:themeColor="text1"/>
          <w:sz w:val="28"/>
          <w:szCs w:val="28"/>
        </w:rPr>
        <w:t>由</w:t>
      </w:r>
      <w:r>
        <w:rPr>
          <w:rFonts w:hint="eastAsia" w:ascii="Times New Roman" w:hAnsi="Times New Roman" w:eastAsia="仿宋"/>
          <w:snapToGrid w:val="0"/>
          <w:color w:val="000000" w:themeColor="text1"/>
          <w:sz w:val="28"/>
          <w:szCs w:val="28"/>
        </w:rPr>
        <w:t>4项一级指标，</w:t>
      </w:r>
      <w:r>
        <w:rPr>
          <w:rFonts w:hint="eastAsia" w:ascii="Times New Roman" w:hAnsi="Times New Roman" w:eastAsia="仿宋"/>
          <w:snapToGrid w:val="0"/>
          <w:color w:val="000000" w:themeColor="text1"/>
          <w:sz w:val="28"/>
          <w:szCs w:val="28"/>
          <w:lang w:val="en-US" w:eastAsia="zh-CN"/>
        </w:rPr>
        <w:t>13</w:t>
      </w:r>
      <w:r>
        <w:rPr>
          <w:rFonts w:hint="eastAsia" w:ascii="Times New Roman" w:hAnsi="Times New Roman" w:eastAsia="仿宋"/>
          <w:snapToGrid w:val="0"/>
          <w:color w:val="000000" w:themeColor="text1"/>
          <w:sz w:val="28"/>
          <w:szCs w:val="28"/>
        </w:rPr>
        <w:t>项二级指标，</w:t>
      </w:r>
      <w:r>
        <w:rPr>
          <w:rFonts w:hint="eastAsia" w:ascii="Times New Roman" w:hAnsi="Times New Roman" w:eastAsia="仿宋"/>
          <w:snapToGrid w:val="0"/>
          <w:color w:val="000000" w:themeColor="text1"/>
          <w:sz w:val="28"/>
          <w:szCs w:val="28"/>
          <w:lang w:val="en-US" w:eastAsia="zh-CN"/>
        </w:rPr>
        <w:t>22</w:t>
      </w:r>
      <w:r>
        <w:rPr>
          <w:rFonts w:hint="eastAsia" w:ascii="Times New Roman" w:hAnsi="Times New Roman" w:eastAsia="仿宋"/>
          <w:snapToGrid w:val="0"/>
          <w:color w:val="000000" w:themeColor="text1"/>
          <w:sz w:val="28"/>
          <w:szCs w:val="28"/>
        </w:rPr>
        <w:t>项三级指标</w:t>
      </w:r>
      <w:r>
        <w:rPr>
          <w:rFonts w:ascii="Times New Roman" w:hAnsi="Times New Roman" w:eastAsia="仿宋"/>
          <w:snapToGrid w:val="0"/>
          <w:color w:val="000000" w:themeColor="text1"/>
          <w:sz w:val="28"/>
          <w:szCs w:val="28"/>
        </w:rPr>
        <w:t>构成</w:t>
      </w:r>
      <w:r>
        <w:rPr>
          <w:rFonts w:hint="eastAsia" w:ascii="Times New Roman" w:hAnsi="Times New Roman" w:eastAsia="仿宋"/>
          <w:snapToGrid w:val="0"/>
          <w:color w:val="000000" w:themeColor="text1"/>
          <w:sz w:val="28"/>
          <w:szCs w:val="28"/>
          <w:lang w:eastAsia="zh-CN"/>
        </w:rPr>
        <w:t>。</w:t>
      </w:r>
    </w:p>
    <w:bookmarkEnd w:id="74"/>
    <w:bookmarkEnd w:id="75"/>
    <w:bookmarkEnd w:id="76"/>
    <w:bookmarkEnd w:id="77"/>
    <w:p>
      <w:pPr>
        <w:pStyle w:val="3"/>
        <w:spacing w:before="156" w:beforeLines="50" w:after="156" w:afterLines="50" w:line="500" w:lineRule="exact"/>
        <w:ind w:firstLine="643" w:firstLineChars="200"/>
        <w:rPr>
          <w:rFonts w:ascii="仿宋" w:hAnsi="仿宋" w:eastAsia="仿宋"/>
        </w:rPr>
      </w:pPr>
      <w:bookmarkStart w:id="78" w:name="_Toc514537341"/>
      <w:bookmarkStart w:id="79" w:name="_Toc519354508"/>
      <w:bookmarkStart w:id="80" w:name="_Toc16385"/>
      <w:r>
        <w:rPr>
          <w:rFonts w:ascii="仿宋" w:hAnsi="仿宋" w:eastAsia="仿宋"/>
        </w:rPr>
        <w:t>（八）绩效评价工作组织</w:t>
      </w:r>
      <w:bookmarkEnd w:id="78"/>
      <w:bookmarkEnd w:id="79"/>
      <w:bookmarkEnd w:id="80"/>
    </w:p>
    <w:p>
      <w:pPr>
        <w:spacing w:line="500" w:lineRule="exact"/>
        <w:ind w:firstLine="562" w:firstLineChars="200"/>
        <w:rPr>
          <w:rFonts w:ascii="Times New Roman" w:hAnsi="Times New Roman" w:eastAsia="仿宋"/>
          <w:b/>
          <w:snapToGrid w:val="0"/>
          <w:sz w:val="28"/>
          <w:szCs w:val="32"/>
        </w:rPr>
      </w:pPr>
      <w:bookmarkStart w:id="81" w:name="_Toc510527466"/>
      <w:bookmarkStart w:id="82" w:name="_Toc469065900"/>
      <w:bookmarkStart w:id="83" w:name="_Toc511654628"/>
      <w:bookmarkStart w:id="84" w:name="_Toc469065648"/>
      <w:bookmarkStart w:id="85" w:name="_Toc479102151"/>
      <w:bookmarkStart w:id="86" w:name="_Toc469065558"/>
      <w:r>
        <w:rPr>
          <w:rFonts w:ascii="Times New Roman" w:hAnsi="Times New Roman" w:eastAsia="仿宋"/>
          <w:b/>
          <w:snapToGrid w:val="0"/>
          <w:sz w:val="28"/>
          <w:szCs w:val="32"/>
        </w:rPr>
        <w:t>1.组织框架</w:t>
      </w:r>
      <w:bookmarkEnd w:id="81"/>
      <w:bookmarkEnd w:id="82"/>
      <w:bookmarkEnd w:id="83"/>
      <w:bookmarkEnd w:id="84"/>
      <w:bookmarkEnd w:id="85"/>
      <w:bookmarkEnd w:id="86"/>
    </w:p>
    <w:p>
      <w:pPr>
        <w:tabs>
          <w:tab w:val="left" w:pos="1276"/>
        </w:tabs>
        <w:spacing w:line="500" w:lineRule="exact"/>
        <w:ind w:firstLine="560" w:firstLineChars="200"/>
        <w:contextualSpacing/>
        <w:rPr>
          <w:rFonts w:ascii="Times New Roman" w:hAnsi="Times New Roman" w:eastAsia="仿宋"/>
          <w:snapToGrid w:val="0"/>
          <w:sz w:val="28"/>
          <w:szCs w:val="32"/>
        </w:rPr>
      </w:pPr>
      <w:r>
        <w:rPr>
          <w:rFonts w:ascii="Times New Roman" w:hAnsi="Times New Roman" w:eastAsia="仿宋"/>
          <w:snapToGrid w:val="0"/>
          <w:sz w:val="28"/>
          <w:szCs w:val="32"/>
        </w:rPr>
        <w:t>为作好本次绩效评价工作，山西恒略绩效管理咨询有限公司成立了专门的绩效评价项目工作组，工作组组织框架情况如下图：</w:t>
      </w:r>
    </w:p>
    <w:p>
      <w:pPr>
        <w:tabs>
          <w:tab w:val="left" w:pos="1276"/>
        </w:tabs>
        <w:contextualSpacing/>
        <w:jc w:val="left"/>
        <w:rPr>
          <w:rFonts w:ascii="Times New Roman" w:hAnsi="Times New Roman" w:eastAsia="仿宋"/>
          <w:snapToGrid w:val="0"/>
          <w:sz w:val="32"/>
          <w:szCs w:val="32"/>
        </w:rPr>
      </w:pPr>
      <w:r>
        <w:rPr>
          <w:rFonts w:ascii="Times New Roman" w:hAnsi="Times New Roman" w:eastAsia="仿宋"/>
          <w:snapToGrid w:val="0"/>
          <w:sz w:val="32"/>
          <w:szCs w:val="32"/>
        </w:rPr>
        <w:drawing>
          <wp:inline distT="0" distB="0" distL="114300" distR="114300">
            <wp:extent cx="5124450" cy="3486150"/>
            <wp:effectExtent l="0" t="0" r="0" b="0"/>
            <wp:docPr id="4" name="图片 4" descr="微信图片_20181204160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181204160335"/>
                    <pic:cNvPicPr>
                      <a:picLocks noChangeAspect="1"/>
                    </pic:cNvPicPr>
                  </pic:nvPicPr>
                  <pic:blipFill>
                    <a:blip r:embed="rId12"/>
                    <a:stretch>
                      <a:fillRect/>
                    </a:stretch>
                  </pic:blipFill>
                  <pic:spPr>
                    <a:xfrm>
                      <a:off x="0" y="0"/>
                      <a:ext cx="5124450" cy="3486150"/>
                    </a:xfrm>
                    <a:prstGeom prst="rect">
                      <a:avLst/>
                    </a:prstGeom>
                  </pic:spPr>
                </pic:pic>
              </a:graphicData>
            </a:graphic>
          </wp:inline>
        </w:drawing>
      </w:r>
    </w:p>
    <w:p>
      <w:pPr>
        <w:tabs>
          <w:tab w:val="left" w:pos="1276"/>
        </w:tabs>
        <w:spacing w:line="500" w:lineRule="exact"/>
        <w:contextualSpacing/>
        <w:jc w:val="center"/>
        <w:rPr>
          <w:rFonts w:ascii="Times New Roman" w:hAnsi="Times New Roman" w:eastAsia="仿宋"/>
          <w:b/>
          <w:snapToGrid w:val="0"/>
          <w:sz w:val="24"/>
        </w:rPr>
      </w:pPr>
      <w:r>
        <w:rPr>
          <w:rFonts w:ascii="Times New Roman" w:hAnsi="Times New Roman" w:eastAsia="仿宋"/>
          <w:b/>
          <w:snapToGrid w:val="0"/>
          <w:sz w:val="24"/>
        </w:rPr>
        <w:t>图3-1 组织框架图</w:t>
      </w:r>
    </w:p>
    <w:p>
      <w:pPr>
        <w:spacing w:line="500" w:lineRule="exact"/>
        <w:ind w:firstLine="562" w:firstLineChars="200"/>
        <w:rPr>
          <w:rFonts w:ascii="Times New Roman" w:hAnsi="Times New Roman" w:eastAsia="仿宋"/>
          <w:b/>
          <w:snapToGrid w:val="0"/>
          <w:sz w:val="28"/>
          <w:szCs w:val="32"/>
        </w:rPr>
      </w:pPr>
      <w:bookmarkStart w:id="87" w:name="_Toc511654629"/>
      <w:r>
        <w:rPr>
          <w:rFonts w:ascii="Times New Roman" w:hAnsi="Times New Roman" w:eastAsia="仿宋"/>
          <w:b/>
          <w:snapToGrid w:val="0"/>
          <w:sz w:val="28"/>
          <w:szCs w:val="32"/>
        </w:rPr>
        <w:t>2.评价团队成员</w:t>
      </w:r>
      <w:bookmarkEnd w:id="87"/>
    </w:p>
    <w:p>
      <w:pPr>
        <w:pStyle w:val="17"/>
        <w:spacing w:line="500" w:lineRule="exact"/>
        <w:ind w:firstLine="560" w:firstLineChars="200"/>
        <w:jc w:val="both"/>
        <w:rPr>
          <w:rFonts w:ascii="Times New Roman" w:hAnsi="Times New Roman" w:eastAsia="仿宋"/>
          <w:snapToGrid w:val="0"/>
          <w:kern w:val="2"/>
          <w:sz w:val="28"/>
          <w:szCs w:val="32"/>
        </w:rPr>
      </w:pPr>
      <w:r>
        <w:rPr>
          <w:rFonts w:ascii="Times New Roman" w:hAnsi="Times New Roman" w:eastAsia="仿宋"/>
          <w:snapToGrid w:val="0"/>
          <w:kern w:val="2"/>
          <w:sz w:val="28"/>
          <w:szCs w:val="32"/>
        </w:rPr>
        <w:t>工作组人员情况如下表：</w:t>
      </w:r>
    </w:p>
    <w:p>
      <w:pPr>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表3-2 绩效评价人员分工及职责</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spacing w:line="500" w:lineRule="exact"/>
        <w:ind w:firstLine="562" w:firstLineChars="200"/>
        <w:rPr>
          <w:rFonts w:ascii="Times New Roman" w:hAnsi="Times New Roman" w:eastAsia="仿宋"/>
          <w:b/>
          <w:snapToGrid w:val="0"/>
          <w:sz w:val="28"/>
          <w:szCs w:val="32"/>
        </w:rPr>
      </w:pPr>
      <w:bookmarkStart w:id="88" w:name="_Toc511654630"/>
      <w:r>
        <w:rPr>
          <w:rFonts w:ascii="Times New Roman" w:hAnsi="Times New Roman" w:eastAsia="仿宋"/>
          <w:b/>
          <w:snapToGrid w:val="0"/>
          <w:sz w:val="28"/>
          <w:szCs w:val="32"/>
        </w:rPr>
        <w:t>3.</w:t>
      </w:r>
      <w:bookmarkEnd w:id="88"/>
      <w:r>
        <w:rPr>
          <w:rFonts w:ascii="Times New Roman" w:hAnsi="Times New Roman" w:eastAsia="仿宋"/>
          <w:b/>
          <w:snapToGrid w:val="0"/>
          <w:sz w:val="28"/>
          <w:szCs w:val="32"/>
        </w:rPr>
        <w:t>评价工作安排</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①评价准备阶段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（1）制定项目评价实施方案。评价机构在收集、审核资料的基础上，根据项目具体情况制定绩效评价实施方案，并拟定评价指标体系，细化评分标准，于 10月27日前报县财政局预算绩效股。</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（2）确认项目评价实施方案。县财政局预算绩效股于11月3日前组织局机关相关部门预算管理股室、绩效评价专家对评价机构上报的项目评价实施方案及指标体系进行评审论证。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②评价实施阶段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（1）收集、审核资料。评价机构在全面收集资料的基础上，根据经审核后的评价实施方案，对已收集的资料进行分类整理、审查和分析。</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（2）现场勘查。评价机构根据评价对象的特点和项目承担单位提供的数据资料，进行现场调研、座谈及实地勘察验证。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（3）综合评价。评价机构根据评价实施方案确定的评价指标、评价权重、评价标准和评价方法，对评价对象的绩效情况进行全面的定量定性分析和综合评价，形成评价结论。</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③报告撰写阶段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撰写评价报告。评价机构根据被评价单位的绩效评价情况，按要求撰写评价报告。报告应包括以下主要内容：被评价对象项目基本情况，绩效评价工作开展情况，绩效评价指标体系和评价方法，综合评价情况及评价结论，绩效评价指标分析，项目（政策）主要经验、做法和存在的问题及原因分析、改进建议及评价结果应用建议等。</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（2）与被评价部门（单位）交换意见。 评价机构与被评价部门（单位）交换意见后，对报告进行修改完善，形成评价结论，于11月30日前将评价报告报送县财政局预算绩效股。</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审核绩效评价报告。县财政局预算绩效股组织专家对绩效评价报告进行评审，主要从报告内容完整性、评价方法的科学性、评价结论的合理性、问题分析的全面性、建议的可行性等方面进行审核，提出审核意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（4）专家组于12月10日前提交书面评价结果意见。</w:t>
      </w:r>
    </w:p>
    <w:p>
      <w:pPr>
        <w:widowControl/>
        <w:spacing w:line="500" w:lineRule="exact"/>
        <w:ind w:firstLine="560" w:firstLineChars="200"/>
        <w:rPr>
          <w:rFonts w:ascii="Times New Roman" w:hAnsi="Times New Roman" w:eastAsia="仿宋" w:cs="Times New Roman"/>
          <w:snapToGrid w:val="0"/>
          <w:sz w:val="28"/>
          <w:szCs w:val="28"/>
        </w:rPr>
      </w:pPr>
      <w:r>
        <w:rPr>
          <w:rFonts w:hint="eastAsia" w:ascii="Times New Roman" w:hAnsi="Times New Roman" w:eastAsia="仿宋" w:cs="Times New Roman"/>
          <w:bCs/>
          <w:kern w:val="0"/>
          <w:sz w:val="28"/>
          <w:szCs w:val="32"/>
          <w:lang w:val="en-US" w:eastAsia="zh-CN"/>
        </w:rPr>
        <w:t>（5）评价机构根据专家意见修改评价报告，于12月20日前提交正式评价报告</w:t>
      </w:r>
      <w:r>
        <w:rPr>
          <w:rFonts w:ascii="Times New Roman" w:hAnsi="Times New Roman" w:eastAsia="仿宋" w:cs="Times New Roman"/>
          <w:snapToGrid w:val="0"/>
          <w:sz w:val="28"/>
          <w:szCs w:val="28"/>
        </w:rPr>
        <w:t>。</w:t>
      </w:r>
    </w:p>
    <w:p>
      <w:pPr>
        <w:pStyle w:val="2"/>
        <w:spacing w:before="312" w:beforeLines="100" w:after="312" w:afterLines="100" w:line="500" w:lineRule="exact"/>
        <w:rPr>
          <w:rFonts w:ascii="Times New Roman" w:hAnsi="Times New Roman" w:eastAsia="黑体"/>
          <w:b w:val="0"/>
          <w:sz w:val="32"/>
          <w:szCs w:val="32"/>
        </w:rPr>
      </w:pPr>
      <w:bookmarkStart w:id="89" w:name="_Toc519354509"/>
      <w:bookmarkStart w:id="90" w:name="_Toc514537342"/>
      <w:bookmarkStart w:id="91" w:name="_Toc15409"/>
      <w:r>
        <w:rPr>
          <w:rFonts w:ascii="Times New Roman" w:hAnsi="Times New Roman" w:eastAsia="黑体"/>
          <w:b w:val="0"/>
          <w:sz w:val="32"/>
          <w:szCs w:val="32"/>
        </w:rPr>
        <w:t>四、绩效评价指标分析情况</w:t>
      </w:r>
      <w:bookmarkEnd w:id="89"/>
      <w:bookmarkEnd w:id="90"/>
      <w:bookmarkEnd w:id="91"/>
    </w:p>
    <w:p>
      <w:pPr>
        <w:pStyle w:val="3"/>
        <w:spacing w:before="156" w:beforeLines="50" w:after="156" w:afterLines="50" w:line="500" w:lineRule="exact"/>
        <w:ind w:firstLine="643" w:firstLineChars="200"/>
        <w:rPr>
          <w:rFonts w:ascii="仿宋" w:hAnsi="仿宋" w:eastAsia="仿宋"/>
        </w:rPr>
      </w:pPr>
      <w:bookmarkStart w:id="92" w:name="_Toc514537343"/>
      <w:bookmarkStart w:id="93" w:name="_Toc25802"/>
      <w:r>
        <w:rPr>
          <w:rFonts w:ascii="仿宋" w:hAnsi="仿宋" w:eastAsia="仿宋"/>
        </w:rPr>
        <w:t>（一）分项分析与汇总</w:t>
      </w:r>
      <w:bookmarkEnd w:id="92"/>
      <w:bookmarkEnd w:id="93"/>
    </w:p>
    <w:p>
      <w:pPr>
        <w:spacing w:line="500" w:lineRule="exact"/>
        <w:ind w:firstLine="562" w:firstLineChars="200"/>
        <w:outlineLvl w:val="2"/>
        <w:rPr>
          <w:rFonts w:ascii="Times New Roman" w:hAnsi="Times New Roman" w:eastAsia="仿宋"/>
          <w:b/>
          <w:snapToGrid w:val="0"/>
          <w:sz w:val="28"/>
          <w:szCs w:val="32"/>
        </w:rPr>
      </w:pPr>
      <w:bookmarkStart w:id="94" w:name="_Toc528684141"/>
      <w:bookmarkStart w:id="95" w:name="_Toc15599"/>
      <w:bookmarkStart w:id="96" w:name="_Toc19401"/>
      <w:bookmarkStart w:id="97" w:name="_Toc501"/>
      <w:bookmarkStart w:id="98" w:name="_Toc528680466"/>
      <w:bookmarkStart w:id="99" w:name="_Toc27419"/>
      <w:bookmarkStart w:id="100" w:name="_Toc23016"/>
      <w:bookmarkStart w:id="101" w:name="_Toc12732"/>
      <w:r>
        <w:rPr>
          <w:rFonts w:ascii="Times New Roman" w:hAnsi="Times New Roman" w:eastAsia="仿宋"/>
          <w:b/>
          <w:snapToGrid w:val="0"/>
          <w:sz w:val="28"/>
          <w:szCs w:val="32"/>
        </w:rPr>
        <w:t>1</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决策分析</w:t>
      </w:r>
      <w:bookmarkEnd w:id="94"/>
      <w:bookmarkEnd w:id="95"/>
      <w:bookmarkEnd w:id="96"/>
      <w:bookmarkEnd w:id="97"/>
      <w:bookmarkEnd w:id="98"/>
      <w:bookmarkEnd w:id="99"/>
      <w:bookmarkEnd w:id="100"/>
      <w:bookmarkEnd w:id="101"/>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决策类指标主要从立项依据充分性、立项程序规范性、绩效目标合理性、绩效指标明确性、资金分配合理性、预算编制科学性6个指标考察该项目立项、绩效目标、资金投入情况。决策类指标权重分20.00分，实际得分为</w:t>
      </w:r>
      <w:r>
        <w:rPr>
          <w:rFonts w:hint="eastAsia" w:ascii="Times New Roman" w:hAnsi="Times New Roman" w:eastAsia="仿宋"/>
          <w:snapToGrid w:val="0"/>
          <w:sz w:val="28"/>
          <w:szCs w:val="32"/>
          <w:lang w:val="en-US" w:eastAsia="zh-CN"/>
        </w:rPr>
        <w:t>20</w:t>
      </w:r>
      <w:r>
        <w:rPr>
          <w:rFonts w:ascii="Times New Roman" w:hAnsi="Times New Roman" w:eastAsia="仿宋"/>
          <w:snapToGrid w:val="0"/>
          <w:sz w:val="28"/>
          <w:szCs w:val="32"/>
        </w:rPr>
        <w:t>.00分。指标得分情况表如下：</w:t>
      </w:r>
    </w:p>
    <w:p>
      <w:pPr>
        <w:widowControl/>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表4-1 决策类指标得分情况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30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9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9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541"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A1项目立项</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A11立项依据充分性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A12立项程序规范性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A2绩效目标</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A21绩效目标合理性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A22绩效指标明确性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w:t>
            </w:r>
          </w:p>
        </w:tc>
        <w:tc>
          <w:tcPr>
            <w:tcW w:w="1541"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A3资金投入</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A31资金分配合理性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A32预算编制科学性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049"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96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20.00</w:t>
            </w:r>
          </w:p>
        </w:tc>
        <w:tc>
          <w:tcPr>
            <w:tcW w:w="1541"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（1）项目立项</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A11立项依据充分性：</w:t>
      </w:r>
      <w:r>
        <w:rPr>
          <w:rFonts w:ascii="Times New Roman" w:hAnsi="Times New Roman" w:eastAsia="仿宋"/>
          <w:bCs/>
          <w:snapToGrid w:val="0"/>
          <w:sz w:val="28"/>
          <w:szCs w:val="32"/>
        </w:rPr>
        <w:t>满分3.00分，得分3.00分。</w:t>
      </w:r>
      <w:r>
        <w:rPr>
          <w:rFonts w:hint="eastAsia" w:ascii="Times New Roman" w:hAnsi="Times New Roman" w:eastAsia="仿宋"/>
          <w:bCs/>
          <w:snapToGrid w:val="0"/>
          <w:sz w:val="28"/>
          <w:szCs w:val="32"/>
        </w:rPr>
        <w:t>该指标主要分析评价项目是否符合相关政策性文件精神，是否符合国家和地区的战略目标、发展规划、工作计划；项目是否与项目单位职责有关。通过现场查阅项目的立项申请及批复文件，项目以《中华人民共和国民政部民政事业发展第十四个五年规划（2020-2025）》、《中华人民共和国城乡规划法》（2019年修正）、《山西省城乡规划管理条例）（2010年）、《殡葬管理条例》（2012年修正本）、《山西省殡葬管理办法》（2000年）、《山西省“十四五”民政事业发展规划》（2020-2025）、《关于进一步深化殡葬改革促进殡葬事业科学发展的指导意见》（民发〔2009〕170号）</w:t>
      </w:r>
      <w:r>
        <w:rPr>
          <w:rFonts w:hint="eastAsia" w:ascii="Times New Roman" w:hAnsi="Times New Roman" w:eastAsia="仿宋"/>
          <w:bCs/>
          <w:snapToGrid w:val="0"/>
          <w:sz w:val="28"/>
          <w:szCs w:val="32"/>
          <w:lang w:val="en-US" w:eastAsia="zh-CN"/>
        </w:rPr>
        <w:t>等</w:t>
      </w:r>
      <w:r>
        <w:rPr>
          <w:rFonts w:hint="eastAsia" w:ascii="Times New Roman" w:hAnsi="Times New Roman" w:eastAsia="仿宋"/>
          <w:bCs/>
          <w:snapToGrid w:val="0"/>
          <w:sz w:val="28"/>
          <w:szCs w:val="32"/>
        </w:rPr>
        <w:t>文件作为依据；</w:t>
      </w:r>
      <w:r>
        <w:rPr>
          <w:rFonts w:ascii="Times New Roman" w:hAnsi="Times New Roman" w:eastAsia="仿宋"/>
          <w:bCs/>
          <w:snapToGrid w:val="0"/>
          <w:sz w:val="28"/>
          <w:szCs w:val="32"/>
        </w:rPr>
        <w:t>项目申报、审核、批复资料基本齐全、准确、符合相关要求，立项依据充分。根据评分标准，该项得满分</w:t>
      </w:r>
      <w:r>
        <w:rPr>
          <w:rFonts w:ascii="Times New Roman" w:hAnsi="Times New Roman" w:eastAsia="仿宋"/>
          <w:snapToGrid w:val="0"/>
          <w:sz w:val="28"/>
          <w:szCs w:val="32"/>
        </w:rPr>
        <w:t>。</w:t>
      </w:r>
    </w:p>
    <w:p>
      <w:pPr>
        <w:widowControl/>
        <w:spacing w:line="500" w:lineRule="exact"/>
        <w:ind w:firstLine="562" w:firstLineChars="200"/>
        <w:rPr>
          <w:rFonts w:ascii="Times New Roman" w:hAnsi="Times New Roman" w:eastAsia="仿宋"/>
          <w:bCs/>
          <w:snapToGrid w:val="0"/>
          <w:sz w:val="28"/>
          <w:szCs w:val="32"/>
        </w:rPr>
      </w:pPr>
      <w:r>
        <w:rPr>
          <w:rFonts w:ascii="Times New Roman" w:hAnsi="Times New Roman" w:eastAsia="仿宋"/>
          <w:b/>
          <w:snapToGrid w:val="0"/>
          <w:sz w:val="28"/>
          <w:szCs w:val="32"/>
        </w:rPr>
        <w:t>A12立项程序规范性：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rPr>
        <w:t>该指标主要分析评价项目</w:t>
      </w:r>
      <w:r>
        <w:rPr>
          <w:rFonts w:hint="eastAsia" w:ascii="Times New Roman" w:hAnsi="Times New Roman" w:eastAsia="仿宋"/>
          <w:bCs/>
          <w:snapToGrid w:val="0"/>
          <w:sz w:val="28"/>
          <w:szCs w:val="32"/>
          <w:lang w:val="en-US" w:eastAsia="zh-CN"/>
        </w:rPr>
        <w:t>立项程序是否规范</w:t>
      </w:r>
      <w:r>
        <w:rPr>
          <w:rFonts w:hint="eastAsia" w:ascii="Times New Roman" w:hAnsi="Times New Roman" w:eastAsia="仿宋"/>
          <w:bCs/>
          <w:snapToGrid w:val="0"/>
          <w:sz w:val="28"/>
          <w:szCs w:val="32"/>
        </w:rPr>
        <w:t>。项目按照规定的程序申请设立，</w:t>
      </w:r>
      <w:r>
        <w:rPr>
          <w:rFonts w:hint="eastAsia" w:ascii="Times New Roman" w:hAnsi="Times New Roman" w:eastAsia="仿宋"/>
          <w:bCs/>
          <w:snapToGrid w:val="0"/>
          <w:sz w:val="28"/>
          <w:szCs w:val="32"/>
          <w:lang w:val="en-US" w:eastAsia="zh-CN"/>
        </w:rPr>
        <w:t>项目申报程序规范；</w:t>
      </w:r>
      <w:r>
        <w:rPr>
          <w:rFonts w:hint="eastAsia" w:ascii="Times New Roman" w:hAnsi="Times New Roman" w:eastAsia="仿宋"/>
          <w:bCs/>
          <w:snapToGrid w:val="0"/>
          <w:sz w:val="28"/>
          <w:szCs w:val="32"/>
        </w:rPr>
        <w:t>审批文件、材料</w:t>
      </w:r>
      <w:r>
        <w:rPr>
          <w:rFonts w:hint="eastAsia" w:ascii="Times New Roman" w:hAnsi="Times New Roman" w:eastAsia="仿宋"/>
          <w:bCs/>
          <w:snapToGrid w:val="0"/>
          <w:sz w:val="28"/>
          <w:szCs w:val="32"/>
          <w:lang w:val="en-US" w:eastAsia="zh-CN"/>
        </w:rPr>
        <w:t>齐全</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rPr>
        <w:t>事前已经过</w:t>
      </w:r>
      <w:r>
        <w:rPr>
          <w:rFonts w:hint="eastAsia" w:ascii="Times New Roman" w:hAnsi="Times New Roman" w:eastAsia="仿宋"/>
          <w:bCs/>
          <w:snapToGrid w:val="0"/>
          <w:sz w:val="28"/>
          <w:szCs w:val="32"/>
          <w:lang w:val="en-US" w:eastAsia="zh-CN"/>
        </w:rPr>
        <w:t>古县民政局集体决策研究</w:t>
      </w:r>
      <w:r>
        <w:rPr>
          <w:rFonts w:hint="eastAsia" w:ascii="Times New Roman" w:hAnsi="Times New Roman" w:eastAsia="仿宋"/>
          <w:bCs/>
          <w:snapToGrid w:val="0"/>
          <w:sz w:val="28"/>
          <w:szCs w:val="32"/>
        </w:rPr>
        <w:t>。</w:t>
      </w:r>
      <w:r>
        <w:rPr>
          <w:rFonts w:ascii="Times New Roman" w:hAnsi="Times New Roman" w:eastAsia="仿宋"/>
          <w:bCs/>
          <w:snapToGrid w:val="0"/>
          <w:sz w:val="28"/>
          <w:szCs w:val="32"/>
        </w:rPr>
        <w:t>根据评分标准，该项得满分。</w:t>
      </w:r>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bCs/>
          <w:snapToGrid w:val="0"/>
          <w:sz w:val="28"/>
          <w:szCs w:val="32"/>
        </w:rPr>
        <w:t>（2）绩效目标</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A12绩效目标合理性：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lang w:eastAsia="zh-CN"/>
        </w:rPr>
        <w:t>该指标主要项目所设定的绩效目标是否依据充分，是否符合客观实际，用以反映和考核项目绩效目标与项目实施的相符情况。绩效评价人员通过查阅申报材料，</w:t>
      </w:r>
      <w:r>
        <w:rPr>
          <w:rFonts w:hint="eastAsia" w:ascii="Times New Roman" w:hAnsi="Times New Roman" w:eastAsia="仿宋"/>
          <w:bCs/>
          <w:snapToGrid w:val="0"/>
          <w:sz w:val="28"/>
          <w:szCs w:val="32"/>
          <w:lang w:val="en-US" w:eastAsia="zh-CN"/>
        </w:rPr>
        <w:t>该项</w:t>
      </w:r>
      <w:r>
        <w:rPr>
          <w:rFonts w:hint="eastAsia" w:ascii="Times New Roman" w:hAnsi="Times New Roman" w:eastAsia="仿宋"/>
          <w:bCs/>
          <w:snapToGrid w:val="0"/>
          <w:sz w:val="28"/>
          <w:szCs w:val="32"/>
          <w:lang w:eastAsia="zh-CN"/>
        </w:rPr>
        <w:t>目有绩效目标，项目绩效目标与实际工作内容具有相关性，项目预期产出效益和效果符合正常的业绩水平；</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lang w:eastAsia="zh-CN"/>
        </w:rPr>
        <w:t>与预算确定的项目投资额或资金量相匹配</w:t>
      </w:r>
      <w:r>
        <w:rPr>
          <w:rFonts w:ascii="Times New Roman" w:hAnsi="Times New Roman" w:eastAsia="仿宋"/>
          <w:snapToGrid w:val="0"/>
          <w:sz w:val="28"/>
          <w:szCs w:val="32"/>
        </w:rPr>
        <w:t>。根据评分标准，该项得满分。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A13绩效指标明确性：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w:t>
      </w:r>
      <w:r>
        <w:rPr>
          <w:rFonts w:hint="eastAsia" w:ascii="Times New Roman" w:hAnsi="Times New Roman" w:eastAsia="仿宋"/>
          <w:snapToGrid w:val="0"/>
          <w:sz w:val="28"/>
          <w:szCs w:val="32"/>
          <w:lang w:val="en-US" w:eastAsia="zh-CN"/>
        </w:rPr>
        <w:t>3</w:t>
      </w:r>
      <w:r>
        <w:rPr>
          <w:rFonts w:ascii="Times New Roman" w:hAnsi="Times New Roman" w:eastAsia="仿宋"/>
          <w:bCs/>
          <w:snapToGrid w:val="0"/>
          <w:sz w:val="28"/>
          <w:szCs w:val="32"/>
        </w:rPr>
        <w:t>.00</w:t>
      </w:r>
      <w:r>
        <w:rPr>
          <w:rFonts w:ascii="Times New Roman" w:hAnsi="Times New Roman" w:eastAsia="仿宋"/>
          <w:snapToGrid w:val="0"/>
          <w:sz w:val="28"/>
          <w:szCs w:val="32"/>
        </w:rPr>
        <w:t>分。项目立项时</w:t>
      </w:r>
      <w:r>
        <w:rPr>
          <w:rFonts w:hint="eastAsia" w:ascii="Times New Roman" w:hAnsi="Times New Roman" w:eastAsia="仿宋"/>
          <w:snapToGrid w:val="0"/>
          <w:sz w:val="28"/>
          <w:szCs w:val="32"/>
          <w:lang w:val="en-US" w:eastAsia="zh-CN"/>
        </w:rPr>
        <w:t>古县民政局</w:t>
      </w:r>
      <w:r>
        <w:rPr>
          <w:rFonts w:hint="eastAsia" w:ascii="Times New Roman" w:hAnsi="Times New Roman" w:eastAsia="仿宋"/>
          <w:snapToGrid w:val="0"/>
          <w:sz w:val="28"/>
          <w:szCs w:val="32"/>
        </w:rPr>
        <w:t>按照预算绩效管理要求设定了总体目标和具体目标，项目相关产出、效益指标也进行了设定，绩效目标做到了细化、量化，能够反映项目实际绩效情况</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（3）资金投入</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A31资金分配合理性：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殡仪馆建设改造补助资金项目</w:t>
      </w:r>
      <w:r>
        <w:rPr>
          <w:rFonts w:hint="eastAsia" w:ascii="Times New Roman" w:hAnsi="Times New Roman" w:eastAsia="仿宋"/>
          <w:snapToGrid w:val="0"/>
          <w:sz w:val="28"/>
          <w:szCs w:val="32"/>
        </w:rPr>
        <w:t>预算资金分配依据充分，</w:t>
      </w:r>
      <w:r>
        <w:rPr>
          <w:rFonts w:hint="eastAsia" w:ascii="Times New Roman" w:hAnsi="Times New Roman" w:eastAsia="仿宋"/>
          <w:snapToGrid w:val="0"/>
          <w:sz w:val="28"/>
          <w:szCs w:val="32"/>
          <w:lang w:val="en-US" w:eastAsia="zh-CN"/>
        </w:rPr>
        <w:t>预算资金经古县财政局预算评审，有明确依据</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资金分配额度合理，与项目单位</w:t>
      </w:r>
      <w:r>
        <w:rPr>
          <w:rFonts w:hint="eastAsia" w:ascii="Times New Roman" w:hAnsi="Times New Roman" w:eastAsia="仿宋"/>
          <w:snapToGrid w:val="0"/>
          <w:sz w:val="28"/>
          <w:szCs w:val="32"/>
          <w:lang w:val="en-US" w:eastAsia="zh-CN"/>
        </w:rPr>
        <w:t>实际工作任务及古县</w:t>
      </w:r>
      <w:r>
        <w:rPr>
          <w:rFonts w:hint="eastAsia" w:ascii="Times New Roman" w:hAnsi="Times New Roman" w:eastAsia="仿宋"/>
          <w:snapToGrid w:val="0"/>
          <w:sz w:val="28"/>
          <w:szCs w:val="32"/>
        </w:rPr>
        <w:t>地方实际相适应。</w:t>
      </w:r>
      <w:r>
        <w:rPr>
          <w:rFonts w:ascii="Times New Roman" w:hAnsi="Times New Roman" w:eastAsia="仿宋"/>
          <w:snapToGrid w:val="0"/>
          <w:sz w:val="28"/>
          <w:szCs w:val="32"/>
        </w:rPr>
        <w:t>本次绩效评价项目资金专项用于</w:t>
      </w:r>
      <w:r>
        <w:rPr>
          <w:rFonts w:hint="eastAsia" w:ascii="Times New Roman" w:hAnsi="Times New Roman" w:eastAsia="仿宋"/>
          <w:bCs/>
          <w:snapToGrid w:val="0"/>
          <w:sz w:val="28"/>
          <w:szCs w:val="32"/>
          <w:lang w:eastAsia="zh-CN"/>
        </w:rPr>
        <w:t>殡仪馆建设改造补助资金项目</w:t>
      </w:r>
      <w:r>
        <w:rPr>
          <w:rFonts w:ascii="Times New Roman" w:hAnsi="Times New Roman" w:eastAsia="仿宋"/>
          <w:snapToGrid w:val="0"/>
          <w:sz w:val="28"/>
          <w:szCs w:val="32"/>
        </w:rPr>
        <w:t>，实际执行过程中，资金分配符合</w:t>
      </w:r>
      <w:r>
        <w:rPr>
          <w:rFonts w:hint="eastAsia" w:ascii="Times New Roman" w:hAnsi="Times New Roman" w:eastAsia="仿宋"/>
          <w:snapToGrid w:val="0"/>
          <w:sz w:val="28"/>
          <w:szCs w:val="32"/>
          <w:lang w:val="en-US" w:eastAsia="zh-CN"/>
        </w:rPr>
        <w:t>文件</w:t>
      </w:r>
      <w:r>
        <w:rPr>
          <w:rFonts w:ascii="Times New Roman" w:hAnsi="Times New Roman" w:eastAsia="仿宋"/>
          <w:snapToGrid w:val="0"/>
          <w:sz w:val="28"/>
          <w:szCs w:val="32"/>
        </w:rPr>
        <w:t>要求。根据评分标准，该项得满分。</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A32预算编制科学性：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殡仪馆建设改造补助资金项目预算编制经过了科学论证，有相关设计及工程量测算；预算内容与项目内容匹配，</w:t>
      </w:r>
      <w:r>
        <w:rPr>
          <w:rFonts w:hint="eastAsia" w:ascii="Times New Roman" w:hAnsi="Times New Roman" w:eastAsia="仿宋" w:cs="Times New Roman"/>
          <w:sz w:val="28"/>
          <w:szCs w:val="24"/>
          <w:lang w:val="en-US" w:eastAsia="zh-CN"/>
        </w:rPr>
        <w:t>根据《关于古县殡仪馆建设项目初步设计进行审批的申请》（古民字〔2021〕8号），2021年10月20日，古县行政审批服务管理局《关于古县殡仪馆建设项目初步设计的批复》（古审管审发〔2021〕69号），项目总投资及资金来源：本项目概算总投资1798.17万元。其中：工程建设费1574.03万元，工程建设其他费138.51万元，预备费85.63万元。本项目所需资金除申请上级资金外，其余部分由当地配套</w:t>
      </w:r>
      <w:r>
        <w:rPr>
          <w:rFonts w:hint="eastAsia" w:ascii="Times New Roman" w:hAnsi="Times New Roman" w:eastAsia="仿宋"/>
          <w:snapToGrid w:val="0"/>
          <w:sz w:val="28"/>
          <w:szCs w:val="32"/>
          <w:lang w:val="en-US" w:eastAsia="zh-CN"/>
        </w:rPr>
        <w:t>，预算额度测算依据充分，按照标准编制，预算编制较为科学；预算确定的项目投资额与工作任务相匹配，投资额涵盖本次项目涉及的所有内容</w:t>
      </w:r>
      <w:r>
        <w:rPr>
          <w:rFonts w:ascii="Times New Roman" w:hAnsi="Times New Roman" w:eastAsia="仿宋"/>
          <w:snapToGrid w:val="0"/>
          <w:sz w:val="28"/>
          <w:szCs w:val="32"/>
        </w:rPr>
        <w:t>。该项目预算科学、合理。根据评分标准，该项得满分</w:t>
      </w:r>
      <w:bookmarkStart w:id="102" w:name="_Toc528684142"/>
      <w:bookmarkStart w:id="103" w:name="_Toc19896"/>
      <w:bookmarkStart w:id="104" w:name="_Toc528680467"/>
      <w:bookmarkStart w:id="105" w:name="_Toc8610"/>
      <w:bookmarkStart w:id="106" w:name="_Toc18414"/>
      <w:r>
        <w:rPr>
          <w:rFonts w:ascii="Times New Roman" w:hAnsi="Times New Roman" w:eastAsia="仿宋"/>
          <w:snapToGrid w:val="0"/>
          <w:sz w:val="28"/>
          <w:szCs w:val="32"/>
        </w:rPr>
        <w:t>。</w:t>
      </w:r>
    </w:p>
    <w:p>
      <w:pPr>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2</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过程分析</w:t>
      </w:r>
      <w:bookmarkEnd w:id="102"/>
      <w:bookmarkEnd w:id="103"/>
      <w:bookmarkEnd w:id="104"/>
      <w:bookmarkEnd w:id="105"/>
      <w:bookmarkEnd w:id="106"/>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过程类指标主要从资金到位率、预算执行率、资金使用合规性、管理制度健全性、制度执行有效性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招投标过程规范性、建立过程规范性、安全事故发生率8</w:t>
      </w:r>
      <w:r>
        <w:rPr>
          <w:rFonts w:ascii="Times New Roman" w:hAnsi="Times New Roman" w:eastAsia="仿宋"/>
          <w:snapToGrid w:val="0"/>
          <w:sz w:val="28"/>
          <w:szCs w:val="32"/>
        </w:rPr>
        <w:t>个指标考核该项目资金管理及组织实施情况，过程类指标</w:t>
      </w:r>
      <w:r>
        <w:rPr>
          <w:rFonts w:ascii="Times New Roman" w:hAnsi="Times New Roman" w:eastAsia="仿宋"/>
          <w:snapToGrid w:val="0"/>
          <w:color w:val="auto"/>
          <w:sz w:val="28"/>
          <w:szCs w:val="32"/>
        </w:rPr>
        <w:t>权重20.00分，实际得分</w:t>
      </w:r>
      <w:r>
        <w:rPr>
          <w:rFonts w:hint="eastAsia" w:ascii="Times New Roman" w:hAnsi="Times New Roman" w:eastAsia="仿宋"/>
          <w:snapToGrid w:val="0"/>
          <w:color w:val="auto"/>
          <w:sz w:val="28"/>
          <w:szCs w:val="32"/>
          <w:lang w:val="en-US" w:eastAsia="zh-CN"/>
        </w:rPr>
        <w:t>19.00</w:t>
      </w:r>
      <w:r>
        <w:rPr>
          <w:rFonts w:ascii="Times New Roman" w:hAnsi="Times New Roman" w:eastAsia="仿宋"/>
          <w:snapToGrid w:val="0"/>
          <w:color w:val="auto"/>
          <w:sz w:val="28"/>
          <w:szCs w:val="32"/>
        </w:rPr>
        <w:t>分。</w:t>
      </w:r>
      <w:r>
        <w:rPr>
          <w:rFonts w:ascii="Times New Roman" w:hAnsi="Times New Roman" w:eastAsia="仿宋"/>
          <w:snapToGrid w:val="0"/>
          <w:sz w:val="28"/>
          <w:szCs w:val="32"/>
        </w:rPr>
        <w:t>指标得分情况如表4-2所示：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3416"/>
        <w:gridCol w:w="895"/>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341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895"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949"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428"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jc w:val="center"/>
              <w:rPr>
                <w:rFonts w:ascii="Times New Roman" w:hAnsi="Times New Roman" w:eastAsia="仿宋"/>
                <w:bCs/>
                <w:sz w:val="24"/>
              </w:rPr>
            </w:pPr>
            <w:r>
              <w:rPr>
                <w:rFonts w:ascii="Times New Roman" w:hAnsi="Times New Roman" w:eastAsia="仿宋"/>
                <w:bCs/>
                <w:sz w:val="24"/>
              </w:rPr>
              <w:t>B1资金管理</w:t>
            </w: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B11资金到位率</w:t>
            </w:r>
          </w:p>
        </w:tc>
        <w:tc>
          <w:tcPr>
            <w:tcW w:w="895"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49"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4.00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B12预算执行率</w:t>
            </w:r>
          </w:p>
        </w:tc>
        <w:tc>
          <w:tcPr>
            <w:tcW w:w="895" w:type="dxa"/>
            <w:vAlign w:val="center"/>
          </w:tcPr>
          <w:p>
            <w:pPr>
              <w:jc w:val="center"/>
              <w:rPr>
                <w:rFonts w:ascii="Times New Roman" w:hAnsi="Times New Roman" w:eastAsia="仿宋"/>
                <w:bCs/>
                <w:color w:val="auto"/>
                <w:sz w:val="24"/>
              </w:rPr>
            </w:pPr>
            <w:r>
              <w:rPr>
                <w:rFonts w:ascii="Times New Roman" w:hAnsi="Times New Roman" w:eastAsia="仿宋"/>
                <w:bCs/>
                <w:color w:val="auto"/>
                <w:sz w:val="24"/>
              </w:rPr>
              <w:t>4.00</w:t>
            </w:r>
          </w:p>
        </w:tc>
        <w:tc>
          <w:tcPr>
            <w:tcW w:w="949" w:type="dxa"/>
            <w:vAlign w:val="center"/>
          </w:tcPr>
          <w:p>
            <w:pPr>
              <w:jc w:val="center"/>
              <w:rPr>
                <w:rFonts w:hint="default" w:ascii="Times New Roman" w:hAnsi="Times New Roman" w:eastAsia="仿宋"/>
                <w:bCs/>
                <w:color w:val="auto"/>
                <w:sz w:val="24"/>
                <w:lang w:val="en-US" w:eastAsia="zh-CN"/>
              </w:rPr>
            </w:pPr>
            <w:r>
              <w:rPr>
                <w:rFonts w:hint="eastAsia" w:ascii="Times New Roman" w:hAnsi="Times New Roman" w:eastAsia="仿宋"/>
                <w:bCs/>
                <w:sz w:val="24"/>
                <w:lang w:val="en-US" w:eastAsia="zh-CN"/>
              </w:rPr>
              <w:t>4.00</w:t>
            </w:r>
          </w:p>
        </w:tc>
        <w:tc>
          <w:tcPr>
            <w:tcW w:w="1428" w:type="dxa"/>
            <w:vAlign w:val="center"/>
          </w:tcPr>
          <w:p>
            <w:pPr>
              <w:jc w:val="center"/>
              <w:rPr>
                <w:rFonts w:ascii="Times New Roman" w:hAnsi="Times New Roman" w:eastAsia="仿宋"/>
                <w:bCs/>
                <w:color w:val="auto"/>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B13资金使用合规性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jc w:val="center"/>
              <w:rPr>
                <w:rFonts w:ascii="Times New Roman" w:hAnsi="Times New Roman" w:eastAsia="仿宋"/>
                <w:bCs/>
                <w:sz w:val="24"/>
              </w:rPr>
            </w:pPr>
            <w:r>
              <w:rPr>
                <w:rFonts w:ascii="Times New Roman" w:hAnsi="Times New Roman" w:eastAsia="仿宋"/>
                <w:bCs/>
                <w:sz w:val="24"/>
              </w:rPr>
              <w:t>B2组织实施</w:t>
            </w: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B21管理制度健全性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B22制度执行有效性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B23招投标过程规范性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B24监理过程规范性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w:t>
            </w:r>
            <w:r>
              <w:rPr>
                <w:rFonts w:ascii="Times New Roman" w:hAnsi="Times New Roman" w:eastAsia="仿宋"/>
                <w:bCs/>
                <w:sz w:val="24"/>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B25安全事故发生率</w:t>
            </w:r>
          </w:p>
        </w:tc>
        <w:tc>
          <w:tcPr>
            <w:tcW w:w="895"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949"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1428" w:type="dxa"/>
            <w:vAlign w:val="center"/>
          </w:tcPr>
          <w:p>
            <w:pPr>
              <w:jc w:val="center"/>
              <w:rPr>
                <w:rFonts w:ascii="Times New Roman" w:hAnsi="Times New Roman" w:eastAsia="仿宋"/>
                <w:bCs/>
                <w:color w:val="auto"/>
                <w:sz w:val="24"/>
              </w:rPr>
            </w:pPr>
            <w:r>
              <w:rPr>
                <w:rFonts w:ascii="Times New Roman" w:hAnsi="Times New Roman" w:eastAsia="仿宋"/>
                <w:bCs/>
                <w:color w:val="auto"/>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5250"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895"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949"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（1）资金管理</w:t>
      </w:r>
    </w:p>
    <w:p>
      <w:pPr>
        <w:widowControl/>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B11资金到位率：</w:t>
      </w:r>
      <w:r>
        <w:rPr>
          <w:rFonts w:ascii="Times New Roman" w:hAnsi="Times New Roman" w:eastAsia="仿宋"/>
          <w:bCs/>
          <w:snapToGrid w:val="0"/>
          <w:sz w:val="28"/>
          <w:szCs w:val="32"/>
        </w:rPr>
        <w:t>满分4.00分，得分</w:t>
      </w:r>
      <w:r>
        <w:rPr>
          <w:rFonts w:hint="eastAsia" w:ascii="Times New Roman" w:hAnsi="Times New Roman" w:eastAsia="仿宋"/>
          <w:bCs/>
          <w:snapToGrid w:val="0"/>
          <w:sz w:val="28"/>
          <w:szCs w:val="32"/>
          <w:lang w:val="en-US" w:eastAsia="zh-CN"/>
        </w:rPr>
        <w:t>4.00</w:t>
      </w:r>
      <w:r>
        <w:rPr>
          <w:rFonts w:ascii="Times New Roman" w:hAnsi="Times New Roman" w:eastAsia="仿宋"/>
          <w:bCs/>
          <w:snapToGrid w:val="0"/>
          <w:sz w:val="28"/>
          <w:szCs w:val="32"/>
        </w:rPr>
        <w:t>分。</w:t>
      </w:r>
      <w:r>
        <w:rPr>
          <w:rFonts w:hint="eastAsia" w:ascii="Times New Roman" w:hAnsi="Times New Roman" w:eastAsia="仿宋"/>
          <w:bCs/>
          <w:snapToGrid w:val="0"/>
          <w:sz w:val="28"/>
          <w:szCs w:val="32"/>
        </w:rPr>
        <w:t>该指标主要分析评价项目资金是否根据文件、计划要求足额拨付</w:t>
      </w:r>
      <w:r>
        <w:rPr>
          <w:rFonts w:hint="eastAsia" w:ascii="Times New Roman" w:hAnsi="Times New Roman" w:eastAsia="仿宋"/>
          <w:bCs/>
          <w:snapToGrid w:val="0"/>
          <w:sz w:val="28"/>
          <w:szCs w:val="32"/>
          <w:lang w:val="en-US" w:eastAsia="zh-CN"/>
        </w:rPr>
        <w:t>到位</w:t>
      </w:r>
      <w:r>
        <w:rPr>
          <w:rFonts w:hint="eastAsia" w:ascii="Times New Roman" w:hAnsi="Times New Roman" w:eastAsia="仿宋"/>
          <w:bCs/>
          <w:snapToGrid w:val="0"/>
          <w:sz w:val="28"/>
          <w:szCs w:val="32"/>
        </w:rPr>
        <w:t>，资金到位率=（实际到位资金/计划到位资金）×100%。</w:t>
      </w:r>
      <w:r>
        <w:rPr>
          <w:rFonts w:hint="eastAsia" w:ascii="Times New Roman" w:hAnsi="Times New Roman" w:eastAsia="仿宋" w:cs="Times New Roman"/>
          <w:sz w:val="28"/>
          <w:szCs w:val="24"/>
          <w:lang w:eastAsia="zh-CN"/>
        </w:rPr>
        <w:t>根据</w:t>
      </w:r>
      <w:r>
        <w:rPr>
          <w:rFonts w:hint="eastAsia" w:ascii="Times New Roman" w:hAnsi="Times New Roman" w:eastAsia="仿宋" w:cs="Times New Roman"/>
          <w:sz w:val="28"/>
          <w:szCs w:val="24"/>
          <w:lang w:val="en-US" w:eastAsia="zh-CN"/>
        </w:rPr>
        <w:t>古县民政局提供的资料，殡仪馆建设改造补助资金项目2022年计划投资额560.00万元，经古县民政局申请，2022年古县财政局下达资金560.00万元。年度</w:t>
      </w:r>
      <w:r>
        <w:rPr>
          <w:rFonts w:hint="eastAsia" w:ascii="Times New Roman" w:hAnsi="Times New Roman" w:eastAsia="仿宋" w:cs="Times New Roman"/>
          <w:sz w:val="28"/>
          <w:szCs w:val="24"/>
          <w:lang w:eastAsia="zh-CN"/>
        </w:rPr>
        <w:t>资金到位率</w:t>
      </w:r>
      <w:r>
        <w:rPr>
          <w:rFonts w:hint="eastAsia" w:ascii="Times New Roman" w:hAnsi="Times New Roman" w:eastAsia="仿宋" w:cs="Times New Roman"/>
          <w:sz w:val="28"/>
          <w:szCs w:val="24"/>
          <w:lang w:val="en-US" w:eastAsia="zh-CN"/>
        </w:rPr>
        <w:t>100.00</w:t>
      </w:r>
      <w:r>
        <w:rPr>
          <w:rFonts w:hint="eastAsia" w:ascii="Times New Roman" w:hAnsi="Times New Roman" w:eastAsia="仿宋" w:cs="Times New Roman"/>
          <w:sz w:val="28"/>
          <w:szCs w:val="24"/>
          <w:lang w:eastAsia="zh-CN"/>
        </w:rPr>
        <w:t>%。根据评分标准，该项得</w:t>
      </w:r>
      <w:r>
        <w:rPr>
          <w:rFonts w:hint="eastAsia" w:ascii="Times New Roman" w:hAnsi="Times New Roman" w:eastAsia="仿宋" w:cs="Times New Roman"/>
          <w:sz w:val="28"/>
          <w:szCs w:val="24"/>
          <w:lang w:val="en-US" w:eastAsia="zh-CN"/>
        </w:rPr>
        <w:t>满</w:t>
      </w:r>
      <w:r>
        <w:rPr>
          <w:rFonts w:hint="eastAsia" w:ascii="Times New Roman" w:hAnsi="Times New Roman" w:eastAsia="仿宋" w:cs="Times New Roman"/>
          <w:sz w:val="28"/>
          <w:szCs w:val="24"/>
          <w:lang w:eastAsia="zh-CN"/>
        </w:rPr>
        <w:t>分</w:t>
      </w:r>
      <w:r>
        <w:rPr>
          <w:rFonts w:ascii="Times New Roman" w:hAnsi="Times New Roman" w:eastAsia="仿宋"/>
          <w:bCs/>
          <w:snapToGrid w:val="0"/>
          <w:sz w:val="28"/>
          <w:szCs w:val="32"/>
        </w:rPr>
        <w:t>。</w:t>
      </w:r>
    </w:p>
    <w:p>
      <w:pPr>
        <w:widowControl/>
        <w:spacing w:line="500" w:lineRule="exact"/>
        <w:ind w:firstLine="562" w:firstLineChars="200"/>
        <w:rPr>
          <w:rFonts w:ascii="Times New Roman" w:hAnsi="Times New Roman" w:eastAsia="仿宋"/>
          <w:bCs/>
          <w:snapToGrid w:val="0"/>
          <w:color w:val="auto"/>
          <w:sz w:val="28"/>
          <w:szCs w:val="32"/>
        </w:rPr>
      </w:pPr>
      <w:r>
        <w:rPr>
          <w:rFonts w:ascii="Times New Roman" w:hAnsi="Times New Roman" w:eastAsia="仿宋"/>
          <w:b/>
          <w:snapToGrid w:val="0"/>
          <w:sz w:val="28"/>
          <w:szCs w:val="32"/>
        </w:rPr>
        <w:t>B12预算执行率：</w:t>
      </w:r>
      <w:r>
        <w:rPr>
          <w:rFonts w:ascii="Times New Roman" w:hAnsi="Times New Roman" w:eastAsia="仿宋"/>
          <w:bCs/>
          <w:snapToGrid w:val="0"/>
          <w:color w:val="auto"/>
          <w:sz w:val="28"/>
          <w:szCs w:val="32"/>
        </w:rPr>
        <w:t>满分4.00分，得分</w:t>
      </w:r>
      <w:r>
        <w:rPr>
          <w:rFonts w:hint="eastAsia" w:ascii="Times New Roman" w:hAnsi="Times New Roman" w:eastAsia="仿宋"/>
          <w:bCs/>
          <w:snapToGrid w:val="0"/>
          <w:color w:val="auto"/>
          <w:sz w:val="28"/>
          <w:szCs w:val="32"/>
          <w:lang w:val="en-US" w:eastAsia="zh-CN"/>
        </w:rPr>
        <w:t>4.00</w:t>
      </w:r>
      <w:r>
        <w:rPr>
          <w:rFonts w:ascii="Times New Roman" w:hAnsi="Times New Roman" w:eastAsia="仿宋"/>
          <w:bCs/>
          <w:snapToGrid w:val="0"/>
          <w:color w:val="auto"/>
          <w:sz w:val="28"/>
          <w:szCs w:val="32"/>
        </w:rPr>
        <w:t>分。通过查阅</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财政局下达项目资金的文件和项目实施单位财务账簿，</w:t>
      </w:r>
      <w:r>
        <w:rPr>
          <w:rFonts w:hint="eastAsia" w:ascii="Times New Roman" w:hAnsi="Times New Roman" w:eastAsia="仿宋"/>
          <w:bCs/>
          <w:snapToGrid w:val="0"/>
          <w:color w:val="auto"/>
          <w:sz w:val="28"/>
          <w:szCs w:val="32"/>
          <w:lang w:eastAsia="zh-CN"/>
        </w:rPr>
        <w:t>殡仪馆建设改造补助资金项目</w:t>
      </w:r>
      <w:r>
        <w:rPr>
          <w:rFonts w:ascii="Times New Roman" w:hAnsi="Times New Roman" w:eastAsia="仿宋"/>
          <w:bCs/>
          <w:snapToGrid w:val="0"/>
          <w:color w:val="auto"/>
          <w:sz w:val="28"/>
          <w:szCs w:val="32"/>
        </w:rPr>
        <w:t>资金由</w:t>
      </w:r>
      <w:r>
        <w:rPr>
          <w:rFonts w:hint="eastAsia" w:ascii="Times New Roman" w:hAnsi="Times New Roman" w:eastAsia="仿宋"/>
          <w:bCs/>
          <w:snapToGrid w:val="0"/>
          <w:color w:val="auto"/>
          <w:sz w:val="28"/>
          <w:szCs w:val="32"/>
          <w:lang w:eastAsia="zh-CN"/>
        </w:rPr>
        <w:t>古县民政局</w:t>
      </w:r>
      <w:r>
        <w:rPr>
          <w:rFonts w:ascii="Times New Roman" w:hAnsi="Times New Roman" w:eastAsia="仿宋"/>
          <w:bCs/>
          <w:snapToGrid w:val="0"/>
          <w:color w:val="auto"/>
          <w:sz w:val="28"/>
          <w:szCs w:val="32"/>
        </w:rPr>
        <w:t>申请，由</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财政局拨付预算资金，截止评价基准日</w:t>
      </w:r>
      <w:r>
        <w:rPr>
          <w:rFonts w:hint="eastAsia" w:ascii="Times New Roman" w:hAnsi="Times New Roman" w:eastAsia="仿宋"/>
          <w:bCs/>
          <w:snapToGrid w:val="0"/>
          <w:color w:val="auto"/>
          <w:sz w:val="28"/>
          <w:szCs w:val="32"/>
          <w:lang w:eastAsia="zh-CN"/>
        </w:rPr>
        <w:t>2022年12月31日</w:t>
      </w:r>
      <w:r>
        <w:rPr>
          <w:rFonts w:ascii="Times New Roman" w:hAnsi="Times New Roman" w:eastAsia="仿宋"/>
          <w:bCs/>
          <w:snapToGrid w:val="0"/>
          <w:color w:val="auto"/>
          <w:sz w:val="28"/>
          <w:szCs w:val="32"/>
        </w:rPr>
        <w:t>，</w:t>
      </w:r>
      <w:r>
        <w:rPr>
          <w:rFonts w:hint="eastAsia" w:ascii="Times New Roman" w:hAnsi="Times New Roman" w:eastAsia="仿宋"/>
          <w:bCs/>
          <w:snapToGrid w:val="0"/>
          <w:color w:val="auto"/>
          <w:sz w:val="28"/>
          <w:szCs w:val="32"/>
          <w:lang w:val="en-US" w:eastAsia="zh-CN"/>
        </w:rPr>
        <w:t>2022年</w:t>
      </w:r>
      <w:r>
        <w:rPr>
          <w:rFonts w:ascii="Times New Roman" w:hAnsi="Times New Roman" w:eastAsia="仿宋"/>
          <w:bCs/>
          <w:snapToGrid w:val="0"/>
          <w:color w:val="auto"/>
          <w:sz w:val="28"/>
          <w:szCs w:val="32"/>
        </w:rPr>
        <w:t>资金实际到位总额为</w:t>
      </w:r>
      <w:r>
        <w:rPr>
          <w:rFonts w:hint="eastAsia" w:ascii="Times New Roman" w:hAnsi="Times New Roman" w:eastAsia="仿宋" w:cs="Times New Roman"/>
          <w:sz w:val="28"/>
          <w:szCs w:val="24"/>
          <w:lang w:val="en-US" w:eastAsia="zh-CN"/>
        </w:rPr>
        <w:t>560.00</w:t>
      </w:r>
      <w:r>
        <w:rPr>
          <w:rFonts w:hint="eastAsia" w:ascii="Times New Roman" w:hAnsi="Times New Roman" w:eastAsia="仿宋"/>
          <w:bCs/>
          <w:snapToGrid w:val="0"/>
          <w:color w:val="auto"/>
          <w:sz w:val="28"/>
          <w:szCs w:val="32"/>
          <w:lang w:val="en-US" w:eastAsia="zh-CN"/>
        </w:rPr>
        <w:t>万元</w:t>
      </w:r>
      <w:r>
        <w:rPr>
          <w:rFonts w:ascii="Times New Roman" w:hAnsi="Times New Roman" w:eastAsia="仿宋"/>
          <w:bCs/>
          <w:snapToGrid w:val="0"/>
          <w:color w:val="auto"/>
          <w:sz w:val="28"/>
          <w:szCs w:val="32"/>
        </w:rPr>
        <w:t>，</w:t>
      </w:r>
      <w:r>
        <w:rPr>
          <w:rFonts w:hint="eastAsia" w:ascii="Times New Roman" w:hAnsi="Times New Roman" w:eastAsia="仿宋"/>
          <w:bCs/>
          <w:snapToGrid w:val="0"/>
          <w:color w:val="auto"/>
          <w:sz w:val="28"/>
          <w:szCs w:val="32"/>
          <w:lang w:val="en-US" w:eastAsia="zh-CN"/>
        </w:rPr>
        <w:t>资金实际支出</w:t>
      </w:r>
      <w:r>
        <w:rPr>
          <w:rFonts w:hint="eastAsia" w:ascii="Times New Roman" w:hAnsi="Times New Roman" w:eastAsia="仿宋" w:cs="Times New Roman"/>
          <w:sz w:val="28"/>
          <w:szCs w:val="24"/>
          <w:lang w:val="en-US" w:eastAsia="zh-CN"/>
        </w:rPr>
        <w:t>560.00</w:t>
      </w:r>
      <w:r>
        <w:rPr>
          <w:rFonts w:hint="eastAsia" w:ascii="Times New Roman" w:hAnsi="Times New Roman" w:eastAsia="仿宋"/>
          <w:bCs/>
          <w:snapToGrid w:val="0"/>
          <w:color w:val="auto"/>
          <w:sz w:val="28"/>
          <w:szCs w:val="32"/>
          <w:lang w:val="en-US" w:eastAsia="zh-CN"/>
        </w:rPr>
        <w:t>万元，</w:t>
      </w:r>
      <w:r>
        <w:rPr>
          <w:rFonts w:ascii="Times New Roman" w:hAnsi="Times New Roman" w:eastAsia="仿宋"/>
          <w:bCs/>
          <w:snapToGrid w:val="0"/>
          <w:color w:val="auto"/>
          <w:sz w:val="28"/>
          <w:szCs w:val="32"/>
        </w:rPr>
        <w:t>到位资金支出率为</w:t>
      </w:r>
      <w:r>
        <w:rPr>
          <w:rFonts w:hint="eastAsia" w:ascii="Times New Roman" w:hAnsi="Times New Roman" w:eastAsia="仿宋"/>
          <w:bCs/>
          <w:snapToGrid w:val="0"/>
          <w:color w:val="auto"/>
          <w:sz w:val="28"/>
          <w:szCs w:val="32"/>
          <w:lang w:val="en-US" w:eastAsia="zh-CN"/>
        </w:rPr>
        <w:t>100.00</w:t>
      </w:r>
      <w:r>
        <w:rPr>
          <w:rFonts w:ascii="Times New Roman" w:hAnsi="Times New Roman" w:eastAsia="仿宋"/>
          <w:bCs/>
          <w:snapToGrid w:val="0"/>
          <w:color w:val="auto"/>
          <w:sz w:val="28"/>
          <w:szCs w:val="32"/>
        </w:rPr>
        <w:t>%。根据评分标准，该项</w:t>
      </w:r>
      <w:r>
        <w:rPr>
          <w:rFonts w:hint="eastAsia" w:ascii="Times New Roman" w:hAnsi="Times New Roman" w:eastAsia="仿宋"/>
          <w:bCs/>
          <w:snapToGrid w:val="0"/>
          <w:color w:val="auto"/>
          <w:sz w:val="28"/>
          <w:szCs w:val="32"/>
          <w:lang w:val="en-US" w:eastAsia="zh-CN"/>
        </w:rPr>
        <w:t>得满</w:t>
      </w:r>
      <w:r>
        <w:rPr>
          <w:rFonts w:ascii="Times New Roman" w:hAnsi="Times New Roman" w:eastAsia="仿宋"/>
          <w:bCs/>
          <w:snapToGrid w:val="0"/>
          <w:color w:val="auto"/>
          <w:sz w:val="28"/>
          <w:szCs w:val="32"/>
        </w:rPr>
        <w:t>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B13资金使用合规性：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.00分。通过对项目实施单位财务资料的现场核实，</w:t>
      </w:r>
      <w:r>
        <w:rPr>
          <w:rFonts w:hint="eastAsia" w:ascii="Times New Roman" w:hAnsi="Times New Roman" w:eastAsia="仿宋"/>
          <w:snapToGrid w:val="0"/>
          <w:sz w:val="28"/>
          <w:szCs w:val="32"/>
          <w:lang w:eastAsia="zh-CN"/>
        </w:rPr>
        <w:t>古县民政局</w:t>
      </w:r>
      <w:r>
        <w:rPr>
          <w:rFonts w:hint="eastAsia" w:ascii="Times New Roman" w:hAnsi="Times New Roman" w:eastAsia="仿宋"/>
          <w:snapToGrid w:val="0"/>
          <w:sz w:val="28"/>
          <w:szCs w:val="32"/>
          <w:lang w:val="en-US" w:eastAsia="zh-CN"/>
        </w:rPr>
        <w:t>资金</w:t>
      </w:r>
      <w:r>
        <w:rPr>
          <w:rFonts w:ascii="Times New Roman" w:hAnsi="Times New Roman" w:eastAsia="仿宋"/>
          <w:snapToGrid w:val="0"/>
          <w:sz w:val="28"/>
          <w:szCs w:val="32"/>
        </w:rPr>
        <w:t>使用符合相关财务管理制度，有完整的审批、拨付手续，支出资金符合预算批复要求，未发现套取、截留、挤占、挪用、虚列支出等情况。根据评分标准，该项得满分。</w:t>
      </w:r>
    </w:p>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（2）组织实施</w:t>
      </w:r>
    </w:p>
    <w:p>
      <w:pPr>
        <w:widowControl/>
        <w:spacing w:line="500" w:lineRule="exact"/>
        <w:ind w:firstLine="562" w:firstLineChars="200"/>
        <w:rPr>
          <w:rFonts w:ascii="Times New Roman" w:hAnsi="Times New Roman" w:eastAsia="仿宋"/>
          <w:snapToGrid w:val="0"/>
          <w:sz w:val="28"/>
          <w:szCs w:val="32"/>
          <w:highlight w:val="yellow"/>
        </w:rPr>
      </w:pPr>
      <w:r>
        <w:rPr>
          <w:rFonts w:ascii="Times New Roman" w:hAnsi="Times New Roman" w:eastAsia="仿宋"/>
          <w:b/>
          <w:snapToGrid w:val="0"/>
          <w:sz w:val="28"/>
          <w:szCs w:val="32"/>
        </w:rPr>
        <w:t>B21管理制度健全性：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w:t>
      </w:r>
      <w:r>
        <w:rPr>
          <w:rFonts w:hint="eastAsia" w:ascii="Times New Roman" w:hAnsi="Times New Roman" w:eastAsia="仿宋"/>
          <w:snapToGrid w:val="0"/>
          <w:sz w:val="28"/>
          <w:szCs w:val="32"/>
          <w:lang w:eastAsia="zh-CN"/>
        </w:rPr>
        <w:t>该指标分析评价项目单位的项目管理制度是否健全，用以反映和考核项目管理制度对项目安全运行的保障情况。通过查阅资料和现场调查，项目属于工程类项目，</w:t>
      </w:r>
      <w:r>
        <w:rPr>
          <w:rFonts w:hint="eastAsia" w:ascii="Times New Roman" w:hAnsi="Times New Roman" w:eastAsia="仿宋"/>
          <w:snapToGrid w:val="0"/>
          <w:sz w:val="28"/>
          <w:szCs w:val="32"/>
          <w:lang w:val="en-US" w:eastAsia="zh-CN"/>
        </w:rPr>
        <w:t>评价</w:t>
      </w:r>
      <w:r>
        <w:rPr>
          <w:rFonts w:hint="eastAsia" w:ascii="Times New Roman" w:hAnsi="Times New Roman" w:eastAsia="仿宋"/>
          <w:snapToGrid w:val="0"/>
          <w:sz w:val="28"/>
          <w:szCs w:val="32"/>
          <w:lang w:eastAsia="zh-CN"/>
        </w:rPr>
        <w:t>组审核关于项目的进度管理、质量控制、投资控制、合同管理、风险管理、应急管理和档案管理，该项目实施过程中，制度</w:t>
      </w:r>
      <w:r>
        <w:rPr>
          <w:rFonts w:hint="eastAsia" w:ascii="Times New Roman" w:hAnsi="Times New Roman" w:eastAsia="仿宋"/>
          <w:snapToGrid w:val="0"/>
          <w:sz w:val="28"/>
          <w:szCs w:val="32"/>
          <w:lang w:val="en-US" w:eastAsia="zh-CN"/>
        </w:rPr>
        <w:t>健全</w:t>
      </w:r>
      <w:r>
        <w:rPr>
          <w:rFonts w:hint="eastAsia" w:ascii="Times New Roman" w:hAnsi="Times New Roman" w:eastAsia="仿宋"/>
          <w:snapToGrid w:val="0"/>
          <w:sz w:val="28"/>
          <w:szCs w:val="32"/>
          <w:lang w:eastAsia="zh-CN"/>
        </w:rPr>
        <w:t>；项目管理等资料基本完整。</w:t>
      </w:r>
      <w:r>
        <w:rPr>
          <w:rFonts w:ascii="Times New Roman" w:hAnsi="Times New Roman" w:eastAsia="仿宋"/>
          <w:snapToGrid w:val="0"/>
          <w:sz w:val="28"/>
          <w:szCs w:val="32"/>
        </w:rPr>
        <w:t>根据评分标准，该项得满分。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B22制度执行有效性：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1</w:t>
      </w:r>
      <w:r>
        <w:rPr>
          <w:rFonts w:ascii="Times New Roman" w:hAnsi="Times New Roman" w:eastAsia="仿宋"/>
          <w:snapToGrid w:val="0"/>
          <w:sz w:val="28"/>
          <w:szCs w:val="32"/>
        </w:rPr>
        <w:t>.00分。</w:t>
      </w:r>
      <w:r>
        <w:rPr>
          <w:rFonts w:hint="eastAsia" w:ascii="Times New Roman" w:hAnsi="Times New Roman" w:eastAsia="仿宋"/>
          <w:snapToGrid w:val="0"/>
          <w:sz w:val="28"/>
          <w:szCs w:val="32"/>
        </w:rPr>
        <w:t>该指标分析评价项目实施是否符合相关项目管理规定，是否为达到项目质量要求而采取了必需的措施，用以反映和考核项目管理有效性。</w:t>
      </w:r>
      <w:r>
        <w:rPr>
          <w:rFonts w:hint="eastAsia" w:ascii="Times New Roman" w:hAnsi="Times New Roman" w:eastAsia="仿宋"/>
          <w:snapToGrid w:val="0"/>
          <w:sz w:val="28"/>
          <w:szCs w:val="32"/>
          <w:lang w:eastAsia="zh-CN"/>
        </w:rPr>
        <w:t>殡仪馆建设改造补助资金项目</w:t>
      </w:r>
      <w:r>
        <w:rPr>
          <w:rFonts w:hint="eastAsia" w:ascii="Times New Roman" w:hAnsi="Times New Roman" w:eastAsia="仿宋"/>
          <w:snapToGrid w:val="0"/>
          <w:sz w:val="28"/>
          <w:szCs w:val="32"/>
          <w:lang w:val="en-US" w:eastAsia="zh-CN"/>
        </w:rPr>
        <w:t>按照工程类项目的管理制度执行；项目开工所需的人员、场地、设备均准备完毕后，施工单位向古县民政局申请开工；但评价组发现，（1）项目进度管理不达标：2022年1月19日，古县民政局与天太建设集团有限公司签订《建设工程施工合同》，计划开竣工时间为2022年1月20日至2022年12月20日；截止2022年12月31日，项目尚未完工，尚未验收，项目严重延期；（2）古县民政局项目实施管理不到位，在项目延期的情况下，未见古县民政局中期检查、监控、督促施工方按期施工完成记录资料。</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1.00</w:t>
      </w:r>
      <w:r>
        <w:rPr>
          <w:rFonts w:ascii="Times New Roman" w:hAnsi="Times New Roman" w:eastAsia="仿宋"/>
          <w:snapToGrid w:val="0"/>
          <w:sz w:val="28"/>
          <w:szCs w:val="32"/>
        </w:rPr>
        <w:t>分。</w:t>
      </w:r>
    </w:p>
    <w:p>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B23招投标过程规范性：</w:t>
      </w:r>
      <w:r>
        <w:rPr>
          <w:rFonts w:hint="eastAsia" w:ascii="Times New Roman" w:hAnsi="Times New Roman" w:eastAsia="仿宋"/>
          <w:snapToGrid w:val="0"/>
          <w:sz w:val="28"/>
          <w:szCs w:val="32"/>
          <w:lang w:val="en-US" w:eastAsia="zh-CN"/>
        </w:rPr>
        <w:t>满分2.00分，得分2.00分。该指标分析评价项目招投标过程是否合规。根据古县民政局提供的资料，评价组现场调研了解到，殡仪馆建设改造补助资金项目中，</w:t>
      </w:r>
      <w:r>
        <w:rPr>
          <w:rFonts w:hint="eastAsia" w:ascii="Times New Roman" w:hAnsi="Times New Roman" w:eastAsia="仿宋" w:cs="Times New Roman"/>
          <w:bCs/>
          <w:sz w:val="28"/>
          <w:szCs w:val="28"/>
          <w:lang w:val="en-US" w:eastAsia="zh-CN"/>
        </w:rPr>
        <w:t>项目组实地查看和审核项目招投标过程资料，包括招标公告、评标程序、评标方法、评标委员会签字、投标文件，资料完整</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B24监理过程规范性：</w:t>
      </w:r>
      <w:r>
        <w:rPr>
          <w:rFonts w:hint="eastAsia" w:ascii="Times New Roman" w:hAnsi="Times New Roman" w:eastAsia="仿宋"/>
          <w:snapToGrid w:val="0"/>
          <w:sz w:val="28"/>
          <w:szCs w:val="32"/>
          <w:lang w:val="en-US" w:eastAsia="zh-CN"/>
        </w:rPr>
        <w:t>满分2.00分，得分2.00分。该指标分析评价项目建立过程是否合规。</w:t>
      </w:r>
      <w:r>
        <w:rPr>
          <w:rFonts w:hint="eastAsia" w:ascii="Times New Roman" w:hAnsi="Times New Roman" w:eastAsia="仿宋" w:cs="Times New Roman"/>
          <w:bCs/>
          <w:sz w:val="28"/>
          <w:szCs w:val="28"/>
          <w:lang w:val="en-US" w:eastAsia="zh-CN"/>
        </w:rPr>
        <w:t>审核项目监理过程资料，包括监理日志、监理报告、监理细则、监理人执业证书，资料均齐全；同时项目实施过程中的各分工程的进度申报资料上均有监理单位监理人的签字和盖章</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2" w:firstLineChars="200"/>
        <w:rPr>
          <w:rFonts w:ascii="Times New Roman" w:hAnsi="Times New Roman" w:eastAsia="仿宋"/>
          <w:snapToGrid w:val="0"/>
          <w:sz w:val="28"/>
          <w:szCs w:val="32"/>
        </w:rPr>
      </w:pPr>
      <w:r>
        <w:rPr>
          <w:rFonts w:hint="eastAsia" w:ascii="Times New Roman" w:hAnsi="Times New Roman" w:eastAsia="仿宋"/>
          <w:b/>
          <w:bCs/>
          <w:snapToGrid w:val="0"/>
          <w:sz w:val="28"/>
          <w:szCs w:val="32"/>
          <w:lang w:val="en-US" w:eastAsia="zh-CN"/>
        </w:rPr>
        <w:t>B25安全事故发生率：</w:t>
      </w:r>
      <w:r>
        <w:rPr>
          <w:rFonts w:hint="eastAsia" w:ascii="Times New Roman" w:hAnsi="Times New Roman" w:eastAsia="仿宋"/>
          <w:snapToGrid w:val="0"/>
          <w:sz w:val="28"/>
          <w:szCs w:val="32"/>
          <w:lang w:val="en-US" w:eastAsia="zh-CN"/>
        </w:rPr>
        <w:t>满分2.00分，得分2.00分。该指标分析评价项目实施过程中是否存在安全事故发生。根据古县民政局提供的资料，评价组现场调研了解到，殡仪馆建设改造补助资金项目中，项目单位制定了一系列行之有效的安全管理办法及措施，使安全工作处于制度化、规范化管理之中，整个工程施工过程中没有出现安全责任事故。</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snapToGrid w:val="0"/>
          <w:sz w:val="28"/>
          <w:szCs w:val="32"/>
          <w:lang w:eastAsia="zh-CN"/>
        </w:rPr>
        <w:t>。</w:t>
      </w:r>
    </w:p>
    <w:p>
      <w:pPr>
        <w:widowControl/>
        <w:spacing w:line="500" w:lineRule="exact"/>
        <w:ind w:firstLine="562" w:firstLineChars="200"/>
        <w:outlineLvl w:val="2"/>
        <w:rPr>
          <w:rFonts w:ascii="Times New Roman" w:hAnsi="Times New Roman" w:eastAsia="仿宋"/>
          <w:b/>
          <w:snapToGrid w:val="0"/>
          <w:sz w:val="28"/>
          <w:szCs w:val="32"/>
        </w:rPr>
      </w:pPr>
      <w:bookmarkStart w:id="107" w:name="_Toc29696"/>
      <w:bookmarkStart w:id="108" w:name="_Toc528680468"/>
      <w:bookmarkStart w:id="109" w:name="_Toc30077"/>
      <w:bookmarkStart w:id="110" w:name="_Toc528684143"/>
      <w:bookmarkStart w:id="111" w:name="_Toc8777"/>
      <w:bookmarkStart w:id="112" w:name="_Toc18832"/>
      <w:bookmarkStart w:id="113" w:name="_Toc11431"/>
      <w:bookmarkStart w:id="114" w:name="_Toc23106"/>
      <w:r>
        <w:rPr>
          <w:rFonts w:ascii="Times New Roman" w:hAnsi="Times New Roman" w:eastAsia="仿宋"/>
          <w:b/>
          <w:snapToGrid w:val="0"/>
          <w:sz w:val="28"/>
          <w:szCs w:val="32"/>
        </w:rPr>
        <w:t>3</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产出分析</w:t>
      </w:r>
      <w:bookmarkEnd w:id="107"/>
      <w:bookmarkEnd w:id="108"/>
      <w:bookmarkEnd w:id="109"/>
      <w:bookmarkEnd w:id="110"/>
      <w:bookmarkEnd w:id="111"/>
      <w:bookmarkEnd w:id="112"/>
      <w:bookmarkEnd w:id="113"/>
      <w:bookmarkEnd w:id="11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产出类指标主要从</w:t>
      </w:r>
      <w:r>
        <w:rPr>
          <w:rFonts w:hint="eastAsia" w:ascii="Times New Roman" w:hAnsi="Times New Roman" w:eastAsia="仿宋"/>
          <w:snapToGrid w:val="0"/>
          <w:sz w:val="28"/>
          <w:szCs w:val="32"/>
        </w:rPr>
        <w:t>项目完成情况</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质量达标</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完成及时性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成本控制能力</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个指标考察该项目产出数量、产出质量、产出时效。产出类指标权重30.00分，实际得分</w:t>
      </w:r>
      <w:r>
        <w:rPr>
          <w:rFonts w:hint="eastAsia" w:ascii="Times New Roman" w:hAnsi="Times New Roman" w:eastAsia="仿宋"/>
          <w:snapToGrid w:val="0"/>
          <w:sz w:val="28"/>
          <w:szCs w:val="32"/>
          <w:lang w:val="en-US" w:eastAsia="zh-CN"/>
        </w:rPr>
        <w:t>10</w:t>
      </w:r>
      <w:r>
        <w:rPr>
          <w:rFonts w:ascii="Times New Roman" w:hAnsi="Times New Roman" w:eastAsia="仿宋"/>
          <w:snapToGrid w:val="0"/>
          <w:sz w:val="28"/>
          <w:szCs w:val="32"/>
        </w:rPr>
        <w:t>.00分。指标得分情况如表4-3所示：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068"/>
        <w:gridCol w:w="2860"/>
        <w:gridCol w:w="1000"/>
        <w:gridCol w:w="1000"/>
        <w:gridCol w:w="15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286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100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100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594"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vAlign w:val="center"/>
          </w:tcPr>
          <w:p>
            <w:pPr>
              <w:jc w:val="center"/>
              <w:rPr>
                <w:rFonts w:ascii="Times New Roman" w:hAnsi="Times New Roman" w:eastAsia="仿宋"/>
                <w:bCs/>
                <w:sz w:val="24"/>
              </w:rPr>
            </w:pPr>
            <w:r>
              <w:rPr>
                <w:rFonts w:ascii="Times New Roman" w:hAnsi="Times New Roman" w:eastAsia="仿宋"/>
                <w:bCs/>
                <w:sz w:val="24"/>
              </w:rPr>
              <w:t>C1项目产出</w:t>
            </w: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C11项目完成情况</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0.00</w:t>
            </w:r>
          </w:p>
        </w:tc>
        <w:tc>
          <w:tcPr>
            <w:tcW w:w="1594" w:type="dxa"/>
            <w:vAlign w:val="center"/>
          </w:tcPr>
          <w:p>
            <w:pPr>
              <w:jc w:val="center"/>
              <w:rPr>
                <w:rFonts w:ascii="Times New Roman" w:hAnsi="Times New Roman" w:eastAsia="仿宋"/>
                <w:bCs/>
                <w:sz w:val="24"/>
              </w:rPr>
            </w:pP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C21质量达标</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w:t>
            </w:r>
            <w:r>
              <w:rPr>
                <w:rFonts w:ascii="Times New Roman" w:hAnsi="Times New Roman" w:eastAsia="仿宋"/>
                <w:bCs/>
                <w:sz w:val="24"/>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C31完成及时性</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0.00</w:t>
            </w:r>
          </w:p>
        </w:tc>
        <w:tc>
          <w:tcPr>
            <w:tcW w:w="1594" w:type="dxa"/>
            <w:vAlign w:val="center"/>
          </w:tcPr>
          <w:p>
            <w:pPr>
              <w:jc w:val="center"/>
              <w:rPr>
                <w:rFonts w:ascii="Times New Roman" w:hAnsi="Times New Roman" w:eastAsia="仿宋"/>
                <w:bCs/>
                <w:sz w:val="24"/>
              </w:rPr>
            </w:pP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C41成本控制能力</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6.00</w:t>
            </w:r>
          </w:p>
        </w:tc>
        <w:tc>
          <w:tcPr>
            <w:tcW w:w="100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2.00</w:t>
            </w:r>
          </w:p>
        </w:tc>
        <w:tc>
          <w:tcPr>
            <w:tcW w:w="159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33.33</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4928"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1000"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1594"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33.33%</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（1）项目产出</w:t>
      </w:r>
    </w:p>
    <w:p>
      <w:pPr>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C11项目</w:t>
      </w:r>
      <w:r>
        <w:rPr>
          <w:rFonts w:hint="eastAsia" w:ascii="Times New Roman" w:hAnsi="Times New Roman" w:eastAsia="仿宋"/>
          <w:b/>
          <w:bCs w:val="0"/>
          <w:snapToGrid w:val="0"/>
          <w:sz w:val="28"/>
          <w:szCs w:val="32"/>
          <w:lang w:val="en-US" w:eastAsia="zh-CN"/>
        </w:rPr>
        <w:t>完成情况</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满分8.00分，得分0.00分。</w:t>
      </w:r>
      <w:r>
        <w:rPr>
          <w:rFonts w:hint="eastAsia" w:ascii="Times New Roman" w:hAnsi="Times New Roman" w:eastAsia="仿宋"/>
          <w:b w:val="0"/>
          <w:bCs/>
          <w:snapToGrid w:val="0"/>
          <w:sz w:val="28"/>
          <w:szCs w:val="32"/>
        </w:rPr>
        <w:t>该指标考察项目</w:t>
      </w:r>
      <w:r>
        <w:rPr>
          <w:rFonts w:hint="eastAsia" w:ascii="Times New Roman" w:hAnsi="Times New Roman" w:eastAsia="仿宋"/>
          <w:b w:val="0"/>
          <w:bCs/>
          <w:snapToGrid w:val="0"/>
          <w:sz w:val="28"/>
          <w:szCs w:val="32"/>
          <w:lang w:val="en-US" w:eastAsia="zh-CN"/>
        </w:rPr>
        <w:t>实际完成情况</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项目计划实施内容为：</w:t>
      </w:r>
      <w:r>
        <w:rPr>
          <w:rFonts w:hint="eastAsia" w:ascii="Times New Roman" w:hAnsi="Times New Roman" w:eastAsia="仿宋" w:cs="Times New Roman"/>
          <w:sz w:val="28"/>
          <w:szCs w:val="24"/>
          <w:lang w:val="en-US" w:eastAsia="zh-CN"/>
        </w:rPr>
        <w:t>总建筑面积1920.56m²。主要建设内容：业务办公楼245.82m²、综合楼1612.74m²、其他附属设施62m²、设备购置费、室外配套工程、城市基础配套设施费等；根据古县民政局提供的资料显示，截止评价日，项目尚未整体完工，项目整体完工率为95%；主体已完工，正在进行零星装饰及修补。</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0.00</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21质量达标</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该指标分析评价核项目质量是否达到有关规定及设计要求</w:t>
      </w:r>
      <w:r>
        <w:rPr>
          <w:rFonts w:hint="eastAsia" w:ascii="Times New Roman" w:hAnsi="Times New Roman" w:eastAsia="仿宋"/>
          <w:b w:val="0"/>
          <w:bCs/>
          <w:snapToGrid w:val="0"/>
          <w:sz w:val="28"/>
          <w:szCs w:val="32"/>
          <w:lang w:eastAsia="zh-CN"/>
        </w:rPr>
        <w:t>。</w:t>
      </w:r>
      <w:r>
        <w:rPr>
          <w:rFonts w:hint="eastAsia" w:ascii="Times New Roman" w:hAnsi="Times New Roman" w:eastAsia="仿宋" w:cs="Times New Roman"/>
          <w:sz w:val="28"/>
          <w:szCs w:val="24"/>
          <w:lang w:val="en-US" w:eastAsia="zh-CN"/>
        </w:rPr>
        <w:t>根据古县民政局提供的资料显示，项目实施过程中质量控制到位，评价组现场调研虽未发现明显质量问题</w:t>
      </w:r>
      <w:r>
        <w:rPr>
          <w:rFonts w:hint="eastAsia" w:ascii="Times New Roman" w:hAnsi="Times New Roman" w:eastAsia="仿宋"/>
          <w:b w:val="0"/>
          <w:bCs/>
          <w:snapToGrid w:val="0"/>
          <w:sz w:val="28"/>
          <w:szCs w:val="32"/>
          <w:lang w:val="en-US" w:eastAsia="zh-CN"/>
        </w:rPr>
        <w:t>。根据评分标准，该项得满分。</w:t>
      </w:r>
    </w:p>
    <w:p>
      <w:pPr>
        <w:widowControl w:val="0"/>
        <w:numPr>
          <w:ilvl w:val="0"/>
          <w:numId w:val="0"/>
        </w:numPr>
        <w:spacing w:line="500" w:lineRule="exact"/>
        <w:ind w:firstLine="562" w:firstLineChars="200"/>
        <w:jc w:val="both"/>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31完成及时性</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满分8.00分，得分0.00分。</w:t>
      </w:r>
      <w:r>
        <w:rPr>
          <w:rFonts w:hint="eastAsia" w:ascii="Times New Roman" w:hAnsi="Times New Roman" w:eastAsia="仿宋"/>
          <w:b w:val="0"/>
          <w:bCs/>
          <w:snapToGrid w:val="0"/>
          <w:sz w:val="28"/>
          <w:szCs w:val="32"/>
        </w:rPr>
        <w:t>该指标考察项目是否在约定时间范围内竣工验收。</w:t>
      </w:r>
      <w:r>
        <w:rPr>
          <w:rFonts w:hint="eastAsia" w:ascii="Times New Roman" w:hAnsi="Times New Roman" w:eastAsia="仿宋" w:cs="Times New Roman"/>
          <w:sz w:val="28"/>
          <w:szCs w:val="24"/>
          <w:lang w:val="en-US" w:eastAsia="zh-CN"/>
        </w:rPr>
        <w:t>22022年1月19日，古县民政局与天太建设集团有限公司签订《建设工程施工合同》，计划开竣工时间为2022年1月20日至2022年12月20日</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截止评价日2023年11月15日，项目仍未整体完工，项目严重延期。</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0.00</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41成本控制能力</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满分6.00分，得分2.00分。</w:t>
      </w:r>
      <w:r>
        <w:rPr>
          <w:rFonts w:hint="eastAsia" w:ascii="Times New Roman" w:hAnsi="Times New Roman" w:eastAsia="仿宋"/>
          <w:b w:val="0"/>
          <w:bCs/>
          <w:snapToGrid w:val="0"/>
          <w:sz w:val="28"/>
          <w:szCs w:val="32"/>
        </w:rPr>
        <w:t>该指标考察是否对项目成本进行了有效的控制。</w:t>
      </w:r>
      <w:r>
        <w:rPr>
          <w:rFonts w:hint="eastAsia" w:ascii="Times New Roman" w:hAnsi="Times New Roman" w:eastAsia="仿宋"/>
          <w:b w:val="0"/>
          <w:bCs/>
          <w:snapToGrid w:val="0"/>
          <w:sz w:val="28"/>
          <w:szCs w:val="32"/>
          <w:lang w:val="en-US" w:eastAsia="zh-CN"/>
        </w:rPr>
        <w:t>根据古县民政局提供的资料，项目预算价未超概算；但由于项目尚未完工，项目结算金额不明确，结算金额与合同价无法对比。</w:t>
      </w:r>
      <w:r>
        <w:rPr>
          <w:rFonts w:ascii="Times New Roman" w:hAnsi="Times New Roman" w:eastAsia="仿宋"/>
          <w:snapToGrid w:val="0"/>
          <w:sz w:val="28"/>
          <w:szCs w:val="32"/>
        </w:rPr>
        <w:t>根据评分标准，该项</w:t>
      </w:r>
      <w:r>
        <w:rPr>
          <w:rFonts w:hint="eastAsia" w:ascii="Times New Roman" w:hAnsi="Times New Roman" w:eastAsia="仿宋"/>
          <w:snapToGrid w:val="0"/>
          <w:sz w:val="28"/>
          <w:szCs w:val="32"/>
          <w:lang w:val="en-US" w:eastAsia="zh-CN"/>
        </w:rPr>
        <w:t>得2.00</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outlineLvl w:val="2"/>
        <w:rPr>
          <w:rFonts w:ascii="Times New Roman" w:hAnsi="Times New Roman" w:eastAsia="仿宋"/>
          <w:b/>
          <w:snapToGrid w:val="0"/>
          <w:sz w:val="28"/>
          <w:szCs w:val="32"/>
        </w:rPr>
      </w:pPr>
      <w:bookmarkStart w:id="115" w:name="_Toc18049"/>
      <w:bookmarkStart w:id="116" w:name="_Toc22268"/>
      <w:bookmarkStart w:id="117" w:name="_Toc3853"/>
      <w:bookmarkStart w:id="118" w:name="_Toc19098"/>
      <w:bookmarkStart w:id="119" w:name="_Toc528680469"/>
      <w:bookmarkStart w:id="120" w:name="_Toc9182"/>
      <w:bookmarkStart w:id="121" w:name="_Toc31873"/>
      <w:bookmarkStart w:id="122" w:name="_Toc528684144"/>
      <w:r>
        <w:rPr>
          <w:rFonts w:ascii="Times New Roman" w:hAnsi="Times New Roman" w:eastAsia="仿宋"/>
          <w:b/>
          <w:snapToGrid w:val="0"/>
          <w:sz w:val="28"/>
          <w:szCs w:val="32"/>
        </w:rPr>
        <w:t>4</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效益分析</w:t>
      </w:r>
      <w:bookmarkEnd w:id="115"/>
      <w:bookmarkEnd w:id="116"/>
      <w:bookmarkEnd w:id="117"/>
      <w:bookmarkEnd w:id="118"/>
      <w:bookmarkEnd w:id="119"/>
      <w:bookmarkEnd w:id="120"/>
      <w:bookmarkEnd w:id="121"/>
      <w:bookmarkEnd w:id="122"/>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效益类指标主要从</w:t>
      </w:r>
      <w:r>
        <w:rPr>
          <w:rFonts w:hint="eastAsia" w:ascii="Times New Roman" w:hAnsi="Times New Roman" w:eastAsia="仿宋"/>
          <w:snapToGrid w:val="0"/>
          <w:sz w:val="28"/>
          <w:szCs w:val="32"/>
          <w:lang w:val="en-US" w:eastAsia="zh-CN"/>
        </w:rPr>
        <w:t>土地资源保护、移风易俗改进殡葬习俗、生态效益</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运行管理</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受益群众</w:t>
      </w:r>
      <w:r>
        <w:rPr>
          <w:rFonts w:hint="eastAsia" w:ascii="Times New Roman" w:hAnsi="Times New Roman" w:eastAsia="仿宋"/>
          <w:snapToGrid w:val="0"/>
          <w:sz w:val="28"/>
          <w:szCs w:val="32"/>
        </w:rPr>
        <w:t>满意度</w:t>
      </w:r>
      <w:r>
        <w:rPr>
          <w:rFonts w:hint="eastAsia" w:ascii="Times New Roman" w:hAnsi="Times New Roman" w:eastAsia="仿宋"/>
          <w:snapToGrid w:val="0"/>
          <w:sz w:val="28"/>
          <w:szCs w:val="32"/>
          <w:lang w:val="en-US" w:eastAsia="zh-CN"/>
        </w:rPr>
        <w:t>5</w:t>
      </w:r>
      <w:r>
        <w:rPr>
          <w:rFonts w:ascii="Times New Roman" w:hAnsi="Times New Roman" w:eastAsia="仿宋"/>
          <w:snapToGrid w:val="0"/>
          <w:sz w:val="28"/>
          <w:szCs w:val="32"/>
        </w:rPr>
        <w:t>个指标考察该项目的</w:t>
      </w:r>
      <w:r>
        <w:rPr>
          <w:rFonts w:hint="eastAsia" w:ascii="Times New Roman" w:hAnsi="Times New Roman" w:eastAsia="仿宋"/>
          <w:snapToGrid w:val="0"/>
          <w:sz w:val="28"/>
          <w:szCs w:val="32"/>
          <w:lang w:val="en-US" w:eastAsia="zh-CN"/>
        </w:rPr>
        <w:t>社会效益、生态效益、</w:t>
      </w:r>
      <w:r>
        <w:rPr>
          <w:rFonts w:ascii="Times New Roman" w:hAnsi="Times New Roman" w:eastAsia="仿宋"/>
          <w:snapToGrid w:val="0"/>
          <w:sz w:val="28"/>
          <w:szCs w:val="32"/>
        </w:rPr>
        <w:t>可持续影响、服务对象满意度情况。效益类指标权重30.00分，实际得分</w:t>
      </w:r>
      <w:r>
        <w:rPr>
          <w:rFonts w:hint="eastAsia" w:ascii="Times New Roman" w:hAnsi="Times New Roman" w:eastAsia="仿宋"/>
          <w:snapToGrid w:val="0"/>
          <w:sz w:val="28"/>
          <w:szCs w:val="32"/>
          <w:lang w:val="en-US" w:eastAsia="zh-CN"/>
        </w:rPr>
        <w:t>30.00</w:t>
      </w:r>
      <w:r>
        <w:rPr>
          <w:rFonts w:ascii="Times New Roman" w:hAnsi="Times New Roman" w:eastAsia="仿宋"/>
          <w:snapToGrid w:val="0"/>
          <w:sz w:val="28"/>
          <w:szCs w:val="32"/>
        </w:rPr>
        <w:t>分。指标得分情况如表4-4所示：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表4-4 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37"/>
        <w:gridCol w:w="3065"/>
        <w:gridCol w:w="840"/>
        <w:gridCol w:w="840"/>
        <w:gridCol w:w="13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437"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3065"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8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8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3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640" w:hRule="atLeast"/>
        </w:trPr>
        <w:tc>
          <w:tcPr>
            <w:tcW w:w="2437" w:type="dxa"/>
            <w:vMerge w:val="restart"/>
            <w:vAlign w:val="center"/>
          </w:tcPr>
          <w:p>
            <w:pPr>
              <w:jc w:val="center"/>
              <w:rPr>
                <w:rFonts w:ascii="Times New Roman" w:hAnsi="Times New Roman" w:eastAsia="仿宋"/>
                <w:bCs/>
                <w:sz w:val="24"/>
              </w:rPr>
            </w:pPr>
            <w:r>
              <w:rPr>
                <w:rFonts w:ascii="Times New Roman" w:hAnsi="Times New Roman" w:eastAsia="仿宋"/>
                <w:bCs/>
                <w:sz w:val="24"/>
              </w:rPr>
              <w:t>D1</w:t>
            </w:r>
            <w:r>
              <w:rPr>
                <w:rFonts w:hint="eastAsia" w:ascii="Times New Roman" w:hAnsi="Times New Roman" w:eastAsia="仿宋"/>
                <w:bCs/>
                <w:sz w:val="24"/>
                <w:lang w:val="en-US" w:eastAsia="zh-CN"/>
              </w:rPr>
              <w:t>社会</w:t>
            </w:r>
            <w:r>
              <w:rPr>
                <w:rFonts w:ascii="Times New Roman" w:hAnsi="Times New Roman" w:eastAsia="仿宋"/>
                <w:bCs/>
                <w:sz w:val="24"/>
              </w:rPr>
              <w:t>效益</w:t>
            </w:r>
          </w:p>
        </w:tc>
        <w:tc>
          <w:tcPr>
            <w:tcW w:w="3065" w:type="dxa"/>
            <w:vAlign w:val="center"/>
          </w:tcPr>
          <w:p>
            <w:pPr>
              <w:jc w:val="center"/>
              <w:rPr>
                <w:rFonts w:hint="eastAsia" w:ascii="Times New Roman" w:hAnsi="Times New Roman" w:eastAsia="仿宋"/>
                <w:bCs/>
                <w:sz w:val="24"/>
                <w:lang w:val="en-US" w:eastAsia="zh-CN"/>
              </w:rPr>
            </w:pPr>
            <w:r>
              <w:rPr>
                <w:rFonts w:hint="eastAsia" w:ascii="Times New Roman" w:hAnsi="Times New Roman" w:eastAsia="仿宋"/>
                <w:bCs/>
                <w:sz w:val="24"/>
                <w:lang w:val="en-US" w:eastAsia="zh-CN"/>
              </w:rPr>
              <w:t>D11土地资源保护</w:t>
            </w:r>
          </w:p>
        </w:tc>
        <w:tc>
          <w:tcPr>
            <w:tcW w:w="8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8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340"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437" w:type="dxa"/>
            <w:vMerge w:val="continue"/>
            <w:tcBorders/>
            <w:vAlign w:val="center"/>
          </w:tcPr>
          <w:p>
            <w:pPr>
              <w:jc w:val="center"/>
              <w:rPr>
                <w:rFonts w:ascii="Times New Roman" w:hAnsi="Times New Roman" w:eastAsia="仿宋"/>
                <w:bCs/>
                <w:sz w:val="24"/>
              </w:rPr>
            </w:pPr>
          </w:p>
        </w:tc>
        <w:tc>
          <w:tcPr>
            <w:tcW w:w="3065" w:type="dxa"/>
            <w:vAlign w:val="center"/>
          </w:tcPr>
          <w:p>
            <w:pPr>
              <w:jc w:val="center"/>
              <w:rPr>
                <w:rFonts w:hint="eastAsia" w:ascii="Times New Roman" w:hAnsi="Times New Roman" w:eastAsia="仿宋"/>
                <w:bCs/>
                <w:sz w:val="24"/>
                <w:lang w:val="en-US" w:eastAsia="zh-CN"/>
              </w:rPr>
            </w:pPr>
            <w:r>
              <w:rPr>
                <w:rFonts w:hint="eastAsia" w:ascii="Times New Roman" w:hAnsi="Times New Roman" w:eastAsia="仿宋"/>
                <w:bCs/>
                <w:sz w:val="24"/>
                <w:lang w:val="en-US" w:eastAsia="zh-CN"/>
              </w:rPr>
              <w:t>D12移风易俗改进殡葬习俗</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w:t>
            </w:r>
          </w:p>
        </w:tc>
        <w:tc>
          <w:tcPr>
            <w:tcW w:w="13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437"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D2生态效益</w:t>
            </w:r>
          </w:p>
        </w:tc>
        <w:tc>
          <w:tcPr>
            <w:tcW w:w="3065" w:type="dxa"/>
            <w:vAlign w:val="center"/>
          </w:tcPr>
          <w:p>
            <w:pPr>
              <w:widowControl/>
              <w:snapToGrid w:val="0"/>
              <w:jc w:val="center"/>
              <w:rPr>
                <w:rFonts w:hint="default" w:ascii="Times New Roman" w:hAnsi="Times New Roman" w:eastAsia="仿宋"/>
                <w:bCs/>
                <w:sz w:val="24"/>
                <w:lang w:val="en-US" w:eastAsia="zh-CN"/>
              </w:rPr>
            </w:pPr>
            <w:r>
              <w:rPr>
                <w:rFonts w:hint="eastAsia" w:ascii="仿宋" w:hAnsi="仿宋" w:eastAsia="仿宋" w:cs="仿宋"/>
                <w:color w:val="000000"/>
                <w:kern w:val="0"/>
                <w:sz w:val="24"/>
                <w:szCs w:val="24"/>
                <w:lang w:val="en-US" w:eastAsia="zh-CN"/>
              </w:rPr>
              <w:t>D21生态效益</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13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437" w:type="dxa"/>
            <w:vAlign w:val="center"/>
          </w:tcPr>
          <w:p>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3</w:t>
            </w:r>
            <w:r>
              <w:rPr>
                <w:rFonts w:ascii="Times New Roman" w:hAnsi="Times New Roman" w:eastAsia="仿宋"/>
                <w:bCs/>
                <w:sz w:val="24"/>
              </w:rPr>
              <w:t>可持续影响</w:t>
            </w:r>
          </w:p>
        </w:tc>
        <w:tc>
          <w:tcPr>
            <w:tcW w:w="306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D31项目运行管理</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1340" w:type="dxa"/>
            <w:vAlign w:val="center"/>
          </w:tcPr>
          <w:p>
            <w:pPr>
              <w:jc w:val="center"/>
              <w:rPr>
                <w:rFonts w:hint="default" w:ascii="Times New Roman" w:hAnsi="Times New Roman" w:eastAsia="仿宋"/>
                <w:bCs/>
                <w:sz w:val="24"/>
                <w:lang w:val="en-US" w:eastAsia="zh-CN"/>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437" w:type="dxa"/>
            <w:vAlign w:val="center"/>
          </w:tcPr>
          <w:p>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4</w:t>
            </w:r>
            <w:r>
              <w:rPr>
                <w:rFonts w:ascii="Times New Roman" w:hAnsi="Times New Roman" w:eastAsia="仿宋"/>
                <w:bCs/>
                <w:sz w:val="24"/>
              </w:rPr>
              <w:t>服务对象满意度</w:t>
            </w:r>
          </w:p>
        </w:tc>
        <w:tc>
          <w:tcPr>
            <w:tcW w:w="3065"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D41受益群众满意度</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1340"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502"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840"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84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30.00</w:t>
            </w:r>
          </w:p>
        </w:tc>
        <w:tc>
          <w:tcPr>
            <w:tcW w:w="13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bl>
    <w:p>
      <w:pPr>
        <w:widowControl/>
        <w:spacing w:line="500" w:lineRule="exact"/>
        <w:ind w:firstLine="562" w:firstLineChars="200"/>
        <w:rPr>
          <w:rFonts w:hint="eastAsia" w:ascii="Times New Roman" w:hAnsi="Times New Roman" w:eastAsia="仿宋"/>
          <w:b/>
          <w:snapToGrid w:val="0"/>
          <w:sz w:val="28"/>
          <w:szCs w:val="32"/>
          <w:lang w:eastAsia="zh-CN"/>
        </w:rPr>
      </w:pPr>
      <w:r>
        <w:rPr>
          <w:rFonts w:hint="eastAsia" w:ascii="Times New Roman" w:hAnsi="Times New Roman" w:eastAsia="仿宋"/>
          <w:b/>
          <w:snapToGrid w:val="0"/>
          <w:sz w:val="28"/>
          <w:szCs w:val="32"/>
        </w:rPr>
        <w:t>D11土地资源保护</w:t>
      </w:r>
      <w:r>
        <w:rPr>
          <w:rFonts w:hint="eastAsia" w:ascii="Times New Roman" w:hAnsi="Times New Roman" w:eastAsia="仿宋"/>
          <w:b/>
          <w:snapToGrid w:val="0"/>
          <w:sz w:val="28"/>
          <w:szCs w:val="32"/>
          <w:lang w:eastAsia="zh-CN"/>
        </w:rPr>
        <w:t>：</w:t>
      </w:r>
      <w:r>
        <w:rPr>
          <w:rFonts w:hint="eastAsia" w:ascii="Times New Roman" w:hAnsi="Times New Roman" w:eastAsia="仿宋" w:cs="Times New Roman"/>
          <w:snapToGrid w:val="0"/>
          <w:sz w:val="28"/>
          <w:szCs w:val="32"/>
          <w:lang w:val="en-US" w:eastAsia="zh-CN"/>
        </w:rPr>
        <w:t>满分2.00分，得分2.00分。古县目前农村殡葬行业仍以坟墓为主，毁林造墓、毁田造墓屡有发生，“死人与活人争地”问题非常突出。项目的实施，能够实有效保护有限的土地资源。</w:t>
      </w:r>
      <w:r>
        <w:rPr>
          <w:rFonts w:ascii="Times New Roman" w:hAnsi="Times New Roman" w:eastAsia="仿宋" w:cs="Times New Roman"/>
          <w:snapToGrid w:val="0"/>
          <w:sz w:val="28"/>
          <w:szCs w:val="32"/>
        </w:rPr>
        <w:t>根据评分标准，该项得</w:t>
      </w:r>
      <w:r>
        <w:rPr>
          <w:rFonts w:hint="eastAsia" w:ascii="Times New Roman" w:hAnsi="Times New Roman" w:eastAsia="仿宋" w:cs="Times New Roman"/>
          <w:snapToGrid w:val="0"/>
          <w:sz w:val="28"/>
          <w:szCs w:val="32"/>
          <w:lang w:val="en-US" w:eastAsia="zh-CN"/>
        </w:rPr>
        <w:t>满</w:t>
      </w:r>
      <w:r>
        <w:rPr>
          <w:rFonts w:ascii="Times New Roman" w:hAnsi="Times New Roman" w:eastAsia="仿宋" w:cs="Times New Roman"/>
          <w:snapToGrid w:val="0"/>
          <w:sz w:val="28"/>
          <w:szCs w:val="32"/>
        </w:rPr>
        <w:t>分</w:t>
      </w:r>
      <w:r>
        <w:rPr>
          <w:rFonts w:hint="eastAsia" w:ascii="Times New Roman" w:hAnsi="Times New Roman" w:eastAsia="仿宋" w:cs="Times New Roman"/>
          <w:snapToGrid w:val="0"/>
          <w:sz w:val="28"/>
          <w:szCs w:val="32"/>
          <w:lang w:eastAsia="zh-CN"/>
        </w:rPr>
        <w:t>。</w:t>
      </w:r>
    </w:p>
    <w:p>
      <w:pPr>
        <w:widowControl/>
        <w:spacing w:line="500" w:lineRule="exact"/>
        <w:ind w:firstLine="562" w:firstLineChars="200"/>
        <w:rPr>
          <w:rFonts w:hint="eastAsia" w:ascii="Times New Roman" w:hAnsi="Times New Roman" w:eastAsia="仿宋"/>
          <w:b/>
          <w:snapToGrid w:val="0"/>
          <w:sz w:val="28"/>
          <w:szCs w:val="32"/>
          <w:lang w:eastAsia="zh-CN"/>
        </w:rPr>
      </w:pPr>
      <w:r>
        <w:rPr>
          <w:rFonts w:hint="eastAsia" w:ascii="Times New Roman" w:hAnsi="Times New Roman" w:eastAsia="仿宋"/>
          <w:b/>
          <w:snapToGrid w:val="0"/>
          <w:sz w:val="28"/>
          <w:szCs w:val="32"/>
        </w:rPr>
        <w:t>D12移风易俗改进殡葬习俗</w:t>
      </w:r>
      <w:r>
        <w:rPr>
          <w:rFonts w:hint="eastAsia" w:ascii="Times New Roman" w:hAnsi="Times New Roman" w:eastAsia="仿宋"/>
          <w:b/>
          <w:snapToGrid w:val="0"/>
          <w:sz w:val="28"/>
          <w:szCs w:val="32"/>
          <w:lang w:eastAsia="zh-CN"/>
        </w:rPr>
        <w:t>：</w:t>
      </w:r>
      <w:r>
        <w:rPr>
          <w:rFonts w:hint="eastAsia" w:ascii="Times New Roman" w:hAnsi="Times New Roman" w:eastAsia="仿宋" w:cs="Times New Roman"/>
          <w:snapToGrid w:val="0"/>
          <w:sz w:val="28"/>
          <w:szCs w:val="32"/>
          <w:lang w:val="en-US" w:eastAsia="zh-CN"/>
        </w:rPr>
        <w:t>满分3.00分，得分3.00分。破除丧葬旧俗和封建迷信，实行葬法与葬礼的改革，采取不占地或少占地的骨灰处理方式，有利于树立科学、文明、健康的生活方式，简化丧事，减轻群众办丧负担，提高人们的生活水平和质量。殡仪馆具有地域优势、国家政策优势和发展潜力。殡葬改革是党和政府一贯倡导的改革取向，是建设节约型社会，是积极推进新农村建设，实现经济可持续发展的一项重要工作。</w:t>
      </w:r>
      <w:r>
        <w:rPr>
          <w:rFonts w:ascii="Times New Roman" w:hAnsi="Times New Roman" w:eastAsia="仿宋" w:cs="Times New Roman"/>
          <w:snapToGrid w:val="0"/>
          <w:sz w:val="28"/>
          <w:szCs w:val="32"/>
        </w:rPr>
        <w:t>根据评分标准，该项得</w:t>
      </w:r>
      <w:r>
        <w:rPr>
          <w:rFonts w:hint="eastAsia" w:ascii="Times New Roman" w:hAnsi="Times New Roman" w:eastAsia="仿宋" w:cs="Times New Roman"/>
          <w:snapToGrid w:val="0"/>
          <w:sz w:val="28"/>
          <w:szCs w:val="32"/>
          <w:lang w:val="en-US" w:eastAsia="zh-CN"/>
        </w:rPr>
        <w:t>满</w:t>
      </w:r>
      <w:r>
        <w:rPr>
          <w:rFonts w:ascii="Times New Roman" w:hAnsi="Times New Roman" w:eastAsia="仿宋" w:cs="Times New Roman"/>
          <w:snapToGrid w:val="0"/>
          <w:sz w:val="28"/>
          <w:szCs w:val="32"/>
        </w:rPr>
        <w:t>分</w:t>
      </w:r>
      <w:r>
        <w:rPr>
          <w:rFonts w:hint="eastAsia" w:ascii="Times New Roman" w:hAnsi="Times New Roman" w:eastAsia="仿宋" w:cs="Times New Roman"/>
          <w:snapToGrid w:val="0"/>
          <w:sz w:val="28"/>
          <w:szCs w:val="32"/>
          <w:lang w:eastAsia="zh-CN"/>
        </w:rPr>
        <w:t>。</w:t>
      </w:r>
    </w:p>
    <w:p>
      <w:pPr>
        <w:widowControl/>
        <w:spacing w:line="500" w:lineRule="exact"/>
        <w:ind w:firstLine="562" w:firstLineChars="200"/>
        <w:rPr>
          <w:rFonts w:hint="eastAsia" w:ascii="Times New Roman" w:hAnsi="Times New Roman" w:eastAsia="仿宋"/>
          <w:b/>
          <w:snapToGrid w:val="0"/>
          <w:sz w:val="28"/>
          <w:szCs w:val="32"/>
          <w:lang w:eastAsia="zh-CN"/>
        </w:rPr>
      </w:pPr>
      <w:r>
        <w:rPr>
          <w:rFonts w:hint="eastAsia" w:ascii="Times New Roman" w:hAnsi="Times New Roman" w:eastAsia="仿宋"/>
          <w:b/>
          <w:snapToGrid w:val="0"/>
          <w:sz w:val="28"/>
          <w:szCs w:val="32"/>
        </w:rPr>
        <w:t>D21生态效益</w:t>
      </w:r>
      <w:r>
        <w:rPr>
          <w:rFonts w:hint="eastAsia" w:ascii="Times New Roman" w:hAnsi="Times New Roman" w:eastAsia="仿宋"/>
          <w:b/>
          <w:snapToGrid w:val="0"/>
          <w:sz w:val="28"/>
          <w:szCs w:val="32"/>
          <w:lang w:eastAsia="zh-CN"/>
        </w:rPr>
        <w:t>：</w:t>
      </w:r>
      <w:r>
        <w:rPr>
          <w:rFonts w:hint="eastAsia" w:ascii="Times New Roman" w:hAnsi="Times New Roman" w:eastAsia="仿宋" w:cs="Times New Roman"/>
          <w:snapToGrid w:val="0"/>
          <w:sz w:val="28"/>
          <w:szCs w:val="32"/>
          <w:lang w:val="en-US" w:eastAsia="zh-CN"/>
        </w:rPr>
        <w:t>满分5.00分，得分5.00分。有条件的实行集中墓葬、由修墓变植树，由坟包变树林，由滥埋乱葬变统一安葬，有利于加强环境保护，改善生态环境。通过加强管理，还可减少因拜祭引起的山火，保护山林；更加有利于古县生态旅游的发展。</w:t>
      </w:r>
      <w:r>
        <w:rPr>
          <w:rFonts w:ascii="Times New Roman" w:hAnsi="Times New Roman" w:eastAsia="仿宋" w:cs="Times New Roman"/>
          <w:snapToGrid w:val="0"/>
          <w:sz w:val="28"/>
          <w:szCs w:val="32"/>
        </w:rPr>
        <w:t>根据评分标准，该项得</w:t>
      </w:r>
      <w:r>
        <w:rPr>
          <w:rFonts w:hint="eastAsia" w:ascii="Times New Roman" w:hAnsi="Times New Roman" w:eastAsia="仿宋" w:cs="Times New Roman"/>
          <w:snapToGrid w:val="0"/>
          <w:sz w:val="28"/>
          <w:szCs w:val="32"/>
          <w:lang w:val="en-US" w:eastAsia="zh-CN"/>
        </w:rPr>
        <w:t>满</w:t>
      </w:r>
      <w:r>
        <w:rPr>
          <w:rFonts w:ascii="Times New Roman" w:hAnsi="Times New Roman" w:eastAsia="仿宋" w:cs="Times New Roman"/>
          <w:snapToGrid w:val="0"/>
          <w:sz w:val="28"/>
          <w:szCs w:val="32"/>
        </w:rPr>
        <w:t>分</w:t>
      </w:r>
      <w:r>
        <w:rPr>
          <w:rFonts w:hint="eastAsia" w:ascii="Times New Roman" w:hAnsi="Times New Roman" w:eastAsia="仿宋" w:cs="Times New Roman"/>
          <w:snapToGrid w:val="0"/>
          <w:sz w:val="28"/>
          <w:szCs w:val="32"/>
          <w:lang w:eastAsia="zh-CN"/>
        </w:rPr>
        <w:t>。</w:t>
      </w:r>
    </w:p>
    <w:p>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31项目运行管理</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满分10.00分，得分10.00分。</w:t>
      </w:r>
      <w:r>
        <w:rPr>
          <w:rFonts w:hint="eastAsia" w:ascii="Times New Roman" w:hAnsi="Times New Roman" w:eastAsia="仿宋"/>
          <w:b w:val="0"/>
          <w:bCs/>
          <w:snapToGrid w:val="0"/>
          <w:sz w:val="28"/>
          <w:szCs w:val="32"/>
        </w:rPr>
        <w:t>考察项目建成后是否有完善的管护制度，责任是否落实到人。</w:t>
      </w:r>
      <w:r>
        <w:rPr>
          <w:rFonts w:hint="eastAsia" w:ascii="Times New Roman" w:hAnsi="Times New Roman" w:eastAsia="仿宋"/>
          <w:b w:val="0"/>
          <w:bCs/>
          <w:snapToGrid w:val="0"/>
          <w:sz w:val="28"/>
          <w:szCs w:val="32"/>
          <w:lang w:val="en-US" w:eastAsia="zh-CN"/>
        </w:rPr>
        <w:t>评价组现场调研了解到，项目实施完成后有古县民政局下属机构进行管理，项目后续管理责任明确，项目后续管理体制机制健全。根据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满</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41受益群众</w:t>
      </w:r>
      <w:r>
        <w:rPr>
          <w:rFonts w:hint="eastAsia" w:ascii="Times New Roman" w:hAnsi="Times New Roman" w:eastAsia="仿宋"/>
          <w:b/>
          <w:snapToGrid w:val="0"/>
          <w:sz w:val="28"/>
          <w:szCs w:val="32"/>
        </w:rPr>
        <w:t>满意度：</w:t>
      </w:r>
      <w:r>
        <w:rPr>
          <w:rFonts w:hint="eastAsia" w:ascii="Times New Roman" w:hAnsi="Times New Roman" w:eastAsia="仿宋"/>
          <w:snapToGrid w:val="0"/>
          <w:sz w:val="28"/>
          <w:szCs w:val="32"/>
          <w:lang w:val="en-US" w:eastAsia="zh-CN"/>
        </w:rPr>
        <w:t>满分10.00分，得分10.00分。</w:t>
      </w:r>
      <w:r>
        <w:rPr>
          <w:rFonts w:hint="eastAsia" w:ascii="Times New Roman" w:hAnsi="Times New Roman" w:eastAsia="仿宋"/>
          <w:b w:val="0"/>
          <w:bCs/>
          <w:snapToGrid w:val="0"/>
          <w:sz w:val="28"/>
          <w:szCs w:val="32"/>
        </w:rPr>
        <w:t>通过问卷调查，</w:t>
      </w:r>
      <w:r>
        <w:rPr>
          <w:rFonts w:hint="eastAsia" w:ascii="Times New Roman" w:hAnsi="Times New Roman" w:eastAsia="仿宋"/>
          <w:b w:val="0"/>
          <w:bCs/>
          <w:snapToGrid w:val="0"/>
          <w:sz w:val="28"/>
          <w:szCs w:val="32"/>
          <w:lang w:val="en-US" w:eastAsia="zh-CN"/>
        </w:rPr>
        <w:t>了解群众</w:t>
      </w:r>
      <w:r>
        <w:rPr>
          <w:rFonts w:hint="eastAsia" w:ascii="Times New Roman" w:hAnsi="Times New Roman" w:eastAsia="仿宋"/>
          <w:b w:val="0"/>
          <w:bCs/>
          <w:snapToGrid w:val="0"/>
          <w:sz w:val="28"/>
          <w:szCs w:val="32"/>
        </w:rPr>
        <w:t>对项目建</w:t>
      </w:r>
      <w:r>
        <w:rPr>
          <w:rFonts w:hint="eastAsia" w:ascii="Times New Roman" w:hAnsi="Times New Roman" w:eastAsia="仿宋"/>
          <w:b w:val="0"/>
          <w:bCs/>
          <w:snapToGrid w:val="0"/>
          <w:color w:val="000000" w:themeColor="text1"/>
          <w:sz w:val="28"/>
          <w:szCs w:val="32"/>
        </w:rPr>
        <w:t>设的总体满意度。</w:t>
      </w:r>
      <w:r>
        <w:rPr>
          <w:rFonts w:hint="eastAsia" w:ascii="Times New Roman" w:hAnsi="Times New Roman" w:eastAsia="仿宋" w:cs="Times New Roman"/>
          <w:sz w:val="28"/>
          <w:szCs w:val="24"/>
          <w:lang w:val="en-US" w:eastAsia="zh-CN"/>
        </w:rPr>
        <w:t>本次调查涉及四个问题，整体满意度较高，分别为：95.00%、94.67%、92.33%、96.67%，整体满意度94.67%，这体现出受益群体整体对该项目比较满意</w:t>
      </w:r>
      <w:r>
        <w:rPr>
          <w:rFonts w:hint="eastAsia" w:ascii="Times New Roman" w:hAnsi="Times New Roman" w:eastAsia="仿宋"/>
          <w:b w:val="0"/>
          <w:bCs/>
          <w:snapToGrid w:val="0"/>
          <w:color w:val="000000" w:themeColor="text1"/>
          <w:sz w:val="28"/>
          <w:szCs w:val="32"/>
        </w:rPr>
        <w:t>。</w:t>
      </w:r>
      <w:r>
        <w:rPr>
          <w:rFonts w:hint="eastAsia" w:ascii="Times New Roman" w:hAnsi="Times New Roman" w:eastAsia="仿宋"/>
          <w:b w:val="0"/>
          <w:bCs/>
          <w:snapToGrid w:val="0"/>
          <w:color w:val="000000" w:themeColor="text1"/>
          <w:sz w:val="28"/>
          <w:szCs w:val="32"/>
          <w:lang w:val="en-US" w:eastAsia="zh-CN"/>
        </w:rPr>
        <w:t>根据</w:t>
      </w:r>
      <w:r>
        <w:rPr>
          <w:rFonts w:ascii="Times New Roman" w:hAnsi="Times New Roman" w:eastAsia="仿宋"/>
          <w:b w:val="0"/>
          <w:bCs/>
          <w:snapToGrid w:val="0"/>
          <w:color w:val="000000" w:themeColor="text1"/>
          <w:sz w:val="28"/>
          <w:szCs w:val="32"/>
        </w:rPr>
        <w:t>根据评分标准，该项得</w:t>
      </w:r>
      <w:r>
        <w:rPr>
          <w:rFonts w:hint="eastAsia" w:ascii="Times New Roman" w:hAnsi="Times New Roman" w:eastAsia="仿宋"/>
          <w:b w:val="0"/>
          <w:bCs/>
          <w:snapToGrid w:val="0"/>
          <w:color w:val="000000" w:themeColor="text1"/>
          <w:sz w:val="28"/>
          <w:szCs w:val="32"/>
          <w:lang w:val="en-US" w:eastAsia="zh-CN"/>
        </w:rPr>
        <w:t>满</w:t>
      </w:r>
      <w:r>
        <w:rPr>
          <w:rFonts w:ascii="Times New Roman" w:hAnsi="Times New Roman" w:eastAsia="仿宋"/>
          <w:b w:val="0"/>
          <w:bCs/>
          <w:snapToGrid w:val="0"/>
          <w:color w:val="000000" w:themeColor="text1"/>
          <w:sz w:val="28"/>
          <w:szCs w:val="32"/>
        </w:rPr>
        <w:t>分</w:t>
      </w:r>
      <w:r>
        <w:rPr>
          <w:rFonts w:hint="eastAsia" w:ascii="Times New Roman" w:hAnsi="Times New Roman" w:eastAsia="仿宋"/>
          <w:b w:val="0"/>
          <w:bCs/>
          <w:snapToGrid w:val="0"/>
          <w:color w:val="000000" w:themeColor="text1"/>
          <w:sz w:val="28"/>
          <w:szCs w:val="32"/>
        </w:rPr>
        <w:t>。</w:t>
      </w:r>
    </w:p>
    <w:p>
      <w:pPr>
        <w:pStyle w:val="3"/>
        <w:spacing w:before="156" w:beforeLines="50" w:after="156" w:afterLines="50" w:line="500" w:lineRule="exact"/>
        <w:ind w:firstLine="643" w:firstLineChars="200"/>
        <w:rPr>
          <w:rFonts w:ascii="仿宋" w:hAnsi="仿宋" w:eastAsia="仿宋"/>
        </w:rPr>
      </w:pPr>
      <w:bookmarkStart w:id="123" w:name="_Toc514537344"/>
      <w:bookmarkStart w:id="124" w:name="_Toc27063"/>
      <w:r>
        <w:rPr>
          <w:rFonts w:ascii="仿宋" w:hAnsi="仿宋" w:eastAsia="仿宋"/>
        </w:rPr>
        <w:t>（二）总体得分情况</w:t>
      </w:r>
      <w:bookmarkEnd w:id="123"/>
      <w:bookmarkEnd w:id="12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根据上述三级指标分析得分情况，经汇总计算，本次评价涉及四项一级指标总得分情况如下：</w:t>
      </w:r>
    </w:p>
    <w:p>
      <w:pPr>
        <w:widowControl/>
        <w:spacing w:line="500" w:lineRule="exact"/>
        <w:jc w:val="center"/>
        <w:rPr>
          <w:rFonts w:ascii="Times New Roman" w:hAnsi="Times New Roman" w:eastAsia="仿宋"/>
          <w:b/>
          <w:snapToGrid w:val="0"/>
          <w:sz w:val="24"/>
        </w:rPr>
      </w:pPr>
      <w:bookmarkStart w:id="125" w:name="_Toc528603080"/>
      <w:bookmarkStart w:id="126" w:name="_Toc514537345"/>
      <w:r>
        <w:rPr>
          <w:rFonts w:ascii="Times New Roman" w:hAnsi="Times New Roman" w:eastAsia="仿宋"/>
          <w:b/>
          <w:snapToGrid w:val="0"/>
          <w:sz w:val="24"/>
        </w:rPr>
        <w:t>表4-5 一级指标得分情况</w:t>
      </w:r>
      <w:bookmarkEnd w:id="125"/>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一级指标</w:t>
            </w:r>
          </w:p>
        </w:tc>
        <w:tc>
          <w:tcPr>
            <w:tcW w:w="184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权重</w:t>
            </w:r>
          </w:p>
        </w:tc>
        <w:tc>
          <w:tcPr>
            <w:tcW w:w="184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得分</w:t>
            </w:r>
          </w:p>
        </w:tc>
        <w:tc>
          <w:tcPr>
            <w:tcW w:w="2374"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A决策</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20.00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B过程</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C产出</w:t>
            </w:r>
          </w:p>
        </w:tc>
        <w:tc>
          <w:tcPr>
            <w:tcW w:w="1846" w:type="dxa"/>
            <w:vAlign w:val="center"/>
          </w:tcPr>
          <w:p>
            <w:pPr>
              <w:jc w:val="center"/>
              <w:rPr>
                <w:rFonts w:ascii="Times New Roman" w:hAnsi="Times New Roman" w:eastAsia="仿宋"/>
                <w:b w:val="0"/>
                <w:bCs/>
                <w:sz w:val="24"/>
              </w:rPr>
            </w:pPr>
            <w:r>
              <w:rPr>
                <w:rFonts w:ascii="Times New Roman" w:hAnsi="Times New Roman" w:eastAsia="仿宋"/>
                <w:bCs/>
                <w:sz w:val="24"/>
              </w:rPr>
              <w:t>30.00</w:t>
            </w:r>
          </w:p>
        </w:tc>
        <w:tc>
          <w:tcPr>
            <w:tcW w:w="1846" w:type="dxa"/>
            <w:vAlign w:val="center"/>
          </w:tcPr>
          <w:p>
            <w:pPr>
              <w:jc w:val="center"/>
              <w:rPr>
                <w:rFonts w:hint="default" w:ascii="Times New Roman" w:hAnsi="Times New Roman" w:eastAsia="仿宋"/>
                <w:b w:val="0"/>
                <w:bCs/>
                <w:sz w:val="24"/>
                <w:lang w:val="en-US"/>
              </w:rPr>
            </w:pPr>
            <w:r>
              <w:rPr>
                <w:rFonts w:hint="eastAsia" w:ascii="Times New Roman" w:hAnsi="Times New Roman" w:eastAsia="仿宋"/>
                <w:bCs/>
                <w:sz w:val="24"/>
                <w:lang w:val="en-US" w:eastAsia="zh-CN"/>
              </w:rPr>
              <w:t>10.00</w:t>
            </w:r>
          </w:p>
        </w:tc>
        <w:tc>
          <w:tcPr>
            <w:tcW w:w="2374" w:type="dxa"/>
            <w:vAlign w:val="center"/>
          </w:tcPr>
          <w:p>
            <w:pPr>
              <w:jc w:val="center"/>
              <w:rPr>
                <w:rFonts w:ascii="Times New Roman" w:hAnsi="Times New Roman" w:eastAsia="仿宋"/>
                <w:b w:val="0"/>
                <w:bCs/>
                <w:sz w:val="24"/>
              </w:rPr>
            </w:pPr>
            <w:r>
              <w:rPr>
                <w:rFonts w:hint="eastAsia" w:ascii="Times New Roman" w:hAnsi="Times New Roman" w:eastAsia="仿宋"/>
                <w:bCs/>
                <w:sz w:val="24"/>
                <w:lang w:val="en-US" w:eastAsia="zh-CN"/>
              </w:rPr>
              <w:t>33.33%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D效益</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30.00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 xml:space="preserve">100.00 </w:t>
            </w:r>
          </w:p>
        </w:tc>
        <w:tc>
          <w:tcPr>
            <w:tcW w:w="184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79.00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79.00</w:t>
            </w:r>
            <w:r>
              <w:rPr>
                <w:rFonts w:ascii="Times New Roman" w:hAnsi="Times New Roman" w:eastAsia="仿宋"/>
                <w:bCs/>
                <w:sz w:val="24"/>
              </w:rPr>
              <w:t>%</w:t>
            </w:r>
          </w:p>
        </w:tc>
      </w:tr>
    </w:tbl>
    <w:p>
      <w:pPr>
        <w:pStyle w:val="2"/>
        <w:spacing w:before="312" w:beforeLines="100" w:after="312" w:afterLines="100" w:line="500" w:lineRule="exact"/>
        <w:rPr>
          <w:rFonts w:ascii="Times New Roman" w:hAnsi="Times New Roman" w:eastAsia="黑体"/>
          <w:b w:val="0"/>
          <w:sz w:val="32"/>
          <w:szCs w:val="32"/>
        </w:rPr>
      </w:pPr>
      <w:bookmarkStart w:id="127" w:name="_Toc8595"/>
      <w:r>
        <w:rPr>
          <w:rFonts w:ascii="Times New Roman" w:hAnsi="Times New Roman" w:eastAsia="黑体"/>
          <w:b w:val="0"/>
          <w:sz w:val="32"/>
          <w:szCs w:val="32"/>
        </w:rPr>
        <w:t>五、综合评价情况及结论</w:t>
      </w:r>
      <w:bookmarkEnd w:id="126"/>
      <w:bookmarkEnd w:id="127"/>
    </w:p>
    <w:p>
      <w:pPr>
        <w:pStyle w:val="3"/>
        <w:spacing w:before="156" w:beforeLines="50" w:after="156" w:afterLines="50" w:line="500" w:lineRule="exact"/>
        <w:ind w:firstLine="643" w:firstLineChars="200"/>
        <w:rPr>
          <w:rFonts w:ascii="仿宋" w:hAnsi="仿宋" w:eastAsia="仿宋"/>
        </w:rPr>
      </w:pPr>
      <w:bookmarkStart w:id="128" w:name="_Toc18809"/>
      <w:bookmarkStart w:id="129" w:name="_Toc514537346"/>
      <w:r>
        <w:rPr>
          <w:rFonts w:ascii="仿宋" w:hAnsi="仿宋" w:eastAsia="仿宋"/>
        </w:rPr>
        <w:t>（一）评分结果</w:t>
      </w:r>
      <w:bookmarkEnd w:id="128"/>
      <w:bookmarkEnd w:id="129"/>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依据项目基础信息统计，结合现场核查结果，按照评价小组制定并</w:t>
      </w:r>
      <w:r>
        <w:rPr>
          <w:rFonts w:hint="eastAsia" w:ascii="Times New Roman" w:hAnsi="Times New Roman" w:eastAsia="仿宋"/>
          <w:snapToGrid w:val="0"/>
          <w:sz w:val="28"/>
          <w:szCs w:val="32"/>
          <w:lang w:val="en-US" w:eastAsia="zh-CN"/>
        </w:rPr>
        <w:t>经</w:t>
      </w:r>
      <w:r>
        <w:rPr>
          <w:rFonts w:ascii="Times New Roman" w:hAnsi="Times New Roman" w:eastAsia="仿宋"/>
          <w:snapToGrid w:val="0"/>
          <w:sz w:val="28"/>
          <w:szCs w:val="32"/>
        </w:rPr>
        <w:t>专家组论证的评价指标体系，</w:t>
      </w:r>
      <w:r>
        <w:rPr>
          <w:rFonts w:hint="eastAsia" w:ascii="Times New Roman" w:hAnsi="Times New Roman" w:eastAsia="仿宋"/>
          <w:snapToGrid w:val="0"/>
          <w:sz w:val="28"/>
          <w:szCs w:val="32"/>
          <w:lang w:eastAsia="zh-CN"/>
        </w:rPr>
        <w:t>殡仪馆建设改造补助资金项目</w:t>
      </w:r>
      <w:r>
        <w:rPr>
          <w:rFonts w:ascii="Times New Roman" w:hAnsi="Times New Roman" w:eastAsia="仿宋"/>
          <w:snapToGrid w:val="0"/>
          <w:sz w:val="28"/>
          <w:szCs w:val="32"/>
        </w:rPr>
        <w:t>财政支出绩效评价综合得分</w:t>
      </w:r>
      <w:r>
        <w:rPr>
          <w:rFonts w:hint="eastAsia" w:ascii="Times New Roman" w:hAnsi="Times New Roman" w:eastAsia="仿宋"/>
          <w:snapToGrid w:val="0"/>
          <w:sz w:val="28"/>
          <w:szCs w:val="32"/>
          <w:lang w:val="en-US" w:eastAsia="zh-CN"/>
        </w:rPr>
        <w:t>79.00</w:t>
      </w:r>
      <w:r>
        <w:rPr>
          <w:rFonts w:ascii="Times New Roman" w:hAnsi="Times New Roman" w:eastAsia="仿宋"/>
          <w:snapToGrid w:val="0"/>
          <w:sz w:val="28"/>
          <w:szCs w:val="32"/>
        </w:rPr>
        <w:t>分，评价等级为</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中</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w:t>
      </w:r>
    </w:p>
    <w:p>
      <w:pPr>
        <w:pStyle w:val="3"/>
        <w:spacing w:before="156" w:beforeLines="50" w:after="156" w:afterLines="50" w:line="500" w:lineRule="exact"/>
        <w:ind w:firstLine="643" w:firstLineChars="200"/>
        <w:rPr>
          <w:rFonts w:ascii="仿宋" w:hAnsi="仿宋" w:eastAsia="仿宋"/>
        </w:rPr>
      </w:pPr>
      <w:bookmarkStart w:id="130" w:name="_Toc24648"/>
      <w:bookmarkStart w:id="131" w:name="_Toc514537347"/>
      <w:r>
        <w:rPr>
          <w:rFonts w:ascii="仿宋" w:hAnsi="仿宋" w:eastAsia="仿宋"/>
        </w:rPr>
        <w:t>（二）主要结论</w:t>
      </w:r>
      <w:bookmarkEnd w:id="130"/>
      <w:bookmarkEnd w:id="131"/>
    </w:p>
    <w:p>
      <w:pPr>
        <w:widowControl/>
        <w:spacing w:line="500" w:lineRule="exact"/>
        <w:ind w:firstLine="560" w:firstLineChars="200"/>
        <w:rPr>
          <w:rFonts w:hint="default" w:ascii="Times New Roman" w:hAnsi="Times New Roman" w:eastAsia="仿宋"/>
          <w:snapToGrid w:val="0"/>
          <w:sz w:val="28"/>
          <w:szCs w:val="32"/>
          <w:lang w:val="en-US" w:eastAsia="zh-CN"/>
        </w:rPr>
      </w:pPr>
      <w:bookmarkStart w:id="132" w:name="_Toc514537348"/>
      <w:r>
        <w:rPr>
          <w:rFonts w:hint="eastAsia" w:ascii="Times New Roman" w:hAnsi="Times New Roman" w:eastAsia="仿宋"/>
          <w:sz w:val="28"/>
          <w:szCs w:val="32"/>
        </w:rPr>
        <w:t>殡仪馆建设是配合我国殡葬业的不断改革、促进社会文明及提升殡葬文化的具体行动。可以促使殡葬事业逐步走向规范化、合理，避免乱葬</w:t>
      </w:r>
      <w:r>
        <w:rPr>
          <w:rFonts w:ascii="Times New Roman" w:hAnsi="Times New Roman" w:eastAsia="仿宋"/>
          <w:snapToGrid w:val="0"/>
          <w:sz w:val="28"/>
          <w:szCs w:val="32"/>
        </w:rPr>
        <w:t>。</w:t>
      </w:r>
      <w:r>
        <w:rPr>
          <w:rFonts w:hint="eastAsia" w:ascii="Times New Roman" w:hAnsi="Times New Roman" w:eastAsia="仿宋"/>
          <w:snapToGrid w:val="0"/>
          <w:sz w:val="28"/>
          <w:szCs w:val="32"/>
          <w:lang w:val="en-US" w:eastAsia="zh-CN"/>
        </w:rPr>
        <w:t>古县殡仪馆的建设，有其必要性，且项目建设完成并投入使用后，对于区域移风易俗改进丧葬文化，更好的进行土地资源保护都有重要意义。但评价发现，古县殡仪馆建设改造补助资金项目延期严重，</w:t>
      </w:r>
      <w:r>
        <w:rPr>
          <w:rFonts w:hint="eastAsia" w:ascii="Times New Roman" w:hAnsi="Times New Roman" w:eastAsia="仿宋" w:cs="Times New Roman"/>
          <w:sz w:val="28"/>
          <w:szCs w:val="24"/>
          <w:lang w:val="en-US" w:eastAsia="zh-CN"/>
        </w:rPr>
        <w:t>计划开竣工时间为2022年1月20日至2022年12月20日</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截止评价日2023年11月15日，项目仍未整体完工，影响了项目整体效益的发挥。</w:t>
      </w:r>
    </w:p>
    <w:bookmarkEnd w:id="132"/>
    <w:p>
      <w:pPr>
        <w:pStyle w:val="2"/>
        <w:spacing w:before="312" w:beforeLines="100" w:after="312" w:afterLines="100" w:line="500" w:lineRule="exact"/>
        <w:rPr>
          <w:rFonts w:ascii="Times New Roman" w:hAnsi="Times New Roman" w:eastAsia="黑体"/>
          <w:b w:val="0"/>
          <w:sz w:val="32"/>
          <w:szCs w:val="32"/>
        </w:rPr>
      </w:pPr>
      <w:bookmarkStart w:id="133" w:name="_Toc14728"/>
      <w:bookmarkStart w:id="134" w:name="_Toc514537349"/>
      <w:r>
        <w:rPr>
          <w:rFonts w:ascii="Times New Roman" w:hAnsi="Times New Roman" w:eastAsia="黑体"/>
          <w:b w:val="0"/>
          <w:sz w:val="32"/>
          <w:szCs w:val="32"/>
        </w:rPr>
        <w:t>六、存在的问题和改进建议</w:t>
      </w:r>
      <w:bookmarkEnd w:id="133"/>
      <w:bookmarkEnd w:id="13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评价小组在详细查阅项目资料的基础上，结合现场实地勘察，对本次项目建设过程中存在的问题进行总结与分析，并针对问题提出了对应建议。</w:t>
      </w:r>
    </w:p>
    <w:p>
      <w:pPr>
        <w:pStyle w:val="3"/>
        <w:spacing w:before="156" w:beforeLines="50" w:after="156" w:afterLines="50" w:line="500" w:lineRule="exact"/>
        <w:ind w:firstLine="643" w:firstLineChars="200"/>
        <w:rPr>
          <w:rFonts w:ascii="仿宋" w:hAnsi="仿宋" w:eastAsia="仿宋"/>
        </w:rPr>
      </w:pPr>
      <w:bookmarkStart w:id="135" w:name="_Toc514537350"/>
      <w:bookmarkStart w:id="136" w:name="_Toc528680328"/>
      <w:bookmarkStart w:id="137" w:name="_Toc528603086"/>
      <w:bookmarkStart w:id="138" w:name="_Toc528684154"/>
      <w:bookmarkStart w:id="139" w:name="_Toc528680479"/>
      <w:bookmarkStart w:id="140" w:name="_Toc14637"/>
      <w:r>
        <w:rPr>
          <w:rFonts w:ascii="仿宋" w:hAnsi="仿宋" w:eastAsia="仿宋"/>
        </w:rPr>
        <w:t>（一）存在的问题</w:t>
      </w:r>
      <w:bookmarkEnd w:id="135"/>
      <w:bookmarkEnd w:id="136"/>
      <w:bookmarkEnd w:id="137"/>
      <w:bookmarkEnd w:id="138"/>
      <w:bookmarkEnd w:id="139"/>
      <w:bookmarkEnd w:id="140"/>
    </w:p>
    <w:p>
      <w:pPr>
        <w:spacing w:line="500" w:lineRule="exact"/>
        <w:ind w:firstLine="562" w:firstLineChars="200"/>
        <w:rPr>
          <w:rFonts w:hint="default" w:ascii="Times New Roman" w:hAnsi="Times New Roman" w:eastAsia="仿宋"/>
          <w:snapToGrid w:val="0"/>
          <w:sz w:val="28"/>
          <w:szCs w:val="32"/>
          <w:lang w:val="en-US" w:eastAsia="zh-CN"/>
        </w:rPr>
      </w:pPr>
      <w:bookmarkStart w:id="141" w:name="_Toc514537351"/>
      <w:bookmarkStart w:id="142" w:name="_Toc528603089"/>
      <w:r>
        <w:rPr>
          <w:rFonts w:hint="eastAsia" w:ascii="Times New Roman" w:hAnsi="Times New Roman" w:eastAsia="仿宋"/>
          <w:b/>
          <w:bCs/>
          <w:snapToGrid w:val="0"/>
          <w:sz w:val="28"/>
          <w:szCs w:val="32"/>
          <w:lang w:val="en-US" w:eastAsia="zh-CN"/>
        </w:rPr>
        <w:t>1.项目整体施工进度延期严重，影响项目整体效益发挥。</w:t>
      </w:r>
    </w:p>
    <w:p>
      <w:pPr>
        <w:spacing w:line="500" w:lineRule="exact"/>
        <w:ind w:firstLine="560" w:firstLineChars="200"/>
        <w:rPr>
          <w:rFonts w:hint="eastAsia" w:ascii="Times New Roman" w:hAnsi="Times New Roman" w:eastAsia="仿宋"/>
          <w:snapToGrid w:val="0"/>
          <w:sz w:val="28"/>
          <w:szCs w:val="32"/>
          <w:lang w:val="en-US" w:eastAsia="zh-CN"/>
        </w:rPr>
      </w:pPr>
      <w:r>
        <w:rPr>
          <w:rFonts w:hint="eastAsia" w:ascii="Times New Roman" w:hAnsi="Times New Roman" w:eastAsia="仿宋"/>
          <w:snapToGrid w:val="0"/>
          <w:sz w:val="28"/>
          <w:szCs w:val="32"/>
          <w:lang w:val="en-US" w:eastAsia="zh-CN"/>
        </w:rPr>
        <w:t>2022年1月19日，古县民政局与天太建设集团有限公司签订《建设工程施工合同》，计划开竣工时间为2022年1月20日至2022年12月20日；截止2022年12月31日，项目尚未完工，尚未验收，尚未结算审核，项目严重延期。</w:t>
      </w:r>
    </w:p>
    <w:p>
      <w:pPr>
        <w:spacing w:line="500" w:lineRule="exact"/>
        <w:ind w:firstLine="562" w:firstLineChars="200"/>
        <w:rPr>
          <w:rFonts w:hint="default" w:ascii="Times New Roman" w:hAnsi="Times New Roman" w:eastAsia="仿宋"/>
          <w:b/>
          <w:bCs/>
          <w:snapToGrid w:val="0"/>
          <w:sz w:val="28"/>
          <w:szCs w:val="32"/>
          <w:lang w:val="en-US" w:eastAsia="zh-CN"/>
        </w:rPr>
      </w:pPr>
      <w:r>
        <w:rPr>
          <w:rFonts w:hint="eastAsia" w:ascii="Times New Roman" w:hAnsi="Times New Roman" w:eastAsia="仿宋"/>
          <w:b/>
          <w:bCs/>
          <w:snapToGrid w:val="0"/>
          <w:sz w:val="28"/>
          <w:szCs w:val="32"/>
          <w:lang w:val="en-US" w:eastAsia="zh-CN"/>
        </w:rPr>
        <w:t>2.项目实施管理不到位。</w:t>
      </w:r>
    </w:p>
    <w:p>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snapToGrid w:val="0"/>
          <w:sz w:val="28"/>
          <w:szCs w:val="32"/>
          <w:lang w:val="en-US" w:eastAsia="zh-CN"/>
        </w:rPr>
        <w:t>古县民政局项目实施管理不到位，在项目延期的情况下，未见古县民政局中期检查、监控、督促施工方按期施工完成记录资料。</w:t>
      </w:r>
    </w:p>
    <w:p>
      <w:pPr>
        <w:pStyle w:val="3"/>
        <w:spacing w:before="156" w:beforeLines="50" w:after="156" w:afterLines="50" w:line="500" w:lineRule="exact"/>
        <w:ind w:firstLine="643" w:firstLineChars="200"/>
        <w:rPr>
          <w:rFonts w:ascii="仿宋" w:hAnsi="仿宋" w:eastAsia="仿宋"/>
        </w:rPr>
      </w:pPr>
      <w:bookmarkStart w:id="143" w:name="_Toc528680480"/>
      <w:bookmarkStart w:id="144" w:name="_Toc528680329"/>
      <w:bookmarkStart w:id="145" w:name="_Toc528684155"/>
      <w:bookmarkStart w:id="146" w:name="_Toc10943"/>
      <w:r>
        <w:rPr>
          <w:rFonts w:ascii="仿宋" w:hAnsi="仿宋" w:eastAsia="仿宋"/>
        </w:rPr>
        <w:t>（二）改进建议</w:t>
      </w:r>
      <w:bookmarkEnd w:id="141"/>
      <w:bookmarkEnd w:id="142"/>
      <w:bookmarkEnd w:id="143"/>
      <w:bookmarkEnd w:id="144"/>
      <w:bookmarkEnd w:id="145"/>
      <w:bookmarkEnd w:id="146"/>
    </w:p>
    <w:p>
      <w:pPr>
        <w:spacing w:line="500" w:lineRule="exact"/>
        <w:ind w:firstLine="562" w:firstLineChars="200"/>
        <w:rPr>
          <w:rFonts w:hint="default" w:ascii="Times New Roman" w:hAnsi="Times New Roman" w:eastAsia="仿宋"/>
          <w:b/>
          <w:bCs w:val="0"/>
          <w:snapToGrid w:val="0"/>
          <w:sz w:val="28"/>
          <w:szCs w:val="32"/>
          <w:lang w:val="en-US" w:eastAsia="zh-CN"/>
        </w:rPr>
      </w:pPr>
      <w:bookmarkStart w:id="147" w:name="_Toc528603091"/>
      <w:r>
        <w:rPr>
          <w:rFonts w:hint="eastAsia" w:ascii="Times New Roman" w:hAnsi="Times New Roman" w:eastAsia="仿宋"/>
          <w:b/>
          <w:bCs w:val="0"/>
          <w:snapToGrid w:val="0"/>
          <w:sz w:val="28"/>
          <w:szCs w:val="32"/>
          <w:lang w:val="en-US" w:eastAsia="zh-CN"/>
        </w:rPr>
        <w:t>1.加强项目实施过程管理，确保项目实施流程合法、合规。</w:t>
      </w:r>
    </w:p>
    <w:p>
      <w:pPr>
        <w:spacing w:line="500"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建议古县民政局在今后实施项目过程中，加强项目进度管理，对于延期项目及时督促施工方加快施工进度，对于延期严重情况，对施工方进行惩戒；多措并举，确保项目实施进度达标；</w:t>
      </w:r>
    </w:p>
    <w:p>
      <w:pPr>
        <w:spacing w:line="500" w:lineRule="exact"/>
        <w:ind w:firstLine="562" w:firstLineChars="200"/>
        <w:rPr>
          <w:rFonts w:hint="default" w:ascii="Times New Roman" w:hAnsi="Times New Roman" w:eastAsia="仿宋"/>
          <w:b/>
          <w:bCs w:val="0"/>
          <w:snapToGrid w:val="0"/>
          <w:sz w:val="28"/>
          <w:szCs w:val="32"/>
          <w:lang w:val="en-US" w:eastAsia="zh-CN"/>
        </w:rPr>
      </w:pPr>
      <w:r>
        <w:rPr>
          <w:rFonts w:hint="eastAsia" w:ascii="Times New Roman" w:hAnsi="Times New Roman" w:eastAsia="仿宋"/>
          <w:b/>
          <w:bCs w:val="0"/>
          <w:snapToGrid w:val="0"/>
          <w:sz w:val="28"/>
          <w:szCs w:val="32"/>
          <w:lang w:val="en-US" w:eastAsia="zh-CN"/>
        </w:rPr>
        <w:t>2.加强中期检查监控，及时跟踪发现项目实施过程中的问题并尽快解决，促进项目预期目标实现。</w:t>
      </w:r>
    </w:p>
    <w:p>
      <w:pPr>
        <w:spacing w:line="500"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同时，加强目中期检查监控，及时跟踪发现项目实施过程中的问题并尽快解决，中期检查监控资料留档备查；项目结束后，及时进行项目整体总结和自评价，确保项目预期目标实现。</w:t>
      </w:r>
    </w:p>
    <w:bookmarkEnd w:id="147"/>
    <w:p>
      <w:pPr>
        <w:pStyle w:val="2"/>
        <w:spacing w:before="312" w:beforeLines="100" w:after="312" w:afterLines="100" w:line="500" w:lineRule="exact"/>
        <w:rPr>
          <w:rFonts w:ascii="Times New Roman" w:hAnsi="Times New Roman" w:eastAsia="黑体"/>
          <w:b w:val="0"/>
          <w:sz w:val="32"/>
          <w:szCs w:val="32"/>
        </w:rPr>
      </w:pPr>
      <w:bookmarkStart w:id="148" w:name="_Toc514537353"/>
      <w:bookmarkStart w:id="149" w:name="_Toc3191"/>
      <w:r>
        <w:rPr>
          <w:rFonts w:ascii="Times New Roman" w:hAnsi="Times New Roman" w:eastAsia="黑体"/>
          <w:b w:val="0"/>
          <w:sz w:val="32"/>
          <w:szCs w:val="32"/>
        </w:rPr>
        <w:t>七、绩效评价结果应用建议</w:t>
      </w:r>
      <w:bookmarkEnd w:id="148"/>
      <w:bookmarkEnd w:id="149"/>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p>
    <w:p>
      <w:pPr>
        <w:pStyle w:val="3"/>
        <w:spacing w:before="156" w:beforeLines="50" w:after="156" w:afterLines="50" w:line="500" w:lineRule="exact"/>
        <w:ind w:firstLine="643" w:firstLineChars="200"/>
        <w:rPr>
          <w:rFonts w:ascii="仿宋" w:hAnsi="仿宋" w:eastAsia="仿宋"/>
        </w:rPr>
      </w:pPr>
      <w:bookmarkStart w:id="150" w:name="_Toc27704"/>
      <w:bookmarkStart w:id="151" w:name="_Toc22366"/>
      <w:bookmarkStart w:id="152" w:name="_Toc521418325"/>
      <w:r>
        <w:rPr>
          <w:rFonts w:ascii="仿宋" w:hAnsi="仿宋" w:eastAsia="仿宋"/>
        </w:rPr>
        <w:t>（一）以绩效评价促进项目规范管理</w:t>
      </w:r>
      <w:bookmarkEnd w:id="150"/>
      <w:bookmarkEnd w:id="151"/>
      <w:bookmarkEnd w:id="152"/>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绩效评价反馈的问题，委托方应进一步加强项目预算管理，并强化对项目实施过程的监督检查力度，督促有关部门加强对项目及绩效情况的追踪管理，促使项目达到既定的绩效目标，并将达标情况作为下一年度资金安排的重要依据。</w:t>
      </w:r>
    </w:p>
    <w:p>
      <w:pPr>
        <w:pStyle w:val="3"/>
        <w:spacing w:before="156" w:beforeLines="50" w:after="156" w:afterLines="50" w:line="500" w:lineRule="exact"/>
        <w:ind w:firstLine="643" w:firstLineChars="200"/>
        <w:rPr>
          <w:rFonts w:ascii="仿宋" w:hAnsi="仿宋" w:eastAsia="仿宋"/>
        </w:rPr>
      </w:pPr>
      <w:bookmarkStart w:id="153" w:name="_Toc521418326"/>
      <w:bookmarkStart w:id="154" w:name="_Toc517532006"/>
      <w:bookmarkStart w:id="155" w:name="_Toc27452"/>
      <w:bookmarkStart w:id="156" w:name="_Toc1444"/>
      <w:r>
        <w:rPr>
          <w:rFonts w:ascii="仿宋" w:hAnsi="仿宋" w:eastAsia="仿宋"/>
        </w:rPr>
        <w:t>（二）充分利用绩效结果，</w:t>
      </w:r>
      <w:bookmarkEnd w:id="153"/>
      <w:bookmarkEnd w:id="154"/>
      <w:r>
        <w:rPr>
          <w:rFonts w:ascii="仿宋" w:hAnsi="仿宋" w:eastAsia="仿宋"/>
        </w:rPr>
        <w:t>落实问题整改机制</w:t>
      </w:r>
      <w:bookmarkEnd w:id="155"/>
      <w:bookmarkEnd w:id="156"/>
    </w:p>
    <w:p>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委托方应将项目在实施过程中的经验及存在问题以文件形式反馈到相关单位，对于绩效评价中存在的问题提出整改要求。被评价单位要根据具体问题制定整改方案，并将整改结果反馈政府、财政部门。</w:t>
      </w:r>
    </w:p>
    <w:p>
      <w:pPr>
        <w:pStyle w:val="3"/>
        <w:spacing w:before="156" w:beforeLines="50" w:after="156" w:afterLines="50" w:line="500" w:lineRule="exact"/>
        <w:ind w:firstLine="643" w:firstLineChars="200"/>
        <w:rPr>
          <w:rFonts w:ascii="仿宋" w:hAnsi="仿宋" w:eastAsia="仿宋"/>
        </w:rPr>
      </w:pPr>
      <w:bookmarkStart w:id="157" w:name="_Toc27490"/>
      <w:bookmarkStart w:id="158" w:name="_Toc30982"/>
      <w:bookmarkStart w:id="159" w:name="_Toc521418327"/>
      <w:r>
        <w:rPr>
          <w:rFonts w:ascii="仿宋" w:hAnsi="仿宋" w:eastAsia="仿宋"/>
        </w:rPr>
        <w:t>（三）公开评价结果，实现社会监督</w:t>
      </w:r>
      <w:bookmarkEnd w:id="157"/>
      <w:bookmarkEnd w:id="158"/>
      <w:bookmarkEnd w:id="159"/>
    </w:p>
    <w:p>
      <w:pPr>
        <w:widowControl/>
        <w:spacing w:line="500" w:lineRule="exact"/>
        <w:ind w:firstLine="560" w:firstLineChars="200"/>
        <w:rPr>
          <w:rFonts w:ascii="Times New Roman" w:hAnsi="Times New Roman" w:eastAsia="仿宋"/>
          <w:snapToGrid w:val="0"/>
          <w:sz w:val="32"/>
          <w:szCs w:val="32"/>
        </w:rPr>
        <w:sectPr>
          <w:pgSz w:w="11906" w:h="16838"/>
          <w:pgMar w:top="1440" w:right="1800" w:bottom="1440" w:left="1800" w:header="851" w:footer="992" w:gutter="0"/>
          <w:pgNumType w:fmt="decimal"/>
          <w:cols w:space="425" w:num="1"/>
          <w:docGrid w:type="lines" w:linePitch="312" w:charSpace="0"/>
        </w:sectPr>
      </w:pPr>
      <w:r>
        <w:rPr>
          <w:rFonts w:ascii="Times New Roman" w:hAnsi="Times New Roman" w:eastAsia="仿宋"/>
          <w:snapToGrid w:val="0"/>
          <w:sz w:val="28"/>
          <w:szCs w:val="32"/>
        </w:rPr>
        <w:t>委托方应依据《政府信息公开条例》和《山西省政府信息公开规定》等相关规定，将绩效评价情况在一定范围内公开，或在相关网站公开绩效评价结果，以进一步增强资金使用单位的主体责任意识，并形成社会监督机制，促进提高项目资金的使用效率。</w:t>
      </w:r>
      <w:bookmarkStart w:id="160" w:name="_Toc514537354"/>
    </w:p>
    <w:p>
      <w:pPr>
        <w:spacing w:before="156" w:beforeLines="50" w:after="156" w:afterLines="50" w:line="500" w:lineRule="exact"/>
        <w:jc w:val="left"/>
        <w:outlineLvl w:val="0"/>
        <w:rPr>
          <w:rFonts w:ascii="Times New Roman" w:hAnsi="Times New Roman" w:eastAsia="仿宋"/>
          <w:b/>
          <w:kern w:val="0"/>
          <w:sz w:val="32"/>
          <w:szCs w:val="30"/>
        </w:rPr>
      </w:pPr>
      <w:bookmarkStart w:id="161" w:name="_Toc25315"/>
      <w:r>
        <w:rPr>
          <w:rFonts w:ascii="Times New Roman" w:hAnsi="Times New Roman" w:eastAsia="仿宋"/>
          <w:b/>
          <w:kern w:val="0"/>
          <w:sz w:val="32"/>
          <w:szCs w:val="30"/>
        </w:rPr>
        <w:t>附件1：评价指标体系</w:t>
      </w:r>
      <w:bookmarkEnd w:id="161"/>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1"/>
        <w:gridCol w:w="1240"/>
        <w:gridCol w:w="1800"/>
        <w:gridCol w:w="4280"/>
        <w:gridCol w:w="5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一级指标</w:t>
            </w:r>
          </w:p>
        </w:tc>
        <w:tc>
          <w:tcPr>
            <w:tcW w:w="124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180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428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指标解释</w:t>
            </w:r>
          </w:p>
        </w:tc>
        <w:tc>
          <w:tcPr>
            <w:tcW w:w="5723"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A决策（20分）</w:t>
            </w: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A1项目立项（6分）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A11立项依据充分性（3分）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项目立项是否符合法律法规、相关政策、发展规划以及部门职责，用以反映和考核项目立项依据情况。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①项目立项是否符合国家法律法规、国民经济发展规划和相关政策，0.6分；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②项目立项是否符合行业发展规划和政策要求，0.6分；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③项目立项是否与部门职责范围相符，属于部门履职所需，0.6分: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④项目是否属于公共财政支持范围，是否符合中央、地方事权支出责任划分原则，0.6分；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⑤项目是否与相关部门同类项目或部门内部相关项目重复，0.6分。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项目申请、设立过程是否符合相关要求，用以反映和考核项目立项的规范情况。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①项目是否按照规定的程序申请设立，1分；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②审批文件、材料是否符合相关要求，1分: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③事前是否已经过必要的可行性研究、专家论证、风险评估、绩效评估、集体决策，1分。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A2绩效目标（6分）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A21绩效目标合理性（3分）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项目所设定的绩效目标是否依据充分，是否符合客观实际，用以反映和考核项目绩效目标与项目实施的相符情况。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(如未设定预算绩效目标，也可考核其他工作任务目标)</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①项目是否有绩效目标，1分: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②项目绩效目标与实际工作内容是否具有相关性，1分；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③项目预期产出效益和效果是否符合正常的业绩水平，0.5分；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④是否与预算确定的项目投资额或资金量相匹配，0.5分。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A22绩效指标明确性（3分）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依据绩效目标设定的绩效指标是否清晰、细化、可衡等，用以反映和考核项目绩效目标的明细化情况。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①是否将项目绩效目标细化分解为具体的绩效指标，1分: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②是否通过清晰、可衡量的指标值予以体现，1分；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③是否与项目目标任务数或计划数相对应，1分。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A3资金投入（8分）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A31预算编制科学性（4分）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项目预算编制是否经过科学论证、有明确标准，资金额度与年度目标是否相适应，用以反映和考核项目预算编制的科学性、合理性情况。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①预算编制是否经过科学论证，1分: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②预算内容与项目内容是否匹配，1分；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③预算额度测算依据是否充分，是否按照标准编制，1分: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④预算确定的项目投资额或资金量是否与工作任务相匹配，1分。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A32资金分配合理性（4分）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项目预算资金分配是否有测算依据，与补助单位或地方实际是否相适应，用以反映和考核项目预算资金分配的科学性、合理性情况。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①预算资金分配依据是否充分，2分；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②资金分配额度是否合理，与项目单位或地方实际是否相适应，2分。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B过程（20分）</w:t>
            </w: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B1资金管理（10分）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B11资金到位率（4分）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实际到位资金与预算资金的比率，用以反映和考核资金落实情况对项目实施的总体保障程度。</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资金到位率=(实际到位资金/预算资金)X100%。</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实际到位资金:一定时期(本年度或项目期)内落实到具体项目的资金。</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预算资金:一定时期(本年度或项目期)内预算安排到具体项目的资金。得分=资金到位率×4分。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B12预算执行率（4分）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项目预算资金是否按照计划执行，用以反映或考核项目预算执行情况。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预算执行率=(实际支出资金/实际到位资金)X100%。</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实际支出资金:一定时期(本年度或项目期)内项目实际拨付的资金。得分=预算执行率×4分。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B13资金使用合规性（2分）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项目资金使用是否符合相关的财务管理制度规定，用以反映和考核项目资金的规范运行情况。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①是否符合国家财经法规和财务管理制度以及有关专项资金管理办法的规定，1分: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②资金的拨付是否有完整的审批程序和手续，0.5分: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③是否符合项目预算批复或合同规定的用途，0.5分: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④存在藏留、挤占、挪用、虚列支出等情况，本项得0分。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B2组织实施（10分）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B21管理制度健全性（2分）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项目实施单位的财务和业务管理制度是否健全，用以反映和考核财务和业务管理制度对项目顺利实施的保障情况。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①是否已制定或具有相应的财务和业务管理制度，1分；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②财务和业务管理制度是否合法、合规、完整，1分。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B22制度执行有效性（2分）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项目实施是否符合相关管理规定，用以反映和考核相关管理制度的有效执行情况。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项目严格按照制度执行，2分；涉及调整的，调整手续完善，1分；未按照制度执行，且手续不完善的，不得分。总得分=∑各项目得分*项目预算占总预算的比值。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B23招投标过程规范性（2分）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考察招投标过程是否合规。</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①选择有资质的招标代理公司编制招标文件；②评标方法适合本项目；③有专业的评标委员会；④评标委员会按照规定和要求评标。每满足1项得0.5分。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B24监理过程规范性（2分）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考察项目实施过程中监理是否规范。</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①监理单位应当依法取得相应等级的资质证书、监理人员持有监理工程师岗位证书；②有监理月报告或监理日志，监理报告能反映当月或当日的监理工作情况。每满足1项得1分。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B25安全事故发生率（2分）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考察项目实施过程中是否存在安全事故发生。</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无事故发生，得满分；存在一起事故发生，不得分。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C产出</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C1产出数量</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C11项目完成情况</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已完成工程数量/应完成的工程数量×100%，用以反映和考核项目建设完成情况</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实际完成率得分=已完成项目数量/计划总里程×100%×8（分）。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完成项目的设计（2分）、监理（2分）、施工（2分）、验收（2分）等。实际完成率得分=已完成项目数量/应完成项目数量×100%×12（分）。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C2产出质量（8）</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C21质量达标（8分）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主要考核项目在竣工后，质量是否达到有关规定及设计要求</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项目竣工后，提供质量检测相关资料证明质量合格，8分，否则不得分。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Times New Roman" w:hAnsi="Times New Roman" w:eastAsia="仿宋"/>
                <w:color w:val="000000"/>
                <w:kern w:val="0"/>
                <w:sz w:val="24"/>
                <w:szCs w:val="24"/>
                <w:lang w:val="en-US"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3产出时效</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C31完成及时性</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主要考核项目是否在约定时间范围内竣工验收</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在合同规定时间完工，得8分；项目每延期10天扣1分，扣完为止。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eastAsia" w:ascii="Times New Roman" w:hAnsi="Times New Roman" w:eastAsia="仿宋"/>
                <w:color w:val="000000"/>
                <w:kern w:val="0"/>
                <w:sz w:val="24"/>
                <w:szCs w:val="24"/>
                <w:lang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产出</w:t>
            </w:r>
            <w:r>
              <w:rPr>
                <w:rFonts w:hint="eastAsia" w:ascii="Times New Roman" w:hAnsi="Times New Roman" w:eastAsia="仿宋"/>
                <w:color w:val="000000"/>
                <w:kern w:val="0"/>
                <w:sz w:val="24"/>
                <w:szCs w:val="24"/>
                <w:lang w:val="en-US" w:eastAsia="zh-CN"/>
              </w:rPr>
              <w:t>成本</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6</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C41成本控制能力</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考核是否对项目成本进行了有效的控制，项目概算、预算价、决算价及审定价的最大差异比率是否在合理范围内。</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①项目预算价未超过概算，2分；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②项目决算价未超过预算价，2分；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③项目概算、预算价、决算价及审定价的最大差异比率在合理范围内，2分。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6" w:hRule="atLeast"/>
        </w:trPr>
        <w:tc>
          <w:tcPr>
            <w:tcW w:w="1131" w:type="dxa"/>
            <w:vMerge w:val="restart"/>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D效益</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Merge w:val="restart"/>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D1</w:t>
            </w:r>
            <w:r>
              <w:rPr>
                <w:rFonts w:hint="eastAsia" w:ascii="Times New Roman" w:hAnsi="Times New Roman" w:eastAsia="仿宋"/>
                <w:color w:val="000000"/>
                <w:kern w:val="0"/>
                <w:sz w:val="24"/>
                <w:szCs w:val="24"/>
                <w:lang w:val="en-US" w:eastAsia="zh-CN"/>
              </w:rPr>
              <w:t>社会</w:t>
            </w:r>
            <w:r>
              <w:rPr>
                <w:rFonts w:ascii="Times New Roman" w:hAnsi="Times New Roman" w:eastAsia="仿宋"/>
                <w:color w:val="000000"/>
                <w:kern w:val="0"/>
                <w:sz w:val="24"/>
                <w:szCs w:val="24"/>
              </w:rPr>
              <w:t>效益</w:t>
            </w:r>
          </w:p>
          <w:p>
            <w:pPr>
              <w:snapToGrid w:val="0"/>
              <w:jc w:val="left"/>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5分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D11土地资源保护</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c>
          <w:tcPr>
            <w:tcW w:w="428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主要考核项目完成后的社会效益</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古县目前农村殡葬行业仍以坟墓为主，毁林造墓、毁田造墓屡有发生，“死人与活人争地”问题非常突出。项目的实施，能够实有效保护有限的土地资源（3分）。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ascii="Times New Roman" w:hAnsi="Times New Roman" w:eastAsia="仿宋"/>
                <w:color w:val="000000"/>
                <w:kern w:val="0"/>
                <w:sz w:val="24"/>
                <w:szCs w:val="24"/>
              </w:rPr>
            </w:pPr>
          </w:p>
        </w:tc>
        <w:tc>
          <w:tcPr>
            <w:tcW w:w="1240" w:type="dxa"/>
            <w:vMerge w:val="continue"/>
            <w:vAlign w:val="center"/>
          </w:tcPr>
          <w:p>
            <w:pPr>
              <w:snapToGrid w:val="0"/>
              <w:jc w:val="left"/>
              <w:rPr>
                <w:rFonts w:ascii="Times New Roman" w:hAnsi="Times New Roman" w:eastAsia="仿宋"/>
                <w:color w:val="000000"/>
                <w:kern w:val="0"/>
                <w:sz w:val="24"/>
                <w:szCs w:val="24"/>
              </w:rPr>
            </w:pPr>
          </w:p>
        </w:tc>
        <w:tc>
          <w:tcPr>
            <w:tcW w:w="18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D12移风易俗改进殡葬习俗</w:t>
            </w:r>
          </w:p>
        </w:tc>
        <w:tc>
          <w:tcPr>
            <w:tcW w:w="4280" w:type="dxa"/>
            <w:vMerge w:val="continue"/>
            <w:vAlign w:val="center"/>
          </w:tcPr>
          <w:p>
            <w:pPr>
              <w:widowControl/>
              <w:snapToGrid w:val="0"/>
              <w:jc w:val="center"/>
              <w:rPr>
                <w:rFonts w:hint="eastAsia" w:ascii="仿宋" w:hAnsi="仿宋" w:eastAsia="仿宋" w:cs="仿宋"/>
                <w:color w:val="000000"/>
                <w:kern w:val="0"/>
                <w:sz w:val="24"/>
                <w:szCs w:val="24"/>
                <w:lang w:val="en-US" w:eastAsia="zh-CN"/>
              </w:rPr>
            </w:pPr>
          </w:p>
        </w:tc>
        <w:tc>
          <w:tcPr>
            <w:tcW w:w="5723"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破除丧葬旧俗和封建迷信，实行葬法与葬礼的改革，采取不占地或少占地的骨灰处理方式，有利于树立科学、文明、健康的生活方式，简化丧事，减轻群众办丧负担，提高人们的生活水平和质量（1分）。殡仪馆具有地域优势、国家政策优势和发展潜力。殡葬改革是党和政府一贯倡导的改革取向，是建设节约型社会，是积极推进新农村建设，实现经济可持续发展的一项重要工作（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D2生态效益（5分）</w:t>
            </w:r>
          </w:p>
        </w:tc>
        <w:tc>
          <w:tcPr>
            <w:tcW w:w="18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D21生态效益</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主要考核项目完成后的生态效益</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有条件的实行集中墓葬、由修墓变植树，由坟包变树林，由滥埋乱葬变统一安葬，有利于加强环境保护，改善生态环境。通过加强管理，还可减少因拜祭引起的山火，保护山林；更加有利于古县生态旅游的发展（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3</w:t>
            </w:r>
            <w:r>
              <w:rPr>
                <w:rFonts w:ascii="Times New Roman" w:hAnsi="Times New Roman" w:eastAsia="仿宋"/>
                <w:color w:val="000000"/>
                <w:kern w:val="0"/>
                <w:sz w:val="24"/>
                <w:szCs w:val="24"/>
              </w:rPr>
              <w:t>可持续影响</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D31项目运行管理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项目建成后是否有完善的管护制度，责任是否落实到人</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1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①</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制定管护制度，4分；</w:t>
            </w: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2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②</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明确管护任务，管护任务落实到人，6分。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服务对象满意度</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D41受益群众满意度（10）</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通过问卷调查，保护区域居民对项目建设的总体满意度。</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满意度≥90%，10分，每降低10%，扣1分，扣完为止。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5"/>
          </w:tcPr>
          <w:p>
            <w:pPr>
              <w:widowControl/>
              <w:snapToGrid w:val="0"/>
              <w:jc w:val="left"/>
              <w:rPr>
                <w:rFonts w:ascii="Times New Roman" w:hAnsi="Times New Roman" w:eastAsia="仿宋"/>
                <w:color w:val="000000"/>
                <w:kern w:val="0"/>
                <w:sz w:val="24"/>
                <w:szCs w:val="24"/>
              </w:rPr>
            </w:pPr>
            <w:r>
              <w:rPr>
                <w:rFonts w:ascii="Times New Roman" w:hAnsi="Times New Roman" w:eastAsia="仿宋"/>
                <w:color w:val="000000"/>
                <w:kern w:val="0"/>
                <w:sz w:val="24"/>
                <w:szCs w:val="24"/>
              </w:rPr>
              <w:t>注：绩效评价结果等级划分标准为：90分（含）以上的为“优”，80分（含）</w:t>
            </w:r>
            <w:r>
              <w:rPr>
                <w:rFonts w:hint="eastAsia" w:ascii="Times New Roman" w:hAnsi="Times New Roman" w:eastAsia="仿宋"/>
                <w:color w:val="000000"/>
                <w:kern w:val="0"/>
                <w:sz w:val="24"/>
                <w:szCs w:val="24"/>
                <w:lang w:val="en-US" w:eastAsia="zh-CN"/>
              </w:rPr>
              <w:t>-90</w:t>
            </w:r>
            <w:r>
              <w:rPr>
                <w:rFonts w:ascii="Times New Roman" w:hAnsi="Times New Roman" w:eastAsia="仿宋"/>
                <w:color w:val="000000"/>
                <w:kern w:val="0"/>
                <w:sz w:val="24"/>
                <w:szCs w:val="24"/>
              </w:rPr>
              <w:t>分的为“良”，60分（含）-</w:t>
            </w:r>
            <w:r>
              <w:rPr>
                <w:rFonts w:hint="eastAsia" w:ascii="Times New Roman" w:hAnsi="Times New Roman" w:eastAsia="仿宋"/>
                <w:color w:val="000000"/>
                <w:kern w:val="0"/>
                <w:sz w:val="24"/>
                <w:szCs w:val="24"/>
                <w:lang w:val="en-US" w:eastAsia="zh-CN"/>
              </w:rPr>
              <w:t>80</w:t>
            </w:r>
            <w:r>
              <w:rPr>
                <w:rFonts w:ascii="Times New Roman" w:hAnsi="Times New Roman" w:eastAsia="仿宋"/>
                <w:color w:val="000000"/>
                <w:kern w:val="0"/>
                <w:sz w:val="24"/>
                <w:szCs w:val="24"/>
              </w:rPr>
              <w:t>分的为“中”，60分以下的为“差”。</w:t>
            </w:r>
          </w:p>
        </w:tc>
      </w:tr>
    </w:tbl>
    <w:p>
      <w:pPr>
        <w:widowControl/>
        <w:spacing w:line="500" w:lineRule="exact"/>
        <w:jc w:val="left"/>
        <w:outlineLvl w:val="0"/>
        <w:rPr>
          <w:rFonts w:ascii="Times New Roman" w:hAnsi="Times New Roman" w:eastAsia="仿宋"/>
          <w:snapToGrid w:val="0"/>
          <w:sz w:val="32"/>
          <w:szCs w:val="32"/>
        </w:rPr>
        <w:sectPr>
          <w:headerReference r:id="rId8" w:type="default"/>
          <w:pgSz w:w="16838" w:h="11906" w:orient="landscape"/>
          <w:pgMar w:top="1797" w:right="1440" w:bottom="1797" w:left="1440" w:header="851" w:footer="992" w:gutter="0"/>
          <w:pgNumType w:fmt="decimal"/>
          <w:cols w:space="425" w:num="1"/>
          <w:docGrid w:type="lines" w:linePitch="312" w:charSpace="0"/>
        </w:sectPr>
      </w:pPr>
    </w:p>
    <w:p>
      <w:pPr>
        <w:spacing w:before="156" w:beforeLines="50" w:after="156" w:afterLines="50" w:line="500" w:lineRule="exact"/>
        <w:jc w:val="left"/>
        <w:outlineLvl w:val="0"/>
        <w:rPr>
          <w:rFonts w:ascii="Times New Roman" w:hAnsi="Times New Roman" w:eastAsia="仿宋"/>
          <w:b/>
          <w:kern w:val="0"/>
          <w:sz w:val="32"/>
          <w:szCs w:val="30"/>
        </w:rPr>
      </w:pPr>
      <w:bookmarkStart w:id="162" w:name="_Toc4207"/>
      <w:r>
        <w:rPr>
          <w:rFonts w:ascii="Times New Roman" w:hAnsi="Times New Roman" w:eastAsia="仿宋"/>
          <w:b/>
          <w:kern w:val="0"/>
          <w:sz w:val="32"/>
          <w:szCs w:val="30"/>
        </w:rPr>
        <w:t>附件2：问卷调查报告</w:t>
      </w:r>
      <w:bookmarkEnd w:id="160"/>
      <w:bookmarkEnd w:id="162"/>
      <w:bookmarkStart w:id="163" w:name="_Toc528680487"/>
      <w:bookmarkStart w:id="164" w:name="_Toc528680333"/>
      <w:bookmarkStart w:id="165" w:name="_Toc528603095"/>
      <w:bookmarkStart w:id="166" w:name="_Toc517361502"/>
      <w:bookmarkStart w:id="167" w:name="_Toc516554801"/>
      <w:bookmarkStart w:id="168" w:name="_Toc516473336"/>
      <w:bookmarkStart w:id="169" w:name="_Toc515811021"/>
      <w:bookmarkStart w:id="170" w:name="_Toc515811967"/>
    </w:p>
    <w:bookmarkEnd w:id="163"/>
    <w:bookmarkEnd w:id="164"/>
    <w:bookmarkEnd w:id="165"/>
    <w:p>
      <w:pPr>
        <w:pStyle w:val="18"/>
        <w:spacing w:line="500" w:lineRule="exact"/>
        <w:jc w:val="center"/>
        <w:outlineLvl w:val="9"/>
        <w:rPr>
          <w:rFonts w:hint="eastAsia" w:eastAsia="仿宋"/>
          <w:b/>
          <w:bCs w:val="0"/>
          <w:kern w:val="2"/>
          <w:sz w:val="28"/>
          <w:szCs w:val="44"/>
          <w:lang w:eastAsia="zh-CN"/>
        </w:rPr>
      </w:pPr>
      <w:bookmarkStart w:id="171" w:name="_Toc528680334"/>
      <w:bookmarkStart w:id="172" w:name="_Toc28401"/>
      <w:bookmarkStart w:id="173" w:name="_Toc5640"/>
      <w:bookmarkStart w:id="174" w:name="_Toc528684163"/>
      <w:bookmarkStart w:id="175" w:name="_Toc29141"/>
      <w:bookmarkStart w:id="176" w:name="_Toc528603096"/>
      <w:bookmarkStart w:id="177" w:name="_Toc528680488"/>
      <w:bookmarkStart w:id="178" w:name="_Toc27702"/>
      <w:r>
        <w:rPr>
          <w:rFonts w:hint="eastAsia" w:eastAsia="仿宋"/>
          <w:b/>
          <w:bCs w:val="0"/>
          <w:kern w:val="2"/>
          <w:sz w:val="28"/>
          <w:szCs w:val="44"/>
          <w:lang w:eastAsia="zh-CN"/>
        </w:rPr>
        <w:t>殡仪馆建设改造补助资金项目</w:t>
      </w:r>
    </w:p>
    <w:p>
      <w:pPr>
        <w:pStyle w:val="18"/>
        <w:spacing w:line="500" w:lineRule="exact"/>
        <w:jc w:val="center"/>
        <w:outlineLvl w:val="9"/>
        <w:rPr>
          <w:rFonts w:eastAsia="仿宋"/>
          <w:b/>
          <w:bCs w:val="0"/>
          <w:kern w:val="2"/>
          <w:sz w:val="28"/>
          <w:szCs w:val="44"/>
        </w:rPr>
      </w:pPr>
      <w:bookmarkStart w:id="179" w:name="_Toc14694"/>
      <w:bookmarkStart w:id="180" w:name="_Toc21839"/>
      <w:r>
        <w:rPr>
          <w:rFonts w:eastAsia="仿宋"/>
          <w:b/>
          <w:bCs w:val="0"/>
          <w:kern w:val="2"/>
          <w:sz w:val="28"/>
          <w:szCs w:val="44"/>
        </w:rPr>
        <w:t>社会公众</w:t>
      </w:r>
      <w:r>
        <w:rPr>
          <w:rFonts w:eastAsia="仿宋"/>
          <w:b/>
          <w:snapToGrid w:val="0"/>
          <w:sz w:val="28"/>
          <w:szCs w:val="44"/>
        </w:rPr>
        <w:t>满意度调查报告</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pPr>
        <w:spacing w:line="500" w:lineRule="exact"/>
        <w:ind w:firstLine="562" w:firstLineChars="200"/>
        <w:rPr>
          <w:rFonts w:ascii="Times New Roman" w:hAnsi="Times New Roman" w:eastAsia="仿宋"/>
          <w:b/>
          <w:sz w:val="28"/>
          <w:szCs w:val="32"/>
        </w:rPr>
      </w:pPr>
      <w:r>
        <w:rPr>
          <w:rFonts w:ascii="Times New Roman" w:hAnsi="Times New Roman" w:eastAsia="仿宋"/>
          <w:b/>
          <w:sz w:val="28"/>
          <w:szCs w:val="32"/>
        </w:rPr>
        <w:t>（一）调查目的</w:t>
      </w:r>
    </w:p>
    <w:p>
      <w:pPr>
        <w:spacing w:line="500" w:lineRule="exact"/>
        <w:ind w:firstLine="560" w:firstLineChars="200"/>
        <w:rPr>
          <w:rFonts w:ascii="Times New Roman" w:hAnsi="Times New Roman" w:eastAsia="仿宋"/>
          <w:sz w:val="28"/>
          <w:szCs w:val="32"/>
        </w:rPr>
      </w:pPr>
      <w:r>
        <w:rPr>
          <w:rFonts w:ascii="Times New Roman" w:hAnsi="Times New Roman" w:eastAsia="仿宋"/>
          <w:sz w:val="28"/>
          <w:szCs w:val="32"/>
        </w:rPr>
        <w:t>满意度调查是绩效评价中非常重要的环节，为实际了解资金的使用管理情况和项目实施情况，准确掌握社会公众及服务对象满意度数据具有重要作用。通过向受益群体发放满意度调查问卷，了解群众对</w:t>
      </w:r>
      <w:r>
        <w:rPr>
          <w:rFonts w:hint="eastAsia" w:ascii="Times New Roman" w:hAnsi="Times New Roman" w:eastAsia="仿宋"/>
          <w:sz w:val="28"/>
          <w:szCs w:val="32"/>
          <w:lang w:eastAsia="zh-CN"/>
        </w:rPr>
        <w:t>殡仪馆建设改造补助资金项目</w:t>
      </w:r>
      <w:r>
        <w:rPr>
          <w:rFonts w:ascii="Times New Roman" w:hAnsi="Times New Roman" w:eastAsia="仿宋"/>
          <w:sz w:val="28"/>
          <w:szCs w:val="32"/>
        </w:rPr>
        <w:t>的整体满意度，为绩效评价工作提供数据参考。</w:t>
      </w:r>
    </w:p>
    <w:p>
      <w:pPr>
        <w:spacing w:before="156" w:beforeLines="50" w:line="500" w:lineRule="exact"/>
        <w:ind w:firstLine="562" w:firstLineChars="200"/>
        <w:rPr>
          <w:rFonts w:ascii="Times New Roman" w:hAnsi="Times New Roman" w:eastAsia="仿宋"/>
          <w:b/>
          <w:sz w:val="24"/>
          <w:szCs w:val="28"/>
        </w:rPr>
      </w:pPr>
      <w:bookmarkStart w:id="181" w:name="_Toc469588896"/>
      <w:r>
        <w:rPr>
          <w:rFonts w:ascii="Times New Roman" w:hAnsi="Times New Roman" w:eastAsia="仿宋"/>
          <w:b/>
          <w:sz w:val="28"/>
          <w:szCs w:val="32"/>
        </w:rPr>
        <w:t>（二）调查对象</w:t>
      </w:r>
      <w:bookmarkEnd w:id="181"/>
    </w:p>
    <w:p>
      <w:pPr>
        <w:spacing w:line="500" w:lineRule="exact"/>
        <w:ind w:firstLine="560" w:firstLineChars="200"/>
        <w:rPr>
          <w:rFonts w:ascii="Times New Roman" w:hAnsi="Times New Roman" w:eastAsia="仿宋"/>
          <w:sz w:val="28"/>
          <w:szCs w:val="32"/>
        </w:rPr>
      </w:pPr>
      <w:bookmarkStart w:id="182" w:name="_Toc469588897"/>
      <w:r>
        <w:rPr>
          <w:rFonts w:hint="eastAsia" w:ascii="Times New Roman" w:hAnsi="Times New Roman" w:eastAsia="仿宋"/>
          <w:sz w:val="28"/>
          <w:szCs w:val="32"/>
          <w:lang w:eastAsia="zh-CN"/>
        </w:rPr>
        <w:t>殡仪馆建设改造补助资金项目</w:t>
      </w:r>
      <w:r>
        <w:rPr>
          <w:rFonts w:ascii="Times New Roman" w:hAnsi="Times New Roman" w:eastAsia="仿宋"/>
          <w:sz w:val="28"/>
          <w:szCs w:val="32"/>
        </w:rPr>
        <w:t>涉及的群众。</w:t>
      </w:r>
      <w:bookmarkEnd w:id="182"/>
    </w:p>
    <w:p>
      <w:pPr>
        <w:spacing w:before="156" w:beforeLines="50" w:line="500" w:lineRule="exact"/>
        <w:ind w:firstLine="562" w:firstLineChars="200"/>
        <w:rPr>
          <w:rFonts w:hint="eastAsia" w:ascii="Times New Roman" w:hAnsi="Times New Roman" w:eastAsia="仿宋"/>
          <w:b/>
          <w:sz w:val="28"/>
          <w:szCs w:val="32"/>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三</w:t>
      </w:r>
      <w:r>
        <w:rPr>
          <w:rFonts w:hint="eastAsia" w:ascii="Times New Roman" w:hAnsi="Times New Roman" w:eastAsia="仿宋"/>
          <w:b/>
          <w:sz w:val="28"/>
          <w:szCs w:val="32"/>
          <w:lang w:eastAsia="zh-CN"/>
        </w:rPr>
        <w:t>）</w:t>
      </w:r>
      <w:r>
        <w:rPr>
          <w:rFonts w:hint="eastAsia" w:ascii="Times New Roman" w:hAnsi="Times New Roman" w:eastAsia="仿宋"/>
          <w:b/>
          <w:sz w:val="28"/>
          <w:szCs w:val="32"/>
        </w:rPr>
        <w:t>问卷发放/回收情况</w:t>
      </w:r>
    </w:p>
    <w:p>
      <w:pPr>
        <w:spacing w:beforeLines="0" w:afterLines="0" w:line="600" w:lineRule="exact"/>
        <w:ind w:firstLine="560"/>
        <w:rPr>
          <w:rFonts w:hint="eastAsia" w:ascii="仿宋" w:hAnsi="仿宋" w:eastAsia="仿宋" w:cs="仿宋"/>
          <w:sz w:val="28"/>
          <w:szCs w:val="28"/>
        </w:rPr>
      </w:pPr>
      <w:r>
        <w:rPr>
          <w:rFonts w:hint="eastAsia" w:ascii="仿宋" w:hAnsi="仿宋" w:eastAsia="仿宋" w:cs="仿宋"/>
          <w:sz w:val="28"/>
          <w:szCs w:val="28"/>
        </w:rPr>
        <w:t>依据公共支出绩效评价的效应原则，</w:t>
      </w:r>
      <w:r>
        <w:rPr>
          <w:rFonts w:hint="eastAsia" w:ascii="仿宋" w:hAnsi="仿宋" w:eastAsia="仿宋" w:cs="仿宋"/>
          <w:sz w:val="28"/>
          <w:szCs w:val="28"/>
          <w:lang w:val="en-US" w:eastAsia="zh-CN"/>
        </w:rPr>
        <w:t>对</w:t>
      </w:r>
      <w:r>
        <w:rPr>
          <w:rFonts w:hint="eastAsia" w:ascii="仿宋" w:hAnsi="仿宋" w:eastAsia="仿宋" w:cs="仿宋"/>
          <w:kern w:val="0"/>
          <w:sz w:val="28"/>
          <w:szCs w:val="28"/>
          <w:shd w:val="clear" w:color="auto" w:fill="FFFFFF"/>
          <w:lang w:eastAsia="zh-CN"/>
        </w:rPr>
        <w:t>涉及的</w:t>
      </w:r>
      <w:r>
        <w:rPr>
          <w:rFonts w:hint="eastAsia" w:ascii="仿宋" w:hAnsi="仿宋" w:eastAsia="仿宋" w:cs="仿宋"/>
          <w:b w:val="0"/>
          <w:bCs w:val="0"/>
          <w:color w:val="000000"/>
          <w:kern w:val="0"/>
          <w:sz w:val="28"/>
          <w:szCs w:val="28"/>
          <w:lang w:val="en-US" w:eastAsia="zh-CN"/>
        </w:rPr>
        <w:t>村委</w:t>
      </w:r>
      <w:r>
        <w:rPr>
          <w:rFonts w:hint="eastAsia" w:ascii="仿宋" w:hAnsi="仿宋" w:eastAsia="仿宋" w:cs="仿宋"/>
          <w:sz w:val="28"/>
          <w:szCs w:val="28"/>
        </w:rPr>
        <w:t>开展社会调查。</w:t>
      </w:r>
    </w:p>
    <w:p>
      <w:pPr>
        <w:widowControl w:val="0"/>
        <w:numPr>
          <w:ilvl w:val="0"/>
          <w:numId w:val="0"/>
        </w:numPr>
        <w:spacing w:line="500" w:lineRule="exact"/>
        <w:ind w:firstLine="560" w:firstLineChars="200"/>
        <w:jc w:val="both"/>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殡仪馆建设改造补助资金项目资金560.00万元。</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本次社会调查采用随机问卷的方式，评价组将按照抽样调查的形式发放问卷，计划发放问卷300份，问卷主体是项目区域受益群众。</w:t>
      </w:r>
    </w:p>
    <w:p>
      <w:pPr>
        <w:spacing w:before="156" w:beforeLines="50" w:line="500" w:lineRule="exact"/>
        <w:ind w:firstLine="562" w:firstLineChars="200"/>
        <w:rPr>
          <w:rFonts w:hint="eastAsia" w:ascii="Times New Roman" w:hAnsi="Times New Roman" w:eastAsia="仿宋"/>
          <w:b/>
          <w:sz w:val="28"/>
          <w:szCs w:val="32"/>
          <w:lang w:eastAsia="zh-CN"/>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四</w:t>
      </w:r>
      <w:r>
        <w:rPr>
          <w:rFonts w:hint="eastAsia" w:ascii="Times New Roman" w:hAnsi="Times New Roman" w:eastAsia="仿宋"/>
          <w:b/>
          <w:sz w:val="28"/>
          <w:szCs w:val="32"/>
          <w:lang w:eastAsia="zh-CN"/>
        </w:rPr>
        <w:t>）问卷满意度问题结果</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1、您对古县殡仪馆建设项目整体进度的满意程度。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根据调查数据分析得出，在总样本300份调查问卷中，回答非常满意的265人，一般的20人，不满意的15人。受访者满意度为95.00%。</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2、您对古县殡仪馆建设项目施工方安全施工的满意程度。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根据调查数据分析得出，在总样本300份调查问卷中，回答非常满意的271人，一般的13人，不满意的16人。受访者满意度为94.67%。</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3、您对新建古县殡仪馆改善区域丧葬习俗的满意程度。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根据调查数据分析得出，在总样本300份调查问卷中，回答非常满意的267人，一般的10人，不满意的13人。受访者满意度为92.33%。</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4、您对殡仪馆建设选址的满意程度。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根据调查数据分析得出，在总样本300份调查问卷中，回答非常满意的285人，一般的5人，不满意的10人。受访者满意度为96.67%。</w:t>
      </w:r>
    </w:p>
    <w:p>
      <w:pPr>
        <w:spacing w:beforeLines="0" w:afterLines="0" w:line="600" w:lineRule="exact"/>
        <w:ind w:firstLine="56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eastAsia="zh-CN"/>
        </w:rPr>
        <w:t>）</w:t>
      </w:r>
      <w:r>
        <w:rPr>
          <w:rFonts w:hint="eastAsia" w:ascii="仿宋" w:hAnsi="仿宋" w:eastAsia="仿宋" w:cs="仿宋"/>
          <w:b/>
          <w:bCs/>
          <w:sz w:val="28"/>
          <w:szCs w:val="28"/>
        </w:rPr>
        <w:t>结果分析</w:t>
      </w:r>
    </w:p>
    <w:p>
      <w:pPr>
        <w:spacing w:line="500" w:lineRule="exact"/>
        <w:ind w:firstLine="560" w:firstLineChars="200"/>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本次调查涉及四个问题，整体满意度较高，分别为：95.00%、94.67%、92.33%、96.67%，整体满意度94.67%，这体现出受益群体整体对该项目比较满意。</w:t>
      </w:r>
    </w:p>
    <w:p>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left"/>
        <w:textAlignment w:val="auto"/>
        <w:outlineLvl w:val="0"/>
        <w:rPr>
          <w:rFonts w:hint="eastAsia" w:ascii="仿宋" w:hAnsi="仿宋" w:eastAsia="仿宋" w:cs="仿宋"/>
          <w:b/>
          <w:kern w:val="0"/>
          <w:sz w:val="28"/>
          <w:szCs w:val="28"/>
        </w:rPr>
      </w:pPr>
      <w:r>
        <w:rPr>
          <w:rFonts w:ascii="Times New Roman" w:hAnsi="Times New Roman" w:eastAsia="仿宋"/>
          <w:sz w:val="28"/>
          <w:szCs w:val="28"/>
        </w:rPr>
        <w:br w:type="page"/>
      </w:r>
      <w:bookmarkStart w:id="183" w:name="_Toc13530"/>
      <w:bookmarkStart w:id="184" w:name="_Toc5440634"/>
      <w:r>
        <w:rPr>
          <w:rFonts w:hint="eastAsia" w:ascii="仿宋" w:hAnsi="仿宋" w:eastAsia="仿宋" w:cs="仿宋"/>
          <w:b/>
          <w:kern w:val="0"/>
          <w:sz w:val="28"/>
          <w:szCs w:val="28"/>
        </w:rPr>
        <w:t>附件</w:t>
      </w:r>
      <w:r>
        <w:rPr>
          <w:rFonts w:hint="eastAsia" w:ascii="仿宋" w:hAnsi="仿宋" w:eastAsia="仿宋" w:cs="仿宋"/>
          <w:b/>
          <w:kern w:val="0"/>
          <w:sz w:val="28"/>
          <w:szCs w:val="28"/>
          <w:lang w:val="en-US" w:eastAsia="zh-CN"/>
        </w:rPr>
        <w:t>3</w:t>
      </w:r>
      <w:r>
        <w:rPr>
          <w:rFonts w:hint="eastAsia" w:ascii="仿宋" w:hAnsi="仿宋" w:eastAsia="仿宋" w:cs="仿宋"/>
          <w:b/>
          <w:kern w:val="0"/>
          <w:sz w:val="28"/>
          <w:szCs w:val="28"/>
        </w:rPr>
        <w:t>：合规性审查</w:t>
      </w:r>
      <w:bookmarkEnd w:id="183"/>
      <w:bookmarkEnd w:id="184"/>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为保证</w:t>
      </w:r>
      <w:r>
        <w:rPr>
          <w:rFonts w:hint="eastAsia" w:ascii="仿宋" w:hAnsi="仿宋" w:eastAsia="仿宋" w:cs="仿宋"/>
          <w:kern w:val="0"/>
          <w:sz w:val="28"/>
          <w:szCs w:val="28"/>
          <w:lang w:val="en-US" w:eastAsia="zh-CN"/>
        </w:rPr>
        <w:t>殡仪馆建设改造补助资金项目</w:t>
      </w:r>
      <w:r>
        <w:rPr>
          <w:rFonts w:hint="eastAsia" w:ascii="仿宋" w:hAnsi="仿宋" w:eastAsia="仿宋" w:cs="仿宋"/>
          <w:kern w:val="0"/>
          <w:sz w:val="28"/>
          <w:szCs w:val="28"/>
          <w:shd w:val="clear" w:color="auto" w:fill="FFFFFF"/>
        </w:rPr>
        <w:t>资金</w:t>
      </w:r>
      <w:r>
        <w:rPr>
          <w:rFonts w:hint="eastAsia" w:ascii="仿宋" w:hAnsi="仿宋" w:eastAsia="仿宋" w:cs="仿宋"/>
          <w:kern w:val="0"/>
          <w:sz w:val="28"/>
          <w:szCs w:val="28"/>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1.合规性检查对象</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本次检查对象为殡仪馆建设改造补助资金项目资金，共计560.00万元。</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2.合规性检查内容</w:t>
      </w:r>
    </w:p>
    <w:p>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2"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4</w:t>
      </w:r>
      <w:r>
        <w:rPr>
          <w:rFonts w:hint="eastAsia" w:ascii="仿宋" w:hAnsi="仿宋" w:eastAsia="仿宋" w:cs="仿宋"/>
          <w:b/>
          <w:kern w:val="0"/>
          <w:sz w:val="24"/>
          <w:szCs w:val="28"/>
        </w:rPr>
        <w:t>-1  合规性审查内容框架</w:t>
      </w:r>
    </w:p>
    <w:tbl>
      <w:tblPr>
        <w:tblStyle w:val="5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资金的拨付有完整的审批程序和手续及符合项目预算批复或合同规定的用途；存在截留、挤占、挪用、虚列支出等情况。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本次合规性检查通过现场核查的方式开展，现场核实核查对象提供的资料。</w:t>
      </w:r>
    </w:p>
    <w:p>
      <w:pPr>
        <w:spacing w:line="500" w:lineRule="exact"/>
        <w:ind w:firstLine="560" w:firstLineChars="200"/>
        <w:jc w:val="both"/>
        <w:rPr>
          <w:rFonts w:hint="eastAsia" w:ascii="仿宋" w:hAnsi="仿宋" w:eastAsia="仿宋" w:cs="仿宋"/>
          <w:kern w:val="0"/>
          <w:sz w:val="28"/>
          <w:szCs w:val="28"/>
        </w:rPr>
        <w:sectPr>
          <w:headerReference r:id="rId9" w:type="default"/>
          <w:footerReference r:id="rId10" w:type="default"/>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kern w:val="0"/>
          <w:sz w:val="28"/>
          <w:szCs w:val="28"/>
        </w:rPr>
        <w:t>合规性具体检查内容见附表</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-2所示。</w:t>
      </w:r>
    </w:p>
    <w:p>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殡仪馆建设改造补助资金项目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殡仪馆建设改造补助资金项目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default" w:ascii="Arial" w:hAnsi="Arial" w:eastAsia="仿宋" w:cs="Arial"/>
                <w:kern w:val="0"/>
                <w:sz w:val="24"/>
                <w:szCs w:val="24"/>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pPr>
        <w:pStyle w:val="20"/>
        <w:ind w:left="0" w:leftChars="0" w:firstLine="0" w:firstLineChars="0"/>
        <w:jc w:val="center"/>
      </w:pPr>
    </w:p>
    <w:p>
      <w:pPr>
        <w:pStyle w:val="20"/>
        <w:ind w:left="0" w:leftChars="0" w:firstLine="0" w:firstLineChars="0"/>
        <w:jc w:val="center"/>
        <w:sectPr>
          <w:pgSz w:w="16838" w:h="11906" w:orient="landscape"/>
          <w:pgMar w:top="1797" w:right="1440" w:bottom="1797" w:left="1440" w:header="851" w:footer="992" w:gutter="0"/>
          <w:pgNumType w:fmt="decimal"/>
          <w:cols w:space="425" w:num="1"/>
          <w:docGrid w:type="lines" w:linePitch="312" w:charSpace="0"/>
        </w:sectPr>
      </w:pPr>
    </w:p>
    <w:p>
      <w:pPr>
        <w:pStyle w:val="20"/>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outlineLvl w:val="0"/>
        <w:rPr>
          <w:rFonts w:hint="default" w:eastAsia="宋体"/>
          <w:lang w:val="en-US" w:eastAsia="zh-CN"/>
        </w:rPr>
      </w:pPr>
      <w:bookmarkStart w:id="185" w:name="_Toc21843"/>
      <w:r>
        <w:rPr>
          <w:rFonts w:hint="eastAsia" w:ascii="仿宋" w:hAnsi="仿宋" w:eastAsia="仿宋" w:cs="仿宋"/>
          <w:b/>
          <w:bCs/>
          <w:sz w:val="28"/>
          <w:szCs w:val="28"/>
          <w:lang w:val="en-US" w:eastAsia="zh-CN"/>
        </w:rPr>
        <w:t>附件4：访谈记录</w:t>
      </w:r>
      <w:bookmarkEnd w:id="185"/>
    </w:p>
    <w:tbl>
      <w:tblPr>
        <w:tblStyle w:val="2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对象：</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项目相关</w:t>
            </w:r>
            <w:r>
              <w:rPr>
                <w:rFonts w:ascii="Times New Roman" w:hAnsi="Times New Roman" w:eastAsia="仿宋" w:cs="Times New Roman"/>
                <w:sz w:val="24"/>
                <w:szCs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时间：</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highlight w:val="yellow"/>
              </w:rPr>
            </w:pPr>
            <w:r>
              <w:rPr>
                <w:rFonts w:ascii="Times New Roman" w:hAnsi="Times New Roman" w:eastAsia="仿宋" w:cs="Times New Roman"/>
                <w:sz w:val="24"/>
                <w:szCs w:val="24"/>
              </w:rPr>
              <w:t>20</w:t>
            </w:r>
            <w:r>
              <w:rPr>
                <w:rFonts w:hint="eastAsia" w:ascii="Times New Roman" w:hAnsi="Times New Roman" w:eastAsia="仿宋" w:cs="Times New Roman"/>
                <w:sz w:val="24"/>
                <w:szCs w:val="24"/>
                <w:lang w:val="en-US" w:eastAsia="zh-CN"/>
              </w:rPr>
              <w:t>23</w:t>
            </w:r>
            <w:r>
              <w:rPr>
                <w:rFonts w:ascii="Times New Roman" w:hAnsi="Times New Roman" w:eastAsia="仿宋" w:cs="Times New Roman"/>
                <w:sz w:val="24"/>
                <w:szCs w:val="24"/>
              </w:rPr>
              <w:t>年</w:t>
            </w:r>
            <w:r>
              <w:rPr>
                <w:rFonts w:hint="eastAsia" w:ascii="Times New Roman" w:hAnsi="Times New Roman" w:eastAsia="仿宋" w:cs="Times New Roman"/>
                <w:sz w:val="24"/>
                <w:szCs w:val="24"/>
                <w:lang w:val="en-US" w:eastAsia="zh-CN"/>
              </w:rPr>
              <w:t>11</w:t>
            </w:r>
            <w:r>
              <w:rPr>
                <w:rFonts w:ascii="Times New Roman" w:hAnsi="Times New Roman" w:eastAsia="仿宋" w:cs="Times New Roman"/>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地点：</w:t>
            </w:r>
          </w:p>
        </w:tc>
        <w:tc>
          <w:tcPr>
            <w:tcW w:w="6804" w:type="dxa"/>
            <w:vAlign w:val="center"/>
          </w:tcPr>
          <w:p>
            <w:pPr>
              <w:spacing w:line="500" w:lineRule="exact"/>
              <w:ind w:firstLine="480" w:firstLineChars="200"/>
              <w:jc w:val="center"/>
              <w:rPr>
                <w:rFonts w:hint="default" w:ascii="Times New Roman" w:hAnsi="Times New Roman" w:eastAsia="仿宋" w:cs="Times New Roman"/>
                <w:sz w:val="24"/>
                <w:szCs w:val="24"/>
                <w:highlight w:val="yellow"/>
                <w:lang w:val="en-US" w:eastAsia="zh-CN"/>
              </w:rPr>
            </w:pPr>
            <w:r>
              <w:rPr>
                <w:rFonts w:hint="eastAsia" w:ascii="Times New Roman" w:hAnsi="Times New Roman" w:eastAsia="仿宋" w:cs="Times New Roman"/>
                <w:sz w:val="24"/>
                <w:szCs w:val="24"/>
                <w:lang w:val="en-US" w:eastAsia="zh-CN"/>
              </w:rPr>
              <w:t>古县民政局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问题1：请您简要介绍</w:t>
            </w:r>
            <w:r>
              <w:rPr>
                <w:rFonts w:hint="eastAsia" w:ascii="仿宋" w:hAnsi="仿宋" w:eastAsia="仿宋" w:cs="仿宋"/>
                <w:b/>
                <w:sz w:val="24"/>
                <w:szCs w:val="24"/>
                <w:lang w:eastAsia="zh-CN"/>
              </w:rPr>
              <w:t>殡仪馆建设改造补助资金项目</w:t>
            </w:r>
            <w:r>
              <w:rPr>
                <w:rFonts w:hint="eastAsia" w:ascii="仿宋" w:hAnsi="仿宋" w:eastAsia="仿宋" w:cs="仿宋"/>
                <w:b/>
                <w:sz w:val="24"/>
                <w:szCs w:val="24"/>
              </w:rPr>
              <w:t>的概况，项目涉及部门及各部门的职责。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殡葬改革是树立一代新风的重要的社会改革，关系到精神文明的建设和绿色生态文明的建设。因此殡葬基础建设就显得尤为重要。在国家政策下，多地已经出台相关规定并召开有关会议，以便于全国全面推进保护生态、保护环境、倡导节俭的新殡葬方式</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结合目前中央和省级政府要求，古县民政局拟开展古县殡仪馆建设项目。</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山西省殡葬基础设施建设指南》，古县殡仪馆建设项目属省定六类殡仪馆类别。占地面积不大于15亩，建筑面积不大于2000平方米。古县殡仪馆建设项目占地面积约为14.96亩，总建筑面积1944.65㎡，符合省定六类殡仪馆类别建设规模要求。</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古县殡仪馆建设项目建设内容主要包含殡仪馆建筑安装工程、设备工程、装饰装修工程以及道路场地硬化、绿化等室外公用配套工程等。</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项目主管部门：古县民政局，主要负责统筹协调项目实施、验收和监督管理工作；</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项目实施部门：古县民政局，主要负责项目申请、设立，预算资金的申请，项目资金的下拨。开展建设工作，督促施工单位按时完成建设任务和工程验收。</w:t>
            </w:r>
          </w:p>
          <w:p>
            <w:pPr>
              <w:spacing w:line="500" w:lineRule="exact"/>
              <w:ind w:firstLine="480" w:firstLineChars="200"/>
            </w:pPr>
            <w:r>
              <w:rPr>
                <w:rFonts w:hint="eastAsia" w:ascii="Times New Roman" w:hAnsi="Times New Roman" w:eastAsia="仿宋" w:cs="Times New Roman"/>
                <w:sz w:val="24"/>
                <w:szCs w:val="24"/>
                <w:lang w:val="en-US" w:eastAsia="zh-CN"/>
              </w:rPr>
              <w:t>古县财政局：负责拨付预算资金和财政资金的管理，对资金的分配、下拨、使用等全过程进行规范化管理，对专项经费的使用进行规范，组织开展绩效评价工作等。贯彻执行国家有关法律、法规、方针、政策，做好项目资金的预算、控制和监督，规范财会行为，依法合理、及时筹集使用建设资金、严格控制建设成本，提高投资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问题2：请您简要介绍项目预期目标及实际完成情况</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计划实施内容为：总建筑面积1920.56m²。主要建设内容：业务办公楼245.82m²、综合楼1612.74m²、其他附属设施62m²、设备购置费、室外配套工程、城市基础配套设施费等；项目尚未整体完工，项目整体完工率为95%；主体已完工，正在进行零星装饰及修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3</w:t>
            </w:r>
            <w:r>
              <w:rPr>
                <w:rFonts w:ascii="Times New Roman" w:hAnsi="Times New Roman" w:eastAsia="仿宋" w:cs="Times New Roman"/>
                <w:b/>
                <w:sz w:val="24"/>
                <w:szCs w:val="24"/>
              </w:rPr>
              <w:t>：是否有专门的资金监管机构？如何监管</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项目单独建账、独立核算、专人管理，财政部门根据政府意见对项目资金进行审核拨付。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w:t>
            </w:r>
            <w:r>
              <w:rPr>
                <w:rFonts w:hint="eastAsia" w:ascii="仿宋" w:hAnsi="仿宋" w:eastAsia="仿宋" w:cs="仿宋"/>
                <w:b/>
                <w:sz w:val="24"/>
                <w:szCs w:val="24"/>
                <w:lang w:val="en-US" w:eastAsia="zh-CN"/>
              </w:rPr>
              <w:t>4</w:t>
            </w:r>
            <w:r>
              <w:rPr>
                <w:rFonts w:hint="eastAsia" w:ascii="仿宋" w:hAnsi="仿宋" w:eastAsia="仿宋" w:cs="仿宋"/>
                <w:b/>
                <w:sz w:val="24"/>
                <w:szCs w:val="24"/>
              </w:rPr>
              <w:t>：请您简要介绍为保障项目的顺利实施所制定的制度、措施有哪些？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仿宋" w:hAnsi="仿宋" w:eastAsia="仿宋" w:cs="仿宋"/>
                <w:sz w:val="24"/>
                <w:szCs w:val="24"/>
              </w:rPr>
              <w:t>为保障</w:t>
            </w:r>
            <w:r>
              <w:rPr>
                <w:rFonts w:hint="eastAsia" w:ascii="仿宋" w:hAnsi="仿宋" w:eastAsia="仿宋" w:cs="仿宋"/>
                <w:sz w:val="24"/>
                <w:szCs w:val="24"/>
                <w:lang w:val="en-US" w:eastAsia="zh-CN"/>
              </w:rPr>
              <w:t>项目</w:t>
            </w:r>
            <w:r>
              <w:rPr>
                <w:rFonts w:hint="eastAsia" w:ascii="仿宋" w:hAnsi="仿宋" w:eastAsia="仿宋" w:cs="仿宋"/>
                <w:sz w:val="24"/>
                <w:szCs w:val="24"/>
              </w:rPr>
              <w:t>的顺利实施，</w:t>
            </w:r>
            <w:r>
              <w:rPr>
                <w:rFonts w:hint="eastAsia" w:ascii="仿宋" w:hAnsi="仿宋" w:eastAsia="仿宋" w:cs="仿宋"/>
                <w:sz w:val="24"/>
                <w:szCs w:val="24"/>
                <w:lang w:val="en-US" w:eastAsia="zh-CN"/>
              </w:rPr>
              <w:t>古县民政局制定了相关业务管理制度及财务管理制度</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5</w:t>
            </w:r>
            <w:r>
              <w:rPr>
                <w:rFonts w:ascii="Times New Roman" w:hAnsi="Times New Roman" w:eastAsia="仿宋" w:cs="Times New Roman"/>
                <w:b/>
                <w:sz w:val="24"/>
                <w:szCs w:val="24"/>
              </w:rPr>
              <w:t>：请您简要介绍项目任务完成情况</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截止2022年12月31日，殡仪馆建设改造补助资金项目尚未完工</w:t>
            </w:r>
            <w:r>
              <w:rPr>
                <w:rFonts w:hint="eastAsia" w:ascii="仿宋" w:hAnsi="仿宋" w:eastAsia="仿宋" w:cs="仿宋"/>
                <w:sz w:val="24"/>
                <w:szCs w:val="24"/>
              </w:rPr>
              <w:t>。</w:t>
            </w:r>
          </w:p>
        </w:tc>
      </w:tr>
    </w:tbl>
    <w:p>
      <w:pPr>
        <w:pStyle w:val="20"/>
        <w:ind w:left="0" w:leftChars="0" w:firstLine="0" w:firstLineChars="0"/>
        <w:jc w:val="both"/>
        <w:rPr>
          <w:rFonts w:hint="default" w:eastAsia="宋体"/>
          <w:lang w:val="en-US" w:eastAsia="zh-CN"/>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_x0000_s4101" o:spid="_x0000_s410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_x0000_s4102" o:spid="_x0000_s410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38</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殡仪馆建设改造补助资金项目</w:t>
    </w:r>
    <w:r>
      <w:rPr>
        <w:rFonts w:hint="eastAsia" w:ascii="仿宋" w:hAnsi="仿宋" w:eastAsia="仿宋"/>
        <w:b/>
        <w:szCs w:val="21"/>
      </w:rPr>
      <w:t>支出绩效</w:t>
    </w:r>
    <w:r>
      <w:rPr>
        <w:rFonts w:ascii="仿宋" w:hAnsi="仿宋" w:eastAsia="仿宋"/>
        <w:b/>
        <w:szCs w:val="21"/>
      </w:rPr>
      <w:t>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殡仪馆建设改造补助资金项目</w:t>
    </w:r>
    <w:r>
      <w:rPr>
        <w:rFonts w:hint="eastAsia" w:ascii="仿宋" w:hAnsi="仿宋" w:eastAsia="仿宋"/>
        <w:b/>
        <w:szCs w:val="21"/>
      </w:rPr>
      <w:t>支出绩效</w:t>
    </w:r>
    <w:r>
      <w:rPr>
        <w:rFonts w:ascii="仿宋" w:hAnsi="仿宋" w:eastAsia="仿宋"/>
        <w:b/>
        <w:szCs w:val="21"/>
      </w:rPr>
      <w:t>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QwYzlhYmVjYmUyMjYzYTI1ZjVhMWE5OTYzZmVlMmIifQ=="/>
  </w:docVars>
  <w:rsids>
    <w:rsidRoot w:val="00345DA1"/>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464"/>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08AF"/>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328"/>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0627"/>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1C76"/>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11D8"/>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2792B"/>
    <w:rsid w:val="00431078"/>
    <w:rsid w:val="00431662"/>
    <w:rsid w:val="00431D37"/>
    <w:rsid w:val="00433801"/>
    <w:rsid w:val="004343C0"/>
    <w:rsid w:val="004367E3"/>
    <w:rsid w:val="00436A30"/>
    <w:rsid w:val="00436B29"/>
    <w:rsid w:val="00437340"/>
    <w:rsid w:val="00437CDE"/>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B9A"/>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0F2A"/>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CB5"/>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5F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77BA"/>
    <w:rsid w:val="00A01706"/>
    <w:rsid w:val="00A02861"/>
    <w:rsid w:val="00A03024"/>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EA8"/>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6D4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0D3"/>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3AF9"/>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2BD6"/>
    <w:rsid w:val="00FF51B5"/>
    <w:rsid w:val="00FF583F"/>
    <w:rsid w:val="00FF6C25"/>
    <w:rsid w:val="00FF75F0"/>
    <w:rsid w:val="013B64B5"/>
    <w:rsid w:val="014454E4"/>
    <w:rsid w:val="0148466A"/>
    <w:rsid w:val="017A00DB"/>
    <w:rsid w:val="017A0FBF"/>
    <w:rsid w:val="01977E8B"/>
    <w:rsid w:val="01AE3620"/>
    <w:rsid w:val="01CA46E1"/>
    <w:rsid w:val="01CB6255"/>
    <w:rsid w:val="01DA6C0D"/>
    <w:rsid w:val="01DF0C11"/>
    <w:rsid w:val="01E00BEF"/>
    <w:rsid w:val="01E47572"/>
    <w:rsid w:val="01E769FD"/>
    <w:rsid w:val="01E801F1"/>
    <w:rsid w:val="01F83619"/>
    <w:rsid w:val="020A5807"/>
    <w:rsid w:val="022B2149"/>
    <w:rsid w:val="02303658"/>
    <w:rsid w:val="02366B06"/>
    <w:rsid w:val="023C5F0B"/>
    <w:rsid w:val="023E3C73"/>
    <w:rsid w:val="02594A4D"/>
    <w:rsid w:val="02643DF6"/>
    <w:rsid w:val="026C3627"/>
    <w:rsid w:val="02A67224"/>
    <w:rsid w:val="02AA5981"/>
    <w:rsid w:val="02AB0A25"/>
    <w:rsid w:val="02AB6DC3"/>
    <w:rsid w:val="02B259CF"/>
    <w:rsid w:val="02C144E8"/>
    <w:rsid w:val="02C44F2B"/>
    <w:rsid w:val="02E9492F"/>
    <w:rsid w:val="02F61A18"/>
    <w:rsid w:val="02FB31DA"/>
    <w:rsid w:val="02FD474C"/>
    <w:rsid w:val="0318037A"/>
    <w:rsid w:val="031C5327"/>
    <w:rsid w:val="031C616A"/>
    <w:rsid w:val="031D016B"/>
    <w:rsid w:val="033B0069"/>
    <w:rsid w:val="036A299C"/>
    <w:rsid w:val="036B2AEA"/>
    <w:rsid w:val="038635E3"/>
    <w:rsid w:val="038C5CF7"/>
    <w:rsid w:val="03AC4D3B"/>
    <w:rsid w:val="03D21333"/>
    <w:rsid w:val="03E90E66"/>
    <w:rsid w:val="03EC36A4"/>
    <w:rsid w:val="03EF3ED4"/>
    <w:rsid w:val="03F15753"/>
    <w:rsid w:val="04031DEC"/>
    <w:rsid w:val="041605C9"/>
    <w:rsid w:val="042B06F2"/>
    <w:rsid w:val="04413EA9"/>
    <w:rsid w:val="0447540E"/>
    <w:rsid w:val="044D0D34"/>
    <w:rsid w:val="04643D6F"/>
    <w:rsid w:val="046F07F9"/>
    <w:rsid w:val="04793642"/>
    <w:rsid w:val="04867A16"/>
    <w:rsid w:val="04886C9F"/>
    <w:rsid w:val="048B4E1B"/>
    <w:rsid w:val="04A34BA2"/>
    <w:rsid w:val="04A6014B"/>
    <w:rsid w:val="04AB5770"/>
    <w:rsid w:val="04C379F1"/>
    <w:rsid w:val="04E54758"/>
    <w:rsid w:val="04F759E8"/>
    <w:rsid w:val="04FE5A5E"/>
    <w:rsid w:val="0513374D"/>
    <w:rsid w:val="05296AA2"/>
    <w:rsid w:val="053503DF"/>
    <w:rsid w:val="053A1805"/>
    <w:rsid w:val="05421E3E"/>
    <w:rsid w:val="05553C63"/>
    <w:rsid w:val="055579F4"/>
    <w:rsid w:val="057C37EC"/>
    <w:rsid w:val="05935FD9"/>
    <w:rsid w:val="05B47FC2"/>
    <w:rsid w:val="05DC24C5"/>
    <w:rsid w:val="05E85464"/>
    <w:rsid w:val="05F60C0C"/>
    <w:rsid w:val="060E052E"/>
    <w:rsid w:val="06114AEE"/>
    <w:rsid w:val="06122036"/>
    <w:rsid w:val="061C5BF2"/>
    <w:rsid w:val="063321F2"/>
    <w:rsid w:val="06507617"/>
    <w:rsid w:val="065145E0"/>
    <w:rsid w:val="06541F9F"/>
    <w:rsid w:val="0673416D"/>
    <w:rsid w:val="067F04FE"/>
    <w:rsid w:val="068C7071"/>
    <w:rsid w:val="069C4DF3"/>
    <w:rsid w:val="069E0344"/>
    <w:rsid w:val="06C06944"/>
    <w:rsid w:val="06C72778"/>
    <w:rsid w:val="06CD0F45"/>
    <w:rsid w:val="06D82CA4"/>
    <w:rsid w:val="07101A0D"/>
    <w:rsid w:val="07102A00"/>
    <w:rsid w:val="07183A27"/>
    <w:rsid w:val="072926C4"/>
    <w:rsid w:val="073A1CF8"/>
    <w:rsid w:val="074D2406"/>
    <w:rsid w:val="075500D4"/>
    <w:rsid w:val="075950A2"/>
    <w:rsid w:val="075B339A"/>
    <w:rsid w:val="076F5DB3"/>
    <w:rsid w:val="07736BBF"/>
    <w:rsid w:val="079447BC"/>
    <w:rsid w:val="079D1E06"/>
    <w:rsid w:val="07B427B3"/>
    <w:rsid w:val="07DB1424"/>
    <w:rsid w:val="07DB3767"/>
    <w:rsid w:val="07DD4C94"/>
    <w:rsid w:val="07DE5A61"/>
    <w:rsid w:val="07EE31EA"/>
    <w:rsid w:val="07EE5028"/>
    <w:rsid w:val="080A17B2"/>
    <w:rsid w:val="08111275"/>
    <w:rsid w:val="081A5936"/>
    <w:rsid w:val="08220E1B"/>
    <w:rsid w:val="082C03AD"/>
    <w:rsid w:val="08436B33"/>
    <w:rsid w:val="084C72FC"/>
    <w:rsid w:val="0861002C"/>
    <w:rsid w:val="08893F27"/>
    <w:rsid w:val="08FD2A5F"/>
    <w:rsid w:val="0922288B"/>
    <w:rsid w:val="092F4DAA"/>
    <w:rsid w:val="095A10AA"/>
    <w:rsid w:val="09817A41"/>
    <w:rsid w:val="098418F8"/>
    <w:rsid w:val="09935A78"/>
    <w:rsid w:val="099F3AD2"/>
    <w:rsid w:val="09CA5FDD"/>
    <w:rsid w:val="0A151164"/>
    <w:rsid w:val="0A2C00AF"/>
    <w:rsid w:val="0A440816"/>
    <w:rsid w:val="0A4B26FA"/>
    <w:rsid w:val="0A5C460A"/>
    <w:rsid w:val="0A6744F2"/>
    <w:rsid w:val="0A863F7B"/>
    <w:rsid w:val="0A893404"/>
    <w:rsid w:val="0A8A1890"/>
    <w:rsid w:val="0A9C28D0"/>
    <w:rsid w:val="0AB1033C"/>
    <w:rsid w:val="0AB50304"/>
    <w:rsid w:val="0B113448"/>
    <w:rsid w:val="0B290F1F"/>
    <w:rsid w:val="0B413222"/>
    <w:rsid w:val="0B614F2E"/>
    <w:rsid w:val="0BCF188E"/>
    <w:rsid w:val="0BDE0CED"/>
    <w:rsid w:val="0BEB5B47"/>
    <w:rsid w:val="0C2B52CF"/>
    <w:rsid w:val="0C660965"/>
    <w:rsid w:val="0C761D1B"/>
    <w:rsid w:val="0C78622B"/>
    <w:rsid w:val="0CC70892"/>
    <w:rsid w:val="0CCA5ECC"/>
    <w:rsid w:val="0D04225C"/>
    <w:rsid w:val="0D0C5139"/>
    <w:rsid w:val="0D1300F1"/>
    <w:rsid w:val="0D683DC5"/>
    <w:rsid w:val="0D740BB5"/>
    <w:rsid w:val="0D8C65C7"/>
    <w:rsid w:val="0D9D2876"/>
    <w:rsid w:val="0DAF67D6"/>
    <w:rsid w:val="0DC82492"/>
    <w:rsid w:val="0DC84890"/>
    <w:rsid w:val="0DF7188C"/>
    <w:rsid w:val="0E0000B1"/>
    <w:rsid w:val="0E12568D"/>
    <w:rsid w:val="0E1C68F3"/>
    <w:rsid w:val="0E211DA4"/>
    <w:rsid w:val="0E3434E7"/>
    <w:rsid w:val="0E3F3055"/>
    <w:rsid w:val="0E421288"/>
    <w:rsid w:val="0E612F58"/>
    <w:rsid w:val="0E994EEE"/>
    <w:rsid w:val="0EA11865"/>
    <w:rsid w:val="0EA12E4D"/>
    <w:rsid w:val="0EAA5DEF"/>
    <w:rsid w:val="0EAD751F"/>
    <w:rsid w:val="0EB16A71"/>
    <w:rsid w:val="0EB17323"/>
    <w:rsid w:val="0EB43DBB"/>
    <w:rsid w:val="0ED675BA"/>
    <w:rsid w:val="0EDF0DA8"/>
    <w:rsid w:val="0F016A7C"/>
    <w:rsid w:val="0F3425AD"/>
    <w:rsid w:val="0F40373C"/>
    <w:rsid w:val="0F4C442D"/>
    <w:rsid w:val="0F52076A"/>
    <w:rsid w:val="0F5C7BFF"/>
    <w:rsid w:val="0F5F0397"/>
    <w:rsid w:val="0F6F2D00"/>
    <w:rsid w:val="0F7312CF"/>
    <w:rsid w:val="0F7930DB"/>
    <w:rsid w:val="0F843DD3"/>
    <w:rsid w:val="0F854118"/>
    <w:rsid w:val="0F8C091B"/>
    <w:rsid w:val="0FAA777F"/>
    <w:rsid w:val="0FAF39DA"/>
    <w:rsid w:val="0FD95B6D"/>
    <w:rsid w:val="0FE930F6"/>
    <w:rsid w:val="1012169A"/>
    <w:rsid w:val="10185736"/>
    <w:rsid w:val="103A31A0"/>
    <w:rsid w:val="108735A8"/>
    <w:rsid w:val="10A154D4"/>
    <w:rsid w:val="10B771D4"/>
    <w:rsid w:val="10C672B3"/>
    <w:rsid w:val="10C97F19"/>
    <w:rsid w:val="10F14166"/>
    <w:rsid w:val="11101983"/>
    <w:rsid w:val="11477CDE"/>
    <w:rsid w:val="11600CCE"/>
    <w:rsid w:val="11614276"/>
    <w:rsid w:val="116F731A"/>
    <w:rsid w:val="11A51BFB"/>
    <w:rsid w:val="11A92569"/>
    <w:rsid w:val="11B31254"/>
    <w:rsid w:val="11C3155A"/>
    <w:rsid w:val="11C4360F"/>
    <w:rsid w:val="11D97A28"/>
    <w:rsid w:val="11DB4844"/>
    <w:rsid w:val="11DC7679"/>
    <w:rsid w:val="11EA37F8"/>
    <w:rsid w:val="11F03ABA"/>
    <w:rsid w:val="11F20BA2"/>
    <w:rsid w:val="12170E35"/>
    <w:rsid w:val="126E71F3"/>
    <w:rsid w:val="1274117C"/>
    <w:rsid w:val="12827FB6"/>
    <w:rsid w:val="12A8148F"/>
    <w:rsid w:val="12A97DFA"/>
    <w:rsid w:val="12AF178B"/>
    <w:rsid w:val="12B369EB"/>
    <w:rsid w:val="12B657E3"/>
    <w:rsid w:val="12C44A5B"/>
    <w:rsid w:val="130472E9"/>
    <w:rsid w:val="130A2A3F"/>
    <w:rsid w:val="13264807"/>
    <w:rsid w:val="133607ED"/>
    <w:rsid w:val="1340265F"/>
    <w:rsid w:val="13403909"/>
    <w:rsid w:val="139A4724"/>
    <w:rsid w:val="13A311E4"/>
    <w:rsid w:val="13A7651F"/>
    <w:rsid w:val="13AF7487"/>
    <w:rsid w:val="13B55C54"/>
    <w:rsid w:val="13B933D5"/>
    <w:rsid w:val="13BA67A7"/>
    <w:rsid w:val="13CA369D"/>
    <w:rsid w:val="14436DC0"/>
    <w:rsid w:val="14707359"/>
    <w:rsid w:val="147F4D7E"/>
    <w:rsid w:val="14DD7F14"/>
    <w:rsid w:val="14F93A80"/>
    <w:rsid w:val="150D3204"/>
    <w:rsid w:val="15243BDB"/>
    <w:rsid w:val="153B6BE8"/>
    <w:rsid w:val="1545763E"/>
    <w:rsid w:val="15595F34"/>
    <w:rsid w:val="1562281F"/>
    <w:rsid w:val="156D0120"/>
    <w:rsid w:val="15A54A7C"/>
    <w:rsid w:val="15AB4CC7"/>
    <w:rsid w:val="15DC7D47"/>
    <w:rsid w:val="15EA3945"/>
    <w:rsid w:val="15F86E89"/>
    <w:rsid w:val="15FA525E"/>
    <w:rsid w:val="15FB3334"/>
    <w:rsid w:val="15FB7968"/>
    <w:rsid w:val="160A48B6"/>
    <w:rsid w:val="160A6500"/>
    <w:rsid w:val="160D2152"/>
    <w:rsid w:val="16102D71"/>
    <w:rsid w:val="16302F4C"/>
    <w:rsid w:val="16316383"/>
    <w:rsid w:val="16373297"/>
    <w:rsid w:val="163F4A03"/>
    <w:rsid w:val="167130A6"/>
    <w:rsid w:val="16752047"/>
    <w:rsid w:val="16825C85"/>
    <w:rsid w:val="169F2532"/>
    <w:rsid w:val="16A073BE"/>
    <w:rsid w:val="16B05DF5"/>
    <w:rsid w:val="16D20DC8"/>
    <w:rsid w:val="171021FA"/>
    <w:rsid w:val="171259C8"/>
    <w:rsid w:val="17262B24"/>
    <w:rsid w:val="17296C52"/>
    <w:rsid w:val="172E68F7"/>
    <w:rsid w:val="173C5E79"/>
    <w:rsid w:val="1760497A"/>
    <w:rsid w:val="177A5A2B"/>
    <w:rsid w:val="178756D8"/>
    <w:rsid w:val="179771BA"/>
    <w:rsid w:val="17A97DC9"/>
    <w:rsid w:val="17DD6795"/>
    <w:rsid w:val="17FA2B86"/>
    <w:rsid w:val="17FC734C"/>
    <w:rsid w:val="17FD64EB"/>
    <w:rsid w:val="1804296F"/>
    <w:rsid w:val="180E629B"/>
    <w:rsid w:val="184233FC"/>
    <w:rsid w:val="18CA0EE6"/>
    <w:rsid w:val="18CC680E"/>
    <w:rsid w:val="18D535DB"/>
    <w:rsid w:val="18D60A6E"/>
    <w:rsid w:val="18DE7CDB"/>
    <w:rsid w:val="18E04D61"/>
    <w:rsid w:val="1907506E"/>
    <w:rsid w:val="190C20A7"/>
    <w:rsid w:val="19242963"/>
    <w:rsid w:val="193D5C55"/>
    <w:rsid w:val="1952108D"/>
    <w:rsid w:val="196151A9"/>
    <w:rsid w:val="197A7C78"/>
    <w:rsid w:val="1985709D"/>
    <w:rsid w:val="199832A2"/>
    <w:rsid w:val="19A17E05"/>
    <w:rsid w:val="19A852F2"/>
    <w:rsid w:val="19AA797D"/>
    <w:rsid w:val="19B14D60"/>
    <w:rsid w:val="19BB57C9"/>
    <w:rsid w:val="19BD0514"/>
    <w:rsid w:val="19D62E09"/>
    <w:rsid w:val="19E4797E"/>
    <w:rsid w:val="19EB653D"/>
    <w:rsid w:val="19F63A93"/>
    <w:rsid w:val="19F7259E"/>
    <w:rsid w:val="19FA2EBE"/>
    <w:rsid w:val="19FB0226"/>
    <w:rsid w:val="19FF602A"/>
    <w:rsid w:val="1A106B09"/>
    <w:rsid w:val="1A744F8D"/>
    <w:rsid w:val="1A76471B"/>
    <w:rsid w:val="1A8D59C2"/>
    <w:rsid w:val="1AAD024C"/>
    <w:rsid w:val="1AB5234F"/>
    <w:rsid w:val="1AD20279"/>
    <w:rsid w:val="1AEE4FE5"/>
    <w:rsid w:val="1B017C12"/>
    <w:rsid w:val="1B152811"/>
    <w:rsid w:val="1B1F6F2A"/>
    <w:rsid w:val="1B263796"/>
    <w:rsid w:val="1B2E36B8"/>
    <w:rsid w:val="1B2F67A3"/>
    <w:rsid w:val="1B3321B3"/>
    <w:rsid w:val="1B456DDE"/>
    <w:rsid w:val="1B477F5B"/>
    <w:rsid w:val="1B687F3D"/>
    <w:rsid w:val="1B694E2A"/>
    <w:rsid w:val="1B6F73E2"/>
    <w:rsid w:val="1B824367"/>
    <w:rsid w:val="1BB94B75"/>
    <w:rsid w:val="1BBE6C1F"/>
    <w:rsid w:val="1BEB357C"/>
    <w:rsid w:val="1BEF7785"/>
    <w:rsid w:val="1C017601"/>
    <w:rsid w:val="1C0536BD"/>
    <w:rsid w:val="1C1C2B4A"/>
    <w:rsid w:val="1C1F5A93"/>
    <w:rsid w:val="1C7B7942"/>
    <w:rsid w:val="1C9922C8"/>
    <w:rsid w:val="1CAF0758"/>
    <w:rsid w:val="1CD24E95"/>
    <w:rsid w:val="1CE77484"/>
    <w:rsid w:val="1CEE1A27"/>
    <w:rsid w:val="1D025CFB"/>
    <w:rsid w:val="1D274E3D"/>
    <w:rsid w:val="1D353599"/>
    <w:rsid w:val="1D374E75"/>
    <w:rsid w:val="1D505374"/>
    <w:rsid w:val="1D5E685F"/>
    <w:rsid w:val="1D856627"/>
    <w:rsid w:val="1D8E6BBA"/>
    <w:rsid w:val="1D9346F0"/>
    <w:rsid w:val="1D9674A2"/>
    <w:rsid w:val="1DA23729"/>
    <w:rsid w:val="1DA74AFE"/>
    <w:rsid w:val="1DC339D2"/>
    <w:rsid w:val="1DC64EC8"/>
    <w:rsid w:val="1DD10939"/>
    <w:rsid w:val="1DD43877"/>
    <w:rsid w:val="1DDB53EA"/>
    <w:rsid w:val="1DE57225"/>
    <w:rsid w:val="1DEB6B4E"/>
    <w:rsid w:val="1DEE09EF"/>
    <w:rsid w:val="1DF15F7D"/>
    <w:rsid w:val="1E363B2D"/>
    <w:rsid w:val="1E596D1F"/>
    <w:rsid w:val="1E655DB0"/>
    <w:rsid w:val="1E6F00A1"/>
    <w:rsid w:val="1E76560B"/>
    <w:rsid w:val="1E9151DA"/>
    <w:rsid w:val="1E9B0AAB"/>
    <w:rsid w:val="1EA700CC"/>
    <w:rsid w:val="1EB05CCB"/>
    <w:rsid w:val="1EB57327"/>
    <w:rsid w:val="1EEF3F13"/>
    <w:rsid w:val="1EF814A5"/>
    <w:rsid w:val="1F0923DF"/>
    <w:rsid w:val="1F0B6A8B"/>
    <w:rsid w:val="1F3B0BB8"/>
    <w:rsid w:val="1F4D6859"/>
    <w:rsid w:val="1F5908BC"/>
    <w:rsid w:val="1F6C5A31"/>
    <w:rsid w:val="1F6E5E24"/>
    <w:rsid w:val="1F901A88"/>
    <w:rsid w:val="1FDF1E99"/>
    <w:rsid w:val="1FE304FD"/>
    <w:rsid w:val="1FEA23D9"/>
    <w:rsid w:val="1FFE1183"/>
    <w:rsid w:val="203A10EA"/>
    <w:rsid w:val="203A58C3"/>
    <w:rsid w:val="205712CC"/>
    <w:rsid w:val="20694812"/>
    <w:rsid w:val="20696FBE"/>
    <w:rsid w:val="207F58CA"/>
    <w:rsid w:val="208B43E4"/>
    <w:rsid w:val="208C69E1"/>
    <w:rsid w:val="20B015AD"/>
    <w:rsid w:val="20CF7D78"/>
    <w:rsid w:val="20D91650"/>
    <w:rsid w:val="20E42900"/>
    <w:rsid w:val="20EB29C6"/>
    <w:rsid w:val="20FB5128"/>
    <w:rsid w:val="20FF5D97"/>
    <w:rsid w:val="21083B7E"/>
    <w:rsid w:val="21195EA4"/>
    <w:rsid w:val="214A70DD"/>
    <w:rsid w:val="21533217"/>
    <w:rsid w:val="21566D51"/>
    <w:rsid w:val="216407A0"/>
    <w:rsid w:val="217209EB"/>
    <w:rsid w:val="21C17A96"/>
    <w:rsid w:val="21C45D20"/>
    <w:rsid w:val="21D0528D"/>
    <w:rsid w:val="21EE0225"/>
    <w:rsid w:val="220A1452"/>
    <w:rsid w:val="222B7CD7"/>
    <w:rsid w:val="2240324F"/>
    <w:rsid w:val="225A2D5C"/>
    <w:rsid w:val="225C386E"/>
    <w:rsid w:val="2274299A"/>
    <w:rsid w:val="22834854"/>
    <w:rsid w:val="22B66849"/>
    <w:rsid w:val="22D7712D"/>
    <w:rsid w:val="22DE209C"/>
    <w:rsid w:val="22F2022F"/>
    <w:rsid w:val="230B5096"/>
    <w:rsid w:val="231628B6"/>
    <w:rsid w:val="23237A89"/>
    <w:rsid w:val="23300073"/>
    <w:rsid w:val="23357FB2"/>
    <w:rsid w:val="23366D23"/>
    <w:rsid w:val="23397AC0"/>
    <w:rsid w:val="23406C41"/>
    <w:rsid w:val="236316A5"/>
    <w:rsid w:val="236919D8"/>
    <w:rsid w:val="239007BA"/>
    <w:rsid w:val="23970FB7"/>
    <w:rsid w:val="23A86A71"/>
    <w:rsid w:val="23B14A15"/>
    <w:rsid w:val="23BC23BE"/>
    <w:rsid w:val="23C64D58"/>
    <w:rsid w:val="23D13175"/>
    <w:rsid w:val="23D149AF"/>
    <w:rsid w:val="23D86783"/>
    <w:rsid w:val="23F921E0"/>
    <w:rsid w:val="24087CAD"/>
    <w:rsid w:val="241632FB"/>
    <w:rsid w:val="2440306F"/>
    <w:rsid w:val="24431F32"/>
    <w:rsid w:val="24497071"/>
    <w:rsid w:val="244D4C9E"/>
    <w:rsid w:val="24554291"/>
    <w:rsid w:val="24567462"/>
    <w:rsid w:val="247D4D86"/>
    <w:rsid w:val="24885965"/>
    <w:rsid w:val="24A57F4B"/>
    <w:rsid w:val="24AC529F"/>
    <w:rsid w:val="24AD1551"/>
    <w:rsid w:val="24B52BFD"/>
    <w:rsid w:val="24C561C6"/>
    <w:rsid w:val="24C765DA"/>
    <w:rsid w:val="24D41E45"/>
    <w:rsid w:val="24E132AD"/>
    <w:rsid w:val="24F4352B"/>
    <w:rsid w:val="251F743A"/>
    <w:rsid w:val="255956FC"/>
    <w:rsid w:val="255F771E"/>
    <w:rsid w:val="256C738D"/>
    <w:rsid w:val="25805DD1"/>
    <w:rsid w:val="25807324"/>
    <w:rsid w:val="25887E7D"/>
    <w:rsid w:val="258C2E52"/>
    <w:rsid w:val="2597422D"/>
    <w:rsid w:val="25A67137"/>
    <w:rsid w:val="25A83195"/>
    <w:rsid w:val="25B83A93"/>
    <w:rsid w:val="25BB2C84"/>
    <w:rsid w:val="25DB401C"/>
    <w:rsid w:val="25E66023"/>
    <w:rsid w:val="25EA6BF5"/>
    <w:rsid w:val="2603762F"/>
    <w:rsid w:val="26043E43"/>
    <w:rsid w:val="26177E67"/>
    <w:rsid w:val="261A56AD"/>
    <w:rsid w:val="262804F3"/>
    <w:rsid w:val="263D2A8F"/>
    <w:rsid w:val="264A07A7"/>
    <w:rsid w:val="26573C57"/>
    <w:rsid w:val="266853AE"/>
    <w:rsid w:val="266C1E48"/>
    <w:rsid w:val="267F4386"/>
    <w:rsid w:val="269B728F"/>
    <w:rsid w:val="26A10F5A"/>
    <w:rsid w:val="26B75F67"/>
    <w:rsid w:val="26D8044F"/>
    <w:rsid w:val="26E83527"/>
    <w:rsid w:val="26EC7974"/>
    <w:rsid w:val="273244D8"/>
    <w:rsid w:val="277E670C"/>
    <w:rsid w:val="278C34E1"/>
    <w:rsid w:val="27B06FBD"/>
    <w:rsid w:val="27BA0F35"/>
    <w:rsid w:val="27C23036"/>
    <w:rsid w:val="27C74D7E"/>
    <w:rsid w:val="27D44AE8"/>
    <w:rsid w:val="27D66A6D"/>
    <w:rsid w:val="27E05851"/>
    <w:rsid w:val="27E63EAC"/>
    <w:rsid w:val="27E72E2A"/>
    <w:rsid w:val="27EC7E49"/>
    <w:rsid w:val="27ED2AF3"/>
    <w:rsid w:val="27EF219B"/>
    <w:rsid w:val="28017251"/>
    <w:rsid w:val="280278F1"/>
    <w:rsid w:val="280F447B"/>
    <w:rsid w:val="28386634"/>
    <w:rsid w:val="28456D01"/>
    <w:rsid w:val="285A51EC"/>
    <w:rsid w:val="28626FE7"/>
    <w:rsid w:val="287514DE"/>
    <w:rsid w:val="287A62F4"/>
    <w:rsid w:val="28856267"/>
    <w:rsid w:val="288A6D38"/>
    <w:rsid w:val="288F1004"/>
    <w:rsid w:val="289044A5"/>
    <w:rsid w:val="28A01F04"/>
    <w:rsid w:val="28AB0764"/>
    <w:rsid w:val="28B761D3"/>
    <w:rsid w:val="28E9510B"/>
    <w:rsid w:val="28FA4A05"/>
    <w:rsid w:val="290513EF"/>
    <w:rsid w:val="29092622"/>
    <w:rsid w:val="290C3EC6"/>
    <w:rsid w:val="291B38FD"/>
    <w:rsid w:val="29241174"/>
    <w:rsid w:val="29316EB8"/>
    <w:rsid w:val="29480957"/>
    <w:rsid w:val="295759FE"/>
    <w:rsid w:val="2985065F"/>
    <w:rsid w:val="29920A52"/>
    <w:rsid w:val="299662B0"/>
    <w:rsid w:val="299A4C52"/>
    <w:rsid w:val="29CF249B"/>
    <w:rsid w:val="29E16438"/>
    <w:rsid w:val="29EB4C4D"/>
    <w:rsid w:val="2A071046"/>
    <w:rsid w:val="2A4878BF"/>
    <w:rsid w:val="2A56648A"/>
    <w:rsid w:val="2A5970EF"/>
    <w:rsid w:val="2A66746B"/>
    <w:rsid w:val="2A860B63"/>
    <w:rsid w:val="2A885971"/>
    <w:rsid w:val="2A9A4ACD"/>
    <w:rsid w:val="2AAC0D24"/>
    <w:rsid w:val="2AC94307"/>
    <w:rsid w:val="2AD544A7"/>
    <w:rsid w:val="2ADB4A3B"/>
    <w:rsid w:val="2AF038EE"/>
    <w:rsid w:val="2B010E5C"/>
    <w:rsid w:val="2B0C6536"/>
    <w:rsid w:val="2B1D00B9"/>
    <w:rsid w:val="2B276CE0"/>
    <w:rsid w:val="2B3F539E"/>
    <w:rsid w:val="2B416E9F"/>
    <w:rsid w:val="2B606090"/>
    <w:rsid w:val="2B8D25C0"/>
    <w:rsid w:val="2BD76A6A"/>
    <w:rsid w:val="2BDE4C53"/>
    <w:rsid w:val="2BFA048B"/>
    <w:rsid w:val="2C0C24F8"/>
    <w:rsid w:val="2C1D1BDB"/>
    <w:rsid w:val="2C243763"/>
    <w:rsid w:val="2C2B423A"/>
    <w:rsid w:val="2C491642"/>
    <w:rsid w:val="2C625260"/>
    <w:rsid w:val="2C684E67"/>
    <w:rsid w:val="2C8503B5"/>
    <w:rsid w:val="2C952626"/>
    <w:rsid w:val="2CA46F1B"/>
    <w:rsid w:val="2CBC6D9A"/>
    <w:rsid w:val="2CE97B37"/>
    <w:rsid w:val="2CEA5F0C"/>
    <w:rsid w:val="2CF912E3"/>
    <w:rsid w:val="2D06714B"/>
    <w:rsid w:val="2D0A0B2E"/>
    <w:rsid w:val="2D237F9C"/>
    <w:rsid w:val="2D2A1E84"/>
    <w:rsid w:val="2D3929EC"/>
    <w:rsid w:val="2D7B3D35"/>
    <w:rsid w:val="2D830B88"/>
    <w:rsid w:val="2D842E85"/>
    <w:rsid w:val="2D872B3B"/>
    <w:rsid w:val="2D8C0979"/>
    <w:rsid w:val="2DA648A1"/>
    <w:rsid w:val="2DC86DE8"/>
    <w:rsid w:val="2DD4649C"/>
    <w:rsid w:val="2DDF698E"/>
    <w:rsid w:val="2DED5318"/>
    <w:rsid w:val="2DEF2532"/>
    <w:rsid w:val="2DF80F56"/>
    <w:rsid w:val="2DFD77AA"/>
    <w:rsid w:val="2DFF106E"/>
    <w:rsid w:val="2E1936D3"/>
    <w:rsid w:val="2E221C9C"/>
    <w:rsid w:val="2E224CAB"/>
    <w:rsid w:val="2E2C1D00"/>
    <w:rsid w:val="2E3F575C"/>
    <w:rsid w:val="2E6D759A"/>
    <w:rsid w:val="2E7E7BD8"/>
    <w:rsid w:val="2E8314D3"/>
    <w:rsid w:val="2E945C60"/>
    <w:rsid w:val="2E963248"/>
    <w:rsid w:val="2EA761E1"/>
    <w:rsid w:val="2EAA5952"/>
    <w:rsid w:val="2EDD121C"/>
    <w:rsid w:val="2EE11667"/>
    <w:rsid w:val="2EE3268C"/>
    <w:rsid w:val="2EE80B5E"/>
    <w:rsid w:val="2F173188"/>
    <w:rsid w:val="2F4F4098"/>
    <w:rsid w:val="2F8D44D6"/>
    <w:rsid w:val="2F9779D7"/>
    <w:rsid w:val="2F980294"/>
    <w:rsid w:val="2FBE29B8"/>
    <w:rsid w:val="2FCA5FDF"/>
    <w:rsid w:val="2FD33E2B"/>
    <w:rsid w:val="30062DE1"/>
    <w:rsid w:val="30111B91"/>
    <w:rsid w:val="301303F6"/>
    <w:rsid w:val="302A13F4"/>
    <w:rsid w:val="30423C78"/>
    <w:rsid w:val="304F1B16"/>
    <w:rsid w:val="30611C29"/>
    <w:rsid w:val="30683883"/>
    <w:rsid w:val="30695030"/>
    <w:rsid w:val="30815E64"/>
    <w:rsid w:val="308F24A2"/>
    <w:rsid w:val="30A22E44"/>
    <w:rsid w:val="30AC42EE"/>
    <w:rsid w:val="30B058B8"/>
    <w:rsid w:val="30CD44D0"/>
    <w:rsid w:val="30CE111B"/>
    <w:rsid w:val="30E019DA"/>
    <w:rsid w:val="30F552D2"/>
    <w:rsid w:val="310065E6"/>
    <w:rsid w:val="312654AD"/>
    <w:rsid w:val="312F16DF"/>
    <w:rsid w:val="31552842"/>
    <w:rsid w:val="31742FCA"/>
    <w:rsid w:val="31812DBB"/>
    <w:rsid w:val="31886C1C"/>
    <w:rsid w:val="318E3C43"/>
    <w:rsid w:val="31CC03E9"/>
    <w:rsid w:val="31D32DDB"/>
    <w:rsid w:val="31D460A3"/>
    <w:rsid w:val="31EA26F1"/>
    <w:rsid w:val="31EC203C"/>
    <w:rsid w:val="31FC2412"/>
    <w:rsid w:val="320642C3"/>
    <w:rsid w:val="3207532E"/>
    <w:rsid w:val="321063FE"/>
    <w:rsid w:val="321D1D09"/>
    <w:rsid w:val="32256F9F"/>
    <w:rsid w:val="322D3B4C"/>
    <w:rsid w:val="324035B3"/>
    <w:rsid w:val="3260397A"/>
    <w:rsid w:val="32783914"/>
    <w:rsid w:val="328253C2"/>
    <w:rsid w:val="32935FC0"/>
    <w:rsid w:val="32A41F5B"/>
    <w:rsid w:val="32AE368A"/>
    <w:rsid w:val="32B17B00"/>
    <w:rsid w:val="32DF701F"/>
    <w:rsid w:val="32E24098"/>
    <w:rsid w:val="32E70D36"/>
    <w:rsid w:val="32F04C94"/>
    <w:rsid w:val="33203F6E"/>
    <w:rsid w:val="33266928"/>
    <w:rsid w:val="3341007C"/>
    <w:rsid w:val="336E4060"/>
    <w:rsid w:val="3395192B"/>
    <w:rsid w:val="3395308C"/>
    <w:rsid w:val="33FA6E54"/>
    <w:rsid w:val="33FD4C08"/>
    <w:rsid w:val="33FF4E0A"/>
    <w:rsid w:val="341C72C9"/>
    <w:rsid w:val="34225B6E"/>
    <w:rsid w:val="342A40C0"/>
    <w:rsid w:val="34350233"/>
    <w:rsid w:val="34597E10"/>
    <w:rsid w:val="34650257"/>
    <w:rsid w:val="34725A3C"/>
    <w:rsid w:val="348815B6"/>
    <w:rsid w:val="34A02F4E"/>
    <w:rsid w:val="34B158B7"/>
    <w:rsid w:val="34BC71CE"/>
    <w:rsid w:val="34C70739"/>
    <w:rsid w:val="34CE1D50"/>
    <w:rsid w:val="34DB4884"/>
    <w:rsid w:val="350B741A"/>
    <w:rsid w:val="35280196"/>
    <w:rsid w:val="353B5B88"/>
    <w:rsid w:val="353F6679"/>
    <w:rsid w:val="357263A3"/>
    <w:rsid w:val="35784E71"/>
    <w:rsid w:val="357B4DCC"/>
    <w:rsid w:val="35A60779"/>
    <w:rsid w:val="35D53D52"/>
    <w:rsid w:val="35DB5A6A"/>
    <w:rsid w:val="35E01304"/>
    <w:rsid w:val="35E9486B"/>
    <w:rsid w:val="35FB77CB"/>
    <w:rsid w:val="360532BD"/>
    <w:rsid w:val="360C2B3A"/>
    <w:rsid w:val="360D1CBF"/>
    <w:rsid w:val="361B4D46"/>
    <w:rsid w:val="362A205A"/>
    <w:rsid w:val="3659703F"/>
    <w:rsid w:val="366F7F71"/>
    <w:rsid w:val="368F5AB8"/>
    <w:rsid w:val="36912DE6"/>
    <w:rsid w:val="36B6669E"/>
    <w:rsid w:val="36B76E7C"/>
    <w:rsid w:val="36BC27CC"/>
    <w:rsid w:val="36C847CF"/>
    <w:rsid w:val="36D73FDE"/>
    <w:rsid w:val="36E13874"/>
    <w:rsid w:val="36FB0380"/>
    <w:rsid w:val="36FD39FB"/>
    <w:rsid w:val="37141C3E"/>
    <w:rsid w:val="37284F74"/>
    <w:rsid w:val="372E0843"/>
    <w:rsid w:val="3730666A"/>
    <w:rsid w:val="373070BF"/>
    <w:rsid w:val="37335A3C"/>
    <w:rsid w:val="37426B20"/>
    <w:rsid w:val="376A3DCC"/>
    <w:rsid w:val="37933D0B"/>
    <w:rsid w:val="37936F55"/>
    <w:rsid w:val="37974492"/>
    <w:rsid w:val="379D5C05"/>
    <w:rsid w:val="37B12555"/>
    <w:rsid w:val="37BC0D91"/>
    <w:rsid w:val="37BE768E"/>
    <w:rsid w:val="37C31463"/>
    <w:rsid w:val="37D9344A"/>
    <w:rsid w:val="37ED4E89"/>
    <w:rsid w:val="37F01B84"/>
    <w:rsid w:val="38057A3D"/>
    <w:rsid w:val="38525A0D"/>
    <w:rsid w:val="387D4E34"/>
    <w:rsid w:val="38AA7384"/>
    <w:rsid w:val="38B12A39"/>
    <w:rsid w:val="38C5263D"/>
    <w:rsid w:val="38E00948"/>
    <w:rsid w:val="38E33FE3"/>
    <w:rsid w:val="38EC1A9A"/>
    <w:rsid w:val="38F6157A"/>
    <w:rsid w:val="39045055"/>
    <w:rsid w:val="3915719D"/>
    <w:rsid w:val="392378C6"/>
    <w:rsid w:val="39250C7A"/>
    <w:rsid w:val="39427E0D"/>
    <w:rsid w:val="395E497A"/>
    <w:rsid w:val="39884828"/>
    <w:rsid w:val="39AD3EA6"/>
    <w:rsid w:val="39B029FA"/>
    <w:rsid w:val="39C85128"/>
    <w:rsid w:val="39D263A7"/>
    <w:rsid w:val="39E4038F"/>
    <w:rsid w:val="39F94530"/>
    <w:rsid w:val="3A0612E2"/>
    <w:rsid w:val="3A105151"/>
    <w:rsid w:val="3A2156FD"/>
    <w:rsid w:val="3A2B7FBC"/>
    <w:rsid w:val="3A2C20E8"/>
    <w:rsid w:val="3A414974"/>
    <w:rsid w:val="3A4A5818"/>
    <w:rsid w:val="3A731CC1"/>
    <w:rsid w:val="3A7C5BCA"/>
    <w:rsid w:val="3AB15A7E"/>
    <w:rsid w:val="3ACA3A17"/>
    <w:rsid w:val="3AF775AA"/>
    <w:rsid w:val="3B1955CB"/>
    <w:rsid w:val="3B4221F3"/>
    <w:rsid w:val="3B483ED0"/>
    <w:rsid w:val="3B493692"/>
    <w:rsid w:val="3B4F4DC8"/>
    <w:rsid w:val="3B526AA2"/>
    <w:rsid w:val="3B652E21"/>
    <w:rsid w:val="3B7E21B0"/>
    <w:rsid w:val="3B821B43"/>
    <w:rsid w:val="3B825A47"/>
    <w:rsid w:val="3B8667AC"/>
    <w:rsid w:val="3B967DCE"/>
    <w:rsid w:val="3B9C6609"/>
    <w:rsid w:val="3C0853AF"/>
    <w:rsid w:val="3C0972FA"/>
    <w:rsid w:val="3C0B65AC"/>
    <w:rsid w:val="3C0E18DF"/>
    <w:rsid w:val="3C2D1B90"/>
    <w:rsid w:val="3C3950FC"/>
    <w:rsid w:val="3C4318C3"/>
    <w:rsid w:val="3C49170C"/>
    <w:rsid w:val="3C4B0F00"/>
    <w:rsid w:val="3C885A3C"/>
    <w:rsid w:val="3C921EBB"/>
    <w:rsid w:val="3CAF3F2C"/>
    <w:rsid w:val="3CBD0191"/>
    <w:rsid w:val="3CDA3AC9"/>
    <w:rsid w:val="3CEC0DCB"/>
    <w:rsid w:val="3D07245B"/>
    <w:rsid w:val="3D256621"/>
    <w:rsid w:val="3D274CC7"/>
    <w:rsid w:val="3D32496D"/>
    <w:rsid w:val="3D3C536B"/>
    <w:rsid w:val="3D4F603C"/>
    <w:rsid w:val="3D5F4DC7"/>
    <w:rsid w:val="3D676F6B"/>
    <w:rsid w:val="3D6E28E2"/>
    <w:rsid w:val="3DA02763"/>
    <w:rsid w:val="3DBA1B25"/>
    <w:rsid w:val="3DC72AFE"/>
    <w:rsid w:val="3DD93FC5"/>
    <w:rsid w:val="3DEB02ED"/>
    <w:rsid w:val="3DEC1682"/>
    <w:rsid w:val="3DF72802"/>
    <w:rsid w:val="3E044D3E"/>
    <w:rsid w:val="3E08400D"/>
    <w:rsid w:val="3E3863AC"/>
    <w:rsid w:val="3E460843"/>
    <w:rsid w:val="3E661616"/>
    <w:rsid w:val="3E677A49"/>
    <w:rsid w:val="3E763A1F"/>
    <w:rsid w:val="3E8F7279"/>
    <w:rsid w:val="3E9431A8"/>
    <w:rsid w:val="3E996B99"/>
    <w:rsid w:val="3EA93808"/>
    <w:rsid w:val="3EBF738E"/>
    <w:rsid w:val="3EDB4EEC"/>
    <w:rsid w:val="3EFD58F1"/>
    <w:rsid w:val="3F0777D7"/>
    <w:rsid w:val="3F120FDD"/>
    <w:rsid w:val="3F1C5781"/>
    <w:rsid w:val="3F2631E5"/>
    <w:rsid w:val="3F297829"/>
    <w:rsid w:val="3F3801D7"/>
    <w:rsid w:val="3F404933"/>
    <w:rsid w:val="3F496250"/>
    <w:rsid w:val="3F561C01"/>
    <w:rsid w:val="3F70168F"/>
    <w:rsid w:val="3F755780"/>
    <w:rsid w:val="3FA46AF6"/>
    <w:rsid w:val="3FF426F9"/>
    <w:rsid w:val="3FFD04C4"/>
    <w:rsid w:val="3FFE797F"/>
    <w:rsid w:val="400F1770"/>
    <w:rsid w:val="40307DD1"/>
    <w:rsid w:val="4032619B"/>
    <w:rsid w:val="405D12FB"/>
    <w:rsid w:val="40695C55"/>
    <w:rsid w:val="406C4800"/>
    <w:rsid w:val="408F0E1E"/>
    <w:rsid w:val="40962FDF"/>
    <w:rsid w:val="409D1A0B"/>
    <w:rsid w:val="40A23281"/>
    <w:rsid w:val="40CD5CF7"/>
    <w:rsid w:val="40D84C0F"/>
    <w:rsid w:val="40DC1646"/>
    <w:rsid w:val="40E346A5"/>
    <w:rsid w:val="410617FD"/>
    <w:rsid w:val="413E727C"/>
    <w:rsid w:val="41545E6A"/>
    <w:rsid w:val="415477B3"/>
    <w:rsid w:val="417A51D0"/>
    <w:rsid w:val="41880BC3"/>
    <w:rsid w:val="41921860"/>
    <w:rsid w:val="4195076B"/>
    <w:rsid w:val="41A302C1"/>
    <w:rsid w:val="41A85E6B"/>
    <w:rsid w:val="41DC7951"/>
    <w:rsid w:val="41F026AF"/>
    <w:rsid w:val="41FB2F29"/>
    <w:rsid w:val="421B09AB"/>
    <w:rsid w:val="422252B2"/>
    <w:rsid w:val="42275FA6"/>
    <w:rsid w:val="4231155A"/>
    <w:rsid w:val="423D2D21"/>
    <w:rsid w:val="42420C0B"/>
    <w:rsid w:val="428F60E2"/>
    <w:rsid w:val="42956078"/>
    <w:rsid w:val="429C5E42"/>
    <w:rsid w:val="42B00CBD"/>
    <w:rsid w:val="42BC08F5"/>
    <w:rsid w:val="42C82900"/>
    <w:rsid w:val="42D537A6"/>
    <w:rsid w:val="42E507B7"/>
    <w:rsid w:val="42E604EA"/>
    <w:rsid w:val="42EA5494"/>
    <w:rsid w:val="430022EA"/>
    <w:rsid w:val="4319070F"/>
    <w:rsid w:val="43270FEF"/>
    <w:rsid w:val="432855FB"/>
    <w:rsid w:val="43301FAB"/>
    <w:rsid w:val="4339209C"/>
    <w:rsid w:val="433E286F"/>
    <w:rsid w:val="4364061F"/>
    <w:rsid w:val="4377624E"/>
    <w:rsid w:val="43883DE8"/>
    <w:rsid w:val="43961CE6"/>
    <w:rsid w:val="43B577C0"/>
    <w:rsid w:val="43C54F8D"/>
    <w:rsid w:val="43C9011E"/>
    <w:rsid w:val="43C94577"/>
    <w:rsid w:val="43CB426B"/>
    <w:rsid w:val="43D8683C"/>
    <w:rsid w:val="43DA7442"/>
    <w:rsid w:val="43E95D84"/>
    <w:rsid w:val="43EB73CE"/>
    <w:rsid w:val="43F856FD"/>
    <w:rsid w:val="44045356"/>
    <w:rsid w:val="44055C49"/>
    <w:rsid w:val="440B5F91"/>
    <w:rsid w:val="44112A91"/>
    <w:rsid w:val="441634F9"/>
    <w:rsid w:val="4418579A"/>
    <w:rsid w:val="44232C91"/>
    <w:rsid w:val="4425558C"/>
    <w:rsid w:val="44416F27"/>
    <w:rsid w:val="444C46C1"/>
    <w:rsid w:val="444D12C7"/>
    <w:rsid w:val="445F6C42"/>
    <w:rsid w:val="44702CBC"/>
    <w:rsid w:val="44784C95"/>
    <w:rsid w:val="44813158"/>
    <w:rsid w:val="44A514B2"/>
    <w:rsid w:val="44AD2B45"/>
    <w:rsid w:val="44AE45CC"/>
    <w:rsid w:val="44CF5C9B"/>
    <w:rsid w:val="44FD2E6C"/>
    <w:rsid w:val="450D206A"/>
    <w:rsid w:val="451421B3"/>
    <w:rsid w:val="45312B8D"/>
    <w:rsid w:val="453B3E33"/>
    <w:rsid w:val="45532760"/>
    <w:rsid w:val="455D73B7"/>
    <w:rsid w:val="455F4293"/>
    <w:rsid w:val="45625A22"/>
    <w:rsid w:val="45725B7C"/>
    <w:rsid w:val="457B0B90"/>
    <w:rsid w:val="459144AF"/>
    <w:rsid w:val="459D1FC0"/>
    <w:rsid w:val="459E159E"/>
    <w:rsid w:val="45A932EF"/>
    <w:rsid w:val="45D01424"/>
    <w:rsid w:val="45D90E5B"/>
    <w:rsid w:val="45DA4A72"/>
    <w:rsid w:val="45F713E5"/>
    <w:rsid w:val="45FC549B"/>
    <w:rsid w:val="463D77FC"/>
    <w:rsid w:val="46544346"/>
    <w:rsid w:val="46612DFC"/>
    <w:rsid w:val="467E1B2E"/>
    <w:rsid w:val="467E3C2F"/>
    <w:rsid w:val="46836DB9"/>
    <w:rsid w:val="46B1345C"/>
    <w:rsid w:val="46C13779"/>
    <w:rsid w:val="46CF305C"/>
    <w:rsid w:val="46D47307"/>
    <w:rsid w:val="46E577A3"/>
    <w:rsid w:val="46E9185D"/>
    <w:rsid w:val="46EB29A5"/>
    <w:rsid w:val="46F86DC4"/>
    <w:rsid w:val="47430BB8"/>
    <w:rsid w:val="47664E5B"/>
    <w:rsid w:val="476D2B18"/>
    <w:rsid w:val="477806D8"/>
    <w:rsid w:val="47780F93"/>
    <w:rsid w:val="47827D73"/>
    <w:rsid w:val="47952D9D"/>
    <w:rsid w:val="47A30A4D"/>
    <w:rsid w:val="47B64EC1"/>
    <w:rsid w:val="47B732CA"/>
    <w:rsid w:val="47C80E00"/>
    <w:rsid w:val="47CD7E1D"/>
    <w:rsid w:val="47F40BB1"/>
    <w:rsid w:val="480B38DA"/>
    <w:rsid w:val="480B5ABB"/>
    <w:rsid w:val="48137CDD"/>
    <w:rsid w:val="48267394"/>
    <w:rsid w:val="486956FF"/>
    <w:rsid w:val="487E055B"/>
    <w:rsid w:val="488E35E4"/>
    <w:rsid w:val="48920313"/>
    <w:rsid w:val="48A1005B"/>
    <w:rsid w:val="48AE7E5F"/>
    <w:rsid w:val="48CA08B8"/>
    <w:rsid w:val="48D02088"/>
    <w:rsid w:val="48F811C9"/>
    <w:rsid w:val="48FE7B22"/>
    <w:rsid w:val="496269C9"/>
    <w:rsid w:val="496B74EE"/>
    <w:rsid w:val="49910937"/>
    <w:rsid w:val="49944EDE"/>
    <w:rsid w:val="499E413B"/>
    <w:rsid w:val="49A049A4"/>
    <w:rsid w:val="49BB179A"/>
    <w:rsid w:val="49BC5F12"/>
    <w:rsid w:val="49C232F1"/>
    <w:rsid w:val="49CA5E32"/>
    <w:rsid w:val="49D824E4"/>
    <w:rsid w:val="4A0372B8"/>
    <w:rsid w:val="4A042B54"/>
    <w:rsid w:val="4A046112"/>
    <w:rsid w:val="4A1268F2"/>
    <w:rsid w:val="4A1C1F75"/>
    <w:rsid w:val="4A1E6A6E"/>
    <w:rsid w:val="4A2974B3"/>
    <w:rsid w:val="4A3F3E15"/>
    <w:rsid w:val="4A4017F1"/>
    <w:rsid w:val="4A4C14EE"/>
    <w:rsid w:val="4A60269A"/>
    <w:rsid w:val="4A6F02B5"/>
    <w:rsid w:val="4A7D6573"/>
    <w:rsid w:val="4A861787"/>
    <w:rsid w:val="4A92284C"/>
    <w:rsid w:val="4AA1405E"/>
    <w:rsid w:val="4AEB1CB8"/>
    <w:rsid w:val="4AF32A2D"/>
    <w:rsid w:val="4B135458"/>
    <w:rsid w:val="4B147193"/>
    <w:rsid w:val="4B1556C7"/>
    <w:rsid w:val="4B1D152D"/>
    <w:rsid w:val="4B3652C6"/>
    <w:rsid w:val="4B3C1BC9"/>
    <w:rsid w:val="4B486267"/>
    <w:rsid w:val="4B494027"/>
    <w:rsid w:val="4B5B330B"/>
    <w:rsid w:val="4B62453E"/>
    <w:rsid w:val="4B6A4EBC"/>
    <w:rsid w:val="4B792D2F"/>
    <w:rsid w:val="4B7A6C5A"/>
    <w:rsid w:val="4B897789"/>
    <w:rsid w:val="4B990B66"/>
    <w:rsid w:val="4B9D293F"/>
    <w:rsid w:val="4BAA4DCE"/>
    <w:rsid w:val="4BD201F0"/>
    <w:rsid w:val="4BDB0CCE"/>
    <w:rsid w:val="4BDC40DC"/>
    <w:rsid w:val="4C396201"/>
    <w:rsid w:val="4C4B699D"/>
    <w:rsid w:val="4C6F6296"/>
    <w:rsid w:val="4C935B3A"/>
    <w:rsid w:val="4CBD0827"/>
    <w:rsid w:val="4CBF5632"/>
    <w:rsid w:val="4CD436E2"/>
    <w:rsid w:val="4CF018B7"/>
    <w:rsid w:val="4D043746"/>
    <w:rsid w:val="4D502340"/>
    <w:rsid w:val="4D75590C"/>
    <w:rsid w:val="4D870D81"/>
    <w:rsid w:val="4D9322F7"/>
    <w:rsid w:val="4D985196"/>
    <w:rsid w:val="4DD16F12"/>
    <w:rsid w:val="4DF634EA"/>
    <w:rsid w:val="4E131B24"/>
    <w:rsid w:val="4E1F3964"/>
    <w:rsid w:val="4E2A1383"/>
    <w:rsid w:val="4E39204D"/>
    <w:rsid w:val="4E3F11E5"/>
    <w:rsid w:val="4E684A33"/>
    <w:rsid w:val="4E853C5F"/>
    <w:rsid w:val="4E970FDA"/>
    <w:rsid w:val="4EA5257F"/>
    <w:rsid w:val="4ECC00AA"/>
    <w:rsid w:val="4EEB7C4E"/>
    <w:rsid w:val="4F05074C"/>
    <w:rsid w:val="4F065A52"/>
    <w:rsid w:val="4F0D1780"/>
    <w:rsid w:val="4F32014F"/>
    <w:rsid w:val="4F6747D3"/>
    <w:rsid w:val="4F674FE2"/>
    <w:rsid w:val="4F700558"/>
    <w:rsid w:val="4F787814"/>
    <w:rsid w:val="4F9F6CF5"/>
    <w:rsid w:val="4FCF1DED"/>
    <w:rsid w:val="4FD861C7"/>
    <w:rsid w:val="4FDE0813"/>
    <w:rsid w:val="4FE00420"/>
    <w:rsid w:val="4FE710C0"/>
    <w:rsid w:val="4FF753B5"/>
    <w:rsid w:val="5007155F"/>
    <w:rsid w:val="50163A63"/>
    <w:rsid w:val="502604B3"/>
    <w:rsid w:val="5045161E"/>
    <w:rsid w:val="504D7313"/>
    <w:rsid w:val="506A470D"/>
    <w:rsid w:val="50774C77"/>
    <w:rsid w:val="508302AF"/>
    <w:rsid w:val="508304EF"/>
    <w:rsid w:val="50A61610"/>
    <w:rsid w:val="50C8351C"/>
    <w:rsid w:val="50D04F09"/>
    <w:rsid w:val="50E43CFE"/>
    <w:rsid w:val="5101721E"/>
    <w:rsid w:val="51054037"/>
    <w:rsid w:val="51083494"/>
    <w:rsid w:val="511552EC"/>
    <w:rsid w:val="512B713D"/>
    <w:rsid w:val="51493243"/>
    <w:rsid w:val="51524B16"/>
    <w:rsid w:val="517B4F01"/>
    <w:rsid w:val="51954DCB"/>
    <w:rsid w:val="51AE5E5D"/>
    <w:rsid w:val="51B301C3"/>
    <w:rsid w:val="51C036D6"/>
    <w:rsid w:val="51D757C0"/>
    <w:rsid w:val="51D95E45"/>
    <w:rsid w:val="51F3761D"/>
    <w:rsid w:val="51F51A40"/>
    <w:rsid w:val="51FB7080"/>
    <w:rsid w:val="52171E85"/>
    <w:rsid w:val="522C45E0"/>
    <w:rsid w:val="523F7E42"/>
    <w:rsid w:val="524C05D4"/>
    <w:rsid w:val="525A2504"/>
    <w:rsid w:val="52603884"/>
    <w:rsid w:val="5278094F"/>
    <w:rsid w:val="52783925"/>
    <w:rsid w:val="527C2318"/>
    <w:rsid w:val="52826353"/>
    <w:rsid w:val="528642F6"/>
    <w:rsid w:val="528B6A6C"/>
    <w:rsid w:val="528C4241"/>
    <w:rsid w:val="52B309E2"/>
    <w:rsid w:val="52B34C64"/>
    <w:rsid w:val="52D17816"/>
    <w:rsid w:val="52D63354"/>
    <w:rsid w:val="52EC11CB"/>
    <w:rsid w:val="52F755F7"/>
    <w:rsid w:val="532C5643"/>
    <w:rsid w:val="53305343"/>
    <w:rsid w:val="535B0C23"/>
    <w:rsid w:val="53777470"/>
    <w:rsid w:val="538A7B71"/>
    <w:rsid w:val="53947B04"/>
    <w:rsid w:val="53A81060"/>
    <w:rsid w:val="542722EE"/>
    <w:rsid w:val="54374A2A"/>
    <w:rsid w:val="544F4724"/>
    <w:rsid w:val="545A641C"/>
    <w:rsid w:val="54755312"/>
    <w:rsid w:val="54991F8F"/>
    <w:rsid w:val="549E6942"/>
    <w:rsid w:val="54CD2DFD"/>
    <w:rsid w:val="54FC1AA3"/>
    <w:rsid w:val="550A6565"/>
    <w:rsid w:val="550B3F87"/>
    <w:rsid w:val="550E6C7D"/>
    <w:rsid w:val="55140685"/>
    <w:rsid w:val="55226F8D"/>
    <w:rsid w:val="552D548D"/>
    <w:rsid w:val="553F545C"/>
    <w:rsid w:val="55441E00"/>
    <w:rsid w:val="55447ABD"/>
    <w:rsid w:val="55543389"/>
    <w:rsid w:val="555D4D2B"/>
    <w:rsid w:val="557A1C97"/>
    <w:rsid w:val="55AD618B"/>
    <w:rsid w:val="55BC1684"/>
    <w:rsid w:val="55C51171"/>
    <w:rsid w:val="55E06C30"/>
    <w:rsid w:val="55F005E4"/>
    <w:rsid w:val="55FE762A"/>
    <w:rsid w:val="56163B6A"/>
    <w:rsid w:val="562135C9"/>
    <w:rsid w:val="563235D3"/>
    <w:rsid w:val="5652429E"/>
    <w:rsid w:val="56647615"/>
    <w:rsid w:val="566D06F8"/>
    <w:rsid w:val="569D5CA9"/>
    <w:rsid w:val="56B32F05"/>
    <w:rsid w:val="56C153EC"/>
    <w:rsid w:val="56D97AFB"/>
    <w:rsid w:val="56E61DBB"/>
    <w:rsid w:val="56E82906"/>
    <w:rsid w:val="570C3519"/>
    <w:rsid w:val="57140C13"/>
    <w:rsid w:val="575D3E08"/>
    <w:rsid w:val="575E6DF7"/>
    <w:rsid w:val="578959D3"/>
    <w:rsid w:val="57B15E16"/>
    <w:rsid w:val="57B61A28"/>
    <w:rsid w:val="57C551E3"/>
    <w:rsid w:val="57CF2EAD"/>
    <w:rsid w:val="57D63F9E"/>
    <w:rsid w:val="57DF47C2"/>
    <w:rsid w:val="57E04C16"/>
    <w:rsid w:val="57E10282"/>
    <w:rsid w:val="57E10A18"/>
    <w:rsid w:val="57F610FA"/>
    <w:rsid w:val="57F97081"/>
    <w:rsid w:val="58054D73"/>
    <w:rsid w:val="58321906"/>
    <w:rsid w:val="585E1759"/>
    <w:rsid w:val="586817E4"/>
    <w:rsid w:val="58735841"/>
    <w:rsid w:val="588B067B"/>
    <w:rsid w:val="58B93B0C"/>
    <w:rsid w:val="58CA03FF"/>
    <w:rsid w:val="58CF55AD"/>
    <w:rsid w:val="58D04950"/>
    <w:rsid w:val="58E80ED3"/>
    <w:rsid w:val="5907392D"/>
    <w:rsid w:val="59132FC9"/>
    <w:rsid w:val="594A4983"/>
    <w:rsid w:val="594B44B2"/>
    <w:rsid w:val="59660025"/>
    <w:rsid w:val="59837277"/>
    <w:rsid w:val="59864F37"/>
    <w:rsid w:val="599E6BDB"/>
    <w:rsid w:val="59A94E13"/>
    <w:rsid w:val="59C60070"/>
    <w:rsid w:val="59C77A85"/>
    <w:rsid w:val="59D413B8"/>
    <w:rsid w:val="59D54E22"/>
    <w:rsid w:val="59DB3EE9"/>
    <w:rsid w:val="59DB7B32"/>
    <w:rsid w:val="59DD105F"/>
    <w:rsid w:val="59FF1AE3"/>
    <w:rsid w:val="5A1164A2"/>
    <w:rsid w:val="5A1D47B4"/>
    <w:rsid w:val="5A4D6E61"/>
    <w:rsid w:val="5A6972A9"/>
    <w:rsid w:val="5A6F63BD"/>
    <w:rsid w:val="5A8A0AE5"/>
    <w:rsid w:val="5A8D2E03"/>
    <w:rsid w:val="5A8E53AC"/>
    <w:rsid w:val="5ABD4F04"/>
    <w:rsid w:val="5ABF5647"/>
    <w:rsid w:val="5AC067C1"/>
    <w:rsid w:val="5AF557D6"/>
    <w:rsid w:val="5AFD1C69"/>
    <w:rsid w:val="5B107039"/>
    <w:rsid w:val="5B2C004A"/>
    <w:rsid w:val="5B522B29"/>
    <w:rsid w:val="5B567D98"/>
    <w:rsid w:val="5B5A6341"/>
    <w:rsid w:val="5B9000A0"/>
    <w:rsid w:val="5B903647"/>
    <w:rsid w:val="5B9B44DA"/>
    <w:rsid w:val="5BC21AD9"/>
    <w:rsid w:val="5BD13847"/>
    <w:rsid w:val="5BE616F3"/>
    <w:rsid w:val="5BFE5ECB"/>
    <w:rsid w:val="5C054583"/>
    <w:rsid w:val="5C074BFC"/>
    <w:rsid w:val="5C0E1FA1"/>
    <w:rsid w:val="5C275553"/>
    <w:rsid w:val="5C415FB3"/>
    <w:rsid w:val="5C45575F"/>
    <w:rsid w:val="5C4D5BAC"/>
    <w:rsid w:val="5C54304E"/>
    <w:rsid w:val="5C575541"/>
    <w:rsid w:val="5C610B58"/>
    <w:rsid w:val="5C90034B"/>
    <w:rsid w:val="5CA11332"/>
    <w:rsid w:val="5CA46AC8"/>
    <w:rsid w:val="5CB744A8"/>
    <w:rsid w:val="5CD643B3"/>
    <w:rsid w:val="5CF05C2B"/>
    <w:rsid w:val="5D017E8E"/>
    <w:rsid w:val="5D371D66"/>
    <w:rsid w:val="5D3F4307"/>
    <w:rsid w:val="5D4077EE"/>
    <w:rsid w:val="5D652D61"/>
    <w:rsid w:val="5D79238A"/>
    <w:rsid w:val="5D795C4C"/>
    <w:rsid w:val="5D850D53"/>
    <w:rsid w:val="5D881975"/>
    <w:rsid w:val="5D8B5E38"/>
    <w:rsid w:val="5DA012CD"/>
    <w:rsid w:val="5DB1576E"/>
    <w:rsid w:val="5DB434FF"/>
    <w:rsid w:val="5DB92B11"/>
    <w:rsid w:val="5DCA02A9"/>
    <w:rsid w:val="5DCB1F86"/>
    <w:rsid w:val="5DD05607"/>
    <w:rsid w:val="5DF27452"/>
    <w:rsid w:val="5E127950"/>
    <w:rsid w:val="5E1F7B76"/>
    <w:rsid w:val="5E4B6FE0"/>
    <w:rsid w:val="5E5460C4"/>
    <w:rsid w:val="5E581806"/>
    <w:rsid w:val="5E73562F"/>
    <w:rsid w:val="5E8531E6"/>
    <w:rsid w:val="5E905B39"/>
    <w:rsid w:val="5E9640F1"/>
    <w:rsid w:val="5E9C0565"/>
    <w:rsid w:val="5EBB2812"/>
    <w:rsid w:val="5EBE40F6"/>
    <w:rsid w:val="5EC27F7D"/>
    <w:rsid w:val="5EDE233A"/>
    <w:rsid w:val="5EDF0ECB"/>
    <w:rsid w:val="5EE60887"/>
    <w:rsid w:val="5EEA5A85"/>
    <w:rsid w:val="5EF833BA"/>
    <w:rsid w:val="5EFB6FF5"/>
    <w:rsid w:val="5EFD32BF"/>
    <w:rsid w:val="5F047BC3"/>
    <w:rsid w:val="5F076B4E"/>
    <w:rsid w:val="5F126655"/>
    <w:rsid w:val="5F225B30"/>
    <w:rsid w:val="5F22731E"/>
    <w:rsid w:val="5F2F375B"/>
    <w:rsid w:val="5F380CA5"/>
    <w:rsid w:val="5F3A5B90"/>
    <w:rsid w:val="5F4204D1"/>
    <w:rsid w:val="5F437DD4"/>
    <w:rsid w:val="5F48614C"/>
    <w:rsid w:val="5F566CC1"/>
    <w:rsid w:val="5F575BE6"/>
    <w:rsid w:val="5FB843FA"/>
    <w:rsid w:val="5FBC33E8"/>
    <w:rsid w:val="5FBF181F"/>
    <w:rsid w:val="5FC65213"/>
    <w:rsid w:val="5FD55C3C"/>
    <w:rsid w:val="5FD66A5E"/>
    <w:rsid w:val="5FD858B3"/>
    <w:rsid w:val="5FE9215F"/>
    <w:rsid w:val="5FEF5234"/>
    <w:rsid w:val="5FF562FF"/>
    <w:rsid w:val="601901FB"/>
    <w:rsid w:val="60227CB0"/>
    <w:rsid w:val="6023797A"/>
    <w:rsid w:val="602665F6"/>
    <w:rsid w:val="60280C61"/>
    <w:rsid w:val="602A2DA5"/>
    <w:rsid w:val="60636625"/>
    <w:rsid w:val="60671914"/>
    <w:rsid w:val="606C08AE"/>
    <w:rsid w:val="60764834"/>
    <w:rsid w:val="608537C7"/>
    <w:rsid w:val="60A03723"/>
    <w:rsid w:val="60B5788C"/>
    <w:rsid w:val="60C53C98"/>
    <w:rsid w:val="61034502"/>
    <w:rsid w:val="61114121"/>
    <w:rsid w:val="615272A5"/>
    <w:rsid w:val="61597EC3"/>
    <w:rsid w:val="616B08E8"/>
    <w:rsid w:val="6177172C"/>
    <w:rsid w:val="617722EB"/>
    <w:rsid w:val="618239FF"/>
    <w:rsid w:val="61A222F0"/>
    <w:rsid w:val="61BF242D"/>
    <w:rsid w:val="61C908C8"/>
    <w:rsid w:val="61D32381"/>
    <w:rsid w:val="61D92741"/>
    <w:rsid w:val="622D6ADD"/>
    <w:rsid w:val="625D6320"/>
    <w:rsid w:val="62936538"/>
    <w:rsid w:val="62982C0D"/>
    <w:rsid w:val="62A52046"/>
    <w:rsid w:val="62DB1422"/>
    <w:rsid w:val="62E46272"/>
    <w:rsid w:val="62FC1F47"/>
    <w:rsid w:val="63135989"/>
    <w:rsid w:val="63240941"/>
    <w:rsid w:val="6337658B"/>
    <w:rsid w:val="63381258"/>
    <w:rsid w:val="633A1660"/>
    <w:rsid w:val="63432674"/>
    <w:rsid w:val="6347657C"/>
    <w:rsid w:val="636A3DFC"/>
    <w:rsid w:val="63914CE7"/>
    <w:rsid w:val="639A36E5"/>
    <w:rsid w:val="63A31971"/>
    <w:rsid w:val="63A538C7"/>
    <w:rsid w:val="63A964C2"/>
    <w:rsid w:val="63C911B7"/>
    <w:rsid w:val="63D022A5"/>
    <w:rsid w:val="63E276F3"/>
    <w:rsid w:val="641B09AC"/>
    <w:rsid w:val="64207BDD"/>
    <w:rsid w:val="64241F26"/>
    <w:rsid w:val="64800636"/>
    <w:rsid w:val="649D3B1C"/>
    <w:rsid w:val="64BA5BE6"/>
    <w:rsid w:val="64C53F63"/>
    <w:rsid w:val="64CC6575"/>
    <w:rsid w:val="64CD73CD"/>
    <w:rsid w:val="64D5423E"/>
    <w:rsid w:val="64FF2315"/>
    <w:rsid w:val="65142CC1"/>
    <w:rsid w:val="651E5E94"/>
    <w:rsid w:val="651F242C"/>
    <w:rsid w:val="65393BFE"/>
    <w:rsid w:val="653C1938"/>
    <w:rsid w:val="657725E9"/>
    <w:rsid w:val="65930332"/>
    <w:rsid w:val="65957FD8"/>
    <w:rsid w:val="65BC23C8"/>
    <w:rsid w:val="65DF43B0"/>
    <w:rsid w:val="65F05EA6"/>
    <w:rsid w:val="661651F5"/>
    <w:rsid w:val="66170CCB"/>
    <w:rsid w:val="66356D6D"/>
    <w:rsid w:val="664513AC"/>
    <w:rsid w:val="665A729D"/>
    <w:rsid w:val="66616A64"/>
    <w:rsid w:val="667674A8"/>
    <w:rsid w:val="667F60C9"/>
    <w:rsid w:val="66832931"/>
    <w:rsid w:val="66836A3F"/>
    <w:rsid w:val="66840988"/>
    <w:rsid w:val="668B262C"/>
    <w:rsid w:val="66A339B1"/>
    <w:rsid w:val="66B5037E"/>
    <w:rsid w:val="66BA1A79"/>
    <w:rsid w:val="66C01ED2"/>
    <w:rsid w:val="66D161B8"/>
    <w:rsid w:val="66EC2796"/>
    <w:rsid w:val="67056B5C"/>
    <w:rsid w:val="670A56FB"/>
    <w:rsid w:val="6716125E"/>
    <w:rsid w:val="673242B9"/>
    <w:rsid w:val="673F2EE3"/>
    <w:rsid w:val="6741768B"/>
    <w:rsid w:val="674214A0"/>
    <w:rsid w:val="675033C0"/>
    <w:rsid w:val="675107A4"/>
    <w:rsid w:val="675251A2"/>
    <w:rsid w:val="67760531"/>
    <w:rsid w:val="67783D88"/>
    <w:rsid w:val="67A26DCC"/>
    <w:rsid w:val="67B00BBE"/>
    <w:rsid w:val="67B844AA"/>
    <w:rsid w:val="67F90FFD"/>
    <w:rsid w:val="680240FD"/>
    <w:rsid w:val="681729B2"/>
    <w:rsid w:val="6820759B"/>
    <w:rsid w:val="68293FBD"/>
    <w:rsid w:val="682A04B8"/>
    <w:rsid w:val="682C5C7D"/>
    <w:rsid w:val="683F6B0E"/>
    <w:rsid w:val="68515AE5"/>
    <w:rsid w:val="685A0A9B"/>
    <w:rsid w:val="68655A58"/>
    <w:rsid w:val="688F7C7E"/>
    <w:rsid w:val="689A12EE"/>
    <w:rsid w:val="689C2DA1"/>
    <w:rsid w:val="68A76AA6"/>
    <w:rsid w:val="68AA41EF"/>
    <w:rsid w:val="68CC0823"/>
    <w:rsid w:val="68D542A3"/>
    <w:rsid w:val="68DE319C"/>
    <w:rsid w:val="68F166D7"/>
    <w:rsid w:val="68FD54FF"/>
    <w:rsid w:val="693574CA"/>
    <w:rsid w:val="693A174A"/>
    <w:rsid w:val="69556D97"/>
    <w:rsid w:val="69592F37"/>
    <w:rsid w:val="69605096"/>
    <w:rsid w:val="6978083C"/>
    <w:rsid w:val="697868BA"/>
    <w:rsid w:val="69987260"/>
    <w:rsid w:val="69B679A2"/>
    <w:rsid w:val="69C127FB"/>
    <w:rsid w:val="69C74F96"/>
    <w:rsid w:val="69D17399"/>
    <w:rsid w:val="69DD7ED8"/>
    <w:rsid w:val="69F017EC"/>
    <w:rsid w:val="6A041BC0"/>
    <w:rsid w:val="6A3134D7"/>
    <w:rsid w:val="6A48318E"/>
    <w:rsid w:val="6A52572E"/>
    <w:rsid w:val="6A5B0A47"/>
    <w:rsid w:val="6A704AD9"/>
    <w:rsid w:val="6A7F3DFE"/>
    <w:rsid w:val="6A864681"/>
    <w:rsid w:val="6A8B4EB2"/>
    <w:rsid w:val="6A8D70DE"/>
    <w:rsid w:val="6A916B75"/>
    <w:rsid w:val="6A9916DC"/>
    <w:rsid w:val="6AA575F8"/>
    <w:rsid w:val="6AB46AC7"/>
    <w:rsid w:val="6ACC0C94"/>
    <w:rsid w:val="6ADF5164"/>
    <w:rsid w:val="6AEC109D"/>
    <w:rsid w:val="6AEF08DD"/>
    <w:rsid w:val="6AF47359"/>
    <w:rsid w:val="6AFF272E"/>
    <w:rsid w:val="6B0611BC"/>
    <w:rsid w:val="6B065E84"/>
    <w:rsid w:val="6B192A29"/>
    <w:rsid w:val="6B2118A3"/>
    <w:rsid w:val="6B2E654C"/>
    <w:rsid w:val="6B494415"/>
    <w:rsid w:val="6B5318D1"/>
    <w:rsid w:val="6B5578F5"/>
    <w:rsid w:val="6B5829F9"/>
    <w:rsid w:val="6B5B0623"/>
    <w:rsid w:val="6B781B54"/>
    <w:rsid w:val="6B8219E5"/>
    <w:rsid w:val="6B900044"/>
    <w:rsid w:val="6BA36DCB"/>
    <w:rsid w:val="6BDD130F"/>
    <w:rsid w:val="6BE447FB"/>
    <w:rsid w:val="6C181DDE"/>
    <w:rsid w:val="6C2C121B"/>
    <w:rsid w:val="6C8062EC"/>
    <w:rsid w:val="6C8C7F87"/>
    <w:rsid w:val="6C9460CE"/>
    <w:rsid w:val="6C9D5743"/>
    <w:rsid w:val="6C9F3D9E"/>
    <w:rsid w:val="6C9F6240"/>
    <w:rsid w:val="6CAB07AF"/>
    <w:rsid w:val="6CAF304F"/>
    <w:rsid w:val="6CB8067C"/>
    <w:rsid w:val="6CBC4747"/>
    <w:rsid w:val="6CE267A4"/>
    <w:rsid w:val="6CE26DB7"/>
    <w:rsid w:val="6CE41BD1"/>
    <w:rsid w:val="6CEB6460"/>
    <w:rsid w:val="6D037748"/>
    <w:rsid w:val="6D0863E8"/>
    <w:rsid w:val="6D0D06AB"/>
    <w:rsid w:val="6D1353A0"/>
    <w:rsid w:val="6D1C44A2"/>
    <w:rsid w:val="6D2F6662"/>
    <w:rsid w:val="6D396A71"/>
    <w:rsid w:val="6D5F126C"/>
    <w:rsid w:val="6D961B6A"/>
    <w:rsid w:val="6DA04048"/>
    <w:rsid w:val="6DB449D7"/>
    <w:rsid w:val="6DD66781"/>
    <w:rsid w:val="6DDA1F1F"/>
    <w:rsid w:val="6DF4693F"/>
    <w:rsid w:val="6E035019"/>
    <w:rsid w:val="6E084EE2"/>
    <w:rsid w:val="6E0A59CB"/>
    <w:rsid w:val="6E174DE0"/>
    <w:rsid w:val="6E2773CA"/>
    <w:rsid w:val="6E394636"/>
    <w:rsid w:val="6E3E614A"/>
    <w:rsid w:val="6E400632"/>
    <w:rsid w:val="6E492579"/>
    <w:rsid w:val="6E4A4582"/>
    <w:rsid w:val="6E5F5A09"/>
    <w:rsid w:val="6E774098"/>
    <w:rsid w:val="6EAA3C44"/>
    <w:rsid w:val="6EAB5ACE"/>
    <w:rsid w:val="6EB67906"/>
    <w:rsid w:val="6EC438AB"/>
    <w:rsid w:val="6EEA56BC"/>
    <w:rsid w:val="6EED76CA"/>
    <w:rsid w:val="6EFB1E81"/>
    <w:rsid w:val="6F0E5BB7"/>
    <w:rsid w:val="6F2F5A93"/>
    <w:rsid w:val="6F5B430E"/>
    <w:rsid w:val="6F654945"/>
    <w:rsid w:val="6F884E95"/>
    <w:rsid w:val="6F893ECF"/>
    <w:rsid w:val="6F9F785E"/>
    <w:rsid w:val="6FA00221"/>
    <w:rsid w:val="6FA15072"/>
    <w:rsid w:val="6FA824AC"/>
    <w:rsid w:val="6FAF7AB6"/>
    <w:rsid w:val="6FC4447C"/>
    <w:rsid w:val="6FDC7F7A"/>
    <w:rsid w:val="6FDD2D88"/>
    <w:rsid w:val="6FE20D80"/>
    <w:rsid w:val="6FE514E8"/>
    <w:rsid w:val="6FF74231"/>
    <w:rsid w:val="700B4E4F"/>
    <w:rsid w:val="70222901"/>
    <w:rsid w:val="704C2EB1"/>
    <w:rsid w:val="7083706C"/>
    <w:rsid w:val="708945CA"/>
    <w:rsid w:val="70912FDF"/>
    <w:rsid w:val="709A7EBF"/>
    <w:rsid w:val="70AB7406"/>
    <w:rsid w:val="70BE0431"/>
    <w:rsid w:val="70FE21C6"/>
    <w:rsid w:val="710D2969"/>
    <w:rsid w:val="71110524"/>
    <w:rsid w:val="712B00D1"/>
    <w:rsid w:val="712B3F4F"/>
    <w:rsid w:val="71383046"/>
    <w:rsid w:val="714945A6"/>
    <w:rsid w:val="71593C12"/>
    <w:rsid w:val="7165065B"/>
    <w:rsid w:val="71655D9A"/>
    <w:rsid w:val="71771A80"/>
    <w:rsid w:val="71792857"/>
    <w:rsid w:val="718254C5"/>
    <w:rsid w:val="719D4CFC"/>
    <w:rsid w:val="71B55386"/>
    <w:rsid w:val="71B85671"/>
    <w:rsid w:val="71DD1DF2"/>
    <w:rsid w:val="71E9171C"/>
    <w:rsid w:val="71FA7E9B"/>
    <w:rsid w:val="72090470"/>
    <w:rsid w:val="722B5109"/>
    <w:rsid w:val="723458BE"/>
    <w:rsid w:val="724E0D0E"/>
    <w:rsid w:val="72584870"/>
    <w:rsid w:val="727A53C8"/>
    <w:rsid w:val="728F6D86"/>
    <w:rsid w:val="729B2135"/>
    <w:rsid w:val="72C709A1"/>
    <w:rsid w:val="72C83B28"/>
    <w:rsid w:val="72CD7F4C"/>
    <w:rsid w:val="72DD2A51"/>
    <w:rsid w:val="72FB7AB5"/>
    <w:rsid w:val="73194BF9"/>
    <w:rsid w:val="73253A26"/>
    <w:rsid w:val="733E188C"/>
    <w:rsid w:val="7355320E"/>
    <w:rsid w:val="73575364"/>
    <w:rsid w:val="735E6AA6"/>
    <w:rsid w:val="7375259B"/>
    <w:rsid w:val="737B7FFF"/>
    <w:rsid w:val="73B10FC1"/>
    <w:rsid w:val="73C430A0"/>
    <w:rsid w:val="73CB538A"/>
    <w:rsid w:val="73E32554"/>
    <w:rsid w:val="73E821D4"/>
    <w:rsid w:val="73EF6000"/>
    <w:rsid w:val="740A4783"/>
    <w:rsid w:val="74110767"/>
    <w:rsid w:val="74112EA8"/>
    <w:rsid w:val="743158F3"/>
    <w:rsid w:val="743832BD"/>
    <w:rsid w:val="7451766C"/>
    <w:rsid w:val="746F06FF"/>
    <w:rsid w:val="748267C6"/>
    <w:rsid w:val="74874E52"/>
    <w:rsid w:val="749A2B60"/>
    <w:rsid w:val="74F7002D"/>
    <w:rsid w:val="75207B29"/>
    <w:rsid w:val="754A2E68"/>
    <w:rsid w:val="755F387D"/>
    <w:rsid w:val="75632A29"/>
    <w:rsid w:val="756B62FA"/>
    <w:rsid w:val="757973C6"/>
    <w:rsid w:val="75870319"/>
    <w:rsid w:val="759157B4"/>
    <w:rsid w:val="75916EEA"/>
    <w:rsid w:val="75A43FB3"/>
    <w:rsid w:val="75A80E5C"/>
    <w:rsid w:val="75B20A5B"/>
    <w:rsid w:val="75C0584D"/>
    <w:rsid w:val="75CC4EB4"/>
    <w:rsid w:val="75EE0425"/>
    <w:rsid w:val="76261B5A"/>
    <w:rsid w:val="76326FFA"/>
    <w:rsid w:val="76340F9B"/>
    <w:rsid w:val="76362102"/>
    <w:rsid w:val="765359F1"/>
    <w:rsid w:val="7671410E"/>
    <w:rsid w:val="76A715AA"/>
    <w:rsid w:val="76A93DF2"/>
    <w:rsid w:val="76B0593D"/>
    <w:rsid w:val="76BC5DCC"/>
    <w:rsid w:val="76BF4C45"/>
    <w:rsid w:val="76C13DE7"/>
    <w:rsid w:val="76C864FA"/>
    <w:rsid w:val="76D3007E"/>
    <w:rsid w:val="76D84EE0"/>
    <w:rsid w:val="76D923B4"/>
    <w:rsid w:val="76DC7998"/>
    <w:rsid w:val="76E964ED"/>
    <w:rsid w:val="76F66A11"/>
    <w:rsid w:val="77280615"/>
    <w:rsid w:val="772F5646"/>
    <w:rsid w:val="77301166"/>
    <w:rsid w:val="77450687"/>
    <w:rsid w:val="77485DC1"/>
    <w:rsid w:val="77583AF0"/>
    <w:rsid w:val="7766173B"/>
    <w:rsid w:val="77711F47"/>
    <w:rsid w:val="778C59CF"/>
    <w:rsid w:val="779206BB"/>
    <w:rsid w:val="77AA1C81"/>
    <w:rsid w:val="77B22529"/>
    <w:rsid w:val="77B4330D"/>
    <w:rsid w:val="77C36C67"/>
    <w:rsid w:val="77C8129E"/>
    <w:rsid w:val="77D4617E"/>
    <w:rsid w:val="77DA7C81"/>
    <w:rsid w:val="77DE3E8D"/>
    <w:rsid w:val="780E536D"/>
    <w:rsid w:val="785A0DB1"/>
    <w:rsid w:val="785F3693"/>
    <w:rsid w:val="78756100"/>
    <w:rsid w:val="787D5686"/>
    <w:rsid w:val="78846B58"/>
    <w:rsid w:val="788E0C1D"/>
    <w:rsid w:val="78BB24E8"/>
    <w:rsid w:val="78C07F1E"/>
    <w:rsid w:val="78CB4E13"/>
    <w:rsid w:val="79066389"/>
    <w:rsid w:val="790A70CA"/>
    <w:rsid w:val="79157696"/>
    <w:rsid w:val="792D4F71"/>
    <w:rsid w:val="7948429A"/>
    <w:rsid w:val="795C7FF5"/>
    <w:rsid w:val="7964185A"/>
    <w:rsid w:val="797E5512"/>
    <w:rsid w:val="799310EB"/>
    <w:rsid w:val="79D60053"/>
    <w:rsid w:val="79E958BD"/>
    <w:rsid w:val="79F95C6D"/>
    <w:rsid w:val="7A1601F8"/>
    <w:rsid w:val="7A3A4611"/>
    <w:rsid w:val="7A7905BB"/>
    <w:rsid w:val="7AA15B2F"/>
    <w:rsid w:val="7AFD6121"/>
    <w:rsid w:val="7B011A54"/>
    <w:rsid w:val="7B0C6B9C"/>
    <w:rsid w:val="7B14425C"/>
    <w:rsid w:val="7B234F60"/>
    <w:rsid w:val="7B2910FA"/>
    <w:rsid w:val="7B2D04EA"/>
    <w:rsid w:val="7B422DAA"/>
    <w:rsid w:val="7B60147E"/>
    <w:rsid w:val="7B7D3205"/>
    <w:rsid w:val="7BD54046"/>
    <w:rsid w:val="7BEC2E8A"/>
    <w:rsid w:val="7BEF5B5F"/>
    <w:rsid w:val="7BFC7E72"/>
    <w:rsid w:val="7C0D1637"/>
    <w:rsid w:val="7C723E1C"/>
    <w:rsid w:val="7C7B03BD"/>
    <w:rsid w:val="7C8E5AD2"/>
    <w:rsid w:val="7C992B5D"/>
    <w:rsid w:val="7CA611F6"/>
    <w:rsid w:val="7CB67B32"/>
    <w:rsid w:val="7CB70341"/>
    <w:rsid w:val="7CC4597B"/>
    <w:rsid w:val="7CCE42B5"/>
    <w:rsid w:val="7CFF3506"/>
    <w:rsid w:val="7D246F93"/>
    <w:rsid w:val="7D3136DA"/>
    <w:rsid w:val="7D3943C9"/>
    <w:rsid w:val="7D4A270F"/>
    <w:rsid w:val="7D5A04F3"/>
    <w:rsid w:val="7D5C2388"/>
    <w:rsid w:val="7D7076DB"/>
    <w:rsid w:val="7D732173"/>
    <w:rsid w:val="7D761877"/>
    <w:rsid w:val="7D804EC7"/>
    <w:rsid w:val="7D81074D"/>
    <w:rsid w:val="7DBA4D71"/>
    <w:rsid w:val="7DD111DB"/>
    <w:rsid w:val="7DD91E49"/>
    <w:rsid w:val="7DEE4ECA"/>
    <w:rsid w:val="7E136100"/>
    <w:rsid w:val="7E465CE5"/>
    <w:rsid w:val="7E69609B"/>
    <w:rsid w:val="7E6E6856"/>
    <w:rsid w:val="7E816B73"/>
    <w:rsid w:val="7EA00C5A"/>
    <w:rsid w:val="7EA209B7"/>
    <w:rsid w:val="7EB23C5A"/>
    <w:rsid w:val="7EBC6F51"/>
    <w:rsid w:val="7EC546E7"/>
    <w:rsid w:val="7EC71024"/>
    <w:rsid w:val="7ED82FA9"/>
    <w:rsid w:val="7EED5CE9"/>
    <w:rsid w:val="7EF03963"/>
    <w:rsid w:val="7F0A41B9"/>
    <w:rsid w:val="7F1814C5"/>
    <w:rsid w:val="7F1C6A1B"/>
    <w:rsid w:val="7F417E26"/>
    <w:rsid w:val="7F433504"/>
    <w:rsid w:val="7F4365A6"/>
    <w:rsid w:val="7F4671C5"/>
    <w:rsid w:val="7F66009D"/>
    <w:rsid w:val="7F683C79"/>
    <w:rsid w:val="7F9635D5"/>
    <w:rsid w:val="7FBA385E"/>
    <w:rsid w:val="7FBB1AB2"/>
    <w:rsid w:val="7FCF1AC7"/>
    <w:rsid w:val="7FE03D47"/>
    <w:rsid w:val="7FEC6E26"/>
    <w:rsid w:val="7FF356A2"/>
    <w:rsid w:val="7FF457CC"/>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locked/>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45"/>
    <w:semiHidden/>
    <w:unhideWhenUsed/>
    <w:qFormat/>
    <w:uiPriority w:val="99"/>
    <w:rPr>
      <w:rFonts w:ascii="宋体"/>
      <w:sz w:val="18"/>
      <w:szCs w:val="18"/>
    </w:rPr>
  </w:style>
  <w:style w:type="paragraph" w:styleId="6">
    <w:name w:val="annotation text"/>
    <w:basedOn w:val="1"/>
    <w:link w:val="30"/>
    <w:semiHidden/>
    <w:qFormat/>
    <w:uiPriority w:val="99"/>
    <w:pPr>
      <w:jc w:val="left"/>
    </w:pPr>
    <w:rPr>
      <w:kern w:val="0"/>
      <w:sz w:val="24"/>
    </w:rPr>
  </w:style>
  <w:style w:type="paragraph" w:styleId="7">
    <w:name w:val="Body Text"/>
    <w:basedOn w:val="1"/>
    <w:next w:val="1"/>
    <w:link w:val="47"/>
    <w:qFormat/>
    <w:uiPriority w:val="99"/>
    <w:pPr>
      <w:ind w:left="206"/>
      <w:jc w:val="left"/>
    </w:pPr>
    <w:rPr>
      <w:rFonts w:ascii="宋体" w:hAnsi="宋体"/>
      <w:kern w:val="0"/>
      <w:sz w:val="18"/>
      <w:szCs w:val="18"/>
      <w:lang w:eastAsia="en-US"/>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6"/>
    <w:next w:val="6"/>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2"/>
    <w:qFormat/>
    <w:locked/>
    <w:uiPriority w:val="0"/>
    <w:rPr>
      <w:rFonts w:ascii="Calibri" w:hAnsi="Calibri" w:eastAsia="宋体" w:cs="Times New Roman"/>
      <w:b/>
      <w:bCs/>
      <w:kern w:val="44"/>
      <w:sz w:val="44"/>
      <w:szCs w:val="44"/>
    </w:rPr>
  </w:style>
  <w:style w:type="character" w:customStyle="1" w:styleId="27">
    <w:name w:val="标题 3 Char"/>
    <w:link w:val="4"/>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6"/>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5"/>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7"/>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character" w:customStyle="1" w:styleId="49">
    <w:name w:val="标题 2 Char"/>
    <w:basedOn w:val="23"/>
    <w:link w:val="3"/>
    <w:qFormat/>
    <w:uiPriority w:val="9"/>
    <w:rPr>
      <w:rFonts w:ascii="Cambria" w:hAnsi="Cambria" w:eastAsia="宋体" w:cs="Times New Roman"/>
      <w:b/>
      <w:bCs/>
      <w:kern w:val="2"/>
      <w:sz w:val="32"/>
      <w:szCs w:val="32"/>
    </w:rPr>
  </w:style>
  <w:style w:type="table" w:customStyle="1" w:styleId="50">
    <w:name w:val="网格型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2">
    <w:name w:val="List Paragraph"/>
    <w:basedOn w:val="1"/>
    <w:qFormat/>
    <w:uiPriority w:val="34"/>
    <w:pPr>
      <w:ind w:firstLine="420" w:firstLineChars="200"/>
    </w:pPr>
  </w:style>
  <w:style w:type="table" w:customStyle="1" w:styleId="5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4101" textRotate="1"/>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92E345-8B4D-459E-B416-079A009372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44</Pages>
  <Words>23628</Words>
  <Characters>25810</Characters>
  <Lines>194</Lines>
  <Paragraphs>54</Paragraphs>
  <TotalTime>1</TotalTime>
  <ScaleCrop>false</ScaleCrop>
  <LinksUpToDate>false</LinksUpToDate>
  <CharactersWithSpaces>25880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2018-09-21T09:55:00Z</dcterms:created>
  <dc:creator>许志敏</dc:creator>
  <cp:lastModifiedBy>大雄</cp:lastModifiedBy>
  <cp:lastPrinted>2018-12-10T10:43:00Z</cp:lastPrinted>
  <dcterms:modified xsi:type="dcterms:W3CDTF">2023-12-06T09:48:46Z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294C7E4EE3B44E0DABB989BE62320C2F</vt:lpwstr>
  </property>
</Properties>
</file>