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eastAsia="黑体" w:cs="仿宋"/>
          <w:b/>
          <w:bCs/>
          <w:spacing w:val="20"/>
          <w:sz w:val="48"/>
          <w:szCs w:val="48"/>
        </w:rPr>
      </w:pPr>
      <w:bookmarkStart w:id="0" w:name="_Toc514537326"/>
      <w:bookmarkStart w:id="1" w:name="_Toc514537328"/>
    </w:p>
    <w:p>
      <w:pPr>
        <w:spacing w:before="158" w:beforeLines="50" w:after="158" w:afterLines="50" w:line="574" w:lineRule="exact"/>
        <w:jc w:val="center"/>
        <w:rPr>
          <w:rFonts w:ascii="Times New Roman" w:hAnsi="Times New Roman" w:eastAsia="黑体"/>
          <w:b/>
          <w:sz w:val="44"/>
          <w:szCs w:val="44"/>
        </w:rPr>
      </w:pPr>
      <w:r>
        <w:rPr>
          <w:rFonts w:hint="eastAsia" w:ascii="Times New Roman" w:hAnsi="Times New Roman" w:eastAsia="仿宋" w:cs="Times New Roman"/>
          <w:b/>
          <w:bCs w:val="0"/>
          <w:kern w:val="0"/>
          <w:sz w:val="44"/>
          <w:szCs w:val="44"/>
          <w:lang w:val="en-US" w:eastAsia="zh-CN"/>
        </w:rPr>
        <w:t>古阳镇岳阳镇采煤沉陷区旧房拆除项目</w:t>
      </w:r>
      <w:r>
        <w:rPr>
          <w:rFonts w:ascii="Times New Roman" w:hAnsi="Times New Roman" w:eastAsia="仿宋" w:cs="Times New Roman"/>
          <w:b/>
          <w:bCs w:val="0"/>
          <w:kern w:val="0"/>
          <w:sz w:val="44"/>
          <w:szCs w:val="44"/>
          <w:lang w:val="en-US" w:eastAsia="zh-CN"/>
        </w:rPr>
        <w:t>支出</w:t>
      </w:r>
      <w:r>
        <w:rPr>
          <w:rFonts w:ascii="Times New Roman" w:hAnsi="Times New Roman" w:eastAsia="仿宋" w:cs="Times New Roman"/>
          <w:b/>
          <w:bCs w:val="0"/>
          <w:kern w:val="0"/>
          <w:sz w:val="44"/>
          <w:szCs w:val="44"/>
          <w:lang w:eastAsia="zh-CN"/>
        </w:rPr>
        <w:t>绩效评价报告</w:t>
      </w:r>
    </w:p>
    <w:p>
      <w:pPr>
        <w:jc w:val="center"/>
        <w:rPr>
          <w:rFonts w:ascii="仿宋" w:eastAsia="仿宋" w:cs="仿宋"/>
          <w:b/>
          <w:bCs/>
          <w:sz w:val="48"/>
          <w:szCs w:val="48"/>
          <w:highlight w:val="yellow"/>
        </w:rPr>
      </w:pPr>
    </w:p>
    <w:p>
      <w:pPr>
        <w:jc w:val="cente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ind w:right="-168" w:rightChars="-80"/>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pStyle w:val="2"/>
        <w:rPr>
          <w:rFonts w:ascii="仿宋" w:eastAsia="仿宋" w:cs="仿宋"/>
          <w:b/>
          <w:bCs/>
          <w:sz w:val="48"/>
          <w:szCs w:val="48"/>
          <w:highlight w:val="yellow"/>
        </w:rPr>
      </w:pPr>
    </w:p>
    <w:p>
      <w:pPr>
        <w:pStyle w:val="2"/>
        <w:rPr>
          <w:rFonts w:ascii="仿宋" w:eastAsia="仿宋" w:cs="仿宋"/>
          <w:b/>
          <w:bCs/>
          <w:sz w:val="48"/>
          <w:szCs w:val="48"/>
          <w:highlight w:val="yellow"/>
        </w:rPr>
      </w:pPr>
    </w:p>
    <w:p>
      <w:pPr>
        <w:pStyle w:val="2"/>
        <w:rPr>
          <w:rFonts w:ascii="仿宋" w:eastAsia="仿宋" w:cs="仿宋"/>
          <w:b/>
          <w:bCs/>
          <w:sz w:val="48"/>
          <w:szCs w:val="48"/>
          <w:highlight w:val="yellow"/>
        </w:rPr>
      </w:pPr>
    </w:p>
    <w:p>
      <w:pPr>
        <w:rPr>
          <w:rFonts w:asci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eastAsia="仿宋" w:cs="仿宋"/>
          <w:b/>
          <w:bCs/>
          <w:kern w:val="0"/>
          <w:sz w:val="28"/>
          <w:szCs w:val="28"/>
          <w:lang w:val="en-US" w:eastAsia="zh-CN"/>
        </w:rPr>
      </w:pPr>
      <w:r>
        <w:rPr>
          <w:rFonts w:hint="eastAsia" w:ascii="仿宋" w:eastAsia="仿宋" w:cs="仿宋"/>
          <w:b/>
          <w:bCs/>
          <w:kern w:val="0"/>
          <w:sz w:val="28"/>
          <w:szCs w:val="28"/>
        </w:rPr>
        <w:t>主管单位：</w:t>
      </w:r>
      <w:r>
        <w:rPr>
          <w:rFonts w:hint="eastAsia" w:ascii="仿宋" w:eastAsia="仿宋" w:cs="仿宋"/>
          <w:b/>
          <w:bCs/>
          <w:kern w:val="0"/>
          <w:sz w:val="28"/>
          <w:szCs w:val="28"/>
          <w:lang w:val="en-US" w:eastAsia="zh-CN"/>
        </w:rPr>
        <w:t>古县自然资源局</w:t>
      </w:r>
    </w:p>
    <w:p>
      <w:pPr>
        <w:autoSpaceDE w:val="0"/>
        <w:autoSpaceDN w:val="0"/>
        <w:adjustRightInd w:val="0"/>
        <w:spacing w:line="520" w:lineRule="exact"/>
        <w:ind w:firstLine="1405" w:firstLineChars="500"/>
        <w:rPr>
          <w:rFonts w:hint="eastAsia" w:ascii="仿宋" w:eastAsia="仿宋" w:cs="仿宋"/>
          <w:b/>
          <w:bCs/>
          <w:kern w:val="0"/>
          <w:sz w:val="28"/>
          <w:szCs w:val="28"/>
          <w:lang w:val="en-US" w:eastAsia="zh-CN"/>
        </w:rPr>
      </w:pPr>
      <w:r>
        <w:rPr>
          <w:rFonts w:hint="eastAsia" w:ascii="仿宋" w:eastAsia="仿宋" w:cs="仿宋"/>
          <w:b/>
          <w:bCs/>
          <w:kern w:val="0"/>
          <w:sz w:val="28"/>
          <w:szCs w:val="28"/>
        </w:rPr>
        <w:t>实施单位：</w:t>
      </w:r>
      <w:r>
        <w:rPr>
          <w:rFonts w:hint="eastAsia" w:ascii="仿宋" w:eastAsia="仿宋" w:cs="仿宋"/>
          <w:b/>
          <w:bCs/>
          <w:kern w:val="0"/>
          <w:sz w:val="28"/>
          <w:szCs w:val="28"/>
          <w:lang w:val="en-US" w:eastAsia="zh-CN"/>
        </w:rPr>
        <w:t>古县自然资源局</w:t>
      </w:r>
    </w:p>
    <w:p>
      <w:pPr>
        <w:autoSpaceDE w:val="0"/>
        <w:autoSpaceDN w:val="0"/>
        <w:adjustRightInd w:val="0"/>
        <w:spacing w:line="520" w:lineRule="exact"/>
        <w:ind w:firstLine="1405" w:firstLineChars="500"/>
        <w:rPr>
          <w:rFonts w:ascii="仿宋" w:eastAsia="仿宋" w:cs="仿宋"/>
          <w:b/>
          <w:bCs/>
          <w:kern w:val="0"/>
          <w:sz w:val="28"/>
          <w:szCs w:val="28"/>
          <w:lang w:val="en-US" w:eastAsia="zh-CN"/>
        </w:rPr>
      </w:pPr>
      <w:r>
        <w:rPr>
          <w:rFonts w:hint="eastAsia" w:ascii="仿宋" w:eastAsia="仿宋" w:cs="仿宋"/>
          <w:b/>
          <w:bCs/>
          <w:kern w:val="0"/>
          <w:sz w:val="28"/>
          <w:szCs w:val="28"/>
        </w:rPr>
        <w:t>委托单位：</w:t>
      </w:r>
      <w:r>
        <w:rPr>
          <w:rFonts w:hint="eastAsia" w:asci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720" w:num="1"/>
          <w:rtlGutter w:val="1"/>
          <w:docGrid w:type="lines" w:linePitch="315" w:charSpace="0"/>
        </w:sectPr>
      </w:pPr>
      <w:r>
        <w:rPr>
          <w:rFonts w:hint="eastAsia" w:ascii="仿宋" w:eastAsia="仿宋" w:cs="仿宋"/>
          <w:b/>
          <w:bCs/>
          <w:kern w:val="0"/>
          <w:sz w:val="28"/>
          <w:szCs w:val="28"/>
        </w:rPr>
        <w:t>评价机构：</w:t>
      </w:r>
      <w:r>
        <w:rPr>
          <w:rFonts w:hint="eastAsia" w:ascii="仿宋" w:eastAsia="仿宋" w:cs="仿宋"/>
          <w:b/>
          <w:bCs/>
          <w:kern w:val="0"/>
          <w:sz w:val="28"/>
          <w:szCs w:val="28"/>
          <w:lang w:eastAsia="zh-CN"/>
        </w:rPr>
        <w:t>山西</w:t>
      </w:r>
      <w:r>
        <w:rPr>
          <w:rFonts w:hint="eastAsia" w:ascii="仿宋" w:eastAsia="仿宋" w:cs="仿宋"/>
          <w:b/>
          <w:bCs/>
          <w:kern w:val="0"/>
          <w:sz w:val="28"/>
          <w:szCs w:val="28"/>
          <w:lang w:val="en-US" w:eastAsia="zh-CN"/>
        </w:rPr>
        <w:t>恒略</w:t>
      </w:r>
      <w:r>
        <w:rPr>
          <w:rFonts w:hint="eastAsia" w:asci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eastAsia="仿宋" w:cs="仿宋"/>
          <w:sz w:val="24"/>
          <w:szCs w:val="24"/>
        </w:rPr>
      </w:pPr>
      <w:r>
        <w:rPr>
          <w:rFonts w:hint="eastAsia" w:ascii="仿宋" w:eastAsia="仿宋" w:cs="仿宋"/>
          <w:b/>
          <w:bCs/>
          <w:sz w:val="24"/>
          <w:szCs w:val="24"/>
        </w:rPr>
        <w:t>目</w:t>
      </w:r>
      <w:r>
        <w:rPr>
          <w:rFonts w:hint="eastAsia" w:ascii="仿宋" w:eastAsia="仿宋" w:cs="仿宋"/>
          <w:b/>
          <w:bCs/>
          <w:sz w:val="24"/>
          <w:szCs w:val="24"/>
          <w:lang w:val="en-US" w:eastAsia="zh-CN"/>
        </w:rPr>
        <w:t xml:space="preserve"> </w:t>
      </w:r>
      <w:r>
        <w:rPr>
          <w:rFonts w:hint="eastAsia" w:asci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eastAsia="仿宋" w:cs="仿宋"/>
          <w:sz w:val="24"/>
          <w:szCs w:val="24"/>
          <w:highlight w:val="yellow"/>
        </w:rPr>
      </w:pPr>
    </w:p>
    <w:p>
      <w:pPr>
        <w:pStyle w:val="14"/>
        <w:tabs>
          <w:tab w:val="right" w:leader="dot" w:pos="8306"/>
        </w:tabs>
        <w:rPr>
          <w:rFonts w:hint="eastAsia" w:ascii="仿宋" w:eastAsia="仿宋" w:cs="仿宋"/>
          <w:b/>
          <w:bCs/>
          <w:sz w:val="24"/>
          <w:szCs w:val="24"/>
        </w:rPr>
      </w:pPr>
      <w:r>
        <w:rPr>
          <w:rFonts w:hint="eastAsia" w:ascii="仿宋" w:eastAsia="仿宋" w:cs="仿宋"/>
          <w:b w:val="0"/>
          <w:bCs w:val="0"/>
          <w:sz w:val="24"/>
          <w:szCs w:val="24"/>
          <w:highlight w:val="yellow"/>
        </w:rPr>
        <w:fldChar w:fldCharType="begin"/>
      </w:r>
      <w:r>
        <w:rPr>
          <w:rFonts w:hint="eastAsia" w:ascii="仿宋" w:eastAsia="仿宋" w:cs="仿宋"/>
          <w:b w:val="0"/>
          <w:bCs w:val="0"/>
          <w:sz w:val="24"/>
          <w:szCs w:val="24"/>
          <w:highlight w:val="yellow"/>
        </w:rPr>
        <w:instrText xml:space="preserve"> TOC \o "1-3" \h \z \u </w:instrText>
      </w:r>
      <w:r>
        <w:rPr>
          <w:rFonts w:hint="eastAsia" w:ascii="仿宋" w:eastAsia="仿宋" w:cs="仿宋"/>
          <w:b w:val="0"/>
          <w:bCs w:val="0"/>
          <w:sz w:val="24"/>
          <w:szCs w:val="24"/>
          <w:highlight w:val="yellow"/>
        </w:rPr>
        <w:fldChar w:fldCharType="separate"/>
      </w: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_Toc15273 </w:instrText>
      </w:r>
      <w:r>
        <w:rPr>
          <w:rFonts w:hint="eastAsia" w:ascii="仿宋" w:eastAsia="仿宋" w:cs="仿宋"/>
          <w:b/>
          <w:bCs/>
          <w:sz w:val="24"/>
          <w:szCs w:val="24"/>
          <w:highlight w:val="yellow"/>
        </w:rPr>
        <w:fldChar w:fldCharType="separate"/>
      </w:r>
      <w:r>
        <w:rPr>
          <w:rFonts w:hint="eastAsia" w:ascii="仿宋" w:eastAsia="仿宋" w:cs="仿宋"/>
          <w:b/>
          <w:bCs/>
          <w:kern w:val="2"/>
          <w:sz w:val="24"/>
          <w:szCs w:val="24"/>
        </w:rPr>
        <w:t>报告摘要</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_Toc15273 \h </w:instrText>
      </w:r>
      <w:r>
        <w:rPr>
          <w:rFonts w:hint="eastAsia" w:ascii="仿宋" w:eastAsia="仿宋" w:cs="仿宋"/>
          <w:b/>
          <w:bCs/>
          <w:sz w:val="24"/>
          <w:szCs w:val="24"/>
        </w:rPr>
        <w:fldChar w:fldCharType="separate"/>
      </w:r>
      <w:r>
        <w:rPr>
          <w:rFonts w:hint="eastAsia" w:ascii="仿宋" w:eastAsia="仿宋" w:cs="仿宋"/>
          <w:b/>
          <w:bCs/>
          <w:sz w:val="24"/>
          <w:szCs w:val="24"/>
        </w:rPr>
        <w:t>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_Toc16148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一、项目基本情况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_Toc16148 \h </w:instrText>
      </w:r>
      <w:r>
        <w:rPr>
          <w:rFonts w:hint="eastAsia" w:ascii="仿宋" w:eastAsia="仿宋" w:cs="仿宋"/>
          <w:b/>
          <w:bCs/>
          <w:sz w:val="24"/>
          <w:szCs w:val="24"/>
        </w:rPr>
        <w:fldChar w:fldCharType="separate"/>
      </w:r>
      <w:r>
        <w:rPr>
          <w:rFonts w:hint="eastAsia" w:ascii="仿宋" w:eastAsia="仿宋" w:cs="仿宋"/>
          <w:b/>
          <w:bCs/>
          <w:sz w:val="24"/>
          <w:szCs w:val="24"/>
        </w:rPr>
        <w:t>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_Toc28012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（一）项目背景及概况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_Toc28012 \h </w:instrText>
      </w:r>
      <w:r>
        <w:rPr>
          <w:rFonts w:hint="eastAsia" w:ascii="仿宋" w:eastAsia="仿宋" w:cs="仿宋"/>
          <w:sz w:val="24"/>
          <w:szCs w:val="24"/>
        </w:rPr>
        <w:fldChar w:fldCharType="separate"/>
      </w:r>
      <w:r>
        <w:rPr>
          <w:rFonts w:hint="eastAsia" w:ascii="仿宋" w:eastAsia="仿宋" w:cs="仿宋"/>
          <w:sz w:val="24"/>
          <w:szCs w:val="24"/>
        </w:rPr>
        <w:t>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_Toc12280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（二）预算资金来源与资金使用</w:t>
      </w:r>
      <w:r>
        <w:rPr>
          <w:rFonts w:hint="eastAsia" w:ascii="仿宋" w:eastAsia="仿宋" w:cs="仿宋"/>
          <w:bCs/>
          <w:sz w:val="24"/>
          <w:szCs w:val="24"/>
          <w:lang w:val="en-US" w:eastAsia="zh-CN"/>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_Toc12280 \h </w:instrText>
      </w:r>
      <w:r>
        <w:rPr>
          <w:rFonts w:hint="eastAsia" w:ascii="仿宋" w:eastAsia="仿宋" w:cs="仿宋"/>
          <w:sz w:val="24"/>
          <w:szCs w:val="24"/>
        </w:rPr>
        <w:fldChar w:fldCharType="separate"/>
      </w:r>
      <w:r>
        <w:rPr>
          <w:rFonts w:hint="eastAsia" w:ascii="仿宋" w:eastAsia="仿宋" w:cs="仿宋"/>
          <w:sz w:val="24"/>
          <w:szCs w:val="24"/>
        </w:rPr>
        <w:t>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_Toc17677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三</w:t>
      </w:r>
      <w:r>
        <w:rPr>
          <w:rFonts w:hint="eastAsia" w:ascii="仿宋" w:eastAsia="仿宋" w:cs="仿宋"/>
          <w:bCs/>
          <w:sz w:val="24"/>
          <w:szCs w:val="24"/>
          <w:lang w:eastAsia="zh-CN"/>
        </w:rPr>
        <w:t>）</w:t>
      </w:r>
      <w:r>
        <w:rPr>
          <w:rFonts w:hint="eastAsia" w:ascii="仿宋" w:eastAsia="仿宋" w:cs="仿宋"/>
          <w:bCs/>
          <w:sz w:val="24"/>
          <w:szCs w:val="24"/>
          <w:lang w:val="en-US" w:eastAsia="zh-CN"/>
        </w:rPr>
        <w:t>项目立项依据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_Toc17677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_Toc24404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四</w:t>
      </w:r>
      <w:r>
        <w:rPr>
          <w:rFonts w:hint="eastAsia" w:ascii="仿宋" w:eastAsia="仿宋" w:cs="仿宋"/>
          <w:bCs/>
          <w:sz w:val="24"/>
          <w:szCs w:val="24"/>
          <w:lang w:eastAsia="zh-CN"/>
        </w:rPr>
        <w:t>）项目绩效目标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_Toc24404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_Toc29912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二、项目组织实施情况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_Toc29912 \h </w:instrText>
      </w:r>
      <w:r>
        <w:rPr>
          <w:rFonts w:hint="eastAsia" w:ascii="仿宋" w:eastAsia="仿宋" w:cs="仿宋"/>
          <w:b/>
          <w:bCs/>
          <w:sz w:val="24"/>
          <w:szCs w:val="24"/>
        </w:rPr>
        <w:fldChar w:fldCharType="separate"/>
      </w:r>
      <w:r>
        <w:rPr>
          <w:rFonts w:hint="eastAsia" w:ascii="仿宋" w:eastAsia="仿宋" w:cs="仿宋"/>
          <w:b/>
          <w:bCs/>
          <w:sz w:val="24"/>
          <w:szCs w:val="24"/>
        </w:rPr>
        <w:t>12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_Toc29809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（一）项目组织情况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_Toc29809 \h </w:instrText>
      </w:r>
      <w:r>
        <w:rPr>
          <w:rFonts w:hint="eastAsia" w:ascii="仿宋" w:eastAsia="仿宋" w:cs="仿宋"/>
          <w:sz w:val="24"/>
          <w:szCs w:val="24"/>
        </w:rPr>
        <w:fldChar w:fldCharType="separate"/>
      </w:r>
      <w:r>
        <w:rPr>
          <w:rFonts w:hint="eastAsia" w:ascii="仿宋" w:eastAsia="仿宋" w:cs="仿宋"/>
          <w:sz w:val="24"/>
          <w:szCs w:val="24"/>
        </w:rPr>
        <w:t>12</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_Toc11693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（二）项目实施</w:t>
      </w:r>
      <w:r>
        <w:rPr>
          <w:rFonts w:hint="eastAsia" w:ascii="仿宋" w:eastAsia="仿宋" w:cs="仿宋"/>
          <w:bCs/>
          <w:sz w:val="24"/>
          <w:szCs w:val="24"/>
          <w:lang w:val="en-US" w:eastAsia="zh-CN"/>
        </w:rPr>
        <w:t>内容与完成</w:t>
      </w:r>
      <w:r>
        <w:rPr>
          <w:rFonts w:hint="eastAsia" w:ascii="仿宋" w:eastAsia="仿宋" w:cs="仿宋"/>
          <w:bCs/>
          <w:sz w:val="24"/>
          <w:szCs w:val="24"/>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_Toc11693 \h </w:instrText>
      </w:r>
      <w:r>
        <w:rPr>
          <w:rFonts w:hint="eastAsia" w:ascii="仿宋" w:eastAsia="仿宋" w:cs="仿宋"/>
          <w:sz w:val="24"/>
          <w:szCs w:val="24"/>
        </w:rPr>
        <w:fldChar w:fldCharType="separate"/>
      </w:r>
      <w:r>
        <w:rPr>
          <w:rFonts w:hint="eastAsia" w:ascii="仿宋" w:eastAsia="仿宋" w:cs="仿宋"/>
          <w:sz w:val="24"/>
          <w:szCs w:val="24"/>
        </w:rPr>
        <w:t>13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_Toc12438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三、绩效评价工作情况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_Toc12438 \h </w:instrText>
      </w:r>
      <w:r>
        <w:rPr>
          <w:rFonts w:hint="eastAsia" w:ascii="仿宋" w:eastAsia="仿宋" w:cs="仿宋"/>
          <w:b/>
          <w:bCs/>
          <w:sz w:val="24"/>
          <w:szCs w:val="24"/>
        </w:rPr>
        <w:fldChar w:fldCharType="separate"/>
      </w:r>
      <w:r>
        <w:rPr>
          <w:rFonts w:hint="eastAsia" w:ascii="仿宋" w:eastAsia="仿宋" w:cs="仿宋"/>
          <w:b/>
          <w:bCs/>
          <w:sz w:val="24"/>
          <w:szCs w:val="24"/>
        </w:rPr>
        <w:t>14</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_Toc22511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（一）绩效评价的目的</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_Toc22511 \h </w:instrText>
      </w:r>
      <w:r>
        <w:rPr>
          <w:rFonts w:hint="eastAsia" w:ascii="仿宋" w:eastAsia="仿宋" w:cs="仿宋"/>
          <w:sz w:val="24"/>
          <w:szCs w:val="24"/>
        </w:rPr>
        <w:fldChar w:fldCharType="separate"/>
      </w:r>
      <w:r>
        <w:rPr>
          <w:rFonts w:hint="eastAsia" w:ascii="仿宋" w:eastAsia="仿宋" w:cs="仿宋"/>
          <w:sz w:val="24"/>
          <w:szCs w:val="24"/>
        </w:rPr>
        <w:t>14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_Toc24021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（二）绩效评价的依据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_Toc24021 \h </w:instrText>
      </w:r>
      <w:r>
        <w:rPr>
          <w:rFonts w:hint="eastAsia" w:ascii="仿宋" w:eastAsia="仿宋" w:cs="仿宋"/>
          <w:sz w:val="24"/>
          <w:szCs w:val="24"/>
        </w:rPr>
        <w:fldChar w:fldCharType="separate"/>
      </w:r>
      <w:r>
        <w:rPr>
          <w:rFonts w:hint="eastAsia" w:ascii="仿宋" w:eastAsia="仿宋" w:cs="仿宋"/>
          <w:sz w:val="24"/>
          <w:szCs w:val="24"/>
        </w:rPr>
        <w:t>15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_Toc29634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（三）评价对象和范围</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_Toc29634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_Toc10444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（四）绩效评价基准日</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_Toc10444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_Toc26052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（五）绩效评价的原则</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_Toc26052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_Toc19523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（六）绩效评价的方法</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_Toc19523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_Toc933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（七）评价指标体系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_Toc933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_Toc16080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（八）绩效评价工作组织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_Toc16080 \h </w:instrText>
      </w:r>
      <w:r>
        <w:rPr>
          <w:rFonts w:hint="eastAsia" w:ascii="仿宋" w:eastAsia="仿宋" w:cs="仿宋"/>
          <w:sz w:val="24"/>
          <w:szCs w:val="24"/>
        </w:rPr>
        <w:fldChar w:fldCharType="separate"/>
      </w:r>
      <w:r>
        <w:rPr>
          <w:rFonts w:hint="eastAsia" w:ascii="仿宋" w:eastAsia="仿宋" w:cs="仿宋"/>
          <w:sz w:val="24"/>
          <w:szCs w:val="24"/>
        </w:rPr>
        <w:t>19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_Toc17291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九</w:t>
      </w:r>
      <w:r>
        <w:rPr>
          <w:rFonts w:hint="eastAsia" w:ascii="仿宋" w:eastAsia="仿宋" w:cs="仿宋"/>
          <w:bCs/>
          <w:sz w:val="24"/>
          <w:szCs w:val="24"/>
          <w:lang w:eastAsia="zh-CN"/>
        </w:rPr>
        <w:t>）</w:t>
      </w:r>
      <w:r>
        <w:rPr>
          <w:rFonts w:hint="eastAsia" w:ascii="仿宋" w:eastAsia="仿宋" w:cs="仿宋"/>
          <w:bCs/>
          <w:sz w:val="24"/>
          <w:szCs w:val="24"/>
          <w:lang w:val="en-US" w:eastAsia="zh-CN"/>
        </w:rPr>
        <w:t>评价工作安排</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_Toc17291 \h </w:instrText>
      </w:r>
      <w:r>
        <w:rPr>
          <w:rFonts w:hint="eastAsia" w:ascii="仿宋" w:eastAsia="仿宋" w:cs="仿宋"/>
          <w:sz w:val="24"/>
          <w:szCs w:val="24"/>
        </w:rPr>
        <w:fldChar w:fldCharType="separate"/>
      </w:r>
      <w:r>
        <w:rPr>
          <w:rFonts w:hint="eastAsia" w:ascii="仿宋" w:eastAsia="仿宋" w:cs="仿宋"/>
          <w:sz w:val="24"/>
          <w:szCs w:val="24"/>
        </w:rPr>
        <w:t>20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_Toc17428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val="en-US" w:eastAsia="zh-CN"/>
        </w:rPr>
        <w:t>（十）评价等级</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_Toc17428 \h </w:instrText>
      </w:r>
      <w:r>
        <w:rPr>
          <w:rFonts w:hint="eastAsia" w:ascii="仿宋" w:eastAsia="仿宋" w:cs="仿宋"/>
          <w:sz w:val="24"/>
          <w:szCs w:val="24"/>
        </w:rPr>
        <w:fldChar w:fldCharType="separate"/>
      </w:r>
      <w:r>
        <w:rPr>
          <w:rFonts w:hint="eastAsia" w:ascii="仿宋" w:eastAsia="仿宋" w:cs="仿宋"/>
          <w:sz w:val="24"/>
          <w:szCs w:val="24"/>
        </w:rPr>
        <w:t>21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_Toc16899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四、绩效评价指标分析情况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_Toc16899 \h </w:instrText>
      </w:r>
      <w:r>
        <w:rPr>
          <w:rFonts w:hint="eastAsia" w:ascii="仿宋" w:eastAsia="仿宋" w:cs="仿宋"/>
          <w:b/>
          <w:bCs/>
          <w:sz w:val="24"/>
          <w:szCs w:val="24"/>
        </w:rPr>
        <w:fldChar w:fldCharType="separate"/>
      </w:r>
      <w:r>
        <w:rPr>
          <w:rFonts w:hint="eastAsia" w:ascii="仿宋" w:eastAsia="仿宋" w:cs="仿宋"/>
          <w:b/>
          <w:bCs/>
          <w:sz w:val="24"/>
          <w:szCs w:val="24"/>
        </w:rPr>
        <w:t>21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_Toc1669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（一）分项分析与汇总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_Toc1669 \h </w:instrText>
      </w:r>
      <w:r>
        <w:rPr>
          <w:rFonts w:hint="eastAsia" w:ascii="仿宋" w:eastAsia="仿宋" w:cs="仿宋"/>
          <w:sz w:val="24"/>
          <w:szCs w:val="24"/>
        </w:rPr>
        <w:fldChar w:fldCharType="separate"/>
      </w:r>
      <w:r>
        <w:rPr>
          <w:rFonts w:hint="eastAsia" w:ascii="仿宋" w:eastAsia="仿宋" w:cs="仿宋"/>
          <w:sz w:val="24"/>
          <w:szCs w:val="24"/>
        </w:rPr>
        <w:t>21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_Toc15791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（二）总体得分情况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_Toc15791 \h </w:instrText>
      </w:r>
      <w:r>
        <w:rPr>
          <w:rFonts w:hint="eastAsia" w:ascii="仿宋" w:eastAsia="仿宋" w:cs="仿宋"/>
          <w:sz w:val="24"/>
          <w:szCs w:val="24"/>
        </w:rPr>
        <w:fldChar w:fldCharType="separate"/>
      </w:r>
      <w:r>
        <w:rPr>
          <w:rFonts w:hint="eastAsia" w:ascii="仿宋" w:eastAsia="仿宋" w:cs="仿宋"/>
          <w:sz w:val="24"/>
          <w:szCs w:val="24"/>
        </w:rPr>
        <w:t>28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_Toc6210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五、综合评价情况</w:t>
      </w:r>
      <w:r>
        <w:rPr>
          <w:rFonts w:hint="eastAsia" w:ascii="仿宋" w:eastAsia="仿宋" w:cs="仿宋"/>
          <w:b/>
          <w:bCs/>
          <w:kern w:val="44"/>
          <w:sz w:val="24"/>
          <w:szCs w:val="24"/>
          <w:lang w:val="en-US" w:eastAsia="zh-CN"/>
        </w:rPr>
        <w:t>及结论</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_Toc6210 \h </w:instrText>
      </w:r>
      <w:r>
        <w:rPr>
          <w:rFonts w:hint="eastAsia" w:ascii="仿宋" w:eastAsia="仿宋" w:cs="仿宋"/>
          <w:b/>
          <w:bCs/>
          <w:sz w:val="24"/>
          <w:szCs w:val="24"/>
        </w:rPr>
        <w:fldChar w:fldCharType="separate"/>
      </w:r>
      <w:r>
        <w:rPr>
          <w:rFonts w:hint="eastAsia" w:ascii="仿宋" w:eastAsia="仿宋" w:cs="仿宋"/>
          <w:b/>
          <w:bCs/>
          <w:sz w:val="24"/>
          <w:szCs w:val="24"/>
        </w:rPr>
        <w:t>29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_Toc27397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（一）评分结果</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_Toc27397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_Toc21179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（二）主要结论</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_Toc21179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_Toc9548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六</w:t>
      </w:r>
      <w:r>
        <w:rPr>
          <w:rFonts w:hint="eastAsia" w:ascii="仿宋" w:eastAsia="仿宋" w:cs="仿宋"/>
          <w:b/>
          <w:bCs/>
          <w:kern w:val="44"/>
          <w:sz w:val="24"/>
          <w:szCs w:val="24"/>
        </w:rPr>
        <w:t>、存在的问题和改进建议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_Toc9548 \h </w:instrText>
      </w:r>
      <w:r>
        <w:rPr>
          <w:rFonts w:hint="eastAsia" w:ascii="仿宋" w:eastAsia="仿宋" w:cs="仿宋"/>
          <w:b/>
          <w:bCs/>
          <w:sz w:val="24"/>
          <w:szCs w:val="24"/>
        </w:rPr>
        <w:fldChar w:fldCharType="separate"/>
      </w:r>
      <w:r>
        <w:rPr>
          <w:rFonts w:hint="eastAsia" w:ascii="仿宋" w:eastAsia="仿宋" w:cs="仿宋"/>
          <w:b/>
          <w:bCs/>
          <w:sz w:val="24"/>
          <w:szCs w:val="24"/>
        </w:rPr>
        <w:t>29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_Toc21358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（一）存在的问题</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_Toc21358 \h </w:instrText>
      </w:r>
      <w:r>
        <w:rPr>
          <w:rFonts w:hint="eastAsia" w:ascii="仿宋" w:eastAsia="仿宋" w:cs="仿宋"/>
          <w:sz w:val="24"/>
          <w:szCs w:val="24"/>
        </w:rPr>
        <w:fldChar w:fldCharType="separate"/>
      </w:r>
      <w:r>
        <w:rPr>
          <w:rFonts w:hint="eastAsia" w:ascii="仿宋" w:eastAsia="仿宋" w:cs="仿宋"/>
          <w:sz w:val="24"/>
          <w:szCs w:val="24"/>
        </w:rPr>
        <w:t>30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_Toc20154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（二）改进建议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_Toc20154 \h </w:instrText>
      </w:r>
      <w:r>
        <w:rPr>
          <w:rFonts w:hint="eastAsia" w:ascii="仿宋" w:eastAsia="仿宋" w:cs="仿宋"/>
          <w:sz w:val="24"/>
          <w:szCs w:val="24"/>
        </w:rPr>
        <w:fldChar w:fldCharType="separate"/>
      </w:r>
      <w:r>
        <w:rPr>
          <w:rFonts w:hint="eastAsia" w:ascii="仿宋" w:eastAsia="仿宋" w:cs="仿宋"/>
          <w:sz w:val="24"/>
          <w:szCs w:val="24"/>
        </w:rPr>
        <w:t>30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_Toc9772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七、绩效评价结果应用建议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_Toc9772 \h </w:instrText>
      </w:r>
      <w:r>
        <w:rPr>
          <w:rFonts w:hint="eastAsia" w:ascii="仿宋" w:eastAsia="仿宋" w:cs="仿宋"/>
          <w:b/>
          <w:bCs/>
          <w:sz w:val="24"/>
          <w:szCs w:val="24"/>
        </w:rPr>
        <w:fldChar w:fldCharType="separate"/>
      </w:r>
      <w:r>
        <w:rPr>
          <w:rFonts w:hint="eastAsia" w:ascii="仿宋" w:eastAsia="仿宋" w:cs="仿宋"/>
          <w:b/>
          <w:bCs/>
          <w:sz w:val="24"/>
          <w:szCs w:val="24"/>
        </w:rPr>
        <w:t>31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_Toc29833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附件1：评价指标体系</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_Toc29833 \h </w:instrText>
      </w:r>
      <w:r>
        <w:rPr>
          <w:rFonts w:hint="eastAsia" w:ascii="仿宋" w:eastAsia="仿宋" w:cs="仿宋"/>
          <w:b/>
          <w:bCs/>
          <w:sz w:val="24"/>
          <w:szCs w:val="24"/>
        </w:rPr>
        <w:fldChar w:fldCharType="separate"/>
      </w:r>
      <w:r>
        <w:rPr>
          <w:rFonts w:hint="eastAsia" w:ascii="仿宋" w:eastAsia="仿宋" w:cs="仿宋"/>
          <w:b/>
          <w:bCs/>
          <w:sz w:val="24"/>
          <w:szCs w:val="24"/>
        </w:rPr>
        <w:t>32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_Toc14664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附件2：问卷调查报告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_Toc14664 \h </w:instrText>
      </w:r>
      <w:r>
        <w:rPr>
          <w:rFonts w:hint="eastAsia" w:ascii="仿宋" w:eastAsia="仿宋" w:cs="仿宋"/>
          <w:b/>
          <w:bCs/>
          <w:sz w:val="24"/>
          <w:szCs w:val="24"/>
        </w:rPr>
        <w:fldChar w:fldCharType="separate"/>
      </w:r>
      <w:r>
        <w:rPr>
          <w:rFonts w:hint="eastAsia" w:ascii="仿宋" w:eastAsia="仿宋" w:cs="仿宋"/>
          <w:b/>
          <w:bCs/>
          <w:sz w:val="24"/>
          <w:szCs w:val="24"/>
        </w:rPr>
        <w:t>39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_Toc4532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附件3：访谈报告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_Toc4532 \h </w:instrText>
      </w:r>
      <w:r>
        <w:rPr>
          <w:rFonts w:hint="eastAsia" w:ascii="仿宋" w:eastAsia="仿宋" w:cs="仿宋"/>
          <w:b/>
          <w:bCs/>
          <w:sz w:val="24"/>
          <w:szCs w:val="24"/>
        </w:rPr>
        <w:fldChar w:fldCharType="separate"/>
      </w:r>
      <w:r>
        <w:rPr>
          <w:rFonts w:hint="eastAsia" w:ascii="仿宋" w:eastAsia="仿宋" w:cs="仿宋"/>
          <w:b/>
          <w:bCs/>
          <w:sz w:val="24"/>
          <w:szCs w:val="24"/>
        </w:rPr>
        <w:t>43</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_Toc12775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附件4：合规性审查</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_Toc12775 \h </w:instrText>
      </w:r>
      <w:r>
        <w:rPr>
          <w:rFonts w:hint="eastAsia" w:ascii="仿宋" w:eastAsia="仿宋" w:cs="仿宋"/>
          <w:b/>
          <w:bCs/>
          <w:sz w:val="24"/>
          <w:szCs w:val="24"/>
        </w:rPr>
        <w:fldChar w:fldCharType="separate"/>
      </w:r>
      <w:r>
        <w:rPr>
          <w:rFonts w:hint="eastAsia" w:ascii="仿宋" w:eastAsia="仿宋" w:cs="仿宋"/>
          <w:b/>
          <w:bCs/>
          <w:sz w:val="24"/>
          <w:szCs w:val="24"/>
        </w:rPr>
        <w:t>46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val="0"/>
          <w:sz w:val="24"/>
          <w:szCs w:val="24"/>
          <w:highlight w:val="yellow"/>
        </w:rPr>
        <w:fldChar w:fldCharType="end"/>
      </w:r>
      <w:bookmarkStart w:id="2" w:name="_Toc515811929"/>
      <w:bookmarkStart w:id="3" w:name="_Toc516473299"/>
      <w:bookmarkStart w:id="4" w:name="_Toc516554764"/>
      <w:bookmarkStart w:id="5" w:name="_Toc515810984"/>
    </w:p>
    <w:bookmarkEnd w:id="2"/>
    <w:bookmarkEnd w:id="3"/>
    <w:bookmarkEnd w:id="4"/>
    <w:bookmarkEnd w:id="5"/>
    <w:p>
      <w:pPr>
        <w:pStyle w:val="17"/>
        <w:jc w:val="center"/>
        <w:rPr>
          <w:rFonts w:ascii="仿宋_GB2312" w:eastAsia="仿宋_GB2312"/>
          <w:snapToGrid w:val="0"/>
          <w:sz w:val="32"/>
          <w:szCs w:val="32"/>
        </w:rPr>
      </w:pPr>
      <w:bookmarkStart w:id="6" w:name="_Toc528603037"/>
      <w:bookmarkStart w:id="7" w:name="_Toc15273"/>
      <w:bookmarkStart w:id="8" w:name="_Toc8704"/>
      <w:r>
        <w:rPr>
          <w:rFonts w:hint="eastAsia" w:asci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一</w:t>
      </w:r>
      <w:r>
        <w:rPr>
          <w:rFonts w:hint="eastAsia" w:ascii="仿宋" w:eastAsia="仿宋" w:cs="Times New Roman"/>
          <w:b/>
          <w:bCs/>
          <w:sz w:val="32"/>
          <w:szCs w:val="32"/>
          <w:lang w:val="zh-TW" w:eastAsia="zh-CN"/>
        </w:rPr>
        <w:t>）</w:t>
      </w:r>
      <w:r>
        <w:rPr>
          <w:rFonts w:hint="eastAsia" w:ascii="仿宋" w:eastAsia="仿宋" w:cs="Times New Roman"/>
          <w:b/>
          <w:bCs/>
          <w:sz w:val="32"/>
          <w:szCs w:val="32"/>
          <w:lang w:val="zh-TW"/>
        </w:rPr>
        <w:t>立项背景</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r>
        <w:rPr>
          <w:rFonts w:ascii="Times New Roman" w:hAnsi="Times New Roman" w:eastAsia="仿宋" w:cs="Times New Roman"/>
          <w:kern w:val="0"/>
          <w:sz w:val="28"/>
          <w:szCs w:val="28"/>
          <w:shd w:val="clear" w:color="auto" w:fill="FFFFFF"/>
        </w:rPr>
        <w:t>资源型地区是我国重要的资源能源供应地和基础工业集聚区，对保障能源资源供给、促进国民经济持续健康协调发展具有重要意义。推进资源型地区转型发展，是保障国家能源资源安全、建设现代化产业体系、贯彻</w:t>
      </w:r>
      <w:bookmarkStart w:id="192" w:name="_GoBack"/>
      <w:bookmarkEnd w:id="192"/>
      <w:r>
        <w:rPr>
          <w:rFonts w:ascii="Times New Roman" w:hAnsi="Times New Roman" w:eastAsia="仿宋" w:cs="Times New Roman"/>
          <w:kern w:val="0"/>
          <w:sz w:val="28"/>
          <w:szCs w:val="28"/>
          <w:shd w:val="clear" w:color="auto" w:fill="FFFFFF"/>
          <w:lang w:val="en"/>
        </w:rPr>
        <w:t>以人民为中心的发展思想</w:t>
      </w:r>
      <w:r>
        <w:rPr>
          <w:rFonts w:ascii="Times New Roman" w:hAnsi="Times New Roman" w:eastAsia="仿宋" w:cs="Times New Roman"/>
          <w:kern w:val="0"/>
          <w:sz w:val="28"/>
          <w:szCs w:val="28"/>
          <w:shd w:val="clear" w:color="auto" w:fill="FFFFFF"/>
        </w:rPr>
        <w:t>、推进生态文明建设、促进区域协调发展的必然要求，必须抓紧抓实抓好</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hint="eastAsia" w:ascii="Times New Roman" w:hAnsi="Times New Roman" w:eastAsia="仿宋" w:cs="Times New Roman"/>
          <w:kern w:val="0"/>
          <w:sz w:val="28"/>
          <w:szCs w:val="28"/>
          <w:shd w:val="clear" w:color="auto" w:fill="FFFFFF"/>
          <w:lang w:val="en-US" w:eastAsia="zh-CN"/>
        </w:rPr>
        <w:t>近年来，山西省委、省政府始终</w:t>
      </w:r>
      <w:r>
        <w:rPr>
          <w:rFonts w:ascii="Times New Roman" w:hAnsi="Times New Roman" w:eastAsia="仿宋" w:cs="Times New Roman"/>
          <w:kern w:val="0"/>
          <w:sz w:val="28"/>
          <w:szCs w:val="28"/>
          <w:shd w:val="clear" w:color="auto" w:fill="FFFFFF"/>
        </w:rPr>
        <w:t>坚持以习近平新时代中国特色社会主义思想为指导，全面贯彻党的二十大精神，完整准确全面贯彻新发展理念，认真贯彻落实党中央、国务院决策部署，紧紧围绕高质量发展这个首要任务，统筹推进转型发展工作。在中国式现代化全局中找准定位，明确路径、发挥优势；坚定不移向改革要动力要活力，破除障碍、深化转型；大力支持采煤沉陷区和独立工矿区等困难地区，突出重点、综合施策。采煤沉陷区综合治理是</w:t>
      </w:r>
      <w:r>
        <w:rPr>
          <w:rFonts w:hint="eastAsia" w:ascii="Times New Roman" w:hAnsi="Times New Roman" w:eastAsia="仿宋" w:cs="Times New Roman"/>
          <w:kern w:val="0"/>
          <w:sz w:val="28"/>
          <w:szCs w:val="28"/>
          <w:shd w:val="clear" w:color="auto" w:fill="FFFFFF"/>
          <w:lang w:val="en-US" w:eastAsia="zh-CN"/>
        </w:rPr>
        <w:t>山西</w:t>
      </w:r>
      <w:r>
        <w:rPr>
          <w:rFonts w:ascii="Times New Roman" w:hAnsi="Times New Roman" w:eastAsia="仿宋" w:cs="Times New Roman"/>
          <w:kern w:val="0"/>
          <w:sz w:val="28"/>
          <w:szCs w:val="28"/>
          <w:shd w:val="clear" w:color="auto" w:fill="FFFFFF"/>
        </w:rPr>
        <w:t>省委、省政府部署的煤炭供给侧结构性改革、全面建成小康社会中一项重要的德政工程、民生工程、民心工程。</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为了进一步做好采煤沉陷区综合治理工作，切实改善人民群众的居住生活环境，提高采煤沉陷区土地质量、恢复矿山生态环境，使三晋大地呈现安居乐业的好景象、重现山清水秀的好风光，结合</w:t>
      </w:r>
      <w:r>
        <w:rPr>
          <w:rFonts w:hint="eastAsia" w:ascii="Times New Roman" w:hAnsi="Times New Roman" w:eastAsia="仿宋" w:cs="Times New Roman"/>
          <w:kern w:val="0"/>
          <w:sz w:val="28"/>
          <w:szCs w:val="28"/>
          <w:shd w:val="clear" w:color="auto" w:fill="FFFFFF"/>
          <w:lang w:val="en-US" w:eastAsia="zh-CN"/>
        </w:rPr>
        <w:t>山西</w:t>
      </w:r>
      <w:r>
        <w:rPr>
          <w:rFonts w:ascii="Times New Roman" w:hAnsi="Times New Roman" w:eastAsia="仿宋" w:cs="Times New Roman"/>
          <w:kern w:val="0"/>
          <w:sz w:val="28"/>
          <w:szCs w:val="28"/>
          <w:shd w:val="clear" w:color="auto" w:fill="FFFFFF"/>
        </w:rPr>
        <w:t>省实际，2016年6月21日山西省人民政府发出《关于印发山西省采煤沉陷区综合治理工作方案（2016-2018年）的通知》（晋政发</w:t>
      </w:r>
      <w:r>
        <w:rPr>
          <w:rFonts w:hint="eastAsia" w:ascii="Times New Roman" w:hAnsi="Times New Roman" w:eastAsia="仿宋" w:cs="Times New Roman"/>
          <w:kern w:val="0"/>
          <w:sz w:val="28"/>
          <w:szCs w:val="28"/>
          <w:shd w:val="clear" w:color="auto" w:fill="FFFFFF"/>
          <w:lang w:val="en-US" w:eastAsia="zh-CN"/>
        </w:rPr>
        <w:t>〔2016〕</w:t>
      </w:r>
      <w:r>
        <w:rPr>
          <w:rFonts w:ascii="Times New Roman" w:hAnsi="Times New Roman" w:eastAsia="仿宋" w:cs="Times New Roman"/>
          <w:kern w:val="0"/>
          <w:sz w:val="28"/>
          <w:szCs w:val="28"/>
          <w:shd w:val="clear" w:color="auto" w:fill="FFFFFF"/>
        </w:rPr>
        <w:t>31号）。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按照《省发展改革委、财政厅、自然资源厅、生态环境厅关于加快采煤沉陷区综合治理工作的通知》（晋发改地区发〔2019〕514号）</w:t>
      </w:r>
      <w:r>
        <w:rPr>
          <w:rFonts w:hint="eastAsia" w:ascii="Times New Roman" w:hAnsi="Times New Roman" w:eastAsia="仿宋" w:cs="Times New Roman"/>
          <w:kern w:val="0"/>
          <w:sz w:val="28"/>
          <w:szCs w:val="28"/>
          <w:shd w:val="clear" w:color="auto" w:fill="FFFFFF"/>
          <w:lang w:eastAsia="zh-CN"/>
        </w:rPr>
        <w:t>、</w:t>
      </w:r>
      <w:r>
        <w:rPr>
          <w:rFonts w:ascii="Times New Roman" w:hAnsi="Times New Roman" w:eastAsia="仿宋" w:cs="Times New Roman"/>
          <w:kern w:val="0"/>
          <w:sz w:val="28"/>
          <w:szCs w:val="28"/>
          <w:shd w:val="clear" w:color="auto" w:fill="FFFFFF"/>
        </w:rPr>
        <w:t>山西省自然资源厅《关于加快推进采煤沉陷区综合治理旧房拆除及土地复垦专项工作的通知》（晋自然资发〔2020〕21号）的具体要求，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w:t>
      </w:r>
      <w:r>
        <w:rPr>
          <w:rFonts w:hint="eastAsia" w:ascii="Times New Roman" w:hAnsi="Times New Roman" w:eastAsia="仿宋" w:cs="Times New Roman"/>
          <w:kern w:val="0"/>
          <w:sz w:val="28"/>
          <w:szCs w:val="28"/>
          <w:shd w:val="clear" w:color="auto" w:fill="FFFFFF"/>
          <w:lang w:val="en-US" w:eastAsia="zh-CN"/>
        </w:rPr>
        <w:t>了古县</w:t>
      </w:r>
      <w:r>
        <w:rPr>
          <w:rFonts w:hint="eastAsia" w:ascii="Times New Roman" w:hAnsi="Times New Roman" w:eastAsia="仿宋" w:cs="Times New Roman"/>
          <w:kern w:val="0"/>
          <w:sz w:val="28"/>
          <w:szCs w:val="28"/>
          <w:shd w:val="clear" w:color="auto" w:fill="FFFFFF"/>
          <w:lang w:eastAsia="zh-CN"/>
        </w:rPr>
        <w:t>古阳镇岳阳镇采煤沉陷区旧房拆除项目</w:t>
      </w:r>
      <w:r>
        <w:rPr>
          <w:rFonts w:ascii="Times New Roman" w:hAnsi="Times New Roman" w:eastAsia="仿宋" w:cs="Times New Roman"/>
          <w:kern w:val="0"/>
          <w:sz w:val="28"/>
          <w:szCs w:val="28"/>
          <w:shd w:val="clear" w:color="auto" w:fill="FFFFFF"/>
        </w:rPr>
        <w:t>。</w:t>
      </w:r>
    </w:p>
    <w:p>
      <w:pPr>
        <w:spacing w:line="574" w:lineRule="exact"/>
        <w:ind w:firstLine="560" w:firstLineChars="200"/>
        <w:rPr>
          <w:rFonts w:hint="eastAsia" w:ascii="黑体" w:eastAsia="黑体"/>
          <w:snapToGrid w:val="0"/>
          <w:sz w:val="32"/>
          <w:szCs w:val="32"/>
        </w:rPr>
      </w:pPr>
      <w:r>
        <w:rPr>
          <w:rFonts w:hint="eastAsia" w:ascii="Times New Roman" w:hAnsi="Times New Roman" w:eastAsia="仿宋" w:cs="Times New Roman"/>
          <w:kern w:val="0"/>
          <w:sz w:val="28"/>
          <w:szCs w:val="28"/>
          <w:shd w:val="clear" w:color="auto" w:fill="FFFFFF"/>
          <w:lang w:val="en-US" w:eastAsia="zh-CN"/>
        </w:rPr>
        <w:t>古县</w:t>
      </w:r>
      <w:r>
        <w:rPr>
          <w:rFonts w:hint="eastAsia" w:ascii="Times New Roman" w:hAnsi="Times New Roman" w:eastAsia="仿宋" w:cs="Times New Roman"/>
          <w:kern w:val="0"/>
          <w:sz w:val="28"/>
          <w:szCs w:val="28"/>
          <w:shd w:val="clear" w:color="auto" w:fill="FFFFFF"/>
          <w:lang w:eastAsia="zh-CN"/>
        </w:rPr>
        <w:t>古阳镇岳阳镇采煤沉陷区旧房拆除项目</w:t>
      </w:r>
      <w:r>
        <w:rPr>
          <w:rFonts w:hint="eastAsia" w:ascii="Times New Roman" w:hAnsi="Times New Roman" w:eastAsia="仿宋" w:cs="Times New Roman"/>
          <w:kern w:val="0"/>
          <w:sz w:val="28"/>
          <w:szCs w:val="28"/>
          <w:shd w:val="clear" w:color="auto" w:fill="FFFFFF"/>
          <w:lang w:val="en-US" w:eastAsia="zh-CN"/>
        </w:rPr>
        <w:t>涉及5个标段。</w:t>
      </w:r>
      <w:r>
        <w:rPr>
          <w:rFonts w:ascii="Times New Roman" w:hAnsi="Times New Roman" w:eastAsia="仿宋" w:cs="Times New Roman"/>
          <w:kern w:val="0"/>
          <w:sz w:val="28"/>
          <w:szCs w:val="28"/>
          <w:shd w:val="clear" w:color="auto" w:fill="FFFFFF"/>
        </w:rPr>
        <w:t>按照《土地复垦条例》、《土地复垦条例实施办法》等土地复垦有关规定，古县自然资源局委托山西蓝德凯尔土地规划设计咨询有限公司编制</w:t>
      </w:r>
      <w:r>
        <w:rPr>
          <w:rFonts w:hint="eastAsia" w:ascii="Times New Roman" w:hAnsi="Times New Roman" w:eastAsia="仿宋" w:cs="Times New Roman"/>
          <w:kern w:val="0"/>
          <w:sz w:val="28"/>
          <w:szCs w:val="28"/>
          <w:shd w:val="clear" w:color="auto" w:fill="FFFFFF"/>
          <w:lang w:val="en-US" w:eastAsia="zh-CN"/>
        </w:rPr>
        <w:t>了</w:t>
      </w:r>
      <w:r>
        <w:rPr>
          <w:rFonts w:ascii="Times New Roman" w:hAnsi="Times New Roman" w:eastAsia="仿宋" w:cs="Times New Roman"/>
          <w:kern w:val="0"/>
          <w:sz w:val="28"/>
          <w:szCs w:val="28"/>
          <w:shd w:val="clear" w:color="auto" w:fill="FFFFFF"/>
        </w:rPr>
        <w:t>《临汾市古县古阳镇杏家庄村采煤沉陷区旧房拆除及土地复垦设计》</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eastAsia="zh-CN"/>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二</w:t>
      </w:r>
      <w:r>
        <w:rPr>
          <w:rFonts w:hint="eastAsia" w:ascii="仿宋" w:eastAsia="仿宋" w:cs="Times New Roman"/>
          <w:b/>
          <w:bCs/>
          <w:sz w:val="32"/>
          <w:szCs w:val="32"/>
          <w:lang w:val="zh-TW" w:eastAsia="zh-CN"/>
        </w:rPr>
        <w:t>）预算资金内容</w:t>
      </w:r>
    </w:p>
    <w:p>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古阳镇岳阳镇采煤沉陷区旧房拆除项目涉及5个标段，5个标段及设计、监理中标总价为875.90万元。</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eastAsia="zh-CN"/>
        </w:rPr>
      </w:pP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）项目绩效目标</w:t>
      </w:r>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年纯收益提升：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新增耕地面积：≥4.1012公顷。</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农业生产条件改善：改善农业生产条件，提高耕地质量，增加耕地产出率。本项目实施以后，项目区农业生产状况得到改善，耕地质量全面提高，从而增加耕地产出率。</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水土保持：本项目通过工程措施，增施有机肥和土壤改良剂，土壤理化性状得到改善，提高土壤肥力水平，改善农作物生长环境，促进生态系统稳定和土地生产力的提高，同时恢复和新增林草地，增加林草植被覆盖，防治水土流失等。</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可持续影响：农业综合生产能力进一步得到提高，为建立现代农业奠定了良好的生态环境基础。有利于改善农业生产条件，耕地质量将得到全面改善，耕地产出效率将有所提高，促进土地资源的可持续利用；</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依据项目基础信息统计，结合现场核查结果，按照评价小组制定并由专家组论证的评价指标体系，古阳镇岳阳镇采煤沉陷区旧房拆除项目支出绩效评价综合得分86.00分，评价等级为“良”。</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项目按照规定的程序申请设立，古阳镇岳阳镇采煤沉陷区旧房拆除项目落实了省委、省政府采煤沉陷区综合治理工作思路</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项目产出方面，古阳镇岳阳镇采煤沉陷区旧房拆除项目完成不及时。</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项目效益方面，项目预期经济效益良好，预期社会效益良好，预期生态效益良好，项目具备可持续性，受益对象满意度较高</w:t>
      </w:r>
      <w:r>
        <w:rPr>
          <w:rFonts w:hint="eastAsia" w:asci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1、项目中期跟踪监控不到位，项目资金未按合同约定支付。</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（1）项目涉及的5个子项目均未按期完成，未见古县自然资源局督促、协调施工方加快实施项目相关印证资料及中期检查、监控资料，项目实施全过程跟踪监控的缺失导致项目预期目标无法实现；</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2）项目资金支付未按照合同约定的支付比例执行，5个标段合同约定的支付方式：预付款30%，工程完成后支付总价的50%；通过验收后支付总价的15%，通过验收后满一年支付总价的5%；实际5个标段已资金支付比例分别为69.91%、70.69%、70.18%、70.23%、70.18%。</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2、项目进度管理不到位。</w:t>
      </w:r>
    </w:p>
    <w:p>
      <w:pPr>
        <w:spacing w:line="574" w:lineRule="exact"/>
        <w:ind w:firstLine="560" w:firstLineChars="200"/>
        <w:rPr>
          <w:rFonts w:hint="eastAsia" w:asci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古阳镇岳阳镇采煤沉陷区旧房拆除项目涉及的5个标段计划开竣工时间均为2021年12月20日至2022年2月18日，5个标段项目均未及时完工，项目延期时间较长</w:t>
      </w:r>
      <w:r>
        <w:rPr>
          <w:rFonts w:hint="eastAsia" w:asci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start="1"/>
          <w:cols w:space="720" w:num="1"/>
          <w:docGrid w:type="lines" w:linePitch="312" w:charSpace="0"/>
        </w:sectPr>
      </w:pPr>
      <w:bookmarkStart w:id="9" w:name="_Toc516473301"/>
      <w:bookmarkStart w:id="10" w:name="_Toc515811931"/>
      <w:bookmarkStart w:id="11" w:name="_Toc516554766"/>
      <w:bookmarkStart w:id="12" w:name="_Toc514537327"/>
      <w:bookmarkStart w:id="13" w:name="_Toc516237635"/>
      <w:bookmarkStart w:id="14" w:name="_Toc515810986"/>
    </w:p>
    <w:bookmarkEnd w:id="9"/>
    <w:bookmarkEnd w:id="10"/>
    <w:bookmarkEnd w:id="11"/>
    <w:bookmarkEnd w:id="12"/>
    <w:bookmarkEnd w:id="13"/>
    <w:bookmarkEnd w:id="14"/>
    <w:p>
      <w:pPr>
        <w:spacing w:line="574" w:lineRule="exact"/>
        <w:ind w:firstLine="562"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1、加强项目全过程跟踪监控，及时督促施工方按期履约。</w:t>
      </w:r>
    </w:p>
    <w:p>
      <w:pPr>
        <w:spacing w:line="574" w:lineRule="exact"/>
        <w:ind w:left="0" w:firstLine="560" w:firstLineChars="200"/>
        <w:rPr>
          <w:rFonts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建议古县自然资源局加强项目项目全过程跟踪监控，加强项目进度管理，及时督促施工方按期履约；同时，明确违约处罚条款，对于施工方延期时间过长的情况，采用扣减施工费用等惩戒措施，倒逼施工方加快项目进度。</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2、严格按照合同约定执行，防范履约风险。</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仿宋" w:eastAsia="仿宋" w:cs="仿宋"/>
          <w:b w:val="0"/>
          <w:bCs w:val="0"/>
          <w:snapToGrid w:val="0"/>
          <w:sz w:val="28"/>
          <w:szCs w:val="28"/>
          <w:lang w:val="en-US" w:eastAsia="zh-CN"/>
        </w:rPr>
        <w:t>建议古县自然资源局严格履行合同约定的资金支付比例，预付款30%，工程完成后支付总价的50%；通过验收后支付总价的15%，通过验收后满一年支付总价的5%；避免资金支付与合同约定不一致造成的履约风险</w:t>
      </w:r>
      <w:r>
        <w:rPr>
          <w:rFonts w:hint="eastAsia" w:ascii="Times New Roman" w:hAnsi="Times New Roman" w:eastAsia="仿宋"/>
          <w:b w:val="0"/>
          <w:bCs/>
          <w:snapToGrid w:val="0"/>
          <w:sz w:val="28"/>
          <w:szCs w:val="32"/>
          <w:lang w:val="en-US" w:eastAsia="zh-CN"/>
        </w:rPr>
        <w:t>。</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cols w:space="720"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bookmarkStart w:id="15" w:name="_Toc24930"/>
      <w:bookmarkStart w:id="16" w:name="_Toc23604"/>
      <w:bookmarkStart w:id="17" w:name="_Toc13723"/>
      <w:bookmarkStart w:id="18" w:name="_Toc12847"/>
      <w:bookmarkStart w:id="19" w:name="_Toc4980"/>
      <w:bookmarkStart w:id="20" w:name="_Toc10211"/>
      <w:bookmarkStart w:id="21" w:name="_Toc4940"/>
      <w:bookmarkStart w:id="22" w:name="_Toc22361"/>
      <w:bookmarkStart w:id="23" w:name="_Toc4007"/>
      <w:r>
        <w:rPr>
          <w:rFonts w:hint="eastAsia" w:ascii="黑体" w:cs="黑体"/>
          <w:b/>
          <w:bCs w:val="0"/>
          <w:kern w:val="2"/>
          <w:sz w:val="44"/>
          <w:szCs w:val="44"/>
          <w:lang w:eastAsia="zh-CN"/>
        </w:rPr>
        <w:t>古阳镇岳阳镇采煤沉陷区旧房拆除项目</w:t>
      </w:r>
      <w:r>
        <w:rPr>
          <w:rFonts w:hint="eastAsia" w:ascii="黑体" w:cs="黑体"/>
          <w:b/>
          <w:bCs w:val="0"/>
          <w:kern w:val="2"/>
          <w:sz w:val="44"/>
          <w:szCs w:val="44"/>
        </w:rPr>
        <w:t>支出绩效评价报告</w:t>
      </w:r>
      <w:bookmarkEnd w:id="15"/>
      <w:bookmarkEnd w:id="16"/>
      <w:bookmarkEnd w:id="17"/>
      <w:bookmarkEnd w:id="18"/>
      <w:bookmarkEnd w:id="19"/>
      <w:bookmarkEnd w:id="20"/>
      <w:bookmarkEnd w:id="21"/>
      <w:bookmarkEnd w:id="22"/>
      <w:bookmarkEnd w:id="23"/>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古阳镇岳阳镇采煤沉陷区旧房拆除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2023年度财政重点绩效评价实施方案&gt;的通知》（古财字〔2023〕59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古阳镇岳阳镇采煤沉陷区旧房拆除项目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rPr>
      </w:pPr>
      <w:bookmarkStart w:id="24" w:name="_Toc16148"/>
      <w:r>
        <w:rPr>
          <w:rFonts w:hint="eastAsia" w:ascii="Times New Roman" w:hAnsi="Times New Roman" w:eastAsia="黑体" w:cs="Times New Roman"/>
          <w:bCs/>
          <w:kern w:val="44"/>
          <w:sz w:val="32"/>
          <w:szCs w:val="32"/>
        </w:rPr>
        <w:t>一、项目基本情况</w:t>
      </w:r>
      <w:bookmarkEnd w:id="1"/>
      <w:bookmarkEnd w:id="24"/>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rPr>
      </w:pPr>
      <w:bookmarkStart w:id="25" w:name="_Toc514537329"/>
      <w:bookmarkStart w:id="26" w:name="_Toc28012"/>
      <w:r>
        <w:rPr>
          <w:rFonts w:hint="eastAsia" w:ascii="仿宋" w:eastAsia="仿宋" w:cs="Times New Roman"/>
          <w:b/>
          <w:bCs/>
          <w:sz w:val="32"/>
          <w:szCs w:val="32"/>
        </w:rPr>
        <w:t>（一）项目</w:t>
      </w:r>
      <w:bookmarkEnd w:id="25"/>
      <w:r>
        <w:rPr>
          <w:rFonts w:hint="eastAsia" w:ascii="仿宋" w:eastAsia="仿宋" w:cs="Times New Roman"/>
          <w:b/>
          <w:bCs/>
          <w:sz w:val="32"/>
          <w:szCs w:val="32"/>
        </w:rPr>
        <w:t>背景及概况</w:t>
      </w:r>
      <w:bookmarkEnd w:id="26"/>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bookmarkStart w:id="27" w:name="_Toc514537330"/>
      <w:r>
        <w:rPr>
          <w:rFonts w:ascii="Times New Roman" w:hAnsi="Times New Roman" w:eastAsia="仿宋" w:cs="Times New Roman"/>
          <w:kern w:val="0"/>
          <w:sz w:val="28"/>
          <w:szCs w:val="28"/>
          <w:shd w:val="clear" w:color="auto" w:fill="FFFFFF"/>
        </w:rPr>
        <w:t>资源型地区是我国重要的资源能源供应地和基础工业集聚区，对保障能源资源供给、促进国民经济持续健康协调发展具有重要意义。推进资源型地区转型发展，是保障国家能源资源安全、建设现代化产业体系、贯彻</w:t>
      </w:r>
      <w:r>
        <w:rPr>
          <w:rFonts w:ascii="Times New Roman" w:hAnsi="Times New Roman" w:eastAsia="仿宋" w:cs="Times New Roman"/>
          <w:kern w:val="0"/>
          <w:sz w:val="28"/>
          <w:szCs w:val="28"/>
          <w:shd w:val="clear" w:color="auto" w:fill="FFFFFF"/>
          <w:lang w:val="en"/>
        </w:rPr>
        <w:t>以人民为中心的发展思想</w:t>
      </w:r>
      <w:r>
        <w:rPr>
          <w:rFonts w:ascii="Times New Roman" w:hAnsi="Times New Roman" w:eastAsia="仿宋" w:cs="Times New Roman"/>
          <w:kern w:val="0"/>
          <w:sz w:val="28"/>
          <w:szCs w:val="28"/>
          <w:shd w:val="clear" w:color="auto" w:fill="FFFFFF"/>
        </w:rPr>
        <w:t>、推进生态文明建设、促进区域协调发展的必然要求，必须抓紧抓实抓好</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hint="eastAsia" w:ascii="Times New Roman" w:hAnsi="Times New Roman" w:eastAsia="仿宋" w:cs="Times New Roman"/>
          <w:kern w:val="0"/>
          <w:sz w:val="28"/>
          <w:szCs w:val="28"/>
          <w:shd w:val="clear" w:color="auto" w:fill="FFFFFF"/>
          <w:lang w:val="en-US" w:eastAsia="zh-CN"/>
        </w:rPr>
        <w:t>近年来，山西省委、省政府始终</w:t>
      </w:r>
      <w:r>
        <w:rPr>
          <w:rFonts w:ascii="Times New Roman" w:hAnsi="Times New Roman" w:eastAsia="仿宋" w:cs="Times New Roman"/>
          <w:kern w:val="0"/>
          <w:sz w:val="28"/>
          <w:szCs w:val="28"/>
          <w:shd w:val="clear" w:color="auto" w:fill="FFFFFF"/>
        </w:rPr>
        <w:t>坚持以习近平新时代中国特色社会主义思想为指导，全面贯彻党的二十大精神，完整准确全面贯彻新发展理念，认真贯彻落实党中央、国务院决策部署，紧紧围绕高质量发展这个首要任务，统筹推进转型发展工作。在中国式现代化全局中找准定位，明确路径、发挥优势；坚定不移向改革要动力要活力，破除障碍、深化转型；大力支持采煤沉陷区和独立工矿区等困难地区，突出重点、综合施策。采煤沉陷区综合治理是</w:t>
      </w:r>
      <w:r>
        <w:rPr>
          <w:rFonts w:hint="eastAsia" w:ascii="Times New Roman" w:hAnsi="Times New Roman" w:eastAsia="仿宋" w:cs="Times New Roman"/>
          <w:kern w:val="0"/>
          <w:sz w:val="28"/>
          <w:szCs w:val="28"/>
          <w:shd w:val="clear" w:color="auto" w:fill="FFFFFF"/>
          <w:lang w:val="en-US" w:eastAsia="zh-CN"/>
        </w:rPr>
        <w:t>山西</w:t>
      </w:r>
      <w:r>
        <w:rPr>
          <w:rFonts w:ascii="Times New Roman" w:hAnsi="Times New Roman" w:eastAsia="仿宋" w:cs="Times New Roman"/>
          <w:kern w:val="0"/>
          <w:sz w:val="28"/>
          <w:szCs w:val="28"/>
          <w:shd w:val="clear" w:color="auto" w:fill="FFFFFF"/>
        </w:rPr>
        <w:t>省委、省政府部署的煤炭供给侧结构性改革、全面建成小康社会中一项重要的德政工程、民生工程、民心工程。</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为了进一步做好采煤沉陷区综合治理工作，切实改善人民群众的居住生活环境，提高采煤沉陷区土地质量、恢复矿山生态环境，使三晋大地呈现安居乐业的好景象、重现山清水秀的好风光，结合</w:t>
      </w:r>
      <w:r>
        <w:rPr>
          <w:rFonts w:hint="eastAsia" w:ascii="Times New Roman" w:hAnsi="Times New Roman" w:eastAsia="仿宋" w:cs="Times New Roman"/>
          <w:kern w:val="0"/>
          <w:sz w:val="28"/>
          <w:szCs w:val="28"/>
          <w:shd w:val="clear" w:color="auto" w:fill="FFFFFF"/>
          <w:lang w:val="en-US" w:eastAsia="zh-CN"/>
        </w:rPr>
        <w:t>山西</w:t>
      </w:r>
      <w:r>
        <w:rPr>
          <w:rFonts w:ascii="Times New Roman" w:hAnsi="Times New Roman" w:eastAsia="仿宋" w:cs="Times New Roman"/>
          <w:kern w:val="0"/>
          <w:sz w:val="28"/>
          <w:szCs w:val="28"/>
          <w:shd w:val="clear" w:color="auto" w:fill="FFFFFF"/>
        </w:rPr>
        <w:t>省实际，2016年6月21日山西省人民政府发出《关于印发山西省采煤沉陷区综合治理工作方案（2016-2018年）的通知》（晋政发</w:t>
      </w:r>
      <w:r>
        <w:rPr>
          <w:rFonts w:hint="eastAsia" w:ascii="Times New Roman" w:hAnsi="Times New Roman" w:eastAsia="仿宋" w:cs="Times New Roman"/>
          <w:kern w:val="0"/>
          <w:sz w:val="28"/>
          <w:szCs w:val="28"/>
          <w:shd w:val="clear" w:color="auto" w:fill="FFFFFF"/>
          <w:lang w:val="en-US" w:eastAsia="zh-CN"/>
        </w:rPr>
        <w:t>〔2016〕</w:t>
      </w:r>
      <w:r>
        <w:rPr>
          <w:rFonts w:ascii="Times New Roman" w:hAnsi="Times New Roman" w:eastAsia="仿宋" w:cs="Times New Roman"/>
          <w:kern w:val="0"/>
          <w:sz w:val="28"/>
          <w:szCs w:val="28"/>
          <w:shd w:val="clear" w:color="auto" w:fill="FFFFFF"/>
        </w:rPr>
        <w:t>31号）。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按照《省发展改革委、财政厅、自然资源厅、生态环境厅关于加快采煤沉陷区综合治理工作的通知》（晋发改地区发〔2019〕514号）</w:t>
      </w:r>
      <w:r>
        <w:rPr>
          <w:rFonts w:hint="eastAsia" w:ascii="Times New Roman" w:hAnsi="Times New Roman" w:eastAsia="仿宋" w:cs="Times New Roman"/>
          <w:kern w:val="0"/>
          <w:sz w:val="28"/>
          <w:szCs w:val="28"/>
          <w:shd w:val="clear" w:color="auto" w:fill="FFFFFF"/>
          <w:lang w:eastAsia="zh-CN"/>
        </w:rPr>
        <w:t>、</w:t>
      </w:r>
      <w:r>
        <w:rPr>
          <w:rFonts w:ascii="Times New Roman" w:hAnsi="Times New Roman" w:eastAsia="仿宋" w:cs="Times New Roman"/>
          <w:kern w:val="0"/>
          <w:sz w:val="28"/>
          <w:szCs w:val="28"/>
          <w:shd w:val="clear" w:color="auto" w:fill="FFFFFF"/>
        </w:rPr>
        <w:t>山西省自然资源厅《关于加快推进采煤沉陷区综合治理旧房拆除及土地复垦专项工作的通知》（晋自然资发〔2020〕21号）的具体要求，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w:t>
      </w:r>
      <w:r>
        <w:rPr>
          <w:rFonts w:hint="eastAsia" w:ascii="Times New Roman" w:hAnsi="Times New Roman" w:eastAsia="仿宋" w:cs="Times New Roman"/>
          <w:kern w:val="0"/>
          <w:sz w:val="28"/>
          <w:szCs w:val="28"/>
          <w:shd w:val="clear" w:color="auto" w:fill="FFFFFF"/>
          <w:lang w:val="en-US" w:eastAsia="zh-CN"/>
        </w:rPr>
        <w:t>了古县</w:t>
      </w:r>
      <w:r>
        <w:rPr>
          <w:rFonts w:hint="eastAsia" w:ascii="Times New Roman" w:hAnsi="Times New Roman" w:eastAsia="仿宋" w:cs="Times New Roman"/>
          <w:kern w:val="0"/>
          <w:sz w:val="28"/>
          <w:szCs w:val="28"/>
          <w:shd w:val="clear" w:color="auto" w:fill="FFFFFF"/>
          <w:lang w:eastAsia="zh-CN"/>
        </w:rPr>
        <w:t>古阳镇岳阳镇采煤沉陷区旧房拆除项目</w:t>
      </w:r>
      <w:r>
        <w:rPr>
          <w:rFonts w:ascii="Times New Roman" w:hAnsi="Times New Roman" w:eastAsia="仿宋" w:cs="Times New Roman"/>
          <w:kern w:val="0"/>
          <w:sz w:val="28"/>
          <w:szCs w:val="28"/>
          <w:shd w:val="clear" w:color="auto" w:fill="FFFFFF"/>
        </w:rPr>
        <w:t>。</w:t>
      </w:r>
    </w:p>
    <w:p>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古县</w:t>
      </w:r>
      <w:r>
        <w:rPr>
          <w:rFonts w:hint="eastAsia" w:ascii="Times New Roman" w:hAnsi="Times New Roman" w:eastAsia="仿宋" w:cs="Times New Roman"/>
          <w:kern w:val="0"/>
          <w:sz w:val="28"/>
          <w:szCs w:val="28"/>
          <w:shd w:val="clear" w:color="auto" w:fill="FFFFFF"/>
          <w:lang w:eastAsia="zh-CN"/>
        </w:rPr>
        <w:t>古阳镇岳阳镇采煤沉陷区旧房拆除项目</w:t>
      </w:r>
      <w:r>
        <w:rPr>
          <w:rFonts w:hint="eastAsia" w:ascii="Times New Roman" w:hAnsi="Times New Roman" w:eastAsia="仿宋" w:cs="Times New Roman"/>
          <w:kern w:val="0"/>
          <w:sz w:val="28"/>
          <w:szCs w:val="28"/>
          <w:shd w:val="clear" w:color="auto" w:fill="FFFFFF"/>
          <w:lang w:val="en-US" w:eastAsia="zh-CN"/>
        </w:rPr>
        <w:t>涉及5个标段。</w:t>
      </w:r>
      <w:r>
        <w:rPr>
          <w:rFonts w:ascii="Times New Roman" w:hAnsi="Times New Roman" w:eastAsia="仿宋" w:cs="Times New Roman"/>
          <w:kern w:val="0"/>
          <w:sz w:val="28"/>
          <w:szCs w:val="28"/>
          <w:shd w:val="clear" w:color="auto" w:fill="FFFFFF"/>
        </w:rPr>
        <w:t>按照《土地复垦条例》、《土地复垦条例实施办法》等土地复垦有关规定，古县自然资源局委托山西蓝德凯尔土地规划设计咨询有限公司编制</w:t>
      </w:r>
      <w:r>
        <w:rPr>
          <w:rFonts w:hint="eastAsia" w:ascii="Times New Roman" w:hAnsi="Times New Roman" w:eastAsia="仿宋" w:cs="Times New Roman"/>
          <w:kern w:val="0"/>
          <w:sz w:val="28"/>
          <w:szCs w:val="28"/>
          <w:shd w:val="clear" w:color="auto" w:fill="FFFFFF"/>
          <w:lang w:val="en-US" w:eastAsia="zh-CN"/>
        </w:rPr>
        <w:t>了</w:t>
      </w:r>
      <w:r>
        <w:rPr>
          <w:rFonts w:ascii="Times New Roman" w:hAnsi="Times New Roman" w:eastAsia="仿宋" w:cs="Times New Roman"/>
          <w:kern w:val="0"/>
          <w:sz w:val="28"/>
          <w:szCs w:val="28"/>
          <w:shd w:val="clear" w:color="auto" w:fill="FFFFFF"/>
        </w:rPr>
        <w:t>《临汾市古县古阳镇杏家庄村采煤沉陷区旧房拆除及土地复垦设计》</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28" w:name="_Toc12280"/>
      <w:r>
        <w:rPr>
          <w:rFonts w:hint="eastAsia" w:ascii="仿宋" w:eastAsia="仿宋" w:cs="Times New Roman"/>
          <w:b/>
          <w:bCs/>
          <w:sz w:val="32"/>
          <w:szCs w:val="32"/>
        </w:rPr>
        <w:t>（二）预算资金来源与资金使用</w:t>
      </w:r>
      <w:bookmarkEnd w:id="27"/>
      <w:r>
        <w:rPr>
          <w:rFonts w:hint="eastAsia" w:ascii="仿宋" w:eastAsia="仿宋" w:cs="Times New Roman"/>
          <w:b/>
          <w:bCs/>
          <w:sz w:val="32"/>
          <w:szCs w:val="32"/>
          <w:lang w:val="en-US" w:eastAsia="zh-CN"/>
        </w:rPr>
        <w:t>情况</w:t>
      </w:r>
      <w:bookmarkEnd w:id="28"/>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古阳镇岳阳镇采煤沉陷区旧房拆除项目涉及5个标段，5个标段及设计、监理中标总价为875.90万元。5个项目中标合同总价见下表1-1。</w:t>
      </w:r>
    </w:p>
    <w:p>
      <w:pPr>
        <w:spacing w:line="500" w:lineRule="exact"/>
        <w:ind w:firstLine="481" w:firstLineChars="200"/>
        <w:jc w:val="center"/>
        <w:rPr>
          <w:rFonts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项目中标合同总价</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938"/>
        <w:gridCol w:w="3322"/>
        <w:gridCol w:w="2131"/>
        <w:gridCol w:w="2131"/>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标段</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项目名称</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中标施工方</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合同价（元）</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一</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古县古阳镇杏家庄村古阳镇岳阳镇采煤沉陷区旧房拆除项目</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山西欧瀚建筑工程有限公司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1902503.92</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二</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古县古阳镇下辛佛村古阳镇岳阳镇采煤沉陷区旧房拆除项目</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山西华工建筑安装工程有限公司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1253511.58</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三</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古县古阳镇乔家山村古阳镇岳阳镇采煤沉陷区旧房拆除项目</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山西博翌弘建筑工程有限公司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1169866.31</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四</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古县岳阳镇南坡村古阳镇岳阳镇采煤沉陷区旧房拆除项目</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华泰伟业建设发展有限公司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2137748.18</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五</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古县岳阳镇韩母村古阳镇岳阳镇采煤沉陷区旧房拆除项目</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国淏建设有限公司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1692412.87</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hint="eastAsia" w:ascii="Times New Roman" w:hAnsi="Times New Roman" w:eastAsia="仿宋" w:cs="Times New Roman"/>
                <w:kern w:val="0"/>
                <w:sz w:val="24"/>
                <w:szCs w:val="32"/>
                <w:lang w:val="en-US" w:eastAsia="zh-CN"/>
              </w:rPr>
            </w:pP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测量、初步设计及预算</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山西蓝德凯尔土地规划设计咨询有限公司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515000.00</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hint="eastAsia" w:ascii="Times New Roman" w:hAnsi="Times New Roman" w:eastAsia="仿宋" w:cs="Times New Roman"/>
                <w:kern w:val="0"/>
                <w:sz w:val="24"/>
                <w:szCs w:val="32"/>
                <w:lang w:val="en-US" w:eastAsia="zh-CN"/>
              </w:rPr>
            </w:pP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山西开天建设监理有限公司</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88000.00</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c>
          <w:tcPr>
            <w:tcW w:w="938"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合计</w:t>
            </w:r>
          </w:p>
        </w:tc>
        <w:tc>
          <w:tcPr>
            <w:tcW w:w="33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c>
          <w:tcPr>
            <w:tcW w:w="2131"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8759042.86</w:t>
            </w:r>
          </w:p>
        </w:tc>
      </w:tr>
    </w:tbl>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使用情况</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截止2022年12月31日，项目共计到位资金616.55万元（其中2022年到位资金331.4929万元）。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截止2022年12月31日，古阳镇岳阳镇采煤沉陷区旧房拆除项目共计支出资金616.55万元。</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s="Times New Roman"/>
          <w:kern w:val="0"/>
          <w:sz w:val="28"/>
          <w:szCs w:val="28"/>
          <w:shd w:val="clear" w:color="auto" w:fill="FFFFFF"/>
          <w:lang w:val="en-US" w:eastAsia="zh-CN"/>
        </w:rPr>
        <w:t>古阳镇岳阳镇采煤沉陷区旧房拆除项目资金使用情况见下表1-2。</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表1-2 项目资金使用情况明细表</w:t>
      </w:r>
    </w:p>
    <w:tbl>
      <w:tblPr>
        <w:tblStyle w:val="19"/>
        <w:tblW w:w="13817"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930"/>
        <w:gridCol w:w="2556"/>
        <w:gridCol w:w="2356"/>
        <w:gridCol w:w="1330"/>
        <w:gridCol w:w="920"/>
        <w:gridCol w:w="1037"/>
        <w:gridCol w:w="1288"/>
        <w:gridCol w:w="1623"/>
        <w:gridCol w:w="1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96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工程名称</w:t>
            </w:r>
          </w:p>
        </w:tc>
        <w:tc>
          <w:tcPr>
            <w:tcW w:w="261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工程名称</w:t>
            </w:r>
          </w:p>
        </w:tc>
        <w:tc>
          <w:tcPr>
            <w:tcW w:w="24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收款方</w:t>
            </w:r>
          </w:p>
        </w:tc>
        <w:tc>
          <w:tcPr>
            <w:tcW w:w="12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合同金额</w:t>
            </w:r>
          </w:p>
        </w:tc>
        <w:tc>
          <w:tcPr>
            <w:tcW w:w="5617"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4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121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2020年</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2021年</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2022年4月</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2022年12月</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古阳镇、岳阳镇采煤沉陷区治理项目</w:t>
            </w: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杏家庄-一标</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山西欧瀚建筑工程有限公司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1902503.92</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570000</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760000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下辛佛-二标</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山西华工建筑安装工程有限公司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1253511.58</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376053</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886053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乔家山-三标</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山西博翌弘建筑工程有限公司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1169866.31</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350959</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470000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820959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南坡村-四标</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华秦伟业建设发展有限公司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2137748.18</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641324</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860000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1501324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韩母村-五标</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国淏建设有限公司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1692412.87</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507723</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680000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1187723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测量、设计、预算</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山西蓝德凯尔土地规划设计咨询有限公司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515000</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360500</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360500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临汾开天建设监理有限公司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88000</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44000</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项目标识牌</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古县杰文图文快印</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21650</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2610"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办公设备购置</w:t>
            </w:r>
          </w:p>
        </w:tc>
        <w:tc>
          <w:tcPr>
            <w:tcW w:w="240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古县乾健德泓商贸有限公司</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Times New Roman" w:hAnsi="Times New Roman" w:eastAsia="仿宋" w:cs="Times New Roman"/>
                <w:kern w:val="0"/>
                <w:sz w:val="24"/>
                <w:szCs w:val="32"/>
                <w:lang w:val="en-US" w:eastAsia="zh-CN"/>
              </w:rPr>
            </w:pP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13279</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合计</w:t>
            </w:r>
          </w:p>
        </w:tc>
        <w:tc>
          <w:tcPr>
            <w:tcW w:w="12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8759042.86</w:t>
            </w:r>
          </w:p>
        </w:tc>
        <w:tc>
          <w:tcPr>
            <w:tcW w:w="817"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360500</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2490059</w:t>
            </w:r>
          </w:p>
        </w:tc>
        <w:tc>
          <w:tcPr>
            <w:tcW w:w="1313"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3280000</w:t>
            </w:r>
          </w:p>
        </w:tc>
        <w:tc>
          <w:tcPr>
            <w:tcW w:w="165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34929</w:t>
            </w:r>
          </w:p>
        </w:tc>
        <w:tc>
          <w:tcPr>
            <w:tcW w:w="916"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6165488</w:t>
            </w:r>
          </w:p>
        </w:tc>
      </w:tr>
    </w:tbl>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p>
    <w:p>
      <w:pPr>
        <w:pStyle w:val="2"/>
        <w:rPr>
          <w:b/>
          <w:bCs/>
          <w:lang w:val="en-US" w:eastAsia="zh-CN"/>
        </w:rPr>
        <w:sectPr>
          <w:pgSz w:w="16838" w:h="11906" w:orient="landscape"/>
          <w:pgMar w:top="1800" w:right="1440" w:bottom="1800" w:left="1440" w:header="851" w:footer="992" w:gutter="0"/>
          <w:cols w:space="720" w:num="1"/>
          <w:docGrid w:type="lines" w:linePitch="312" w:charSpace="0"/>
        </w:sectPr>
      </w:pP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lang w:val="en-US" w:eastAsia="zh-CN"/>
        </w:rPr>
      </w:pPr>
      <w:bookmarkStart w:id="29" w:name="_Toc17677"/>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项目立项依据</w:t>
      </w:r>
      <w:bookmarkEnd w:id="29"/>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本项目的立项依据包括但不限于：</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w:t>
      </w:r>
      <w:r>
        <w:rPr>
          <w:rFonts w:ascii="Times New Roman" w:hAnsi="Times New Roman" w:eastAsia="仿宋" w:cs="Times New Roman"/>
          <w:kern w:val="0"/>
          <w:sz w:val="28"/>
          <w:szCs w:val="28"/>
          <w:shd w:val="clear" w:color="auto" w:fill="FFFFFF"/>
          <w:lang w:val="en-US" w:eastAsia="zh-CN"/>
        </w:rPr>
        <w:t>《土地复垦条例》；</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2、《关于印发山西省采煤沉陷区综合治理工作方案（2016-2018年）的通知》（晋政发〔2016〕31号）</w:t>
      </w:r>
      <w:r>
        <w:rPr>
          <w:rFonts w:hint="eastAsia" w:ascii="Times New Roman" w:hAnsi="Times New Roman" w:eastAsia="仿宋" w:cs="Times New Roman"/>
          <w:kern w:val="0"/>
          <w:sz w:val="28"/>
          <w:szCs w:val="28"/>
          <w:shd w:val="clear" w:color="auto" w:fill="FFFFFF"/>
          <w:lang w:val="en-US" w:eastAsia="zh-CN"/>
        </w:rPr>
        <w:t>；</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w:t>
      </w:r>
      <w:r>
        <w:rPr>
          <w:rFonts w:ascii="Times New Roman" w:hAnsi="Times New Roman" w:eastAsia="仿宋" w:cs="Times New Roman"/>
          <w:kern w:val="0"/>
          <w:sz w:val="28"/>
          <w:szCs w:val="28"/>
          <w:shd w:val="clear" w:color="auto" w:fill="FFFFFF"/>
          <w:lang w:val="en-US" w:eastAsia="zh-CN"/>
        </w:rPr>
        <w:t>《省发展改革委、财政厅、自然资源厅、生态环境厅关于加快采煤沉陷区综合治理工作的通知》（晋发改地区发〔2019〕514号）</w:t>
      </w:r>
      <w:r>
        <w:rPr>
          <w:rFonts w:hint="eastAsia" w:ascii="Times New Roman" w:hAnsi="Times New Roman" w:eastAsia="仿宋" w:cs="Times New Roman"/>
          <w:kern w:val="0"/>
          <w:sz w:val="28"/>
          <w:szCs w:val="28"/>
          <w:shd w:val="clear" w:color="auto" w:fill="FFFFFF"/>
          <w:lang w:val="en-US" w:eastAsia="zh-CN"/>
        </w:rPr>
        <w:t>；</w:t>
      </w:r>
    </w:p>
    <w:p>
      <w:pPr>
        <w:spacing w:line="574" w:lineRule="exact"/>
        <w:ind w:firstLine="560" w:firstLineChars="200"/>
        <w:rPr>
          <w:rFonts w:ascii="仿宋_GB2312" w:eastAsia="仿宋_GB2312"/>
          <w:snapToGrid w:val="0"/>
          <w:sz w:val="32"/>
          <w:szCs w:val="32"/>
          <w:lang w:val="en-US" w:eastAsia="zh-CN"/>
        </w:rPr>
      </w:pPr>
      <w:r>
        <w:rPr>
          <w:rFonts w:hint="eastAsia" w:ascii="Times New Roman" w:hAnsi="Times New Roman" w:eastAsia="仿宋" w:cs="Times New Roman"/>
          <w:kern w:val="0"/>
          <w:sz w:val="28"/>
          <w:szCs w:val="28"/>
          <w:shd w:val="clear" w:color="auto" w:fill="FFFFFF"/>
          <w:lang w:val="en-US" w:eastAsia="zh-CN"/>
        </w:rPr>
        <w:t>4、</w:t>
      </w:r>
      <w:r>
        <w:rPr>
          <w:rFonts w:ascii="Times New Roman" w:hAnsi="Times New Roman" w:eastAsia="仿宋" w:cs="Times New Roman"/>
          <w:kern w:val="0"/>
          <w:sz w:val="28"/>
          <w:szCs w:val="28"/>
          <w:shd w:val="clear" w:color="auto" w:fill="FFFFFF"/>
          <w:lang w:val="en-US" w:eastAsia="zh-CN"/>
        </w:rPr>
        <w:t>山西省自然资源厅《关于加快推进采煤沉陷区综合治理旧房拆除及土地复垦专项工作的通知》（晋自然资发〔2020〕21号）</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30" w:name="_Toc514537331"/>
      <w:bookmarkStart w:id="31" w:name="_Toc24404"/>
      <w:bookmarkStart w:id="32" w:name="_Toc514537332"/>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四</w:t>
      </w:r>
      <w:r>
        <w:rPr>
          <w:rFonts w:hint="eastAsia" w:ascii="仿宋" w:eastAsia="仿宋" w:cs="Times New Roman"/>
          <w:b/>
          <w:bCs/>
          <w:sz w:val="32"/>
          <w:szCs w:val="32"/>
          <w:lang w:eastAsia="zh-CN"/>
        </w:rPr>
        <w:t>）项目绩效目标</w:t>
      </w:r>
      <w:bookmarkEnd w:id="30"/>
      <w:bookmarkEnd w:id="31"/>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年纯收益提升：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新增耕地面积：≥4.1012公顷。</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农业生产条件改善：改善农业生产条件，提高耕地质量，增加耕地产出率。本项目实施以后，项目区农业生产状况得到改善，耕地质量全面提高，从而增加耕地产出率。</w:t>
      </w:r>
    </w:p>
    <w:p>
      <w:pPr>
        <w:spacing w:line="500" w:lineRule="exact"/>
        <w:ind w:firstLine="560" w:firstLineChars="200"/>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水土保持：本项目通过工程措施，增施有机肥和土壤改良剂，土壤理化性状得到改善，提高土壤肥力水平，改善农作物生长环境，促进生态系统稳定和土地生产力的提高，同时恢复和新增林草地，增加林草植被覆盖，防治水土流失等。</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可持续影响：农业综合生产能力进一步得到提高，为建立现代农业奠定了良好的生态环境基础。有利于改善农业生产条件，耕地质量将得到全面改善，耕地产出效率将有所提高，促进土地资源的可持续利用；</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3" w:name="_Toc29912"/>
      <w:r>
        <w:rPr>
          <w:rFonts w:hint="eastAsia" w:ascii="Times New Roman" w:hAnsi="Times New Roman" w:eastAsia="黑体" w:cs="Times New Roman"/>
          <w:bCs/>
          <w:kern w:val="44"/>
          <w:sz w:val="32"/>
          <w:szCs w:val="32"/>
        </w:rPr>
        <w:t>二、项目组织实施情况</w:t>
      </w:r>
      <w:bookmarkEnd w:id="32"/>
      <w:bookmarkEnd w:id="3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4" w:name="_Toc29809"/>
      <w:bookmarkStart w:id="35" w:name="_Toc514537333"/>
      <w:r>
        <w:rPr>
          <w:rFonts w:hint="eastAsia" w:ascii="仿宋" w:eastAsia="仿宋" w:cs="Times New Roman"/>
          <w:b/>
          <w:bCs/>
          <w:sz w:val="32"/>
          <w:szCs w:val="32"/>
        </w:rPr>
        <w:t>（一）项目组织情况</w:t>
      </w:r>
      <w:bookmarkEnd w:id="34"/>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自然资源局：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6" w:name="_Toc11693"/>
      <w:r>
        <w:rPr>
          <w:rFonts w:hint="eastAsia" w:ascii="仿宋" w:eastAsia="仿宋" w:cs="Times New Roman"/>
          <w:b/>
          <w:bCs/>
          <w:sz w:val="32"/>
          <w:szCs w:val="32"/>
        </w:rPr>
        <w:t>（二）项目实施</w:t>
      </w:r>
      <w:bookmarkEnd w:id="35"/>
      <w:r>
        <w:rPr>
          <w:rFonts w:hint="eastAsia" w:ascii="仿宋" w:eastAsia="仿宋" w:cs="Times New Roman"/>
          <w:b/>
          <w:bCs/>
          <w:sz w:val="32"/>
          <w:szCs w:val="32"/>
          <w:lang w:val="en-US" w:eastAsia="zh-CN"/>
        </w:rPr>
        <w:t>内容与完成</w:t>
      </w:r>
      <w:r>
        <w:rPr>
          <w:rFonts w:hint="eastAsia" w:ascii="仿宋" w:eastAsia="仿宋" w:cs="Times New Roman"/>
          <w:b/>
          <w:bCs/>
          <w:sz w:val="32"/>
          <w:szCs w:val="32"/>
        </w:rPr>
        <w:t>情况</w:t>
      </w:r>
      <w:bookmarkEnd w:id="36"/>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bookmarkStart w:id="37"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eastAsia="zh-CN"/>
        </w:rPr>
        <w:t>古阳镇岳阳镇采煤沉陷区旧房拆除项目</w:t>
      </w:r>
      <w:r>
        <w:rPr>
          <w:rFonts w:hint="eastAsia" w:ascii="Times New Roman" w:hAnsi="Times New Roman" w:eastAsia="仿宋" w:cs="Times New Roman"/>
          <w:kern w:val="0"/>
          <w:sz w:val="28"/>
          <w:szCs w:val="28"/>
          <w:shd w:val="clear" w:color="auto" w:fill="FFFFFF"/>
          <w:lang w:val="en-US" w:eastAsia="zh-CN"/>
        </w:rPr>
        <w:t>涉及5个标段。</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①一标段-古县古阳镇杏家庄村古阳镇岳阳镇采煤沉陷区旧房拆除项目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复垦区总规模9.8869h㎡，新增耕地面积为7.1331h㎡。项目涉及241户，其中7户保留用作农具储存等，其余234户已拆除，即复垦区。</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合同价：1902503.92元；支付方式：预付款30%，工程完成后支付总价的50%；通过验收后支付总价的15%，通过验收后满一年支付总价的5%。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②二标段-古县古阳镇下辛佛村古阳镇岳阳镇采煤沉陷区旧房拆除项目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复垦区总规模7.6121h㎡，新增耕地面积为5.1864h㎡。项目涉及193户。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合同价：1253511.58元；支付方式：预付款30%，工程完成后支付总价的50%；通过验收后支付总价的15%，通过验收后满一年支付总价的5%。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③古县古阳镇乔家山村古阳镇岳阳镇采煤沉陷区旧房拆除项目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复垦区总规模6.7312h㎡，新增耕地面积为6.7312h㎡。项目涉及176户。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合同价：1169866.31元；支付方式：预付款30%，工程完成后支付总价的50%；通过验收后支付总价的15%，通过验收后满一年支付总价的5%。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④古县岳阳镇南坡村古阳镇岳阳镇采煤沉陷区旧房拆除项目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复垦区总规模10.2097h㎡，新增耕地面积为6.3144h㎡。项目涉及176户。旧房拆除涉及313户，保留8户房屋用作农具储存及1处养猪场（涉及18户）共计26户，其余287户全部复垦。</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合同价：2137748.18元；支付方式：预付款30%，工程完成后支付总价的50%；通过验收后支付总价的15%，通过验收后满一年支付总价的5%。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⑤古县岳阳镇韩母村古阳镇岳阳镇采煤沉陷区旧房拆除项目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复垦区总规模8.7269h㎡，新增耕地面积为4.1012h㎡。项目涉及183户。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合同价：1692412.87元；支付方式：预付款30%，工程完成后支付总价的50%；通过验收后支付总价的15%，通过验收后满一年支付总价的5%。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截止2022年12月31日，古阳镇岳阳镇采煤沉陷区旧房拆除项目完工</w:t>
      </w:r>
      <w:r>
        <w:rPr>
          <w:rFonts w:hint="eastAsia" w:ascii="Times New Roman" w:hAnsi="Times New Roman" w:eastAsia="仿宋" w:cs="Times New Roman"/>
          <w:sz w:val="28"/>
          <w:szCs w:val="24"/>
          <w:lang w:val="en-US" w:eastAsia="zh-CN"/>
        </w:rPr>
        <w:t>。</w:t>
      </w:r>
    </w:p>
    <w:bookmarkEnd w:id="37"/>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8" w:name="_Toc12438"/>
      <w:bookmarkStart w:id="39" w:name="_Toc514537336"/>
      <w:r>
        <w:rPr>
          <w:rFonts w:hint="eastAsia" w:ascii="Times New Roman" w:hAnsi="Times New Roman" w:eastAsia="黑体" w:cs="Times New Roman"/>
          <w:bCs/>
          <w:kern w:val="44"/>
          <w:sz w:val="32"/>
          <w:szCs w:val="32"/>
        </w:rPr>
        <w:t>三、绩效评价工作情况</w:t>
      </w:r>
      <w:bookmarkEnd w:id="38"/>
      <w:bookmarkEnd w:id="39"/>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40" w:name="_Toc514537337"/>
      <w:bookmarkStart w:id="41" w:name="_Toc22511"/>
      <w:r>
        <w:rPr>
          <w:rFonts w:hint="eastAsia" w:ascii="仿宋" w:eastAsia="仿宋" w:cs="Times New Roman"/>
          <w:b/>
          <w:bCs/>
          <w:sz w:val="32"/>
          <w:szCs w:val="32"/>
        </w:rPr>
        <w:t>（一）绩效评价的目的</w:t>
      </w:r>
      <w:bookmarkEnd w:id="40"/>
      <w:bookmarkEnd w:id="41"/>
    </w:p>
    <w:p>
      <w:pPr>
        <w:spacing w:line="500" w:lineRule="exact"/>
        <w:ind w:firstLine="560" w:firstLineChars="200"/>
        <w:rPr>
          <w:rFonts w:hint="eastAsia" w:ascii="Times New Roman" w:hAnsi="Times New Roman" w:eastAsia="仿宋" w:cs="Times New Roman"/>
          <w:sz w:val="28"/>
          <w:szCs w:val="24"/>
          <w:lang w:val="en-US" w:eastAsia="zh-CN"/>
        </w:rPr>
      </w:pPr>
      <w:bookmarkStart w:id="42"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古阳镇岳阳镇采煤沉陷区旧房拆除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古阳镇岳阳镇采煤沉陷区旧房拆除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43" w:name="_Toc24021"/>
      <w:r>
        <w:rPr>
          <w:rFonts w:hint="eastAsia" w:ascii="仿宋" w:eastAsia="仿宋" w:cs="Times New Roman"/>
          <w:b/>
          <w:bCs/>
          <w:sz w:val="32"/>
          <w:szCs w:val="32"/>
        </w:rPr>
        <w:t>（二）绩效评价的依据</w:t>
      </w:r>
      <w:bookmarkEnd w:id="42"/>
      <w:bookmarkEnd w:id="43"/>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4" w:name="_Toc28002"/>
      <w:bookmarkStart w:id="45" w:name="_Toc528603069"/>
      <w:bookmarkStart w:id="46" w:name="_Toc13471"/>
      <w:bookmarkStart w:id="47" w:name="_Toc528684135"/>
      <w:bookmarkStart w:id="48" w:name="_Toc18935"/>
      <w:bookmarkStart w:id="49" w:name="_Toc18611"/>
      <w:bookmarkStart w:id="50" w:name="_Toc528680460"/>
      <w:bookmarkStart w:id="51" w:name="_Toc22158"/>
      <w:bookmarkStart w:id="52" w:name="_Toc28792"/>
      <w:bookmarkStart w:id="53" w:name="_Toc29596"/>
      <w:bookmarkStart w:id="54" w:name="_Toc21230"/>
      <w:bookmarkStart w:id="55" w:name="_Toc5073"/>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8、《古县财政局关于印发&lt;2023年度财政重点绩效评价实施方案&gt;的通知》（古财字〔2023〕59号）；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ascii="Times New Roman" w:hAnsi="Times New Roman" w:eastAsia="仿宋" w:cs="Times New Roman"/>
          <w:sz w:val="28"/>
          <w:szCs w:val="28"/>
          <w:shd w:val="clear" w:color="auto" w:fill="FFFFFF"/>
        </w:rPr>
        <w:t>。</w:t>
      </w:r>
      <w:bookmarkEnd w:id="44"/>
      <w:bookmarkEnd w:id="45"/>
      <w:bookmarkEnd w:id="46"/>
      <w:bookmarkEnd w:id="47"/>
      <w:bookmarkEnd w:id="48"/>
      <w:bookmarkEnd w:id="49"/>
      <w:bookmarkEnd w:id="50"/>
      <w:bookmarkEnd w:id="51"/>
      <w:bookmarkEnd w:id="52"/>
      <w:bookmarkEnd w:id="53"/>
      <w:bookmarkEnd w:id="54"/>
      <w:bookmarkEnd w:id="55"/>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56" w:name="_Toc29634"/>
      <w:bookmarkStart w:id="57" w:name="_Toc522961240"/>
      <w:r>
        <w:rPr>
          <w:rFonts w:hint="eastAsia" w:ascii="仿宋" w:eastAsia="仿宋" w:cs="Times New Roman"/>
          <w:b/>
          <w:bCs/>
          <w:sz w:val="32"/>
          <w:szCs w:val="32"/>
        </w:rPr>
        <w:t>（三）评价对象和范围</w:t>
      </w:r>
      <w:bookmarkEnd w:id="56"/>
      <w:bookmarkEnd w:id="57"/>
    </w:p>
    <w:p>
      <w:pPr>
        <w:pStyle w:val="16"/>
        <w:shd w:val="clear" w:color="auto" w:fill="auto"/>
        <w:spacing w:line="574" w:lineRule="exact"/>
        <w:ind w:firstLine="562" w:firstLineChars="200"/>
        <w:jc w:val="both"/>
        <w:rPr>
          <w:rFonts w:hint="eastAsia" w:ascii="仿宋" w:eastAsia="仿宋" w:cs="仿宋"/>
          <w:b/>
          <w:bCs w:val="0"/>
          <w:sz w:val="28"/>
          <w:szCs w:val="28"/>
        </w:rPr>
      </w:pPr>
      <w:bookmarkStart w:id="58" w:name="_Toc469065888"/>
      <w:bookmarkStart w:id="59" w:name="_Toc450549936"/>
      <w:bookmarkStart w:id="60" w:name="_Toc469065546"/>
      <w:bookmarkStart w:id="61" w:name="_Toc469065636"/>
      <w:r>
        <w:rPr>
          <w:rFonts w:hint="eastAsia" w:ascii="仿宋" w:eastAsia="仿宋" w:cs="仿宋"/>
          <w:b/>
          <w:bCs w:val="0"/>
          <w:sz w:val="28"/>
          <w:szCs w:val="28"/>
        </w:rPr>
        <w:t>1、评价对象</w:t>
      </w:r>
    </w:p>
    <w:p>
      <w:pPr>
        <w:spacing w:line="500" w:lineRule="exact"/>
        <w:ind w:firstLine="560" w:firstLineChars="200"/>
        <w:rPr>
          <w:rFonts w:hint="eastAsia" w:asci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古阳镇岳阳镇采煤沉陷区旧房拆除项目</w:t>
      </w:r>
      <w:r>
        <w:rPr>
          <w:rFonts w:hint="eastAsia" w:ascii="Times New Roman" w:hAnsi="Times New Roman" w:eastAsia="仿宋" w:cs="Times New Roman"/>
          <w:sz w:val="28"/>
          <w:szCs w:val="24"/>
          <w:lang w:val="en-US" w:eastAsia="zh-CN"/>
        </w:rPr>
        <w:t>资金</w:t>
      </w:r>
      <w:r>
        <w:rPr>
          <w:rFonts w:hint="eastAsia" w:ascii="Times New Roman" w:hAnsi="Times New Roman" w:eastAsia="仿宋" w:cs="Times New Roman"/>
          <w:kern w:val="0"/>
          <w:sz w:val="28"/>
          <w:szCs w:val="28"/>
          <w:shd w:val="clear" w:color="auto" w:fill="FFFFFF"/>
          <w:lang w:val="en-US" w:eastAsia="zh-CN"/>
        </w:rPr>
        <w:t>616.55万元</w:t>
      </w:r>
      <w:r>
        <w:rPr>
          <w:rFonts w:hint="eastAsia" w:ascii="Times New Roman" w:hAnsi="Times New Roman" w:eastAsia="仿宋" w:cs="Times New Roman"/>
          <w:sz w:val="28"/>
          <w:szCs w:val="28"/>
        </w:rPr>
        <w:t>”</w:t>
      </w:r>
      <w:r>
        <w:rPr>
          <w:rFonts w:hint="eastAsia" w:ascii="仿宋" w:eastAsia="仿宋" w:cs="仿宋"/>
          <w:b w:val="0"/>
          <w:bCs/>
          <w:sz w:val="28"/>
          <w:szCs w:val="28"/>
        </w:rPr>
        <w:t>。</w:t>
      </w:r>
    </w:p>
    <w:p>
      <w:pPr>
        <w:pStyle w:val="16"/>
        <w:shd w:val="clear" w:color="auto" w:fill="auto"/>
        <w:spacing w:line="574" w:lineRule="exact"/>
        <w:ind w:firstLine="562" w:firstLineChars="200"/>
        <w:jc w:val="both"/>
        <w:rPr>
          <w:rFonts w:hint="eastAsia" w:ascii="仿宋" w:eastAsia="仿宋" w:cs="仿宋"/>
          <w:b/>
          <w:bCs w:val="0"/>
          <w:sz w:val="28"/>
          <w:szCs w:val="28"/>
        </w:rPr>
      </w:pPr>
      <w:r>
        <w:rPr>
          <w:rFonts w:hint="eastAsia" w:ascii="仿宋" w:eastAsia="仿宋" w:cs="仿宋"/>
          <w:b/>
          <w:bCs w:val="0"/>
          <w:sz w:val="28"/>
          <w:szCs w:val="28"/>
        </w:rPr>
        <w:t>2、评价范围</w:t>
      </w:r>
    </w:p>
    <w:p>
      <w:pPr>
        <w:pStyle w:val="16"/>
        <w:shd w:val="clear" w:color="auto" w:fill="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本次评价的范围是古阳镇岳阳镇采煤沉陷区旧房拆除项目。评价其绩效目标设定情况，资金投入和使用情况，为实现设定的绩效目标所制定的制度、采取的措施等，以及绩效目标最终的实现程度及效果</w:t>
      </w:r>
      <w:r>
        <w:rPr>
          <w:rFonts w:hint="eastAsia" w:asci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2" w:name="_Toc479102135"/>
      <w:bookmarkStart w:id="63" w:name="_Toc10444"/>
      <w:bookmarkStart w:id="64" w:name="_Toc522961241"/>
      <w:r>
        <w:rPr>
          <w:rFonts w:hint="eastAsia" w:ascii="仿宋" w:eastAsia="仿宋" w:cs="Times New Roman"/>
          <w:b/>
          <w:bCs/>
          <w:sz w:val="32"/>
          <w:szCs w:val="32"/>
        </w:rPr>
        <w:t>（四）</w:t>
      </w:r>
      <w:bookmarkEnd w:id="58"/>
      <w:bookmarkEnd w:id="59"/>
      <w:bookmarkEnd w:id="60"/>
      <w:bookmarkEnd w:id="61"/>
      <w:bookmarkEnd w:id="62"/>
      <w:r>
        <w:rPr>
          <w:rFonts w:hint="eastAsia" w:ascii="仿宋" w:eastAsia="仿宋" w:cs="Times New Roman"/>
          <w:b/>
          <w:bCs/>
          <w:sz w:val="32"/>
          <w:szCs w:val="32"/>
        </w:rPr>
        <w:t>绩效评价基准日</w:t>
      </w:r>
      <w:bookmarkEnd w:id="63"/>
      <w:bookmarkEnd w:id="64"/>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5" w:name="_Toc7212"/>
      <w:bookmarkStart w:id="66" w:name="_Toc16028"/>
      <w:bookmarkStart w:id="67" w:name="_Toc6328"/>
      <w:bookmarkStart w:id="68" w:name="_Toc11873"/>
      <w:bookmarkStart w:id="69" w:name="_Toc1333"/>
      <w:bookmarkStart w:id="70" w:name="_Toc14966"/>
      <w:bookmarkStart w:id="71" w:name="_Toc11974"/>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2022年12月31日</w:t>
      </w:r>
      <w:r>
        <w:rPr>
          <w:rFonts w:hint="eastAsia" w:ascii="Times New Roman" w:hAnsi="Times New Roman" w:eastAsia="仿宋" w:cs="Times New Roman"/>
          <w:bCs/>
          <w:kern w:val="0"/>
          <w:sz w:val="28"/>
          <w:szCs w:val="28"/>
          <w:lang w:val="en-US" w:eastAsia="zh-CN" w:bidi="ar-SA"/>
        </w:rPr>
        <w:t>。</w:t>
      </w:r>
      <w:bookmarkEnd w:id="65"/>
      <w:bookmarkEnd w:id="66"/>
      <w:bookmarkEnd w:id="67"/>
      <w:bookmarkEnd w:id="68"/>
      <w:bookmarkEnd w:id="69"/>
      <w:bookmarkEnd w:id="70"/>
      <w:bookmarkEnd w:id="71"/>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2" w:name="_Toc514537339"/>
      <w:bookmarkStart w:id="73" w:name="_Toc26052"/>
      <w:bookmarkStart w:id="74" w:name="_Toc519354505"/>
      <w:r>
        <w:rPr>
          <w:rFonts w:hint="eastAsia" w:ascii="仿宋" w:eastAsia="仿宋" w:cs="Times New Roman"/>
          <w:b/>
          <w:bCs/>
          <w:sz w:val="32"/>
          <w:szCs w:val="32"/>
        </w:rPr>
        <w:t>（五）</w:t>
      </w:r>
      <w:bookmarkEnd w:id="72"/>
      <w:r>
        <w:rPr>
          <w:rFonts w:hint="eastAsia" w:ascii="仿宋" w:eastAsia="仿宋" w:cs="Times New Roman"/>
          <w:b/>
          <w:bCs/>
          <w:sz w:val="32"/>
          <w:szCs w:val="32"/>
        </w:rPr>
        <w:t>绩效评价的原则</w:t>
      </w:r>
      <w:bookmarkEnd w:id="73"/>
      <w:bookmarkEnd w:id="74"/>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5" w:name="_Toc519354506"/>
      <w:bookmarkStart w:id="76" w:name="_Toc19523"/>
      <w:r>
        <w:rPr>
          <w:rFonts w:hint="eastAsia" w:ascii="仿宋" w:eastAsia="仿宋" w:cs="Times New Roman"/>
          <w:b/>
          <w:bCs/>
          <w:sz w:val="32"/>
          <w:szCs w:val="32"/>
        </w:rPr>
        <w:t>（六）绩效评价的方法</w:t>
      </w:r>
      <w:bookmarkEnd w:id="75"/>
      <w:bookmarkEnd w:id="76"/>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1、成本效益分析法：是指将古阳镇岳阳镇采煤沉陷区旧房拆除项目的决策与产出、效益进行关联性分析，考察项目预算编制、资金分配对产出、效益的影响。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古阳镇岳阳镇采煤沉陷区旧房拆除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古阳镇岳阳镇采煤沉陷区旧房拆除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古阳镇岳阳镇采煤沉陷区旧房拆除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7" w:name="_Toc519354507"/>
      <w:bookmarkStart w:id="78" w:name="_Toc514537340"/>
      <w:bookmarkStart w:id="79" w:name="_Toc933"/>
      <w:r>
        <w:rPr>
          <w:rFonts w:hint="eastAsia" w:ascii="仿宋" w:eastAsia="仿宋" w:cs="Times New Roman"/>
          <w:b/>
          <w:bCs/>
          <w:sz w:val="32"/>
          <w:szCs w:val="32"/>
        </w:rPr>
        <w:t>（七）评价指标体系</w:t>
      </w:r>
      <w:bookmarkEnd w:id="77"/>
      <w:bookmarkEnd w:id="78"/>
      <w:bookmarkEnd w:id="79"/>
    </w:p>
    <w:p>
      <w:pPr>
        <w:spacing w:line="500" w:lineRule="exact"/>
        <w:ind w:firstLine="560" w:firstLineChars="200"/>
        <w:rPr>
          <w:rFonts w:ascii="Times New Roman" w:hAnsi="Times New Roman" w:eastAsia="仿宋" w:cs="Times New Roman"/>
          <w:bCs w:val="0"/>
          <w:kern w:val="2"/>
          <w:sz w:val="28"/>
          <w:szCs w:val="28"/>
          <w:lang w:val="en-US" w:eastAsia="zh-CN" w:bidi="ar-SA"/>
        </w:rPr>
      </w:pPr>
      <w:bookmarkStart w:id="80" w:name="_Toc469065553"/>
      <w:bookmarkStart w:id="81" w:name="_Toc469065895"/>
      <w:bookmarkStart w:id="82" w:name="_Toc450549943"/>
      <w:bookmarkStart w:id="83" w:name="_Toc469065643"/>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古阳镇岳阳镇采煤沉陷区旧房拆除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古阳镇岳阳镇采煤沉陷区旧房拆除项目资金绩效评价体系主要包括4项一级指标、14项二级指标、22项三级指标。主要内容为：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3、产出指标：主要考核项目是否按计划要求完成，实施进度是否与计划一致，质量达标情况，项目完工及时性，资金是否存在超支。包括4个二级指标，5个三级指标。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4、效益指标：主要从经济效益、社会效益、生态效益、可持续影响、服务对象满意度五方面来评价项目效益。具体考核社会效益、可持续影响、服务对象满意度。包括5个二级指标，6个三级指标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以及对一级指标的影响程度来合理确定评价指标的权重比例结构</w:t>
      </w:r>
      <w:r>
        <w:rPr>
          <w:rFonts w:hint="eastAsia" w:ascii="仿宋" w:eastAsia="仿宋" w:cs="仿宋"/>
          <w:snapToGrid w:val="0"/>
          <w:sz w:val="28"/>
          <w:szCs w:val="28"/>
          <w:lang w:eastAsia="zh-CN"/>
        </w:rPr>
        <w:t>。</w:t>
      </w:r>
    </w:p>
    <w:bookmarkEnd w:id="80"/>
    <w:bookmarkEnd w:id="81"/>
    <w:bookmarkEnd w:id="82"/>
    <w:bookmarkEnd w:id="83"/>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仿宋"/>
          <w:b/>
          <w:snapToGrid w:val="0"/>
          <w:sz w:val="28"/>
          <w:szCs w:val="28"/>
        </w:rPr>
      </w:pPr>
      <w:bookmarkStart w:id="84" w:name="_Toc16080"/>
      <w:bookmarkStart w:id="85" w:name="_Toc519354508"/>
      <w:bookmarkStart w:id="86" w:name="_Toc514537341"/>
      <w:r>
        <w:rPr>
          <w:rFonts w:hint="eastAsia" w:ascii="仿宋" w:eastAsia="仿宋" w:cs="Times New Roman"/>
          <w:b/>
          <w:bCs/>
          <w:sz w:val="32"/>
          <w:szCs w:val="32"/>
        </w:rPr>
        <w:t>（八）绩效评价工作组织</w:t>
      </w:r>
      <w:bookmarkEnd w:id="84"/>
      <w:bookmarkEnd w:id="85"/>
      <w:bookmarkEnd w:id="86"/>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7" w:name="_Toc469065900"/>
      <w:bookmarkStart w:id="88" w:name="_Toc469065648"/>
      <w:bookmarkStart w:id="89" w:name="_Toc5559623"/>
      <w:bookmarkStart w:id="90" w:name="_Toc19406"/>
      <w:bookmarkStart w:id="91" w:name="_Toc469065558"/>
      <w:bookmarkStart w:id="92" w:name="_Toc479102151"/>
      <w:r>
        <w:rPr>
          <w:rFonts w:hint="eastAsia" w:ascii="Times New Roman" w:hAnsi="Times New Roman" w:eastAsia="仿宋" w:cs="Times New Roman"/>
          <w:b/>
          <w:bCs/>
          <w:kern w:val="2"/>
          <w:sz w:val="28"/>
          <w:szCs w:val="28"/>
          <w:lang w:val="en-US" w:eastAsia="zh-CN" w:bidi="ar-SA"/>
        </w:rPr>
        <w:t>1、组织框架</w:t>
      </w:r>
      <w:bookmarkEnd w:id="87"/>
      <w:bookmarkEnd w:id="88"/>
      <w:bookmarkEnd w:id="89"/>
      <w:bookmarkEnd w:id="90"/>
      <w:bookmarkEnd w:id="91"/>
      <w:bookmarkEnd w:id="9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19"/>
        <w:tblpPr w:leftFromText="180" w:rightFromText="180" w:vertAnchor="text" w:tblpXSpec="left" w:tblpY="1"/>
        <w:tblOverlap w:val="never"/>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tcBorders>
              <w:top w:val="single" w:color="auto" w:sz="4" w:space="0"/>
              <w:left w:val="single" w:color="auto" w:sz="4" w:space="0"/>
              <w:bottom w:val="single" w:color="auto" w:sz="4" w:space="0"/>
              <w:right w:val="single" w:color="auto" w:sz="4" w:space="0"/>
            </w:tcBorders>
            <w:shd w:val="clear" w:color="auto" w:fill="BEBEBE"/>
            <w:noWrap/>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93" w:name="_Toc17291"/>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九</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评价工作安排</w:t>
      </w:r>
      <w:bookmarkEnd w:id="93"/>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kern w:val="0"/>
          <w:sz w:val="28"/>
          <w:szCs w:val="28"/>
          <w:shd w:val="clear" w:color="auto" w:fill="FFFFFF"/>
          <w:lang w:val="en-US" w:eastAsia="zh-CN"/>
        </w:rPr>
        <w:t>1、</w:t>
      </w:r>
      <w:r>
        <w:rPr>
          <w:rFonts w:hint="eastAsia" w:ascii="Times New Roman" w:hAnsi="Times New Roman" w:eastAsia="仿宋" w:cs="Times New Roman"/>
          <w:bCs/>
          <w:kern w:val="0"/>
          <w:sz w:val="28"/>
          <w:szCs w:val="32"/>
          <w:lang w:val="en-US" w:eastAsia="zh-CN"/>
        </w:rPr>
        <w:t>评价准备阶段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2、评价实施阶段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3、报告撰写阶段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pPr>
        <w:spacing w:line="500" w:lineRule="exact"/>
        <w:ind w:firstLine="560" w:firstLineChars="200"/>
        <w:rPr>
          <w:rFonts w:ascii="Times New Roman" w:hAnsi="Times New Roman" w:eastAsia="仿宋" w:cs="Times New Roman"/>
          <w:b w:val="0"/>
          <w:bCs/>
          <w:sz w:val="28"/>
          <w:szCs w:val="28"/>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val="en-US" w:eastAsia="zh-CN"/>
        </w:rPr>
      </w:pPr>
      <w:bookmarkStart w:id="94" w:name="_Toc17428"/>
      <w:r>
        <w:rPr>
          <w:rFonts w:hint="eastAsia" w:ascii="仿宋" w:eastAsia="仿宋" w:cs="Times New Roman"/>
          <w:b/>
          <w:bCs/>
          <w:sz w:val="32"/>
          <w:szCs w:val="32"/>
          <w:lang w:val="en-US" w:eastAsia="zh-CN"/>
        </w:rPr>
        <w:t>（十）评价等级</w:t>
      </w:r>
      <w:bookmarkEnd w:id="94"/>
    </w:p>
    <w:p>
      <w:pPr>
        <w:spacing w:line="500" w:lineRule="exact"/>
        <w:ind w:firstLine="560" w:firstLineChars="200"/>
        <w:rPr>
          <w:rFonts w:ascii="Times New Roman" w:hAnsi="Times New Roman" w:eastAsia="仿宋" w:cs="Times New Roman"/>
          <w:b w:val="0"/>
          <w:bCs w:val="0"/>
          <w:color w:val="000000"/>
          <w:sz w:val="28"/>
          <w:szCs w:val="28"/>
          <w:lang w:val="en-US" w:eastAsia="zh-CN"/>
        </w:rPr>
      </w:pPr>
      <w:r>
        <w:rPr>
          <w:rFonts w:ascii="Times New Roman" w:hAnsi="Times New Roman" w:eastAsia="仿宋" w:cs="Times New Roman"/>
          <w:b w:val="0"/>
          <w:bCs w:val="0"/>
          <w:color w:val="000000"/>
          <w:sz w:val="28"/>
          <w:szCs w:val="28"/>
        </w:rPr>
        <w:t>根据《项目支出绩效评价管理办法》（财预〔2020〕10号）要求，绩效评价结果采取评分和评级相结合的方式。评价实行百分制，按照综合评分分级。本次绩效评价结果等级划分标准</w:t>
      </w:r>
      <w:r>
        <w:rPr>
          <w:rFonts w:ascii="Times New Roman" w:hAnsi="Times New Roman" w:eastAsia="仿宋" w:cs="Times New Roman"/>
          <w:b w:val="0"/>
          <w:bCs w:val="0"/>
          <w:color w:val="000000"/>
          <w:sz w:val="28"/>
          <w:szCs w:val="28"/>
          <w:lang w:val="en-US" w:eastAsia="zh-CN"/>
        </w:rPr>
        <w:t>如表3-</w:t>
      </w:r>
      <w:r>
        <w:rPr>
          <w:rFonts w:hint="eastAsia" w:ascii="Times New Roman" w:hAnsi="Times New Roman" w:eastAsia="仿宋" w:cs="Times New Roman"/>
          <w:b w:val="0"/>
          <w:bCs w:val="0"/>
          <w:color w:val="000000"/>
          <w:sz w:val="28"/>
          <w:szCs w:val="28"/>
          <w:lang w:val="en-US" w:eastAsia="zh-CN"/>
        </w:rPr>
        <w:t>2</w:t>
      </w:r>
      <w:r>
        <w:rPr>
          <w:rFonts w:ascii="Times New Roman" w:hAnsi="Times New Roman" w:eastAsia="仿宋" w:cs="Times New Roman"/>
          <w:b w:val="0"/>
          <w:bCs w:val="0"/>
          <w:color w:val="000000"/>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分值范围</w:t>
            </w:r>
          </w:p>
        </w:tc>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100≥X≥90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90＞X≥80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80＞X≥60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95" w:name="_Toc514537342"/>
      <w:bookmarkStart w:id="96" w:name="_Toc16899"/>
      <w:bookmarkStart w:id="97" w:name="_Toc519354509"/>
      <w:r>
        <w:rPr>
          <w:rFonts w:hint="eastAsia" w:ascii="Times New Roman" w:hAnsi="Times New Roman" w:eastAsia="黑体" w:cs="Times New Roman"/>
          <w:bCs/>
          <w:kern w:val="44"/>
          <w:sz w:val="32"/>
          <w:szCs w:val="32"/>
        </w:rPr>
        <w:t>四、绩效评价指标分析情况</w:t>
      </w:r>
      <w:bookmarkEnd w:id="95"/>
      <w:bookmarkEnd w:id="96"/>
      <w:bookmarkEnd w:id="9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98" w:name="_Toc1669"/>
      <w:bookmarkStart w:id="99" w:name="_Toc514537343"/>
      <w:r>
        <w:rPr>
          <w:rFonts w:hint="eastAsia" w:ascii="仿宋" w:eastAsia="仿宋" w:cs="Times New Roman"/>
          <w:b/>
          <w:bCs/>
          <w:sz w:val="32"/>
          <w:szCs w:val="32"/>
          <w:lang w:eastAsia="zh-CN"/>
        </w:rPr>
        <w:t>（一）分项分析与汇总</w:t>
      </w:r>
      <w:bookmarkEnd w:id="98"/>
      <w:bookmarkEnd w:id="99"/>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100" w:name="_Toc12732"/>
      <w:bookmarkStart w:id="101" w:name="_Toc17362"/>
      <w:bookmarkStart w:id="102" w:name="_Toc23016"/>
      <w:bookmarkStart w:id="103" w:name="_Toc26264"/>
      <w:bookmarkStart w:id="104" w:name="_Toc5485"/>
      <w:bookmarkStart w:id="105" w:name="_Toc528680466"/>
      <w:bookmarkStart w:id="106" w:name="_Toc22892"/>
      <w:bookmarkStart w:id="107" w:name="_Toc15229"/>
      <w:bookmarkStart w:id="108" w:name="_Toc27419"/>
      <w:bookmarkStart w:id="109" w:name="_Toc15599"/>
      <w:bookmarkStart w:id="110" w:name="_Toc528684141"/>
      <w:r>
        <w:rPr>
          <w:rFonts w:hint="eastAsia" w:ascii="Times New Roman" w:hAnsi="Times New Roman" w:eastAsia="仿宋" w:cs="Times New Roman"/>
          <w:b/>
          <w:bCs/>
          <w:kern w:val="2"/>
          <w:sz w:val="28"/>
          <w:szCs w:val="28"/>
          <w:lang w:val="en-US" w:eastAsia="zh-CN" w:bidi="ar-SA"/>
        </w:rPr>
        <w:t>1、决策分析</w:t>
      </w:r>
      <w:bookmarkEnd w:id="100"/>
      <w:bookmarkEnd w:id="101"/>
      <w:bookmarkEnd w:id="102"/>
      <w:bookmarkEnd w:id="103"/>
      <w:bookmarkEnd w:id="104"/>
      <w:bookmarkEnd w:id="105"/>
      <w:bookmarkEnd w:id="106"/>
      <w:bookmarkEnd w:id="107"/>
      <w:bookmarkEnd w:id="108"/>
      <w:bookmarkEnd w:id="109"/>
      <w:bookmarkEnd w:id="11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0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41"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A1项目立项</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A11</w:t>
            </w:r>
            <w:r>
              <w:rPr>
                <w:rFonts w:hint="eastAsia" w:ascii="仿宋" w:eastAsia="仿宋" w:cs="仿宋"/>
                <w:color w:val="000000"/>
                <w:kern w:val="0"/>
                <w:sz w:val="24"/>
                <w:szCs w:val="24"/>
                <w:lang w:val="en-US" w:eastAsia="zh-CN"/>
              </w:rPr>
              <w:t>立项依据充分性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A12立项程序规范性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A2绩效目标</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21</w:t>
            </w:r>
            <w:r>
              <w:rPr>
                <w:rFonts w:hint="eastAsia" w:ascii="仿宋" w:eastAsia="仿宋" w:cs="仿宋"/>
                <w:color w:val="000000"/>
                <w:kern w:val="0"/>
                <w:sz w:val="24"/>
                <w:szCs w:val="24"/>
              </w:rPr>
              <w:t>绩效目标合理性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22</w:t>
            </w:r>
            <w:r>
              <w:rPr>
                <w:rFonts w:hint="eastAsia" w:ascii="仿宋" w:eastAsia="仿宋" w:cs="仿宋"/>
                <w:color w:val="000000"/>
                <w:kern w:val="0"/>
                <w:sz w:val="24"/>
                <w:szCs w:val="24"/>
              </w:rPr>
              <w:t>绩效指标明确性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w:t>
            </w:r>
            <w:r>
              <w:rPr>
                <w:rFonts w:hint="eastAsia" w:ascii="仿宋" w:eastAsia="仿宋" w:cs="仿宋"/>
                <w:b w:val="0"/>
                <w:bCs w:val="0"/>
                <w:color w:val="000000"/>
                <w:kern w:val="0"/>
                <w:sz w:val="24"/>
                <w:szCs w:val="24"/>
                <w:lang w:val="en-US" w:eastAsia="zh-CN"/>
              </w:rPr>
              <w:t>3</w:t>
            </w:r>
            <w:r>
              <w:rPr>
                <w:rFonts w:hint="eastAsia" w:ascii="仿宋" w:eastAsia="仿宋" w:cs="仿宋"/>
                <w:b w:val="0"/>
                <w:bCs w:val="0"/>
                <w:color w:val="000000"/>
                <w:kern w:val="0"/>
                <w:sz w:val="24"/>
                <w:szCs w:val="24"/>
              </w:rPr>
              <w:t>资金</w:t>
            </w:r>
            <w:r>
              <w:rPr>
                <w:rFonts w:hint="eastAsia" w:ascii="仿宋" w:eastAsia="仿宋" w:cs="仿宋"/>
                <w:b w:val="0"/>
                <w:bCs w:val="0"/>
                <w:color w:val="000000"/>
                <w:kern w:val="0"/>
                <w:sz w:val="24"/>
                <w:szCs w:val="24"/>
                <w:lang w:val="en-US" w:eastAsia="zh-CN"/>
              </w:rPr>
              <w:t>投入</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A31</w:t>
            </w:r>
            <w:r>
              <w:rPr>
                <w:rFonts w:hint="eastAsia" w:ascii="仿宋" w:eastAsia="仿宋" w:cs="仿宋"/>
                <w:color w:val="000000"/>
                <w:kern w:val="0"/>
                <w:sz w:val="24"/>
                <w:szCs w:val="24"/>
              </w:rPr>
              <w:t>预算</w:t>
            </w:r>
            <w:r>
              <w:rPr>
                <w:rFonts w:hint="eastAsia" w:ascii="仿宋" w:eastAsia="仿宋" w:cs="仿宋"/>
                <w:color w:val="000000"/>
                <w:kern w:val="0"/>
                <w:sz w:val="24"/>
                <w:szCs w:val="24"/>
                <w:lang w:val="en-US" w:eastAsia="zh-CN"/>
              </w:rPr>
              <w:t>编制科学性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A32</w:t>
            </w:r>
            <w:r>
              <w:rPr>
                <w:rFonts w:hint="eastAsia" w:ascii="仿宋" w:eastAsia="仿宋" w:cs="仿宋"/>
                <w:color w:val="000000"/>
                <w:kern w:val="0"/>
                <w:sz w:val="24"/>
                <w:szCs w:val="24"/>
              </w:rPr>
              <w:t>资金分配合理性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A11</w:t>
      </w:r>
      <w:r>
        <w:rPr>
          <w:rFonts w:hint="eastAsia" w:ascii="仿宋" w:eastAsia="仿宋" w:cs="仿宋"/>
          <w:b/>
          <w:snapToGrid w:val="0"/>
          <w:sz w:val="28"/>
          <w:szCs w:val="28"/>
          <w:lang w:val="en-US" w:eastAsia="zh-CN"/>
        </w:rPr>
        <w:t>立项依据充分性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土地复垦条例》、《关于印发山西省采煤沉陷区综合治理工作方案（2016-2018年）的通知》（晋政发〔2016〕31号）、《省发展改革委、财政厅、自然资源厅、生态环境厅关于加快采煤沉陷区综合治理工作的通知》（晋发改地区发〔2019〕514号）、山西省自然资源厅《关于加快推进采煤沉陷区综合治理旧房拆除及土地复垦专项工作的通知》（晋自然资发〔2020〕21号）等文件作为依据，项目申报、审核、批复资料齐全、准确、符合相关要求，立项依据充分。根据评分标准，该项得满分。</w:t>
      </w:r>
    </w:p>
    <w:p>
      <w:pPr>
        <w:widowControl/>
        <w:spacing w:line="574" w:lineRule="exact"/>
        <w:ind w:firstLine="562" w:firstLineChars="200"/>
        <w:rPr>
          <w:rFonts w:ascii="仿宋" w:eastAsia="仿宋" w:cs="仿宋"/>
          <w:bCs/>
          <w:snapToGrid w:val="0"/>
          <w:sz w:val="28"/>
          <w:szCs w:val="28"/>
          <w:lang w:val="en-US" w:eastAsia="zh-CN"/>
        </w:rPr>
      </w:pPr>
      <w:r>
        <w:rPr>
          <w:rFonts w:hint="eastAsia" w:asci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古阳镇岳阳镇采煤沉陷区旧房拆除项目落实了省委、省政府采煤沉陷区综合治理工作思路，古县自然资源局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2</w:t>
      </w: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绩效目标</w:t>
      </w:r>
    </w:p>
    <w:p>
      <w:pPr>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满分4.00分，得分4.00分。古阳镇岳阳镇采煤沉陷区旧房拆除项目绩效目标为：</w:t>
      </w: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Times New Roman" w:hAnsi="Times New Roman" w:eastAsia="仿宋" w:cs="Times New Roman"/>
          <w:bCs w:val="0"/>
          <w:kern w:val="2"/>
          <w:sz w:val="28"/>
          <w:szCs w:val="28"/>
          <w:lang w:val="en-US" w:eastAsia="zh-CN" w:bidi="ar-SA"/>
        </w:rPr>
        <w:t>。项目有绩效目标，项目绩效目标与实际工作内容具有相关性，项目预期产出效益和效果符合正常的业绩水平，与预算确定的项目资金量相匹配。根据评分标准，该项得满分</w:t>
      </w:r>
      <w:r>
        <w:rPr>
          <w:rFonts w:hint="eastAsia" w:ascii="仿宋" w:eastAsia="仿宋" w:cs="仿宋"/>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自然资源局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w:t>
      </w:r>
      <w:r>
        <w:rPr>
          <w:rFonts w:hint="eastAsia" w:ascii="仿宋" w:eastAsia="仿宋" w:cs="仿宋"/>
          <w:snapToGrid w:val="0"/>
          <w:sz w:val="28"/>
          <w:szCs w:val="28"/>
          <w:lang w:val="en-US" w:eastAsia="zh-CN"/>
        </w:rPr>
        <w:t>3</w:t>
      </w:r>
      <w:r>
        <w:rPr>
          <w:rFonts w:hint="eastAsia" w:ascii="仿宋" w:eastAsia="仿宋" w:cs="仿宋"/>
          <w:snapToGrid w:val="0"/>
          <w:sz w:val="28"/>
          <w:szCs w:val="28"/>
        </w:rPr>
        <w:t>）资金</w:t>
      </w:r>
      <w:r>
        <w:rPr>
          <w:rFonts w:hint="eastAsia" w:ascii="仿宋" w:eastAsia="仿宋" w:cs="仿宋"/>
          <w:snapToGrid w:val="0"/>
          <w:sz w:val="28"/>
          <w:szCs w:val="28"/>
          <w:lang w:val="en-US" w:eastAsia="zh-CN"/>
        </w:rPr>
        <w:t>投入</w:t>
      </w:r>
    </w:p>
    <w:p>
      <w:pPr>
        <w:ind w:firstLine="562" w:firstLineChars="200"/>
        <w:rPr>
          <w:rFonts w:hint="eastAsia" w:ascii="仿宋" w:eastAsia="仿宋" w:cs="仿宋"/>
          <w:snapToGrid w:val="0"/>
          <w:sz w:val="28"/>
          <w:szCs w:val="28"/>
          <w:lang w:val="en-US" w:eastAsia="zh-CN"/>
        </w:rPr>
      </w:pPr>
      <w:r>
        <w:rPr>
          <w:rFonts w:hint="eastAsia" w:asci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古阳镇岳阳镇采煤沉陷区旧房拆除项目资金通过预算评审，项目资金是根据工作量综合确定，建设项目预算额度测算有相关依据，预算确定的项目投资额与工作任务相匹配，投资额涵盖本次项目涉及的所有内容。根据评分标准，该项得满分</w:t>
      </w:r>
      <w:r>
        <w:rPr>
          <w:rFonts w:hint="eastAsia" w:asci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32资金分配合理性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古阳镇岳阳镇采煤沉陷区旧房拆除项目，实际执行过程中，资金分配符合文件要求。根据评分标准，该项得满分。</w:t>
      </w:r>
      <w:bookmarkStart w:id="111" w:name="_Toc8610"/>
      <w:bookmarkStart w:id="112" w:name="_Toc18414"/>
      <w:bookmarkStart w:id="113" w:name="_Toc19896"/>
      <w:bookmarkStart w:id="114" w:name="_Toc528680467"/>
      <w:bookmarkStart w:id="115" w:name="_Toc528684142"/>
    </w:p>
    <w:p>
      <w:pPr>
        <w:ind w:firstLine="562" w:firstLineChars="200"/>
        <w:rPr>
          <w:rFonts w:hint="eastAsia" w:ascii="仿宋" w:eastAsia="仿宋" w:cs="仿宋"/>
          <w:b/>
          <w:snapToGrid w:val="0"/>
          <w:sz w:val="28"/>
          <w:szCs w:val="28"/>
        </w:rPr>
      </w:pPr>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过程分析</w:t>
      </w:r>
      <w:bookmarkEnd w:id="111"/>
      <w:bookmarkEnd w:id="112"/>
      <w:bookmarkEnd w:id="113"/>
      <w:bookmarkEnd w:id="114"/>
      <w:bookmarkEnd w:id="115"/>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过程类指标主要从资金到位率</w:t>
      </w:r>
      <w:r>
        <w:rPr>
          <w:rFonts w:hint="eastAsia" w:ascii="仿宋" w:eastAsia="仿宋" w:cs="仿宋"/>
          <w:snapToGrid w:val="0"/>
          <w:sz w:val="28"/>
          <w:szCs w:val="28"/>
          <w:lang w:eastAsia="zh-CN"/>
        </w:rPr>
        <w:t>、</w:t>
      </w:r>
      <w:r>
        <w:rPr>
          <w:rFonts w:hint="eastAsia" w:ascii="仿宋" w:eastAsia="仿宋" w:cs="仿宋"/>
          <w:snapToGrid w:val="0"/>
          <w:sz w:val="28"/>
          <w:szCs w:val="28"/>
        </w:rPr>
        <w:t>预算执行率</w:t>
      </w:r>
      <w:r>
        <w:rPr>
          <w:rFonts w:hint="eastAsia" w:ascii="仿宋" w:eastAsia="仿宋" w:cs="仿宋"/>
          <w:snapToGrid w:val="0"/>
          <w:sz w:val="28"/>
          <w:szCs w:val="28"/>
          <w:lang w:eastAsia="zh-CN"/>
        </w:rPr>
        <w:t>、</w:t>
      </w:r>
      <w:r>
        <w:rPr>
          <w:rFonts w:hint="eastAsia" w:ascii="仿宋" w:eastAsia="仿宋" w:cs="仿宋"/>
          <w:snapToGrid w:val="0"/>
          <w:sz w:val="28"/>
          <w:szCs w:val="28"/>
        </w:rPr>
        <w:t>资金使用合规性</w:t>
      </w:r>
      <w:r>
        <w:rPr>
          <w:rFonts w:hint="eastAsia" w:ascii="仿宋" w:eastAsia="仿宋" w:cs="仿宋"/>
          <w:snapToGrid w:val="0"/>
          <w:sz w:val="28"/>
          <w:szCs w:val="28"/>
          <w:lang w:eastAsia="zh-CN"/>
        </w:rPr>
        <w:t>、</w:t>
      </w:r>
      <w:r>
        <w:rPr>
          <w:rFonts w:hint="eastAsia" w:ascii="仿宋" w:eastAsia="仿宋" w:cs="仿宋"/>
          <w:snapToGrid w:val="0"/>
          <w:sz w:val="28"/>
          <w:szCs w:val="28"/>
        </w:rPr>
        <w:t>管理制度健全性</w:t>
      </w:r>
      <w:r>
        <w:rPr>
          <w:rFonts w:hint="eastAsia" w:ascii="仿宋" w:eastAsia="仿宋" w:cs="仿宋"/>
          <w:snapToGrid w:val="0"/>
          <w:sz w:val="28"/>
          <w:szCs w:val="28"/>
          <w:lang w:eastAsia="zh-CN"/>
        </w:rPr>
        <w:t>、</w:t>
      </w:r>
      <w:r>
        <w:rPr>
          <w:rFonts w:hint="eastAsia" w:ascii="仿宋" w:eastAsia="仿宋" w:cs="仿宋"/>
          <w:snapToGrid w:val="0"/>
          <w:sz w:val="28"/>
          <w:szCs w:val="28"/>
        </w:rPr>
        <w:t>制度执行有效性</w:t>
      </w:r>
      <w:r>
        <w:rPr>
          <w:rFonts w:hint="eastAsia" w:ascii="仿宋" w:eastAsia="仿宋" w:cs="仿宋"/>
          <w:snapToGrid w:val="0"/>
          <w:sz w:val="28"/>
          <w:szCs w:val="28"/>
          <w:lang w:val="en-US" w:eastAsia="zh-CN"/>
        </w:rPr>
        <w:t>5</w:t>
      </w:r>
      <w:r>
        <w:rPr>
          <w:rFonts w:hint="eastAsia" w:ascii="仿宋" w:eastAsia="仿宋" w:cs="仿宋"/>
          <w:snapToGrid w:val="0"/>
          <w:sz w:val="28"/>
          <w:szCs w:val="28"/>
        </w:rPr>
        <w:t>个指标考核该项目</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管理及</w:t>
      </w:r>
      <w:r>
        <w:rPr>
          <w:rFonts w:hint="eastAsia" w:ascii="仿宋" w:eastAsia="仿宋" w:cs="仿宋"/>
          <w:snapToGrid w:val="0"/>
          <w:sz w:val="28"/>
          <w:szCs w:val="28"/>
          <w:lang w:val="en-US" w:eastAsia="zh-CN"/>
        </w:rPr>
        <w:t>组织实施</w:t>
      </w:r>
      <w:r>
        <w:rPr>
          <w:rFonts w:hint="eastAsia" w:ascii="仿宋" w:eastAsia="仿宋" w:cs="仿宋"/>
          <w:snapToGrid w:val="0"/>
          <w:sz w:val="28"/>
          <w:szCs w:val="28"/>
        </w:rPr>
        <w:t>情况，</w:t>
      </w:r>
      <w:r>
        <w:rPr>
          <w:rFonts w:hint="eastAsia" w:ascii="仿宋" w:eastAsia="仿宋" w:cs="仿宋"/>
          <w:snapToGrid w:val="0"/>
          <w:color w:val="auto"/>
          <w:sz w:val="28"/>
          <w:szCs w:val="28"/>
        </w:rPr>
        <w:t>过程类指标权重20</w:t>
      </w:r>
      <w:r>
        <w:rPr>
          <w:rFonts w:hint="eastAsia" w:ascii="仿宋" w:eastAsia="仿宋" w:cs="仿宋"/>
          <w:snapToGrid w:val="0"/>
          <w:color w:val="auto"/>
          <w:sz w:val="28"/>
          <w:szCs w:val="28"/>
          <w:lang w:val="en-US" w:eastAsia="zh-CN"/>
        </w:rPr>
        <w:t>.00</w:t>
      </w:r>
      <w:r>
        <w:rPr>
          <w:rFonts w:hint="eastAsia" w:ascii="仿宋" w:eastAsia="仿宋" w:cs="仿宋"/>
          <w:snapToGrid w:val="0"/>
          <w:color w:val="auto"/>
          <w:sz w:val="28"/>
          <w:szCs w:val="28"/>
        </w:rPr>
        <w:t>分，实际得分</w:t>
      </w:r>
      <w:r>
        <w:rPr>
          <w:rFonts w:hint="eastAsia" w:ascii="仿宋" w:eastAsia="仿宋" w:cs="仿宋"/>
          <w:snapToGrid w:val="0"/>
          <w:color w:val="auto"/>
          <w:sz w:val="28"/>
          <w:szCs w:val="28"/>
          <w:lang w:val="en-US" w:eastAsia="zh-CN"/>
        </w:rPr>
        <w:t>14.00</w:t>
      </w:r>
      <w:r>
        <w:rPr>
          <w:rFonts w:hint="eastAsia" w:ascii="仿宋" w:eastAsia="仿宋" w:cs="仿宋"/>
          <w:snapToGrid w:val="0"/>
          <w:color w:val="auto"/>
          <w:sz w:val="28"/>
          <w:szCs w:val="28"/>
        </w:rPr>
        <w:t>分。指标得分情况如表4-2所示：</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47"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46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4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428"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资金</w:t>
            </w:r>
            <w:r>
              <w:rPr>
                <w:rFonts w:hint="eastAsia" w:ascii="仿宋" w:eastAsia="仿宋" w:cs="仿宋"/>
                <w:b w:val="0"/>
                <w:bCs w:val="0"/>
                <w:color w:val="000000"/>
                <w:kern w:val="0"/>
                <w:sz w:val="24"/>
                <w:szCs w:val="24"/>
              </w:rPr>
              <w:t>管理</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B11</w:t>
            </w:r>
            <w:r>
              <w:rPr>
                <w:rFonts w:hint="eastAsia" w:ascii="仿宋" w:eastAsia="仿宋" w:cs="仿宋"/>
                <w:b w:val="0"/>
                <w:bCs w:val="0"/>
                <w:color w:val="000000"/>
                <w:kern w:val="0"/>
                <w:sz w:val="24"/>
                <w:szCs w:val="24"/>
                <w:lang w:val="en-US" w:eastAsia="zh-CN"/>
              </w:rPr>
              <w:t>资金到位率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B12</w:t>
            </w:r>
            <w:r>
              <w:rPr>
                <w:rFonts w:hint="eastAsia" w:ascii="仿宋" w:eastAsia="仿宋" w:cs="仿宋"/>
                <w:b w:val="0"/>
                <w:bCs w:val="0"/>
                <w:color w:val="000000"/>
                <w:kern w:val="0"/>
                <w:sz w:val="24"/>
                <w:szCs w:val="24"/>
                <w:lang w:val="en-US" w:eastAsia="zh-CN"/>
              </w:rPr>
              <w:t>预算执行率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3资金使用合规性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rPr>
              <w:t>B2</w:t>
            </w:r>
            <w:r>
              <w:rPr>
                <w:rFonts w:hint="eastAsia" w:ascii="仿宋" w:eastAsia="仿宋" w:cs="仿宋"/>
                <w:b w:val="0"/>
                <w:bCs w:val="0"/>
                <w:color w:val="000000"/>
                <w:kern w:val="0"/>
                <w:sz w:val="24"/>
                <w:szCs w:val="24"/>
                <w:lang w:val="en-US" w:eastAsia="zh-CN"/>
              </w:rPr>
              <w:t>组织实施</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B21管理制度健全性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B22</w:t>
            </w:r>
            <w:r>
              <w:rPr>
                <w:rFonts w:hint="eastAsia" w:ascii="仿宋" w:eastAsia="仿宋" w:cs="仿宋"/>
                <w:b w:val="0"/>
                <w:bCs w:val="0"/>
                <w:color w:val="000000"/>
                <w:kern w:val="0"/>
                <w:sz w:val="24"/>
                <w:szCs w:val="24"/>
                <w:lang w:val="en-US" w:eastAsia="zh-CN"/>
              </w:rPr>
              <w:t>制度执行有效</w:t>
            </w:r>
            <w:r>
              <w:rPr>
                <w:rFonts w:hint="eastAsia" w:ascii="仿宋" w:eastAsia="仿宋" w:cs="仿宋"/>
                <w:b w:val="0"/>
                <w:bCs w:val="0"/>
                <w:color w:val="000000"/>
                <w:kern w:val="0"/>
                <w:sz w:val="24"/>
                <w:szCs w:val="24"/>
              </w:rPr>
              <w:t>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rPr>
            </w:pPr>
            <w:r>
              <w:rPr>
                <w:rFonts w:hint="eastAsia" w:ascii="仿宋" w:eastAsia="仿宋" w:cs="仿宋"/>
                <w:b w:val="0"/>
                <w:bCs w:val="0"/>
                <w:color w:val="000000"/>
                <w:kern w:val="0"/>
                <w:sz w:val="24"/>
                <w:szCs w:val="24"/>
                <w:lang w:val="en-US" w:eastAsia="zh-CN"/>
              </w:rPr>
              <w:t>6.00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合计</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w:t>
      </w:r>
    </w:p>
    <w:p>
      <w:pPr>
        <w:widowControl/>
        <w:spacing w:line="574" w:lineRule="exact"/>
        <w:ind w:firstLine="562" w:firstLineChars="200"/>
        <w:rPr>
          <w:rFonts w:hint="eastAsia" w:ascii="仿宋" w:eastAsia="仿宋" w:cs="仿宋"/>
          <w:b/>
          <w:snapToGrid w:val="0"/>
          <w:sz w:val="28"/>
          <w:szCs w:val="28"/>
        </w:rPr>
      </w:pPr>
      <w:r>
        <w:rPr>
          <w:rFonts w:hint="eastAsia" w:ascii="仿宋" w:eastAsia="仿宋" w:cs="仿宋"/>
          <w:b/>
          <w:snapToGrid w:val="0"/>
          <w:sz w:val="28"/>
          <w:szCs w:val="28"/>
          <w:lang w:val="en-US" w:eastAsia="zh-CN"/>
        </w:rPr>
        <w:t>B11</w:t>
      </w:r>
      <w:r>
        <w:rPr>
          <w:rFonts w:hint="eastAsia" w:asci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古县自然资源局申请古阳镇岳阳镇采煤沉陷区旧房拆除项目2020-2022年资金</w:t>
      </w:r>
      <w:r>
        <w:rPr>
          <w:rFonts w:hint="eastAsia" w:ascii="Times New Roman" w:hAnsi="Times New Roman" w:eastAsia="仿宋" w:cs="Times New Roman"/>
          <w:kern w:val="0"/>
          <w:sz w:val="28"/>
          <w:szCs w:val="28"/>
          <w:shd w:val="clear" w:color="auto" w:fill="FFFFFF"/>
          <w:lang w:val="en-US" w:eastAsia="zh-CN"/>
        </w:rPr>
        <w:t>616.55万元，资金到位616.55万元</w:t>
      </w:r>
      <w:r>
        <w:rPr>
          <w:rFonts w:hint="eastAsia" w:ascii="Times New Roman" w:hAnsi="Times New Roman" w:eastAsia="仿宋" w:cs="Times New Roman"/>
          <w:bCs w:val="0"/>
          <w:kern w:val="2"/>
          <w:sz w:val="28"/>
          <w:szCs w:val="28"/>
          <w:lang w:val="en-US" w:eastAsia="zh-CN" w:bidi="ar-SA"/>
        </w:rPr>
        <w:t>；资金到位率100.00%。根据评分标准，该项得满分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b w:val="0"/>
          <w:bCs/>
          <w:snapToGrid w:val="0"/>
          <w:sz w:val="28"/>
          <w:szCs w:val="28"/>
        </w:rPr>
      </w:pPr>
      <w:r>
        <w:rPr>
          <w:rFonts w:hint="eastAsia" w:ascii="仿宋" w:eastAsia="仿宋" w:cs="仿宋"/>
          <w:b/>
          <w:snapToGrid w:val="0"/>
          <w:sz w:val="28"/>
          <w:szCs w:val="28"/>
          <w:lang w:val="en-US" w:eastAsia="zh-CN"/>
        </w:rPr>
        <w:t>B12预算</w:t>
      </w:r>
      <w:r>
        <w:rPr>
          <w:rFonts w:hint="eastAsia" w:asci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4.00分。根据古县自然资源局提供的资料，截止2022年12月31日，项目共计到位资金616.55万元；截止2022年12月31日，古阳镇岳阳镇采煤沉陷区旧房拆除项目共计支出资金616.55万元。到位资金执行率100.00%。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lang w:val="en-US" w:eastAsia="zh-CN"/>
        </w:rPr>
        <w:t>B13</w:t>
      </w:r>
      <w:r>
        <w:rPr>
          <w:rFonts w:hint="eastAsia" w:asci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古阳镇岳阳镇采煤沉陷区旧房拆除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t>（2）组织实施</w:t>
      </w:r>
    </w:p>
    <w:p>
      <w:pPr>
        <w:widowControl/>
        <w:spacing w:line="574" w:lineRule="exact"/>
        <w:ind w:firstLine="562" w:firstLineChars="200"/>
        <w:rPr>
          <w:rFonts w:hint="eastAsia" w:ascii="仿宋" w:eastAsia="仿宋" w:cs="仿宋"/>
          <w:snapToGrid w:val="0"/>
          <w:sz w:val="28"/>
          <w:szCs w:val="28"/>
          <w:highlight w:val="yellow"/>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自然资源局在具体执行项目过程中，具有相应的业务、财务管理制度，相关业务、财务管理制度合法、合规、完整。根据评分标准，该项得满分</w:t>
      </w:r>
      <w:r>
        <w:rPr>
          <w:rFonts w:hint="eastAsia" w:ascii="仿宋" w:eastAsia="仿宋" w:cs="仿宋"/>
          <w:snapToGrid w:val="0"/>
          <w:sz w:val="28"/>
          <w:szCs w:val="28"/>
        </w:rPr>
        <w:t>。</w:t>
      </w:r>
    </w:p>
    <w:p>
      <w:pPr>
        <w:widowControl/>
        <w:spacing w:line="574" w:lineRule="exact"/>
        <w:ind w:firstLine="562" w:firstLineChars="200"/>
        <w:rPr>
          <w:rFonts w:ascii="仿宋" w:eastAsia="仿宋" w:cs="仿宋"/>
          <w:snapToGrid w:val="0"/>
          <w:sz w:val="28"/>
          <w:szCs w:val="28"/>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0.00分。该指标分析评价项目实施是否符合相关项目管理规定，是否为达到项目质量要求而采取了必需的措施，用以反映和考核项目管理有效性。根据古县自然资源局提供的资料，评价组发现，项目实施管理不到位：（1）项目涉及的5个子项目均未按期完成，未见古县自然资源局督促、协调施工方加快实施项目相关印证资料；（2）项目资金支付未按照合同约定的支付比例执行，5个标段合同约定的支付方式：预付款30%，工程完成后支付总价的50%；通过验收后支付总价的15%，通过验收后满一年支付总价的5%；实际5个标段已资金支付比例分别为69.91%、70.69%、70.18%、70.23%、70.18%；项目未按照合同约定工期及时完工。根据评分标准，该项得0.00分</w:t>
      </w:r>
      <w:r>
        <w:rPr>
          <w:rFonts w:hint="eastAsia" w:ascii="仿宋" w:eastAsia="仿宋" w:cs="仿宋"/>
          <w:snapToGrid w:val="0"/>
          <w:sz w:val="28"/>
          <w:szCs w:val="28"/>
        </w:rPr>
        <w:t>。</w:t>
      </w:r>
    </w:p>
    <w:p>
      <w:pPr>
        <w:widowControl/>
        <w:spacing w:line="574" w:lineRule="exact"/>
        <w:ind w:firstLine="562" w:firstLineChars="200"/>
        <w:outlineLvl w:val="2"/>
        <w:rPr>
          <w:rFonts w:hint="eastAsia" w:ascii="仿宋" w:eastAsia="仿宋" w:cs="仿宋"/>
          <w:b/>
          <w:snapToGrid w:val="0"/>
          <w:sz w:val="28"/>
          <w:szCs w:val="28"/>
        </w:rPr>
      </w:pPr>
      <w:bookmarkStart w:id="116" w:name="_Toc30848"/>
      <w:bookmarkStart w:id="117" w:name="_Toc18832"/>
      <w:bookmarkStart w:id="118" w:name="_Toc1853"/>
      <w:bookmarkStart w:id="119" w:name="_Toc30077"/>
      <w:bookmarkStart w:id="120" w:name="_Toc13039"/>
      <w:bookmarkStart w:id="121" w:name="_Toc7873"/>
      <w:bookmarkStart w:id="122" w:name="_Toc27638"/>
      <w:bookmarkStart w:id="123" w:name="_Toc528680468"/>
      <w:bookmarkStart w:id="124" w:name="_Toc23505"/>
      <w:bookmarkStart w:id="125" w:name="_Toc29696"/>
      <w:bookmarkStart w:id="126" w:name="_Toc528684143"/>
      <w:bookmarkStart w:id="127" w:name="_Toc11431"/>
      <w:bookmarkStart w:id="128" w:name="_Toc16432"/>
      <w:r>
        <w:rPr>
          <w:rFonts w:hint="eastAsia" w:ascii="仿宋" w:eastAsia="仿宋" w:cs="仿宋"/>
          <w:b/>
          <w:snapToGrid w:val="0"/>
          <w:sz w:val="28"/>
          <w:szCs w:val="28"/>
        </w:rPr>
        <w:t>3</w:t>
      </w:r>
      <w:r>
        <w:rPr>
          <w:rFonts w:hint="eastAsia" w:ascii="仿宋" w:eastAsia="仿宋" w:cs="仿宋"/>
          <w:b/>
          <w:snapToGrid w:val="0"/>
          <w:sz w:val="28"/>
          <w:szCs w:val="28"/>
          <w:lang w:eastAsia="zh-CN"/>
        </w:rPr>
        <w:t>、</w:t>
      </w:r>
      <w:r>
        <w:rPr>
          <w:rFonts w:hint="eastAsia" w:ascii="仿宋" w:eastAsia="仿宋" w:cs="仿宋"/>
          <w:b/>
          <w:snapToGrid w:val="0"/>
          <w:sz w:val="28"/>
          <w:szCs w:val="28"/>
        </w:rPr>
        <w:t>产出分析</w:t>
      </w:r>
      <w:bookmarkEnd w:id="116"/>
      <w:bookmarkEnd w:id="117"/>
      <w:bookmarkEnd w:id="118"/>
      <w:bookmarkEnd w:id="119"/>
      <w:bookmarkEnd w:id="120"/>
      <w:bookmarkEnd w:id="121"/>
      <w:bookmarkEnd w:id="122"/>
      <w:bookmarkEnd w:id="123"/>
      <w:bookmarkEnd w:id="124"/>
      <w:bookmarkEnd w:id="125"/>
      <w:bookmarkEnd w:id="126"/>
      <w:bookmarkEnd w:id="127"/>
      <w:bookmarkEnd w:id="128"/>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工程质量达标情况、项目完工及时性、项目验收及时性、成本节约率5个指标考察该项目产出数量、产出质量、产出时效、产出成本。产出类指标权重30.00分，实际得分22.00分。指标得分情况如表4-3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95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1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86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185"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asci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C21工程质量达标情况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602" w:type="dxa"/>
            <w:vMerge w:val="restart"/>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C32项目验收及时性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 计</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22.00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73.33%</w:t>
            </w:r>
          </w:p>
        </w:tc>
      </w:tr>
    </w:tbl>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产出数量</w:t>
      </w:r>
    </w:p>
    <w:p>
      <w:pPr>
        <w:widowControl/>
        <w:spacing w:line="574" w:lineRule="exact"/>
        <w:ind w:firstLine="562" w:firstLineChars="200"/>
        <w:rPr>
          <w:rFonts w:hint="eastAsia" w:ascii="仿宋" w:eastAsia="仿宋" w:cs="仿宋"/>
          <w:b/>
          <w:snapToGrid w:val="0"/>
          <w:sz w:val="28"/>
          <w:szCs w:val="28"/>
          <w:lang w:eastAsia="zh-CN"/>
        </w:rPr>
      </w:pPr>
      <w:r>
        <w:rPr>
          <w:rFonts w:hint="eastAsia" w:ascii="仿宋" w:eastAsia="仿宋" w:cs="仿宋"/>
          <w:b/>
          <w:snapToGrid w:val="0"/>
          <w:sz w:val="28"/>
          <w:szCs w:val="28"/>
          <w:lang w:val="en-US" w:eastAsia="zh-CN"/>
        </w:rPr>
        <w:t>C11项目完成情况</w:t>
      </w:r>
      <w:r>
        <w:rPr>
          <w:rFonts w:hint="eastAsia" w:asci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满分8.00分，得分8.00分。评价组现场调研了解到，截止2022年12月31日，古阳镇岳阳镇采煤沉陷区旧房拆除项目完工。根据评分标准，该项得满分</w:t>
      </w:r>
      <w:r>
        <w:rPr>
          <w:rFonts w:hint="eastAsia" w:ascii="仿宋" w:eastAsia="仿宋" w:cs="仿宋"/>
          <w:b w:val="0"/>
          <w:bCs/>
          <w:snapToGrid w:val="0"/>
          <w:sz w:val="28"/>
          <w:szCs w:val="28"/>
          <w:lang w:val="en-US" w:eastAsia="zh-CN"/>
        </w:rPr>
        <w:t>。</w:t>
      </w:r>
    </w:p>
    <w:p>
      <w:pPr>
        <w:spacing w:line="574" w:lineRule="exact"/>
        <w:ind w:firstLine="560" w:firstLineChars="200"/>
        <w:rPr>
          <w:rFonts w:hint="eastAsia" w:ascii="仿宋" w:eastAsia="仿宋" w:cs="仿宋"/>
          <w:b/>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产出质量</w:t>
      </w:r>
    </w:p>
    <w:p>
      <w:pPr>
        <w:spacing w:line="574" w:lineRule="exact"/>
        <w:ind w:firstLine="562" w:firstLineChars="200"/>
        <w:rPr>
          <w:rFonts w:hint="eastAsia" w:ascii="仿宋" w:eastAsia="仿宋" w:cs="仿宋"/>
          <w:b w:val="0"/>
          <w:bCs/>
          <w:snapToGrid w:val="0"/>
          <w:sz w:val="28"/>
          <w:szCs w:val="28"/>
          <w:lang w:val="en-US" w:eastAsia="zh-CN"/>
        </w:rPr>
      </w:pPr>
      <w:r>
        <w:rPr>
          <w:rFonts w:hint="eastAsia" w:ascii="仿宋" w:eastAsia="仿宋" w:cs="仿宋"/>
          <w:b/>
          <w:bCs/>
          <w:snapToGrid w:val="0"/>
          <w:sz w:val="28"/>
          <w:szCs w:val="28"/>
          <w:lang w:eastAsia="zh-CN"/>
        </w:rPr>
        <w:t>C21</w:t>
      </w:r>
      <w:r>
        <w:rPr>
          <w:rFonts w:hint="eastAsia" w:ascii="仿宋" w:eastAsia="仿宋" w:cs="仿宋"/>
          <w:b/>
          <w:bCs/>
          <w:snapToGrid w:val="0"/>
          <w:sz w:val="28"/>
          <w:szCs w:val="28"/>
          <w:lang w:val="en-US" w:eastAsia="zh-CN"/>
        </w:rPr>
        <w:t>工程质量达标情况</w:t>
      </w:r>
      <w:r>
        <w:rPr>
          <w:rFonts w:hint="eastAsia" w:asci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满分8.00分，得分8.00分。截止2022年12月31日，该项目完工，并进行了验收，工程质量合格。根据评分标准，该项得满分</w:t>
      </w:r>
      <w:r>
        <w:rPr>
          <w:rFonts w:hint="eastAsia" w:ascii="仿宋" w:eastAsia="仿宋" w:cs="仿宋"/>
          <w:b w:val="0"/>
          <w:bCs/>
          <w:snapToGrid w:val="0"/>
          <w:sz w:val="28"/>
          <w:szCs w:val="28"/>
          <w:lang w:val="en-US" w:eastAsia="zh-CN"/>
        </w:rPr>
        <w:t>。</w:t>
      </w:r>
    </w:p>
    <w:p>
      <w:pPr>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产出时效</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C31项目完工及时性：</w:t>
      </w:r>
      <w:r>
        <w:rPr>
          <w:rFonts w:hint="eastAsia" w:ascii="Times New Roman" w:hAnsi="Times New Roman" w:eastAsia="仿宋" w:cs="Times New Roman"/>
          <w:bCs w:val="0"/>
          <w:kern w:val="2"/>
          <w:sz w:val="28"/>
          <w:szCs w:val="28"/>
          <w:lang w:val="en-US" w:eastAsia="zh-CN" w:bidi="ar-SA"/>
        </w:rPr>
        <w:t>满分4.00分，得分4.00分。古阳镇岳阳镇采煤沉陷区旧房拆除项目涉及的5个标段计划开竣工时间均为2021年12月20日至2022年2月18日，5个标段项目均未及时完工。根据评分标准，该项得0.00分。</w:t>
      </w:r>
    </w:p>
    <w:p>
      <w:pPr>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bCs/>
          <w:snapToGrid w:val="0"/>
          <w:sz w:val="28"/>
          <w:szCs w:val="28"/>
          <w:lang w:eastAsia="zh-CN"/>
        </w:rPr>
        <w:t>C3</w:t>
      </w:r>
      <w:r>
        <w:rPr>
          <w:rFonts w:hint="eastAsia" w:ascii="仿宋" w:eastAsia="仿宋" w:cs="仿宋"/>
          <w:b/>
          <w:bCs/>
          <w:snapToGrid w:val="0"/>
          <w:sz w:val="28"/>
          <w:szCs w:val="28"/>
          <w:lang w:val="en-US" w:eastAsia="zh-CN"/>
        </w:rPr>
        <w:t>2</w:t>
      </w:r>
      <w:r>
        <w:rPr>
          <w:rFonts w:hint="eastAsia" w:ascii="仿宋" w:eastAsia="仿宋" w:cs="仿宋"/>
          <w:b/>
          <w:bCs/>
          <w:snapToGrid w:val="0"/>
          <w:sz w:val="28"/>
          <w:szCs w:val="28"/>
          <w:lang w:eastAsia="zh-CN"/>
        </w:rPr>
        <w:t>项目</w:t>
      </w:r>
      <w:r>
        <w:rPr>
          <w:rFonts w:hint="eastAsia" w:ascii="仿宋" w:eastAsia="仿宋" w:cs="仿宋"/>
          <w:b/>
          <w:bCs/>
          <w:snapToGrid w:val="0"/>
          <w:sz w:val="28"/>
          <w:szCs w:val="28"/>
          <w:lang w:val="en-US" w:eastAsia="zh-CN"/>
        </w:rPr>
        <w:t>验收</w:t>
      </w:r>
      <w:r>
        <w:rPr>
          <w:rFonts w:hint="eastAsia" w:ascii="仿宋" w:eastAsia="仿宋" w:cs="仿宋"/>
          <w:b/>
          <w:bCs/>
          <w:snapToGrid w:val="0"/>
          <w:sz w:val="28"/>
          <w:szCs w:val="28"/>
          <w:lang w:eastAsia="zh-CN"/>
        </w:rPr>
        <w:t>及时性：</w:t>
      </w:r>
      <w:r>
        <w:rPr>
          <w:rFonts w:hint="eastAsia" w:ascii="Times New Roman" w:hAnsi="Times New Roman" w:eastAsia="仿宋" w:cs="Times New Roman"/>
          <w:bCs w:val="0"/>
          <w:kern w:val="2"/>
          <w:sz w:val="28"/>
          <w:szCs w:val="28"/>
          <w:lang w:val="en-US" w:eastAsia="zh-CN" w:bidi="ar-SA"/>
        </w:rPr>
        <w:t>满分4.00分，得分0.00分。古阳镇岳阳镇采煤沉陷区旧房拆除项目完工不及时，造成项目无法按原计划及时验收。根据评分标准，该项得0.00分。</w:t>
      </w:r>
    </w:p>
    <w:p>
      <w:pPr>
        <w:pStyle w:val="2"/>
        <w:ind w:left="0" w:firstLine="560" w:firstLineChars="200"/>
        <w:rPr>
          <w:rFonts w:hint="eastAsia" w:ascii="仿宋" w:eastAsia="仿宋" w:cs="仿宋"/>
          <w:b w:val="0"/>
          <w:bCs/>
          <w:snapToGrid w:val="0"/>
          <w:sz w:val="28"/>
          <w:szCs w:val="28"/>
          <w:lang w:val="en-US" w:eastAsia="zh-CN"/>
        </w:rPr>
      </w:pPr>
      <w:r>
        <w:rPr>
          <w:rFonts w:hint="eastAsia" w:ascii="仿宋" w:eastAsia="仿宋" w:cs="仿宋"/>
          <w:b w:val="0"/>
          <w:bCs/>
          <w:snapToGrid w:val="0"/>
          <w:sz w:val="28"/>
          <w:szCs w:val="28"/>
          <w:lang w:val="en-US" w:eastAsia="zh-CN"/>
        </w:rPr>
        <w:t>（4）产出成本</w:t>
      </w:r>
    </w:p>
    <w:p>
      <w:pPr>
        <w:pStyle w:val="2"/>
        <w:ind w:left="0" w:firstLine="562" w:firstLineChars="200"/>
        <w:rPr>
          <w:rFonts w:ascii="Times New Roman" w:hAnsi="Times New Roman" w:eastAsia="仿宋" w:cs="Times New Roman"/>
          <w:bCs w:val="0"/>
          <w:kern w:val="2"/>
          <w:sz w:val="28"/>
          <w:szCs w:val="28"/>
          <w:lang w:val="en-US" w:eastAsia="zh-CN" w:bidi="ar-SA"/>
        </w:rPr>
      </w:pPr>
      <w:r>
        <w:rPr>
          <w:rFonts w:hint="eastAsia" w:asci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满分6.00分，得分6.00分。评价组现场调研和查阅相关资料了解到，古阳镇岳阳镇采煤沉陷区旧房拆除项目实施过程中未发现超支现象</w:t>
      </w:r>
      <w:r>
        <w:rPr>
          <w:rFonts w:hint="eastAsia" w:ascii="Times New Roman" w:hAnsi="Times New Roman" w:eastAsia="仿宋" w:cs="Times New Roman"/>
          <w:kern w:val="0"/>
          <w:sz w:val="28"/>
          <w:szCs w:val="28"/>
          <w:shd w:val="clear" w:color="auto" w:fill="FFFFFF"/>
          <w:lang w:val="en-US" w:eastAsia="zh-CN"/>
        </w:rPr>
        <w:t>。</w:t>
      </w:r>
      <w:r>
        <w:rPr>
          <w:rFonts w:hint="eastAsia" w:ascii="Times New Roman" w:hAnsi="Times New Roman" w:eastAsia="仿宋" w:cs="Times New Roman"/>
          <w:bCs w:val="0"/>
          <w:kern w:val="2"/>
          <w:sz w:val="28"/>
          <w:szCs w:val="28"/>
          <w:lang w:val="en-US" w:eastAsia="zh-CN" w:bidi="ar-SA"/>
        </w:rPr>
        <w:t>根据评分标准，该项得满分。</w:t>
      </w:r>
    </w:p>
    <w:p>
      <w:pPr>
        <w:spacing w:line="574" w:lineRule="exact"/>
        <w:ind w:firstLine="562" w:firstLineChars="200"/>
        <w:outlineLvl w:val="2"/>
        <w:rPr>
          <w:rFonts w:hint="eastAsia" w:ascii="仿宋" w:eastAsia="仿宋" w:cs="仿宋"/>
          <w:b/>
          <w:snapToGrid w:val="0"/>
          <w:sz w:val="28"/>
          <w:szCs w:val="28"/>
        </w:rPr>
      </w:pPr>
      <w:bookmarkStart w:id="129" w:name="_Toc8932"/>
      <w:bookmarkStart w:id="130" w:name="_Toc22268"/>
      <w:bookmarkStart w:id="131" w:name="_Toc31873"/>
      <w:bookmarkStart w:id="132" w:name="_Toc16076"/>
      <w:bookmarkStart w:id="133" w:name="_Toc29718"/>
      <w:bookmarkStart w:id="134" w:name="_Toc27935"/>
      <w:bookmarkStart w:id="135" w:name="_Toc528680469"/>
      <w:bookmarkStart w:id="136" w:name="_Toc19098"/>
      <w:bookmarkStart w:id="137" w:name="_Toc617"/>
      <w:bookmarkStart w:id="138" w:name="_Toc528684144"/>
      <w:bookmarkStart w:id="139" w:name="_Toc32468"/>
      <w:bookmarkStart w:id="140" w:name="_Toc28371"/>
      <w:bookmarkStart w:id="141" w:name="_Toc3853"/>
      <w:r>
        <w:rPr>
          <w:rFonts w:hint="eastAsia" w:ascii="仿宋" w:eastAsia="仿宋" w:cs="仿宋"/>
          <w:b/>
          <w:snapToGrid w:val="0"/>
          <w:sz w:val="28"/>
          <w:szCs w:val="28"/>
        </w:rPr>
        <w:t>4</w:t>
      </w:r>
      <w:r>
        <w:rPr>
          <w:rFonts w:hint="eastAsia" w:ascii="仿宋" w:eastAsia="仿宋" w:cs="仿宋"/>
          <w:b/>
          <w:snapToGrid w:val="0"/>
          <w:sz w:val="28"/>
          <w:szCs w:val="28"/>
          <w:lang w:eastAsia="zh-CN"/>
        </w:rPr>
        <w:t>、</w:t>
      </w:r>
      <w:r>
        <w:rPr>
          <w:rFonts w:hint="eastAsia" w:ascii="仿宋" w:eastAsia="仿宋" w:cs="仿宋"/>
          <w:b/>
          <w:snapToGrid w:val="0"/>
          <w:sz w:val="28"/>
          <w:szCs w:val="28"/>
        </w:rPr>
        <w:t>效益分析</w:t>
      </w:r>
      <w:bookmarkEnd w:id="129"/>
      <w:bookmarkEnd w:id="130"/>
      <w:bookmarkEnd w:id="131"/>
      <w:bookmarkEnd w:id="132"/>
      <w:bookmarkEnd w:id="133"/>
      <w:bookmarkEnd w:id="134"/>
      <w:bookmarkEnd w:id="135"/>
      <w:bookmarkEnd w:id="136"/>
      <w:bookmarkEnd w:id="137"/>
      <w:bookmarkEnd w:id="138"/>
      <w:bookmarkEnd w:id="139"/>
      <w:bookmarkEnd w:id="140"/>
      <w:bookmarkEnd w:id="141"/>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从年纯收益提升、新增耕地面积、农业生产条件改善、水土保持、可持续影响、受益对象满意度等6个指标考察经济效益、社会效益、生态效益、可持续影响、受益对象满意度情况。效益类指标权重30.00分，实际得分30.00分。指标得分情况如表4-4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二级指标</w:t>
            </w:r>
          </w:p>
        </w:tc>
        <w:tc>
          <w:tcPr>
            <w:tcW w:w="3109"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三级指标</w:t>
            </w:r>
          </w:p>
        </w:tc>
        <w:tc>
          <w:tcPr>
            <w:tcW w:w="842"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权重</w:t>
            </w:r>
          </w:p>
        </w:tc>
        <w:tc>
          <w:tcPr>
            <w:tcW w:w="1561"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w:t>
            </w:r>
          </w:p>
        </w:tc>
        <w:tc>
          <w:tcPr>
            <w:tcW w:w="1156"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D1经济效益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D11年纯收益提升</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D2社会效益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D21新增耕地面积</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D22农业生产条件改善</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D3生态效益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D31水土保持</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D4可持续影响</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D41可持续影响</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D5满意度</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D51受益对象满意度</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合 计</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bl>
    <w:p>
      <w:pPr>
        <w:widowControl/>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rPr>
        <w:t>D11年纯收益提升</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根据评分标准，该项得满分。</w:t>
      </w:r>
    </w:p>
    <w:p>
      <w:pPr>
        <w:widowControl/>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rPr>
        <w:t>D21新增耕地面积</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满分5.00分，得分5.00分。项目实施完成后，将可新增耕地面积4.1012公顷。根据评分标准，该项得满分。</w:t>
      </w:r>
    </w:p>
    <w:p>
      <w:pPr>
        <w:widowControl/>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rPr>
        <w:t>D22农业生产条件改善</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满分5.00分，得分5.00分。项目实施完成后，将</w:t>
      </w:r>
      <w:r>
        <w:rPr>
          <w:rFonts w:hint="eastAsia" w:ascii="Times New Roman" w:hAnsi="Times New Roman" w:eastAsia="仿宋" w:cs="Times New Roman"/>
          <w:kern w:val="0"/>
          <w:sz w:val="28"/>
          <w:szCs w:val="28"/>
          <w:shd w:val="clear" w:color="auto" w:fill="FFFFFF"/>
          <w:lang w:val="en-US" w:eastAsia="zh-CN"/>
        </w:rPr>
        <w:t>改善农业生产条件，提高耕地质量，增加耕地产出率。本项目实施以后，项目区农业生产状况得到改善，耕地质量全面提高，从而增加耕地产出率。</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仿宋" w:eastAsia="仿宋" w:cs="仿宋"/>
          <w:b/>
          <w:bCs w:val="0"/>
          <w:snapToGrid w:val="0"/>
          <w:sz w:val="28"/>
          <w:szCs w:val="28"/>
          <w:lang w:eastAsia="zh-CN"/>
        </w:rPr>
      </w:pPr>
      <w:r>
        <w:rPr>
          <w:rFonts w:hint="eastAsia" w:ascii="仿宋" w:eastAsia="仿宋" w:cs="仿宋"/>
          <w:b/>
          <w:bCs w:val="0"/>
          <w:snapToGrid w:val="0"/>
          <w:sz w:val="28"/>
          <w:szCs w:val="28"/>
        </w:rPr>
        <w:t>D31水土保持</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w:t>
      </w:r>
      <w:r>
        <w:rPr>
          <w:rFonts w:hint="eastAsia" w:ascii="Times New Roman" w:hAnsi="Times New Roman" w:eastAsia="仿宋" w:cs="Times New Roman"/>
          <w:kern w:val="0"/>
          <w:sz w:val="28"/>
          <w:szCs w:val="28"/>
          <w:shd w:val="clear" w:color="auto" w:fill="FFFFFF"/>
          <w:lang w:val="en-US" w:eastAsia="zh-CN"/>
        </w:rPr>
        <w:t>本项目通过工程措施，增施有机肥和土壤改良剂，土壤理化性状得到改善，提高土壤肥力水平，改善农作物生长环境，促进生态系统稳定和土地生产力的提高，同时恢复和新增林草地，增加林草植被覆盖，防治水土流失等。</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仿宋" w:eastAsia="仿宋" w:cs="仿宋"/>
          <w:b/>
          <w:bCs w:val="0"/>
          <w:snapToGrid w:val="0"/>
          <w:sz w:val="28"/>
          <w:szCs w:val="28"/>
          <w:lang w:eastAsia="zh-CN"/>
        </w:rPr>
      </w:pPr>
      <w:r>
        <w:rPr>
          <w:rFonts w:hint="eastAsia" w:ascii="仿宋" w:eastAsia="仿宋" w:cs="仿宋"/>
          <w:b/>
          <w:bCs w:val="0"/>
          <w:snapToGrid w:val="0"/>
          <w:sz w:val="28"/>
          <w:szCs w:val="28"/>
        </w:rPr>
        <w:t>D41可持续影响</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满分5.00分，得分5.00分。项目实施万册好难过后，预期</w:t>
      </w:r>
      <w:r>
        <w:rPr>
          <w:rFonts w:hint="eastAsia" w:ascii="Times New Roman" w:hAnsi="Times New Roman" w:eastAsia="仿宋" w:cs="Times New Roman"/>
          <w:kern w:val="0"/>
          <w:sz w:val="28"/>
          <w:szCs w:val="28"/>
          <w:shd w:val="clear" w:color="auto" w:fill="FFFFFF"/>
          <w:lang w:val="en-US" w:eastAsia="zh-CN"/>
        </w:rPr>
        <w:t>农业综合生产能力进一步得到提高，为建立现代农业奠定了良好的生态环境基础；有利于改善农业生产条件，耕地质量将得到全面改善，耕地产出效率将有所提高，促进土地资源的可持续利用。</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Times New Roman" w:hAnsi="Times New Roman" w:eastAsia="仿宋" w:cs="Times New Roman"/>
          <w:color w:val="000000"/>
          <w:sz w:val="28"/>
          <w:szCs w:val="28"/>
        </w:rPr>
      </w:pPr>
      <w:r>
        <w:rPr>
          <w:rFonts w:hint="eastAsia" w:ascii="仿宋" w:eastAsia="仿宋" w:cs="仿宋"/>
          <w:b/>
          <w:bCs w:val="0"/>
          <w:snapToGrid w:val="0"/>
          <w:sz w:val="28"/>
          <w:szCs w:val="28"/>
        </w:rPr>
        <w:t>D51受益对象满意度</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满分5.00分，得分5.00分。古阳镇岳阳镇采煤沉陷区旧房拆除项目的受益对象满意度分别为：90.10%、90.60%、98.40%、96.50%、94.90%。整体满意度为94.10%。根据评分标准，该项得满分</w:t>
      </w:r>
      <w:r>
        <w:rPr>
          <w:rFonts w:hint="eastAsia" w:ascii="仿宋" w:eastAsia="仿宋" w:cs="仿宋"/>
          <w:b w:val="0"/>
          <w:bCs/>
          <w:snapToGrid w:val="0"/>
          <w:color w:val="000000"/>
          <w:sz w:val="28"/>
          <w:szCs w:val="28"/>
          <w:lang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2" w:name="_Toc15791"/>
      <w:bookmarkStart w:id="143" w:name="_Toc514537344"/>
      <w:r>
        <w:rPr>
          <w:rFonts w:hint="eastAsia" w:ascii="仿宋" w:eastAsia="仿宋" w:cs="Times New Roman"/>
          <w:b/>
          <w:bCs/>
          <w:sz w:val="32"/>
          <w:szCs w:val="32"/>
          <w:lang w:eastAsia="zh-CN"/>
        </w:rPr>
        <w:t>（二）总体得分情况</w:t>
      </w:r>
      <w:bookmarkEnd w:id="142"/>
      <w:bookmarkEnd w:id="143"/>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宋体" w:eastAsia="宋体"/>
          <w:b/>
          <w:snapToGrid w:val="0"/>
          <w:sz w:val="24"/>
        </w:rPr>
      </w:pPr>
      <w:bookmarkStart w:id="144" w:name="_Toc528603080"/>
      <w:bookmarkStart w:id="145" w:name="_Toc514537345"/>
      <w:r>
        <w:rPr>
          <w:rFonts w:hint="eastAsia" w:ascii="Times New Roman" w:hAnsi="Times New Roman" w:eastAsia="仿宋" w:cs="Times New Roman"/>
          <w:b/>
          <w:bCs/>
          <w:color w:val="000000"/>
          <w:kern w:val="0"/>
          <w:sz w:val="24"/>
          <w:szCs w:val="28"/>
        </w:rPr>
        <w:t>表4-5 一级指标得分情况</w:t>
      </w:r>
      <w:bookmarkEnd w:id="144"/>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14.00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22.00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 xml:space="preserve">100.00 </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lang w:val="en-US" w:eastAsia="zh-CN"/>
        </w:rPr>
      </w:pPr>
      <w:bookmarkStart w:id="146" w:name="_Toc6210"/>
      <w:r>
        <w:rPr>
          <w:rFonts w:hint="eastAsia" w:ascii="Times New Roman" w:hAnsi="Times New Roman" w:eastAsia="黑体" w:cs="Times New Roman"/>
          <w:bCs/>
          <w:kern w:val="44"/>
          <w:sz w:val="32"/>
          <w:szCs w:val="32"/>
        </w:rPr>
        <w:t>五、综合评价情况</w:t>
      </w:r>
      <w:bookmarkEnd w:id="145"/>
      <w:r>
        <w:rPr>
          <w:rFonts w:hint="eastAsia" w:ascii="Times New Roman" w:hAnsi="Times New Roman" w:eastAsia="黑体" w:cs="Times New Roman"/>
          <w:bCs/>
          <w:kern w:val="44"/>
          <w:sz w:val="32"/>
          <w:szCs w:val="32"/>
          <w:lang w:val="en-US" w:eastAsia="zh-CN"/>
        </w:rPr>
        <w:t>及结论</w:t>
      </w:r>
      <w:bookmarkEnd w:id="146"/>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7" w:name="_Toc514537346"/>
      <w:bookmarkStart w:id="148" w:name="_Toc27397"/>
      <w:r>
        <w:rPr>
          <w:rFonts w:hint="eastAsia" w:ascii="仿宋" w:eastAsia="仿宋" w:cs="Times New Roman"/>
          <w:b/>
          <w:bCs/>
          <w:sz w:val="32"/>
          <w:szCs w:val="32"/>
          <w:lang w:eastAsia="zh-CN"/>
        </w:rPr>
        <w:t>（一）评分结果</w:t>
      </w:r>
      <w:bookmarkEnd w:id="147"/>
      <w:bookmarkEnd w:id="148"/>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依据项目基础信息统计，结合现场核查结果，按照评价小组制定并由专家组论证的评价指标体系，古阳镇岳阳镇采煤沉陷区旧房拆除项目支出绩效评价综合得分86.00分，评价等级为“良”</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9" w:name="_Toc514537347"/>
      <w:bookmarkStart w:id="150" w:name="_Toc21179"/>
      <w:r>
        <w:rPr>
          <w:rFonts w:hint="eastAsia" w:ascii="仿宋" w:eastAsia="仿宋" w:cs="Times New Roman"/>
          <w:b/>
          <w:bCs/>
          <w:sz w:val="32"/>
          <w:szCs w:val="32"/>
          <w:lang w:eastAsia="zh-CN"/>
        </w:rPr>
        <w:t>（二）主要结论</w:t>
      </w:r>
      <w:bookmarkEnd w:id="149"/>
      <w:bookmarkEnd w:id="150"/>
    </w:p>
    <w:p>
      <w:pPr>
        <w:widowControl/>
        <w:spacing w:line="574" w:lineRule="exact"/>
        <w:ind w:firstLine="560" w:firstLineChars="200"/>
        <w:rPr>
          <w:rFonts w:ascii="Times New Roman" w:hAnsi="Times New Roman" w:eastAsia="仿宋" w:cs="Times New Roman"/>
          <w:kern w:val="0"/>
          <w:sz w:val="28"/>
          <w:szCs w:val="24"/>
          <w:lang w:val="en-US" w:eastAsia="zh-CN" w:bidi="ar-SA"/>
        </w:rPr>
      </w:pPr>
      <w:bookmarkStart w:id="151"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项目按照规定的程序申请设立，古阳镇岳阳镇采煤沉陷区旧房拆除项目落实了省委、省政府采煤沉陷区综合治理工作思路</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项目产出方面，古阳镇岳阳镇采煤沉陷区旧房拆除项目完成不及时。</w:t>
      </w:r>
    </w:p>
    <w:p>
      <w:pPr>
        <w:widowControl/>
        <w:spacing w:line="574" w:lineRule="exact"/>
        <w:ind w:firstLine="560" w:firstLineChars="200"/>
        <w:rPr>
          <w:rFonts w:asci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项目效益方面，项目预期经济效益良好，预期社会效益良好，预期生态效益良好，项目具备可持续性，受益对象满意度较高</w:t>
      </w:r>
      <w:r>
        <w:rPr>
          <w:rFonts w:hint="eastAsia" w:ascii="仿宋" w:eastAsia="仿宋" w:cs="仿宋"/>
          <w:snapToGrid w:val="0"/>
          <w:sz w:val="28"/>
          <w:szCs w:val="28"/>
          <w:lang w:val="en-US" w:eastAsia="zh-CN"/>
        </w:rPr>
        <w:t>。</w:t>
      </w:r>
    </w:p>
    <w:bookmarkEnd w:id="151"/>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52" w:name="_Toc514537349"/>
      <w:bookmarkStart w:id="153" w:name="_Toc9548"/>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52"/>
      <w:bookmarkEnd w:id="153"/>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54" w:name="_Toc514537350"/>
      <w:bookmarkStart w:id="155" w:name="_Toc528680479"/>
      <w:bookmarkStart w:id="156" w:name="_Toc528684154"/>
      <w:bookmarkStart w:id="157" w:name="_Toc528603086"/>
      <w:bookmarkStart w:id="158" w:name="_Toc528680328"/>
      <w:bookmarkStart w:id="159" w:name="_Toc21358"/>
      <w:r>
        <w:rPr>
          <w:rFonts w:hint="eastAsia" w:ascii="仿宋" w:eastAsia="仿宋" w:cs="仿宋"/>
          <w:b/>
          <w:bCs/>
          <w:sz w:val="28"/>
          <w:szCs w:val="28"/>
          <w:lang w:eastAsia="zh-CN"/>
        </w:rPr>
        <w:t>（一）存在的问题</w:t>
      </w:r>
      <w:bookmarkEnd w:id="154"/>
      <w:bookmarkEnd w:id="155"/>
      <w:bookmarkEnd w:id="156"/>
      <w:bookmarkEnd w:id="157"/>
      <w:bookmarkEnd w:id="158"/>
      <w:bookmarkEnd w:id="159"/>
    </w:p>
    <w:p>
      <w:pPr>
        <w:spacing w:line="574" w:lineRule="exact"/>
        <w:ind w:firstLine="562" w:firstLineChars="200"/>
        <w:rPr>
          <w:rFonts w:ascii="仿宋" w:eastAsia="仿宋" w:cs="仿宋"/>
          <w:b/>
          <w:bCs w:val="0"/>
          <w:snapToGrid w:val="0"/>
          <w:sz w:val="28"/>
          <w:szCs w:val="28"/>
          <w:lang w:val="en-US" w:eastAsia="zh-CN"/>
        </w:rPr>
      </w:pPr>
      <w:bookmarkStart w:id="160" w:name="_Toc528603089"/>
      <w:bookmarkStart w:id="161" w:name="_Toc514537351"/>
      <w:r>
        <w:rPr>
          <w:rFonts w:hint="eastAsia" w:ascii="仿宋" w:eastAsia="仿宋" w:cs="仿宋"/>
          <w:b/>
          <w:bCs w:val="0"/>
          <w:snapToGrid w:val="0"/>
          <w:sz w:val="28"/>
          <w:szCs w:val="28"/>
          <w:lang w:val="en-US" w:eastAsia="zh-CN"/>
        </w:rPr>
        <w:t>1、项目中期跟踪监控不到位，项目资金未按合同约定支付。</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（1）项目涉及的5个子项目均未按期完成，未见古县自然资源局督促、协调施工方加快实施项目相关印证资料及中期检查、监控资料，项目实施全过程跟踪监控的缺失导致项目预期目标无法实现；</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2）项目资金支付未按照合同约定的支付比例执行，5个标段合同约定的支付方式：预付款30%，工程完成后支付总价的50%；通过验收后支付总价的15%，通过验收后满一年支付总价的5%；实际5个标段已资金支付比例分别为69.91%、70.69%、70.18%、70.23%、70.18%。</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2、项目进度管理不到位。</w:t>
      </w:r>
    </w:p>
    <w:p>
      <w:pPr>
        <w:spacing w:line="574" w:lineRule="exact"/>
        <w:ind w:left="0" w:firstLine="560" w:firstLineChars="200"/>
        <w:rPr>
          <w:rFonts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古阳镇岳阳镇采煤沉陷区旧房拆除项目涉及的5个标段计划开竣工时间均为2021年12月20日至2022年2月18日，5个标段项目均未及时完工，项目延期时间较长。</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62" w:name="_Toc528684155"/>
      <w:bookmarkStart w:id="163" w:name="_Toc528680480"/>
      <w:bookmarkStart w:id="164" w:name="_Toc528680329"/>
      <w:bookmarkStart w:id="165" w:name="_Toc20154"/>
      <w:r>
        <w:rPr>
          <w:rFonts w:hint="eastAsia" w:ascii="仿宋" w:eastAsia="仿宋" w:cs="仿宋"/>
          <w:b/>
          <w:bCs/>
          <w:sz w:val="28"/>
          <w:szCs w:val="28"/>
          <w:lang w:eastAsia="zh-CN"/>
        </w:rPr>
        <w:t>（二）改进建议</w:t>
      </w:r>
      <w:bookmarkEnd w:id="160"/>
      <w:bookmarkEnd w:id="161"/>
      <w:bookmarkEnd w:id="162"/>
      <w:bookmarkEnd w:id="163"/>
      <w:bookmarkEnd w:id="164"/>
      <w:bookmarkEnd w:id="165"/>
    </w:p>
    <w:p>
      <w:pPr>
        <w:spacing w:line="574" w:lineRule="exact"/>
        <w:ind w:firstLine="562" w:firstLineChars="200"/>
        <w:rPr>
          <w:rFonts w:ascii="Times New Roman" w:hAnsi="Times New Roman" w:eastAsia="仿宋"/>
          <w:b w:val="0"/>
          <w:bCs/>
          <w:snapToGrid w:val="0"/>
          <w:sz w:val="28"/>
          <w:szCs w:val="32"/>
          <w:lang w:val="en-US" w:eastAsia="zh-CN"/>
        </w:rPr>
      </w:pPr>
      <w:bookmarkStart w:id="166" w:name="_Toc514537353"/>
      <w:r>
        <w:rPr>
          <w:rFonts w:hint="eastAsia" w:ascii="Times New Roman" w:hAnsi="Times New Roman" w:eastAsia="仿宋"/>
          <w:b/>
          <w:bCs w:val="0"/>
          <w:snapToGrid w:val="0"/>
          <w:sz w:val="28"/>
          <w:szCs w:val="32"/>
          <w:lang w:val="en-US" w:eastAsia="zh-CN"/>
        </w:rPr>
        <w:t>1、加强项目全过程跟踪监控，及时督促施工方按期履约。</w:t>
      </w:r>
    </w:p>
    <w:p>
      <w:pPr>
        <w:spacing w:line="574" w:lineRule="exact"/>
        <w:ind w:left="0" w:firstLine="560" w:firstLineChars="200"/>
        <w:rPr>
          <w:rFonts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建议古县自然资源局加强项目项目全过程跟踪监控，加强项目进度管理，及时督促施工方按期履约；同时，明确违约处罚条款，对于施工方延期时间过长的情况，采用扣减施工费用等惩戒措施，倒逼施工方加快项目进度。</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2、严格按照合同约定执行，防范履约风险。</w:t>
      </w:r>
    </w:p>
    <w:p>
      <w:pPr>
        <w:spacing w:line="574" w:lineRule="exact"/>
        <w:ind w:firstLine="560" w:firstLineChars="200"/>
        <w:rPr>
          <w:rFonts w:ascii="仿宋" w:eastAsia="仿宋" w:cs="仿宋"/>
          <w:b w:val="0"/>
          <w:bCs w:val="0"/>
          <w:snapToGrid w:val="0"/>
          <w:sz w:val="28"/>
          <w:szCs w:val="28"/>
          <w:lang w:val="en-US" w:eastAsia="zh-CN"/>
        </w:rPr>
      </w:pPr>
      <w:r>
        <w:rPr>
          <w:rFonts w:hint="eastAsia" w:ascii="仿宋" w:eastAsia="仿宋" w:cs="仿宋"/>
          <w:b w:val="0"/>
          <w:bCs w:val="0"/>
          <w:snapToGrid w:val="0"/>
          <w:sz w:val="28"/>
          <w:szCs w:val="28"/>
          <w:lang w:val="en-US" w:eastAsia="zh-CN"/>
        </w:rPr>
        <w:t>建议古县自然资源局严格履行合同约定的资金支付比例，预付款30%，工程完成后支付总价的50%；通过验收后支付总价的15%，通过验收后满一年支付总价的5%；避免资金支付与合同约定不一致造成的履约风险。</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67" w:name="_Toc9772"/>
      <w:r>
        <w:rPr>
          <w:rFonts w:hint="eastAsia" w:ascii="Times New Roman" w:hAnsi="Times New Roman" w:eastAsia="黑体" w:cs="Times New Roman"/>
          <w:bCs/>
          <w:kern w:val="44"/>
          <w:sz w:val="32"/>
          <w:szCs w:val="32"/>
          <w:lang w:val="en-US" w:eastAsia="zh-CN"/>
        </w:rPr>
        <w:t>七、绩效评价结果应用建议</w:t>
      </w:r>
      <w:bookmarkEnd w:id="166"/>
      <w:bookmarkEnd w:id="167"/>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8" w:name="_Toc29457"/>
      <w:bookmarkStart w:id="169" w:name="_Toc521418325"/>
      <w:r>
        <w:rPr>
          <w:rFonts w:hint="eastAsia" w:ascii="Times New Roman" w:hAnsi="Times New Roman" w:eastAsia="仿宋" w:cs="Times New Roman"/>
          <w:b/>
          <w:bCs/>
          <w:kern w:val="2"/>
          <w:sz w:val="28"/>
          <w:szCs w:val="28"/>
          <w:lang w:val="en-US" w:eastAsia="zh-CN" w:bidi="ar-SA"/>
        </w:rPr>
        <w:t>（一）</w:t>
      </w:r>
      <w:bookmarkEnd w:id="168"/>
      <w:bookmarkEnd w:id="169"/>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70" w:name="_Toc521418326"/>
      <w:bookmarkStart w:id="171" w:name="_Toc517532006"/>
      <w:bookmarkStart w:id="172" w:name="_Toc19568"/>
      <w:r>
        <w:rPr>
          <w:rFonts w:hint="eastAsia" w:ascii="Times New Roman" w:hAnsi="Times New Roman" w:eastAsia="仿宋" w:cs="Times New Roman"/>
          <w:b/>
          <w:bCs/>
          <w:kern w:val="2"/>
          <w:sz w:val="28"/>
          <w:szCs w:val="28"/>
          <w:lang w:val="en-US" w:eastAsia="zh-CN" w:bidi="ar-SA"/>
        </w:rPr>
        <w:t>（二）充分利用绩效结果，</w:t>
      </w:r>
      <w:bookmarkEnd w:id="170"/>
      <w:bookmarkEnd w:id="171"/>
      <w:r>
        <w:rPr>
          <w:rFonts w:hint="eastAsia" w:ascii="Times New Roman" w:hAnsi="Times New Roman" w:eastAsia="仿宋" w:cs="Times New Roman"/>
          <w:b/>
          <w:bCs/>
          <w:kern w:val="2"/>
          <w:sz w:val="28"/>
          <w:szCs w:val="28"/>
          <w:lang w:val="en-US" w:eastAsia="zh-CN" w:bidi="ar-SA"/>
        </w:rPr>
        <w:t>落实问题整改机制。</w:t>
      </w:r>
      <w:bookmarkEnd w:id="172"/>
    </w:p>
    <w:p>
      <w:pPr>
        <w:spacing w:line="574" w:lineRule="exact"/>
        <w:ind w:firstLine="560" w:firstLineChars="200"/>
        <w:rPr>
          <w:rFonts w:ascii="黑体" w:eastAsia="黑体"/>
          <w:snapToGrid w:val="0"/>
          <w:sz w:val="32"/>
          <w:szCs w:val="32"/>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73" w:name="_Toc514537354"/>
      <w:r>
        <w:rPr>
          <w:rFonts w:hint="eastAsia" w:ascii="Times New Roman" w:hAnsi="Times New Roman" w:eastAsia="仿宋" w:cs="Times New Roman"/>
          <w:bCs w:val="0"/>
          <w:kern w:val="2"/>
          <w:sz w:val="28"/>
          <w:szCs w:val="28"/>
          <w:lang w:val="en-US" w:eastAsia="zh-CN" w:bidi="ar-SA"/>
        </w:rPr>
        <w:t>。</w:t>
      </w:r>
      <w:r>
        <w:rPr>
          <w:rFonts w:hint="eastAsia" w:ascii="仿宋_GB2312" w:eastAsia="仿宋_GB2312" w:cs="仿宋_GB2312"/>
          <w:b/>
          <w:sz w:val="32"/>
          <w:szCs w:val="32"/>
        </w:rPr>
        <w:t xml:space="preserve">    </w:t>
      </w:r>
    </w:p>
    <w:p>
      <w:pPr>
        <w:widowControl/>
        <w:spacing w:line="574" w:lineRule="exact"/>
        <w:jc w:val="left"/>
        <w:outlineLvl w:val="0"/>
        <w:rPr>
          <w:rFonts w:ascii="黑体" w:eastAsia="黑体"/>
          <w:snapToGrid w:val="0"/>
          <w:sz w:val="32"/>
          <w:szCs w:val="32"/>
        </w:rPr>
      </w:pPr>
      <w:bookmarkStart w:id="174" w:name="_Toc29833"/>
      <w:r>
        <w:rPr>
          <w:rFonts w:ascii="黑体" w:eastAsia="黑体"/>
          <w:snapToGrid w:val="0"/>
          <w:sz w:val="32"/>
          <w:szCs w:val="32"/>
        </w:rPr>
        <w:t>附件</w:t>
      </w:r>
      <w:r>
        <w:rPr>
          <w:rFonts w:hint="eastAsia" w:ascii="黑体" w:eastAsia="黑体"/>
          <w:snapToGrid w:val="0"/>
          <w:sz w:val="32"/>
          <w:szCs w:val="32"/>
        </w:rPr>
        <w:t>1：评价指标体系</w:t>
      </w:r>
      <w:bookmarkEnd w:id="174"/>
    </w:p>
    <w:tbl>
      <w:tblPr>
        <w:tblStyle w:val="19"/>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356"/>
        <w:gridCol w:w="529"/>
        <w:gridCol w:w="529"/>
        <w:gridCol w:w="121"/>
        <w:gridCol w:w="394"/>
        <w:gridCol w:w="6029"/>
        <w:gridCol w:w="6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5" w:hRule="atLeast"/>
          <w:tblHead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noWrap/>
          </w:tcPr>
          <w:p>
            <w:pPr>
              <w:widowControl/>
              <w:spacing w:before="94" w:beforeLines="30" w:after="94" w:afterLines="30" w:line="400" w:lineRule="exact"/>
              <w:jc w:val="center"/>
              <w:textAlignment w:val="center"/>
              <w:rPr>
                <w:rFonts w:ascii="Times New Roman" w:hAnsi="Times New Roman" w:eastAsia="仿宋" w:cs="Times New Roman"/>
                <w:b/>
                <w:color w:val="000000"/>
                <w:sz w:val="24"/>
                <w:szCs w:val="24"/>
                <w:highlight w:val="none"/>
              </w:rPr>
            </w:pPr>
            <w:bookmarkStart w:id="175"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7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93" w:hRule="atLeast"/>
          <w:tblHeader/>
        </w:trPr>
        <w:tc>
          <w:tcPr>
            <w:tcW w:w="42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一级指标</w:t>
            </w: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二级指标</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三级指标</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权重</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目标值</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指标解释</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656" w:hRule="atLeast"/>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决策（20）</w:t>
            </w: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A1项目立项（6）</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A11项目立项充分性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充分</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项目立项是否符合法律法规、相关政策、发展规划以及部门职责，用以反映和考核项目立项依据情况。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672"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A12立项依据规范性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规范</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项目申请、设立过程是否符合相关要求，用以反映和考核项目立项的规范情况。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①项目是否按照规定的程序申请设立；②审批文件、材料是否符合相关要求；③事前是否已经过必要的可行性研究、专家论证、风险评估、绩效评估、集体决策</w:t>
            </w:r>
            <w:r>
              <w:rPr>
                <w:rFonts w:hint="eastAsia" w:ascii="宋体" w:eastAsia="宋体" w:cs="宋体"/>
                <w:color w:val="000000"/>
                <w:kern w:val="0"/>
                <w:sz w:val="24"/>
                <w:szCs w:val="24"/>
                <w:highlight w:val="none"/>
              </w:rPr>
              <w:t>。</w:t>
            </w:r>
            <w:r>
              <w:rPr>
                <w:rFonts w:hint="eastAsia" w:ascii="Times New Roman" w:hAnsi="Times New Roman" w:eastAsia="仿宋" w:cs="Times New Roman"/>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61"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A2绩效目标（8）</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21</w:t>
            </w:r>
            <w:r>
              <w:rPr>
                <w:rFonts w:ascii="Times New Roman" w:hAnsi="Times New Roman" w:eastAsia="仿宋" w:cs="Times New Roman"/>
                <w:color w:val="000000"/>
                <w:kern w:val="0"/>
                <w:sz w:val="24"/>
                <w:szCs w:val="24"/>
                <w:highlight w:val="none"/>
              </w:rPr>
              <w:t>绩效目标设置合理性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sz w:val="24"/>
                <w:szCs w:val="24"/>
                <w:highlight w:val="none"/>
              </w:rPr>
              <w:t>4.00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合理</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项目所设定的绩效目标是否依据充分，是否符合客观实际，用以反映和考核项目绩效目标与项目实施的相符情况。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bCs/>
                <w:color w:val="000000"/>
                <w:kern w:val="0"/>
                <w:sz w:val="24"/>
                <w:szCs w:val="24"/>
                <w:highlight w:val="none"/>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672"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22</w:t>
            </w:r>
            <w:r>
              <w:rPr>
                <w:rFonts w:ascii="Times New Roman" w:hAnsi="Times New Roman" w:eastAsia="仿宋" w:cs="Times New Roman"/>
                <w:color w:val="000000"/>
                <w:kern w:val="0"/>
                <w:sz w:val="24"/>
                <w:szCs w:val="24"/>
                <w:highlight w:val="none"/>
              </w:rPr>
              <w:t>绩效</w:t>
            </w:r>
            <w:r>
              <w:rPr>
                <w:rFonts w:hint="eastAsia" w:ascii="Times New Roman" w:hAnsi="Times New Roman" w:eastAsia="仿宋" w:cs="Times New Roman"/>
                <w:color w:val="000000"/>
                <w:kern w:val="0"/>
                <w:sz w:val="24"/>
                <w:szCs w:val="24"/>
                <w:highlight w:val="none"/>
              </w:rPr>
              <w:t>指标</w:t>
            </w:r>
            <w:r>
              <w:rPr>
                <w:rFonts w:ascii="Times New Roman" w:hAnsi="Times New Roman" w:eastAsia="仿宋" w:cs="Times New Roman"/>
                <w:color w:val="000000"/>
                <w:kern w:val="0"/>
                <w:sz w:val="24"/>
                <w:szCs w:val="24"/>
                <w:highlight w:val="none"/>
              </w:rPr>
              <w:t>明确性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明确</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kern w:val="0"/>
                <w:sz w:val="24"/>
                <w:szCs w:val="24"/>
                <w:highlight w:val="none"/>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00"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A3资金投入（6）</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1</w:t>
            </w:r>
            <w:r>
              <w:rPr>
                <w:rFonts w:hint="eastAsia" w:ascii="Times New Roman" w:hAnsi="Times New Roman" w:eastAsia="仿宋" w:cs="Times New Roman"/>
                <w:color w:val="000000"/>
                <w:kern w:val="0"/>
                <w:sz w:val="24"/>
                <w:szCs w:val="24"/>
                <w:highlight w:val="none"/>
              </w:rPr>
              <w:t>预算编制科学性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科学</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2</w:t>
            </w:r>
            <w:r>
              <w:rPr>
                <w:rFonts w:hint="eastAsia" w:ascii="Times New Roman" w:hAnsi="Times New Roman" w:eastAsia="仿宋" w:cs="Times New Roman"/>
                <w:color w:val="000000"/>
                <w:kern w:val="0"/>
                <w:sz w:val="24"/>
                <w:szCs w:val="24"/>
                <w:highlight w:val="none"/>
              </w:rPr>
              <w:t>资金分配合理性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3.00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合理</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311" w:hRule="atLeast"/>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B过程（20分）</w:t>
            </w: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B1资金管理（12分）</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B11资金到位率</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100%</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rPr>
              <w:t>②资金到位率=（实际到位资金/预算资金）×100%；③实际到位资金：一定时期（本年度或项目期）内实际落实到具体项目的资金；④预算资金：一定时期（本年度或项目期内预算安排到具体项目的资金。</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B12</w:t>
            </w:r>
            <w:r>
              <w:rPr>
                <w:rFonts w:hint="eastAsia" w:ascii="Times New Roman" w:hAnsi="Times New Roman" w:eastAsia="仿宋" w:cs="Times New Roman"/>
                <w:color w:val="000000"/>
                <w:kern w:val="0"/>
                <w:sz w:val="24"/>
                <w:szCs w:val="24"/>
                <w:highlight w:val="none"/>
              </w:rPr>
              <w:t>预算执行率</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≥90%</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①项目预算资金是否按照计划执行，用以反映或考核项目预算执行情况。②预算执行率=（实际支出资金/实际到位资金）×100%；③实际支出资金：一定时期（本年度或项目期）内项目实际拨付的资金。</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00"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rPr>
              <w:t>资金使用合规性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项目资金使用是否符合相关的财务管理制度规定，用以反映和考核项目资金的规范运行情况。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是否符合国家财经法规和财务管理制度以及有关专项资金管理办法的规定；</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资金的拨付是否有完整的审批程序和手续；</w:t>
            </w:r>
            <w:r>
              <w:rPr>
                <w:rFonts w:hint="eastAsia" w:ascii="宋体" w:eastAsia="宋体" w:cs="宋体"/>
                <w:color w:val="000000"/>
                <w:kern w:val="0"/>
                <w:sz w:val="24"/>
                <w:szCs w:val="24"/>
                <w:highlight w:val="none"/>
              </w:rPr>
              <w:t>③</w:t>
            </w:r>
            <w:r>
              <w:rPr>
                <w:rFonts w:ascii="Times New Roman" w:hAnsi="Times New Roman" w:eastAsia="仿宋" w:cs="Times New Roman"/>
                <w:color w:val="000000"/>
                <w:kern w:val="0"/>
                <w:sz w:val="24"/>
                <w:szCs w:val="24"/>
                <w:highlight w:val="none"/>
              </w:rPr>
              <w:t>是否符合项目预算批复或文件规定的用途；</w:t>
            </w:r>
            <w:r>
              <w:rPr>
                <w:rFonts w:hint="eastAsia" w:ascii="宋体" w:eastAsia="宋体" w:cs="宋体"/>
                <w:color w:val="000000"/>
                <w:kern w:val="0"/>
                <w:sz w:val="24"/>
                <w:szCs w:val="24"/>
                <w:highlight w:val="none"/>
              </w:rPr>
              <w:t>④</w:t>
            </w:r>
            <w:r>
              <w:rPr>
                <w:rFonts w:ascii="Times New Roman" w:hAnsi="Times New Roman" w:eastAsia="仿宋" w:cs="Times New Roman"/>
                <w:color w:val="000000"/>
                <w:kern w:val="0"/>
                <w:sz w:val="24"/>
                <w:szCs w:val="24"/>
                <w:highlight w:val="none"/>
              </w:rPr>
              <w:t>是否存在截留、挤占、挪用、虚列支出等情况</w:t>
            </w:r>
            <w:r>
              <w:rPr>
                <w:rFonts w:hint="eastAsia" w:ascii="Times New Roman" w:hAnsi="Times New Roman" w:eastAsia="仿宋" w:cs="Times New Roman"/>
                <w:color w:val="000000"/>
                <w:kern w:val="0"/>
                <w:sz w:val="24"/>
                <w:szCs w:val="24"/>
                <w:highlight w:val="none"/>
              </w:rPr>
              <w:t>。</w:t>
            </w:r>
            <w:r>
              <w:rPr>
                <w:rFonts w:ascii="Times New Roman" w:hAnsi="Times New Roman" w:eastAsia="仿宋" w:cs="Times New Roman"/>
                <w:color w:val="000000"/>
                <w:kern w:val="0"/>
                <w:sz w:val="24"/>
                <w:szCs w:val="24"/>
                <w:highlight w:val="none"/>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B2组织实施（8）</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B21管理制度健全性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健全</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B22制度执行有效性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6</w:t>
            </w:r>
            <w:r>
              <w:rPr>
                <w:rFonts w:ascii="Times New Roman" w:hAnsi="Times New Roman" w:eastAsia="仿宋" w:cs="Times New Roman"/>
                <w:color w:val="000000"/>
                <w:kern w:val="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有效</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项目实施是否符合相关管理规定，用以反映和考核相关管理制度的有效执行情况。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rPr>
              <w:t>存在一项未按规定执行的，扣权重分的</w:t>
            </w:r>
            <w:r>
              <w:rPr>
                <w:rFonts w:hint="eastAsia" w:ascii="Times New Roman" w:hAnsi="Times New Roman" w:eastAsia="仿宋" w:cs="Times New Roman"/>
                <w:color w:val="000000"/>
                <w:kern w:val="0"/>
                <w:sz w:val="24"/>
                <w:szCs w:val="24"/>
                <w:highlight w:val="none"/>
              </w:rPr>
              <w:t>25</w:t>
            </w:r>
            <w:r>
              <w:rPr>
                <w:rFonts w:ascii="Times New Roman" w:hAnsi="Times New Roman" w:eastAsia="仿宋" w:cs="Times New Roman"/>
                <w:color w:val="000000"/>
                <w:kern w:val="0"/>
                <w:sz w:val="24"/>
                <w:szCs w:val="24"/>
                <w:highlight w:val="none"/>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017" w:hRule="atLeast"/>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子项目全部完成，得满分；出现1个子项目未完成未建成扣20%权重分，扣完为止</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考核项目的质量是否达到国家、省市级</w:t>
            </w:r>
            <w:r>
              <w:rPr>
                <w:rFonts w:hint="eastAsia" w:ascii="Times New Roman" w:hAnsi="Times New Roman" w:eastAsia="仿宋" w:cs="Times New Roman"/>
                <w:color w:val="000000"/>
                <w:kern w:val="0"/>
                <w:sz w:val="24"/>
                <w:szCs w:val="24"/>
                <w:highlight w:val="none"/>
                <w:lang w:val="en-US" w:eastAsia="zh-CN"/>
              </w:rPr>
              <w:t>要求</w:t>
            </w:r>
            <w:r>
              <w:rPr>
                <w:rFonts w:ascii="Times New Roman" w:hAnsi="Times New Roman" w:eastAsia="仿宋" w:cs="Times New Roman"/>
                <w:color w:val="000000"/>
                <w:kern w:val="0"/>
                <w:sz w:val="24"/>
                <w:szCs w:val="24"/>
                <w:highlight w:val="none"/>
              </w:rPr>
              <w:t>、</w:t>
            </w:r>
            <w:r>
              <w:rPr>
                <w:rFonts w:hint="eastAsia" w:ascii="Times New Roman" w:hAnsi="Times New Roman" w:eastAsia="仿宋" w:cs="Times New Roman"/>
                <w:color w:val="000000"/>
                <w:kern w:val="0"/>
                <w:sz w:val="24"/>
                <w:szCs w:val="24"/>
                <w:highlight w:val="none"/>
                <w:lang w:val="en-US" w:eastAsia="zh-CN"/>
              </w:rPr>
              <w:t>是否符合</w:t>
            </w:r>
            <w:r>
              <w:rPr>
                <w:rFonts w:ascii="Times New Roman" w:hAnsi="Times New Roman" w:eastAsia="仿宋" w:cs="Times New Roman"/>
                <w:color w:val="000000"/>
                <w:kern w:val="0"/>
                <w:sz w:val="24"/>
                <w:szCs w:val="24"/>
                <w:highlight w:val="none"/>
              </w:rPr>
              <w:t>合同规定</w:t>
            </w:r>
            <w:r>
              <w:rPr>
                <w:rFonts w:hint="eastAsia" w:ascii="Times New Roman" w:hAnsi="Times New Roman" w:eastAsia="仿宋" w:cs="Times New Roman"/>
                <w:color w:val="000000"/>
                <w:kern w:val="0"/>
                <w:sz w:val="24"/>
                <w:szCs w:val="24"/>
                <w:highlight w:val="none"/>
              </w:rPr>
              <w:t>。</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宋体" w:hAnsi="宋体" w:eastAsia="仿宋" w:cs="宋体"/>
                <w:color w:val="000000"/>
                <w:kern w:val="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项目全部验收质量达标得满分；</w:t>
            </w:r>
            <w:r>
              <w:rPr>
                <w:rFonts w:hint="eastAsia" w:ascii="宋体" w:eastAsia="宋体" w:cs="宋体"/>
                <w:color w:val="000000"/>
                <w:kern w:val="0"/>
                <w:sz w:val="24"/>
                <w:szCs w:val="24"/>
                <w:highlight w:val="none"/>
              </w:rPr>
              <w:t>②</w:t>
            </w:r>
            <w:r>
              <w:rPr>
                <w:rFonts w:hint="eastAsia" w:ascii="Times New Roman" w:hAnsi="Times New Roman" w:eastAsia="仿宋" w:cs="Times New Roman"/>
                <w:color w:val="000000"/>
                <w:kern w:val="0"/>
                <w:sz w:val="24"/>
                <w:szCs w:val="24"/>
                <w:highlight w:val="none"/>
                <w:lang w:val="en-US" w:eastAsia="zh-CN"/>
              </w:rPr>
              <w:t>出现一项质量不合格或者未验收的扣2分</w:t>
            </w:r>
            <w:r>
              <w:rPr>
                <w:rFonts w:hint="eastAsia" w:ascii="Times New Roman" w:hAnsi="Times New Roman" w:eastAsia="仿宋" w:cs="Times New Roman"/>
                <w:color w:val="000000"/>
                <w:sz w:val="24"/>
                <w:szCs w:val="24"/>
                <w:highlight w:val="none"/>
                <w:lang w:eastAsia="zh-CN"/>
              </w:rPr>
              <w:t>，</w:t>
            </w:r>
            <w:r>
              <w:rPr>
                <w:rFonts w:hint="eastAsia" w:ascii="Times New Roman" w:hAnsi="Times New Roman" w:eastAsia="仿宋" w:cs="Times New Roman"/>
                <w:color w:val="000000"/>
                <w:sz w:val="24"/>
                <w:szCs w:val="24"/>
                <w:highlight w:val="none"/>
                <w:lang w:val="en-US" w:eastAsia="zh-CN"/>
              </w:rPr>
              <w:t>扣完为止</w:t>
            </w:r>
            <w:r>
              <w:rPr>
                <w:rFonts w:hint="eastAsia"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017"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项目完工及时性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项目完成及时率=（计划工期/实际工期）*100%；当完成及时率≥100%时得满分，低于60%时得0分，其余情况的实际得分=完成及时率*</w:t>
            </w:r>
            <w:r>
              <w:rPr>
                <w:rFonts w:hint="eastAsia" w:ascii="Times New Roman" w:hAnsi="Times New Roman" w:eastAsia="仿宋" w:cs="Times New Roman"/>
                <w:kern w:val="0"/>
                <w:sz w:val="24"/>
                <w:szCs w:val="24"/>
                <w:highlight w:val="none"/>
                <w:lang w:val="en-US" w:eastAsia="zh-CN"/>
              </w:rPr>
              <w:t>4</w:t>
            </w:r>
            <w:r>
              <w:rPr>
                <w:rFonts w:ascii="Times New Roman" w:hAnsi="Times New Roman" w:eastAsia="仿宋" w:cs="Times New Roman"/>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C32项目验收及时性</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hint="eastAsia"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及时</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kern w:val="0"/>
                <w:sz w:val="24"/>
                <w:szCs w:val="24"/>
                <w:highlight w:val="none"/>
              </w:rPr>
            </w:pPr>
            <w:r>
              <w:rPr>
                <w:rFonts w:ascii="Times New Roman" w:hAnsi="Times New Roman" w:eastAsia="仿宋" w:cs="Times New Roman"/>
                <w:color w:val="000000"/>
                <w:kern w:val="0"/>
                <w:sz w:val="24"/>
                <w:szCs w:val="24"/>
                <w:highlight w:val="none"/>
              </w:rPr>
              <w:t>分析评价项目验收是否及时。</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kern w:val="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项目在规定时间内及时验收得</w:t>
            </w: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分；</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不影响项目的资金拨付进度得</w:t>
            </w: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分析评价项目的成本是否控制在预算内，成本节约率=（总费用预算支出额-费用实际支出额）/总费用预算支出额*100%。</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D1经济效益（5）</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D11年纯收益提升</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提升</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评价项目的经济效益。</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经济效益较好，得100%权重分；经济效益一般，得50%权重分；经济效益较差，不得分。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D2社会效益(10)</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D21新增耕地面积</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r>
              <w:rPr>
                <w:rFonts w:hint="eastAsia" w:ascii="Times New Roman" w:hAnsi="Times New Roman" w:eastAsia="仿宋" w:cs="Times New Roman"/>
                <w:kern w:val="0"/>
                <w:sz w:val="28"/>
                <w:szCs w:val="28"/>
                <w:shd w:val="clear" w:color="auto" w:fill="FFFFFF"/>
                <w:lang w:val="en-US" w:eastAsia="zh-CN"/>
              </w:rPr>
              <w:t>≥4.1012公顷</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评价项目的社会效益。</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D22农业生产条件改善</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有效</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评价项目的社会效益。</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D3生态效益（5）</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D31水土保持</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有效</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评价项目的生态效益。</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生态效益较好，得100%权重分；生态效益一般，得50%权重分；生态效益较差，不得分。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D4可持续影响（5）</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D41可持续影响</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可持续</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评价项目完成后可持续提供服务的保障情况。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农业综合生产能力进一步得到提高，为建立现代农业奠定了良好的生态环境基础（50%权重分）；有利于改善农业生产条件，耕地质量将得到全面改善，耕地产出效率将有所提高，促进土地资源的可持续利用（50%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97" w:hRule="atLeast"/>
        </w:trPr>
        <w:tc>
          <w:tcPr>
            <w:tcW w:w="427"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4" w:type="pct"/>
            <w:tcBorders>
              <w:top w:val="single" w:color="auto" w:sz="4" w:space="0"/>
              <w:left w:val="single" w:color="auto" w:sz="4" w:space="0"/>
              <w:bottom w:val="single" w:color="auto" w:sz="4" w:space="0"/>
              <w:right w:val="single" w:color="auto" w:sz="4" w:space="0"/>
            </w:tcBorders>
            <w:shd w:val="clear" w:color="auto" w:fill="auto"/>
            <w:noWrap/>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D5服务对象满意度（5）</w:t>
            </w:r>
          </w:p>
        </w:tc>
        <w:tc>
          <w:tcPr>
            <w:tcW w:w="4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D51受益对象满意度</w:t>
            </w:r>
          </w:p>
        </w:tc>
        <w:tc>
          <w:tcPr>
            <w:tcW w:w="21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≥90%</w:t>
            </w:r>
          </w:p>
        </w:tc>
        <w:tc>
          <w:tcPr>
            <w:tcW w:w="13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评价受益对象对项目满意度的情况。</w:t>
            </w:r>
          </w:p>
        </w:tc>
        <w:tc>
          <w:tcPr>
            <w:tcW w:w="17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大于等于90%得满分，&lt;60%，不得分；60%（含）-90%之间按比例得分。</w:t>
            </w:r>
          </w:p>
        </w:tc>
      </w:tr>
    </w:tbl>
    <w:p>
      <w:pPr>
        <w:widowControl/>
        <w:spacing w:line="574" w:lineRule="exact"/>
        <w:jc w:val="left"/>
        <w:outlineLvl w:val="0"/>
        <w:rPr>
          <w:rFonts w:ascii="黑体" w:eastAsia="黑体"/>
          <w:snapToGrid w:val="0"/>
          <w:sz w:val="32"/>
          <w:szCs w:val="32"/>
        </w:rPr>
        <w:sectPr>
          <w:headerReference r:id="rId8" w:type="default"/>
          <w:pgSz w:w="16838" w:h="11906" w:orient="landscape"/>
          <w:pgMar w:top="1797" w:right="1440" w:bottom="1797" w:left="1440" w:header="851" w:footer="992" w:gutter="0"/>
          <w:cols w:space="720" w:num="1"/>
          <w:docGrid w:type="lines" w:linePitch="312" w:charSpace="0"/>
        </w:sectPr>
      </w:pPr>
    </w:p>
    <w:p>
      <w:pPr>
        <w:widowControl/>
        <w:spacing w:line="574" w:lineRule="exact"/>
        <w:jc w:val="left"/>
        <w:outlineLvl w:val="0"/>
        <w:rPr>
          <w:rFonts w:ascii="黑体" w:eastAsia="黑体"/>
          <w:snapToGrid w:val="0"/>
          <w:sz w:val="32"/>
          <w:szCs w:val="32"/>
        </w:rPr>
      </w:pPr>
      <w:bookmarkStart w:id="176" w:name="_Toc14664"/>
      <w:r>
        <w:rPr>
          <w:rFonts w:hint="eastAsia" w:ascii="黑体" w:eastAsia="黑体"/>
          <w:snapToGrid w:val="0"/>
          <w:sz w:val="32"/>
          <w:szCs w:val="32"/>
        </w:rPr>
        <w:t>附件2：问卷调查报告</w:t>
      </w:r>
      <w:bookmarkEnd w:id="173"/>
      <w:bookmarkEnd w:id="176"/>
      <w:bookmarkStart w:id="177" w:name="_Toc528603095"/>
      <w:bookmarkStart w:id="178" w:name="_Toc516554801"/>
      <w:bookmarkStart w:id="179" w:name="_Toc528680333"/>
      <w:bookmarkStart w:id="180" w:name="_Toc515811021"/>
      <w:bookmarkStart w:id="181" w:name="_Toc516473336"/>
      <w:bookmarkStart w:id="182" w:name="_Toc528680487"/>
      <w:bookmarkStart w:id="183" w:name="_Toc517361502"/>
      <w:bookmarkStart w:id="184" w:name="_Toc515811967"/>
    </w:p>
    <w:bookmarkEnd w:id="177"/>
    <w:bookmarkEnd w:id="178"/>
    <w:bookmarkEnd w:id="179"/>
    <w:bookmarkEnd w:id="180"/>
    <w:bookmarkEnd w:id="181"/>
    <w:bookmarkEnd w:id="182"/>
    <w:bookmarkEnd w:id="183"/>
    <w:bookmarkEnd w:id="184"/>
    <w:p>
      <w:pPr>
        <w:spacing w:line="574" w:lineRule="exact"/>
        <w:jc w:val="center"/>
        <w:rPr>
          <w:rFonts w:ascii="Times New Roman" w:hAnsi="Times New Roman"/>
          <w:b/>
          <w:snapToGrid w:val="0"/>
          <w:sz w:val="44"/>
          <w:szCs w:val="44"/>
        </w:rPr>
      </w:pPr>
      <w:r>
        <w:rPr>
          <w:rFonts w:hint="eastAsia" w:ascii="仿宋" w:eastAsia="仿宋" w:cs="仿宋"/>
          <w:b/>
          <w:bCs/>
          <w:snapToGrid w:val="0"/>
          <w:sz w:val="32"/>
          <w:szCs w:val="32"/>
          <w:lang w:eastAsia="zh-CN"/>
        </w:rPr>
        <w:t>古阳镇岳阳镇采煤沉陷区旧房拆除项目经费</w:t>
      </w:r>
      <w:r>
        <w:rPr>
          <w:rFonts w:hint="eastAsia" w:ascii="仿宋" w:eastAsia="仿宋" w:cs="仿宋"/>
          <w:b/>
          <w:bCs/>
          <w:snapToGrid w:val="0"/>
          <w:sz w:val="32"/>
          <w:szCs w:val="32"/>
        </w:rPr>
        <w:t>绩效评价满意度调查报告</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一、调查目的</w:t>
      </w:r>
    </w:p>
    <w:p>
      <w:pPr>
        <w:spacing w:line="574" w:lineRule="exact"/>
        <w:ind w:firstLine="560" w:firstLineChars="200"/>
        <w:rPr>
          <w:rFonts w:hint="eastAsia" w:ascii="仿宋" w:eastAsia="仿宋" w:cs="仿宋"/>
          <w:sz w:val="28"/>
          <w:szCs w:val="28"/>
        </w:rPr>
      </w:pPr>
      <w:bookmarkStart w:id="185" w:name="_Hlk28700570"/>
      <w:r>
        <w:rPr>
          <w:rFonts w:hint="eastAsia" w:ascii="仿宋" w:eastAsia="仿宋" w:cs="仿宋"/>
          <w:sz w:val="28"/>
          <w:szCs w:val="28"/>
        </w:rPr>
        <w:t>相关方满意度调查作为绩效评价中非常重要的环节，为了解</w:t>
      </w:r>
      <w:r>
        <w:rPr>
          <w:rFonts w:hint="eastAsia" w:ascii="仿宋" w:eastAsia="仿宋" w:cs="仿宋"/>
          <w:sz w:val="28"/>
          <w:szCs w:val="28"/>
          <w:lang w:eastAsia="zh-CN"/>
        </w:rPr>
        <w:t>古阳镇岳阳镇采煤沉陷区旧房拆除项目经费</w:t>
      </w:r>
      <w:r>
        <w:rPr>
          <w:rFonts w:hint="eastAsia" w:ascii="仿宋" w:eastAsia="仿宋" w:cs="仿宋"/>
          <w:sz w:val="28"/>
          <w:szCs w:val="28"/>
        </w:rPr>
        <w:t>的使用管理情况和项目实施情况，准确掌握满意度数据，通过向</w:t>
      </w:r>
      <w:r>
        <w:rPr>
          <w:rFonts w:hint="eastAsia" w:ascii="仿宋" w:eastAsia="仿宋" w:cs="仿宋"/>
          <w:sz w:val="28"/>
          <w:szCs w:val="28"/>
          <w:lang w:val="en-US" w:eastAsia="zh-CN"/>
        </w:rPr>
        <w:t>管理方相关人员、</w:t>
      </w:r>
      <w:r>
        <w:rPr>
          <w:rFonts w:hint="eastAsia" w:ascii="仿宋" w:eastAsia="仿宋" w:cs="仿宋"/>
          <w:sz w:val="28"/>
          <w:szCs w:val="28"/>
        </w:rPr>
        <w:t>受益</w:t>
      </w:r>
      <w:r>
        <w:rPr>
          <w:rFonts w:hint="eastAsia" w:ascii="仿宋" w:eastAsia="仿宋" w:cs="仿宋"/>
          <w:sz w:val="28"/>
          <w:szCs w:val="28"/>
          <w:lang w:val="en-US" w:eastAsia="zh-CN"/>
        </w:rPr>
        <w:t>人员</w:t>
      </w:r>
      <w:r>
        <w:rPr>
          <w:rFonts w:hint="eastAsia" w:ascii="仿宋" w:eastAsia="仿宋" w:cs="仿宋"/>
          <w:sz w:val="28"/>
          <w:szCs w:val="28"/>
        </w:rPr>
        <w:t>发放满意度调查问卷，了解受益</w:t>
      </w:r>
      <w:r>
        <w:rPr>
          <w:rFonts w:hint="eastAsia" w:ascii="仿宋" w:eastAsia="仿宋" w:cs="仿宋"/>
          <w:sz w:val="28"/>
          <w:szCs w:val="28"/>
          <w:lang w:val="en-US" w:eastAsia="zh-CN"/>
        </w:rPr>
        <w:t>群体</w:t>
      </w:r>
      <w:r>
        <w:rPr>
          <w:rFonts w:hint="eastAsia" w:ascii="仿宋" w:eastAsia="仿宋" w:cs="仿宋"/>
          <w:sz w:val="28"/>
          <w:szCs w:val="28"/>
        </w:rPr>
        <w:t>对</w:t>
      </w:r>
      <w:r>
        <w:rPr>
          <w:rFonts w:hint="eastAsia" w:ascii="仿宋" w:eastAsia="仿宋" w:cs="仿宋"/>
          <w:sz w:val="28"/>
          <w:szCs w:val="28"/>
          <w:lang w:val="en-US" w:eastAsia="zh-CN"/>
        </w:rPr>
        <w:t>项目的整体</w:t>
      </w:r>
      <w:r>
        <w:rPr>
          <w:rFonts w:hint="eastAsia" w:ascii="仿宋" w:eastAsia="仿宋" w:cs="仿宋"/>
          <w:sz w:val="28"/>
          <w:szCs w:val="28"/>
        </w:rPr>
        <w:t>满意程度，为绩效评价工作满意度调查提供数据参考。</w:t>
      </w:r>
    </w:p>
    <w:bookmarkEnd w:id="185"/>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二、调查对象</w:t>
      </w:r>
    </w:p>
    <w:p>
      <w:pPr>
        <w:tabs>
          <w:tab w:val="left" w:pos="630"/>
        </w:tabs>
        <w:spacing w:line="574" w:lineRule="exact"/>
        <w:ind w:firstLine="560" w:firstLineChars="200"/>
        <w:rPr>
          <w:rFonts w:hint="eastAsia" w:ascii="仿宋" w:eastAsia="仿宋" w:cs="仿宋"/>
          <w:sz w:val="28"/>
          <w:szCs w:val="28"/>
        </w:rPr>
      </w:pPr>
      <w:bookmarkStart w:id="186" w:name="_Hlk28700584"/>
      <w:r>
        <w:rPr>
          <w:rFonts w:hint="eastAsia" w:ascii="仿宋" w:eastAsia="仿宋" w:cs="仿宋"/>
          <w:sz w:val="28"/>
          <w:szCs w:val="28"/>
        </w:rPr>
        <w:t>本次调查的对象为</w:t>
      </w:r>
      <w:r>
        <w:rPr>
          <w:rFonts w:hint="eastAsia" w:ascii="仿宋" w:eastAsia="仿宋" w:cs="仿宋"/>
          <w:sz w:val="28"/>
          <w:szCs w:val="28"/>
          <w:lang w:val="en-US" w:eastAsia="zh-CN"/>
        </w:rPr>
        <w:t>管理方相关人员和受益人员</w:t>
      </w:r>
      <w:r>
        <w:rPr>
          <w:rFonts w:hint="eastAsia" w:ascii="仿宋" w:eastAsia="仿宋" w:cs="仿宋"/>
          <w:sz w:val="28"/>
          <w:szCs w:val="28"/>
        </w:rPr>
        <w:t>。</w:t>
      </w:r>
    </w:p>
    <w:bookmarkEnd w:id="186"/>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三、调查时间</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2022年6月</w:t>
      </w:r>
      <w:r>
        <w:rPr>
          <w:rFonts w:hint="eastAsia" w:ascii="仿宋" w:eastAsia="仿宋" w:cs="仿宋"/>
          <w:sz w:val="28"/>
          <w:szCs w:val="28"/>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四、调查内容</w:t>
      </w:r>
    </w:p>
    <w:p>
      <w:pPr>
        <w:spacing w:line="574" w:lineRule="exact"/>
        <w:ind w:firstLine="560" w:firstLineChars="200"/>
        <w:rPr>
          <w:rFonts w:hint="eastAsia" w:ascii="仿宋" w:eastAsia="仿宋" w:cs="仿宋"/>
          <w:sz w:val="28"/>
          <w:szCs w:val="28"/>
        </w:rPr>
      </w:pPr>
      <w:bookmarkStart w:id="187" w:name="_Hlk28700703"/>
      <w:r>
        <w:rPr>
          <w:rFonts w:hint="eastAsia" w:ascii="仿宋" w:eastAsia="仿宋" w:cs="仿宋"/>
          <w:sz w:val="28"/>
          <w:szCs w:val="28"/>
          <w:lang w:val="en-US" w:eastAsia="zh-CN"/>
        </w:rPr>
        <w:t>您对古阳镇岳阳镇采煤沉陷区旧房拆除项目实施进度的满意程度、您对古阳镇岳阳镇采煤沉陷区旧房拆除项目建设质量的满意程度、您对古阳镇岳阳镇采煤沉陷区旧房拆除项目建成后产生的效益情况的满意程度</w:t>
      </w:r>
      <w:r>
        <w:rPr>
          <w:rFonts w:hint="eastAsia" w:ascii="仿宋" w:eastAsia="仿宋" w:cs="仿宋"/>
          <w:sz w:val="28"/>
          <w:szCs w:val="28"/>
        </w:rPr>
        <w:t>。</w:t>
      </w:r>
    </w:p>
    <w:bookmarkEnd w:id="187"/>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五、问卷发放与回收</w:t>
      </w:r>
    </w:p>
    <w:p>
      <w:pPr>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rPr>
        <w:t>本次计划发放问卷</w:t>
      </w:r>
      <w:r>
        <w:rPr>
          <w:rFonts w:hint="eastAsia" w:ascii="仿宋" w:eastAsia="仿宋" w:cs="仿宋"/>
          <w:sz w:val="28"/>
          <w:szCs w:val="28"/>
          <w:lang w:val="en-US" w:eastAsia="zh-CN"/>
        </w:rPr>
        <w:t>200</w:t>
      </w:r>
      <w:r>
        <w:rPr>
          <w:rFonts w:hint="eastAsia" w:ascii="仿宋" w:eastAsia="仿宋" w:cs="仿宋"/>
          <w:sz w:val="28"/>
          <w:szCs w:val="28"/>
        </w:rPr>
        <w:t>份</w:t>
      </w:r>
      <w:r>
        <w:rPr>
          <w:rFonts w:hint="eastAsia" w:ascii="仿宋" w:eastAsia="仿宋" w:cs="仿宋"/>
          <w:sz w:val="28"/>
          <w:szCs w:val="28"/>
          <w:lang w:eastAsia="zh-CN"/>
        </w:rPr>
        <w:t>，</w:t>
      </w:r>
      <w:r>
        <w:rPr>
          <w:rFonts w:hint="eastAsia" w:ascii="仿宋" w:eastAsia="仿宋" w:cs="仿宋"/>
          <w:sz w:val="28"/>
          <w:szCs w:val="28"/>
          <w:lang w:val="en-US" w:eastAsia="zh-CN"/>
        </w:rPr>
        <w:t>回收问卷200</w:t>
      </w:r>
      <w:r>
        <w:rPr>
          <w:rFonts w:hint="eastAsia" w:ascii="仿宋" w:eastAsia="仿宋" w:cs="仿宋"/>
          <w:sz w:val="28"/>
          <w:szCs w:val="28"/>
        </w:rPr>
        <w:t>份</w:t>
      </w:r>
      <w:r>
        <w:rPr>
          <w:rFonts w:hint="eastAsia" w:ascii="仿宋" w:eastAsia="仿宋" w:cs="仿宋"/>
          <w:sz w:val="28"/>
          <w:szCs w:val="28"/>
          <w:lang w:val="en-US" w:eastAsia="zh-CN"/>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六、调查结果</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（一）满意度调查</w:t>
      </w:r>
    </w:p>
    <w:p>
      <w:pPr>
        <w:spacing w:line="574" w:lineRule="exact"/>
        <w:ind w:firstLine="562" w:firstLineChars="200"/>
        <w:rPr>
          <w:rFonts w:hint="eastAsia" w:ascii="仿宋" w:eastAsia="仿宋" w:cs="仿宋"/>
          <w:b/>
          <w:bCs/>
          <w:sz w:val="28"/>
          <w:szCs w:val="28"/>
        </w:rPr>
      </w:pPr>
      <w:r>
        <w:rPr>
          <w:rFonts w:hint="eastAsia" w:ascii="仿宋" w:eastAsia="仿宋" w:cs="仿宋"/>
          <w:b/>
          <w:bCs/>
          <w:sz w:val="28"/>
          <w:szCs w:val="28"/>
        </w:rPr>
        <w:t>1.基础信息调查结果</w:t>
      </w:r>
    </w:p>
    <w:p>
      <w:pPr>
        <w:spacing w:line="574" w:lineRule="exact"/>
        <w:ind w:firstLine="560" w:firstLineChars="200"/>
        <w:rPr>
          <w:rFonts w:hint="eastAsia" w:ascii="仿宋" w:eastAsia="仿宋" w:cs="仿宋"/>
          <w:sz w:val="28"/>
          <w:szCs w:val="28"/>
        </w:rPr>
      </w:pPr>
      <w:bookmarkStart w:id="188" w:name="_Hlk43218755"/>
      <w:r>
        <w:rPr>
          <w:rFonts w:hint="eastAsia" w:ascii="仿宋" w:eastAsia="仿宋" w:cs="仿宋"/>
          <w:sz w:val="28"/>
          <w:szCs w:val="28"/>
        </w:rPr>
        <w:t>（1）您对</w:t>
      </w:r>
      <w:r>
        <w:rPr>
          <w:rFonts w:hint="eastAsia" w:ascii="仿宋" w:eastAsia="仿宋" w:cs="仿宋"/>
          <w:sz w:val="28"/>
          <w:szCs w:val="28"/>
          <w:lang w:eastAsia="zh-CN"/>
        </w:rPr>
        <w:t>古阳镇岳阳镇采煤沉陷区旧房拆除项目</w:t>
      </w:r>
      <w:r>
        <w:rPr>
          <w:rFonts w:hint="eastAsia" w:ascii="仿宋" w:eastAsia="仿宋" w:cs="仿宋"/>
          <w:sz w:val="28"/>
          <w:szCs w:val="28"/>
        </w:rPr>
        <w:t>是否了解？</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从数据分析可知，了解</w:t>
      </w:r>
      <w:r>
        <w:rPr>
          <w:rFonts w:hint="eastAsia" w:ascii="仿宋" w:eastAsia="仿宋" w:cs="仿宋"/>
          <w:sz w:val="28"/>
          <w:szCs w:val="28"/>
          <w:lang w:val="en-US" w:eastAsia="zh-CN"/>
        </w:rPr>
        <w:t>项目</w:t>
      </w:r>
      <w:r>
        <w:rPr>
          <w:rFonts w:hint="eastAsia" w:ascii="仿宋" w:eastAsia="仿宋" w:cs="仿宋"/>
          <w:sz w:val="28"/>
          <w:szCs w:val="28"/>
        </w:rPr>
        <w:t>的占比</w:t>
      </w:r>
      <w:r>
        <w:rPr>
          <w:rFonts w:hint="eastAsia" w:ascii="仿宋" w:eastAsia="仿宋" w:cs="仿宋"/>
          <w:sz w:val="28"/>
          <w:szCs w:val="28"/>
          <w:lang w:val="en-US" w:eastAsia="zh-CN"/>
        </w:rPr>
        <w:t>100.00%</w:t>
      </w:r>
      <w:r>
        <w:rPr>
          <w:rFonts w:hint="eastAsia" w:ascii="仿宋" w:eastAsia="仿宋" w:cs="仿宋"/>
          <w:sz w:val="28"/>
          <w:szCs w:val="28"/>
        </w:rPr>
        <w:t>。</w:t>
      </w:r>
    </w:p>
    <w:bookmarkEnd w:id="188"/>
    <w:p>
      <w:pPr>
        <w:spacing w:line="574" w:lineRule="exact"/>
        <w:ind w:firstLine="562" w:firstLineChars="200"/>
        <w:rPr>
          <w:rFonts w:hint="eastAsia" w:ascii="仿宋" w:eastAsia="仿宋" w:cs="仿宋"/>
          <w:b/>
          <w:bCs/>
          <w:sz w:val="28"/>
          <w:szCs w:val="28"/>
        </w:rPr>
        <w:sectPr>
          <w:footerReference r:id="rId9" w:type="default"/>
          <w:pgSz w:w="11906" w:h="16838"/>
          <w:pgMar w:top="1440" w:right="1797" w:bottom="1440" w:left="1797" w:header="851" w:footer="992" w:gutter="0"/>
          <w:cols w:space="720" w:num="1"/>
          <w:docGrid w:type="lines" w:linePitch="312" w:charSpace="0"/>
        </w:sectPr>
      </w:pPr>
      <w:r>
        <w:rPr>
          <w:rFonts w:hint="eastAsia" w:asci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问卷问题</w:t>
            </w:r>
          </w:p>
        </w:tc>
        <w:tc>
          <w:tcPr>
            <w:tcW w:w="8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总数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人数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满意度系数</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非常满意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eastAsia="zh-CN"/>
              </w:rPr>
            </w:pPr>
            <w:r>
              <w:rPr>
                <w:rFonts w:hint="eastAsia" w:ascii="仿宋" w:eastAsia="仿宋" w:cs="仿宋"/>
                <w:b/>
                <w:bCs/>
                <w:color w:val="auto"/>
                <w:sz w:val="20"/>
                <w:szCs w:val="21"/>
                <w:highlight w:val="none"/>
              </w:rPr>
              <w:t>非常满意</w:t>
            </w:r>
            <w:r>
              <w:rPr>
                <w:rFonts w:hint="eastAsia" w:ascii="仿宋" w:eastAsia="仿宋" w:cs="仿宋"/>
                <w:b/>
                <w:bCs/>
                <w:color w:val="auto"/>
                <w:sz w:val="20"/>
                <w:szCs w:val="21"/>
                <w:highlight w:val="none"/>
                <w:lang w:eastAsia="zh-CN"/>
              </w:rPr>
              <w:t>（</w:t>
            </w:r>
            <w:r>
              <w:rPr>
                <w:rFonts w:hint="eastAsia" w:ascii="仿宋" w:eastAsia="仿宋" w:cs="仿宋"/>
                <w:b/>
                <w:bCs/>
                <w:color w:val="auto"/>
                <w:sz w:val="20"/>
                <w:szCs w:val="21"/>
                <w:highlight w:val="none"/>
                <w:lang w:val="en-US" w:eastAsia="zh-CN"/>
              </w:rPr>
              <w:t>系数</w:t>
            </w:r>
            <w:r>
              <w:rPr>
                <w:rFonts w:hint="eastAsia" w:ascii="仿宋" w:eastAsia="仿宋" w:cs="仿宋"/>
                <w:b/>
                <w:bCs/>
                <w:color w:val="auto"/>
                <w:sz w:val="20"/>
                <w:szCs w:val="21"/>
                <w:highlight w:val="none"/>
                <w:lang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仿宋" w:eastAsia="仿宋" w:cs="仿宋"/>
                <w:color w:val="auto"/>
                <w:sz w:val="20"/>
                <w:szCs w:val="21"/>
                <w:highlight w:val="none"/>
              </w:rPr>
            </w:pPr>
            <w:r>
              <w:rPr>
                <w:rFonts w:hint="eastAsia" w:ascii="仿宋" w:eastAsia="仿宋" w:cs="仿宋"/>
                <w:color w:val="auto"/>
                <w:sz w:val="21"/>
                <w:szCs w:val="21"/>
                <w:lang w:val="en-US" w:eastAsia="zh-CN"/>
              </w:rPr>
              <w:t>您对古县</w:t>
            </w:r>
            <w:r>
              <w:rPr>
                <w:rFonts w:hint="eastAsia" w:ascii="仿宋" w:eastAsia="仿宋" w:cs="仿宋"/>
                <w:color w:val="auto"/>
                <w:sz w:val="20"/>
                <w:szCs w:val="21"/>
                <w:lang w:val="en-US" w:eastAsia="zh-CN"/>
              </w:rPr>
              <w:t>古阳镇岳阳镇采煤沉陷区旧房拆除项目政策的满意程度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159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both"/>
              <w:rPr>
                <w:rFonts w:hint="eastAsia" w:ascii="仿宋" w:eastAsia="仿宋" w:cs="仿宋"/>
                <w:color w:val="auto"/>
                <w:sz w:val="20"/>
                <w:szCs w:val="21"/>
                <w:highlight w:val="none"/>
              </w:rPr>
            </w:pPr>
            <w:r>
              <w:rPr>
                <w:rFonts w:hint="eastAsia" w:ascii="仿宋" w:eastAsia="仿宋" w:cs="仿宋"/>
                <w:color w:val="auto"/>
                <w:sz w:val="21"/>
                <w:szCs w:val="21"/>
                <w:lang w:val="en-US" w:eastAsia="zh-CN"/>
              </w:rPr>
              <w:t>您对古县</w:t>
            </w:r>
            <w:r>
              <w:rPr>
                <w:rFonts w:hint="eastAsia" w:ascii="仿宋" w:eastAsia="仿宋" w:cs="仿宋"/>
                <w:color w:val="auto"/>
                <w:sz w:val="20"/>
                <w:szCs w:val="21"/>
                <w:lang w:val="en-US" w:eastAsia="zh-CN"/>
              </w:rPr>
              <w:t>古阳镇岳阳镇采煤沉陷区旧房拆除项目实施范围的满意程度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162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12</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古阳镇岳阳镇采煤沉陷区旧房拆除项目实施进度的满意程度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187</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both"/>
              <w:rPr>
                <w:rFonts w:hint="eastAsia" w:ascii="仿宋" w:eastAsia="仿宋" w:cs="仿宋"/>
                <w:color w:val="auto"/>
                <w:sz w:val="20"/>
                <w:szCs w:val="21"/>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古阳镇岳阳镇采煤沉陷区旧房拆除项目建设质量的满意程度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179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古阳镇岳阳镇采煤沉陷区旧房拆除项目建成后产生的效益情况</w:t>
            </w:r>
            <w:r>
              <w:rPr>
                <w:rFonts w:hint="eastAsia" w:ascii="仿宋" w:eastAsia="仿宋" w:cs="仿宋"/>
                <w:color w:val="auto"/>
                <w:sz w:val="20"/>
                <w:szCs w:val="21"/>
              </w:rPr>
              <w:t>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169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8</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总体满意度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94.10%</w:t>
            </w:r>
          </w:p>
        </w:tc>
      </w:tr>
    </w:tbl>
    <w:p>
      <w:pPr>
        <w:pStyle w:val="2"/>
        <w:rPr>
          <w:rFonts w:hint="eastAsia"/>
        </w:rPr>
        <w:sectPr>
          <w:pgSz w:w="16838" w:h="11906" w:orient="landscape"/>
          <w:pgMar w:top="1797" w:right="1440" w:bottom="1797" w:left="1440" w:header="851" w:footer="992" w:gutter="0"/>
          <w:cols w:space="720"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三</w:t>
      </w:r>
      <w:r>
        <w:rPr>
          <w:rFonts w:hint="eastAsia" w:ascii="仿宋" w:eastAsia="仿宋" w:cs="仿宋"/>
          <w:sz w:val="28"/>
          <w:szCs w:val="28"/>
          <w:lang w:eastAsia="zh-CN"/>
        </w:rPr>
        <w:t>）</w:t>
      </w:r>
      <w:r>
        <w:rPr>
          <w:rFonts w:hint="eastAsia" w:ascii="仿宋" w:eastAsia="仿宋" w:cs="仿宋"/>
          <w:sz w:val="28"/>
          <w:szCs w:val="28"/>
        </w:rPr>
        <w:t>总结</w:t>
      </w:r>
    </w:p>
    <w:p>
      <w:pPr>
        <w:tabs>
          <w:tab w:val="left" w:pos="630"/>
        </w:tabs>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lang w:val="en-US" w:eastAsia="zh-CN"/>
        </w:rPr>
        <w:t>受益对象满意度分别为：</w:t>
      </w:r>
      <w:r>
        <w:rPr>
          <w:rFonts w:hint="eastAsia" w:ascii="Times New Roman" w:hAnsi="Times New Roman" w:eastAsia="仿宋" w:cs="Times New Roman"/>
          <w:kern w:val="0"/>
          <w:sz w:val="28"/>
          <w:szCs w:val="24"/>
          <w:lang w:val="en-US" w:eastAsia="zh-CN" w:bidi="ar-SA"/>
        </w:rPr>
        <w:t>90.10%、90.60%、98.40%、96.50%、94.90%。整体满意度为94.10%</w:t>
      </w:r>
      <w:r>
        <w:rPr>
          <w:rFonts w:hint="eastAsia" w:ascii="仿宋" w:eastAsia="仿宋" w:cs="仿宋"/>
          <w:sz w:val="28"/>
          <w:szCs w:val="28"/>
          <w:lang w:val="en-US" w:eastAsia="zh-CN"/>
        </w:rPr>
        <w:t>。</w:t>
      </w:r>
    </w:p>
    <w:p>
      <w:pPr>
        <w:rPr>
          <w:rFonts w:hint="eastAsia" w:ascii="黑体" w:eastAsia="黑体"/>
          <w:snapToGrid w:val="0"/>
          <w:sz w:val="32"/>
          <w:szCs w:val="32"/>
          <w:lang w:val="en-US" w:eastAsia="zh-CN"/>
        </w:rPr>
      </w:pPr>
      <w:r>
        <w:rPr>
          <w:rFonts w:hint="eastAsia" w:asci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ascii="黑体" w:eastAsia="黑体"/>
          <w:b/>
          <w:bCs/>
          <w:snapToGrid w:val="0"/>
          <w:sz w:val="32"/>
          <w:szCs w:val="32"/>
          <w:lang w:val="en-US" w:eastAsia="zh-CN"/>
        </w:rPr>
      </w:pPr>
      <w:bookmarkStart w:id="189" w:name="_Toc4532"/>
      <w:r>
        <w:rPr>
          <w:rFonts w:hint="eastAsia" w:ascii="黑体" w:eastAsia="黑体"/>
          <w:snapToGrid w:val="0"/>
          <w:sz w:val="32"/>
          <w:szCs w:val="32"/>
          <w:lang w:val="en-US" w:eastAsia="zh-CN"/>
        </w:rPr>
        <w:t>附件3：访谈报告</w:t>
      </w:r>
      <w:bookmarkEnd w:id="189"/>
    </w:p>
    <w:p>
      <w:pPr>
        <w:spacing w:line="520" w:lineRule="exact"/>
        <w:ind w:firstLine="562" w:firstLineChars="200"/>
        <w:rPr>
          <w:rFonts w:ascii="仿宋" w:eastAsia="仿宋" w:cs="仿宋"/>
          <w:b/>
          <w:bCs/>
          <w:kern w:val="0"/>
          <w:sz w:val="28"/>
          <w:szCs w:val="32"/>
          <w:lang w:val="en-US" w:eastAsia="zh-CN"/>
        </w:rPr>
      </w:pPr>
      <w:r>
        <w:rPr>
          <w:rFonts w:hint="eastAsia" w:ascii="仿宋" w:eastAsia="仿宋" w:cs="仿宋"/>
          <w:b/>
          <w:bCs/>
          <w:kern w:val="0"/>
          <w:sz w:val="28"/>
          <w:szCs w:val="32"/>
          <w:lang w:val="en-US" w:eastAsia="zh-CN"/>
        </w:rPr>
        <w:t>一、项目相关负责人访谈</w:t>
      </w:r>
    </w:p>
    <w:p>
      <w:pPr>
        <w:spacing w:line="52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1、请您简要介绍项目的概况。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为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了采煤沉陷区土地复垦工作。</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古阳镇岳阳镇采煤沉陷区旧房拆除项目涉及5个标段。按照《土地复垦条例》、《土地复垦条例实施办法》等土地复垦有关规定，古县自然资源局委托山西蓝德凯尔土地规划设计咨询有限公司编制了《临汾市古县古阳镇杏家庄村采煤沉陷区旧房拆除及土地复垦设计》</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古阳镇岳阳镇采煤沉陷区旧房拆除项目涉及5个标段，5个标段及设计、监理中标总价为875.90万元。</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2、请您简要介绍项目预期目标及实际完成情况。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古阳镇岳阳镇采煤沉陷区旧房拆除项目涉及5个标段。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①一标段-古县古阳镇杏家庄村古阳镇岳阳镇采煤沉陷区旧房拆除项目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复垦区总规模9.8869h㎡，新增耕地面积为7.1331h㎡。项目涉及241户，其中7户保留用作农具储存等，其余234户已拆除，即复垦区。</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合同价：1902503.92元；支付方式：预付款30%，工程完成后支付总价的50%；通过验收后支付总价的15%，通过验收后满一年支付总价的5%。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②二标段-古县古阳镇下辛佛村古阳镇岳阳镇采煤沉陷区旧房拆除项目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复垦区总规模7.6121h㎡，新增耕地面积为5.1864h㎡。项目涉及193户。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合同价：1253511.58元；支付方式：预付款30%，工程完成后支付总价的50%；通过验收后支付总价的15%，通过验收后满一年支付总价的5%。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③古县古阳镇乔家山村古阳镇岳阳镇采煤沉陷区旧房拆除项目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复垦区总规模6.7312h㎡，新增耕地面积为6.7312h㎡。项目涉及176户。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合同价：1169866.31元；支付方式：预付款30%，工程完成后支付总价的50%；通过验收后支付总价的15%，通过验收后满一年支付总价的5%。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④古县岳阳镇南坡村古阳镇岳阳镇采煤沉陷区旧房拆除项目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复垦区总规模10.2097h㎡，新增耕地面积为6.3144h㎡。项目涉及176户。旧房拆除涉及313户，保留8户房屋用作农具储存及1处养猪场（涉及18户）共计26户，其余287户全部复垦。</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合同价：2137748.18元；支付方式：预付款30%，工程完成后支付总价的50%；通过验收后支付总价的15%，通过验收后满一年支付总价的5%。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⑤古县岳阳镇韩母村古阳镇岳阳镇采煤沉陷区旧房拆除项目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复垦区总规模8.7269h㎡，新增耕地面积为4.1012h㎡。项目涉及183户。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合同价：1692412.87元；支付方式：预付款30%，工程完成后支付总价的50%；通过验收后支付总价的15%，通过验收后满一年支付总价的5%。</w:t>
      </w:r>
    </w:p>
    <w:p>
      <w:pPr>
        <w:spacing w:line="500" w:lineRule="exact"/>
        <w:ind w:firstLine="560" w:firstLineChars="200"/>
        <w:rPr>
          <w:rFonts w:ascii="仿宋" w:eastAsia="仿宋" w:cs="仿宋"/>
          <w:kern w:val="0"/>
          <w:sz w:val="28"/>
          <w:szCs w:val="32"/>
          <w:lang w:val="en-US"/>
        </w:rPr>
      </w:pPr>
      <w:r>
        <w:rPr>
          <w:rFonts w:hint="eastAsia" w:ascii="Times New Roman" w:hAnsi="Times New Roman" w:eastAsia="仿宋" w:cs="Times New Roman"/>
          <w:kern w:val="0"/>
          <w:sz w:val="28"/>
          <w:szCs w:val="28"/>
          <w:shd w:val="clear" w:color="auto" w:fill="FFFFFF"/>
          <w:lang w:val="en-US" w:eastAsia="zh-CN"/>
        </w:rPr>
        <w:t>截止2022年12月31日，古阳镇岳阳镇采煤沉陷区旧房拆除项目完工。</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lang w:val="en-US" w:eastAsia="zh-CN"/>
        </w:rPr>
        <w:t>3</w:t>
      </w:r>
      <w:r>
        <w:rPr>
          <w:rFonts w:hint="eastAsia" w:ascii="仿宋" w:eastAsia="仿宋" w:cs="仿宋"/>
          <w:b/>
          <w:bCs/>
          <w:kern w:val="0"/>
          <w:sz w:val="28"/>
          <w:szCs w:val="32"/>
        </w:rPr>
        <w:t>、请您简要介绍资金使用情况。</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截止2022年12月31日，项目共计到位资金616.55万元（其中2022年到位资金331.4929万元）。</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截止2022年12月31日，古阳镇岳阳镇采煤沉陷区旧房拆除项目共计支出资金616.55万元。</w:t>
      </w:r>
    </w:p>
    <w:p>
      <w:pPr>
        <w:spacing w:line="500" w:lineRule="exact"/>
        <w:ind w:firstLine="562" w:firstLineChars="200"/>
        <w:rPr>
          <w:rFonts w:hint="eastAsia" w:ascii="仿宋" w:eastAsia="仿宋" w:cs="仿宋"/>
          <w:kern w:val="0"/>
          <w:sz w:val="28"/>
          <w:szCs w:val="32"/>
        </w:rPr>
      </w:pPr>
      <w:r>
        <w:rPr>
          <w:rFonts w:hint="eastAsia" w:ascii="仿宋" w:eastAsia="仿宋" w:cs="仿宋"/>
          <w:b/>
          <w:bCs/>
          <w:kern w:val="0"/>
          <w:sz w:val="28"/>
          <w:szCs w:val="32"/>
          <w:lang w:val="en-US" w:eastAsia="zh-CN"/>
        </w:rPr>
        <w:t>4</w:t>
      </w:r>
      <w:r>
        <w:rPr>
          <w:rFonts w:hint="eastAsia" w:asci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eastAsia="仿宋" w:cs="仿宋"/>
          <w:snapToGrid w:val="0"/>
          <w:sz w:val="28"/>
          <w:szCs w:val="28"/>
          <w:lang w:val="en-US" w:eastAsia="zh-CN"/>
        </w:rPr>
      </w:pPr>
      <w:r>
        <w:rPr>
          <w:rFonts w:hint="eastAsia" w:ascii="仿宋" w:eastAsia="仿宋" w:cs="仿宋"/>
          <w:kern w:val="0"/>
          <w:sz w:val="28"/>
          <w:szCs w:val="32"/>
          <w:lang w:val="en-US" w:eastAsia="zh-CN"/>
        </w:rPr>
        <w:t>我单位在项目实施过程中严格把关，制定了相关业务、财务管理制度</w:t>
      </w:r>
      <w:r>
        <w:rPr>
          <w:rFonts w:hint="eastAsia" w:ascii="仿宋" w:eastAsia="仿宋" w:cs="仿宋"/>
          <w:snapToGrid w:val="0"/>
          <w:sz w:val="28"/>
          <w:szCs w:val="28"/>
          <w:lang w:val="en-US" w:eastAsia="zh-CN"/>
        </w:rPr>
        <w:t>。</w:t>
      </w:r>
    </w:p>
    <w:p>
      <w:pPr>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ascii="黑体" w:eastAsia="黑体"/>
          <w:snapToGrid w:val="0"/>
          <w:sz w:val="32"/>
          <w:szCs w:val="32"/>
          <w:lang w:val="en-US" w:eastAsia="zh-CN"/>
        </w:rPr>
      </w:pPr>
      <w:bookmarkStart w:id="190" w:name="_Toc12775"/>
      <w:bookmarkStart w:id="191" w:name="_Toc21093"/>
      <w:r>
        <w:rPr>
          <w:rFonts w:hint="eastAsia" w:ascii="黑体" w:eastAsia="黑体"/>
          <w:snapToGrid w:val="0"/>
          <w:sz w:val="32"/>
          <w:szCs w:val="32"/>
          <w:lang w:val="en-US" w:eastAsia="zh-CN"/>
        </w:rPr>
        <w:t>附件4：合规性审查</w:t>
      </w:r>
      <w:bookmarkEnd w:id="190"/>
      <w:bookmarkEnd w:id="191"/>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为保证</w:t>
      </w:r>
      <w:r>
        <w:rPr>
          <w:rFonts w:hint="eastAsia" w:ascii="仿宋" w:eastAsia="仿宋" w:cs="仿宋"/>
          <w:kern w:val="0"/>
          <w:sz w:val="28"/>
          <w:szCs w:val="32"/>
          <w:lang w:val="en-US" w:eastAsia="zh-CN"/>
        </w:rPr>
        <w:t>古阳镇岳阳镇采煤沉陷区旧房拆除项目资金</w:t>
      </w:r>
      <w:r>
        <w:rPr>
          <w:rFonts w:hint="eastAsia" w:asci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1、合规性检查对象</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本次检查对象为</w:t>
      </w:r>
      <w:r>
        <w:rPr>
          <w:rFonts w:hint="eastAsia" w:ascii="仿宋" w:eastAsia="仿宋" w:cs="仿宋"/>
          <w:kern w:val="0"/>
          <w:sz w:val="28"/>
          <w:szCs w:val="32"/>
          <w:lang w:eastAsia="zh-CN"/>
        </w:rPr>
        <w:t>古阳镇岳阳镇采煤沉陷区旧房拆除项目资金</w:t>
      </w:r>
      <w:r>
        <w:rPr>
          <w:rFonts w:hint="eastAsia" w:ascii="仿宋" w:eastAsia="仿宋" w:cs="仿宋"/>
          <w:kern w:val="0"/>
          <w:sz w:val="28"/>
          <w:szCs w:val="32"/>
        </w:rPr>
        <w:t>。</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2、合规性检查内容</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eastAsia="仿宋" w:cs="仿宋"/>
          <w:b/>
          <w:kern w:val="0"/>
          <w:sz w:val="24"/>
          <w:szCs w:val="28"/>
        </w:rPr>
      </w:pPr>
      <w:r>
        <w:rPr>
          <w:rFonts w:hint="eastAsia" w:ascii="仿宋" w:eastAsia="仿宋" w:cs="仿宋"/>
          <w:b/>
          <w:kern w:val="0"/>
          <w:sz w:val="24"/>
          <w:szCs w:val="28"/>
        </w:rPr>
        <w:t>附表4-1  合规性审查内容框架</w:t>
      </w:r>
    </w:p>
    <w:tbl>
      <w:tblPr>
        <w:tblStyle w:val="19"/>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序号</w:t>
            </w:r>
          </w:p>
        </w:tc>
        <w:tc>
          <w:tcPr>
            <w:tcW w:w="1313"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项目</w:t>
            </w:r>
          </w:p>
        </w:tc>
        <w:tc>
          <w:tcPr>
            <w:tcW w:w="6727"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1</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2</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资金使用</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资金的拨付有完整的审批程序和手续及符合项目预算批复或合同规定的用途；</w:t>
            </w:r>
            <w:r>
              <w:rPr>
                <w:rFonts w:hint="eastAsia" w:ascii="仿宋" w:eastAsia="仿宋" w:cs="仿宋"/>
                <w:kern w:val="0"/>
                <w:sz w:val="24"/>
                <w:szCs w:val="28"/>
                <w:lang w:val="en-US" w:eastAsia="zh-CN"/>
              </w:rPr>
              <w:t>不</w:t>
            </w:r>
            <w:r>
              <w:rPr>
                <w:rFonts w:hint="eastAsia" w:ascii="仿宋" w:eastAsia="仿宋" w:cs="仿宋"/>
                <w:kern w:val="0"/>
                <w:sz w:val="24"/>
                <w:szCs w:val="28"/>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3</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财务监控</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4</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5</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项目执行</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6</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项目质量</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3、合规性检查方法</w:t>
      </w:r>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eastAsia="仿宋" w:cs="仿宋"/>
          <w:kern w:val="0"/>
          <w:sz w:val="28"/>
          <w:szCs w:val="32"/>
          <w:lang w:eastAsia="zh-CN"/>
        </w:rPr>
        <w:sectPr>
          <w:pgSz w:w="11906" w:h="16838"/>
          <w:pgMar w:top="1440" w:right="1797" w:bottom="1440" w:left="1797" w:header="851" w:footer="992" w:gutter="0"/>
          <w:cols w:space="720" w:num="1"/>
          <w:docGrid w:type="lines" w:linePitch="312" w:charSpace="0"/>
        </w:sectPr>
      </w:pPr>
      <w:r>
        <w:rPr>
          <w:rFonts w:hint="eastAsia" w:ascii="仿宋" w:eastAsia="仿宋" w:cs="仿宋"/>
          <w:kern w:val="0"/>
          <w:sz w:val="28"/>
          <w:szCs w:val="32"/>
        </w:rPr>
        <w:t>合规性具体检查内容见附表4-2所示</w:t>
      </w:r>
      <w:r>
        <w:rPr>
          <w:rFonts w:hint="eastAsia" w:ascii="仿宋" w:eastAsia="仿宋" w:cs="仿宋"/>
          <w:kern w:val="0"/>
          <w:sz w:val="28"/>
          <w:szCs w:val="32"/>
          <w:lang w:eastAsia="zh-CN"/>
        </w:rPr>
        <w:t>。</w:t>
      </w:r>
    </w:p>
    <w:p>
      <w:pPr>
        <w:spacing w:before="156" w:beforeLines="50" w:after="156"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未提供自评报告</w:t>
            </w:r>
          </w:p>
        </w:tc>
      </w:tr>
    </w:tbl>
    <w:p>
      <w:pPr>
        <w:pStyle w:val="2"/>
        <w:rPr>
          <w:lang w:val="en-US" w:eastAsia="zh-CN"/>
        </w:rPr>
      </w:pPr>
    </w:p>
    <w:sectPr>
      <w:footerReference r:id="rId10"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DejaVu Sans"/>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DejaVu Sans"/>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1" name="文本框 3"/>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rect id="文本框 3"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Iqa5Rb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rect>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4" name="文本框 4"/>
              <wp:cNvGraphicFramePr/>
              <a:graphic xmlns:a="http://schemas.openxmlformats.org/drawingml/2006/main">
                <a:graphicData uri="http://schemas.microsoft.com/office/word/2010/wordprocessingShape">
                  <wps:wsp>
                    <wps:cNvSpPr/>
                    <wps:spPr>
                      <a:xfrm>
                        <a:off x="0" y="0"/>
                        <a:ext cx="114300" cy="131558"/>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39</w:t>
                          </w:r>
                          <w:r>
                            <w:fldChar w:fldCharType="end"/>
                          </w:r>
                        </w:p>
                      </w:txbxContent>
                    </wps:txbx>
                    <wps:bodyPr vert="horz" wrap="none" lIns="0" tIns="0" rIns="0" bIns="0" anchor="t" anchorCtr="false" upright="false">
                      <a:spAutoFit/>
                    </wps:bodyPr>
                  </wps:wsp>
                </a:graphicData>
              </a:graphic>
            </wp:anchor>
          </w:drawing>
        </mc:Choice>
        <mc:Fallback>
          <w:pict>
            <v:rect id="文本框 4"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NPFmMj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39</w:t>
                    </w:r>
                    <w:r>
                      <w:fldChar w:fldCharType="end"/>
                    </w:r>
                  </w:p>
                </w:txbxContent>
              </v:textbox>
            </v:rect>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7" name="文本框 5"/>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47</w:t>
                          </w:r>
                          <w:r>
                            <w:fldChar w:fldCharType="end"/>
                          </w:r>
                        </w:p>
                      </w:txbxContent>
                    </wps:txbx>
                    <wps:bodyPr vert="horz" wrap="none" lIns="0" tIns="0" rIns="0" bIns="0" anchor="t" anchorCtr="false" upright="false">
                      <a:spAutoFit/>
                    </wps:bodyPr>
                  </wps:wsp>
                </a:graphicData>
              </a:graphic>
            </wp:anchor>
          </w:drawing>
        </mc:Choice>
        <mc:Fallback>
          <w:pict>
            <v:rect id="文本框 5"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E8MuFX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47</w:t>
                    </w:r>
                    <w:r>
                      <w:fldChar w:fldCharType="end"/>
                    </w:r>
                  </w:p>
                </w:txbxContent>
              </v:textbox>
            </v:rect>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eastAsia="仿宋" w:cs="仿宋"/>
        <w:b w:val="0"/>
        <w:bCs/>
      </w:rPr>
    </w:pPr>
    <w:r>
      <w:rPr>
        <w:rFonts w:hint="eastAsia" w:ascii="仿宋" w:eastAsia="仿宋" w:cs="仿宋"/>
        <w:b w:val="0"/>
        <w:bCs/>
        <w:szCs w:val="18"/>
        <w:lang w:eastAsia="zh-CN"/>
      </w:rPr>
      <w:t>采煤沉陷区旧房拆除和土地复垦项目</w:t>
    </w:r>
    <w:r>
      <w:rPr>
        <w:rFonts w:hint="eastAsia" w:ascii="仿宋" w:eastAsia="仿宋" w:cs="仿宋"/>
        <w:b w:val="0"/>
        <w:bCs/>
        <w:lang w:eastAsia="zh-CN"/>
      </w:rPr>
      <w:t>支出绩效评价</w:t>
    </w:r>
    <w:r>
      <w:rPr>
        <w:rFonts w:hint="eastAsia" w:ascii="仿宋" w:eastAsia="仿宋" w:cs="仿宋"/>
        <w:b w:val="0"/>
        <w:bCs/>
      </w:rPr>
      <w:t>报告</w:t>
    </w:r>
  </w:p>
  <w:p>
    <w:pPr>
      <w:pStyle w:val="13"/>
      <w:pBdr>
        <w:bottom w:val="none" w:color="auto" w:sz="0" w:space="0"/>
      </w:pBdr>
      <w:rPr>
        <w:rFonts w:ascii="仿宋_GB2312"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eastAsia="仿宋_GB2312"/>
      </w:rPr>
    </w:pPr>
    <w:r>
      <w:rPr>
        <w:rFonts w:hint="eastAsia" w:ascii="仿宋_GB2312" w:eastAsia="仿宋_GB2312"/>
        <w:lang w:eastAsia="zh-CN"/>
      </w:rPr>
      <w:t>采煤沉陷区旧房拆除和土地复垦项目经费支出绩效评价</w:t>
    </w:r>
    <w:r>
      <w:rPr>
        <w:rFonts w:hint="eastAsia" w:ascii="仿宋_GB2312"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dit="readOnly" w:enforcement="0"/>
  <w:defaultTabStop w:val="420"/>
  <w:drawingGridHorizontalSpacing w:val="105"/>
  <w:drawingGridVerticalSpacing w:val="158"/>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NmQwYzlhYmVjYmUyMjYzYTI1ZjVhMWE5OTYzZmVlMmIifQ=="/>
  </w:docVars>
  <w:rsids>
    <w:rsidRoot w:val="00000000"/>
    <w:rsid w:val="E7F7A8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Cambria" w:hAnsi="Cambria"/>
      <w:b/>
      <w:bCs/>
      <w:sz w:val="32"/>
      <w:szCs w:val="32"/>
    </w:rPr>
  </w:style>
  <w:style w:type="paragraph" w:styleId="5">
    <w:name w:val="heading 3"/>
    <w:basedOn w:val="1"/>
    <w:next w:val="1"/>
    <w:qFormat/>
    <w:uiPriority w:val="0"/>
    <w:pPr>
      <w:keepNext/>
      <w:keepLines/>
      <w:widowControl w:val="0"/>
      <w:spacing w:before="260" w:after="260" w:line="415" w:lineRule="auto"/>
      <w:outlineLvl w:val="2"/>
    </w:pPr>
    <w:rPr>
      <w:rFonts w:ascii="Times New Roman" w:hAnsi="Times New Roman"/>
      <w:b/>
      <w:bCs/>
      <w:kern w:val="0"/>
      <w:sz w:val="32"/>
      <w:szCs w:val="32"/>
    </w:rPr>
  </w:style>
  <w:style w:type="character" w:default="1" w:styleId="20">
    <w:name w:val="Default Paragraph Font"/>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206"/>
      <w:jc w:val="left"/>
    </w:pPr>
    <w:rPr>
      <w:rFonts w:ascii="宋体"/>
      <w:kern w:val="0"/>
      <w:sz w:val="18"/>
      <w:szCs w:val="18"/>
    </w:rPr>
  </w:style>
  <w:style w:type="paragraph" w:styleId="6">
    <w:name w:val="Document Map"/>
    <w:basedOn w:val="1"/>
    <w:qFormat/>
    <w:uiPriority w:val="0"/>
    <w:rPr>
      <w:rFonts w:ascii="宋体"/>
      <w:sz w:val="18"/>
      <w:szCs w:val="18"/>
    </w:rPr>
  </w:style>
  <w:style w:type="paragraph" w:styleId="7">
    <w:name w:val="annotation text"/>
    <w:basedOn w:val="1"/>
    <w:qFormat/>
    <w:uiPriority w:val="0"/>
    <w:pPr>
      <w:jc w:val="left"/>
    </w:pPr>
    <w:rPr>
      <w:kern w:val="0"/>
      <w:sz w:val="24"/>
    </w:rPr>
  </w:style>
  <w:style w:type="paragraph" w:styleId="8">
    <w:name w:val="toc 3"/>
    <w:basedOn w:val="1"/>
    <w:next w:val="1"/>
    <w:qFormat/>
    <w:uiPriority w:val="0"/>
    <w:pPr>
      <w:widowControl/>
      <w:spacing w:after="100" w:line="276" w:lineRule="auto"/>
      <w:ind w:left="440"/>
      <w:jc w:val="left"/>
    </w:pPr>
    <w:rPr>
      <w:kern w:val="0"/>
      <w:sz w:val="22"/>
      <w:szCs w:val="22"/>
    </w:rPr>
  </w:style>
  <w:style w:type="paragraph" w:styleId="9">
    <w:name w:val="Plain Text"/>
    <w:basedOn w:val="1"/>
    <w:qFormat/>
    <w:uiPriority w:val="0"/>
    <w:rPr>
      <w:rFonts w:ascii="宋体"/>
      <w:kern w:val="0"/>
      <w:szCs w:val="21"/>
    </w:rPr>
  </w:style>
  <w:style w:type="paragraph" w:styleId="10">
    <w:name w:val="Date"/>
    <w:basedOn w:val="1"/>
    <w:next w:val="1"/>
    <w:qFormat/>
    <w:uiPriority w:val="0"/>
    <w:pPr>
      <w:ind w:left="2500" w:leftChars="2500"/>
    </w:pPr>
    <w:rPr>
      <w:szCs w:val="22"/>
    </w:rPr>
  </w:style>
  <w:style w:type="paragraph" w:styleId="11">
    <w:name w:val="Balloon Text"/>
    <w:basedOn w:val="1"/>
    <w:qFormat/>
    <w:uiPriority w:val="0"/>
    <w:rPr>
      <w:kern w:val="0"/>
      <w:sz w:val="18"/>
      <w:szCs w:val="18"/>
    </w:rPr>
  </w:style>
  <w:style w:type="paragraph" w:styleId="12">
    <w:name w:val="footer"/>
    <w:basedOn w:val="1"/>
    <w:qFormat/>
    <w:uiPriority w:val="0"/>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0"/>
    <w:pPr>
      <w:widowControl/>
      <w:spacing w:after="100" w:line="276" w:lineRule="auto"/>
      <w:jc w:val="left"/>
    </w:pPr>
    <w:rPr>
      <w:kern w:val="0"/>
      <w:sz w:val="22"/>
      <w:szCs w:val="22"/>
    </w:rPr>
  </w:style>
  <w:style w:type="paragraph" w:styleId="15">
    <w:name w:val="toc 2"/>
    <w:basedOn w:val="1"/>
    <w:next w:val="1"/>
    <w:qFormat/>
    <w:uiPriority w:val="0"/>
    <w:pPr>
      <w:widowControl/>
      <w:spacing w:after="100" w:line="276" w:lineRule="auto"/>
      <w:ind w:left="220"/>
      <w:jc w:val="left"/>
    </w:pPr>
    <w:rPr>
      <w:kern w:val="0"/>
      <w:sz w:val="22"/>
      <w:szCs w:val="22"/>
    </w:rPr>
  </w:style>
  <w:style w:type="paragraph" w:styleId="16">
    <w:name w:val="Normal (Web)"/>
    <w:basedOn w:val="1"/>
    <w:qFormat/>
    <w:uiPriority w:val="0"/>
    <w:pPr>
      <w:jc w:val="left"/>
    </w:pPr>
    <w:rPr>
      <w:kern w:val="0"/>
      <w:sz w:val="24"/>
      <w:szCs w:val="22"/>
    </w:rPr>
  </w:style>
  <w:style w:type="paragraph" w:styleId="17">
    <w:name w:val="Title"/>
    <w:basedOn w:val="1"/>
    <w:next w:val="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qFormat/>
    <w:uiPriority w:val="0"/>
    <w:rPr>
      <w:b/>
      <w:bCs/>
    </w:rPr>
  </w:style>
  <w:style w:type="character" w:styleId="21">
    <w:name w:val="Hyperlink"/>
    <w:qFormat/>
    <w:uiPriority w:val="0"/>
    <w:rPr>
      <w:rFonts w:cs="Times New Roman"/>
      <w:color w:val="0000FF"/>
      <w:u w:val="single"/>
    </w:rPr>
  </w:style>
  <w:style w:type="character" w:styleId="22">
    <w:name w:val="annotation reference"/>
    <w:qFormat/>
    <w:uiPriority w:val="0"/>
    <w:rPr>
      <w:rFonts w:cs="Times New Roman"/>
      <w:sz w:val="21"/>
      <w:szCs w:val="21"/>
    </w:rPr>
  </w:style>
  <w:style w:type="character" w:customStyle="1" w:styleId="23">
    <w:name w:val="标题 Char"/>
    <w:qFormat/>
    <w:uiPriority w:val="0"/>
    <w:rPr>
      <w:rFonts w:ascii="Cambria" w:hAnsi="Cambria" w:eastAsia="宋体" w:cs="Times New Roman"/>
      <w:b/>
      <w:bCs/>
      <w:sz w:val="32"/>
      <w:szCs w:val="32"/>
    </w:rPr>
  </w:style>
  <w:style w:type="paragraph" w:customStyle="1" w:styleId="24">
    <w:name w:val="列出段落1"/>
    <w:basedOn w:val="1"/>
    <w:qFormat/>
    <w:uiPriority w:val="0"/>
    <w:pPr>
      <w:widowControl/>
      <w:spacing w:after="200" w:line="276" w:lineRule="auto"/>
      <w:ind w:firstLine="200" w:firstLineChars="200"/>
      <w:jc w:val="left"/>
    </w:pPr>
    <w:rPr>
      <w:rFonts w:ascii="Times New Roman" w:hAnsi="Times New Roman"/>
      <w:kern w:val="0"/>
      <w:sz w:val="28"/>
      <w:szCs w:val="22"/>
    </w:rPr>
  </w:style>
  <w:style w:type="character" w:customStyle="1" w:styleId="25">
    <w:name w:val="font01"/>
    <w:qFormat/>
    <w:uiPriority w:val="0"/>
    <w:rPr>
      <w:rFonts w:ascii="Symbol" w:hAnsi="Symbol" w:cs="Times New Roman"/>
      <w:color w:val="000000"/>
      <w:sz w:val="24"/>
      <w:szCs w:val="24"/>
      <w:u w:val="none"/>
    </w:rPr>
  </w:style>
  <w:style w:type="character" w:customStyle="1" w:styleId="26">
    <w:name w:val="font11"/>
    <w:qFormat/>
    <w:uiPriority w:val="0"/>
    <w:rPr>
      <w:rFonts w:ascii="仿宋" w:eastAsia="仿宋" w:cs="Times New Roman"/>
      <w:color w:val="000000"/>
      <w:sz w:val="24"/>
      <w:szCs w:val="24"/>
      <w:u w:val="none"/>
    </w:rPr>
  </w:style>
  <w:style w:type="character" w:customStyle="1" w:styleId="27">
    <w:name w:val="font31"/>
    <w:qFormat/>
    <w:uiPriority w:val="0"/>
    <w:rPr>
      <w:rFonts w:ascii="宋体" w:eastAsia="宋体" w:cs="Times New Roman"/>
      <w:color w:val="000000"/>
      <w:sz w:val="24"/>
      <w:szCs w:val="24"/>
      <w:u w:val="none"/>
    </w:rPr>
  </w:style>
  <w:style w:type="paragraph" w:customStyle="1" w:styleId="28">
    <w:name w:val="TOC 标题1"/>
    <w:basedOn w:val="3"/>
    <w:next w:val="1"/>
    <w:qFormat/>
    <w:uiPriority w:val="0"/>
    <w:pPr>
      <w:keepNext/>
      <w:keepLines/>
      <w:widowControl/>
      <w:spacing w:before="480" w:after="0" w:line="276" w:lineRule="auto"/>
      <w:jc w:val="left"/>
      <w:outlineLvl w:val="9"/>
    </w:pPr>
    <w:rPr>
      <w:rFonts w:ascii="Cambria" w:hAnsi="Cambria"/>
      <w:color w:val="365F91"/>
      <w:kern w:val="0"/>
      <w:sz w:val="28"/>
      <w:szCs w:val="28"/>
    </w:rPr>
  </w:style>
  <w:style w:type="paragraph" w:customStyle="1" w:styleId="29">
    <w:name w:val="正文1"/>
    <w:basedOn w:val="1"/>
    <w:qFormat/>
    <w:uiPriority w:val="0"/>
    <w:pPr>
      <w:widowControl/>
      <w:spacing w:after="200" w:line="480" w:lineRule="auto"/>
      <w:ind w:firstLine="200" w:firstLineChars="200"/>
      <w:jc w:val="left"/>
    </w:pPr>
    <w:rPr>
      <w:rFonts w:ascii="Times New Roman" w:hAnsi="Times New Roman" w:eastAsia="仿宋"/>
      <w:kern w:val="0"/>
      <w:sz w:val="28"/>
      <w:szCs w:val="22"/>
      <w:lang w:bidi="en-US"/>
    </w:rPr>
  </w:style>
  <w:style w:type="paragraph" w:customStyle="1" w:styleId="30">
    <w:name w:val="修订1"/>
    <w:qFormat/>
    <w:uiPriority w:val="0"/>
    <w:rPr>
      <w:rFonts w:ascii="Calibri" w:hAnsi="Calibri" w:eastAsia="宋体" w:cs="Times New Roman"/>
      <w:kern w:val="2"/>
      <w:sz w:val="21"/>
      <w:szCs w:val="24"/>
      <w:lang w:val="en-US" w:eastAsia="zh-CN" w:bidi="ar-SA"/>
    </w:rPr>
  </w:style>
  <w:style w:type="character" w:customStyle="1" w:styleId="31">
    <w:name w:val="font21"/>
    <w:basedOn w:val="20"/>
    <w:qFormat/>
    <w:uiPriority w:val="0"/>
    <w:rPr>
      <w:rFonts w:ascii="Arial Narrow" w:hAnsi="Arial Narrow"/>
      <w:color w:val="000000"/>
      <w:sz w:val="20"/>
      <w:szCs w:val="20"/>
      <w:u w:val="none"/>
    </w:rPr>
  </w:style>
  <w:style w:type="character" w:customStyle="1" w:styleId="32">
    <w:name w:val="font61"/>
    <w:basedOn w:val="20"/>
    <w:qFormat/>
    <w:uiPriority w:val="0"/>
    <w:rPr>
      <w:color w:val="000000"/>
      <w:sz w:val="20"/>
      <w:szCs w:val="20"/>
      <w:u w:val="none"/>
    </w:rPr>
  </w:style>
  <w:style w:type="paragraph" w:customStyle="1" w:styleId="33">
    <w:name w:val="样式1"/>
    <w:basedOn w:val="1"/>
    <w:qFormat/>
    <w:uiPriority w:val="0"/>
    <w:pPr>
      <w:tabs>
        <w:tab w:val="left" w:pos="630"/>
      </w:tabs>
      <w:ind w:firstLine="20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51</Pages>
  <Words>21988</Words>
  <Characters>24451</Characters>
  <Lines>1670</Lines>
  <Paragraphs>962</Paragraphs>
  <TotalTime>2</TotalTime>
  <ScaleCrop>false</ScaleCrop>
  <LinksUpToDate>false</LinksUpToDate>
  <CharactersWithSpaces>24498</CharactersWithSpaces>
  <Application>WPS Office_11.8.2.10195_F1E327BC-269C-435d-A152-05C5408002CA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2021-03-13T20:09:00Z</cp:lastPrinted>
  <dcterms:modified xsi:type="dcterms:W3CDTF">2025-03-21T18:54:58Z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