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994F3">
      <w:pPr>
        <w:jc w:val="both"/>
        <w:rPr>
          <w:rFonts w:ascii="黑体" w:eastAsia="黑体" w:cs="仿宋"/>
          <w:b/>
          <w:bCs/>
          <w:spacing w:val="20"/>
          <w:sz w:val="48"/>
          <w:szCs w:val="48"/>
        </w:rPr>
      </w:pPr>
      <w:bookmarkStart w:id="0" w:name="_Toc514537326"/>
      <w:bookmarkStart w:id="1" w:name="_Toc514537328"/>
    </w:p>
    <w:p w14:paraId="2EE47BB6">
      <w:pPr>
        <w:spacing w:before="156" w:beforeLines="50" w:after="156" w:afterLines="50" w:line="574" w:lineRule="exact"/>
        <w:jc w:val="center"/>
        <w:rPr>
          <w:rFonts w:ascii="Times New Roman" w:hAnsi="Times New Roman" w:eastAsia="黑体"/>
          <w:b/>
          <w:sz w:val="44"/>
          <w:szCs w:val="44"/>
        </w:rPr>
      </w:pPr>
      <w:r>
        <w:rPr>
          <w:rFonts w:hint="eastAsia" w:ascii="宋体" w:eastAsia="宋体" w:cs="宋体"/>
          <w:b/>
          <w:sz w:val="44"/>
          <w:szCs w:val="44"/>
          <w:lang w:val="en-US" w:eastAsia="zh-CN"/>
        </w:rPr>
        <w:t>古县南垣乡东池及驼腰村以工代赈田间道路建设工程项目</w:t>
      </w:r>
      <w:r>
        <w:rPr>
          <w:rFonts w:hint="eastAsia" w:ascii="宋体" w:eastAsia="宋体" w:cs="宋体"/>
          <w:b/>
          <w:sz w:val="44"/>
          <w:szCs w:val="44"/>
        </w:rPr>
        <w:t>支出绩效评价报告</w:t>
      </w:r>
    </w:p>
    <w:p w14:paraId="027F391E">
      <w:pPr>
        <w:jc w:val="center"/>
        <w:rPr>
          <w:rFonts w:ascii="仿宋" w:eastAsia="仿宋" w:cs="仿宋"/>
          <w:b/>
          <w:bCs/>
          <w:sz w:val="48"/>
          <w:szCs w:val="48"/>
          <w:highlight w:val="yellow"/>
        </w:rPr>
      </w:pPr>
    </w:p>
    <w:p w14:paraId="6E29C5A9">
      <w:pPr>
        <w:jc w:val="center"/>
        <w:rPr>
          <w:rFonts w:ascii="仿宋" w:eastAsia="仿宋" w:cs="仿宋"/>
          <w:b/>
          <w:bCs/>
          <w:sz w:val="48"/>
          <w:szCs w:val="48"/>
          <w:highlight w:val="yellow"/>
        </w:rPr>
      </w:pPr>
    </w:p>
    <w:p w14:paraId="005B24FE">
      <w:pPr>
        <w:pStyle w:val="7"/>
        <w:ind w:left="0" w:firstLine="0"/>
        <w:rPr>
          <w:rFonts w:ascii="仿宋" w:eastAsia="仿宋" w:cs="仿宋"/>
          <w:b/>
          <w:bCs/>
          <w:sz w:val="48"/>
          <w:szCs w:val="48"/>
          <w:highlight w:val="yellow"/>
        </w:rPr>
      </w:pPr>
    </w:p>
    <w:p w14:paraId="2412304C">
      <w:pPr>
        <w:rPr>
          <w:rFonts w:ascii="仿宋" w:eastAsia="仿宋" w:cs="仿宋"/>
          <w:b/>
          <w:bCs/>
          <w:sz w:val="48"/>
          <w:szCs w:val="48"/>
          <w:highlight w:val="yellow"/>
        </w:rPr>
      </w:pPr>
    </w:p>
    <w:p w14:paraId="2AE7D894">
      <w:pPr>
        <w:rPr>
          <w:rFonts w:ascii="仿宋" w:eastAsia="仿宋" w:cs="仿宋"/>
          <w:b/>
          <w:bCs/>
          <w:sz w:val="48"/>
          <w:szCs w:val="48"/>
          <w:highlight w:val="yellow"/>
        </w:rPr>
      </w:pPr>
    </w:p>
    <w:p w14:paraId="44182ABD">
      <w:pPr>
        <w:rPr>
          <w:rFonts w:ascii="仿宋" w:eastAsia="仿宋" w:cs="仿宋"/>
          <w:b/>
          <w:bCs/>
          <w:sz w:val="48"/>
          <w:szCs w:val="48"/>
          <w:highlight w:val="yellow"/>
        </w:rPr>
      </w:pPr>
    </w:p>
    <w:p w14:paraId="0914493F">
      <w:pPr>
        <w:rPr>
          <w:rFonts w:ascii="仿宋" w:eastAsia="仿宋" w:cs="仿宋"/>
          <w:b/>
          <w:bCs/>
          <w:sz w:val="48"/>
          <w:szCs w:val="48"/>
          <w:highlight w:val="yellow"/>
        </w:rPr>
      </w:pPr>
    </w:p>
    <w:p w14:paraId="2AE8A62A">
      <w:pPr>
        <w:rPr>
          <w:rFonts w:ascii="仿宋" w:eastAsia="仿宋" w:cs="仿宋"/>
          <w:b/>
          <w:bCs/>
          <w:sz w:val="48"/>
          <w:szCs w:val="48"/>
          <w:highlight w:val="yellow"/>
        </w:rPr>
      </w:pPr>
    </w:p>
    <w:p w14:paraId="06552FC4">
      <w:pPr>
        <w:pStyle w:val="20"/>
        <w:rPr>
          <w:rFonts w:ascii="仿宋" w:eastAsia="仿宋" w:cs="仿宋"/>
          <w:b/>
          <w:bCs/>
          <w:sz w:val="48"/>
          <w:szCs w:val="48"/>
          <w:highlight w:val="yellow"/>
        </w:rPr>
      </w:pPr>
    </w:p>
    <w:p w14:paraId="30AB3993">
      <w:pPr>
        <w:pStyle w:val="20"/>
        <w:rPr>
          <w:rFonts w:ascii="仿宋" w:eastAsia="仿宋" w:cs="仿宋"/>
          <w:b/>
          <w:bCs/>
          <w:sz w:val="48"/>
          <w:szCs w:val="48"/>
          <w:highlight w:val="yellow"/>
        </w:rPr>
      </w:pPr>
    </w:p>
    <w:p w14:paraId="3B50C405">
      <w:pPr>
        <w:pStyle w:val="20"/>
        <w:rPr>
          <w:rFonts w:ascii="仿宋" w:eastAsia="仿宋" w:cs="仿宋"/>
          <w:b/>
          <w:bCs/>
          <w:sz w:val="48"/>
          <w:szCs w:val="48"/>
          <w:highlight w:val="yellow"/>
        </w:rPr>
      </w:pPr>
    </w:p>
    <w:p w14:paraId="3E378F68">
      <w:pPr>
        <w:pStyle w:val="20"/>
        <w:rPr>
          <w:rFonts w:ascii="仿宋" w:eastAsia="仿宋" w:cs="仿宋"/>
          <w:b/>
          <w:bCs/>
          <w:sz w:val="48"/>
          <w:szCs w:val="48"/>
          <w:highlight w:val="yellow"/>
        </w:rPr>
      </w:pPr>
    </w:p>
    <w:p w14:paraId="6A234402">
      <w:pPr>
        <w:rPr>
          <w:rFonts w:ascii="仿宋" w:eastAsia="仿宋" w:cs="仿宋"/>
          <w:b/>
          <w:bCs/>
          <w:sz w:val="48"/>
          <w:szCs w:val="48"/>
          <w:highlight w:val="yellow"/>
        </w:rPr>
      </w:pPr>
    </w:p>
    <w:p w14:paraId="4D2417EF">
      <w:pPr>
        <w:autoSpaceDE w:val="0"/>
        <w:autoSpaceDN w:val="0"/>
        <w:adjustRightInd w:val="0"/>
        <w:spacing w:line="520" w:lineRule="exact"/>
        <w:ind w:firstLine="1405" w:firstLineChars="500"/>
        <w:jc w:val="left"/>
        <w:rPr>
          <w:rFonts w:hint="eastAsia" w:ascii="仿宋" w:eastAsia="仿宋" w:cs="仿宋"/>
          <w:b/>
          <w:bCs/>
          <w:kern w:val="0"/>
          <w:sz w:val="28"/>
          <w:szCs w:val="28"/>
          <w:lang w:eastAsia="zh-CN"/>
        </w:rPr>
      </w:pPr>
      <w:r>
        <w:rPr>
          <w:rFonts w:hint="eastAsia" w:ascii="仿宋" w:eastAsia="仿宋" w:cs="仿宋"/>
          <w:b/>
          <w:bCs/>
          <w:kern w:val="0"/>
          <w:sz w:val="28"/>
          <w:szCs w:val="28"/>
        </w:rPr>
        <w:t>主管单位：</w:t>
      </w:r>
      <w:r>
        <w:rPr>
          <w:rFonts w:hint="eastAsia" w:ascii="仿宋" w:eastAsia="仿宋" w:cs="仿宋"/>
          <w:b/>
          <w:bCs/>
          <w:kern w:val="0"/>
          <w:sz w:val="28"/>
          <w:szCs w:val="28"/>
          <w:lang w:eastAsia="zh-CN"/>
        </w:rPr>
        <w:t>古县发展和改革局</w:t>
      </w:r>
    </w:p>
    <w:p w14:paraId="7E4962B2">
      <w:pPr>
        <w:autoSpaceDE w:val="0"/>
        <w:autoSpaceDN w:val="0"/>
        <w:adjustRightInd w:val="0"/>
        <w:spacing w:line="520" w:lineRule="exact"/>
        <w:ind w:firstLine="1405" w:firstLineChars="500"/>
        <w:jc w:val="left"/>
        <w:rPr>
          <w:rFonts w:ascii="仿宋" w:eastAsia="仿宋" w:cs="仿宋"/>
          <w:b/>
          <w:bCs/>
          <w:kern w:val="0"/>
          <w:sz w:val="28"/>
          <w:szCs w:val="28"/>
          <w:lang w:val="en-US" w:eastAsia="zh-CN"/>
        </w:rPr>
      </w:pPr>
      <w:r>
        <w:rPr>
          <w:rFonts w:hint="eastAsia" w:ascii="仿宋" w:eastAsia="仿宋" w:cs="仿宋"/>
          <w:b/>
          <w:bCs/>
          <w:kern w:val="0"/>
          <w:sz w:val="28"/>
          <w:szCs w:val="28"/>
        </w:rPr>
        <w:t>实施单位：</w:t>
      </w:r>
      <w:r>
        <w:rPr>
          <w:rFonts w:hint="eastAsia" w:ascii="仿宋" w:eastAsia="仿宋" w:cs="仿宋"/>
          <w:b/>
          <w:bCs/>
          <w:kern w:val="0"/>
          <w:sz w:val="28"/>
          <w:szCs w:val="28"/>
          <w:lang w:val="en-US" w:eastAsia="zh-CN"/>
        </w:rPr>
        <w:t>古县南垣乡人民政府</w:t>
      </w:r>
    </w:p>
    <w:p w14:paraId="3A669591">
      <w:pPr>
        <w:autoSpaceDE w:val="0"/>
        <w:autoSpaceDN w:val="0"/>
        <w:adjustRightInd w:val="0"/>
        <w:spacing w:line="520" w:lineRule="exact"/>
        <w:ind w:firstLine="1405" w:firstLineChars="500"/>
        <w:jc w:val="left"/>
        <w:rPr>
          <w:rFonts w:hint="eastAsia" w:ascii="仿宋" w:eastAsia="仿宋" w:cs="仿宋"/>
          <w:b/>
          <w:bCs/>
          <w:kern w:val="0"/>
          <w:sz w:val="28"/>
          <w:szCs w:val="28"/>
        </w:rPr>
      </w:pPr>
      <w:r>
        <w:rPr>
          <w:rFonts w:hint="eastAsia" w:ascii="仿宋" w:eastAsia="仿宋" w:cs="仿宋"/>
          <w:b/>
          <w:bCs/>
          <w:kern w:val="0"/>
          <w:sz w:val="28"/>
          <w:szCs w:val="28"/>
        </w:rPr>
        <w:t>委托单位：</w:t>
      </w:r>
      <w:r>
        <w:rPr>
          <w:rFonts w:hint="eastAsia" w:ascii="仿宋" w:eastAsia="仿宋" w:cs="仿宋"/>
          <w:b/>
          <w:bCs/>
          <w:kern w:val="0"/>
          <w:sz w:val="28"/>
          <w:szCs w:val="28"/>
          <w:lang w:eastAsia="zh-CN"/>
        </w:rPr>
        <w:t>古县</w:t>
      </w:r>
      <w:r>
        <w:rPr>
          <w:rFonts w:hint="eastAsia" w:ascii="仿宋" w:eastAsia="仿宋" w:cs="仿宋"/>
          <w:b/>
          <w:bCs/>
          <w:kern w:val="0"/>
          <w:sz w:val="28"/>
          <w:szCs w:val="28"/>
        </w:rPr>
        <w:t>财政局</w:t>
      </w:r>
    </w:p>
    <w:p w14:paraId="6D6DC47F">
      <w:pPr>
        <w:autoSpaceDE w:val="0"/>
        <w:autoSpaceDN w:val="0"/>
        <w:adjustRightInd w:val="0"/>
        <w:spacing w:line="520" w:lineRule="exact"/>
        <w:ind w:firstLine="1405" w:firstLineChars="500"/>
        <w:jc w:val="left"/>
        <w:rPr>
          <w:rFonts w:hint="eastAsia" w:ascii="仿宋" w:eastAsia="仿宋" w:cs="仿宋"/>
          <w:b/>
          <w:bCs/>
          <w:kern w:val="0"/>
          <w:sz w:val="28"/>
          <w:szCs w:val="28"/>
        </w:rPr>
      </w:pPr>
      <w:r>
        <w:rPr>
          <w:rFonts w:hint="eastAsia" w:ascii="仿宋" w:eastAsia="仿宋" w:cs="仿宋"/>
          <w:b/>
          <w:bCs/>
          <w:kern w:val="0"/>
          <w:sz w:val="28"/>
          <w:szCs w:val="28"/>
        </w:rPr>
        <w:t>评价机构：山西恒略绩效管理咨询有限公司</w:t>
      </w:r>
    </w:p>
    <w:p w14:paraId="5AF87257">
      <w:pPr>
        <w:rPr>
          <w:rFonts w:hint="eastAsia" w:ascii="仿宋_GB2312" w:eastAsia="仿宋_GB2312" w:cs="黑体"/>
          <w:b/>
          <w:bCs/>
          <w:sz w:val="28"/>
          <w:szCs w:val="28"/>
        </w:rPr>
      </w:pPr>
    </w:p>
    <w:p w14:paraId="779C21C7">
      <w:pPr>
        <w:spacing w:line="574" w:lineRule="exact"/>
        <w:jc w:val="both"/>
        <w:rPr>
          <w:rFonts w:ascii="黑体" w:eastAsia="黑体" w:cs="仿宋"/>
          <w:b/>
          <w:bCs/>
          <w:sz w:val="32"/>
          <w:szCs w:val="32"/>
        </w:rPr>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pPr>
    </w:p>
    <w:p w14:paraId="68A58D5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eastAsia="仿宋" w:cs="仿宋"/>
          <w:sz w:val="24"/>
          <w:szCs w:val="24"/>
        </w:rPr>
      </w:pPr>
      <w:r>
        <w:rPr>
          <w:rFonts w:hint="eastAsia" w:ascii="仿宋_GB2312" w:eastAsia="仿宋_GB2312" w:cs="仿宋_GB2312"/>
          <w:b/>
          <w:bCs/>
          <w:sz w:val="44"/>
          <w:szCs w:val="44"/>
        </w:rPr>
        <w:br w:type="page"/>
      </w:r>
      <w:r>
        <w:rPr>
          <w:rFonts w:hint="eastAsia" w:ascii="仿宋" w:eastAsia="仿宋" w:cs="仿宋"/>
          <w:b/>
          <w:bCs/>
          <w:sz w:val="24"/>
          <w:szCs w:val="24"/>
        </w:rPr>
        <w:t>目</w:t>
      </w:r>
      <w:r>
        <w:rPr>
          <w:rFonts w:hint="eastAsia" w:ascii="仿宋" w:eastAsia="仿宋" w:cs="仿宋"/>
          <w:b/>
          <w:bCs/>
          <w:sz w:val="24"/>
          <w:szCs w:val="24"/>
          <w:lang w:val="en-US" w:eastAsia="zh-CN"/>
        </w:rPr>
        <w:t xml:space="preserve"> </w:t>
      </w:r>
      <w:r>
        <w:rPr>
          <w:rFonts w:hint="eastAsia" w:ascii="仿宋" w:eastAsia="仿宋" w:cs="仿宋"/>
          <w:b/>
          <w:bCs/>
          <w:sz w:val="24"/>
          <w:szCs w:val="24"/>
        </w:rPr>
        <w:t>录</w:t>
      </w:r>
    </w:p>
    <w:p w14:paraId="7E5615CB">
      <w:pPr>
        <w:pStyle w:val="15"/>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eastAsia="仿宋" w:cs="仿宋"/>
          <w:sz w:val="24"/>
          <w:szCs w:val="24"/>
          <w:highlight w:val="yellow"/>
        </w:rPr>
      </w:pPr>
    </w:p>
    <w:p w14:paraId="3AB1237C">
      <w:pPr>
        <w:pStyle w:val="15"/>
        <w:tabs>
          <w:tab w:val="right" w:leader="dot" w:pos="8306"/>
        </w:tabs>
        <w:rPr>
          <w:rFonts w:hint="eastAsia" w:ascii="仿宋" w:eastAsia="仿宋" w:cs="仿宋"/>
          <w:b/>
          <w:bCs/>
          <w:sz w:val="24"/>
          <w:szCs w:val="24"/>
        </w:rPr>
      </w:pPr>
      <w:r>
        <w:rPr>
          <w:rFonts w:hint="eastAsia" w:ascii="仿宋" w:eastAsia="仿宋" w:cs="仿宋"/>
          <w:b w:val="0"/>
          <w:bCs w:val="0"/>
          <w:sz w:val="24"/>
          <w:szCs w:val="24"/>
          <w:highlight w:val="yellow"/>
        </w:rPr>
        <w:fldChar w:fldCharType="begin"/>
      </w:r>
      <w:r>
        <w:rPr>
          <w:rFonts w:hint="eastAsia" w:ascii="仿宋" w:eastAsia="仿宋" w:cs="仿宋"/>
          <w:b w:val="0"/>
          <w:bCs w:val="0"/>
          <w:sz w:val="24"/>
          <w:szCs w:val="24"/>
          <w:highlight w:val="yellow"/>
        </w:rPr>
        <w:instrText xml:space="preserve"> TOC \o "1-3" \h \z \u </w:instrText>
      </w:r>
      <w:r>
        <w:rPr>
          <w:rFonts w:hint="eastAsia" w:ascii="仿宋" w:eastAsia="仿宋" w:cs="仿宋"/>
          <w:b w:val="0"/>
          <w:bCs w:val="0"/>
          <w:sz w:val="24"/>
          <w:szCs w:val="24"/>
          <w:highlight w:val="yellow"/>
        </w:rPr>
        <w:fldChar w:fldCharType="separate"/>
      </w: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_Toc19313 </w:instrText>
      </w:r>
      <w:r>
        <w:rPr>
          <w:rFonts w:hint="eastAsia" w:ascii="仿宋" w:eastAsia="仿宋" w:cs="仿宋"/>
          <w:b/>
          <w:bCs/>
          <w:sz w:val="24"/>
          <w:szCs w:val="24"/>
          <w:highlight w:val="yellow"/>
        </w:rPr>
        <w:fldChar w:fldCharType="separate"/>
      </w:r>
      <w:r>
        <w:rPr>
          <w:rFonts w:hint="eastAsia" w:ascii="仿宋" w:eastAsia="仿宋" w:cs="仿宋"/>
          <w:b/>
          <w:bCs/>
          <w:kern w:val="2"/>
          <w:sz w:val="24"/>
          <w:szCs w:val="24"/>
        </w:rPr>
        <w:t>报告摘要</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_Toc19313 \h </w:instrText>
      </w:r>
      <w:r>
        <w:rPr>
          <w:rFonts w:hint="eastAsia" w:ascii="仿宋" w:eastAsia="仿宋" w:cs="仿宋"/>
          <w:b/>
          <w:bCs/>
          <w:sz w:val="24"/>
          <w:szCs w:val="24"/>
        </w:rPr>
        <w:fldChar w:fldCharType="separate"/>
      </w:r>
      <w:r>
        <w:rPr>
          <w:rFonts w:hint="eastAsia" w:ascii="仿宋" w:eastAsia="仿宋" w:cs="仿宋"/>
          <w:b/>
          <w:bCs/>
          <w:sz w:val="24"/>
          <w:szCs w:val="24"/>
        </w:rPr>
        <w:t>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0D7B2D34">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_Toc20860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一、项目基本情况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_Toc20860 \h </w:instrText>
      </w:r>
      <w:r>
        <w:rPr>
          <w:rFonts w:hint="eastAsia" w:ascii="仿宋" w:eastAsia="仿宋" w:cs="仿宋"/>
          <w:b/>
          <w:bCs/>
          <w:sz w:val="24"/>
          <w:szCs w:val="24"/>
        </w:rPr>
        <w:fldChar w:fldCharType="separate"/>
      </w:r>
      <w:r>
        <w:rPr>
          <w:rFonts w:hint="eastAsia" w:ascii="仿宋" w:eastAsia="仿宋" w:cs="仿宋"/>
          <w:b/>
          <w:bCs/>
          <w:sz w:val="24"/>
          <w:szCs w:val="24"/>
        </w:rPr>
        <w:t>7</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089E481D">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_Toc5669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（一）项目背景及概况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_Toc5669 \h </w:instrText>
      </w:r>
      <w:r>
        <w:rPr>
          <w:rFonts w:hint="eastAsia" w:ascii="仿宋" w:eastAsia="仿宋" w:cs="仿宋"/>
          <w:sz w:val="24"/>
          <w:szCs w:val="24"/>
        </w:rPr>
        <w:fldChar w:fldCharType="separate"/>
      </w:r>
      <w:r>
        <w:rPr>
          <w:rFonts w:hint="eastAsia" w:ascii="仿宋" w:eastAsia="仿宋" w:cs="仿宋"/>
          <w:sz w:val="24"/>
          <w:szCs w:val="24"/>
        </w:rPr>
        <w:t>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3BAF3B49">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_Toc18681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（二）预算资金来源与资金使用</w:t>
      </w:r>
      <w:r>
        <w:rPr>
          <w:rFonts w:hint="eastAsia" w:ascii="仿宋" w:eastAsia="仿宋" w:cs="仿宋"/>
          <w:bCs/>
          <w:sz w:val="24"/>
          <w:szCs w:val="24"/>
          <w:lang w:val="en-US" w:eastAsia="zh-CN"/>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_Toc18681 \h </w:instrText>
      </w:r>
      <w:r>
        <w:rPr>
          <w:rFonts w:hint="eastAsia" w:ascii="仿宋" w:eastAsia="仿宋" w:cs="仿宋"/>
          <w:sz w:val="24"/>
          <w:szCs w:val="24"/>
        </w:rPr>
        <w:fldChar w:fldCharType="separate"/>
      </w:r>
      <w:r>
        <w:rPr>
          <w:rFonts w:hint="eastAsia" w:ascii="仿宋" w:eastAsia="仿宋" w:cs="仿宋"/>
          <w:sz w:val="24"/>
          <w:szCs w:val="24"/>
        </w:rPr>
        <w:t>10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5938745B">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_Toc10111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三</w:t>
      </w:r>
      <w:r>
        <w:rPr>
          <w:rFonts w:hint="eastAsia" w:ascii="仿宋" w:eastAsia="仿宋" w:cs="仿宋"/>
          <w:bCs/>
          <w:sz w:val="24"/>
          <w:szCs w:val="24"/>
          <w:lang w:eastAsia="zh-CN"/>
        </w:rPr>
        <w:t>）</w:t>
      </w:r>
      <w:r>
        <w:rPr>
          <w:rFonts w:hint="eastAsia" w:ascii="仿宋" w:eastAsia="仿宋" w:cs="仿宋"/>
          <w:bCs/>
          <w:sz w:val="24"/>
          <w:szCs w:val="24"/>
          <w:lang w:val="en-US" w:eastAsia="zh-CN"/>
        </w:rPr>
        <w:t>项目立项依据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_Toc10111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3C2E7B7D">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_Toc31385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四</w:t>
      </w:r>
      <w:r>
        <w:rPr>
          <w:rFonts w:hint="eastAsia" w:ascii="仿宋" w:eastAsia="仿宋" w:cs="仿宋"/>
          <w:bCs/>
          <w:sz w:val="24"/>
          <w:szCs w:val="24"/>
          <w:lang w:eastAsia="zh-CN"/>
        </w:rPr>
        <w:t>）项目绩效目标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_Toc31385 \h </w:instrText>
      </w:r>
      <w:r>
        <w:rPr>
          <w:rFonts w:hint="eastAsia" w:ascii="仿宋" w:eastAsia="仿宋" w:cs="仿宋"/>
          <w:sz w:val="24"/>
          <w:szCs w:val="24"/>
        </w:rPr>
        <w:fldChar w:fldCharType="separate"/>
      </w:r>
      <w:r>
        <w:rPr>
          <w:rFonts w:hint="eastAsia" w:ascii="仿宋" w:eastAsia="仿宋" w:cs="仿宋"/>
          <w:sz w:val="24"/>
          <w:szCs w:val="24"/>
        </w:rPr>
        <w:t>12</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62DF94A3">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_Toc31288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二、项目组织实施情况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_Toc31288 \h </w:instrText>
      </w:r>
      <w:r>
        <w:rPr>
          <w:rFonts w:hint="eastAsia" w:ascii="仿宋" w:eastAsia="仿宋" w:cs="仿宋"/>
          <w:b/>
          <w:bCs/>
          <w:sz w:val="24"/>
          <w:szCs w:val="24"/>
        </w:rPr>
        <w:fldChar w:fldCharType="separate"/>
      </w:r>
      <w:r>
        <w:rPr>
          <w:rFonts w:hint="eastAsia" w:ascii="仿宋" w:eastAsia="仿宋" w:cs="仿宋"/>
          <w:b/>
          <w:bCs/>
          <w:sz w:val="24"/>
          <w:szCs w:val="24"/>
        </w:rPr>
        <w:t>13</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0C67BD2C">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_Toc460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（一）项目组织情况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_Toc460 \h </w:instrText>
      </w:r>
      <w:r>
        <w:rPr>
          <w:rFonts w:hint="eastAsia" w:ascii="仿宋" w:eastAsia="仿宋" w:cs="仿宋"/>
          <w:sz w:val="24"/>
          <w:szCs w:val="24"/>
        </w:rPr>
        <w:fldChar w:fldCharType="separate"/>
      </w:r>
      <w:r>
        <w:rPr>
          <w:rFonts w:hint="eastAsia" w:ascii="仿宋" w:eastAsia="仿宋" w:cs="仿宋"/>
          <w:sz w:val="24"/>
          <w:szCs w:val="24"/>
        </w:rPr>
        <w:t>13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5549AFEE">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_Toc17454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（二）项目实施情况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_Toc17454 \h </w:instrText>
      </w:r>
      <w:r>
        <w:rPr>
          <w:rFonts w:hint="eastAsia" w:ascii="仿宋" w:eastAsia="仿宋" w:cs="仿宋"/>
          <w:sz w:val="24"/>
          <w:szCs w:val="24"/>
        </w:rPr>
        <w:fldChar w:fldCharType="separate"/>
      </w:r>
      <w:r>
        <w:rPr>
          <w:rFonts w:hint="eastAsia" w:ascii="仿宋" w:eastAsia="仿宋" w:cs="仿宋"/>
          <w:sz w:val="24"/>
          <w:szCs w:val="24"/>
        </w:rPr>
        <w:t>14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6209519D">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_Toc27737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三、绩效评价工作情况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_Toc27737 \h </w:instrText>
      </w:r>
      <w:r>
        <w:rPr>
          <w:rFonts w:hint="eastAsia" w:ascii="仿宋" w:eastAsia="仿宋" w:cs="仿宋"/>
          <w:b/>
          <w:bCs/>
          <w:sz w:val="24"/>
          <w:szCs w:val="24"/>
        </w:rPr>
        <w:fldChar w:fldCharType="separate"/>
      </w:r>
      <w:r>
        <w:rPr>
          <w:rFonts w:hint="eastAsia" w:ascii="仿宋" w:eastAsia="仿宋" w:cs="仿宋"/>
          <w:b/>
          <w:bCs/>
          <w:sz w:val="24"/>
          <w:szCs w:val="24"/>
        </w:rPr>
        <w:t>16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3C9E8DFE">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_Toc30160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（一）绩效评价的目的</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_Toc30160 \h </w:instrText>
      </w:r>
      <w:r>
        <w:rPr>
          <w:rFonts w:hint="eastAsia" w:ascii="仿宋" w:eastAsia="仿宋" w:cs="仿宋"/>
          <w:sz w:val="24"/>
          <w:szCs w:val="24"/>
        </w:rPr>
        <w:fldChar w:fldCharType="separate"/>
      </w:r>
      <w:r>
        <w:rPr>
          <w:rFonts w:hint="eastAsia" w:ascii="仿宋" w:eastAsia="仿宋" w:cs="仿宋"/>
          <w:sz w:val="24"/>
          <w:szCs w:val="24"/>
        </w:rPr>
        <w:t>16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5C715C2F">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_Toc9145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（二）绩效评价的依据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_Toc9145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1A5EB891">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_Toc19132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（三）评价对象和范围</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_Toc19132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790856A0">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_Toc26911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（四）绩效评价基准日</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_Toc26911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5597183E">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_Toc13060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（五）绩效评价的原则</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_Toc13060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4B4ABEFA">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_Toc23193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（六）绩效评价的方法</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_Toc23193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76652D5A">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_Toc27450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（七）评价指标体系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_Toc27450 \h </w:instrText>
      </w:r>
      <w:r>
        <w:rPr>
          <w:rFonts w:hint="eastAsia" w:ascii="仿宋" w:eastAsia="仿宋" w:cs="仿宋"/>
          <w:sz w:val="24"/>
          <w:szCs w:val="24"/>
        </w:rPr>
        <w:fldChar w:fldCharType="separate"/>
      </w:r>
      <w:r>
        <w:rPr>
          <w:rFonts w:hint="eastAsia" w:ascii="仿宋" w:eastAsia="仿宋" w:cs="仿宋"/>
          <w:sz w:val="24"/>
          <w:szCs w:val="24"/>
        </w:rPr>
        <w:t>20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4F2D369D">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_Toc29093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（八）绩效评价工作组织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_Toc29093 \h </w:instrText>
      </w:r>
      <w:r>
        <w:rPr>
          <w:rFonts w:hint="eastAsia" w:ascii="仿宋" w:eastAsia="仿宋" w:cs="仿宋"/>
          <w:sz w:val="24"/>
          <w:szCs w:val="24"/>
        </w:rPr>
        <w:fldChar w:fldCharType="separate"/>
      </w:r>
      <w:r>
        <w:rPr>
          <w:rFonts w:hint="eastAsia" w:ascii="仿宋" w:eastAsia="仿宋" w:cs="仿宋"/>
          <w:sz w:val="24"/>
          <w:szCs w:val="24"/>
        </w:rPr>
        <w:t>21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49C6D0B0">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_Toc2605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九</w:t>
      </w:r>
      <w:r>
        <w:rPr>
          <w:rFonts w:hint="eastAsia" w:ascii="仿宋" w:eastAsia="仿宋" w:cs="仿宋"/>
          <w:bCs/>
          <w:sz w:val="24"/>
          <w:szCs w:val="24"/>
          <w:lang w:eastAsia="zh-CN"/>
        </w:rPr>
        <w:t>）</w:t>
      </w:r>
      <w:r>
        <w:rPr>
          <w:rFonts w:hint="eastAsia" w:ascii="仿宋" w:eastAsia="仿宋" w:cs="仿宋"/>
          <w:bCs/>
          <w:sz w:val="24"/>
          <w:szCs w:val="24"/>
          <w:lang w:val="en-US" w:eastAsia="zh-CN"/>
        </w:rPr>
        <w:t>评价工作安排</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_Toc2605 \h </w:instrText>
      </w:r>
      <w:r>
        <w:rPr>
          <w:rFonts w:hint="eastAsia" w:ascii="仿宋" w:eastAsia="仿宋" w:cs="仿宋"/>
          <w:sz w:val="24"/>
          <w:szCs w:val="24"/>
        </w:rPr>
        <w:fldChar w:fldCharType="separate"/>
      </w:r>
      <w:r>
        <w:rPr>
          <w:rFonts w:hint="eastAsia" w:ascii="仿宋" w:eastAsia="仿宋" w:cs="仿宋"/>
          <w:sz w:val="24"/>
          <w:szCs w:val="24"/>
        </w:rPr>
        <w:t>23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43E63917">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_Toc32557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四、绩效评价指标分析情况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_Toc32557 \h </w:instrText>
      </w:r>
      <w:r>
        <w:rPr>
          <w:rFonts w:hint="eastAsia" w:ascii="仿宋" w:eastAsia="仿宋" w:cs="仿宋"/>
          <w:b/>
          <w:bCs/>
          <w:sz w:val="24"/>
          <w:szCs w:val="24"/>
        </w:rPr>
        <w:fldChar w:fldCharType="separate"/>
      </w:r>
      <w:r>
        <w:rPr>
          <w:rFonts w:hint="eastAsia" w:ascii="仿宋" w:eastAsia="仿宋" w:cs="仿宋"/>
          <w:b/>
          <w:bCs/>
          <w:sz w:val="24"/>
          <w:szCs w:val="24"/>
        </w:rPr>
        <w:t>24</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3BD1C5BD">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_Toc24211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（一）分项分析与汇总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_Toc24211 \h </w:instrText>
      </w:r>
      <w:r>
        <w:rPr>
          <w:rFonts w:hint="eastAsia" w:ascii="仿宋" w:eastAsia="仿宋" w:cs="仿宋"/>
          <w:sz w:val="24"/>
          <w:szCs w:val="24"/>
        </w:rPr>
        <w:fldChar w:fldCharType="separate"/>
      </w:r>
      <w:r>
        <w:rPr>
          <w:rFonts w:hint="eastAsia" w:ascii="仿宋" w:eastAsia="仿宋" w:cs="仿宋"/>
          <w:sz w:val="24"/>
          <w:szCs w:val="24"/>
        </w:rPr>
        <w:t>24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6F9E1402">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_Toc6901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（二）总体得分情况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_Toc6901 \h </w:instrText>
      </w:r>
      <w:r>
        <w:rPr>
          <w:rFonts w:hint="eastAsia" w:ascii="仿宋" w:eastAsia="仿宋" w:cs="仿宋"/>
          <w:sz w:val="24"/>
          <w:szCs w:val="24"/>
        </w:rPr>
        <w:fldChar w:fldCharType="separate"/>
      </w:r>
      <w:r>
        <w:rPr>
          <w:rFonts w:hint="eastAsia" w:ascii="仿宋" w:eastAsia="仿宋" w:cs="仿宋"/>
          <w:sz w:val="24"/>
          <w:szCs w:val="24"/>
        </w:rPr>
        <w:t>34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4D8C958F">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_Toc27433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五、综合评价情况及结论</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_Toc27433 \h </w:instrText>
      </w:r>
      <w:r>
        <w:rPr>
          <w:rFonts w:hint="eastAsia" w:ascii="仿宋" w:eastAsia="仿宋" w:cs="仿宋"/>
          <w:b/>
          <w:bCs/>
          <w:sz w:val="24"/>
          <w:szCs w:val="24"/>
        </w:rPr>
        <w:fldChar w:fldCharType="separate"/>
      </w:r>
      <w:r>
        <w:rPr>
          <w:rFonts w:hint="eastAsia" w:ascii="仿宋" w:eastAsia="仿宋" w:cs="仿宋"/>
          <w:b/>
          <w:bCs/>
          <w:sz w:val="24"/>
          <w:szCs w:val="24"/>
        </w:rPr>
        <w:t>35</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36EABA9A">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_Toc6661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（一）评分结果</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_Toc6661 \h </w:instrText>
      </w:r>
      <w:r>
        <w:rPr>
          <w:rFonts w:hint="eastAsia" w:ascii="仿宋" w:eastAsia="仿宋" w:cs="仿宋"/>
          <w:sz w:val="24"/>
          <w:szCs w:val="24"/>
        </w:rPr>
        <w:fldChar w:fldCharType="separate"/>
      </w:r>
      <w:r>
        <w:rPr>
          <w:rFonts w:hint="eastAsia" w:ascii="仿宋" w:eastAsia="仿宋" w:cs="仿宋"/>
          <w:sz w:val="24"/>
          <w:szCs w:val="24"/>
        </w:rPr>
        <w:t>35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76A9150B">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_Toc5879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（二）主要结论</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_Toc5879 \h </w:instrText>
      </w:r>
      <w:r>
        <w:rPr>
          <w:rFonts w:hint="eastAsia" w:ascii="仿宋" w:eastAsia="仿宋" w:cs="仿宋"/>
          <w:sz w:val="24"/>
          <w:szCs w:val="24"/>
        </w:rPr>
        <w:fldChar w:fldCharType="separate"/>
      </w:r>
      <w:r>
        <w:rPr>
          <w:rFonts w:hint="eastAsia" w:ascii="仿宋" w:eastAsia="仿宋" w:cs="仿宋"/>
          <w:sz w:val="24"/>
          <w:szCs w:val="24"/>
        </w:rPr>
        <w:t>35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46130585">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_Toc3010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六</w:t>
      </w:r>
      <w:r>
        <w:rPr>
          <w:rFonts w:hint="eastAsia" w:ascii="仿宋" w:eastAsia="仿宋" w:cs="仿宋"/>
          <w:b/>
          <w:bCs/>
          <w:kern w:val="44"/>
          <w:sz w:val="24"/>
          <w:szCs w:val="24"/>
        </w:rPr>
        <w:t>、存在的问题和改进建议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_Toc3010 \h </w:instrText>
      </w:r>
      <w:r>
        <w:rPr>
          <w:rFonts w:hint="eastAsia" w:ascii="仿宋" w:eastAsia="仿宋" w:cs="仿宋"/>
          <w:b/>
          <w:bCs/>
          <w:sz w:val="24"/>
          <w:szCs w:val="24"/>
        </w:rPr>
        <w:fldChar w:fldCharType="separate"/>
      </w:r>
      <w:r>
        <w:rPr>
          <w:rFonts w:hint="eastAsia" w:ascii="仿宋" w:eastAsia="仿宋" w:cs="仿宋"/>
          <w:b/>
          <w:bCs/>
          <w:sz w:val="24"/>
          <w:szCs w:val="24"/>
        </w:rPr>
        <w:t>36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4946BB5A">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_Toc4586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（一）存在的问题</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_Toc4586 \h </w:instrText>
      </w:r>
      <w:r>
        <w:rPr>
          <w:rFonts w:hint="eastAsia" w:ascii="仿宋" w:eastAsia="仿宋" w:cs="仿宋"/>
          <w:sz w:val="24"/>
          <w:szCs w:val="24"/>
        </w:rPr>
        <w:fldChar w:fldCharType="separate"/>
      </w:r>
      <w:r>
        <w:rPr>
          <w:rFonts w:hint="eastAsia" w:ascii="仿宋" w:eastAsia="仿宋" w:cs="仿宋"/>
          <w:sz w:val="24"/>
          <w:szCs w:val="24"/>
        </w:rPr>
        <w:t>36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70A0DF1B">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_Toc7054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（二）改进建议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_Toc7054 \h </w:instrText>
      </w:r>
      <w:r>
        <w:rPr>
          <w:rFonts w:hint="eastAsia" w:ascii="仿宋" w:eastAsia="仿宋" w:cs="仿宋"/>
          <w:sz w:val="24"/>
          <w:szCs w:val="24"/>
        </w:rPr>
        <w:fldChar w:fldCharType="separate"/>
      </w:r>
      <w:r>
        <w:rPr>
          <w:rFonts w:hint="eastAsia" w:ascii="仿宋" w:eastAsia="仿宋" w:cs="仿宋"/>
          <w:sz w:val="24"/>
          <w:szCs w:val="24"/>
        </w:rPr>
        <w:t>37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1ADCA1BE">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_Toc3390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七、绩效评价结果应用建议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_Toc3390 \h </w:instrText>
      </w:r>
      <w:r>
        <w:rPr>
          <w:rFonts w:hint="eastAsia" w:ascii="仿宋" w:eastAsia="仿宋" w:cs="仿宋"/>
          <w:b/>
          <w:bCs/>
          <w:sz w:val="24"/>
          <w:szCs w:val="24"/>
        </w:rPr>
        <w:fldChar w:fldCharType="separate"/>
      </w:r>
      <w:r>
        <w:rPr>
          <w:rFonts w:hint="eastAsia" w:ascii="仿宋" w:eastAsia="仿宋" w:cs="仿宋"/>
          <w:b/>
          <w:bCs/>
          <w:sz w:val="24"/>
          <w:szCs w:val="24"/>
        </w:rPr>
        <w:t>37</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5A9D0715">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_Toc9097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（一）以绩效评价促进项目规范管理</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_Toc9097 \h </w:instrText>
      </w:r>
      <w:r>
        <w:rPr>
          <w:rFonts w:hint="eastAsia" w:ascii="仿宋" w:eastAsia="仿宋" w:cs="仿宋"/>
          <w:sz w:val="24"/>
          <w:szCs w:val="24"/>
        </w:rPr>
        <w:fldChar w:fldCharType="separate"/>
      </w:r>
      <w:r>
        <w:rPr>
          <w:rFonts w:hint="eastAsia" w:ascii="仿宋" w:eastAsia="仿宋" w:cs="仿宋"/>
          <w:sz w:val="24"/>
          <w:szCs w:val="24"/>
        </w:rPr>
        <w:t>38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3755BF52">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_Toc6403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（二）充分利用绩效结果，落实问题整改机制</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_Toc6403 \h </w:instrText>
      </w:r>
      <w:r>
        <w:rPr>
          <w:rFonts w:hint="eastAsia" w:ascii="仿宋" w:eastAsia="仿宋" w:cs="仿宋"/>
          <w:sz w:val="24"/>
          <w:szCs w:val="24"/>
        </w:rPr>
        <w:fldChar w:fldCharType="separate"/>
      </w:r>
      <w:r>
        <w:rPr>
          <w:rFonts w:hint="eastAsia" w:ascii="仿宋" w:eastAsia="仿宋" w:cs="仿宋"/>
          <w:sz w:val="24"/>
          <w:szCs w:val="24"/>
        </w:rPr>
        <w:t>38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5E962168">
      <w:pPr>
        <w:pStyle w:val="16"/>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_Toc24626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（三）公开评价结果，实现社会监督</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_Toc24626 \h </w:instrText>
      </w:r>
      <w:r>
        <w:rPr>
          <w:rFonts w:hint="eastAsia" w:ascii="仿宋" w:eastAsia="仿宋" w:cs="仿宋"/>
          <w:sz w:val="24"/>
          <w:szCs w:val="24"/>
        </w:rPr>
        <w:fldChar w:fldCharType="separate"/>
      </w:r>
      <w:r>
        <w:rPr>
          <w:rFonts w:hint="eastAsia" w:ascii="仿宋" w:eastAsia="仿宋" w:cs="仿宋"/>
          <w:sz w:val="24"/>
          <w:szCs w:val="24"/>
        </w:rPr>
        <w:t>38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14:paraId="776F7225">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_Toc25029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附件1：评价指标体系</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_Toc25029 \h </w:instrText>
      </w:r>
      <w:r>
        <w:rPr>
          <w:rFonts w:hint="eastAsia" w:ascii="仿宋" w:eastAsia="仿宋" w:cs="仿宋"/>
          <w:b/>
          <w:bCs/>
          <w:sz w:val="24"/>
          <w:szCs w:val="24"/>
        </w:rPr>
        <w:fldChar w:fldCharType="separate"/>
      </w:r>
      <w:r>
        <w:rPr>
          <w:rFonts w:hint="eastAsia" w:ascii="仿宋" w:eastAsia="仿宋" w:cs="仿宋"/>
          <w:b/>
          <w:bCs/>
          <w:sz w:val="24"/>
          <w:szCs w:val="24"/>
        </w:rPr>
        <w:t>39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47A1EC6F">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_Toc11739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附件2：问卷调查报告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_Toc11739 \h </w:instrText>
      </w:r>
      <w:r>
        <w:rPr>
          <w:rFonts w:hint="eastAsia" w:ascii="仿宋" w:eastAsia="仿宋" w:cs="仿宋"/>
          <w:b/>
          <w:bCs/>
          <w:sz w:val="24"/>
          <w:szCs w:val="24"/>
        </w:rPr>
        <w:fldChar w:fldCharType="separate"/>
      </w:r>
      <w:r>
        <w:rPr>
          <w:rFonts w:hint="eastAsia" w:ascii="仿宋" w:eastAsia="仿宋" w:cs="仿宋"/>
          <w:b/>
          <w:bCs/>
          <w:sz w:val="24"/>
          <w:szCs w:val="24"/>
        </w:rPr>
        <w:t>45</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5E7DF3FF">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_Toc5270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附件3：</w:t>
      </w:r>
      <w:r>
        <w:rPr>
          <w:rFonts w:hint="eastAsia" w:ascii="仿宋" w:eastAsia="仿宋" w:cs="仿宋"/>
          <w:b/>
          <w:bCs/>
          <w:snapToGrid w:val="0"/>
          <w:sz w:val="24"/>
          <w:szCs w:val="24"/>
        </w:rPr>
        <w:t>合规性审查</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_Toc5270 \h </w:instrText>
      </w:r>
      <w:r>
        <w:rPr>
          <w:rFonts w:hint="eastAsia" w:ascii="仿宋" w:eastAsia="仿宋" w:cs="仿宋"/>
          <w:b/>
          <w:bCs/>
          <w:sz w:val="24"/>
          <w:szCs w:val="24"/>
        </w:rPr>
        <w:fldChar w:fldCharType="separate"/>
      </w:r>
      <w:r>
        <w:rPr>
          <w:rFonts w:hint="eastAsia" w:ascii="仿宋" w:eastAsia="仿宋" w:cs="仿宋"/>
          <w:b/>
          <w:bCs/>
          <w:sz w:val="24"/>
          <w:szCs w:val="24"/>
        </w:rPr>
        <w:t>48</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61658F5A">
      <w:pPr>
        <w:pStyle w:val="15"/>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_Toc1819 </w:instrText>
      </w:r>
      <w:r>
        <w:rPr>
          <w:rFonts w:hint="eastAsia" w:ascii="仿宋" w:eastAsia="仿宋" w:cs="仿宋"/>
          <w:b/>
          <w:bCs/>
          <w:sz w:val="24"/>
          <w:szCs w:val="24"/>
          <w:highlight w:val="yellow"/>
        </w:rPr>
        <w:fldChar w:fldCharType="separate"/>
      </w:r>
      <w:r>
        <w:rPr>
          <w:rFonts w:hint="eastAsia" w:ascii="仿宋" w:eastAsia="仿宋" w:cs="仿宋"/>
          <w:b/>
          <w:bCs/>
          <w:snapToGrid w:val="0"/>
          <w:kern w:val="2"/>
          <w:sz w:val="24"/>
          <w:szCs w:val="24"/>
          <w:lang w:val="en-US" w:eastAsia="zh-CN" w:bidi="ar-SA"/>
        </w:rPr>
        <w:t>附件4：访谈记录</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_Toc1819 \h </w:instrText>
      </w:r>
      <w:r>
        <w:rPr>
          <w:rFonts w:hint="eastAsia" w:ascii="仿宋" w:eastAsia="仿宋" w:cs="仿宋"/>
          <w:b/>
          <w:bCs/>
          <w:sz w:val="24"/>
          <w:szCs w:val="24"/>
        </w:rPr>
        <w:fldChar w:fldCharType="separate"/>
      </w:r>
      <w:r>
        <w:rPr>
          <w:rFonts w:hint="eastAsia" w:ascii="仿宋" w:eastAsia="仿宋" w:cs="仿宋"/>
          <w:b/>
          <w:bCs/>
          <w:sz w:val="24"/>
          <w:szCs w:val="24"/>
        </w:rPr>
        <w:t>51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14:paraId="4058BCB7">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720" w:num="1"/>
          <w:docGrid w:type="lines" w:linePitch="312" w:charSpace="0"/>
        </w:sectPr>
      </w:pPr>
      <w:r>
        <w:rPr>
          <w:rFonts w:hint="eastAsia" w:ascii="仿宋" w:eastAsia="仿宋" w:cs="仿宋"/>
          <w:bCs w:val="0"/>
          <w:sz w:val="24"/>
          <w:szCs w:val="24"/>
          <w:highlight w:val="yellow"/>
        </w:rPr>
        <w:fldChar w:fldCharType="end"/>
      </w:r>
      <w:bookmarkStart w:id="2" w:name="_Toc515810984"/>
      <w:bookmarkStart w:id="3" w:name="_Toc516554764"/>
      <w:bookmarkStart w:id="4" w:name="_Toc516473299"/>
      <w:bookmarkStart w:id="5" w:name="_Toc515811929"/>
    </w:p>
    <w:bookmarkEnd w:id="2"/>
    <w:bookmarkEnd w:id="3"/>
    <w:bookmarkEnd w:id="4"/>
    <w:bookmarkEnd w:id="5"/>
    <w:p w14:paraId="02B80300">
      <w:pPr>
        <w:pStyle w:val="18"/>
        <w:jc w:val="center"/>
        <w:rPr>
          <w:rFonts w:ascii="仿宋_GB2312" w:eastAsia="仿宋_GB2312"/>
          <w:snapToGrid w:val="0"/>
          <w:sz w:val="32"/>
          <w:szCs w:val="32"/>
        </w:rPr>
      </w:pPr>
      <w:bookmarkStart w:id="6" w:name="_Toc8704"/>
      <w:bookmarkStart w:id="7" w:name="_Toc528603037"/>
      <w:bookmarkStart w:id="8" w:name="_Toc19313"/>
      <w:r>
        <w:rPr>
          <w:rFonts w:hint="eastAsia" w:ascii="黑体" w:cs="黑体"/>
          <w:b/>
          <w:bCs w:val="0"/>
          <w:kern w:val="2"/>
          <w:sz w:val="44"/>
          <w:szCs w:val="44"/>
        </w:rPr>
        <w:t>报告摘要</w:t>
      </w:r>
      <w:bookmarkEnd w:id="0"/>
      <w:bookmarkEnd w:id="6"/>
      <w:bookmarkEnd w:id="7"/>
      <w:bookmarkEnd w:id="8"/>
    </w:p>
    <w:p w14:paraId="07DE8F6F">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14:paraId="6E6190CF">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9"/>
        <w:rPr>
          <w:rFonts w:hint="eastAsia" w:ascii="仿宋" w:eastAsia="仿宋" w:cs="Times New Roman"/>
          <w:b/>
          <w:bCs/>
          <w:sz w:val="32"/>
          <w:szCs w:val="32"/>
          <w:lang w:val="zh-TW"/>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一</w:t>
      </w:r>
      <w:r>
        <w:rPr>
          <w:rFonts w:hint="eastAsia" w:ascii="仿宋" w:eastAsia="仿宋" w:cs="Times New Roman"/>
          <w:b/>
          <w:bCs/>
          <w:sz w:val="32"/>
          <w:szCs w:val="32"/>
          <w:lang w:val="zh-TW" w:eastAsia="zh-CN"/>
        </w:rPr>
        <w:t>）</w:t>
      </w:r>
      <w:r>
        <w:rPr>
          <w:rFonts w:hint="eastAsia" w:ascii="仿宋" w:eastAsia="仿宋" w:cs="Times New Roman"/>
          <w:b/>
          <w:bCs/>
          <w:sz w:val="32"/>
          <w:szCs w:val="32"/>
          <w:lang w:val="zh-TW"/>
        </w:rPr>
        <w:t>立项背景</w:t>
      </w:r>
    </w:p>
    <w:p w14:paraId="038F7D7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2018年6月，党中央、国务院发布《乡村振兴战略规划（2018-2022年）》提出：充分尊重农民意愿，切实发挥农民在乡村振兴中的主体作用，调动亿万农民的积极性、主动性、创造性，把维护农民群众根本利益、促进农民共同富裕作为出发点和落脚点，促进农民持续增收，不断提升农民的获得感、幸福感、安全感。</w:t>
      </w:r>
    </w:p>
    <w:p w14:paraId="7667DE14">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以工代赈，是指政府投资建设公共基础设施工程，受赈济者参加工程建设获得劳务报酬，以此取得直接赈济的一项扶持政策。现阶段，以工代赈是一项农村扶贫政策，当地贫困农民参加工程建设，获得劳务报酬，直接增加收入。以工代赈重点建设与贫困地区经济发展和农民脱贫致富相关的农村中小型基础设施，包括基本农田、农田水利、乡村道路（含独立桥涵）、草场建设、小流域治理、片区综合开发，以及根据国家要求安排的其他工程，旨在改善贫困地区基础设施条件和生态环境，提高贫困人口的收入水平，从根本上促进贫困人口脱贫致富，对缓解和消除贫困、构建和谐社会、走向共同富裕具有重要的现实意义。</w:t>
      </w:r>
    </w:p>
    <w:p w14:paraId="35A60220">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自开始实施以工代赈以来，山西省以工代赈建设本着开发式扶贫的方针，着眼于贫困地区的长远发展，始终坚持开展农业和农村基础设施建设、生态环境治理，有效改善了贫困群众的生产生活条件，增强了贫困人群的自我积累和自我发展能力，不仅为贫困地区可持续发展创造了有利条件，而且也极大地调动了人民群众摆脱贫困、提高自身生活水平的主动性和自觉性。以工代赈政策使贫困农民直接感受到了党和政府的关怀，深受广大人民群众的支持和拥护。</w:t>
      </w:r>
    </w:p>
    <w:p w14:paraId="23E3C3E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村公路是保障农民群众生产、生活的基本条件，是农业和农村发展的向导性、基础性设施。加快农村公路网络的建设对促进区域经济发展，提高农民生活水平，改善农村消费有着十分重要的战略意义。随着国道、省道、市道等骨干线路的形成，乡村道路建设的重要性和必要性已日益凸现。田间路、乡村道路，连接国道省道县道等大中公路，延伸到乡村组户，是公路网络的基础部分；是直接服务于农村，造福于农民的基础设施，是公路经济最终得以形成的关键环节。公路不能进村入户，村级经济将始终无法组成乡镇区域经济，因为没有便利的交通就难以形成统一的市场。</w:t>
      </w:r>
    </w:p>
    <w:p w14:paraId="2D88AA1B">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临汾市是山西省贫困面较大、贫困人口较多的地区之一，全市17个县（市、区）共有10个贫困县，其中，大宁、永和、隰县、吉县、汾西5个县为国家扶贫开发工作重点县，安泽、乡宁、蒲县、浮山、古县5个县为省级贫困县。2020年2月，省政府发布了批准包括我市永和，大宁、汾西等县退出贫困县的通知，至此，我市5个国家扶贫开发工作重点县、5个省定贫困县全部退出贫困县，标志着临汾市脱贫攻坚战取得决定性胜利。</w:t>
      </w:r>
    </w:p>
    <w:p w14:paraId="22F6570B">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中华人民共和国国民经济和社会发展第十四个五年规划和2035年远景目标纲要》中提出要“实现巩固拓展脱贫攻坚成果同乡村振兴有效衔接”。“十四五”期间，在打赢脱贫攻坚战的基础上，农村扶贫工作将继续开展，农村扶贫力度不会减小，但在实施方式上会有改变。在脱贫攻坚任务如期完成之后，还存在如何巩固脱贫成果问题以及解决相对贫困问题，需要制度化的解决措施。把解决这些问题纳入乡村振兴战略，可以实现贫困地区同全国农村的共同发展。</w:t>
      </w:r>
    </w:p>
    <w:p w14:paraId="1FBBBEE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全国“十四五”以工代赈工作方案》提出，以工代赈实施范围以脱贫地区为重点的欠发达地区，向“三区三州”等原深度贫困地区、国家乡村振兴重点帮扶县、易地扶贫搬迁后续扶持任务较重地区以及受自然灾害影响较重地区倾斜。同时，提出重点建设领域为“农村公益性基础设施”及“农村产业配套基础设施”，农村公益性基础设施领域－－农村交通基础设施：包括农村公路、行政村村内主干道、通自然村组道路、巷道、入户路等路基整理、路面硬化及必要防护设施建设，国有农场、林场林区内公路改造，农村简易候车亭，农村渡口、漫水路、漫水桥、简易停车场等小型交通基础设施建设等。</w:t>
      </w:r>
    </w:p>
    <w:p w14:paraId="4530D014">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县委县政府以习近平新时代中国特色社会主义思想为指导，全面贯彻党的十九大精神和习近平总书记扶贫开发重要战略思想，认真落实中央、省市委“三农”工作会议精神，积极推进交通基础设施建设。针对东池村和驼腰村（山头村组）田间道路存在的“出行难、生产运输难”及与全县推动乡村振兴建成小康社会的要求存在较大差距的问题，通过实施田间道路建设改善农民出行和生产作业条件，提升农民生活福祉，为巩固拓展脱贫攻坚成果和乡村振兴奠定基础。</w:t>
      </w:r>
    </w:p>
    <w:p w14:paraId="22A9F27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南垣乡东池及驼腰村以工代赈田间道路建设工程项目所在地东池村和驼腰村。东池村位于古县南部，南垣乡西部，距县城45公里，距乡政府所在地4公里，辖7个村民小组（东组、西组、南组、北组、料角畈、张家凹、桥北），316户，915人，全村土地面积18860.74亩，耕地面积5518.29亩，林、草地面积 11749.81亩。驼腰村位于古县南垣乡东北2.5公里处，东与山头村毗邻，南与河底接壤，西与韩家岭农场邻接，北与吴家岭、陈香相连。驼腰村下辖驼腰、河底、山头三个自然村，境域面积1315.85平方公顷。全村193户566口人。全村耕地5775.54亩，林地13962.14亩。</w:t>
      </w:r>
    </w:p>
    <w:p w14:paraId="04768C98">
      <w:pPr>
        <w:spacing w:line="574" w:lineRule="exact"/>
        <w:ind w:firstLine="560" w:firstLineChars="200"/>
        <w:rPr>
          <w:rFonts w:hint="eastAsia" w:ascii="黑体" w:eastAsia="黑体"/>
          <w:snapToGrid w:val="0"/>
          <w:sz w:val="32"/>
          <w:szCs w:val="32"/>
        </w:rPr>
      </w:pPr>
      <w:r>
        <w:rPr>
          <w:rFonts w:hint="eastAsia" w:ascii="Times New Roman" w:hAnsi="Times New Roman" w:eastAsia="仿宋" w:cs="Times New Roman"/>
          <w:sz w:val="28"/>
          <w:szCs w:val="24"/>
          <w:lang w:val="en-US" w:eastAsia="zh-CN"/>
        </w:rPr>
        <w:t>东池村和驼腰村，交通不便，财政基础薄弱，村内的公共基础设施仍然落后，群众出行、生产生活极其不便，需要改善；而且农户的收入来源单一、不稳定。东池村共有农村劳动力（含半劳力、弱劳力）480人，已稳定就业145人；驼腰村共有农村劳动力（含半劳力、弱劳力）346人，已稳定就业260人，因此</w:t>
      </w:r>
      <w:r>
        <w:rPr>
          <w:rFonts w:hint="default" w:ascii="Times New Roman" w:hAnsi="Times New Roman" w:eastAsia="仿宋" w:cs="Times New Roman"/>
          <w:sz w:val="28"/>
          <w:szCs w:val="24"/>
          <w:lang w:val="en" w:eastAsia="zh-CN"/>
        </w:rPr>
        <w:t>巩固拓展脱贫攻坚成果</w:t>
      </w:r>
      <w:r>
        <w:rPr>
          <w:rFonts w:hint="eastAsia" w:ascii="Times New Roman" w:hAnsi="Times New Roman" w:eastAsia="仿宋" w:cs="Times New Roman"/>
          <w:sz w:val="28"/>
          <w:szCs w:val="24"/>
          <w:lang w:val="en-US" w:eastAsia="zh-CN"/>
        </w:rPr>
        <w:t>的任务十分艰巨。</w:t>
      </w:r>
    </w:p>
    <w:p w14:paraId="4539226D">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9"/>
        <w:rPr>
          <w:rFonts w:hint="eastAsia" w:ascii="仿宋" w:eastAsia="仿宋" w:cs="Times New Roman"/>
          <w:b/>
          <w:bCs/>
          <w:sz w:val="32"/>
          <w:szCs w:val="32"/>
          <w:lang w:val="zh-TW" w:eastAsia="zh-CN"/>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二</w:t>
      </w:r>
      <w:r>
        <w:rPr>
          <w:rFonts w:hint="eastAsia" w:ascii="仿宋" w:eastAsia="仿宋" w:cs="Times New Roman"/>
          <w:b/>
          <w:bCs/>
          <w:sz w:val="32"/>
          <w:szCs w:val="32"/>
          <w:lang w:val="zh-TW" w:eastAsia="zh-CN"/>
        </w:rPr>
        <w:t>）预算资金内容及来源</w:t>
      </w:r>
    </w:p>
    <w:p w14:paraId="411EA2BD">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eastAsia="仿宋" w:cs="仿宋"/>
          <w:snapToGrid w:val="0"/>
          <w:sz w:val="28"/>
          <w:szCs w:val="28"/>
        </w:rPr>
      </w:pPr>
      <w:r>
        <w:rPr>
          <w:rFonts w:hint="eastAsia" w:ascii="Times New Roman" w:hAnsi="Times New Roman" w:eastAsia="仿宋" w:cs="Times New Roman"/>
          <w:sz w:val="28"/>
          <w:szCs w:val="24"/>
          <w:lang w:val="en-US" w:eastAsia="zh-CN"/>
        </w:rPr>
        <w:t>根据古县行政审批服务管理局《关于对古县南垣乡东池及驼腰村以工代赈田间道路建设工程项目可行性研究报告的批复》（古审管审发〔2022〕18号），总投资及资金来源：本项目概算总投资216.06万元，其中：建筑安装工程费用192.63万元，工程建设其他费用13.14万元，基本预备费10.29万元。其中：省级财政衔接推进乡村振兴以工代赈资金196万元，剩余资金20.06万元由县财政配套解决</w:t>
      </w:r>
      <w:r>
        <w:rPr>
          <w:rFonts w:hint="eastAsia" w:ascii="仿宋" w:eastAsia="仿宋" w:cs="仿宋"/>
          <w:snapToGrid w:val="0"/>
          <w:sz w:val="28"/>
          <w:szCs w:val="28"/>
          <w:lang w:val="en-US" w:eastAsia="zh-CN"/>
        </w:rPr>
        <w:t>。</w:t>
      </w:r>
    </w:p>
    <w:p w14:paraId="023A5AE6">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14:paraId="57E396DC">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依据项目基础信息统计，结合现场核查结果，按照评价小组制定并专家组论证的评价指标体系，古县南垣乡东池及驼腰村以工代赈田间道路建设工程项目财政支出绩效评价综合得分87.00分，评价等级为良。</w:t>
      </w:r>
    </w:p>
    <w:p w14:paraId="3C1DCB84">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仿宋" w:eastAsia="仿宋" w:cs="仿宋"/>
          <w:snapToGrid w:val="0"/>
          <w:sz w:val="28"/>
          <w:szCs w:val="28"/>
          <w:lang w:eastAsia="zh-CN"/>
        </w:rPr>
        <w:t>古县南垣乡东池及驼腰村以工代赈田间道路建设工程项目</w:t>
      </w:r>
      <w:r>
        <w:rPr>
          <w:rFonts w:hint="eastAsia" w:ascii="仿宋" w:eastAsia="仿宋" w:cs="仿宋"/>
          <w:snapToGrid w:val="0"/>
          <w:sz w:val="28"/>
          <w:szCs w:val="28"/>
          <w:lang w:val="en-US" w:eastAsia="zh-CN"/>
        </w:rPr>
        <w:t>在实施过程中可吸纳当地劳动力参与项目建设并获得劳务报酬，对农民增收、促进社会稳定有着积极作用；通过实施该项目，助力乡村振兴战略有效推进，该项目完成后可解决东池及驼腰村农民出行难、生产运输难的问题，将改善区域内的交通状况，完善乡村区域路网结构，为当地农民打通致富门路，促进乡镇区域经济的全面发展，加快资源开发利用，使区域农副产品资源得以升值，农民收入不断增加，加快脱贫。</w:t>
      </w:r>
      <w:r>
        <w:rPr>
          <w:rFonts w:hint="eastAsia" w:ascii="仿宋" w:eastAsia="仿宋" w:cs="仿宋"/>
          <w:sz w:val="28"/>
          <w:szCs w:val="28"/>
          <w:lang w:val="en-US" w:eastAsia="zh-CN"/>
        </w:rPr>
        <w:t>但评价组也发现，该项目实施过程中也存在项目实施管理不到位、项目尚未结算审核、项目尚未移交等问题</w:t>
      </w:r>
      <w:r>
        <w:rPr>
          <w:rFonts w:hint="eastAsia" w:ascii="Times New Roman" w:hAnsi="Times New Roman" w:eastAsia="仿宋" w:cs="Times New Roman"/>
          <w:sz w:val="28"/>
          <w:szCs w:val="24"/>
          <w:lang w:val="en-US" w:eastAsia="zh-CN"/>
        </w:rPr>
        <w:t>。</w:t>
      </w:r>
    </w:p>
    <w:p w14:paraId="1966D505">
      <w:pPr>
        <w:widowControl/>
        <w:spacing w:line="574" w:lineRule="exact"/>
        <w:jc w:val="center"/>
        <w:rPr>
          <w:rFonts w:hint="eastAsia" w:ascii="宋体" w:eastAsia="宋体"/>
          <w:b/>
          <w:snapToGrid w:val="0"/>
          <w:sz w:val="24"/>
        </w:rPr>
      </w:pPr>
      <w:r>
        <w:rPr>
          <w:rFonts w:hint="eastAsia" w:ascii="Times New Roman" w:hAnsi="Times New Roman" w:eastAsia="仿宋" w:cs="Times New Roman"/>
          <w:b/>
          <w:sz w:val="24"/>
          <w:szCs w:val="24"/>
        </w:rPr>
        <w:t>表1-1 一级指标得分情况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0666A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553AD5C9">
            <w:pPr>
              <w:widowControl/>
              <w:snapToGrid w:val="0"/>
              <w:jc w:val="center"/>
              <w:rPr>
                <w:rFonts w:ascii="Arial Narrow" w:hAnsi="Arial Narrow" w:cs="宋体"/>
                <w:b/>
                <w:bCs/>
                <w:color w:val="000000"/>
                <w:kern w:val="0"/>
                <w:sz w:val="20"/>
                <w:szCs w:val="20"/>
              </w:rPr>
            </w:pPr>
            <w:r>
              <w:rPr>
                <w:rFonts w:hint="eastAsia" w:ascii="仿宋" w:eastAsia="仿宋" w:cs="仿宋"/>
                <w:b/>
                <w:bCs/>
                <w:color w:val="000000"/>
                <w:kern w:val="0"/>
                <w:sz w:val="24"/>
                <w:szCs w:val="24"/>
              </w:rPr>
              <w:t>一级指标</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7D6F0FC0">
            <w:pPr>
              <w:widowControl/>
              <w:snapToGrid w:val="0"/>
              <w:jc w:val="center"/>
              <w:rPr>
                <w:rFonts w:ascii="Arial Narrow" w:hAnsi="Arial Narrow" w:cs="宋体"/>
                <w:b/>
                <w:bCs/>
                <w:color w:val="000000"/>
                <w:kern w:val="0"/>
                <w:sz w:val="20"/>
                <w:szCs w:val="20"/>
              </w:rPr>
            </w:pPr>
            <w:r>
              <w:rPr>
                <w:rFonts w:hint="eastAsia" w:ascii="仿宋" w:eastAsia="仿宋" w:cs="仿宋"/>
                <w:b/>
                <w:bCs/>
                <w:color w:val="000000"/>
                <w:kern w:val="0"/>
                <w:sz w:val="24"/>
                <w:szCs w:val="24"/>
              </w:rPr>
              <w:t>权重</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6A6029DE">
            <w:pPr>
              <w:widowControl/>
              <w:snapToGrid w:val="0"/>
              <w:jc w:val="center"/>
              <w:rPr>
                <w:rFonts w:ascii="Arial Narrow" w:hAnsi="Arial Narrow" w:cs="宋体"/>
                <w:b/>
                <w:bCs/>
                <w:color w:val="000000"/>
                <w:kern w:val="0"/>
                <w:sz w:val="20"/>
                <w:szCs w:val="20"/>
              </w:rPr>
            </w:pPr>
            <w:r>
              <w:rPr>
                <w:rFonts w:hint="eastAsia" w:ascii="仿宋" w:eastAsia="仿宋" w:cs="仿宋"/>
                <w:b/>
                <w:bCs/>
                <w:color w:val="000000"/>
                <w:kern w:val="0"/>
                <w:sz w:val="24"/>
                <w:szCs w:val="24"/>
              </w:rPr>
              <w:t>得分</w:t>
            </w:r>
          </w:p>
        </w:tc>
        <w:tc>
          <w:tcPr>
            <w:tcW w:w="2374"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7DAC5BAB">
            <w:pPr>
              <w:widowControl/>
              <w:snapToGrid w:val="0"/>
              <w:jc w:val="center"/>
              <w:rPr>
                <w:rFonts w:ascii="Arial Narrow" w:hAnsi="Arial Narrow" w:cs="宋体"/>
                <w:b/>
                <w:bCs/>
                <w:color w:val="000000"/>
                <w:kern w:val="0"/>
                <w:sz w:val="20"/>
                <w:szCs w:val="20"/>
              </w:rPr>
            </w:pPr>
            <w:r>
              <w:rPr>
                <w:rFonts w:hint="eastAsia" w:ascii="仿宋" w:eastAsia="仿宋" w:cs="仿宋"/>
                <w:b/>
                <w:bCs/>
                <w:color w:val="000000"/>
                <w:kern w:val="0"/>
                <w:sz w:val="24"/>
                <w:szCs w:val="24"/>
              </w:rPr>
              <w:t>得分率</w:t>
            </w:r>
          </w:p>
        </w:tc>
      </w:tr>
      <w:tr w14:paraId="202D4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1239CFBE">
            <w:pPr>
              <w:widowControl/>
              <w:snapToGrid w:val="0"/>
              <w:jc w:val="center"/>
              <w:rPr>
                <w:rFonts w:hint="eastAsia" w:ascii="Arial Narrow" w:hAnsi="Arial Narrow" w:eastAsia="宋体" w:cs="宋体"/>
                <w:color w:val="000000"/>
                <w:kern w:val="0"/>
                <w:sz w:val="20"/>
                <w:szCs w:val="20"/>
                <w:lang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决策</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3DFA6147">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15CF46F4">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20.00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461A0FB0">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100.00%</w:t>
            </w:r>
          </w:p>
        </w:tc>
      </w:tr>
      <w:tr w14:paraId="60AE6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4025373D">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rPr>
              <w:t>B过程</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5ABF5B49">
            <w:pPr>
              <w:widowControl/>
              <w:snapToGrid w:val="0"/>
              <w:jc w:val="center"/>
              <w:rPr>
                <w:rFonts w:ascii="Arial Narrow" w:hAnsi="Arial Narrow" w:cs="宋体"/>
                <w:color w:val="000000"/>
                <w:kern w:val="0"/>
                <w:sz w:val="20"/>
                <w:szCs w:val="20"/>
              </w:rPr>
            </w:pPr>
            <w:r>
              <w:rPr>
                <w:rFonts w:hint="eastAsia" w:ascii="仿宋" w:eastAsia="仿宋" w:cs="仿宋"/>
                <w:b w:val="0"/>
                <w:bCs w:val="0"/>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4205A276">
            <w:pPr>
              <w:widowControl/>
              <w:snapToGrid w:val="0"/>
              <w:jc w:val="center"/>
              <w:rPr>
                <w:rFonts w:ascii="Arial Narrow" w:hAnsi="Arial Narrow" w:cs="宋体"/>
                <w:color w:val="000000"/>
                <w:kern w:val="0"/>
                <w:sz w:val="20"/>
                <w:szCs w:val="20"/>
              </w:rPr>
            </w:pPr>
            <w:r>
              <w:rPr>
                <w:rFonts w:hint="eastAsia" w:ascii="仿宋" w:eastAsia="仿宋" w:cs="仿宋"/>
                <w:b w:val="0"/>
                <w:bCs w:val="0"/>
                <w:color w:val="000000"/>
                <w:kern w:val="0"/>
                <w:sz w:val="24"/>
                <w:szCs w:val="24"/>
                <w:lang w:val="en-US" w:eastAsia="zh-CN"/>
              </w:rPr>
              <w:t>18.00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32B8B514">
            <w:pPr>
              <w:widowControl/>
              <w:snapToGrid w:val="0"/>
              <w:jc w:val="center"/>
              <w:rPr>
                <w:rFonts w:ascii="Arial Narrow" w:hAnsi="Arial Narrow" w:cs="宋体"/>
                <w:color w:val="000000"/>
                <w:kern w:val="0"/>
                <w:sz w:val="20"/>
                <w:szCs w:val="20"/>
              </w:rPr>
            </w:pPr>
            <w:r>
              <w:rPr>
                <w:rFonts w:hint="eastAsia" w:ascii="仿宋" w:eastAsia="仿宋" w:cs="仿宋"/>
                <w:b w:val="0"/>
                <w:bCs w:val="0"/>
                <w:color w:val="000000"/>
                <w:kern w:val="0"/>
                <w:sz w:val="24"/>
                <w:szCs w:val="24"/>
                <w:lang w:val="en-US" w:eastAsia="zh-CN"/>
              </w:rPr>
              <w:t>90.00%</w:t>
            </w:r>
          </w:p>
        </w:tc>
      </w:tr>
      <w:tr w14:paraId="11EAE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7C3CD79B">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rPr>
              <w:t>C产出</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1F3AF46D">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rPr>
              <w:t>30</w:t>
            </w:r>
            <w:r>
              <w:rPr>
                <w:rFonts w:hint="eastAsia" w:ascii="仿宋" w:eastAsia="仿宋" w:cs="仿宋"/>
                <w:color w:val="000000"/>
                <w:kern w:val="0"/>
                <w:sz w:val="24"/>
                <w:szCs w:val="24"/>
                <w:lang w:val="en-US" w:eastAsia="zh-CN"/>
              </w:rPr>
              <w:t>.00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2877E90B">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24.00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29A7FA88">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80.00%</w:t>
            </w:r>
          </w:p>
        </w:tc>
      </w:tr>
      <w:tr w14:paraId="282AF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04B6FC00">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rPr>
              <w:t>D效益</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24F38AB3">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30.00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1548715B">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25.00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02A39DFE">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83.33%</w:t>
            </w:r>
          </w:p>
        </w:tc>
      </w:tr>
      <w:tr w14:paraId="40A63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3CCE8C71">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rPr>
              <w:t>合计</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018A702E">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100.00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44A3F7C6">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87.00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2B9FCF52">
            <w:pPr>
              <w:widowControl/>
              <w:snapToGrid w:val="0"/>
              <w:jc w:val="center"/>
              <w:rPr>
                <w:rFonts w:ascii="Arial Narrow" w:hAnsi="Arial Narrow" w:cs="宋体"/>
                <w:color w:val="000000"/>
                <w:kern w:val="0"/>
                <w:sz w:val="20"/>
                <w:szCs w:val="20"/>
              </w:rPr>
            </w:pPr>
            <w:r>
              <w:rPr>
                <w:rFonts w:hint="eastAsia" w:ascii="仿宋" w:eastAsia="仿宋" w:cs="仿宋"/>
                <w:color w:val="000000"/>
                <w:kern w:val="0"/>
                <w:sz w:val="24"/>
                <w:szCs w:val="24"/>
                <w:lang w:val="en-US" w:eastAsia="zh-CN"/>
              </w:rPr>
              <w:t>87.00%</w:t>
            </w:r>
          </w:p>
        </w:tc>
      </w:tr>
    </w:tbl>
    <w:p w14:paraId="1672C282">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14:paraId="245CF2A3">
      <w:pPr>
        <w:spacing w:line="574" w:lineRule="exact"/>
        <w:ind w:firstLine="562" w:firstLineChars="200"/>
        <w:rPr>
          <w:rFonts w:hint="eastAsia"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1、项目尚未结算审核，施工方申报结算金额超过合同价，影响项目整体进度与效益发挥。</w:t>
      </w:r>
    </w:p>
    <w:p w14:paraId="06805B52">
      <w:pPr>
        <w:spacing w:line="574" w:lineRule="exact"/>
        <w:ind w:firstLine="560" w:firstLineChars="200"/>
        <w:rPr>
          <w:rFonts w:hint="eastAsia" w:ascii="仿宋" w:eastAsia="仿宋" w:cs="仿宋"/>
          <w:bCs/>
          <w:snapToGrid w:val="0"/>
          <w:sz w:val="28"/>
          <w:szCs w:val="28"/>
        </w:rPr>
      </w:pPr>
      <w:r>
        <w:rPr>
          <w:rFonts w:hint="eastAsia" w:ascii="Times New Roman" w:hAnsi="Times New Roman" w:eastAsia="仿宋" w:cs="Times New Roman"/>
          <w:sz w:val="28"/>
          <w:szCs w:val="24"/>
          <w:lang w:val="en-US" w:eastAsia="zh-CN"/>
        </w:rPr>
        <w:t>项目实施过程中，进度管理不到位：根据南垣乡人民政府与林奋建设有限公司签订的《古县南垣乡东池及驼腰村以工代赈田间道路建设工程项目施工合同》：项目期限2022年9月1日至2022年10月30日；项目验收时间为2022年11月14日；但截至2022年12月31日，项目未进行结算审核，项目整体进度管理不到位</w:t>
      </w:r>
      <w:r>
        <w:rPr>
          <w:rFonts w:hint="eastAsia" w:ascii="仿宋" w:eastAsia="仿宋" w:cs="仿宋"/>
          <w:bCs/>
          <w:snapToGrid w:val="0"/>
          <w:sz w:val="28"/>
          <w:szCs w:val="28"/>
        </w:rPr>
        <w:t>。</w:t>
      </w:r>
    </w:p>
    <w:p w14:paraId="13F26E3B">
      <w:pPr>
        <w:spacing w:line="574" w:lineRule="exact"/>
        <w:ind w:firstLine="560" w:firstLineChars="200"/>
        <w:rPr>
          <w:rFonts w:hint="eastAsia" w:ascii="仿宋" w:eastAsia="仿宋" w:cs="仿宋"/>
          <w:bCs/>
          <w:snapToGrid w:val="0"/>
          <w:sz w:val="28"/>
          <w:szCs w:val="28"/>
        </w:rPr>
      </w:pPr>
      <w:r>
        <w:rPr>
          <w:rFonts w:hint="eastAsia" w:ascii="Times New Roman" w:hAnsi="Times New Roman" w:eastAsia="仿宋" w:cs="Times New Roman"/>
          <w:sz w:val="28"/>
          <w:szCs w:val="24"/>
          <w:lang w:val="en-US" w:eastAsia="zh-CN"/>
        </w:rPr>
        <w:t>根据南垣乡人民政府与林奋建设有限公司签订的《古县南垣乡东池及驼腰村以工代赈田间道路建设工程项目施工合同》，项目合同金额192.00万元；但根据林奋建设有限公司提交的《古县南垣乡东池及驼腰村以工代赈田间道路建设工程结算书》，申请结算金额2109030.00元＞合同价1920000.00元，申请结算金额超合同价的比重为9.80%＞5%</w:t>
      </w:r>
    </w:p>
    <w:p w14:paraId="1169714B">
      <w:pPr>
        <w:spacing w:line="574" w:lineRule="exact"/>
        <w:ind w:firstLine="562" w:firstLineChars="200"/>
        <w:rPr>
          <w:rFonts w:hint="eastAsia"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2、项目尚未移交管护主体。</w:t>
      </w:r>
    </w:p>
    <w:p w14:paraId="0A1B097B">
      <w:pPr>
        <w:spacing w:line="574" w:lineRule="exact"/>
        <w:ind w:firstLine="560" w:firstLineChars="200"/>
        <w:rPr>
          <w:rFonts w:hint="eastAsia" w:ascii="仿宋_GB2312" w:eastAsia="仿宋_GB2312"/>
          <w:bCs/>
          <w:snapToGrid w:val="0"/>
          <w:sz w:val="32"/>
          <w:szCs w:val="32"/>
          <w:lang w:val="en-US" w:eastAsia="zh-CN"/>
        </w:rPr>
      </w:pPr>
      <w:r>
        <w:rPr>
          <w:rFonts w:ascii="仿宋" w:eastAsia="仿宋" w:cs="仿宋"/>
          <w:bCs/>
          <w:snapToGrid w:val="0"/>
          <w:sz w:val="28"/>
          <w:szCs w:val="28"/>
          <w:lang w:val="en-US" w:eastAsia="zh-CN"/>
        </w:rPr>
        <w:t>根据古县发展和改革局提供的相关资料，</w:t>
      </w:r>
      <w:r>
        <w:rPr>
          <w:rFonts w:hint="eastAsia" w:ascii="仿宋" w:eastAsia="仿宋" w:cs="仿宋"/>
          <w:bCs/>
          <w:snapToGrid w:val="0"/>
          <w:sz w:val="28"/>
          <w:szCs w:val="28"/>
          <w:lang w:val="en-US" w:eastAsia="zh-CN"/>
        </w:rPr>
        <w:t>古县南垣乡东池及驼腰村以工代赈田间道路建设工程项目</w:t>
      </w:r>
      <w:r>
        <w:rPr>
          <w:rFonts w:ascii="仿宋" w:eastAsia="仿宋" w:cs="仿宋"/>
          <w:bCs/>
          <w:snapToGrid w:val="0"/>
          <w:sz w:val="28"/>
          <w:szCs w:val="28"/>
          <w:lang w:val="en-US" w:eastAsia="zh-CN"/>
        </w:rPr>
        <w:t>建设单位为</w:t>
      </w:r>
      <w:r>
        <w:rPr>
          <w:rFonts w:hint="eastAsia" w:ascii="仿宋" w:eastAsia="仿宋" w:cs="仿宋"/>
          <w:bCs/>
          <w:snapToGrid w:val="0"/>
          <w:sz w:val="28"/>
          <w:szCs w:val="28"/>
          <w:lang w:val="en-US" w:eastAsia="zh-CN"/>
        </w:rPr>
        <w:t>南垣乡人民政府</w:t>
      </w:r>
      <w:r>
        <w:rPr>
          <w:rFonts w:ascii="仿宋" w:eastAsia="仿宋" w:cs="仿宋"/>
          <w:bCs/>
          <w:snapToGrid w:val="0"/>
          <w:sz w:val="28"/>
          <w:szCs w:val="28"/>
          <w:lang w:val="en-US" w:eastAsia="zh-CN"/>
        </w:rPr>
        <w:t>，评价组现场调研了解到，项目实施完成后虽然按照“谁受益、谁管护”的原则由村委实际管护，但道路尚未移交管护主体，且无明确的后续管护体制机制</w:t>
      </w:r>
      <w:r>
        <w:rPr>
          <w:rFonts w:hint="eastAsia" w:ascii="仿宋_GB2312" w:eastAsia="仿宋_GB2312"/>
          <w:bCs/>
          <w:snapToGrid w:val="0"/>
          <w:sz w:val="32"/>
          <w:szCs w:val="32"/>
          <w:lang w:eastAsia="zh-CN"/>
        </w:rPr>
        <w:t>。</w:t>
      </w:r>
      <w:r>
        <w:rPr>
          <w:rFonts w:hint="eastAsia" w:ascii="仿宋_GB2312" w:eastAsia="仿宋_GB2312"/>
          <w:bCs/>
          <w:snapToGrid w:val="0"/>
          <w:sz w:val="32"/>
          <w:szCs w:val="32"/>
          <w:lang w:val="en-US" w:eastAsia="zh-CN"/>
        </w:rPr>
        <w:t xml:space="preserve">  </w:t>
      </w:r>
    </w:p>
    <w:p w14:paraId="4028E68E">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14:paraId="7EDE3921">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start="1"/>
          <w:cols w:space="720" w:num="1"/>
          <w:docGrid w:type="lines" w:linePitch="312" w:charSpace="0"/>
        </w:sectPr>
      </w:pPr>
      <w:bookmarkStart w:id="9" w:name="_Toc515810986"/>
      <w:bookmarkStart w:id="10" w:name="_Toc516473301"/>
      <w:bookmarkStart w:id="11" w:name="_Toc515811931"/>
      <w:bookmarkStart w:id="12" w:name="_Toc516237635"/>
      <w:bookmarkStart w:id="13" w:name="_Toc516554766"/>
      <w:bookmarkStart w:id="14" w:name="_Toc514537327"/>
    </w:p>
    <w:bookmarkEnd w:id="9"/>
    <w:bookmarkEnd w:id="10"/>
    <w:bookmarkEnd w:id="11"/>
    <w:bookmarkEnd w:id="12"/>
    <w:bookmarkEnd w:id="13"/>
    <w:bookmarkEnd w:id="14"/>
    <w:p w14:paraId="453FD837">
      <w:pPr>
        <w:pStyle w:val="35"/>
        <w:ind w:left="0" w:firstLine="562" w:firstLineChars="200"/>
        <w:rPr>
          <w:rFonts w:ascii="仿宋" w:eastAsia="仿宋" w:cs="仿宋"/>
          <w:b/>
          <w:bCs w:val="0"/>
          <w:snapToGrid w:val="0"/>
          <w:kern w:val="2"/>
          <w:sz w:val="28"/>
          <w:szCs w:val="28"/>
          <w:lang w:val="en-US" w:eastAsia="zh-CN" w:bidi="ar-SA"/>
        </w:rPr>
      </w:pPr>
      <w:r>
        <w:rPr>
          <w:rFonts w:hint="eastAsia" w:ascii="仿宋" w:eastAsia="仿宋" w:cs="仿宋"/>
          <w:b/>
          <w:bCs w:val="0"/>
          <w:snapToGrid w:val="0"/>
          <w:kern w:val="2"/>
          <w:sz w:val="28"/>
          <w:szCs w:val="28"/>
          <w:lang w:val="en-US" w:eastAsia="zh-CN" w:bidi="ar-SA"/>
        </w:rPr>
        <w:t>1、加强项目实施管理、成本管理，确保项目实施进度、成本控制达标</w:t>
      </w:r>
      <w:r>
        <w:rPr>
          <w:rFonts w:ascii="仿宋" w:eastAsia="仿宋" w:cs="仿宋"/>
          <w:b/>
          <w:bCs w:val="0"/>
          <w:snapToGrid w:val="0"/>
          <w:kern w:val="2"/>
          <w:sz w:val="28"/>
          <w:szCs w:val="28"/>
          <w:lang w:val="en-US" w:eastAsia="zh-CN" w:bidi="ar-SA"/>
        </w:rPr>
        <w:t>。</w:t>
      </w:r>
    </w:p>
    <w:p w14:paraId="7912D92F">
      <w:pPr>
        <w:spacing w:line="574" w:lineRule="exact"/>
        <w:ind w:firstLine="560" w:firstLineChars="200"/>
        <w:rPr>
          <w:rFonts w:ascii="仿宋" w:eastAsia="仿宋" w:cs="仿宋"/>
          <w:bCs/>
          <w:snapToGrid w:val="0"/>
          <w:kern w:val="2"/>
          <w:sz w:val="28"/>
          <w:szCs w:val="28"/>
          <w:lang w:val="en-US" w:eastAsia="zh-CN" w:bidi="ar-SA"/>
        </w:rPr>
      </w:pPr>
      <w:r>
        <w:rPr>
          <w:rFonts w:hint="eastAsia" w:ascii="仿宋" w:eastAsia="仿宋" w:cs="仿宋"/>
          <w:bCs/>
          <w:snapToGrid w:val="0"/>
          <w:kern w:val="2"/>
          <w:sz w:val="28"/>
          <w:szCs w:val="28"/>
          <w:lang w:val="en-US" w:eastAsia="zh-CN" w:bidi="ar-SA"/>
        </w:rPr>
        <w:t>建议古县发展和改革局督促古县南垣乡人民政府在今后实施项目过程中，加强项目进度管理，项目实施完成并通过验收后，及时向财政申报进行结算审核，确保项目整体进度达标；同时，建议主管部门及实施单位在项目实施过程中严格控制项目成本，在前期科学测算并经财政预算评审确定预算资金的前提下，严控施工方建设成本，对于结算价超过合同价的情况，认真核对工程增量，建设单位、监理单位、施工单位、设计单位等相关方确认无误后再进行支付，确保财政资金使用的安全性，提升财政资金使用效益。</w:t>
      </w:r>
    </w:p>
    <w:p w14:paraId="19E4E695">
      <w:pPr>
        <w:pStyle w:val="7"/>
        <w:ind w:left="0" w:firstLine="562" w:firstLineChars="200"/>
        <w:rPr>
          <w:rFonts w:hint="eastAsia" w:ascii="仿宋" w:eastAsia="仿宋" w:cs="仿宋"/>
          <w:b/>
          <w:bCs w:val="0"/>
          <w:snapToGrid w:val="0"/>
          <w:kern w:val="2"/>
          <w:sz w:val="28"/>
          <w:szCs w:val="28"/>
          <w:lang w:val="en-US" w:eastAsia="zh-CN" w:bidi="ar-SA"/>
        </w:rPr>
      </w:pPr>
      <w:r>
        <w:rPr>
          <w:rFonts w:hint="eastAsia" w:ascii="仿宋" w:eastAsia="仿宋" w:cs="仿宋"/>
          <w:b/>
          <w:bCs w:val="0"/>
          <w:snapToGrid w:val="0"/>
          <w:kern w:val="2"/>
          <w:sz w:val="28"/>
          <w:szCs w:val="28"/>
          <w:lang w:val="en-US" w:eastAsia="zh-CN" w:bidi="ar-SA"/>
        </w:rPr>
        <w:t>2、已完工项目尽快移交管护主体，明确后续管护责任。</w:t>
      </w:r>
    </w:p>
    <w:p w14:paraId="0C5E4AA5">
      <w:pPr>
        <w:ind w:firstLine="560" w:firstLineChars="200"/>
        <w:rPr>
          <w:rFonts w:ascii="仿宋" w:eastAsia="仿宋" w:cs="仿宋"/>
          <w:bCs/>
          <w:snapToGrid w:val="0"/>
          <w:kern w:val="2"/>
          <w:sz w:val="28"/>
          <w:szCs w:val="28"/>
          <w:lang w:val="en-US" w:eastAsia="zh-CN" w:bidi="ar-SA"/>
        </w:rPr>
        <w:sectPr>
          <w:type w:val="continuous"/>
          <w:pgSz w:w="11906" w:h="16838"/>
          <w:pgMar w:top="1440" w:right="1800" w:bottom="1440" w:left="1800" w:header="851" w:footer="992" w:gutter="0"/>
          <w:cols w:space="720" w:num="1"/>
          <w:docGrid w:type="lines" w:linePitch="312" w:charSpace="0"/>
        </w:sectPr>
      </w:pPr>
      <w:r>
        <w:rPr>
          <w:rFonts w:hint="eastAsia" w:ascii="仿宋" w:eastAsia="仿宋" w:cs="仿宋"/>
          <w:bCs/>
          <w:snapToGrid w:val="0"/>
          <w:kern w:val="2"/>
          <w:sz w:val="28"/>
          <w:szCs w:val="28"/>
          <w:lang w:val="en-US" w:eastAsia="zh-CN" w:bidi="ar-SA"/>
        </w:rPr>
        <w:t>建议相关部门对已完工项目尽快移交管护主体；项目移交后后，管护主体建立健全后续管护体制机制，明确管护主体责任，确保设施维护维修及时。</w:t>
      </w:r>
    </w:p>
    <w:p w14:paraId="1242107F">
      <w:pPr>
        <w:pStyle w:val="18"/>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cs="黑体"/>
          <w:b/>
          <w:bCs w:val="0"/>
          <w:kern w:val="2"/>
          <w:sz w:val="44"/>
          <w:szCs w:val="44"/>
        </w:rPr>
      </w:pPr>
      <w:bookmarkStart w:id="15" w:name="_Toc4980"/>
      <w:bookmarkStart w:id="16" w:name="_Toc4940"/>
      <w:bookmarkStart w:id="17" w:name="_Toc29320"/>
      <w:bookmarkStart w:id="18" w:name="_Toc12847"/>
      <w:bookmarkStart w:id="19" w:name="_Toc24860"/>
      <w:r>
        <w:rPr>
          <w:rFonts w:hint="eastAsia" w:ascii="黑体" w:cs="黑体"/>
          <w:b/>
          <w:bCs w:val="0"/>
          <w:kern w:val="2"/>
          <w:sz w:val="44"/>
          <w:szCs w:val="44"/>
          <w:lang w:eastAsia="zh-CN"/>
        </w:rPr>
        <w:t>古县南垣乡东池及驼腰村以工代赈田间道路建设工程项目</w:t>
      </w:r>
      <w:r>
        <w:rPr>
          <w:rFonts w:hint="eastAsia" w:ascii="黑体" w:cs="黑体"/>
          <w:b/>
          <w:bCs w:val="0"/>
          <w:kern w:val="2"/>
          <w:sz w:val="44"/>
          <w:szCs w:val="44"/>
        </w:rPr>
        <w:t>支出绩效评价报告</w:t>
      </w:r>
      <w:bookmarkEnd w:id="15"/>
      <w:bookmarkEnd w:id="16"/>
      <w:bookmarkEnd w:id="17"/>
      <w:bookmarkEnd w:id="18"/>
      <w:bookmarkEnd w:id="19"/>
    </w:p>
    <w:p w14:paraId="4C8DE02B"/>
    <w:p w14:paraId="1EC291D1">
      <w:pPr>
        <w:spacing w:line="500" w:lineRule="exact"/>
        <w:ind w:firstLine="560" w:firstLineChars="200"/>
        <w:rPr>
          <w:rFonts w:hint="eastAsia"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受古县财政局委托，山西恒略绩效管理咨询有限公司承担对古县南垣乡东池及驼腰村以工代赈田间道路建设工程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2023年度财政重点绩效评价实施方案&gt;的通知》（古财字〔2023〕59号）等文件精神的要求，我们按照财政支出绩效评价的评价标准、评价方法和依据本项目特点制定的评价指标，对评价对象的绩效情况进行全面的分析和综合评价，形成了本报告。</w:t>
      </w:r>
    </w:p>
    <w:p w14:paraId="0A9110A8">
      <w:pPr>
        <w:spacing w:line="500" w:lineRule="exact"/>
        <w:ind w:firstLine="560" w:firstLineChars="200"/>
        <w:rPr>
          <w:rFonts w:hint="eastAsia"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本次绩效评价工作反映了古县南垣乡东池及驼腰村以工代赈田间道路建设工程项目在决策、过程、产出和效益四个方面的情况，并对项目实施中存在的问题提出改进建议，以期在今后的工作中进一步完善工作流程，提高资金绩效水平。现将绩效评价情况及评价结果报告如下</w:t>
      </w:r>
      <w:r>
        <w:rPr>
          <w:rFonts w:ascii="Times New Roman" w:hAnsi="Times New Roman" w:eastAsia="仿宋" w:cs="Times New Roman"/>
          <w:kern w:val="0"/>
          <w:sz w:val="28"/>
          <w:szCs w:val="24"/>
          <w:lang w:val="en-US" w:eastAsia="zh-CN" w:bidi="ar-SA"/>
        </w:rPr>
        <w:t>：</w:t>
      </w:r>
    </w:p>
    <w:p w14:paraId="1BC4A8BB">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rPr>
      </w:pPr>
      <w:bookmarkStart w:id="20" w:name="_Toc20860"/>
      <w:r>
        <w:rPr>
          <w:rFonts w:hint="eastAsia" w:ascii="Times New Roman" w:hAnsi="Times New Roman" w:eastAsia="黑体" w:cs="Times New Roman"/>
          <w:bCs/>
          <w:kern w:val="44"/>
          <w:sz w:val="32"/>
          <w:szCs w:val="32"/>
        </w:rPr>
        <w:t>一、项目基本情况</w:t>
      </w:r>
      <w:bookmarkEnd w:id="1"/>
      <w:bookmarkEnd w:id="20"/>
    </w:p>
    <w:p w14:paraId="0ABFDE06">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ascii="仿宋" w:eastAsia="仿宋" w:cs="Times New Roman"/>
          <w:b/>
          <w:bCs/>
          <w:sz w:val="32"/>
          <w:szCs w:val="32"/>
        </w:rPr>
      </w:pPr>
      <w:bookmarkStart w:id="21" w:name="_Toc514537329"/>
      <w:bookmarkStart w:id="22" w:name="_Toc5669"/>
      <w:r>
        <w:rPr>
          <w:rFonts w:hint="eastAsia" w:ascii="仿宋" w:eastAsia="仿宋" w:cs="Times New Roman"/>
          <w:b/>
          <w:bCs/>
          <w:sz w:val="32"/>
          <w:szCs w:val="32"/>
        </w:rPr>
        <w:t>（一）项目</w:t>
      </w:r>
      <w:bookmarkEnd w:id="21"/>
      <w:r>
        <w:rPr>
          <w:rFonts w:hint="eastAsia" w:ascii="仿宋" w:eastAsia="仿宋" w:cs="Times New Roman"/>
          <w:b/>
          <w:bCs/>
          <w:sz w:val="32"/>
          <w:szCs w:val="32"/>
        </w:rPr>
        <w:t>背景及概况</w:t>
      </w:r>
      <w:bookmarkEnd w:id="22"/>
    </w:p>
    <w:p w14:paraId="75A68C52">
      <w:pPr>
        <w:spacing w:line="500" w:lineRule="exact"/>
        <w:ind w:firstLine="560" w:firstLineChars="200"/>
        <w:rPr>
          <w:rFonts w:hint="eastAsia" w:ascii="Times New Roman" w:hAnsi="Times New Roman" w:eastAsia="仿宋" w:cs="Times New Roman"/>
          <w:sz w:val="28"/>
          <w:szCs w:val="24"/>
          <w:lang w:val="en-US" w:eastAsia="zh-CN"/>
        </w:rPr>
      </w:pPr>
      <w:bookmarkStart w:id="23" w:name="_Toc514537330"/>
      <w:r>
        <w:rPr>
          <w:rFonts w:hint="eastAsia" w:ascii="Times New Roman" w:hAnsi="Times New Roman" w:eastAsia="仿宋" w:cs="Times New Roman"/>
          <w:sz w:val="28"/>
          <w:szCs w:val="24"/>
          <w:lang w:val="en-US" w:eastAsia="zh-CN"/>
        </w:rPr>
        <w:t>2018年6月，党中央、国务院发布《乡村振兴战略规划（2018-2022年）》提出：充分尊重农民意愿，切实发挥农民在乡村振兴中的主体作用，调动亿万农民的积极性、主动性、创造性，把维护农民群众根本利益、促进农民共同富裕作为出发点和落脚点，促进农民持续增收，不断提升农民的获得感、幸福感、安全感。</w:t>
      </w:r>
    </w:p>
    <w:p w14:paraId="580AE384">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以工代赈，是指政府投资建设公共基础设施工程，受赈济者参加工程建设获得劳务报酬，以此取得直接赈济的一项扶持政策。现阶段，以工代赈是一项农村扶贫政策，当地贫困农民参加工程建设，获得劳务报酬，直接增加收入。以工代赈重点建设与贫困地区经济发展和农民脱贫致富相关的农村中小型基础设施，包括基本农田、农田水利、乡村道路（含独立桥涵）、草场建设、小流域治理、片区综合开发，以及根据国家要求安排的其他工程，旨在改善贫困地区基础设施条件和生态环境，提高贫困人口的收入水平，从根本上促进贫困人口脱贫致富，对缓解和消除贫困、构建和谐社会、走向共同富裕具有重要的现实意义。</w:t>
      </w:r>
    </w:p>
    <w:p w14:paraId="5EBE2D49">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自开始实施以工代赈以来，山西省以工代赈建设本着开发式扶贫的方针，着眼于贫困地区的长远发展，始终坚持开展农业和农村基础设施建设、生态环境治理，有效改善了贫困群众的生产生活条件，增强了贫困人群的自我积累和自我发展能力，不仅为贫困地区可持续发展创造了有利条件，而且也极大地调动了人民群众摆脱贫困、提高自身生活水平的主动性和自觉性。以工代赈政策使贫困农民直接感受到了党和政府的关怀，深受广大人民群众的支持和拥护。</w:t>
      </w:r>
    </w:p>
    <w:p w14:paraId="3795A383">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村公路是保障农民群众生产、生活的基本条件，是农业和农村发展的向导性、基础性设施。加快农村公路网络的建设对促进区域经济发展，提高农民生活水平，改善农村消费有着十分重要的战略意义。随着国道、省道、市道等骨干线路的形成，乡村道路建设的重要性和必要性已日益凸现。田间路、乡村道路，连接国道省道县道等大中公路，延伸到乡村组户，是公路网络的基础部分；是直接服务于农村，造福于农民的基础设施，是公路经济最终得以形成的关键环节。公路不能进村入户，村级经济将始终无法组成乡镇区域经济，因为没有便利的交通就难以形成统一的市场。</w:t>
      </w:r>
    </w:p>
    <w:p w14:paraId="36C32C88">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临汾市是山西省贫困面较大、贫困人口较多的地区之一，全市17个县（市、区）共有10个贫困县，其中，大宁、永和、隰县、吉县、汾西5个县为国家扶贫开发工作重点县，安泽、乡宁、蒲县、浮山、古县5个县为省级贫困县。2020年2月，省政府发布了批准包括我市永和，大宁、汾西等县退出贫困县的通知，至此，我市5个国家扶贫开发工作重点县、5个省定贫困县全部退出贫困县，标志着临汾市脱贫攻坚战取得决定性胜利。</w:t>
      </w:r>
    </w:p>
    <w:p w14:paraId="78B4B5D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中华人民共和国国民经济和社会发展第十四个五年规划和2035年远景目标纲要》中提出要“实现巩固拓展脱贫攻坚成果同乡村振兴有效衔接”。“十四五”期间，在打赢脱贫攻坚战的基础上，农村扶贫工作将继续开展，农村扶贫力度不会减小，但在实施方式上会有改变。在脱贫攻坚任务如期完成之后，还存在如何巩固脱贫成果问题以及解决相对贫困问题，需要制度化的解决措施。把解决这些问题纳入乡村振兴战略，可以实现贫困地区同全国农村的共同发展。</w:t>
      </w:r>
    </w:p>
    <w:p w14:paraId="5F2E9F4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全国“十四五”以工代赈工作方案》提出，以工代赈实施范围以脱贫地区为重点的欠发达地区，向“三区三州”等原深度贫困地区、国家乡村振兴重点帮扶县、易地扶贫搬迁后续扶持任务较重地区以及受自然灾害影响较重地区倾斜。同时，提出重点建设领域为“农村公益性基础设施”及“农村产业配套基础设施”，农村公益性基础设施领域－－农村交通基础设施：包括农村公路、行政村村内主干道、通自然村组道路、巷道、入户路等路基整理、路面硬化及必要防护设施建设，国有农场、林场林区内公路改造，农村简易候车亭，农村渡口、漫水路、漫水桥、简易停车场等小型交通基础设施建设等。</w:t>
      </w:r>
    </w:p>
    <w:p w14:paraId="0CE6C9E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县委县政府以习近平新时代中国特色社会主义思想为指导，全面贯彻党的十九大精神和习近平总书记扶贫开发重要战略思想，认真落实中央、省市委“三农”工作会议精神，积极推进交通基础设施建设。针对东池村和驼腰村（山头村组）田间道路存在的“出行难、生产运输难”及与全县推动乡村振兴建成小康社会的要求存在较大差距的问题，通过实施田间道路建设改善农民出行和生产作业条件，提升农民生活福祉，为</w:t>
      </w:r>
      <w:r>
        <w:rPr>
          <w:rFonts w:hint="default" w:ascii="Times New Roman" w:hAnsi="Times New Roman" w:eastAsia="仿宋" w:cs="Times New Roman"/>
          <w:sz w:val="28"/>
          <w:szCs w:val="24"/>
          <w:lang w:val="en" w:eastAsia="zh-CN"/>
        </w:rPr>
        <w:t>巩固拓展脱贫攻坚成果</w:t>
      </w:r>
      <w:r>
        <w:rPr>
          <w:rFonts w:hint="eastAsia" w:ascii="Times New Roman" w:hAnsi="Times New Roman" w:eastAsia="仿宋" w:cs="Times New Roman"/>
          <w:sz w:val="28"/>
          <w:szCs w:val="24"/>
          <w:lang w:val="en-US" w:eastAsia="zh-CN"/>
        </w:rPr>
        <w:t>和乡村振兴奠定基础。</w:t>
      </w:r>
    </w:p>
    <w:p w14:paraId="7AB8C0A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南垣乡东池及驼腰村以工代赈田间道路建设工程项目所在地东池村和驼腰村。东池村位于古县南部，南垣乡西部，距县城45公里，距乡政府所在地4公里，辖7个村民小组（东组、西组、南组、北组、料角畈、张家凹、桥北），316户，915人，全村土地面积18860.74亩，耕地面积5518.29亩，林、草地面积 11749.81亩。驼腰村位于古县南垣乡东北2.5公里处，东与山头村毗邻，南与河底接壤，西与韩家岭农场邻接，北与吴家岭、陈香相连。驼腰村下辖驼腰、河底、山头三个自然村，境域面积1315.85平方公顷。全村193户566口人。全村耕地5775.54亩，林地13962.14亩。</w:t>
      </w:r>
    </w:p>
    <w:p w14:paraId="4D33E25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东池村和驼腰村，交通不便，财政基础薄弱，村内的公共基础设施仍然落后，群众出行、生产生活极其不便，需要改善；而且农户的收入来源单一、不稳定。东池村共有农村劳动力（含半劳力、弱劳力）480人，已稳定就业145人；驼腰村共有农村劳动力（含半劳力、弱劳力）346人，已稳定就业260人，因此</w:t>
      </w:r>
      <w:r>
        <w:rPr>
          <w:rFonts w:hint="default" w:ascii="Times New Roman" w:hAnsi="Times New Roman" w:eastAsia="仿宋" w:cs="Times New Roman"/>
          <w:sz w:val="28"/>
          <w:szCs w:val="24"/>
          <w:lang w:val="en" w:eastAsia="zh-CN"/>
        </w:rPr>
        <w:t>巩固拓展脱贫攻坚成果</w:t>
      </w:r>
      <w:r>
        <w:rPr>
          <w:rFonts w:hint="eastAsia" w:ascii="Times New Roman" w:hAnsi="Times New Roman" w:eastAsia="仿宋" w:cs="Times New Roman"/>
          <w:sz w:val="28"/>
          <w:szCs w:val="24"/>
          <w:lang w:val="en-US" w:eastAsia="zh-CN"/>
        </w:rPr>
        <w:t>的任务十分艰巨。</w:t>
      </w:r>
    </w:p>
    <w:p w14:paraId="040A3711">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val="en-US" w:eastAsia="zh-CN"/>
        </w:rPr>
      </w:pPr>
      <w:bookmarkStart w:id="24" w:name="_Toc18681"/>
      <w:r>
        <w:rPr>
          <w:rFonts w:hint="eastAsia" w:ascii="仿宋" w:eastAsia="仿宋" w:cs="Times New Roman"/>
          <w:b/>
          <w:bCs/>
          <w:sz w:val="32"/>
          <w:szCs w:val="32"/>
        </w:rPr>
        <w:t>（二）预算资金来源与资金使用</w:t>
      </w:r>
      <w:bookmarkEnd w:id="23"/>
      <w:r>
        <w:rPr>
          <w:rFonts w:hint="eastAsia" w:ascii="仿宋" w:eastAsia="仿宋" w:cs="Times New Roman"/>
          <w:b/>
          <w:bCs/>
          <w:sz w:val="32"/>
          <w:szCs w:val="32"/>
          <w:lang w:val="en-US" w:eastAsia="zh-CN"/>
        </w:rPr>
        <w:t>情况</w:t>
      </w:r>
      <w:bookmarkEnd w:id="24"/>
    </w:p>
    <w:p w14:paraId="25C9B53D">
      <w:pPr>
        <w:spacing w:line="500" w:lineRule="exact"/>
        <w:ind w:firstLine="562" w:firstLineChars="200"/>
        <w:rPr>
          <w:rFonts w:hint="eastAsia" w:ascii="Times New Roman" w:hAnsi="Times New Roman" w:eastAsia="仿宋" w:cs="Times New Roman"/>
          <w:b/>
          <w:sz w:val="28"/>
          <w:szCs w:val="24"/>
          <w:lang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w:t>
      </w:r>
    </w:p>
    <w:p w14:paraId="0D9B6EF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根据古县行政审批服务管理局《关于对古县南垣乡东池及驼腰村以工代赈田间道路建设工程项目可行性研究报告的批复》（古审管审发〔2022〕18号），总投资及资金来源：本项目概算总投资216.06万元，其中：建筑安装工程费用192.63万元，工程建设其他费用13.14万元，基本预备费10.29万元。其中：省级财政衔接推进乡村振兴以工代赈资金196万元，剩余资金20.06万元由县财政配套解决</w:t>
      </w:r>
      <w:r>
        <w:rPr>
          <w:rFonts w:hint="eastAsia" w:ascii="Times New Roman" w:hAnsi="Times New Roman" w:eastAsia="仿宋" w:cs="Times New Roman"/>
          <w:sz w:val="28"/>
          <w:szCs w:val="24"/>
        </w:rPr>
        <w:t>。</w:t>
      </w:r>
    </w:p>
    <w:p w14:paraId="029762A4">
      <w:pPr>
        <w:spacing w:line="500" w:lineRule="exact"/>
        <w:ind w:left="0"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资金来源</w:t>
      </w:r>
      <w:r>
        <w:rPr>
          <w:rFonts w:hint="eastAsia" w:ascii="Times New Roman" w:hAnsi="Times New Roman" w:eastAsia="仿宋" w:cs="Times New Roman"/>
          <w:b/>
          <w:sz w:val="28"/>
          <w:szCs w:val="24"/>
          <w:lang w:val="en-US" w:eastAsia="zh-CN"/>
        </w:rPr>
        <w:t>与实际到位</w:t>
      </w:r>
    </w:p>
    <w:p w14:paraId="2762E41D">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截止2022年12月31日，项目共计到位资金196.00万元。</w:t>
      </w:r>
    </w:p>
    <w:p w14:paraId="083FA915">
      <w:pPr>
        <w:spacing w:line="500" w:lineRule="exact"/>
        <w:ind w:left="0" w:firstLine="562" w:firstLineChars="200"/>
        <w:rPr>
          <w:rFonts w:hint="eastAsia" w:ascii="Times New Roman" w:hAnsi="Times New Roman" w:eastAsia="仿宋" w:cs="Times New Roman"/>
          <w:b/>
          <w:sz w:val="28"/>
          <w:szCs w:val="24"/>
        </w:rPr>
      </w:pPr>
      <w:r>
        <w:rPr>
          <w:rFonts w:hint="eastAsia" w:ascii="Times New Roman" w:hAnsi="Times New Roman" w:eastAsia="仿宋" w:cs="Times New Roman"/>
          <w:b/>
          <w:sz w:val="28"/>
          <w:szCs w:val="24"/>
          <w:lang w:val="en-US" w:eastAsia="zh-CN"/>
        </w:rPr>
        <w:t>3、</w:t>
      </w:r>
      <w:r>
        <w:rPr>
          <w:rFonts w:hint="eastAsia" w:ascii="Times New Roman" w:hAnsi="Times New Roman" w:eastAsia="仿宋" w:cs="Times New Roman"/>
          <w:b/>
          <w:sz w:val="28"/>
          <w:szCs w:val="24"/>
        </w:rPr>
        <w:t>资金使用范围及支付情况</w:t>
      </w:r>
    </w:p>
    <w:p w14:paraId="6B409F28">
      <w:pPr>
        <w:widowControl w:val="0"/>
        <w:spacing w:line="500" w:lineRule="exact"/>
        <w:ind w:left="0" w:firstLine="560" w:firstLineChars="200"/>
        <w:jc w:val="both"/>
        <w:rPr>
          <w:rFonts w:ascii="Times New Roman" w:hAnsi="Times New Roman" w:eastAsia="仿宋" w:cs="Times New Roman"/>
          <w:color w:val="000000"/>
          <w:sz w:val="28"/>
          <w:szCs w:val="24"/>
          <w:lang w:val="en-US" w:eastAsia="zh-CN"/>
        </w:rPr>
      </w:pPr>
      <w:r>
        <w:rPr>
          <w:rFonts w:hint="eastAsia" w:ascii="Times New Roman" w:hAnsi="Times New Roman" w:eastAsia="仿宋" w:cs="Times New Roman"/>
          <w:color w:val="000000"/>
          <w:sz w:val="28"/>
          <w:szCs w:val="24"/>
          <w:lang w:val="en-US" w:eastAsia="zh-CN"/>
        </w:rPr>
        <w:t>截止2022年12月31日，古县南垣乡东池及驼腰村以工代赈田间道路建设工程项目共计支出资金196.60万元（其中</w:t>
      </w:r>
      <w:r>
        <w:rPr>
          <w:rFonts w:hint="eastAsia" w:ascii="Times New Roman" w:hAnsi="Times New Roman" w:eastAsia="仿宋" w:cs="Times New Roman"/>
          <w:sz w:val="28"/>
          <w:szCs w:val="24"/>
          <w:lang w:val="en-US" w:eastAsia="zh-CN"/>
        </w:rPr>
        <w:t>省级财政衔接推进乡村振兴以工代赈资金196万元，自筹0.90万元</w:t>
      </w:r>
      <w:r>
        <w:rPr>
          <w:rFonts w:hint="eastAsia" w:ascii="Times New Roman" w:hAnsi="Times New Roman" w:eastAsia="仿宋" w:cs="Times New Roman"/>
          <w:color w:val="000000"/>
          <w:sz w:val="28"/>
          <w:szCs w:val="24"/>
          <w:lang w:val="en-US" w:eastAsia="zh-CN"/>
        </w:rPr>
        <w:t>）。</w:t>
      </w:r>
    </w:p>
    <w:p w14:paraId="4E1F476C">
      <w:pPr>
        <w:widowControl w:val="0"/>
        <w:spacing w:line="500" w:lineRule="exact"/>
        <w:ind w:left="0" w:firstLine="560" w:firstLineChars="200"/>
        <w:jc w:val="both"/>
        <w:rPr>
          <w:rFonts w:hint="eastAsia" w:ascii="Times New Roman" w:hAnsi="Times New Roman" w:eastAsia="仿宋" w:cs="Times New Roman"/>
          <w:color w:val="000000"/>
          <w:sz w:val="28"/>
          <w:szCs w:val="24"/>
          <w:vertAlign w:val="baseline"/>
          <w:lang w:val="en-US" w:eastAsia="zh-CN"/>
        </w:rPr>
      </w:pPr>
      <w:r>
        <w:rPr>
          <w:rFonts w:hint="eastAsia" w:ascii="Times New Roman" w:hAnsi="Times New Roman" w:eastAsia="仿宋" w:cs="Times New Roman"/>
          <w:color w:val="000000"/>
          <w:sz w:val="28"/>
          <w:szCs w:val="24"/>
          <w:lang w:val="en-US" w:eastAsia="zh-CN"/>
        </w:rPr>
        <w:t>资金使用明细表详见表1-1。</w:t>
      </w:r>
    </w:p>
    <w:p w14:paraId="7111555E">
      <w:pPr>
        <w:widowControl w:val="0"/>
        <w:spacing w:line="500" w:lineRule="exact"/>
        <w:jc w:val="center"/>
        <w:rPr>
          <w:rFonts w:hint="eastAsia" w:ascii="Times New Roman" w:hAnsi="Times New Roman" w:eastAsia="仿宋" w:cs="Times New Roman"/>
          <w:b/>
          <w:sz w:val="24"/>
          <w:szCs w:val="24"/>
          <w:lang w:val="en-US" w:eastAsia="zh-CN"/>
        </w:rPr>
      </w:pPr>
      <w:r>
        <w:rPr>
          <w:rFonts w:hint="eastAsia" w:ascii="Times New Roman" w:hAnsi="Times New Roman" w:eastAsia="仿宋" w:cs="Times New Roman"/>
          <w:b/>
          <w:sz w:val="24"/>
          <w:szCs w:val="24"/>
          <w:lang w:val="en-US" w:eastAsia="zh-CN"/>
        </w:rPr>
        <w:t>表1-1资金使用明细表</w:t>
      </w:r>
    </w:p>
    <w:tbl>
      <w:tblPr>
        <w:tblStyle w:val="21"/>
        <w:tblW w:w="835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188"/>
        <w:gridCol w:w="1245"/>
        <w:gridCol w:w="1587"/>
        <w:gridCol w:w="3336"/>
      </w:tblGrid>
      <w:tr w14:paraId="1D60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0"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B34505">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支出时间</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8219F2">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资金支出（元）</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0352AE">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支出内容</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C919D9">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支出单位</w:t>
            </w:r>
          </w:p>
        </w:tc>
      </w:tr>
      <w:tr w14:paraId="25BA9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65CE36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2022年9月28日</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766DC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768000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B011085">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工程款</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43D43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林奋建设有限公司</w:t>
            </w:r>
          </w:p>
        </w:tc>
      </w:tr>
      <w:tr w14:paraId="334F7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8"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FB296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2022年9月30日</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E35C68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576000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8179A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工程款</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73C16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林奋建设有限公司</w:t>
            </w:r>
          </w:p>
        </w:tc>
      </w:tr>
      <w:tr w14:paraId="35370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CE2FAF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2022年11月25日</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EE78E0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576000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DCCCE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工程款</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28744E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林奋建设有限公司</w:t>
            </w:r>
          </w:p>
        </w:tc>
      </w:tr>
      <w:tr w14:paraId="55805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45BE13">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2022年12月7日</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0F9898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19000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56301F">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监理费</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4DEC49">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郑州众诚建设咨询有限公司</w:t>
            </w:r>
          </w:p>
        </w:tc>
      </w:tr>
      <w:tr w14:paraId="6863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57A43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2022年12月7日</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A0D27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16000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FF496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实施方案费用</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AD6E6C7">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山西飞泽源技术咨询有限公司</w:t>
            </w:r>
          </w:p>
        </w:tc>
      </w:tr>
      <w:tr w14:paraId="34AF4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1E0358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2022年12月7日</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2C245C5">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14000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E58A8AC">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可行性研究报告</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C3328B3">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山西飞泽源技术咨询有限公司</w:t>
            </w:r>
          </w:p>
        </w:tc>
      </w:tr>
      <w:tr w14:paraId="2D8E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 w:hRule="atLeast"/>
        </w:trPr>
        <w:tc>
          <w:tcPr>
            <w:tcW w:w="2188"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66DA166">
            <w:pPr>
              <w:spacing w:line="400" w:lineRule="exact"/>
              <w:jc w:val="center"/>
              <w:rPr>
                <w:rFonts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合计</w:t>
            </w:r>
          </w:p>
        </w:tc>
        <w:tc>
          <w:tcPr>
            <w:tcW w:w="124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DA4116">
            <w:pPr>
              <w:spacing w:line="400" w:lineRule="exact"/>
              <w:jc w:val="center"/>
              <w:rPr>
                <w:rFonts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1969000</w:t>
            </w:r>
          </w:p>
        </w:tc>
        <w:tc>
          <w:tcPr>
            <w:tcW w:w="158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9EF91FF">
            <w:pPr>
              <w:spacing w:line="400" w:lineRule="exact"/>
              <w:jc w:val="center"/>
              <w:rPr>
                <w:rFonts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w:t>
            </w:r>
          </w:p>
        </w:tc>
        <w:tc>
          <w:tcPr>
            <w:tcW w:w="3336"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5C80D8F">
            <w:pPr>
              <w:spacing w:line="400" w:lineRule="exact"/>
              <w:jc w:val="center"/>
              <w:rPr>
                <w:rFonts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w:t>
            </w:r>
          </w:p>
        </w:tc>
      </w:tr>
    </w:tbl>
    <w:p w14:paraId="1660B06D">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ascii="仿宋" w:eastAsia="仿宋" w:cs="Times New Roman"/>
          <w:b/>
          <w:bCs/>
          <w:sz w:val="32"/>
          <w:szCs w:val="32"/>
          <w:lang w:val="en-US" w:eastAsia="zh-CN"/>
        </w:rPr>
      </w:pPr>
      <w:bookmarkStart w:id="25" w:name="_Toc10111"/>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项目立项依据</w:t>
      </w:r>
      <w:bookmarkEnd w:id="25"/>
    </w:p>
    <w:p w14:paraId="0219CCA7">
      <w:pPr>
        <w:spacing w:line="500" w:lineRule="exact"/>
        <w:ind w:firstLine="560" w:firstLineChars="200"/>
        <w:rPr>
          <w:rFonts w:ascii="Times New Roman" w:hAnsi="Times New Roman" w:eastAsia="仿宋" w:cs="Times New Roman"/>
          <w:sz w:val="28"/>
          <w:szCs w:val="24"/>
        </w:rPr>
      </w:pPr>
      <w:r>
        <w:rPr>
          <w:rFonts w:hint="eastAsia" w:ascii="Times New Roman" w:hAnsi="Times New Roman" w:eastAsia="仿宋" w:cs="Times New Roman"/>
          <w:sz w:val="28"/>
          <w:szCs w:val="24"/>
        </w:rPr>
        <w:t>本项目的立项依据包括但不限于：</w:t>
      </w:r>
    </w:p>
    <w:p w14:paraId="32E1C286">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1、《乡村振兴战略规划（2018-2022年）》</w:t>
      </w:r>
      <w:r>
        <w:rPr>
          <w:rFonts w:hint="eastAsia" w:ascii="Times New Roman" w:hAnsi="Times New Roman" w:eastAsia="仿宋" w:cs="Times New Roman"/>
          <w:sz w:val="28"/>
          <w:szCs w:val="24"/>
          <w:lang w:eastAsia="zh-CN"/>
        </w:rPr>
        <w:t>；</w:t>
      </w:r>
    </w:p>
    <w:p w14:paraId="743252FD">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2、</w:t>
      </w:r>
      <w:r>
        <w:rPr>
          <w:rFonts w:ascii="Times New Roman" w:hAnsi="Times New Roman" w:eastAsia="仿宋" w:cs="Times New Roman"/>
          <w:sz w:val="28"/>
          <w:szCs w:val="24"/>
          <w:lang w:val="en-US" w:eastAsia="zh-CN"/>
        </w:rPr>
        <w:t>《中华人民共和国国民经济和社会发展第十四个五年规划和2035年远景目标纲要》</w:t>
      </w:r>
      <w:r>
        <w:rPr>
          <w:rFonts w:hint="eastAsia" w:ascii="Times New Roman" w:hAnsi="Times New Roman" w:eastAsia="仿宋" w:cs="Times New Roman"/>
          <w:sz w:val="28"/>
          <w:szCs w:val="24"/>
        </w:rPr>
        <w:t>；</w:t>
      </w:r>
    </w:p>
    <w:p w14:paraId="45709FDB">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3、《</w:t>
      </w:r>
      <w:r>
        <w:rPr>
          <w:rFonts w:ascii="Times New Roman" w:hAnsi="Times New Roman" w:eastAsia="仿宋" w:cs="Times New Roman"/>
          <w:sz w:val="28"/>
          <w:szCs w:val="24"/>
          <w:lang w:val="en-US" w:eastAsia="zh-CN"/>
        </w:rPr>
        <w:t>全国“十四五”以工代赈工作方案</w:t>
      </w:r>
      <w:r>
        <w:rPr>
          <w:rFonts w:hint="eastAsia" w:ascii="Times New Roman" w:hAnsi="Times New Roman" w:eastAsia="仿宋" w:cs="Times New Roman"/>
          <w:sz w:val="28"/>
          <w:szCs w:val="24"/>
          <w:lang w:val="en-US" w:eastAsia="zh-CN"/>
        </w:rPr>
        <w:t>》</w:t>
      </w:r>
      <w:r>
        <w:rPr>
          <w:rFonts w:hint="eastAsia" w:ascii="Times New Roman" w:hAnsi="Times New Roman" w:eastAsia="仿宋" w:cs="Times New Roman"/>
          <w:sz w:val="28"/>
          <w:szCs w:val="24"/>
        </w:rPr>
        <w:t>；</w:t>
      </w:r>
    </w:p>
    <w:p w14:paraId="4C68397F">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4、</w:t>
      </w:r>
      <w:r>
        <w:rPr>
          <w:rFonts w:hint="eastAsia" w:ascii="Times New Roman" w:hAnsi="Times New Roman" w:eastAsia="仿宋" w:cs="Times New Roman"/>
          <w:sz w:val="28"/>
          <w:szCs w:val="24"/>
        </w:rPr>
        <w:t>《中共中央国务院关于全面推进乡村振兴加快农业农村现代化的意见》（2021年2月21日）；</w:t>
      </w:r>
    </w:p>
    <w:p w14:paraId="222C1AA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5、《国家以工代赈管理办法》；</w:t>
      </w:r>
    </w:p>
    <w:p w14:paraId="109A7FA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6、《山西省以工代赈管理实施细则》；</w:t>
      </w:r>
    </w:p>
    <w:p w14:paraId="6DDB0E3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7、《国家发展改革委关于进一步坚守“赈”的初心充分发挥以工代赈政策功能的意见》（发改振兴</w:t>
      </w:r>
      <w:r>
        <w:rPr>
          <w:rFonts w:hint="eastAsia" w:ascii="Times New Roman" w:hAnsi="Times New Roman" w:eastAsia="仿宋" w:cs="Times New Roman"/>
          <w:sz w:val="28"/>
          <w:szCs w:val="24"/>
        </w:rPr>
        <w:t>〔20</w:t>
      </w:r>
      <w:r>
        <w:rPr>
          <w:rFonts w:hint="eastAsia" w:ascii="Times New Roman" w:hAnsi="Times New Roman" w:eastAsia="仿宋" w:cs="Times New Roman"/>
          <w:sz w:val="28"/>
          <w:szCs w:val="24"/>
          <w:lang w:val="en-US" w:eastAsia="zh-CN"/>
        </w:rPr>
        <w:t>21</w:t>
      </w:r>
      <w:r>
        <w:rPr>
          <w:rFonts w:hint="eastAsia" w:ascii="Times New Roman" w:hAnsi="Times New Roman" w:eastAsia="仿宋" w:cs="Times New Roman"/>
          <w:sz w:val="28"/>
          <w:szCs w:val="24"/>
        </w:rPr>
        <w:t>〕</w:t>
      </w:r>
      <w:r>
        <w:rPr>
          <w:rFonts w:hint="eastAsia" w:ascii="Times New Roman" w:hAnsi="Times New Roman" w:eastAsia="仿宋" w:cs="Times New Roman"/>
          <w:sz w:val="28"/>
          <w:szCs w:val="24"/>
          <w:lang w:val="en-US" w:eastAsia="zh-CN"/>
        </w:rPr>
        <w:t>1852号）；</w:t>
      </w:r>
    </w:p>
    <w:p w14:paraId="460AE116">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8、山西省发展和改革委员会《关于抓紧编报2022年中央财政以古县南垣乡东池及驼腰村以工代赈田间道路建设工程可行性研究报告工代赈任务建议计划并开展前置性审查的通知》</w:t>
      </w:r>
    </w:p>
    <w:p w14:paraId="60792A1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9、《山西省发展和改革委员会关于印发&lt;山西省“十四五”以工代赈实施方案&gt;的通知》（晋发改赈发</w:t>
      </w:r>
      <w:r>
        <w:rPr>
          <w:rFonts w:hint="eastAsia" w:ascii="Times New Roman" w:hAnsi="Times New Roman" w:eastAsia="仿宋" w:cs="Times New Roman"/>
          <w:sz w:val="28"/>
          <w:szCs w:val="24"/>
        </w:rPr>
        <w:t>〔20</w:t>
      </w:r>
      <w:r>
        <w:rPr>
          <w:rFonts w:hint="eastAsia" w:ascii="Times New Roman" w:hAnsi="Times New Roman" w:eastAsia="仿宋" w:cs="Times New Roman"/>
          <w:sz w:val="28"/>
          <w:szCs w:val="24"/>
          <w:lang w:val="en-US" w:eastAsia="zh-CN"/>
        </w:rPr>
        <w:t>22</w:t>
      </w:r>
      <w:r>
        <w:rPr>
          <w:rFonts w:hint="eastAsia" w:ascii="Times New Roman" w:hAnsi="Times New Roman" w:eastAsia="仿宋" w:cs="Times New Roman"/>
          <w:sz w:val="28"/>
          <w:szCs w:val="24"/>
        </w:rPr>
        <w:t>〕</w:t>
      </w:r>
      <w:r>
        <w:rPr>
          <w:rFonts w:hint="eastAsia" w:ascii="Times New Roman" w:hAnsi="Times New Roman" w:eastAsia="仿宋" w:cs="Times New Roman"/>
          <w:sz w:val="28"/>
          <w:szCs w:val="24"/>
          <w:lang w:val="en-US" w:eastAsia="zh-CN"/>
        </w:rPr>
        <w:t>30号）；</w:t>
      </w:r>
    </w:p>
    <w:p w14:paraId="63B86A5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10、《山西省发展和改革委员会关于提前分解下达2022年省级财政衔接推进乡村振兴补助资金以工代赈计划的通知》（晋发改赈发</w:t>
      </w:r>
      <w:r>
        <w:rPr>
          <w:rFonts w:hint="eastAsia" w:ascii="Times New Roman" w:hAnsi="Times New Roman" w:eastAsia="仿宋" w:cs="Times New Roman"/>
          <w:sz w:val="28"/>
          <w:szCs w:val="24"/>
        </w:rPr>
        <w:t>〔20</w:t>
      </w:r>
      <w:r>
        <w:rPr>
          <w:rFonts w:hint="eastAsia" w:ascii="Times New Roman" w:hAnsi="Times New Roman" w:eastAsia="仿宋" w:cs="Times New Roman"/>
          <w:sz w:val="28"/>
          <w:szCs w:val="24"/>
          <w:lang w:val="en-US" w:eastAsia="zh-CN"/>
        </w:rPr>
        <w:t>21</w:t>
      </w:r>
      <w:r>
        <w:rPr>
          <w:rFonts w:hint="eastAsia" w:ascii="Times New Roman" w:hAnsi="Times New Roman" w:eastAsia="仿宋" w:cs="Times New Roman"/>
          <w:sz w:val="28"/>
          <w:szCs w:val="24"/>
        </w:rPr>
        <w:t>〕</w:t>
      </w:r>
      <w:r>
        <w:rPr>
          <w:rFonts w:hint="eastAsia" w:ascii="Times New Roman" w:hAnsi="Times New Roman" w:eastAsia="仿宋" w:cs="Times New Roman"/>
          <w:sz w:val="28"/>
          <w:szCs w:val="24"/>
          <w:lang w:val="en-US" w:eastAsia="zh-CN"/>
        </w:rPr>
        <w:t>504号）：</w:t>
      </w:r>
    </w:p>
    <w:p w14:paraId="6B2A2DE3">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11、《关于在全省农业农村基础设施建设领域推广以工代赈方式的实施方案的通知》（晋发改赈发</w:t>
      </w:r>
      <w:r>
        <w:rPr>
          <w:rFonts w:hint="eastAsia" w:ascii="Times New Roman" w:hAnsi="Times New Roman" w:eastAsia="仿宋" w:cs="Times New Roman"/>
          <w:sz w:val="28"/>
          <w:szCs w:val="24"/>
        </w:rPr>
        <w:t>〔20</w:t>
      </w:r>
      <w:r>
        <w:rPr>
          <w:rFonts w:hint="eastAsia" w:ascii="Times New Roman" w:hAnsi="Times New Roman" w:eastAsia="仿宋" w:cs="Times New Roman"/>
          <w:sz w:val="28"/>
          <w:szCs w:val="24"/>
          <w:lang w:val="en-US" w:eastAsia="zh-CN"/>
        </w:rPr>
        <w:t>21</w:t>
      </w:r>
      <w:r>
        <w:rPr>
          <w:rFonts w:hint="eastAsia" w:ascii="Times New Roman" w:hAnsi="Times New Roman" w:eastAsia="仿宋" w:cs="Times New Roman"/>
          <w:sz w:val="28"/>
          <w:szCs w:val="24"/>
        </w:rPr>
        <w:t>〕</w:t>
      </w:r>
      <w:r>
        <w:rPr>
          <w:rFonts w:hint="eastAsia" w:ascii="Times New Roman" w:hAnsi="Times New Roman" w:eastAsia="仿宋" w:cs="Times New Roman"/>
          <w:sz w:val="28"/>
          <w:szCs w:val="24"/>
          <w:lang w:val="en-US" w:eastAsia="zh-CN"/>
        </w:rPr>
        <w:t>121号）；</w:t>
      </w:r>
    </w:p>
    <w:p w14:paraId="668FD44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12、《古县发展和改革局关于转发下达2022年度省财政衔接推进乡村振兴补助资金以工代赈计划的通知》（古发字</w:t>
      </w:r>
      <w:r>
        <w:rPr>
          <w:rFonts w:hint="eastAsia" w:ascii="Times New Roman" w:hAnsi="Times New Roman" w:eastAsia="仿宋" w:cs="Times New Roman"/>
          <w:sz w:val="28"/>
          <w:szCs w:val="24"/>
        </w:rPr>
        <w:t>〔20</w:t>
      </w:r>
      <w:r>
        <w:rPr>
          <w:rFonts w:hint="eastAsia" w:ascii="Times New Roman" w:hAnsi="Times New Roman" w:eastAsia="仿宋" w:cs="Times New Roman"/>
          <w:sz w:val="28"/>
          <w:szCs w:val="24"/>
          <w:lang w:val="en-US" w:eastAsia="zh-CN"/>
        </w:rPr>
        <w:t>22</w:t>
      </w:r>
      <w:r>
        <w:rPr>
          <w:rFonts w:hint="eastAsia" w:ascii="Times New Roman" w:hAnsi="Times New Roman" w:eastAsia="仿宋" w:cs="Times New Roman"/>
          <w:sz w:val="28"/>
          <w:szCs w:val="24"/>
        </w:rPr>
        <w:t>〕</w:t>
      </w:r>
      <w:r>
        <w:rPr>
          <w:rFonts w:hint="eastAsia" w:ascii="Times New Roman" w:hAnsi="Times New Roman" w:eastAsia="仿宋" w:cs="Times New Roman"/>
          <w:sz w:val="28"/>
          <w:szCs w:val="24"/>
          <w:lang w:val="en-US" w:eastAsia="zh-CN"/>
        </w:rPr>
        <w:t>7号）。</w:t>
      </w:r>
    </w:p>
    <w:p w14:paraId="2811E4B5">
      <w:pPr>
        <w:spacing w:line="574" w:lineRule="exact"/>
        <w:ind w:firstLine="560" w:firstLineChars="200"/>
        <w:rPr>
          <w:rFonts w:ascii="仿宋_GB2312" w:eastAsia="仿宋_GB2312"/>
          <w:snapToGrid w:val="0"/>
          <w:sz w:val="32"/>
          <w:szCs w:val="32"/>
          <w:lang w:val="en-US" w:eastAsia="zh-CN"/>
        </w:rPr>
      </w:pPr>
      <w:r>
        <w:rPr>
          <w:rFonts w:hint="eastAsia" w:ascii="Times New Roman" w:hAnsi="Times New Roman" w:eastAsia="仿宋" w:cs="Times New Roman"/>
          <w:sz w:val="28"/>
          <w:szCs w:val="24"/>
          <w:lang w:val="en-US" w:eastAsia="zh-CN"/>
        </w:rPr>
        <w:t>13、</w:t>
      </w:r>
      <w:r>
        <w:rPr>
          <w:rFonts w:hint="eastAsia" w:ascii="Times New Roman" w:hAnsi="Times New Roman" w:eastAsia="仿宋" w:cs="Times New Roman"/>
          <w:sz w:val="28"/>
          <w:szCs w:val="24"/>
        </w:rPr>
        <w:t>其他相关政策法规</w:t>
      </w:r>
      <w:r>
        <w:rPr>
          <w:rFonts w:hint="eastAsia" w:ascii="仿宋_GB2312" w:eastAsia="仿宋_GB2312"/>
          <w:snapToGrid w:val="0"/>
          <w:sz w:val="32"/>
          <w:szCs w:val="32"/>
          <w:lang w:val="en-US" w:eastAsia="zh-CN"/>
        </w:rPr>
        <w:t>。</w:t>
      </w:r>
    </w:p>
    <w:p w14:paraId="42FEB622">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eastAsia="zh-CN"/>
        </w:rPr>
      </w:pPr>
      <w:bookmarkStart w:id="26" w:name="_Toc514537331"/>
      <w:bookmarkStart w:id="27" w:name="_Toc31385"/>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四</w:t>
      </w:r>
      <w:r>
        <w:rPr>
          <w:rFonts w:hint="eastAsia" w:ascii="仿宋" w:eastAsia="仿宋" w:cs="Times New Roman"/>
          <w:b/>
          <w:bCs/>
          <w:sz w:val="32"/>
          <w:szCs w:val="32"/>
          <w:lang w:eastAsia="zh-CN"/>
        </w:rPr>
        <w:t>）项目绩效目标</w:t>
      </w:r>
      <w:bookmarkEnd w:id="26"/>
      <w:bookmarkEnd w:id="27"/>
    </w:p>
    <w:p w14:paraId="4BDA3778">
      <w:pPr>
        <w:spacing w:line="500" w:lineRule="exact"/>
        <w:ind w:firstLine="562" w:firstLineChars="200"/>
        <w:rPr>
          <w:rFonts w:ascii="Times New Roman" w:hAnsi="Times New Roman" w:eastAsia="仿宋" w:cs="Times New Roman"/>
          <w:b/>
          <w:sz w:val="28"/>
          <w:szCs w:val="24"/>
        </w:rPr>
      </w:pPr>
      <w:bookmarkStart w:id="28" w:name="_Toc514537332"/>
      <w:r>
        <w:rPr>
          <w:rFonts w:ascii="Times New Roman" w:hAnsi="Times New Roman" w:eastAsia="仿宋" w:cs="Times New Roman"/>
          <w:b/>
          <w:sz w:val="28"/>
          <w:szCs w:val="24"/>
        </w:rPr>
        <w:t>1、绩效总目标</w:t>
      </w:r>
    </w:p>
    <w:p w14:paraId="2C9B7D28">
      <w:pPr>
        <w:spacing w:line="500" w:lineRule="exact"/>
        <w:ind w:firstLine="560" w:firstLineChars="200"/>
        <w:rPr>
          <w:rFonts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通过实施该项目，助力乡村振兴战略实施，该项目完成后可解决东池及驼腰村农民出行难、生产运输难的问题，将改善区域内的交通状况，完善乡村区域路网结构，为当地农民打通致富门路，促进乡镇区域经济的全面发展，加快资源开发利用，使区域农副产品资源得以升值，农民收入不断增加，加快脱贫。同时，项目的实施还可以使当地农民工参加工程建设获得劳务报酬30万元，项目实施后经济效益、社会效益明显，对加快当地经济发展有着十分重要的作用。</w:t>
      </w:r>
    </w:p>
    <w:p w14:paraId="38E3AC5B">
      <w:pPr>
        <w:spacing w:line="500" w:lineRule="exact"/>
        <w:ind w:firstLine="562" w:firstLineChars="200"/>
        <w:rPr>
          <w:rFonts w:hint="eastAsia" w:ascii="Times New Roman" w:hAnsi="Times New Roman" w:eastAsia="仿宋" w:cs="Times New Roman"/>
          <w:sz w:val="28"/>
          <w:szCs w:val="24"/>
          <w:lang w:val="en-US"/>
        </w:rPr>
      </w:pPr>
      <w:r>
        <w:rPr>
          <w:rFonts w:ascii="Times New Roman" w:hAnsi="Times New Roman" w:eastAsia="仿宋" w:cs="Times New Roman"/>
          <w:b/>
          <w:sz w:val="28"/>
          <w:szCs w:val="24"/>
        </w:rPr>
        <w:t>2、阶段性目标</w:t>
      </w:r>
    </w:p>
    <w:p w14:paraId="33D0FEC0">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工程完工：改建东池村和驼腰村（山头村组）5条田间道路，道路全长2.835km.东池村田间道路共3条支线，路线全长2.135km，其中：1.393km，支线2长0.424km，支线3长支线1长0.318km；驼腰村（山头村组）田间道路共2条支线，路线全长0.7km，其中，支线1长0.63Km，支线2长0.07Km；</w:t>
      </w:r>
    </w:p>
    <w:p w14:paraId="568BC749">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建设规模达标：达标；</w:t>
      </w:r>
    </w:p>
    <w:p w14:paraId="3B88966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建设质量达标：通过验收；</w:t>
      </w:r>
    </w:p>
    <w:p w14:paraId="70E27AD6">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项目完工及时：项目期限2022年9月1日至2022年10月30日；</w:t>
      </w:r>
    </w:p>
    <w:p w14:paraId="3782381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劳务报酬发放及时：2022年内发放完成；</w:t>
      </w:r>
    </w:p>
    <w:p w14:paraId="63A5A64C">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工程成本控制情况：不超过合同金额192.00万元；</w:t>
      </w:r>
    </w:p>
    <w:p w14:paraId="52C8C754">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劳务报酬发放比例达标情况：100%，劳务费用30.00万元全部发放；</w:t>
      </w:r>
    </w:p>
    <w:p w14:paraId="434E0070">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项目区人均纯收入增加情况：项目实施完成后人均年纯收入预期提高500元；</w:t>
      </w:r>
    </w:p>
    <w:p w14:paraId="35FA3058">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农产品运输成本：有效降低；</w:t>
      </w:r>
    </w:p>
    <w:p w14:paraId="2BAE2A38">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完善农村路网基础设施：完善</w:t>
      </w:r>
    </w:p>
    <w:p w14:paraId="7FB8C4D7">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后期维护与管理：管护制度健全、管护责任落实；</w:t>
      </w:r>
    </w:p>
    <w:p w14:paraId="1AA2A00C">
      <w:pPr>
        <w:spacing w:line="574" w:lineRule="exact"/>
        <w:ind w:firstLine="560" w:firstLineChars="200"/>
        <w:rPr>
          <w:rFonts w:ascii="仿宋" w:eastAsia="仿宋" w:cs="仿宋"/>
          <w:color w:val="FF0000"/>
          <w:sz w:val="32"/>
          <w:szCs w:val="32"/>
          <w:highlight w:val="yellow"/>
        </w:rPr>
      </w:pPr>
      <w:r>
        <w:rPr>
          <w:rFonts w:hint="eastAsia" w:ascii="Times New Roman" w:hAnsi="Times New Roman" w:eastAsia="仿宋" w:cs="Times New Roman"/>
          <w:sz w:val="28"/>
          <w:szCs w:val="24"/>
          <w:lang w:val="en-US" w:eastAsia="zh-CN"/>
        </w:rPr>
        <w:t>项目区农民满意度：≥90%</w:t>
      </w:r>
      <w:r>
        <w:rPr>
          <w:rFonts w:hint="eastAsia" w:ascii="仿宋_GB2312" w:eastAsia="仿宋_GB2312"/>
          <w:color w:val="auto"/>
          <w:sz w:val="32"/>
          <w:szCs w:val="32"/>
        </w:rPr>
        <w:t>。</w:t>
      </w:r>
    </w:p>
    <w:p w14:paraId="77778622">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29" w:name="_Toc31288"/>
      <w:r>
        <w:rPr>
          <w:rFonts w:hint="eastAsia" w:ascii="Times New Roman" w:hAnsi="Times New Roman" w:eastAsia="黑体" w:cs="Times New Roman"/>
          <w:bCs/>
          <w:kern w:val="44"/>
          <w:sz w:val="32"/>
          <w:szCs w:val="32"/>
        </w:rPr>
        <w:t>二、项目组织实施情况</w:t>
      </w:r>
      <w:bookmarkEnd w:id="28"/>
      <w:bookmarkEnd w:id="29"/>
    </w:p>
    <w:p w14:paraId="7DEA8E1D">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30" w:name="_Toc460"/>
      <w:bookmarkStart w:id="31" w:name="_Toc514537333"/>
      <w:r>
        <w:rPr>
          <w:rFonts w:hint="eastAsia" w:ascii="仿宋" w:eastAsia="仿宋" w:cs="Times New Roman"/>
          <w:b/>
          <w:bCs/>
          <w:sz w:val="32"/>
          <w:szCs w:val="32"/>
        </w:rPr>
        <w:t>（一）项目组织情况</w:t>
      </w:r>
      <w:bookmarkEnd w:id="30"/>
    </w:p>
    <w:p w14:paraId="6010B3EA">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项目主管部门和项目实施部门职责情况如下：</w:t>
      </w:r>
    </w:p>
    <w:p w14:paraId="6844870A">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财政部门：负责财政资金的管理，对资金的分配、下拨、使用等全过程进行规范化管理，对资金设立专账，实行分项核算，确保专款专用。</w:t>
      </w:r>
    </w:p>
    <w:p w14:paraId="4972A14D">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 主管部门：监督项目实施范围和资金管理情况，做到事前、事中、事后全程监控，并会同财政部门确定资金的支持方向、使用范围、标准和方式</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调研发展资金使用方向。</w:t>
      </w:r>
    </w:p>
    <w:p w14:paraId="4B7FF085">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实施单位：以省、市、县的相关文件为指导，保证项目正常实施，并对具体实施情况进行监督检查，定期进行业务考核指导。同时将所核查的数据收集、汇总、上报、存档等。</w:t>
      </w:r>
    </w:p>
    <w:p w14:paraId="7109CF63">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32" w:name="_Toc17454"/>
      <w:r>
        <w:rPr>
          <w:rFonts w:hint="eastAsia" w:ascii="仿宋" w:eastAsia="仿宋" w:cs="Times New Roman"/>
          <w:b/>
          <w:bCs/>
          <w:sz w:val="32"/>
          <w:szCs w:val="32"/>
        </w:rPr>
        <w:t>（二）项目实施</w:t>
      </w:r>
      <w:bookmarkEnd w:id="31"/>
      <w:r>
        <w:rPr>
          <w:rFonts w:hint="eastAsia" w:ascii="仿宋" w:eastAsia="仿宋" w:cs="Times New Roman"/>
          <w:b/>
          <w:bCs/>
          <w:sz w:val="32"/>
          <w:szCs w:val="32"/>
        </w:rPr>
        <w:t>情况</w:t>
      </w:r>
      <w:bookmarkEnd w:id="32"/>
    </w:p>
    <w:p w14:paraId="088129C7">
      <w:pPr>
        <w:widowControl w:val="0"/>
        <w:spacing w:line="500" w:lineRule="exact"/>
        <w:ind w:left="0" w:firstLine="562" w:firstLineChars="200"/>
        <w:jc w:val="both"/>
        <w:rPr>
          <w:rFonts w:ascii="Times New Roman" w:hAnsi="Times New Roman" w:eastAsia="仿宋" w:cs="Times New Roman"/>
          <w:b/>
          <w:bCs/>
          <w:sz w:val="28"/>
          <w:szCs w:val="24"/>
          <w:lang w:val="en-US" w:eastAsia="zh-CN"/>
        </w:rPr>
      </w:pPr>
      <w:bookmarkStart w:id="33" w:name="_Toc514537334"/>
      <w:r>
        <w:rPr>
          <w:rFonts w:hint="eastAsia" w:ascii="Times New Roman" w:hAnsi="Times New Roman" w:eastAsia="仿宋" w:cs="Times New Roman"/>
          <w:b/>
          <w:bCs/>
          <w:sz w:val="28"/>
          <w:szCs w:val="24"/>
          <w:lang w:val="en-US" w:eastAsia="zh-CN"/>
        </w:rPr>
        <w:t>1、项目实施内容要求</w:t>
      </w:r>
    </w:p>
    <w:p w14:paraId="31ADF861">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南垣乡《古县南垣乡人民政府关于对古县南垣乡东池及驼腰村以工代赈田间道路建设工程进行立项的申请报告》（南政呈〔2022〕11号），2022年5月24日，古县行政审批服务管理局《关于对古县南垣乡东池及驼腰村以工代赈田间道路建设工程项目可行性研究报告的批复》（古审管审发〔2022〕18号）批复项目立项，（1）建设规模及内容：项目改建东池村和驼腰村（山头村组）5条田间道路，道路全长2.835km。东池村田间道路共3条支线，路线全长2.135km，其中：支线1长1.393km，支线2长0.424km，支线3长0.318km；驼腰村（山头村组）田间道路共2条支线，路线全长0.7km，其中：支线1长0.63km，支线2长0.07km。包括路基、路面、错车道等；（2）项目建设工期：7个月；（3）总投资及资金来源：本项目概算总投资216.06万元，其中：建筑安装工程费用192.63万元，工程建设其他费用13.14万元，基本预备费10.29万元。其中：省级财政衔接推进乡村振兴以工代赈资金196万元，剩余资金20.06万元由县财政配套解决。</w:t>
      </w:r>
    </w:p>
    <w:p w14:paraId="77F474B3">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根据南垣乡人民政府与林奋建设有限公司签订的《古县南垣乡东池及驼腰村以工代赈田间道路建设工程项目施工合同》：</w:t>
      </w:r>
    </w:p>
    <w:p w14:paraId="62943771">
      <w:pPr>
        <w:widowControl w:val="0"/>
        <w:spacing w:line="500" w:lineRule="exact"/>
        <w:ind w:left="0"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①合同金额192.00万元（其中包含劳务费用30.00万元），项目期限2022年9月1日至2022年10月30日；</w:t>
      </w:r>
    </w:p>
    <w:p w14:paraId="11465234">
      <w:pPr>
        <w:widowControl w:val="0"/>
        <w:spacing w:line="500" w:lineRule="exact"/>
        <w:ind w:left="0"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项目建设内容：建设乡村道路2.835km，包括路基拓宽、整修、路面结构层铺设，本项目改建东池村和驼腰村（山头村组）5条田间道路，道路全长2.835km.东池村田间道路共3条支线，路线全长2.135km，其中：1.393km，支线2长0.424km，支线3长支线1长0.318km；驼腰村（山头村组）田间道路共2条支线，路线全长0.7km，其中，支线1长0.63Km，支线2长0.07Km，包括路基、路面、错车道等。</w:t>
      </w:r>
    </w:p>
    <w:p w14:paraId="59649647">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付款方式：施工合同签订后，乙方向甲方提交工程预付款申请报告，由丙方（古县发展和改革局）审核，并按照相关支付程序拨付总造价的30%，作为工程预付款；工程路基、碎石垫层铺设完成后，经验收合格，按照支付程序拨付总造价的40%；工程完工后，经验收合格，按照支付程序拨付总造价的27%；剩佘总造价的3%作为工程质量保证金，质保期过后，无质量问题，按相关程序拨付质保金。</w:t>
      </w:r>
    </w:p>
    <w:p w14:paraId="40778FA5">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④质量标准：严格按照《古县南垣乡东池及驼腰村以工代赈田间道路建设工程项目实施方案》中的设计标准施工，且工程质量标准达到国家统一验收规范合格以上标准。</w:t>
      </w:r>
    </w:p>
    <w:p w14:paraId="7641E768">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⑤劳务报酬发放要求：组织项目区群众积极参加工程建设，做到能用人工的尽量不用机械、能用当地群众的尽量不用专业队伍，并确保劳务用工数不低于30人，劳务报酬不少于30万元，同时做好劳务报酬发放工作，做到公开、足额、及时，严禁克扣、拖欠。</w:t>
      </w:r>
    </w:p>
    <w:p w14:paraId="1CDE6FC2">
      <w:pPr>
        <w:widowControl w:val="0"/>
        <w:spacing w:line="500" w:lineRule="exact"/>
        <w:ind w:left="0" w:firstLine="562"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b/>
          <w:bCs/>
          <w:sz w:val="28"/>
          <w:szCs w:val="24"/>
          <w:lang w:val="en-US" w:eastAsia="zh-CN"/>
        </w:rPr>
        <w:t>2、项目实际完成情况</w:t>
      </w:r>
    </w:p>
    <w:p w14:paraId="1419EE8E">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11月14日，建设单位古县南垣乡人民政府、监督单位古县发展和改革局、监理单位郑州众诚建设咨询有限公司、施工单位林奋建设有限公司联合签署《古县以工代赈项目验收表》，项目计划实施内容为：拟改建东池村和驼腰村5条田间道路，全长2.835km，设计路基宽4.5m，路面宽3.5m，包括路基、路面工程、错车道8处，挖除原水泥混凝土及砂砾垫层；项目实际完成内容为：完成建设长度3.0127Km，路面宽3.5米，错车道8处，符合设计要求。</w:t>
      </w:r>
    </w:p>
    <w:p w14:paraId="24572F20">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林奋建设有限公司已提交《古县南垣乡东池及驼腰村以工代赈田间道路建设工程结算书》，申请结算金额2109030.00元。</w:t>
      </w:r>
    </w:p>
    <w:p w14:paraId="32EF8844">
      <w:pPr>
        <w:widowControl w:val="0"/>
        <w:spacing w:line="500" w:lineRule="exact"/>
        <w:ind w:left="0" w:firstLine="560" w:firstLineChars="200"/>
        <w:jc w:val="both"/>
        <w:rPr>
          <w:rFonts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截止2022年12月31日，项目尚未结算审核。</w:t>
      </w:r>
    </w:p>
    <w:p w14:paraId="788BCFB7">
      <w:pPr>
        <w:widowControl w:val="0"/>
        <w:spacing w:line="500" w:lineRule="exact"/>
        <w:ind w:left="0"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林奋建设有限公司出具的《劳务报酬发放台账》：项目共计务工人数64人（当地59人，外地5人），涉及贫困户32人，其中搬迁户务工人数16人，共计发放劳务报酬396629元；其中贫困户发放劳务报酬157397元，非贫困户劳务报酬239232元。</w:t>
      </w:r>
    </w:p>
    <w:bookmarkEnd w:id="33"/>
    <w:p w14:paraId="1D44D817">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34" w:name="_Toc27737"/>
      <w:bookmarkStart w:id="35" w:name="_Toc514537336"/>
      <w:r>
        <w:rPr>
          <w:rFonts w:hint="eastAsia" w:ascii="Times New Roman" w:hAnsi="Times New Roman" w:eastAsia="黑体" w:cs="Times New Roman"/>
          <w:bCs/>
          <w:kern w:val="44"/>
          <w:sz w:val="32"/>
          <w:szCs w:val="32"/>
        </w:rPr>
        <w:t>三、绩效评价工作情况</w:t>
      </w:r>
      <w:bookmarkEnd w:id="34"/>
      <w:bookmarkEnd w:id="35"/>
    </w:p>
    <w:p w14:paraId="6ED1E6FD">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36" w:name="_Toc30160"/>
      <w:bookmarkStart w:id="37" w:name="_Toc514537337"/>
      <w:r>
        <w:rPr>
          <w:rFonts w:hint="eastAsia" w:ascii="仿宋" w:eastAsia="仿宋" w:cs="Times New Roman"/>
          <w:b/>
          <w:bCs/>
          <w:sz w:val="32"/>
          <w:szCs w:val="32"/>
        </w:rPr>
        <w:t>（一）绩效评价的目的</w:t>
      </w:r>
      <w:bookmarkEnd w:id="36"/>
      <w:bookmarkEnd w:id="37"/>
    </w:p>
    <w:p w14:paraId="56E999EC">
      <w:pPr>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财政支出绩效评价旨在通过评价改善预算部门的财政支出管理，优化资源配置及提高公共服务水平。本次绩效评价遵循</w:t>
      </w:r>
      <w:r>
        <w:rPr>
          <w:rFonts w:hint="eastAsia" w:ascii="仿宋" w:eastAsia="仿宋" w:cs="仿宋"/>
          <w:snapToGrid w:val="0"/>
          <w:sz w:val="28"/>
          <w:szCs w:val="28"/>
          <w:lang w:eastAsia="zh-CN"/>
        </w:rPr>
        <w:t>《财政部关于印发&lt;项目支出绩效评价管理办法&gt;的通知》（财预〔2020〕10号）</w:t>
      </w:r>
      <w:r>
        <w:rPr>
          <w:rFonts w:hint="eastAsia" w:ascii="仿宋" w:eastAsia="仿宋" w:cs="仿宋"/>
          <w:snapToGrid w:val="0"/>
          <w:sz w:val="28"/>
          <w:szCs w:val="28"/>
        </w:rPr>
        <w:t>、</w:t>
      </w:r>
      <w:r>
        <w:rPr>
          <w:rFonts w:hint="eastAsia" w:ascii="仿宋" w:eastAsia="仿宋" w:cs="仿宋"/>
          <w:snapToGrid w:val="0"/>
          <w:sz w:val="28"/>
          <w:szCs w:val="28"/>
          <w:lang w:eastAsia="zh-CN"/>
        </w:rPr>
        <w:t>《古县财政局关于印发&lt;2023年度财政重点绩效评价实施方案&gt;的通知》（古财字〔2023〕59号）</w:t>
      </w:r>
      <w:r>
        <w:rPr>
          <w:rFonts w:hint="eastAsia" w:ascii="仿宋" w:eastAsia="仿宋" w:cs="仿宋"/>
          <w:snapToGrid w:val="0"/>
          <w:sz w:val="28"/>
          <w:szCs w:val="28"/>
        </w:rPr>
        <w:t>的有关规定，客观、全面、公正地评价工程资金的使用效益，全面反映预算资金产出和结果的经济性、效率性、效益性和公平性。</w:t>
      </w:r>
    </w:p>
    <w:p w14:paraId="0D6A32A0">
      <w:pPr>
        <w:spacing w:line="574" w:lineRule="exact"/>
        <w:ind w:firstLine="560" w:firstLineChars="200"/>
        <w:rPr>
          <w:rFonts w:hint="eastAsia" w:ascii="仿宋" w:eastAsia="仿宋" w:cs="仿宋"/>
          <w:snapToGrid w:val="0"/>
          <w:sz w:val="28"/>
          <w:szCs w:val="28"/>
        </w:rPr>
      </w:pPr>
      <w:bookmarkStart w:id="38" w:name="_Toc514537338"/>
      <w:r>
        <w:rPr>
          <w:rFonts w:hint="eastAsia" w:ascii="仿宋" w:eastAsia="仿宋" w:cs="仿宋"/>
          <w:snapToGrid w:val="0"/>
          <w:sz w:val="28"/>
          <w:szCs w:val="28"/>
        </w:rPr>
        <w:t>1.具体了解项目所涉及各项内容的进展、资金使用、制度建设及其取得的成效。总结经验，发现问题，并提出改进的意见和建议。</w:t>
      </w:r>
    </w:p>
    <w:p w14:paraId="3BAC1064">
      <w:pPr>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2.进一步完善相关管理制度、加强财政支出管理、强化监督，保证项目实施、资金使用管理的规范性、安全性和有效性。</w:t>
      </w:r>
    </w:p>
    <w:p w14:paraId="43372063">
      <w:pPr>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3.积极探索基建项目的预算编制、项目申报、资金的分配机制，为以后年度其他相关工作的开展奠定基础。</w:t>
      </w:r>
    </w:p>
    <w:p w14:paraId="6C61CB19">
      <w:pPr>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4.提出改进建议，为政府作出相关决策及以后年度预算资金安排提供重要参考，促进财政资金分配科学、公正、公平，强化资金使用单位的责任意识和绩效意识。</w:t>
      </w:r>
    </w:p>
    <w:p w14:paraId="6D36796D">
      <w:pPr>
        <w:spacing w:line="574" w:lineRule="exact"/>
        <w:ind w:firstLine="560" w:firstLineChars="200"/>
        <w:rPr>
          <w:rFonts w:ascii="仿宋_GB2312" w:eastAsia="仿宋_GB2312"/>
          <w:snapToGrid w:val="0"/>
          <w:sz w:val="32"/>
          <w:szCs w:val="32"/>
        </w:rPr>
      </w:pPr>
      <w:r>
        <w:rPr>
          <w:rFonts w:hint="eastAsia" w:ascii="仿宋" w:eastAsia="仿宋" w:cs="仿宋"/>
          <w:snapToGrid w:val="0"/>
          <w:sz w:val="28"/>
          <w:szCs w:val="28"/>
        </w:rPr>
        <w:t>5.通过对项目实施情况的调查分析，客观反映政策目标实现程度及项目满意度。</w:t>
      </w:r>
    </w:p>
    <w:p w14:paraId="2460308D">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39" w:name="_Toc9145"/>
      <w:r>
        <w:rPr>
          <w:rFonts w:hint="eastAsia" w:ascii="仿宋" w:eastAsia="仿宋" w:cs="Times New Roman"/>
          <w:b/>
          <w:bCs/>
          <w:sz w:val="32"/>
          <w:szCs w:val="32"/>
        </w:rPr>
        <w:t>（二）绩效评价的依据</w:t>
      </w:r>
      <w:bookmarkEnd w:id="38"/>
      <w:bookmarkEnd w:id="39"/>
    </w:p>
    <w:p w14:paraId="5661C811">
      <w:pPr>
        <w:pStyle w:val="18"/>
        <w:spacing w:line="500" w:lineRule="exact"/>
        <w:ind w:firstLine="560" w:firstLineChars="200"/>
        <w:outlineLvl w:val="9"/>
        <w:rPr>
          <w:rFonts w:hint="eastAsia" w:eastAsia="仿宋"/>
          <w:sz w:val="28"/>
          <w:szCs w:val="28"/>
          <w:shd w:val="clear" w:color="auto" w:fill="FFFFFF"/>
        </w:rPr>
      </w:pPr>
      <w:bookmarkStart w:id="40" w:name="_Toc2694"/>
      <w:bookmarkStart w:id="41" w:name="_Toc27448"/>
      <w:bookmarkStart w:id="42" w:name="_Toc528680460"/>
      <w:bookmarkStart w:id="43" w:name="_Toc22158"/>
      <w:bookmarkStart w:id="44" w:name="_Toc18935"/>
      <w:bookmarkStart w:id="45" w:name="_Toc18611"/>
      <w:bookmarkStart w:id="46" w:name="_Toc21230"/>
      <w:bookmarkStart w:id="47" w:name="_Toc528684135"/>
      <w:bookmarkStart w:id="48" w:name="_Toc528603069"/>
      <w:bookmarkStart w:id="49" w:name="_Toc25868"/>
      <w:bookmarkStart w:id="50" w:name="_Toc28792"/>
      <w:r>
        <w:rPr>
          <w:rFonts w:hint="eastAsia" w:eastAsia="仿宋"/>
          <w:sz w:val="28"/>
          <w:szCs w:val="28"/>
          <w:shd w:val="clear" w:color="auto" w:fill="FFFFFF"/>
        </w:rPr>
        <w:t>1、《中华人民共和国预算法》（2018年12月29日第十三届全国人民代表大会常务委员会第七次会议通过第十三届全国人民代表大会常务委员会第七次会议决定:对《中华人民共和国预算法》作出修改）；</w:t>
      </w:r>
      <w:bookmarkEnd w:id="40"/>
      <w:bookmarkEnd w:id="41"/>
    </w:p>
    <w:p w14:paraId="1A729FFF">
      <w:pPr>
        <w:pStyle w:val="18"/>
        <w:spacing w:line="500" w:lineRule="exact"/>
        <w:ind w:firstLine="560" w:firstLineChars="200"/>
        <w:outlineLvl w:val="9"/>
        <w:rPr>
          <w:rFonts w:hint="eastAsia" w:eastAsia="仿宋"/>
          <w:sz w:val="28"/>
          <w:szCs w:val="28"/>
          <w:shd w:val="clear" w:color="auto" w:fill="FFFFFF"/>
        </w:rPr>
      </w:pPr>
      <w:bookmarkStart w:id="51" w:name="_Toc22069"/>
      <w:bookmarkStart w:id="52" w:name="_Toc30071"/>
      <w:r>
        <w:rPr>
          <w:rFonts w:hint="eastAsia" w:eastAsia="仿宋"/>
          <w:sz w:val="28"/>
          <w:szCs w:val="28"/>
          <w:shd w:val="clear" w:color="auto" w:fill="FFFFFF"/>
        </w:rPr>
        <w:t>2、《中华人民共和国预算法实施条例》（中华人民共和国国务院令第729号，自2020年10月1日起施行）；</w:t>
      </w:r>
      <w:bookmarkEnd w:id="51"/>
      <w:bookmarkEnd w:id="52"/>
    </w:p>
    <w:p w14:paraId="49F61879">
      <w:pPr>
        <w:pStyle w:val="18"/>
        <w:spacing w:line="500" w:lineRule="exact"/>
        <w:ind w:firstLine="560" w:firstLineChars="200"/>
        <w:outlineLvl w:val="9"/>
        <w:rPr>
          <w:rFonts w:hint="eastAsia" w:eastAsia="仿宋"/>
          <w:sz w:val="28"/>
          <w:szCs w:val="28"/>
          <w:shd w:val="clear" w:color="auto" w:fill="FFFFFF"/>
        </w:rPr>
      </w:pPr>
      <w:bookmarkStart w:id="53" w:name="_Toc22378"/>
      <w:bookmarkStart w:id="54" w:name="_Toc15828"/>
      <w:r>
        <w:rPr>
          <w:rFonts w:hint="eastAsia" w:eastAsia="仿宋"/>
          <w:sz w:val="28"/>
          <w:szCs w:val="28"/>
          <w:shd w:val="clear" w:color="auto" w:fill="FFFFFF"/>
        </w:rPr>
        <w:t>3、财政部《关于贯彻落实&lt;中共中央 国务院关于全面实施预算绩效管理的意见&gt;的通知》（财预〔2018〕167号）；</w:t>
      </w:r>
      <w:bookmarkEnd w:id="53"/>
      <w:bookmarkEnd w:id="54"/>
    </w:p>
    <w:p w14:paraId="16B6BBC0">
      <w:pPr>
        <w:pStyle w:val="18"/>
        <w:spacing w:line="500" w:lineRule="exact"/>
        <w:ind w:firstLine="560" w:firstLineChars="200"/>
        <w:outlineLvl w:val="9"/>
        <w:rPr>
          <w:rFonts w:hint="eastAsia" w:eastAsia="仿宋"/>
          <w:sz w:val="28"/>
          <w:szCs w:val="28"/>
          <w:shd w:val="clear" w:color="auto" w:fill="FFFFFF"/>
        </w:rPr>
      </w:pPr>
      <w:bookmarkStart w:id="55" w:name="_Toc1566"/>
      <w:bookmarkStart w:id="56" w:name="_Toc8495"/>
      <w:r>
        <w:rPr>
          <w:rFonts w:hint="eastAsia" w:eastAsia="仿宋"/>
          <w:sz w:val="28"/>
          <w:szCs w:val="28"/>
          <w:shd w:val="clear" w:color="auto" w:fill="FFFFFF"/>
        </w:rPr>
        <w:t>4、财政部关于印发《项目支出绩效评价管理办法》的通知（财预〔2020〕10号）；</w:t>
      </w:r>
      <w:bookmarkEnd w:id="55"/>
      <w:bookmarkEnd w:id="56"/>
    </w:p>
    <w:p w14:paraId="1B829FE5">
      <w:pPr>
        <w:pStyle w:val="18"/>
        <w:spacing w:line="500" w:lineRule="exact"/>
        <w:ind w:firstLine="560" w:firstLineChars="200"/>
        <w:outlineLvl w:val="9"/>
        <w:rPr>
          <w:rFonts w:hint="eastAsia" w:eastAsia="仿宋"/>
          <w:sz w:val="28"/>
          <w:szCs w:val="28"/>
          <w:shd w:val="clear" w:color="auto" w:fill="FFFFFF"/>
        </w:rPr>
      </w:pPr>
      <w:bookmarkStart w:id="57" w:name="_Toc24566"/>
      <w:bookmarkStart w:id="58" w:name="_Toc21053"/>
      <w:r>
        <w:rPr>
          <w:rFonts w:hint="eastAsia" w:eastAsia="仿宋"/>
          <w:sz w:val="28"/>
          <w:szCs w:val="28"/>
          <w:shd w:val="clear" w:color="auto" w:fill="FFFFFF"/>
        </w:rPr>
        <w:t>5、《中共中央国务院关于全面实施预算绩效管理的意见》(中发〔2018〕34号)；</w:t>
      </w:r>
      <w:bookmarkEnd w:id="57"/>
      <w:bookmarkEnd w:id="58"/>
    </w:p>
    <w:p w14:paraId="66ED6C0C">
      <w:pPr>
        <w:pStyle w:val="18"/>
        <w:spacing w:line="500" w:lineRule="exact"/>
        <w:ind w:firstLine="560" w:firstLineChars="200"/>
        <w:outlineLvl w:val="9"/>
        <w:rPr>
          <w:rFonts w:hint="eastAsia" w:eastAsia="仿宋"/>
          <w:sz w:val="28"/>
          <w:szCs w:val="28"/>
          <w:shd w:val="clear" w:color="auto" w:fill="FFFFFF"/>
        </w:rPr>
      </w:pPr>
      <w:bookmarkStart w:id="59" w:name="_Toc20111"/>
      <w:bookmarkStart w:id="60" w:name="_Toc22421"/>
      <w:r>
        <w:rPr>
          <w:rFonts w:hint="eastAsia" w:eastAsia="仿宋"/>
          <w:sz w:val="28"/>
          <w:szCs w:val="28"/>
          <w:shd w:val="clear" w:color="auto" w:fill="FFFFFF"/>
        </w:rPr>
        <w:t>6、《中共山西省委 山西省人民政府关于全面实施预算绩效管理的实施意见》（晋发〔2018〕39号）；</w:t>
      </w:r>
      <w:bookmarkEnd w:id="59"/>
      <w:bookmarkEnd w:id="60"/>
    </w:p>
    <w:p w14:paraId="76986D98">
      <w:pPr>
        <w:pStyle w:val="18"/>
        <w:spacing w:line="500" w:lineRule="exact"/>
        <w:ind w:firstLine="560" w:firstLineChars="200"/>
        <w:outlineLvl w:val="9"/>
        <w:rPr>
          <w:rFonts w:hint="eastAsia" w:eastAsia="仿宋"/>
          <w:sz w:val="28"/>
          <w:szCs w:val="28"/>
          <w:shd w:val="clear" w:color="auto" w:fill="FFFFFF"/>
        </w:rPr>
      </w:pPr>
      <w:bookmarkStart w:id="61" w:name="_Toc16480"/>
      <w:bookmarkStart w:id="62" w:name="_Toc17513"/>
      <w:r>
        <w:rPr>
          <w:rFonts w:hint="eastAsia" w:eastAsia="仿宋"/>
          <w:sz w:val="28"/>
          <w:szCs w:val="28"/>
          <w:shd w:val="clear" w:color="auto" w:fill="FFFFFF"/>
        </w:rPr>
        <w:t>7、山西省财政厅关于贯彻落实《中共山西省委 山西省人民政府关于全面实施预算绩效管理的实施意见》的通知（晋财绩〔2019〕12号）；</w:t>
      </w:r>
      <w:bookmarkEnd w:id="61"/>
      <w:bookmarkEnd w:id="62"/>
    </w:p>
    <w:p w14:paraId="6C1EF460">
      <w:pPr>
        <w:pStyle w:val="18"/>
        <w:spacing w:line="500" w:lineRule="exact"/>
        <w:ind w:firstLine="560" w:firstLineChars="200"/>
        <w:outlineLvl w:val="9"/>
        <w:rPr>
          <w:rFonts w:hint="eastAsia" w:eastAsia="仿宋"/>
          <w:sz w:val="28"/>
          <w:szCs w:val="28"/>
          <w:shd w:val="clear" w:color="auto" w:fill="FFFFFF"/>
        </w:rPr>
      </w:pPr>
      <w:bookmarkStart w:id="63" w:name="_Toc14777"/>
      <w:bookmarkStart w:id="64" w:name="_Toc5784"/>
      <w:r>
        <w:rPr>
          <w:rFonts w:hint="eastAsia" w:eastAsia="仿宋"/>
          <w:sz w:val="28"/>
          <w:szCs w:val="28"/>
          <w:shd w:val="clear" w:color="auto" w:fill="FFFFFF"/>
        </w:rPr>
        <w:t>8、</w:t>
      </w:r>
      <w:r>
        <w:rPr>
          <w:rFonts w:hint="eastAsia" w:eastAsia="仿宋"/>
          <w:sz w:val="28"/>
          <w:szCs w:val="28"/>
          <w:shd w:val="clear" w:color="auto" w:fill="FFFFFF"/>
          <w:lang w:eastAsia="zh-CN"/>
        </w:rPr>
        <w:t>《古县财政局关于印发&lt;2023年度财政重点绩效评价实施方案&gt;的通知》（古财字〔2023〕59号）</w:t>
      </w:r>
      <w:r>
        <w:rPr>
          <w:rFonts w:hint="eastAsia" w:eastAsia="仿宋"/>
          <w:sz w:val="28"/>
          <w:szCs w:val="28"/>
          <w:shd w:val="clear" w:color="auto" w:fill="FFFFFF"/>
        </w:rPr>
        <w:t>；</w:t>
      </w:r>
      <w:bookmarkEnd w:id="63"/>
      <w:bookmarkEnd w:id="64"/>
    </w:p>
    <w:p w14:paraId="4AE4A881">
      <w:pPr>
        <w:pStyle w:val="18"/>
        <w:spacing w:line="500" w:lineRule="exact"/>
        <w:ind w:firstLine="560" w:firstLineChars="200"/>
        <w:outlineLvl w:val="9"/>
        <w:rPr>
          <w:rFonts w:hint="eastAsia" w:eastAsia="仿宋"/>
          <w:sz w:val="28"/>
          <w:szCs w:val="28"/>
          <w:shd w:val="clear" w:color="auto" w:fill="FFFFFF"/>
        </w:rPr>
      </w:pPr>
      <w:bookmarkStart w:id="65" w:name="_Toc23237"/>
      <w:bookmarkStart w:id="66" w:name="_Toc6126"/>
      <w:r>
        <w:rPr>
          <w:rFonts w:hint="eastAsia" w:eastAsia="仿宋"/>
          <w:sz w:val="28"/>
          <w:szCs w:val="28"/>
          <w:shd w:val="clear" w:color="auto" w:fill="FFFFFF"/>
        </w:rPr>
        <w:t>9、评价项目采购人或相关方提供的绩效评价指标体系；</w:t>
      </w:r>
      <w:bookmarkEnd w:id="65"/>
      <w:bookmarkEnd w:id="66"/>
    </w:p>
    <w:p w14:paraId="056FE5A2">
      <w:pPr>
        <w:pStyle w:val="18"/>
        <w:spacing w:line="500" w:lineRule="exact"/>
        <w:ind w:firstLine="560" w:firstLineChars="200"/>
        <w:outlineLvl w:val="9"/>
        <w:rPr>
          <w:rFonts w:hint="eastAsia" w:eastAsia="仿宋"/>
          <w:sz w:val="28"/>
          <w:szCs w:val="28"/>
          <w:shd w:val="clear" w:color="auto" w:fill="FFFFFF"/>
        </w:rPr>
      </w:pPr>
      <w:bookmarkStart w:id="67" w:name="_Toc7233"/>
      <w:bookmarkStart w:id="68" w:name="_Toc11841"/>
      <w:r>
        <w:rPr>
          <w:rFonts w:hint="eastAsia" w:eastAsia="仿宋"/>
          <w:sz w:val="28"/>
          <w:szCs w:val="28"/>
          <w:shd w:val="clear" w:color="auto" w:fill="FFFFFF"/>
        </w:rPr>
        <w:t>10、其他有关的法律、法规规章、政策文件；</w:t>
      </w:r>
      <w:bookmarkEnd w:id="67"/>
      <w:bookmarkEnd w:id="68"/>
    </w:p>
    <w:p w14:paraId="3BD8E3E9">
      <w:pPr>
        <w:pStyle w:val="18"/>
        <w:spacing w:line="574" w:lineRule="exact"/>
        <w:ind w:firstLine="560" w:firstLineChars="200"/>
        <w:outlineLvl w:val="9"/>
        <w:rPr>
          <w:rFonts w:ascii="仿宋_GB2312" w:eastAsia="仿宋_GB2312" w:cs="仿宋_GB2312"/>
          <w:shd w:val="clear" w:color="auto" w:fill="FFFFFF"/>
        </w:rPr>
      </w:pPr>
      <w:bookmarkStart w:id="69" w:name="_Toc26985"/>
      <w:r>
        <w:rPr>
          <w:rFonts w:hint="eastAsia" w:eastAsia="仿宋"/>
          <w:sz w:val="28"/>
          <w:szCs w:val="28"/>
          <w:shd w:val="clear" w:color="auto" w:fill="FFFFFF"/>
        </w:rPr>
        <w:t>11、与绩效评价相关的其他资料</w:t>
      </w:r>
      <w:r>
        <w:rPr>
          <w:rFonts w:hint="eastAsia" w:ascii="仿宋_GB2312" w:eastAsia="仿宋_GB2312" w:cs="仿宋_GB2312"/>
          <w:shd w:val="clear" w:color="auto" w:fill="FFFFFF"/>
        </w:rPr>
        <w:t>。</w:t>
      </w:r>
      <w:bookmarkEnd w:id="42"/>
      <w:bookmarkEnd w:id="43"/>
      <w:bookmarkEnd w:id="44"/>
      <w:bookmarkEnd w:id="45"/>
      <w:bookmarkEnd w:id="46"/>
      <w:bookmarkEnd w:id="47"/>
      <w:bookmarkEnd w:id="48"/>
      <w:bookmarkEnd w:id="49"/>
      <w:bookmarkEnd w:id="50"/>
      <w:bookmarkEnd w:id="69"/>
    </w:p>
    <w:p w14:paraId="60034A14">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70" w:name="_Toc522961240"/>
      <w:bookmarkStart w:id="71" w:name="_Toc19132"/>
      <w:r>
        <w:rPr>
          <w:rFonts w:hint="eastAsia" w:ascii="仿宋" w:eastAsia="仿宋" w:cs="Times New Roman"/>
          <w:b/>
          <w:bCs/>
          <w:sz w:val="32"/>
          <w:szCs w:val="32"/>
        </w:rPr>
        <w:t>（三）评价对象和范围</w:t>
      </w:r>
      <w:bookmarkEnd w:id="70"/>
      <w:bookmarkEnd w:id="71"/>
    </w:p>
    <w:p w14:paraId="1DB69E3D">
      <w:pPr>
        <w:pStyle w:val="18"/>
        <w:spacing w:line="574" w:lineRule="exact"/>
        <w:ind w:firstLine="562" w:firstLineChars="200"/>
        <w:outlineLvl w:val="9"/>
        <w:rPr>
          <w:rFonts w:hint="eastAsia" w:ascii="仿宋" w:eastAsia="仿宋" w:cs="仿宋"/>
          <w:b/>
          <w:sz w:val="28"/>
          <w:szCs w:val="28"/>
        </w:rPr>
      </w:pPr>
      <w:bookmarkStart w:id="72" w:name="_Toc1745"/>
      <w:bookmarkStart w:id="73" w:name="_Toc3876"/>
      <w:bookmarkStart w:id="74" w:name="_Toc27603"/>
      <w:bookmarkStart w:id="75" w:name="_Toc26584"/>
      <w:bookmarkStart w:id="76" w:name="_Toc469065636"/>
      <w:bookmarkStart w:id="77" w:name="_Toc469065546"/>
      <w:bookmarkStart w:id="78" w:name="_Toc450549936"/>
      <w:bookmarkStart w:id="79" w:name="_Toc469065888"/>
      <w:r>
        <w:rPr>
          <w:rFonts w:hint="eastAsia" w:ascii="仿宋" w:eastAsia="仿宋" w:cs="仿宋"/>
          <w:b/>
          <w:sz w:val="28"/>
          <w:szCs w:val="28"/>
        </w:rPr>
        <w:t>1</w:t>
      </w:r>
      <w:r>
        <w:rPr>
          <w:rFonts w:hint="eastAsia" w:ascii="仿宋" w:eastAsia="仿宋" w:cs="仿宋"/>
          <w:b/>
          <w:sz w:val="28"/>
          <w:szCs w:val="28"/>
          <w:lang w:eastAsia="zh-CN"/>
        </w:rPr>
        <w:t>、</w:t>
      </w:r>
      <w:r>
        <w:rPr>
          <w:rFonts w:hint="eastAsia" w:ascii="仿宋" w:eastAsia="仿宋" w:cs="仿宋"/>
          <w:b/>
          <w:sz w:val="28"/>
          <w:szCs w:val="28"/>
        </w:rPr>
        <w:t>评价对象</w:t>
      </w:r>
      <w:bookmarkEnd w:id="72"/>
      <w:bookmarkEnd w:id="73"/>
      <w:bookmarkEnd w:id="74"/>
      <w:bookmarkEnd w:id="75"/>
    </w:p>
    <w:p w14:paraId="4F572332">
      <w:pPr>
        <w:pStyle w:val="18"/>
        <w:spacing w:line="574" w:lineRule="exact"/>
        <w:ind w:firstLine="560" w:firstLineChars="200"/>
        <w:outlineLvl w:val="9"/>
        <w:rPr>
          <w:rFonts w:hint="eastAsia" w:ascii="仿宋_GB2312" w:hAnsi="仿宋_GB2312" w:eastAsia="仿宋"/>
          <w:highlight w:val="yellow"/>
          <w:lang w:eastAsia="zh-CN"/>
        </w:rPr>
      </w:pPr>
      <w:bookmarkStart w:id="80" w:name="_Toc10520"/>
      <w:bookmarkStart w:id="81" w:name="_Toc7701"/>
      <w:r>
        <w:rPr>
          <w:rFonts w:hint="eastAsia" w:ascii="Times New Roman" w:hAnsi="Times New Roman" w:eastAsia="仿宋" w:cs="Times New Roman"/>
          <w:sz w:val="28"/>
          <w:szCs w:val="28"/>
        </w:rPr>
        <w:t>本次绩效评价对象为“</w:t>
      </w:r>
      <w:r>
        <w:rPr>
          <w:rFonts w:hint="eastAsia" w:eastAsia="仿宋" w:cs="Times New Roman"/>
          <w:sz w:val="28"/>
          <w:szCs w:val="28"/>
          <w:lang w:eastAsia="zh-CN"/>
        </w:rPr>
        <w:t>古县南垣乡东池及驼腰村以工代赈田间道路建设工程项目资金196.00</w:t>
      </w:r>
      <w:r>
        <w:rPr>
          <w:rFonts w:hint="eastAsia" w:ascii="Times New Roman" w:hAnsi="Times New Roman" w:eastAsia="仿宋" w:cs="Times New Roman"/>
          <w:sz w:val="28"/>
          <w:szCs w:val="28"/>
          <w:lang w:eastAsia="zh-CN"/>
        </w:rPr>
        <w:t>万元</w:t>
      </w:r>
      <w:r>
        <w:rPr>
          <w:rFonts w:hint="eastAsia" w:ascii="Times New Roman" w:hAnsi="Times New Roman" w:eastAsia="仿宋" w:cs="Times New Roman"/>
          <w:sz w:val="28"/>
          <w:szCs w:val="28"/>
        </w:rPr>
        <w:t>”</w:t>
      </w:r>
      <w:r>
        <w:rPr>
          <w:rFonts w:hint="eastAsia" w:eastAsia="仿宋" w:cs="Times New Roman"/>
          <w:sz w:val="28"/>
          <w:szCs w:val="28"/>
          <w:lang w:eastAsia="zh-CN"/>
        </w:rPr>
        <w:t>。</w:t>
      </w:r>
      <w:bookmarkEnd w:id="80"/>
      <w:bookmarkEnd w:id="81"/>
    </w:p>
    <w:p w14:paraId="739B09F6">
      <w:pPr>
        <w:pStyle w:val="18"/>
        <w:spacing w:line="574" w:lineRule="exact"/>
        <w:ind w:firstLine="562" w:firstLineChars="200"/>
        <w:outlineLvl w:val="9"/>
        <w:rPr>
          <w:rFonts w:hint="eastAsia" w:ascii="仿宋" w:eastAsia="仿宋" w:cs="仿宋"/>
          <w:b/>
          <w:sz w:val="28"/>
          <w:szCs w:val="28"/>
        </w:rPr>
      </w:pPr>
      <w:bookmarkStart w:id="82" w:name="_Toc6816"/>
      <w:bookmarkStart w:id="83" w:name="_Toc26394"/>
      <w:bookmarkStart w:id="84" w:name="_Toc6652"/>
      <w:r>
        <w:rPr>
          <w:rFonts w:hint="eastAsia" w:ascii="仿宋" w:eastAsia="仿宋" w:cs="仿宋"/>
          <w:b/>
          <w:sz w:val="28"/>
          <w:szCs w:val="28"/>
        </w:rPr>
        <w:t>2</w:t>
      </w:r>
      <w:r>
        <w:rPr>
          <w:rFonts w:hint="eastAsia" w:ascii="仿宋" w:eastAsia="仿宋" w:cs="仿宋"/>
          <w:b/>
          <w:sz w:val="28"/>
          <w:szCs w:val="28"/>
          <w:lang w:eastAsia="zh-CN"/>
        </w:rPr>
        <w:t>、</w:t>
      </w:r>
      <w:r>
        <w:rPr>
          <w:rFonts w:hint="eastAsia" w:ascii="仿宋" w:eastAsia="仿宋" w:cs="仿宋"/>
          <w:b/>
          <w:sz w:val="28"/>
          <w:szCs w:val="28"/>
        </w:rPr>
        <w:t>评价范围</w:t>
      </w:r>
      <w:bookmarkEnd w:id="82"/>
      <w:bookmarkEnd w:id="83"/>
      <w:bookmarkEnd w:id="84"/>
    </w:p>
    <w:p w14:paraId="399DCF9B">
      <w:pPr>
        <w:pStyle w:val="17"/>
        <w:shd w:val="clear" w:color="auto" w:fill="auto"/>
        <w:spacing w:line="574" w:lineRule="exact"/>
        <w:ind w:firstLine="560" w:firstLineChars="200"/>
        <w:jc w:val="both"/>
        <w:rPr>
          <w:rFonts w:hint="eastAsia" w:ascii="Times New Roman" w:hAnsi="Times New Roman" w:eastAsia="仿宋" w:cs="Times New Roman"/>
          <w:bCs/>
          <w:kern w:val="0"/>
          <w:sz w:val="28"/>
          <w:szCs w:val="28"/>
          <w:lang w:val="en-US" w:eastAsia="zh-CN" w:bidi="ar-SA"/>
        </w:rPr>
      </w:pPr>
      <w:r>
        <w:rPr>
          <w:rFonts w:hint="eastAsia" w:ascii="Times New Roman" w:hAnsi="Times New Roman" w:eastAsia="仿宋" w:cs="Times New Roman"/>
          <w:bCs/>
          <w:kern w:val="0"/>
          <w:sz w:val="28"/>
          <w:szCs w:val="28"/>
          <w:lang w:val="en-US" w:eastAsia="zh-CN" w:bidi="ar-SA"/>
        </w:rPr>
        <w:t>绩效评价范围为古县南垣乡东池及驼腰村以工代赈田间道路建设工程项目，以及项目资金产生的绩效（具体绩效评价范围包括决策、过程、产出、效益）。</w:t>
      </w:r>
    </w:p>
    <w:p w14:paraId="556618F4">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85" w:name="_Toc479102135"/>
      <w:bookmarkStart w:id="86" w:name="_Toc26911"/>
      <w:bookmarkStart w:id="87" w:name="_Toc522961241"/>
      <w:r>
        <w:rPr>
          <w:rFonts w:hint="eastAsia" w:ascii="仿宋" w:eastAsia="仿宋" w:cs="Times New Roman"/>
          <w:b/>
          <w:bCs/>
          <w:sz w:val="32"/>
          <w:szCs w:val="32"/>
        </w:rPr>
        <w:t>（四）</w:t>
      </w:r>
      <w:bookmarkEnd w:id="76"/>
      <w:bookmarkEnd w:id="77"/>
      <w:bookmarkEnd w:id="78"/>
      <w:bookmarkEnd w:id="79"/>
      <w:bookmarkEnd w:id="85"/>
      <w:r>
        <w:rPr>
          <w:rFonts w:hint="eastAsia" w:ascii="仿宋" w:eastAsia="仿宋" w:cs="Times New Roman"/>
          <w:b/>
          <w:bCs/>
          <w:sz w:val="32"/>
          <w:szCs w:val="32"/>
        </w:rPr>
        <w:t>绩效评价基准日</w:t>
      </w:r>
      <w:bookmarkEnd w:id="86"/>
      <w:bookmarkEnd w:id="87"/>
    </w:p>
    <w:p w14:paraId="345E7303">
      <w:pPr>
        <w:pStyle w:val="18"/>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88" w:name="_Toc469065547"/>
      <w:bookmarkStart w:id="89" w:name="_Toc469065973"/>
      <w:bookmarkStart w:id="90" w:name="_Toc469065889"/>
      <w:bookmarkStart w:id="91" w:name="_Toc479102136"/>
      <w:bookmarkStart w:id="92" w:name="_Toc469065637"/>
      <w:bookmarkStart w:id="93" w:name="_Toc27317"/>
      <w:bookmarkStart w:id="94" w:name="_Toc20425"/>
      <w:bookmarkStart w:id="95" w:name="_Toc3439"/>
      <w:bookmarkStart w:id="96" w:name="_Toc6328"/>
      <w:r>
        <w:rPr>
          <w:rFonts w:hint="eastAsia" w:ascii="Times New Roman" w:hAnsi="Times New Roman" w:eastAsia="仿宋" w:cs="Times New Roman"/>
          <w:bCs/>
          <w:kern w:val="0"/>
          <w:sz w:val="28"/>
          <w:szCs w:val="28"/>
          <w:lang w:val="en-US" w:eastAsia="zh-CN" w:bidi="ar-SA"/>
        </w:rPr>
        <w:t>本次绩效评价基准日为</w:t>
      </w:r>
      <w:bookmarkEnd w:id="88"/>
      <w:bookmarkEnd w:id="89"/>
      <w:bookmarkEnd w:id="90"/>
      <w:bookmarkEnd w:id="91"/>
      <w:bookmarkEnd w:id="92"/>
      <w:bookmarkEnd w:id="93"/>
      <w:r>
        <w:rPr>
          <w:rFonts w:hint="eastAsia" w:eastAsia="仿宋" w:cs="Times New Roman"/>
          <w:sz w:val="28"/>
          <w:szCs w:val="24"/>
          <w:lang w:val="en-US" w:eastAsia="zh-CN"/>
        </w:rPr>
        <w:t>2022年12月31日</w:t>
      </w:r>
      <w:r>
        <w:rPr>
          <w:rFonts w:hint="eastAsia" w:ascii="Times New Roman" w:hAnsi="Times New Roman" w:eastAsia="仿宋" w:cs="Times New Roman"/>
          <w:bCs/>
          <w:kern w:val="0"/>
          <w:sz w:val="28"/>
          <w:szCs w:val="28"/>
          <w:lang w:val="en-US" w:eastAsia="zh-CN" w:bidi="ar-SA"/>
        </w:rPr>
        <w:t>。</w:t>
      </w:r>
      <w:bookmarkEnd w:id="94"/>
      <w:bookmarkEnd w:id="95"/>
      <w:bookmarkEnd w:id="96"/>
    </w:p>
    <w:p w14:paraId="7028913F">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97" w:name="_Toc514537339"/>
      <w:bookmarkStart w:id="98" w:name="_Toc519354505"/>
      <w:bookmarkStart w:id="99" w:name="_Toc13060"/>
      <w:r>
        <w:rPr>
          <w:rFonts w:hint="eastAsia" w:ascii="仿宋" w:eastAsia="仿宋" w:cs="Times New Roman"/>
          <w:b/>
          <w:bCs/>
          <w:sz w:val="32"/>
          <w:szCs w:val="32"/>
        </w:rPr>
        <w:t>（五）</w:t>
      </w:r>
      <w:bookmarkEnd w:id="97"/>
      <w:r>
        <w:rPr>
          <w:rFonts w:hint="eastAsia" w:ascii="仿宋" w:eastAsia="仿宋" w:cs="Times New Roman"/>
          <w:b/>
          <w:bCs/>
          <w:sz w:val="32"/>
          <w:szCs w:val="32"/>
        </w:rPr>
        <w:t>绩效评价的原则</w:t>
      </w:r>
      <w:bookmarkEnd w:id="98"/>
      <w:bookmarkEnd w:id="99"/>
    </w:p>
    <w:p w14:paraId="7A9424EC">
      <w:pPr>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本次绩效评价遵循以下基本原则：</w:t>
      </w:r>
    </w:p>
    <w:p w14:paraId="719AAD65">
      <w:pPr>
        <w:spacing w:line="500" w:lineRule="exact"/>
        <w:ind w:firstLine="420" w:firstLineChars="150"/>
        <w:rPr>
          <w:rFonts w:ascii="Times New Roman" w:hAnsi="Times New Roman" w:eastAsia="仿宋" w:cs="Times New Roman"/>
          <w:sz w:val="28"/>
          <w:szCs w:val="28"/>
        </w:rPr>
      </w:pPr>
      <w:r>
        <w:rPr>
          <w:rFonts w:ascii="Times New Roman" w:hAnsi="Times New Roman" w:eastAsia="仿宋" w:cs="Times New Roman"/>
          <w:sz w:val="28"/>
          <w:szCs w:val="28"/>
        </w:rPr>
        <w:t>（1）科学规范原则。在本次绩效评价开展过程中，严格执行规定的程序、按照科学可行的要求执行。采用定量与定性分析相结合的多种评价方式，科学合理地运用一种或多种评价方法，对财政支出的经济性、效率性和效益性进行客观评价，确保绩效评价结果的权威性、公正性。</w:t>
      </w:r>
    </w:p>
    <w:p w14:paraId="583635DE">
      <w:pPr>
        <w:spacing w:line="500" w:lineRule="exact"/>
        <w:ind w:firstLine="420" w:firstLineChars="150"/>
        <w:rPr>
          <w:rFonts w:ascii="Times New Roman" w:hAnsi="Times New Roman" w:eastAsia="仿宋" w:cs="Times New Roman"/>
          <w:sz w:val="28"/>
          <w:szCs w:val="28"/>
        </w:rPr>
      </w:pPr>
      <w:r>
        <w:rPr>
          <w:rFonts w:ascii="Times New Roman" w:hAnsi="Times New Roman" w:eastAsia="仿宋" w:cs="Times New Roman"/>
          <w:sz w:val="28"/>
          <w:szCs w:val="28"/>
        </w:rPr>
        <w:t>（2）公正公开原则。按照绩效评价真实、客观、公正的要求，做到指标合理、标准客观、数据准确、资料可靠、程序规范、评价公正。</w:t>
      </w:r>
    </w:p>
    <w:p w14:paraId="33AE44F2">
      <w:pPr>
        <w:spacing w:line="500" w:lineRule="exact"/>
        <w:ind w:firstLine="560" w:firstLineChars="200"/>
        <w:rPr>
          <w:rFonts w:ascii="Times New Roman" w:hAnsi="Times New Roman" w:eastAsia="仿宋" w:cs="Times New Roman"/>
          <w:bCs/>
          <w:sz w:val="28"/>
          <w:szCs w:val="28"/>
        </w:rPr>
      </w:pPr>
      <w:r>
        <w:rPr>
          <w:rFonts w:ascii="Times New Roman" w:hAnsi="Times New Roman" w:eastAsia="仿宋" w:cs="Times New Roman"/>
          <w:sz w:val="28"/>
          <w:szCs w:val="28"/>
        </w:rPr>
        <w:t>（3）绩效相关原则。绩效评价应当针对具体支出及其产出绩效进行，评</w:t>
      </w:r>
      <w:r>
        <w:rPr>
          <w:rFonts w:ascii="Times New Roman" w:hAnsi="Times New Roman" w:eastAsia="仿宋" w:cs="Times New Roman"/>
          <w:bCs/>
          <w:sz w:val="28"/>
          <w:szCs w:val="28"/>
        </w:rPr>
        <w:t>价指标与支出目标具有直接的联系，评价结果能够清晰反映支出和产出绩效之间的紧密对应关系。</w:t>
      </w:r>
    </w:p>
    <w:p w14:paraId="1F153D55">
      <w:pPr>
        <w:spacing w:line="500" w:lineRule="exact"/>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bCs/>
          <w:sz w:val="28"/>
          <w:szCs w:val="28"/>
          <w:lang w:eastAsia="zh-CN"/>
        </w:rPr>
        <w:t>（</w:t>
      </w:r>
      <w:r>
        <w:rPr>
          <w:rFonts w:hint="eastAsia" w:ascii="Times New Roman" w:hAnsi="Times New Roman" w:eastAsia="仿宋" w:cs="Times New Roman"/>
          <w:bCs/>
          <w:sz w:val="28"/>
          <w:szCs w:val="28"/>
          <w:lang w:val="en-US" w:eastAsia="zh-CN"/>
        </w:rPr>
        <w:t>4</w:t>
      </w:r>
      <w:r>
        <w:rPr>
          <w:rFonts w:hint="eastAsia" w:ascii="Times New Roman" w:hAnsi="Times New Roman" w:eastAsia="仿宋" w:cs="Times New Roman"/>
          <w:bCs/>
          <w:sz w:val="28"/>
          <w:szCs w:val="28"/>
          <w:lang w:eastAsia="zh-CN"/>
        </w:rPr>
        <w:t>）分级分类原则。绩效评价由财政部门、预算部门根据评价对象的特点分类组织实施。本次评价指标分为一级、二级、三级指标对整个项目进行评价，确保评价指标基本涵盖整个项目，保障资金效益</w:t>
      </w:r>
      <w:r>
        <w:rPr>
          <w:rFonts w:hint="eastAsia" w:ascii="Times New Roman" w:hAnsi="Times New Roman" w:eastAsia="仿宋" w:cs="Times New Roman"/>
          <w:bCs/>
          <w:sz w:val="28"/>
          <w:szCs w:val="28"/>
        </w:rPr>
        <w:t>。</w:t>
      </w:r>
    </w:p>
    <w:p w14:paraId="68885668">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100" w:name="_Toc23193"/>
      <w:bookmarkStart w:id="101" w:name="_Toc519354506"/>
      <w:r>
        <w:rPr>
          <w:rFonts w:hint="eastAsia" w:ascii="仿宋" w:eastAsia="仿宋" w:cs="Times New Roman"/>
          <w:b/>
          <w:bCs/>
          <w:sz w:val="32"/>
          <w:szCs w:val="32"/>
        </w:rPr>
        <w:t>（六）绩效评价的方法</w:t>
      </w:r>
      <w:bookmarkEnd w:id="100"/>
      <w:bookmarkEnd w:id="101"/>
    </w:p>
    <w:p w14:paraId="12508135">
      <w:pPr>
        <w:spacing w:line="500" w:lineRule="exact"/>
        <w:ind w:firstLine="560" w:firstLineChars="200"/>
        <w:rPr>
          <w:rFonts w:ascii="Times New Roman" w:hAnsi="Times New Roman" w:eastAsia="仿宋" w:cs="Times New Roman"/>
          <w:bCs/>
          <w:sz w:val="28"/>
          <w:szCs w:val="28"/>
        </w:rPr>
      </w:pPr>
      <w:r>
        <w:rPr>
          <w:rFonts w:ascii="Times New Roman" w:hAnsi="Times New Roman" w:eastAsia="仿宋" w:cs="Times New Roman"/>
          <w:bCs/>
          <w:sz w:val="28"/>
          <w:szCs w:val="28"/>
        </w:rPr>
        <w:t>本次绩效评价主要运用</w:t>
      </w:r>
      <w:r>
        <w:rPr>
          <w:rFonts w:hint="eastAsia" w:ascii="Times New Roman" w:hAnsi="Times New Roman" w:eastAsia="仿宋" w:cs="Times New Roman"/>
          <w:bCs/>
          <w:sz w:val="28"/>
          <w:szCs w:val="28"/>
          <w:lang w:val="en-US" w:eastAsia="zh-CN"/>
        </w:rPr>
        <w:t>比较法、</w:t>
      </w:r>
      <w:r>
        <w:rPr>
          <w:rFonts w:ascii="Times New Roman" w:hAnsi="Times New Roman" w:eastAsia="仿宋" w:cs="Times New Roman"/>
          <w:bCs/>
          <w:sz w:val="28"/>
          <w:szCs w:val="28"/>
        </w:rPr>
        <w:t>因素分析法、</w:t>
      </w:r>
      <w:r>
        <w:rPr>
          <w:rFonts w:hint="eastAsia" w:ascii="Times New Roman" w:hAnsi="Times New Roman" w:eastAsia="仿宋" w:cs="Times New Roman"/>
          <w:bCs/>
          <w:sz w:val="28"/>
          <w:szCs w:val="28"/>
        </w:rPr>
        <w:t>综合指数评价法</w:t>
      </w:r>
      <w:r>
        <w:rPr>
          <w:rFonts w:hint="eastAsia" w:ascii="Times New Roman" w:hAnsi="Times New Roman" w:eastAsia="仿宋" w:cs="Times New Roman"/>
          <w:bCs/>
          <w:sz w:val="28"/>
          <w:szCs w:val="28"/>
          <w:lang w:eastAsia="zh-CN"/>
        </w:rPr>
        <w:t>、</w:t>
      </w:r>
      <w:r>
        <w:rPr>
          <w:rFonts w:ascii="Times New Roman" w:hAnsi="Times New Roman" w:eastAsia="仿宋" w:cs="Times New Roman"/>
          <w:bCs/>
          <w:sz w:val="28"/>
          <w:szCs w:val="28"/>
        </w:rPr>
        <w:t>公众评判法等方法，本着科学价值导向、客观公正、综合分析、群众满意、绩效相关评价原则，按照从</w:t>
      </w:r>
      <w:r>
        <w:rPr>
          <w:rFonts w:hint="eastAsia" w:ascii="Times New Roman" w:hAnsi="Times New Roman" w:eastAsia="仿宋" w:cs="Times New Roman"/>
          <w:bCs/>
          <w:sz w:val="28"/>
          <w:szCs w:val="28"/>
          <w:lang w:val="en-US" w:eastAsia="zh-CN"/>
        </w:rPr>
        <w:t>决策</w:t>
      </w:r>
      <w:r>
        <w:rPr>
          <w:rFonts w:ascii="Times New Roman" w:hAnsi="Times New Roman" w:eastAsia="仿宋" w:cs="Times New Roman"/>
          <w:bCs/>
          <w:sz w:val="28"/>
          <w:szCs w:val="28"/>
        </w:rPr>
        <w:t>、过程、产出和效果的绩效逻辑路径，结合本项目的实际开展情况，通过指标设计和量化分析检验项目资金的效果和效益。从</w:t>
      </w:r>
      <w:r>
        <w:rPr>
          <w:rFonts w:hint="eastAsia" w:ascii="Times New Roman" w:hAnsi="Times New Roman" w:eastAsia="仿宋" w:cs="Times New Roman"/>
          <w:color w:val="000000"/>
          <w:sz w:val="28"/>
          <w:szCs w:val="28"/>
          <w:lang w:val="en-US" w:eastAsia="zh-CN"/>
        </w:rPr>
        <w:t>决策</w:t>
      </w:r>
      <w:r>
        <w:rPr>
          <w:rFonts w:ascii="Times New Roman" w:hAnsi="Times New Roman" w:eastAsia="仿宋" w:cs="Times New Roman"/>
          <w:color w:val="000000"/>
          <w:sz w:val="28"/>
          <w:szCs w:val="28"/>
        </w:rPr>
        <w:t>、过程、产出、效益等方面</w:t>
      </w:r>
      <w:r>
        <w:rPr>
          <w:rFonts w:ascii="Times New Roman" w:hAnsi="Times New Roman" w:eastAsia="仿宋" w:cs="Times New Roman"/>
          <w:bCs/>
          <w:sz w:val="28"/>
          <w:szCs w:val="28"/>
        </w:rPr>
        <w:t>，综合考察项目的完成情况、取得的成绩及效益，运用定量和定性分析相结合的方法，总结经验做法，反思项目实施和管理中的问题，以切实提升财政资金管理的科学化、规范化和精细化水平。</w:t>
      </w:r>
    </w:p>
    <w:p w14:paraId="037A2678">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（1）比较法</w:t>
      </w:r>
    </w:p>
    <w:p w14:paraId="34121E49">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比较法，是指通过对绩效目标与实施效果、历史与当期情况、不同部门和地区同类支出的比较，综合分析绩效目标实现程度。本次绩效评价将主要通过对项目工作目标与各项完成情况的比较，以综合分析绩效目标的实现程度。</w:t>
      </w:r>
    </w:p>
    <w:p w14:paraId="4F6EC348">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（2）因素分析法</w:t>
      </w:r>
    </w:p>
    <w:p w14:paraId="7634B734">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因素分析法，是指通过综合分析影响绩效目标实现、实施效果的内外因素，计算投入产出比的方法。本次绩效评价主要从项目立项、资金落实、业务管理、财务管理、产出情况、项目效益等因素进行分析评价。</w:t>
      </w:r>
    </w:p>
    <w:p w14:paraId="5E26F2C7">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（3）综合指数评价法</w:t>
      </w:r>
    </w:p>
    <w:p w14:paraId="0B0F203D">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14:paraId="38B94B8B">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（4）公众评判法</w:t>
      </w:r>
    </w:p>
    <w:p w14:paraId="2BBF40AD">
      <w:pPr>
        <w:spacing w:line="574"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sz w:val="28"/>
          <w:szCs w:val="28"/>
        </w:rPr>
        <w:t>公众评判法，是指通过专家评估、公众问卷及抽样调查等对财政支出效果进行评判，评价绩效目标实现程度。本次财政支出项目绩效评价工作，将主要通过聘用专家对项目资金决策、管理、绩效及其他情况进行综合判断与分析，并根据设定的评价指标，对项目进行定性和定量分析。同时向受益群体发放问卷，了解其对项目的满意程度</w:t>
      </w:r>
      <w:r>
        <w:rPr>
          <w:rFonts w:hint="eastAsia" w:ascii="仿宋_GB2312" w:eastAsia="仿宋_GB2312"/>
          <w:snapToGrid w:val="0"/>
          <w:sz w:val="32"/>
          <w:szCs w:val="32"/>
        </w:rPr>
        <w:t>。</w:t>
      </w:r>
    </w:p>
    <w:p w14:paraId="6C3FC694">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102" w:name="_Toc27450"/>
      <w:bookmarkStart w:id="103" w:name="_Toc514537340"/>
      <w:bookmarkStart w:id="104" w:name="_Toc519354507"/>
      <w:r>
        <w:rPr>
          <w:rFonts w:hint="eastAsia" w:ascii="仿宋" w:eastAsia="仿宋" w:cs="Times New Roman"/>
          <w:b/>
          <w:bCs/>
          <w:sz w:val="32"/>
          <w:szCs w:val="32"/>
        </w:rPr>
        <w:t>（七）评价指标体系</w:t>
      </w:r>
      <w:bookmarkEnd w:id="102"/>
      <w:bookmarkEnd w:id="103"/>
      <w:bookmarkEnd w:id="104"/>
    </w:p>
    <w:p w14:paraId="0496BC7A">
      <w:pPr>
        <w:spacing w:line="574" w:lineRule="exact"/>
        <w:ind w:firstLine="560" w:firstLineChars="200"/>
        <w:rPr>
          <w:rFonts w:ascii="Times New Roman" w:hAnsi="Times New Roman" w:eastAsia="仿宋" w:cs="Times New Roman"/>
          <w:bCs/>
          <w:sz w:val="28"/>
          <w:szCs w:val="28"/>
        </w:rPr>
      </w:pPr>
      <w:bookmarkStart w:id="105" w:name="_Toc450549943"/>
      <w:bookmarkStart w:id="106" w:name="_Toc469065895"/>
      <w:bookmarkStart w:id="107" w:name="_Toc469065553"/>
      <w:bookmarkStart w:id="108" w:name="_Toc469065643"/>
      <w:r>
        <w:rPr>
          <w:rFonts w:ascii="Times New Roman" w:hAnsi="Times New Roman" w:eastAsia="仿宋" w:cs="Times New Roman"/>
          <w:bCs/>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cs="Times New Roman"/>
          <w:bCs/>
          <w:sz w:val="28"/>
          <w:szCs w:val="28"/>
          <w:lang w:val="en-US" w:eastAsia="zh-CN"/>
        </w:rPr>
        <w:t>《古县财政局关于印发&lt;2023年度财政重点绩效评价实施方案&gt;的通知》（古财字〔2023〕59号）</w:t>
      </w:r>
      <w:r>
        <w:rPr>
          <w:rFonts w:ascii="Times New Roman" w:hAnsi="Times New Roman" w:eastAsia="仿宋" w:cs="Times New Roman"/>
          <w:bCs/>
          <w:sz w:val="28"/>
          <w:szCs w:val="28"/>
          <w:lang w:val="en-US" w:eastAsia="zh-CN"/>
        </w:rPr>
        <w:t>，</w:t>
      </w:r>
      <w:r>
        <w:rPr>
          <w:rFonts w:ascii="Times New Roman" w:hAnsi="Times New Roman" w:eastAsia="仿宋" w:cs="Times New Roman"/>
          <w:bCs/>
          <w:sz w:val="28"/>
          <w:szCs w:val="28"/>
        </w:rPr>
        <w:t>及其他相关文件的要求，从</w:t>
      </w:r>
      <w:r>
        <w:rPr>
          <w:rFonts w:ascii="Times New Roman" w:hAnsi="Times New Roman" w:eastAsia="仿宋" w:cs="Times New Roman"/>
          <w:bCs/>
          <w:sz w:val="28"/>
          <w:szCs w:val="28"/>
          <w:lang w:val="en-US" w:eastAsia="zh-CN"/>
        </w:rPr>
        <w:t>决策</w:t>
      </w:r>
      <w:r>
        <w:rPr>
          <w:rFonts w:ascii="Times New Roman" w:hAnsi="Times New Roman" w:eastAsia="仿宋" w:cs="Times New Roman"/>
          <w:bCs/>
          <w:sz w:val="28"/>
          <w:szCs w:val="28"/>
        </w:rPr>
        <w:t>（包括项目立项、</w:t>
      </w:r>
      <w:r>
        <w:rPr>
          <w:rFonts w:ascii="Times New Roman" w:hAnsi="Times New Roman" w:eastAsia="仿宋" w:cs="Times New Roman"/>
          <w:bCs/>
          <w:sz w:val="28"/>
          <w:szCs w:val="28"/>
          <w:lang w:val="en-US" w:eastAsia="zh-CN"/>
        </w:rPr>
        <w:t>绩效目标、资金投入</w:t>
      </w:r>
      <w:r>
        <w:rPr>
          <w:rFonts w:ascii="Times New Roman" w:hAnsi="Times New Roman" w:eastAsia="仿宋" w:cs="Times New Roman"/>
          <w:bCs/>
          <w:sz w:val="28"/>
          <w:szCs w:val="28"/>
        </w:rPr>
        <w:t>）、过程（包括</w:t>
      </w:r>
      <w:r>
        <w:rPr>
          <w:rFonts w:ascii="Times New Roman" w:hAnsi="Times New Roman" w:eastAsia="仿宋" w:cs="Times New Roman"/>
          <w:bCs/>
          <w:sz w:val="28"/>
          <w:szCs w:val="28"/>
          <w:lang w:val="en-US" w:eastAsia="zh-CN"/>
        </w:rPr>
        <w:t>资金</w:t>
      </w:r>
      <w:r>
        <w:rPr>
          <w:rFonts w:ascii="Times New Roman" w:hAnsi="Times New Roman" w:eastAsia="仿宋" w:cs="Times New Roman"/>
          <w:bCs/>
          <w:sz w:val="28"/>
          <w:szCs w:val="28"/>
        </w:rPr>
        <w:t>管理、</w:t>
      </w:r>
      <w:r>
        <w:rPr>
          <w:rFonts w:ascii="Times New Roman" w:hAnsi="Times New Roman" w:eastAsia="仿宋" w:cs="Times New Roman"/>
          <w:bCs/>
          <w:sz w:val="28"/>
          <w:szCs w:val="28"/>
          <w:lang w:val="en-US" w:eastAsia="zh-CN"/>
        </w:rPr>
        <w:t>组织实施</w:t>
      </w:r>
      <w:r>
        <w:rPr>
          <w:rFonts w:ascii="Times New Roman" w:hAnsi="Times New Roman" w:eastAsia="仿宋" w:cs="Times New Roman"/>
          <w:bCs/>
          <w:sz w:val="28"/>
          <w:szCs w:val="28"/>
        </w:rPr>
        <w:t>）、产出和效益四个维度进行评价。</w:t>
      </w:r>
    </w:p>
    <w:p w14:paraId="1EDB1061">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古县南垣乡东池及驼腰村以工代赈田间道路建设工程项目支出绩效评价体系主要包括4项一级指标、13项二级指标、23项三级指标。主要内容为：</w:t>
      </w:r>
    </w:p>
    <w:p w14:paraId="48BB01F1">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（1）决策指标：主要考核立项依据充分性、立项程序规范性、绩效目标合理性、绩效指标明确性、预算编制科学性、资金分配合理性。包括3个二级指标，6个三级指标。</w:t>
      </w:r>
    </w:p>
    <w:p w14:paraId="4C8C8216">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（2）过程指标：主要考核资金到位率、预算执行率、资金使用合规性、管理制度健全性、制度执行有效性。包括2个二级指标，5个三级指标。</w:t>
      </w:r>
    </w:p>
    <w:p w14:paraId="2FB4C9B8">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（3）产出指标：主要考核工程完工、建设规模达标、建设质量达标、项目完工及时、劳务报酬发放及时、工程成本控制情况、劳务报酬发放比例达标情况。包括4个二级指标，7个三级指标。</w:t>
      </w:r>
    </w:p>
    <w:p w14:paraId="7E1EB656">
      <w:pPr>
        <w:spacing w:line="574" w:lineRule="exact"/>
        <w:ind w:firstLine="560" w:firstLineChars="200"/>
        <w:rPr>
          <w:rFonts w:ascii="Times New Roman" w:hAnsi="Times New Roman" w:eastAsia="仿宋" w:cs="Times New Roman"/>
          <w:snapToGrid w:val="0"/>
          <w:sz w:val="28"/>
          <w:szCs w:val="28"/>
          <w:lang w:val="en-US" w:eastAsia="zh-CN"/>
        </w:rPr>
      </w:pPr>
      <w:r>
        <w:rPr>
          <w:rFonts w:hint="eastAsia" w:ascii="Times New Roman" w:hAnsi="Times New Roman" w:eastAsia="仿宋" w:cs="Times New Roman"/>
          <w:bCs/>
          <w:sz w:val="28"/>
          <w:szCs w:val="28"/>
          <w:lang w:eastAsia="zh-CN"/>
        </w:rPr>
        <w:t>（4）效益指标：主要从经济效益、社会效益、可持续影响、服务对象满意度五方面来评价项目效益。具体考核项目区人均纯收入增加情况、农产品运输成本、完善农村路网基础设施、后期维护与管理、项目区农民满意度。包括4个二级指标，5个三级指标</w:t>
      </w:r>
      <w:r>
        <w:rPr>
          <w:rFonts w:ascii="Times New Roman" w:hAnsi="Times New Roman" w:eastAsia="仿宋" w:cs="Times New Roman"/>
          <w:snapToGrid w:val="0"/>
          <w:sz w:val="28"/>
          <w:szCs w:val="28"/>
          <w:lang w:eastAsia="zh-CN"/>
        </w:rPr>
        <w:t>。</w:t>
      </w:r>
    </w:p>
    <w:p w14:paraId="405752C9">
      <w:pPr>
        <w:spacing w:line="574" w:lineRule="exact"/>
        <w:ind w:firstLine="560" w:firstLineChars="200"/>
        <w:rPr>
          <w:rFonts w:ascii="Times New Roman" w:hAnsi="Times New Roman" w:eastAsia="仿宋" w:cs="Times New Roman"/>
          <w:snapToGrid w:val="0"/>
          <w:sz w:val="28"/>
          <w:szCs w:val="28"/>
          <w:lang w:eastAsia="zh-CN"/>
        </w:rPr>
      </w:pPr>
      <w:r>
        <w:rPr>
          <w:rFonts w:ascii="Times New Roman" w:hAnsi="Times New Roman" w:eastAsia="仿宋" w:cs="Times New Roman"/>
          <w:color w:val="000000"/>
          <w:sz w:val="28"/>
          <w:szCs w:val="28"/>
        </w:rPr>
        <w:t>本次</w:t>
      </w:r>
      <w:r>
        <w:rPr>
          <w:rFonts w:ascii="Times New Roman" w:hAnsi="Times New Roman" w:eastAsia="仿宋" w:cs="Times New Roman"/>
          <w:color w:val="000000"/>
          <w:sz w:val="28"/>
          <w:szCs w:val="28"/>
          <w:lang w:val="en-US" w:eastAsia="zh-CN"/>
        </w:rPr>
        <w:t>绩效评价项目</w:t>
      </w:r>
      <w:r>
        <w:rPr>
          <w:rFonts w:ascii="Times New Roman" w:hAnsi="Times New Roman" w:eastAsia="仿宋" w:cs="Times New Roman"/>
          <w:color w:val="000000"/>
          <w:sz w:val="28"/>
          <w:szCs w:val="28"/>
        </w:rPr>
        <w:t>根据财政部关于印发《项目支出绩效评价管理办法》的通知（财预〔2020〕10号）</w:t>
      </w:r>
      <w:r>
        <w:rPr>
          <w:rFonts w:ascii="Times New Roman" w:hAnsi="Times New Roman" w:eastAsia="仿宋" w:cs="Times New Roman"/>
          <w:color w:val="000000"/>
          <w:sz w:val="28"/>
          <w:szCs w:val="28"/>
          <w:lang w:val="en-US" w:eastAsia="zh-CN"/>
        </w:rPr>
        <w:t>要求</w:t>
      </w:r>
      <w:r>
        <w:rPr>
          <w:rFonts w:ascii="Times New Roman" w:hAnsi="Times New Roman" w:eastAsia="仿宋" w:cs="Times New Roman"/>
          <w:color w:val="000000"/>
          <w:sz w:val="28"/>
          <w:szCs w:val="28"/>
          <w:lang w:eastAsia="zh-CN"/>
        </w:rPr>
        <w:t>，</w:t>
      </w:r>
      <w:r>
        <w:rPr>
          <w:rFonts w:ascii="Times New Roman" w:hAnsi="Times New Roman" w:eastAsia="仿宋" w:cs="Times New Roman"/>
          <w:color w:val="000000"/>
          <w:sz w:val="28"/>
          <w:szCs w:val="28"/>
          <w:lang w:val="en-US" w:eastAsia="zh-CN"/>
        </w:rPr>
        <w:t>及</w:t>
      </w:r>
      <w:r>
        <w:rPr>
          <w:rFonts w:ascii="Times New Roman" w:hAnsi="Times New Roman" w:eastAsia="仿宋" w:cs="Times New Roman"/>
          <w:color w:val="000000"/>
          <w:sz w:val="28"/>
          <w:szCs w:val="28"/>
        </w:rPr>
        <w:t>以往项目财政支出绩效评价指标体系权重的工作经验对评价指标所代表的价值进行判断，重点考核项目产出和效益，最终确定</w:t>
      </w:r>
      <w:r>
        <w:rPr>
          <w:rFonts w:ascii="Times New Roman" w:hAnsi="Times New Roman" w:eastAsia="仿宋" w:cs="Times New Roman"/>
          <w:color w:val="000000"/>
          <w:sz w:val="28"/>
          <w:szCs w:val="28"/>
          <w:lang w:val="en-US" w:eastAsia="zh-CN"/>
        </w:rPr>
        <w:t>决策</w:t>
      </w:r>
      <w:r>
        <w:rPr>
          <w:rFonts w:ascii="Times New Roman" w:hAnsi="Times New Roman" w:eastAsia="仿宋" w:cs="Times New Roman"/>
          <w:color w:val="000000"/>
          <w:sz w:val="28"/>
          <w:szCs w:val="28"/>
        </w:rPr>
        <w:t>类指标权重占比20%，过程类指标权重占比20%，产出类指标权重占比30%，效益类指标权重占比30%。并根据二、三级指标与绩效目标的匹配性、在指标中的重要性以及对一级指标的影响程度来合理确定评价指标的权重比例结构</w:t>
      </w:r>
      <w:r>
        <w:rPr>
          <w:rFonts w:ascii="Times New Roman" w:hAnsi="Times New Roman" w:eastAsia="仿宋" w:cs="Times New Roman"/>
          <w:color w:val="000000"/>
          <w:sz w:val="28"/>
          <w:szCs w:val="28"/>
          <w:lang w:eastAsia="zh-CN"/>
        </w:rPr>
        <w:t>。</w:t>
      </w:r>
    </w:p>
    <w:bookmarkEnd w:id="105"/>
    <w:bookmarkEnd w:id="106"/>
    <w:bookmarkEnd w:id="107"/>
    <w:bookmarkEnd w:id="108"/>
    <w:p w14:paraId="6D53F946">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rPr>
      </w:pPr>
      <w:bookmarkStart w:id="109" w:name="_Toc519354508"/>
      <w:bookmarkStart w:id="110" w:name="_Toc29093"/>
      <w:bookmarkStart w:id="111" w:name="_Toc514537341"/>
      <w:r>
        <w:rPr>
          <w:rFonts w:hint="eastAsia" w:ascii="仿宋" w:eastAsia="仿宋" w:cs="Times New Roman"/>
          <w:b/>
          <w:bCs/>
          <w:sz w:val="32"/>
          <w:szCs w:val="32"/>
        </w:rPr>
        <w:t>（八）绩效评价工作组织</w:t>
      </w:r>
      <w:bookmarkEnd w:id="109"/>
      <w:bookmarkEnd w:id="110"/>
      <w:bookmarkEnd w:id="111"/>
    </w:p>
    <w:p w14:paraId="31E1D394">
      <w:pPr>
        <w:spacing w:line="574" w:lineRule="exact"/>
        <w:ind w:firstLine="562" w:firstLineChars="200"/>
        <w:rPr>
          <w:rFonts w:hint="eastAsia" w:ascii="仿宋" w:eastAsia="仿宋" w:cs="仿宋"/>
          <w:b/>
          <w:snapToGrid w:val="0"/>
          <w:sz w:val="28"/>
          <w:szCs w:val="28"/>
        </w:rPr>
      </w:pPr>
      <w:bookmarkStart w:id="112" w:name="_Toc479102151"/>
      <w:bookmarkStart w:id="113" w:name="_Toc469065648"/>
      <w:bookmarkStart w:id="114" w:name="_Toc469065900"/>
      <w:bookmarkStart w:id="115" w:name="_Toc511654628"/>
      <w:bookmarkStart w:id="116" w:name="_Toc510527466"/>
      <w:bookmarkStart w:id="117" w:name="_Toc469065558"/>
      <w:r>
        <w:rPr>
          <w:rFonts w:hint="eastAsia" w:ascii="仿宋" w:eastAsia="仿宋" w:cs="仿宋"/>
          <w:b/>
          <w:snapToGrid w:val="0"/>
          <w:sz w:val="28"/>
          <w:szCs w:val="28"/>
        </w:rPr>
        <w:t>1</w:t>
      </w:r>
      <w:r>
        <w:rPr>
          <w:rFonts w:hint="eastAsia" w:ascii="仿宋" w:eastAsia="仿宋" w:cs="仿宋"/>
          <w:b/>
          <w:snapToGrid w:val="0"/>
          <w:sz w:val="28"/>
          <w:szCs w:val="28"/>
          <w:lang w:eastAsia="zh-CN"/>
        </w:rPr>
        <w:t>、</w:t>
      </w:r>
      <w:r>
        <w:rPr>
          <w:rFonts w:hint="eastAsia" w:ascii="仿宋" w:eastAsia="仿宋" w:cs="仿宋"/>
          <w:b/>
          <w:snapToGrid w:val="0"/>
          <w:sz w:val="28"/>
          <w:szCs w:val="28"/>
        </w:rPr>
        <w:t>组织框架</w:t>
      </w:r>
      <w:bookmarkEnd w:id="112"/>
      <w:bookmarkEnd w:id="113"/>
      <w:bookmarkEnd w:id="114"/>
      <w:bookmarkEnd w:id="115"/>
      <w:bookmarkEnd w:id="116"/>
      <w:bookmarkEnd w:id="117"/>
    </w:p>
    <w:p w14:paraId="6532F3AA">
      <w:pPr>
        <w:tabs>
          <w:tab w:val="left" w:pos="1276"/>
        </w:tabs>
        <w:spacing w:line="574" w:lineRule="exact"/>
        <w:ind w:firstLine="560" w:firstLineChars="200"/>
        <w:contextualSpacing/>
        <w:rPr>
          <w:rFonts w:hint="eastAsia" w:ascii="仿宋" w:eastAsia="仿宋" w:cs="仿宋"/>
          <w:snapToGrid w:val="0"/>
          <w:sz w:val="28"/>
          <w:szCs w:val="28"/>
        </w:rPr>
      </w:pPr>
      <w:r>
        <w:rPr>
          <w:rFonts w:hint="eastAsia" w:ascii="仿宋" w:eastAsia="仿宋" w:cs="仿宋"/>
          <w:snapToGrid w:val="0"/>
          <w:sz w:val="28"/>
          <w:szCs w:val="28"/>
        </w:rPr>
        <w:t>为作好本次绩效评价工作，山西恒略绩效管理咨询有限公司成立了专门的绩效评价项目工作组，</w:t>
      </w:r>
      <w:r>
        <w:rPr>
          <w:rFonts w:hint="eastAsia" w:ascii="仿宋" w:eastAsia="仿宋" w:cs="仿宋"/>
          <w:snapToGrid w:val="0"/>
          <w:sz w:val="28"/>
          <w:szCs w:val="28"/>
          <w:lang w:val="en-US" w:eastAsia="zh-CN"/>
        </w:rPr>
        <w:t>工作</w:t>
      </w:r>
      <w:r>
        <w:rPr>
          <w:rFonts w:hint="eastAsia" w:ascii="仿宋" w:eastAsia="仿宋" w:cs="仿宋"/>
          <w:snapToGrid w:val="0"/>
          <w:sz w:val="28"/>
          <w:szCs w:val="28"/>
        </w:rPr>
        <w:t>组</w:t>
      </w:r>
      <w:r>
        <w:rPr>
          <w:rFonts w:hint="eastAsia" w:ascii="仿宋" w:eastAsia="仿宋" w:cs="仿宋"/>
          <w:snapToGrid w:val="0"/>
          <w:sz w:val="28"/>
          <w:szCs w:val="28"/>
          <w:lang w:val="en-US" w:eastAsia="zh-CN"/>
        </w:rPr>
        <w:t>组织框架</w:t>
      </w:r>
      <w:r>
        <w:rPr>
          <w:rFonts w:hint="eastAsia" w:ascii="仿宋" w:eastAsia="仿宋" w:cs="仿宋"/>
          <w:snapToGrid w:val="0"/>
          <w:sz w:val="28"/>
          <w:szCs w:val="28"/>
        </w:rPr>
        <w:t>情况如下图：</w:t>
      </w:r>
    </w:p>
    <w:p w14:paraId="2E31E5BF">
      <w:pPr>
        <w:tabs>
          <w:tab w:val="left" w:pos="1276"/>
        </w:tabs>
        <w:contextualSpacing/>
        <w:jc w:val="left"/>
        <w:rPr>
          <w:rFonts w:ascii="仿宋_GB2312" w:eastAsia="仿宋_GB2312"/>
          <w:snapToGrid w:val="0"/>
          <w:sz w:val="32"/>
          <w:szCs w:val="32"/>
        </w:rPr>
      </w:pPr>
      <w:r>
        <w:rPr>
          <w:rFonts w:hint="eastAsia" w:ascii="仿宋_GB2312" w:eastAsia="仿宋_GB2312"/>
          <w:snapToGrid w:val="0"/>
          <w:sz w:val="32"/>
          <w:szCs w:val="32"/>
        </w:rPr>
        <w:drawing>
          <wp:inline distT="0" distB="0" distL="114300" distR="114300">
            <wp:extent cx="5124450" cy="3486150"/>
            <wp:effectExtent l="0" t="0" r="17" b="42"/>
            <wp:docPr id="4" name="图片 4" descr="微信图片_2018120416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1"/>
                    </pic:cNvPicPr>
                  </pic:nvPicPr>
                  <pic:blipFill>
                    <a:blip r:embed="rId11"/>
                    <a:stretch>
                      <a:fillRect/>
                    </a:stretch>
                  </pic:blipFill>
                  <pic:spPr>
                    <a:xfrm>
                      <a:off x="0" y="0"/>
                      <a:ext cx="5124450" cy="3486150"/>
                    </a:xfrm>
                    <a:prstGeom prst="rect">
                      <a:avLst/>
                    </a:prstGeom>
                    <a:noFill/>
                    <a:ln w="9525" cap="flat" cmpd="sng">
                      <a:noFill/>
                      <a:prstDash val="solid"/>
                      <a:miter/>
                    </a:ln>
                  </pic:spPr>
                </pic:pic>
              </a:graphicData>
            </a:graphic>
          </wp:inline>
        </w:drawing>
      </w:r>
    </w:p>
    <w:p w14:paraId="4855F251">
      <w:pPr>
        <w:tabs>
          <w:tab w:val="left" w:pos="1276"/>
        </w:tabs>
        <w:contextualSpacing/>
        <w:jc w:val="center"/>
        <w:rPr>
          <w:rFonts w:ascii="宋体" w:eastAsia="宋体"/>
          <w:b/>
          <w:snapToGrid w:val="0"/>
          <w:sz w:val="24"/>
        </w:rPr>
      </w:pPr>
      <w:r>
        <w:rPr>
          <w:rFonts w:hint="eastAsia" w:ascii="Times New Roman" w:hAnsi="Times New Roman" w:eastAsia="仿宋" w:cs="Times New Roman"/>
          <w:b/>
          <w:bCs/>
          <w:color w:val="000000"/>
          <w:kern w:val="0"/>
          <w:sz w:val="24"/>
          <w:szCs w:val="28"/>
        </w:rPr>
        <w:t>图3-1 组织框架图</w:t>
      </w:r>
    </w:p>
    <w:p w14:paraId="65333A9F">
      <w:pPr>
        <w:shd w:val="clear" w:color="auto" w:fill="auto"/>
        <w:spacing w:line="574" w:lineRule="exact"/>
        <w:ind w:firstLine="562" w:firstLineChars="200"/>
        <w:rPr>
          <w:rFonts w:hint="eastAsia" w:ascii="仿宋" w:eastAsia="仿宋" w:cs="仿宋"/>
          <w:b/>
          <w:snapToGrid w:val="0"/>
          <w:sz w:val="28"/>
          <w:szCs w:val="28"/>
        </w:rPr>
      </w:pPr>
      <w:bookmarkStart w:id="118" w:name="_Toc511654629"/>
      <w:r>
        <w:rPr>
          <w:rFonts w:hint="eastAsia" w:ascii="仿宋" w:eastAsia="仿宋" w:cs="仿宋"/>
          <w:b/>
          <w:snapToGrid w:val="0"/>
          <w:sz w:val="28"/>
          <w:szCs w:val="28"/>
        </w:rPr>
        <w:t>2</w:t>
      </w:r>
      <w:r>
        <w:rPr>
          <w:rFonts w:hint="eastAsia" w:ascii="仿宋" w:eastAsia="仿宋" w:cs="仿宋"/>
          <w:b/>
          <w:snapToGrid w:val="0"/>
          <w:sz w:val="28"/>
          <w:szCs w:val="28"/>
          <w:lang w:eastAsia="zh-CN"/>
        </w:rPr>
        <w:t>、</w:t>
      </w:r>
      <w:r>
        <w:rPr>
          <w:rFonts w:hint="eastAsia" w:ascii="仿宋" w:eastAsia="仿宋" w:cs="仿宋"/>
          <w:b/>
          <w:snapToGrid w:val="0"/>
          <w:sz w:val="28"/>
          <w:szCs w:val="28"/>
        </w:rPr>
        <w:t>评价团队成员</w:t>
      </w:r>
      <w:bookmarkEnd w:id="118"/>
    </w:p>
    <w:p w14:paraId="5F414804">
      <w:pPr>
        <w:pStyle w:val="17"/>
        <w:shd w:val="clear" w:color="auto" w:fill="auto"/>
        <w:spacing w:line="574" w:lineRule="exact"/>
        <w:ind w:firstLine="560" w:firstLineChars="200"/>
        <w:jc w:val="both"/>
        <w:rPr>
          <w:rFonts w:hint="eastAsia" w:ascii="仿宋" w:eastAsia="仿宋" w:cs="仿宋"/>
          <w:snapToGrid w:val="0"/>
          <w:kern w:val="2"/>
          <w:sz w:val="28"/>
          <w:szCs w:val="28"/>
        </w:rPr>
      </w:pPr>
      <w:r>
        <w:rPr>
          <w:rFonts w:hint="eastAsia" w:ascii="仿宋" w:eastAsia="仿宋" w:cs="仿宋"/>
          <w:snapToGrid w:val="0"/>
          <w:kern w:val="2"/>
          <w:sz w:val="28"/>
          <w:szCs w:val="28"/>
          <w:shd w:val="clear" w:color="auto" w:fill="auto"/>
        </w:rPr>
        <w:t>工作组</w:t>
      </w:r>
      <w:r>
        <w:rPr>
          <w:rFonts w:hint="eastAsia" w:ascii="仿宋" w:eastAsia="仿宋" w:cs="仿宋"/>
          <w:snapToGrid w:val="0"/>
          <w:kern w:val="2"/>
          <w:sz w:val="28"/>
          <w:szCs w:val="28"/>
          <w:shd w:val="clear" w:color="auto" w:fill="auto"/>
          <w:lang w:val="en-US" w:eastAsia="zh-CN"/>
        </w:rPr>
        <w:t>人员情况如下表：</w:t>
      </w:r>
    </w:p>
    <w:p w14:paraId="716A5D20">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表3-2 绩效评价人员分工及职责</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78"/>
        <w:gridCol w:w="2006"/>
        <w:gridCol w:w="4738"/>
      </w:tblGrid>
      <w:tr w14:paraId="65BF7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12" w:space="0"/>
              <w:left w:val="single" w:color="auto" w:sz="12" w:space="0"/>
              <w:bottom w:val="single" w:color="auto" w:sz="12" w:space="0"/>
              <w:right w:val="single" w:color="auto" w:sz="12" w:space="0"/>
            </w:tcBorders>
            <w:shd w:val="clear" w:color="auto" w:fill="auto"/>
            <w:noWrap/>
            <w:vAlign w:val="center"/>
          </w:tcPr>
          <w:p w14:paraId="41189E79">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2006" w:type="dxa"/>
            <w:tcBorders>
              <w:top w:val="single" w:color="auto" w:sz="12" w:space="0"/>
              <w:left w:val="single" w:color="auto" w:sz="12" w:space="0"/>
              <w:bottom w:val="single" w:color="auto" w:sz="12" w:space="0"/>
              <w:right w:val="single" w:color="auto" w:sz="12" w:space="0"/>
            </w:tcBorders>
            <w:shd w:val="clear" w:color="auto" w:fill="auto"/>
            <w:noWrap/>
            <w:vAlign w:val="center"/>
          </w:tcPr>
          <w:p w14:paraId="011E24F2">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职务（职称）</w:t>
            </w:r>
          </w:p>
        </w:tc>
        <w:tc>
          <w:tcPr>
            <w:tcW w:w="4738" w:type="dxa"/>
            <w:tcBorders>
              <w:top w:val="single" w:color="auto" w:sz="12" w:space="0"/>
              <w:left w:val="single" w:color="auto" w:sz="12" w:space="0"/>
              <w:bottom w:val="single" w:color="auto" w:sz="12" w:space="0"/>
              <w:right w:val="single" w:color="auto" w:sz="12" w:space="0"/>
            </w:tcBorders>
            <w:shd w:val="clear" w:color="auto" w:fill="auto"/>
            <w:noWrap/>
            <w:vAlign w:val="center"/>
          </w:tcPr>
          <w:p w14:paraId="0CBB4889">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14:paraId="3EDF3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DDAF453">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lang w:val="en-US" w:eastAsia="zh-CN"/>
              </w:rPr>
              <w:t>张文英</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AA185E3">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项目负责人</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335F137F">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14:paraId="6C818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98A3683">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许慧敏</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C54D8A1">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组长</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5C2D56A2">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14:paraId="0B01A5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7E4EE26">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韩俊</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B42C6C5">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副组长</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2223350F">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14:paraId="10B27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79A8976">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韩金秀</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006544D">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0F8714DE">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340C6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96C7CB2">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刘玲玲</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7193454">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69E4D99E">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44D2BE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285EC59">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杨帆</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4076A49">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1A6CA305">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68E11D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4563482">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李阳</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C51B843">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050A17F8">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325D5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6825CB4">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樊荣荣</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8F610D0">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46DE1CB6">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26A88D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AEFD949">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常洪强</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5995369">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6E372651">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485CD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F70F6BF">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李金文</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B1FC858">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05B9BCA7">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149E04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463D523">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任帅</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894A451">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44AD5AD9">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14:paraId="192FF1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78751A8">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马鹏飞</w:t>
            </w:r>
          </w:p>
        </w:tc>
        <w:tc>
          <w:tcPr>
            <w:tcW w:w="2006"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02C47EB">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tcBorders>
              <w:top w:val="single" w:color="auto" w:sz="6" w:space="0"/>
              <w:left w:val="single" w:color="auto" w:sz="12" w:space="0"/>
              <w:bottom w:val="single" w:color="auto" w:sz="12" w:space="0"/>
              <w:right w:val="single" w:color="auto" w:sz="12" w:space="0"/>
            </w:tcBorders>
            <w:shd w:val="clear" w:color="auto" w:fill="auto"/>
            <w:noWrap/>
          </w:tcPr>
          <w:p w14:paraId="508A3E30">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14:paraId="2BF3E5A8">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eastAsia="zh-CN"/>
        </w:rPr>
      </w:pPr>
      <w:bookmarkStart w:id="119" w:name="_Toc2605"/>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九</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评价工作安排</w:t>
      </w:r>
      <w:bookmarkEnd w:id="119"/>
    </w:p>
    <w:p w14:paraId="4C82035D">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1、评价准备阶段</w:t>
      </w:r>
    </w:p>
    <w:p w14:paraId="2C531CE5">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（1）制定项目评价实施方案。评价机构在收集、审核资料的基础上，根据项目具体情况制定绩效评价实施方案，并拟定评价指标体系，细化评分标准，于 10月27日前报县财政局预算绩效股。</w:t>
      </w:r>
    </w:p>
    <w:p w14:paraId="60430A44">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（2）确认项目评价实施方案。县财政局预算绩效股于11月3日前组织局机关相关部门预算管理股室、绩效评价专家对评价机构上报的项目评价实施方案及指标体系进行评审论证。</w:t>
      </w:r>
    </w:p>
    <w:p w14:paraId="6170DC3F">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2、评价实施阶段</w:t>
      </w:r>
    </w:p>
    <w:p w14:paraId="2C4A83F9">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（1）收集、审核资料。评价机构在全面收集资料的基础上，根据经审核后的评价实施方案，对已收集的资料进行分类整理、审查和分析。</w:t>
      </w:r>
    </w:p>
    <w:p w14:paraId="67327BDD">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（2）现场勘查。评价机构根据评价对象的特点和项目承担单位提供的数据资料，进行现场调研、座谈及实地勘察验证。</w:t>
      </w:r>
    </w:p>
    <w:p w14:paraId="3C3E8CDB">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（3）综合评价。评价机构根据评价实施方案确定的评价指标、评价权重、评价标准和评价方法，对评价对象的绩效情况进行全面的定量定性分析和综合评价，形成评价结论。</w:t>
      </w:r>
    </w:p>
    <w:p w14:paraId="127D890B">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3、报告撰写阶段</w:t>
      </w:r>
    </w:p>
    <w:p w14:paraId="5BE40117">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p>
    <w:p w14:paraId="6BFE5485">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（2）与被评价部门（单位）交换意见。 评价机构与被评价部门（单位）交换意见后，对报告进行修改完善，形成评价结论，于11月30日前将评价报告报送县财政局预算绩效股。</w:t>
      </w:r>
    </w:p>
    <w:p w14:paraId="7370136C">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审核绩效评价报告。县财政局预算绩效股组织专家对绩效评价报告进行评审，主要从报告内容完整性、评价方法的科学性、评价结论的合理性、问题分析的全面性、建议的可行性等方面进行审核，提出审核意见。</w:t>
      </w:r>
    </w:p>
    <w:p w14:paraId="2FDFBA66">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（4）专家组于12月10日前提交书面评价结果意见。</w:t>
      </w:r>
    </w:p>
    <w:p w14:paraId="7FE05192">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（5）评价机构根据专家意见修改评价报告，于12月20日前提交正式评价报告。</w:t>
      </w:r>
    </w:p>
    <w:p w14:paraId="31AC355C">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20" w:name="_Toc519354509"/>
      <w:bookmarkStart w:id="121" w:name="_Toc32557"/>
      <w:bookmarkStart w:id="122" w:name="_Toc514537342"/>
      <w:r>
        <w:rPr>
          <w:rFonts w:hint="eastAsia" w:ascii="Times New Roman" w:hAnsi="Times New Roman" w:eastAsia="黑体" w:cs="Times New Roman"/>
          <w:bCs/>
          <w:kern w:val="44"/>
          <w:sz w:val="32"/>
          <w:szCs w:val="32"/>
        </w:rPr>
        <w:t>四、绩效评价指标分析情况</w:t>
      </w:r>
      <w:bookmarkEnd w:id="120"/>
      <w:bookmarkEnd w:id="121"/>
      <w:bookmarkEnd w:id="122"/>
    </w:p>
    <w:p w14:paraId="36301596">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eastAsia="zh-CN"/>
        </w:rPr>
      </w:pPr>
      <w:bookmarkStart w:id="123" w:name="_Toc514537343"/>
      <w:bookmarkStart w:id="124" w:name="_Toc24211"/>
      <w:r>
        <w:rPr>
          <w:rFonts w:hint="eastAsia" w:ascii="仿宋" w:eastAsia="仿宋" w:cs="Times New Roman"/>
          <w:b/>
          <w:bCs/>
          <w:sz w:val="32"/>
          <w:szCs w:val="32"/>
          <w:lang w:eastAsia="zh-CN"/>
        </w:rPr>
        <w:t>（一）分项分析与汇总</w:t>
      </w:r>
      <w:bookmarkEnd w:id="123"/>
      <w:bookmarkEnd w:id="124"/>
    </w:p>
    <w:p w14:paraId="6772ACDB">
      <w:pPr>
        <w:spacing w:line="574" w:lineRule="exact"/>
        <w:ind w:firstLine="562" w:firstLineChars="200"/>
        <w:outlineLvl w:val="2"/>
        <w:rPr>
          <w:rFonts w:hint="eastAsia" w:ascii="仿宋" w:eastAsia="仿宋" w:cs="仿宋"/>
          <w:b/>
          <w:snapToGrid w:val="0"/>
          <w:sz w:val="28"/>
          <w:szCs w:val="28"/>
        </w:rPr>
      </w:pPr>
      <w:bookmarkStart w:id="125" w:name="_Toc12732"/>
      <w:bookmarkStart w:id="126" w:name="_Toc528684141"/>
      <w:bookmarkStart w:id="127" w:name="_Toc27419"/>
      <w:bookmarkStart w:id="128" w:name="_Toc528680466"/>
      <w:bookmarkStart w:id="129" w:name="_Toc23016"/>
      <w:bookmarkStart w:id="130" w:name="_Toc5485"/>
      <w:bookmarkStart w:id="131" w:name="_Toc15599"/>
      <w:bookmarkStart w:id="132" w:name="_Toc22175"/>
      <w:bookmarkStart w:id="133" w:name="_Toc23358"/>
      <w:r>
        <w:rPr>
          <w:rFonts w:hint="eastAsia" w:ascii="仿宋" w:eastAsia="仿宋" w:cs="仿宋"/>
          <w:b/>
          <w:snapToGrid w:val="0"/>
          <w:sz w:val="28"/>
          <w:szCs w:val="28"/>
        </w:rPr>
        <w:t>1</w:t>
      </w:r>
      <w:r>
        <w:rPr>
          <w:rFonts w:hint="eastAsia" w:ascii="仿宋" w:eastAsia="仿宋" w:cs="仿宋"/>
          <w:b/>
          <w:snapToGrid w:val="0"/>
          <w:sz w:val="28"/>
          <w:szCs w:val="28"/>
          <w:lang w:eastAsia="zh-CN"/>
        </w:rPr>
        <w:t>、</w:t>
      </w:r>
      <w:r>
        <w:rPr>
          <w:rFonts w:hint="eastAsia" w:ascii="仿宋" w:eastAsia="仿宋" w:cs="仿宋"/>
          <w:b/>
          <w:snapToGrid w:val="0"/>
          <w:sz w:val="28"/>
          <w:szCs w:val="28"/>
          <w:lang w:val="en-US" w:eastAsia="zh-CN"/>
        </w:rPr>
        <w:t>决策</w:t>
      </w:r>
      <w:r>
        <w:rPr>
          <w:rFonts w:hint="eastAsia" w:ascii="仿宋" w:eastAsia="仿宋" w:cs="仿宋"/>
          <w:b/>
          <w:snapToGrid w:val="0"/>
          <w:sz w:val="28"/>
          <w:szCs w:val="28"/>
        </w:rPr>
        <w:t>分析</w:t>
      </w:r>
      <w:bookmarkEnd w:id="125"/>
      <w:bookmarkEnd w:id="126"/>
      <w:bookmarkEnd w:id="127"/>
      <w:bookmarkEnd w:id="128"/>
      <w:bookmarkEnd w:id="129"/>
      <w:bookmarkEnd w:id="130"/>
      <w:bookmarkEnd w:id="131"/>
      <w:bookmarkEnd w:id="132"/>
      <w:bookmarkEnd w:id="133"/>
    </w:p>
    <w:p w14:paraId="3A73A7D0">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8"/>
          <w:shd w:val="clear" w:color="auto" w:fill="FFFFFF"/>
          <w:lang w:val="en-US" w:eastAsia="zh-CN"/>
        </w:rPr>
        <w:t>决策类指标主要从立项依据充分性、立项程序规范性、绩效目标合理性、绩效指标明确性、资金分配合理性、预算编制科学性6个指标考察该项目立项、绩效目标、资金投入情况。决策类指标权重分20.00分，实际得分为20.00分。指标得分情况表如下：</w:t>
      </w:r>
    </w:p>
    <w:p w14:paraId="466B5CFD">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14:paraId="564D7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472DCE93">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06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66403180">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23729587">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7C455E4B">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541"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65C54500">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14:paraId="18953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14:paraId="225C3801">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A1项目立项</w:t>
            </w:r>
          </w:p>
        </w:tc>
        <w:tc>
          <w:tcPr>
            <w:tcW w:w="3066" w:type="dxa"/>
            <w:tcBorders>
              <w:top w:val="single" w:color="auto" w:sz="6" w:space="0"/>
              <w:left w:val="single" w:color="auto" w:sz="12" w:space="0"/>
              <w:bottom w:val="single" w:color="auto" w:sz="12" w:space="0"/>
              <w:right w:val="single" w:color="auto" w:sz="12" w:space="0"/>
            </w:tcBorders>
            <w:noWrap/>
            <w:vAlign w:val="center"/>
          </w:tcPr>
          <w:p w14:paraId="1BA74BA2">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A11</w:t>
            </w:r>
            <w:r>
              <w:rPr>
                <w:rFonts w:hint="eastAsia" w:ascii="仿宋" w:eastAsia="仿宋" w:cs="仿宋"/>
                <w:color w:val="000000"/>
                <w:kern w:val="0"/>
                <w:sz w:val="24"/>
                <w:szCs w:val="24"/>
                <w:lang w:val="en-US" w:eastAsia="zh-CN"/>
              </w:rPr>
              <w:t>立项依据充分性</w:t>
            </w:r>
          </w:p>
        </w:tc>
        <w:tc>
          <w:tcPr>
            <w:tcW w:w="966" w:type="dxa"/>
            <w:tcBorders>
              <w:top w:val="single" w:color="auto" w:sz="6" w:space="0"/>
              <w:left w:val="single" w:color="auto" w:sz="12" w:space="0"/>
              <w:bottom w:val="single" w:color="auto" w:sz="12" w:space="0"/>
              <w:right w:val="single" w:color="auto" w:sz="12" w:space="0"/>
            </w:tcBorders>
            <w:noWrap/>
            <w:vAlign w:val="center"/>
          </w:tcPr>
          <w:p w14:paraId="23A2D96E">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173FBF5C">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7C5AAB59">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7A65D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14:paraId="0F3A28C3"/>
        </w:tc>
        <w:tc>
          <w:tcPr>
            <w:tcW w:w="3066" w:type="dxa"/>
            <w:tcBorders>
              <w:top w:val="single" w:color="auto" w:sz="6" w:space="0"/>
              <w:left w:val="single" w:color="auto" w:sz="12" w:space="0"/>
              <w:bottom w:val="single" w:color="auto" w:sz="12" w:space="0"/>
              <w:right w:val="single" w:color="auto" w:sz="12" w:space="0"/>
            </w:tcBorders>
            <w:noWrap/>
            <w:vAlign w:val="center"/>
          </w:tcPr>
          <w:p w14:paraId="564CFAC8">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A12立项程序规范性</w:t>
            </w:r>
          </w:p>
        </w:tc>
        <w:tc>
          <w:tcPr>
            <w:tcW w:w="966" w:type="dxa"/>
            <w:tcBorders>
              <w:top w:val="single" w:color="auto" w:sz="6" w:space="0"/>
              <w:left w:val="single" w:color="auto" w:sz="12" w:space="0"/>
              <w:bottom w:val="single" w:color="auto" w:sz="12" w:space="0"/>
              <w:right w:val="single" w:color="auto" w:sz="12" w:space="0"/>
            </w:tcBorders>
            <w:noWrap/>
            <w:vAlign w:val="center"/>
          </w:tcPr>
          <w:p w14:paraId="39F4F2EA">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504D1DEA">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44CE58D7">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14:paraId="419E8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14:paraId="18F2DAA3">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A2绩效目标</w:t>
            </w:r>
          </w:p>
        </w:tc>
        <w:tc>
          <w:tcPr>
            <w:tcW w:w="3066" w:type="dxa"/>
            <w:tcBorders>
              <w:top w:val="single" w:color="auto" w:sz="6" w:space="0"/>
              <w:left w:val="single" w:color="auto" w:sz="12" w:space="0"/>
              <w:bottom w:val="single" w:color="auto" w:sz="12" w:space="0"/>
              <w:right w:val="single" w:color="auto" w:sz="12" w:space="0"/>
            </w:tcBorders>
            <w:noWrap/>
            <w:vAlign w:val="center"/>
          </w:tcPr>
          <w:p w14:paraId="4004BA3E">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21</w:t>
            </w:r>
            <w:r>
              <w:rPr>
                <w:rFonts w:hint="eastAsia" w:ascii="仿宋" w:eastAsia="仿宋" w:cs="仿宋"/>
                <w:color w:val="000000"/>
                <w:kern w:val="0"/>
                <w:sz w:val="24"/>
                <w:szCs w:val="24"/>
              </w:rPr>
              <w:t>绩效目标合理性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14:paraId="506E7118">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2F98B587">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13EC27E2">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14:paraId="54B2F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14:paraId="37AE3E35"/>
        </w:tc>
        <w:tc>
          <w:tcPr>
            <w:tcW w:w="3066" w:type="dxa"/>
            <w:tcBorders>
              <w:top w:val="single" w:color="auto" w:sz="6" w:space="0"/>
              <w:left w:val="single" w:color="auto" w:sz="12" w:space="0"/>
              <w:bottom w:val="single" w:color="auto" w:sz="12" w:space="0"/>
              <w:right w:val="single" w:color="auto" w:sz="12" w:space="0"/>
            </w:tcBorders>
            <w:noWrap/>
            <w:vAlign w:val="center"/>
          </w:tcPr>
          <w:p w14:paraId="4301AF00">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22</w:t>
            </w:r>
            <w:r>
              <w:rPr>
                <w:rFonts w:hint="eastAsia" w:ascii="仿宋" w:eastAsia="仿宋" w:cs="仿宋"/>
                <w:color w:val="000000"/>
                <w:kern w:val="0"/>
                <w:sz w:val="24"/>
                <w:szCs w:val="24"/>
              </w:rPr>
              <w:t>绩效指标明确性</w:t>
            </w:r>
          </w:p>
        </w:tc>
        <w:tc>
          <w:tcPr>
            <w:tcW w:w="966" w:type="dxa"/>
            <w:tcBorders>
              <w:top w:val="single" w:color="auto" w:sz="6" w:space="0"/>
              <w:left w:val="single" w:color="auto" w:sz="12" w:space="0"/>
              <w:bottom w:val="single" w:color="auto" w:sz="12" w:space="0"/>
              <w:right w:val="single" w:color="auto" w:sz="12" w:space="0"/>
            </w:tcBorders>
            <w:noWrap/>
            <w:vAlign w:val="center"/>
          </w:tcPr>
          <w:p w14:paraId="2CE63DD3">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5E64583D">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710837E8">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14:paraId="338573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14:paraId="083031DD">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w:t>
            </w:r>
            <w:r>
              <w:rPr>
                <w:rFonts w:hint="eastAsia" w:ascii="仿宋" w:eastAsia="仿宋" w:cs="仿宋"/>
                <w:b w:val="0"/>
                <w:bCs w:val="0"/>
                <w:color w:val="000000"/>
                <w:kern w:val="0"/>
                <w:sz w:val="24"/>
                <w:szCs w:val="24"/>
                <w:lang w:val="en-US" w:eastAsia="zh-CN"/>
              </w:rPr>
              <w:t>3</w:t>
            </w:r>
            <w:r>
              <w:rPr>
                <w:rFonts w:hint="eastAsia" w:ascii="仿宋" w:eastAsia="仿宋" w:cs="仿宋"/>
                <w:b w:val="0"/>
                <w:bCs w:val="0"/>
                <w:color w:val="000000"/>
                <w:kern w:val="0"/>
                <w:sz w:val="24"/>
                <w:szCs w:val="24"/>
              </w:rPr>
              <w:t>资金</w:t>
            </w:r>
            <w:r>
              <w:rPr>
                <w:rFonts w:hint="eastAsia" w:ascii="仿宋" w:eastAsia="仿宋" w:cs="仿宋"/>
                <w:b w:val="0"/>
                <w:bCs w:val="0"/>
                <w:color w:val="000000"/>
                <w:kern w:val="0"/>
                <w:sz w:val="24"/>
                <w:szCs w:val="24"/>
                <w:lang w:val="en-US" w:eastAsia="zh-CN"/>
              </w:rPr>
              <w:t>投入</w:t>
            </w:r>
          </w:p>
        </w:tc>
        <w:tc>
          <w:tcPr>
            <w:tcW w:w="3066" w:type="dxa"/>
            <w:tcBorders>
              <w:top w:val="single" w:color="auto" w:sz="6" w:space="0"/>
              <w:left w:val="single" w:color="auto" w:sz="12" w:space="0"/>
              <w:bottom w:val="single" w:color="auto" w:sz="12" w:space="0"/>
              <w:right w:val="single" w:color="auto" w:sz="12" w:space="0"/>
            </w:tcBorders>
            <w:noWrap/>
            <w:vAlign w:val="center"/>
          </w:tcPr>
          <w:p w14:paraId="25CFD36E">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A31</w:t>
            </w:r>
            <w:r>
              <w:rPr>
                <w:rFonts w:hint="eastAsia" w:ascii="仿宋" w:eastAsia="仿宋" w:cs="仿宋"/>
                <w:color w:val="000000"/>
                <w:kern w:val="0"/>
                <w:sz w:val="24"/>
                <w:szCs w:val="24"/>
              </w:rPr>
              <w:t>资金分配合理性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14:paraId="7C363EE0">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6CF84853">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5EACE658">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14:paraId="5A4C0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14:paraId="44960DCA"/>
        </w:tc>
        <w:tc>
          <w:tcPr>
            <w:tcW w:w="3066" w:type="dxa"/>
            <w:tcBorders>
              <w:top w:val="single" w:color="auto" w:sz="6" w:space="0"/>
              <w:left w:val="single" w:color="auto" w:sz="12" w:space="0"/>
              <w:bottom w:val="single" w:color="auto" w:sz="12" w:space="0"/>
              <w:right w:val="single" w:color="auto" w:sz="12" w:space="0"/>
            </w:tcBorders>
            <w:noWrap/>
            <w:vAlign w:val="center"/>
          </w:tcPr>
          <w:p w14:paraId="361573C0">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A32</w:t>
            </w:r>
            <w:r>
              <w:rPr>
                <w:rFonts w:hint="eastAsia" w:ascii="仿宋" w:eastAsia="仿宋" w:cs="仿宋"/>
                <w:color w:val="000000"/>
                <w:kern w:val="0"/>
                <w:sz w:val="24"/>
                <w:szCs w:val="24"/>
              </w:rPr>
              <w:t>预算</w:t>
            </w:r>
            <w:r>
              <w:rPr>
                <w:rFonts w:hint="eastAsia" w:ascii="仿宋" w:eastAsia="仿宋" w:cs="仿宋"/>
                <w:color w:val="000000"/>
                <w:kern w:val="0"/>
                <w:sz w:val="24"/>
                <w:szCs w:val="24"/>
                <w:lang w:val="en-US" w:eastAsia="zh-CN"/>
              </w:rPr>
              <w:t>编制科学性</w:t>
            </w:r>
          </w:p>
        </w:tc>
        <w:tc>
          <w:tcPr>
            <w:tcW w:w="966" w:type="dxa"/>
            <w:tcBorders>
              <w:top w:val="single" w:color="auto" w:sz="6" w:space="0"/>
              <w:left w:val="single" w:color="auto" w:sz="12" w:space="0"/>
              <w:bottom w:val="single" w:color="auto" w:sz="12" w:space="0"/>
              <w:right w:val="single" w:color="auto" w:sz="12" w:space="0"/>
            </w:tcBorders>
            <w:noWrap/>
            <w:vAlign w:val="center"/>
          </w:tcPr>
          <w:p w14:paraId="5A527827">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22A1A185">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73206FF1">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5450F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tcBorders>
              <w:top w:val="single" w:color="auto" w:sz="6" w:space="0"/>
              <w:left w:val="single" w:color="auto" w:sz="12" w:space="0"/>
              <w:bottom w:val="single" w:color="auto" w:sz="12" w:space="0"/>
              <w:right w:val="single" w:color="auto" w:sz="12" w:space="0"/>
            </w:tcBorders>
            <w:noWrap/>
            <w:vAlign w:val="center"/>
          </w:tcPr>
          <w:p w14:paraId="618D502A">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966" w:type="dxa"/>
            <w:tcBorders>
              <w:top w:val="single" w:color="auto" w:sz="6" w:space="0"/>
              <w:left w:val="single" w:color="auto" w:sz="12" w:space="0"/>
              <w:bottom w:val="single" w:color="auto" w:sz="12" w:space="0"/>
              <w:right w:val="single" w:color="auto" w:sz="12" w:space="0"/>
            </w:tcBorders>
            <w:noWrap/>
            <w:vAlign w:val="center"/>
          </w:tcPr>
          <w:p w14:paraId="03D741B4">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966" w:type="dxa"/>
            <w:tcBorders>
              <w:top w:val="single" w:color="auto" w:sz="6" w:space="0"/>
              <w:left w:val="single" w:color="auto" w:sz="12" w:space="0"/>
              <w:bottom w:val="single" w:color="auto" w:sz="12" w:space="0"/>
              <w:right w:val="single" w:color="auto" w:sz="12" w:space="0"/>
            </w:tcBorders>
            <w:noWrap/>
            <w:vAlign w:val="center"/>
          </w:tcPr>
          <w:p w14:paraId="5F70321B">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1541" w:type="dxa"/>
            <w:tcBorders>
              <w:top w:val="single" w:color="auto" w:sz="6" w:space="0"/>
              <w:left w:val="single" w:color="auto" w:sz="12" w:space="0"/>
              <w:bottom w:val="single" w:color="auto" w:sz="12" w:space="0"/>
              <w:right w:val="single" w:color="auto" w:sz="12" w:space="0"/>
            </w:tcBorders>
            <w:noWrap/>
            <w:vAlign w:val="center"/>
          </w:tcPr>
          <w:p w14:paraId="32BE9F70">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bl>
    <w:p w14:paraId="38F4BEA7">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（1）项目立项</w:t>
      </w:r>
    </w:p>
    <w:p w14:paraId="60F063FC">
      <w:pPr>
        <w:widowControl/>
        <w:spacing w:line="574" w:lineRule="exact"/>
        <w:ind w:firstLine="562" w:firstLineChars="200"/>
        <w:rPr>
          <w:rFonts w:hint="eastAsia" w:ascii="Times New Roman" w:hAnsi="Times New Roman" w:eastAsia="仿宋" w:cs="Times New Roman"/>
          <w:kern w:val="0"/>
          <w:sz w:val="28"/>
          <w:szCs w:val="28"/>
          <w:shd w:val="clear" w:color="auto" w:fill="FFFFFF"/>
          <w:lang w:val="en-US" w:eastAsia="zh-CN"/>
        </w:rPr>
      </w:pPr>
      <w:r>
        <w:rPr>
          <w:rFonts w:hint="eastAsia" w:ascii="仿宋" w:eastAsia="仿宋" w:cs="仿宋"/>
          <w:b/>
          <w:snapToGrid w:val="0"/>
          <w:sz w:val="28"/>
          <w:szCs w:val="28"/>
        </w:rPr>
        <w:t>A11</w:t>
      </w:r>
      <w:r>
        <w:rPr>
          <w:rFonts w:hint="eastAsia" w:ascii="仿宋" w:eastAsia="仿宋" w:cs="仿宋"/>
          <w:b/>
          <w:snapToGrid w:val="0"/>
          <w:sz w:val="28"/>
          <w:szCs w:val="28"/>
          <w:lang w:val="en-US" w:eastAsia="zh-CN"/>
        </w:rPr>
        <w:t>立项依据充分性</w:t>
      </w:r>
      <w:r>
        <w:rPr>
          <w:rFonts w:hint="eastAsia" w:ascii="仿宋" w:eastAsia="仿宋" w:cs="仿宋"/>
          <w:b/>
          <w:snapToGrid w:val="0"/>
          <w:sz w:val="28"/>
          <w:szCs w:val="28"/>
        </w:rPr>
        <w:t>：</w:t>
      </w:r>
      <w:r>
        <w:rPr>
          <w:rFonts w:hint="eastAsia" w:ascii="Times New Roman" w:hAnsi="Times New Roman" w:eastAsia="仿宋" w:cs="Times New Roman"/>
          <w:kern w:val="0"/>
          <w:sz w:val="28"/>
          <w:szCs w:val="28"/>
          <w:shd w:val="clear" w:color="auto" w:fill="FFFFFF"/>
          <w:lang w:val="en-US" w:eastAsia="zh-CN"/>
        </w:rPr>
        <w:t>满分3.00分，得分3.00分。通过对相关法律法规、政策文件的研读和对项目实施单位提供资料的核实，古县南垣乡东池及驼腰村以工代赈田间道路建设工程项目的立项程序符合《乡村振兴战略规划（2018-2022年）》、《中华人民共和国国民经济和社会发展第十四个五年规划和2035年远景目标纲要》、《全国“十四五”以工代赈工作方案》、《中共中央国务院关于全面推进乡村振兴加快农业农村现代化的意见》（2021年2月21日）、《国家以工代赈管理办法》、《山西省以工代赈管理实施细则》、《国家发展改革委关于进一步坚守“赈”的初心充分发挥以工代赈政策功能的意见》（发改振兴〔2021〕1852号）、山西省发展和改革委员会《关于抓紧编报2022年中央财政以古县南垣乡东池及驼腰村以工代赈田间道路建设工程可行性研究报告工代赈任务建议计划并开展前置性审查的通知》、《山西省发展和改革委员会关于印发&lt;山西省“十四五”以工代赈实施方案&gt;的通知》（晋发改赈发〔2022〕30号）、《山西省发展和改革委员会关于提前分解下达2022年省级财政衔接推进乡村振兴补助资金以工代赈计划的通知》（晋发改赈发〔2021〕504号）、《关于在全省农业农村基础设施建设领域推广以工代赈方式的实施方案的通知》（晋发改赈发〔2021〕121号）、《古县发展和改革局关于转发下达2022年度省财政衔接推进乡村振兴补助资金以工代赈计划的通知》（古发字〔2022〕7号）等有关政策和文件规定；项目申报、审核、批复资料基本齐全、准确、符合相关要求，立项依据充分。根据评分标准，该项得满分。</w:t>
      </w:r>
    </w:p>
    <w:p w14:paraId="36A72C21">
      <w:pPr>
        <w:widowControl/>
        <w:spacing w:line="574" w:lineRule="exact"/>
        <w:ind w:firstLine="562" w:firstLineChars="200"/>
        <w:rPr>
          <w:rFonts w:ascii="Times New Roman" w:hAnsi="Times New Roman" w:eastAsia="仿宋" w:cs="Times New Roman"/>
          <w:kern w:val="0"/>
          <w:sz w:val="28"/>
          <w:szCs w:val="28"/>
          <w:shd w:val="clear" w:color="auto" w:fill="FFFFFF"/>
          <w:lang w:val="en-US" w:eastAsia="zh-CN"/>
        </w:rPr>
      </w:pPr>
      <w:r>
        <w:rPr>
          <w:rFonts w:hint="eastAsia" w:ascii="仿宋" w:eastAsia="仿宋" w:cs="仿宋"/>
          <w:b/>
          <w:snapToGrid w:val="0"/>
          <w:sz w:val="28"/>
          <w:szCs w:val="28"/>
          <w:lang w:val="en-US" w:eastAsia="zh-CN"/>
        </w:rPr>
        <w:t>A12立项程序规范性：</w:t>
      </w:r>
      <w:r>
        <w:rPr>
          <w:rFonts w:hint="eastAsia" w:ascii="Times New Roman" w:hAnsi="Times New Roman" w:eastAsia="仿宋" w:cs="Times New Roman"/>
          <w:kern w:val="0"/>
          <w:sz w:val="28"/>
          <w:szCs w:val="28"/>
          <w:shd w:val="clear" w:color="auto" w:fill="FFFFFF"/>
          <w:lang w:val="en-US" w:eastAsia="zh-CN"/>
        </w:rPr>
        <w:t>满分3.00分，得分3.00分。项目按照规定的程序申请设立，古县南垣乡东池及驼腰村以工代赈田间道路建设工程项目落实了国家以工代赈政策；审批文件、材料完整，符合相关要求；项目建设主要为改善项目区基础设施薄弱现状，事前已经过必要的集体决策程序。根据评分标准，该项得满分。</w:t>
      </w:r>
    </w:p>
    <w:p w14:paraId="104C8CD5">
      <w:pPr>
        <w:widowControl/>
        <w:spacing w:line="574"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（2）绩效目标</w:t>
      </w:r>
    </w:p>
    <w:p w14:paraId="63A65BCD">
      <w:pPr>
        <w:spacing w:line="574" w:lineRule="exact"/>
        <w:ind w:firstLine="562" w:firstLineChars="200"/>
        <w:rPr>
          <w:rFonts w:hint="eastAsia" w:ascii="Times New Roman" w:hAnsi="Times New Roman" w:eastAsia="仿宋" w:cs="Times New Roman"/>
          <w:kern w:val="0"/>
          <w:sz w:val="28"/>
          <w:szCs w:val="28"/>
          <w:shd w:val="clear" w:color="auto" w:fill="FFFFFF"/>
          <w:lang w:val="en-US" w:eastAsia="zh-CN"/>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绩效目标合理性：</w:t>
      </w:r>
      <w:r>
        <w:rPr>
          <w:rFonts w:hint="eastAsia" w:ascii="Times New Roman" w:hAnsi="Times New Roman" w:eastAsia="仿宋" w:cs="Times New Roman"/>
          <w:kern w:val="0"/>
          <w:sz w:val="28"/>
          <w:szCs w:val="28"/>
          <w:shd w:val="clear" w:color="auto" w:fill="FFFFFF"/>
          <w:lang w:val="en-US" w:eastAsia="zh-CN"/>
        </w:rPr>
        <w:t>满分3.00分，得分3.00分。古县南垣乡东池及驼腰村以工代赈田间道路建设工程项目绩效目标：</w:t>
      </w:r>
      <w:r>
        <w:rPr>
          <w:rFonts w:hint="eastAsia" w:ascii="Times New Roman" w:hAnsi="Times New Roman" w:eastAsia="仿宋" w:cs="Times New Roman"/>
          <w:color w:val="000000"/>
          <w:kern w:val="0"/>
          <w:sz w:val="28"/>
          <w:szCs w:val="24"/>
          <w:lang w:val="en-US" w:eastAsia="zh-CN"/>
        </w:rPr>
        <w:t>通过实施该项目，助力乡村振兴战略实施，该项目完成后可解决东池及驼腰村农民出行难、生产运输难的问题，将改善区域内的交通状况，完善乡村区域路网结构，为当地农民打通致富门路，促进乡镇区域经济的全面发展，加快资源开发利用，使区域农副产品资源得以升值，农民收入不断增加，加快脱贫。同时，项目的实施还可以使当地农民工参加工程建设获得劳务报酬30万元，项目实施后经济效益、社会效益明显，对加快当地经济发展有着十分重要的作用</w:t>
      </w:r>
      <w:r>
        <w:rPr>
          <w:rFonts w:hint="eastAsia" w:ascii="Times New Roman" w:hAnsi="Times New Roman" w:eastAsia="仿宋" w:cs="Times New Roman"/>
          <w:kern w:val="0"/>
          <w:sz w:val="28"/>
          <w:szCs w:val="28"/>
          <w:shd w:val="clear" w:color="auto" w:fill="FFFFFF"/>
          <w:lang w:val="en-US" w:eastAsia="zh-CN"/>
        </w:rPr>
        <w:t>。绩效目标设定符合国家相关规定，指向明确，合理可行，符合区域发展规划，绩效目标符合客观实际，建设规模、建设内容、建设工期可实现、可操作。根据评分标准，该项得满分。</w:t>
      </w:r>
    </w:p>
    <w:p w14:paraId="009427A0">
      <w:pPr>
        <w:widowControl/>
        <w:spacing w:line="574" w:lineRule="exact"/>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绩效指标明确性：</w:t>
      </w:r>
      <w:r>
        <w:rPr>
          <w:rFonts w:hint="eastAsia" w:ascii="Times New Roman" w:hAnsi="Times New Roman" w:eastAsia="仿宋" w:cs="Times New Roman"/>
          <w:color w:val="000000"/>
          <w:kern w:val="0"/>
          <w:sz w:val="28"/>
          <w:szCs w:val="24"/>
          <w:lang w:val="en-US" w:eastAsia="zh-CN"/>
        </w:rPr>
        <w:t>满分3.00分，得3.00分。</w:t>
      </w:r>
      <w:r>
        <w:rPr>
          <w:rFonts w:ascii="Times New Roman" w:hAnsi="Times New Roman" w:eastAsia="仿宋"/>
          <w:snapToGrid w:val="0"/>
          <w:sz w:val="28"/>
          <w:szCs w:val="32"/>
        </w:rPr>
        <w:t>项目立项时</w:t>
      </w:r>
      <w:r>
        <w:rPr>
          <w:rFonts w:hint="eastAsia" w:ascii="Times New Roman" w:hAnsi="Times New Roman" w:eastAsia="仿宋"/>
          <w:snapToGrid w:val="0"/>
          <w:sz w:val="28"/>
          <w:szCs w:val="32"/>
          <w:lang w:val="en-US" w:eastAsia="zh-CN"/>
        </w:rPr>
        <w:t>古县发展和改革局</w:t>
      </w:r>
      <w:r>
        <w:rPr>
          <w:rFonts w:hint="eastAsia" w:ascii="Times New Roman" w:hAnsi="Times New Roman" w:eastAsia="仿宋"/>
          <w:snapToGrid w:val="0"/>
          <w:sz w:val="28"/>
          <w:szCs w:val="32"/>
        </w:rPr>
        <w:t>按照预算绩效管理要求设定了总体目标和具体目标，项目相关产出、效益指标也进行了设定，绩效目标做到了细化、量化，能够反映项目实际绩效情况</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cs="Times New Roman"/>
          <w:color w:val="000000"/>
          <w:kern w:val="0"/>
          <w:sz w:val="28"/>
          <w:szCs w:val="24"/>
          <w:lang w:val="en-US" w:eastAsia="zh-CN"/>
        </w:rPr>
        <w:t>。</w:t>
      </w:r>
    </w:p>
    <w:p w14:paraId="6C371570">
      <w:pPr>
        <w:widowControl/>
        <w:spacing w:line="574" w:lineRule="exact"/>
        <w:ind w:firstLine="560" w:firstLineChars="200"/>
        <w:rPr>
          <w:rFonts w:hint="eastAsia"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（3）资金投入</w:t>
      </w:r>
    </w:p>
    <w:p w14:paraId="28B614A2">
      <w:pPr>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31资金分配合理性</w:t>
      </w:r>
      <w:r>
        <w:rPr>
          <w:rFonts w:hint="eastAsia" w:ascii="仿宋" w:eastAsia="仿宋" w:cs="仿宋"/>
          <w:b/>
          <w:snapToGrid w:val="0"/>
          <w:sz w:val="28"/>
          <w:szCs w:val="28"/>
        </w:rPr>
        <w:t>：</w:t>
      </w:r>
      <w:r>
        <w:rPr>
          <w:rFonts w:hint="eastAsia" w:ascii="Times New Roman" w:hAnsi="Times New Roman" w:eastAsia="仿宋" w:cs="Times New Roman"/>
          <w:color w:val="000000"/>
          <w:kern w:val="0"/>
          <w:sz w:val="28"/>
          <w:szCs w:val="24"/>
          <w:lang w:val="en-US" w:eastAsia="zh-CN"/>
        </w:rPr>
        <w:t>满分4.00分，得分4.00分。古县南垣乡东池及驼腰村以工代赈田间道路建设工程项目资金196.00万元。根据山西省以工代赈资金使用要求，本次绩效评价项目资金专项用于古县南垣乡东池及驼腰村以工代赈田间道路建设工程项目，预算资金分配依据充分，预算资金依据项目实际产生金额进行安排，有明确依据；预算额度按照标准编制；预算确定的项目投资额与工作任务相匹配。根据评分标准，该项得满分。</w:t>
      </w:r>
    </w:p>
    <w:p w14:paraId="5F90F16B">
      <w:pPr>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eastAsia="仿宋" w:cs="仿宋"/>
          <w:b/>
          <w:snapToGrid w:val="0"/>
          <w:sz w:val="28"/>
          <w:szCs w:val="28"/>
          <w:lang w:val="en-US" w:eastAsia="zh-CN"/>
        </w:rPr>
        <w:t>A32预算编制科学性：</w:t>
      </w:r>
      <w:r>
        <w:rPr>
          <w:rFonts w:hint="eastAsia" w:ascii="Times New Roman" w:hAnsi="Times New Roman" w:eastAsia="仿宋" w:cs="Times New Roman"/>
          <w:color w:val="000000"/>
          <w:kern w:val="0"/>
          <w:sz w:val="28"/>
          <w:szCs w:val="24"/>
          <w:lang w:val="en-US" w:eastAsia="zh-CN"/>
        </w:rPr>
        <w:t>满分4.00分，得分4.00分。古</w:t>
      </w:r>
      <w:r>
        <w:rPr>
          <w:rFonts w:hint="eastAsia" w:ascii="Times New Roman" w:hAnsi="Times New Roman" w:eastAsia="仿宋" w:cs="Times New Roman"/>
          <w:sz w:val="28"/>
          <w:szCs w:val="24"/>
          <w:lang w:val="en-US" w:eastAsia="zh-CN"/>
        </w:rPr>
        <w:t>根据古县行政审批服务管理局《关于对古县南垣乡东池及驼腰村以工代赈田间道路建设工程项目可行性研究报告的批复》（古审管审发〔2022〕18号），总投资及资金来源：本项目概算总投资216.06万元，其中：建筑安装工程费用192.63万元，工程建设其他费用13.14万元，基本预备费10.29万元。其中：省级财政衔接推进乡村振兴以工代赈资金196万元，剩余资金20.06万元由县财政配套解决</w:t>
      </w:r>
      <w:r>
        <w:rPr>
          <w:rFonts w:hint="eastAsia" w:ascii="Times New Roman" w:hAnsi="Times New Roman" w:eastAsia="仿宋" w:cs="Times New Roman"/>
          <w:color w:val="000000"/>
          <w:kern w:val="0"/>
          <w:sz w:val="28"/>
          <w:szCs w:val="24"/>
          <w:lang w:val="en-US" w:eastAsia="zh-CN"/>
        </w:rPr>
        <w:t>。项目预算资金分配依据充分，资金分配额度合理，与项目单位或地方实际相适应。根据评分标准，该项得满分</w:t>
      </w:r>
      <w:bookmarkStart w:id="134" w:name="_Toc8610"/>
      <w:bookmarkStart w:id="135" w:name="_Toc528684142"/>
      <w:bookmarkStart w:id="136" w:name="_Toc19896"/>
      <w:bookmarkStart w:id="137" w:name="_Toc18414"/>
      <w:bookmarkStart w:id="138" w:name="_Toc528680467"/>
      <w:r>
        <w:rPr>
          <w:rFonts w:hint="eastAsia" w:ascii="Times New Roman" w:hAnsi="Times New Roman" w:eastAsia="仿宋" w:cs="Times New Roman"/>
          <w:color w:val="000000"/>
          <w:kern w:val="0"/>
          <w:sz w:val="28"/>
          <w:szCs w:val="24"/>
          <w:lang w:val="en-US" w:eastAsia="zh-CN"/>
        </w:rPr>
        <w:t>。</w:t>
      </w:r>
    </w:p>
    <w:p w14:paraId="4134CAC9">
      <w:pPr>
        <w:ind w:firstLine="562" w:firstLineChars="200"/>
        <w:rPr>
          <w:rFonts w:hint="eastAsia" w:ascii="仿宋" w:eastAsia="仿宋" w:cs="仿宋"/>
          <w:b/>
          <w:snapToGrid w:val="0"/>
          <w:sz w:val="28"/>
          <w:szCs w:val="28"/>
        </w:rPr>
      </w:pPr>
      <w:r>
        <w:rPr>
          <w:rFonts w:hint="eastAsia" w:ascii="仿宋" w:eastAsia="仿宋" w:cs="仿宋"/>
          <w:b/>
          <w:snapToGrid w:val="0"/>
          <w:sz w:val="28"/>
          <w:szCs w:val="28"/>
        </w:rPr>
        <w:t>2</w:t>
      </w:r>
      <w:r>
        <w:rPr>
          <w:rFonts w:hint="eastAsia" w:ascii="仿宋" w:eastAsia="仿宋" w:cs="仿宋"/>
          <w:b/>
          <w:snapToGrid w:val="0"/>
          <w:sz w:val="28"/>
          <w:szCs w:val="28"/>
          <w:lang w:eastAsia="zh-CN"/>
        </w:rPr>
        <w:t>、</w:t>
      </w:r>
      <w:r>
        <w:rPr>
          <w:rFonts w:hint="eastAsia" w:ascii="仿宋" w:eastAsia="仿宋" w:cs="仿宋"/>
          <w:b/>
          <w:snapToGrid w:val="0"/>
          <w:sz w:val="28"/>
          <w:szCs w:val="28"/>
        </w:rPr>
        <w:t>过程分析</w:t>
      </w:r>
      <w:bookmarkEnd w:id="134"/>
      <w:bookmarkEnd w:id="135"/>
      <w:bookmarkEnd w:id="136"/>
      <w:bookmarkEnd w:id="137"/>
      <w:bookmarkEnd w:id="138"/>
    </w:p>
    <w:p w14:paraId="226338D8">
      <w:pPr>
        <w:ind w:firstLine="560" w:firstLineChars="200"/>
        <w:rPr>
          <w:rFonts w:hint="eastAsia"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过程类指标主要从资金到位率、预算执行率、资金使用合规性、管理制度健全性、制度执行有效性5个指标考核该项目资金管理及组织实施情况，过程类指标权重20.00分，实际得分18.00分。指标得分情况如表4-2所示：</w:t>
      </w:r>
    </w:p>
    <w:p w14:paraId="26F7D54D">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14:paraId="4CCE3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537086CA">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2847"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3EF617E7">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1464"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5E8B11DE">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49"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1D8A8987">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428"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35635C87">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14:paraId="79326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14:paraId="30110044">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资金</w:t>
            </w:r>
            <w:r>
              <w:rPr>
                <w:rFonts w:hint="eastAsia" w:ascii="仿宋" w:eastAsia="仿宋" w:cs="仿宋"/>
                <w:b w:val="0"/>
                <w:bCs w:val="0"/>
                <w:color w:val="000000"/>
                <w:kern w:val="0"/>
                <w:sz w:val="24"/>
                <w:szCs w:val="24"/>
              </w:rPr>
              <w:t>管理</w:t>
            </w:r>
          </w:p>
        </w:tc>
        <w:tc>
          <w:tcPr>
            <w:tcW w:w="2847" w:type="dxa"/>
            <w:tcBorders>
              <w:top w:val="single" w:color="auto" w:sz="6" w:space="0"/>
              <w:left w:val="single" w:color="auto" w:sz="12" w:space="0"/>
              <w:bottom w:val="single" w:color="auto" w:sz="12" w:space="0"/>
              <w:right w:val="single" w:color="auto" w:sz="12" w:space="0"/>
            </w:tcBorders>
            <w:noWrap/>
            <w:vAlign w:val="center"/>
          </w:tcPr>
          <w:p w14:paraId="788B0305">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B11</w:t>
            </w:r>
            <w:r>
              <w:rPr>
                <w:rFonts w:hint="eastAsia" w:ascii="仿宋" w:eastAsia="仿宋" w:cs="仿宋"/>
                <w:b w:val="0"/>
                <w:bCs w:val="0"/>
                <w:color w:val="000000"/>
                <w:kern w:val="0"/>
                <w:sz w:val="24"/>
                <w:szCs w:val="24"/>
                <w:lang w:val="en-US" w:eastAsia="zh-CN"/>
              </w:rPr>
              <w:t>资金到位率</w:t>
            </w:r>
          </w:p>
        </w:tc>
        <w:tc>
          <w:tcPr>
            <w:tcW w:w="1464" w:type="dxa"/>
            <w:tcBorders>
              <w:top w:val="single" w:color="auto" w:sz="6" w:space="0"/>
              <w:left w:val="single" w:color="auto" w:sz="12" w:space="0"/>
              <w:bottom w:val="single" w:color="auto" w:sz="12" w:space="0"/>
              <w:right w:val="single" w:color="auto" w:sz="12" w:space="0"/>
            </w:tcBorders>
            <w:noWrap/>
            <w:vAlign w:val="center"/>
          </w:tcPr>
          <w:p w14:paraId="08DDDE8E">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14:paraId="242D3CC8">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14:paraId="271679B5">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14:paraId="33A923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14:paraId="652AB7CB"/>
        </w:tc>
        <w:tc>
          <w:tcPr>
            <w:tcW w:w="2847" w:type="dxa"/>
            <w:tcBorders>
              <w:top w:val="single" w:color="auto" w:sz="6" w:space="0"/>
              <w:left w:val="single" w:color="auto" w:sz="12" w:space="0"/>
              <w:bottom w:val="single" w:color="auto" w:sz="12" w:space="0"/>
              <w:right w:val="single" w:color="auto" w:sz="12" w:space="0"/>
            </w:tcBorders>
            <w:noWrap/>
            <w:vAlign w:val="center"/>
          </w:tcPr>
          <w:p w14:paraId="330E2597">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B12</w:t>
            </w:r>
            <w:r>
              <w:rPr>
                <w:rFonts w:hint="eastAsia" w:ascii="仿宋" w:eastAsia="仿宋" w:cs="仿宋"/>
                <w:b w:val="0"/>
                <w:bCs w:val="0"/>
                <w:color w:val="000000"/>
                <w:kern w:val="0"/>
                <w:sz w:val="24"/>
                <w:szCs w:val="24"/>
                <w:lang w:val="en-US" w:eastAsia="zh-CN"/>
              </w:rPr>
              <w:t>预算执行率</w:t>
            </w:r>
          </w:p>
        </w:tc>
        <w:tc>
          <w:tcPr>
            <w:tcW w:w="1464" w:type="dxa"/>
            <w:tcBorders>
              <w:top w:val="single" w:color="auto" w:sz="6" w:space="0"/>
              <w:left w:val="single" w:color="auto" w:sz="12" w:space="0"/>
              <w:bottom w:val="single" w:color="auto" w:sz="12" w:space="0"/>
              <w:right w:val="single" w:color="auto" w:sz="12" w:space="0"/>
            </w:tcBorders>
            <w:noWrap/>
            <w:vAlign w:val="center"/>
          </w:tcPr>
          <w:p w14:paraId="45F3A88D">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14:paraId="05E34673">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14:paraId="193F0E38">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14:paraId="49B531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14:paraId="107D32C6"/>
        </w:tc>
        <w:tc>
          <w:tcPr>
            <w:tcW w:w="2847" w:type="dxa"/>
            <w:tcBorders>
              <w:top w:val="single" w:color="auto" w:sz="6" w:space="0"/>
              <w:left w:val="single" w:color="auto" w:sz="12" w:space="0"/>
              <w:bottom w:val="single" w:color="auto" w:sz="12" w:space="0"/>
              <w:right w:val="single" w:color="auto" w:sz="12" w:space="0"/>
            </w:tcBorders>
            <w:noWrap/>
            <w:vAlign w:val="center"/>
          </w:tcPr>
          <w:p w14:paraId="34282DC8">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3资金使用合规性</w:t>
            </w:r>
          </w:p>
        </w:tc>
        <w:tc>
          <w:tcPr>
            <w:tcW w:w="1464" w:type="dxa"/>
            <w:tcBorders>
              <w:top w:val="single" w:color="auto" w:sz="6" w:space="0"/>
              <w:left w:val="single" w:color="auto" w:sz="12" w:space="0"/>
              <w:bottom w:val="single" w:color="auto" w:sz="12" w:space="0"/>
              <w:right w:val="single" w:color="auto" w:sz="12" w:space="0"/>
            </w:tcBorders>
            <w:noWrap/>
            <w:vAlign w:val="center"/>
          </w:tcPr>
          <w:p w14:paraId="07D79556">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14:paraId="6A242668">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14:paraId="721B59D6">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14:paraId="6122D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14:paraId="6AA9B3D4">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rPr>
              <w:t>B2</w:t>
            </w:r>
            <w:r>
              <w:rPr>
                <w:rFonts w:hint="eastAsia" w:ascii="仿宋" w:eastAsia="仿宋" w:cs="仿宋"/>
                <w:b w:val="0"/>
                <w:bCs w:val="0"/>
                <w:color w:val="000000"/>
                <w:kern w:val="0"/>
                <w:sz w:val="24"/>
                <w:szCs w:val="24"/>
                <w:lang w:val="en-US" w:eastAsia="zh-CN"/>
              </w:rPr>
              <w:t>组织实施</w:t>
            </w:r>
          </w:p>
        </w:tc>
        <w:tc>
          <w:tcPr>
            <w:tcW w:w="2847" w:type="dxa"/>
            <w:tcBorders>
              <w:top w:val="single" w:color="auto" w:sz="6" w:space="0"/>
              <w:left w:val="single" w:color="auto" w:sz="12" w:space="0"/>
              <w:bottom w:val="single" w:color="auto" w:sz="12" w:space="0"/>
              <w:right w:val="single" w:color="auto" w:sz="12" w:space="0"/>
            </w:tcBorders>
            <w:noWrap/>
            <w:vAlign w:val="center"/>
          </w:tcPr>
          <w:p w14:paraId="161A57BC">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B21管理制度健全性</w:t>
            </w:r>
          </w:p>
        </w:tc>
        <w:tc>
          <w:tcPr>
            <w:tcW w:w="1464" w:type="dxa"/>
            <w:tcBorders>
              <w:top w:val="single" w:color="auto" w:sz="6" w:space="0"/>
              <w:left w:val="single" w:color="auto" w:sz="12" w:space="0"/>
              <w:bottom w:val="single" w:color="auto" w:sz="12" w:space="0"/>
              <w:right w:val="single" w:color="auto" w:sz="12" w:space="0"/>
            </w:tcBorders>
            <w:noWrap/>
            <w:vAlign w:val="center"/>
          </w:tcPr>
          <w:p w14:paraId="7A30D1BB">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14:paraId="0DCC4920">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14:paraId="0734B37C">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100.00%</w:t>
            </w:r>
          </w:p>
        </w:tc>
      </w:tr>
      <w:tr w14:paraId="63E654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14:paraId="0586A742"/>
        </w:tc>
        <w:tc>
          <w:tcPr>
            <w:tcW w:w="2847" w:type="dxa"/>
            <w:tcBorders>
              <w:top w:val="single" w:color="auto" w:sz="6" w:space="0"/>
              <w:left w:val="single" w:color="auto" w:sz="12" w:space="0"/>
              <w:bottom w:val="single" w:color="auto" w:sz="12" w:space="0"/>
              <w:right w:val="single" w:color="auto" w:sz="12" w:space="0"/>
            </w:tcBorders>
            <w:noWrap/>
            <w:vAlign w:val="center"/>
          </w:tcPr>
          <w:p w14:paraId="43F3112F">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B22</w:t>
            </w:r>
            <w:r>
              <w:rPr>
                <w:rFonts w:hint="eastAsia" w:ascii="仿宋" w:eastAsia="仿宋" w:cs="仿宋"/>
                <w:b w:val="0"/>
                <w:bCs w:val="0"/>
                <w:color w:val="000000"/>
                <w:kern w:val="0"/>
                <w:sz w:val="24"/>
                <w:szCs w:val="24"/>
                <w:lang w:val="en-US" w:eastAsia="zh-CN"/>
              </w:rPr>
              <w:t>制度执行有效</w:t>
            </w:r>
            <w:r>
              <w:rPr>
                <w:rFonts w:hint="eastAsia" w:ascii="仿宋" w:eastAsia="仿宋" w:cs="仿宋"/>
                <w:b w:val="0"/>
                <w:bCs w:val="0"/>
                <w:color w:val="000000"/>
                <w:kern w:val="0"/>
                <w:sz w:val="24"/>
                <w:szCs w:val="24"/>
              </w:rPr>
              <w:t>性</w:t>
            </w:r>
          </w:p>
        </w:tc>
        <w:tc>
          <w:tcPr>
            <w:tcW w:w="1464" w:type="dxa"/>
            <w:tcBorders>
              <w:top w:val="single" w:color="auto" w:sz="6" w:space="0"/>
              <w:left w:val="single" w:color="auto" w:sz="12" w:space="0"/>
              <w:bottom w:val="single" w:color="auto" w:sz="12" w:space="0"/>
              <w:right w:val="single" w:color="auto" w:sz="12" w:space="0"/>
            </w:tcBorders>
            <w:noWrap/>
            <w:vAlign w:val="center"/>
          </w:tcPr>
          <w:p w14:paraId="6856604E">
            <w:pPr>
              <w:widowControl/>
              <w:snapToGrid w:val="0"/>
              <w:jc w:val="center"/>
              <w:rPr>
                <w:rFonts w:hint="eastAsia" w:ascii="仿宋" w:eastAsia="仿宋" w:cs="仿宋"/>
                <w:b w:val="0"/>
                <w:bCs w:val="0"/>
                <w:color w:val="000000"/>
                <w:kern w:val="0"/>
                <w:sz w:val="24"/>
                <w:szCs w:val="24"/>
                <w:lang w:val="en-US"/>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14:paraId="6D743FE4">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2.00</w:t>
            </w:r>
          </w:p>
        </w:tc>
        <w:tc>
          <w:tcPr>
            <w:tcW w:w="1428" w:type="dxa"/>
            <w:tcBorders>
              <w:top w:val="single" w:color="auto" w:sz="6" w:space="0"/>
              <w:left w:val="single" w:color="auto" w:sz="12" w:space="0"/>
              <w:bottom w:val="single" w:color="auto" w:sz="12" w:space="0"/>
              <w:right w:val="single" w:color="auto" w:sz="12" w:space="0"/>
            </w:tcBorders>
            <w:noWrap/>
            <w:vAlign w:val="center"/>
          </w:tcPr>
          <w:p w14:paraId="6175BAB7">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50.00%</w:t>
            </w:r>
          </w:p>
        </w:tc>
      </w:tr>
      <w:tr w14:paraId="5AAED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tcBorders>
              <w:top w:val="single" w:color="auto" w:sz="6" w:space="0"/>
              <w:left w:val="single" w:color="auto" w:sz="12" w:space="0"/>
              <w:bottom w:val="single" w:color="auto" w:sz="12" w:space="0"/>
              <w:right w:val="single" w:color="auto" w:sz="12" w:space="0"/>
            </w:tcBorders>
            <w:noWrap/>
            <w:vAlign w:val="center"/>
          </w:tcPr>
          <w:p w14:paraId="21BDF066">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合计</w:t>
            </w:r>
          </w:p>
        </w:tc>
        <w:tc>
          <w:tcPr>
            <w:tcW w:w="1464" w:type="dxa"/>
            <w:tcBorders>
              <w:top w:val="single" w:color="auto" w:sz="6" w:space="0"/>
              <w:left w:val="single" w:color="auto" w:sz="12" w:space="0"/>
              <w:bottom w:val="single" w:color="auto" w:sz="12" w:space="0"/>
              <w:right w:val="single" w:color="auto" w:sz="12" w:space="0"/>
            </w:tcBorders>
            <w:noWrap/>
            <w:vAlign w:val="center"/>
          </w:tcPr>
          <w:p w14:paraId="6074C661">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20.00</w:t>
            </w:r>
          </w:p>
        </w:tc>
        <w:tc>
          <w:tcPr>
            <w:tcW w:w="949" w:type="dxa"/>
            <w:tcBorders>
              <w:top w:val="single" w:color="auto" w:sz="6" w:space="0"/>
              <w:left w:val="single" w:color="auto" w:sz="12" w:space="0"/>
              <w:bottom w:val="single" w:color="auto" w:sz="12" w:space="0"/>
              <w:right w:val="single" w:color="auto" w:sz="12" w:space="0"/>
            </w:tcBorders>
            <w:noWrap/>
            <w:vAlign w:val="center"/>
          </w:tcPr>
          <w:p w14:paraId="7929717E">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18.00</w:t>
            </w:r>
          </w:p>
        </w:tc>
        <w:tc>
          <w:tcPr>
            <w:tcW w:w="1428" w:type="dxa"/>
            <w:tcBorders>
              <w:top w:val="single" w:color="auto" w:sz="6" w:space="0"/>
              <w:left w:val="single" w:color="auto" w:sz="12" w:space="0"/>
              <w:bottom w:val="single" w:color="auto" w:sz="12" w:space="0"/>
              <w:right w:val="single" w:color="auto" w:sz="12" w:space="0"/>
            </w:tcBorders>
            <w:noWrap/>
            <w:vAlign w:val="center"/>
          </w:tcPr>
          <w:p w14:paraId="3D006DFF">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90.00%</w:t>
            </w:r>
          </w:p>
        </w:tc>
      </w:tr>
    </w:tbl>
    <w:p w14:paraId="5B6C6DF3">
      <w:pPr>
        <w:ind w:firstLine="560" w:firstLineChars="200"/>
        <w:rPr>
          <w:rFonts w:hint="eastAsia"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（1）资金管理</w:t>
      </w:r>
    </w:p>
    <w:p w14:paraId="2B5CC62B">
      <w:pPr>
        <w:widowControl/>
        <w:spacing w:line="574" w:lineRule="exact"/>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eastAsia="仿宋" w:cs="仿宋"/>
          <w:b/>
          <w:snapToGrid w:val="0"/>
          <w:sz w:val="28"/>
          <w:szCs w:val="28"/>
          <w:lang w:val="en-US" w:eastAsia="zh-CN"/>
        </w:rPr>
        <w:t>B11</w:t>
      </w:r>
      <w:r>
        <w:rPr>
          <w:rFonts w:hint="eastAsia" w:ascii="仿宋" w:eastAsia="仿宋" w:cs="仿宋"/>
          <w:b/>
          <w:snapToGrid w:val="0"/>
          <w:sz w:val="28"/>
          <w:szCs w:val="28"/>
        </w:rPr>
        <w:t>资金到位率：</w:t>
      </w:r>
      <w:r>
        <w:rPr>
          <w:rFonts w:hint="eastAsia" w:ascii="Times New Roman" w:hAnsi="Times New Roman" w:eastAsia="仿宋" w:cs="Times New Roman"/>
          <w:color w:val="000000"/>
          <w:kern w:val="0"/>
          <w:sz w:val="28"/>
          <w:szCs w:val="24"/>
          <w:lang w:val="en-US" w:eastAsia="zh-CN"/>
        </w:rPr>
        <w:t>满分4.00分，得分4.00分。通过查阅古县财政局下达项目资金的文件和古县南垣乡人民政府财务账簿，截止2022年12月31日，古县南垣乡东池及驼腰村以工代赈田间道路建设工程项目到位资金196.00万元；截止2022年12月31日，项目共计到位资金196.00万元；项目分年度预算资金到位率100%。根据评分标准，该项得满分。</w:t>
      </w:r>
    </w:p>
    <w:p w14:paraId="318A6103">
      <w:pPr>
        <w:widowControl/>
        <w:spacing w:line="574" w:lineRule="exact"/>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eastAsia="仿宋" w:cs="仿宋"/>
          <w:b/>
          <w:snapToGrid w:val="0"/>
          <w:sz w:val="28"/>
          <w:szCs w:val="28"/>
          <w:lang w:val="en-US" w:eastAsia="zh-CN"/>
        </w:rPr>
        <w:t>B12预算</w:t>
      </w:r>
      <w:r>
        <w:rPr>
          <w:rFonts w:hint="eastAsia" w:ascii="仿宋" w:eastAsia="仿宋" w:cs="仿宋"/>
          <w:b/>
          <w:snapToGrid w:val="0"/>
          <w:sz w:val="28"/>
          <w:szCs w:val="28"/>
        </w:rPr>
        <w:t>执行率：</w:t>
      </w:r>
      <w:r>
        <w:rPr>
          <w:rFonts w:hint="eastAsia" w:ascii="Times New Roman" w:hAnsi="Times New Roman" w:eastAsia="仿宋" w:cs="Times New Roman"/>
          <w:color w:val="000000"/>
          <w:kern w:val="0"/>
          <w:sz w:val="28"/>
          <w:szCs w:val="24"/>
          <w:lang w:val="en-US" w:eastAsia="zh-CN"/>
        </w:rPr>
        <w:t>满分4.00分，得分4.00分。通过查阅古县财政局下达项目资金的文件和古县南垣乡人民政府财务账簿，古县南垣乡东池及驼腰村以工代赈田间道路建设工程项目共计到位196.00万元。</w:t>
      </w:r>
      <w:r>
        <w:rPr>
          <w:rFonts w:hint="eastAsia" w:ascii="Times New Roman" w:hAnsi="Times New Roman" w:eastAsia="仿宋" w:cs="Times New Roman"/>
          <w:sz w:val="28"/>
          <w:szCs w:val="24"/>
          <w:lang w:val="en-US" w:eastAsia="zh-CN"/>
        </w:rPr>
        <w:t>根据南垣乡人民政府与林奋建设有限公司签订的《古县南垣乡东池及驼腰村以工代赈田间道路建设工程项目施工合同》</w:t>
      </w:r>
      <w:r>
        <w:rPr>
          <w:rFonts w:hint="eastAsia" w:ascii="Times New Roman" w:hAnsi="Times New Roman" w:eastAsia="仿宋" w:cs="Times New Roman"/>
          <w:color w:val="000000"/>
          <w:kern w:val="0"/>
          <w:sz w:val="28"/>
          <w:szCs w:val="24"/>
          <w:lang w:val="en-US" w:eastAsia="zh-CN"/>
        </w:rPr>
        <w:t>，</w:t>
      </w:r>
      <w:r>
        <w:rPr>
          <w:rFonts w:hint="eastAsia" w:ascii="Times New Roman" w:hAnsi="Times New Roman" w:eastAsia="仿宋" w:cs="Times New Roman"/>
          <w:sz w:val="28"/>
          <w:szCs w:val="24"/>
          <w:lang w:val="en-US" w:eastAsia="zh-CN"/>
        </w:rPr>
        <w:t>施工合同签订后，乙方向甲方提交工程预付款申请报告，由丙方（古县发展和改革局）审核，并按照相关支付程序拨付总造价的30%，作为工程预付款；工程路基、碎石垫层铺设完成后，经验收合格，按照支付程序拨付总造价的40%；工程完工后，经验收合格，按照支付程序拨付总造价的27%；剩佘总造价的3%作为工程质量保证金，质保期过后，无质量问题，按相关程序拨付质保金</w:t>
      </w:r>
      <w:r>
        <w:rPr>
          <w:rFonts w:hint="eastAsia" w:ascii="Times New Roman" w:hAnsi="Times New Roman" w:eastAsia="仿宋" w:cs="Times New Roman"/>
          <w:color w:val="000000"/>
          <w:kern w:val="0"/>
          <w:sz w:val="28"/>
          <w:szCs w:val="24"/>
          <w:lang w:val="en-US" w:eastAsia="zh-CN"/>
        </w:rPr>
        <w:t>。截止2022年12月31日，</w:t>
      </w:r>
      <w:r>
        <w:rPr>
          <w:rFonts w:hint="eastAsia" w:ascii="Times New Roman" w:hAnsi="Times New Roman" w:eastAsia="仿宋" w:cs="Times New Roman"/>
          <w:sz w:val="28"/>
          <w:szCs w:val="24"/>
          <w:lang w:val="en-US" w:eastAsia="zh-CN"/>
        </w:rPr>
        <w:t>省级财政衔接推进乡村振兴以工代赈资金</w:t>
      </w:r>
      <w:r>
        <w:rPr>
          <w:rFonts w:hint="eastAsia" w:ascii="Times New Roman" w:hAnsi="Times New Roman" w:eastAsia="仿宋" w:cs="Times New Roman"/>
          <w:color w:val="000000"/>
          <w:kern w:val="0"/>
          <w:sz w:val="28"/>
          <w:szCs w:val="24"/>
          <w:lang w:val="en-US" w:eastAsia="zh-CN"/>
        </w:rPr>
        <w:t>共计支付196.00万元。预算执行率为100.00%。根据评分标准，该项得满分。</w:t>
      </w:r>
    </w:p>
    <w:p w14:paraId="59E336F8">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lang w:val="en-US" w:eastAsia="zh-CN"/>
        </w:rPr>
        <w:t>B13</w:t>
      </w:r>
      <w:r>
        <w:rPr>
          <w:rFonts w:hint="eastAsia" w:ascii="仿宋" w:eastAsia="仿宋" w:cs="仿宋"/>
          <w:b/>
          <w:snapToGrid w:val="0"/>
          <w:sz w:val="28"/>
          <w:szCs w:val="28"/>
        </w:rPr>
        <w:t>资金使用合规性：</w:t>
      </w:r>
      <w:r>
        <w:rPr>
          <w:rFonts w:hint="eastAsia" w:ascii="Times New Roman" w:hAnsi="Times New Roman" w:eastAsia="仿宋" w:cs="Times New Roman"/>
          <w:sz w:val="28"/>
          <w:szCs w:val="24"/>
          <w:lang w:val="en-US" w:eastAsia="zh-CN"/>
        </w:rPr>
        <w:t>满分4.00分，得分4.00分。通过对古县南垣乡人民政府财务资料的现场核实，古县南垣乡人民政府资金使用符合相关财务管理制度，有完整的审批、拨付手续，支出资金符合预算批复要求，未发现套取、截留、挤占、挪用、虚列支出等情况。根据评分标准，该项得满分。</w:t>
      </w:r>
    </w:p>
    <w:p w14:paraId="209DC6A8">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（2）组织实施</w:t>
      </w:r>
    </w:p>
    <w:p w14:paraId="6ED6EDD0">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管理制度健全性：</w:t>
      </w:r>
      <w:r>
        <w:rPr>
          <w:rFonts w:hint="eastAsia" w:ascii="Times New Roman" w:hAnsi="Times New Roman" w:eastAsia="仿宋" w:cs="Times New Roman"/>
          <w:sz w:val="28"/>
          <w:szCs w:val="24"/>
          <w:lang w:val="en-US" w:eastAsia="zh-CN"/>
        </w:rPr>
        <w:t>满分4.00分，得分4.00分。评价组通过查阅资料和现场调研了解到，项目主管单位和实施单位具备相关财务管理制度和业务管理制度；项目管理等资料基本完整。根据评分标准，该项得满分。</w:t>
      </w:r>
    </w:p>
    <w:p w14:paraId="411EAE5B">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制度执行有效性：</w:t>
      </w:r>
      <w:r>
        <w:rPr>
          <w:rFonts w:hint="eastAsia" w:ascii="Times New Roman" w:hAnsi="Times New Roman" w:eastAsia="仿宋" w:cs="Times New Roman"/>
          <w:sz w:val="28"/>
          <w:szCs w:val="24"/>
          <w:lang w:val="en-US" w:eastAsia="zh-CN"/>
        </w:rPr>
        <w:t>满分4.00分，得分2.00分。评价组通过查阅资料和现场调研了解到，项目主管单位与实施单位按照《国家以工代赈管理办法》和《山西省以工代赈管理实施细则》，严格规范项目申报审批程序，严格执行各项以工代赈政策。一是项目前期工作扎实，古县发展和改革局在明确目标、任务和重点的基础上，认真筛选，合理排序。二是履行年度项目计划方案、可行性研究报告、工程实施方案、项目建议计划编报审批程序，严格项目投资审批程序。提高项目安排的合理性、科学性、可行性。项目实施的可研报告、实施方案均委托具备专业资质的机构编制并经专家评审论证，项目实施方案批复后，项目开工建设，经批准的项目未调整。三是按照国家《财政扶贫资金管理办法》的要求，严格执行资金管理，严格执行不低于以工代赈资金10%的比例发放贫困农民劳务报酬的规定，劳务报酬发放严格管理，公开公正，及时足额。评价组调研了解到，项目严格按照相关业务管理制度实施，项目手续完备，资料能够及时归档，但项目实施过程中，进度管理不到位：根据南垣乡人民政府与林奋建设有限公司签订的《古县南垣乡东池及驼腰村以工代赈田间道路建设工程项目施工合同》：项目期限2022年9月1日至2022年10月30日；项目验收时间为2022年11月14日；但截至2022年12月31日，项目未进行结算审核，项目整体进度管理不到位。根据评分标准，该项得2.00分。</w:t>
      </w:r>
    </w:p>
    <w:p w14:paraId="6C17D2D7">
      <w:pPr>
        <w:widowControl/>
        <w:spacing w:line="574" w:lineRule="exact"/>
        <w:ind w:firstLine="562" w:firstLineChars="200"/>
        <w:outlineLvl w:val="2"/>
        <w:rPr>
          <w:rFonts w:hint="eastAsia" w:ascii="仿宋" w:eastAsia="仿宋" w:cs="仿宋"/>
          <w:b/>
          <w:snapToGrid w:val="0"/>
          <w:sz w:val="28"/>
          <w:szCs w:val="28"/>
        </w:rPr>
      </w:pPr>
      <w:bookmarkStart w:id="139" w:name="_Toc528680468"/>
      <w:bookmarkStart w:id="140" w:name="_Toc30848"/>
      <w:bookmarkStart w:id="141" w:name="_Toc30077"/>
      <w:bookmarkStart w:id="142" w:name="_Toc11431"/>
      <w:bookmarkStart w:id="143" w:name="_Toc18832"/>
      <w:bookmarkStart w:id="144" w:name="_Toc528684143"/>
      <w:bookmarkStart w:id="145" w:name="_Toc29696"/>
      <w:bookmarkStart w:id="146" w:name="_Toc30573"/>
      <w:bookmarkStart w:id="147" w:name="_Toc1319"/>
      <w:r>
        <w:rPr>
          <w:rFonts w:hint="eastAsia" w:ascii="仿宋" w:eastAsia="仿宋" w:cs="仿宋"/>
          <w:b/>
          <w:snapToGrid w:val="0"/>
          <w:sz w:val="28"/>
          <w:szCs w:val="28"/>
        </w:rPr>
        <w:t>3</w:t>
      </w:r>
      <w:r>
        <w:rPr>
          <w:rFonts w:hint="eastAsia" w:ascii="仿宋" w:eastAsia="仿宋" w:cs="仿宋"/>
          <w:b/>
          <w:snapToGrid w:val="0"/>
          <w:sz w:val="28"/>
          <w:szCs w:val="28"/>
          <w:lang w:eastAsia="zh-CN"/>
        </w:rPr>
        <w:t>、</w:t>
      </w:r>
      <w:r>
        <w:rPr>
          <w:rFonts w:hint="eastAsia" w:ascii="仿宋" w:eastAsia="仿宋" w:cs="仿宋"/>
          <w:b/>
          <w:snapToGrid w:val="0"/>
          <w:sz w:val="28"/>
          <w:szCs w:val="28"/>
        </w:rPr>
        <w:t>产出分析</w:t>
      </w:r>
      <w:bookmarkEnd w:id="139"/>
      <w:bookmarkEnd w:id="140"/>
      <w:bookmarkEnd w:id="141"/>
      <w:bookmarkEnd w:id="142"/>
      <w:bookmarkEnd w:id="143"/>
      <w:bookmarkEnd w:id="144"/>
      <w:bookmarkEnd w:id="145"/>
      <w:bookmarkEnd w:id="146"/>
      <w:bookmarkEnd w:id="147"/>
    </w:p>
    <w:p w14:paraId="673419AC">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产出类指标主要从工程完工率、建设规模达标情况、质量达标情况、项目完工及时性、劳务报酬发放及时性、工程成本控制情况、劳务报酬发放比例达标情况7个指标考察该项目产出数量、产出质量、产出时效、成本控制情况。产出类指标权重30.00分，实际得分26.00分。指标得分情况如表4-3所示：</w:t>
      </w:r>
    </w:p>
    <w:p w14:paraId="510441D6">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14:paraId="2768B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1028D0E6">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2860"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653F90FE">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1000"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51D0026D">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1000"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5A590395">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594"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6B87E90C">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14:paraId="618D76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tcBorders>
              <w:top w:val="single" w:color="auto" w:sz="6" w:space="0"/>
              <w:left w:val="single" w:color="auto" w:sz="12" w:space="0"/>
              <w:bottom w:val="single" w:color="auto" w:sz="12" w:space="0"/>
              <w:right w:val="single" w:color="auto" w:sz="12" w:space="0"/>
            </w:tcBorders>
            <w:noWrap/>
            <w:vAlign w:val="center"/>
          </w:tcPr>
          <w:p w14:paraId="4D8EE031">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C1</w:t>
            </w:r>
            <w:r>
              <w:rPr>
                <w:rFonts w:hint="eastAsia" w:ascii="仿宋" w:eastAsia="仿宋" w:cs="仿宋"/>
                <w:color w:val="000000"/>
                <w:kern w:val="0"/>
                <w:sz w:val="24"/>
                <w:szCs w:val="24"/>
                <w:lang w:val="en-US" w:eastAsia="zh-CN"/>
              </w:rPr>
              <w:t>产出数量</w:t>
            </w:r>
          </w:p>
        </w:tc>
        <w:tc>
          <w:tcPr>
            <w:tcW w:w="2860" w:type="dxa"/>
            <w:tcBorders>
              <w:top w:val="single" w:color="auto" w:sz="6" w:space="0"/>
              <w:left w:val="single" w:color="auto" w:sz="12" w:space="0"/>
              <w:bottom w:val="single" w:color="auto" w:sz="12" w:space="0"/>
              <w:right w:val="single" w:color="auto" w:sz="12" w:space="0"/>
            </w:tcBorders>
            <w:noWrap/>
            <w:vAlign w:val="center"/>
          </w:tcPr>
          <w:p w14:paraId="7F8C98DF">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C11工程完工率</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297239F7">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6.00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0E997D98">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6.00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139CF0A5">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192E5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tcBorders>
              <w:top w:val="single" w:color="auto" w:sz="6" w:space="0"/>
              <w:left w:val="single" w:color="auto" w:sz="12" w:space="0"/>
              <w:bottom w:val="single" w:color="auto" w:sz="12" w:space="0"/>
              <w:right w:val="single" w:color="auto" w:sz="12" w:space="0"/>
            </w:tcBorders>
            <w:noWrap/>
            <w:vAlign w:val="center"/>
          </w:tcPr>
          <w:p w14:paraId="610E5245">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C2产出质量</w:t>
            </w:r>
          </w:p>
        </w:tc>
        <w:tc>
          <w:tcPr>
            <w:tcW w:w="2860" w:type="dxa"/>
            <w:tcBorders>
              <w:top w:val="single" w:color="auto" w:sz="6" w:space="0"/>
              <w:left w:val="single" w:color="auto" w:sz="12" w:space="0"/>
              <w:bottom w:val="single" w:color="auto" w:sz="12" w:space="0"/>
              <w:right w:val="single" w:color="auto" w:sz="12" w:space="0"/>
            </w:tcBorders>
            <w:noWrap/>
            <w:vAlign w:val="center"/>
          </w:tcPr>
          <w:p w14:paraId="2E017B7E">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C21建设规模达标情况</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1F45A7DF">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34E275B9">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085BD8A3">
            <w:pPr>
              <w:widowControl/>
              <w:snapToGrid w:val="0"/>
              <w:jc w:val="center"/>
              <w:rPr>
                <w:rFonts w:ascii="仿宋" w:eastAsia="仿宋" w:cs="仿宋"/>
                <w:color w:val="000000"/>
                <w:kern w:val="0"/>
                <w:sz w:val="24"/>
                <w:szCs w:val="24"/>
                <w:lang w:val="en-US"/>
              </w:rPr>
            </w:pPr>
            <w:r>
              <w:rPr>
                <w:rFonts w:hint="eastAsia" w:ascii="仿宋" w:eastAsia="仿宋" w:cs="仿宋"/>
                <w:color w:val="000000"/>
                <w:kern w:val="0"/>
                <w:sz w:val="24"/>
                <w:szCs w:val="24"/>
                <w:lang w:val="en-US" w:eastAsia="zh-CN"/>
              </w:rPr>
              <w:t>100.00%</w:t>
            </w:r>
          </w:p>
        </w:tc>
      </w:tr>
      <w:tr w14:paraId="12EE0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tcBorders>
              <w:top w:val="single" w:color="auto" w:sz="6" w:space="0"/>
              <w:left w:val="single" w:color="auto" w:sz="12" w:space="0"/>
              <w:bottom w:val="single" w:color="auto" w:sz="12" w:space="0"/>
              <w:right w:val="single" w:color="auto" w:sz="12" w:space="0"/>
            </w:tcBorders>
            <w:noWrap/>
            <w:vAlign w:val="center"/>
          </w:tcPr>
          <w:p w14:paraId="29D96A5F"/>
        </w:tc>
        <w:tc>
          <w:tcPr>
            <w:tcW w:w="2860" w:type="dxa"/>
            <w:tcBorders>
              <w:top w:val="single" w:color="auto" w:sz="6" w:space="0"/>
              <w:left w:val="single" w:color="auto" w:sz="12" w:space="0"/>
              <w:bottom w:val="single" w:color="auto" w:sz="12" w:space="0"/>
              <w:right w:val="single" w:color="auto" w:sz="12" w:space="0"/>
            </w:tcBorders>
            <w:noWrap/>
            <w:vAlign w:val="center"/>
          </w:tcPr>
          <w:p w14:paraId="2476D474">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C22质量达标情况</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3E417AC8">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66E1D9A4">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4AE5AD45">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01FB28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rPr>
        <w:tc>
          <w:tcPr>
            <w:tcW w:w="2068" w:type="dxa"/>
            <w:vMerge w:val="restart"/>
            <w:tcBorders>
              <w:top w:val="single" w:color="auto" w:sz="6" w:space="0"/>
              <w:left w:val="single" w:color="auto" w:sz="12" w:space="0"/>
              <w:bottom w:val="single" w:color="auto" w:sz="12" w:space="0"/>
              <w:right w:val="single" w:color="auto" w:sz="12" w:space="0"/>
            </w:tcBorders>
            <w:noWrap/>
            <w:vAlign w:val="center"/>
          </w:tcPr>
          <w:p w14:paraId="4DC10625">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C3产出时效</w:t>
            </w:r>
          </w:p>
        </w:tc>
        <w:tc>
          <w:tcPr>
            <w:tcW w:w="2860" w:type="dxa"/>
            <w:tcBorders>
              <w:top w:val="single" w:color="auto" w:sz="6" w:space="0"/>
              <w:left w:val="single" w:color="auto" w:sz="12" w:space="0"/>
              <w:bottom w:val="single" w:color="auto" w:sz="12" w:space="0"/>
              <w:right w:val="single" w:color="auto" w:sz="12" w:space="0"/>
            </w:tcBorders>
            <w:noWrap/>
            <w:vAlign w:val="center"/>
          </w:tcPr>
          <w:p w14:paraId="0A8E0059">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C31项目完工及时性</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710D82FB">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2236E5B8">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79CEC61D">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14:paraId="379CE8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rPr>
        <w:tc>
          <w:tcPr>
            <w:tcW w:w="2068" w:type="dxa"/>
            <w:vMerge w:val="continue"/>
            <w:tcBorders>
              <w:top w:val="single" w:color="auto" w:sz="6" w:space="0"/>
              <w:left w:val="single" w:color="auto" w:sz="12" w:space="0"/>
              <w:bottom w:val="single" w:color="auto" w:sz="12" w:space="0"/>
              <w:right w:val="single" w:color="auto" w:sz="12" w:space="0"/>
            </w:tcBorders>
            <w:noWrap/>
            <w:vAlign w:val="center"/>
          </w:tcPr>
          <w:p w14:paraId="1D80CA72"/>
        </w:tc>
        <w:tc>
          <w:tcPr>
            <w:tcW w:w="2860" w:type="dxa"/>
            <w:tcBorders>
              <w:top w:val="single" w:color="auto" w:sz="6" w:space="0"/>
              <w:left w:val="single" w:color="auto" w:sz="12" w:space="0"/>
              <w:bottom w:val="single" w:color="auto" w:sz="12" w:space="0"/>
              <w:right w:val="single" w:color="auto" w:sz="12" w:space="0"/>
            </w:tcBorders>
            <w:noWrap/>
            <w:vAlign w:val="center"/>
          </w:tcPr>
          <w:p w14:paraId="3451A8F2">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C32劳务报酬发放及时性</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67FC46EF">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0C69870B">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190957BA">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522F2F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tcBorders>
              <w:top w:val="single" w:color="auto" w:sz="6" w:space="0"/>
              <w:left w:val="single" w:color="auto" w:sz="12" w:space="0"/>
              <w:bottom w:val="single" w:color="auto" w:sz="12" w:space="0"/>
              <w:right w:val="single" w:color="auto" w:sz="12" w:space="0"/>
            </w:tcBorders>
            <w:noWrap/>
            <w:vAlign w:val="center"/>
          </w:tcPr>
          <w:p w14:paraId="7B086C48">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C4产出成本</w:t>
            </w:r>
          </w:p>
        </w:tc>
        <w:tc>
          <w:tcPr>
            <w:tcW w:w="2860" w:type="dxa"/>
            <w:tcBorders>
              <w:top w:val="single" w:color="auto" w:sz="6" w:space="0"/>
              <w:left w:val="single" w:color="auto" w:sz="12" w:space="0"/>
              <w:bottom w:val="single" w:color="auto" w:sz="12" w:space="0"/>
              <w:right w:val="single" w:color="auto" w:sz="12" w:space="0"/>
            </w:tcBorders>
            <w:noWrap/>
            <w:vAlign w:val="center"/>
          </w:tcPr>
          <w:p w14:paraId="0619F845">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C41工程成本控制情况</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6D2AAD53">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23CFD689">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0.00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66D63236">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0.00%</w:t>
            </w:r>
          </w:p>
        </w:tc>
      </w:tr>
      <w:tr w14:paraId="150E3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tcBorders>
              <w:top w:val="single" w:color="auto" w:sz="6" w:space="0"/>
              <w:left w:val="single" w:color="auto" w:sz="12" w:space="0"/>
              <w:bottom w:val="single" w:color="auto" w:sz="12" w:space="0"/>
              <w:right w:val="single" w:color="auto" w:sz="12" w:space="0"/>
            </w:tcBorders>
            <w:noWrap/>
            <w:vAlign w:val="center"/>
          </w:tcPr>
          <w:p w14:paraId="36C16891"/>
        </w:tc>
        <w:tc>
          <w:tcPr>
            <w:tcW w:w="2860" w:type="dxa"/>
            <w:tcBorders>
              <w:top w:val="single" w:color="auto" w:sz="6" w:space="0"/>
              <w:left w:val="single" w:color="auto" w:sz="12" w:space="0"/>
              <w:bottom w:val="single" w:color="auto" w:sz="12" w:space="0"/>
              <w:right w:val="single" w:color="auto" w:sz="12" w:space="0"/>
            </w:tcBorders>
            <w:noWrap/>
            <w:vAlign w:val="center"/>
          </w:tcPr>
          <w:p w14:paraId="409F65E1">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C42劳务报酬发放比例达标情况</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018611EA">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6F1C8F74">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3B6CE340">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50.00%</w:t>
            </w:r>
          </w:p>
        </w:tc>
      </w:tr>
      <w:tr w14:paraId="2F850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tcBorders>
              <w:top w:val="single" w:color="auto" w:sz="6" w:space="0"/>
              <w:left w:val="single" w:color="auto" w:sz="12" w:space="0"/>
              <w:bottom w:val="single" w:color="auto" w:sz="12" w:space="0"/>
              <w:right w:val="single" w:color="auto" w:sz="12" w:space="0"/>
            </w:tcBorders>
            <w:noWrap/>
            <w:vAlign w:val="center"/>
          </w:tcPr>
          <w:p w14:paraId="290C356F">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345873FB">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30</w:t>
            </w:r>
            <w:r>
              <w:rPr>
                <w:rFonts w:hint="eastAsia" w:ascii="仿宋" w:eastAsia="仿宋" w:cs="仿宋"/>
                <w:color w:val="000000"/>
                <w:kern w:val="0"/>
                <w:sz w:val="24"/>
                <w:szCs w:val="24"/>
                <w:lang w:val="en-US" w:eastAsia="zh-CN"/>
              </w:rPr>
              <w:t>.00</w:t>
            </w:r>
          </w:p>
        </w:tc>
        <w:tc>
          <w:tcPr>
            <w:tcW w:w="1000" w:type="dxa"/>
            <w:tcBorders>
              <w:top w:val="single" w:color="auto" w:sz="6" w:space="0"/>
              <w:left w:val="single" w:color="auto" w:sz="12" w:space="0"/>
              <w:bottom w:val="single" w:color="auto" w:sz="12" w:space="0"/>
              <w:right w:val="single" w:color="auto" w:sz="12" w:space="0"/>
            </w:tcBorders>
            <w:noWrap/>
            <w:vAlign w:val="center"/>
          </w:tcPr>
          <w:p w14:paraId="06EC69DA">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24.00</w:t>
            </w:r>
          </w:p>
        </w:tc>
        <w:tc>
          <w:tcPr>
            <w:tcW w:w="1594" w:type="dxa"/>
            <w:tcBorders>
              <w:top w:val="single" w:color="auto" w:sz="6" w:space="0"/>
              <w:left w:val="single" w:color="auto" w:sz="12" w:space="0"/>
              <w:bottom w:val="single" w:color="auto" w:sz="12" w:space="0"/>
              <w:right w:val="single" w:color="auto" w:sz="12" w:space="0"/>
            </w:tcBorders>
            <w:noWrap/>
            <w:vAlign w:val="center"/>
          </w:tcPr>
          <w:p w14:paraId="45E096E5">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80.00%</w:t>
            </w:r>
          </w:p>
        </w:tc>
      </w:tr>
    </w:tbl>
    <w:p w14:paraId="6189D753">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（1）产出数量</w:t>
      </w:r>
    </w:p>
    <w:p w14:paraId="3932EF6A">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C11</w:t>
      </w:r>
      <w:r>
        <w:rPr>
          <w:rFonts w:hint="eastAsia" w:ascii="仿宋" w:eastAsia="仿宋" w:cs="仿宋"/>
          <w:b/>
          <w:snapToGrid w:val="0"/>
          <w:sz w:val="28"/>
          <w:szCs w:val="28"/>
          <w:lang w:val="en-US" w:eastAsia="zh-CN"/>
        </w:rPr>
        <w:t>工程完工率</w:t>
      </w:r>
      <w:r>
        <w:rPr>
          <w:rFonts w:hint="eastAsia" w:ascii="仿宋" w:eastAsia="仿宋" w:cs="仿宋"/>
          <w:b/>
          <w:snapToGrid w:val="0"/>
          <w:sz w:val="28"/>
          <w:szCs w:val="28"/>
        </w:rPr>
        <w:t>：</w:t>
      </w:r>
      <w:r>
        <w:rPr>
          <w:rFonts w:hint="eastAsia" w:ascii="Times New Roman" w:hAnsi="Times New Roman" w:eastAsia="仿宋" w:cs="Times New Roman"/>
          <w:sz w:val="28"/>
          <w:szCs w:val="24"/>
          <w:lang w:val="en-US" w:eastAsia="zh-CN"/>
        </w:rPr>
        <w:t>满分6.00分，得分6.00分。根据古县行政审批服务管理局《关于对古县南垣乡东池及驼腰村以工代赈田间道路建设工程项目可行性研究报告的批复》（古审管审发〔2022〕18号），项目计划建设内容为：改建东池村和驼腰村（山头村组）5条田间道路，道路全长2.835km.东池村田间道路共3条支线，路线全长2.135km，其中：1.393km，支线2长0.424km，支线3长支线1长0.318km；驼腰村（山头村组）田间道路共2条支线，路线全长0.7km，其中，支线1长0.63Km，支线2长0.07Km。</w:t>
      </w:r>
    </w:p>
    <w:p w14:paraId="2EBBDDFA">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11月14日，建设单位古县南垣乡人民政府、监督单位古县发展和改革局、监理单位郑州众诚建设咨询有限公司、施工单位林奋建设有限公司联合签署《古县以工代赈项目验收表》，项目计划实施内容全部完成。根据评分标准，该项得满分。</w:t>
      </w:r>
    </w:p>
    <w:p w14:paraId="50AA0549">
      <w:pPr>
        <w:spacing w:line="574" w:lineRule="exact"/>
        <w:ind w:firstLine="560" w:firstLineChars="200"/>
        <w:rPr>
          <w:rFonts w:hint="eastAsia" w:ascii="仿宋" w:eastAsia="仿宋" w:cs="仿宋"/>
          <w:b/>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产出质量</w:t>
      </w:r>
    </w:p>
    <w:p w14:paraId="2F5B3949">
      <w:pPr>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C21建设规模达标情况</w:t>
      </w:r>
      <w:r>
        <w:rPr>
          <w:rFonts w:hint="eastAsia" w:asci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满分4.00分，得分4.00分。根据项目实施方案，建设规模为路基拓宽、整修、路面结构层铺设。依据《工程竣工验收单》，项目建设规模达到预期目标。根据评分标准，该项得满分。</w:t>
      </w:r>
    </w:p>
    <w:p w14:paraId="1D7269C8">
      <w:pPr>
        <w:widowControl/>
        <w:spacing w:line="574" w:lineRule="exact"/>
        <w:ind w:firstLine="562" w:firstLineChars="200"/>
        <w:rPr>
          <w:rFonts w:ascii="Times New Roman" w:hAnsi="Times New Roman" w:eastAsia="仿宋" w:cs="Times New Roman"/>
          <w:sz w:val="28"/>
          <w:szCs w:val="24"/>
          <w:lang w:val="en-US" w:eastAsia="zh-CN"/>
        </w:rPr>
      </w:pPr>
      <w:r>
        <w:rPr>
          <w:rFonts w:hint="eastAsia" w:ascii="仿宋" w:eastAsia="仿宋" w:cs="仿宋"/>
          <w:b/>
          <w:snapToGrid w:val="0"/>
          <w:sz w:val="28"/>
          <w:szCs w:val="28"/>
        </w:rPr>
        <w:t>C22质量达标情况</w:t>
      </w:r>
      <w:r>
        <w:rPr>
          <w:rFonts w:hint="eastAsia" w:asci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2022年11月14日，建设单位古县南垣乡人民政府、监督单位古县发展和改革局、监理单位郑州众诚建设咨询有限公司、施工单位林奋建设有限公司联合签署《古县以工代赈项目验收表》，项目计划实施内容为：拟改建东池村和驼腰村5条田间道路，全长2.835km，设计路基宽4.5m，路面宽3.5m，包括路基、路面工程、错车道8处，挖除原水泥混凝土及砂砾垫层；项目实际完成内容为：完成建设长度3.0127Km，路面宽3.5米，错车道8处，符合设计要求。根据评分标准，该项得满分。</w:t>
      </w:r>
    </w:p>
    <w:p w14:paraId="6EE0C72B">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（3）产出时效</w:t>
      </w:r>
    </w:p>
    <w:p w14:paraId="24318154">
      <w:pPr>
        <w:widowControl/>
        <w:spacing w:line="574" w:lineRule="exact"/>
        <w:ind w:firstLine="562" w:firstLineChars="200"/>
        <w:rPr>
          <w:rFonts w:ascii="Times New Roman" w:hAnsi="Times New Roman" w:eastAsia="仿宋" w:cs="Times New Roman"/>
          <w:sz w:val="28"/>
          <w:szCs w:val="24"/>
          <w:lang w:val="en-US" w:eastAsia="zh-CN"/>
        </w:rPr>
      </w:pPr>
      <w:r>
        <w:rPr>
          <w:rFonts w:hint="eastAsia" w:ascii="仿宋" w:eastAsia="仿宋" w:cs="仿宋"/>
          <w:b/>
          <w:snapToGrid w:val="0"/>
          <w:sz w:val="28"/>
          <w:szCs w:val="28"/>
        </w:rPr>
        <w:t>C31项目完工及时性</w:t>
      </w:r>
      <w:r>
        <w:rPr>
          <w:rFonts w:hint="eastAsia" w:asci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根据南垣乡人民政府与林奋建设有限公司签订的《古县南垣乡东池及驼腰村以工代赈田间道路建设工程项目施工合同》：项目期限2022年9月1日至2022年10月30日；实际项目于2022年9月1日开工，于2022年10月30日竣工，项目完工及时。根据评分标准，该项得满分。</w:t>
      </w:r>
    </w:p>
    <w:p w14:paraId="7B2AC05F">
      <w:pPr>
        <w:widowControl/>
        <w:spacing w:line="574" w:lineRule="exact"/>
        <w:ind w:firstLine="562" w:firstLineChars="200"/>
        <w:rPr>
          <w:rFonts w:ascii="Times New Roman" w:hAnsi="Times New Roman" w:eastAsia="仿宋" w:cs="Times New Roman"/>
          <w:sz w:val="28"/>
          <w:szCs w:val="24"/>
          <w:lang w:val="en-US" w:eastAsia="zh-CN"/>
        </w:rPr>
      </w:pPr>
      <w:r>
        <w:rPr>
          <w:rFonts w:hint="eastAsia" w:ascii="仿宋" w:eastAsia="仿宋" w:cs="仿宋"/>
          <w:b/>
          <w:snapToGrid w:val="0"/>
          <w:sz w:val="28"/>
          <w:szCs w:val="28"/>
        </w:rPr>
        <w:t>C32劳务报酬发放及时性</w:t>
      </w:r>
      <w:r>
        <w:rPr>
          <w:rFonts w:hint="eastAsia" w:asci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根据林奋建设有限公司出具的《劳务报酬发放台账》：项目共计务工人数64人（当地59人，外地5人），涉及贫困户32人，其中搬迁户务工人数16人，共计发放劳务报酬396629元；其中贫困户发放劳务报酬157397元，非贫困户劳务报酬239232元；上述劳务报酬已全部按月足额发放。根据评分标准，该项得满分。</w:t>
      </w:r>
    </w:p>
    <w:p w14:paraId="072A59EA">
      <w:pPr>
        <w:widowControl/>
        <w:spacing w:line="574" w:lineRule="exact"/>
        <w:ind w:firstLine="560" w:firstLineChars="200"/>
        <w:rPr>
          <w:rFonts w:hint="eastAsia" w:ascii="仿宋" w:eastAsia="仿宋" w:cs="仿宋"/>
          <w:snapToGrid w:val="0"/>
          <w:sz w:val="28"/>
          <w:szCs w:val="28"/>
          <w:lang w:eastAsia="zh-CN"/>
        </w:rPr>
      </w:pPr>
      <w:r>
        <w:rPr>
          <w:rFonts w:hint="eastAsia" w:ascii="仿宋" w:eastAsia="仿宋" w:cs="仿宋"/>
          <w:snapToGrid w:val="0"/>
          <w:sz w:val="28"/>
          <w:szCs w:val="28"/>
          <w:lang w:eastAsia="zh-CN"/>
        </w:rPr>
        <w:t>（</w:t>
      </w:r>
      <w:r>
        <w:rPr>
          <w:rFonts w:hint="eastAsia" w:ascii="仿宋" w:eastAsia="仿宋" w:cs="仿宋"/>
          <w:snapToGrid w:val="0"/>
          <w:sz w:val="28"/>
          <w:szCs w:val="28"/>
          <w:lang w:val="en-US" w:eastAsia="zh-CN"/>
        </w:rPr>
        <w:t>4</w:t>
      </w:r>
      <w:r>
        <w:rPr>
          <w:rFonts w:hint="eastAsia" w:ascii="仿宋" w:eastAsia="仿宋" w:cs="仿宋"/>
          <w:snapToGrid w:val="0"/>
          <w:sz w:val="28"/>
          <w:szCs w:val="28"/>
          <w:lang w:eastAsia="zh-CN"/>
        </w:rPr>
        <w:t>）</w:t>
      </w:r>
      <w:r>
        <w:rPr>
          <w:rFonts w:hint="eastAsia" w:ascii="仿宋" w:eastAsia="仿宋" w:cs="仿宋"/>
          <w:snapToGrid w:val="0"/>
          <w:sz w:val="28"/>
          <w:szCs w:val="28"/>
          <w:lang w:val="en-US" w:eastAsia="zh-CN"/>
        </w:rPr>
        <w:t>产出成本</w:t>
      </w:r>
    </w:p>
    <w:p w14:paraId="2D54EE74">
      <w:pPr>
        <w:widowControl w:val="0"/>
        <w:spacing w:line="500" w:lineRule="exact"/>
        <w:ind w:left="0" w:firstLine="562" w:firstLineChars="200"/>
        <w:jc w:val="both"/>
        <w:rPr>
          <w:rFonts w:ascii="Times New Roman" w:hAnsi="Times New Roman" w:eastAsia="仿宋" w:cs="Times New Roman"/>
          <w:sz w:val="28"/>
          <w:szCs w:val="24"/>
          <w:lang w:val="en-US" w:eastAsia="zh-CN"/>
        </w:rPr>
      </w:pPr>
      <w:r>
        <w:rPr>
          <w:rFonts w:hint="eastAsia" w:ascii="仿宋" w:eastAsia="仿宋" w:cs="仿宋"/>
          <w:b/>
          <w:snapToGrid w:val="0"/>
          <w:sz w:val="28"/>
          <w:szCs w:val="28"/>
        </w:rPr>
        <w:t>C41工程成本控制情况</w:t>
      </w:r>
      <w:r>
        <w:rPr>
          <w:rFonts w:hint="eastAsia" w:asci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0.00分。根据南垣乡人民政府与林奋建设有限公司签订的《古县南垣乡东池及驼腰村以工代赈田间道路建设工程项目施工合同》，项目合同金额192.00万元；截止2022年12月31日，项目尚未结算审核；但根据林奋建设有限公司提交的《古县南垣乡东池及驼腰村以工代赈田间道路建设工程结算书》，申请结算金额2109030.00元＞合同价1920000.00元，申请结算金额超合同价的比重为9.80%＞5%；工程成本控制不到位。根据评分标准，该项得0.00分。</w:t>
      </w:r>
    </w:p>
    <w:p w14:paraId="6CDFA2F1">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C42劳务报酬发放比例达标情况</w:t>
      </w:r>
      <w:r>
        <w:rPr>
          <w:rFonts w:hint="eastAsia" w:asci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2.00分。根据《国家发改委关于印发&lt;全国“十三五”以工代赈工作方案&gt;的通知》（发改地区〔2016〕2541号）的有关要求，发放劳务报酬比例不低于该项目中央资金的10%，建档立卡贫困人口发放的劳务报酬比例不低于该项目劳务报酬的50%。 根据林奋建设有限公司出具的《劳务报酬发放台账》：项目共计务工人数64人（当地59人，外地5人），涉及贫困户32人，其中搬迁户务工人数16人，共计发放劳务报酬396629元超多总投资的10%；其中贫困户发放劳务报酬157397元占总发放劳务报酬的39.68＜50%。根据评分标准，该项得2.00分。</w:t>
      </w:r>
    </w:p>
    <w:p w14:paraId="5F15B136">
      <w:pPr>
        <w:spacing w:line="574" w:lineRule="exact"/>
        <w:ind w:firstLine="562" w:firstLineChars="200"/>
        <w:outlineLvl w:val="2"/>
        <w:rPr>
          <w:rFonts w:hint="eastAsia" w:ascii="仿宋" w:eastAsia="仿宋" w:cs="仿宋"/>
          <w:b/>
          <w:snapToGrid w:val="0"/>
          <w:sz w:val="28"/>
          <w:szCs w:val="28"/>
        </w:rPr>
      </w:pPr>
      <w:bookmarkStart w:id="148" w:name="_Toc19098"/>
      <w:bookmarkStart w:id="149" w:name="_Toc22268"/>
      <w:bookmarkStart w:id="150" w:name="_Toc22301"/>
      <w:bookmarkStart w:id="151" w:name="_Toc528680469"/>
      <w:bookmarkStart w:id="152" w:name="_Toc8932"/>
      <w:bookmarkStart w:id="153" w:name="_Toc31873"/>
      <w:bookmarkStart w:id="154" w:name="_Toc7044"/>
      <w:bookmarkStart w:id="155" w:name="_Toc3853"/>
      <w:bookmarkStart w:id="156" w:name="_Toc528684144"/>
      <w:r>
        <w:rPr>
          <w:rFonts w:hint="eastAsia" w:ascii="仿宋" w:eastAsia="仿宋" w:cs="仿宋"/>
          <w:b/>
          <w:snapToGrid w:val="0"/>
          <w:sz w:val="28"/>
          <w:szCs w:val="28"/>
        </w:rPr>
        <w:t>4</w:t>
      </w:r>
      <w:r>
        <w:rPr>
          <w:rFonts w:hint="eastAsia" w:ascii="仿宋" w:eastAsia="仿宋" w:cs="仿宋"/>
          <w:b/>
          <w:snapToGrid w:val="0"/>
          <w:sz w:val="28"/>
          <w:szCs w:val="28"/>
          <w:lang w:eastAsia="zh-CN"/>
        </w:rPr>
        <w:t>、</w:t>
      </w:r>
      <w:r>
        <w:rPr>
          <w:rFonts w:hint="eastAsia" w:ascii="仿宋" w:eastAsia="仿宋" w:cs="仿宋"/>
          <w:b/>
          <w:snapToGrid w:val="0"/>
          <w:sz w:val="28"/>
          <w:szCs w:val="28"/>
        </w:rPr>
        <w:t>效益分析</w:t>
      </w:r>
      <w:bookmarkEnd w:id="148"/>
      <w:bookmarkEnd w:id="149"/>
      <w:bookmarkEnd w:id="150"/>
      <w:bookmarkEnd w:id="151"/>
      <w:bookmarkEnd w:id="152"/>
      <w:bookmarkEnd w:id="153"/>
      <w:bookmarkEnd w:id="154"/>
      <w:bookmarkEnd w:id="155"/>
      <w:bookmarkEnd w:id="156"/>
    </w:p>
    <w:p w14:paraId="4C75937A">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效益类指标主要从项目区人均纯收入增加、农产品运输成本、完善农村路网基础设施、后期维护与管理、项目区农民满意度5个指标考察该项目的经济效益、社会效益、可持续影响、服务对象满意度情况。效益类指标权重30.00分，实际得分25.00分。指标得分情况如表4-4所示：</w:t>
      </w:r>
    </w:p>
    <w:p w14:paraId="2C48DB92">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361"/>
        <w:gridCol w:w="3141"/>
        <w:gridCol w:w="840"/>
        <w:gridCol w:w="840"/>
        <w:gridCol w:w="1340"/>
      </w:tblGrid>
      <w:tr w14:paraId="2DE7A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665229E3">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141"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29EA2116">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840"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06E57B7A">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840"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5A6C0380">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340"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15E76981">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14:paraId="2EA199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tcBorders>
              <w:top w:val="single" w:color="auto" w:sz="6" w:space="0"/>
              <w:left w:val="single" w:color="auto" w:sz="12" w:space="0"/>
              <w:bottom w:val="single" w:color="auto" w:sz="12" w:space="0"/>
              <w:right w:val="single" w:color="auto" w:sz="12" w:space="0"/>
            </w:tcBorders>
            <w:noWrap/>
            <w:vAlign w:val="center"/>
          </w:tcPr>
          <w:p w14:paraId="29DD94D7">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D1</w:t>
            </w:r>
            <w:r>
              <w:rPr>
                <w:rFonts w:hint="eastAsia" w:ascii="仿宋" w:eastAsia="仿宋" w:cs="仿宋"/>
                <w:color w:val="000000"/>
                <w:kern w:val="0"/>
                <w:sz w:val="24"/>
                <w:szCs w:val="24"/>
                <w:lang w:val="en-US" w:eastAsia="zh-CN"/>
              </w:rPr>
              <w:t>经济</w:t>
            </w:r>
            <w:r>
              <w:rPr>
                <w:rFonts w:hint="eastAsia" w:ascii="仿宋" w:eastAsia="仿宋" w:cs="仿宋"/>
                <w:color w:val="000000"/>
                <w:kern w:val="0"/>
                <w:sz w:val="24"/>
                <w:szCs w:val="24"/>
              </w:rPr>
              <w:t>效益</w:t>
            </w:r>
          </w:p>
        </w:tc>
        <w:tc>
          <w:tcPr>
            <w:tcW w:w="3141" w:type="dxa"/>
            <w:tcBorders>
              <w:top w:val="single" w:color="auto" w:sz="6" w:space="0"/>
              <w:left w:val="single" w:color="auto" w:sz="12" w:space="0"/>
              <w:bottom w:val="single" w:color="auto" w:sz="12" w:space="0"/>
              <w:right w:val="single" w:color="auto" w:sz="12" w:space="0"/>
            </w:tcBorders>
            <w:noWrap/>
            <w:vAlign w:val="center"/>
          </w:tcPr>
          <w:p w14:paraId="2BA28B47">
            <w:pPr>
              <w:spacing w:line="400" w:lineRule="exact"/>
              <w:jc w:val="center"/>
              <w:rPr>
                <w:rFonts w:hint="eastAsia" w:asci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D11项目区人均纯收入增加</w:t>
            </w:r>
          </w:p>
        </w:tc>
        <w:tc>
          <w:tcPr>
            <w:tcW w:w="840" w:type="dxa"/>
            <w:tcBorders>
              <w:top w:val="single" w:color="auto" w:sz="6" w:space="0"/>
              <w:left w:val="single" w:color="auto" w:sz="12" w:space="0"/>
              <w:bottom w:val="single" w:color="auto" w:sz="12" w:space="0"/>
              <w:right w:val="single" w:color="auto" w:sz="12" w:space="0"/>
            </w:tcBorders>
            <w:noWrap/>
            <w:vAlign w:val="center"/>
          </w:tcPr>
          <w:p w14:paraId="534964AE">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840" w:type="dxa"/>
            <w:tcBorders>
              <w:top w:val="single" w:color="auto" w:sz="6" w:space="0"/>
              <w:left w:val="single" w:color="auto" w:sz="12" w:space="0"/>
              <w:bottom w:val="single" w:color="auto" w:sz="12" w:space="0"/>
              <w:right w:val="single" w:color="auto" w:sz="12" w:space="0"/>
            </w:tcBorders>
            <w:noWrap/>
            <w:vAlign w:val="center"/>
          </w:tcPr>
          <w:p w14:paraId="6C59EA6D">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1340" w:type="dxa"/>
            <w:tcBorders>
              <w:top w:val="single" w:color="auto" w:sz="6" w:space="0"/>
              <w:left w:val="single" w:color="auto" w:sz="12" w:space="0"/>
              <w:bottom w:val="single" w:color="auto" w:sz="12" w:space="0"/>
              <w:right w:val="single" w:color="auto" w:sz="12" w:space="0"/>
            </w:tcBorders>
            <w:noWrap/>
            <w:vAlign w:val="center"/>
          </w:tcPr>
          <w:p w14:paraId="2FF5352C">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1F9922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vMerge w:val="restart"/>
            <w:tcBorders>
              <w:top w:val="single" w:color="auto" w:sz="6" w:space="0"/>
              <w:left w:val="single" w:color="auto" w:sz="12" w:space="0"/>
              <w:bottom w:val="single" w:color="auto" w:sz="12" w:space="0"/>
              <w:right w:val="single" w:color="auto" w:sz="12" w:space="0"/>
            </w:tcBorders>
            <w:noWrap/>
            <w:vAlign w:val="center"/>
          </w:tcPr>
          <w:p w14:paraId="1D933835">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D2社会效益</w:t>
            </w:r>
          </w:p>
        </w:tc>
        <w:tc>
          <w:tcPr>
            <w:tcW w:w="3141" w:type="dxa"/>
            <w:tcBorders>
              <w:top w:val="single" w:color="auto" w:sz="6" w:space="0"/>
              <w:left w:val="single" w:color="auto" w:sz="12" w:space="0"/>
              <w:bottom w:val="single" w:color="auto" w:sz="12" w:space="0"/>
              <w:right w:val="single" w:color="auto" w:sz="12" w:space="0"/>
            </w:tcBorders>
            <w:noWrap/>
            <w:vAlign w:val="center"/>
          </w:tcPr>
          <w:p w14:paraId="1F9174CF">
            <w:pPr>
              <w:spacing w:line="400" w:lineRule="exact"/>
              <w:jc w:val="center"/>
              <w:rPr>
                <w:rFonts w:hint="eastAsia" w:asci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D21农产品运输成本</w:t>
            </w:r>
          </w:p>
        </w:tc>
        <w:tc>
          <w:tcPr>
            <w:tcW w:w="840" w:type="dxa"/>
            <w:tcBorders>
              <w:top w:val="single" w:color="auto" w:sz="6" w:space="0"/>
              <w:left w:val="single" w:color="auto" w:sz="12" w:space="0"/>
              <w:bottom w:val="single" w:color="auto" w:sz="12" w:space="0"/>
              <w:right w:val="single" w:color="auto" w:sz="12" w:space="0"/>
            </w:tcBorders>
            <w:noWrap/>
            <w:vAlign w:val="center"/>
          </w:tcPr>
          <w:p w14:paraId="15913863">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840" w:type="dxa"/>
            <w:tcBorders>
              <w:top w:val="single" w:color="auto" w:sz="6" w:space="0"/>
              <w:left w:val="single" w:color="auto" w:sz="12" w:space="0"/>
              <w:bottom w:val="single" w:color="auto" w:sz="12" w:space="0"/>
              <w:right w:val="single" w:color="auto" w:sz="12" w:space="0"/>
            </w:tcBorders>
            <w:noWrap/>
            <w:vAlign w:val="center"/>
          </w:tcPr>
          <w:p w14:paraId="52C54924">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1340" w:type="dxa"/>
            <w:tcBorders>
              <w:top w:val="single" w:color="auto" w:sz="6" w:space="0"/>
              <w:left w:val="single" w:color="auto" w:sz="12" w:space="0"/>
              <w:bottom w:val="single" w:color="auto" w:sz="12" w:space="0"/>
              <w:right w:val="single" w:color="auto" w:sz="12" w:space="0"/>
            </w:tcBorders>
            <w:noWrap/>
            <w:vAlign w:val="center"/>
          </w:tcPr>
          <w:p w14:paraId="0E382D33">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304399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vMerge w:val="continue"/>
            <w:tcBorders>
              <w:top w:val="single" w:color="auto" w:sz="6" w:space="0"/>
              <w:left w:val="single" w:color="auto" w:sz="12" w:space="0"/>
              <w:bottom w:val="single" w:color="auto" w:sz="12" w:space="0"/>
              <w:right w:val="single" w:color="auto" w:sz="12" w:space="0"/>
            </w:tcBorders>
            <w:noWrap/>
            <w:vAlign w:val="center"/>
          </w:tcPr>
          <w:p w14:paraId="7D0C2531"/>
        </w:tc>
        <w:tc>
          <w:tcPr>
            <w:tcW w:w="3141" w:type="dxa"/>
            <w:tcBorders>
              <w:top w:val="single" w:color="auto" w:sz="6" w:space="0"/>
              <w:left w:val="single" w:color="auto" w:sz="12" w:space="0"/>
              <w:bottom w:val="single" w:color="auto" w:sz="12" w:space="0"/>
              <w:right w:val="single" w:color="auto" w:sz="12" w:space="0"/>
            </w:tcBorders>
            <w:noWrap/>
            <w:vAlign w:val="center"/>
          </w:tcPr>
          <w:p w14:paraId="40C778AE">
            <w:pPr>
              <w:spacing w:line="400" w:lineRule="exact"/>
              <w:jc w:val="center"/>
              <w:rPr>
                <w:rFonts w:hint="eastAsia" w:asci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D22完善农村路网基础设施</w:t>
            </w:r>
          </w:p>
        </w:tc>
        <w:tc>
          <w:tcPr>
            <w:tcW w:w="840" w:type="dxa"/>
            <w:tcBorders>
              <w:top w:val="single" w:color="auto" w:sz="6" w:space="0"/>
              <w:left w:val="single" w:color="auto" w:sz="12" w:space="0"/>
              <w:bottom w:val="single" w:color="auto" w:sz="12" w:space="0"/>
              <w:right w:val="single" w:color="auto" w:sz="12" w:space="0"/>
            </w:tcBorders>
            <w:noWrap/>
            <w:vAlign w:val="center"/>
          </w:tcPr>
          <w:p w14:paraId="2D60C319">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w:t>
            </w:r>
          </w:p>
        </w:tc>
        <w:tc>
          <w:tcPr>
            <w:tcW w:w="840" w:type="dxa"/>
            <w:tcBorders>
              <w:top w:val="single" w:color="auto" w:sz="6" w:space="0"/>
              <w:left w:val="single" w:color="auto" w:sz="12" w:space="0"/>
              <w:bottom w:val="single" w:color="auto" w:sz="12" w:space="0"/>
              <w:right w:val="single" w:color="auto" w:sz="12" w:space="0"/>
            </w:tcBorders>
            <w:noWrap/>
            <w:vAlign w:val="center"/>
          </w:tcPr>
          <w:p w14:paraId="5C23D54C">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w:t>
            </w:r>
          </w:p>
        </w:tc>
        <w:tc>
          <w:tcPr>
            <w:tcW w:w="1340" w:type="dxa"/>
            <w:tcBorders>
              <w:top w:val="single" w:color="auto" w:sz="6" w:space="0"/>
              <w:left w:val="single" w:color="auto" w:sz="12" w:space="0"/>
              <w:bottom w:val="single" w:color="auto" w:sz="12" w:space="0"/>
              <w:right w:val="single" w:color="auto" w:sz="12" w:space="0"/>
            </w:tcBorders>
            <w:noWrap/>
            <w:vAlign w:val="center"/>
          </w:tcPr>
          <w:p w14:paraId="11D73296">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5E6E8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tcBorders>
              <w:top w:val="single" w:color="auto" w:sz="6" w:space="0"/>
              <w:left w:val="single" w:color="auto" w:sz="12" w:space="0"/>
              <w:bottom w:val="single" w:color="auto" w:sz="12" w:space="0"/>
              <w:right w:val="single" w:color="auto" w:sz="12" w:space="0"/>
            </w:tcBorders>
            <w:noWrap/>
            <w:vAlign w:val="center"/>
          </w:tcPr>
          <w:p w14:paraId="5A6A71FE">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w:t>
            </w:r>
            <w:r>
              <w:rPr>
                <w:rFonts w:hint="eastAsia" w:ascii="仿宋" w:eastAsia="仿宋" w:cs="仿宋"/>
                <w:color w:val="000000"/>
                <w:kern w:val="0"/>
                <w:sz w:val="24"/>
                <w:szCs w:val="24"/>
                <w:lang w:val="en-US" w:eastAsia="zh-CN"/>
              </w:rPr>
              <w:t>3</w:t>
            </w:r>
            <w:r>
              <w:rPr>
                <w:rFonts w:hint="eastAsia" w:ascii="仿宋" w:eastAsia="仿宋" w:cs="仿宋"/>
                <w:color w:val="000000"/>
                <w:kern w:val="0"/>
                <w:sz w:val="24"/>
                <w:szCs w:val="24"/>
              </w:rPr>
              <w:t>可持续影响</w:t>
            </w:r>
          </w:p>
        </w:tc>
        <w:tc>
          <w:tcPr>
            <w:tcW w:w="3141" w:type="dxa"/>
            <w:tcBorders>
              <w:top w:val="single" w:color="auto" w:sz="6" w:space="0"/>
              <w:left w:val="single" w:color="auto" w:sz="12" w:space="0"/>
              <w:bottom w:val="single" w:color="auto" w:sz="12" w:space="0"/>
              <w:right w:val="single" w:color="auto" w:sz="12" w:space="0"/>
            </w:tcBorders>
            <w:noWrap/>
            <w:vAlign w:val="center"/>
          </w:tcPr>
          <w:p w14:paraId="5C852687">
            <w:pPr>
              <w:spacing w:line="400" w:lineRule="exact"/>
              <w:jc w:val="center"/>
              <w:rPr>
                <w:rFonts w:hint="eastAsia" w:asci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D31后期维护与管理</w:t>
            </w:r>
          </w:p>
        </w:tc>
        <w:tc>
          <w:tcPr>
            <w:tcW w:w="840" w:type="dxa"/>
            <w:tcBorders>
              <w:top w:val="single" w:color="auto" w:sz="6" w:space="0"/>
              <w:left w:val="single" w:color="auto" w:sz="12" w:space="0"/>
              <w:bottom w:val="single" w:color="auto" w:sz="12" w:space="0"/>
              <w:right w:val="single" w:color="auto" w:sz="12" w:space="0"/>
            </w:tcBorders>
            <w:noWrap/>
            <w:vAlign w:val="center"/>
          </w:tcPr>
          <w:p w14:paraId="6461FF30">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840" w:type="dxa"/>
            <w:tcBorders>
              <w:top w:val="single" w:color="auto" w:sz="6" w:space="0"/>
              <w:left w:val="single" w:color="auto" w:sz="12" w:space="0"/>
              <w:bottom w:val="single" w:color="auto" w:sz="12" w:space="0"/>
              <w:right w:val="single" w:color="auto" w:sz="12" w:space="0"/>
            </w:tcBorders>
            <w:noWrap/>
            <w:vAlign w:val="center"/>
          </w:tcPr>
          <w:p w14:paraId="6CB94C8B">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0.00</w:t>
            </w:r>
          </w:p>
        </w:tc>
        <w:tc>
          <w:tcPr>
            <w:tcW w:w="1340" w:type="dxa"/>
            <w:tcBorders>
              <w:top w:val="single" w:color="auto" w:sz="6" w:space="0"/>
              <w:left w:val="single" w:color="auto" w:sz="12" w:space="0"/>
              <w:bottom w:val="single" w:color="auto" w:sz="12" w:space="0"/>
              <w:right w:val="single" w:color="auto" w:sz="12" w:space="0"/>
            </w:tcBorders>
            <w:noWrap/>
            <w:vAlign w:val="center"/>
          </w:tcPr>
          <w:p w14:paraId="1B1312A0">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0.00%</w:t>
            </w:r>
          </w:p>
        </w:tc>
      </w:tr>
      <w:tr w14:paraId="15EC7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tcBorders>
              <w:top w:val="single" w:color="auto" w:sz="6" w:space="0"/>
              <w:left w:val="single" w:color="auto" w:sz="12" w:space="0"/>
              <w:bottom w:val="single" w:color="auto" w:sz="12" w:space="0"/>
              <w:right w:val="single" w:color="auto" w:sz="12" w:space="0"/>
            </w:tcBorders>
            <w:noWrap/>
            <w:vAlign w:val="center"/>
          </w:tcPr>
          <w:p w14:paraId="7DE53266">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w:t>
            </w:r>
            <w:r>
              <w:rPr>
                <w:rFonts w:hint="eastAsia" w:ascii="仿宋" w:eastAsia="仿宋" w:cs="仿宋"/>
                <w:color w:val="000000"/>
                <w:kern w:val="0"/>
                <w:sz w:val="24"/>
                <w:szCs w:val="24"/>
                <w:lang w:val="en-US" w:eastAsia="zh-CN"/>
              </w:rPr>
              <w:t>4</w:t>
            </w:r>
            <w:r>
              <w:rPr>
                <w:rFonts w:hint="eastAsia" w:ascii="仿宋" w:eastAsia="仿宋" w:cs="仿宋"/>
                <w:color w:val="000000"/>
                <w:kern w:val="0"/>
                <w:sz w:val="24"/>
                <w:szCs w:val="24"/>
              </w:rPr>
              <w:t>服务对象满意度</w:t>
            </w:r>
          </w:p>
        </w:tc>
        <w:tc>
          <w:tcPr>
            <w:tcW w:w="3141" w:type="dxa"/>
            <w:tcBorders>
              <w:top w:val="single" w:color="auto" w:sz="6" w:space="0"/>
              <w:left w:val="single" w:color="auto" w:sz="12" w:space="0"/>
              <w:bottom w:val="single" w:color="auto" w:sz="12" w:space="0"/>
              <w:right w:val="single" w:color="auto" w:sz="12" w:space="0"/>
            </w:tcBorders>
            <w:noWrap/>
            <w:vAlign w:val="center"/>
          </w:tcPr>
          <w:p w14:paraId="20BEB4E1">
            <w:pPr>
              <w:spacing w:line="400" w:lineRule="exact"/>
              <w:jc w:val="center"/>
              <w:rPr>
                <w:rFonts w:hint="eastAsia" w:asci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D41项目区农民满意度</w:t>
            </w:r>
          </w:p>
        </w:tc>
        <w:tc>
          <w:tcPr>
            <w:tcW w:w="840" w:type="dxa"/>
            <w:tcBorders>
              <w:top w:val="single" w:color="auto" w:sz="6" w:space="0"/>
              <w:left w:val="single" w:color="auto" w:sz="12" w:space="0"/>
              <w:bottom w:val="single" w:color="auto" w:sz="12" w:space="0"/>
              <w:right w:val="single" w:color="auto" w:sz="12" w:space="0"/>
            </w:tcBorders>
            <w:noWrap/>
            <w:vAlign w:val="center"/>
          </w:tcPr>
          <w:p w14:paraId="490D78DF">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840" w:type="dxa"/>
            <w:tcBorders>
              <w:top w:val="single" w:color="auto" w:sz="6" w:space="0"/>
              <w:left w:val="single" w:color="auto" w:sz="12" w:space="0"/>
              <w:bottom w:val="single" w:color="auto" w:sz="12" w:space="0"/>
              <w:right w:val="single" w:color="auto" w:sz="12" w:space="0"/>
            </w:tcBorders>
            <w:noWrap/>
            <w:vAlign w:val="center"/>
          </w:tcPr>
          <w:p w14:paraId="04A9FB6D">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5.00</w:t>
            </w:r>
          </w:p>
        </w:tc>
        <w:tc>
          <w:tcPr>
            <w:tcW w:w="1340" w:type="dxa"/>
            <w:tcBorders>
              <w:top w:val="single" w:color="auto" w:sz="6" w:space="0"/>
              <w:left w:val="single" w:color="auto" w:sz="12" w:space="0"/>
              <w:bottom w:val="single" w:color="auto" w:sz="12" w:space="0"/>
              <w:right w:val="single" w:color="auto" w:sz="12" w:space="0"/>
            </w:tcBorders>
            <w:noWrap/>
            <w:vAlign w:val="center"/>
          </w:tcPr>
          <w:p w14:paraId="703D33C6">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14:paraId="27263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tcBorders>
              <w:top w:val="single" w:color="auto" w:sz="6" w:space="0"/>
              <w:left w:val="single" w:color="auto" w:sz="12" w:space="0"/>
              <w:bottom w:val="single" w:color="auto" w:sz="12" w:space="0"/>
              <w:right w:val="single" w:color="auto" w:sz="12" w:space="0"/>
            </w:tcBorders>
            <w:noWrap/>
            <w:vAlign w:val="center"/>
          </w:tcPr>
          <w:p w14:paraId="144F425C">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840" w:type="dxa"/>
            <w:tcBorders>
              <w:top w:val="single" w:color="auto" w:sz="6" w:space="0"/>
              <w:left w:val="single" w:color="auto" w:sz="12" w:space="0"/>
              <w:bottom w:val="single" w:color="auto" w:sz="12" w:space="0"/>
              <w:right w:val="single" w:color="auto" w:sz="12" w:space="0"/>
            </w:tcBorders>
            <w:noWrap/>
            <w:vAlign w:val="center"/>
          </w:tcPr>
          <w:p w14:paraId="4ADB3FAE">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30.00</w:t>
            </w:r>
          </w:p>
        </w:tc>
        <w:tc>
          <w:tcPr>
            <w:tcW w:w="840" w:type="dxa"/>
            <w:tcBorders>
              <w:top w:val="single" w:color="auto" w:sz="6" w:space="0"/>
              <w:left w:val="single" w:color="auto" w:sz="12" w:space="0"/>
              <w:bottom w:val="single" w:color="auto" w:sz="12" w:space="0"/>
              <w:right w:val="single" w:color="auto" w:sz="12" w:space="0"/>
            </w:tcBorders>
            <w:noWrap/>
            <w:vAlign w:val="center"/>
          </w:tcPr>
          <w:p w14:paraId="7D59BA6B">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25.00</w:t>
            </w:r>
          </w:p>
        </w:tc>
        <w:tc>
          <w:tcPr>
            <w:tcW w:w="1340" w:type="dxa"/>
            <w:tcBorders>
              <w:top w:val="single" w:color="auto" w:sz="6" w:space="0"/>
              <w:left w:val="single" w:color="auto" w:sz="12" w:space="0"/>
              <w:bottom w:val="single" w:color="auto" w:sz="12" w:space="0"/>
              <w:right w:val="single" w:color="auto" w:sz="12" w:space="0"/>
            </w:tcBorders>
            <w:noWrap/>
            <w:vAlign w:val="center"/>
          </w:tcPr>
          <w:p w14:paraId="5843A0C5">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83.33%</w:t>
            </w:r>
          </w:p>
        </w:tc>
      </w:tr>
    </w:tbl>
    <w:p w14:paraId="2CCD7BBA">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（1）经济效益</w:t>
      </w:r>
    </w:p>
    <w:p w14:paraId="42754A3E">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D11</w:t>
      </w:r>
      <w:r>
        <w:rPr>
          <w:rFonts w:hint="eastAsia" w:ascii="仿宋" w:eastAsia="仿宋" w:cs="仿宋"/>
          <w:b/>
          <w:snapToGrid w:val="0"/>
          <w:sz w:val="28"/>
          <w:szCs w:val="28"/>
          <w:lang w:val="en-US" w:eastAsia="zh-CN"/>
        </w:rPr>
        <w:t>项目区人均纯收入增加</w:t>
      </w:r>
      <w:r>
        <w:rPr>
          <w:rFonts w:hint="eastAsia" w:ascii="仿宋" w:eastAsia="仿宋" w:cs="仿宋"/>
          <w:b/>
          <w:snapToGrid w:val="0"/>
          <w:sz w:val="28"/>
          <w:szCs w:val="28"/>
        </w:rPr>
        <w:t>：</w:t>
      </w:r>
      <w:r>
        <w:rPr>
          <w:rFonts w:hint="eastAsia" w:ascii="Times New Roman" w:hAnsi="Times New Roman" w:eastAsia="仿宋" w:cs="Times New Roman"/>
          <w:sz w:val="28"/>
          <w:szCs w:val="24"/>
          <w:lang w:val="en-US" w:eastAsia="zh-CN"/>
        </w:rPr>
        <w:t>满分5.00分，得分5.00分。根据项目实施单位提供的资料，古县南垣乡东池及驼腰村以工代赈田间道路建设工程项目完成后，提高了农副产品的销售量和价格，还可适度发展农家乐等乡村旅游，对当地的经济增长有着重要的促进作用，人均纯收入提高达到预期目标500元。根据评分标准，该项得满分。</w:t>
      </w:r>
    </w:p>
    <w:p w14:paraId="6AAB432B">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（2）社会效益</w:t>
      </w:r>
    </w:p>
    <w:p w14:paraId="1359FB99">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D21</w:t>
      </w:r>
      <w:r>
        <w:rPr>
          <w:rFonts w:hint="eastAsia" w:ascii="仿宋" w:eastAsia="仿宋" w:cs="仿宋"/>
          <w:b/>
          <w:snapToGrid w:val="0"/>
          <w:sz w:val="28"/>
          <w:szCs w:val="28"/>
          <w:lang w:val="en-US" w:eastAsia="zh-CN"/>
        </w:rPr>
        <w:t>农产品运输成本：</w:t>
      </w:r>
      <w:r>
        <w:rPr>
          <w:rFonts w:hint="eastAsia" w:ascii="Times New Roman" w:hAnsi="Times New Roman" w:eastAsia="仿宋" w:cs="Times New Roman"/>
          <w:sz w:val="28"/>
          <w:szCs w:val="24"/>
          <w:lang w:val="en-US" w:eastAsia="zh-CN"/>
        </w:rPr>
        <w:t>满分5.00分，得分5.00分。评价组实地调研走访了解到，项目实施后，使得当地的交通条件得到较大改善，与项目实施前比较，明显降低了当地农副产品的运输成本，群众反响较好。根据评分标准，该项得满分。</w:t>
      </w:r>
    </w:p>
    <w:p w14:paraId="4D24567C">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bCs w:val="0"/>
          <w:snapToGrid w:val="0"/>
          <w:sz w:val="28"/>
          <w:szCs w:val="28"/>
          <w:lang w:val="en-US" w:eastAsia="zh-CN"/>
        </w:rPr>
        <w:t>D22完善农村路网基础设施：</w:t>
      </w:r>
      <w:r>
        <w:rPr>
          <w:rFonts w:hint="eastAsia" w:ascii="Times New Roman" w:hAnsi="Times New Roman" w:eastAsia="仿宋" w:cs="Times New Roman"/>
          <w:sz w:val="28"/>
          <w:szCs w:val="24"/>
          <w:lang w:val="en-US" w:eastAsia="zh-CN"/>
        </w:rPr>
        <w:t>满分5.00分，得分5.00分。考核项目实施后是否完善了当地农田水利基础设施。通过问卷调查和现场访谈，问卷调查中项目区农民对项目完善当地路网基础设施效果满意度大于90%。根据评分标准，该项得满分。</w:t>
      </w:r>
    </w:p>
    <w:p w14:paraId="0B32D388">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w:t>
      </w:r>
      <w:r>
        <w:rPr>
          <w:rFonts w:hint="eastAsia" w:ascii="仿宋" w:eastAsia="仿宋" w:cs="仿宋"/>
          <w:snapToGrid w:val="0"/>
          <w:sz w:val="28"/>
          <w:szCs w:val="28"/>
          <w:lang w:val="en-US" w:eastAsia="zh-CN"/>
        </w:rPr>
        <w:t>3</w:t>
      </w:r>
      <w:r>
        <w:rPr>
          <w:rFonts w:hint="eastAsia" w:ascii="仿宋" w:eastAsia="仿宋" w:cs="仿宋"/>
          <w:snapToGrid w:val="0"/>
          <w:sz w:val="28"/>
          <w:szCs w:val="28"/>
        </w:rPr>
        <w:t>）可持续影响</w:t>
      </w:r>
    </w:p>
    <w:p w14:paraId="21F8C5DC">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sz w:val="28"/>
          <w:szCs w:val="28"/>
        </w:rPr>
        <w:t>D</w:t>
      </w:r>
      <w:r>
        <w:rPr>
          <w:rFonts w:hint="eastAsia" w:ascii="仿宋" w:eastAsia="仿宋" w:cs="仿宋"/>
          <w:b/>
          <w:snapToGrid w:val="0"/>
          <w:sz w:val="28"/>
          <w:szCs w:val="28"/>
          <w:lang w:val="en-US" w:eastAsia="zh-CN"/>
        </w:rPr>
        <w:t>3</w:t>
      </w:r>
      <w:r>
        <w:rPr>
          <w:rFonts w:hint="eastAsia" w:ascii="仿宋" w:eastAsia="仿宋" w:cs="仿宋"/>
          <w:b/>
          <w:snapToGrid w:val="0"/>
          <w:sz w:val="28"/>
          <w:szCs w:val="28"/>
        </w:rPr>
        <w:t>1</w:t>
      </w:r>
      <w:r>
        <w:rPr>
          <w:rFonts w:hint="eastAsia" w:ascii="仿宋" w:eastAsia="仿宋" w:cs="仿宋"/>
          <w:b/>
          <w:snapToGrid w:val="0"/>
          <w:sz w:val="28"/>
          <w:szCs w:val="28"/>
          <w:lang w:val="en-US" w:eastAsia="zh-CN"/>
        </w:rPr>
        <w:t>后期维护与管理</w:t>
      </w:r>
      <w:r>
        <w:rPr>
          <w:rFonts w:hint="eastAsia" w:ascii="仿宋" w:eastAsia="仿宋" w:cs="仿宋"/>
          <w:b/>
          <w:snapToGrid w:val="0"/>
          <w:sz w:val="28"/>
          <w:szCs w:val="28"/>
        </w:rPr>
        <w:t>：</w:t>
      </w:r>
      <w:r>
        <w:rPr>
          <w:rFonts w:hint="eastAsia" w:ascii="Times New Roman" w:hAnsi="Times New Roman" w:eastAsia="仿宋" w:cs="Times New Roman"/>
          <w:sz w:val="28"/>
          <w:szCs w:val="24"/>
          <w:lang w:val="en-US" w:eastAsia="zh-CN"/>
        </w:rPr>
        <w:t>满分5.00分，得分0.00分。根据古县发展和改革局提供的相关资料，古县南垣乡东池及驼腰村以工代赈田间道路建设工程项目建设单位为南垣乡人民政府，评价组现场调研了解到，项目实施完成后虽然按照“谁受益、谁管护”的原则由村委实际管护，但道路尚未移交管护主体，且无明确的后续管护体制机制。根据评分标准，该项得0.00分。</w:t>
      </w:r>
    </w:p>
    <w:p w14:paraId="46245901">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（4）社会公众满意度</w:t>
      </w:r>
    </w:p>
    <w:p w14:paraId="06832E41">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eastAsia="仿宋" w:cs="仿宋"/>
          <w:b/>
          <w:snapToGrid w:val="0"/>
          <w:color w:val="000000"/>
          <w:sz w:val="28"/>
          <w:szCs w:val="28"/>
        </w:rPr>
        <w:t>D</w:t>
      </w:r>
      <w:r>
        <w:rPr>
          <w:rFonts w:hint="eastAsia" w:ascii="仿宋" w:eastAsia="仿宋" w:cs="仿宋"/>
          <w:b/>
          <w:snapToGrid w:val="0"/>
          <w:color w:val="000000"/>
          <w:sz w:val="28"/>
          <w:szCs w:val="28"/>
          <w:lang w:val="en-US" w:eastAsia="zh-CN"/>
        </w:rPr>
        <w:t>41项目区农民满意度</w:t>
      </w:r>
      <w:r>
        <w:rPr>
          <w:rFonts w:hint="eastAsia" w:ascii="仿宋" w:eastAsia="仿宋" w:cs="仿宋"/>
          <w:b/>
          <w:snapToGrid w:val="0"/>
          <w:color w:val="000000"/>
          <w:sz w:val="28"/>
          <w:szCs w:val="28"/>
        </w:rPr>
        <w:t>：</w:t>
      </w:r>
      <w:r>
        <w:rPr>
          <w:rFonts w:hint="eastAsia" w:ascii="Times New Roman" w:hAnsi="Times New Roman" w:eastAsia="仿宋" w:cs="Times New Roman"/>
          <w:sz w:val="28"/>
          <w:szCs w:val="24"/>
          <w:lang w:val="en-US" w:eastAsia="zh-CN"/>
        </w:rPr>
        <w:t>满分6.00分，得分6.00分。问卷从对古县南垣乡东池及驼腰村以工代赈田间道路建设工程项目建设效率、对古县南垣乡东池及驼腰村以工代赈田间道路建设工程项目建设质量、对古县南垣乡东池及驼腰村以工代赈田间道路建设工程项目完成后改善生产条件、对古县南垣乡东池及驼腰村以工代赈田间道路建设工程项目完成后通行便捷性、对古县南垣乡东池及驼腰村以工代赈田间道路建设工程项目完成后完善路网基础设施等五个问题进行了调查。本次满意度调查涉及5个问题，满意度分别为95.60%、91.20%、90.20%、90.00%、91.40%，整体满意度为91.68%。根据评分标准，该项得满分。</w:t>
      </w:r>
    </w:p>
    <w:p w14:paraId="38B37367">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eastAsia="zh-CN"/>
        </w:rPr>
      </w:pPr>
      <w:bookmarkStart w:id="157" w:name="_Toc6901"/>
      <w:bookmarkStart w:id="158" w:name="_Toc514537344"/>
      <w:r>
        <w:rPr>
          <w:rFonts w:hint="eastAsia" w:ascii="仿宋" w:eastAsia="仿宋" w:cs="Times New Roman"/>
          <w:b/>
          <w:bCs/>
          <w:sz w:val="32"/>
          <w:szCs w:val="32"/>
          <w:lang w:eastAsia="zh-CN"/>
        </w:rPr>
        <w:t>（二）总体得分情况</w:t>
      </w:r>
      <w:bookmarkEnd w:id="157"/>
      <w:bookmarkEnd w:id="158"/>
    </w:p>
    <w:p w14:paraId="52F974CA">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sz w:val="28"/>
          <w:szCs w:val="24"/>
          <w:lang w:val="en-US" w:eastAsia="zh-CN"/>
        </w:rPr>
        <w:t>根据上述三级指标分析得分情况，经汇总计算，本次评价涉及四项一级指标总得分情况如下：</w:t>
      </w:r>
    </w:p>
    <w:p w14:paraId="30FC58CF">
      <w:pPr>
        <w:widowControl/>
        <w:spacing w:line="574" w:lineRule="exact"/>
        <w:jc w:val="center"/>
        <w:rPr>
          <w:rFonts w:ascii="宋体" w:eastAsia="宋体"/>
          <w:b/>
          <w:snapToGrid w:val="0"/>
          <w:sz w:val="24"/>
        </w:rPr>
      </w:pPr>
      <w:bookmarkStart w:id="159" w:name="_Toc528603080"/>
      <w:bookmarkStart w:id="160" w:name="_Toc514537345"/>
      <w:r>
        <w:rPr>
          <w:rFonts w:hint="eastAsia" w:ascii="Times New Roman" w:hAnsi="Times New Roman" w:eastAsia="仿宋" w:cs="Times New Roman"/>
          <w:b/>
          <w:bCs/>
          <w:color w:val="000000"/>
          <w:kern w:val="0"/>
          <w:sz w:val="24"/>
          <w:szCs w:val="28"/>
        </w:rPr>
        <w:t>表4-5 一级指标得分情况</w:t>
      </w:r>
      <w:bookmarkEnd w:id="159"/>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6567F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4469296A">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一级指标</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1EFC3FF7">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107A979B">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2374" w:type="dxa"/>
            <w:tcBorders>
              <w:top w:val="single" w:color="auto" w:sz="12" w:space="0"/>
              <w:left w:val="single" w:color="auto" w:sz="12" w:space="0"/>
              <w:bottom w:val="single" w:color="auto" w:sz="12" w:space="0"/>
              <w:right w:val="single" w:color="auto" w:sz="12" w:space="0"/>
            </w:tcBorders>
            <w:shd w:val="clear" w:color="auto" w:fill="BFBFBF"/>
            <w:noWrap/>
            <w:vAlign w:val="center"/>
          </w:tcPr>
          <w:p w14:paraId="2BE40D58">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14:paraId="4B906F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59F66773">
            <w:pPr>
              <w:widowControl/>
              <w:snapToGrid w:val="0"/>
              <w:jc w:val="center"/>
              <w:rPr>
                <w:rFonts w:hint="eastAsia" w:ascii="仿宋" w:eastAsia="仿宋" w:cs="仿宋"/>
                <w:color w:val="000000"/>
                <w:kern w:val="0"/>
                <w:sz w:val="24"/>
                <w:szCs w:val="24"/>
                <w:lang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决策</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298634B5">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22B9CBA7">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79326DD9">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14:paraId="70D26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2C6DF33E">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B过程</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2DC1C3F9">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34DC3A23">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18.00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1B648177">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90.00%</w:t>
            </w:r>
          </w:p>
        </w:tc>
      </w:tr>
      <w:tr w14:paraId="05843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12D957EF">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C产出</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6596C507">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30</w:t>
            </w:r>
            <w:r>
              <w:rPr>
                <w:rFonts w:hint="eastAsia" w:ascii="仿宋" w:eastAsia="仿宋" w:cs="仿宋"/>
                <w:color w:val="000000"/>
                <w:kern w:val="0"/>
                <w:sz w:val="24"/>
                <w:szCs w:val="24"/>
                <w:lang w:val="en-US" w:eastAsia="zh-CN"/>
              </w:rPr>
              <w:t>.00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768DB4D1">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color w:val="000000"/>
                <w:kern w:val="0"/>
                <w:sz w:val="24"/>
                <w:szCs w:val="24"/>
                <w:lang w:val="en-US" w:eastAsia="zh-CN"/>
              </w:rPr>
              <w:t>24.00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4154E022">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color w:val="000000"/>
                <w:kern w:val="0"/>
                <w:sz w:val="24"/>
                <w:szCs w:val="24"/>
                <w:lang w:val="en-US" w:eastAsia="zh-CN"/>
              </w:rPr>
              <w:t>80.00%</w:t>
            </w:r>
          </w:p>
        </w:tc>
      </w:tr>
      <w:tr w14:paraId="409A7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38A65A8A">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D效益</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7225522E">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30.00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1F789B30">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25.00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07218C7B">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83.33%</w:t>
            </w:r>
          </w:p>
        </w:tc>
      </w:tr>
      <w:tr w14:paraId="5C232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14:paraId="242F39AA">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41F12FDA">
            <w:pPr>
              <w:widowControl/>
              <w:snapToGrid w:val="0"/>
              <w:jc w:val="center"/>
              <w:rPr>
                <w:rFonts w:ascii="仿宋" w:eastAsia="仿宋" w:cs="仿宋"/>
                <w:color w:val="000000"/>
                <w:kern w:val="0"/>
                <w:sz w:val="24"/>
                <w:szCs w:val="24"/>
                <w:lang w:val="en-US"/>
              </w:rPr>
            </w:pPr>
            <w:r>
              <w:rPr>
                <w:rFonts w:hint="eastAsia" w:ascii="仿宋" w:eastAsia="仿宋" w:cs="仿宋"/>
                <w:color w:val="000000"/>
                <w:kern w:val="0"/>
                <w:sz w:val="24"/>
                <w:szCs w:val="24"/>
                <w:lang w:val="en-US" w:eastAsia="zh-CN"/>
              </w:rPr>
              <w:t>100.00</w:t>
            </w:r>
          </w:p>
        </w:tc>
        <w:tc>
          <w:tcPr>
            <w:tcW w:w="1846" w:type="dxa"/>
            <w:tcBorders>
              <w:top w:val="single" w:color="auto" w:sz="6" w:space="0"/>
              <w:left w:val="single" w:color="auto" w:sz="12" w:space="0"/>
              <w:bottom w:val="single" w:color="auto" w:sz="12" w:space="0"/>
              <w:right w:val="single" w:color="auto" w:sz="12" w:space="0"/>
            </w:tcBorders>
            <w:noWrap/>
            <w:vAlign w:val="center"/>
          </w:tcPr>
          <w:p w14:paraId="7699735A">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87.00</w:t>
            </w:r>
          </w:p>
        </w:tc>
        <w:tc>
          <w:tcPr>
            <w:tcW w:w="2374" w:type="dxa"/>
            <w:tcBorders>
              <w:top w:val="single" w:color="auto" w:sz="6" w:space="0"/>
              <w:left w:val="single" w:color="auto" w:sz="12" w:space="0"/>
              <w:bottom w:val="single" w:color="auto" w:sz="12" w:space="0"/>
              <w:right w:val="single" w:color="auto" w:sz="12" w:space="0"/>
            </w:tcBorders>
            <w:noWrap/>
            <w:vAlign w:val="center"/>
          </w:tcPr>
          <w:p w14:paraId="3090554C">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87.00%</w:t>
            </w:r>
          </w:p>
        </w:tc>
      </w:tr>
    </w:tbl>
    <w:p w14:paraId="279FF667">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61" w:name="_Toc27433"/>
      <w:r>
        <w:rPr>
          <w:rFonts w:hint="eastAsia" w:ascii="Times New Roman" w:hAnsi="Times New Roman" w:eastAsia="黑体" w:cs="Times New Roman"/>
          <w:bCs/>
          <w:kern w:val="44"/>
          <w:sz w:val="32"/>
          <w:szCs w:val="32"/>
        </w:rPr>
        <w:t>五、综合评价情况及结论</w:t>
      </w:r>
      <w:bookmarkEnd w:id="160"/>
      <w:bookmarkEnd w:id="161"/>
    </w:p>
    <w:p w14:paraId="3831B1D3">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eastAsia="zh-CN"/>
        </w:rPr>
      </w:pPr>
      <w:bookmarkStart w:id="162" w:name="_Toc6661"/>
      <w:bookmarkStart w:id="163" w:name="_Toc514537346"/>
      <w:r>
        <w:rPr>
          <w:rFonts w:hint="eastAsia" w:ascii="仿宋" w:eastAsia="仿宋" w:cs="Times New Roman"/>
          <w:b/>
          <w:bCs/>
          <w:sz w:val="32"/>
          <w:szCs w:val="32"/>
          <w:lang w:eastAsia="zh-CN"/>
        </w:rPr>
        <w:t>（一）评分结果</w:t>
      </w:r>
      <w:bookmarkEnd w:id="162"/>
      <w:bookmarkEnd w:id="163"/>
    </w:p>
    <w:p w14:paraId="743086B6">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依据项目基础信息统计，结合现场核查结果，按照评价小组制定并专家组论证的评价指标体系，</w:t>
      </w:r>
      <w:r>
        <w:rPr>
          <w:rFonts w:hint="eastAsia" w:ascii="仿宋" w:eastAsia="仿宋" w:cs="仿宋"/>
          <w:snapToGrid w:val="0"/>
          <w:sz w:val="28"/>
          <w:szCs w:val="28"/>
          <w:lang w:eastAsia="zh-CN"/>
        </w:rPr>
        <w:t>古县南垣乡东池及驼腰村以工代赈田间道路建设工程项目</w:t>
      </w:r>
      <w:r>
        <w:rPr>
          <w:rFonts w:hint="eastAsia" w:ascii="仿宋" w:eastAsia="仿宋" w:cs="仿宋"/>
          <w:snapToGrid w:val="0"/>
          <w:sz w:val="28"/>
          <w:szCs w:val="28"/>
        </w:rPr>
        <w:t>财政支出绩效评价综合得分</w:t>
      </w:r>
      <w:r>
        <w:rPr>
          <w:rFonts w:hint="eastAsia" w:ascii="仿宋" w:eastAsia="仿宋" w:cs="仿宋"/>
          <w:snapToGrid w:val="0"/>
          <w:sz w:val="28"/>
          <w:szCs w:val="28"/>
          <w:lang w:val="en-US" w:eastAsia="zh-CN"/>
        </w:rPr>
        <w:t>87.00</w:t>
      </w:r>
      <w:r>
        <w:rPr>
          <w:rFonts w:hint="eastAsia" w:ascii="仿宋" w:eastAsia="仿宋" w:cs="仿宋"/>
          <w:snapToGrid w:val="0"/>
          <w:sz w:val="28"/>
          <w:szCs w:val="28"/>
        </w:rPr>
        <w:t>分，</w:t>
      </w:r>
      <w:r>
        <w:rPr>
          <w:rFonts w:hint="eastAsia" w:ascii="仿宋" w:eastAsia="仿宋" w:cs="仿宋"/>
          <w:snapToGrid w:val="0"/>
          <w:sz w:val="28"/>
          <w:szCs w:val="28"/>
          <w:lang w:eastAsia="zh-CN"/>
        </w:rPr>
        <w:t>评价等级为</w:t>
      </w:r>
      <w:r>
        <w:rPr>
          <w:rFonts w:hint="eastAsia" w:ascii="仿宋" w:eastAsia="仿宋" w:cs="仿宋"/>
          <w:snapToGrid w:val="0"/>
          <w:sz w:val="28"/>
          <w:szCs w:val="28"/>
          <w:lang w:val="en-US" w:eastAsia="zh-CN"/>
        </w:rPr>
        <w:t>良</w:t>
      </w:r>
      <w:r>
        <w:rPr>
          <w:rFonts w:hint="eastAsia" w:ascii="仿宋" w:eastAsia="仿宋" w:cs="仿宋"/>
          <w:snapToGrid w:val="0"/>
          <w:sz w:val="28"/>
          <w:szCs w:val="28"/>
        </w:rPr>
        <w:t>。</w:t>
      </w:r>
    </w:p>
    <w:p w14:paraId="55450F43">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3" w:firstLineChars="200"/>
        <w:textAlignment w:val="auto"/>
        <w:outlineLvl w:val="1"/>
        <w:rPr>
          <w:rFonts w:hint="eastAsia" w:ascii="仿宋" w:eastAsia="仿宋" w:cs="Times New Roman"/>
          <w:b/>
          <w:bCs/>
          <w:sz w:val="32"/>
          <w:szCs w:val="32"/>
          <w:lang w:eastAsia="zh-CN"/>
        </w:rPr>
      </w:pPr>
      <w:bookmarkStart w:id="164" w:name="_Toc514537347"/>
      <w:bookmarkStart w:id="165" w:name="_Toc5879"/>
      <w:r>
        <w:rPr>
          <w:rFonts w:hint="eastAsia" w:ascii="仿宋" w:eastAsia="仿宋" w:cs="Times New Roman"/>
          <w:b/>
          <w:bCs/>
          <w:sz w:val="32"/>
          <w:szCs w:val="32"/>
          <w:lang w:eastAsia="zh-CN"/>
        </w:rPr>
        <w:t>（二）主要结论</w:t>
      </w:r>
      <w:bookmarkEnd w:id="164"/>
      <w:bookmarkEnd w:id="165"/>
    </w:p>
    <w:p w14:paraId="2737DAD8">
      <w:pPr>
        <w:widowControl/>
        <w:spacing w:line="574" w:lineRule="exact"/>
        <w:ind w:firstLine="560" w:firstLineChars="200"/>
        <w:rPr>
          <w:rFonts w:ascii="仿宋_GB2312" w:hAnsi="仿宋_GB2312" w:eastAsia="仿宋"/>
          <w:snapToGrid w:val="0"/>
          <w:sz w:val="32"/>
          <w:szCs w:val="32"/>
          <w:lang w:val="en-US" w:eastAsia="zh-CN"/>
        </w:rPr>
      </w:pPr>
      <w:bookmarkStart w:id="166" w:name="_Toc514537348"/>
      <w:r>
        <w:rPr>
          <w:rFonts w:hint="eastAsia" w:ascii="仿宋" w:eastAsia="仿宋" w:cs="仿宋"/>
          <w:snapToGrid w:val="0"/>
          <w:sz w:val="28"/>
          <w:szCs w:val="28"/>
          <w:lang w:eastAsia="zh-CN"/>
        </w:rPr>
        <w:t>古县南垣乡东池及驼腰村以工代赈田间道路建设工程项目</w:t>
      </w:r>
      <w:r>
        <w:rPr>
          <w:rFonts w:hint="eastAsia" w:ascii="仿宋" w:eastAsia="仿宋" w:cs="仿宋"/>
          <w:snapToGrid w:val="0"/>
          <w:sz w:val="28"/>
          <w:szCs w:val="28"/>
          <w:lang w:val="en-US" w:eastAsia="zh-CN"/>
        </w:rPr>
        <w:t>在实施过程中可吸纳当地劳动力参与项目建设并获得劳务报酬，对农民增收、促进社会稳定有着积极作用；通过实施该项目，助力乡村振兴战略有效推进，该项目完成后可解决东池及驼腰村农民出行难、生产运输难的问题，将改善区域内的交通状况，完善乡村区域路网结构，为当地农民打通致富门路，促进乡镇区域经济的全面发展，加快资源开发利用，使区域农副产品资源得以升值，农民收入不断增加，加快脱贫。</w:t>
      </w:r>
      <w:r>
        <w:rPr>
          <w:rFonts w:hint="eastAsia" w:ascii="仿宋" w:eastAsia="仿宋" w:cs="仿宋"/>
          <w:sz w:val="28"/>
          <w:szCs w:val="28"/>
          <w:lang w:val="en-US" w:eastAsia="zh-CN"/>
        </w:rPr>
        <w:t>但评价组也发现，该项目实施过程中也存在项目实施管理不到位、项目尚未结算审核、项目尚未移交等问题。</w:t>
      </w:r>
    </w:p>
    <w:bookmarkEnd w:id="166"/>
    <w:p w14:paraId="3164BC5A">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67" w:name="_Toc514537349"/>
      <w:bookmarkStart w:id="168" w:name="_Toc3010"/>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67"/>
      <w:bookmarkEnd w:id="168"/>
    </w:p>
    <w:p w14:paraId="009E0C02">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评价小组在详细查阅项目资料的基础上，结合现场实地勘察，对本次项目建设过程中存在的问题进行总结与分析，并针对问题提出了对应建议。</w:t>
      </w:r>
    </w:p>
    <w:p w14:paraId="1454F41F">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69" w:name="_Toc4586"/>
      <w:bookmarkStart w:id="170" w:name="_Toc528684154"/>
      <w:bookmarkStart w:id="171" w:name="_Toc528603086"/>
      <w:bookmarkStart w:id="172" w:name="_Toc528680328"/>
      <w:bookmarkStart w:id="173" w:name="_Toc514537350"/>
      <w:bookmarkStart w:id="174" w:name="_Toc528680479"/>
      <w:r>
        <w:rPr>
          <w:rFonts w:hint="eastAsia" w:ascii="仿宋" w:eastAsia="仿宋" w:cs="仿宋"/>
          <w:b/>
          <w:bCs/>
          <w:sz w:val="28"/>
          <w:szCs w:val="28"/>
          <w:lang w:eastAsia="zh-CN"/>
        </w:rPr>
        <w:t>（一）存在的问题</w:t>
      </w:r>
      <w:bookmarkEnd w:id="169"/>
      <w:bookmarkEnd w:id="170"/>
      <w:bookmarkEnd w:id="171"/>
      <w:bookmarkEnd w:id="172"/>
      <w:bookmarkEnd w:id="173"/>
      <w:bookmarkEnd w:id="174"/>
    </w:p>
    <w:p w14:paraId="68BD8CF0">
      <w:pPr>
        <w:spacing w:line="574" w:lineRule="exact"/>
        <w:ind w:firstLine="562" w:firstLineChars="200"/>
        <w:rPr>
          <w:rFonts w:hint="eastAsia" w:ascii="仿宋" w:eastAsia="仿宋" w:cs="仿宋"/>
          <w:b/>
          <w:bCs w:val="0"/>
          <w:snapToGrid w:val="0"/>
          <w:sz w:val="28"/>
          <w:szCs w:val="28"/>
          <w:lang w:val="en-US" w:eastAsia="zh-CN"/>
        </w:rPr>
      </w:pPr>
      <w:bookmarkStart w:id="175" w:name="_Toc528603089"/>
      <w:bookmarkStart w:id="176" w:name="_Toc514537351"/>
      <w:r>
        <w:rPr>
          <w:rFonts w:hint="eastAsia" w:ascii="仿宋" w:eastAsia="仿宋" w:cs="仿宋"/>
          <w:b/>
          <w:bCs w:val="0"/>
          <w:snapToGrid w:val="0"/>
          <w:sz w:val="28"/>
          <w:szCs w:val="28"/>
          <w:lang w:val="en-US" w:eastAsia="zh-CN"/>
        </w:rPr>
        <w:t>1、项目尚未结算审核，施工方申报结算金额超过合同价，影响项目整体进度与效益发挥。</w:t>
      </w:r>
    </w:p>
    <w:p w14:paraId="09338CC8">
      <w:pPr>
        <w:spacing w:line="574" w:lineRule="exact"/>
        <w:ind w:firstLine="560" w:firstLineChars="200"/>
        <w:rPr>
          <w:rFonts w:hint="eastAsia" w:ascii="仿宋" w:eastAsia="仿宋" w:cs="仿宋"/>
          <w:bCs/>
          <w:snapToGrid w:val="0"/>
          <w:sz w:val="28"/>
          <w:szCs w:val="28"/>
        </w:rPr>
      </w:pPr>
      <w:r>
        <w:rPr>
          <w:rFonts w:hint="eastAsia" w:ascii="Times New Roman" w:hAnsi="Times New Roman" w:eastAsia="仿宋" w:cs="Times New Roman"/>
          <w:sz w:val="28"/>
          <w:szCs w:val="24"/>
          <w:lang w:val="en-US" w:eastAsia="zh-CN"/>
        </w:rPr>
        <w:t>项目实施过程中，进度管理不到位：根据南垣乡人民政府与林奋建设有限公司签订的《古县南垣乡东池及驼腰村以工代赈田间道路建设工程项目施工合同》：项目期限2022年9月1日至2022年10月30日；项目验收时间为2022年11月14日；但截至2022年12月31日，项目未进行结算审核，项目整体进度管理不到位</w:t>
      </w:r>
      <w:r>
        <w:rPr>
          <w:rFonts w:hint="eastAsia" w:ascii="仿宋" w:eastAsia="仿宋" w:cs="仿宋"/>
          <w:bCs/>
          <w:snapToGrid w:val="0"/>
          <w:sz w:val="28"/>
          <w:szCs w:val="28"/>
        </w:rPr>
        <w:t>。</w:t>
      </w:r>
    </w:p>
    <w:p w14:paraId="173B2E16">
      <w:pPr>
        <w:spacing w:line="574" w:lineRule="exact"/>
        <w:ind w:firstLine="560" w:firstLineChars="200"/>
        <w:rPr>
          <w:rFonts w:hint="eastAsia" w:ascii="仿宋" w:eastAsia="仿宋" w:cs="仿宋"/>
          <w:bCs/>
          <w:snapToGrid w:val="0"/>
          <w:sz w:val="28"/>
          <w:szCs w:val="28"/>
        </w:rPr>
      </w:pPr>
      <w:r>
        <w:rPr>
          <w:rFonts w:hint="eastAsia" w:ascii="Times New Roman" w:hAnsi="Times New Roman" w:eastAsia="仿宋" w:cs="Times New Roman"/>
          <w:sz w:val="28"/>
          <w:szCs w:val="24"/>
          <w:lang w:val="en-US" w:eastAsia="zh-CN"/>
        </w:rPr>
        <w:t>根据南垣乡人民政府与林奋建设有限公司签订的《古县南垣乡东池及驼腰村以工代赈田间道路建设工程项目施工合同》，项目合同金额192.00万元；但根据林奋建设有限公司提交的《古县南垣乡东池及驼腰村以工代赈田间道路建设工程结算书》，申请结算金额2109030.00元＞合同价1920000.00元，申请结算金额超合同价的比重为9.80%＞5%</w:t>
      </w:r>
    </w:p>
    <w:p w14:paraId="67580187">
      <w:pPr>
        <w:spacing w:line="574" w:lineRule="exact"/>
        <w:ind w:firstLine="562" w:firstLineChars="200"/>
        <w:rPr>
          <w:rFonts w:hint="eastAsia"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2、项目尚未移交管护主体。</w:t>
      </w:r>
    </w:p>
    <w:p w14:paraId="6C2C7987">
      <w:pPr>
        <w:spacing w:line="574" w:lineRule="exact"/>
        <w:ind w:firstLine="560" w:firstLineChars="200"/>
        <w:rPr>
          <w:rFonts w:ascii="仿宋" w:eastAsia="仿宋" w:cs="仿宋"/>
          <w:bCs/>
          <w:snapToGrid w:val="0"/>
          <w:sz w:val="28"/>
          <w:szCs w:val="28"/>
          <w:lang w:val="en-US" w:eastAsia="zh-CN"/>
        </w:rPr>
      </w:pPr>
      <w:r>
        <w:rPr>
          <w:rFonts w:ascii="仿宋" w:eastAsia="仿宋" w:cs="仿宋"/>
          <w:bCs/>
          <w:snapToGrid w:val="0"/>
          <w:sz w:val="28"/>
          <w:szCs w:val="28"/>
          <w:lang w:val="en-US" w:eastAsia="zh-CN"/>
        </w:rPr>
        <w:t>根据古县发展和改革局提供的相关资料，</w:t>
      </w:r>
      <w:r>
        <w:rPr>
          <w:rFonts w:hint="eastAsia" w:ascii="仿宋" w:eastAsia="仿宋" w:cs="仿宋"/>
          <w:bCs/>
          <w:snapToGrid w:val="0"/>
          <w:sz w:val="28"/>
          <w:szCs w:val="28"/>
          <w:lang w:val="en-US" w:eastAsia="zh-CN"/>
        </w:rPr>
        <w:t>古县南垣乡东池及驼腰村以工代赈田间道路建设工程项目</w:t>
      </w:r>
      <w:r>
        <w:rPr>
          <w:rFonts w:ascii="仿宋" w:eastAsia="仿宋" w:cs="仿宋"/>
          <w:bCs/>
          <w:snapToGrid w:val="0"/>
          <w:sz w:val="28"/>
          <w:szCs w:val="28"/>
          <w:lang w:val="en-US" w:eastAsia="zh-CN"/>
        </w:rPr>
        <w:t>建设单位为</w:t>
      </w:r>
      <w:r>
        <w:rPr>
          <w:rFonts w:hint="eastAsia" w:ascii="仿宋" w:eastAsia="仿宋" w:cs="仿宋"/>
          <w:bCs/>
          <w:snapToGrid w:val="0"/>
          <w:sz w:val="28"/>
          <w:szCs w:val="28"/>
          <w:lang w:val="en-US" w:eastAsia="zh-CN"/>
        </w:rPr>
        <w:t>南垣乡人民政府</w:t>
      </w:r>
      <w:r>
        <w:rPr>
          <w:rFonts w:ascii="仿宋" w:eastAsia="仿宋" w:cs="仿宋"/>
          <w:bCs/>
          <w:snapToGrid w:val="0"/>
          <w:sz w:val="28"/>
          <w:szCs w:val="28"/>
          <w:lang w:val="en-US" w:eastAsia="zh-CN"/>
        </w:rPr>
        <w:t>，评价组现场调研了解到，项目实施完成后虽然按照“谁受益、谁管护”的原则由村委实际管护，但道路尚未移交管护主体，且无明确的后续管护体制机制</w:t>
      </w:r>
      <w:r>
        <w:rPr>
          <w:rFonts w:hint="eastAsia" w:ascii="仿宋" w:eastAsia="仿宋" w:cs="仿宋"/>
          <w:bCs/>
          <w:snapToGrid w:val="0"/>
          <w:sz w:val="28"/>
          <w:szCs w:val="28"/>
          <w:lang w:val="en-US" w:eastAsia="zh-CN"/>
        </w:rPr>
        <w:t>。</w:t>
      </w:r>
    </w:p>
    <w:p w14:paraId="321EBDBE">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77" w:name="_Toc528680329"/>
      <w:bookmarkStart w:id="178" w:name="_Toc528680480"/>
      <w:bookmarkStart w:id="179" w:name="_Toc7054"/>
      <w:bookmarkStart w:id="180" w:name="_Toc528684155"/>
      <w:r>
        <w:rPr>
          <w:rFonts w:hint="eastAsia" w:ascii="仿宋" w:eastAsia="仿宋" w:cs="仿宋"/>
          <w:b/>
          <w:bCs/>
          <w:sz w:val="28"/>
          <w:szCs w:val="28"/>
          <w:lang w:eastAsia="zh-CN"/>
        </w:rPr>
        <w:t>（二）改进建议</w:t>
      </w:r>
      <w:bookmarkEnd w:id="175"/>
      <w:bookmarkEnd w:id="176"/>
      <w:bookmarkEnd w:id="177"/>
      <w:bookmarkEnd w:id="178"/>
      <w:bookmarkEnd w:id="179"/>
      <w:bookmarkEnd w:id="180"/>
    </w:p>
    <w:p w14:paraId="70544DBA">
      <w:pPr>
        <w:pStyle w:val="35"/>
        <w:ind w:left="0" w:firstLine="562" w:firstLineChars="200"/>
        <w:rPr>
          <w:rFonts w:ascii="Times New Roman" w:hAnsi="Times New Roman" w:eastAsia="仿宋" w:cs="Times New Roman"/>
          <w:b/>
        </w:rPr>
      </w:pPr>
      <w:bookmarkStart w:id="181" w:name="_Toc514537353"/>
      <w:r>
        <w:rPr>
          <w:rFonts w:hint="eastAsia" w:ascii="仿宋" w:eastAsia="仿宋" w:cs="仿宋"/>
          <w:b/>
          <w:bCs w:val="0"/>
          <w:snapToGrid w:val="0"/>
          <w:sz w:val="28"/>
          <w:szCs w:val="28"/>
          <w:lang w:val="en-US" w:eastAsia="zh-CN"/>
        </w:rPr>
        <w:t>1、</w:t>
      </w:r>
      <w:r>
        <w:rPr>
          <w:rFonts w:hint="eastAsia" w:ascii="Times New Roman" w:hAnsi="Times New Roman" w:eastAsia="仿宋" w:cs="Times New Roman"/>
          <w:b/>
          <w:lang w:val="en-US" w:eastAsia="zh-CN"/>
        </w:rPr>
        <w:t>加强项目实施管理、成本管理，确保项目实施进度、成本控制达标</w:t>
      </w:r>
      <w:r>
        <w:rPr>
          <w:rFonts w:ascii="Times New Roman" w:hAnsi="Times New Roman" w:eastAsia="仿宋" w:cs="Times New Roman"/>
          <w:b/>
        </w:rPr>
        <w:t>。</w:t>
      </w:r>
    </w:p>
    <w:p w14:paraId="63F885F0">
      <w:pPr>
        <w:spacing w:line="574" w:lineRule="exact"/>
        <w:ind w:firstLine="560" w:firstLineChars="200"/>
        <w:rPr>
          <w:rFonts w:ascii="Times New Roman" w:hAnsi="Times New Roman" w:eastAsia="仿宋" w:cs="Times New Roman"/>
          <w:kern w:val="0"/>
          <w:sz w:val="28"/>
          <w:szCs w:val="18"/>
          <w:lang w:val="en-US" w:eastAsia="zh-CN" w:bidi="ar-SA"/>
        </w:rPr>
      </w:pPr>
      <w:r>
        <w:rPr>
          <w:rFonts w:hint="eastAsia" w:ascii="Times New Roman" w:hAnsi="Times New Roman" w:eastAsia="仿宋" w:cs="Times New Roman"/>
          <w:kern w:val="0"/>
          <w:sz w:val="28"/>
          <w:szCs w:val="18"/>
          <w:lang w:val="en-US" w:eastAsia="zh-CN" w:bidi="ar-SA"/>
        </w:rPr>
        <w:t>建议古县发展和改革局督促古县南垣乡人民政府在今后实施项目过程中，加强项目进度管理，项目实施完成并通过验收后，及时向财政申报进行结算审核，确保项目整体进度达标；同时，建议主管部门及实施单位</w:t>
      </w:r>
      <w:r>
        <w:rPr>
          <w:rFonts w:hint="eastAsia" w:ascii="Times New Roman" w:hAnsi="Times New Roman" w:eastAsia="仿宋"/>
          <w:b w:val="0"/>
          <w:bCs/>
          <w:snapToGrid w:val="0"/>
          <w:sz w:val="28"/>
          <w:szCs w:val="32"/>
          <w:lang w:val="en-US" w:eastAsia="zh-CN"/>
        </w:rPr>
        <w:t>在项目实施过程中严格控制项目成本，在前期科学测算并经财政预算评审确定预算资金的前提下，严控施工方建设成本，对于结算价超过合同价的情况，认真核对工程增量，建设单位、监理单位、施工单位、设计单位等相关方确认无误后再进行支付，确保财政资金使用的安全性，提升财政资金使用效益</w:t>
      </w:r>
      <w:r>
        <w:rPr>
          <w:rFonts w:hint="eastAsia" w:ascii="Times New Roman" w:hAnsi="Times New Roman" w:eastAsia="仿宋" w:cs="Times New Roman"/>
          <w:kern w:val="0"/>
          <w:sz w:val="28"/>
          <w:szCs w:val="18"/>
          <w:lang w:val="en-US" w:eastAsia="zh-CN" w:bidi="ar-SA"/>
        </w:rPr>
        <w:t>。</w:t>
      </w:r>
    </w:p>
    <w:p w14:paraId="0AA30E64">
      <w:pPr>
        <w:pStyle w:val="7"/>
        <w:ind w:left="0" w:firstLine="562" w:firstLineChars="200"/>
        <w:rPr>
          <w:rFonts w:hint="eastAsia"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2、已完工项目尽快移交管护主体，明确后续管护责任。</w:t>
      </w:r>
    </w:p>
    <w:p w14:paraId="699D23BB">
      <w:pPr>
        <w:pStyle w:val="7"/>
        <w:ind w:left="0" w:firstLine="560" w:firstLineChars="200"/>
        <w:rPr>
          <w:rFonts w:ascii="Times New Roman" w:hAnsi="Times New Roman" w:eastAsia="仿宋" w:cs="Times New Roman"/>
          <w:kern w:val="2"/>
          <w:sz w:val="28"/>
          <w:szCs w:val="24"/>
          <w:lang w:val="en-US" w:eastAsia="zh-CN" w:bidi="ar-SA"/>
        </w:rPr>
      </w:pPr>
      <w:r>
        <w:rPr>
          <w:rFonts w:hint="eastAsia" w:ascii="Times New Roman" w:hAnsi="Times New Roman" w:eastAsia="仿宋" w:cs="Times New Roman"/>
          <w:kern w:val="2"/>
          <w:sz w:val="28"/>
          <w:szCs w:val="24"/>
          <w:lang w:val="en-US" w:eastAsia="zh-CN" w:bidi="ar-SA"/>
        </w:rPr>
        <w:t>建议相关部门对已完工项目尽快移交管护主体；项目移交后后，管护主体建立健全后续管护体制机制，明确管护主体责任，确保设施维护维修及时。</w:t>
      </w:r>
    </w:p>
    <w:p w14:paraId="6F7EECE8">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82" w:name="_Toc3390"/>
      <w:r>
        <w:rPr>
          <w:rFonts w:hint="eastAsia" w:ascii="Times New Roman" w:hAnsi="Times New Roman" w:eastAsia="黑体" w:cs="Times New Roman"/>
          <w:bCs/>
          <w:kern w:val="44"/>
          <w:sz w:val="32"/>
          <w:szCs w:val="32"/>
          <w:lang w:val="en-US" w:eastAsia="zh-CN"/>
        </w:rPr>
        <w:t>七、绩效评价结果应用建议</w:t>
      </w:r>
      <w:bookmarkEnd w:id="181"/>
      <w:bookmarkEnd w:id="182"/>
    </w:p>
    <w:p w14:paraId="2457E714">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w:t>
      </w:r>
      <w:r>
        <w:rPr>
          <w:rFonts w:hint="eastAsia" w:ascii="仿宋" w:eastAsia="仿宋" w:cs="仿宋"/>
          <w:snapToGrid w:val="0"/>
          <w:sz w:val="28"/>
          <w:szCs w:val="28"/>
          <w:lang w:val="en-US" w:eastAsia="zh-CN"/>
        </w:rPr>
        <w:t>三</w:t>
      </w:r>
      <w:r>
        <w:rPr>
          <w:rFonts w:hint="eastAsia" w:ascii="仿宋" w:eastAsia="仿宋" w:cs="仿宋"/>
          <w:snapToGrid w:val="0"/>
          <w:sz w:val="28"/>
          <w:szCs w:val="28"/>
        </w:rPr>
        <w:t>点建议。</w:t>
      </w:r>
    </w:p>
    <w:p w14:paraId="0B7D1DF7">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83" w:name="_Toc16193"/>
      <w:bookmarkStart w:id="184" w:name="_Toc521418325"/>
      <w:bookmarkStart w:id="185" w:name="_Toc9097"/>
      <w:r>
        <w:rPr>
          <w:rFonts w:hint="eastAsia" w:ascii="仿宋" w:eastAsia="仿宋" w:cs="仿宋"/>
          <w:b/>
          <w:bCs/>
          <w:sz w:val="28"/>
          <w:szCs w:val="28"/>
          <w:lang w:eastAsia="zh-CN"/>
        </w:rPr>
        <w:t>（一）以绩效评价促进项目规范管理</w:t>
      </w:r>
      <w:bookmarkEnd w:id="183"/>
      <w:bookmarkEnd w:id="184"/>
      <w:bookmarkEnd w:id="185"/>
    </w:p>
    <w:p w14:paraId="21FFC29C">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根据绩效评价反馈的问题，</w:t>
      </w:r>
      <w:r>
        <w:rPr>
          <w:rFonts w:hint="eastAsia" w:ascii="仿宋" w:eastAsia="仿宋" w:cs="仿宋"/>
          <w:snapToGrid w:val="0"/>
          <w:sz w:val="28"/>
          <w:szCs w:val="28"/>
          <w:lang w:val="en-US" w:eastAsia="zh-CN"/>
        </w:rPr>
        <w:t>委托方</w:t>
      </w:r>
      <w:r>
        <w:rPr>
          <w:rFonts w:hint="eastAsia" w:ascii="仿宋" w:eastAsia="仿宋" w:cs="仿宋"/>
          <w:snapToGrid w:val="0"/>
          <w:sz w:val="28"/>
          <w:szCs w:val="28"/>
        </w:rPr>
        <w:t>应进一步加强项目预算管理，并强化对项目实施过程的监督检查力度，督促有关部门加强对项目及绩效情况的追踪管理，促使项目达到既定的绩效目标，并将达标情况作为下一年度资金安排的重要依据。</w:t>
      </w:r>
    </w:p>
    <w:p w14:paraId="609894A4">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86" w:name="_Toc517532006"/>
      <w:bookmarkStart w:id="187" w:name="_Toc521418326"/>
      <w:bookmarkStart w:id="188" w:name="_Toc6403"/>
      <w:bookmarkStart w:id="189" w:name="_Toc7071"/>
      <w:r>
        <w:rPr>
          <w:rFonts w:hint="eastAsia" w:ascii="仿宋" w:eastAsia="仿宋" w:cs="仿宋"/>
          <w:b/>
          <w:bCs/>
          <w:sz w:val="28"/>
          <w:szCs w:val="28"/>
          <w:lang w:eastAsia="zh-CN"/>
        </w:rPr>
        <w:t>（二）充分利用绩效结果，</w:t>
      </w:r>
      <w:bookmarkEnd w:id="186"/>
      <w:bookmarkEnd w:id="187"/>
      <w:r>
        <w:rPr>
          <w:rFonts w:hint="eastAsia" w:ascii="仿宋" w:eastAsia="仿宋" w:cs="仿宋"/>
          <w:b/>
          <w:bCs/>
          <w:sz w:val="28"/>
          <w:szCs w:val="28"/>
          <w:lang w:eastAsia="zh-CN"/>
        </w:rPr>
        <w:t>落实问题整改机制</w:t>
      </w:r>
      <w:bookmarkEnd w:id="188"/>
      <w:bookmarkEnd w:id="189"/>
    </w:p>
    <w:p w14:paraId="0830C7A3">
      <w:pPr>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lang w:val="en-US" w:eastAsia="zh-CN"/>
        </w:rPr>
        <w:t>委托方</w:t>
      </w:r>
      <w:r>
        <w:rPr>
          <w:rFonts w:hint="eastAsia" w:ascii="仿宋" w:eastAsia="仿宋" w:cs="仿宋"/>
          <w:snapToGrid w:val="0"/>
          <w:sz w:val="28"/>
          <w:szCs w:val="28"/>
        </w:rPr>
        <w:t>应将项目在实施过程中的经验及存在问题以文件形式反馈到相关单位，对于绩效评价中存在的问题提出整改要求。被评价单位要根据具体问题制定整改方案，并将整改结果反馈市政府、财政部门。</w:t>
      </w:r>
    </w:p>
    <w:p w14:paraId="73F727EC">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90" w:name="_Toc521418327"/>
      <w:bookmarkStart w:id="191" w:name="_Toc6308"/>
      <w:bookmarkStart w:id="192" w:name="_Toc24626"/>
      <w:r>
        <w:rPr>
          <w:rFonts w:hint="eastAsia" w:ascii="仿宋" w:eastAsia="仿宋" w:cs="仿宋"/>
          <w:b/>
          <w:bCs/>
          <w:sz w:val="28"/>
          <w:szCs w:val="28"/>
          <w:lang w:eastAsia="zh-CN"/>
        </w:rPr>
        <w:t>（三）公开评价结果，实现社会监督</w:t>
      </w:r>
      <w:bookmarkEnd w:id="190"/>
      <w:bookmarkEnd w:id="191"/>
      <w:bookmarkEnd w:id="192"/>
    </w:p>
    <w:p w14:paraId="2C32DA42">
      <w:pPr>
        <w:widowControl/>
        <w:spacing w:line="574" w:lineRule="exact"/>
        <w:ind w:firstLine="560" w:firstLineChars="200"/>
        <w:rPr>
          <w:rFonts w:ascii="黑体" w:eastAsia="黑体"/>
          <w:snapToGrid w:val="0"/>
          <w:sz w:val="32"/>
          <w:szCs w:val="32"/>
        </w:rPr>
        <w:sectPr>
          <w:pgSz w:w="11906" w:h="16838"/>
          <w:pgMar w:top="1440" w:right="1800" w:bottom="1440" w:left="1800" w:header="851" w:footer="992" w:gutter="0"/>
          <w:cols w:space="720" w:num="1"/>
          <w:docGrid w:type="lines" w:linePitch="312" w:charSpace="0"/>
        </w:sectPr>
      </w:pPr>
      <w:r>
        <w:rPr>
          <w:rFonts w:hint="eastAsia" w:ascii="仿宋" w:eastAsia="仿宋" w:cs="仿宋"/>
          <w:snapToGrid w:val="0"/>
          <w:sz w:val="28"/>
          <w:szCs w:val="28"/>
          <w:lang w:val="en-US" w:eastAsia="zh-CN"/>
        </w:rPr>
        <w:t>委托方</w:t>
      </w:r>
      <w:r>
        <w:rPr>
          <w:rFonts w:hint="eastAsia" w:ascii="仿宋" w:eastAsia="仿宋" w:cs="仿宋"/>
          <w:snapToGrid w:val="0"/>
          <w:sz w:val="28"/>
          <w:szCs w:val="28"/>
        </w:rPr>
        <w:t>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93" w:name="_Toc514537354"/>
      <w:r>
        <w:rPr>
          <w:rFonts w:hint="eastAsia" w:ascii="仿宋_GB2312" w:eastAsia="仿宋_GB2312" w:cs="仿宋_GB2312"/>
          <w:b/>
          <w:sz w:val="32"/>
          <w:szCs w:val="32"/>
        </w:rPr>
        <w:t xml:space="preserve">       </w:t>
      </w:r>
    </w:p>
    <w:p w14:paraId="013BB5DC">
      <w:pPr>
        <w:widowControl/>
        <w:spacing w:line="574" w:lineRule="exact"/>
        <w:jc w:val="left"/>
        <w:outlineLvl w:val="0"/>
        <w:rPr>
          <w:rFonts w:ascii="黑体" w:eastAsia="黑体"/>
          <w:snapToGrid w:val="0"/>
          <w:sz w:val="32"/>
          <w:szCs w:val="32"/>
        </w:rPr>
      </w:pPr>
      <w:bookmarkStart w:id="194" w:name="_Toc25029"/>
      <w:r>
        <w:rPr>
          <w:rFonts w:ascii="黑体" w:eastAsia="黑体"/>
          <w:snapToGrid w:val="0"/>
          <w:sz w:val="32"/>
          <w:szCs w:val="32"/>
        </w:rPr>
        <w:t>附件</w:t>
      </w:r>
      <w:r>
        <w:rPr>
          <w:rFonts w:hint="eastAsia" w:ascii="黑体" w:eastAsia="黑体"/>
          <w:snapToGrid w:val="0"/>
          <w:sz w:val="32"/>
          <w:szCs w:val="32"/>
        </w:rPr>
        <w:t>1：评价指标体系</w:t>
      </w:r>
      <w:bookmarkEnd w:id="194"/>
    </w:p>
    <w:tbl>
      <w:tblPr>
        <w:tblStyle w:val="21"/>
        <w:tblW w:w="0" w:type="auto"/>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1208"/>
        <w:gridCol w:w="1223"/>
        <w:gridCol w:w="1682"/>
        <w:gridCol w:w="4221"/>
        <w:gridCol w:w="5644"/>
      </w:tblGrid>
      <w:tr w14:paraId="1AFDAEEE">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08" w:type="dxa"/>
            <w:tcBorders>
              <w:top w:val="single" w:color="auto" w:sz="4" w:space="0"/>
              <w:left w:val="single" w:color="auto" w:sz="4" w:space="0"/>
              <w:bottom w:val="single" w:color="auto" w:sz="4" w:space="0"/>
              <w:right w:val="single" w:color="auto" w:sz="4" w:space="0"/>
            </w:tcBorders>
            <w:noWrap/>
            <w:vAlign w:val="center"/>
          </w:tcPr>
          <w:p w14:paraId="7F849C28">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一级指标</w:t>
            </w:r>
          </w:p>
        </w:tc>
        <w:tc>
          <w:tcPr>
            <w:tcW w:w="1223" w:type="dxa"/>
            <w:tcBorders>
              <w:top w:val="single" w:color="auto" w:sz="4" w:space="0"/>
              <w:left w:val="single" w:color="auto" w:sz="4" w:space="0"/>
              <w:bottom w:val="single" w:color="auto" w:sz="4" w:space="0"/>
              <w:right w:val="single" w:color="auto" w:sz="4" w:space="0"/>
            </w:tcBorders>
            <w:noWrap/>
            <w:vAlign w:val="center"/>
          </w:tcPr>
          <w:p w14:paraId="6D63FF23">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二级指标</w:t>
            </w:r>
          </w:p>
        </w:tc>
        <w:tc>
          <w:tcPr>
            <w:tcW w:w="1682" w:type="dxa"/>
            <w:tcBorders>
              <w:top w:val="single" w:color="auto" w:sz="4" w:space="0"/>
              <w:left w:val="single" w:color="auto" w:sz="4" w:space="0"/>
              <w:bottom w:val="single" w:color="auto" w:sz="4" w:space="0"/>
              <w:right w:val="single" w:color="auto" w:sz="4" w:space="0"/>
            </w:tcBorders>
            <w:noWrap/>
            <w:vAlign w:val="center"/>
          </w:tcPr>
          <w:p w14:paraId="74612C84">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三级指标</w:t>
            </w:r>
          </w:p>
        </w:tc>
        <w:tc>
          <w:tcPr>
            <w:tcW w:w="4221" w:type="dxa"/>
            <w:tcBorders>
              <w:top w:val="single" w:color="auto" w:sz="4" w:space="0"/>
              <w:left w:val="single" w:color="auto" w:sz="4" w:space="0"/>
              <w:bottom w:val="single" w:color="auto" w:sz="4" w:space="0"/>
              <w:right w:val="single" w:color="auto" w:sz="4" w:space="0"/>
            </w:tcBorders>
            <w:noWrap/>
            <w:vAlign w:val="center"/>
          </w:tcPr>
          <w:p w14:paraId="3ACDA9F1">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指标解释</w:t>
            </w:r>
          </w:p>
        </w:tc>
        <w:tc>
          <w:tcPr>
            <w:tcW w:w="5644" w:type="dxa"/>
            <w:tcBorders>
              <w:top w:val="single" w:color="auto" w:sz="4" w:space="0"/>
              <w:left w:val="single" w:color="auto" w:sz="4" w:space="0"/>
              <w:bottom w:val="single" w:color="auto" w:sz="4" w:space="0"/>
              <w:right w:val="single" w:color="auto" w:sz="4" w:space="0"/>
            </w:tcBorders>
            <w:noWrap/>
            <w:vAlign w:val="center"/>
          </w:tcPr>
          <w:p w14:paraId="5B95BE97">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评价标准</w:t>
            </w:r>
          </w:p>
        </w:tc>
      </w:tr>
      <w:tr w14:paraId="49B3BD9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878" w:hRule="atLeast"/>
        </w:trPr>
        <w:tc>
          <w:tcPr>
            <w:tcW w:w="1208" w:type="dxa"/>
            <w:vMerge w:val="restart"/>
            <w:tcBorders>
              <w:top w:val="single" w:color="auto" w:sz="4" w:space="0"/>
              <w:left w:val="single" w:color="auto" w:sz="4" w:space="0"/>
              <w:bottom w:val="single" w:color="auto" w:sz="4" w:space="0"/>
              <w:right w:val="single" w:color="auto" w:sz="4" w:space="0"/>
            </w:tcBorders>
            <w:noWrap/>
            <w:vAlign w:val="center"/>
          </w:tcPr>
          <w:p w14:paraId="726949A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A决策（20分）</w:t>
            </w:r>
          </w:p>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2B18C3A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A1项目立项（6分）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0055371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A11立项依据充分性（3分）</w:t>
            </w:r>
          </w:p>
        </w:tc>
        <w:tc>
          <w:tcPr>
            <w:tcW w:w="4221" w:type="dxa"/>
            <w:tcBorders>
              <w:top w:val="single" w:color="auto" w:sz="4" w:space="0"/>
              <w:left w:val="single" w:color="auto" w:sz="4" w:space="0"/>
              <w:bottom w:val="single" w:color="auto" w:sz="4" w:space="0"/>
              <w:right w:val="single" w:color="auto" w:sz="4" w:space="0"/>
            </w:tcBorders>
            <w:noWrap/>
          </w:tcPr>
          <w:p w14:paraId="190B4AB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项目立项是否符合法律法规、相关政策、发展规划以及部门职责，用以反映和考核项目立项依据情况。</w:t>
            </w:r>
          </w:p>
        </w:tc>
        <w:tc>
          <w:tcPr>
            <w:tcW w:w="5644" w:type="dxa"/>
            <w:tcBorders>
              <w:top w:val="single" w:color="auto" w:sz="4" w:space="0"/>
              <w:left w:val="single" w:color="auto" w:sz="4" w:space="0"/>
              <w:bottom w:val="single" w:color="auto" w:sz="4" w:space="0"/>
              <w:right w:val="single" w:color="auto" w:sz="4" w:space="0"/>
            </w:tcBorders>
            <w:noWrap/>
          </w:tcPr>
          <w:p w14:paraId="4BE047C2">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①项目立项是否符合国家法律法规、国民经济发展规划和相关政策，0.6分；</w:t>
            </w:r>
          </w:p>
          <w:p w14:paraId="768A062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②项目立项是否符合行业发展规划和政策要求，0.6分；</w:t>
            </w:r>
          </w:p>
          <w:p w14:paraId="584B75C3">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 xml:space="preserve">③项目立项是否与部门职责范围相符，属于部门履职所需，0.6分: </w:t>
            </w:r>
          </w:p>
          <w:p w14:paraId="63D7FE3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④项目是否属于公共财政支持范围，是否符合中央、地方事权支出责任划分原则，0.6分；</w:t>
            </w:r>
          </w:p>
          <w:p w14:paraId="24658CA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⑤项目是否与相关部门同类项目或部门内部相关项目重复，0.6分。</w:t>
            </w:r>
          </w:p>
        </w:tc>
      </w:tr>
      <w:tr w14:paraId="73953B2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74"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71313FA5"/>
        </w:tc>
        <w:tc>
          <w:tcPr>
            <w:tcW w:w="1223" w:type="dxa"/>
            <w:vMerge w:val="continue"/>
            <w:tcBorders>
              <w:top w:val="single" w:color="auto" w:sz="4" w:space="0"/>
              <w:left w:val="single" w:color="auto" w:sz="4" w:space="0"/>
              <w:bottom w:val="single" w:color="auto" w:sz="4" w:space="0"/>
              <w:right w:val="single" w:color="auto" w:sz="4" w:space="0"/>
            </w:tcBorders>
            <w:noWrap/>
          </w:tcPr>
          <w:p w14:paraId="3F6E5B4E"/>
        </w:tc>
        <w:tc>
          <w:tcPr>
            <w:tcW w:w="1682" w:type="dxa"/>
            <w:tcBorders>
              <w:top w:val="single" w:color="auto" w:sz="4" w:space="0"/>
              <w:left w:val="single" w:color="auto" w:sz="4" w:space="0"/>
              <w:bottom w:val="single" w:color="auto" w:sz="4" w:space="0"/>
              <w:right w:val="single" w:color="auto" w:sz="4" w:space="0"/>
            </w:tcBorders>
            <w:noWrap/>
            <w:vAlign w:val="center"/>
          </w:tcPr>
          <w:p w14:paraId="59B1EE5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A12立项程序规范性（3分）</w:t>
            </w:r>
          </w:p>
        </w:tc>
        <w:tc>
          <w:tcPr>
            <w:tcW w:w="4221" w:type="dxa"/>
            <w:tcBorders>
              <w:top w:val="single" w:color="auto" w:sz="4" w:space="0"/>
              <w:left w:val="single" w:color="auto" w:sz="4" w:space="0"/>
              <w:bottom w:val="single" w:color="auto" w:sz="4" w:space="0"/>
              <w:right w:val="single" w:color="auto" w:sz="4" w:space="0"/>
            </w:tcBorders>
            <w:noWrap/>
          </w:tcPr>
          <w:p w14:paraId="5EA375A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项目申请、设立过程是否符合相关要求，用以反映和考核项目立项的规范情况。</w:t>
            </w:r>
          </w:p>
        </w:tc>
        <w:tc>
          <w:tcPr>
            <w:tcW w:w="5644" w:type="dxa"/>
            <w:tcBorders>
              <w:top w:val="single" w:color="auto" w:sz="4" w:space="0"/>
              <w:left w:val="single" w:color="auto" w:sz="4" w:space="0"/>
              <w:bottom w:val="single" w:color="auto" w:sz="4" w:space="0"/>
              <w:right w:val="single" w:color="auto" w:sz="4" w:space="0"/>
            </w:tcBorders>
            <w:noWrap/>
          </w:tcPr>
          <w:p w14:paraId="5E9749F7">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①项目是否按照规定的程序申请设立，1分；</w:t>
            </w:r>
          </w:p>
          <w:p w14:paraId="3A380F7F">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②审批文件、材料是否符合相关要求，1分:</w:t>
            </w:r>
          </w:p>
          <w:p w14:paraId="37BF16F9">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③事前是否已经过必要的可行性研究、专家论证、风险评估、绩效评估、集体决策，1分。</w:t>
            </w:r>
          </w:p>
        </w:tc>
      </w:tr>
      <w:tr w14:paraId="21EC0B4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38722B61"/>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455D1405">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A2绩效目标（6分）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101F7C9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A21绩效目标合理性（3分）</w:t>
            </w:r>
          </w:p>
        </w:tc>
        <w:tc>
          <w:tcPr>
            <w:tcW w:w="4221" w:type="dxa"/>
            <w:tcBorders>
              <w:top w:val="single" w:color="auto" w:sz="4" w:space="0"/>
              <w:left w:val="single" w:color="auto" w:sz="4" w:space="0"/>
              <w:bottom w:val="single" w:color="auto" w:sz="4" w:space="0"/>
              <w:right w:val="single" w:color="auto" w:sz="4" w:space="0"/>
            </w:tcBorders>
            <w:noWrap/>
          </w:tcPr>
          <w:p w14:paraId="6FB616E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项目所设定的绩效目标是否依据充分，是否符合客观实际，用以反映和考核项目绩效目标与项目实施的相符情况。</w:t>
            </w:r>
          </w:p>
        </w:tc>
        <w:tc>
          <w:tcPr>
            <w:tcW w:w="5644" w:type="dxa"/>
            <w:tcBorders>
              <w:top w:val="single" w:color="auto" w:sz="4" w:space="0"/>
              <w:left w:val="single" w:color="auto" w:sz="4" w:space="0"/>
              <w:bottom w:val="single" w:color="auto" w:sz="4" w:space="0"/>
              <w:right w:val="single" w:color="auto" w:sz="4" w:space="0"/>
            </w:tcBorders>
            <w:noWrap/>
          </w:tcPr>
          <w:p w14:paraId="679D433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(如未设定预算绩效目标，也可考核其他工作任务目标)</w:t>
            </w:r>
          </w:p>
          <w:p w14:paraId="32B1B2C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①项目是否有绩效目标，1分:</w:t>
            </w:r>
          </w:p>
          <w:p w14:paraId="74F4CF09">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②项目绩效目标与实际工作内容是否具有相关性，1分；</w:t>
            </w:r>
          </w:p>
          <w:p w14:paraId="47351E4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③项目预期产出效益和效果是否符合正常的业绩水平，0.5分；</w:t>
            </w:r>
          </w:p>
          <w:p w14:paraId="540F778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④是否与预算确定的项目投资额或资金量相匹配，0.5分。</w:t>
            </w:r>
          </w:p>
        </w:tc>
      </w:tr>
      <w:tr w14:paraId="0D25B40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10DC9FE7"/>
        </w:tc>
        <w:tc>
          <w:tcPr>
            <w:tcW w:w="1223" w:type="dxa"/>
            <w:vMerge w:val="continue"/>
            <w:tcBorders>
              <w:top w:val="single" w:color="auto" w:sz="4" w:space="0"/>
              <w:left w:val="single" w:color="auto" w:sz="4" w:space="0"/>
              <w:bottom w:val="single" w:color="auto" w:sz="4" w:space="0"/>
              <w:right w:val="single" w:color="auto" w:sz="4" w:space="0"/>
            </w:tcBorders>
            <w:noWrap/>
          </w:tcPr>
          <w:p w14:paraId="35A9A4AF"/>
        </w:tc>
        <w:tc>
          <w:tcPr>
            <w:tcW w:w="1682" w:type="dxa"/>
            <w:tcBorders>
              <w:top w:val="single" w:color="auto" w:sz="4" w:space="0"/>
              <w:left w:val="single" w:color="auto" w:sz="4" w:space="0"/>
              <w:bottom w:val="single" w:color="auto" w:sz="4" w:space="0"/>
              <w:right w:val="single" w:color="auto" w:sz="4" w:space="0"/>
            </w:tcBorders>
            <w:noWrap/>
            <w:vAlign w:val="center"/>
          </w:tcPr>
          <w:p w14:paraId="62891A3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A22绩效指标明确性（3分）</w:t>
            </w:r>
          </w:p>
        </w:tc>
        <w:tc>
          <w:tcPr>
            <w:tcW w:w="4221" w:type="dxa"/>
            <w:tcBorders>
              <w:top w:val="single" w:color="auto" w:sz="4" w:space="0"/>
              <w:left w:val="single" w:color="auto" w:sz="4" w:space="0"/>
              <w:bottom w:val="single" w:color="auto" w:sz="4" w:space="0"/>
              <w:right w:val="single" w:color="auto" w:sz="4" w:space="0"/>
            </w:tcBorders>
            <w:noWrap/>
          </w:tcPr>
          <w:p w14:paraId="5A8F1B4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依据绩效目标设定的绩效指标是否清晰、细化、可衡等， 用以反映和考核项目绩效目标的明细化情况。</w:t>
            </w:r>
          </w:p>
        </w:tc>
        <w:tc>
          <w:tcPr>
            <w:tcW w:w="5644" w:type="dxa"/>
            <w:tcBorders>
              <w:top w:val="single" w:color="auto" w:sz="4" w:space="0"/>
              <w:left w:val="single" w:color="auto" w:sz="4" w:space="0"/>
              <w:bottom w:val="single" w:color="auto" w:sz="4" w:space="0"/>
              <w:right w:val="single" w:color="auto" w:sz="4" w:space="0"/>
            </w:tcBorders>
            <w:noWrap/>
          </w:tcPr>
          <w:p w14:paraId="617D1A3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①是否将项目绩效目标细化分解为具体的绩效指标，1分:</w:t>
            </w:r>
          </w:p>
          <w:p w14:paraId="733AD95C">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②是否通过清晰、可衡量的指标值予以体现，1分；</w:t>
            </w:r>
          </w:p>
          <w:p w14:paraId="55F45E75">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③是否与项目目标任务数或计划数相对应，1分。</w:t>
            </w:r>
          </w:p>
        </w:tc>
      </w:tr>
      <w:tr w14:paraId="5FD5DB8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33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66599233"/>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5E0365A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A3资金投入（8分）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731FC869">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A31预算编制科学性（4分）</w:t>
            </w:r>
          </w:p>
        </w:tc>
        <w:tc>
          <w:tcPr>
            <w:tcW w:w="4221" w:type="dxa"/>
            <w:tcBorders>
              <w:top w:val="single" w:color="auto" w:sz="4" w:space="0"/>
              <w:left w:val="single" w:color="auto" w:sz="4" w:space="0"/>
              <w:bottom w:val="single" w:color="auto" w:sz="4" w:space="0"/>
              <w:right w:val="single" w:color="auto" w:sz="4" w:space="0"/>
            </w:tcBorders>
            <w:noWrap/>
          </w:tcPr>
          <w:p w14:paraId="3329FB8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项目预算编制是否经过科学论证、有明确标准，资金额度与年度目标是否相适应，用以反映和考核项目预算编制的科学性、合理性情况。</w:t>
            </w:r>
          </w:p>
        </w:tc>
        <w:tc>
          <w:tcPr>
            <w:tcW w:w="5644" w:type="dxa"/>
            <w:tcBorders>
              <w:top w:val="single" w:color="auto" w:sz="4" w:space="0"/>
              <w:left w:val="single" w:color="auto" w:sz="4" w:space="0"/>
              <w:bottom w:val="single" w:color="auto" w:sz="4" w:space="0"/>
              <w:right w:val="single" w:color="auto" w:sz="4" w:space="0"/>
            </w:tcBorders>
            <w:noWrap/>
          </w:tcPr>
          <w:p w14:paraId="6DB73C9C">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 xml:space="preserve">①预算编制是否经过科学论证，1分: </w:t>
            </w:r>
          </w:p>
          <w:p w14:paraId="13A25E68">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②预算内容与项目内容是否匹配，1分；</w:t>
            </w:r>
          </w:p>
          <w:p w14:paraId="50BAEB4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③预算额度测算依据是否充分，是否按照标准编制，1分:</w:t>
            </w:r>
          </w:p>
          <w:p w14:paraId="48010F19">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④预算确定的项目投资额或资金量是否与工作任务相匹配，1分。</w:t>
            </w:r>
          </w:p>
        </w:tc>
      </w:tr>
      <w:tr w14:paraId="636F61AB">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7B7A1AE9"/>
        </w:tc>
        <w:tc>
          <w:tcPr>
            <w:tcW w:w="1223" w:type="dxa"/>
            <w:vMerge w:val="continue"/>
            <w:tcBorders>
              <w:top w:val="single" w:color="auto" w:sz="4" w:space="0"/>
              <w:left w:val="single" w:color="auto" w:sz="4" w:space="0"/>
              <w:bottom w:val="single" w:color="auto" w:sz="4" w:space="0"/>
              <w:right w:val="single" w:color="auto" w:sz="4" w:space="0"/>
            </w:tcBorders>
            <w:noWrap/>
          </w:tcPr>
          <w:p w14:paraId="49E29360"/>
        </w:tc>
        <w:tc>
          <w:tcPr>
            <w:tcW w:w="1682" w:type="dxa"/>
            <w:tcBorders>
              <w:top w:val="single" w:color="auto" w:sz="4" w:space="0"/>
              <w:left w:val="single" w:color="auto" w:sz="4" w:space="0"/>
              <w:bottom w:val="single" w:color="auto" w:sz="4" w:space="0"/>
              <w:right w:val="single" w:color="auto" w:sz="4" w:space="0"/>
            </w:tcBorders>
            <w:noWrap/>
            <w:vAlign w:val="center"/>
          </w:tcPr>
          <w:p w14:paraId="0C958C5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A32资金分配合理性（4分）</w:t>
            </w:r>
          </w:p>
        </w:tc>
        <w:tc>
          <w:tcPr>
            <w:tcW w:w="4221" w:type="dxa"/>
            <w:tcBorders>
              <w:top w:val="single" w:color="auto" w:sz="4" w:space="0"/>
              <w:left w:val="single" w:color="auto" w:sz="4" w:space="0"/>
              <w:bottom w:val="single" w:color="auto" w:sz="4" w:space="0"/>
              <w:right w:val="single" w:color="auto" w:sz="4" w:space="0"/>
            </w:tcBorders>
            <w:noWrap/>
          </w:tcPr>
          <w:p w14:paraId="2CC7278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项目预算资金分配是否有测算依据，与补助单位或地方实际是否相适应，用以反映和考核项目预算资金分配的科学性、合理性情况。</w:t>
            </w:r>
          </w:p>
        </w:tc>
        <w:tc>
          <w:tcPr>
            <w:tcW w:w="5644" w:type="dxa"/>
            <w:tcBorders>
              <w:top w:val="single" w:color="auto" w:sz="4" w:space="0"/>
              <w:left w:val="single" w:color="auto" w:sz="4" w:space="0"/>
              <w:bottom w:val="single" w:color="auto" w:sz="4" w:space="0"/>
              <w:right w:val="single" w:color="auto" w:sz="4" w:space="0"/>
            </w:tcBorders>
            <w:noWrap/>
          </w:tcPr>
          <w:p w14:paraId="7942CC13">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①预算资金分配依据是否充分，2分；</w:t>
            </w:r>
          </w:p>
          <w:p w14:paraId="430096D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②资金分配额度是否合理，与项目单位或地方实际是否相适应，2分。</w:t>
            </w:r>
          </w:p>
        </w:tc>
      </w:tr>
      <w:tr w14:paraId="04053541">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208" w:type="dxa"/>
            <w:vMerge w:val="restart"/>
            <w:tcBorders>
              <w:top w:val="single" w:color="auto" w:sz="4" w:space="0"/>
              <w:left w:val="single" w:color="auto" w:sz="4" w:space="0"/>
              <w:bottom w:val="single" w:color="auto" w:sz="4" w:space="0"/>
              <w:right w:val="single" w:color="auto" w:sz="4" w:space="0"/>
            </w:tcBorders>
            <w:noWrap/>
            <w:vAlign w:val="center"/>
          </w:tcPr>
          <w:p w14:paraId="14219F65">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B过程（20分）</w:t>
            </w:r>
          </w:p>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33D8DD3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B1资金管理（12分）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5ADDD04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B11资金到位率（4分）</w:t>
            </w:r>
          </w:p>
        </w:tc>
        <w:tc>
          <w:tcPr>
            <w:tcW w:w="4221" w:type="dxa"/>
            <w:tcBorders>
              <w:top w:val="single" w:color="auto" w:sz="4" w:space="0"/>
              <w:left w:val="single" w:color="auto" w:sz="4" w:space="0"/>
              <w:bottom w:val="single" w:color="auto" w:sz="4" w:space="0"/>
              <w:right w:val="single" w:color="auto" w:sz="4" w:space="0"/>
            </w:tcBorders>
            <w:noWrap/>
          </w:tcPr>
          <w:p w14:paraId="73D0663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实际到位资金与预算资金的比率，用以反映和考核资金落实情况对项目实施的总体保障程度。</w:t>
            </w:r>
          </w:p>
        </w:tc>
        <w:tc>
          <w:tcPr>
            <w:tcW w:w="5644" w:type="dxa"/>
            <w:tcBorders>
              <w:top w:val="single" w:color="auto" w:sz="4" w:space="0"/>
              <w:left w:val="single" w:color="auto" w:sz="4" w:space="0"/>
              <w:bottom w:val="single" w:color="auto" w:sz="4" w:space="0"/>
              <w:right w:val="single" w:color="auto" w:sz="4" w:space="0"/>
            </w:tcBorders>
            <w:noWrap/>
          </w:tcPr>
          <w:p w14:paraId="3E01CEA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资金到位率= (实际到位资金/预算资金) X 100%。</w:t>
            </w:r>
          </w:p>
          <w:p w14:paraId="1D3C8988">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实际到位资金:一定时期(本年度或项目期)内落实到具体项目的资金。</w:t>
            </w:r>
          </w:p>
          <w:p w14:paraId="3DF8D4F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预算资金:一 定时期(本年度或项目期)内预算安排到具体项目的资金。得分=资金到位率×4分。</w:t>
            </w:r>
          </w:p>
        </w:tc>
      </w:tr>
      <w:tr w14:paraId="6281AA79">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7F5EC2B0"/>
        </w:tc>
        <w:tc>
          <w:tcPr>
            <w:tcW w:w="1223" w:type="dxa"/>
            <w:vMerge w:val="continue"/>
            <w:tcBorders>
              <w:top w:val="single" w:color="auto" w:sz="4" w:space="0"/>
              <w:left w:val="single" w:color="auto" w:sz="4" w:space="0"/>
              <w:bottom w:val="single" w:color="auto" w:sz="4" w:space="0"/>
              <w:right w:val="single" w:color="auto" w:sz="4" w:space="0"/>
            </w:tcBorders>
            <w:noWrap/>
          </w:tcPr>
          <w:p w14:paraId="1F5F7AA6"/>
        </w:tc>
        <w:tc>
          <w:tcPr>
            <w:tcW w:w="1682" w:type="dxa"/>
            <w:tcBorders>
              <w:top w:val="single" w:color="auto" w:sz="4" w:space="0"/>
              <w:left w:val="single" w:color="auto" w:sz="4" w:space="0"/>
              <w:bottom w:val="single" w:color="auto" w:sz="4" w:space="0"/>
              <w:right w:val="single" w:color="auto" w:sz="4" w:space="0"/>
            </w:tcBorders>
            <w:noWrap/>
            <w:vAlign w:val="center"/>
          </w:tcPr>
          <w:p w14:paraId="0530AB1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B12预算执行率（4分）</w:t>
            </w:r>
          </w:p>
        </w:tc>
        <w:tc>
          <w:tcPr>
            <w:tcW w:w="4221" w:type="dxa"/>
            <w:tcBorders>
              <w:top w:val="single" w:color="auto" w:sz="4" w:space="0"/>
              <w:left w:val="single" w:color="auto" w:sz="4" w:space="0"/>
              <w:bottom w:val="single" w:color="auto" w:sz="4" w:space="0"/>
              <w:right w:val="single" w:color="auto" w:sz="4" w:space="0"/>
            </w:tcBorders>
            <w:noWrap/>
          </w:tcPr>
          <w:p w14:paraId="4363ED2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项目预算资金是否按照计划执行，用以反映或考核项目预算执行情况。</w:t>
            </w:r>
          </w:p>
        </w:tc>
        <w:tc>
          <w:tcPr>
            <w:tcW w:w="5644" w:type="dxa"/>
            <w:tcBorders>
              <w:top w:val="single" w:color="auto" w:sz="4" w:space="0"/>
              <w:left w:val="single" w:color="auto" w:sz="4" w:space="0"/>
              <w:bottom w:val="single" w:color="auto" w:sz="4" w:space="0"/>
              <w:right w:val="single" w:color="auto" w:sz="4" w:space="0"/>
            </w:tcBorders>
            <w:noWrap/>
          </w:tcPr>
          <w:p w14:paraId="618047C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预算执行率= (实际支出资金/实际到位资金) X 100%。</w:t>
            </w:r>
          </w:p>
          <w:p w14:paraId="373C6468">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实际支出资金:一定时期(本年度或项目期)内项目实际拨付的资金。得分=预算执行率×4分。</w:t>
            </w:r>
          </w:p>
        </w:tc>
      </w:tr>
      <w:tr w14:paraId="3082A20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33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07126E5C"/>
        </w:tc>
        <w:tc>
          <w:tcPr>
            <w:tcW w:w="1223" w:type="dxa"/>
            <w:vMerge w:val="continue"/>
            <w:tcBorders>
              <w:top w:val="single" w:color="auto" w:sz="4" w:space="0"/>
              <w:left w:val="single" w:color="auto" w:sz="4" w:space="0"/>
              <w:bottom w:val="single" w:color="auto" w:sz="4" w:space="0"/>
              <w:right w:val="single" w:color="auto" w:sz="4" w:space="0"/>
            </w:tcBorders>
            <w:noWrap/>
          </w:tcPr>
          <w:p w14:paraId="5C4B2F13"/>
        </w:tc>
        <w:tc>
          <w:tcPr>
            <w:tcW w:w="1682" w:type="dxa"/>
            <w:tcBorders>
              <w:top w:val="single" w:color="auto" w:sz="4" w:space="0"/>
              <w:left w:val="single" w:color="auto" w:sz="4" w:space="0"/>
              <w:bottom w:val="single" w:color="auto" w:sz="4" w:space="0"/>
              <w:right w:val="single" w:color="auto" w:sz="4" w:space="0"/>
            </w:tcBorders>
            <w:noWrap/>
            <w:vAlign w:val="center"/>
          </w:tcPr>
          <w:p w14:paraId="75049E2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B13资金使用合规性（4分）</w:t>
            </w:r>
          </w:p>
        </w:tc>
        <w:tc>
          <w:tcPr>
            <w:tcW w:w="4221" w:type="dxa"/>
            <w:tcBorders>
              <w:top w:val="single" w:color="auto" w:sz="4" w:space="0"/>
              <w:left w:val="single" w:color="auto" w:sz="4" w:space="0"/>
              <w:bottom w:val="single" w:color="auto" w:sz="4" w:space="0"/>
              <w:right w:val="single" w:color="auto" w:sz="4" w:space="0"/>
            </w:tcBorders>
            <w:noWrap/>
          </w:tcPr>
          <w:p w14:paraId="4FB1B2C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项目资金使用是否符合相关的财务管理制度规定，用以反映和考核项目资金的规范运行情况。</w:t>
            </w:r>
          </w:p>
        </w:tc>
        <w:tc>
          <w:tcPr>
            <w:tcW w:w="5644" w:type="dxa"/>
            <w:tcBorders>
              <w:top w:val="single" w:color="auto" w:sz="4" w:space="0"/>
              <w:left w:val="single" w:color="auto" w:sz="4" w:space="0"/>
              <w:bottom w:val="single" w:color="auto" w:sz="4" w:space="0"/>
              <w:right w:val="single" w:color="auto" w:sz="4" w:space="0"/>
            </w:tcBorders>
            <w:noWrap/>
          </w:tcPr>
          <w:p w14:paraId="3095FA4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①是否符合国家财经法规和财务管理制度以及有关专项资金管理办法的规定，1分:</w:t>
            </w:r>
          </w:p>
          <w:p w14:paraId="60F48CE3">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②资金的拨付是否有完整的审批程序和手续，1分:</w:t>
            </w:r>
          </w:p>
          <w:p w14:paraId="4AF8ABE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③是否符合项目预算批复或合同规定的用途，1分:</w:t>
            </w:r>
          </w:p>
          <w:p w14:paraId="1B3A2E0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④是否存在藏留、挤占、挪用、虚列支出等情况，1分。</w:t>
            </w:r>
          </w:p>
        </w:tc>
      </w:tr>
      <w:tr w14:paraId="050B77A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41662719"/>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4EF52FE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B2组织实施（8分）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25A706A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B21管理制度健全性（4分）</w:t>
            </w:r>
          </w:p>
        </w:tc>
        <w:tc>
          <w:tcPr>
            <w:tcW w:w="4221" w:type="dxa"/>
            <w:tcBorders>
              <w:top w:val="single" w:color="auto" w:sz="4" w:space="0"/>
              <w:left w:val="single" w:color="auto" w:sz="4" w:space="0"/>
              <w:bottom w:val="single" w:color="auto" w:sz="4" w:space="0"/>
              <w:right w:val="single" w:color="auto" w:sz="4" w:space="0"/>
            </w:tcBorders>
            <w:noWrap/>
          </w:tcPr>
          <w:p w14:paraId="41077B67">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项目实施单位的财务和业务管理制度是否健全，用以反映和考核财务和业务管理制度对项目顺利实施的保障情况。</w:t>
            </w:r>
          </w:p>
        </w:tc>
        <w:tc>
          <w:tcPr>
            <w:tcW w:w="5644" w:type="dxa"/>
            <w:tcBorders>
              <w:top w:val="single" w:color="auto" w:sz="4" w:space="0"/>
              <w:left w:val="single" w:color="auto" w:sz="4" w:space="0"/>
              <w:bottom w:val="single" w:color="auto" w:sz="4" w:space="0"/>
              <w:right w:val="single" w:color="auto" w:sz="4" w:space="0"/>
            </w:tcBorders>
            <w:noWrap/>
          </w:tcPr>
          <w:p w14:paraId="29D180E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①是否已制定或具有相应的财务和业务管理制度，4分；</w:t>
            </w:r>
          </w:p>
          <w:p w14:paraId="72B5723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②财务和业务管理制度是否合法、合规、完整，4分。</w:t>
            </w:r>
          </w:p>
        </w:tc>
      </w:tr>
      <w:tr w14:paraId="24C07E0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57"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00555394"/>
        </w:tc>
        <w:tc>
          <w:tcPr>
            <w:tcW w:w="1223" w:type="dxa"/>
            <w:vMerge w:val="continue"/>
            <w:tcBorders>
              <w:top w:val="single" w:color="auto" w:sz="4" w:space="0"/>
              <w:left w:val="single" w:color="auto" w:sz="4" w:space="0"/>
              <w:bottom w:val="single" w:color="auto" w:sz="4" w:space="0"/>
              <w:right w:val="single" w:color="auto" w:sz="4" w:space="0"/>
            </w:tcBorders>
            <w:noWrap/>
          </w:tcPr>
          <w:p w14:paraId="727AC461"/>
        </w:tc>
        <w:tc>
          <w:tcPr>
            <w:tcW w:w="1682" w:type="dxa"/>
            <w:tcBorders>
              <w:top w:val="single" w:color="auto" w:sz="4" w:space="0"/>
              <w:left w:val="single" w:color="auto" w:sz="4" w:space="0"/>
              <w:bottom w:val="single" w:color="auto" w:sz="4" w:space="0"/>
              <w:right w:val="single" w:color="auto" w:sz="4" w:space="0"/>
            </w:tcBorders>
            <w:noWrap/>
            <w:vAlign w:val="center"/>
          </w:tcPr>
          <w:p w14:paraId="5AA6F78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B22制度执行有效性（4分）</w:t>
            </w:r>
          </w:p>
        </w:tc>
        <w:tc>
          <w:tcPr>
            <w:tcW w:w="4221" w:type="dxa"/>
            <w:tcBorders>
              <w:top w:val="single" w:color="auto" w:sz="4" w:space="0"/>
              <w:left w:val="single" w:color="auto" w:sz="4" w:space="0"/>
              <w:bottom w:val="single" w:color="auto" w:sz="4" w:space="0"/>
              <w:right w:val="single" w:color="auto" w:sz="4" w:space="0"/>
            </w:tcBorders>
            <w:noWrap/>
          </w:tcPr>
          <w:p w14:paraId="4C5BB198">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项目实施是否符合相关管理规定，用以反映和考核相关管理制度的有效执行情况。</w:t>
            </w:r>
          </w:p>
        </w:tc>
        <w:tc>
          <w:tcPr>
            <w:tcW w:w="5644" w:type="dxa"/>
            <w:tcBorders>
              <w:top w:val="single" w:color="auto" w:sz="4" w:space="0"/>
              <w:left w:val="single" w:color="auto" w:sz="4" w:space="0"/>
              <w:bottom w:val="single" w:color="auto" w:sz="4" w:space="0"/>
              <w:right w:val="single" w:color="auto" w:sz="4" w:space="0"/>
            </w:tcBorders>
            <w:noWrap/>
          </w:tcPr>
          <w:p w14:paraId="7CA53D7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①是否遵守相关法律法规和相关管理规定，1分；</w:t>
            </w:r>
          </w:p>
          <w:p w14:paraId="7C511468">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②项目调整及支出调整手续是否完备，1分；</w:t>
            </w:r>
          </w:p>
          <w:p w14:paraId="6C9ACD4B">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③项目合同书、验收报告、技术鉴定等资料是否齐全并及时归档，1分；</w:t>
            </w:r>
          </w:p>
          <w:p w14:paraId="078FC91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④项目实施的人员条件、场地设备、信息支撑等是否落实到位，1分。</w:t>
            </w:r>
          </w:p>
        </w:tc>
      </w:tr>
      <w:tr w14:paraId="5B0961E2">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944" w:hRule="atLeast"/>
        </w:trPr>
        <w:tc>
          <w:tcPr>
            <w:tcW w:w="1208" w:type="dxa"/>
            <w:vMerge w:val="restart"/>
            <w:tcBorders>
              <w:top w:val="single" w:color="auto" w:sz="4" w:space="0"/>
              <w:left w:val="single" w:color="auto" w:sz="4" w:space="0"/>
              <w:bottom w:val="single" w:color="auto" w:sz="4" w:space="0"/>
              <w:right w:val="single" w:color="auto" w:sz="4" w:space="0"/>
            </w:tcBorders>
            <w:noWrap/>
            <w:vAlign w:val="center"/>
          </w:tcPr>
          <w:p w14:paraId="3F36780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C产出（30分）</w:t>
            </w:r>
          </w:p>
        </w:tc>
        <w:tc>
          <w:tcPr>
            <w:tcW w:w="1223" w:type="dxa"/>
            <w:tcBorders>
              <w:top w:val="single" w:color="auto" w:sz="4" w:space="0"/>
              <w:left w:val="single" w:color="auto" w:sz="4" w:space="0"/>
              <w:bottom w:val="single" w:color="auto" w:sz="4" w:space="0"/>
              <w:right w:val="single" w:color="auto" w:sz="4" w:space="0"/>
            </w:tcBorders>
            <w:noWrap/>
            <w:vAlign w:val="center"/>
          </w:tcPr>
          <w:p w14:paraId="144A14A0">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C1产出数量（6分）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40D884E9">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C11工程完工率（6分）</w:t>
            </w:r>
          </w:p>
        </w:tc>
        <w:tc>
          <w:tcPr>
            <w:tcW w:w="4221" w:type="dxa"/>
            <w:tcBorders>
              <w:top w:val="single" w:color="auto" w:sz="4" w:space="0"/>
              <w:left w:val="single" w:color="auto" w:sz="4" w:space="0"/>
              <w:bottom w:val="single" w:color="auto" w:sz="4" w:space="0"/>
              <w:right w:val="single" w:color="auto" w:sz="4" w:space="0"/>
            </w:tcBorders>
            <w:noWrap/>
          </w:tcPr>
          <w:p w14:paraId="040DA46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项目实施的实际产出数与计划产出数的比率，用以反映和考核项目产出数量目标的实现程度。实际完成率= (实际产出数/计划产出数) x 100%。</w:t>
            </w:r>
          </w:p>
          <w:p w14:paraId="1C794F51">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得分=实际完成率*100.00%*权重分</w:t>
            </w:r>
          </w:p>
        </w:tc>
        <w:tc>
          <w:tcPr>
            <w:tcW w:w="5644" w:type="dxa"/>
            <w:tcBorders>
              <w:top w:val="single" w:color="auto" w:sz="4" w:space="0"/>
              <w:left w:val="single" w:color="auto" w:sz="4" w:space="0"/>
              <w:bottom w:val="single" w:color="auto" w:sz="4" w:space="0"/>
              <w:right w:val="single" w:color="auto" w:sz="4" w:space="0"/>
            </w:tcBorders>
            <w:noWrap/>
          </w:tcPr>
          <w:p w14:paraId="074B3A41">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根据验收意见，全部完工得满分，否则按照完工的工程量比例得分。</w:t>
            </w:r>
          </w:p>
        </w:tc>
      </w:tr>
      <w:tr w14:paraId="0233DCE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05ABCA67"/>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489033BF">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C2产出质量（8分）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0E0B279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C21建设规模达标情况</w:t>
            </w:r>
          </w:p>
          <w:p w14:paraId="068E2C48">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（4分）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5E08AAE7">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考核项目建设规模达标情况。</w:t>
            </w:r>
          </w:p>
        </w:tc>
        <w:tc>
          <w:tcPr>
            <w:tcW w:w="5644" w:type="dxa"/>
            <w:tcBorders>
              <w:top w:val="single" w:color="auto" w:sz="4" w:space="0"/>
              <w:left w:val="single" w:color="auto" w:sz="4" w:space="0"/>
              <w:bottom w:val="single" w:color="auto" w:sz="4" w:space="0"/>
              <w:right w:val="single" w:color="auto" w:sz="4" w:space="0"/>
            </w:tcBorders>
            <w:noWrap/>
            <w:vAlign w:val="center"/>
          </w:tcPr>
          <w:p w14:paraId="3A84031C">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项目建设规模达到预期目标，得满分，否则，按照比例得分。</w:t>
            </w:r>
          </w:p>
        </w:tc>
      </w:tr>
      <w:tr w14:paraId="6B83E809">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6A69B8BB"/>
        </w:tc>
        <w:tc>
          <w:tcPr>
            <w:tcW w:w="1223" w:type="dxa"/>
            <w:vMerge w:val="continue"/>
            <w:tcBorders>
              <w:top w:val="single" w:color="auto" w:sz="4" w:space="0"/>
              <w:left w:val="single" w:color="auto" w:sz="4" w:space="0"/>
              <w:bottom w:val="single" w:color="auto" w:sz="4" w:space="0"/>
              <w:right w:val="single" w:color="auto" w:sz="4" w:space="0"/>
            </w:tcBorders>
            <w:noWrap/>
            <w:vAlign w:val="center"/>
          </w:tcPr>
          <w:p w14:paraId="6770C7FD"/>
        </w:tc>
        <w:tc>
          <w:tcPr>
            <w:tcW w:w="1682" w:type="dxa"/>
            <w:tcBorders>
              <w:top w:val="single" w:color="auto" w:sz="4" w:space="0"/>
              <w:left w:val="single" w:color="auto" w:sz="4" w:space="0"/>
              <w:bottom w:val="single" w:color="auto" w:sz="4" w:space="0"/>
              <w:right w:val="single" w:color="auto" w:sz="4" w:space="0"/>
            </w:tcBorders>
            <w:noWrap/>
            <w:vAlign w:val="center"/>
          </w:tcPr>
          <w:p w14:paraId="3622A73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C22质量达标情况（4分）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659A186B">
            <w:pPr>
              <w:spacing w:line="400" w:lineRule="exact"/>
              <w:jc w:val="center"/>
              <w:rPr>
                <w:rFonts w:hint="eastAsia" w:ascii="Times New Roman" w:hAnsi="Times New Roman" w:eastAsia="仿宋" w:cs="Times New Roman"/>
                <w:sz w:val="24"/>
                <w:szCs w:val="24"/>
                <w:lang w:val="en-US" w:eastAsia="zh-CN"/>
              </w:rPr>
            </w:pPr>
            <w:r>
              <w:rPr>
                <w:rFonts w:hint="eastAsia" w:ascii="仿宋" w:hAnsi="仿宋" w:cs="仿宋"/>
                <w:color w:val="000000"/>
                <w:kern w:val="0"/>
                <w:sz w:val="21"/>
                <w:szCs w:val="21"/>
                <w:lang w:eastAsia="zh-CN"/>
              </w:rPr>
              <w:t>考核项目质量达标情况。</w:t>
            </w:r>
          </w:p>
        </w:tc>
        <w:tc>
          <w:tcPr>
            <w:tcW w:w="5644" w:type="dxa"/>
            <w:tcBorders>
              <w:top w:val="single" w:color="auto" w:sz="4" w:space="0"/>
              <w:left w:val="single" w:color="auto" w:sz="4" w:space="0"/>
              <w:bottom w:val="single" w:color="auto" w:sz="4" w:space="0"/>
              <w:right w:val="single" w:color="auto" w:sz="4" w:space="0"/>
            </w:tcBorders>
            <w:noWrap/>
            <w:vAlign w:val="center"/>
          </w:tcPr>
          <w:p w14:paraId="16EF4E1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依据竣工验收报告，项目质量验收合格打满分，否则不得分。</w:t>
            </w:r>
          </w:p>
        </w:tc>
      </w:tr>
      <w:tr w14:paraId="68DF500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52F5BD2A"/>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15EA076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C3产出时效（8分）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6B6F594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C31项目完工及时性（4分）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26F2AB2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考核项目完工及时情况。</w:t>
            </w:r>
          </w:p>
        </w:tc>
        <w:tc>
          <w:tcPr>
            <w:tcW w:w="5644" w:type="dxa"/>
            <w:tcBorders>
              <w:top w:val="single" w:color="auto" w:sz="4" w:space="0"/>
              <w:left w:val="single" w:color="auto" w:sz="4" w:space="0"/>
              <w:bottom w:val="single" w:color="auto" w:sz="4" w:space="0"/>
              <w:right w:val="single" w:color="auto" w:sz="4" w:space="0"/>
            </w:tcBorders>
            <w:noWrap/>
            <w:vAlign w:val="center"/>
          </w:tcPr>
          <w:p w14:paraId="49B51B8C">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项目完工及时率=实际工期/计划工期</w:t>
            </w:r>
          </w:p>
          <w:p w14:paraId="655E7A2F">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项目按照合同约定计划要求时限完成，得满分；项目超期完成1个月扣1分，扣完为止。</w:t>
            </w:r>
          </w:p>
        </w:tc>
      </w:tr>
      <w:tr w14:paraId="392B8AC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27593509"/>
        </w:tc>
        <w:tc>
          <w:tcPr>
            <w:tcW w:w="1223" w:type="dxa"/>
            <w:vMerge w:val="continue"/>
            <w:tcBorders>
              <w:top w:val="single" w:color="auto" w:sz="4" w:space="0"/>
              <w:left w:val="single" w:color="auto" w:sz="4" w:space="0"/>
              <w:bottom w:val="single" w:color="auto" w:sz="4" w:space="0"/>
              <w:right w:val="single" w:color="auto" w:sz="4" w:space="0"/>
            </w:tcBorders>
            <w:noWrap/>
            <w:vAlign w:val="center"/>
          </w:tcPr>
          <w:p w14:paraId="435BB09B"/>
        </w:tc>
        <w:tc>
          <w:tcPr>
            <w:tcW w:w="1682" w:type="dxa"/>
            <w:tcBorders>
              <w:top w:val="single" w:color="auto" w:sz="4" w:space="0"/>
              <w:left w:val="single" w:color="auto" w:sz="4" w:space="0"/>
              <w:bottom w:val="single" w:color="auto" w:sz="4" w:space="0"/>
              <w:right w:val="single" w:color="auto" w:sz="4" w:space="0"/>
            </w:tcBorders>
            <w:noWrap/>
            <w:vAlign w:val="center"/>
          </w:tcPr>
          <w:p w14:paraId="01065219">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C32劳务报酬发放及时性（4分）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4D1C8055">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考核劳务报酬发放及时情况。</w:t>
            </w:r>
          </w:p>
        </w:tc>
        <w:tc>
          <w:tcPr>
            <w:tcW w:w="5644" w:type="dxa"/>
            <w:tcBorders>
              <w:top w:val="single" w:color="auto" w:sz="4" w:space="0"/>
              <w:left w:val="single" w:color="auto" w:sz="4" w:space="0"/>
              <w:bottom w:val="single" w:color="auto" w:sz="4" w:space="0"/>
              <w:right w:val="single" w:color="auto" w:sz="4" w:space="0"/>
            </w:tcBorders>
            <w:noWrap/>
            <w:vAlign w:val="center"/>
          </w:tcPr>
          <w:p w14:paraId="12220B66">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劳务报酬按月及时发放，得满分；发现一次发放不及时扣0.5分，扣完为止。</w:t>
            </w:r>
          </w:p>
        </w:tc>
      </w:tr>
      <w:tr w14:paraId="2EC7A8AC">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0CBE47FB"/>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0FA10FEF">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C4产出成本（8分）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6D24A9D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C41工程成本控制情况（4分）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1F60B715">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考核工程建设成本控制情况。</w:t>
            </w:r>
          </w:p>
        </w:tc>
        <w:tc>
          <w:tcPr>
            <w:tcW w:w="5644" w:type="dxa"/>
            <w:tcBorders>
              <w:top w:val="single" w:color="auto" w:sz="4" w:space="0"/>
              <w:left w:val="single" w:color="auto" w:sz="4" w:space="0"/>
              <w:bottom w:val="single" w:color="auto" w:sz="4" w:space="0"/>
              <w:right w:val="single" w:color="auto" w:sz="4" w:space="0"/>
            </w:tcBorders>
            <w:noWrap/>
            <w:vAlign w:val="center"/>
          </w:tcPr>
          <w:p w14:paraId="369102C1">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工程结算审定价不超合同价，得满分；工程结算审定价超合同价在10%以内，得50%权重分；工程结算审定价超过合同价10%，不得分。</w:t>
            </w:r>
          </w:p>
        </w:tc>
      </w:tr>
      <w:tr w14:paraId="2E83A80E">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944"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6C8FF283"/>
        </w:tc>
        <w:tc>
          <w:tcPr>
            <w:tcW w:w="1223" w:type="dxa"/>
            <w:vMerge w:val="continue"/>
            <w:tcBorders>
              <w:top w:val="single" w:color="auto" w:sz="4" w:space="0"/>
              <w:left w:val="single" w:color="auto" w:sz="4" w:space="0"/>
              <w:bottom w:val="single" w:color="auto" w:sz="4" w:space="0"/>
              <w:right w:val="single" w:color="auto" w:sz="4" w:space="0"/>
            </w:tcBorders>
            <w:noWrap/>
            <w:vAlign w:val="center"/>
          </w:tcPr>
          <w:p w14:paraId="18042254"/>
        </w:tc>
        <w:tc>
          <w:tcPr>
            <w:tcW w:w="1682" w:type="dxa"/>
            <w:tcBorders>
              <w:top w:val="single" w:color="auto" w:sz="4" w:space="0"/>
              <w:left w:val="single" w:color="auto" w:sz="4" w:space="0"/>
              <w:bottom w:val="single" w:color="auto" w:sz="4" w:space="0"/>
              <w:right w:val="single" w:color="auto" w:sz="4" w:space="0"/>
            </w:tcBorders>
            <w:noWrap/>
            <w:vAlign w:val="center"/>
          </w:tcPr>
          <w:p w14:paraId="3DA618A4">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C42劳务报酬发放比例达标情况（4分）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08FC50BD">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考核劳务报酬发放是够严格按照《全国“十三五”以工代赈工作方案》的有关要求执行。</w:t>
            </w:r>
          </w:p>
        </w:tc>
        <w:tc>
          <w:tcPr>
            <w:tcW w:w="5644" w:type="dxa"/>
            <w:tcBorders>
              <w:top w:val="single" w:color="auto" w:sz="4" w:space="0"/>
              <w:left w:val="single" w:color="auto" w:sz="4" w:space="0"/>
              <w:bottom w:val="single" w:color="auto" w:sz="4" w:space="0"/>
              <w:right w:val="single" w:color="auto" w:sz="4" w:space="0"/>
            </w:tcBorders>
            <w:noWrap/>
            <w:vAlign w:val="center"/>
          </w:tcPr>
          <w:p w14:paraId="5AE9CD2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根据《全国“十三五”以工代赈工作方案》的有关要求，①发放劳务报酬比例不低于该项目中央资金的10%；（50%权重分）②建档立卡贫困人口发放的劳务报酬比例不低于该项目劳务报酬的50%（50%权重分）。</w:t>
            </w:r>
          </w:p>
        </w:tc>
      </w:tr>
      <w:tr w14:paraId="65B14832">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restart"/>
            <w:tcBorders>
              <w:top w:val="single" w:color="auto" w:sz="4" w:space="0"/>
              <w:left w:val="single" w:color="auto" w:sz="4" w:space="0"/>
              <w:bottom w:val="single" w:color="auto" w:sz="4" w:space="0"/>
              <w:right w:val="single" w:color="auto" w:sz="4" w:space="0"/>
            </w:tcBorders>
            <w:noWrap/>
            <w:vAlign w:val="center"/>
          </w:tcPr>
          <w:p w14:paraId="12674AA3">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D效益（30分）</w:t>
            </w:r>
          </w:p>
        </w:tc>
        <w:tc>
          <w:tcPr>
            <w:tcW w:w="1223" w:type="dxa"/>
            <w:tcBorders>
              <w:top w:val="single" w:color="auto" w:sz="4" w:space="0"/>
              <w:left w:val="single" w:color="auto" w:sz="4" w:space="0"/>
              <w:bottom w:val="single" w:color="auto" w:sz="4" w:space="0"/>
              <w:right w:val="single" w:color="auto" w:sz="4" w:space="0"/>
            </w:tcBorders>
            <w:noWrap/>
            <w:vAlign w:val="center"/>
          </w:tcPr>
          <w:p w14:paraId="25D5A89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D1经济效益（5分）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2A5968A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D11项目区人均纯收入增加（5分）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3364F70C">
            <w:pPr>
              <w:spacing w:line="260" w:lineRule="exact"/>
              <w:rPr>
                <w:rFonts w:hint="eastAsia" w:ascii="Times New Roman" w:hAnsi="Times New Roman" w:eastAsia="仿宋" w:cs="Times New Roman"/>
                <w:sz w:val="24"/>
                <w:szCs w:val="24"/>
                <w:lang w:val="en-US" w:eastAsia="zh-CN"/>
              </w:rPr>
            </w:pPr>
            <w:r>
              <w:rPr>
                <w:rFonts w:hint="eastAsia" w:ascii="仿宋" w:eastAsia="仿宋" w:cs="仿宋"/>
                <w:sz w:val="21"/>
                <w:szCs w:val="21"/>
              </w:rPr>
              <w:t>考核项目实施后</w:t>
            </w:r>
            <w:r>
              <w:rPr>
                <w:rFonts w:hint="eastAsia" w:ascii="仿宋" w:eastAsia="仿宋" w:cs="仿宋"/>
                <w:sz w:val="21"/>
                <w:szCs w:val="21"/>
                <w:lang w:val="en-US" w:eastAsia="zh-CN"/>
              </w:rPr>
              <w:t>人均收入增加情况</w:t>
            </w:r>
            <w:r>
              <w:rPr>
                <w:rFonts w:hint="eastAsia" w:ascii="仿宋" w:eastAsia="仿宋" w:cs="仿宋"/>
                <w:sz w:val="21"/>
                <w:szCs w:val="21"/>
                <w:lang w:eastAsia="zh-CN"/>
              </w:rPr>
              <w:t>。</w:t>
            </w:r>
          </w:p>
        </w:tc>
        <w:tc>
          <w:tcPr>
            <w:tcW w:w="5644" w:type="dxa"/>
            <w:tcBorders>
              <w:top w:val="single" w:color="auto" w:sz="4" w:space="0"/>
              <w:left w:val="single" w:color="auto" w:sz="4" w:space="0"/>
              <w:bottom w:val="single" w:color="auto" w:sz="4" w:space="0"/>
              <w:right w:val="single" w:color="auto" w:sz="4" w:space="0"/>
            </w:tcBorders>
            <w:noWrap/>
            <w:vAlign w:val="center"/>
          </w:tcPr>
          <w:p w14:paraId="47707A7E">
            <w:pPr>
              <w:autoSpaceDE w:val="0"/>
              <w:autoSpaceDN w:val="0"/>
              <w:adjustRightInd w:val="0"/>
              <w:spacing w:line="260" w:lineRule="exact"/>
              <w:ind w:firstLine="420" w:firstLineChars="200"/>
              <w:rPr>
                <w:rFonts w:hint="eastAsia" w:ascii="Times New Roman" w:hAnsi="Times New Roman" w:eastAsia="仿宋" w:cs="Times New Roman"/>
                <w:sz w:val="24"/>
                <w:szCs w:val="24"/>
                <w:lang w:val="en-US" w:eastAsia="zh-CN"/>
              </w:rPr>
            </w:pPr>
            <w:r>
              <w:rPr>
                <w:rFonts w:hint="eastAsia" w:ascii="仿宋" w:eastAsia="仿宋" w:cs="仿宋"/>
                <w:sz w:val="21"/>
                <w:szCs w:val="21"/>
                <w:lang w:val="en-US" w:eastAsia="zh-CN"/>
              </w:rPr>
              <w:t>项目实施完成后人均年纯收入提高达到预期，得满分；未达到预期的，按照实际人均收入提高值/预期值*100%*权重分计算得分。</w:t>
            </w:r>
          </w:p>
        </w:tc>
      </w:tr>
      <w:tr w14:paraId="3E6DE851">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3CBE9720"/>
        </w:tc>
        <w:tc>
          <w:tcPr>
            <w:tcW w:w="1223" w:type="dxa"/>
            <w:vMerge w:val="restart"/>
            <w:tcBorders>
              <w:top w:val="single" w:color="auto" w:sz="4" w:space="0"/>
              <w:left w:val="single" w:color="auto" w:sz="4" w:space="0"/>
              <w:bottom w:val="single" w:color="auto" w:sz="4" w:space="0"/>
              <w:right w:val="single" w:color="auto" w:sz="4" w:space="0"/>
            </w:tcBorders>
            <w:noWrap/>
            <w:vAlign w:val="center"/>
          </w:tcPr>
          <w:p w14:paraId="364BDDB7">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D2社会效益（15分）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527675AA">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D21农产品运输成本（5分）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688C7D00">
            <w:pPr>
              <w:spacing w:line="260" w:lineRule="exac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考核项目实施后项目区农业种植和产业化调整是否得以优化。</w:t>
            </w:r>
          </w:p>
        </w:tc>
        <w:tc>
          <w:tcPr>
            <w:tcW w:w="5644" w:type="dxa"/>
            <w:tcBorders>
              <w:top w:val="single" w:color="auto" w:sz="4" w:space="0"/>
              <w:left w:val="single" w:color="auto" w:sz="4" w:space="0"/>
              <w:bottom w:val="single" w:color="auto" w:sz="4" w:space="0"/>
              <w:right w:val="single" w:color="auto" w:sz="4" w:space="0"/>
            </w:tcBorders>
            <w:noWrap/>
            <w:vAlign w:val="center"/>
          </w:tcPr>
          <w:p w14:paraId="7E274055">
            <w:pPr>
              <w:autoSpaceDE w:val="0"/>
              <w:autoSpaceDN w:val="0"/>
              <w:adjustRightInd w:val="0"/>
              <w:spacing w:line="260" w:lineRule="exact"/>
              <w:ind w:firstLine="420" w:firstLineChars="200"/>
              <w:rPr>
                <w:rFonts w:hint="eastAsia" w:ascii="Times New Roman" w:hAnsi="Times New Roman" w:eastAsia="仿宋" w:cs="Times New Roman"/>
                <w:sz w:val="24"/>
                <w:szCs w:val="24"/>
                <w:lang w:val="en-US" w:eastAsia="zh-CN"/>
              </w:rPr>
            </w:pPr>
            <w:r>
              <w:rPr>
                <w:rFonts w:hint="eastAsia" w:ascii="仿宋" w:eastAsia="仿宋" w:cs="仿宋"/>
                <w:sz w:val="21"/>
                <w:szCs w:val="21"/>
                <w:lang w:val="en-US" w:eastAsia="zh-CN"/>
              </w:rPr>
              <w:t>根据实施方案，项目实施后农产品运输成本有效降低，得满分，否则，不得分。</w:t>
            </w:r>
          </w:p>
        </w:tc>
      </w:tr>
      <w:tr w14:paraId="791ECA8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63D56530"/>
        </w:tc>
        <w:tc>
          <w:tcPr>
            <w:tcW w:w="1223" w:type="dxa"/>
            <w:vMerge w:val="continue"/>
            <w:tcBorders>
              <w:top w:val="single" w:color="auto" w:sz="4" w:space="0"/>
              <w:left w:val="single" w:color="auto" w:sz="4" w:space="0"/>
              <w:bottom w:val="single" w:color="auto" w:sz="4" w:space="0"/>
              <w:right w:val="single" w:color="auto" w:sz="4" w:space="0"/>
            </w:tcBorders>
            <w:noWrap/>
            <w:vAlign w:val="center"/>
          </w:tcPr>
          <w:p w14:paraId="625DF7D9"/>
        </w:tc>
        <w:tc>
          <w:tcPr>
            <w:tcW w:w="1682" w:type="dxa"/>
            <w:tcBorders>
              <w:top w:val="single" w:color="auto" w:sz="4" w:space="0"/>
              <w:left w:val="single" w:color="auto" w:sz="4" w:space="0"/>
              <w:bottom w:val="single" w:color="auto" w:sz="4" w:space="0"/>
              <w:right w:val="single" w:color="auto" w:sz="4" w:space="0"/>
            </w:tcBorders>
            <w:noWrap/>
            <w:vAlign w:val="center"/>
          </w:tcPr>
          <w:p w14:paraId="400B9D76">
            <w:pPr>
              <w:spacing w:line="400" w:lineRule="exact"/>
              <w:jc w:val="center"/>
              <w:rPr>
                <w:rFonts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D22完善农村路网基础设施（10分）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2FC2FD7C">
            <w:pPr>
              <w:spacing w:line="260" w:lineRule="exact"/>
              <w:rPr>
                <w:rFonts w:hint="eastAsia" w:ascii="仿宋" w:eastAsia="仿宋" w:cs="仿宋"/>
                <w:sz w:val="21"/>
                <w:szCs w:val="21"/>
              </w:rPr>
            </w:pPr>
            <w:r>
              <w:rPr>
                <w:rFonts w:hint="eastAsia" w:ascii="仿宋" w:eastAsia="仿宋" w:cs="仿宋"/>
                <w:sz w:val="21"/>
                <w:szCs w:val="21"/>
              </w:rPr>
              <w:t>考核项目实施后是否完善了当地农田水利基础设施。</w:t>
            </w:r>
          </w:p>
        </w:tc>
        <w:tc>
          <w:tcPr>
            <w:tcW w:w="5644" w:type="dxa"/>
            <w:tcBorders>
              <w:top w:val="single" w:color="auto" w:sz="4" w:space="0"/>
              <w:left w:val="single" w:color="auto" w:sz="4" w:space="0"/>
              <w:bottom w:val="single" w:color="auto" w:sz="4" w:space="0"/>
              <w:right w:val="single" w:color="auto" w:sz="4" w:space="0"/>
            </w:tcBorders>
            <w:noWrap/>
            <w:vAlign w:val="center"/>
          </w:tcPr>
          <w:p w14:paraId="50CEE6F2">
            <w:pPr>
              <w:autoSpaceDE w:val="0"/>
              <w:autoSpaceDN w:val="0"/>
              <w:adjustRightInd w:val="0"/>
              <w:spacing w:line="260" w:lineRule="exact"/>
              <w:ind w:firstLine="420" w:firstLineChars="200"/>
              <w:rPr>
                <w:rFonts w:hint="eastAsia" w:ascii="仿宋" w:hAnsi="仿宋" w:eastAsia="宋体" w:cs="仿宋"/>
                <w:sz w:val="21"/>
                <w:szCs w:val="21"/>
                <w:lang w:val="en-US" w:eastAsia="zh-CN"/>
              </w:rPr>
            </w:pPr>
            <w:r>
              <w:rPr>
                <w:rFonts w:hint="eastAsia" w:ascii="仿宋" w:eastAsia="仿宋" w:cs="仿宋"/>
                <w:sz w:val="21"/>
                <w:szCs w:val="21"/>
                <w:lang w:val="en-US" w:eastAsia="zh-CN"/>
              </w:rPr>
              <w:t>通过问卷调查和现场访谈，问卷调查中项目区农民对项目完善当地路网设施效果满意度</w:t>
            </w:r>
            <w:r>
              <w:rPr>
                <w:rFonts w:ascii="仿宋" w:eastAsia="仿宋" w:cs="仿宋"/>
                <w:sz w:val="21"/>
                <w:szCs w:val="21"/>
                <w:lang w:val="en-US" w:eastAsia="zh-CN"/>
              </w:rPr>
              <w:t>≥</w:t>
            </w:r>
            <w:r>
              <w:rPr>
                <w:rFonts w:hint="eastAsia" w:ascii="仿宋" w:eastAsia="仿宋" w:cs="仿宋"/>
                <w:sz w:val="21"/>
                <w:szCs w:val="21"/>
                <w:lang w:val="en-US" w:eastAsia="zh-CN"/>
              </w:rPr>
              <w:t>90%，得满分。否则，本项得分=满意度*权重分。</w:t>
            </w:r>
          </w:p>
        </w:tc>
      </w:tr>
      <w:tr w14:paraId="72D7E85F">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71"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4E228AAA"/>
        </w:tc>
        <w:tc>
          <w:tcPr>
            <w:tcW w:w="1223" w:type="dxa"/>
            <w:tcBorders>
              <w:top w:val="single" w:color="auto" w:sz="4" w:space="0"/>
              <w:left w:val="single" w:color="auto" w:sz="4" w:space="0"/>
              <w:bottom w:val="single" w:color="auto" w:sz="4" w:space="0"/>
              <w:right w:val="single" w:color="auto" w:sz="4" w:space="0"/>
            </w:tcBorders>
            <w:noWrap/>
            <w:vAlign w:val="center"/>
          </w:tcPr>
          <w:p w14:paraId="0097D262">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D3可持续影响（5分）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3C827137">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D31后期维护与管理（5分）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3E593F91">
            <w:pPr>
              <w:autoSpaceDE w:val="0"/>
              <w:autoSpaceDN w:val="0"/>
              <w:adjustRightInd w:val="0"/>
              <w:spacing w:line="260" w:lineRule="exact"/>
              <w:ind w:firstLine="420" w:firstLineChars="200"/>
              <w:rPr>
                <w:rFonts w:hint="eastAsia" w:ascii="仿宋" w:eastAsia="仿宋" w:cs="仿宋"/>
                <w:sz w:val="21"/>
                <w:szCs w:val="21"/>
                <w:lang w:val="en-US" w:eastAsia="zh-CN"/>
              </w:rPr>
            </w:pPr>
            <w:r>
              <w:rPr>
                <w:rFonts w:hint="eastAsia" w:ascii="仿宋" w:eastAsia="仿宋" w:cs="仿宋"/>
                <w:sz w:val="21"/>
                <w:szCs w:val="21"/>
                <w:lang w:val="en-US" w:eastAsia="zh-CN"/>
              </w:rPr>
              <w:t>考核项目建成后设施的管理、运行、维护状况。</w:t>
            </w:r>
          </w:p>
        </w:tc>
        <w:tc>
          <w:tcPr>
            <w:tcW w:w="5644" w:type="dxa"/>
            <w:tcBorders>
              <w:top w:val="single" w:color="auto" w:sz="4" w:space="0"/>
              <w:left w:val="single" w:color="auto" w:sz="4" w:space="0"/>
              <w:bottom w:val="single" w:color="auto" w:sz="4" w:space="0"/>
              <w:right w:val="single" w:color="auto" w:sz="4" w:space="0"/>
            </w:tcBorders>
            <w:noWrap/>
            <w:vAlign w:val="center"/>
          </w:tcPr>
          <w:p w14:paraId="6E238B78">
            <w:pPr>
              <w:autoSpaceDE w:val="0"/>
              <w:autoSpaceDN w:val="0"/>
              <w:adjustRightInd w:val="0"/>
              <w:spacing w:line="260" w:lineRule="exact"/>
              <w:ind w:firstLine="420" w:firstLineChars="200"/>
              <w:rPr>
                <w:rFonts w:hint="eastAsia" w:ascii="仿宋" w:eastAsia="仿宋" w:cs="仿宋"/>
                <w:sz w:val="21"/>
                <w:szCs w:val="21"/>
                <w:lang w:val="en-US" w:eastAsia="zh-CN"/>
              </w:rPr>
            </w:pPr>
            <w:r>
              <w:rPr>
                <w:rFonts w:hint="eastAsia" w:ascii="仿宋" w:eastAsia="仿宋" w:cs="仿宋"/>
                <w:sz w:val="21"/>
                <w:szCs w:val="21"/>
                <w:lang w:val="en-US" w:eastAsia="zh-CN"/>
              </w:rPr>
              <w:t>①完工项目移交管护主体，得40%权重分；②已制定或具有相应的管护制度，得30%权重分；③有明确的责任主体、管护措施、落实了管护责任，得30%权重分。</w:t>
            </w:r>
          </w:p>
        </w:tc>
      </w:tr>
      <w:tr w14:paraId="143CF85C">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180" w:hRule="atLeast"/>
        </w:trPr>
        <w:tc>
          <w:tcPr>
            <w:tcW w:w="1208" w:type="dxa"/>
            <w:vMerge w:val="continue"/>
            <w:tcBorders>
              <w:top w:val="single" w:color="auto" w:sz="4" w:space="0"/>
              <w:left w:val="single" w:color="auto" w:sz="4" w:space="0"/>
              <w:bottom w:val="single" w:color="auto" w:sz="4" w:space="0"/>
              <w:right w:val="single" w:color="auto" w:sz="4" w:space="0"/>
            </w:tcBorders>
            <w:noWrap/>
          </w:tcPr>
          <w:p w14:paraId="5DB26009"/>
        </w:tc>
        <w:tc>
          <w:tcPr>
            <w:tcW w:w="1223" w:type="dxa"/>
            <w:tcBorders>
              <w:top w:val="single" w:color="auto" w:sz="4" w:space="0"/>
              <w:left w:val="single" w:color="auto" w:sz="4" w:space="0"/>
              <w:bottom w:val="single" w:color="auto" w:sz="4" w:space="0"/>
              <w:right w:val="single" w:color="auto" w:sz="4" w:space="0"/>
            </w:tcBorders>
            <w:noWrap/>
            <w:vAlign w:val="center"/>
          </w:tcPr>
          <w:p w14:paraId="09EB01FE">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D4服务对象满意度（5分）</w:t>
            </w:r>
          </w:p>
        </w:tc>
        <w:tc>
          <w:tcPr>
            <w:tcW w:w="1682" w:type="dxa"/>
            <w:tcBorders>
              <w:top w:val="single" w:color="auto" w:sz="4" w:space="0"/>
              <w:left w:val="single" w:color="auto" w:sz="4" w:space="0"/>
              <w:bottom w:val="single" w:color="auto" w:sz="4" w:space="0"/>
              <w:right w:val="single" w:color="auto" w:sz="4" w:space="0"/>
            </w:tcBorders>
            <w:noWrap/>
            <w:vAlign w:val="center"/>
          </w:tcPr>
          <w:p w14:paraId="11B06CD6">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D41项目区农民满意度（5分）</w:t>
            </w:r>
          </w:p>
        </w:tc>
        <w:tc>
          <w:tcPr>
            <w:tcW w:w="4221" w:type="dxa"/>
            <w:tcBorders>
              <w:top w:val="single" w:color="auto" w:sz="4" w:space="0"/>
              <w:left w:val="single" w:color="auto" w:sz="4" w:space="0"/>
              <w:bottom w:val="single" w:color="auto" w:sz="4" w:space="0"/>
              <w:right w:val="single" w:color="auto" w:sz="4" w:space="0"/>
            </w:tcBorders>
            <w:noWrap/>
            <w:vAlign w:val="center"/>
          </w:tcPr>
          <w:p w14:paraId="1B0DC7AC">
            <w:pPr>
              <w:spacing w:line="260" w:lineRule="exact"/>
              <w:rPr>
                <w:rFonts w:hint="eastAsia" w:ascii="Times New Roman" w:hAnsi="Times New Roman" w:eastAsia="仿宋" w:cs="Times New Roman"/>
                <w:sz w:val="24"/>
                <w:szCs w:val="24"/>
                <w:lang w:val="en-US" w:eastAsia="zh-CN"/>
              </w:rPr>
            </w:pPr>
            <w:r>
              <w:rPr>
                <w:rFonts w:hint="eastAsia" w:ascii="仿宋" w:eastAsia="仿宋" w:cs="仿宋"/>
                <w:sz w:val="21"/>
                <w:szCs w:val="21"/>
              </w:rPr>
              <w:t>问卷调查满意度考核通过问卷调查后与项目周边公众及预计</w:t>
            </w:r>
            <w:r>
              <w:rPr>
                <w:rFonts w:hint="eastAsia" w:ascii="仿宋" w:eastAsia="仿宋" w:cs="仿宋"/>
                <w:sz w:val="21"/>
                <w:szCs w:val="21"/>
                <w:lang w:val="en-US" w:eastAsia="zh-CN"/>
              </w:rPr>
              <w:t>受益</w:t>
            </w:r>
            <w:r>
              <w:rPr>
                <w:rFonts w:hint="eastAsia" w:ascii="仿宋" w:eastAsia="仿宋" w:cs="仿宋"/>
                <w:sz w:val="21"/>
                <w:szCs w:val="21"/>
              </w:rPr>
              <w:t>群体的满意程度。</w:t>
            </w:r>
          </w:p>
        </w:tc>
        <w:tc>
          <w:tcPr>
            <w:tcW w:w="5644" w:type="dxa"/>
            <w:tcBorders>
              <w:top w:val="single" w:color="auto" w:sz="4" w:space="0"/>
              <w:left w:val="single" w:color="auto" w:sz="4" w:space="0"/>
              <w:bottom w:val="single" w:color="auto" w:sz="4" w:space="0"/>
              <w:right w:val="single" w:color="auto" w:sz="4" w:space="0"/>
            </w:tcBorders>
            <w:noWrap/>
            <w:vAlign w:val="center"/>
          </w:tcPr>
          <w:p w14:paraId="6C737211">
            <w:pPr>
              <w:spacing w:line="260" w:lineRule="exact"/>
              <w:ind w:firstLine="420" w:firstLineChars="200"/>
              <w:rPr>
                <w:rFonts w:hint="eastAsia" w:ascii="Times New Roman" w:hAnsi="Times New Roman" w:eastAsia="仿宋" w:cs="Times New Roman"/>
                <w:sz w:val="24"/>
                <w:szCs w:val="24"/>
                <w:lang w:val="en-US" w:eastAsia="zh-CN"/>
              </w:rPr>
            </w:pPr>
            <w:r>
              <w:rPr>
                <w:rFonts w:hint="eastAsia" w:ascii="仿宋" w:eastAsia="仿宋" w:cs="仿宋"/>
                <w:sz w:val="21"/>
                <w:szCs w:val="21"/>
              </w:rPr>
              <w:t>通过问卷调查等方式，公众满意度达到9</w:t>
            </w:r>
            <w:r>
              <w:rPr>
                <w:rFonts w:hint="eastAsia" w:ascii="仿宋" w:eastAsia="仿宋" w:cs="仿宋"/>
                <w:sz w:val="21"/>
                <w:szCs w:val="21"/>
                <w:lang w:val="en-US" w:eastAsia="zh-CN"/>
              </w:rPr>
              <w:t>0</w:t>
            </w:r>
            <w:r>
              <w:rPr>
                <w:rFonts w:hint="eastAsia" w:ascii="仿宋" w:eastAsia="仿宋" w:cs="仿宋"/>
                <w:sz w:val="21"/>
                <w:szCs w:val="21"/>
              </w:rPr>
              <w:t>%以上得5分。低于</w:t>
            </w:r>
            <w:r>
              <w:rPr>
                <w:rFonts w:hint="eastAsia" w:ascii="仿宋" w:eastAsia="仿宋" w:cs="仿宋"/>
                <w:sz w:val="21"/>
                <w:szCs w:val="21"/>
                <w:lang w:val="en-US" w:eastAsia="zh-CN"/>
              </w:rPr>
              <w:t>9</w:t>
            </w:r>
            <w:r>
              <w:rPr>
                <w:rFonts w:hint="eastAsia" w:ascii="仿宋" w:eastAsia="仿宋" w:cs="仿宋"/>
                <w:sz w:val="21"/>
                <w:szCs w:val="21"/>
              </w:rPr>
              <w:t>0%</w:t>
            </w:r>
            <w:r>
              <w:rPr>
                <w:rFonts w:hint="eastAsia" w:ascii="仿宋" w:eastAsia="仿宋" w:cs="仿宋"/>
                <w:sz w:val="21"/>
                <w:szCs w:val="21"/>
                <w:lang w:val="en-US" w:eastAsia="zh-CN"/>
              </w:rPr>
              <w:t>按照满意度权重计分</w:t>
            </w:r>
            <w:r>
              <w:rPr>
                <w:rFonts w:hint="eastAsia" w:ascii="仿宋" w:eastAsia="仿宋" w:cs="仿宋"/>
                <w:sz w:val="21"/>
                <w:szCs w:val="21"/>
              </w:rPr>
              <w:t>。</w:t>
            </w:r>
          </w:p>
        </w:tc>
      </w:tr>
    </w:tbl>
    <w:p w14:paraId="40B2A9CC">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eastAsia="黑体"/>
          <w:snapToGrid w:val="0"/>
          <w:sz w:val="32"/>
          <w:szCs w:val="32"/>
        </w:rPr>
      </w:pPr>
    </w:p>
    <w:p w14:paraId="24D86936">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eastAsia="黑体"/>
          <w:snapToGrid w:val="0"/>
          <w:sz w:val="32"/>
          <w:szCs w:val="32"/>
        </w:rPr>
      </w:pPr>
    </w:p>
    <w:p w14:paraId="17554275">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eastAsia="黑体"/>
          <w:snapToGrid w:val="0"/>
          <w:sz w:val="32"/>
          <w:szCs w:val="32"/>
        </w:rPr>
      </w:pPr>
    </w:p>
    <w:p w14:paraId="67A530EC">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eastAsia="黑体"/>
          <w:snapToGrid w:val="0"/>
          <w:sz w:val="32"/>
          <w:szCs w:val="32"/>
        </w:rPr>
      </w:pPr>
    </w:p>
    <w:p w14:paraId="11D2F2FF">
      <w:pPr>
        <w:widowControl/>
        <w:spacing w:line="574" w:lineRule="exact"/>
        <w:jc w:val="left"/>
        <w:outlineLvl w:val="0"/>
        <w:rPr>
          <w:rFonts w:ascii="黑体" w:eastAsia="黑体"/>
          <w:snapToGrid w:val="0"/>
          <w:sz w:val="32"/>
          <w:szCs w:val="32"/>
        </w:rPr>
        <w:sectPr>
          <w:headerReference r:id="rId8" w:type="default"/>
          <w:pgSz w:w="16838" w:h="11906" w:orient="landscape"/>
          <w:pgMar w:top="1797" w:right="1440" w:bottom="1797" w:left="1440" w:header="851" w:footer="992" w:gutter="0"/>
          <w:cols w:space="720" w:num="1"/>
          <w:docGrid w:type="lines" w:linePitch="312" w:charSpace="0"/>
        </w:sectPr>
      </w:pPr>
    </w:p>
    <w:p w14:paraId="74EFD0E0">
      <w:pPr>
        <w:widowControl/>
        <w:spacing w:line="574" w:lineRule="exact"/>
        <w:jc w:val="left"/>
        <w:outlineLvl w:val="0"/>
        <w:rPr>
          <w:rFonts w:ascii="黑体" w:eastAsia="黑体"/>
          <w:snapToGrid w:val="0"/>
          <w:sz w:val="32"/>
          <w:szCs w:val="32"/>
        </w:rPr>
      </w:pPr>
      <w:bookmarkStart w:id="195" w:name="_Toc11739"/>
      <w:r>
        <w:rPr>
          <w:rFonts w:hint="eastAsia" w:ascii="黑体" w:eastAsia="黑体"/>
          <w:snapToGrid w:val="0"/>
          <w:sz w:val="32"/>
          <w:szCs w:val="32"/>
        </w:rPr>
        <w:t>附件2：问卷调查报告</w:t>
      </w:r>
      <w:bookmarkEnd w:id="193"/>
      <w:bookmarkEnd w:id="195"/>
      <w:bookmarkStart w:id="196" w:name="_Toc516473336"/>
      <w:bookmarkStart w:id="197" w:name="_Toc528680487"/>
      <w:bookmarkStart w:id="198" w:name="_Toc528680333"/>
      <w:bookmarkStart w:id="199" w:name="_Toc517361502"/>
      <w:bookmarkStart w:id="200" w:name="_Toc515811967"/>
      <w:bookmarkStart w:id="201" w:name="_Toc515811021"/>
      <w:bookmarkStart w:id="202" w:name="_Toc528603095"/>
      <w:bookmarkStart w:id="203" w:name="_Toc516554801"/>
    </w:p>
    <w:bookmarkEnd w:id="196"/>
    <w:bookmarkEnd w:id="197"/>
    <w:bookmarkEnd w:id="198"/>
    <w:bookmarkEnd w:id="199"/>
    <w:bookmarkEnd w:id="200"/>
    <w:bookmarkEnd w:id="201"/>
    <w:bookmarkEnd w:id="202"/>
    <w:bookmarkEnd w:id="203"/>
    <w:p w14:paraId="40316A0D">
      <w:pPr>
        <w:snapToGrid w:val="0"/>
        <w:spacing w:line="520" w:lineRule="exact"/>
        <w:jc w:val="center"/>
        <w:rPr>
          <w:rFonts w:hint="eastAsia" w:ascii="仿宋" w:eastAsia="仿宋" w:cs="仿宋"/>
          <w:b/>
          <w:sz w:val="28"/>
          <w:szCs w:val="30"/>
        </w:rPr>
      </w:pPr>
      <w:r>
        <w:rPr>
          <w:rFonts w:hint="eastAsia" w:ascii="仿宋" w:eastAsia="仿宋" w:cs="仿宋"/>
          <w:b/>
          <w:kern w:val="0"/>
          <w:sz w:val="28"/>
          <w:szCs w:val="30"/>
          <w:lang w:eastAsia="zh-CN"/>
        </w:rPr>
        <w:t>古县南垣乡东池及驼腰村以工代赈田间道路建设工程项目</w:t>
      </w:r>
      <w:r>
        <w:rPr>
          <w:rFonts w:hint="eastAsia" w:ascii="仿宋" w:eastAsia="仿宋" w:cs="仿宋"/>
          <w:b/>
          <w:sz w:val="28"/>
          <w:szCs w:val="30"/>
        </w:rPr>
        <w:t>绩效评价</w:t>
      </w:r>
      <w:r>
        <w:rPr>
          <w:rFonts w:hint="eastAsia" w:ascii="仿宋" w:eastAsia="仿宋" w:cs="仿宋"/>
          <w:b/>
          <w:sz w:val="28"/>
          <w:szCs w:val="28"/>
        </w:rPr>
        <w:t>问卷调查报告</w:t>
      </w:r>
    </w:p>
    <w:p w14:paraId="11F8C900">
      <w:pPr>
        <w:tabs>
          <w:tab w:val="left" w:pos="3495"/>
        </w:tabs>
        <w:ind w:firstLine="560" w:firstLineChars="200"/>
        <w:jc w:val="left"/>
        <w:rPr>
          <w:rFonts w:hint="eastAsia" w:ascii="仿宋" w:eastAsia="仿宋" w:cs="仿宋"/>
          <w:sz w:val="28"/>
          <w:szCs w:val="28"/>
        </w:rPr>
      </w:pPr>
      <w:r>
        <w:rPr>
          <w:rFonts w:hint="eastAsia" w:ascii="仿宋" w:eastAsia="仿宋" w:cs="仿宋"/>
          <w:sz w:val="28"/>
          <w:szCs w:val="28"/>
        </w:rPr>
        <w:t>（一）调查目的</w:t>
      </w:r>
    </w:p>
    <w:p w14:paraId="49231754">
      <w:pPr>
        <w:tabs>
          <w:tab w:val="left" w:pos="3495"/>
        </w:tabs>
        <w:ind w:firstLine="560" w:firstLineChars="200"/>
        <w:jc w:val="left"/>
        <w:rPr>
          <w:rFonts w:hint="eastAsia" w:ascii="仿宋" w:eastAsia="仿宋" w:cs="仿宋"/>
          <w:sz w:val="28"/>
          <w:szCs w:val="28"/>
        </w:rPr>
      </w:pPr>
      <w:r>
        <w:rPr>
          <w:rFonts w:hint="eastAsia" w:ascii="仿宋" w:eastAsia="仿宋" w:cs="仿宋"/>
          <w:sz w:val="28"/>
          <w:szCs w:val="28"/>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仿宋" w:eastAsia="仿宋" w:cs="仿宋"/>
          <w:sz w:val="28"/>
          <w:szCs w:val="28"/>
          <w:lang w:eastAsia="zh-CN"/>
        </w:rPr>
        <w:t>古县南垣乡东池及驼腰村以工代赈田间道路建设工程项目</w:t>
      </w:r>
      <w:r>
        <w:rPr>
          <w:rFonts w:hint="eastAsia" w:ascii="仿宋" w:eastAsia="仿宋" w:cs="仿宋"/>
          <w:sz w:val="28"/>
          <w:szCs w:val="28"/>
        </w:rPr>
        <w:t>的整体满意度，为绩效评价工作提供数据参考。</w:t>
      </w:r>
    </w:p>
    <w:p w14:paraId="2DF87F61">
      <w:pPr>
        <w:tabs>
          <w:tab w:val="left" w:pos="3495"/>
        </w:tabs>
        <w:ind w:firstLine="560" w:firstLineChars="200"/>
        <w:jc w:val="left"/>
        <w:rPr>
          <w:rFonts w:hint="eastAsia" w:ascii="仿宋" w:eastAsia="仿宋" w:cs="仿宋"/>
          <w:sz w:val="28"/>
          <w:szCs w:val="28"/>
        </w:rPr>
      </w:pPr>
      <w:r>
        <w:rPr>
          <w:rFonts w:hint="eastAsia" w:ascii="仿宋" w:eastAsia="仿宋" w:cs="仿宋"/>
          <w:sz w:val="28"/>
          <w:szCs w:val="28"/>
        </w:rPr>
        <w:t>（二）调查对象</w:t>
      </w:r>
    </w:p>
    <w:p w14:paraId="7FB44BC3">
      <w:pPr>
        <w:tabs>
          <w:tab w:val="left" w:pos="3495"/>
        </w:tabs>
        <w:ind w:firstLine="560" w:firstLineChars="200"/>
        <w:jc w:val="left"/>
        <w:rPr>
          <w:rFonts w:hint="eastAsia" w:ascii="仿宋" w:eastAsia="仿宋" w:cs="仿宋"/>
          <w:sz w:val="28"/>
          <w:szCs w:val="28"/>
        </w:rPr>
      </w:pPr>
      <w:r>
        <w:rPr>
          <w:rFonts w:hint="eastAsia" w:ascii="仿宋" w:eastAsia="仿宋" w:cs="仿宋"/>
          <w:sz w:val="28"/>
          <w:szCs w:val="28"/>
          <w:lang w:eastAsia="zh-CN"/>
        </w:rPr>
        <w:t>古县南垣乡东池及驼腰村以工代赈田间道路建设工程项目</w:t>
      </w:r>
      <w:r>
        <w:rPr>
          <w:rFonts w:hint="eastAsia" w:ascii="仿宋" w:eastAsia="仿宋" w:cs="仿宋"/>
          <w:sz w:val="28"/>
          <w:szCs w:val="28"/>
          <w:lang w:val="en-US" w:eastAsia="zh-CN"/>
        </w:rPr>
        <w:t>涉及的群众</w:t>
      </w:r>
      <w:r>
        <w:rPr>
          <w:rFonts w:hint="eastAsia" w:ascii="仿宋" w:eastAsia="仿宋" w:cs="仿宋"/>
          <w:sz w:val="28"/>
          <w:szCs w:val="28"/>
        </w:rPr>
        <w:t>。</w:t>
      </w:r>
    </w:p>
    <w:p w14:paraId="68C3550B">
      <w:pPr>
        <w:tabs>
          <w:tab w:val="left" w:pos="3495"/>
        </w:tabs>
        <w:ind w:firstLine="560" w:firstLineChars="200"/>
        <w:jc w:val="left"/>
        <w:rPr>
          <w:rFonts w:hint="eastAsia" w:ascii="仿宋" w:eastAsia="仿宋" w:cs="仿宋"/>
          <w:sz w:val="28"/>
          <w:szCs w:val="28"/>
          <w:lang w:eastAsia="zh-CN"/>
        </w:rPr>
      </w:pPr>
      <w:r>
        <w:rPr>
          <w:rFonts w:hint="eastAsia" w:ascii="仿宋" w:eastAsia="仿宋" w:cs="仿宋"/>
          <w:sz w:val="28"/>
          <w:szCs w:val="28"/>
          <w:lang w:eastAsia="zh-CN"/>
        </w:rPr>
        <w:t>（</w:t>
      </w:r>
      <w:r>
        <w:rPr>
          <w:rFonts w:hint="eastAsia" w:ascii="仿宋" w:eastAsia="仿宋" w:cs="仿宋"/>
          <w:sz w:val="28"/>
          <w:szCs w:val="28"/>
          <w:lang w:val="en-US" w:eastAsia="zh-CN"/>
        </w:rPr>
        <w:t>三</w:t>
      </w:r>
      <w:r>
        <w:rPr>
          <w:rFonts w:hint="eastAsia" w:ascii="仿宋" w:eastAsia="仿宋" w:cs="仿宋"/>
          <w:sz w:val="28"/>
          <w:szCs w:val="28"/>
          <w:lang w:eastAsia="zh-CN"/>
        </w:rPr>
        <w:t xml:space="preserve">）问卷发放与回收   </w:t>
      </w:r>
    </w:p>
    <w:p w14:paraId="2BB91DC7">
      <w:pPr>
        <w:tabs>
          <w:tab w:val="left" w:pos="3495"/>
        </w:tabs>
        <w:ind w:firstLine="560" w:firstLineChars="200"/>
        <w:jc w:val="left"/>
        <w:rPr>
          <w:rFonts w:hint="eastAsia" w:ascii="仿宋" w:eastAsia="仿宋" w:cs="仿宋"/>
          <w:sz w:val="28"/>
          <w:szCs w:val="28"/>
          <w:lang w:eastAsia="zh-CN"/>
        </w:rPr>
      </w:pPr>
      <w:r>
        <w:rPr>
          <w:rFonts w:hint="eastAsia" w:ascii="仿宋" w:eastAsia="仿宋" w:cs="仿宋"/>
          <w:sz w:val="28"/>
          <w:szCs w:val="28"/>
          <w:lang w:eastAsia="zh-CN"/>
        </w:rPr>
        <w:t>本次调查共发放</w:t>
      </w:r>
      <w:r>
        <w:rPr>
          <w:rFonts w:hint="eastAsia" w:ascii="仿宋" w:eastAsia="仿宋" w:cs="仿宋"/>
          <w:sz w:val="28"/>
          <w:szCs w:val="28"/>
          <w:lang w:val="en-US" w:eastAsia="zh-CN"/>
        </w:rPr>
        <w:t>100</w:t>
      </w:r>
      <w:r>
        <w:rPr>
          <w:rFonts w:hint="eastAsia" w:ascii="仿宋" w:eastAsia="仿宋" w:cs="仿宋"/>
          <w:sz w:val="28"/>
          <w:szCs w:val="28"/>
          <w:lang w:eastAsia="zh-CN"/>
        </w:rPr>
        <w:t>份问卷，回收</w:t>
      </w:r>
      <w:r>
        <w:rPr>
          <w:rFonts w:hint="eastAsia" w:ascii="仿宋" w:eastAsia="仿宋" w:cs="仿宋"/>
          <w:sz w:val="28"/>
          <w:szCs w:val="28"/>
          <w:lang w:val="en-US" w:eastAsia="zh-CN"/>
        </w:rPr>
        <w:t>100</w:t>
      </w:r>
      <w:r>
        <w:rPr>
          <w:rFonts w:hint="eastAsia" w:ascii="仿宋" w:eastAsia="仿宋" w:cs="仿宋"/>
          <w:sz w:val="28"/>
          <w:szCs w:val="28"/>
          <w:lang w:eastAsia="zh-CN"/>
        </w:rPr>
        <w:t>份问卷，有效问卷</w:t>
      </w:r>
      <w:r>
        <w:rPr>
          <w:rFonts w:hint="eastAsia" w:ascii="仿宋" w:eastAsia="仿宋" w:cs="仿宋"/>
          <w:sz w:val="28"/>
          <w:szCs w:val="28"/>
          <w:lang w:val="en-US" w:eastAsia="zh-CN"/>
        </w:rPr>
        <w:t>100</w:t>
      </w:r>
      <w:r>
        <w:rPr>
          <w:rFonts w:hint="eastAsia" w:ascii="仿宋" w:eastAsia="仿宋" w:cs="仿宋"/>
          <w:sz w:val="28"/>
          <w:szCs w:val="28"/>
          <w:lang w:eastAsia="zh-CN"/>
        </w:rPr>
        <w:t>份。本次调查的分析单位为个人；调查资料收集方法为自填问卷法。</w:t>
      </w:r>
    </w:p>
    <w:p w14:paraId="2EA2DA38">
      <w:pPr>
        <w:tabs>
          <w:tab w:val="left" w:pos="3495"/>
        </w:tabs>
        <w:ind w:firstLine="560" w:firstLineChars="200"/>
        <w:jc w:val="left"/>
        <w:rPr>
          <w:rFonts w:hint="eastAsia" w:ascii="仿宋" w:eastAsia="仿宋" w:cs="仿宋"/>
          <w:sz w:val="28"/>
          <w:szCs w:val="28"/>
          <w:lang w:val="en-US" w:eastAsia="zh-CN"/>
        </w:rPr>
      </w:pPr>
      <w:r>
        <w:rPr>
          <w:rFonts w:hint="eastAsia" w:ascii="仿宋" w:eastAsia="仿宋" w:cs="仿宋"/>
          <w:sz w:val="28"/>
          <w:szCs w:val="28"/>
          <w:lang w:eastAsia="zh-CN"/>
        </w:rPr>
        <w:t>（</w:t>
      </w:r>
      <w:r>
        <w:rPr>
          <w:rFonts w:hint="eastAsia" w:ascii="仿宋" w:eastAsia="仿宋" w:cs="仿宋"/>
          <w:sz w:val="28"/>
          <w:szCs w:val="28"/>
          <w:lang w:val="en-US" w:eastAsia="zh-CN"/>
        </w:rPr>
        <w:t>四</w:t>
      </w:r>
      <w:r>
        <w:rPr>
          <w:rFonts w:hint="eastAsia" w:ascii="仿宋" w:eastAsia="仿宋" w:cs="仿宋"/>
          <w:sz w:val="28"/>
          <w:szCs w:val="28"/>
          <w:lang w:eastAsia="zh-CN"/>
        </w:rPr>
        <w:t>）</w:t>
      </w:r>
      <w:r>
        <w:rPr>
          <w:rFonts w:hint="eastAsia" w:ascii="仿宋" w:eastAsia="仿宋" w:cs="仿宋"/>
          <w:sz w:val="28"/>
          <w:szCs w:val="28"/>
        </w:rPr>
        <w:t>满意度问题</w:t>
      </w:r>
      <w:r>
        <w:rPr>
          <w:rFonts w:hint="eastAsia" w:ascii="仿宋" w:eastAsia="仿宋" w:cs="仿宋"/>
          <w:sz w:val="28"/>
          <w:szCs w:val="28"/>
          <w:lang w:val="en-US" w:eastAsia="zh-CN"/>
        </w:rPr>
        <w:t>及满意度</w:t>
      </w:r>
    </w:p>
    <w:p w14:paraId="195D39D1">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1、您对</w:t>
      </w:r>
      <w:r>
        <w:rPr>
          <w:rFonts w:hint="eastAsia" w:ascii="仿宋" w:eastAsia="仿宋" w:cs="仿宋"/>
          <w:sz w:val="28"/>
          <w:szCs w:val="28"/>
          <w:lang w:val="en-US" w:eastAsia="zh-CN"/>
        </w:rPr>
        <w:t>古县南垣乡东池及驼腰村以工代赈田间道路建设工程项目建设效率的</w:t>
      </w:r>
      <w:r>
        <w:rPr>
          <w:rFonts w:hint="eastAsia" w:ascii="仿宋" w:eastAsia="仿宋" w:cs="仿宋"/>
          <w:sz w:val="28"/>
          <w:szCs w:val="28"/>
        </w:rPr>
        <w:t>满意程度。</w:t>
      </w:r>
    </w:p>
    <w:p w14:paraId="67FB9984">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A、非常满意</w:t>
      </w:r>
      <w:r>
        <w:rPr>
          <w:rFonts w:hint="eastAsia" w:ascii="仿宋" w:eastAsia="仿宋" w:cs="仿宋"/>
          <w:sz w:val="28"/>
          <w:szCs w:val="28"/>
          <w:lang w:val="en-US" w:eastAsia="zh-CN"/>
        </w:rPr>
        <w:t xml:space="preserve">    </w:t>
      </w:r>
      <w:r>
        <w:rPr>
          <w:rFonts w:hint="eastAsia" w:ascii="仿宋" w:eastAsia="仿宋" w:cs="仿宋"/>
          <w:sz w:val="28"/>
          <w:szCs w:val="28"/>
        </w:rPr>
        <w:t>B、满意</w:t>
      </w:r>
      <w:r>
        <w:rPr>
          <w:rFonts w:hint="eastAsia" w:ascii="仿宋" w:eastAsia="仿宋" w:cs="仿宋"/>
          <w:sz w:val="28"/>
          <w:szCs w:val="28"/>
          <w:lang w:val="en-US" w:eastAsia="zh-CN"/>
        </w:rPr>
        <w:t xml:space="preserve">    </w:t>
      </w:r>
      <w:r>
        <w:rPr>
          <w:rFonts w:hint="eastAsia" w:ascii="仿宋" w:eastAsia="仿宋" w:cs="仿宋"/>
          <w:sz w:val="28"/>
          <w:szCs w:val="28"/>
        </w:rPr>
        <w:t>C、</w:t>
      </w:r>
      <w:r>
        <w:rPr>
          <w:rFonts w:hint="eastAsia" w:ascii="仿宋" w:eastAsia="仿宋" w:cs="仿宋"/>
          <w:sz w:val="28"/>
          <w:szCs w:val="28"/>
          <w:lang w:val="en-US" w:eastAsia="zh-CN"/>
        </w:rPr>
        <w:t xml:space="preserve">一般    </w:t>
      </w:r>
      <w:r>
        <w:rPr>
          <w:rFonts w:hint="eastAsia" w:ascii="仿宋" w:eastAsia="仿宋" w:cs="仿宋"/>
          <w:sz w:val="28"/>
          <w:szCs w:val="28"/>
        </w:rPr>
        <w:t>D、不满意</w:t>
      </w:r>
    </w:p>
    <w:p w14:paraId="6391F9A7">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2、您对</w:t>
      </w:r>
      <w:r>
        <w:rPr>
          <w:rFonts w:hint="eastAsia" w:ascii="仿宋" w:eastAsia="仿宋" w:cs="仿宋"/>
          <w:sz w:val="28"/>
          <w:szCs w:val="28"/>
          <w:lang w:val="en-US" w:eastAsia="zh-CN"/>
        </w:rPr>
        <w:t>古县南垣乡东池及驼腰村以工代赈田间道路建设工程项目建设质量的满意程度。</w:t>
      </w:r>
    </w:p>
    <w:p w14:paraId="7DF49725">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A、非常满意</w:t>
      </w:r>
      <w:r>
        <w:rPr>
          <w:rFonts w:hint="eastAsia" w:ascii="仿宋" w:eastAsia="仿宋" w:cs="仿宋"/>
          <w:sz w:val="28"/>
          <w:szCs w:val="28"/>
          <w:lang w:val="en-US" w:eastAsia="zh-CN"/>
        </w:rPr>
        <w:t xml:space="preserve">    </w:t>
      </w:r>
      <w:r>
        <w:rPr>
          <w:rFonts w:hint="eastAsia" w:ascii="仿宋" w:eastAsia="仿宋" w:cs="仿宋"/>
          <w:sz w:val="28"/>
          <w:szCs w:val="28"/>
        </w:rPr>
        <w:t>B、满意</w:t>
      </w:r>
      <w:r>
        <w:rPr>
          <w:rFonts w:hint="eastAsia" w:ascii="仿宋" w:eastAsia="仿宋" w:cs="仿宋"/>
          <w:sz w:val="28"/>
          <w:szCs w:val="28"/>
          <w:lang w:val="en-US" w:eastAsia="zh-CN"/>
        </w:rPr>
        <w:t xml:space="preserve">    </w:t>
      </w:r>
      <w:r>
        <w:rPr>
          <w:rFonts w:hint="eastAsia" w:ascii="仿宋" w:eastAsia="仿宋" w:cs="仿宋"/>
          <w:sz w:val="28"/>
          <w:szCs w:val="28"/>
        </w:rPr>
        <w:t>C、</w:t>
      </w:r>
      <w:r>
        <w:rPr>
          <w:rFonts w:hint="eastAsia" w:ascii="仿宋" w:eastAsia="仿宋" w:cs="仿宋"/>
          <w:sz w:val="28"/>
          <w:szCs w:val="28"/>
          <w:lang w:val="en-US" w:eastAsia="zh-CN"/>
        </w:rPr>
        <w:t xml:space="preserve">一般    </w:t>
      </w:r>
      <w:r>
        <w:rPr>
          <w:rFonts w:hint="eastAsia" w:ascii="仿宋" w:eastAsia="仿宋" w:cs="仿宋"/>
          <w:sz w:val="28"/>
          <w:szCs w:val="28"/>
        </w:rPr>
        <w:t>D、不满意</w:t>
      </w:r>
    </w:p>
    <w:p w14:paraId="3A1DFD45">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3、您</w:t>
      </w:r>
      <w:r>
        <w:rPr>
          <w:rFonts w:hint="eastAsia" w:ascii="仿宋" w:eastAsia="仿宋" w:cs="仿宋"/>
          <w:sz w:val="28"/>
          <w:szCs w:val="28"/>
          <w:lang w:val="en-US" w:eastAsia="zh-CN"/>
        </w:rPr>
        <w:t>对古县南垣乡东池及驼腰村以工代赈田间道路建设工程项目完成后改善生产条件的</w:t>
      </w:r>
      <w:r>
        <w:rPr>
          <w:rFonts w:hint="eastAsia" w:ascii="仿宋" w:eastAsia="仿宋" w:cs="仿宋"/>
          <w:sz w:val="28"/>
          <w:szCs w:val="28"/>
        </w:rPr>
        <w:t>满意程度。</w:t>
      </w:r>
    </w:p>
    <w:p w14:paraId="7149ABDE">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A、非常满意</w:t>
      </w:r>
      <w:r>
        <w:rPr>
          <w:rFonts w:hint="eastAsia" w:ascii="仿宋" w:eastAsia="仿宋" w:cs="仿宋"/>
          <w:sz w:val="28"/>
          <w:szCs w:val="28"/>
          <w:lang w:val="en-US" w:eastAsia="zh-CN"/>
        </w:rPr>
        <w:t xml:space="preserve">    </w:t>
      </w:r>
      <w:r>
        <w:rPr>
          <w:rFonts w:hint="eastAsia" w:ascii="仿宋" w:eastAsia="仿宋" w:cs="仿宋"/>
          <w:sz w:val="28"/>
          <w:szCs w:val="28"/>
        </w:rPr>
        <w:t>B、满意</w:t>
      </w:r>
      <w:r>
        <w:rPr>
          <w:rFonts w:hint="eastAsia" w:ascii="仿宋" w:eastAsia="仿宋" w:cs="仿宋"/>
          <w:sz w:val="28"/>
          <w:szCs w:val="28"/>
          <w:lang w:val="en-US" w:eastAsia="zh-CN"/>
        </w:rPr>
        <w:t xml:space="preserve">    </w:t>
      </w:r>
      <w:r>
        <w:rPr>
          <w:rFonts w:hint="eastAsia" w:ascii="仿宋" w:eastAsia="仿宋" w:cs="仿宋"/>
          <w:sz w:val="28"/>
          <w:szCs w:val="28"/>
        </w:rPr>
        <w:t>C、</w:t>
      </w:r>
      <w:r>
        <w:rPr>
          <w:rFonts w:hint="eastAsia" w:ascii="仿宋" w:eastAsia="仿宋" w:cs="仿宋"/>
          <w:sz w:val="28"/>
          <w:szCs w:val="28"/>
          <w:lang w:val="en-US" w:eastAsia="zh-CN"/>
        </w:rPr>
        <w:t xml:space="preserve">一般    </w:t>
      </w:r>
      <w:r>
        <w:rPr>
          <w:rFonts w:hint="eastAsia" w:ascii="仿宋" w:eastAsia="仿宋" w:cs="仿宋"/>
          <w:sz w:val="28"/>
          <w:szCs w:val="28"/>
        </w:rPr>
        <w:t>D、不满意</w:t>
      </w:r>
    </w:p>
    <w:p w14:paraId="2C8227BD">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4</w:t>
      </w:r>
      <w:r>
        <w:rPr>
          <w:rFonts w:hint="eastAsia" w:ascii="仿宋" w:eastAsia="仿宋" w:cs="仿宋"/>
          <w:sz w:val="28"/>
          <w:szCs w:val="28"/>
        </w:rPr>
        <w:t>、您</w:t>
      </w:r>
      <w:r>
        <w:rPr>
          <w:rFonts w:hint="eastAsia" w:ascii="仿宋" w:eastAsia="仿宋" w:cs="仿宋"/>
          <w:sz w:val="28"/>
          <w:szCs w:val="28"/>
          <w:lang w:val="en-US" w:eastAsia="zh-CN"/>
        </w:rPr>
        <w:t>对古县南垣乡东池及驼腰村以工代赈田间道路建设工程项目完成后通行便捷性的满意程度</w:t>
      </w:r>
      <w:r>
        <w:rPr>
          <w:rFonts w:hint="eastAsia" w:ascii="仿宋" w:eastAsia="仿宋" w:cs="仿宋"/>
          <w:sz w:val="28"/>
          <w:szCs w:val="28"/>
        </w:rPr>
        <w:t>。</w:t>
      </w:r>
    </w:p>
    <w:p w14:paraId="4CBB9BB6">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A、非常满意</w:t>
      </w:r>
      <w:r>
        <w:rPr>
          <w:rFonts w:hint="eastAsia" w:ascii="仿宋" w:eastAsia="仿宋" w:cs="仿宋"/>
          <w:sz w:val="28"/>
          <w:szCs w:val="28"/>
          <w:lang w:val="en-US" w:eastAsia="zh-CN"/>
        </w:rPr>
        <w:t xml:space="preserve">    </w:t>
      </w:r>
      <w:r>
        <w:rPr>
          <w:rFonts w:hint="eastAsia" w:ascii="仿宋" w:eastAsia="仿宋" w:cs="仿宋"/>
          <w:sz w:val="28"/>
          <w:szCs w:val="28"/>
        </w:rPr>
        <w:t>B、满意</w:t>
      </w:r>
      <w:r>
        <w:rPr>
          <w:rFonts w:hint="eastAsia" w:ascii="仿宋" w:eastAsia="仿宋" w:cs="仿宋"/>
          <w:sz w:val="28"/>
          <w:szCs w:val="28"/>
          <w:lang w:val="en-US" w:eastAsia="zh-CN"/>
        </w:rPr>
        <w:t xml:space="preserve">    </w:t>
      </w:r>
      <w:r>
        <w:rPr>
          <w:rFonts w:hint="eastAsia" w:ascii="仿宋" w:eastAsia="仿宋" w:cs="仿宋"/>
          <w:sz w:val="28"/>
          <w:szCs w:val="28"/>
        </w:rPr>
        <w:t>C、</w:t>
      </w:r>
      <w:r>
        <w:rPr>
          <w:rFonts w:hint="eastAsia" w:ascii="仿宋" w:eastAsia="仿宋" w:cs="仿宋"/>
          <w:sz w:val="28"/>
          <w:szCs w:val="28"/>
          <w:lang w:val="en-US" w:eastAsia="zh-CN"/>
        </w:rPr>
        <w:t xml:space="preserve">一般    </w:t>
      </w:r>
      <w:r>
        <w:rPr>
          <w:rFonts w:hint="eastAsia" w:ascii="仿宋" w:eastAsia="仿宋" w:cs="仿宋"/>
          <w:sz w:val="28"/>
          <w:szCs w:val="28"/>
        </w:rPr>
        <w:t>D、不满意</w:t>
      </w:r>
    </w:p>
    <w:p w14:paraId="257E64D8">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5</w:t>
      </w:r>
      <w:r>
        <w:rPr>
          <w:rFonts w:hint="eastAsia" w:ascii="仿宋" w:eastAsia="仿宋" w:cs="仿宋"/>
          <w:sz w:val="28"/>
          <w:szCs w:val="28"/>
        </w:rPr>
        <w:t>、您</w:t>
      </w:r>
      <w:r>
        <w:rPr>
          <w:rFonts w:hint="eastAsia" w:ascii="仿宋" w:eastAsia="仿宋" w:cs="仿宋"/>
          <w:sz w:val="28"/>
          <w:szCs w:val="28"/>
          <w:lang w:val="en-US" w:eastAsia="zh-CN"/>
        </w:rPr>
        <w:t>对古县南垣乡东池及驼腰村以工代赈田间道路建设工程项目完成后完善路网基础设施的满意程度</w:t>
      </w:r>
      <w:r>
        <w:rPr>
          <w:rFonts w:hint="eastAsia" w:ascii="仿宋" w:eastAsia="仿宋" w:cs="仿宋"/>
          <w:sz w:val="28"/>
          <w:szCs w:val="28"/>
        </w:rPr>
        <w:t>。</w:t>
      </w:r>
    </w:p>
    <w:p w14:paraId="35BFCCDE">
      <w:pPr>
        <w:widowControl/>
        <w:spacing w:line="560" w:lineRule="exact"/>
        <w:ind w:firstLine="560" w:firstLineChars="200"/>
        <w:rPr>
          <w:rFonts w:hint="eastAsia" w:ascii="仿宋" w:eastAsia="仿宋" w:cs="仿宋"/>
          <w:sz w:val="28"/>
          <w:szCs w:val="28"/>
        </w:rPr>
      </w:pPr>
      <w:r>
        <w:rPr>
          <w:rFonts w:hint="eastAsia" w:ascii="仿宋" w:eastAsia="仿宋" w:cs="仿宋"/>
          <w:sz w:val="28"/>
          <w:szCs w:val="28"/>
        </w:rPr>
        <w:t>A、非常满意</w:t>
      </w:r>
      <w:r>
        <w:rPr>
          <w:rFonts w:hint="eastAsia" w:ascii="仿宋" w:eastAsia="仿宋" w:cs="仿宋"/>
          <w:sz w:val="28"/>
          <w:szCs w:val="28"/>
          <w:lang w:val="en-US" w:eastAsia="zh-CN"/>
        </w:rPr>
        <w:t xml:space="preserve">    </w:t>
      </w:r>
      <w:r>
        <w:rPr>
          <w:rFonts w:hint="eastAsia" w:ascii="仿宋" w:eastAsia="仿宋" w:cs="仿宋"/>
          <w:sz w:val="28"/>
          <w:szCs w:val="28"/>
        </w:rPr>
        <w:t>B、满意</w:t>
      </w:r>
      <w:r>
        <w:rPr>
          <w:rFonts w:hint="eastAsia" w:ascii="仿宋" w:eastAsia="仿宋" w:cs="仿宋"/>
          <w:sz w:val="28"/>
          <w:szCs w:val="28"/>
          <w:lang w:val="en-US" w:eastAsia="zh-CN"/>
        </w:rPr>
        <w:t xml:space="preserve">    </w:t>
      </w:r>
      <w:r>
        <w:rPr>
          <w:rFonts w:hint="eastAsia" w:ascii="仿宋" w:eastAsia="仿宋" w:cs="仿宋"/>
          <w:sz w:val="28"/>
          <w:szCs w:val="28"/>
        </w:rPr>
        <w:t>C、</w:t>
      </w:r>
      <w:r>
        <w:rPr>
          <w:rFonts w:hint="eastAsia" w:ascii="仿宋" w:eastAsia="仿宋" w:cs="仿宋"/>
          <w:sz w:val="28"/>
          <w:szCs w:val="28"/>
          <w:lang w:val="en-US" w:eastAsia="zh-CN"/>
        </w:rPr>
        <w:t xml:space="preserve">一般    </w:t>
      </w:r>
      <w:r>
        <w:rPr>
          <w:rFonts w:hint="eastAsia" w:ascii="仿宋" w:eastAsia="仿宋" w:cs="仿宋"/>
          <w:sz w:val="28"/>
          <w:szCs w:val="28"/>
        </w:rPr>
        <w:t>D、不满意</w:t>
      </w:r>
    </w:p>
    <w:p w14:paraId="0628B71F">
      <w:pPr>
        <w:tabs>
          <w:tab w:val="left" w:pos="3495"/>
        </w:tabs>
        <w:ind w:firstLine="560" w:firstLineChars="200"/>
        <w:jc w:val="left"/>
        <w:rPr>
          <w:rFonts w:ascii="仿宋" w:eastAsia="仿宋" w:cs="仿宋"/>
          <w:sz w:val="28"/>
          <w:szCs w:val="28"/>
          <w:lang w:val="en-US"/>
        </w:rPr>
      </w:pPr>
      <w:r>
        <w:rPr>
          <w:rFonts w:hint="eastAsia" w:ascii="仿宋" w:eastAsia="仿宋" w:cs="仿宋"/>
          <w:sz w:val="28"/>
          <w:szCs w:val="28"/>
          <w:lang w:val="en-US" w:eastAsia="zh-CN"/>
        </w:rPr>
        <w:t>（五）满意度</w:t>
      </w:r>
    </w:p>
    <w:p w14:paraId="32ECBE20">
      <w:pPr>
        <w:pStyle w:val="7"/>
        <w:ind w:left="0" w:firstLine="560" w:firstLineChars="200"/>
        <w:rPr>
          <w:rFonts w:ascii="仿宋" w:eastAsia="仿宋" w:cs="仿宋"/>
          <w:sz w:val="28"/>
          <w:szCs w:val="28"/>
          <w:lang w:val="en-US" w:eastAsia="zh-CN"/>
        </w:rPr>
        <w:sectPr>
          <w:footerReference r:id="rId9" w:type="default"/>
          <w:pgSz w:w="11906" w:h="16838"/>
          <w:pgMar w:top="1440" w:right="1797" w:bottom="1440" w:left="1797" w:header="851" w:footer="992" w:gutter="0"/>
          <w:cols w:space="720" w:num="1"/>
          <w:docGrid w:type="lines" w:linePitch="312" w:charSpace="0"/>
        </w:sectPr>
      </w:pPr>
      <w:r>
        <w:rPr>
          <w:rFonts w:hint="eastAsia" w:ascii="仿宋" w:eastAsia="仿宋" w:cs="仿宋"/>
          <w:sz w:val="28"/>
          <w:szCs w:val="28"/>
          <w:lang w:val="en-US" w:eastAsia="zh-CN"/>
        </w:rPr>
        <w:t>本次满意度调查涉及5个问题，满意度分别为95.60%、91.20%、90.20%、90.00%、91.40%，整体满意度为91.68%。</w:t>
      </w:r>
    </w:p>
    <w:tbl>
      <w:tblPr>
        <w:tblStyle w:val="21"/>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14:paraId="1ABC2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2850398">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问卷问题</w:t>
            </w:r>
          </w:p>
        </w:tc>
        <w:tc>
          <w:tcPr>
            <w:tcW w:w="87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3696C56">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总数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14:paraId="2D7A62B4">
            <w:pPr>
              <w:snapToGrid w:val="0"/>
              <w:jc w:val="center"/>
              <w:rPr>
                <w:rFonts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人数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14:paraId="5178D4B2">
            <w:pPr>
              <w:snapToGrid w:val="0"/>
              <w:jc w:val="center"/>
              <w:rPr>
                <w:rFonts w:hint="eastAsia"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满意度系数</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14:paraId="358D4C57">
            <w:pPr>
              <w:snapToGrid w:val="0"/>
              <w:jc w:val="center"/>
              <w:rPr>
                <w:rFonts w:hint="eastAsia" w:ascii="仿宋" w:eastAsia="仿宋" w:cs="仿宋"/>
                <w:b/>
                <w:bCs/>
                <w:color w:val="auto"/>
                <w:sz w:val="20"/>
                <w:szCs w:val="21"/>
                <w:highlight w:val="none"/>
              </w:rPr>
            </w:pPr>
          </w:p>
        </w:tc>
      </w:tr>
      <w:tr w14:paraId="71D3A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339834F"/>
        </w:tc>
        <w:tc>
          <w:tcPr>
            <w:tcW w:w="87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819590D"/>
        </w:tc>
        <w:tc>
          <w:tcPr>
            <w:tcW w:w="872" w:type="dxa"/>
            <w:tcBorders>
              <w:top w:val="single" w:color="auto" w:sz="4" w:space="0"/>
              <w:left w:val="single" w:color="auto" w:sz="4" w:space="0"/>
              <w:bottom w:val="single" w:color="auto" w:sz="4" w:space="0"/>
              <w:right w:val="single" w:color="auto" w:sz="4" w:space="0"/>
            </w:tcBorders>
            <w:shd w:val="clear" w:color="auto" w:fill="auto"/>
            <w:noWrap/>
          </w:tcPr>
          <w:p w14:paraId="31C65876">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非常满意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14:paraId="1CDAD63D">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14:paraId="5CFC83FA">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14:paraId="765D305F">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14:paraId="574AD16C">
            <w:pPr>
              <w:snapToGrid w:val="0"/>
              <w:jc w:val="center"/>
              <w:rPr>
                <w:rFonts w:hint="eastAsia" w:ascii="仿宋" w:eastAsia="仿宋" w:cs="仿宋"/>
                <w:b/>
                <w:bCs/>
                <w:color w:val="auto"/>
                <w:sz w:val="20"/>
                <w:szCs w:val="21"/>
                <w:highlight w:val="none"/>
                <w:lang w:eastAsia="zh-CN"/>
              </w:rPr>
            </w:pPr>
            <w:r>
              <w:rPr>
                <w:rFonts w:hint="eastAsia" w:ascii="仿宋" w:eastAsia="仿宋" w:cs="仿宋"/>
                <w:b/>
                <w:bCs/>
                <w:color w:val="auto"/>
                <w:sz w:val="20"/>
                <w:szCs w:val="21"/>
                <w:highlight w:val="none"/>
              </w:rPr>
              <w:t>非常满意</w:t>
            </w:r>
            <w:r>
              <w:rPr>
                <w:rFonts w:hint="eastAsia" w:ascii="仿宋" w:eastAsia="仿宋" w:cs="仿宋"/>
                <w:b/>
                <w:bCs/>
                <w:color w:val="auto"/>
                <w:sz w:val="20"/>
                <w:szCs w:val="21"/>
                <w:highlight w:val="none"/>
                <w:lang w:eastAsia="zh-CN"/>
              </w:rPr>
              <w:t>（</w:t>
            </w:r>
            <w:r>
              <w:rPr>
                <w:rFonts w:hint="eastAsia" w:ascii="仿宋" w:eastAsia="仿宋" w:cs="仿宋"/>
                <w:b/>
                <w:bCs/>
                <w:color w:val="auto"/>
                <w:sz w:val="20"/>
                <w:szCs w:val="21"/>
                <w:highlight w:val="none"/>
                <w:lang w:val="en-US" w:eastAsia="zh-CN"/>
              </w:rPr>
              <w:t>系数</w:t>
            </w:r>
            <w:r>
              <w:rPr>
                <w:rFonts w:hint="eastAsia" w:ascii="仿宋" w:eastAsia="仿宋" w:cs="仿宋"/>
                <w:b/>
                <w:bCs/>
                <w:color w:val="auto"/>
                <w:sz w:val="20"/>
                <w:szCs w:val="21"/>
                <w:highlight w:val="none"/>
                <w:lang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14:paraId="1F8B7033">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14:paraId="322CAC0D">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14:paraId="361759B3">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14:paraId="6F405BCE">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满意度</w:t>
            </w:r>
          </w:p>
        </w:tc>
      </w:tr>
      <w:tr w14:paraId="7F20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B1102D">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您对古县南垣乡东池及驼腰村以工代赈田间道路建设工程项目建设效率的满意程度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EA1901">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i w:val="0"/>
                <w:iCs w:val="0"/>
                <w:color w:val="000000"/>
                <w:kern w:val="0"/>
                <w:sz w:val="20"/>
                <w:szCs w:val="20"/>
                <w:u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608458">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86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1098E8">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389A19">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4</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11BBC3">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FE38B2">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B68BBB">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9BC0CA">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12C680">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ED7249">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95.60%</w:t>
            </w:r>
          </w:p>
        </w:tc>
      </w:tr>
      <w:tr w14:paraId="0EB4D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25A5D6">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您对古县南垣乡东池及驼腰村以工代赈田间道路建设工程项目建设质量的满意程度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106D4D">
            <w:pPr>
              <w:keepNext w:val="0"/>
              <w:keepLines w:val="0"/>
              <w:widowControl/>
              <w:suppressLineNumbers w:val="0"/>
              <w:jc w:val="center"/>
              <w:textAlignment w:val="center"/>
              <w:rPr>
                <w:rFonts w:ascii="仿宋" w:eastAsia="仿宋" w:cs="仿宋"/>
                <w:color w:val="auto"/>
                <w:sz w:val="20"/>
                <w:szCs w:val="21"/>
                <w:highlight w:val="none"/>
                <w:lang w:val="en-US"/>
              </w:rPr>
            </w:pPr>
            <w:r>
              <w:rPr>
                <w:rFonts w:hint="eastAsia" w:ascii="仿宋" w:eastAsia="仿宋" w:cs="仿宋"/>
                <w:i w:val="0"/>
                <w:iCs w:val="0"/>
                <w:color w:val="000000"/>
                <w:kern w:val="0"/>
                <w:sz w:val="20"/>
                <w:szCs w:val="20"/>
                <w:u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734ED3">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82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B1545C">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7</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AACF39">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AC0103">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5</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DE5DF9">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96FC68">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A047F2">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CC663E">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9125348">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91.20%</w:t>
            </w:r>
          </w:p>
        </w:tc>
      </w:tr>
      <w:tr w14:paraId="1057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198343">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您对古县南垣乡东池及驼腰村以工代赈田间道路建设工程项目完成后改善生产条件的满意程度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4F2FA4">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F904B0">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79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38A0B5">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68DF9F">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4</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173C6A">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B678D2">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2B05E3">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D85429">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54866D">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A7D913">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90.20%</w:t>
            </w:r>
          </w:p>
        </w:tc>
      </w:tr>
      <w:tr w14:paraId="2F0FB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304A44">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您对古县南垣乡东池及驼腰村以工代赈田间道路建设工程项目完成后通行便捷性的满意程度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8DDEC0">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838FC7">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76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B79AAB">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68561A">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EE0F2A">
            <w:pPr>
              <w:keepNext w:val="0"/>
              <w:keepLines w:val="0"/>
              <w:widowControl/>
              <w:suppressLineNumbers w:val="0"/>
              <w:jc w:val="center"/>
              <w:textAlignment w:val="center"/>
              <w:rPr>
                <w:rFonts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5</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4CE948">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4BC812">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DCF8A1">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445F3D">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8388434">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90.00%</w:t>
            </w:r>
          </w:p>
        </w:tc>
      </w:tr>
      <w:tr w14:paraId="6B19D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2C3293">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您对古县南垣乡东池及驼腰村以工代赈田间道路建设工程项目完成后完善路网基础设施的满意程度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F7CB32">
            <w:pPr>
              <w:keepNext w:val="0"/>
              <w:keepLines w:val="0"/>
              <w:widowControl/>
              <w:suppressLineNumbers w:val="0"/>
              <w:jc w:val="center"/>
              <w:textAlignment w:val="center"/>
              <w:rPr>
                <w:rFonts w:ascii="仿宋" w:eastAsia="仿宋" w:cs="仿宋"/>
                <w:color w:val="auto"/>
                <w:sz w:val="20"/>
                <w:szCs w:val="21"/>
                <w:highlight w:val="none"/>
                <w:lang w:val="en-US"/>
              </w:rPr>
            </w:pPr>
            <w:r>
              <w:rPr>
                <w:rFonts w:hint="eastAsia" w:ascii="仿宋" w:eastAsia="仿宋" w:cs="仿宋"/>
                <w:i w:val="0"/>
                <w:iCs w:val="0"/>
                <w:color w:val="000000"/>
                <w:kern w:val="0"/>
                <w:sz w:val="20"/>
                <w:szCs w:val="20"/>
                <w:u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C2748F">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80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74BC70">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3DF4DB">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7</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0C29D6">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B97D8A">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86C533">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A146D1">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32292F">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7E0FC0">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91.40%</w:t>
            </w:r>
          </w:p>
        </w:tc>
      </w:tr>
      <w:tr w14:paraId="0AD2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8082FE">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总体满意度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952D4A">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D944DE">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F47C37">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CB7D5F">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BBF7A8">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492DDD">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F148E3">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85E220">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101B0C">
            <w:pPr>
              <w:keepNext w:val="0"/>
              <w:keepLines w:val="0"/>
              <w:widowControl/>
              <w:suppressLineNumbers w:val="0"/>
              <w:jc w:val="center"/>
              <w:textAlignment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B8FBE3">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91.68%</w:t>
            </w:r>
          </w:p>
        </w:tc>
      </w:tr>
    </w:tbl>
    <w:p w14:paraId="51923CB9">
      <w:pPr>
        <w:pStyle w:val="7"/>
        <w:rPr>
          <w:rFonts w:hint="eastAsia" w:ascii="仿宋" w:eastAsia="仿宋" w:cs="仿宋"/>
          <w:sz w:val="28"/>
          <w:szCs w:val="28"/>
        </w:rPr>
        <w:sectPr>
          <w:pgSz w:w="16838" w:h="11906" w:orient="landscape"/>
          <w:pgMar w:top="1797" w:right="1440" w:bottom="1797" w:left="1440" w:header="851" w:footer="992" w:gutter="0"/>
          <w:cols w:space="720" w:num="1"/>
          <w:docGrid w:type="lines" w:linePitch="312" w:charSpace="0"/>
        </w:sectPr>
      </w:pPr>
    </w:p>
    <w:p w14:paraId="509F61F8">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eastAsia="仿宋" w:cs="仿宋"/>
          <w:b/>
          <w:kern w:val="0"/>
          <w:sz w:val="28"/>
          <w:szCs w:val="28"/>
        </w:rPr>
      </w:pPr>
      <w:bookmarkStart w:id="204" w:name="_Toc5270"/>
      <w:r>
        <w:rPr>
          <w:rFonts w:hint="eastAsia" w:ascii="黑体" w:eastAsia="黑体"/>
          <w:snapToGrid w:val="0"/>
          <w:sz w:val="32"/>
          <w:szCs w:val="32"/>
          <w:lang w:val="en-US" w:eastAsia="zh-CN"/>
        </w:rPr>
        <w:t>附件3：</w:t>
      </w:r>
      <w:r>
        <w:rPr>
          <w:rFonts w:hint="eastAsia" w:ascii="黑体" w:eastAsia="黑体"/>
          <w:snapToGrid w:val="0"/>
          <w:sz w:val="32"/>
          <w:szCs w:val="32"/>
        </w:rPr>
        <w:t>合规性审查</w:t>
      </w:r>
      <w:bookmarkEnd w:id="204"/>
    </w:p>
    <w:p w14:paraId="080F0C47">
      <w:pPr>
        <w:spacing w:line="500" w:lineRule="exact"/>
        <w:ind w:firstLine="560" w:firstLineChars="200"/>
        <w:rPr>
          <w:rFonts w:hint="eastAsia" w:ascii="仿宋" w:eastAsia="仿宋" w:cs="仿宋"/>
          <w:kern w:val="0"/>
          <w:sz w:val="28"/>
          <w:szCs w:val="28"/>
        </w:rPr>
      </w:pPr>
      <w:r>
        <w:rPr>
          <w:rFonts w:hint="eastAsia" w:ascii="仿宋" w:eastAsia="仿宋" w:cs="仿宋"/>
          <w:kern w:val="0"/>
          <w:sz w:val="28"/>
          <w:szCs w:val="28"/>
        </w:rPr>
        <w:t>为保证</w:t>
      </w:r>
      <w:r>
        <w:rPr>
          <w:rFonts w:hint="eastAsia" w:ascii="仿宋" w:eastAsia="仿宋" w:cs="仿宋"/>
          <w:kern w:val="0"/>
          <w:sz w:val="28"/>
          <w:szCs w:val="28"/>
          <w:lang w:val="en-US" w:eastAsia="zh-CN"/>
        </w:rPr>
        <w:t>古县南垣乡东池及驼腰村以工代赈田间道路建设工程项目</w:t>
      </w:r>
      <w:r>
        <w:rPr>
          <w:rFonts w:hint="eastAsia" w:ascii="仿宋" w:eastAsia="仿宋" w:cs="仿宋"/>
          <w:kern w:val="0"/>
          <w:sz w:val="28"/>
          <w:szCs w:val="28"/>
          <w:shd w:val="clear" w:color="auto" w:fill="FFFFFF"/>
        </w:rPr>
        <w:t>资金</w:t>
      </w:r>
      <w:r>
        <w:rPr>
          <w:rFonts w:hint="eastAsia" w:ascii="仿宋" w:eastAsia="仿宋" w:cs="仿宋"/>
          <w:kern w:val="0"/>
          <w:sz w:val="28"/>
          <w:szCs w:val="28"/>
        </w:rPr>
        <w:t>在资金拨付、资金支出、财务管理等方面的规范性，评价小组对资金的投入、执行、管理等方面开展合规性检查。</w:t>
      </w:r>
    </w:p>
    <w:p w14:paraId="15855DB6">
      <w:pPr>
        <w:spacing w:line="500" w:lineRule="exact"/>
        <w:ind w:firstLine="562" w:firstLineChars="200"/>
        <w:jc w:val="left"/>
        <w:rPr>
          <w:rFonts w:hint="eastAsia" w:ascii="仿宋" w:eastAsia="仿宋" w:cs="仿宋"/>
          <w:b/>
          <w:kern w:val="0"/>
          <w:sz w:val="28"/>
          <w:szCs w:val="28"/>
        </w:rPr>
      </w:pPr>
      <w:r>
        <w:rPr>
          <w:rFonts w:hint="eastAsia" w:ascii="仿宋" w:eastAsia="仿宋" w:cs="仿宋"/>
          <w:b/>
          <w:kern w:val="0"/>
          <w:sz w:val="28"/>
          <w:szCs w:val="28"/>
        </w:rPr>
        <w:t>1.合规性检查对象</w:t>
      </w:r>
    </w:p>
    <w:p w14:paraId="08C69AB8">
      <w:pPr>
        <w:spacing w:line="500" w:lineRule="exact"/>
        <w:ind w:firstLine="560" w:firstLineChars="200"/>
        <w:jc w:val="left"/>
        <w:rPr>
          <w:rFonts w:hint="eastAsia" w:ascii="仿宋" w:eastAsia="仿宋" w:cs="仿宋"/>
          <w:kern w:val="0"/>
          <w:sz w:val="28"/>
          <w:szCs w:val="28"/>
        </w:rPr>
      </w:pPr>
      <w:r>
        <w:rPr>
          <w:rFonts w:hint="eastAsia" w:ascii="仿宋" w:eastAsia="仿宋" w:cs="仿宋"/>
          <w:kern w:val="0"/>
          <w:sz w:val="28"/>
          <w:szCs w:val="28"/>
        </w:rPr>
        <w:t>本次检查对象为</w:t>
      </w:r>
      <w:r>
        <w:rPr>
          <w:rFonts w:hint="eastAsia" w:ascii="仿宋" w:eastAsia="仿宋" w:cs="仿宋"/>
          <w:kern w:val="0"/>
          <w:sz w:val="28"/>
          <w:szCs w:val="28"/>
          <w:shd w:val="clear" w:color="auto" w:fill="FFFFFF"/>
          <w:lang w:val="en-US" w:eastAsia="zh-CN"/>
        </w:rPr>
        <w:t>古县南垣乡东池及驼腰村以工代赈田间道路建设工程项目</w:t>
      </w:r>
      <w:r>
        <w:rPr>
          <w:rFonts w:hint="eastAsia" w:ascii="仿宋" w:eastAsia="仿宋" w:cs="仿宋"/>
          <w:kern w:val="0"/>
          <w:sz w:val="28"/>
          <w:szCs w:val="28"/>
          <w:shd w:val="clear" w:color="auto" w:fill="FFFFFF"/>
        </w:rPr>
        <w:t>资金</w:t>
      </w:r>
      <w:r>
        <w:rPr>
          <w:rFonts w:hint="eastAsia" w:ascii="仿宋" w:eastAsia="仿宋" w:cs="仿宋"/>
          <w:kern w:val="0"/>
          <w:sz w:val="28"/>
          <w:szCs w:val="28"/>
        </w:rPr>
        <w:t>，</w:t>
      </w:r>
      <w:r>
        <w:rPr>
          <w:rFonts w:hint="eastAsia" w:ascii="仿宋" w:eastAsia="仿宋" w:cs="仿宋"/>
          <w:kern w:val="0"/>
          <w:sz w:val="28"/>
          <w:szCs w:val="28"/>
          <w:lang w:eastAsia="zh-CN"/>
        </w:rPr>
        <w:t>古县南垣乡东池及驼腰村以工代赈田间道路建设工程项目资金</w:t>
      </w:r>
      <w:r>
        <w:rPr>
          <w:rFonts w:hint="eastAsia" w:ascii="Times New Roman" w:hAnsi="Times New Roman" w:eastAsia="仿宋" w:cs="Times New Roman"/>
          <w:sz w:val="28"/>
          <w:szCs w:val="24"/>
          <w:lang w:val="en-US" w:eastAsia="zh-CN"/>
        </w:rPr>
        <w:t>196.00万元</w:t>
      </w:r>
      <w:r>
        <w:rPr>
          <w:rFonts w:hint="eastAsia" w:ascii="仿宋" w:eastAsia="仿宋" w:cs="仿宋"/>
          <w:kern w:val="0"/>
          <w:sz w:val="28"/>
          <w:szCs w:val="28"/>
        </w:rPr>
        <w:t>。</w:t>
      </w:r>
    </w:p>
    <w:p w14:paraId="577656CF">
      <w:pPr>
        <w:spacing w:line="500" w:lineRule="exact"/>
        <w:ind w:firstLine="562" w:firstLineChars="200"/>
        <w:jc w:val="left"/>
        <w:rPr>
          <w:rFonts w:hint="eastAsia" w:ascii="仿宋" w:eastAsia="仿宋" w:cs="仿宋"/>
          <w:b/>
          <w:kern w:val="0"/>
          <w:sz w:val="28"/>
          <w:szCs w:val="28"/>
        </w:rPr>
      </w:pPr>
      <w:r>
        <w:rPr>
          <w:rFonts w:hint="eastAsia" w:ascii="仿宋" w:eastAsia="仿宋" w:cs="仿宋"/>
          <w:b/>
          <w:kern w:val="0"/>
          <w:sz w:val="28"/>
          <w:szCs w:val="28"/>
        </w:rPr>
        <w:t>2.合规性检查内容</w:t>
      </w:r>
    </w:p>
    <w:p w14:paraId="19E441C1">
      <w:pPr>
        <w:spacing w:line="500" w:lineRule="exact"/>
        <w:ind w:firstLine="560" w:firstLineChars="200"/>
        <w:jc w:val="left"/>
        <w:rPr>
          <w:rFonts w:hint="eastAsia" w:ascii="仿宋" w:eastAsia="仿宋" w:cs="仿宋"/>
          <w:kern w:val="0"/>
          <w:sz w:val="28"/>
          <w:szCs w:val="28"/>
        </w:rPr>
      </w:pPr>
      <w:r>
        <w:rPr>
          <w:rFonts w:hint="eastAsia" w:asci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14:paraId="2963C1A8">
      <w:pPr>
        <w:spacing w:line="500" w:lineRule="exact"/>
        <w:ind w:firstLine="482" w:firstLineChars="200"/>
        <w:jc w:val="center"/>
        <w:rPr>
          <w:rFonts w:hint="eastAsia" w:ascii="仿宋" w:eastAsia="仿宋" w:cs="仿宋"/>
          <w:b/>
          <w:kern w:val="0"/>
          <w:sz w:val="24"/>
          <w:szCs w:val="28"/>
        </w:rPr>
      </w:pPr>
      <w:r>
        <w:rPr>
          <w:rFonts w:hint="eastAsia" w:ascii="仿宋" w:eastAsia="仿宋" w:cs="仿宋"/>
          <w:b/>
          <w:kern w:val="0"/>
          <w:sz w:val="24"/>
          <w:szCs w:val="28"/>
        </w:rPr>
        <w:t>附表</w:t>
      </w:r>
      <w:r>
        <w:rPr>
          <w:rFonts w:hint="eastAsia" w:ascii="仿宋" w:eastAsia="仿宋" w:cs="仿宋"/>
          <w:b/>
          <w:kern w:val="0"/>
          <w:sz w:val="24"/>
          <w:szCs w:val="28"/>
          <w:lang w:val="en-US" w:eastAsia="zh-CN"/>
        </w:rPr>
        <w:t>3</w:t>
      </w:r>
      <w:r>
        <w:rPr>
          <w:rFonts w:hint="eastAsia" w:ascii="仿宋" w:eastAsia="仿宋" w:cs="仿宋"/>
          <w:b/>
          <w:kern w:val="0"/>
          <w:sz w:val="24"/>
          <w:szCs w:val="28"/>
        </w:rPr>
        <w:t>-1  合规性审查内容框架</w:t>
      </w:r>
    </w:p>
    <w:tbl>
      <w:tblPr>
        <w:tblStyle w:val="2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14:paraId="15511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1D918861">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58891688">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4815F425">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14:paraId="215EBC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96D3F2E">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3167654">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rPr>
              <w:t>资金管理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14:paraId="732739A6">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rPr>
              <w:t>制定或具有相应的项目资金管理办法及是否符合相关财务会计制度的规定。</w:t>
            </w:r>
          </w:p>
        </w:tc>
      </w:tr>
      <w:tr w14:paraId="23FE3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E0D133C">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7507020">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rPr>
              <w:t>资金使用</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14:paraId="64DC9357">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rPr>
              <w:t>资金的拨付有完整的审批程序和手续及符合项目预算批复或合同规定的用途；</w:t>
            </w:r>
            <w:r>
              <w:rPr>
                <w:rFonts w:hint="eastAsia" w:ascii="Times New Roman" w:hAnsi="Times New Roman" w:eastAsia="仿宋" w:cs="Times New Roman"/>
                <w:kern w:val="0"/>
                <w:sz w:val="24"/>
                <w:szCs w:val="28"/>
                <w:lang w:val="en-US" w:eastAsia="zh-CN"/>
              </w:rPr>
              <w:t>不</w:t>
            </w:r>
            <w:r>
              <w:rPr>
                <w:rFonts w:ascii="Times New Roman" w:hAnsi="Times New Roman" w:eastAsia="仿宋" w:cs="Times New Roman"/>
                <w:kern w:val="0"/>
                <w:sz w:val="24"/>
                <w:szCs w:val="28"/>
              </w:rPr>
              <w:t>存在截留、挤占、挪用、虚列支出等情况。</w:t>
            </w:r>
          </w:p>
        </w:tc>
      </w:tr>
      <w:tr w14:paraId="2E426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16A08FA">
            <w:pPr>
              <w:snapToGrid w:val="0"/>
              <w:jc w:val="center"/>
              <w:rPr>
                <w:rFonts w:ascii="Times New Roman" w:hAnsi="Times New Roman" w:eastAsia="仿宋" w:cs="Times New Roman"/>
                <w:kern w:val="0"/>
                <w:sz w:val="24"/>
                <w:szCs w:val="28"/>
              </w:rPr>
            </w:pPr>
            <w:r>
              <w:rPr>
                <w:rFonts w:ascii="Times New Roman" w:hAnsi="Times New Roman" w:eastAsia="仿宋" w:cs="Times New Roman"/>
                <w:kern w:val="0"/>
                <w:sz w:val="24"/>
                <w:szCs w:val="28"/>
              </w:rPr>
              <w:t>3</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485126E">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rPr>
              <w:t>财务监控</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14:paraId="786294D5">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rPr>
              <w:t>已制定或具有相应的监控机制，采取了相应的财务检查等必要的监控措施或手段。</w:t>
            </w:r>
          </w:p>
        </w:tc>
      </w:tr>
      <w:tr w14:paraId="5D91F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39AB186">
            <w:pPr>
              <w:snapToGrid w:val="0"/>
              <w:jc w:val="center"/>
              <w:rPr>
                <w:rFonts w:ascii="Times New Roman" w:hAnsi="Times New Roman" w:eastAsia="仿宋" w:cs="Times New Roman"/>
                <w:kern w:val="0"/>
                <w:sz w:val="24"/>
                <w:szCs w:val="28"/>
              </w:rPr>
            </w:pPr>
            <w:r>
              <w:rPr>
                <w:rFonts w:ascii="Times New Roman" w:hAnsi="Times New Roman" w:eastAsia="仿宋" w:cs="Times New Roman"/>
                <w:kern w:val="0"/>
                <w:sz w:val="24"/>
                <w:szCs w:val="28"/>
              </w:rPr>
              <w:t>4</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D9520B3">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rPr>
              <w:t>项目管理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14:paraId="4CFB3DAF">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rPr>
              <w:t>已制定或具有相应的业务管理制度及合法、合规、完整性。</w:t>
            </w:r>
          </w:p>
        </w:tc>
      </w:tr>
      <w:tr w14:paraId="5A0BC7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865E800">
            <w:pPr>
              <w:snapToGrid w:val="0"/>
              <w:jc w:val="center"/>
              <w:rPr>
                <w:rFonts w:ascii="Times New Roman" w:hAnsi="Times New Roman" w:eastAsia="仿宋" w:cs="Times New Roman"/>
                <w:kern w:val="0"/>
                <w:sz w:val="24"/>
                <w:szCs w:val="28"/>
              </w:rPr>
            </w:pPr>
            <w:r>
              <w:rPr>
                <w:rFonts w:ascii="Times New Roman" w:hAnsi="Times New Roman" w:eastAsia="仿宋" w:cs="Times New Roman"/>
                <w:kern w:val="0"/>
                <w:sz w:val="24"/>
                <w:szCs w:val="28"/>
              </w:rPr>
              <w:t>5</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5B18299">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rPr>
              <w:t>项目执行</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14:paraId="08A35D15">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rPr>
              <w:t>遵守相关法律法规和业务管理规定，项目调整及支出调整手续完备。</w:t>
            </w:r>
          </w:p>
        </w:tc>
      </w:tr>
      <w:tr w14:paraId="4080A0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552C38A">
            <w:pPr>
              <w:snapToGrid w:val="0"/>
              <w:jc w:val="center"/>
              <w:rPr>
                <w:rFonts w:ascii="Times New Roman" w:hAnsi="Times New Roman" w:eastAsia="仿宋" w:cs="Times New Roman"/>
                <w:kern w:val="0"/>
                <w:sz w:val="24"/>
                <w:szCs w:val="28"/>
              </w:rPr>
            </w:pPr>
            <w:r>
              <w:rPr>
                <w:rFonts w:ascii="Times New Roman" w:hAnsi="Times New Roman" w:eastAsia="仿宋" w:cs="Times New Roman"/>
                <w:kern w:val="0"/>
                <w:sz w:val="24"/>
                <w:szCs w:val="28"/>
              </w:rPr>
              <w:t>6</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D6D9C5B">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rPr>
              <w:t>项目质量</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14:paraId="5E63272F">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rPr>
              <w:t>已制定或其有相应的项目质量要求或标准，采取了相应的项目质量检查、验收等必需的控制措施或手段。</w:t>
            </w:r>
          </w:p>
        </w:tc>
      </w:tr>
    </w:tbl>
    <w:p w14:paraId="4A1DED65">
      <w:pPr>
        <w:spacing w:line="500" w:lineRule="exact"/>
        <w:ind w:firstLine="562" w:firstLineChars="200"/>
        <w:jc w:val="left"/>
        <w:rPr>
          <w:rFonts w:hint="eastAsia" w:ascii="仿宋" w:eastAsia="仿宋" w:cs="仿宋"/>
          <w:b/>
          <w:kern w:val="0"/>
          <w:sz w:val="28"/>
          <w:szCs w:val="28"/>
        </w:rPr>
      </w:pPr>
      <w:r>
        <w:rPr>
          <w:rFonts w:hint="eastAsia" w:ascii="仿宋" w:eastAsia="仿宋" w:cs="仿宋"/>
          <w:b/>
          <w:kern w:val="0"/>
          <w:sz w:val="28"/>
          <w:szCs w:val="28"/>
        </w:rPr>
        <w:t>3.合规性检查方法</w:t>
      </w:r>
    </w:p>
    <w:p w14:paraId="1A7B3EF3">
      <w:pPr>
        <w:spacing w:line="500" w:lineRule="exact"/>
        <w:ind w:firstLine="560" w:firstLineChars="200"/>
        <w:rPr>
          <w:rFonts w:hint="eastAsia" w:ascii="仿宋" w:eastAsia="仿宋" w:cs="仿宋"/>
          <w:kern w:val="0"/>
          <w:sz w:val="28"/>
          <w:szCs w:val="28"/>
        </w:rPr>
      </w:pPr>
      <w:r>
        <w:rPr>
          <w:rFonts w:hint="eastAsia" w:ascii="仿宋" w:eastAsia="仿宋" w:cs="仿宋"/>
          <w:kern w:val="0"/>
          <w:sz w:val="28"/>
          <w:szCs w:val="28"/>
        </w:rPr>
        <w:t>本次合规性检查通过现场核查的方式开展，现场核实核查对象提供的资料。</w:t>
      </w:r>
    </w:p>
    <w:p w14:paraId="1F8AE235">
      <w:pPr>
        <w:pStyle w:val="7"/>
        <w:rPr>
          <w:rFonts w:hint="eastAsia" w:ascii="仿宋" w:eastAsia="仿宋" w:cs="仿宋"/>
          <w:kern w:val="0"/>
          <w:sz w:val="28"/>
          <w:szCs w:val="28"/>
          <w:lang w:eastAsia="zh-CN"/>
        </w:rPr>
        <w:sectPr>
          <w:pgSz w:w="11906" w:h="16838"/>
          <w:pgMar w:top="1440" w:right="1797" w:bottom="1440" w:left="1797" w:header="851" w:footer="992" w:gutter="0"/>
          <w:cols w:space="720" w:num="1"/>
          <w:docGrid w:type="lines" w:linePitch="312" w:charSpace="0"/>
        </w:sectPr>
      </w:pPr>
      <w:r>
        <w:rPr>
          <w:rFonts w:hint="eastAsia" w:ascii="仿宋" w:eastAsia="仿宋" w:cs="仿宋"/>
          <w:kern w:val="0"/>
          <w:sz w:val="28"/>
          <w:szCs w:val="28"/>
        </w:rPr>
        <w:t>合规性具体检查内容见附表</w:t>
      </w:r>
      <w:r>
        <w:rPr>
          <w:rFonts w:hint="eastAsia" w:ascii="仿宋" w:eastAsia="仿宋" w:cs="仿宋"/>
          <w:kern w:val="0"/>
          <w:sz w:val="28"/>
          <w:szCs w:val="28"/>
          <w:lang w:val="en-US" w:eastAsia="zh-CN"/>
        </w:rPr>
        <w:t>3</w:t>
      </w:r>
      <w:r>
        <w:rPr>
          <w:rFonts w:hint="eastAsia" w:ascii="仿宋" w:eastAsia="仿宋" w:cs="仿宋"/>
          <w:kern w:val="0"/>
          <w:sz w:val="28"/>
          <w:szCs w:val="28"/>
        </w:rPr>
        <w:t>-2所示</w:t>
      </w:r>
      <w:r>
        <w:rPr>
          <w:rFonts w:hint="eastAsia" w:ascii="仿宋" w:eastAsia="仿宋" w:cs="仿宋"/>
          <w:kern w:val="0"/>
          <w:sz w:val="28"/>
          <w:szCs w:val="28"/>
          <w:lang w:eastAsia="zh-CN"/>
        </w:rPr>
        <w:t>。</w:t>
      </w:r>
    </w:p>
    <w:p w14:paraId="6CFC7373">
      <w:pPr>
        <w:pStyle w:val="20"/>
        <w:ind w:left="0" w:leftChars="0" w:firstLine="0" w:firstLineChars="0"/>
        <w:jc w:val="center"/>
      </w:pPr>
      <w:r>
        <w:rPr>
          <w:rFonts w:hint="eastAsia" w:ascii="仿宋" w:eastAsia="仿宋" w:cs="仿宋"/>
          <w:b/>
          <w:bCs/>
          <w:sz w:val="24"/>
          <w:szCs w:val="24"/>
        </w:rPr>
        <w:t>附表</w:t>
      </w:r>
      <w:r>
        <w:rPr>
          <w:rFonts w:hint="eastAsia" w:ascii="仿宋" w:eastAsia="仿宋" w:cs="仿宋"/>
          <w:b/>
          <w:bCs/>
          <w:sz w:val="24"/>
          <w:szCs w:val="24"/>
          <w:lang w:val="en-US" w:eastAsia="zh-CN"/>
        </w:rPr>
        <w:t>4</w:t>
      </w:r>
      <w:r>
        <w:rPr>
          <w:rFonts w:hint="eastAsia" w:ascii="仿宋" w:eastAsia="仿宋" w:cs="仿宋"/>
          <w:b/>
          <w:bCs/>
          <w:sz w:val="24"/>
          <w:szCs w:val="24"/>
        </w:rPr>
        <w:t xml:space="preserve">-2 </w:t>
      </w:r>
      <w:r>
        <w:rPr>
          <w:rFonts w:hint="eastAsia" w:ascii="仿宋" w:eastAsia="仿宋" w:cs="仿宋"/>
          <w:b/>
          <w:bCs/>
          <w:sz w:val="24"/>
          <w:szCs w:val="24"/>
          <w:lang w:val="en-US" w:eastAsia="zh-CN"/>
        </w:rPr>
        <w:t xml:space="preserve"> 古县南垣乡东池及驼腰村以工代赈田间道路建设工程项目</w:t>
      </w:r>
      <w:r>
        <w:rPr>
          <w:rFonts w:hint="eastAsia" w:asci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14:paraId="6BF66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472A97DF">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68E93187">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32EE42D0">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5B7FF6B1">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tcBorders>
              <w:top w:val="single" w:color="auto" w:sz="12" w:space="0"/>
              <w:left w:val="single" w:color="auto" w:sz="12" w:space="0"/>
              <w:bottom w:val="single" w:color="auto" w:sz="12" w:space="0"/>
              <w:right w:val="single" w:color="auto" w:sz="12" w:space="0"/>
            </w:tcBorders>
            <w:shd w:val="clear" w:color="auto" w:fill="BEBEBE"/>
            <w:noWrap/>
            <w:vAlign w:val="center"/>
          </w:tcPr>
          <w:p w14:paraId="69AD113D">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14:paraId="23A82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14:paraId="065A4E9D">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8576F7A">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古县南垣乡东池及驼腰村以工代赈田间道路建设工程项目</w:t>
            </w:r>
            <w:r>
              <w:rPr>
                <w:rFonts w:ascii="Times New Roman" w:hAnsi="Times New Roman" w:eastAsia="仿宋" w:cs="Times New Roman"/>
                <w:kern w:val="0"/>
                <w:sz w:val="24"/>
                <w:szCs w:val="24"/>
              </w:rPr>
              <w:t>资金的申请资料（项目经费调整申请及批复）</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93478D0">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14:paraId="3F8275A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F372156">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F1AEC7A">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66623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4D56E673"/>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B0AFA44">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5C3F662">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071EC5E">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C415DA9">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2A62D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5D81DAF2"/>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3F80FA8">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6F2F1F3">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88D728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9859E2D">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05CC08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6A63CA4">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03A4B8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37E707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F9A0C6E">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E37C61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108DDB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14:paraId="0EE633C5">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54701D4">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0725710">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0B3A165">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81987A1">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0169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6C7CFDFD"/>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C73670C">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539D67C">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E4CB1F5">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56A5769">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未提供</w:t>
            </w:r>
          </w:p>
        </w:tc>
      </w:tr>
      <w:tr w14:paraId="320EC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14:paraId="5960D4AE">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6502EB31">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1BCA4D5">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FBF4493">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ACE5FA0">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2AB03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6925EBC7"/>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2A7AF66">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70EB747">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6975500">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FFDC6C9">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2FA799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71AA6AFB"/>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C93A819">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21542ABE">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3856E35">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8DF34C2">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7E6DB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3027BC81"/>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4633135F">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9275779">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0B9F4A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A9B90E7">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193C41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57747A1A"/>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7AAB817F">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ABA90D2">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30881C38">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58B2AAD5">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452BE1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14:paraId="161B5A3D"/>
        </w:tc>
        <w:tc>
          <w:tcPr>
            <w:tcW w:w="459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3C3C126">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6675B4D">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01A0EE06">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731" w:type="dxa"/>
            <w:tcBorders>
              <w:top w:val="single" w:color="auto" w:sz="6" w:space="0"/>
              <w:left w:val="single" w:color="auto" w:sz="12" w:space="0"/>
              <w:bottom w:val="single" w:color="auto" w:sz="12" w:space="0"/>
              <w:right w:val="single" w:color="auto" w:sz="12" w:space="0"/>
            </w:tcBorders>
            <w:shd w:val="clear" w:color="auto" w:fill="auto"/>
            <w:noWrap/>
            <w:vAlign w:val="center"/>
          </w:tcPr>
          <w:p w14:paraId="11F572D7">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14:paraId="03D57296">
      <w:pPr>
        <w:pStyle w:val="7"/>
        <w:rPr>
          <w:rFonts w:hint="eastAsia" w:ascii="仿宋" w:eastAsia="仿宋" w:cs="仿宋"/>
          <w:kern w:val="0"/>
          <w:sz w:val="28"/>
          <w:szCs w:val="28"/>
          <w:lang w:val="en-US" w:eastAsia="zh-CN"/>
        </w:rPr>
        <w:sectPr>
          <w:pgSz w:w="16838" w:h="11906" w:orient="landscape"/>
          <w:pgMar w:top="1797" w:right="1440" w:bottom="1797" w:left="1440" w:header="851" w:footer="992" w:gutter="0"/>
          <w:cols w:space="720" w:num="1"/>
          <w:docGrid w:type="lines" w:linePitch="312" w:charSpace="0"/>
        </w:sectPr>
      </w:pPr>
    </w:p>
    <w:p w14:paraId="19290AA4">
      <w:pPr>
        <w:pStyle w:val="7"/>
        <w:keepNext w:val="0"/>
        <w:keepLines w:val="0"/>
        <w:pageBreakBefore w:val="0"/>
        <w:widowControl w:val="0"/>
        <w:kinsoku/>
        <w:wordWrap/>
        <w:overflowPunct/>
        <w:topLinePunct w:val="0"/>
        <w:autoSpaceDE/>
        <w:autoSpaceDN/>
        <w:bidi w:val="0"/>
        <w:adjustRightInd/>
        <w:snapToGrid/>
        <w:ind w:left="0" w:firstLine="0"/>
        <w:textAlignment w:val="auto"/>
        <w:outlineLvl w:val="0"/>
        <w:rPr>
          <w:rFonts w:ascii="仿宋" w:eastAsia="仿宋" w:cs="仿宋"/>
          <w:kern w:val="0"/>
          <w:sz w:val="28"/>
          <w:szCs w:val="28"/>
          <w:lang w:val="en-US" w:eastAsia="zh-CN"/>
        </w:rPr>
      </w:pPr>
      <w:bookmarkStart w:id="205" w:name="_Toc1819"/>
      <w:r>
        <w:rPr>
          <w:rFonts w:hint="eastAsia" w:ascii="黑体" w:eastAsia="黑体" w:cs="Times New Roman"/>
          <w:snapToGrid w:val="0"/>
          <w:kern w:val="2"/>
          <w:sz w:val="32"/>
          <w:szCs w:val="32"/>
          <w:lang w:val="en-US" w:eastAsia="zh-CN" w:bidi="ar-SA"/>
        </w:rPr>
        <w:t>附件4：访谈记录</w:t>
      </w:r>
      <w:bookmarkEnd w:id="205"/>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14:paraId="6F53A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tcBorders>
              <w:top w:val="single" w:color="auto" w:sz="4" w:space="0"/>
              <w:left w:val="single" w:color="auto" w:sz="4" w:space="0"/>
              <w:bottom w:val="single" w:color="auto" w:sz="4" w:space="0"/>
              <w:right w:val="single" w:color="auto" w:sz="4" w:space="0"/>
            </w:tcBorders>
            <w:noWrap/>
            <w:vAlign w:val="center"/>
          </w:tcPr>
          <w:p w14:paraId="329480F2">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tcBorders>
              <w:top w:val="single" w:color="auto" w:sz="4" w:space="0"/>
              <w:left w:val="single" w:color="auto" w:sz="4" w:space="0"/>
              <w:bottom w:val="single" w:color="auto" w:sz="4" w:space="0"/>
              <w:right w:val="single" w:color="auto" w:sz="4" w:space="0"/>
            </w:tcBorders>
            <w:noWrap/>
            <w:vAlign w:val="center"/>
          </w:tcPr>
          <w:p w14:paraId="31518BBA">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14:paraId="3191F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tcBorders>
              <w:top w:val="single" w:color="auto" w:sz="4" w:space="0"/>
              <w:left w:val="single" w:color="auto" w:sz="4" w:space="0"/>
              <w:bottom w:val="single" w:color="auto" w:sz="4" w:space="0"/>
              <w:right w:val="single" w:color="auto" w:sz="4" w:space="0"/>
            </w:tcBorders>
            <w:noWrap/>
            <w:vAlign w:val="center"/>
          </w:tcPr>
          <w:p w14:paraId="7733B2A0">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tcBorders>
              <w:top w:val="single" w:color="auto" w:sz="4" w:space="0"/>
              <w:left w:val="single" w:color="auto" w:sz="4" w:space="0"/>
              <w:bottom w:val="single" w:color="auto" w:sz="4" w:space="0"/>
              <w:right w:val="single" w:color="auto" w:sz="4" w:space="0"/>
            </w:tcBorders>
            <w:noWrap/>
            <w:vAlign w:val="center"/>
          </w:tcPr>
          <w:p w14:paraId="49D14032">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23</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11</w:t>
            </w:r>
            <w:r>
              <w:rPr>
                <w:rFonts w:ascii="Times New Roman" w:hAnsi="Times New Roman" w:eastAsia="仿宋" w:cs="Times New Roman"/>
                <w:sz w:val="24"/>
                <w:szCs w:val="24"/>
              </w:rPr>
              <w:t>月</w:t>
            </w:r>
          </w:p>
        </w:tc>
      </w:tr>
      <w:tr w14:paraId="7438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tcBorders>
              <w:top w:val="single" w:color="auto" w:sz="4" w:space="0"/>
              <w:left w:val="single" w:color="auto" w:sz="4" w:space="0"/>
              <w:bottom w:val="single" w:color="auto" w:sz="4" w:space="0"/>
              <w:right w:val="single" w:color="auto" w:sz="4" w:space="0"/>
            </w:tcBorders>
            <w:noWrap/>
            <w:vAlign w:val="center"/>
          </w:tcPr>
          <w:p w14:paraId="1C0534E5">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tcBorders>
              <w:top w:val="single" w:color="auto" w:sz="4" w:space="0"/>
              <w:left w:val="single" w:color="auto" w:sz="4" w:space="0"/>
              <w:bottom w:val="single" w:color="auto" w:sz="4" w:space="0"/>
              <w:right w:val="single" w:color="auto" w:sz="4" w:space="0"/>
            </w:tcBorders>
            <w:noWrap/>
            <w:vAlign w:val="center"/>
          </w:tcPr>
          <w:p w14:paraId="15392767">
            <w:pPr>
              <w:spacing w:line="500" w:lineRule="exact"/>
              <w:ind w:firstLine="480" w:firstLineChars="200"/>
              <w:jc w:val="center"/>
              <w:rPr>
                <w:rFonts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古县南垣乡人民政府</w:t>
            </w:r>
          </w:p>
        </w:tc>
      </w:tr>
      <w:tr w14:paraId="7E922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18F9E10B">
            <w:pPr>
              <w:spacing w:line="500" w:lineRule="exact"/>
              <w:ind w:firstLine="482" w:firstLineChars="200"/>
              <w:rPr>
                <w:rFonts w:ascii="Times New Roman" w:hAnsi="Times New Roman" w:eastAsia="仿宋" w:cs="Times New Roman"/>
                <w:b/>
                <w:sz w:val="24"/>
                <w:szCs w:val="24"/>
              </w:rPr>
            </w:pPr>
            <w:r>
              <w:rPr>
                <w:rFonts w:hint="eastAsia" w:ascii="仿宋" w:eastAsia="仿宋" w:cs="仿宋"/>
                <w:b/>
                <w:sz w:val="24"/>
                <w:szCs w:val="24"/>
              </w:rPr>
              <w:t>问题1：请您简要介绍</w:t>
            </w:r>
            <w:r>
              <w:rPr>
                <w:rFonts w:hint="eastAsia" w:ascii="仿宋" w:eastAsia="仿宋" w:cs="仿宋"/>
                <w:b/>
                <w:sz w:val="24"/>
                <w:szCs w:val="24"/>
                <w:lang w:eastAsia="zh-CN"/>
              </w:rPr>
              <w:t>古县南垣乡东池及驼腰村以工代赈田间道路建设工程项目</w:t>
            </w:r>
            <w:r>
              <w:rPr>
                <w:rFonts w:hint="eastAsia" w:ascii="仿宋" w:eastAsia="仿宋" w:cs="仿宋"/>
                <w:b/>
                <w:sz w:val="24"/>
                <w:szCs w:val="24"/>
              </w:rPr>
              <w:t>的概况。</w:t>
            </w:r>
          </w:p>
        </w:tc>
      </w:tr>
      <w:tr w14:paraId="491AB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64FF6F22">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2018年6月，党中央、</w:t>
            </w:r>
            <w:bookmarkStart w:id="206" w:name="_GoBack"/>
            <w:bookmarkEnd w:id="206"/>
            <w:r>
              <w:rPr>
                <w:rFonts w:hint="eastAsia" w:ascii="Times New Roman" w:hAnsi="Times New Roman" w:eastAsia="仿宋" w:cs="Times New Roman"/>
                <w:sz w:val="24"/>
                <w:szCs w:val="24"/>
                <w:lang w:val="en-US" w:eastAsia="zh-CN"/>
              </w:rPr>
              <w:t>国务院发布《乡村振兴战略规划（2018-2022年）》提出：充分尊重农民意愿，切实发挥农民在乡村振兴中的主体作用，调动亿万农民的积极性、主动性、创造性，把维护农民群众根本利益、促进农民共同富裕作为出发点和落脚点，促进农民持续增收，不断提升农民的获得感、幸福感、安全感。</w:t>
            </w:r>
          </w:p>
          <w:p w14:paraId="52DFB4DD">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以工代赈，是指政府投资建设公共基础设施工程，受赈济者参加工程建设获得劳务报酬，以此取得直接赈济的一项扶持政策。现阶段，以工代赈是一项农村扶贫政策，当地贫困农民参加工程建设，获得劳务报酬，直接增加收入。以工代赈重点建设与贫困地区经济发展和农民脱贫致富相关的农村中小型基础设施，包括基本农田、农田水利、乡村道路（含独立桥涵）、草场建设、小流域治理、片区综合开发，以及根据国家要求安排的其他工程，旨在改善贫困地区基础设施条件和生态环境，提高贫困人口的收入水平，从根本上促进贫困人口脱贫致富，对缓解和消除贫困、构建和谐社会、走向共同富裕具有重要的现实意义。</w:t>
            </w:r>
          </w:p>
          <w:p w14:paraId="48881C8E">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自开始实施以工代赈以来，山西省以工代赈建设本着开发式扶贫的方针，着眼于贫困地区的长远发展，始终坚持开展农业和农村基础设施建设、生态环境治理，有效改善了贫困群众的生产生活条件，增强了贫困人群的自我积累和自我发展能力，不仅为贫困地区可持续发展创造了有利条件，而且也极大地调动了人民群众摆脱贫困、提高自身生活水平的主动性和自觉性。以工代赈政策使贫困农民直接感受到了党和政府的关怀，深受广大人民群众的支持和拥护。</w:t>
            </w:r>
          </w:p>
          <w:p w14:paraId="71149139">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农村公路是保障农民群众生产、生活的基本条件，是农业和农村发展的向导性、基础性设施。加快农村公路网络的建设对促进区域经济发展，提高农民生活水平，改善农村消费有着十分重要的战略意义。随着国道、省道、市道等骨干线路的形成，乡村道路建设的重要性和必要性已日益凸现。田间路、乡村道路，连接国道省道县道等大中公路，延伸到乡村组户，是公路网络的基础部分；是直接服务于农村，造福于农民的基础设施，是公路经济最终得以形成的关键环节。公路不能进村入户，村级经济将始终无法组成乡镇区域经济，因为没有便利的交通就难以形成统一的市场。</w:t>
            </w:r>
          </w:p>
          <w:p w14:paraId="1B8AE077">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临汾市是山西省贫困面较大、贫困人口较多的地区之一，全市17个县（市、区）共有10个贫困县，其中，大宁、永和、隰县、吉县、汾西5个县为国家扶贫开发工作重点县，安泽、乡宁、蒲县、浮山、古县5个县为省级贫困县。2020年2月，省政府发布了批准包括我市永和，大宁、汾西等县退出贫困县的通知，至此，我市5个国家扶贫开发工作重点县、5个省定贫困县全部退出贫困县，标志着临汾市脱贫攻坚战取得决定性胜利。</w:t>
            </w:r>
          </w:p>
          <w:p w14:paraId="5FF5A1F1">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中华人民共和国国民经济和社会发展第十四个五年规划和2035年远景目标纲要》中提出要“实现巩固拓展脱贫攻坚成果同乡村振兴有效衔接”。“十四五”期间，在打赢脱贫攻坚战的基础上，农村扶贫工作将继续开展，农村扶贫力度不会减小，但在实施方式上会有改变。在脱贫攻坚任务如期完成之后，还存在如何巩固脱贫成果问题以及解决相对贫困问题，需要制度化的解决措施。把解决这些问题纳入乡村振兴战略，可以实现贫困地区同全国农村的共同发展。</w:t>
            </w:r>
          </w:p>
          <w:p w14:paraId="1592CDC9">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全国“十四五”以工代赈工作方案》提出，以工代赈实施范围以脱贫地区为重点的欠发达地区，向“三区三州”等原深度贫困地区、国家乡村振兴重点帮扶县、易地扶贫搬迁后续扶持任务较重地区以及受自然灾害影响较重地区倾斜。同时，提出重点建设领域为“农村公益性基础设施”及“农村产业配套基础设施”，农村公益性基础设施领域－－农村交通基础设施：包括农村公路、行政村村内主干道、通自然村组道路、巷道、入户路等路基整理、路面硬化及必要防护设施建设，国有农场、林场林区内公路改造，农村简易候车亭，农村渡口、漫水路、漫水桥、简易停车场等小型交通基础设施建设等。</w:t>
            </w:r>
          </w:p>
          <w:p w14:paraId="65C51A2E">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县委县政府以习近平新时代中国特色社会主义思想为指导，全面贯彻党的十九大精神和习近平总书记扶贫开发重要战略思想，认真落实中央、省市委“三农”工作会议精神，积极推进交通基础设施建设。针对东池村和驼腰村（山头村组）田间道路存在的“出行难、生产运输难”及与全县推动乡村振兴建成小康社会的要求存在较大差距的问题，通过实施田间道路建设改善农民出行和生产作业条件，提升农民生活福祉，为</w:t>
            </w:r>
            <w:r>
              <w:rPr>
                <w:rFonts w:hint="default" w:ascii="Times New Roman" w:hAnsi="Times New Roman" w:eastAsia="仿宋" w:cs="Times New Roman"/>
                <w:sz w:val="24"/>
                <w:szCs w:val="24"/>
                <w:lang w:val="en" w:eastAsia="zh-CN"/>
              </w:rPr>
              <w:t>巩固拓展脱贫攻坚成果</w:t>
            </w:r>
            <w:r>
              <w:rPr>
                <w:rFonts w:hint="eastAsia" w:ascii="Times New Roman" w:hAnsi="Times New Roman" w:eastAsia="仿宋" w:cs="Times New Roman"/>
                <w:sz w:val="24"/>
                <w:szCs w:val="24"/>
                <w:lang w:val="en-US" w:eastAsia="zh-CN"/>
              </w:rPr>
              <w:t>和乡村振兴奠定基础。</w:t>
            </w:r>
          </w:p>
          <w:p w14:paraId="2DB97F9B">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南垣乡东池及驼腰村以工代赈田间道路建设工程项目所在地东池村和驼腰村。东池村位于古县南部，南垣乡西部，距县城45公里，距乡政府所在地4公里，辖7个村民小组（东组、西组、南组、北组、料角畈、张家凹、桥北），316户，915人，全村土地面积18860.74亩，耕地面积5518.29亩，林、草地面积 11749.81亩。驼腰村位于古县南垣乡东北2.5公里处，东与山头村毗邻，南与河底接壤，西与韩家岭农场邻接，北与吴家岭、陈香相连。驼腰村下辖驼腰、河底、山头三个自然村，境域面积1315.85平方公顷。全村193户566口人。全村耕地5775.54亩，林地13962.14亩。</w:t>
            </w:r>
          </w:p>
          <w:p w14:paraId="52B75033">
            <w:pPr>
              <w:spacing w:line="500" w:lineRule="exact"/>
              <w:ind w:firstLine="480" w:firstLineChars="200"/>
            </w:pPr>
            <w:r>
              <w:rPr>
                <w:rFonts w:hint="eastAsia" w:ascii="Times New Roman" w:hAnsi="Times New Roman" w:eastAsia="仿宋" w:cs="Times New Roman"/>
                <w:sz w:val="24"/>
                <w:szCs w:val="24"/>
                <w:lang w:val="en-US" w:eastAsia="zh-CN"/>
              </w:rPr>
              <w:t>东池村和驼腰村，交通不便，财政基础薄弱，村内的公共基础设施仍然落后，群众出行、生产生活极其不便，需要改善；而且农户的收入来源单一、不稳定。东池村共有农村劳动力（含半劳力、弱劳力）480人，已稳定就业145人；驼腰村共有农村劳动力（含半劳力、弱劳力）346人，已稳定就业260人，因此</w:t>
            </w:r>
            <w:r>
              <w:rPr>
                <w:rFonts w:hint="default" w:ascii="Times New Roman" w:hAnsi="Times New Roman" w:eastAsia="仿宋" w:cs="Times New Roman"/>
                <w:sz w:val="24"/>
                <w:szCs w:val="24"/>
                <w:lang w:val="en" w:eastAsia="zh-CN"/>
              </w:rPr>
              <w:t>巩固拓展脱贫攻坚成果</w:t>
            </w:r>
            <w:r>
              <w:rPr>
                <w:rFonts w:hint="eastAsia" w:ascii="Times New Roman" w:hAnsi="Times New Roman" w:eastAsia="仿宋" w:cs="Times New Roman"/>
                <w:sz w:val="24"/>
                <w:szCs w:val="24"/>
                <w:lang w:val="en-US" w:eastAsia="zh-CN"/>
              </w:rPr>
              <w:t>的任务十分艰巨。</w:t>
            </w:r>
          </w:p>
        </w:tc>
      </w:tr>
      <w:tr w14:paraId="6A340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1BE78CA1">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w:t>
            </w:r>
            <w:r>
              <w:rPr>
                <w:rFonts w:hint="eastAsia" w:ascii="Times New Roman" w:hAnsi="Times New Roman" w:eastAsia="仿宋" w:cs="Times New Roman"/>
                <w:b/>
                <w:sz w:val="24"/>
                <w:szCs w:val="24"/>
                <w:lang w:val="en-US" w:eastAsia="zh-CN"/>
              </w:rPr>
              <w:t>资金到位与支出情况</w:t>
            </w:r>
            <w:r>
              <w:rPr>
                <w:rFonts w:hint="eastAsia" w:ascii="Times New Roman" w:hAnsi="Times New Roman" w:eastAsia="仿宋" w:cs="Times New Roman"/>
                <w:b/>
                <w:sz w:val="24"/>
                <w:szCs w:val="24"/>
              </w:rPr>
              <w:t>。</w:t>
            </w:r>
          </w:p>
        </w:tc>
      </w:tr>
      <w:tr w14:paraId="4FFA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1782DBF6">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行政审批服务管理局《关于对古县南垣乡东池及驼腰村以工代赈田间道路建设工程项目可行性研究报告的批复》（古审管审发〔2022〕18号），总投资及资金来源：本项目概算总投资216.06万元，其中：建筑安装工程费用192.63万元，工程建设其他费用13.14万元，基本预备费10.29万元。其中：省级财政衔接推进乡村振兴以工代赈资金196万元，剩余资金20.06万元由县财政配套解决。</w:t>
            </w:r>
          </w:p>
          <w:p w14:paraId="7C0FF8CA">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截止2022年12月31日，项目共计到位资金196.00万元。</w:t>
            </w:r>
          </w:p>
          <w:p w14:paraId="266801F2">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截止2022年12月31日，古县南垣乡东池及驼腰村以工代赈田间道路建设工程项目共计支出资金196.60万元（其中省级财政衔接推进乡村振兴以工代赈资金196万元，自筹0.90万元）。</w:t>
            </w:r>
          </w:p>
        </w:tc>
      </w:tr>
      <w:tr w14:paraId="025F0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3E9DCB81">
            <w:pPr>
              <w:spacing w:line="500" w:lineRule="exact"/>
              <w:ind w:firstLine="482" w:firstLineChars="200"/>
              <w:rPr>
                <w:rFonts w:ascii="Times New Roman" w:hAnsi="Times New Roman" w:eastAsia="仿宋" w:cs="Times New Roman"/>
                <w:b/>
                <w:sz w:val="24"/>
                <w:szCs w:val="24"/>
              </w:rPr>
            </w:pPr>
            <w:r>
              <w:rPr>
                <w:rFonts w:hint="eastAsia" w:ascii="仿宋" w:eastAsia="仿宋" w:cs="仿宋"/>
                <w:b/>
                <w:sz w:val="24"/>
                <w:szCs w:val="24"/>
              </w:rPr>
              <w:t>问题</w:t>
            </w:r>
            <w:r>
              <w:rPr>
                <w:rFonts w:hint="eastAsia" w:ascii="仿宋" w:eastAsia="仿宋" w:cs="仿宋"/>
                <w:b/>
                <w:sz w:val="24"/>
                <w:szCs w:val="24"/>
                <w:lang w:val="en-US" w:eastAsia="zh-CN"/>
              </w:rPr>
              <w:t>3</w:t>
            </w:r>
            <w:r>
              <w:rPr>
                <w:rFonts w:hint="eastAsia" w:ascii="仿宋" w:eastAsia="仿宋" w:cs="仿宋"/>
                <w:b/>
                <w:sz w:val="24"/>
                <w:szCs w:val="24"/>
              </w:rPr>
              <w:t>：请您简要介绍为保障项目的顺利实施所制定的制度、措施有哪些？</w:t>
            </w:r>
          </w:p>
        </w:tc>
      </w:tr>
      <w:tr w14:paraId="2C42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1C82E57B">
            <w:pPr>
              <w:spacing w:line="500" w:lineRule="exact"/>
              <w:ind w:firstLine="480" w:firstLineChars="200"/>
              <w:rPr>
                <w:rFonts w:ascii="Times New Roman" w:hAnsi="Times New Roman" w:eastAsia="仿宋" w:cs="Times New Roman"/>
                <w:sz w:val="24"/>
                <w:szCs w:val="24"/>
              </w:rPr>
            </w:pPr>
            <w:r>
              <w:rPr>
                <w:rFonts w:hint="eastAsia" w:ascii="仿宋" w:eastAsia="仿宋" w:cs="仿宋"/>
                <w:sz w:val="24"/>
                <w:szCs w:val="24"/>
                <w:lang w:eastAsia="zh-CN"/>
              </w:rPr>
              <w:t>古县南垣乡人民政府</w:t>
            </w:r>
            <w:r>
              <w:rPr>
                <w:rFonts w:hint="eastAsia" w:ascii="仿宋" w:eastAsia="仿宋" w:cs="仿宋"/>
                <w:sz w:val="24"/>
                <w:szCs w:val="24"/>
              </w:rPr>
              <w:t>结合区域发展实际情况，制定了相应项目管理制度、档案管理</w:t>
            </w:r>
            <w:r>
              <w:rPr>
                <w:rFonts w:hint="eastAsia" w:ascii="仿宋" w:eastAsia="仿宋" w:cs="仿宋"/>
                <w:sz w:val="24"/>
                <w:szCs w:val="24"/>
                <w:lang w:val="en-US" w:eastAsia="zh-CN"/>
              </w:rPr>
              <w:t>制度。</w:t>
            </w:r>
            <w:r>
              <w:rPr>
                <w:rFonts w:hint="eastAsia" w:ascii="仿宋" w:eastAsia="仿宋" w:cs="仿宋"/>
                <w:sz w:val="24"/>
                <w:szCs w:val="24"/>
              </w:rPr>
              <w:t>并严格按照财政资金使用要求，资金专款专用，相关财务票据的管理和使用都有严格要求，制定了《资金管理制度》、《票据管理制度》等相关财务制度，各项财务制度符合相关财务会计制度的规定，基本涵盖项目资金申请、分配、拨付、使用管理、专项资金的监督检查、预算管理、结算管理等各个环节。</w:t>
            </w:r>
          </w:p>
        </w:tc>
      </w:tr>
      <w:tr w14:paraId="4C208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7F69F3B6">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4</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14:paraId="25DF9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tcBorders>
              <w:top w:val="single" w:color="auto" w:sz="4" w:space="0"/>
              <w:left w:val="single" w:color="auto" w:sz="4" w:space="0"/>
              <w:bottom w:val="single" w:color="auto" w:sz="4" w:space="0"/>
              <w:right w:val="single" w:color="auto" w:sz="4" w:space="0"/>
            </w:tcBorders>
            <w:noWrap/>
            <w:vAlign w:val="center"/>
          </w:tcPr>
          <w:p w14:paraId="6BE57994">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行政审批服务管理局《关于对古县南垣乡东池及驼腰村以工代赈田间道路建设工程项目可行性研究报告的批复》（古审管审发〔2022〕18号），项目计划建设内容为：改建东池村和驼腰村（山头村组）5条田间道路，道路全长2.835km.东池村田间道路共3条支线，路线全长2.135km，其中：1.393km，支线2长0.424km，支线3长支线1长0.318km；驼腰村（山头村组）田间道路共2条支线，路线全长0.7km，其中，支线1长0.63Km，支线2长0.07Km。</w:t>
            </w:r>
          </w:p>
          <w:p w14:paraId="2167D58E">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2022年11月14日，建设单位古县南垣乡人民政府、监督单位古县发展和改革局、监理单位郑州众诚建设咨询有限公司、施工单位林奋建设有限公司联合签署《古县以工代赈项目验收表》，项目计划实施内容为：拟改建东池村和驼腰村5条田间道路，全长2.835km，设计路基宽4.5m，路面宽3.5m，包括路基、路面工程、错车道8处，挖除原水泥混凝土及砂砾垫层；项目实际完成内容为：完成建设长度3.0127Km，路面宽3.5米，错车道8处，符合设计要求。</w:t>
            </w:r>
          </w:p>
        </w:tc>
      </w:tr>
    </w:tbl>
    <w:p w14:paraId="73F9909B">
      <w:pPr>
        <w:pStyle w:val="7"/>
        <w:rPr>
          <w:rFonts w:ascii="仿宋" w:eastAsia="仿宋" w:cs="仿宋"/>
          <w:kern w:val="0"/>
          <w:sz w:val="28"/>
          <w:szCs w:val="28"/>
          <w:lang w:val="en-US" w:eastAsia="zh-CN"/>
        </w:rPr>
      </w:pP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4E1F8">
    <w:pPr>
      <w:pStyle w:val="13"/>
      <w:jc w:val="both"/>
    </w:pPr>
  </w:p>
  <w:p w14:paraId="3155B88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E9C7">
    <w:pPr>
      <w:pStyle w:val="13"/>
      <w:jc w:val="center"/>
    </w:pPr>
  </w:p>
  <w:p w14:paraId="5F93F972">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F81BB">
    <w:pPr>
      <w:pStyle w:val="13"/>
      <w:jc w:val="center"/>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114300" cy="131445"/>
              <wp:effectExtent l="0" t="0" r="0" b="0"/>
              <wp:wrapNone/>
              <wp:docPr id="1" name="_x0000_s4102"/>
              <wp:cNvGraphicFramePr/>
              <a:graphic xmlns:a="http://schemas.openxmlformats.org/drawingml/2006/main">
                <a:graphicData uri="http://schemas.microsoft.com/office/word/2010/wordprocessingShape">
                  <wps:wsp>
                    <wps:cNvSpPr/>
                    <wps:spPr>
                      <a:xfrm>
                        <a:off x="0" y="0"/>
                        <a:ext cx="114300" cy="131559"/>
                      </a:xfrm>
                      <a:prstGeom prst="rect">
                        <a:avLst/>
                      </a:prstGeom>
                      <a:noFill/>
                      <a:ln w="9525" cap="flat" cmpd="sng">
                        <a:noFill/>
                        <a:prstDash val="solid"/>
                        <a:miter/>
                      </a:ln>
                    </wps:spPr>
                    <wps:txbx>
                      <w:txbxContent>
                        <w:p w14:paraId="60AFA783">
                          <w:pPr>
                            <w:pStyle w:val="1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rect id="_x0000_s4102" o:spid="_x0000_s1026" o:spt="1" style="position:absolute;left:0pt;margin-top:0pt;height:10.35pt;width:9pt;mso-position-horizontal:center;mso-position-horizontal-relative:margin;mso-wrap-style:none;z-index:251659264;mso-width-relative:page;mso-height-relative:page;" filled="f" stroked="f" coordsize="21600,21600" o:gfxdata="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1pF6s0AAAAAMBAAAPAAAAAAAAAAEAIAAAACIAAABkcnMvZG93bnJldi54bWxQSwECFAAUAAAA&#10;CACHTuJA6l2HJPYBAAD1AwAADgAAAAAAAAABACAAAAAfAQAAZHJzL2Uyb0RvYy54bWxQSwUGAAAA&#10;AAYABgBZAQAAhwUAAAAA&#10;">
              <v:fill on="f" focussize="0,0"/>
              <v:stroke on="f" joinstyle="miter"/>
              <v:imagedata o:title=""/>
              <o:lock v:ext="edit" aspectratio="f"/>
              <v:textbox inset="0mm,0mm,0mm,0mm" style="mso-fit-shape-to-text:t;">
                <w:txbxContent>
                  <w:p w14:paraId="60AFA783">
                    <w:pPr>
                      <w:pStyle w:val="13"/>
                    </w:pPr>
                    <w:r>
                      <w:fldChar w:fldCharType="begin"/>
                    </w:r>
                    <w:r>
                      <w:instrText xml:space="preserve"> PAGE  \* MERGEFORMAT </w:instrText>
                    </w:r>
                    <w:r>
                      <w:fldChar w:fldCharType="separate"/>
                    </w:r>
                    <w:r>
                      <w:t>1</w:t>
                    </w:r>
                    <w:r>
                      <w:fldChar w:fldCharType="end"/>
                    </w:r>
                  </w:p>
                </w:txbxContent>
              </v:textbox>
            </v:rect>
          </w:pict>
        </mc:Fallback>
      </mc:AlternateContent>
    </w:r>
  </w:p>
  <w:p w14:paraId="07C263F7">
    <w:pPr>
      <w:pStyle w:val="13"/>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B53B9">
    <w:pPr>
      <w:pStyle w:val="13"/>
      <w:jc w:val="center"/>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114300" cy="131445"/>
              <wp:effectExtent l="0" t="0" r="0" b="0"/>
              <wp:wrapNone/>
              <wp:docPr id="7" name="_x0000_s4103"/>
              <wp:cNvGraphicFramePr/>
              <a:graphic xmlns:a="http://schemas.openxmlformats.org/drawingml/2006/main">
                <a:graphicData uri="http://schemas.microsoft.com/office/word/2010/wordprocessingShape">
                  <wps:wsp>
                    <wps:cNvSpPr/>
                    <wps:spPr>
                      <a:xfrm>
                        <a:off x="0" y="0"/>
                        <a:ext cx="114300" cy="131559"/>
                      </a:xfrm>
                      <a:prstGeom prst="rect">
                        <a:avLst/>
                      </a:prstGeom>
                      <a:noFill/>
                      <a:ln w="9525" cap="flat" cmpd="sng">
                        <a:noFill/>
                        <a:prstDash val="solid"/>
                        <a:miter/>
                      </a:ln>
                    </wps:spPr>
                    <wps:txbx>
                      <w:txbxContent>
                        <w:p w14:paraId="641BBD50">
                          <w:pPr>
                            <w:pStyle w:val="13"/>
                          </w:pPr>
                          <w:r>
                            <w:fldChar w:fldCharType="begin"/>
                          </w:r>
                          <w:r>
                            <w:instrText xml:space="preserve"> PAGE  \* MERGEFORMAT </w:instrText>
                          </w:r>
                          <w:r>
                            <w:fldChar w:fldCharType="separate"/>
                          </w:r>
                          <w:r>
                            <w:t>45</w:t>
                          </w:r>
                          <w:r>
                            <w:fldChar w:fldCharType="end"/>
                          </w:r>
                        </w:p>
                      </w:txbxContent>
                    </wps:txbx>
                    <wps:bodyPr vert="horz" wrap="none" lIns="0" tIns="0" rIns="0" bIns="0" anchor="t" anchorCtr="0" upright="1">
                      <a:spAutoFit/>
                    </wps:bodyPr>
                  </wps:wsp>
                </a:graphicData>
              </a:graphic>
            </wp:anchor>
          </w:drawing>
        </mc:Choice>
        <mc:Fallback>
          <w:pict>
            <v:rect id="_x0000_s4103" o:spid="_x0000_s1026" o:spt="1" style="position:absolute;left:0pt;margin-top:0pt;height:10.35pt;width:9pt;mso-position-horizontal:center;mso-position-horizontal-relative:margin;mso-wrap-style:none;z-index:251659264;mso-width-relative:page;mso-height-relative:page;" filled="f" stroked="f" coordsize="21600,21600" o:gfxdata="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WkXqzQAAAAAwEAAA8AAAAAAAAAAQAgAAAAIgAAAGRycy9kb3ducmV2LnhtbFBLAQIUABQA&#10;AAAIAIdO4kBKoT2A+AEAAPUDAAAOAAAAAAAAAAEAIAAAAB8BAABkcnMvZTJvRG9jLnhtbFBLBQYA&#10;AAAABgAGAFkBAACJBQAAAAA=&#10;">
              <v:fill on="f" focussize="0,0"/>
              <v:stroke on="f" joinstyle="miter"/>
              <v:imagedata o:title=""/>
              <o:lock v:ext="edit" aspectratio="f"/>
              <v:textbox inset="0mm,0mm,0mm,0mm" style="mso-fit-shape-to-text:t;">
                <w:txbxContent>
                  <w:p w14:paraId="641BBD50">
                    <w:pPr>
                      <w:pStyle w:val="13"/>
                    </w:pPr>
                    <w:r>
                      <w:fldChar w:fldCharType="begin"/>
                    </w:r>
                    <w:r>
                      <w:instrText xml:space="preserve"> PAGE  \* MERGEFORMAT </w:instrText>
                    </w:r>
                    <w:r>
                      <w:fldChar w:fldCharType="separate"/>
                    </w:r>
                    <w:r>
                      <w:t>45</w:t>
                    </w:r>
                    <w:r>
                      <w:fldChar w:fldCharType="end"/>
                    </w:r>
                  </w:p>
                </w:txbxContent>
              </v:textbox>
            </v:rect>
          </w:pict>
        </mc:Fallback>
      </mc:AlternateContent>
    </w:r>
  </w:p>
  <w:p w14:paraId="4DB5D1EC">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9030B">
    <w:pPr>
      <w:pStyle w:val="14"/>
      <w:pBdr>
        <w:bottom w:val="none" w:color="auto" w:sz="0" w:space="0"/>
      </w:pBd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5D63C">
    <w:pPr>
      <w:pStyle w:val="14"/>
      <w:pBdr>
        <w:bottom w:val="single" w:color="auto" w:sz="12" w:space="0"/>
      </w:pBdr>
      <w:jc w:val="center"/>
      <w:rPr>
        <w:rFonts w:hint="eastAsia" w:ascii="仿宋" w:eastAsia="仿宋" w:cs="仿宋"/>
        <w:b/>
        <w:bCs/>
      </w:rPr>
    </w:pPr>
    <w:r>
      <w:rPr>
        <w:rFonts w:hint="eastAsia" w:ascii="仿宋" w:eastAsia="仿宋" w:cs="仿宋"/>
        <w:b/>
        <w:bCs/>
        <w:lang w:eastAsia="zh-CN"/>
      </w:rPr>
      <w:t>古县南垣乡东池及驼腰村以工代赈田间道路建设工程项目支出绩效评价报告</w:t>
    </w:r>
  </w:p>
  <w:p w14:paraId="19A984D5">
    <w:pPr>
      <w:pStyle w:val="14"/>
      <w:pBdr>
        <w:bottom w:val="none" w:color="auto" w:sz="0" w:space="0"/>
      </w:pBdr>
      <w:rPr>
        <w:rFonts w:ascii="仿宋_GB2312"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0CEE4">
    <w:pPr>
      <w:pStyle w:val="14"/>
      <w:pBdr>
        <w:bottom w:val="single" w:color="auto" w:sz="12" w:space="0"/>
      </w:pBdr>
      <w:jc w:val="center"/>
      <w:rPr>
        <w:rFonts w:ascii="仿宋_GB2312" w:eastAsia="仿宋_GB2312"/>
      </w:rPr>
    </w:pPr>
    <w:r>
      <w:rPr>
        <w:rFonts w:hint="eastAsia" w:ascii="仿宋_GB2312" w:eastAsia="仿宋_GB2312"/>
        <w:lang w:eastAsia="zh-CN"/>
      </w:rPr>
      <w:t>古县岳阳镇西圪垛村以工代赈道路工程建设项目支出绩效评价报告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ulTrailSpace/>
    <w:doNotExpandShiftReturn/>
    <w:adjustLineHeightInTable/>
    <w:useFELayout/>
    <w:doNotUseIndentAsNumberingTabStop/>
    <w:useAltKinsokuLineBreakRules/>
    <w:splitPgBreakAndParaMark/>
    <w:compatSetting w:name="compatibilityMode" w:uri="http://schemas.microsoft.com/office/word" w:val="12"/>
  </w:compat>
  <w:docVars>
    <w:docVar w:name="commondata" w:val="eyJoZGlkIjoiNmQwYzlhYmVjYmUyMjYzYTI1ZjVhMWE5OTYzZmVlMmIifQ=="/>
  </w:docVars>
  <w:rsids>
    <w:rsidRoot w:val="00000000"/>
    <w:rsid w:val="2D036306"/>
    <w:rsid w:val="6E9D83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3">
    <w:name w:val="heading 2"/>
    <w:basedOn w:val="1"/>
    <w:next w:val="1"/>
    <w:qFormat/>
    <w:uiPriority w:val="0"/>
    <w:pPr>
      <w:keepNext/>
      <w:keepLines/>
      <w:widowControl w:val="0"/>
      <w:spacing w:before="260" w:after="260" w:line="415" w:lineRule="auto"/>
      <w:outlineLvl w:val="1"/>
    </w:pPr>
    <w:rPr>
      <w:rFonts w:ascii="Cambria" w:hAnsi="Cambria"/>
      <w:b/>
      <w:bCs/>
      <w:sz w:val="32"/>
      <w:szCs w:val="32"/>
    </w:rPr>
  </w:style>
  <w:style w:type="paragraph" w:styleId="4">
    <w:name w:val="heading 3"/>
    <w:basedOn w:val="1"/>
    <w:next w:val="1"/>
    <w:qFormat/>
    <w:uiPriority w:val="0"/>
    <w:pPr>
      <w:keepNext/>
      <w:keepLines/>
      <w:widowControl w:val="0"/>
      <w:spacing w:before="260" w:after="260" w:line="415" w:lineRule="auto"/>
      <w:outlineLvl w:val="2"/>
    </w:pPr>
    <w:rPr>
      <w:rFonts w:ascii="Times New Roman" w:hAnsi="Times New Roman"/>
      <w:b/>
      <w:bCs/>
      <w:kern w:val="0"/>
      <w:sz w:val="32"/>
      <w:szCs w:val="32"/>
    </w:rPr>
  </w:style>
  <w:style w:type="character" w:default="1" w:styleId="22">
    <w:name w:val="Default Paragraph Font"/>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5">
    <w:name w:val="Document Map"/>
    <w:basedOn w:val="1"/>
    <w:qFormat/>
    <w:uiPriority w:val="0"/>
    <w:rPr>
      <w:rFonts w:ascii="宋体"/>
      <w:sz w:val="18"/>
      <w:szCs w:val="18"/>
    </w:rPr>
  </w:style>
  <w:style w:type="paragraph" w:styleId="6">
    <w:name w:val="annotation text"/>
    <w:basedOn w:val="1"/>
    <w:qFormat/>
    <w:uiPriority w:val="0"/>
    <w:pPr>
      <w:jc w:val="left"/>
    </w:pPr>
    <w:rPr>
      <w:kern w:val="0"/>
      <w:sz w:val="24"/>
    </w:rPr>
  </w:style>
  <w:style w:type="paragraph" w:styleId="7">
    <w:name w:val="Body Text"/>
    <w:basedOn w:val="1"/>
    <w:next w:val="1"/>
    <w:qFormat/>
    <w:uiPriority w:val="0"/>
    <w:pPr>
      <w:ind w:left="206"/>
      <w:jc w:val="left"/>
    </w:pPr>
    <w:rPr>
      <w:rFonts w:ascii="宋体"/>
      <w:kern w:val="0"/>
      <w:sz w:val="18"/>
      <w:szCs w:val="18"/>
    </w:rPr>
  </w:style>
  <w:style w:type="paragraph" w:styleId="8">
    <w:name w:val="Body Text Indent"/>
    <w:basedOn w:val="1"/>
    <w:qFormat/>
    <w:uiPriority w:val="0"/>
    <w:pPr>
      <w:spacing w:after="120"/>
      <w:ind w:left="200" w:leftChars="200"/>
    </w:pPr>
  </w:style>
  <w:style w:type="paragraph" w:styleId="9">
    <w:name w:val="toc 3"/>
    <w:basedOn w:val="1"/>
    <w:next w:val="1"/>
    <w:qFormat/>
    <w:uiPriority w:val="0"/>
    <w:pPr>
      <w:widowControl/>
      <w:spacing w:after="100" w:line="276" w:lineRule="auto"/>
      <w:ind w:left="440"/>
      <w:jc w:val="left"/>
    </w:pPr>
    <w:rPr>
      <w:kern w:val="0"/>
      <w:sz w:val="22"/>
      <w:szCs w:val="22"/>
    </w:rPr>
  </w:style>
  <w:style w:type="paragraph" w:styleId="10">
    <w:name w:val="Plain Text"/>
    <w:basedOn w:val="1"/>
    <w:qFormat/>
    <w:uiPriority w:val="0"/>
    <w:rPr>
      <w:rFonts w:ascii="宋体"/>
      <w:kern w:val="0"/>
      <w:szCs w:val="21"/>
    </w:rPr>
  </w:style>
  <w:style w:type="paragraph" w:styleId="11">
    <w:name w:val="Date"/>
    <w:basedOn w:val="1"/>
    <w:next w:val="1"/>
    <w:qFormat/>
    <w:uiPriority w:val="0"/>
    <w:pPr>
      <w:ind w:left="2500" w:leftChars="2500"/>
    </w:pPr>
    <w:rPr>
      <w:szCs w:val="22"/>
    </w:rPr>
  </w:style>
  <w:style w:type="paragraph" w:styleId="12">
    <w:name w:val="Balloon Text"/>
    <w:basedOn w:val="1"/>
    <w:qFormat/>
    <w:uiPriority w:val="0"/>
    <w:rPr>
      <w:kern w:val="0"/>
      <w:sz w:val="18"/>
      <w:szCs w:val="18"/>
    </w:rPr>
  </w:style>
  <w:style w:type="paragraph" w:styleId="13">
    <w:name w:val="footer"/>
    <w:basedOn w:val="1"/>
    <w:qFormat/>
    <w:uiPriority w:val="0"/>
    <w:pPr>
      <w:tabs>
        <w:tab w:val="center" w:pos="4153"/>
        <w:tab w:val="right" w:pos="8306"/>
      </w:tabs>
      <w:snapToGrid w:val="0"/>
      <w:jc w:val="left"/>
    </w:pPr>
    <w:rPr>
      <w:kern w:val="0"/>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0"/>
    <w:pPr>
      <w:widowControl/>
      <w:spacing w:after="100" w:line="276" w:lineRule="auto"/>
      <w:jc w:val="left"/>
    </w:pPr>
    <w:rPr>
      <w:kern w:val="0"/>
      <w:sz w:val="22"/>
      <w:szCs w:val="22"/>
    </w:rPr>
  </w:style>
  <w:style w:type="paragraph" w:styleId="16">
    <w:name w:val="toc 2"/>
    <w:basedOn w:val="1"/>
    <w:next w:val="1"/>
    <w:qFormat/>
    <w:uiPriority w:val="0"/>
    <w:pPr>
      <w:widowControl/>
      <w:spacing w:after="100" w:line="276" w:lineRule="auto"/>
      <w:ind w:left="220"/>
      <w:jc w:val="left"/>
    </w:pPr>
    <w:rPr>
      <w:kern w:val="0"/>
      <w:sz w:val="22"/>
      <w:szCs w:val="22"/>
    </w:rPr>
  </w:style>
  <w:style w:type="paragraph" w:styleId="17">
    <w:name w:val="Normal (Web)"/>
    <w:basedOn w:val="1"/>
    <w:qFormat/>
    <w:uiPriority w:val="0"/>
    <w:pPr>
      <w:jc w:val="left"/>
    </w:pPr>
    <w:rPr>
      <w:kern w:val="0"/>
      <w:sz w:val="24"/>
      <w:szCs w:val="22"/>
    </w:rPr>
  </w:style>
  <w:style w:type="paragraph" w:styleId="18">
    <w:name w:val="Title"/>
    <w:basedOn w:val="1"/>
    <w:next w:val="1"/>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6"/>
    <w:next w:val="6"/>
    <w:qFormat/>
    <w:uiPriority w:val="0"/>
    <w:rPr>
      <w:b/>
      <w:bCs/>
    </w:rPr>
  </w:style>
  <w:style w:type="paragraph" w:styleId="20">
    <w:name w:val="Body Text First Indent 2"/>
    <w:basedOn w:val="8"/>
    <w:qFormat/>
    <w:uiPriority w:val="0"/>
    <w:pPr>
      <w:ind w:firstLine="200" w:firstLineChars="200"/>
    </w:pPr>
  </w:style>
  <w:style w:type="character" w:styleId="23">
    <w:name w:val="Hyperlink"/>
    <w:qFormat/>
    <w:uiPriority w:val="0"/>
    <w:rPr>
      <w:rFonts w:cs="Times New Roman"/>
      <w:color w:val="0000FF"/>
      <w:u w:val="single"/>
    </w:rPr>
  </w:style>
  <w:style w:type="character" w:styleId="24">
    <w:name w:val="annotation reference"/>
    <w:qFormat/>
    <w:uiPriority w:val="0"/>
    <w:rPr>
      <w:rFonts w:cs="Times New Roman"/>
      <w:sz w:val="21"/>
      <w:szCs w:val="21"/>
    </w:rPr>
  </w:style>
  <w:style w:type="character" w:customStyle="1" w:styleId="25">
    <w:name w:val="标题 Char"/>
    <w:qFormat/>
    <w:uiPriority w:val="0"/>
    <w:rPr>
      <w:rFonts w:ascii="Cambria" w:hAnsi="Cambria" w:eastAsia="宋体" w:cs="Times New Roman"/>
      <w:b/>
      <w:bCs/>
      <w:sz w:val="32"/>
      <w:szCs w:val="32"/>
    </w:rPr>
  </w:style>
  <w:style w:type="paragraph" w:customStyle="1" w:styleId="26">
    <w:name w:val="列出段落1"/>
    <w:basedOn w:val="1"/>
    <w:qFormat/>
    <w:uiPriority w:val="0"/>
    <w:pPr>
      <w:widowControl/>
      <w:spacing w:after="200" w:line="276" w:lineRule="auto"/>
      <w:ind w:firstLine="200" w:firstLineChars="200"/>
      <w:jc w:val="left"/>
    </w:pPr>
    <w:rPr>
      <w:rFonts w:ascii="Times New Roman" w:hAnsi="Times New Roman"/>
      <w:kern w:val="0"/>
      <w:sz w:val="28"/>
      <w:szCs w:val="22"/>
    </w:rPr>
  </w:style>
  <w:style w:type="character" w:customStyle="1" w:styleId="27">
    <w:name w:val="font01"/>
    <w:qFormat/>
    <w:uiPriority w:val="0"/>
    <w:rPr>
      <w:rFonts w:ascii="Symbol" w:hAnsi="Symbol" w:cs="Times New Roman"/>
      <w:color w:val="000000"/>
      <w:sz w:val="24"/>
      <w:szCs w:val="24"/>
      <w:u w:val="none"/>
    </w:rPr>
  </w:style>
  <w:style w:type="character" w:customStyle="1" w:styleId="28">
    <w:name w:val="font11"/>
    <w:qFormat/>
    <w:uiPriority w:val="0"/>
    <w:rPr>
      <w:rFonts w:ascii="仿宋" w:eastAsia="仿宋" w:cs="Times New Roman"/>
      <w:color w:val="000000"/>
      <w:sz w:val="24"/>
      <w:szCs w:val="24"/>
      <w:u w:val="none"/>
    </w:rPr>
  </w:style>
  <w:style w:type="character" w:customStyle="1" w:styleId="29">
    <w:name w:val="font31"/>
    <w:qFormat/>
    <w:uiPriority w:val="0"/>
    <w:rPr>
      <w:rFonts w:ascii="宋体" w:eastAsia="宋体" w:cs="Times New Roman"/>
      <w:color w:val="000000"/>
      <w:sz w:val="24"/>
      <w:szCs w:val="24"/>
      <w:u w:val="none"/>
    </w:rPr>
  </w:style>
  <w:style w:type="paragraph" w:customStyle="1" w:styleId="30">
    <w:name w:val="TOC 标题1"/>
    <w:basedOn w:val="2"/>
    <w:next w:val="1"/>
    <w:qFormat/>
    <w:uiPriority w:val="0"/>
    <w:pPr>
      <w:keepNext/>
      <w:keepLines/>
      <w:widowControl/>
      <w:spacing w:before="480" w:after="0" w:line="276" w:lineRule="auto"/>
      <w:jc w:val="left"/>
      <w:outlineLvl w:val="9"/>
    </w:pPr>
    <w:rPr>
      <w:rFonts w:ascii="Cambria" w:hAnsi="Cambria"/>
      <w:color w:val="365F91"/>
      <w:kern w:val="0"/>
      <w:sz w:val="28"/>
      <w:szCs w:val="28"/>
    </w:rPr>
  </w:style>
  <w:style w:type="paragraph" w:customStyle="1" w:styleId="31">
    <w:name w:val="正文1"/>
    <w:basedOn w:val="1"/>
    <w:qFormat/>
    <w:uiPriority w:val="0"/>
    <w:pPr>
      <w:widowControl/>
      <w:spacing w:after="200" w:line="480" w:lineRule="auto"/>
      <w:ind w:firstLine="200" w:firstLineChars="200"/>
      <w:jc w:val="left"/>
    </w:pPr>
    <w:rPr>
      <w:rFonts w:ascii="Times New Roman" w:hAnsi="Times New Roman" w:eastAsia="仿宋"/>
      <w:kern w:val="0"/>
      <w:sz w:val="28"/>
      <w:szCs w:val="22"/>
      <w:lang w:bidi="en-US"/>
    </w:rPr>
  </w:style>
  <w:style w:type="paragraph" w:customStyle="1" w:styleId="32">
    <w:name w:val="修订1"/>
    <w:qFormat/>
    <w:uiPriority w:val="0"/>
    <w:rPr>
      <w:rFonts w:ascii="Calibri" w:hAnsi="Calibri" w:eastAsia="宋体" w:cs="Times New Roman"/>
      <w:kern w:val="2"/>
      <w:sz w:val="21"/>
      <w:szCs w:val="24"/>
      <w:lang w:val="en-US" w:eastAsia="zh-CN" w:bidi="ar-SA"/>
    </w:rPr>
  </w:style>
  <w:style w:type="character" w:customStyle="1" w:styleId="33">
    <w:name w:val="font21"/>
    <w:basedOn w:val="22"/>
    <w:qFormat/>
    <w:uiPriority w:val="0"/>
    <w:rPr>
      <w:rFonts w:ascii="Arial Narrow" w:hAnsi="Arial Narrow"/>
      <w:color w:val="000000"/>
      <w:sz w:val="20"/>
      <w:szCs w:val="20"/>
      <w:u w:val="none"/>
    </w:rPr>
  </w:style>
  <w:style w:type="character" w:customStyle="1" w:styleId="34">
    <w:name w:val="font61"/>
    <w:basedOn w:val="22"/>
    <w:qFormat/>
    <w:uiPriority w:val="0"/>
    <w:rPr>
      <w:color w:val="000000"/>
      <w:sz w:val="20"/>
      <w:szCs w:val="20"/>
      <w:u w:val="none"/>
    </w:rPr>
  </w:style>
  <w:style w:type="paragraph" w:customStyle="1" w:styleId="35">
    <w:name w:val="闻政正文"/>
    <w:basedOn w:val="1"/>
    <w:qFormat/>
    <w:uiPriority w:val="0"/>
    <w:pPr>
      <w:spacing w:line="500" w:lineRule="exact"/>
      <w:ind w:firstLine="200" w:firstLineChars="200"/>
    </w:pPr>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57</Pages>
  <Words>13463</Words>
  <Characters>14374</Characters>
  <Lines>1772</Lines>
  <Paragraphs>897</Paragraphs>
  <TotalTime>2</TotalTime>
  <ScaleCrop>false</ScaleCrop>
  <LinksUpToDate>false</LinksUpToDate>
  <CharactersWithSpaces>14424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山海相逢</cp:lastModifiedBy>
  <cp:lastPrinted>2018-12-10T18:43:00Z</cp:lastPrinted>
  <dcterms:modified xsi:type="dcterms:W3CDTF">2025-02-19T01:22:25Z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A78AEAB943C64D3BA39C19376C3B05F5</vt:lpwstr>
  </property>
  <property fmtid="{D5CDD505-2E9C-101B-9397-08002B2CF9AE}" pid="4" name="KSOTemplateDocerSaveRecord">
    <vt:lpwstr>eyJoZGlkIjoiYjQwZTFiN2U1NDg2OTc0NjkzOTlhODk1NzU3Y2Q2ZjYiLCJ1c2VySWQiOiI3NzUzODU0MTUifQ==</vt:lpwstr>
  </property>
</Properties>
</file>