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ind w:left="0" w:leftChars="0" w:firstLine="0" w:firstLineChars="0"/>
        <w:jc w:val="both"/>
        <w:rPr>
          <w:rFonts w:ascii="仿宋_GB2312" w:hAnsi="仿宋_GB2312" w:cs="仿宋_GB2312"/>
          <w:b/>
          <w:sz w:val="44"/>
          <w:szCs w:val="44"/>
        </w:rPr>
      </w:pPr>
    </w:p>
    <w:p>
      <w:pPr>
        <w:pStyle w:val="7"/>
        <w:rPr>
          <w:rFonts w:hint="eastAsia" w:ascii="黑体" w:hAnsi="黑体" w:eastAsia="黑体" w:cs="黑体"/>
        </w:rPr>
      </w:pPr>
    </w:p>
    <w:p>
      <w:pPr>
        <w:autoSpaceDE w:val="0"/>
        <w:autoSpaceDN w:val="0"/>
        <w:adjustRightInd w:val="0"/>
        <w:spacing w:line="660" w:lineRule="exact"/>
        <w:ind w:firstLine="0" w:firstLineChars="0"/>
        <w:jc w:val="center"/>
        <w:rPr>
          <w:rFonts w:hint="eastAsia" w:ascii="黑体" w:hAnsi="黑体" w:eastAsia="黑体" w:cs="黑体"/>
          <w:b w:val="0"/>
          <w:bCs/>
          <w:sz w:val="44"/>
          <w:szCs w:val="44"/>
        </w:rPr>
      </w:pPr>
      <w:r>
        <w:rPr>
          <w:rFonts w:hint="eastAsia" w:ascii="黑体" w:hAnsi="黑体" w:eastAsia="黑体" w:cs="黑体"/>
          <w:b w:val="0"/>
          <w:bCs/>
          <w:sz w:val="44"/>
          <w:szCs w:val="44"/>
          <w:lang w:val="en-US" w:eastAsia="zh-CN"/>
        </w:rPr>
        <w:t>古县2022年农机具购置补贴项目</w:t>
      </w:r>
      <w:r>
        <w:rPr>
          <w:rFonts w:hint="eastAsia" w:ascii="黑体" w:hAnsi="黑体" w:eastAsia="黑体" w:cs="黑体"/>
          <w:b w:val="0"/>
          <w:bCs/>
          <w:sz w:val="44"/>
          <w:szCs w:val="44"/>
        </w:rPr>
        <w:t>支出</w:t>
      </w:r>
    </w:p>
    <w:p>
      <w:pPr>
        <w:autoSpaceDE w:val="0"/>
        <w:autoSpaceDN w:val="0"/>
        <w:adjustRightInd w:val="0"/>
        <w:spacing w:line="660" w:lineRule="exact"/>
        <w:ind w:firstLine="0" w:firstLineChars="0"/>
        <w:jc w:val="center"/>
        <w:rPr>
          <w:rFonts w:hint="eastAsia" w:ascii="黑体" w:hAnsi="黑体" w:eastAsia="黑体" w:cs="黑体"/>
          <w:b w:val="0"/>
          <w:bCs/>
          <w:kern w:val="0"/>
          <w:sz w:val="44"/>
          <w:szCs w:val="44"/>
        </w:rPr>
      </w:pPr>
      <w:r>
        <w:rPr>
          <w:rFonts w:hint="eastAsia" w:ascii="黑体" w:hAnsi="黑体" w:eastAsia="黑体" w:cs="黑体"/>
          <w:b w:val="0"/>
          <w:bCs/>
          <w:sz w:val="44"/>
          <w:szCs w:val="44"/>
        </w:rPr>
        <w:t>绩效评价报告</w:t>
      </w:r>
    </w:p>
    <w:p>
      <w:pPr>
        <w:spacing w:line="574" w:lineRule="exact"/>
        <w:ind w:right="618" w:firstLine="964" w:firstLineChars="300"/>
        <w:jc w:val="left"/>
        <w:rPr>
          <w:rFonts w:hint="eastAsia" w:ascii="黑体" w:hAnsi="黑体" w:eastAsia="黑体" w:cs="黑体"/>
          <w:b/>
          <w:bCs/>
          <w:szCs w:val="32"/>
        </w:rPr>
      </w:pPr>
    </w:p>
    <w:p>
      <w:pPr>
        <w:pStyle w:val="7"/>
        <w:rPr>
          <w:rFonts w:hint="eastAsia" w:ascii="黑体" w:hAnsi="黑体" w:eastAsia="黑体" w:cs="黑体"/>
        </w:rPr>
      </w:pPr>
    </w:p>
    <w:p>
      <w:pPr>
        <w:ind w:left="0" w:leftChars="0" w:right="618" w:firstLine="0" w:firstLineChars="0"/>
        <w:jc w:val="left"/>
        <w:rPr>
          <w:rFonts w:hint="eastAsia" w:ascii="黑体" w:hAnsi="黑体" w:eastAsia="黑体" w:cs="黑体"/>
          <w:b w:val="0"/>
          <w:bCs w:val="0"/>
          <w:szCs w:val="32"/>
        </w:rPr>
      </w:pPr>
    </w:p>
    <w:p>
      <w:pPr>
        <w:ind w:left="0" w:leftChars="0" w:right="618" w:firstLine="0" w:firstLineChars="0"/>
        <w:jc w:val="left"/>
        <w:rPr>
          <w:rFonts w:hint="eastAsia" w:ascii="黑体" w:hAnsi="黑体" w:eastAsia="黑体" w:cs="黑体"/>
          <w:b w:val="0"/>
          <w:bCs w:val="0"/>
          <w:szCs w:val="32"/>
        </w:rPr>
      </w:pPr>
    </w:p>
    <w:p>
      <w:pPr>
        <w:ind w:left="0" w:leftChars="0" w:right="618" w:firstLine="0" w:firstLineChars="0"/>
        <w:jc w:val="left"/>
        <w:rPr>
          <w:rFonts w:hint="eastAsia" w:ascii="黑体" w:hAnsi="黑体" w:eastAsia="黑体" w:cs="黑体"/>
          <w:b w:val="0"/>
          <w:bCs w:val="0"/>
          <w:szCs w:val="32"/>
        </w:rPr>
      </w:pPr>
      <w:r>
        <w:rPr>
          <w:rFonts w:hint="eastAsia" w:ascii="黑体" w:hAnsi="黑体" w:eastAsia="黑体" w:cs="黑体"/>
          <w:b w:val="0"/>
          <w:bCs w:val="0"/>
          <w:szCs w:val="32"/>
        </w:rPr>
        <w:t>委托单位：</w:t>
      </w:r>
      <w:r>
        <w:rPr>
          <w:rFonts w:hint="eastAsia" w:ascii="黑体" w:hAnsi="黑体" w:eastAsia="黑体" w:cs="黑体"/>
          <w:b w:val="0"/>
          <w:bCs w:val="0"/>
          <w:szCs w:val="32"/>
          <w:lang w:eastAsia="zh-CN"/>
        </w:rPr>
        <w:t>古县财政局</w:t>
      </w:r>
    </w:p>
    <w:p>
      <w:pPr>
        <w:ind w:left="0" w:leftChars="0" w:right="618" w:firstLine="0" w:firstLineChars="0"/>
        <w:jc w:val="left"/>
        <w:rPr>
          <w:rFonts w:hint="eastAsia" w:ascii="黑体" w:hAnsi="黑体" w:eastAsia="黑体" w:cs="黑体"/>
          <w:b w:val="0"/>
          <w:bCs w:val="0"/>
          <w:szCs w:val="32"/>
          <w:lang w:val="en-US" w:eastAsia="zh-CN"/>
        </w:rPr>
      </w:pPr>
      <w:r>
        <w:rPr>
          <w:rFonts w:hint="eastAsia" w:ascii="黑体" w:hAnsi="黑体" w:eastAsia="黑体" w:cs="黑体"/>
          <w:b w:val="0"/>
          <w:bCs w:val="0"/>
          <w:szCs w:val="32"/>
        </w:rPr>
        <w:t>主管单位：</w:t>
      </w:r>
      <w:r>
        <w:rPr>
          <w:rFonts w:hint="eastAsia" w:ascii="黑体" w:hAnsi="黑体" w:eastAsia="黑体" w:cs="黑体"/>
          <w:b w:val="0"/>
          <w:bCs w:val="0"/>
          <w:szCs w:val="32"/>
          <w:lang w:eastAsia="zh-CN"/>
        </w:rPr>
        <w:t>古县</w:t>
      </w:r>
      <w:r>
        <w:rPr>
          <w:rFonts w:hint="eastAsia" w:ascii="黑体" w:hAnsi="黑体" w:eastAsia="黑体" w:cs="黑体"/>
          <w:b w:val="0"/>
          <w:bCs w:val="0"/>
          <w:szCs w:val="32"/>
          <w:lang w:val="en-US" w:eastAsia="zh-CN"/>
        </w:rPr>
        <w:t>农业农村局</w:t>
      </w:r>
    </w:p>
    <w:p>
      <w:pPr>
        <w:ind w:left="0" w:leftChars="0" w:right="618" w:firstLine="0" w:firstLineChars="0"/>
        <w:jc w:val="left"/>
        <w:rPr>
          <w:rFonts w:hint="eastAsia" w:ascii="黑体" w:hAnsi="黑体" w:eastAsia="黑体" w:cs="黑体"/>
          <w:b w:val="0"/>
          <w:bCs w:val="0"/>
          <w:szCs w:val="32"/>
          <w:lang w:val="en-US"/>
        </w:rPr>
      </w:pPr>
      <w:r>
        <w:rPr>
          <w:rFonts w:hint="eastAsia" w:ascii="黑体" w:hAnsi="黑体" w:eastAsia="黑体" w:cs="黑体"/>
          <w:b w:val="0"/>
          <w:bCs w:val="0"/>
          <w:szCs w:val="32"/>
        </w:rPr>
        <w:t>实施单位：</w:t>
      </w:r>
      <w:r>
        <w:rPr>
          <w:rFonts w:hint="eastAsia" w:ascii="黑体" w:hAnsi="黑体" w:eastAsia="黑体" w:cs="黑体"/>
          <w:b w:val="0"/>
          <w:bCs w:val="0"/>
          <w:szCs w:val="32"/>
          <w:lang w:val="en-US" w:eastAsia="zh-CN"/>
        </w:rPr>
        <w:t xml:space="preserve">古县农业农村局  </w:t>
      </w:r>
    </w:p>
    <w:p>
      <w:pPr>
        <w:ind w:left="0" w:leftChars="0" w:right="618" w:firstLine="0" w:firstLineChars="0"/>
        <w:jc w:val="left"/>
        <w:rPr>
          <w:rFonts w:hint="eastAsia" w:ascii="黑体" w:hAnsi="黑体" w:eastAsia="黑体" w:cs="黑体"/>
          <w:b w:val="0"/>
          <w:bCs w:val="0"/>
          <w:szCs w:val="32"/>
          <w:lang w:eastAsia="zh-CN"/>
        </w:rPr>
      </w:pPr>
      <w:r>
        <w:rPr>
          <w:rFonts w:hint="eastAsia" w:ascii="黑体" w:hAnsi="黑体" w:eastAsia="黑体" w:cs="黑体"/>
          <w:b w:val="0"/>
          <w:bCs w:val="0"/>
          <w:szCs w:val="32"/>
        </w:rPr>
        <w:t>评价机构：</w:t>
      </w:r>
      <w:r>
        <w:rPr>
          <w:rFonts w:hint="eastAsia" w:ascii="黑体" w:hAnsi="黑体" w:eastAsia="黑体" w:cs="黑体"/>
          <w:b w:val="0"/>
          <w:bCs w:val="0"/>
          <w:szCs w:val="32"/>
          <w:lang w:eastAsia="zh-CN"/>
        </w:rPr>
        <w:t>山西恒信资产评估事务所（普通合伙）</w:t>
      </w:r>
    </w:p>
    <w:p>
      <w:pPr>
        <w:ind w:left="0" w:leftChars="0" w:right="618" w:firstLine="0" w:firstLineChars="0"/>
        <w:jc w:val="left"/>
        <w:rPr>
          <w:rFonts w:hint="eastAsia" w:ascii="黑体" w:hAnsi="黑体" w:eastAsia="黑体" w:cs="黑体"/>
          <w:b w:val="0"/>
          <w:bCs w:val="0"/>
          <w:szCs w:val="32"/>
          <w:lang w:val="en-US" w:eastAsia="zh-CN"/>
        </w:rPr>
      </w:pPr>
      <w:r>
        <w:rPr>
          <w:rFonts w:hint="eastAsia" w:ascii="黑体" w:hAnsi="黑体" w:eastAsia="黑体" w:cs="黑体"/>
          <w:b w:val="0"/>
          <w:bCs w:val="0"/>
          <w:szCs w:val="32"/>
        </w:rPr>
        <w:t>主 评 人：</w:t>
      </w:r>
      <w:r>
        <w:rPr>
          <w:rFonts w:hint="eastAsia" w:ascii="黑体" w:hAnsi="黑体" w:eastAsia="黑体" w:cs="黑体"/>
          <w:b w:val="0"/>
          <w:bCs w:val="0"/>
          <w:szCs w:val="32"/>
          <w:lang w:val="en-US" w:eastAsia="zh-CN"/>
        </w:rPr>
        <w:t>王荣</w:t>
      </w:r>
    </w:p>
    <w:p>
      <w:pPr>
        <w:pStyle w:val="2"/>
        <w:rPr>
          <w:rFonts w:hint="eastAsia" w:ascii="黑体" w:hAnsi="黑体" w:eastAsia="黑体" w:cs="黑体"/>
          <w:b w:val="0"/>
          <w:bCs w:val="0"/>
          <w:szCs w:val="32"/>
          <w:lang w:val="en-US" w:eastAsia="zh-CN"/>
        </w:rPr>
      </w:pPr>
    </w:p>
    <w:p>
      <w:pPr>
        <w:rPr>
          <w:rFonts w:hint="eastAsia" w:ascii="黑体" w:hAnsi="黑体" w:eastAsia="黑体" w:cs="黑体"/>
          <w:b w:val="0"/>
          <w:bCs w:val="0"/>
          <w:szCs w:val="32"/>
          <w:lang w:val="en-US" w:eastAsia="zh-CN"/>
        </w:rPr>
      </w:pPr>
    </w:p>
    <w:p>
      <w:pPr>
        <w:pStyle w:val="2"/>
        <w:rPr>
          <w:rFonts w:hint="eastAsia"/>
          <w:lang w:val="en-US" w:eastAsia="zh-CN"/>
        </w:rPr>
      </w:pPr>
    </w:p>
    <w:p>
      <w:pPr>
        <w:ind w:left="0" w:leftChars="0" w:right="618" w:firstLine="0" w:firstLineChars="0"/>
        <w:jc w:val="center"/>
        <w:rPr>
          <w:rFonts w:hint="eastAsia" w:ascii="黑体" w:hAnsi="黑体" w:eastAsia="黑体" w:cs="黑体"/>
          <w:b w:val="0"/>
          <w:bCs w:val="0"/>
          <w:szCs w:val="32"/>
        </w:rPr>
      </w:pPr>
      <w:r>
        <w:rPr>
          <w:rFonts w:hint="eastAsia" w:ascii="黑体" w:hAnsi="黑体" w:eastAsia="黑体" w:cs="黑体"/>
          <w:b w:val="0"/>
          <w:bCs w:val="0"/>
          <w:szCs w:val="32"/>
        </w:rPr>
        <w:t>二〇二</w:t>
      </w:r>
      <w:r>
        <w:rPr>
          <w:rFonts w:hint="eastAsia" w:ascii="黑体" w:hAnsi="黑体" w:eastAsia="黑体" w:cs="黑体"/>
          <w:b w:val="0"/>
          <w:bCs w:val="0"/>
          <w:szCs w:val="32"/>
          <w:lang w:val="en-US" w:eastAsia="zh-CN"/>
        </w:rPr>
        <w:t>三</w:t>
      </w:r>
      <w:r>
        <w:rPr>
          <w:rFonts w:hint="eastAsia" w:ascii="黑体" w:hAnsi="黑体" w:eastAsia="黑体" w:cs="黑体"/>
          <w:b w:val="0"/>
          <w:bCs w:val="0"/>
          <w:szCs w:val="32"/>
        </w:rPr>
        <w:t>年</w:t>
      </w:r>
      <w:r>
        <w:rPr>
          <w:rFonts w:hint="eastAsia" w:ascii="黑体" w:hAnsi="黑体" w:eastAsia="黑体" w:cs="黑体"/>
          <w:b w:val="0"/>
          <w:bCs w:val="0"/>
          <w:szCs w:val="32"/>
          <w:lang w:val="en-US" w:eastAsia="zh-CN"/>
        </w:rPr>
        <w:t>十一</w:t>
      </w:r>
      <w:r>
        <w:rPr>
          <w:rFonts w:hint="eastAsia" w:ascii="黑体" w:hAnsi="黑体" w:eastAsia="黑体" w:cs="黑体"/>
          <w:b w:val="0"/>
          <w:bCs w:val="0"/>
          <w:szCs w:val="32"/>
        </w:rPr>
        <w:t>月</w:t>
      </w:r>
    </w:p>
    <w:p>
      <w:pPr>
        <w:rPr>
          <w:rFonts w:hint="eastAsia" w:ascii="黑体" w:hAnsi="黑体" w:eastAsia="黑体" w:cs="黑体"/>
          <w:b w:val="0"/>
          <w:bCs w:val="0"/>
          <w:szCs w:val="32"/>
        </w:rPr>
      </w:pPr>
      <w:r>
        <w:rPr>
          <w:rFonts w:hint="eastAsia" w:ascii="黑体" w:hAnsi="黑体" w:eastAsia="黑体" w:cs="黑体"/>
          <w:b w:val="0"/>
          <w:bCs w:val="0"/>
          <w:szCs w:val="32"/>
        </w:rPr>
        <w:br w:type="page"/>
      </w:r>
    </w:p>
    <w:p>
      <w:pPr>
        <w:pStyle w:val="15"/>
        <w:rPr>
          <w:rStyle w:val="29"/>
          <w:rFonts w:ascii="黑体" w:hAnsi="黑体" w:eastAsia="黑体" w:cs="仿宋_GB2312"/>
          <w:b w:val="0"/>
          <w:sz w:val="44"/>
          <w:szCs w:val="44"/>
        </w:rPr>
      </w:pPr>
      <w:r>
        <w:rPr>
          <w:rStyle w:val="29"/>
          <w:rFonts w:hint="eastAsia" w:ascii="黑体" w:hAnsi="黑体" w:eastAsia="黑体" w:cs="仿宋_GB2312"/>
          <w:b w:val="0"/>
          <w:sz w:val="44"/>
          <w:szCs w:val="44"/>
        </w:rPr>
        <w:t>目   录</w:t>
      </w:r>
    </w:p>
    <w:p>
      <w:pPr>
        <w:pStyle w:val="15"/>
        <w:rPr>
          <w:rFonts w:ascii="Times New Roman" w:hAnsi="Times New Roman"/>
          <w:b w:val="0"/>
          <w:bCs/>
          <w:sz w:val="22"/>
          <w:szCs w:val="22"/>
        </w:rPr>
      </w:pPr>
    </w:p>
    <w:p>
      <w:pPr>
        <w:pStyle w:val="15"/>
        <w:tabs>
          <w:tab w:val="right" w:leader="dot" w:pos="8306"/>
          <w:tab w:val="clear" w:pos="8296"/>
        </w:tabs>
      </w:pPr>
      <w:r>
        <w:rPr>
          <w:rFonts w:hint="eastAsia" w:ascii="仿宋_GB2312" w:hAnsi="仿宋_GB2312" w:cs="仿宋_GB2312"/>
          <w:b w:val="0"/>
          <w:bCs/>
          <w:sz w:val="32"/>
          <w:szCs w:val="32"/>
        </w:rPr>
        <w:fldChar w:fldCharType="begin"/>
      </w:r>
      <w:r>
        <w:rPr>
          <w:rFonts w:hint="eastAsia" w:ascii="仿宋_GB2312" w:hAnsi="仿宋_GB2312" w:cs="仿宋_GB2312"/>
          <w:b w:val="0"/>
          <w:bCs/>
          <w:sz w:val="32"/>
          <w:szCs w:val="32"/>
        </w:rPr>
        <w:instrText xml:space="preserve"> TOC \o "1-3" \h \z \u </w:instrText>
      </w:r>
      <w:r>
        <w:rPr>
          <w:rFonts w:hint="eastAsia" w:ascii="仿宋_GB2312" w:hAnsi="仿宋_GB2312" w:cs="仿宋_GB2312"/>
          <w:b w:val="0"/>
          <w:bCs/>
          <w:sz w:val="32"/>
          <w:szCs w:val="32"/>
        </w:rPr>
        <w:fldChar w:fldCharType="separate"/>
      </w:r>
      <w:r>
        <w:rPr>
          <w:rFonts w:hint="eastAsia" w:ascii="仿宋_GB2312" w:hAnsi="仿宋_GB2312" w:cs="仿宋_GB2312"/>
          <w:bCs/>
          <w:szCs w:val="32"/>
        </w:rPr>
        <w:fldChar w:fldCharType="begin"/>
      </w:r>
      <w:r>
        <w:rPr>
          <w:rFonts w:hint="eastAsia" w:ascii="仿宋_GB2312" w:hAnsi="仿宋_GB2312" w:cs="仿宋_GB2312"/>
          <w:bCs/>
          <w:szCs w:val="32"/>
        </w:rPr>
        <w:instrText xml:space="preserve"> HYPERLINK \l _Toc12125 </w:instrText>
      </w:r>
      <w:r>
        <w:rPr>
          <w:rFonts w:hint="eastAsia" w:ascii="仿宋_GB2312" w:hAnsi="仿宋_GB2312" w:cs="仿宋_GB2312"/>
          <w:bCs/>
          <w:szCs w:val="32"/>
        </w:rPr>
        <w:fldChar w:fldCharType="separate"/>
      </w:r>
      <w:r>
        <w:rPr>
          <w:rFonts w:hint="eastAsia" w:ascii="黑体" w:hAnsi="黑体" w:eastAsia="黑体" w:cs="黑体"/>
          <w:szCs w:val="44"/>
        </w:rPr>
        <w:t>摘   要</w:t>
      </w:r>
      <w:r>
        <w:tab/>
      </w:r>
      <w:r>
        <w:fldChar w:fldCharType="begin"/>
      </w:r>
      <w:r>
        <w:instrText xml:space="preserve"> PAGEREF _Toc12125 \h </w:instrText>
      </w:r>
      <w:r>
        <w:fldChar w:fldCharType="separate"/>
      </w:r>
      <w:r>
        <w:t>1</w:t>
      </w:r>
      <w:r>
        <w:fldChar w:fldCharType="end"/>
      </w:r>
      <w:r>
        <w:rPr>
          <w:rFonts w:hint="eastAsia" w:ascii="仿宋_GB2312" w:hAnsi="仿宋_GB2312" w:cs="仿宋_GB2312"/>
          <w:bCs/>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_Toc10838 </w:instrText>
      </w:r>
      <w:r>
        <w:rPr>
          <w:rFonts w:hint="eastAsia" w:ascii="仿宋_GB2312" w:hAnsi="仿宋_GB2312" w:cs="仿宋_GB2312"/>
          <w:bCs/>
          <w:kern w:val="0"/>
          <w:szCs w:val="32"/>
        </w:rPr>
        <w:fldChar w:fldCharType="separate"/>
      </w:r>
      <w:r>
        <w:rPr>
          <w:rFonts w:hint="eastAsia"/>
          <w:lang w:val="en-US" w:eastAsia="zh-CN"/>
        </w:rPr>
        <w:t>一、项目</w:t>
      </w:r>
      <w:r>
        <w:rPr>
          <w:rFonts w:hint="eastAsia"/>
        </w:rPr>
        <w:t>基本情况</w:t>
      </w:r>
      <w:r>
        <w:tab/>
      </w:r>
      <w:r>
        <w:fldChar w:fldCharType="begin"/>
      </w:r>
      <w:r>
        <w:instrText xml:space="preserve"> PAGEREF _Toc10838 \h </w:instrText>
      </w:r>
      <w:r>
        <w:fldChar w:fldCharType="separate"/>
      </w:r>
      <w:r>
        <w:t>10</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_Toc6509 </w:instrText>
      </w:r>
      <w:r>
        <w:rPr>
          <w:rFonts w:hint="eastAsia" w:ascii="仿宋_GB2312" w:hAnsi="仿宋_GB2312" w:cs="仿宋_GB2312"/>
          <w:bCs/>
          <w:kern w:val="0"/>
          <w:szCs w:val="32"/>
        </w:rPr>
        <w:fldChar w:fldCharType="separate"/>
      </w:r>
      <w:r>
        <w:rPr>
          <w:rFonts w:ascii="仿宋_GB2312"/>
        </w:rPr>
        <w:t>（一）</w:t>
      </w:r>
      <w:r>
        <w:rPr>
          <w:rFonts w:hint="eastAsia" w:ascii="仿宋_GB2312"/>
        </w:rPr>
        <w:t>项目</w:t>
      </w:r>
      <w:r>
        <w:rPr>
          <w:rFonts w:hint="eastAsia" w:ascii="仿宋_GB2312"/>
          <w:lang w:val="en-US" w:eastAsia="zh-CN"/>
        </w:rPr>
        <w:t>概况</w:t>
      </w:r>
      <w:r>
        <w:tab/>
      </w:r>
      <w:r>
        <w:fldChar w:fldCharType="begin"/>
      </w:r>
      <w:r>
        <w:instrText xml:space="preserve"> PAGEREF _Toc6509 \h </w:instrText>
      </w:r>
      <w:r>
        <w:fldChar w:fldCharType="separate"/>
      </w:r>
      <w:r>
        <w:t>10</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_Toc19347 </w:instrText>
      </w:r>
      <w:r>
        <w:rPr>
          <w:rFonts w:hint="eastAsia" w:ascii="仿宋_GB2312" w:hAnsi="仿宋_GB2312" w:cs="仿宋_GB2312"/>
          <w:bCs/>
          <w:kern w:val="0"/>
          <w:szCs w:val="32"/>
        </w:rPr>
        <w:fldChar w:fldCharType="separate"/>
      </w: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资金投入和使用情况</w:t>
      </w:r>
      <w:r>
        <w:tab/>
      </w:r>
      <w:r>
        <w:fldChar w:fldCharType="begin"/>
      </w:r>
      <w:r>
        <w:instrText xml:space="preserve"> PAGEREF _Toc19347 \h </w:instrText>
      </w:r>
      <w:r>
        <w:fldChar w:fldCharType="separate"/>
      </w:r>
      <w:r>
        <w:t>21</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_Toc6284 </w:instrText>
      </w:r>
      <w:r>
        <w:rPr>
          <w:rFonts w:hint="eastAsia" w:ascii="仿宋_GB2312" w:hAnsi="仿宋_GB2312" w:cs="仿宋_GB2312"/>
          <w:bCs/>
          <w:kern w:val="0"/>
          <w:szCs w:val="32"/>
        </w:rPr>
        <w:fldChar w:fldCharType="separate"/>
      </w:r>
      <w:r>
        <w:rPr>
          <w:rFonts w:hint="eastAsia" w:ascii="仿宋_GB2312"/>
          <w:lang w:val="en-US" w:eastAsia="zh-CN"/>
        </w:rPr>
        <w:t>（三）项目绩效目标</w:t>
      </w:r>
      <w:r>
        <w:tab/>
      </w:r>
      <w:r>
        <w:fldChar w:fldCharType="begin"/>
      </w:r>
      <w:r>
        <w:instrText xml:space="preserve"> PAGEREF _Toc6284 \h </w:instrText>
      </w:r>
      <w:r>
        <w:fldChar w:fldCharType="separate"/>
      </w:r>
      <w:r>
        <w:t>24</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_Toc8786 </w:instrText>
      </w:r>
      <w:r>
        <w:rPr>
          <w:rFonts w:hint="eastAsia" w:ascii="仿宋_GB2312" w:hAnsi="仿宋_GB2312" w:cs="仿宋_GB2312"/>
          <w:bCs/>
          <w:kern w:val="0"/>
          <w:szCs w:val="32"/>
        </w:rPr>
        <w:fldChar w:fldCharType="separate"/>
      </w:r>
      <w:r>
        <w:t>二、</w:t>
      </w:r>
      <w:r>
        <w:rPr>
          <w:rFonts w:hint="eastAsia"/>
        </w:rPr>
        <w:t>绩效评价工作开展情况</w:t>
      </w:r>
      <w:r>
        <w:tab/>
      </w:r>
      <w:r>
        <w:fldChar w:fldCharType="begin"/>
      </w:r>
      <w:r>
        <w:instrText xml:space="preserve"> PAGEREF _Toc8786 \h </w:instrText>
      </w:r>
      <w:r>
        <w:fldChar w:fldCharType="separate"/>
      </w:r>
      <w:r>
        <w:t>34</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_Toc8732 </w:instrText>
      </w:r>
      <w:r>
        <w:rPr>
          <w:rFonts w:hint="eastAsia" w:ascii="仿宋_GB2312" w:hAnsi="仿宋_GB2312" w:cs="仿宋_GB2312"/>
          <w:bCs/>
          <w:kern w:val="0"/>
          <w:szCs w:val="32"/>
        </w:rPr>
        <w:fldChar w:fldCharType="separate"/>
      </w:r>
      <w:r>
        <w:rPr>
          <w:rFonts w:ascii="仿宋_GB2312"/>
        </w:rPr>
        <w:t>（一）</w:t>
      </w:r>
      <w:r>
        <w:rPr>
          <w:rFonts w:hint="eastAsia" w:ascii="仿宋_GB2312"/>
        </w:rPr>
        <w:t>绩效</w:t>
      </w:r>
      <w:r>
        <w:rPr>
          <w:rFonts w:ascii="仿宋_GB2312"/>
        </w:rPr>
        <w:t>评价目的</w:t>
      </w:r>
      <w:r>
        <w:rPr>
          <w:rFonts w:hint="eastAsia" w:ascii="仿宋_GB2312"/>
        </w:rPr>
        <w:t>、对象和范围</w:t>
      </w:r>
      <w:r>
        <w:tab/>
      </w:r>
      <w:r>
        <w:fldChar w:fldCharType="begin"/>
      </w:r>
      <w:r>
        <w:instrText xml:space="preserve"> PAGEREF _Toc8732 \h </w:instrText>
      </w:r>
      <w:r>
        <w:fldChar w:fldCharType="separate"/>
      </w:r>
      <w:r>
        <w:t>34</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_Toc15841 </w:instrText>
      </w:r>
      <w:r>
        <w:rPr>
          <w:rFonts w:hint="eastAsia" w:ascii="仿宋_GB2312" w:hAnsi="仿宋_GB2312" w:cs="仿宋_GB2312"/>
          <w:bCs/>
          <w:kern w:val="0"/>
          <w:szCs w:val="32"/>
        </w:rPr>
        <w:fldChar w:fldCharType="separate"/>
      </w:r>
      <w:r>
        <w:rPr>
          <w:rFonts w:ascii="仿宋_GB2312"/>
        </w:rPr>
        <w:t>（</w:t>
      </w:r>
      <w:r>
        <w:rPr>
          <w:rFonts w:hint="eastAsia" w:ascii="仿宋_GB2312"/>
        </w:rPr>
        <w:t>二</w:t>
      </w:r>
      <w:r>
        <w:rPr>
          <w:rFonts w:ascii="仿宋_GB2312"/>
        </w:rPr>
        <w:t>）绩效评</w:t>
      </w:r>
      <w:r>
        <w:rPr>
          <w:rFonts w:hint="eastAsia" w:ascii="仿宋_GB2312"/>
        </w:rPr>
        <w:t>价原则</w:t>
      </w:r>
      <w:r>
        <w:tab/>
      </w:r>
      <w:r>
        <w:fldChar w:fldCharType="begin"/>
      </w:r>
      <w:r>
        <w:instrText xml:space="preserve"> PAGEREF _Toc15841 \h </w:instrText>
      </w:r>
      <w:r>
        <w:fldChar w:fldCharType="separate"/>
      </w:r>
      <w:r>
        <w:t>37</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_Toc474 </w:instrText>
      </w:r>
      <w:r>
        <w:rPr>
          <w:rFonts w:hint="eastAsia" w:ascii="仿宋_GB2312" w:hAnsi="仿宋_GB2312" w:cs="仿宋_GB2312"/>
          <w:bCs/>
          <w:kern w:val="0"/>
          <w:szCs w:val="32"/>
        </w:rPr>
        <w:fldChar w:fldCharType="separate"/>
      </w:r>
      <w:r>
        <w:rPr>
          <w:rFonts w:ascii="仿宋_GB2312"/>
        </w:rPr>
        <w:t>（</w:t>
      </w:r>
      <w:r>
        <w:rPr>
          <w:rFonts w:hint="eastAsia" w:ascii="仿宋_GB2312"/>
        </w:rPr>
        <w:t>三</w:t>
      </w:r>
      <w:r>
        <w:rPr>
          <w:rFonts w:ascii="仿宋_GB2312"/>
        </w:rPr>
        <w:t>）绩效评价</w:t>
      </w:r>
      <w:r>
        <w:rPr>
          <w:rFonts w:hint="eastAsia" w:ascii="仿宋_GB2312"/>
        </w:rPr>
        <w:t>指标体系</w:t>
      </w:r>
      <w:r>
        <w:tab/>
      </w:r>
      <w:r>
        <w:fldChar w:fldCharType="begin"/>
      </w:r>
      <w:r>
        <w:instrText xml:space="preserve"> PAGEREF _Toc474 \h </w:instrText>
      </w:r>
      <w:r>
        <w:fldChar w:fldCharType="separate"/>
      </w:r>
      <w:r>
        <w:t>38</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_Toc30214 </w:instrText>
      </w:r>
      <w:r>
        <w:rPr>
          <w:rFonts w:hint="eastAsia" w:ascii="仿宋_GB2312" w:hAnsi="仿宋_GB2312" w:cs="仿宋_GB2312"/>
          <w:bCs/>
          <w:kern w:val="0"/>
          <w:szCs w:val="32"/>
        </w:rPr>
        <w:fldChar w:fldCharType="separate"/>
      </w:r>
      <w:r>
        <w:rPr>
          <w:rFonts w:ascii="仿宋_GB2312"/>
        </w:rPr>
        <w:t>（四）绩效评价</w:t>
      </w:r>
      <w:r>
        <w:rPr>
          <w:rFonts w:hint="eastAsia" w:ascii="仿宋_GB2312"/>
        </w:rPr>
        <w:t>方法</w:t>
      </w:r>
      <w:r>
        <w:tab/>
      </w:r>
      <w:r>
        <w:fldChar w:fldCharType="begin"/>
      </w:r>
      <w:r>
        <w:instrText xml:space="preserve"> PAGEREF _Toc30214 \h </w:instrText>
      </w:r>
      <w:r>
        <w:fldChar w:fldCharType="separate"/>
      </w:r>
      <w:r>
        <w:t>40</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_Toc1904 </w:instrText>
      </w:r>
      <w:r>
        <w:rPr>
          <w:rFonts w:hint="eastAsia" w:ascii="仿宋_GB2312" w:hAnsi="仿宋_GB2312" w:cs="仿宋_GB2312"/>
          <w:bCs/>
          <w:kern w:val="0"/>
          <w:szCs w:val="32"/>
        </w:rPr>
        <w:fldChar w:fldCharType="separate"/>
      </w:r>
      <w:r>
        <w:rPr>
          <w:rFonts w:ascii="仿宋_GB2312"/>
        </w:rPr>
        <w:t>（</w:t>
      </w:r>
      <w:r>
        <w:rPr>
          <w:rFonts w:hint="eastAsia" w:ascii="仿宋_GB2312"/>
        </w:rPr>
        <w:t>五</w:t>
      </w:r>
      <w:r>
        <w:rPr>
          <w:rFonts w:ascii="仿宋_GB2312"/>
        </w:rPr>
        <w:t>）绩效评价</w:t>
      </w:r>
      <w:r>
        <w:rPr>
          <w:rFonts w:hint="eastAsia" w:ascii="仿宋_GB2312"/>
        </w:rPr>
        <w:t>标准</w:t>
      </w:r>
      <w:r>
        <w:tab/>
      </w:r>
      <w:r>
        <w:fldChar w:fldCharType="begin"/>
      </w:r>
      <w:r>
        <w:instrText xml:space="preserve"> PAGEREF _Toc1904 \h </w:instrText>
      </w:r>
      <w:r>
        <w:fldChar w:fldCharType="separate"/>
      </w:r>
      <w:r>
        <w:t>42</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_Toc16085 </w:instrText>
      </w:r>
      <w:r>
        <w:rPr>
          <w:rFonts w:hint="eastAsia" w:ascii="仿宋_GB2312" w:hAnsi="仿宋_GB2312" w:cs="仿宋_GB2312"/>
          <w:bCs/>
          <w:kern w:val="0"/>
          <w:szCs w:val="32"/>
        </w:rPr>
        <w:fldChar w:fldCharType="separate"/>
      </w:r>
      <w:r>
        <w:rPr>
          <w:rFonts w:hint="eastAsia" w:ascii="仿宋_GB2312"/>
        </w:rPr>
        <w:t>（六）绩效评价工作过程</w:t>
      </w:r>
      <w:r>
        <w:tab/>
      </w:r>
      <w:r>
        <w:fldChar w:fldCharType="begin"/>
      </w:r>
      <w:r>
        <w:instrText xml:space="preserve"> PAGEREF _Toc16085 \h </w:instrText>
      </w:r>
      <w:r>
        <w:fldChar w:fldCharType="separate"/>
      </w:r>
      <w:r>
        <w:t>42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_Toc30057 </w:instrText>
      </w:r>
      <w:r>
        <w:rPr>
          <w:rFonts w:hint="eastAsia" w:ascii="仿宋_GB2312" w:hAnsi="仿宋_GB2312" w:cs="仿宋_GB2312"/>
          <w:bCs/>
          <w:kern w:val="0"/>
          <w:szCs w:val="32"/>
        </w:rPr>
        <w:fldChar w:fldCharType="separate"/>
      </w:r>
      <w:r>
        <w:rPr>
          <w:rFonts w:hint="eastAsia"/>
        </w:rPr>
        <w:t>三、</w:t>
      </w:r>
      <w:r>
        <w:rPr>
          <w:rFonts w:hint="eastAsia"/>
          <w:highlight w:val="none"/>
        </w:rPr>
        <w:t>综合评价情况及评价结论</w:t>
      </w:r>
      <w:r>
        <w:tab/>
      </w:r>
      <w:r>
        <w:fldChar w:fldCharType="begin"/>
      </w:r>
      <w:r>
        <w:instrText xml:space="preserve"> PAGEREF _Toc30057 \h </w:instrText>
      </w:r>
      <w:r>
        <w:fldChar w:fldCharType="separate"/>
      </w:r>
      <w:r>
        <w:t>46</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_Toc7250 </w:instrText>
      </w:r>
      <w:r>
        <w:rPr>
          <w:rFonts w:hint="eastAsia" w:ascii="仿宋_GB2312" w:hAnsi="仿宋_GB2312" w:cs="仿宋_GB2312"/>
          <w:bCs/>
          <w:kern w:val="0"/>
          <w:szCs w:val="32"/>
        </w:rPr>
        <w:fldChar w:fldCharType="separate"/>
      </w:r>
      <w:r>
        <w:rPr>
          <w:rFonts w:ascii="仿宋_GB2312"/>
        </w:rPr>
        <w:t>（一）</w:t>
      </w:r>
      <w:r>
        <w:rPr>
          <w:rFonts w:hint="eastAsia" w:ascii="仿宋_GB2312"/>
          <w:lang w:val="en-US" w:eastAsia="zh-CN"/>
        </w:rPr>
        <w:t>总体评分结果及评价结论</w:t>
      </w:r>
      <w:r>
        <w:tab/>
      </w:r>
      <w:r>
        <w:fldChar w:fldCharType="begin"/>
      </w:r>
      <w:r>
        <w:instrText xml:space="preserve"> PAGEREF _Toc7250 \h </w:instrText>
      </w:r>
      <w:r>
        <w:fldChar w:fldCharType="separate"/>
      </w:r>
      <w:r>
        <w:t>46</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_Toc25816 </w:instrText>
      </w:r>
      <w:r>
        <w:rPr>
          <w:rFonts w:hint="eastAsia" w:ascii="仿宋_GB2312" w:hAnsi="仿宋_GB2312" w:cs="仿宋_GB2312"/>
          <w:bCs/>
          <w:kern w:val="0"/>
          <w:szCs w:val="32"/>
        </w:rPr>
        <w:fldChar w:fldCharType="separate"/>
      </w: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各项目评分结果</w:t>
      </w:r>
      <w:r>
        <w:tab/>
      </w:r>
      <w:r>
        <w:fldChar w:fldCharType="begin"/>
      </w:r>
      <w:r>
        <w:instrText xml:space="preserve"> PAGEREF _Toc25816 \h </w:instrText>
      </w:r>
      <w:r>
        <w:fldChar w:fldCharType="separate"/>
      </w:r>
      <w:r>
        <w:t>47</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_Toc15350 </w:instrText>
      </w:r>
      <w:r>
        <w:rPr>
          <w:rFonts w:hint="eastAsia" w:ascii="仿宋_GB2312" w:hAnsi="仿宋_GB2312" w:cs="仿宋_GB2312"/>
          <w:bCs/>
          <w:kern w:val="0"/>
          <w:szCs w:val="32"/>
        </w:rPr>
        <w:fldChar w:fldCharType="separate"/>
      </w:r>
      <w:r>
        <w:rPr>
          <w:rFonts w:hint="eastAsia"/>
        </w:rPr>
        <w:t>四、绩效评价指标分析</w:t>
      </w:r>
      <w:r>
        <w:tab/>
      </w:r>
      <w:r>
        <w:fldChar w:fldCharType="begin"/>
      </w:r>
      <w:r>
        <w:instrText xml:space="preserve"> PAGEREF _Toc15350 \h </w:instrText>
      </w:r>
      <w:r>
        <w:fldChar w:fldCharType="separate"/>
      </w:r>
      <w:r>
        <w:t>47</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_Toc11064 </w:instrText>
      </w:r>
      <w:r>
        <w:rPr>
          <w:rFonts w:hint="eastAsia" w:ascii="仿宋_GB2312" w:hAnsi="仿宋_GB2312" w:cs="仿宋_GB2312"/>
          <w:bCs/>
          <w:kern w:val="0"/>
          <w:szCs w:val="32"/>
        </w:rPr>
        <w:fldChar w:fldCharType="separate"/>
      </w:r>
      <w:r>
        <w:rPr>
          <w:rFonts w:hint="eastAsia" w:ascii="仿宋_GB2312"/>
        </w:rPr>
        <w:t>（一）项目决策情况</w:t>
      </w:r>
      <w:r>
        <w:tab/>
      </w:r>
      <w:r>
        <w:fldChar w:fldCharType="begin"/>
      </w:r>
      <w:r>
        <w:instrText xml:space="preserve"> PAGEREF _Toc11064 \h </w:instrText>
      </w:r>
      <w:r>
        <w:fldChar w:fldCharType="separate"/>
      </w:r>
      <w:r>
        <w:t>47</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_Toc11156 </w:instrText>
      </w:r>
      <w:r>
        <w:rPr>
          <w:rFonts w:hint="eastAsia" w:ascii="仿宋_GB2312" w:hAnsi="仿宋_GB2312" w:cs="仿宋_GB2312"/>
          <w:bCs/>
          <w:kern w:val="0"/>
          <w:szCs w:val="32"/>
        </w:rPr>
        <w:fldChar w:fldCharType="separate"/>
      </w:r>
      <w:r>
        <w:rPr>
          <w:rFonts w:hint="eastAsia" w:ascii="仿宋_GB2312"/>
        </w:rPr>
        <w:t>（二）项目过程情况</w:t>
      </w:r>
      <w:r>
        <w:tab/>
      </w:r>
      <w:r>
        <w:fldChar w:fldCharType="begin"/>
      </w:r>
      <w:r>
        <w:instrText xml:space="preserve"> PAGEREF _Toc11156 \h </w:instrText>
      </w:r>
      <w:r>
        <w:fldChar w:fldCharType="separate"/>
      </w:r>
      <w:r>
        <w:t>52</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_Toc31819 </w:instrText>
      </w:r>
      <w:r>
        <w:rPr>
          <w:rFonts w:hint="eastAsia" w:ascii="仿宋_GB2312" w:hAnsi="仿宋_GB2312" w:cs="仿宋_GB2312"/>
          <w:bCs/>
          <w:kern w:val="0"/>
          <w:szCs w:val="32"/>
        </w:rPr>
        <w:fldChar w:fldCharType="separate"/>
      </w:r>
      <w:r>
        <w:rPr>
          <w:rFonts w:hint="eastAsia" w:ascii="仿宋_GB2312"/>
        </w:rPr>
        <w:t>（三）项目产出情况</w:t>
      </w:r>
      <w:r>
        <w:tab/>
      </w:r>
      <w:r>
        <w:fldChar w:fldCharType="begin"/>
      </w:r>
      <w:r>
        <w:instrText xml:space="preserve"> PAGEREF _Toc31819 \h </w:instrText>
      </w:r>
      <w:r>
        <w:fldChar w:fldCharType="separate"/>
      </w:r>
      <w:r>
        <w:t>55</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_Toc8242 </w:instrText>
      </w:r>
      <w:r>
        <w:rPr>
          <w:rFonts w:hint="eastAsia" w:ascii="仿宋_GB2312" w:hAnsi="仿宋_GB2312" w:cs="仿宋_GB2312"/>
          <w:bCs/>
          <w:kern w:val="0"/>
          <w:szCs w:val="32"/>
        </w:rPr>
        <w:fldChar w:fldCharType="separate"/>
      </w:r>
      <w:r>
        <w:rPr>
          <w:rFonts w:hint="eastAsia" w:ascii="仿宋_GB2312"/>
        </w:rPr>
        <w:t>（四）项目效益情况</w:t>
      </w:r>
      <w:r>
        <w:tab/>
      </w:r>
      <w:r>
        <w:fldChar w:fldCharType="begin"/>
      </w:r>
      <w:r>
        <w:instrText xml:space="preserve"> PAGEREF _Toc8242 \h </w:instrText>
      </w:r>
      <w:r>
        <w:fldChar w:fldCharType="separate"/>
      </w:r>
      <w:r>
        <w:t>56</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_Toc4106 </w:instrText>
      </w:r>
      <w:r>
        <w:rPr>
          <w:rFonts w:hint="eastAsia" w:ascii="仿宋_GB2312" w:hAnsi="仿宋_GB2312" w:cs="仿宋_GB2312"/>
          <w:bCs/>
          <w:kern w:val="0"/>
          <w:szCs w:val="32"/>
        </w:rPr>
        <w:fldChar w:fldCharType="separate"/>
      </w:r>
      <w:r>
        <w:rPr>
          <w:rFonts w:hint="eastAsia"/>
        </w:rPr>
        <w:t>五、主要经验</w:t>
      </w:r>
      <w:r>
        <w:rPr>
          <w:rFonts w:hint="eastAsia"/>
          <w:lang w:val="en-US" w:eastAsia="zh-CN"/>
        </w:rPr>
        <w:t>及做法</w:t>
      </w:r>
      <w:r>
        <w:tab/>
      </w:r>
      <w:r>
        <w:fldChar w:fldCharType="begin"/>
      </w:r>
      <w:r>
        <w:instrText xml:space="preserve"> PAGEREF _Toc4106 \h </w:instrText>
      </w:r>
      <w:r>
        <w:fldChar w:fldCharType="separate"/>
      </w:r>
      <w:r>
        <w:t>60</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_Toc5324 </w:instrText>
      </w:r>
      <w:r>
        <w:rPr>
          <w:rFonts w:hint="eastAsia" w:ascii="仿宋_GB2312" w:hAnsi="仿宋_GB2312" w:cs="仿宋_GB2312"/>
          <w:bCs/>
          <w:kern w:val="0"/>
          <w:szCs w:val="32"/>
        </w:rPr>
        <w:fldChar w:fldCharType="separate"/>
      </w:r>
      <w:r>
        <w:rPr>
          <w:rFonts w:hint="eastAsia"/>
        </w:rPr>
        <w:t>六、存在的问题及原因分析</w:t>
      </w:r>
      <w:r>
        <w:tab/>
      </w:r>
      <w:r>
        <w:fldChar w:fldCharType="begin"/>
      </w:r>
      <w:r>
        <w:instrText xml:space="preserve"> PAGEREF _Toc5324 \h </w:instrText>
      </w:r>
      <w:r>
        <w:fldChar w:fldCharType="separate"/>
      </w:r>
      <w:r>
        <w:t>61</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_Toc5337 </w:instrText>
      </w:r>
      <w:r>
        <w:rPr>
          <w:rFonts w:hint="eastAsia" w:ascii="仿宋_GB2312" w:hAnsi="仿宋_GB2312" w:cs="仿宋_GB2312"/>
          <w:bCs/>
          <w:kern w:val="0"/>
          <w:szCs w:val="32"/>
        </w:rPr>
        <w:fldChar w:fldCharType="separate"/>
      </w:r>
      <w:r>
        <w:rPr>
          <w:rFonts w:hint="eastAsia"/>
        </w:rPr>
        <w:t>七、建议</w:t>
      </w:r>
      <w:r>
        <w:tab/>
      </w:r>
      <w:r>
        <w:fldChar w:fldCharType="begin"/>
      </w:r>
      <w:r>
        <w:instrText xml:space="preserve"> PAGEREF _Toc5337 \h </w:instrText>
      </w:r>
      <w:r>
        <w:fldChar w:fldCharType="separate"/>
      </w:r>
      <w:r>
        <w:t>62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_Toc2083 </w:instrText>
      </w:r>
      <w:r>
        <w:rPr>
          <w:rFonts w:hint="eastAsia" w:ascii="仿宋_GB2312" w:hAnsi="仿宋_GB2312" w:cs="仿宋_GB2312"/>
          <w:bCs/>
          <w:kern w:val="0"/>
          <w:szCs w:val="32"/>
        </w:rPr>
        <w:fldChar w:fldCharType="separate"/>
      </w:r>
      <w:r>
        <w:rPr>
          <w:rFonts w:hint="eastAsia"/>
        </w:rPr>
        <w:t>八</w:t>
      </w:r>
      <w:r>
        <w:t>、结果应用及建议</w:t>
      </w:r>
      <w:r>
        <w:tab/>
      </w:r>
      <w:r>
        <w:fldChar w:fldCharType="begin"/>
      </w:r>
      <w:r>
        <w:instrText xml:space="preserve"> PAGEREF _Toc2083 \h </w:instrText>
      </w:r>
      <w:r>
        <w:fldChar w:fldCharType="separate"/>
      </w:r>
      <w:r>
        <w:t>62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_Toc14499 </w:instrText>
      </w:r>
      <w:r>
        <w:rPr>
          <w:rFonts w:hint="eastAsia" w:ascii="仿宋_GB2312" w:hAnsi="仿宋_GB2312" w:cs="仿宋_GB2312"/>
          <w:bCs/>
          <w:kern w:val="0"/>
          <w:szCs w:val="32"/>
        </w:rPr>
        <w:fldChar w:fldCharType="separate"/>
      </w:r>
      <w:r>
        <w:rPr>
          <w:rFonts w:hint="eastAsia"/>
        </w:rPr>
        <w:t>九、报告附件</w:t>
      </w:r>
      <w:r>
        <w:tab/>
      </w:r>
      <w:r>
        <w:fldChar w:fldCharType="begin"/>
      </w:r>
      <w:r>
        <w:instrText xml:space="preserve"> PAGEREF _Toc14499 \h </w:instrText>
      </w:r>
      <w:r>
        <w:fldChar w:fldCharType="separate"/>
      </w:r>
      <w:r>
        <w:t>63</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_Toc6654 </w:instrText>
      </w:r>
      <w:r>
        <w:rPr>
          <w:rFonts w:hint="eastAsia" w:ascii="仿宋_GB2312" w:hAnsi="仿宋_GB2312" w:cs="仿宋_GB2312"/>
          <w:bCs/>
          <w:kern w:val="0"/>
          <w:szCs w:val="32"/>
        </w:rPr>
        <w:fldChar w:fldCharType="separate"/>
      </w:r>
      <w:r>
        <w:rPr>
          <w:rFonts w:ascii="黑体" w:hAnsi="黑体"/>
        </w:rPr>
        <w:t>附件1</w:t>
      </w:r>
      <w:r>
        <w:rPr>
          <w:rFonts w:hint="eastAsia" w:ascii="黑体" w:hAnsi="黑体"/>
        </w:rPr>
        <w:t xml:space="preserve"> ：项目</w:t>
      </w:r>
      <w:r>
        <w:rPr>
          <w:rFonts w:ascii="黑体" w:hAnsi="黑体"/>
        </w:rPr>
        <w:t>支出绩效评价指标评分</w:t>
      </w:r>
      <w:r>
        <w:tab/>
      </w:r>
      <w:r>
        <w:fldChar w:fldCharType="begin"/>
      </w:r>
      <w:r>
        <w:instrText xml:space="preserve"> PAGEREF _Toc6654 \h </w:instrText>
      </w:r>
      <w:r>
        <w:fldChar w:fldCharType="separate"/>
      </w:r>
      <w:r>
        <w:t>65</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_Toc10119 </w:instrText>
      </w:r>
      <w:r>
        <w:rPr>
          <w:rFonts w:hint="eastAsia" w:ascii="仿宋_GB2312" w:hAnsi="仿宋_GB2312" w:cs="仿宋_GB2312"/>
          <w:bCs/>
          <w:kern w:val="0"/>
          <w:szCs w:val="32"/>
        </w:rPr>
        <w:fldChar w:fldCharType="separate"/>
      </w:r>
      <w:r>
        <w:rPr>
          <w:rFonts w:ascii="黑体" w:hAnsi="黑体"/>
        </w:rPr>
        <w:t>附件2</w:t>
      </w:r>
      <w:r>
        <w:rPr>
          <w:rFonts w:hint="eastAsia" w:ascii="黑体" w:hAnsi="黑体"/>
        </w:rPr>
        <w:t xml:space="preserve"> ：项目</w:t>
      </w:r>
      <w:r>
        <w:rPr>
          <w:rFonts w:ascii="黑体" w:hAnsi="黑体"/>
        </w:rPr>
        <w:t>支出绩效评价指标体系</w:t>
      </w:r>
      <w:r>
        <w:tab/>
      </w:r>
      <w:r>
        <w:fldChar w:fldCharType="begin"/>
      </w:r>
      <w:r>
        <w:instrText xml:space="preserve"> PAGEREF _Toc10119 \h </w:instrText>
      </w:r>
      <w:r>
        <w:fldChar w:fldCharType="separate"/>
      </w:r>
      <w:r>
        <w:t>67</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_Toc2960 </w:instrText>
      </w:r>
      <w:r>
        <w:rPr>
          <w:rFonts w:hint="eastAsia" w:ascii="仿宋_GB2312" w:hAnsi="仿宋_GB2312" w:cs="仿宋_GB2312"/>
          <w:bCs/>
          <w:kern w:val="0"/>
          <w:szCs w:val="32"/>
        </w:rPr>
        <w:fldChar w:fldCharType="separate"/>
      </w:r>
      <w:r>
        <w:rPr>
          <w:rFonts w:ascii="黑体" w:hAnsi="黑体"/>
        </w:rPr>
        <w:t>附件3</w:t>
      </w:r>
      <w:r>
        <w:rPr>
          <w:rFonts w:hint="eastAsia" w:ascii="黑体" w:hAnsi="黑体"/>
        </w:rPr>
        <w:t xml:space="preserve"> ：满意度</w:t>
      </w:r>
      <w:r>
        <w:rPr>
          <w:rFonts w:ascii="黑体" w:hAnsi="黑体"/>
        </w:rPr>
        <w:t>调查</w:t>
      </w:r>
      <w:r>
        <w:rPr>
          <w:rFonts w:hint="eastAsia" w:ascii="黑体" w:hAnsi="黑体"/>
        </w:rPr>
        <w:t>报告</w:t>
      </w:r>
      <w:r>
        <w:tab/>
      </w:r>
      <w:r>
        <w:fldChar w:fldCharType="begin"/>
      </w:r>
      <w:r>
        <w:instrText xml:space="preserve"> PAGEREF _Toc2960 \h </w:instrText>
      </w:r>
      <w:r>
        <w:fldChar w:fldCharType="separate"/>
      </w:r>
      <w:r>
        <w:t>72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_Toc5434 </w:instrText>
      </w:r>
      <w:r>
        <w:rPr>
          <w:rFonts w:hint="eastAsia" w:ascii="仿宋_GB2312" w:hAnsi="仿宋_GB2312" w:cs="仿宋_GB2312"/>
          <w:bCs/>
          <w:kern w:val="0"/>
          <w:szCs w:val="32"/>
        </w:rPr>
        <w:fldChar w:fldCharType="separate"/>
      </w:r>
      <w:r>
        <w:rPr>
          <w:rFonts w:ascii="黑体" w:hAnsi="黑体"/>
        </w:rPr>
        <w:t>附件</w:t>
      </w:r>
      <w:r>
        <w:rPr>
          <w:rFonts w:hint="eastAsia" w:ascii="黑体" w:hAnsi="黑体"/>
        </w:rPr>
        <w:t>4 ：</w:t>
      </w:r>
      <w:r>
        <w:rPr>
          <w:rFonts w:ascii="黑体" w:hAnsi="黑体"/>
        </w:rPr>
        <w:t>访谈</w:t>
      </w:r>
      <w:r>
        <w:rPr>
          <w:rFonts w:hint="eastAsia" w:ascii="黑体" w:hAnsi="黑体"/>
        </w:rPr>
        <w:t>报告</w:t>
      </w:r>
      <w:r>
        <w:tab/>
      </w:r>
      <w:r>
        <w:fldChar w:fldCharType="begin"/>
      </w:r>
      <w:r>
        <w:instrText xml:space="preserve"> PAGEREF _Toc5434 \h </w:instrText>
      </w:r>
      <w:r>
        <w:fldChar w:fldCharType="separate"/>
      </w:r>
      <w:r>
        <w:t>75</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_Toc984 </w:instrText>
      </w:r>
      <w:r>
        <w:rPr>
          <w:rFonts w:hint="eastAsia" w:ascii="仿宋_GB2312" w:hAnsi="仿宋_GB2312" w:cs="仿宋_GB2312"/>
          <w:bCs/>
          <w:kern w:val="0"/>
          <w:szCs w:val="32"/>
        </w:rPr>
        <w:fldChar w:fldCharType="separate"/>
      </w:r>
      <w:r>
        <w:rPr>
          <w:rFonts w:hint="eastAsia" w:ascii="黑体" w:hAnsi="黑体"/>
        </w:rPr>
        <w:t>附件5 ：合规性检查报告</w:t>
      </w:r>
      <w:r>
        <w:tab/>
      </w:r>
      <w:r>
        <w:fldChar w:fldCharType="begin"/>
      </w:r>
      <w:r>
        <w:instrText xml:space="preserve"> PAGEREF _Toc984 \h </w:instrText>
      </w:r>
      <w:r>
        <w:fldChar w:fldCharType="separate"/>
      </w:r>
      <w:r>
        <w:t>77</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rPr>
          <w:b w:val="0"/>
          <w:bCs/>
        </w:rPr>
      </w:pPr>
      <w:r>
        <w:rPr>
          <w:rFonts w:hint="eastAsia" w:ascii="仿宋_GB2312" w:hAnsi="仿宋_GB2312" w:cs="仿宋_GB2312"/>
          <w:b w:val="0"/>
          <w:bCs/>
          <w:kern w:val="0"/>
          <w:szCs w:val="32"/>
        </w:rPr>
        <w:fldChar w:fldCharType="begin"/>
      </w:r>
      <w:r>
        <w:rPr>
          <w:rFonts w:hint="eastAsia" w:ascii="仿宋_GB2312" w:hAnsi="仿宋_GB2312" w:cs="仿宋_GB2312"/>
          <w:b w:val="0"/>
          <w:bCs/>
          <w:kern w:val="0"/>
          <w:szCs w:val="32"/>
        </w:rPr>
        <w:instrText xml:space="preserve"> HYPERLINK \l _Toc20057 </w:instrText>
      </w:r>
      <w:r>
        <w:rPr>
          <w:rFonts w:hint="eastAsia" w:ascii="仿宋_GB2312" w:hAnsi="仿宋_GB2312" w:cs="仿宋_GB2312"/>
          <w:b w:val="0"/>
          <w:bCs/>
          <w:kern w:val="0"/>
          <w:szCs w:val="32"/>
        </w:rPr>
        <w:fldChar w:fldCharType="separate"/>
      </w:r>
      <w:r>
        <w:rPr>
          <w:rFonts w:hint="eastAsia" w:ascii="黑体" w:hAnsi="黑体" w:eastAsia="黑体" w:cs="黑体"/>
          <w:b w:val="0"/>
          <w:bCs/>
          <w:kern w:val="44"/>
          <w:szCs w:val="28"/>
        </w:rPr>
        <w:t>附件</w:t>
      </w:r>
      <w:r>
        <w:rPr>
          <w:rFonts w:hint="eastAsia" w:ascii="黑体" w:hAnsi="黑体" w:eastAsia="黑体" w:cs="黑体"/>
          <w:b/>
          <w:bCs w:val="0"/>
          <w:kern w:val="44"/>
          <w:szCs w:val="28"/>
          <w:lang w:val="en-US" w:eastAsia="zh-CN"/>
        </w:rPr>
        <w:t>6</w:t>
      </w:r>
      <w:r>
        <w:rPr>
          <w:rFonts w:hint="eastAsia" w:ascii="黑体" w:hAnsi="黑体" w:eastAsia="黑体" w:cs="黑体"/>
          <w:b w:val="0"/>
          <w:bCs/>
          <w:kern w:val="44"/>
          <w:szCs w:val="28"/>
          <w:lang w:val="en-US" w:eastAsia="zh-CN"/>
        </w:rPr>
        <w:t xml:space="preserve"> ：</w:t>
      </w:r>
      <w:r>
        <w:rPr>
          <w:rFonts w:hint="eastAsia" w:ascii="黑体" w:hAnsi="黑体"/>
          <w:bCs w:val="0"/>
        </w:rPr>
        <w:t>现场勘察照片</w:t>
      </w:r>
      <w:r>
        <w:rPr>
          <w:b w:val="0"/>
          <w:bCs/>
        </w:rPr>
        <w:tab/>
      </w:r>
      <w:r>
        <w:rPr>
          <w:b/>
          <w:bCs w:val="0"/>
        </w:rPr>
        <w:fldChar w:fldCharType="begin"/>
      </w:r>
      <w:r>
        <w:rPr>
          <w:b/>
          <w:bCs w:val="0"/>
        </w:rPr>
        <w:instrText xml:space="preserve"> PAGEREF _Toc20057 \h </w:instrText>
      </w:r>
      <w:r>
        <w:rPr>
          <w:b/>
          <w:bCs w:val="0"/>
        </w:rPr>
        <w:fldChar w:fldCharType="separate"/>
      </w:r>
      <w:r>
        <w:rPr>
          <w:b/>
          <w:bCs w:val="0"/>
        </w:rPr>
        <w:t>81</w:t>
      </w:r>
      <w:r>
        <w:rPr>
          <w:b/>
          <w:bCs w:val="0"/>
        </w:rPr>
        <w:fldChar w:fldCharType="end"/>
      </w:r>
      <w:r>
        <w:rPr>
          <w:rFonts w:hint="eastAsia" w:ascii="仿宋_GB2312" w:hAnsi="仿宋_GB2312" w:cs="仿宋_GB2312"/>
          <w:b w:val="0"/>
          <w:bCs/>
          <w:kern w:val="0"/>
          <w:szCs w:val="32"/>
        </w:rPr>
        <w:fldChar w:fldCharType="end"/>
      </w:r>
    </w:p>
    <w:p>
      <w:pPr>
        <w:pStyle w:val="3"/>
        <w:ind w:firstLine="144" w:firstLineChars="45"/>
        <w:jc w:val="center"/>
        <w:rPr>
          <w:rFonts w:hint="eastAsia" w:ascii="仿宋_GB2312" w:hAnsi="仿宋_GB2312" w:cs="仿宋_GB2312"/>
          <w:bCs/>
          <w:kern w:val="0"/>
          <w:szCs w:val="32"/>
        </w:rPr>
      </w:pPr>
      <w:r>
        <w:rPr>
          <w:rFonts w:hint="eastAsia" w:ascii="仿宋_GB2312" w:hAnsi="仿宋_GB2312" w:cs="仿宋_GB2312"/>
          <w:bCs/>
          <w:kern w:val="0"/>
          <w:szCs w:val="32"/>
        </w:rPr>
        <w:fldChar w:fldCharType="end"/>
      </w:r>
      <w:bookmarkStart w:id="0" w:name="_Toc12125"/>
      <w:bookmarkStart w:id="1" w:name="_Toc32047"/>
    </w:p>
    <w:p>
      <w:pPr>
        <w:pStyle w:val="3"/>
        <w:ind w:firstLine="199" w:firstLineChars="45"/>
        <w:jc w:val="center"/>
        <w:rPr>
          <w:rFonts w:hint="eastAsia" w:ascii="黑体" w:hAnsi="黑体" w:eastAsia="黑体" w:cs="黑体"/>
          <w:b/>
          <w:sz w:val="44"/>
          <w:szCs w:val="44"/>
        </w:rPr>
        <w:sectPr>
          <w:headerReference r:id="rId5" w:type="default"/>
          <w:footerReference r:id="rId6" w:type="default"/>
          <w:pgSz w:w="11906" w:h="16838"/>
          <w:pgMar w:top="1440" w:right="1797" w:bottom="1440" w:left="1797" w:header="851" w:footer="992" w:gutter="0"/>
          <w:pgNumType w:start="1"/>
          <w:cols w:space="425" w:num="1"/>
          <w:docGrid w:type="lines" w:linePitch="312" w:charSpace="0"/>
        </w:sectPr>
      </w:pPr>
    </w:p>
    <w:p>
      <w:pPr>
        <w:pStyle w:val="3"/>
        <w:ind w:firstLine="199" w:firstLineChars="45"/>
        <w:jc w:val="center"/>
        <w:rPr>
          <w:rFonts w:hint="eastAsia" w:ascii="黑体" w:hAnsi="黑体" w:eastAsia="黑体" w:cs="黑体"/>
          <w:b/>
          <w:sz w:val="44"/>
          <w:szCs w:val="44"/>
        </w:rPr>
      </w:pPr>
      <w:r>
        <w:rPr>
          <w:rFonts w:hint="eastAsia" w:ascii="黑体" w:hAnsi="黑体" w:eastAsia="黑体" w:cs="黑体"/>
          <w:b/>
          <w:sz w:val="44"/>
          <w:szCs w:val="44"/>
        </w:rPr>
        <w:t>摘   要</w:t>
      </w:r>
      <w:bookmarkEnd w:id="0"/>
    </w:p>
    <w:p>
      <w:pPr>
        <w:ind w:firstLine="640"/>
      </w:pPr>
      <w:r>
        <w:t>受</w:t>
      </w:r>
      <w:r>
        <w:rPr>
          <w:rFonts w:hint="eastAsia"/>
          <w:lang w:eastAsia="zh-CN"/>
        </w:rPr>
        <w:t>古县财政局</w:t>
      </w:r>
      <w:r>
        <w:t>委托</w:t>
      </w:r>
      <w:r>
        <w:rPr>
          <w:rFonts w:hint="eastAsia"/>
          <w:lang w:eastAsia="zh-CN"/>
        </w:rPr>
        <w:t>，</w:t>
      </w:r>
      <w:r>
        <w:t>我</w:t>
      </w:r>
      <w:r>
        <w:rPr>
          <w:rFonts w:hint="eastAsia"/>
        </w:rPr>
        <w:t>公司承担对</w:t>
      </w:r>
      <w:r>
        <w:rPr>
          <w:rFonts w:hint="eastAsia"/>
          <w:lang w:eastAsia="zh-CN"/>
        </w:rPr>
        <w:t>古县2022年农机具购置补贴项目</w:t>
      </w:r>
      <w:r>
        <w:rPr>
          <w:rFonts w:hint="eastAsia"/>
        </w:rPr>
        <w:t>财政支出</w:t>
      </w:r>
      <w:r>
        <w:t>绩效评价工作。</w:t>
      </w:r>
      <w:r>
        <w:rPr>
          <w:rFonts w:hint="eastAsia"/>
          <w:lang w:val="zh-CN"/>
        </w:rPr>
        <w:t>我们本着客观、公平、公正的原则，按照绩效评价工作方案确定的评价指标、评价标准和评价方法，对评价对象的资金使用情况进行全面的分析和综合评价，形成了本报告，现将绩效评价情况简要报告如下：</w:t>
      </w:r>
    </w:p>
    <w:p>
      <w:pPr>
        <w:spacing w:beforeLines="100" w:afterLines="100"/>
        <w:ind w:firstLine="640"/>
        <w:rPr>
          <w:rFonts w:ascii="黑体" w:hAnsi="黑体" w:eastAsia="黑体" w:cs="黑体"/>
          <w:kern w:val="0"/>
          <w:szCs w:val="32"/>
        </w:rPr>
      </w:pPr>
      <w:r>
        <w:rPr>
          <w:rFonts w:hint="eastAsia" w:ascii="黑体" w:hAnsi="黑体" w:eastAsia="黑体" w:cs="黑体"/>
          <w:kern w:val="0"/>
          <w:szCs w:val="32"/>
        </w:rPr>
        <w:t>一、项目基本情况</w:t>
      </w:r>
    </w:p>
    <w:p>
      <w:pPr>
        <w:spacing w:beforeLines="50" w:afterLines="50"/>
        <w:ind w:firstLine="640"/>
        <w:rPr>
          <w:rFonts w:ascii="楷体_GB2312" w:eastAsia="楷体_GB2312"/>
          <w:bCs/>
          <w:kern w:val="0"/>
          <w:szCs w:val="32"/>
        </w:rPr>
      </w:pPr>
      <w:r>
        <w:rPr>
          <w:rFonts w:hint="eastAsia" w:ascii="楷体_GB2312" w:eastAsia="楷体_GB2312"/>
          <w:kern w:val="0"/>
          <w:szCs w:val="32"/>
        </w:rPr>
        <w:t>（一）项目概况</w:t>
      </w:r>
    </w:p>
    <w:p>
      <w:pPr>
        <w:ind w:firstLine="640"/>
        <w:rPr>
          <w:rFonts w:hint="default" w:ascii="仿宋_GB2312" w:hAnsi="Times New Roman" w:cs="Times New Roman"/>
          <w:lang w:val="en-US" w:eastAsia="zh-CN"/>
        </w:rPr>
      </w:pPr>
      <w:r>
        <w:rPr>
          <w:rFonts w:hint="default" w:ascii="仿宋_GB2312" w:hAnsi="Times New Roman" w:cs="Times New Roman"/>
          <w:lang w:val="en-US" w:eastAsia="zh-CN"/>
        </w:rPr>
        <w:t>古县为贯彻落实好国家农机机械购置补贴政策，根据临汾市要求，制定古县2021</w:t>
      </w:r>
      <w:r>
        <w:rPr>
          <w:rFonts w:hint="eastAsia" w:ascii="仿宋_GB2312" w:cs="Times New Roman"/>
          <w:lang w:val="en-US" w:eastAsia="zh-CN"/>
        </w:rPr>
        <w:t>—</w:t>
      </w:r>
      <w:r>
        <w:rPr>
          <w:rFonts w:hint="default" w:ascii="仿宋_GB2312" w:hAnsi="Times New Roman" w:cs="Times New Roman"/>
          <w:lang w:val="en-US" w:eastAsia="zh-CN"/>
        </w:rPr>
        <w:t>2023年农业机械购置补贴工作方案，2022年农机具补贴215台，共计补贴资金273.7万元。</w:t>
      </w:r>
    </w:p>
    <w:p>
      <w:pPr>
        <w:ind w:firstLine="640"/>
        <w:rPr>
          <w:rFonts w:hint="default" w:ascii="仿宋_GB2312" w:hAnsi="Times New Roman" w:cs="Times New Roman"/>
          <w:lang w:val="en-US" w:eastAsia="zh-CN"/>
        </w:rPr>
      </w:pPr>
      <w:r>
        <w:rPr>
          <w:rFonts w:hint="default" w:ascii="仿宋_GB2312" w:hAnsi="Times New Roman" w:cs="Times New Roman"/>
          <w:lang w:val="en-US" w:eastAsia="zh-CN"/>
        </w:rPr>
        <w:t>2022年农机具补贴申请台数为502台，实际补贴215台，剩余287台因补贴资金规模不够，在2023年度优先兑付。</w:t>
      </w:r>
    </w:p>
    <w:p>
      <w:pPr>
        <w:ind w:firstLine="640"/>
        <w:rPr>
          <w:rFonts w:hint="default" w:ascii="仿宋_GB2312" w:hAnsi="Times New Roman" w:cs="Times New Roman"/>
          <w:lang w:val="en-US" w:eastAsia="zh-CN"/>
        </w:rPr>
      </w:pPr>
      <w:r>
        <w:rPr>
          <w:rFonts w:hint="default" w:ascii="仿宋_GB2312" w:hAnsi="Times New Roman" w:cs="Times New Roman"/>
          <w:lang w:val="en-US" w:eastAsia="zh-CN"/>
        </w:rPr>
        <w:t>补贴品目主要包含深松机、旋耕机、铧式犁、精量播种机、轮式拖拉机、自走式玉米收获机等。</w:t>
      </w:r>
    </w:p>
    <w:p>
      <w:pPr>
        <w:spacing w:beforeLines="50" w:afterLines="50"/>
        <w:ind w:left="0" w:leftChars="0" w:firstLine="320" w:firstLineChars="100"/>
        <w:rPr>
          <w:rFonts w:ascii="楷体_GB2312" w:hAnsi="仿宋_GB2312" w:eastAsia="楷体_GB2312" w:cs="仿宋_GB2312"/>
          <w:kern w:val="0"/>
          <w:szCs w:val="32"/>
        </w:rPr>
      </w:pPr>
      <w:r>
        <w:rPr>
          <w:rFonts w:hint="eastAsia" w:ascii="楷体_GB2312" w:hAnsi="仿宋_GB2312" w:eastAsia="楷体_GB2312" w:cs="仿宋_GB2312"/>
          <w:kern w:val="0"/>
          <w:szCs w:val="32"/>
        </w:rPr>
        <w:t>（二）项目绩效目标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1.项目总体目标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严格执行《古农机字</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2021</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22号》文件，按照规定的补贴对象和补贴标准，在规定的补贴范围内进行农机具的补贴，并将粮食、生猪等重要农畜产品生产所需机具全部列入补贴范</w:t>
      </w:r>
      <w:r>
        <w:rPr>
          <w:rFonts w:hint="eastAsia" w:ascii="仿宋_GB2312" w:hAnsi="仿宋_GB2312" w:cs="仿宋_GB2312"/>
          <w:lang w:val="en-US" w:eastAsia="zh-CN"/>
        </w:rPr>
        <w:t>围</w:t>
      </w:r>
      <w:r>
        <w:rPr>
          <w:rFonts w:hint="eastAsia" w:ascii="仿宋_GB2312" w:hAnsi="仿宋_GB2312" w:eastAsia="仿宋_GB2312" w:cs="仿宋_GB2312"/>
          <w:lang w:val="en-US" w:eastAsia="zh-CN"/>
        </w:rPr>
        <w:t>，应补尽补，突出对深耕整地、育秧、播种、植保、烘干、茶叶生产加工等农机具的补贴。</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进而提升农机化水平，减轻农民负担，优化农业机械装备结构，促进农民节本增收，促进经济发展，推动农业现代化进程和国家现代农业示范区建设步伐。</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2.阶段性目标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（1）产出目标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数量目标：应补尽补率：审核通过的应补人数和实际补贴的人数比。</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质量目标：补贴标准符合率：实际补贴人数比符合补贴标准人数。</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时效目标：补贴资金发放及时性：申报者提交审核通过后15日内发放。</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（2）效益目标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经济效益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增加粮食产量，提高农民收入：农机购置补贴的实施，促进了农业机械化快速发展，大大降低了农业生产劳动强度，提高了劳动生产率，充分调动了农民的生产积极性，稳定了粮食生产面积，促进了粮食增产高产。同时，农业生产成本明显下降，一方面，农机购置补贴政策直接降低了农民生产资料投入成本和用工成本；另一方面，农民将土地流转到规模经营户，取得一定的流转收入，大量农村劳动力从繁重的体力劳动中解放出来，转至城镇打工或自主创业，其收入远高于种田农民收入。</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促进规模化经营，提高农业生产现代化：我国农业正由传统农业向现代农业，一家一户、小户经营、手工农业向规模化、标准化、集约化、产业化经营转变，形成了许多规模性、区域性特色农业。一大批高效、低耗能的农机具得到了推广和应用，大大提高了劳动生产率，有效促进农业生产现代化。</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促进产业结构调整，加快农业机械化产业发展：一直以来，我国农业机械产品投入较少，研发能力较弱，技术水平不高，产品质量不稳定，农民购买意愿较低。农机购置补贴的实施，促进了农业机械的广泛运用，加大了企业投入，加快新产品的创新、研发和生产，促进了农业机械化产业发展。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可持续影响</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政策知晓率：农业农村</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农机</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部门要因地制宜、综合运用宣传挂图、报纸杂志、广播电视、互联网、村务公开等方式，全方位开展补贴政策与实施工作宣传解读，着力提升政策知晓率，切实保障购机者、农机产销企业和广大农民群众的知情权、监督权。按职责分工和有关规定，健全完善农机购置补贴信息公开专栏，建立信息审核发布机制，按要求发布并公开本县农机购置补贴工作方案。政策宣传可持续。</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（3）服务对象满意度：90%及以上。</w:t>
      </w:r>
    </w:p>
    <w:p>
      <w:pPr>
        <w:numPr>
          <w:ilvl w:val="0"/>
          <w:numId w:val="0"/>
        </w:numPr>
        <w:spacing w:beforeLines="100" w:afterLines="100"/>
        <w:ind w:firstLine="640" w:firstLineChars="200"/>
        <w:rPr>
          <w:rFonts w:hint="eastAsia" w:ascii="黑体" w:hAnsi="黑体" w:eastAsia="黑体" w:cs="黑体"/>
          <w:kern w:val="0"/>
          <w:szCs w:val="32"/>
          <w:highlight w:val="none"/>
          <w:lang w:val="en-US" w:eastAsia="zh-CN"/>
        </w:rPr>
      </w:pPr>
      <w:r>
        <w:rPr>
          <w:rFonts w:hint="eastAsia" w:ascii="黑体" w:hAnsi="黑体" w:eastAsia="黑体" w:cs="黑体"/>
          <w:kern w:val="0"/>
          <w:szCs w:val="32"/>
          <w:highlight w:val="none"/>
          <w:lang w:val="en-US" w:eastAsia="zh-CN"/>
        </w:rPr>
        <w:t>二、资金来源及使用情况</w:t>
      </w:r>
    </w:p>
    <w:p>
      <w:pPr>
        <w:numPr>
          <w:ilvl w:val="0"/>
          <w:numId w:val="0"/>
        </w:numPr>
        <w:spacing w:beforeLines="100" w:afterLines="100"/>
        <w:ind w:firstLine="640" w:firstLineChars="200"/>
        <w:rPr>
          <w:rFonts w:hint="eastAsia" w:ascii="仿宋_GB2312" w:hAnsi="Times New Roman" w:cs="Times New Roman"/>
          <w:lang w:val="en-US" w:eastAsia="zh-CN"/>
        </w:rPr>
      </w:pPr>
      <w:r>
        <w:rPr>
          <w:rFonts w:hint="eastAsia" w:ascii="仿宋_GB2312" w:hAnsi="Times New Roman" w:cs="Times New Roman"/>
          <w:lang w:val="en-US" w:eastAsia="zh-CN"/>
        </w:rPr>
        <w:t>2022项目实际补贴资金273.7万元，本年结余1.3万元，已被财政收回。2022年8月5日支付资金235万元，2022年11月15日支付资金38.7万元；资金全部为农机具补贴项目。其中自走式玉米收获机40台，发放补贴资金133.91万元，占发放补贴资金总额的48.92%；旋耕机52台，发放补贴资金8.35万元，占发放补贴资金总额的3.05%；轮式拖拉机39台，发放补贴资金110.32万元，占发放补贴资金总额的40.31%；精量播种机54台，发放补贴资金8.48万元，占发放补贴资金总额的3.1%；其他机具30台套，发放补贴资金12.64万元，占发放补贴资金总额的4.62 %。从现场检查核实情况来看，补贴机具品种、规格及型号等基本符合</w:t>
      </w:r>
      <w:r>
        <w:rPr>
          <w:rFonts w:hint="eastAsia" w:ascii="仿宋_GB2312" w:cs="Times New Roman"/>
          <w:lang w:val="en-US" w:eastAsia="zh-CN"/>
        </w:rPr>
        <w:t>古县</w:t>
      </w:r>
      <w:r>
        <w:rPr>
          <w:rFonts w:hint="eastAsia" w:ascii="仿宋_GB2312" w:hAnsi="Times New Roman" w:cs="Times New Roman"/>
          <w:lang w:val="en-US" w:eastAsia="zh-CN"/>
        </w:rPr>
        <w:t xml:space="preserve">农业机械购置补贴产品范围，补贴标准也符合相关规定。 </w:t>
      </w:r>
    </w:p>
    <w:p>
      <w:pPr>
        <w:numPr>
          <w:ilvl w:val="0"/>
          <w:numId w:val="0"/>
        </w:numPr>
        <w:spacing w:beforeLines="100" w:afterLines="100"/>
        <w:ind w:firstLine="640" w:firstLineChars="200"/>
        <w:rPr>
          <w:rFonts w:hint="eastAsia" w:ascii="黑体" w:hAnsi="黑体" w:eastAsia="黑体" w:cs="黑体"/>
          <w:kern w:val="0"/>
          <w:szCs w:val="32"/>
          <w:highlight w:val="none"/>
          <w:lang w:val="en-US" w:eastAsia="zh-CN"/>
        </w:rPr>
      </w:pPr>
      <w:r>
        <w:rPr>
          <w:rFonts w:hint="eastAsia" w:ascii="黑体" w:hAnsi="黑体" w:eastAsia="黑体" w:cs="黑体"/>
          <w:kern w:val="0"/>
          <w:szCs w:val="32"/>
          <w:highlight w:val="none"/>
          <w:lang w:val="en-US" w:eastAsia="zh-CN"/>
        </w:rPr>
        <w:t>三、评价结论</w:t>
      </w:r>
    </w:p>
    <w:p>
      <w:pPr>
        <w:ind w:firstLine="640"/>
        <w:rPr>
          <w:rFonts w:hint="eastAsia"/>
          <w:lang w:eastAsia="zh-CN"/>
        </w:rPr>
      </w:pPr>
      <w:r>
        <w:rPr>
          <w:rFonts w:hint="eastAsia" w:ascii="仿宋_GB2312"/>
          <w:lang w:val="en-US" w:eastAsia="zh-CN"/>
        </w:rPr>
        <w:t>古县2022年农机具购置补贴项目</w:t>
      </w:r>
      <w:r>
        <w:rPr>
          <w:rFonts w:hint="eastAsia" w:ascii="仿宋_GB2312"/>
        </w:rPr>
        <w:t>支出绩效评价得</w:t>
      </w:r>
      <w:r>
        <w:rPr>
          <w:rFonts w:hint="eastAsia" w:ascii="仿宋_GB2312"/>
          <w:highlight w:val="none"/>
        </w:rPr>
        <w:t>分</w:t>
      </w:r>
      <w:r>
        <w:rPr>
          <w:rFonts w:hint="eastAsia" w:ascii="仿宋_GB2312"/>
          <w:highlight w:val="none"/>
          <w:lang w:val="en-US" w:eastAsia="zh-CN"/>
        </w:rPr>
        <w:t>92.8</w:t>
      </w:r>
      <w:r>
        <w:rPr>
          <w:rFonts w:hint="eastAsia" w:ascii="仿宋_GB2312"/>
          <w:highlight w:val="none"/>
        </w:rPr>
        <w:t>分</w:t>
      </w:r>
      <w:r>
        <w:rPr>
          <w:rFonts w:hint="eastAsia" w:ascii="仿宋_GB2312"/>
          <w:highlight w:val="none"/>
          <w:lang w:eastAsia="zh-CN"/>
        </w:rPr>
        <w:t>，</w:t>
      </w:r>
      <w:r>
        <w:rPr>
          <w:rFonts w:hint="eastAsia" w:ascii="仿宋_GB2312"/>
        </w:rPr>
        <w:t>绩效评价等级为“</w:t>
      </w:r>
      <w:r>
        <w:rPr>
          <w:rFonts w:hint="eastAsia" w:ascii="仿宋_GB2312"/>
          <w:lang w:val="en-US" w:eastAsia="zh-CN"/>
        </w:rPr>
        <w:t>优</w:t>
      </w:r>
      <w:r>
        <w:rPr>
          <w:rFonts w:hint="eastAsia" w:ascii="仿宋_GB2312"/>
        </w:rPr>
        <w:t>”。</w:t>
      </w:r>
      <w:r>
        <w:rPr>
          <w:rFonts w:hint="eastAsia" w:ascii="仿宋_GB2312"/>
          <w:lang w:val="en-US" w:eastAsia="zh-CN"/>
        </w:rPr>
        <w:t>项目整体</w:t>
      </w:r>
      <w:r>
        <w:rPr>
          <w:rFonts w:hint="eastAsia" w:ascii="仿宋_GB2312"/>
        </w:rPr>
        <w:t>详见下表</w:t>
      </w:r>
      <w:r>
        <w:rPr>
          <w:rFonts w:hint="eastAsia" w:ascii="仿宋_GB2312"/>
          <w:lang w:eastAsia="zh-CN"/>
        </w:rPr>
        <w:t>：</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center"/>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绩效评价得分表</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1"/>
        <w:gridCol w:w="1421"/>
        <w:gridCol w:w="1421"/>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指标</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决策</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过程</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产出</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效益</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标准分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 = sum(B2:E2) \* MERGEFORMAT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 w:val="24"/>
                <w:szCs w:val="24"/>
              </w:rPr>
              <w:t>100</w:t>
            </w:r>
            <w:r>
              <w:rPr>
                <w:rFonts w:hint="eastAsia" w:ascii="仿宋_GB2312" w:hAnsi="仿宋_GB2312" w:eastAsia="仿宋_GB2312" w:cs="仿宋_GB2312"/>
                <w:sz w:val="24"/>
                <w:szCs w:val="24"/>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lang w:eastAsia="zh-CN"/>
              </w:rPr>
            </w:pPr>
            <w:r>
              <w:rPr>
                <w:rFonts w:hint="eastAsia" w:ascii="仿宋_GB2312" w:hAnsi="仿宋_GB2312" w:eastAsia="仿宋_GB2312" w:cs="仿宋_GB2312"/>
                <w:sz w:val="24"/>
                <w:szCs w:val="24"/>
                <w:highlight w:val="none"/>
              </w:rPr>
              <w:t>1</w:t>
            </w:r>
            <w:r>
              <w:rPr>
                <w:rFonts w:hint="eastAsia" w:ascii="仿宋_GB2312" w:hAnsi="仿宋_GB2312" w:cs="仿宋_GB2312"/>
                <w:sz w:val="24"/>
                <w:szCs w:val="24"/>
                <w:highlight w:val="none"/>
                <w:lang w:val="en-US" w:eastAsia="zh-CN"/>
              </w:rPr>
              <w:t>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18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30</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26.8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92.8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得分率</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9</w:t>
            </w:r>
            <w:r>
              <w:rPr>
                <w:rFonts w:hint="eastAsia" w:ascii="仿宋_GB2312" w:hAnsi="仿宋_GB2312" w:cs="仿宋_GB2312"/>
                <w:sz w:val="24"/>
                <w:szCs w:val="24"/>
                <w:highlight w:val="none"/>
                <w:lang w:val="en-US" w:eastAsia="zh-CN"/>
              </w:rPr>
              <w:t>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100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89.33</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92.8</w:t>
            </w:r>
            <w:r>
              <w:rPr>
                <w:rFonts w:hint="eastAsia" w:ascii="仿宋_GB2312" w:hAnsi="仿宋_GB2312" w:eastAsia="仿宋_GB2312" w:cs="仿宋_GB2312"/>
                <w:sz w:val="24"/>
                <w:szCs w:val="24"/>
                <w:highlight w:val="none"/>
              </w:rPr>
              <w:t>%</w:t>
            </w:r>
          </w:p>
        </w:tc>
      </w:tr>
    </w:tbl>
    <w:p>
      <w:pPr>
        <w:ind w:firstLine="640"/>
        <w:rPr>
          <w:rFonts w:hint="default" w:ascii="仿宋_GB2312" w:hAnsi="仿宋_GB2312" w:eastAsia="仿宋_GB2312" w:cs="仿宋_GB2312"/>
          <w:lang w:val="en-US" w:eastAsia="zh-CN"/>
        </w:rPr>
      </w:pPr>
      <w:r>
        <w:rPr>
          <w:rFonts w:hint="eastAsia" w:ascii="仿宋_GB2312" w:hAnsi="仿宋_GB2312" w:eastAsia="仿宋_GB2312" w:cs="仿宋_GB2312"/>
          <w:lang w:val="en-US" w:eastAsia="zh-CN"/>
        </w:rPr>
        <w:t>项目整体完成情况较好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项目立项依据充分、立项程序规范、绩效目标合理、预算编制科学、资金分配合理、资金到位率</w:t>
      </w:r>
      <w:r>
        <w:rPr>
          <w:rFonts w:hint="eastAsia" w:ascii="仿宋_GB2312" w:hAnsi="仿宋_GB2312" w:cs="仿宋_GB2312"/>
          <w:lang w:val="en-US" w:eastAsia="zh-CN"/>
        </w:rPr>
        <w:t>为100%</w:t>
      </w:r>
      <w:r>
        <w:rPr>
          <w:rFonts w:hint="eastAsia" w:ascii="仿宋_GB2312" w:hAnsi="仿宋_GB2312" w:eastAsia="仿宋_GB2312" w:cs="仿宋_GB2312"/>
          <w:lang w:val="en-US" w:eastAsia="zh-CN"/>
        </w:rPr>
        <w:t>、预算执行率</w:t>
      </w:r>
      <w:r>
        <w:rPr>
          <w:rFonts w:hint="eastAsia" w:ascii="仿宋_GB2312" w:hAnsi="仿宋_GB2312" w:cs="仿宋_GB2312"/>
          <w:lang w:val="en-US" w:eastAsia="zh-CN"/>
        </w:rPr>
        <w:t>99%</w:t>
      </w:r>
      <w:r>
        <w:rPr>
          <w:rFonts w:hint="eastAsia" w:ascii="仿宋_GB2312" w:hAnsi="仿宋_GB2312" w:eastAsia="仿宋_GB2312" w:cs="仿宋_GB2312"/>
          <w:lang w:val="en-US" w:eastAsia="zh-CN"/>
        </w:rPr>
        <w:t>、资金使用合规、管理制度</w:t>
      </w:r>
      <w:r>
        <w:rPr>
          <w:rFonts w:hint="eastAsia" w:ascii="仿宋_GB2312" w:hAnsi="仿宋_GB2312" w:cs="仿宋_GB2312"/>
          <w:lang w:val="en-US" w:eastAsia="zh-CN"/>
        </w:rPr>
        <w:t>较</w:t>
      </w:r>
      <w:r>
        <w:rPr>
          <w:rFonts w:hint="eastAsia" w:ascii="仿宋_GB2312" w:hAnsi="仿宋_GB2312" w:eastAsia="仿宋_GB2312" w:cs="仿宋_GB2312"/>
          <w:lang w:val="en-US" w:eastAsia="zh-CN"/>
        </w:rPr>
        <w:t>健全、制度执行有效</w:t>
      </w:r>
      <w:r>
        <w:rPr>
          <w:rFonts w:hint="eastAsia" w:ascii="仿宋_GB2312" w:hAnsi="仿宋_GB2312" w:cs="仿宋_GB2312"/>
          <w:lang w:val="en-US" w:eastAsia="zh-CN"/>
        </w:rPr>
        <w:t>，项目应补尽补，补贴标准全部符合，补贴资金及时发放，经济效益和社会效益突出，不足之处为政策宣传度不高，仅通过村委微信群宣传，未多种方式宣传</w:t>
      </w:r>
      <w:r>
        <w:rPr>
          <w:rFonts w:hint="eastAsia" w:ascii="仿宋_GB2312" w:hAnsi="仿宋_GB2312" w:eastAsia="仿宋_GB2312" w:cs="仿宋_GB2312"/>
          <w:lang w:val="en-US" w:eastAsia="zh-CN"/>
        </w:rPr>
        <w:t>。</w:t>
      </w:r>
    </w:p>
    <w:p>
      <w:pPr>
        <w:spacing w:beforeLines="100" w:afterLines="100"/>
        <w:ind w:firstLine="640"/>
        <w:rPr>
          <w:rFonts w:hint="eastAsia" w:ascii="黑体" w:hAnsi="黑体" w:eastAsia="黑体" w:cs="黑体"/>
          <w:kern w:val="0"/>
          <w:szCs w:val="32"/>
          <w:lang w:val="en-US" w:eastAsia="zh-CN"/>
        </w:rPr>
      </w:pPr>
      <w:r>
        <w:rPr>
          <w:rFonts w:hint="eastAsia" w:ascii="黑体" w:hAnsi="黑体" w:eastAsia="黑体" w:cs="黑体"/>
          <w:kern w:val="0"/>
          <w:szCs w:val="32"/>
          <w:lang w:val="en-US" w:eastAsia="zh-CN"/>
        </w:rPr>
        <w:t>四</w:t>
      </w:r>
      <w:r>
        <w:rPr>
          <w:rFonts w:hint="eastAsia" w:ascii="黑体" w:hAnsi="黑体" w:eastAsia="黑体" w:cs="黑体"/>
          <w:kern w:val="0"/>
          <w:szCs w:val="32"/>
        </w:rPr>
        <w:t>、主要</w:t>
      </w:r>
      <w:r>
        <w:rPr>
          <w:rFonts w:hint="eastAsia" w:ascii="黑体" w:hAnsi="黑体" w:eastAsia="黑体" w:cs="黑体"/>
          <w:kern w:val="0"/>
          <w:szCs w:val="32"/>
          <w:lang w:val="en-US" w:eastAsia="zh-CN"/>
        </w:rPr>
        <w:t>绩效及</w:t>
      </w:r>
      <w:r>
        <w:rPr>
          <w:rFonts w:hint="eastAsia" w:ascii="黑体" w:hAnsi="黑体" w:eastAsia="黑体" w:cs="黑体"/>
          <w:kern w:val="0"/>
          <w:szCs w:val="32"/>
        </w:rPr>
        <w:t>经验</w:t>
      </w:r>
      <w:r>
        <w:rPr>
          <w:rFonts w:hint="eastAsia" w:ascii="黑体" w:hAnsi="黑体" w:eastAsia="黑体" w:cs="黑体"/>
          <w:kern w:val="0"/>
          <w:szCs w:val="32"/>
          <w:lang w:val="en-US" w:eastAsia="zh-CN"/>
        </w:rPr>
        <w:t>做法</w:t>
      </w:r>
    </w:p>
    <w:p>
      <w:pPr>
        <w:ind w:firstLine="640"/>
        <w:rPr>
          <w:rFonts w:hint="default" w:ascii="仿宋_GB2312" w:hAnsi="仿宋_GB2312" w:cs="仿宋_GB2312"/>
          <w:b/>
          <w:bCs/>
          <w:lang w:val="en-US" w:eastAsia="zh-CN"/>
        </w:rPr>
      </w:pPr>
      <w:r>
        <w:rPr>
          <w:rFonts w:hint="eastAsia" w:ascii="仿宋_GB2312" w:hAnsi="仿宋_GB2312" w:cs="仿宋_GB2312"/>
          <w:b/>
          <w:bCs/>
          <w:lang w:val="en-US" w:eastAsia="zh-CN"/>
        </w:rPr>
        <w:t>主要绩效：</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通过项目实施，有力地推动了农机消费，全县新增</w:t>
      </w:r>
      <w:r>
        <w:rPr>
          <w:rFonts w:hint="eastAsia" w:ascii="仿宋_GB2312" w:hAnsi="仿宋_GB2312" w:cs="仿宋_GB2312"/>
          <w:lang w:val="en-US" w:eastAsia="zh-CN"/>
        </w:rPr>
        <w:t>农机具502台</w:t>
      </w:r>
      <w:r>
        <w:rPr>
          <w:rFonts w:hint="eastAsia" w:ascii="仿宋_GB2312" w:hAnsi="仿宋_GB2312" w:eastAsia="仿宋_GB2312" w:cs="仿宋_GB2312"/>
          <w:lang w:val="en-US" w:eastAsia="zh-CN"/>
        </w:rPr>
        <w:t>，加速了农业机械化作业水平。实现山区小型机械化作业，提高了农机装备水平，解决了劳务输出等因素导致农村劳动力短缺的燃眉之急。取得了农民得实惠、企业得效益、政府得民心、事业得发展的良好效果。</w:t>
      </w:r>
    </w:p>
    <w:p>
      <w:pPr>
        <w:ind w:firstLine="640"/>
        <w:rPr>
          <w:rFonts w:hint="default" w:ascii="仿宋_GB2312" w:hAnsi="仿宋_GB2312" w:cs="仿宋_GB2312"/>
          <w:b/>
          <w:bCs/>
          <w:lang w:val="en-US" w:eastAsia="zh-CN"/>
        </w:rPr>
      </w:pPr>
      <w:r>
        <w:rPr>
          <w:rFonts w:hint="eastAsia" w:ascii="仿宋_GB2312" w:hAnsi="仿宋_GB2312" w:cs="仿宋_GB2312"/>
          <w:b/>
          <w:bCs/>
          <w:lang w:val="en-US" w:eastAsia="zh-CN"/>
        </w:rPr>
        <w:t>主要经验及做法：</w:t>
      </w:r>
    </w:p>
    <w:p>
      <w:pPr>
        <w:ind w:firstLine="640"/>
        <w:rPr>
          <w:rFonts w:hint="eastAsia" w:ascii="仿宋_GB2312" w:hAnsi="仿宋_GB2312" w:eastAsia="仿宋_GB2312" w:cs="仿宋_GB2312"/>
          <w:lang w:val="en-US" w:eastAsia="zh-CN"/>
        </w:rPr>
      </w:pPr>
      <w:r>
        <w:rPr>
          <w:rFonts w:hint="eastAsia" w:ascii="仿宋_GB2312" w:hAnsi="仿宋_GB2312" w:cs="仿宋_GB2312"/>
          <w:b/>
          <w:bCs/>
          <w:lang w:val="en-US" w:eastAsia="zh-CN"/>
        </w:rPr>
        <w:t xml:space="preserve">（一）部署快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安排相关业务人员参加了全省农机购置补贴工作会议，及时组织召开了全县农机购置补贴暨廉政教育和风险防控会议，传达上级文件精神并安排部署相关工作，发放工作资料，要求将宣传资料张贴到村。</w:t>
      </w:r>
    </w:p>
    <w:p>
      <w:pPr>
        <w:ind w:firstLine="640"/>
        <w:rPr>
          <w:rFonts w:hint="default" w:ascii="仿宋_GB2312" w:hAnsi="仿宋_GB2312" w:eastAsia="仿宋_GB2312" w:cs="仿宋_GB2312"/>
          <w:b/>
          <w:bCs/>
          <w:lang w:val="en-US" w:eastAsia="zh-CN"/>
        </w:rPr>
      </w:pPr>
      <w:r>
        <w:rPr>
          <w:rFonts w:hint="eastAsia" w:ascii="仿宋_GB2312" w:hAnsi="仿宋_GB2312" w:cs="仿宋_GB2312"/>
          <w:b/>
          <w:bCs/>
          <w:lang w:val="en-US" w:eastAsia="zh-CN"/>
        </w:rPr>
        <w:t>（二）监管实</w:t>
      </w:r>
    </w:p>
    <w:p>
      <w:pPr>
        <w:ind w:firstLine="640"/>
        <w:rPr>
          <w:rFonts w:hint="eastAsia"/>
          <w:lang w:val="en-US" w:eastAsia="zh-CN"/>
        </w:rPr>
      </w:pPr>
      <w:r>
        <w:rPr>
          <w:rFonts w:hint="eastAsia" w:ascii="仿宋_GB2312"/>
          <w:lang w:val="en-US" w:eastAsia="zh-CN"/>
        </w:rPr>
        <w:t>认真贯彻农机具购置补贴“四个严禁”和“八个不得”政策规定，在局领导带队下，不定期对各经销商进行监督检查，对补贴产品质量、价格、“三包”售后服务、经销商诚信经营、及时供货等政策落实情况进行全方位检查。对查出的问题进行及时纠正，全面接受社会监督。按照“三见一查”要求，对各批次结算农户进行抽查复核，杜绝套购补贴和坑农违规行为。</w:t>
      </w:r>
    </w:p>
    <w:p>
      <w:pPr>
        <w:spacing w:beforeLines="100" w:afterLines="100"/>
        <w:rPr>
          <w:rFonts w:ascii="黑体" w:hAnsi="黑体" w:eastAsia="黑体" w:cs="黑体"/>
          <w:kern w:val="0"/>
          <w:szCs w:val="32"/>
        </w:rPr>
      </w:pPr>
      <w:r>
        <w:rPr>
          <w:rFonts w:hint="eastAsia" w:ascii="黑体" w:hAnsi="黑体" w:eastAsia="黑体" w:cs="黑体"/>
          <w:kern w:val="0"/>
          <w:szCs w:val="32"/>
          <w:lang w:val="en-US" w:eastAsia="zh-CN"/>
        </w:rPr>
        <w:t>五</w:t>
      </w:r>
      <w:r>
        <w:rPr>
          <w:rFonts w:hint="eastAsia" w:ascii="黑体" w:hAnsi="黑体" w:eastAsia="黑体" w:cs="黑体"/>
          <w:kern w:val="0"/>
          <w:szCs w:val="32"/>
        </w:rPr>
        <w:t>、存在的问题及原因分析</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绩效指标设置不规范</w:t>
      </w:r>
    </w:p>
    <w:p>
      <w:pPr>
        <w:ind w:left="0" w:leftChars="0" w:firstLine="640" w:firstLineChars="200"/>
        <w:rPr>
          <w:rFonts w:hint="eastAsia" w:ascii="仿宋_GB2312"/>
          <w:lang w:val="en-US" w:eastAsia="zh-CN"/>
        </w:rPr>
      </w:pPr>
      <w:r>
        <w:rPr>
          <w:rFonts w:hint="eastAsia" w:ascii="仿宋_GB2312"/>
          <w:lang w:val="en-US" w:eastAsia="zh-CN"/>
        </w:rPr>
        <w:t xml:space="preserve">经评价组分析绩效目标申报表和自评报告了解，该项目绩效目标分别从产出、效益、满意度三个方面设置了绩效指标。但评价过程中发现，质量指标、社会效益指标存在设置不合理现象。未设置经济效益，设置了生态效益，此项目不应设置生态效益。 </w:t>
      </w:r>
    </w:p>
    <w:p>
      <w:pPr>
        <w:ind w:left="0" w:leftChars="0" w:firstLine="640" w:firstLineChars="200"/>
        <w:rPr>
          <w:rFonts w:hint="eastAsia" w:ascii="仿宋_GB2312"/>
          <w:lang w:val="en-US" w:eastAsia="zh-CN"/>
        </w:rPr>
      </w:pPr>
      <w:r>
        <w:rPr>
          <w:rFonts w:hint="eastAsia" w:ascii="仿宋_GB2312"/>
          <w:lang w:val="en-US" w:eastAsia="zh-CN"/>
        </w:rPr>
        <w:t>质量指标内容设置为“补贴机具合格率”，该指标不符合项目，应设置为“补贴标准符合率”；社会效益设置为“受益补贴总户数”，本指标应为数量指标，社会效益应为“促进规模化经营，提高农业生产现代化”。</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政策宣传不足</w:t>
      </w:r>
    </w:p>
    <w:p>
      <w:pPr>
        <w:ind w:firstLine="640"/>
        <w:rPr>
          <w:rFonts w:hint="eastAsia" w:ascii="仿宋_GB2312"/>
          <w:lang w:val="en-US" w:eastAsia="zh-CN"/>
        </w:rPr>
      </w:pPr>
      <w:r>
        <w:rPr>
          <w:rFonts w:hint="eastAsia" w:ascii="仿宋_GB2312"/>
          <w:lang w:val="en-US" w:eastAsia="zh-CN"/>
        </w:rPr>
        <w:t>经评价组查阅资料和问卷调查，农业农村（农机）部门仅用村委微信群方式宣传补贴政策，未综合运用宣传挂图、报纸杂志、广播电视、村务公开等方式宣传政策，未全方位开展补贴政策与实施工作宣传解读，未提升政策知晓率，经问卷调查，政策知晓率为75%。</w:t>
      </w:r>
    </w:p>
    <w:p>
      <w:pPr>
        <w:spacing w:beforeLines="100" w:afterLines="100"/>
        <w:ind w:firstLine="640"/>
        <w:rPr>
          <w:rFonts w:ascii="黑体" w:hAnsi="黑体" w:eastAsia="黑体" w:cs="黑体"/>
          <w:kern w:val="0"/>
          <w:szCs w:val="32"/>
        </w:rPr>
      </w:pPr>
      <w:r>
        <w:rPr>
          <w:rFonts w:hint="eastAsia" w:ascii="黑体" w:hAnsi="黑体" w:eastAsia="黑体" w:cs="黑体"/>
          <w:kern w:val="0"/>
          <w:szCs w:val="32"/>
          <w:lang w:val="en-US" w:eastAsia="zh-CN"/>
        </w:rPr>
        <w:t>六</w:t>
      </w:r>
      <w:r>
        <w:rPr>
          <w:rFonts w:hint="eastAsia" w:ascii="黑体" w:hAnsi="黑体" w:eastAsia="黑体" w:cs="黑体"/>
          <w:kern w:val="0"/>
          <w:szCs w:val="32"/>
        </w:rPr>
        <w:t>、建议</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rPr>
        <w:t>）重点要求绩效指标细化、量化</w:t>
      </w:r>
    </w:p>
    <w:p>
      <w:pPr>
        <w:ind w:firstLine="640"/>
        <w:rPr>
          <w:rFonts w:hint="eastAsia"/>
          <w:lang w:val="en-US" w:eastAsia="zh-CN"/>
        </w:rPr>
      </w:pPr>
      <w:r>
        <w:rPr>
          <w:rFonts w:hint="eastAsia"/>
          <w:lang w:val="en-US" w:eastAsia="zh-CN"/>
        </w:rPr>
        <w:t>建议主管单位重视项目绩效目标，加强财务人员和业务人员培训，增强相关人员预算管理理念和提炼绩效指标的能力，在进行未来年度项目预算申报时，制定绩效指标时，绩效管理人员应对项目决策、过程、产出、效益四个环节的设置进行充分沟通，设置与项目预算相匹配的细化、量化指标；必要时组织财务、绩效等方面的专家，对绩效指标进行审核，以提高绩效指标的合理性、明确性。</w:t>
      </w:r>
    </w:p>
    <w:p>
      <w:pPr>
        <w:spacing w:beforeLines="50" w:afterLines="50"/>
        <w:ind w:firstLine="643"/>
        <w:rPr>
          <w:rFonts w:hint="default" w:ascii="仿宋_GB2312" w:hAnsi="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多措并举、多方式宣传</w:t>
      </w:r>
    </w:p>
    <w:p>
      <w:pPr>
        <w:ind w:firstLine="640"/>
        <w:rPr>
          <w:rFonts w:hint="default"/>
          <w:lang w:val="en-US" w:eastAsia="zh-CN"/>
        </w:rPr>
      </w:pPr>
      <w:r>
        <w:rPr>
          <w:rFonts w:hint="default"/>
          <w:lang w:val="en-US" w:eastAsia="zh-CN"/>
        </w:rPr>
        <w:t>农业农村</w:t>
      </w:r>
      <w:r>
        <w:rPr>
          <w:rFonts w:hint="eastAsia"/>
          <w:lang w:val="en-US" w:eastAsia="zh-CN"/>
        </w:rPr>
        <w:t>（</w:t>
      </w:r>
      <w:r>
        <w:rPr>
          <w:rFonts w:hint="default"/>
          <w:lang w:val="en-US" w:eastAsia="zh-CN"/>
        </w:rPr>
        <w:t>农机</w:t>
      </w:r>
      <w:r>
        <w:rPr>
          <w:rFonts w:hint="eastAsia"/>
          <w:lang w:val="en-US" w:eastAsia="zh-CN"/>
        </w:rPr>
        <w:t>）</w:t>
      </w:r>
      <w:r>
        <w:rPr>
          <w:rFonts w:hint="default"/>
          <w:lang w:val="en-US" w:eastAsia="zh-CN"/>
        </w:rPr>
        <w:t>部门要因地制宜、综合运用宣传挂图、报纸杂志、广播电视、互联网、村务公开等方式，全方位开展补贴政策与实施工作宣传解读，着力提升政策知晓率，切实保障购机者、农机产销企业和广大农民群众的知情权、监督权。按职责分工和有关规定，健全完善农机购置补贴信息公开专栏，建立信息审核发布机制，按要求发布并公开本县农机购置补贴工作方案。政策宣传可持续。</w:t>
      </w:r>
    </w:p>
    <w:p>
      <w:pPr>
        <w:spacing w:beforeLines="100" w:afterLines="100"/>
        <w:ind w:firstLine="640"/>
        <w:rPr>
          <w:rFonts w:ascii="黑体" w:hAnsi="黑体" w:eastAsia="黑体" w:cs="黑体"/>
          <w:kern w:val="0"/>
          <w:szCs w:val="32"/>
        </w:rPr>
      </w:pPr>
      <w:r>
        <w:rPr>
          <w:rFonts w:hint="eastAsia" w:ascii="黑体" w:hAnsi="黑体" w:eastAsia="黑体" w:cs="黑体"/>
          <w:kern w:val="0"/>
          <w:szCs w:val="32"/>
          <w:lang w:val="en-US" w:eastAsia="zh-CN"/>
        </w:rPr>
        <w:t>七</w:t>
      </w:r>
      <w:r>
        <w:rPr>
          <w:rFonts w:ascii="黑体" w:hAnsi="黑体" w:eastAsia="黑体" w:cs="黑体"/>
          <w:kern w:val="0"/>
          <w:szCs w:val="32"/>
        </w:rPr>
        <w:t>、结果应用及建议</w:t>
      </w:r>
    </w:p>
    <w:p>
      <w:pPr>
        <w:ind w:firstLine="640"/>
        <w:rPr>
          <w:rFonts w:hint="eastAsia"/>
          <w:lang w:val="en-US" w:eastAsia="zh-CN"/>
        </w:rPr>
      </w:pPr>
      <w:r>
        <w:rPr>
          <w:rFonts w:hint="eastAsia"/>
          <w:lang w:val="en-US" w:eastAsia="zh-CN"/>
        </w:rPr>
        <w:t>绩效评价结果应用，既是开展绩效评价工作的基本前提，亦是加强财政支出管理、增强资金绩效理念、合理配置公共资源、优化财政支出结构、强化资金管理水平、提高资金使用效益的重要手段。</w:t>
      </w:r>
    </w:p>
    <w:p>
      <w:pPr>
        <w:ind w:firstLine="640"/>
        <w:rPr>
          <w:rFonts w:hint="eastAsia"/>
          <w:lang w:val="en-US" w:eastAsia="zh-CN"/>
        </w:rPr>
      </w:pPr>
      <w:r>
        <w:rPr>
          <w:rFonts w:hint="eastAsia"/>
          <w:lang w:val="en-US" w:eastAsia="zh-CN"/>
        </w:rPr>
        <w:t>（一）建议充分运用绩效评价结果，有效发挥绩效评价作用。建议将绩效评价结果与下一年度预算资金安排挂钩。</w:t>
      </w:r>
    </w:p>
    <w:p>
      <w:pPr>
        <w:ind w:firstLine="640"/>
        <w:rPr>
          <w:rFonts w:hint="eastAsia"/>
          <w:lang w:val="en-US" w:eastAsia="zh-CN"/>
        </w:rPr>
      </w:pPr>
      <w:r>
        <w:rPr>
          <w:rFonts w:hint="eastAsia"/>
          <w:lang w:val="en-US" w:eastAsia="zh-CN"/>
        </w:rPr>
        <w:t>（二）绩效评价结果反馈与整改机制。将本次绩效评价项目的绩效情况、存在问题及相关建议反馈给被评价单位，并督促其落实整改，以增强绩效评价工作的约束力。</w:t>
      </w:r>
    </w:p>
    <w:p>
      <w:pPr>
        <w:ind w:firstLine="640"/>
        <w:rPr>
          <w:rFonts w:hint="eastAsia"/>
          <w:lang w:val="en-US" w:eastAsia="zh-CN"/>
        </w:rPr>
      </w:pPr>
      <w:r>
        <w:rPr>
          <w:rFonts w:hint="eastAsia"/>
          <w:lang w:val="en-US" w:eastAsia="zh-CN"/>
        </w:rPr>
        <w:t>（三）按规定通报、公示绩效评价结果。促进和增强各级财政部门、相关主管部门及社会各界对绩效评价工作重要性的认识。</w:t>
      </w:r>
    </w:p>
    <w:p>
      <w:pPr>
        <w:ind w:firstLine="640"/>
      </w:pPr>
    </w:p>
    <w:p>
      <w:pPr>
        <w:pStyle w:val="7"/>
      </w:pPr>
    </w:p>
    <w:p>
      <w:r>
        <w:br w:type="page"/>
      </w:r>
    </w:p>
    <w:p>
      <w:pPr>
        <w:pStyle w:val="10"/>
      </w:pPr>
    </w:p>
    <w:p>
      <w:pPr>
        <w:widowControl/>
        <w:ind w:firstLine="0" w:firstLineChars="0"/>
        <w:jc w:val="center"/>
        <w:rPr>
          <w:rFonts w:hint="eastAsia" w:ascii="黑体" w:hAnsi="黑体" w:eastAsia="黑体" w:cs="黑体"/>
          <w:b w:val="0"/>
          <w:bCs w:val="0"/>
          <w:kern w:val="0"/>
          <w:sz w:val="44"/>
          <w:szCs w:val="44"/>
          <w:lang w:val="en-US" w:eastAsia="zh-CN"/>
        </w:rPr>
      </w:pPr>
      <w:r>
        <w:rPr>
          <w:rFonts w:hint="eastAsia" w:ascii="黑体" w:hAnsi="黑体" w:eastAsia="黑体" w:cs="黑体"/>
          <w:b w:val="0"/>
          <w:bCs w:val="0"/>
          <w:kern w:val="0"/>
          <w:sz w:val="44"/>
          <w:szCs w:val="44"/>
          <w:lang w:val="en-US" w:eastAsia="zh-CN"/>
        </w:rPr>
        <w:t>古县2022年农机具购置补贴项目</w:t>
      </w:r>
    </w:p>
    <w:p>
      <w:pPr>
        <w:widowControl/>
        <w:ind w:firstLine="0" w:firstLineChars="0"/>
        <w:jc w:val="center"/>
        <w:rPr>
          <w:rFonts w:hint="eastAsia" w:ascii="黑体" w:hAnsi="黑体" w:eastAsia="黑体" w:cs="黑体"/>
          <w:b w:val="0"/>
          <w:bCs w:val="0"/>
          <w:kern w:val="0"/>
          <w:sz w:val="44"/>
          <w:szCs w:val="44"/>
        </w:rPr>
      </w:pPr>
      <w:r>
        <w:rPr>
          <w:rFonts w:hint="eastAsia" w:ascii="黑体" w:hAnsi="黑体" w:eastAsia="黑体" w:cs="黑体"/>
          <w:b w:val="0"/>
          <w:bCs w:val="0"/>
          <w:kern w:val="0"/>
          <w:sz w:val="44"/>
          <w:szCs w:val="44"/>
        </w:rPr>
        <w:t>绩效评价报告</w:t>
      </w:r>
    </w:p>
    <w:p>
      <w:pPr>
        <w:widowControl/>
        <w:ind w:firstLine="883"/>
        <w:jc w:val="center"/>
        <w:rPr>
          <w:rFonts w:ascii="仿宋_GB2312" w:hAnsi="仿宋_GB2312" w:cs="仿宋_GB2312"/>
          <w:b/>
          <w:kern w:val="0"/>
          <w:sz w:val="44"/>
          <w:szCs w:val="44"/>
        </w:rPr>
      </w:pPr>
    </w:p>
    <w:p>
      <w:pPr>
        <w:ind w:firstLine="640"/>
        <w:rPr>
          <w:rFonts w:hint="eastAsia" w:ascii="仿宋_GB2312"/>
        </w:rPr>
      </w:pPr>
      <w:r>
        <w:rPr>
          <w:rFonts w:hint="eastAsia" w:ascii="仿宋_GB2312"/>
        </w:rPr>
        <w:t>受</w:t>
      </w:r>
      <w:r>
        <w:rPr>
          <w:rFonts w:hint="eastAsia" w:ascii="仿宋_GB2312"/>
          <w:lang w:eastAsia="zh-CN"/>
        </w:rPr>
        <w:t>古县财政局</w:t>
      </w:r>
      <w:r>
        <w:rPr>
          <w:rFonts w:hint="eastAsia" w:ascii="仿宋_GB2312"/>
        </w:rPr>
        <w:t>委托</w:t>
      </w:r>
      <w:r>
        <w:rPr>
          <w:rFonts w:hint="eastAsia" w:ascii="仿宋_GB2312"/>
          <w:lang w:eastAsia="zh-CN"/>
        </w:rPr>
        <w:t>，</w:t>
      </w:r>
      <w:r>
        <w:rPr>
          <w:rFonts w:hint="eastAsia" w:ascii="仿宋_GB2312"/>
        </w:rPr>
        <w:t>我公司承担</w:t>
      </w:r>
      <w:r>
        <w:rPr>
          <w:rFonts w:hint="eastAsia" w:ascii="仿宋_GB2312"/>
          <w:lang w:val="en-US" w:eastAsia="zh-CN"/>
        </w:rPr>
        <w:t>古县2022年农机具购置补贴项目</w:t>
      </w:r>
      <w:r>
        <w:rPr>
          <w:rFonts w:hint="eastAsia" w:ascii="仿宋_GB2312"/>
        </w:rPr>
        <w:t>支出资金的绩效评价工作。根据《中共中央国务院关于全面实施预算绩效管理的意见》（中发〔2018〕34号）、《财政部关于印发</w:t>
      </w:r>
      <w:r>
        <w:rPr>
          <w:rFonts w:hint="eastAsia" w:ascii="仿宋_GB2312"/>
          <w:lang w:eastAsia="zh-CN"/>
        </w:rPr>
        <w:t>〈</w:t>
      </w:r>
      <w:r>
        <w:rPr>
          <w:rFonts w:hint="eastAsia" w:ascii="仿宋_GB2312"/>
        </w:rPr>
        <w:t>项目支出绩效评价管理办法</w:t>
      </w:r>
      <w:r>
        <w:rPr>
          <w:rFonts w:hint="eastAsia" w:ascii="仿宋_GB2312"/>
          <w:lang w:eastAsia="zh-CN"/>
        </w:rPr>
        <w:t>〉</w:t>
      </w:r>
      <w:r>
        <w:rPr>
          <w:rFonts w:hint="eastAsia" w:ascii="仿宋_GB2312"/>
        </w:rPr>
        <w:t>的通知》（财预〔2020〕10 号）、山西省财政厅《省级项目支出绩效评价管理办法</w:t>
      </w:r>
      <w:r>
        <w:rPr>
          <w:rFonts w:hint="eastAsia" w:ascii="仿宋_GB2312"/>
          <w:lang w:eastAsia="zh-CN"/>
        </w:rPr>
        <w:t>》《</w:t>
      </w:r>
      <w:r>
        <w:rPr>
          <w:rFonts w:hint="eastAsia" w:ascii="仿宋_GB2312"/>
        </w:rPr>
        <w:t>中共山西省委 山西省人民政府关于全面实施预算绩效管理的实施意见》（晋发〔2018〕39号）、</w:t>
      </w:r>
      <w:r>
        <w:rPr>
          <w:rFonts w:hint="eastAsia" w:ascii="仿宋_GB2312"/>
          <w:lang w:eastAsia="zh-CN"/>
        </w:rPr>
        <w:t>《</w:t>
      </w:r>
      <w:r>
        <w:rPr>
          <w:rFonts w:hint="eastAsia" w:ascii="仿宋_GB2312"/>
          <w:lang w:val="en-US" w:eastAsia="zh-CN"/>
        </w:rPr>
        <w:t>关于印发《2023年度财政重点绩效评价实施方案》的通知</w:t>
      </w:r>
      <w:r>
        <w:rPr>
          <w:rFonts w:hint="eastAsia" w:ascii="仿宋_GB2312"/>
          <w:lang w:eastAsia="zh-CN"/>
        </w:rPr>
        <w:t>》（古财字〔20</w:t>
      </w:r>
      <w:r>
        <w:rPr>
          <w:rFonts w:hint="eastAsia" w:ascii="仿宋_GB2312"/>
          <w:lang w:val="en-US" w:eastAsia="zh-CN"/>
        </w:rPr>
        <w:t>23</w:t>
      </w:r>
      <w:r>
        <w:rPr>
          <w:rFonts w:hint="eastAsia" w:ascii="仿宋_GB2312"/>
          <w:lang w:eastAsia="zh-CN"/>
        </w:rPr>
        <w:t>〕</w:t>
      </w:r>
      <w:r>
        <w:rPr>
          <w:rFonts w:hint="eastAsia" w:ascii="仿宋_GB2312"/>
          <w:lang w:val="en-US" w:eastAsia="zh-CN"/>
        </w:rPr>
        <w:t>59</w:t>
      </w:r>
      <w:r>
        <w:rPr>
          <w:rFonts w:hint="eastAsia" w:ascii="仿宋_GB2312"/>
          <w:lang w:eastAsia="zh-CN"/>
        </w:rPr>
        <w:t>号）</w:t>
      </w:r>
      <w:r>
        <w:rPr>
          <w:rFonts w:hint="eastAsia" w:ascii="仿宋_GB2312"/>
        </w:rPr>
        <w:t>等文件</w:t>
      </w:r>
      <w:r>
        <w:rPr>
          <w:rFonts w:hint="eastAsia" w:ascii="仿宋_GB2312"/>
          <w:lang w:eastAsia="zh-CN"/>
        </w:rPr>
        <w:t>，</w:t>
      </w:r>
      <w:r>
        <w:rPr>
          <w:rFonts w:hint="eastAsia" w:ascii="仿宋_GB2312"/>
        </w:rPr>
        <w:t>对</w:t>
      </w:r>
      <w:r>
        <w:rPr>
          <w:rFonts w:hint="eastAsia" w:ascii="仿宋_GB2312"/>
          <w:lang w:val="en-US" w:eastAsia="zh-CN"/>
        </w:rPr>
        <w:t>古县2022年农机具购置补贴项目</w:t>
      </w:r>
      <w:r>
        <w:rPr>
          <w:rFonts w:hint="eastAsia" w:ascii="仿宋_GB2312"/>
        </w:rPr>
        <w:t>支出资金进行全面的分析和综合评价。我们本着客观、公平、公正的原则</w:t>
      </w:r>
      <w:r>
        <w:rPr>
          <w:rFonts w:hint="eastAsia" w:ascii="仿宋_GB2312"/>
          <w:lang w:eastAsia="zh-CN"/>
        </w:rPr>
        <w:t>，</w:t>
      </w:r>
      <w:r>
        <w:rPr>
          <w:rFonts w:hint="eastAsia" w:ascii="仿宋_GB2312"/>
        </w:rPr>
        <w:t>现将绩效评价情况报告如下：</w:t>
      </w:r>
    </w:p>
    <w:p>
      <w:pPr>
        <w:pStyle w:val="3"/>
        <w:ind w:firstLine="640"/>
        <w:rPr>
          <w:rFonts w:hint="eastAsia"/>
        </w:rPr>
      </w:pPr>
      <w:bookmarkStart w:id="2" w:name="_Toc10838"/>
      <w:r>
        <w:rPr>
          <w:rFonts w:hint="eastAsia"/>
          <w:lang w:val="en-US" w:eastAsia="zh-CN"/>
        </w:rPr>
        <w:t>一、项目</w:t>
      </w:r>
      <w:r>
        <w:rPr>
          <w:rFonts w:hint="eastAsia"/>
        </w:rPr>
        <w:t>基本情况</w:t>
      </w:r>
      <w:bookmarkEnd w:id="1"/>
      <w:bookmarkEnd w:id="2"/>
      <w:bookmarkStart w:id="3" w:name="_Toc17963"/>
    </w:p>
    <w:p>
      <w:pPr>
        <w:pStyle w:val="4"/>
        <w:ind w:left="0" w:leftChars="0" w:firstLine="320" w:firstLineChars="100"/>
        <w:rPr>
          <w:rFonts w:hint="eastAsia" w:ascii="仿宋_GB2312"/>
          <w:lang w:val="en-US" w:eastAsia="zh-CN"/>
        </w:rPr>
      </w:pPr>
      <w:bookmarkStart w:id="4" w:name="_Toc6509"/>
      <w:r>
        <w:rPr>
          <w:rFonts w:ascii="仿宋_GB2312"/>
        </w:rPr>
        <w:t>（一）</w:t>
      </w:r>
      <w:bookmarkEnd w:id="3"/>
      <w:r>
        <w:rPr>
          <w:rFonts w:hint="eastAsia" w:ascii="仿宋_GB2312"/>
        </w:rPr>
        <w:t>项目</w:t>
      </w:r>
      <w:r>
        <w:rPr>
          <w:rFonts w:hint="eastAsia" w:ascii="仿宋_GB2312"/>
          <w:lang w:val="en-US" w:eastAsia="zh-CN"/>
        </w:rPr>
        <w:t>概况</w:t>
      </w:r>
      <w:bookmarkEnd w:id="4"/>
    </w:p>
    <w:p>
      <w:pPr>
        <w:keepNext/>
        <w:keepLines/>
        <w:pageBreakBefore w:val="0"/>
        <w:widowControl w:val="0"/>
        <w:kinsoku/>
        <w:wordWrap/>
        <w:overflowPunct/>
        <w:topLinePunct w:val="0"/>
        <w:autoSpaceDE/>
        <w:autoSpaceDN/>
        <w:bidi w:val="0"/>
        <w:adjustRightInd/>
        <w:snapToGrid/>
        <w:ind w:firstLine="640"/>
        <w:textAlignment w:val="auto"/>
        <w:outlineLvl w:val="9"/>
        <w:rPr>
          <w:rFonts w:hint="default"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1.项目背景</w:t>
      </w:r>
    </w:p>
    <w:p>
      <w:pPr>
        <w:ind w:left="0" w:leftChars="0" w:firstLine="640" w:firstLineChars="200"/>
        <w:rPr>
          <w:rFonts w:hint="eastAsia"/>
          <w:lang w:val="en-US" w:eastAsia="zh-CN"/>
        </w:rPr>
      </w:pPr>
      <w:r>
        <w:rPr>
          <w:rFonts w:hint="eastAsia"/>
          <w:lang w:val="en-US" w:eastAsia="zh-CN"/>
        </w:rPr>
        <w:t>坚持以习近平新时代中国特色社会主义思想为指导，全面贯彻党的十九大和十九届二中、三中、四中、五中全会精神，落实党中央“三农”工作决策部署和《国务院关于加快推进农业机械化和农机装备产业转型升级的指导意见》（国发〔2018〕42号）要求，以满足亿万农民对机械化生产的需要为目标，以稳定实施政策、最大限度发挥政策效益为主线，落实构建新发展格局要求，破除制约要素合理流动的堵点，进一步畅通农业机械化发展各个环节，支持引导农民购置使用先进适用的农业机械，引领推动农业机械化向全程全面高质高效转型升级，加快提升农业机械化产业链现代化水平，为实施乡村振兴战略、推进农业农村现代化提供坚实支撑。</w:t>
      </w:r>
    </w:p>
    <w:p>
      <w:pPr>
        <w:ind w:left="0" w:leftChars="0" w:firstLine="640" w:firstLineChars="200"/>
        <w:rPr>
          <w:rFonts w:hint="eastAsia"/>
          <w:lang w:val="en-US" w:eastAsia="zh-CN"/>
        </w:rPr>
      </w:pPr>
      <w:r>
        <w:rPr>
          <w:rFonts w:hint="eastAsia"/>
          <w:lang w:val="en-US" w:eastAsia="zh-CN"/>
        </w:rPr>
        <w:t>为贯彻落实好国家农机购置补贴政策，切实做好2021至2023年农机购置补贴工作，支持引导农民购置先进适用的农业机械，推动全省农机化向全程全面高质高效转型升级，助力乡村振兴战略实施，紧紧围绕山西农业“特”“优”发展战略，以满足农民群众对机械化生产的需要为目标，以稳定实施政策、最大限度发挥政策效益为主线，落实“机、田、证”协调推进、“人、地、机”融合发展的新要求，破除制约要素合理流动的堵点，进一步畅通农业机械化发展各个环节，支持引导农民购置使用先进适用的农业机械，引领推动农业机械化向全程全面高质高效转型升级，为实施乡村振兴战略、推进全省农业农村现代化提供坚实支撑。</w:t>
      </w:r>
    </w:p>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lang w:val="en-US" w:eastAsia="zh-CN"/>
        </w:rPr>
      </w:pPr>
      <w:r>
        <w:rPr>
          <w:rFonts w:hint="eastAsia"/>
          <w:lang w:val="en-US" w:eastAsia="zh-CN"/>
        </w:rPr>
        <w:t>临汾市制定《2021—2023年全市农业机械购置补贴实施细则》，文件要求将粮食、生猪等重要农畜产品生产所需机具全部列入补贴范围，应补尽补。探索开展粮食烘干等成套设施装备及高端智能自主创新农机新产品补贴试点工作。推广使用具有自主知识产权的智能终端设备，确保农业生产数据安全。开展农机专项鉴定，支持农机创新产品取得补贴资质，尽快列入补贴范围</w:t>
      </w:r>
      <w:bookmarkStart w:id="5" w:name="_Toc75440691"/>
      <w:bookmarkStart w:id="6" w:name="_Toc11107"/>
      <w:bookmarkStart w:id="7" w:name="_Toc1880"/>
      <w:r>
        <w:rPr>
          <w:rFonts w:hint="eastAsia"/>
          <w:lang w:val="en-US" w:eastAsia="zh-CN"/>
        </w:rPr>
        <w:t>。</w:t>
      </w:r>
    </w:p>
    <w:p>
      <w:pPr>
        <w:keepNext/>
        <w:keepLines/>
        <w:pageBreakBefore w:val="0"/>
        <w:widowControl w:val="0"/>
        <w:kinsoku/>
        <w:wordWrap/>
        <w:overflowPunct/>
        <w:topLinePunct w:val="0"/>
        <w:autoSpaceDE/>
        <w:autoSpaceDN/>
        <w:bidi w:val="0"/>
        <w:adjustRightInd/>
        <w:snapToGrid/>
        <w:ind w:firstLine="640"/>
        <w:textAlignment w:val="auto"/>
        <w:outlineLvl w:val="9"/>
        <w:rPr>
          <w:rFonts w:hint="default"/>
          <w:lang w:val="en-US" w:eastAsia="zh-CN"/>
        </w:rPr>
      </w:pPr>
      <w:r>
        <w:rPr>
          <w:rFonts w:hint="eastAsia"/>
          <w:lang w:val="en-US" w:eastAsia="zh-CN"/>
        </w:rPr>
        <w:t>古县为贯彻落实好国家农机机械购置补贴政策，根据临汾市要求，制定古县2021—2023年农业机械购置补贴工作方案，2022年农机具补贴215台，共计补贴资金273.7万元。</w:t>
      </w:r>
    </w:p>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2.立项依据</w:t>
      </w:r>
      <w:bookmarkEnd w:id="5"/>
    </w:p>
    <w:p>
      <w:pPr>
        <w:numPr>
          <w:ilvl w:val="0"/>
          <w:numId w:val="0"/>
        </w:numPr>
        <w:ind w:firstLine="640" w:firstLineChars="200"/>
      </w:pPr>
      <w:r>
        <w:rPr>
          <w:rFonts w:hint="eastAsia"/>
        </w:rPr>
        <w:t>本项目的立项依据包括但不限于：</w:t>
      </w:r>
    </w:p>
    <w:p>
      <w:pPr>
        <w:numPr>
          <w:ilvl w:val="0"/>
          <w:numId w:val="1"/>
        </w:numPr>
        <w:ind w:firstLine="640"/>
      </w:pPr>
      <w:r>
        <w:rPr>
          <w:rFonts w:hint="eastAsia"/>
        </w:rPr>
        <w:t>《国务院关于加快推进农业机械化和农机装备产业转型升级的指导意见》（国发〔2018〕42号）</w:t>
      </w:r>
      <w:r>
        <w:rPr>
          <w:rFonts w:hint="eastAsia"/>
          <w:lang w:eastAsia="zh-CN"/>
        </w:rPr>
        <w:t>；</w:t>
      </w:r>
    </w:p>
    <w:p>
      <w:pPr>
        <w:numPr>
          <w:ilvl w:val="0"/>
          <w:numId w:val="1"/>
        </w:numPr>
        <w:ind w:firstLine="640"/>
      </w:pPr>
      <w:r>
        <w:rPr>
          <w:rFonts w:hint="eastAsia"/>
          <w:lang w:val="en-US" w:eastAsia="zh-CN"/>
        </w:rPr>
        <w:t>农业农村部办公厅 财政部办公厅关于印发《2021—2023年农机购置补贴实施指导意见》的通知（2021年10月20 ）；</w:t>
      </w:r>
    </w:p>
    <w:p>
      <w:pPr>
        <w:numPr>
          <w:ilvl w:val="0"/>
          <w:numId w:val="1"/>
        </w:numPr>
        <w:ind w:firstLine="640"/>
      </w:pPr>
      <w:r>
        <w:rPr>
          <w:rFonts w:hint="eastAsia"/>
          <w:lang w:val="en-US" w:eastAsia="zh-CN"/>
        </w:rPr>
        <w:t>农业农村部农业机械化管理司关于做好《农业机械分类》标准宣传贯彻实施工作的函（农机管〔2021〕27号）；</w:t>
      </w:r>
    </w:p>
    <w:p>
      <w:pPr>
        <w:numPr>
          <w:ilvl w:val="0"/>
          <w:numId w:val="1"/>
        </w:numPr>
        <w:ind w:firstLine="640"/>
      </w:pPr>
      <w:r>
        <w:rPr>
          <w:rFonts w:hint="eastAsia"/>
        </w:rPr>
        <w:t>农业农村部办公厅、财政部办公厅、商务部办公厅关于印发《农业机械报废更新补贴实施指导意见》</w:t>
      </w:r>
      <w:r>
        <w:rPr>
          <w:rFonts w:hint="eastAsia"/>
          <w:lang w:eastAsia="zh-CN"/>
        </w:rPr>
        <w:t>（</w:t>
      </w:r>
      <w:r>
        <w:rPr>
          <w:rFonts w:hint="eastAsia"/>
        </w:rPr>
        <w:t>农办机〔2020〕2号</w:t>
      </w:r>
      <w:r>
        <w:rPr>
          <w:rFonts w:hint="eastAsia"/>
          <w:lang w:eastAsia="zh-CN"/>
        </w:rPr>
        <w:t>）</w:t>
      </w:r>
      <w:r>
        <w:rPr>
          <w:rFonts w:hint="eastAsia"/>
        </w:rPr>
        <w:t>；</w:t>
      </w:r>
    </w:p>
    <w:p>
      <w:pPr>
        <w:numPr>
          <w:ilvl w:val="0"/>
          <w:numId w:val="1"/>
        </w:numPr>
        <w:ind w:firstLine="640"/>
        <w:rPr>
          <w:rFonts w:hint="eastAsia"/>
        </w:rPr>
      </w:pPr>
      <w:r>
        <w:rPr>
          <w:rFonts w:hint="eastAsia"/>
        </w:rPr>
        <w:t>山西省农业农村厅、山西省财政厅、山西省商务厅关于印发《全省农业机械报废更新补贴实施方案》的通知（晋农机发〔2020〕4号）（晋农机发〔2021〕5号）；</w:t>
      </w:r>
    </w:p>
    <w:p>
      <w:pPr>
        <w:numPr>
          <w:ilvl w:val="0"/>
          <w:numId w:val="1"/>
        </w:numPr>
        <w:ind w:firstLine="640"/>
      </w:pPr>
      <w:r>
        <w:rPr>
          <w:rFonts w:hint="eastAsia"/>
        </w:rPr>
        <w:t>《农业农村部办公厅、财政部办公厅关于印发〈2021</w:t>
      </w:r>
      <w:r>
        <w:rPr>
          <w:rFonts w:hint="eastAsia"/>
          <w:lang w:eastAsia="zh-CN"/>
        </w:rPr>
        <w:t>—</w:t>
      </w:r>
      <w:r>
        <w:rPr>
          <w:rFonts w:hint="eastAsia"/>
        </w:rPr>
        <w:t>2023年农机购置补贴实施指导意见的通知〉》（农办计财〔2021〕8号）；</w:t>
      </w:r>
    </w:p>
    <w:p>
      <w:pPr>
        <w:numPr>
          <w:ilvl w:val="0"/>
          <w:numId w:val="1"/>
        </w:numPr>
        <w:ind w:firstLine="640"/>
        <w:rPr>
          <w:rFonts w:hint="eastAsia"/>
        </w:rPr>
      </w:pPr>
      <w:r>
        <w:rPr>
          <w:rFonts w:hint="eastAsia"/>
        </w:rPr>
        <w:t>《农业农村部农业机械化总站关于修订〈2021</w:t>
      </w:r>
      <w:r>
        <w:rPr>
          <w:rFonts w:hint="eastAsia"/>
          <w:lang w:eastAsia="zh-CN"/>
        </w:rPr>
        <w:t>—</w:t>
      </w:r>
      <w:r>
        <w:rPr>
          <w:rFonts w:hint="eastAsia"/>
        </w:rPr>
        <w:t>2023年全国农机购置补贴机具种类范围〉的通知》（农机化总站〔2022〕4号）；</w:t>
      </w:r>
    </w:p>
    <w:p>
      <w:pPr>
        <w:numPr>
          <w:ilvl w:val="0"/>
          <w:numId w:val="1"/>
        </w:numPr>
        <w:ind w:firstLine="640"/>
        <w:rPr>
          <w:rFonts w:hint="eastAsia"/>
          <w:lang w:eastAsia="zh-CN"/>
        </w:rPr>
      </w:pPr>
      <w:r>
        <w:rPr>
          <w:rFonts w:hint="eastAsia"/>
          <w:szCs w:val="30"/>
          <w:lang w:eastAsia="zh-CN"/>
        </w:rPr>
        <w:t>《山西省农业机械发展中心关于农机购置补贴机具种类范围修订及补贴额一览表的公示》（晋农机装函〔2022〕2号）；</w:t>
      </w:r>
    </w:p>
    <w:p>
      <w:pPr>
        <w:numPr>
          <w:ilvl w:val="0"/>
          <w:numId w:val="1"/>
        </w:numPr>
        <w:ind w:firstLine="640"/>
        <w:rPr>
          <w:rFonts w:hint="eastAsia"/>
          <w:lang w:eastAsia="zh-CN"/>
        </w:rPr>
      </w:pPr>
      <w:r>
        <w:rPr>
          <w:rFonts w:hint="eastAsia"/>
          <w:lang w:val="en-US" w:eastAsia="zh-CN"/>
        </w:rPr>
        <w:t>山西省关于印发《2021—2023年全省农业机械购置补贴实施方案》的通知（晋农机发〔2021〕5号）；</w:t>
      </w:r>
    </w:p>
    <w:p>
      <w:pPr>
        <w:numPr>
          <w:ilvl w:val="0"/>
          <w:numId w:val="1"/>
        </w:numPr>
        <w:ind w:firstLine="640"/>
        <w:rPr>
          <w:rFonts w:hint="eastAsia"/>
          <w:lang w:eastAsia="zh-CN"/>
        </w:rPr>
      </w:pPr>
      <w:r>
        <w:rPr>
          <w:rFonts w:hint="eastAsia"/>
          <w:lang w:eastAsia="zh-CN"/>
        </w:rPr>
        <w:t>《临汾市</w:t>
      </w:r>
      <w:r>
        <w:rPr>
          <w:rFonts w:hint="eastAsia"/>
          <w:lang w:val="en-US" w:eastAsia="zh-CN"/>
        </w:rPr>
        <w:t>2021—2023年农业机械购置补贴实施细则</w:t>
      </w:r>
      <w:r>
        <w:rPr>
          <w:rFonts w:hint="eastAsia"/>
          <w:lang w:eastAsia="zh-CN"/>
        </w:rPr>
        <w:t>》（临农（农</w:t>
      </w:r>
      <w:r>
        <w:rPr>
          <w:rFonts w:hint="eastAsia"/>
          <w:lang w:val="en-US" w:eastAsia="zh-CN"/>
        </w:rPr>
        <w:t>机</w:t>
      </w:r>
      <w:r>
        <w:rPr>
          <w:rFonts w:hint="eastAsia"/>
          <w:lang w:eastAsia="zh-CN"/>
        </w:rPr>
        <w:t>）发</w:t>
      </w:r>
      <w:r>
        <w:rPr>
          <w:rFonts w:hint="eastAsia"/>
        </w:rPr>
        <w:t>〔202</w:t>
      </w:r>
      <w:r>
        <w:rPr>
          <w:rFonts w:hint="eastAsia"/>
          <w:lang w:val="en-US" w:eastAsia="zh-CN"/>
        </w:rPr>
        <w:t>1</w:t>
      </w:r>
      <w:r>
        <w:rPr>
          <w:rFonts w:hint="eastAsia"/>
        </w:rPr>
        <w:t>〕</w:t>
      </w:r>
      <w:r>
        <w:rPr>
          <w:rFonts w:hint="eastAsia"/>
          <w:lang w:val="en-US" w:eastAsia="zh-CN"/>
        </w:rPr>
        <w:t>90</w:t>
      </w:r>
      <w:r>
        <w:rPr>
          <w:rFonts w:hint="eastAsia"/>
          <w:lang w:eastAsia="zh-CN"/>
        </w:rPr>
        <w:t>号）；</w:t>
      </w:r>
    </w:p>
    <w:p>
      <w:pPr>
        <w:numPr>
          <w:ilvl w:val="0"/>
          <w:numId w:val="1"/>
        </w:numPr>
        <w:ind w:firstLine="640"/>
        <w:rPr>
          <w:rFonts w:hint="default"/>
          <w:lang w:val="en-US" w:eastAsia="zh-CN"/>
        </w:rPr>
      </w:pPr>
      <w:r>
        <w:rPr>
          <w:rFonts w:hint="eastAsia"/>
          <w:lang w:val="en-US" w:eastAsia="zh-CN"/>
        </w:rPr>
        <w:t>《古县2021—2023年农业机械购置补贴工作方案》（古农机字</w:t>
      </w:r>
      <w:r>
        <w:rPr>
          <w:rFonts w:hint="eastAsia"/>
        </w:rPr>
        <w:t>〔202</w:t>
      </w:r>
      <w:r>
        <w:rPr>
          <w:rFonts w:hint="eastAsia"/>
          <w:lang w:val="en-US" w:eastAsia="zh-CN"/>
        </w:rPr>
        <w:t>1</w:t>
      </w:r>
      <w:r>
        <w:rPr>
          <w:rFonts w:hint="eastAsia"/>
        </w:rPr>
        <w:t>〕</w:t>
      </w:r>
      <w:r>
        <w:rPr>
          <w:rFonts w:hint="eastAsia"/>
          <w:lang w:val="en-US" w:eastAsia="zh-CN"/>
        </w:rPr>
        <w:t>22号）；</w:t>
      </w:r>
    </w:p>
    <w:p>
      <w:pPr>
        <w:numPr>
          <w:ilvl w:val="0"/>
          <w:numId w:val="1"/>
        </w:numPr>
        <w:ind w:firstLine="640"/>
        <w:rPr>
          <w:rFonts w:hint="default"/>
          <w:lang w:val="en-US" w:eastAsia="zh-CN"/>
        </w:rPr>
      </w:pPr>
      <w:r>
        <w:rPr>
          <w:rFonts w:hint="eastAsia"/>
          <w:lang w:val="en-US" w:eastAsia="zh-CN"/>
        </w:rPr>
        <w:t>《古县农业机械报废更新补贴工作方案的通知》（古农机字</w:t>
      </w:r>
      <w:r>
        <w:rPr>
          <w:rFonts w:hint="eastAsia"/>
        </w:rPr>
        <w:t>〔202</w:t>
      </w:r>
      <w:r>
        <w:rPr>
          <w:rFonts w:hint="eastAsia"/>
          <w:lang w:val="en-US" w:eastAsia="zh-CN"/>
        </w:rPr>
        <w:t>1</w:t>
      </w:r>
      <w:r>
        <w:rPr>
          <w:rFonts w:hint="eastAsia"/>
        </w:rPr>
        <w:t>〕</w:t>
      </w:r>
      <w:r>
        <w:rPr>
          <w:rFonts w:hint="eastAsia"/>
          <w:lang w:val="en-US" w:eastAsia="zh-CN"/>
        </w:rPr>
        <w:t>11号）；</w:t>
      </w:r>
    </w:p>
    <w:p>
      <w:pPr>
        <w:numPr>
          <w:ilvl w:val="0"/>
          <w:numId w:val="1"/>
        </w:numPr>
        <w:ind w:firstLine="640"/>
      </w:pPr>
      <w:r>
        <w:rPr>
          <w:rFonts w:hint="eastAsia"/>
        </w:rPr>
        <w:t>国家相关</w:t>
      </w:r>
      <w:r>
        <w:rPr>
          <w:rFonts w:hint="eastAsia"/>
          <w:lang w:eastAsia="zh-CN"/>
        </w:rPr>
        <w:t>法律法规</w:t>
      </w:r>
      <w:r>
        <w:rPr>
          <w:rFonts w:hint="eastAsia"/>
        </w:rPr>
        <w:t>、政策。</w:t>
      </w:r>
    </w:p>
    <w:p>
      <w:pPr>
        <w:keepNext/>
        <w:keepLines/>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3.项目内容和实施方式</w:t>
      </w:r>
    </w:p>
    <w:bookmarkEnd w:id="6"/>
    <w:bookmarkEnd w:id="7"/>
    <w:p>
      <w:pPr>
        <w:ind w:firstLine="640"/>
        <w:rPr>
          <w:rFonts w:hint="eastAsia" w:ascii="仿宋_GB2312" w:hAnsi="仿宋_GB2312" w:cs="仿宋_GB2312"/>
          <w:lang w:val="en-US" w:eastAsia="zh-CN"/>
        </w:rPr>
      </w:pPr>
      <w:bookmarkStart w:id="8" w:name="_Toc23383"/>
      <w:bookmarkStart w:id="9" w:name="_Toc75440693"/>
      <w:bookmarkStart w:id="10" w:name="_Toc13148"/>
      <w:bookmarkStart w:id="11" w:name="_Toc13908"/>
      <w:r>
        <w:rPr>
          <w:rFonts w:hint="eastAsia" w:ascii="仿宋_GB2312" w:hAnsi="仿宋_GB2312" w:eastAsia="仿宋_GB2312" w:cs="仿宋_GB2312"/>
          <w:lang w:val="en-US" w:eastAsia="zh-CN"/>
        </w:rPr>
        <w:t>（1）</w:t>
      </w:r>
      <w:r>
        <w:rPr>
          <w:rFonts w:hint="eastAsia" w:ascii="仿宋_GB2312" w:hAnsi="仿宋_GB2312" w:cs="仿宋_GB2312"/>
          <w:lang w:val="en-US" w:eastAsia="zh-CN"/>
        </w:rPr>
        <w:t>补贴范围</w:t>
      </w:r>
    </w:p>
    <w:p>
      <w:pPr>
        <w:ind w:firstLine="640"/>
        <w:rPr>
          <w:rFonts w:hint="default" w:ascii="仿宋_GB2312" w:hAnsi="仿宋_GB2312" w:eastAsia="仿宋_GB2312" w:cs="仿宋_GB2312"/>
          <w:lang w:val="en-US" w:eastAsia="zh-CN"/>
        </w:rPr>
      </w:pPr>
      <w:r>
        <w:rPr>
          <w:rFonts w:hint="eastAsia" w:ascii="仿宋_GB2312" w:hAnsi="仿宋_GB2312" w:cs="仿宋_GB2312"/>
          <w:lang w:val="en-US" w:eastAsia="zh-CN"/>
        </w:rPr>
        <w:t>结合古县农业生产是，选定省农机购置补贴机具种类范围15大类38个小类127品目作为县农机购置补贴机具种类范围。补贴范围原则上保持总体稳定，必要的调整按年度进行，县特色农业发展所需和小区域适用性强的机具，可列入县财政安排资金的补贴范围，具体补贴机具品目和补贴标准由县自定，不得占用中央财政补贴资金。</w:t>
      </w:r>
    </w:p>
    <w:p>
      <w:pPr>
        <w:ind w:firstLine="640"/>
        <w:rPr>
          <w:rFonts w:hint="default" w:ascii="仿宋_GB2312" w:hAnsi="仿宋_GB2312" w:eastAsia="仿宋_GB2312" w:cs="仿宋_GB2312"/>
          <w:lang w:val="en-US" w:eastAsia="zh-CN"/>
        </w:rPr>
      </w:pPr>
      <w:r>
        <w:rPr>
          <w:rFonts w:hint="eastAsia" w:ascii="仿宋_GB2312" w:hAnsi="仿宋_GB2312" w:cs="仿宋_GB2312"/>
          <w:lang w:val="en-US" w:eastAsia="zh-CN"/>
        </w:rPr>
        <w:t>（2）补贴机具</w:t>
      </w:r>
    </w:p>
    <w:p>
      <w:pPr>
        <w:ind w:firstLine="640"/>
        <w:rPr>
          <w:rFonts w:hint="default" w:ascii="仿宋_GB2312" w:hAnsi="仿宋_GB2312" w:eastAsia="仿宋_GB2312" w:cs="仿宋_GB2312"/>
          <w:lang w:val="en-US" w:eastAsia="zh-CN"/>
        </w:rPr>
      </w:pPr>
      <w:r>
        <w:rPr>
          <w:rFonts w:hint="default" w:ascii="仿宋_GB2312" w:hAnsi="仿宋_GB2312" w:eastAsia="仿宋_GB2312" w:cs="仿宋_GB2312"/>
          <w:lang w:val="en-US" w:eastAsia="zh-CN"/>
        </w:rPr>
        <w:t>补贴机具必须是补贴范围内的产品（农机专项鉴定产品、农机新产品除外），同时还应具备以下资质之一：①获得农业机械试验鉴定证书（包括尚在有效期内的农业机械推广鉴定证书）；②获得农机强制性产品认证证书；③列入农机自愿性认证采信试点范围，获得农机自愿性产品认证证书。补贴机具须在明显位置固定标有生产企业、产品名称和型号、出厂编号、生产日期、执行标准等信息的永久性金属铭牌。</w:t>
      </w:r>
    </w:p>
    <w:p>
      <w:pPr>
        <w:ind w:firstLine="640"/>
        <w:rPr>
          <w:rFonts w:hint="default" w:ascii="仿宋_GB2312" w:hAnsi="仿宋_GB2312" w:cs="仿宋_GB2312"/>
          <w:lang w:val="en-US" w:eastAsia="zh-CN"/>
        </w:rPr>
      </w:pPr>
      <w:r>
        <w:rPr>
          <w:rFonts w:hint="eastAsia" w:ascii="仿宋_GB2312" w:hAnsi="仿宋_GB2312" w:cs="仿宋_GB2312"/>
          <w:lang w:val="en-US" w:eastAsia="zh-CN"/>
        </w:rPr>
        <w:t>（3）补贴对象</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补贴对象为从事农业生产的个人和农业生产经营组织（以下简称购机者），其中农业生产经营组织包括农村集体经济组织、农民专业合作经济组织、农业企业和其他从事农业生产经营的组织。</w:t>
      </w:r>
    </w:p>
    <w:p>
      <w:pPr>
        <w:ind w:firstLine="640"/>
        <w:rPr>
          <w:rFonts w:hint="default" w:ascii="仿宋_GB2312" w:hAnsi="仿宋_GB2312" w:cs="仿宋_GB2312"/>
          <w:lang w:val="en-US" w:eastAsia="zh-CN"/>
        </w:rPr>
      </w:pPr>
      <w:r>
        <w:rPr>
          <w:rFonts w:hint="eastAsia" w:ascii="仿宋_GB2312" w:hAnsi="仿宋_GB2312" w:cs="仿宋_GB2312"/>
          <w:lang w:val="en-US" w:eastAsia="zh-CN"/>
        </w:rPr>
        <w:t>（4）补贴标准</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除</w:t>
      </w:r>
      <w:r>
        <w:rPr>
          <w:rFonts w:hint="eastAsia" w:ascii="仿宋_GB2312" w:hAnsi="仿宋_GB2312" w:cs="仿宋_GB2312"/>
          <w:lang w:val="en-US" w:eastAsia="zh-CN"/>
        </w:rPr>
        <w:t>经报农业农村部备案后</w:t>
      </w:r>
      <w:r>
        <w:rPr>
          <w:rFonts w:hint="eastAsia" w:ascii="仿宋_GB2312" w:hAnsi="仿宋_GB2312" w:eastAsia="仿宋_GB2312" w:cs="仿宋_GB2312"/>
          <w:lang w:val="en-US" w:eastAsia="zh-CN"/>
        </w:rPr>
        <w:t>提高补贴额测算比例的补贴机具和玉米去雄机以外，一般补贴机具单机补贴限额原则上不超过5万元；挤奶机械、烘干机单机补贴限额不超过12万元；100马力以上拖拉机、高性能青饲料收获机、大型免耕播种机、大型联合收割机、水稻大型浸种催芽程控设备、畜禽粪污资源化利用机具单机补贴限额不超过15万元；200马力以上拖拉机单机补贴限额不超过25万元；大型棉花收获机单机、成套设施装备单套补贴限额不超过60万元。</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为增强购机者议价自主权，具体产品的补贴额不再对外公布。在政策实施过程中发现具体产品或档次的中央财政资金实际补贴比例超过50%的，及时组织调查，对有违规情节的，按照相关规定处理；对无违规情节的补贴申请，可按原规定兑付补贴资金。发现异常情况及时报</w:t>
      </w:r>
      <w:r>
        <w:rPr>
          <w:rFonts w:hint="eastAsia" w:ascii="仿宋_GB2312" w:hAnsi="仿宋_GB2312" w:cs="仿宋_GB2312"/>
          <w:lang w:val="en-US" w:eastAsia="zh-CN"/>
        </w:rPr>
        <w:t>市</w:t>
      </w:r>
      <w:r>
        <w:rPr>
          <w:rFonts w:hint="eastAsia" w:ascii="仿宋_GB2312" w:hAnsi="仿宋_GB2312" w:eastAsia="仿宋_GB2312" w:cs="仿宋_GB2312"/>
          <w:lang w:val="en-US" w:eastAsia="zh-CN"/>
        </w:rPr>
        <w:t>农业农村</w:t>
      </w:r>
      <w:r>
        <w:rPr>
          <w:rFonts w:hint="eastAsia" w:ascii="仿宋_GB2312" w:hAnsi="仿宋_GB2312" w:cs="仿宋_GB2312"/>
          <w:lang w:val="en-US" w:eastAsia="zh-CN"/>
        </w:rPr>
        <w:t>部门</w:t>
      </w:r>
      <w:r>
        <w:rPr>
          <w:rFonts w:hint="eastAsia" w:ascii="仿宋_GB2312" w:hAnsi="仿宋_GB2312" w:eastAsia="仿宋_GB2312" w:cs="仿宋_GB2312"/>
          <w:lang w:val="en-US" w:eastAsia="zh-CN"/>
        </w:rPr>
        <w:t>。</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（5）核验内容</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补贴机具核验是指县级农机部门对从事农业生产的个人和农业生产经营组织</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以下简称“购机者”</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 申报农机购置补贴时提供的相关资料进行形式审核、对机具进行核查的工作。核验的主要内容包括</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购机者身份信息。个人身份证件或农业生产经营组织工商营业执照</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统一社会信用代码</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 及其法定代表人身份证件等信息</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购买信息。购买补贴机具税控发票等信息</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机具信息。机具实物上的固定铭牌信息、山西省农机购置补贴申请办理服务系统所对应机具的信息、牌证管理机具的行驶证信息等</w:t>
      </w:r>
      <w:r>
        <w:rPr>
          <w:rFonts w:hint="eastAsia" w:ascii="仿宋_GB2312" w:hAnsi="仿宋_GB2312" w:cs="仿宋_GB2312"/>
          <w:lang w:val="en-US" w:eastAsia="zh-CN"/>
        </w:rPr>
        <w:t>；</w:t>
      </w:r>
    </w:p>
    <w:p>
      <w:pPr>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 xml:space="preserve">其他信息。购机者银行卡 </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折</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 账号、开户名等信息，以及政策实施要求提供的其他必要信息。</w:t>
      </w:r>
    </w:p>
    <w:p>
      <w:pPr>
        <w:rPr>
          <w:rFonts w:hint="eastAsia" w:ascii="仿宋_GB2312" w:hAnsi="仿宋_GB2312" w:eastAsia="仿宋_GB2312" w:cs="仿宋_GB2312"/>
          <w:lang w:val="en-US" w:eastAsia="zh-CN"/>
        </w:rPr>
      </w:pPr>
      <w:r>
        <w:rPr>
          <w:rFonts w:hint="eastAsia" w:ascii="仿宋_GB2312" w:hAnsi="仿宋_GB2312" w:cs="仿宋_GB2312"/>
          <w:lang w:val="en-US" w:eastAsia="zh-CN"/>
        </w:rPr>
        <w:t>（6）</w:t>
      </w:r>
      <w:r>
        <w:rPr>
          <w:rFonts w:hint="eastAsia" w:ascii="仿宋_GB2312" w:hAnsi="仿宋_GB2312" w:eastAsia="仿宋_GB2312" w:cs="仿宋_GB2312"/>
          <w:lang w:val="en-US" w:eastAsia="zh-CN"/>
        </w:rPr>
        <w:t>核验程序及要求</w:t>
      </w:r>
    </w:p>
    <w:p>
      <w:pPr>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受理申请。对购机者自主提出的补贴申请按规定及时受理。可通过手机APP、“一站式”服务窗口等便捷高效的方式受理申请。</w:t>
      </w:r>
    </w:p>
    <w:p>
      <w:pPr>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资料核验。一是购机者及其身份、购机税控发票等资料。购机者为个人的，重点核验购机者本人与其身份证件的肖像照片是否相符，购机税控发票所显示的购机者姓名与购机者身份证件所显示的姓名是否一致</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购机者为农业生产经营组织的，重点核验该组织法定代表人本人与其身份证件的肖像照片是否相符，法定代表人身份证件所显示的姓名与工商营业执照所显示的法定代表人姓名是否一致，购机税控发票所显示的购机者名称与工商营业执照所显示的农业生产经营组织名称是否一致。二是银行卡</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折</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等资料。重点核验购机者填写的银行卡 </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折</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 账号、开户名等信息与其携带的银行卡 </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折</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所显示的账号、身份证件所显示的购机者姓名、工商营业执照所显示的农业生产经营组织名称是否一致。三是购机真实性承诺。提示购机者确认购机税控发票上的购机金额与其</w:t>
      </w:r>
      <w:r>
        <w:rPr>
          <w:rFonts w:hint="eastAsia" w:ascii="仿宋_GB2312" w:hAnsi="仿宋_GB2312" w:cs="仿宋_GB2312"/>
          <w:lang w:val="en-US" w:eastAsia="zh-CN"/>
        </w:rPr>
        <w:t>实际全</w:t>
      </w:r>
      <w:r>
        <w:rPr>
          <w:rFonts w:hint="eastAsia" w:ascii="仿宋_GB2312" w:hAnsi="仿宋_GB2312" w:eastAsia="仿宋_GB2312" w:cs="仿宋_GB2312"/>
          <w:lang w:val="en-US" w:eastAsia="zh-CN"/>
        </w:rPr>
        <w:t>部支付给经销企业的资金是否一致、办补机具实际结构与从经销商处购买的机具结构是否一致，以及隐瞒不报、提供虚假信息和自行改变机具结构需承担的违规责任，提示购机者对上述内容的真实性签字确认。四是政策实施要求提供的其他资料。</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 xml:space="preserve">机具核验。采取逐台核验的工作机制。一是重点机具核验。重点核验购机税控发票所显示的机具名称、生产企业、型号、发动机号 </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不带动力的除外</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出厂编号与所购机具铭牌显示信息是否一致，所购机具铭牌显示信息与山西省农机购置补贴申请办理服务系统内对应的机具信息是否一致，购机税控发票所显示的经销企业与山西省农机购置补贴申请办理服务系统内对应的经销信息是否一致。对牌证管理机具，免于现场实物核验，但需核验其《拖拉机和联合收割机行驶证》信息与农机安全监理系统中的牌证信息、机具信息是否一致，购机税控发票所显示的经销企业与山西省农机购置补贴申请办理服务系统内对应的经销信息是否一致。二是非重点机具核验。非重点机具原则上指除重点机具外的其余机具。核查内容同重点机具。</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鼓励通过进村入户、提前预约、远程视频等方式开展核验，便利购机者以及设施安装类机具核验。在具体核验时</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可以采取双人交叉核验或个人核验、单位内部集体会审双重</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审核等多种方便群众，便于核验的多种形式。加强对单人多台套、短期内大批量、同人连年购置同类机具、区域适应性差的机具购置等异常情形的核验。</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通过核验的，打印并填写《山西省农机购置补贴资金申领表》，由核验人员与购机者双方签字确认。未通过核验的应将所发现的问题一次性告知购机者，并说明完善方法。</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复核登记。对资料核验、机具核验的程序、方式和签章的规范性进行集体复核，通过后登记立册。</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公示报送。对通过复核的补贴申请信息进行为期5 个工作日的公示，公示无异议后报送财政部门。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资料处理。对财政部门未</w:t>
      </w:r>
      <w:r>
        <w:rPr>
          <w:rFonts w:hint="eastAsia" w:ascii="仿宋_GB2312" w:hAnsi="仿宋_GB2312" w:cs="仿宋_GB2312"/>
          <w:lang w:val="en-US" w:eastAsia="zh-CN"/>
        </w:rPr>
        <w:t>提出异议</w:t>
      </w:r>
      <w:r>
        <w:rPr>
          <w:rFonts w:hint="eastAsia" w:ascii="仿宋_GB2312" w:hAnsi="仿宋_GB2312" w:eastAsia="仿宋_GB2312" w:cs="仿宋_GB2312"/>
          <w:lang w:val="en-US" w:eastAsia="zh-CN"/>
        </w:rPr>
        <w:t>的补贴申请将其核验资料留存备用备查，留存期限不少于5年</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（7）</w:t>
      </w:r>
      <w:r>
        <w:rPr>
          <w:rFonts w:hint="eastAsia" w:ascii="仿宋_GB2312" w:hAnsi="仿宋_GB2312" w:eastAsia="仿宋_GB2312" w:cs="仿宋_GB2312"/>
          <w:lang w:val="en-US" w:eastAsia="zh-CN"/>
        </w:rPr>
        <w:t>监督管理</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加强核验人员队伍建设。选配责任心强、业务素质高、作风优良的干部从事核验工作，对其每年至少开展一次廉洁自律、业务技能等方面的教育培训。建立健全分管领导监督机制，有条件则实行补贴申请受理、补贴机具核验岗位分离</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明确岗位职责</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推行购机承诺践诺。加强购机者补贴申请行为的自我约束和信用管理，实行补贴申请资料真实性、完整性和有效性的自主承诺，引导其规范参与补贴政策实施，主动报告所发现的问题，共同维护政策实施良好环境。</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全面排查违规线索。对核验中发现的补贴申请违规行为线索，要逐条书面登记，并及时报告分管领导。开展违规线索集体研究，对违规嫌疑较大或反复出现的应启动调查程序，对违规嫌疑较小的留存材料备查。对补贴机具核验争议处理等重大事项，及时报请农机购置补贴领导小组研究决策。</w:t>
      </w:r>
    </w:p>
    <w:p>
      <w:pPr>
        <w:ind w:firstLine="640"/>
        <w:rPr>
          <w:rFonts w:hint="eastAsia" w:ascii="仿宋_GB2312" w:hAnsi="仿宋_GB2312" w:cs="仿宋_GB2312"/>
          <w:lang w:val="en-US" w:eastAsia="zh-CN"/>
        </w:rPr>
      </w:pPr>
      <w:r>
        <w:rPr>
          <w:rFonts w:hint="eastAsia" w:ascii="仿宋_GB2312" w:hAnsi="仿宋_GB2312" w:eastAsia="仿宋_GB2312" w:cs="仿宋_GB2312"/>
          <w:lang w:val="en-US" w:eastAsia="zh-CN"/>
        </w:rPr>
        <w:t>严格监督管理。健全内部控制制度，以机具核验流程为主线，逐项工作、逐个环节查找风险点，制定防控措施。积极探索补贴机具第三方独立抽查核验</w:t>
      </w:r>
      <w:r>
        <w:rPr>
          <w:rFonts w:hint="eastAsia" w:ascii="仿宋_GB2312" w:hAnsi="仿宋_GB2312" w:cs="仿宋_GB2312"/>
          <w:lang w:val="en-US" w:eastAsia="zh-CN"/>
        </w:rPr>
        <w:t>。</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（8）工作要求</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加强领导，密切配合：农业农村 （农机）、财政部门建立健全政府领导下的联合实施和监管机制，按照“省级主要负责制度建设，市级主要负责监管督促，县级主要负责具体实施”的总体思路，健全完善风险防控工作制度和内部控制规程，明确职责分工，形成工作合力。通过开展业务培训和廉政警示教育，提高补贴工作人员业务素质和风险防控能力。建立“谁办理、谁签字、谁负责”的责任追究制度，并充分发挥县级农机购置补贴领导小组作用，研究解决政策实施过程中遇到的重大问题。进一步明确职责分工，深入落实县级农业农村（农机） 部门组织实施、审核监管责任和财政部门资金兑付、资金监管责任。加强绩效管理，形成管理闭环，切实提升政策实施管理工作能力水平。做好农机购置补贴技术支撑和管理服务工作，共同为政策实施提供有力保障。</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优化服务，提升效能：农业农村（农机）部门、财政部门依托农机购置补贴申请办理服务系统，严格按照时限要求办理补贴申请，杜绝超时办理切实加快补贴申请受理、资格审核、机具核验、资金兑付等工作并提高补贴机具核验信息化水平，加快牌证管理、补贴资金申领等环节信息系统的互联互通，推动补贴机具由人工核验向信息化核验转变。积极探索补贴申请、核验、兑付全流程线上办理新模式，推进农机购置补贴实施与监管信息化技术集成应用。营造良好营商环境，保障市场主体合法权益，对经司法机关认定为恶意拖欠农机生产经销企业购机款的购机者，取消其享受补贴资格。</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公开信息，接受监督：农业农村（农机）部门要因地制宜、综合运用宣传挂图、报纸杂志、广播电视、互联网、村务公开等方式，全方位开展补贴政策与实施工作宣传解读，着力提升政策知晓率，切实保障购机者、农机产销企业和广大农民群众的知情权、监督权。按职责分工和有关规定，健全完善农机购置补贴信息公开专栏，建立信息审核发布机制，按要求发布并公开本县农机购置补贴工作方案。操作程序、补贴机具信息、近三年县域内补贴受益信息、咨询投诉举报电话、违规查处结果及省发布的补贴额一览表等信息。严禁对外公布购机者身份证号、电话号码、银行账号等购机者隐私信息。</w:t>
      </w:r>
    </w:p>
    <w:p>
      <w:pPr>
        <w:keepNext/>
        <w:keepLines/>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4.项目实施情况</w:t>
      </w:r>
    </w:p>
    <w:p>
      <w:pPr>
        <w:ind w:firstLine="640"/>
        <w:rPr>
          <w:rFonts w:hint="default" w:ascii="仿宋_GB2312"/>
          <w:lang w:val="en-US" w:eastAsia="zh-CN"/>
        </w:rPr>
      </w:pPr>
      <w:bookmarkStart w:id="12" w:name="_Toc19347"/>
      <w:r>
        <w:rPr>
          <w:rFonts w:hint="eastAsia" w:ascii="仿宋_GB2312"/>
          <w:lang w:val="en-US" w:eastAsia="zh-CN"/>
        </w:rPr>
        <w:t>2022年农机具补贴申请台数为502台，实际补贴215台，剩余287台因补贴资金规模不够，在2023年度优先兑付。</w:t>
      </w:r>
    </w:p>
    <w:p>
      <w:pPr>
        <w:ind w:firstLine="640"/>
        <w:rPr>
          <w:rFonts w:hint="eastAsia" w:ascii="仿宋_GB2312"/>
          <w:lang w:val="en-US" w:eastAsia="zh-CN"/>
        </w:rPr>
      </w:pPr>
      <w:r>
        <w:rPr>
          <w:rFonts w:hint="eastAsia" w:ascii="仿宋_GB2312"/>
          <w:lang w:val="en-US" w:eastAsia="zh-CN"/>
        </w:rPr>
        <w:t>补贴品目主要包含深松机、旋耕机、铧式犁、精量播种机、轮式拖拉机、自走式玉米收获机等。</w:t>
      </w:r>
    </w:p>
    <w:p>
      <w:pPr>
        <w:ind w:firstLine="640"/>
        <w:rPr>
          <w:rFonts w:hint="eastAsia" w:ascii="仿宋_GB2312"/>
          <w:lang w:val="en-US" w:eastAsia="zh-CN"/>
        </w:rPr>
      </w:pPr>
      <w:r>
        <w:rPr>
          <w:rFonts w:hint="eastAsia" w:ascii="仿宋_GB2312"/>
          <w:lang w:val="en-US" w:eastAsia="zh-CN"/>
        </w:rPr>
        <w:t>补贴资金第一批于2022年6月27日下达，支付时间为2022年8月5日；第二批于2022年10月24日下达，支付时间为2022年11月15日。支付时间均在购买者提交相关材料后15日内支付，未发现延迟支付现象。</w:t>
      </w:r>
    </w:p>
    <w:p>
      <w:pPr>
        <w:ind w:firstLine="640"/>
        <w:rPr>
          <w:rFonts w:hint="default" w:ascii="仿宋_GB2312"/>
          <w:lang w:val="en-US" w:eastAsia="zh-CN"/>
        </w:rPr>
      </w:pPr>
      <w:r>
        <w:rPr>
          <w:rFonts w:hint="default" w:ascii="仿宋_GB2312"/>
          <w:lang w:val="en-US" w:eastAsia="zh-CN"/>
        </w:rPr>
        <w:t>补贴资金发放程序比较规范：一是严格操作规程。购置了纳入补贴范围的农机产品的农户，携相关资料到受理点提出申请，并在指定地点进行公示，乡镇财政部门对公示信息进行检查，乡镇农机核查人员按照“见人、见机、见票、查参数”的原则逐项进行核实后，交县级农机等部门联合核查。对资料齐全、核查无误、信息真实、公示无异议的补贴资金申请项目，通过财政“一卡通”直接发放到农户。二是抓住关键环节。在补贴资金申报、公示、核查、发放过程中，抓住资格确认、张榜公示、机具核实、“一卡通”发放等关键环节，突出重点，确保补贴合规，操作公开透明。三是完善组织机构，健全相关制度。</w:t>
      </w:r>
    </w:p>
    <w:p>
      <w:pPr>
        <w:ind w:firstLine="640"/>
        <w:rPr>
          <w:rFonts w:hint="default" w:ascii="仿宋_GB2312"/>
          <w:lang w:val="en-US" w:eastAsia="zh-CN"/>
        </w:rPr>
      </w:pPr>
      <w:r>
        <w:rPr>
          <w:rFonts w:hint="default" w:ascii="仿宋_GB2312"/>
          <w:lang w:val="en-US" w:eastAsia="zh-CN"/>
        </w:rPr>
        <w:t>县人民政府成立了农机购置补贴领导小组，政府主要领导或分管领导为组长，相关部门负责人为成员，健全农机、财政等多部门联合工作机制，完善相关制度，明确工作职责，实行“谁办理、谁负责、谁核实、谁负责”的责任追究制度。四是广泛宣传。通过电视、报纸、网络、微信、张贴宣传栏等平台，及时宣传农机购置补贴政策，让政策深入农户心中。五是加强监管。通过对经销商、受理点及生产企业定期或不定期的监督检查，有效防止了其串通造假，联合作弊的行为。同时，也强化对乡镇农机、财政等部门人员的教育和培育，加强自身干部队伍建设。</w:t>
      </w:r>
    </w:p>
    <w:p>
      <w:pPr>
        <w:pStyle w:val="4"/>
        <w:ind w:left="0" w:leftChars="0" w:firstLine="320" w:firstLineChars="100"/>
        <w:rPr>
          <w:rFonts w:hint="default" w:eastAsia="楷体_GB2312"/>
          <w:lang w:val="en-US" w:eastAsia="zh-CN"/>
        </w:rPr>
      </w:pP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资金投入和使用情况</w:t>
      </w:r>
      <w:bookmarkEnd w:id="12"/>
    </w:p>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r>
        <w:rPr>
          <w:rFonts w:hint="eastAsia" w:ascii="仿宋_GB2312" w:hAnsi="仿宋_GB2312" w:cs="仿宋_GB2312"/>
          <w:b/>
          <w:bCs/>
          <w:lang w:val="en-US" w:eastAsia="zh-CN"/>
        </w:rPr>
        <w:t>1</w:t>
      </w:r>
      <w:r>
        <w:rPr>
          <w:rFonts w:hint="eastAsia" w:ascii="仿宋_GB2312" w:hAnsi="仿宋_GB2312" w:eastAsia="仿宋_GB2312" w:cs="仿宋_GB2312"/>
          <w:b/>
          <w:bCs/>
          <w:lang w:val="en-US" w:eastAsia="zh-CN"/>
        </w:rPr>
        <w:t>.</w:t>
      </w:r>
      <w:bookmarkEnd w:id="8"/>
      <w:bookmarkEnd w:id="9"/>
      <w:bookmarkEnd w:id="10"/>
      <w:bookmarkEnd w:id="11"/>
      <w:r>
        <w:rPr>
          <w:rFonts w:hint="eastAsia" w:ascii="仿宋_GB2312" w:hAnsi="仿宋_GB2312" w:cs="仿宋_GB2312"/>
          <w:b/>
          <w:bCs/>
          <w:lang w:val="en-US" w:eastAsia="zh-CN"/>
        </w:rPr>
        <w:t>资金投入情况</w:t>
      </w:r>
    </w:p>
    <w:p>
      <w:pPr>
        <w:ind w:firstLine="640"/>
        <w:rPr>
          <w:rFonts w:hint="eastAsia" w:ascii="仿宋_GB2312"/>
          <w:lang w:val="en-US" w:eastAsia="zh-CN"/>
        </w:rPr>
      </w:pPr>
      <w:bookmarkStart w:id="13" w:name="OLE_LINK6"/>
      <w:bookmarkStart w:id="14" w:name="OLE_LINK5"/>
      <w:bookmarkStart w:id="15" w:name="_Toc5425"/>
      <w:bookmarkStart w:id="16" w:name="_Toc75440694"/>
      <w:bookmarkStart w:id="17" w:name="_Toc3055"/>
      <w:r>
        <w:rPr>
          <w:rFonts w:hint="eastAsia" w:ascii="仿宋_GB2312"/>
          <w:lang w:val="en-US" w:eastAsia="zh-CN"/>
        </w:rPr>
        <w:t>项目于2022年6月27日古县财政局《关于下达2022年中央农业相关转移支付（农机购置补贴）资金的通知》（古财农〔2022〕44号）下达资金235万；</w:t>
      </w:r>
    </w:p>
    <w:p>
      <w:pPr>
        <w:ind w:firstLine="640"/>
        <w:rPr>
          <w:rFonts w:hint="eastAsia" w:ascii="仿宋_GB2312" w:cs="Times New Roman"/>
          <w:lang w:val="en-US" w:eastAsia="zh-CN"/>
        </w:rPr>
      </w:pPr>
      <w:r>
        <w:rPr>
          <w:rFonts w:hint="eastAsia" w:ascii="仿宋_GB2312"/>
          <w:lang w:val="en-US" w:eastAsia="zh-CN"/>
        </w:rPr>
        <w:t>2022年10月24日古县财政局《关于下达2022年第三批农业生产发展资金通知》（古财农〔2022〕122号）下达资金40万元</w:t>
      </w:r>
      <w:r>
        <w:rPr>
          <w:rFonts w:hint="eastAsia" w:ascii="仿宋_GB2312" w:cs="Times New Roman"/>
          <w:lang w:val="en-US" w:eastAsia="zh-CN"/>
        </w:rPr>
        <w:t>。</w:t>
      </w:r>
    </w:p>
    <w:p>
      <w:pPr>
        <w:ind w:firstLine="640"/>
        <w:rPr>
          <w:rFonts w:hint="default" w:ascii="仿宋_GB2312" w:cs="Times New Roman"/>
          <w:lang w:val="en-US" w:eastAsia="zh-CN"/>
        </w:rPr>
      </w:pPr>
      <w:r>
        <w:rPr>
          <w:rFonts w:hint="eastAsia" w:ascii="仿宋_GB2312" w:cs="Times New Roman"/>
          <w:lang w:val="en-US" w:eastAsia="zh-CN"/>
        </w:rPr>
        <w:t>共下达资金275万元。</w:t>
      </w:r>
    </w:p>
    <w:bookmarkEnd w:id="13"/>
    <w:bookmarkEnd w:id="14"/>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bookmarkStart w:id="18" w:name="_Toc523209930"/>
      <w:r>
        <w:rPr>
          <w:rFonts w:hint="eastAsia" w:ascii="仿宋_GB2312" w:hAnsi="仿宋_GB2312" w:cs="仿宋_GB2312"/>
          <w:b/>
          <w:bCs/>
          <w:lang w:val="en-US" w:eastAsia="zh-CN"/>
        </w:rPr>
        <w:t>2</w:t>
      </w:r>
      <w:r>
        <w:rPr>
          <w:rFonts w:hint="eastAsia" w:ascii="仿宋_GB2312" w:hAnsi="仿宋_GB2312" w:eastAsia="仿宋_GB2312" w:cs="仿宋_GB2312"/>
          <w:b/>
          <w:bCs/>
          <w:lang w:val="en-US" w:eastAsia="zh-CN"/>
        </w:rPr>
        <w:t>.资金</w:t>
      </w:r>
      <w:bookmarkEnd w:id="15"/>
      <w:bookmarkEnd w:id="16"/>
      <w:bookmarkEnd w:id="17"/>
      <w:bookmarkEnd w:id="18"/>
      <w:r>
        <w:rPr>
          <w:rFonts w:hint="eastAsia" w:ascii="仿宋_GB2312" w:hAnsi="仿宋_GB2312" w:cs="仿宋_GB2312"/>
          <w:b/>
          <w:bCs/>
          <w:lang w:val="en-US" w:eastAsia="zh-CN"/>
        </w:rPr>
        <w:t>来源及使用情况</w:t>
      </w:r>
    </w:p>
    <w:p>
      <w:pPr>
        <w:ind w:firstLine="640"/>
        <w:rPr>
          <w:rFonts w:hint="eastAsia" w:ascii="仿宋_GB2312" w:hAnsi="Times New Roman" w:cs="Times New Roman"/>
          <w:lang w:val="en-US" w:eastAsia="zh-CN"/>
        </w:rPr>
      </w:pPr>
      <w:bookmarkStart w:id="19" w:name="_Toc31275"/>
      <w:bookmarkStart w:id="20" w:name="_Toc22508"/>
      <w:bookmarkStart w:id="21" w:name="_Toc7266"/>
      <w:bookmarkStart w:id="22" w:name="_Toc75440696"/>
      <w:r>
        <w:rPr>
          <w:rFonts w:hint="eastAsia" w:ascii="仿宋_GB2312" w:cs="Times New Roman"/>
          <w:lang w:val="en-US" w:eastAsia="zh-CN"/>
        </w:rPr>
        <w:t>2022</w:t>
      </w:r>
      <w:r>
        <w:rPr>
          <w:rFonts w:hint="eastAsia" w:ascii="仿宋_GB2312" w:hAnsi="Times New Roman" w:cs="Times New Roman"/>
          <w:lang w:val="en-US" w:eastAsia="zh-CN"/>
        </w:rPr>
        <w:t>项目</w:t>
      </w:r>
      <w:r>
        <w:rPr>
          <w:rFonts w:hint="eastAsia" w:ascii="仿宋_GB2312" w:cs="Times New Roman"/>
          <w:lang w:val="en-US" w:eastAsia="zh-CN"/>
        </w:rPr>
        <w:t>实际补贴资金273.7万元，本年结余1.3万元，已被财政收回。2022年8月5日支付资金235万元，2022年11月15日支付资金38.7万元；</w:t>
      </w:r>
      <w:r>
        <w:rPr>
          <w:rFonts w:hint="eastAsia" w:ascii="仿宋_GB2312" w:hAnsi="Times New Roman" w:cs="Times New Roman"/>
          <w:lang w:val="en-US" w:eastAsia="zh-CN"/>
        </w:rPr>
        <w:t>资金</w:t>
      </w:r>
      <w:r>
        <w:rPr>
          <w:rFonts w:hint="eastAsia" w:ascii="仿宋_GB2312" w:cs="Times New Roman"/>
          <w:lang w:val="en-US" w:eastAsia="zh-CN"/>
        </w:rPr>
        <w:t>全部</w:t>
      </w:r>
      <w:r>
        <w:rPr>
          <w:rFonts w:hint="eastAsia" w:ascii="仿宋_GB2312" w:hAnsi="Times New Roman" w:cs="Times New Roman"/>
          <w:lang w:val="en-US" w:eastAsia="zh-CN"/>
        </w:rPr>
        <w:t>为</w:t>
      </w:r>
      <w:r>
        <w:rPr>
          <w:rFonts w:hint="eastAsia" w:ascii="仿宋_GB2312" w:cs="Times New Roman"/>
          <w:lang w:val="en-US" w:eastAsia="zh-CN"/>
        </w:rPr>
        <w:t>农机具补贴项目。其中自走式玉米收获机40台，发放补贴资金133.91万元，占发放补贴资金总额的48.92%；旋耕机52台，发放补贴资金8.35万元，占发放补贴资金总额的3.05%；轮式拖拉机39台，发放补贴资金110.32万元，占发放补贴资金总额的40.31%；精量播种机54台，发放补贴资金8.48万元，占发放补贴资金总额的3.1%；其他机具30台套，发放补贴资金12.64万元，占发放补贴资金总额的4.62 %。从现场检查核实情况来看，补贴机具品种、规格及型号等基本符合古县农业机械购置补贴产品范围，补贴标准也符合相关规定。</w:t>
      </w:r>
      <w:r>
        <w:rPr>
          <w:rFonts w:hint="eastAsia" w:ascii="仿宋_GB2312" w:hAnsi="Times New Roman" w:cs="Times New Roman"/>
          <w:lang w:val="en-US" w:eastAsia="zh-CN"/>
        </w:rPr>
        <w:t>详细情况见下表1-</w:t>
      </w:r>
      <w:r>
        <w:rPr>
          <w:rFonts w:hint="eastAsia" w:ascii="仿宋_GB2312" w:cs="Times New Roman"/>
          <w:lang w:val="en-US" w:eastAsia="zh-CN"/>
        </w:rPr>
        <w:t>1</w:t>
      </w:r>
      <w:r>
        <w:rPr>
          <w:rFonts w:hint="eastAsia" w:ascii="仿宋_GB2312" w:hAnsi="Times New Roman" w:cs="Times New Roman"/>
          <w:lang w:val="en-US" w:eastAsia="zh-CN"/>
        </w:rPr>
        <w:t>。</w:t>
      </w:r>
    </w:p>
    <w:p>
      <w:pPr>
        <w:ind w:firstLine="640"/>
        <w:jc w:val="center"/>
        <w:rPr>
          <w:rFonts w:hint="eastAsia" w:ascii="仿宋_GB2312" w:hAnsi="Times New Roman" w:cs="Times New Roman"/>
          <w:lang w:val="en-US" w:eastAsia="zh-CN"/>
        </w:rPr>
      </w:pPr>
      <w:r>
        <w:rPr>
          <w:rFonts w:hint="eastAsia" w:ascii="仿宋_GB2312" w:hAnsi="Times New Roman" w:cs="Times New Roman"/>
          <w:lang w:val="en-US" w:eastAsia="zh-CN"/>
        </w:rPr>
        <w:t>项目使用情况详见表</w:t>
      </w:r>
    </w:p>
    <w:p>
      <w:pPr>
        <w:tabs>
          <w:tab w:val="left" w:pos="720"/>
        </w:tabs>
        <w:spacing w:beforeLines="100" w:line="440" w:lineRule="exact"/>
        <w:ind w:firstLine="0" w:firstLineChars="0"/>
        <w:rPr>
          <w:rFonts w:ascii="仿宋_GB2312" w:hAnsi="宋体" w:eastAsia="仿宋_GB2312" w:cs="仿宋_GB2312"/>
          <w:b/>
          <w:bCs/>
          <w:color w:val="000000"/>
          <w:kern w:val="0"/>
          <w:sz w:val="28"/>
          <w:szCs w:val="28"/>
        </w:rPr>
      </w:pPr>
      <w:r>
        <w:rPr>
          <w:rFonts w:hint="eastAsia" w:ascii="仿宋_GB2312" w:hAnsi="宋体" w:eastAsia="仿宋_GB2312" w:cs="仿宋_GB2312"/>
          <w:b/>
          <w:bCs/>
          <w:color w:val="000000"/>
          <w:kern w:val="0"/>
          <w:sz w:val="28"/>
          <w:szCs w:val="28"/>
        </w:rPr>
        <w:t>表</w:t>
      </w:r>
      <w:r>
        <w:rPr>
          <w:rFonts w:hint="eastAsia" w:ascii="仿宋_GB2312" w:hAnsi="宋体" w:eastAsia="仿宋_GB2312" w:cs="仿宋_GB2312"/>
          <w:b/>
          <w:bCs/>
          <w:color w:val="000000"/>
          <w:kern w:val="0"/>
          <w:sz w:val="28"/>
          <w:szCs w:val="28"/>
          <w:lang w:val="en-US" w:eastAsia="zh-CN"/>
        </w:rPr>
        <w:t>1-</w:t>
      </w:r>
      <w:r>
        <w:rPr>
          <w:rFonts w:hint="eastAsia" w:ascii="仿宋_GB2312" w:hAnsi="宋体" w:cs="仿宋_GB2312"/>
          <w:b/>
          <w:bCs/>
          <w:color w:val="000000"/>
          <w:kern w:val="0"/>
          <w:sz w:val="28"/>
          <w:szCs w:val="28"/>
          <w:lang w:val="en-US" w:eastAsia="zh-CN"/>
        </w:rPr>
        <w:t>1</w:t>
      </w:r>
      <w:r>
        <w:rPr>
          <w:rFonts w:hint="eastAsia" w:ascii="仿宋_GB2312" w:hAnsi="宋体" w:eastAsia="仿宋_GB2312" w:cs="仿宋_GB2312"/>
          <w:b/>
          <w:bCs/>
          <w:color w:val="000000"/>
          <w:kern w:val="0"/>
          <w:sz w:val="28"/>
          <w:szCs w:val="28"/>
        </w:rPr>
        <w:t xml:space="preserve">               资金支付</w:t>
      </w:r>
      <w:r>
        <w:rPr>
          <w:rFonts w:hint="eastAsia" w:ascii="仿宋_GB2312" w:hAnsi="宋体" w:eastAsia="仿宋_GB2312" w:cs="仿宋_GB2312"/>
          <w:b/>
          <w:bCs/>
          <w:color w:val="000000"/>
          <w:kern w:val="0"/>
          <w:sz w:val="28"/>
          <w:szCs w:val="28"/>
          <w:lang w:val="en-US" w:eastAsia="zh-CN"/>
        </w:rPr>
        <w:t>明细</w:t>
      </w:r>
      <w:r>
        <w:rPr>
          <w:rFonts w:hint="eastAsia" w:ascii="仿宋_GB2312" w:hAnsi="宋体" w:eastAsia="仿宋_GB2312" w:cs="仿宋_GB2312"/>
          <w:b/>
          <w:bCs/>
          <w:color w:val="000000"/>
          <w:kern w:val="0"/>
          <w:sz w:val="28"/>
          <w:szCs w:val="28"/>
        </w:rPr>
        <w:t>表               单位：元</w:t>
      </w:r>
    </w:p>
    <w:tbl>
      <w:tblPr>
        <w:tblStyle w:val="20"/>
        <w:tblW w:w="4848" w:type="pct"/>
        <w:tblInd w:w="0" w:type="dxa"/>
        <w:tblLayout w:type="autofit"/>
        <w:tblCellMar>
          <w:top w:w="0" w:type="dxa"/>
          <w:left w:w="108" w:type="dxa"/>
          <w:bottom w:w="0" w:type="dxa"/>
          <w:right w:w="108" w:type="dxa"/>
        </w:tblCellMar>
      </w:tblPr>
      <w:tblGrid>
        <w:gridCol w:w="725"/>
        <w:gridCol w:w="2638"/>
        <w:gridCol w:w="2094"/>
        <w:gridCol w:w="1059"/>
        <w:gridCol w:w="1753"/>
      </w:tblGrid>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ascii="仿宋_GB2312" w:hAnsi="宋体" w:eastAsia="仿宋_GB2312" w:cs="仿宋_GB2312"/>
                <w:b/>
                <w:color w:val="000000"/>
                <w:sz w:val="21"/>
                <w:szCs w:val="21"/>
              </w:rPr>
              <w:t>序号</w:t>
            </w:r>
          </w:p>
        </w:tc>
        <w:tc>
          <w:tcPr>
            <w:tcW w:w="1595"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cs="仿宋_GB2312"/>
                <w:b/>
                <w:color w:val="000000"/>
                <w:sz w:val="21"/>
                <w:szCs w:val="21"/>
                <w:lang w:val="en-US" w:eastAsia="zh-CN"/>
              </w:rPr>
              <w:t>购买者姓名</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cs="仿宋_GB2312"/>
                <w:b/>
                <w:color w:val="000000"/>
                <w:sz w:val="21"/>
                <w:szCs w:val="21"/>
                <w:lang w:val="en-US" w:eastAsia="zh-CN"/>
              </w:rPr>
              <w:t>设备名称</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tabs>
                <w:tab w:val="left" w:pos="720"/>
              </w:tabs>
              <w:spacing w:line="240" w:lineRule="auto"/>
              <w:ind w:firstLine="0" w:firstLineChars="0"/>
              <w:jc w:val="center"/>
              <w:rPr>
                <w:rFonts w:hint="eastAsia" w:ascii="仿宋_GB2312" w:hAnsi="宋体" w:eastAsia="仿宋_GB2312" w:cs="仿宋_GB2312"/>
                <w:b/>
                <w:color w:val="000000"/>
                <w:sz w:val="21"/>
                <w:szCs w:val="21"/>
                <w:lang w:eastAsia="zh-CN"/>
              </w:rPr>
            </w:pPr>
            <w:r>
              <w:rPr>
                <w:rFonts w:hint="eastAsia" w:ascii="仿宋_GB2312" w:hAnsi="宋体" w:cs="仿宋_GB2312"/>
                <w:b/>
                <w:color w:val="000000"/>
                <w:sz w:val="21"/>
                <w:szCs w:val="21"/>
                <w:lang w:val="en-US" w:eastAsia="zh-CN"/>
              </w:rPr>
              <w:t>数量</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cs="仿宋_GB2312"/>
                <w:b/>
                <w:color w:val="000000"/>
                <w:sz w:val="21"/>
                <w:szCs w:val="21"/>
                <w:lang w:val="en-US" w:eastAsia="zh-CN"/>
              </w:rPr>
              <w:t>补贴金额</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郭亮亮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张红伟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陈建忠</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山西溢丰生态农业科技发展有限公司</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张晓江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张巧</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李刚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亓杰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免耕播种机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吴燕燕</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马海刚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冯清霞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刘磊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w:t>
            </w:r>
          </w:p>
        </w:tc>
        <w:tc>
          <w:tcPr>
            <w:tcW w:w="159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籍和平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w:t>
            </w:r>
          </w:p>
        </w:tc>
        <w:tc>
          <w:tcPr>
            <w:tcW w:w="159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郭文才</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马海刚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郭杰红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张晓江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吴会芳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李元宝</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张克亮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王国双</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000000" w:sz="4" w:space="0"/>
              <w:left w:val="single" w:color="000000"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李海亮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王国双</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bookmarkStart w:id="23" w:name="_Toc23883"/>
            <w:bookmarkStart w:id="24" w:name="_Toc15796"/>
            <w:bookmarkStart w:id="25" w:name="_Toc6284"/>
            <w:bookmarkStart w:id="26" w:name="_Toc75440698"/>
            <w:bookmarkStart w:id="27" w:name="_Toc7214"/>
            <w:r>
              <w:rPr>
                <w:rFonts w:hint="eastAsia" w:ascii="仿宋_GB2312" w:hAnsi="Calibri" w:eastAsia="仿宋_GB2312"/>
                <w:sz w:val="21"/>
                <w:szCs w:val="21"/>
                <w:lang w:val="en-US" w:eastAsia="zh-CN"/>
              </w:rPr>
              <w:t>24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李长青</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李文建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孙宝强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侯尚明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孙宝强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樊登殿</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冯清霞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崔新亮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樊登殿</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冯清霞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樊登殿</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李庆龙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李元宝</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39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马海刚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李永宝</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郭根亮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王保俊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毕研聪</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郭根亮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亓天宝</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赵卫明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张晓江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亓杰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赵红霞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郇述敏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段东红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吕长录</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李海亮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吕长录</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吕长录</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张巧</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韩永贵</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59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韩永贵</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陈建忠</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牛红亮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牛红亮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张红伟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苗晓帆</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苗晓帆</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张宝忠</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孔鹏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房海刚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刘金学</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吕文林</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李小平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鲁文青</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吴修林</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段志刚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刘金学</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张国栋</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杨建印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郎德金</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免耕播种机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候金荣</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李俊玲</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贾福生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李小根</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吕甜甜</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郭安平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段海刚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古县百成兴业家庭农场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穗茎兼收玉米收获机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陈新生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亓华鹏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刘彦军</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陈新生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唐腊红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计艳龙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陈新生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饶金梁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刘高柏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秸秆粉碎还田机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董汉勇</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董汉勇</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于树红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于树红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王付红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饶金梁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解红亮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赵锡伟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段金萍</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张红军</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杨忠全</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孙志安</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孙吉海</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田园管理机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840.00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申新史</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秦志峰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刘怀俊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薛安亮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杜小保</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山西溢丰生态农业科技发展有限公司</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李红义</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芦新峰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山西溢丰生态农业科技发展有限公司</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24100.00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成建红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张红星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刘怀俊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芦新峰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李玉明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宋兆青</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国命礼</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宋兆青</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袁西明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张红星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唐扬</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129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周银生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郭亮亮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秸秆粉碎还田机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杨德意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宗宝龙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刘怀俊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田清华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刘小红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杨忠全</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张元柱</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陈林锁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陈林锁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田清华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古县坤达农机服务专业合作社</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韩艳虎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史天德</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李小彪</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刘小红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王志强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李保国</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赵银山</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149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王振江</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胡周全</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李元贵</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穴播机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刘爱龙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790.00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古县古树生态农业科技发展有限公司</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秸秆粉碎还田机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孙福明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宗石柱</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侯帅</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王连锁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王连锁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张振宇</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杨振红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铧式犁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韩春红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刘文杰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790.00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华小军</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范振忠</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芦新峰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深松机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崔建国</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乔慧刚</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高全新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高全新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崔金灵</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栗雪亮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牛志强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牛志强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孙宝强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张婉君</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田元亮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62000.00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栗雪亮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179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齐金财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牛志强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崔金灵</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吴修林</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刘亮亮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马金旦</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杨德意</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21500.00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李忠虎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郭杰红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韩国明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189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高忠兴</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秸秆粉碎还田机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李相儒</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高全新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侯宁宁</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张国栋</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宗宝龙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冯义财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赵天顺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刘怀俊</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24500.00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李玉仓</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199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张虎</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马红莹</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王彦杰</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武红亮</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精量播种机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1600.00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田晋立</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自走式玉米收获机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李红义</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邢强强</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15200.00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206</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古县古树生态农业科技发展有限公司</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24100.00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207</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董汉勇</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轮式拖拉机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24100.00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208</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崔丽霞</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40200.00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209</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邢民</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22400.00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210</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李庆龙</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211</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辛建军</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玉米收获机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42300.00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212</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邢建红</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1800.00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213</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阴建平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旋耕机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214</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阴建平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穴播机</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900.00</w:t>
            </w:r>
          </w:p>
        </w:tc>
      </w:tr>
      <w:tr>
        <w:tblPrEx>
          <w:tblCellMar>
            <w:top w:w="0" w:type="dxa"/>
            <w:left w:w="108" w:type="dxa"/>
            <w:bottom w:w="0" w:type="dxa"/>
            <w:right w:w="108" w:type="dxa"/>
          </w:tblCellMar>
        </w:tblPrEx>
        <w:trPr>
          <w:trHeight w:val="486" w:hRule="atLeast"/>
        </w:trPr>
        <w:tc>
          <w:tcPr>
            <w:tcW w:w="438"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215</w:t>
            </w:r>
          </w:p>
        </w:tc>
        <w:tc>
          <w:tcPr>
            <w:tcW w:w="1595"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阴建平</w:t>
            </w:r>
          </w:p>
        </w:tc>
        <w:tc>
          <w:tcPr>
            <w:tcW w:w="1264"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犁</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1100.00</w:t>
            </w:r>
          </w:p>
        </w:tc>
      </w:tr>
      <w:tr>
        <w:tblPrEx>
          <w:tblCellMar>
            <w:top w:w="0" w:type="dxa"/>
            <w:left w:w="108" w:type="dxa"/>
            <w:bottom w:w="0" w:type="dxa"/>
            <w:right w:w="108" w:type="dxa"/>
          </w:tblCellMar>
        </w:tblPrEx>
        <w:trPr>
          <w:trHeight w:val="486" w:hRule="atLeast"/>
        </w:trPr>
        <w:tc>
          <w:tcPr>
            <w:tcW w:w="3299" w:type="pct"/>
            <w:gridSpan w:val="3"/>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sz w:val="21"/>
                <w:szCs w:val="21"/>
                <w:highlight w:val="none"/>
                <w:lang w:val="en-US" w:eastAsia="zh-CN"/>
              </w:rPr>
              <w:t>合计</w:t>
            </w:r>
          </w:p>
        </w:tc>
        <w:tc>
          <w:tcPr>
            <w:tcW w:w="64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sz w:val="21"/>
                <w:szCs w:val="21"/>
                <w:highlight w:val="none"/>
                <w:lang w:val="en-US" w:eastAsia="zh-CN"/>
              </w:rPr>
              <w:t>215</w:t>
            </w:r>
          </w:p>
        </w:tc>
        <w:tc>
          <w:tcPr>
            <w:tcW w:w="1060"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default" w:ascii="仿宋_GB2312" w:hAnsi="Calibri" w:eastAsia="仿宋_GB2312"/>
                <w:sz w:val="21"/>
                <w:szCs w:val="21"/>
                <w:highlight w:val="none"/>
                <w:lang w:val="en-US" w:eastAsia="zh-CN"/>
              </w:rPr>
              <w:t>2737020.00</w:t>
            </w:r>
          </w:p>
        </w:tc>
      </w:tr>
      <w:bookmarkEnd w:id="19"/>
      <w:bookmarkEnd w:id="20"/>
      <w:bookmarkEnd w:id="21"/>
      <w:bookmarkEnd w:id="22"/>
    </w:tbl>
    <w:p>
      <w:pPr>
        <w:pStyle w:val="4"/>
        <w:ind w:left="0" w:leftChars="0" w:firstLine="320" w:firstLineChars="100"/>
        <w:rPr>
          <w:rFonts w:hint="eastAsia" w:ascii="仿宋_GB2312"/>
          <w:lang w:val="en-US" w:eastAsia="zh-CN"/>
        </w:rPr>
      </w:pPr>
      <w:r>
        <w:rPr>
          <w:rFonts w:hint="eastAsia" w:ascii="仿宋_GB2312"/>
          <w:lang w:val="en-US" w:eastAsia="zh-CN"/>
        </w:rPr>
        <w:t>（三）项目绩效目标</w:t>
      </w:r>
      <w:bookmarkEnd w:id="23"/>
      <w:bookmarkEnd w:id="24"/>
      <w:bookmarkEnd w:id="25"/>
      <w:bookmarkEnd w:id="26"/>
      <w:bookmarkEnd w:id="27"/>
    </w:p>
    <w:p>
      <w:pPr>
        <w:spacing w:line="520" w:lineRule="exact"/>
        <w:ind w:firstLine="643"/>
        <w:rPr>
          <w:rFonts w:ascii="仿宋_GB2312" w:hAnsi="仿宋"/>
          <w:b w:val="0"/>
          <w:bCs/>
          <w:kern w:val="0"/>
          <w:szCs w:val="32"/>
        </w:rPr>
      </w:pPr>
      <w:r>
        <w:rPr>
          <w:rFonts w:hint="eastAsia" w:ascii="仿宋_GB2312" w:hAnsi="仿宋"/>
          <w:b w:val="0"/>
          <w:bCs/>
          <w:kern w:val="0"/>
          <w:szCs w:val="32"/>
          <w:lang w:val="en-US" w:eastAsia="zh-CN"/>
        </w:rPr>
        <w:t>1.项目总体</w:t>
      </w:r>
      <w:r>
        <w:rPr>
          <w:rFonts w:hint="eastAsia" w:ascii="仿宋_GB2312" w:hAnsi="仿宋"/>
          <w:b w:val="0"/>
          <w:bCs/>
          <w:kern w:val="0"/>
          <w:szCs w:val="32"/>
        </w:rPr>
        <w:t>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严格执行</w:t>
      </w:r>
      <w:r>
        <w:rPr>
          <w:rFonts w:hint="eastAsia" w:ascii="仿宋_GB2312" w:hAnsi="仿宋_GB2312" w:cs="仿宋_GB2312"/>
          <w:lang w:val="en-US" w:eastAsia="zh-CN"/>
        </w:rPr>
        <w:t>《古农机字〔2021〕22</w:t>
      </w:r>
      <w:r>
        <w:rPr>
          <w:rFonts w:hint="eastAsia" w:ascii="仿宋_GB2312" w:hAnsi="仿宋_GB2312" w:eastAsia="仿宋_GB2312" w:cs="仿宋_GB2312"/>
          <w:lang w:val="en-US" w:eastAsia="zh-CN"/>
        </w:rPr>
        <w:t>号</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文</w:t>
      </w:r>
      <w:r>
        <w:rPr>
          <w:rFonts w:hint="eastAsia" w:ascii="仿宋_GB2312" w:hAnsi="仿宋_GB2312" w:cs="仿宋_GB2312"/>
          <w:lang w:val="en-US" w:eastAsia="zh-CN"/>
        </w:rPr>
        <w:t>件</w:t>
      </w:r>
      <w:r>
        <w:rPr>
          <w:rFonts w:hint="eastAsia" w:ascii="仿宋_GB2312" w:hAnsi="仿宋_GB2312" w:eastAsia="仿宋_GB2312" w:cs="仿宋_GB2312"/>
          <w:lang w:val="en-US" w:eastAsia="zh-CN"/>
        </w:rPr>
        <w:t>，按照规定的补贴对象和补贴标准，在规定的补贴范围内进行农机</w:t>
      </w:r>
      <w:r>
        <w:rPr>
          <w:rFonts w:hint="eastAsia" w:ascii="仿宋_GB2312" w:hAnsi="仿宋_GB2312" w:cs="仿宋_GB2312"/>
          <w:lang w:val="en-US" w:eastAsia="zh-CN"/>
        </w:rPr>
        <w:t>具</w:t>
      </w:r>
      <w:r>
        <w:rPr>
          <w:rFonts w:hint="eastAsia" w:ascii="仿宋_GB2312" w:hAnsi="仿宋_GB2312" w:eastAsia="仿宋_GB2312" w:cs="仿宋_GB2312"/>
          <w:lang w:val="en-US" w:eastAsia="zh-CN"/>
        </w:rPr>
        <w:t>的补贴，并将粮食、生猪等重要农畜产品生产所需机具全部列入补贴范</w:t>
      </w:r>
      <w:r>
        <w:rPr>
          <w:rFonts w:hint="eastAsia" w:ascii="仿宋_GB2312" w:hAnsi="仿宋_GB2312" w:cs="仿宋_GB2312"/>
          <w:lang w:val="en-US" w:eastAsia="zh-CN"/>
        </w:rPr>
        <w:t>围</w:t>
      </w:r>
      <w:r>
        <w:rPr>
          <w:rFonts w:hint="eastAsia" w:ascii="仿宋_GB2312" w:hAnsi="仿宋_GB2312" w:eastAsia="仿宋_GB2312" w:cs="仿宋_GB2312"/>
          <w:lang w:val="en-US" w:eastAsia="zh-CN"/>
        </w:rPr>
        <w:t>，应补尽补，突出对深耕整地、育秧、播种、植保、烘干、茶叶生产加工等农机具的补贴。</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进而</w:t>
      </w:r>
      <w:r>
        <w:rPr>
          <w:rFonts w:hint="eastAsia" w:ascii="仿宋_GB2312" w:hAnsi="仿宋_GB2312" w:eastAsia="仿宋_GB2312" w:cs="仿宋_GB2312"/>
          <w:lang w:val="en-US" w:eastAsia="zh-CN"/>
        </w:rPr>
        <w:t>提升农机化水平，减轻农民负担，优化农业机械装备结构，促进农民节本增收，促进经济发展</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推动农业现代化进程和国家现代农业示范区建设步伐。</w:t>
      </w:r>
    </w:p>
    <w:p>
      <w:pPr>
        <w:spacing w:line="520" w:lineRule="exact"/>
        <w:ind w:firstLine="643"/>
        <w:rPr>
          <w:rFonts w:hint="eastAsia" w:ascii="仿宋_GB2312" w:hAnsi="仿宋"/>
          <w:b w:val="0"/>
          <w:bCs/>
          <w:kern w:val="0"/>
          <w:szCs w:val="32"/>
          <w:lang w:val="en-US" w:eastAsia="zh-CN"/>
        </w:rPr>
      </w:pPr>
      <w:r>
        <w:rPr>
          <w:rFonts w:hint="eastAsia" w:ascii="仿宋_GB2312" w:hAnsi="仿宋"/>
          <w:b w:val="0"/>
          <w:bCs/>
          <w:kern w:val="0"/>
          <w:szCs w:val="32"/>
          <w:lang w:val="en-US" w:eastAsia="zh-CN"/>
        </w:rPr>
        <w:t>2.阶段性目标</w:t>
      </w:r>
    </w:p>
    <w:p>
      <w:pPr>
        <w:ind w:firstLine="640"/>
        <w:rPr>
          <w:rFonts w:hint="eastAsia" w:ascii="仿宋_GB2312"/>
          <w:lang w:val="en-US" w:eastAsia="zh-CN"/>
        </w:rPr>
      </w:pPr>
      <w:r>
        <w:rPr>
          <w:rFonts w:hint="eastAsia" w:ascii="仿宋_GB2312"/>
          <w:lang w:val="en-US" w:eastAsia="zh-CN"/>
        </w:rPr>
        <w:t>（1）产出目标</w:t>
      </w:r>
    </w:p>
    <w:p>
      <w:pPr>
        <w:ind w:firstLine="640"/>
        <w:rPr>
          <w:rFonts w:hint="default"/>
          <w:lang w:val="en-US" w:eastAsia="zh-CN"/>
        </w:rPr>
      </w:pPr>
      <w:r>
        <w:rPr>
          <w:rFonts w:hint="eastAsia"/>
          <w:lang w:val="zh-CN" w:eastAsia="zh-CN"/>
        </w:rPr>
        <w:t>数量目标：</w:t>
      </w:r>
      <w:r>
        <w:rPr>
          <w:rFonts w:hint="eastAsia"/>
          <w:lang w:val="en-US" w:eastAsia="zh-CN"/>
        </w:rPr>
        <w:t>应补尽补率：审核通过的应补人数和实际补贴的人数比。</w:t>
      </w:r>
    </w:p>
    <w:p>
      <w:pPr>
        <w:ind w:firstLine="640"/>
        <w:rPr>
          <w:rFonts w:hint="eastAsia"/>
          <w:lang w:val="zh-CN" w:eastAsia="zh-CN"/>
        </w:rPr>
      </w:pPr>
      <w:r>
        <w:rPr>
          <w:rFonts w:hint="eastAsia"/>
          <w:lang w:val="zh-CN" w:eastAsia="zh-CN"/>
        </w:rPr>
        <w:t>质量目标：</w:t>
      </w:r>
      <w:r>
        <w:rPr>
          <w:rFonts w:hint="eastAsia"/>
          <w:lang w:val="en-US" w:eastAsia="zh-CN"/>
        </w:rPr>
        <w:t>补贴标准符合率：实际补贴人数比符合补贴标准人数</w:t>
      </w:r>
      <w:r>
        <w:rPr>
          <w:rFonts w:hint="eastAsia"/>
          <w:lang w:val="zh-CN" w:eastAsia="zh-CN"/>
        </w:rPr>
        <w:t>。</w:t>
      </w:r>
    </w:p>
    <w:p>
      <w:pPr>
        <w:ind w:firstLine="640"/>
        <w:rPr>
          <w:rFonts w:hint="eastAsia"/>
          <w:lang w:val="zh-CN" w:eastAsia="zh-CN"/>
        </w:rPr>
      </w:pPr>
      <w:r>
        <w:rPr>
          <w:rFonts w:hint="eastAsia"/>
          <w:lang w:val="zh-CN" w:eastAsia="zh-CN"/>
        </w:rPr>
        <w:t>时效目标：</w:t>
      </w:r>
      <w:r>
        <w:rPr>
          <w:rFonts w:hint="eastAsia"/>
          <w:lang w:val="en-US" w:eastAsia="zh-CN"/>
        </w:rPr>
        <w:t>补贴资金发放</w:t>
      </w:r>
      <w:r>
        <w:rPr>
          <w:rFonts w:hint="eastAsia"/>
          <w:lang w:val="zh-CN" w:eastAsia="zh-CN"/>
        </w:rPr>
        <w:t>及时</w:t>
      </w:r>
      <w:r>
        <w:rPr>
          <w:rFonts w:hint="eastAsia"/>
          <w:lang w:val="en-US" w:eastAsia="zh-CN"/>
        </w:rPr>
        <w:t>性：申报者提交审核通过后15日内发放。</w:t>
      </w:r>
    </w:p>
    <w:p>
      <w:pPr>
        <w:spacing w:line="520" w:lineRule="exact"/>
        <w:ind w:firstLine="643"/>
        <w:rPr>
          <w:rFonts w:ascii="仿宋_GB2312" w:hAnsi="仿宋"/>
          <w:b w:val="0"/>
          <w:bCs w:val="0"/>
          <w:kern w:val="0"/>
          <w:szCs w:val="32"/>
        </w:rPr>
      </w:pPr>
      <w:r>
        <w:rPr>
          <w:rFonts w:hint="eastAsia" w:ascii="仿宋_GB2312" w:hAnsi="仿宋"/>
          <w:b w:val="0"/>
          <w:bCs w:val="0"/>
          <w:kern w:val="0"/>
          <w:szCs w:val="32"/>
          <w:lang w:val="en-US" w:eastAsia="zh-CN"/>
        </w:rPr>
        <w:t>（2）</w:t>
      </w:r>
      <w:r>
        <w:rPr>
          <w:rFonts w:ascii="仿宋_GB2312" w:hAnsi="仿宋"/>
          <w:b w:val="0"/>
          <w:bCs w:val="0"/>
          <w:kern w:val="0"/>
          <w:szCs w:val="32"/>
        </w:rPr>
        <w:t>效益目标</w:t>
      </w:r>
    </w:p>
    <w:p>
      <w:pPr>
        <w:ind w:firstLine="640"/>
        <w:rPr>
          <w:rFonts w:hint="eastAsia" w:ascii="仿宋_GB2312" w:hAnsi="仿宋_GB2312" w:eastAsia="仿宋_GB2312" w:cs="仿宋_GB2312"/>
          <w:lang w:val="en-US" w:eastAsia="zh-CN"/>
        </w:rPr>
      </w:pPr>
      <w:bookmarkStart w:id="28" w:name="_Toc1646"/>
      <w:r>
        <w:rPr>
          <w:rFonts w:hint="eastAsia" w:ascii="仿宋_GB2312" w:hAnsi="仿宋_GB2312" w:eastAsia="仿宋_GB2312" w:cs="仿宋_GB2312"/>
          <w:lang w:val="en-US" w:eastAsia="zh-CN"/>
        </w:rPr>
        <w:t>经济效益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增加粮食产量，提高农民收入：农机购置补贴的实施，促进了农业机械化快速发展，大大降低了农业生产劳动强度，提高了劳动生产率，充分调动了农民的生产积极性，稳定了粮食生产面积，促进了粮食增产高产。同时，农业生产成本明显下降，一方面，农机购置补贴政策直接降低了农民生产资料投入成本和用工成本；另一方面，农民将土地流转到规模经营户，取得一定的流转收入，大量农村劳动力从繁重的体力劳动中解放出来，转至城镇打工或自主创业，其收入远高于种田农民收入。</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促进规模化经营，提高农业生产现代化：我国农业正由传统农业向现代农业，一家一户、小户经营、手工农业向规模化、标准化、集约化、产业化经营转变，形成了许多规模性、区域性特色农业。一大批高效、低耗能的农机具得到了推广和应用，大大提高了劳动生产率，有效促进农业生产现代化。</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 xml:space="preserve">促进产业结构调整，加快农业机械化产业发展：一直以来，我国农业机械产品投入较少，研发能力较弱，技术水平不高，产品质量不稳定，农民购买意愿较低。农机购置补贴的实施，促进了农业机械的广泛运用，加大了企业投入，加快新产品的创新、研发和生产，促进了农业机械化产业发展。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可持续影响</w:t>
      </w:r>
      <w:r>
        <w:rPr>
          <w:rFonts w:hint="eastAsia" w:ascii="仿宋_GB2312" w:hAnsi="仿宋_GB2312" w:cs="仿宋_GB2312"/>
          <w:lang w:val="en-US" w:eastAsia="zh-CN"/>
        </w:rPr>
        <w:t>－政策知晓率</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农业农村（农机）部门要因地制宜、综合运用宣传挂图、报纸杂志、广播电视、互联网、村务公开等方式，全方位开展补贴政策与实施工作宣传解读，着力提升政策知晓率，切实保障购机者、农机产销企业和广大农民群众的知情权、监督权。按职责分工和有关规定，健全完善农机购置补贴信息公开专栏，建立信息审核发布机制，按要求发布并公开本县农机购置补贴工作方案。政策宣传</w:t>
      </w:r>
      <w:r>
        <w:rPr>
          <w:rFonts w:hint="eastAsia" w:ascii="仿宋_GB2312" w:hAnsi="仿宋_GB2312" w:eastAsia="仿宋_GB2312" w:cs="仿宋_GB2312"/>
          <w:lang w:val="en-US" w:eastAsia="zh-CN"/>
        </w:rPr>
        <w:t>可持续。</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（3）</w:t>
      </w:r>
      <w:r>
        <w:rPr>
          <w:rFonts w:hint="eastAsia" w:ascii="仿宋_GB2312" w:hAnsi="仿宋_GB2312" w:eastAsia="仿宋_GB2312" w:cs="仿宋_GB2312"/>
          <w:lang w:val="en-US" w:eastAsia="zh-CN"/>
        </w:rPr>
        <w:t>服务对象满意度：9</w:t>
      </w:r>
      <w:r>
        <w:rPr>
          <w:rFonts w:hint="eastAsia" w:ascii="仿宋_GB2312" w:hAnsi="仿宋_GB2312" w:cs="仿宋_GB2312"/>
          <w:lang w:val="en-US" w:eastAsia="zh-CN"/>
        </w:rPr>
        <w:t>0</w:t>
      </w:r>
      <w:r>
        <w:rPr>
          <w:rFonts w:hint="eastAsia" w:ascii="仿宋_GB2312" w:hAnsi="仿宋_GB2312" w:eastAsia="仿宋_GB2312" w:cs="仿宋_GB2312"/>
          <w:lang w:val="en-US" w:eastAsia="zh-CN"/>
        </w:rPr>
        <w:t>%及以上。</w:t>
      </w:r>
    </w:p>
    <w:bookmarkEnd w:id="28"/>
    <w:p>
      <w:pPr>
        <w:pStyle w:val="3"/>
        <w:ind w:firstLine="640"/>
      </w:pPr>
      <w:bookmarkStart w:id="29" w:name="_Toc8786"/>
      <w:r>
        <w:t>二、</w:t>
      </w:r>
      <w:r>
        <w:rPr>
          <w:rFonts w:hint="eastAsia"/>
        </w:rPr>
        <w:t>绩效评价工作开展情况</w:t>
      </w:r>
      <w:bookmarkEnd w:id="29"/>
    </w:p>
    <w:p>
      <w:pPr>
        <w:pStyle w:val="4"/>
        <w:ind w:firstLine="640"/>
        <w:rPr>
          <w:rFonts w:ascii="仿宋_GB2312"/>
        </w:rPr>
      </w:pPr>
      <w:bookmarkStart w:id="30" w:name="_Toc8732"/>
      <w:r>
        <w:rPr>
          <w:rFonts w:ascii="仿宋_GB2312"/>
        </w:rPr>
        <w:t>（一）</w:t>
      </w:r>
      <w:r>
        <w:rPr>
          <w:rFonts w:hint="eastAsia" w:ascii="仿宋_GB2312"/>
        </w:rPr>
        <w:t>绩效</w:t>
      </w:r>
      <w:r>
        <w:rPr>
          <w:rFonts w:ascii="仿宋_GB2312"/>
        </w:rPr>
        <w:t>评价目的</w:t>
      </w:r>
      <w:r>
        <w:rPr>
          <w:rFonts w:hint="eastAsia" w:ascii="仿宋_GB2312"/>
        </w:rPr>
        <w:t>、对象和范围</w:t>
      </w:r>
      <w:bookmarkEnd w:id="30"/>
    </w:p>
    <w:p>
      <w:pPr>
        <w:ind w:firstLine="640"/>
        <w:rPr>
          <w:rFonts w:hint="eastAsia"/>
        </w:rPr>
      </w:pPr>
      <w:r>
        <w:rPr>
          <w:rFonts w:hint="eastAsia" w:ascii="仿宋_GB2312"/>
        </w:rPr>
        <w:t>1.</w:t>
      </w:r>
      <w:r>
        <w:rPr>
          <w:rFonts w:hint="eastAsia"/>
        </w:rPr>
        <w:t>评价目的</w:t>
      </w:r>
    </w:p>
    <w:p>
      <w:pPr>
        <w:ind w:firstLine="640"/>
        <w:rPr>
          <w:rFonts w:hint="eastAsia"/>
        </w:rPr>
      </w:pPr>
      <w:r>
        <w:rPr>
          <w:rFonts w:hint="eastAsia"/>
        </w:rPr>
        <w:t>财政支出绩效评价旨在通过评价改善预算部门的财政支出管理</w:t>
      </w:r>
      <w:r>
        <w:rPr>
          <w:rFonts w:hint="eastAsia"/>
          <w:lang w:eastAsia="zh-CN"/>
        </w:rPr>
        <w:t>，</w:t>
      </w:r>
      <w:r>
        <w:rPr>
          <w:rFonts w:hint="eastAsia"/>
        </w:rPr>
        <w:t>优化资源配置</w:t>
      </w:r>
      <w:r>
        <w:rPr>
          <w:rFonts w:hint="eastAsia"/>
          <w:lang w:eastAsia="zh-CN"/>
        </w:rPr>
        <w:t>，</w:t>
      </w:r>
      <w:r>
        <w:rPr>
          <w:rFonts w:hint="eastAsia"/>
        </w:rPr>
        <w:t>提高公共服务水平。本次绩效评价遵循《财政部关于印发</w:t>
      </w:r>
      <w:r>
        <w:rPr>
          <w:rFonts w:hint="eastAsia"/>
          <w:lang w:eastAsia="zh-CN"/>
        </w:rPr>
        <w:t>〈</w:t>
      </w:r>
      <w:r>
        <w:rPr>
          <w:rFonts w:hint="eastAsia"/>
        </w:rPr>
        <w:t>项目支出绩效评价管理办法</w:t>
      </w:r>
      <w:r>
        <w:rPr>
          <w:rFonts w:hint="eastAsia"/>
          <w:lang w:eastAsia="zh-CN"/>
        </w:rPr>
        <w:t>〉</w:t>
      </w:r>
      <w:r>
        <w:rPr>
          <w:rFonts w:hint="eastAsia"/>
        </w:rPr>
        <w:t>的通知》（财预〔2020〕10 号）、《中共中央国务院关于全面实施预算绩效管理的意见》</w:t>
      </w:r>
      <w:r>
        <w:rPr>
          <w:rFonts w:hint="eastAsia"/>
          <w:lang w:eastAsia="zh-CN"/>
        </w:rPr>
        <w:t>（</w:t>
      </w:r>
      <w:r>
        <w:rPr>
          <w:rFonts w:hint="eastAsia"/>
        </w:rPr>
        <w:t>中发〔2018〕34号</w:t>
      </w:r>
      <w:r>
        <w:rPr>
          <w:rFonts w:hint="eastAsia"/>
          <w:lang w:eastAsia="zh-CN"/>
        </w:rPr>
        <w:t>）</w:t>
      </w:r>
      <w:r>
        <w:rPr>
          <w:rFonts w:hint="eastAsia"/>
        </w:rPr>
        <w:t>、</w:t>
      </w:r>
      <w:r>
        <w:rPr>
          <w:rFonts w:hint="eastAsia" w:ascii="仿宋_GB2312"/>
        </w:rPr>
        <w:t>《中共山西省委山西省人民政府关于全面实施预算绩效管理的实施意见》（晋财绩〔2019〕12号）</w:t>
      </w:r>
      <w:r>
        <w:rPr>
          <w:rFonts w:hint="eastAsia"/>
        </w:rPr>
        <w:t>的有关规定</w:t>
      </w:r>
      <w:r>
        <w:rPr>
          <w:rFonts w:hint="eastAsia"/>
          <w:lang w:eastAsia="zh-CN"/>
        </w:rPr>
        <w:t>，</w:t>
      </w:r>
      <w:r>
        <w:rPr>
          <w:rFonts w:hint="eastAsia"/>
        </w:rPr>
        <w:t>客观、全面、公正地评价</w:t>
      </w:r>
      <w:r>
        <w:rPr>
          <w:rFonts w:hint="eastAsia"/>
          <w:lang w:val="en-US" w:eastAsia="zh-CN"/>
        </w:rPr>
        <w:t>古县2022年农机具购置补贴项目</w:t>
      </w:r>
      <w:r>
        <w:rPr>
          <w:rFonts w:hint="eastAsia"/>
        </w:rPr>
        <w:t>。</w:t>
      </w:r>
    </w:p>
    <w:p>
      <w:pPr>
        <w:ind w:firstLine="640"/>
        <w:rPr>
          <w:rFonts w:hint="eastAsia"/>
        </w:rPr>
      </w:pPr>
      <w:r>
        <w:rPr>
          <w:rFonts w:hint="eastAsia"/>
        </w:rPr>
        <w:t>（1）通过绩效评价</w:t>
      </w:r>
      <w:r>
        <w:rPr>
          <w:rFonts w:hint="eastAsia"/>
          <w:lang w:eastAsia="zh-CN"/>
        </w:rPr>
        <w:t>，</w:t>
      </w:r>
      <w:r>
        <w:rPr>
          <w:rFonts w:hint="eastAsia"/>
        </w:rPr>
        <w:t>深入了解</w:t>
      </w:r>
      <w:r>
        <w:rPr>
          <w:rFonts w:hint="eastAsia"/>
          <w:lang w:val="en-US" w:eastAsia="zh-CN"/>
        </w:rPr>
        <w:t>古县2022年农机具购置补贴项目</w:t>
      </w:r>
      <w:r>
        <w:rPr>
          <w:rFonts w:hint="eastAsia"/>
        </w:rPr>
        <w:t>的决策、过程、产出和效益方面的详细情况</w:t>
      </w:r>
      <w:r>
        <w:rPr>
          <w:rFonts w:hint="eastAsia"/>
          <w:lang w:eastAsia="zh-CN"/>
        </w:rPr>
        <w:t>，</w:t>
      </w:r>
      <w:r>
        <w:rPr>
          <w:rFonts w:hint="eastAsia"/>
        </w:rPr>
        <w:t>从而发现问题</w:t>
      </w:r>
      <w:r>
        <w:rPr>
          <w:rFonts w:hint="eastAsia"/>
          <w:lang w:eastAsia="zh-CN"/>
        </w:rPr>
        <w:t>，</w:t>
      </w:r>
      <w:r>
        <w:rPr>
          <w:rFonts w:hint="eastAsia"/>
        </w:rPr>
        <w:t>并提出改进意见</w:t>
      </w:r>
      <w:r>
        <w:rPr>
          <w:rFonts w:hint="eastAsia"/>
          <w:lang w:eastAsia="zh-CN"/>
        </w:rPr>
        <w:t>，</w:t>
      </w:r>
      <w:r>
        <w:rPr>
          <w:rFonts w:hint="eastAsia"/>
        </w:rPr>
        <w:t>进一步提高资金使用效率</w:t>
      </w:r>
      <w:r>
        <w:rPr>
          <w:rFonts w:hint="eastAsia"/>
          <w:lang w:eastAsia="zh-CN"/>
        </w:rPr>
        <w:t>，</w:t>
      </w:r>
      <w:r>
        <w:rPr>
          <w:rFonts w:hint="eastAsia"/>
        </w:rPr>
        <w:t>为今后</w:t>
      </w:r>
      <w:r>
        <w:rPr>
          <w:rFonts w:hint="eastAsia"/>
          <w:lang w:val="en-US" w:eastAsia="zh-CN"/>
        </w:rPr>
        <w:t>古县2022年农机具购置补贴项目</w:t>
      </w:r>
      <w:r>
        <w:rPr>
          <w:rFonts w:hint="eastAsia"/>
        </w:rPr>
        <w:t>科学合理</w:t>
      </w:r>
      <w:r>
        <w:rPr>
          <w:rFonts w:hint="eastAsia"/>
          <w:lang w:val="en-US" w:eastAsia="zh-CN"/>
        </w:rPr>
        <w:t>工作</w:t>
      </w:r>
      <w:r>
        <w:rPr>
          <w:rFonts w:hint="eastAsia"/>
        </w:rPr>
        <w:t>方案提供参考。</w:t>
      </w:r>
    </w:p>
    <w:p>
      <w:pPr>
        <w:ind w:firstLine="640"/>
        <w:rPr>
          <w:rFonts w:hint="eastAsia"/>
        </w:rPr>
      </w:pPr>
      <w:r>
        <w:rPr>
          <w:rFonts w:hint="eastAsia"/>
        </w:rPr>
        <w:t>（2）督促、指导资金使用单位</w:t>
      </w:r>
      <w:r>
        <w:rPr>
          <w:rFonts w:hint="eastAsia"/>
          <w:lang w:eastAsia="zh-CN"/>
        </w:rPr>
        <w:t>，</w:t>
      </w:r>
      <w:r>
        <w:rPr>
          <w:rFonts w:hint="eastAsia"/>
        </w:rPr>
        <w:t>严格按照政策规定用途使用</w:t>
      </w:r>
      <w:r>
        <w:rPr>
          <w:rFonts w:hint="eastAsia"/>
          <w:lang w:val="en-US" w:eastAsia="zh-CN"/>
        </w:rPr>
        <w:t>古县2022年农机具购置补贴项目</w:t>
      </w:r>
      <w:r>
        <w:rPr>
          <w:rFonts w:hint="eastAsia"/>
        </w:rPr>
        <w:t>资金</w:t>
      </w:r>
      <w:r>
        <w:rPr>
          <w:rFonts w:hint="eastAsia"/>
          <w:lang w:eastAsia="zh-CN"/>
        </w:rPr>
        <w:t>，</w:t>
      </w:r>
      <w:r>
        <w:rPr>
          <w:rFonts w:hint="eastAsia"/>
        </w:rPr>
        <w:t>建立健全资金分配、管理制度</w:t>
      </w:r>
      <w:r>
        <w:rPr>
          <w:rFonts w:hint="eastAsia"/>
          <w:lang w:eastAsia="zh-CN"/>
        </w:rPr>
        <w:t>，</w:t>
      </w:r>
      <w:r>
        <w:rPr>
          <w:rFonts w:hint="eastAsia"/>
        </w:rPr>
        <w:t>确保资金运行安全</w:t>
      </w:r>
      <w:r>
        <w:rPr>
          <w:rFonts w:hint="eastAsia"/>
          <w:lang w:eastAsia="zh-CN"/>
        </w:rPr>
        <w:t>，</w:t>
      </w:r>
      <w:r>
        <w:rPr>
          <w:rFonts w:hint="eastAsia"/>
        </w:rPr>
        <w:t>对项目资金的拨付及使用提供科学依据。</w:t>
      </w:r>
    </w:p>
    <w:p>
      <w:pPr>
        <w:ind w:firstLine="640"/>
        <w:rPr>
          <w:rFonts w:hint="eastAsia"/>
        </w:rPr>
      </w:pPr>
      <w:r>
        <w:rPr>
          <w:rFonts w:hint="eastAsia"/>
        </w:rPr>
        <w:t>（3）从绩效的角度发现</w:t>
      </w:r>
      <w:r>
        <w:rPr>
          <w:rFonts w:hint="eastAsia"/>
          <w:lang w:val="en-US" w:eastAsia="zh-CN"/>
        </w:rPr>
        <w:t>古县2022年农机具购置补贴项目</w:t>
      </w:r>
      <w:r>
        <w:rPr>
          <w:rFonts w:hint="eastAsia"/>
        </w:rPr>
        <w:t>在效率效益、完成情况和完成质量方面存在的问题</w:t>
      </w:r>
      <w:r>
        <w:rPr>
          <w:rFonts w:hint="eastAsia"/>
          <w:lang w:eastAsia="zh-CN"/>
        </w:rPr>
        <w:t>，</w:t>
      </w:r>
      <w:r>
        <w:rPr>
          <w:rFonts w:hint="eastAsia"/>
        </w:rPr>
        <w:t>提出解决问题的建议</w:t>
      </w:r>
      <w:r>
        <w:rPr>
          <w:rFonts w:hint="eastAsia"/>
          <w:lang w:eastAsia="zh-CN"/>
        </w:rPr>
        <w:t>，</w:t>
      </w:r>
      <w:r>
        <w:rPr>
          <w:rFonts w:hint="eastAsia"/>
        </w:rPr>
        <w:t>为提升资金使用绩效提供决策依据</w:t>
      </w:r>
      <w:r>
        <w:rPr>
          <w:rFonts w:hint="eastAsia"/>
          <w:lang w:eastAsia="zh-CN"/>
        </w:rPr>
        <w:t>，</w:t>
      </w:r>
      <w:r>
        <w:rPr>
          <w:rFonts w:hint="eastAsia"/>
        </w:rPr>
        <w:t>提高各职能部门管理水平</w:t>
      </w:r>
      <w:r>
        <w:rPr>
          <w:rFonts w:hint="eastAsia"/>
          <w:lang w:eastAsia="zh-CN"/>
        </w:rPr>
        <w:t>，</w:t>
      </w:r>
      <w:r>
        <w:rPr>
          <w:rFonts w:hint="eastAsia"/>
        </w:rPr>
        <w:t>加强规范化、制度化建设</w:t>
      </w:r>
      <w:r>
        <w:rPr>
          <w:rFonts w:hint="eastAsia"/>
          <w:lang w:eastAsia="zh-CN"/>
        </w:rPr>
        <w:t>，</w:t>
      </w:r>
      <w:r>
        <w:rPr>
          <w:rFonts w:hint="eastAsia"/>
        </w:rPr>
        <w:t>建立健全目标化管理制度</w:t>
      </w:r>
      <w:r>
        <w:rPr>
          <w:rFonts w:hint="eastAsia"/>
          <w:lang w:eastAsia="zh-CN"/>
        </w:rPr>
        <w:t>，</w:t>
      </w:r>
      <w:r>
        <w:rPr>
          <w:rFonts w:hint="eastAsia"/>
        </w:rPr>
        <w:t>推进预算绩效管理。</w:t>
      </w:r>
    </w:p>
    <w:p>
      <w:pPr>
        <w:ind w:firstLine="640"/>
      </w:pPr>
      <w:r>
        <w:rPr>
          <w:rFonts w:hint="eastAsia" w:ascii="仿宋_GB2312"/>
        </w:rPr>
        <w:t>2.</w:t>
      </w:r>
      <w:r>
        <w:rPr>
          <w:rFonts w:hint="eastAsia"/>
        </w:rPr>
        <w:t>评价依据</w:t>
      </w:r>
    </w:p>
    <w:p>
      <w:pPr>
        <w:ind w:firstLine="640"/>
        <w:rPr>
          <w:rFonts w:hint="eastAsia" w:ascii="仿宋_GB2312"/>
        </w:rPr>
      </w:pPr>
      <w:r>
        <w:rPr>
          <w:rFonts w:hint="eastAsia" w:ascii="仿宋_GB2312"/>
        </w:rPr>
        <w:t>评价依据是评价所依据的</w:t>
      </w:r>
      <w:r>
        <w:rPr>
          <w:rFonts w:hint="eastAsia" w:ascii="仿宋_GB2312"/>
          <w:lang w:eastAsia="zh-CN"/>
        </w:rPr>
        <w:t>法律法规</w:t>
      </w:r>
      <w:r>
        <w:rPr>
          <w:rFonts w:hint="eastAsia" w:ascii="仿宋_GB2312"/>
        </w:rPr>
        <w:t>规章、政策文件</w:t>
      </w:r>
      <w:r>
        <w:rPr>
          <w:rFonts w:hint="eastAsia" w:ascii="仿宋_GB2312"/>
          <w:lang w:eastAsia="zh-CN"/>
        </w:rPr>
        <w:t>，</w:t>
      </w:r>
      <w:r>
        <w:rPr>
          <w:rFonts w:hint="eastAsia" w:ascii="仿宋_GB2312"/>
        </w:rPr>
        <w:t>包括但不限于：</w:t>
      </w:r>
    </w:p>
    <w:p>
      <w:pPr>
        <w:ind w:firstLine="640"/>
        <w:rPr>
          <w:rFonts w:hint="eastAsia" w:ascii="仿宋_GB2312"/>
          <w:lang w:val="en-US" w:eastAsia="zh-CN"/>
        </w:rPr>
      </w:pPr>
      <w:r>
        <w:rPr>
          <w:rFonts w:hint="eastAsia" w:ascii="仿宋_GB2312"/>
          <w:lang w:val="en-US" w:eastAsia="zh-CN"/>
        </w:rPr>
        <w:t>（1）《中华人民共和国预算法》（2018年修正）；</w:t>
      </w:r>
    </w:p>
    <w:p>
      <w:pPr>
        <w:ind w:firstLine="640"/>
        <w:rPr>
          <w:rFonts w:hint="eastAsia" w:ascii="仿宋_GB2312"/>
          <w:lang w:val="en-US" w:eastAsia="zh-CN"/>
        </w:rPr>
      </w:pPr>
      <w:r>
        <w:rPr>
          <w:rFonts w:hint="eastAsia" w:ascii="仿宋_GB2312"/>
          <w:lang w:val="en-US" w:eastAsia="zh-CN"/>
        </w:rPr>
        <w:t>（2）《中华人民共和国预算法实施条例》（中华人民共和国国务院令第729号修订）；</w:t>
      </w:r>
    </w:p>
    <w:p>
      <w:pPr>
        <w:ind w:firstLine="640"/>
        <w:rPr>
          <w:rFonts w:hint="eastAsia" w:ascii="仿宋_GB2312"/>
          <w:lang w:val="en-US" w:eastAsia="zh-CN"/>
        </w:rPr>
      </w:pPr>
      <w:r>
        <w:rPr>
          <w:rFonts w:hint="eastAsia" w:ascii="仿宋_GB2312"/>
          <w:lang w:val="en-US" w:eastAsia="zh-CN"/>
        </w:rPr>
        <w:t>（3）《中共中央国务院关于全面实施预算绩效管理的意见》（中发〔2018〕34号）；</w:t>
      </w:r>
    </w:p>
    <w:p>
      <w:pPr>
        <w:ind w:firstLine="640"/>
        <w:rPr>
          <w:rFonts w:hint="eastAsia" w:ascii="仿宋_GB2312"/>
          <w:lang w:val="en-US" w:eastAsia="zh-CN"/>
        </w:rPr>
      </w:pPr>
      <w:r>
        <w:rPr>
          <w:rFonts w:hint="eastAsia" w:ascii="仿宋_GB2312"/>
          <w:lang w:val="en-US" w:eastAsia="zh-CN"/>
        </w:rPr>
        <w:t>（4）《财政部关于印发〈项目支出绩效评价管理办法〉的通知》（财预〔2020〕10号）；</w:t>
      </w:r>
    </w:p>
    <w:p>
      <w:pPr>
        <w:ind w:firstLine="640"/>
        <w:rPr>
          <w:rFonts w:hint="eastAsia" w:ascii="仿宋_GB2312"/>
          <w:lang w:val="en-US" w:eastAsia="zh-CN"/>
        </w:rPr>
      </w:pPr>
      <w:r>
        <w:rPr>
          <w:rFonts w:hint="eastAsia" w:ascii="仿宋_GB2312"/>
          <w:lang w:val="en-US" w:eastAsia="zh-CN"/>
        </w:rPr>
        <w:t>（5）《山西省委 山西省人民政府正式印发〈关于全面实施预算绩效管理的实施意见〉》（晋发〔2018〕39号）；</w:t>
      </w:r>
    </w:p>
    <w:p>
      <w:pPr>
        <w:ind w:firstLine="640"/>
        <w:rPr>
          <w:rFonts w:hint="eastAsia" w:ascii="仿宋_GB2312"/>
          <w:lang w:val="en-US" w:eastAsia="zh-CN"/>
        </w:rPr>
      </w:pPr>
      <w:r>
        <w:rPr>
          <w:rFonts w:hint="eastAsia" w:ascii="仿宋_GB2312"/>
          <w:lang w:val="en-US" w:eastAsia="zh-CN"/>
        </w:rPr>
        <w:t>（6）《山西省财政厅关于贯彻落实〈中共山西省委 山西省人民政府关于全面实施预算绩效管理的实施意见〉的通知》（晋财绩〔2019〕12号）；</w:t>
      </w:r>
    </w:p>
    <w:p>
      <w:pPr>
        <w:ind w:firstLine="640"/>
        <w:rPr>
          <w:rFonts w:hint="eastAsia" w:ascii="仿宋_GB2312"/>
          <w:lang w:val="en-US" w:eastAsia="zh-CN"/>
        </w:rPr>
      </w:pPr>
      <w:r>
        <w:rPr>
          <w:rFonts w:hint="eastAsia" w:ascii="仿宋_GB2312"/>
          <w:lang w:val="en-US" w:eastAsia="zh-CN"/>
        </w:rPr>
        <w:t>（7）</w:t>
      </w:r>
      <w:r>
        <w:rPr>
          <w:rFonts w:hint="eastAsia" w:ascii="仿宋_GB2312"/>
          <w:lang w:eastAsia="zh-CN"/>
        </w:rPr>
        <w:t>《临汾市全面实施预算绩效管理实施方案》（临财办〔2019〕30号）</w:t>
      </w:r>
      <w:r>
        <w:rPr>
          <w:rFonts w:hint="eastAsia" w:ascii="仿宋_GB2312"/>
          <w:lang w:val="en-US" w:eastAsia="zh-CN"/>
        </w:rPr>
        <w:t>；</w:t>
      </w:r>
    </w:p>
    <w:p>
      <w:pPr>
        <w:ind w:firstLine="640"/>
        <w:rPr>
          <w:rFonts w:hint="eastAsia" w:ascii="仿宋_GB2312"/>
          <w:lang w:val="en-US" w:eastAsia="zh-CN"/>
        </w:rPr>
      </w:pPr>
      <w:r>
        <w:rPr>
          <w:rFonts w:hint="eastAsia" w:ascii="仿宋_GB2312"/>
          <w:lang w:val="en-US" w:eastAsia="zh-CN"/>
        </w:rPr>
        <w:t>（8）《关于委托第三方机构参与预算绩效管理的指导意见》（财预〔2021〕6号）；</w:t>
      </w:r>
    </w:p>
    <w:p>
      <w:pPr>
        <w:ind w:firstLine="640"/>
        <w:rPr>
          <w:rFonts w:hint="eastAsia" w:ascii="仿宋_GB2312"/>
          <w:lang w:val="en-US" w:eastAsia="zh-CN"/>
        </w:rPr>
      </w:pPr>
      <w:r>
        <w:rPr>
          <w:rFonts w:hint="eastAsia" w:ascii="仿宋_GB2312"/>
          <w:lang w:val="en-US" w:eastAsia="zh-CN"/>
        </w:rPr>
        <w:t>（9）财政部关于印发《第三方机构预算绩效评价业务监督管理暂行办法》的通知（财监〔2021〕4号）；</w:t>
      </w:r>
    </w:p>
    <w:p>
      <w:pPr>
        <w:ind w:firstLine="640"/>
        <w:rPr>
          <w:rFonts w:hint="eastAsia" w:ascii="仿宋_GB2312"/>
          <w:lang w:val="en-US" w:eastAsia="zh-CN"/>
        </w:rPr>
      </w:pPr>
      <w:r>
        <w:rPr>
          <w:rFonts w:hint="eastAsia" w:ascii="仿宋_GB2312"/>
          <w:lang w:val="en-US" w:eastAsia="zh-CN"/>
        </w:rPr>
        <w:t>（10）《关于印发《2023年度财政重点绩效评价实施方案》的通知》（古财字〔2023〕59号）；</w:t>
      </w:r>
    </w:p>
    <w:p>
      <w:pPr>
        <w:ind w:firstLine="640"/>
        <w:rPr>
          <w:rFonts w:hint="eastAsia" w:ascii="仿宋_GB2312"/>
          <w:lang w:val="en-US" w:eastAsia="zh-CN"/>
        </w:rPr>
      </w:pPr>
      <w:r>
        <w:rPr>
          <w:rFonts w:hint="eastAsia" w:ascii="仿宋_GB2312"/>
          <w:lang w:val="en-US" w:eastAsia="zh-CN"/>
        </w:rPr>
        <w:t>（11）2021年9月8日临汾市农业农村局《关于对2021年度第一批高标准农田建设项目初步设计的批复》（临农（农建）发〔2021〕85号）</w:t>
      </w:r>
    </w:p>
    <w:p>
      <w:pPr>
        <w:ind w:firstLine="640"/>
        <w:rPr>
          <w:rFonts w:hint="eastAsia" w:ascii="仿宋_GB2312"/>
        </w:rPr>
      </w:pPr>
      <w:r>
        <w:rPr>
          <w:rFonts w:hint="eastAsia" w:ascii="仿宋_GB2312"/>
          <w:lang w:val="en-US" w:eastAsia="zh-CN"/>
        </w:rPr>
        <w:t>（12）其他有关的法律法规规章、政策文件。</w:t>
      </w:r>
    </w:p>
    <w:p>
      <w:pPr>
        <w:ind w:firstLine="640"/>
        <w:rPr>
          <w:rFonts w:ascii="仿宋_GB2312"/>
        </w:rPr>
      </w:pPr>
      <w:r>
        <w:rPr>
          <w:rFonts w:hint="eastAsia" w:ascii="仿宋_GB2312"/>
        </w:rPr>
        <w:t>3.评价对象和范围</w:t>
      </w:r>
    </w:p>
    <w:p>
      <w:pPr>
        <w:ind w:firstLine="640"/>
        <w:rPr>
          <w:rFonts w:hint="eastAsia" w:ascii="仿宋_GB2312"/>
        </w:rPr>
      </w:pPr>
      <w:r>
        <w:rPr>
          <w:rFonts w:hint="eastAsia"/>
        </w:rPr>
        <w:t>本次绩效评价的对象</w:t>
      </w:r>
      <w:r>
        <w:rPr>
          <w:rFonts w:hint="eastAsia"/>
          <w:lang w:eastAsia="zh-CN"/>
        </w:rPr>
        <w:t>：</w:t>
      </w:r>
      <w:r>
        <w:rPr>
          <w:rFonts w:hint="eastAsia"/>
          <w:lang w:val="en-US" w:eastAsia="zh-CN"/>
        </w:rPr>
        <w:t>古县2022年农机具购置补贴项目涉及的</w:t>
      </w:r>
      <w:r>
        <w:rPr>
          <w:rFonts w:hint="eastAsia"/>
        </w:rPr>
        <w:t>财政资</w:t>
      </w:r>
      <w:r>
        <w:rPr>
          <w:rFonts w:hint="eastAsia" w:ascii="仿宋_GB2312"/>
        </w:rPr>
        <w:t>金</w:t>
      </w:r>
      <w:r>
        <w:rPr>
          <w:rFonts w:hint="eastAsia" w:ascii="仿宋_GB2312" w:cs="Times New Roman"/>
          <w:lang w:val="en-US" w:eastAsia="zh-CN"/>
        </w:rPr>
        <w:t>273.7</w:t>
      </w:r>
      <w:r>
        <w:rPr>
          <w:rFonts w:hint="eastAsia" w:ascii="仿宋_GB2312"/>
          <w:lang w:val="en-US" w:eastAsia="zh-CN"/>
        </w:rPr>
        <w:t>万元</w:t>
      </w:r>
      <w:r>
        <w:rPr>
          <w:rFonts w:hint="eastAsia" w:ascii="仿宋_GB2312"/>
        </w:rPr>
        <w:t>。</w:t>
      </w:r>
    </w:p>
    <w:p>
      <w:pPr>
        <w:ind w:firstLine="640"/>
        <w:rPr>
          <w:rFonts w:hint="eastAsia"/>
          <w:lang w:val="en-US" w:eastAsia="zh-CN"/>
        </w:rPr>
      </w:pPr>
      <w:r>
        <w:rPr>
          <w:rFonts w:hint="eastAsia"/>
          <w:lang w:val="en-US" w:eastAsia="zh-CN"/>
        </w:rPr>
        <w:t>评价</w:t>
      </w:r>
      <w:r>
        <w:rPr>
          <w:rFonts w:hint="eastAsia"/>
        </w:rPr>
        <w:t>范围：</w:t>
      </w:r>
      <w:r>
        <w:rPr>
          <w:rFonts w:hint="eastAsia"/>
          <w:lang w:val="en-US" w:eastAsia="zh-CN"/>
        </w:rPr>
        <w:t>古县2022年农机具购置补贴项目涉及的</w:t>
      </w:r>
      <w:r>
        <w:rPr>
          <w:rFonts w:hint="eastAsia"/>
        </w:rPr>
        <w:t>财政资金</w:t>
      </w:r>
      <w:r>
        <w:rPr>
          <w:rFonts w:hint="eastAsia"/>
          <w:lang w:val="en-US" w:eastAsia="zh-CN"/>
        </w:rPr>
        <w:t>的使用绩效。</w:t>
      </w:r>
    </w:p>
    <w:p>
      <w:pPr>
        <w:ind w:firstLine="640"/>
      </w:pPr>
      <w:r>
        <w:rPr>
          <w:rFonts w:hint="eastAsia"/>
          <w:lang w:val="en-US" w:eastAsia="zh-CN"/>
        </w:rPr>
        <w:t>评价时段：</w:t>
      </w:r>
      <w:r>
        <w:rPr>
          <w:rFonts w:hint="eastAsia" w:ascii="仿宋_GB2312"/>
          <w:lang w:val="en-US" w:eastAsia="zh-CN"/>
        </w:rPr>
        <w:t>2022</w:t>
      </w:r>
      <w:r>
        <w:rPr>
          <w:rFonts w:hint="eastAsia"/>
          <w:lang w:val="en-US" w:eastAsia="zh-CN"/>
        </w:rPr>
        <w:t>年</w:t>
      </w:r>
      <w:r>
        <w:rPr>
          <w:rFonts w:hint="eastAsia" w:ascii="仿宋_GB2312"/>
          <w:lang w:val="en-US" w:eastAsia="zh-CN"/>
        </w:rPr>
        <w:t>1</w:t>
      </w:r>
      <w:r>
        <w:rPr>
          <w:rFonts w:hint="eastAsia"/>
          <w:lang w:val="en-US" w:eastAsia="zh-CN"/>
        </w:rPr>
        <w:t>月</w:t>
      </w:r>
      <w:r>
        <w:rPr>
          <w:rFonts w:hint="eastAsia" w:ascii="仿宋_GB2312"/>
          <w:lang w:val="en-US" w:eastAsia="zh-CN"/>
        </w:rPr>
        <w:t>1</w:t>
      </w:r>
      <w:r>
        <w:rPr>
          <w:rFonts w:hint="eastAsia"/>
          <w:lang w:val="en-US" w:eastAsia="zh-CN"/>
        </w:rPr>
        <w:t>日</w:t>
      </w:r>
      <w:r>
        <w:rPr>
          <w:rFonts w:hint="eastAsia" w:ascii="仿宋_GB2312"/>
        </w:rPr>
        <w:t>至202</w:t>
      </w:r>
      <w:r>
        <w:rPr>
          <w:rFonts w:hint="eastAsia" w:ascii="仿宋_GB2312"/>
          <w:lang w:val="en-US" w:eastAsia="zh-CN"/>
        </w:rPr>
        <w:t>2</w:t>
      </w:r>
      <w:r>
        <w:rPr>
          <w:rFonts w:hint="eastAsia" w:ascii="仿宋_GB2312"/>
        </w:rPr>
        <w:t>年</w:t>
      </w:r>
      <w:r>
        <w:rPr>
          <w:rFonts w:hint="eastAsia" w:ascii="仿宋_GB2312"/>
          <w:lang w:val="en-US" w:eastAsia="zh-CN"/>
        </w:rPr>
        <w:t>12</w:t>
      </w:r>
      <w:r>
        <w:rPr>
          <w:rFonts w:hint="eastAsia" w:ascii="仿宋_GB2312"/>
        </w:rPr>
        <w:t>月31日；</w:t>
      </w:r>
    </w:p>
    <w:p>
      <w:pPr>
        <w:ind w:firstLine="640"/>
        <w:rPr>
          <w:rFonts w:hint="default"/>
          <w:lang w:val="en-US" w:eastAsia="zh-CN"/>
        </w:rPr>
      </w:pPr>
      <w:r>
        <w:rPr>
          <w:rFonts w:hint="eastAsia"/>
          <w:lang w:val="en-US" w:eastAsia="zh-CN"/>
        </w:rPr>
        <w:t>受益群体范围：古县2022年购置农机具者。</w:t>
      </w:r>
    </w:p>
    <w:p>
      <w:pPr>
        <w:ind w:firstLine="640"/>
      </w:pPr>
      <w:r>
        <w:rPr>
          <w:rFonts w:hint="eastAsia" w:ascii="仿宋_GB2312"/>
        </w:rPr>
        <w:t>4.</w:t>
      </w:r>
      <w:r>
        <w:rPr>
          <w:rFonts w:hint="eastAsia"/>
        </w:rPr>
        <w:t>绩效评价基准日</w:t>
      </w:r>
    </w:p>
    <w:p>
      <w:pPr>
        <w:ind w:firstLine="640"/>
        <w:rPr>
          <w:rFonts w:ascii="仿宋_GB2312"/>
        </w:rPr>
      </w:pPr>
      <w:r>
        <w:rPr>
          <w:rFonts w:hint="eastAsia" w:ascii="仿宋_GB2312"/>
        </w:rPr>
        <w:t>本次评价基准日为202</w:t>
      </w:r>
      <w:r>
        <w:rPr>
          <w:rFonts w:hint="eastAsia" w:ascii="仿宋_GB2312"/>
          <w:lang w:val="en-US" w:eastAsia="zh-CN"/>
        </w:rPr>
        <w:t>2</w:t>
      </w:r>
      <w:r>
        <w:rPr>
          <w:rFonts w:hint="eastAsia" w:ascii="仿宋_GB2312"/>
        </w:rPr>
        <w:t>年12月31日。</w:t>
      </w:r>
    </w:p>
    <w:p>
      <w:pPr>
        <w:pStyle w:val="4"/>
        <w:ind w:firstLine="640"/>
        <w:rPr>
          <w:rFonts w:ascii="仿宋_GB2312"/>
        </w:rPr>
      </w:pPr>
      <w:bookmarkStart w:id="31" w:name="_Toc15841"/>
      <w:r>
        <w:rPr>
          <w:rFonts w:ascii="仿宋_GB2312"/>
        </w:rPr>
        <w:t>（</w:t>
      </w:r>
      <w:r>
        <w:rPr>
          <w:rFonts w:hint="eastAsia" w:ascii="仿宋_GB2312"/>
        </w:rPr>
        <w:t>二</w:t>
      </w:r>
      <w:r>
        <w:rPr>
          <w:rFonts w:ascii="仿宋_GB2312"/>
        </w:rPr>
        <w:t>）</w:t>
      </w:r>
      <w:bookmarkStart w:id="32" w:name="_Toc518123236"/>
      <w:r>
        <w:rPr>
          <w:rFonts w:ascii="仿宋_GB2312"/>
        </w:rPr>
        <w:t>绩效评</w:t>
      </w:r>
      <w:bookmarkEnd w:id="32"/>
      <w:r>
        <w:rPr>
          <w:rFonts w:hint="eastAsia" w:ascii="仿宋_GB2312"/>
        </w:rPr>
        <w:t>价原则</w:t>
      </w:r>
      <w:bookmarkEnd w:id="31"/>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评价机构应当遵守</w:t>
      </w:r>
      <w:r>
        <w:rPr>
          <w:rFonts w:hint="eastAsia" w:ascii="仿宋_GB2312" w:cs="Times New Roman"/>
          <w:lang w:val="zh-CN" w:eastAsia="zh-CN"/>
        </w:rPr>
        <w:t>法律法规</w:t>
      </w:r>
      <w:r>
        <w:rPr>
          <w:rFonts w:hint="eastAsia" w:ascii="仿宋_GB2312" w:hAnsi="Times New Roman" w:cs="Times New Roman"/>
          <w:lang w:val="zh-CN" w:eastAsia="zh-CN"/>
        </w:rPr>
        <w:t>等有关规定</w:t>
      </w:r>
      <w:r>
        <w:rPr>
          <w:rFonts w:hint="eastAsia" w:ascii="仿宋_GB2312" w:cs="Times New Roman"/>
          <w:lang w:val="zh-CN" w:eastAsia="zh-CN"/>
        </w:rPr>
        <w:t>，</w:t>
      </w:r>
      <w:r>
        <w:rPr>
          <w:rFonts w:hint="eastAsia" w:ascii="仿宋_GB2312" w:hAnsi="Times New Roman" w:cs="Times New Roman"/>
          <w:lang w:val="zh-CN" w:eastAsia="zh-CN"/>
        </w:rPr>
        <w:t>并按照以下原则从事预算绩效评价业务：</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1.独立原则。</w:t>
      </w:r>
      <w:r>
        <w:rPr>
          <w:rFonts w:hint="eastAsia" w:ascii="仿宋_GB2312" w:cs="Times New Roman"/>
          <w:lang w:val="zh-CN" w:eastAsia="zh-CN"/>
        </w:rPr>
        <w:t>山西恒信资产评估事务所（普通合伙）</w:t>
      </w:r>
      <w:r>
        <w:rPr>
          <w:rFonts w:hint="eastAsia" w:ascii="仿宋_GB2312" w:hAnsi="Times New Roman" w:cs="Times New Roman"/>
          <w:lang w:val="zh-CN" w:eastAsia="zh-CN"/>
        </w:rPr>
        <w:t>在</w:t>
      </w:r>
      <w:r>
        <w:rPr>
          <w:rFonts w:hint="eastAsia" w:ascii="仿宋_GB2312" w:cs="Times New Roman"/>
          <w:lang w:val="zh-CN" w:eastAsia="zh-CN"/>
        </w:rPr>
        <w:t>古县财政局</w:t>
      </w:r>
      <w:r>
        <w:rPr>
          <w:rFonts w:hint="eastAsia" w:ascii="仿宋_GB2312" w:hAnsi="Times New Roman" w:cs="Times New Roman"/>
          <w:lang w:val="zh-CN" w:eastAsia="zh-CN"/>
        </w:rPr>
        <w:t>和</w:t>
      </w:r>
      <w:r>
        <w:rPr>
          <w:rFonts w:hint="eastAsia" w:ascii="仿宋_GB2312" w:cs="Times New Roman"/>
          <w:lang w:val="zh-CN" w:eastAsia="zh-CN"/>
        </w:rPr>
        <w:t>古县农业农村局</w:t>
      </w:r>
      <w:r>
        <w:rPr>
          <w:rFonts w:hint="eastAsia" w:ascii="仿宋_GB2312" w:hAnsi="Times New Roman" w:cs="Times New Roman"/>
          <w:lang w:val="zh-CN" w:eastAsia="zh-CN"/>
        </w:rPr>
        <w:t>提供工作便利条件和相关资料情况下独立完成委托事项。</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2.客观原则。按照与</w:t>
      </w:r>
      <w:r>
        <w:rPr>
          <w:rFonts w:hint="eastAsia" w:ascii="仿宋_GB2312" w:cs="Times New Roman"/>
          <w:lang w:val="zh-CN" w:eastAsia="zh-CN"/>
        </w:rPr>
        <w:t>古县财政局</w:t>
      </w:r>
      <w:r>
        <w:rPr>
          <w:rFonts w:hint="eastAsia" w:ascii="仿宋_GB2312" w:hAnsi="Times New Roman" w:cs="Times New Roman"/>
          <w:lang w:val="zh-CN" w:eastAsia="zh-CN"/>
        </w:rPr>
        <w:t>签订协议（合同）约定事项</w:t>
      </w:r>
      <w:r>
        <w:rPr>
          <w:rFonts w:hint="eastAsia" w:ascii="仿宋_GB2312" w:cs="Times New Roman"/>
          <w:lang w:val="zh-CN" w:eastAsia="zh-CN"/>
        </w:rPr>
        <w:t>，</w:t>
      </w:r>
      <w:r>
        <w:rPr>
          <w:rFonts w:hint="eastAsia" w:ascii="仿宋_GB2312" w:hAnsi="Times New Roman" w:cs="Times New Roman"/>
          <w:lang w:val="zh-CN" w:eastAsia="zh-CN"/>
        </w:rPr>
        <w:t>参照</w:t>
      </w:r>
      <w:r>
        <w:rPr>
          <w:rFonts w:hint="eastAsia" w:ascii="仿宋_GB2312"/>
          <w:lang w:val="en-US" w:eastAsia="zh-CN"/>
        </w:rPr>
        <w:t>《关于印发《2023年度财政重点绩效评价实施方案》的通知》（古财字〔2023〕59号）</w:t>
      </w:r>
      <w:r>
        <w:rPr>
          <w:rFonts w:hint="eastAsia" w:ascii="仿宋_GB2312" w:hAnsi="Times New Roman" w:cs="Times New Roman"/>
          <w:lang w:val="zh-CN" w:eastAsia="zh-CN"/>
        </w:rPr>
        <w:t>文件对</w:t>
      </w:r>
      <w:r>
        <w:rPr>
          <w:rFonts w:hint="eastAsia" w:ascii="仿宋_GB2312" w:cs="Times New Roman"/>
          <w:lang w:val="zh-CN" w:eastAsia="zh-CN"/>
        </w:rPr>
        <w:t>古县2022年农机具购置补贴</w:t>
      </w:r>
      <w:r>
        <w:rPr>
          <w:rFonts w:hint="eastAsia" w:ascii="仿宋_GB2312" w:hAnsi="Times New Roman" w:cs="Times New Roman"/>
          <w:lang w:val="zh-CN" w:eastAsia="zh-CN"/>
        </w:rPr>
        <w:t>项目设定指标</w:t>
      </w:r>
      <w:r>
        <w:rPr>
          <w:rFonts w:hint="eastAsia" w:ascii="仿宋_GB2312" w:cs="Times New Roman"/>
          <w:lang w:val="zh-CN" w:eastAsia="zh-CN"/>
        </w:rPr>
        <w:t>，</w:t>
      </w:r>
      <w:r>
        <w:rPr>
          <w:rFonts w:hint="eastAsia" w:ascii="仿宋_GB2312" w:hAnsi="Times New Roman" w:cs="Times New Roman"/>
          <w:lang w:val="zh-CN" w:eastAsia="zh-CN"/>
        </w:rPr>
        <w:t>并运用行业协会发布的财政支出绩效评价操作指引通过定量和定性评价、评价组评价与委托方聘用专家组评审相结合的方式</w:t>
      </w:r>
      <w:r>
        <w:rPr>
          <w:rFonts w:hint="eastAsia" w:ascii="仿宋_GB2312" w:cs="Times New Roman"/>
          <w:lang w:val="zh-CN" w:eastAsia="zh-CN"/>
        </w:rPr>
        <w:t>，</w:t>
      </w:r>
      <w:r>
        <w:rPr>
          <w:rFonts w:hint="eastAsia" w:ascii="仿宋_GB2312" w:hAnsi="Times New Roman" w:cs="Times New Roman"/>
          <w:lang w:val="zh-CN" w:eastAsia="zh-CN"/>
        </w:rPr>
        <w:t>对</w:t>
      </w:r>
      <w:r>
        <w:rPr>
          <w:rFonts w:hint="eastAsia" w:ascii="仿宋_GB2312" w:cs="Times New Roman"/>
          <w:lang w:val="zh-CN" w:eastAsia="zh-CN"/>
        </w:rPr>
        <w:t>古县2022年农机具购置补贴</w:t>
      </w:r>
      <w:r>
        <w:rPr>
          <w:rFonts w:hint="eastAsia" w:ascii="仿宋_GB2312" w:hAnsi="Times New Roman" w:cs="Times New Roman"/>
          <w:lang w:val="zh-CN" w:eastAsia="zh-CN"/>
        </w:rPr>
        <w:t>项目客观公正、实事求是地开展预算绩效评价</w:t>
      </w:r>
      <w:r>
        <w:rPr>
          <w:rFonts w:hint="eastAsia" w:ascii="仿宋_GB2312" w:cs="Times New Roman"/>
          <w:lang w:val="zh-CN" w:eastAsia="zh-CN"/>
        </w:rPr>
        <w:t>，</w:t>
      </w:r>
      <w:r>
        <w:rPr>
          <w:rFonts w:hint="eastAsia" w:ascii="仿宋_GB2312" w:hAnsi="Times New Roman" w:cs="Times New Roman"/>
          <w:lang w:val="zh-CN" w:eastAsia="zh-CN"/>
        </w:rPr>
        <w:t>不得出具不实预算绩效评价报告。</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3.规范原则。</w:t>
      </w:r>
      <w:r>
        <w:rPr>
          <w:rFonts w:hint="eastAsia" w:ascii="仿宋_GB2312" w:cs="Times New Roman"/>
          <w:lang w:val="zh-CN" w:eastAsia="zh-CN"/>
        </w:rPr>
        <w:t>山西恒信资产评估事务所（普通合伙）</w:t>
      </w:r>
      <w:r>
        <w:rPr>
          <w:rFonts w:hint="eastAsia" w:ascii="仿宋_GB2312" w:hAnsi="Times New Roman" w:cs="Times New Roman"/>
          <w:lang w:val="zh-CN" w:eastAsia="zh-CN"/>
        </w:rPr>
        <w:t>履行座谈会、现场勘察、问卷调查等必要评价程序</w:t>
      </w:r>
      <w:r>
        <w:rPr>
          <w:rFonts w:hint="eastAsia" w:ascii="仿宋_GB2312" w:cs="Times New Roman"/>
          <w:lang w:val="zh-CN" w:eastAsia="zh-CN"/>
        </w:rPr>
        <w:t>，</w:t>
      </w:r>
      <w:r>
        <w:rPr>
          <w:rFonts w:hint="eastAsia" w:ascii="仿宋_GB2312" w:hAnsi="Times New Roman" w:cs="Times New Roman"/>
          <w:lang w:val="zh-CN" w:eastAsia="zh-CN"/>
        </w:rPr>
        <w:t>合理选取具有代表性的样本</w:t>
      </w:r>
      <w:r>
        <w:rPr>
          <w:rFonts w:hint="eastAsia" w:ascii="仿宋_GB2312" w:cs="Times New Roman"/>
          <w:lang w:val="zh-CN" w:eastAsia="zh-CN"/>
        </w:rPr>
        <w:t>，</w:t>
      </w:r>
      <w:r>
        <w:rPr>
          <w:rFonts w:hint="eastAsia" w:ascii="仿宋_GB2312" w:hAnsi="Times New Roman" w:cs="Times New Roman"/>
          <w:lang w:val="zh-CN" w:eastAsia="zh-CN"/>
        </w:rPr>
        <w:t>对支付凭证、实施方案、</w:t>
      </w:r>
      <w:r>
        <w:rPr>
          <w:rFonts w:hint="eastAsia" w:ascii="仿宋_GB2312" w:cs="Times New Roman"/>
          <w:lang w:val="en-US" w:eastAsia="zh-CN"/>
        </w:rPr>
        <w:t>实施合同、中标通知、指标体系</w:t>
      </w:r>
      <w:r>
        <w:rPr>
          <w:rFonts w:hint="eastAsia" w:ascii="仿宋_GB2312" w:hAnsi="Times New Roman" w:cs="Times New Roman"/>
          <w:lang w:val="zh-CN" w:eastAsia="zh-CN"/>
        </w:rPr>
        <w:t>等原始资料进行必要的核查验证</w:t>
      </w:r>
      <w:r>
        <w:rPr>
          <w:rFonts w:hint="eastAsia" w:ascii="仿宋_GB2312" w:cs="Times New Roman"/>
          <w:lang w:val="zh-CN" w:eastAsia="zh-CN"/>
        </w:rPr>
        <w:t>，</w:t>
      </w:r>
      <w:r>
        <w:rPr>
          <w:rFonts w:hint="eastAsia" w:ascii="仿宋_GB2312" w:hAnsi="Times New Roman" w:cs="Times New Roman"/>
          <w:lang w:val="zh-CN" w:eastAsia="zh-CN"/>
        </w:rPr>
        <w:t>形成结论并出具预算绩效评价报告。</w:t>
      </w:r>
    </w:p>
    <w:p>
      <w:pPr>
        <w:pStyle w:val="4"/>
        <w:ind w:firstLine="640"/>
        <w:rPr>
          <w:rFonts w:ascii="仿宋_GB2312"/>
        </w:rPr>
      </w:pPr>
      <w:bookmarkStart w:id="33" w:name="_Toc474"/>
      <w:r>
        <w:rPr>
          <w:rFonts w:ascii="仿宋_GB2312"/>
        </w:rPr>
        <w:t>（</w:t>
      </w:r>
      <w:r>
        <w:rPr>
          <w:rFonts w:hint="eastAsia" w:ascii="仿宋_GB2312"/>
        </w:rPr>
        <w:t>三</w:t>
      </w:r>
      <w:r>
        <w:rPr>
          <w:rFonts w:ascii="仿宋_GB2312"/>
        </w:rPr>
        <w:t>）绩效评价</w:t>
      </w:r>
      <w:r>
        <w:rPr>
          <w:rFonts w:hint="eastAsia" w:ascii="仿宋_GB2312"/>
        </w:rPr>
        <w:t>指标体系</w:t>
      </w:r>
      <w:bookmarkEnd w:id="33"/>
    </w:p>
    <w:p>
      <w:pPr>
        <w:ind w:firstLine="640"/>
      </w:pPr>
      <w:bookmarkStart w:id="34" w:name="_Toc469065895"/>
      <w:bookmarkStart w:id="35" w:name="_Toc450549943"/>
      <w:bookmarkStart w:id="36" w:name="_Toc469065643"/>
      <w:bookmarkStart w:id="37" w:name="_Toc469065553"/>
      <w:r>
        <w:rPr>
          <w:rFonts w:hint="eastAsia"/>
        </w:rPr>
        <w:t>1.</w:t>
      </w:r>
      <w:r>
        <w:rPr>
          <w:rFonts w:hint="eastAsia" w:ascii="仿宋_GB2312"/>
        </w:rPr>
        <w:t xml:space="preserve"> 指标体系</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根据《财政部关于印发</w:t>
      </w:r>
      <w:r>
        <w:rPr>
          <w:rFonts w:hint="eastAsia" w:ascii="仿宋_GB2312" w:cs="Times New Roman"/>
          <w:lang w:val="zh-CN" w:eastAsia="zh-CN"/>
        </w:rPr>
        <w:t>〈</w:t>
      </w:r>
      <w:r>
        <w:rPr>
          <w:rFonts w:hint="eastAsia" w:ascii="仿宋_GB2312" w:hAnsi="Times New Roman" w:cs="Times New Roman"/>
          <w:lang w:val="zh-CN" w:eastAsia="zh-CN"/>
        </w:rPr>
        <w:t>项目支出绩效评价管理办法</w:t>
      </w:r>
      <w:r>
        <w:rPr>
          <w:rFonts w:hint="eastAsia" w:ascii="仿宋_GB2312" w:cs="Times New Roman"/>
          <w:lang w:val="zh-CN" w:eastAsia="zh-CN"/>
        </w:rPr>
        <w:t>〉</w:t>
      </w:r>
      <w:r>
        <w:rPr>
          <w:rFonts w:hint="eastAsia" w:ascii="仿宋_GB2312" w:hAnsi="Times New Roman" w:cs="Times New Roman"/>
          <w:lang w:val="zh-CN" w:eastAsia="zh-CN"/>
        </w:rPr>
        <w:t>的通知》（财预〔2020〕10号）提供的项目绩效评价指标体系</w:t>
      </w:r>
      <w:r>
        <w:rPr>
          <w:rFonts w:hint="eastAsia" w:ascii="仿宋_GB2312" w:cs="Times New Roman"/>
          <w:lang w:val="zh-CN" w:eastAsia="zh-CN"/>
        </w:rPr>
        <w:t>，</w:t>
      </w:r>
      <w:r>
        <w:rPr>
          <w:rFonts w:hint="eastAsia" w:ascii="仿宋_GB2312" w:hAnsi="Times New Roman" w:cs="Times New Roman"/>
          <w:lang w:val="zh-CN" w:eastAsia="zh-CN"/>
        </w:rPr>
        <w:t>遵循相关性、重要性、可比性、系统性、经济性原则</w:t>
      </w:r>
      <w:r>
        <w:rPr>
          <w:rFonts w:hint="eastAsia" w:ascii="仿宋_GB2312" w:cs="Times New Roman"/>
          <w:lang w:val="zh-CN" w:eastAsia="zh-CN"/>
        </w:rPr>
        <w:t>，</w:t>
      </w:r>
      <w:r>
        <w:rPr>
          <w:rFonts w:hint="eastAsia" w:ascii="仿宋_GB2312" w:hAnsi="Times New Roman" w:cs="Times New Roman"/>
          <w:lang w:val="zh-CN" w:eastAsia="zh-CN"/>
        </w:rPr>
        <w:t>形成了</w:t>
      </w:r>
      <w:r>
        <w:rPr>
          <w:rFonts w:hint="eastAsia" w:ascii="仿宋_GB2312" w:cs="Times New Roman"/>
          <w:lang w:val="zh-CN" w:eastAsia="zh-CN"/>
        </w:rPr>
        <w:t>古县2022年农机具购置补贴</w:t>
      </w:r>
      <w:r>
        <w:rPr>
          <w:rFonts w:hint="eastAsia" w:ascii="仿宋_GB2312" w:hAnsi="Times New Roman" w:cs="Times New Roman"/>
          <w:lang w:val="zh-CN" w:eastAsia="zh-CN"/>
        </w:rPr>
        <w:t>项目的绩效评价指标体系。评价指标在工作方案中确定的绩效评价指标体系的基础上</w:t>
      </w:r>
      <w:r>
        <w:rPr>
          <w:rFonts w:hint="eastAsia" w:ascii="仿宋_GB2312" w:cs="Times New Roman"/>
          <w:lang w:val="zh-CN" w:eastAsia="zh-CN"/>
        </w:rPr>
        <w:t>，</w:t>
      </w:r>
      <w:r>
        <w:rPr>
          <w:rFonts w:hint="eastAsia" w:ascii="仿宋_GB2312" w:hAnsi="Times New Roman" w:cs="Times New Roman"/>
          <w:lang w:val="zh-CN" w:eastAsia="zh-CN"/>
        </w:rPr>
        <w:t>结合项目的实际情况</w:t>
      </w:r>
      <w:r>
        <w:rPr>
          <w:rFonts w:hint="eastAsia" w:ascii="仿宋_GB2312" w:cs="Times New Roman"/>
          <w:lang w:val="zh-CN" w:eastAsia="zh-CN"/>
        </w:rPr>
        <w:t>，</w:t>
      </w:r>
      <w:r>
        <w:rPr>
          <w:rFonts w:hint="eastAsia" w:ascii="仿宋_GB2312" w:hAnsi="Times New Roman" w:cs="Times New Roman"/>
          <w:lang w:val="zh-CN" w:eastAsia="zh-CN"/>
        </w:rPr>
        <w:t>在可操作性和可量化方面对评价指标进行了进一步细化和调整</w:t>
      </w:r>
      <w:r>
        <w:rPr>
          <w:rFonts w:hint="eastAsia" w:ascii="仿宋_GB2312" w:cs="Times New Roman"/>
          <w:lang w:val="zh-CN" w:eastAsia="zh-CN"/>
        </w:rPr>
        <w:t>，</w:t>
      </w:r>
      <w:r>
        <w:rPr>
          <w:rFonts w:hint="eastAsia" w:ascii="仿宋_GB2312" w:hAnsi="Times New Roman" w:cs="Times New Roman"/>
          <w:lang w:val="zh-CN" w:eastAsia="zh-CN"/>
        </w:rPr>
        <w:t>最终形成</w:t>
      </w:r>
      <w:r>
        <w:rPr>
          <w:rFonts w:hint="eastAsia" w:ascii="仿宋_GB2312" w:cs="Times New Roman"/>
          <w:lang w:val="en-US" w:eastAsia="zh-CN"/>
        </w:rPr>
        <w:t>19</w:t>
      </w:r>
      <w:r>
        <w:rPr>
          <w:rFonts w:hint="eastAsia" w:ascii="仿宋_GB2312" w:hAnsi="Times New Roman" w:cs="Times New Roman"/>
          <w:lang w:val="zh-CN" w:eastAsia="zh-CN"/>
        </w:rPr>
        <w:t>个三级指标。其中：6个决策类指标</w:t>
      </w:r>
      <w:r>
        <w:rPr>
          <w:rFonts w:hint="eastAsia" w:ascii="仿宋_GB2312" w:cs="Times New Roman"/>
          <w:lang w:val="zh-CN" w:eastAsia="zh-CN"/>
        </w:rPr>
        <w:t>，</w:t>
      </w:r>
      <w:r>
        <w:rPr>
          <w:rFonts w:hint="eastAsia" w:ascii="仿宋_GB2312" w:hAnsi="Times New Roman" w:cs="Times New Roman"/>
          <w:lang w:val="zh-CN" w:eastAsia="zh-CN"/>
        </w:rPr>
        <w:t>5个过程类指标</w:t>
      </w:r>
      <w:r>
        <w:rPr>
          <w:rFonts w:hint="eastAsia" w:ascii="仿宋_GB2312" w:cs="Times New Roman"/>
          <w:lang w:val="zh-CN" w:eastAsia="zh-CN"/>
        </w:rPr>
        <w:t>，</w:t>
      </w:r>
      <w:r>
        <w:rPr>
          <w:rFonts w:hint="eastAsia" w:ascii="仿宋_GB2312" w:cs="Times New Roman"/>
          <w:lang w:val="en-US" w:eastAsia="zh-CN"/>
        </w:rPr>
        <w:t>3</w:t>
      </w:r>
      <w:r>
        <w:rPr>
          <w:rFonts w:hint="eastAsia" w:ascii="仿宋_GB2312" w:hAnsi="Times New Roman" w:cs="Times New Roman"/>
          <w:lang w:val="zh-CN" w:eastAsia="zh-CN"/>
        </w:rPr>
        <w:t>个产出类指标和</w:t>
      </w:r>
      <w:r>
        <w:rPr>
          <w:rFonts w:hint="eastAsia" w:ascii="仿宋_GB2312" w:cs="Times New Roman"/>
          <w:lang w:val="en-US" w:eastAsia="zh-CN"/>
        </w:rPr>
        <w:t>5</w:t>
      </w:r>
      <w:r>
        <w:rPr>
          <w:rFonts w:hint="eastAsia" w:ascii="仿宋_GB2312" w:hAnsi="Times New Roman" w:cs="Times New Roman"/>
          <w:lang w:val="zh-CN" w:eastAsia="zh-CN"/>
        </w:rPr>
        <w:t>个效益类指标。</w:t>
      </w:r>
    </w:p>
    <w:p>
      <w:pPr>
        <w:spacing w:beforeLines="20" w:afterLines="20" w:line="500" w:lineRule="exact"/>
        <w:ind w:left="0" w:leftChars="0" w:firstLine="0" w:firstLineChars="0"/>
        <w:jc w:val="left"/>
        <w:rPr>
          <w:rFonts w:ascii="仿宋_GB2312" w:hAnsi="仿宋" w:eastAsia="仿宋_GB2312" w:cs="Times New Roman"/>
          <w:kern w:val="0"/>
          <w:sz w:val="28"/>
          <w:szCs w:val="28"/>
        </w:rPr>
      </w:pPr>
      <w:r>
        <w:rPr>
          <w:rFonts w:hint="eastAsia" w:ascii="仿宋_GB2312" w:hAnsi="仿宋"/>
          <w:b/>
          <w:bCs/>
          <w:kern w:val="0"/>
          <w:sz w:val="28"/>
          <w:szCs w:val="28"/>
          <w:lang w:val="zh-CN"/>
        </w:rPr>
        <w:t xml:space="preserve">表2-1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 xml:space="preserve">  评价指标体系分值表</w:t>
      </w:r>
    </w:p>
    <w:tbl>
      <w:tblPr>
        <w:tblStyle w:val="20"/>
        <w:tblpPr w:leftFromText="180" w:rightFromText="180" w:vertAnchor="text" w:horzAnchor="page" w:tblpX="1753" w:tblpY="571"/>
        <w:tblOverlap w:val="never"/>
        <w:tblW w:w="540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712"/>
        <w:gridCol w:w="1416"/>
        <w:gridCol w:w="706"/>
        <w:gridCol w:w="2272"/>
        <w:gridCol w:w="990"/>
        <w:gridCol w:w="710"/>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97" w:hRule="exact"/>
          <w:tblHeader/>
        </w:trPr>
        <w:tc>
          <w:tcPr>
            <w:tcW w:w="462" w:type="pct"/>
            <w:shd w:val="clear" w:color="auto" w:fill="BEBEBE"/>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一级指标</w:t>
            </w:r>
          </w:p>
        </w:tc>
        <w:tc>
          <w:tcPr>
            <w:tcW w:w="386"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767"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二级指标</w:t>
            </w:r>
          </w:p>
        </w:tc>
        <w:tc>
          <w:tcPr>
            <w:tcW w:w="382"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1232"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三级指标</w:t>
            </w:r>
          </w:p>
        </w:tc>
        <w:tc>
          <w:tcPr>
            <w:tcW w:w="536"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目标值</w:t>
            </w:r>
          </w:p>
        </w:tc>
        <w:tc>
          <w:tcPr>
            <w:tcW w:w="385"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分值</w:t>
            </w:r>
          </w:p>
        </w:tc>
        <w:tc>
          <w:tcPr>
            <w:tcW w:w="846" w:type="pct"/>
            <w:shd w:val="clear" w:color="auto" w:fill="BEBEBE"/>
            <w:vAlign w:val="center"/>
          </w:tcPr>
          <w:p>
            <w:pPr>
              <w:spacing w:line="240" w:lineRule="auto"/>
              <w:ind w:firstLine="0" w:firstLineChars="0"/>
              <w:jc w:val="center"/>
              <w:rPr>
                <w:rFonts w:ascii="仿宋_GB2312" w:hAnsi="Calibri" w:eastAsia="仿宋_GB2312"/>
                <w:b/>
                <w:bCs/>
                <w:color w:val="000000"/>
                <w:sz w:val="21"/>
                <w:szCs w:val="21"/>
              </w:rPr>
            </w:pPr>
            <w:r>
              <w:rPr>
                <w:rFonts w:hint="eastAsia" w:ascii="仿宋_GB2312" w:hAnsi="Calibri" w:eastAsia="仿宋_GB2312"/>
                <w:b/>
                <w:bCs/>
                <w:color w:val="000000"/>
                <w:sz w:val="21"/>
                <w:szCs w:val="21"/>
              </w:rPr>
              <w:t>资料或数据来源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1" w:hRule="exac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A决策</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A1项目立项</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A11立项依据充分性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充分</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6"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A12立项程序规范性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规范</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A2绩效目标</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A21绩效目标合理性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A22绩效指标明确性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明确</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评价组梳理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A3资金投入</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6</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A31预算编制科学性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科学</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宋体" w:eastAsia="仿宋_GB2312" w:cs="宋体"/>
                <w:sz w:val="21"/>
                <w:szCs w:val="21"/>
              </w:rPr>
              <w:t>评价组分析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A32资金分配合理性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2</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0" w:hRule="exac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B过程</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67"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B1资金管理</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12</w:t>
            </w: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B11资金到位率</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100%</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实施单位提供财务资料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B12预算执行率</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95%</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评价组分析、</w:t>
            </w:r>
          </w:p>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B13资金使用合规性</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合规</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评价组分析、</w:t>
            </w:r>
          </w:p>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02"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B2组织实施</w:t>
            </w:r>
          </w:p>
          <w:p>
            <w:pPr>
              <w:spacing w:line="240" w:lineRule="auto"/>
              <w:ind w:firstLine="0" w:firstLineChars="0"/>
              <w:jc w:val="center"/>
              <w:rPr>
                <w:rFonts w:ascii="仿宋_GB2312" w:hAnsi="Calibri" w:eastAsia="仿宋_GB2312"/>
                <w:sz w:val="21"/>
                <w:szCs w:val="21"/>
              </w:rPr>
            </w:pP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8</w:t>
            </w: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B21管理制度健全性</w:t>
            </w:r>
          </w:p>
        </w:tc>
        <w:tc>
          <w:tcPr>
            <w:tcW w:w="53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健全</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实施单位提供相关管理制度及文件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27"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B22制度执行有效性</w:t>
            </w:r>
          </w:p>
        </w:tc>
        <w:tc>
          <w:tcPr>
            <w:tcW w:w="53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有效</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实施单位提供相关资料、评价组调研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C产出</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67"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C1产出数量</w:t>
            </w:r>
          </w:p>
        </w:tc>
        <w:tc>
          <w:tcPr>
            <w:tcW w:w="382" w:type="pct"/>
            <w:vAlign w:val="center"/>
          </w:tcPr>
          <w:p>
            <w:pPr>
              <w:snapToGrid w:val="0"/>
              <w:spacing w:line="400" w:lineRule="exact"/>
              <w:ind w:firstLine="120" w:firstLineChars="50"/>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10</w:t>
            </w:r>
          </w:p>
        </w:tc>
        <w:tc>
          <w:tcPr>
            <w:tcW w:w="1232" w:type="pct"/>
            <w:vAlign w:val="center"/>
          </w:tcPr>
          <w:p>
            <w:pPr>
              <w:spacing w:line="240" w:lineRule="auto"/>
              <w:ind w:firstLine="0" w:firstLineChars="0"/>
              <w:jc w:val="center"/>
              <w:rPr>
                <w:rFonts w:hint="default" w:ascii="仿宋_GB2312" w:hAnsi="Calibri" w:eastAsia="仿宋_GB2312"/>
                <w:color w:val="000000"/>
                <w:sz w:val="21"/>
                <w:szCs w:val="21"/>
                <w:highlight w:val="none"/>
                <w:lang w:val="en-US" w:eastAsia="zh-CN"/>
              </w:rPr>
            </w:pPr>
            <w:r>
              <w:rPr>
                <w:rFonts w:hint="eastAsia" w:ascii="仿宋_GB2312" w:hAnsi="Calibri" w:eastAsia="仿宋_GB2312"/>
                <w:sz w:val="21"/>
                <w:szCs w:val="21"/>
                <w:highlight w:val="none"/>
              </w:rPr>
              <w:t>C11</w:t>
            </w:r>
            <w:r>
              <w:rPr>
                <w:rFonts w:hint="eastAsia" w:ascii="仿宋_GB2312" w:hAnsi="Calibri"/>
                <w:sz w:val="21"/>
                <w:szCs w:val="21"/>
                <w:highlight w:val="none"/>
                <w:lang w:val="en-US" w:eastAsia="zh-CN"/>
              </w:rPr>
              <w:t>应补尽补率</w:t>
            </w:r>
          </w:p>
        </w:tc>
        <w:tc>
          <w:tcPr>
            <w:tcW w:w="536" w:type="pct"/>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120" w:firstLineChars="50"/>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10</w:t>
            </w:r>
          </w:p>
        </w:tc>
        <w:tc>
          <w:tcPr>
            <w:tcW w:w="846" w:type="pct"/>
            <w:vAlign w:val="center"/>
          </w:tcPr>
          <w:p>
            <w:pPr>
              <w:snapToGrid w:val="0"/>
              <w:spacing w:line="400" w:lineRule="exact"/>
              <w:ind w:firstLine="0" w:firstLineChars="0"/>
              <w:jc w:val="center"/>
              <w:rPr>
                <w:rFonts w:hint="default" w:ascii="仿宋_GB2312" w:hAnsi="Calibri" w:eastAsia="仿宋_GB2312"/>
                <w:color w:val="000000"/>
                <w:sz w:val="21"/>
                <w:szCs w:val="21"/>
                <w:lang w:val="en-US"/>
              </w:rPr>
            </w:pPr>
            <w:r>
              <w:rPr>
                <w:rFonts w:hint="eastAsia" w:ascii="仿宋_GB2312" w:hAnsi="Calibri" w:eastAsia="仿宋_GB2312"/>
                <w:color w:val="000000"/>
                <w:sz w:val="21"/>
                <w:szCs w:val="21"/>
              </w:rPr>
              <w:t>实地勘察、</w:t>
            </w:r>
            <w:r>
              <w:rPr>
                <w:rFonts w:hint="eastAsia" w:ascii="仿宋_GB2312" w:hAnsi="Calibri"/>
                <w:color w:val="000000"/>
                <w:sz w:val="21"/>
                <w:szCs w:val="21"/>
                <w:lang w:val="en-US" w:eastAsia="zh-CN"/>
              </w:rPr>
              <w:t>补贴明细，支付明细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53"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C2产出质量</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10</w:t>
            </w:r>
          </w:p>
        </w:tc>
        <w:tc>
          <w:tcPr>
            <w:tcW w:w="1232" w:type="pct"/>
            <w:vAlign w:val="center"/>
          </w:tcPr>
          <w:p>
            <w:pPr>
              <w:spacing w:line="240" w:lineRule="auto"/>
              <w:ind w:firstLine="0" w:firstLineChars="0"/>
              <w:jc w:val="center"/>
              <w:rPr>
                <w:rFonts w:hint="default" w:ascii="仿宋_GB2312" w:hAnsi="Calibri" w:eastAsia="仿宋_GB2312"/>
                <w:color w:val="000000"/>
                <w:sz w:val="21"/>
                <w:szCs w:val="21"/>
                <w:lang w:val="en-US"/>
              </w:rPr>
            </w:pPr>
            <w:r>
              <w:rPr>
                <w:rFonts w:hint="eastAsia" w:ascii="仿宋_GB2312" w:hAnsi="Calibri" w:eastAsia="仿宋_GB2312"/>
                <w:sz w:val="21"/>
                <w:szCs w:val="21"/>
              </w:rPr>
              <w:t>C21</w:t>
            </w:r>
            <w:r>
              <w:rPr>
                <w:rFonts w:hint="eastAsia" w:ascii="仿宋_GB2312" w:hAnsi="Calibri"/>
                <w:sz w:val="21"/>
                <w:szCs w:val="21"/>
                <w:lang w:val="en-US" w:eastAsia="zh-CN"/>
              </w:rPr>
              <w:t>补贴标准符合率</w:t>
            </w:r>
          </w:p>
        </w:tc>
        <w:tc>
          <w:tcPr>
            <w:tcW w:w="536" w:type="pct"/>
            <w:vAlign w:val="center"/>
          </w:tcPr>
          <w:p>
            <w:pPr>
              <w:spacing w:line="240" w:lineRule="auto"/>
              <w:ind w:firstLine="0" w:firstLineChars="0"/>
              <w:jc w:val="center"/>
              <w:rPr>
                <w:rFonts w:hint="default" w:ascii="仿宋_GB2312" w:hAnsi="Calibri" w:eastAsia="仿宋_GB2312"/>
                <w:color w:val="000000"/>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10</w:t>
            </w:r>
          </w:p>
        </w:tc>
        <w:tc>
          <w:tcPr>
            <w:tcW w:w="846" w:type="pct"/>
            <w:vAlign w:val="center"/>
          </w:tcPr>
          <w:p>
            <w:pPr>
              <w:snapToGrid w:val="0"/>
              <w:spacing w:line="400" w:lineRule="exact"/>
              <w:ind w:firstLine="0" w:firstLineChars="0"/>
              <w:jc w:val="center"/>
              <w:rPr>
                <w:rFonts w:hint="default" w:ascii="仿宋_GB2312" w:hAnsi="Calibri" w:eastAsia="仿宋_GB2312"/>
                <w:color w:val="000000"/>
                <w:sz w:val="21"/>
                <w:szCs w:val="21"/>
                <w:lang w:val="en-US" w:eastAsia="zh-CN"/>
              </w:rPr>
            </w:pPr>
            <w:r>
              <w:rPr>
                <w:rFonts w:hint="eastAsia" w:ascii="仿宋_GB2312" w:hAnsi="Calibri"/>
                <w:color w:val="000000"/>
                <w:sz w:val="21"/>
                <w:szCs w:val="21"/>
                <w:lang w:val="en-US" w:eastAsia="zh-CN"/>
              </w:rPr>
              <w:t>问卷调查、</w:t>
            </w:r>
            <w:r>
              <w:rPr>
                <w:rFonts w:hint="eastAsia" w:ascii="仿宋_GB2312" w:hAnsi="Calibri" w:eastAsia="仿宋_GB2312"/>
                <w:color w:val="000000"/>
                <w:sz w:val="21"/>
                <w:szCs w:val="21"/>
                <w:lang w:val="en-US" w:eastAsia="zh-CN"/>
              </w:rPr>
              <w:t>补贴明细，支付明细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07"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C3产出时效</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10</w:t>
            </w:r>
          </w:p>
        </w:tc>
        <w:tc>
          <w:tcPr>
            <w:tcW w:w="1232" w:type="pct"/>
            <w:vAlign w:val="center"/>
          </w:tcPr>
          <w:p>
            <w:pPr>
              <w:spacing w:line="240" w:lineRule="auto"/>
              <w:ind w:firstLine="0" w:firstLineChars="0"/>
              <w:jc w:val="center"/>
              <w:rPr>
                <w:rFonts w:hint="default" w:ascii="仿宋_GB2312" w:hAnsi="Calibri" w:eastAsia="仿宋_GB2312" w:cs="Times New Roman"/>
                <w:color w:val="000000"/>
                <w:kern w:val="2"/>
                <w:sz w:val="21"/>
                <w:szCs w:val="21"/>
                <w:lang w:val="en-US" w:eastAsia="zh-CN" w:bidi="ar-SA"/>
              </w:rPr>
            </w:pPr>
            <w:r>
              <w:rPr>
                <w:rFonts w:hint="eastAsia" w:ascii="仿宋_GB2312" w:hAnsi="Calibri" w:eastAsia="仿宋_GB2312"/>
                <w:sz w:val="21"/>
                <w:szCs w:val="21"/>
              </w:rPr>
              <w:t>C31</w:t>
            </w:r>
            <w:r>
              <w:rPr>
                <w:rFonts w:hint="eastAsia" w:ascii="仿宋_GB2312" w:hAnsi="Calibri"/>
                <w:sz w:val="21"/>
                <w:szCs w:val="21"/>
                <w:lang w:val="en-US" w:eastAsia="zh-CN"/>
              </w:rPr>
              <w:t>补贴资金发放</w:t>
            </w:r>
            <w:r>
              <w:rPr>
                <w:rFonts w:hint="eastAsia" w:ascii="仿宋_GB2312" w:hAnsi="Calibri" w:eastAsia="仿宋_GB2312"/>
                <w:sz w:val="21"/>
                <w:szCs w:val="21"/>
                <w:lang w:val="en-US" w:eastAsia="zh-CN"/>
              </w:rPr>
              <w:t>及时性</w:t>
            </w:r>
          </w:p>
        </w:tc>
        <w:tc>
          <w:tcPr>
            <w:tcW w:w="536" w:type="pct"/>
            <w:vAlign w:val="center"/>
          </w:tcPr>
          <w:p>
            <w:pPr>
              <w:spacing w:line="240" w:lineRule="auto"/>
              <w:ind w:firstLine="0" w:firstLineChars="0"/>
              <w:jc w:val="center"/>
              <w:rPr>
                <w:rFonts w:hint="eastAsia" w:ascii="仿宋_GB2312" w:hAnsi="Calibri" w:eastAsia="仿宋_GB2312" w:cs="Times New Roman"/>
                <w:bCs/>
                <w:color w:val="000000"/>
                <w:kern w:val="0"/>
                <w:sz w:val="21"/>
                <w:szCs w:val="21"/>
                <w:lang w:val="en-US" w:eastAsia="zh-CN" w:bidi="ar-SA"/>
              </w:rPr>
            </w:pPr>
            <w:r>
              <w:rPr>
                <w:rFonts w:hint="eastAsia" w:ascii="仿宋_GB2312" w:hAnsi="Calibri" w:eastAsia="仿宋_GB2312"/>
                <w:sz w:val="21"/>
                <w:szCs w:val="21"/>
              </w:rPr>
              <w:t>及时</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10</w:t>
            </w:r>
          </w:p>
        </w:tc>
        <w:tc>
          <w:tcPr>
            <w:tcW w:w="846" w:type="pct"/>
            <w:vAlign w:val="center"/>
          </w:tcPr>
          <w:p>
            <w:pPr>
              <w:snapToGrid w:val="0"/>
              <w:spacing w:line="400" w:lineRule="exact"/>
              <w:ind w:firstLine="0" w:firstLineChars="0"/>
              <w:jc w:val="center"/>
              <w:rPr>
                <w:rFonts w:hint="default" w:ascii="仿宋_GB2312" w:hAnsi="Calibri" w:eastAsia="仿宋_GB2312"/>
                <w:color w:val="000000"/>
                <w:sz w:val="21"/>
                <w:szCs w:val="21"/>
                <w:lang w:val="en-US" w:eastAsia="zh-CN"/>
              </w:rPr>
            </w:pPr>
            <w:r>
              <w:rPr>
                <w:rFonts w:hint="eastAsia" w:ascii="仿宋_GB2312" w:hAnsi="Calibri"/>
                <w:color w:val="000000"/>
                <w:sz w:val="21"/>
                <w:szCs w:val="21"/>
                <w:lang w:val="en-US" w:eastAsia="zh-CN"/>
              </w:rPr>
              <w:t>问卷调查</w:t>
            </w:r>
            <w:r>
              <w:rPr>
                <w:rFonts w:hint="eastAsia" w:ascii="仿宋_GB2312" w:hAnsi="Calibri" w:eastAsia="仿宋_GB2312"/>
                <w:color w:val="000000"/>
                <w:sz w:val="21"/>
                <w:szCs w:val="21"/>
                <w:lang w:val="en-US" w:eastAsia="zh-CN"/>
              </w:rPr>
              <w:t>、补贴明细，支付明细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D效益</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67" w:type="pct"/>
            <w:vAlign w:val="center"/>
          </w:tcPr>
          <w:p>
            <w:pPr>
              <w:snapToGrid w:val="0"/>
              <w:spacing w:line="400" w:lineRule="exact"/>
              <w:ind w:firstLine="0" w:firstLineChars="0"/>
              <w:jc w:val="left"/>
              <w:rPr>
                <w:rFonts w:ascii="仿宋_GB2312" w:hAnsi="仿宋_GB2312" w:eastAsia="仿宋_GB2312" w:cs="仿宋_GB2312"/>
                <w:color w:val="000000"/>
                <w:sz w:val="21"/>
                <w:szCs w:val="21"/>
              </w:rPr>
            </w:pPr>
            <w:r>
              <w:rPr>
                <w:rFonts w:hint="eastAsia" w:ascii="仿宋_GB2312" w:hAnsi="Calibri" w:eastAsia="仿宋_GB2312"/>
                <w:sz w:val="21"/>
                <w:szCs w:val="21"/>
              </w:rPr>
              <w:t>D1</w:t>
            </w:r>
            <w:r>
              <w:rPr>
                <w:rFonts w:hint="eastAsia" w:ascii="仿宋_GB2312" w:hAnsi="Calibri" w:eastAsia="仿宋_GB2312"/>
                <w:sz w:val="21"/>
                <w:szCs w:val="21"/>
                <w:lang w:val="en-US" w:eastAsia="zh-CN"/>
              </w:rPr>
              <w:t>经济</w:t>
            </w:r>
            <w:r>
              <w:rPr>
                <w:rFonts w:hint="eastAsia" w:ascii="仿宋_GB2312" w:hAnsi="Calibri" w:eastAsia="仿宋_GB2312"/>
                <w:sz w:val="21"/>
                <w:szCs w:val="21"/>
              </w:rPr>
              <w:t>效益</w:t>
            </w:r>
          </w:p>
        </w:tc>
        <w:tc>
          <w:tcPr>
            <w:tcW w:w="382" w:type="pct"/>
            <w:vAlign w:val="center"/>
          </w:tcPr>
          <w:p>
            <w:pPr>
              <w:snapToGrid w:val="0"/>
              <w:spacing w:line="400" w:lineRule="exact"/>
              <w:ind w:firstLine="0" w:firstLineChars="0"/>
              <w:jc w:val="center"/>
              <w:rPr>
                <w:rFonts w:hint="default" w:ascii="仿宋_GB2312" w:hAnsi="Calibri" w:eastAsia="仿宋_GB2312"/>
                <w:sz w:val="21"/>
                <w:szCs w:val="21"/>
                <w:lang w:val="en-US" w:eastAsia="zh-CN"/>
              </w:rPr>
            </w:pPr>
            <w:r>
              <w:rPr>
                <w:rFonts w:hint="eastAsia" w:eastAsia="仿宋" w:cs="Times New Roman"/>
                <w:color w:val="000000"/>
                <w:sz w:val="24"/>
                <w:szCs w:val="24"/>
                <w:lang w:val="en-US" w:eastAsia="zh-CN"/>
              </w:rPr>
              <w:t>5</w:t>
            </w:r>
          </w:p>
        </w:tc>
        <w:tc>
          <w:tcPr>
            <w:tcW w:w="1232" w:type="pct"/>
            <w:vAlign w:val="center"/>
          </w:tcPr>
          <w:p>
            <w:pPr>
              <w:spacing w:line="240" w:lineRule="atLeas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1</w:t>
            </w:r>
            <w:r>
              <w:rPr>
                <w:rFonts w:hint="eastAsia" w:ascii="仿宋_GB2312" w:hAnsi="Calibri" w:eastAsia="仿宋_GB2312"/>
                <w:sz w:val="21"/>
                <w:szCs w:val="21"/>
              </w:rPr>
              <w:t>1</w:t>
            </w:r>
            <w:r>
              <w:rPr>
                <w:rFonts w:hint="eastAsia" w:ascii="仿宋_GB2312" w:hAnsi="Calibri" w:eastAsia="仿宋_GB2312"/>
                <w:sz w:val="21"/>
                <w:szCs w:val="21"/>
                <w:lang w:val="en-US" w:eastAsia="zh-CN"/>
              </w:rPr>
              <w:t>增加粮食产量，提高农民收入</w:t>
            </w:r>
          </w:p>
        </w:tc>
        <w:tc>
          <w:tcPr>
            <w:tcW w:w="536" w:type="pct"/>
            <w:vAlign w:val="center"/>
          </w:tcPr>
          <w:p>
            <w:pPr>
              <w:spacing w:line="240" w:lineRule="atLeast"/>
              <w:ind w:firstLine="0" w:firstLineChars="0"/>
              <w:jc w:val="center"/>
              <w:rPr>
                <w:rFonts w:hint="default" w:ascii="仿宋_GB2312" w:hAnsi="Calibri" w:eastAsia="仿宋_GB2312"/>
                <w:sz w:val="21"/>
                <w:szCs w:val="21"/>
                <w:lang w:val="en-US"/>
              </w:rPr>
            </w:pPr>
            <w:r>
              <w:rPr>
                <w:rFonts w:hint="eastAsia" w:ascii="仿宋_GB2312" w:hAnsi="仿宋_GB2312" w:cs="仿宋_GB2312"/>
                <w:sz w:val="21"/>
                <w:szCs w:val="21"/>
                <w:lang w:val="en-US" w:eastAsia="zh-CN"/>
              </w:rPr>
              <w:t>增加</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5</w:t>
            </w:r>
          </w:p>
        </w:tc>
        <w:tc>
          <w:tcPr>
            <w:tcW w:w="846" w:type="pct"/>
            <w:vAlign w:val="center"/>
          </w:tcPr>
          <w:p>
            <w:pPr>
              <w:snapToGrid w:val="0"/>
              <w:spacing w:line="400" w:lineRule="exact"/>
              <w:ind w:firstLine="0" w:firstLineChars="0"/>
              <w:jc w:val="center"/>
              <w:rPr>
                <w:rFonts w:hint="eastAsia" w:ascii="仿宋_GB2312" w:hAnsi="Times New Roman" w:eastAsia="仿宋_GB2312" w:cs="Times New Roman"/>
                <w:color w:val="000000"/>
                <w:kern w:val="0"/>
                <w:sz w:val="24"/>
                <w:szCs w:val="24"/>
                <w:lang w:eastAsia="zh-CN"/>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2社会</w:t>
            </w:r>
            <w:r>
              <w:rPr>
                <w:rFonts w:hint="eastAsia" w:ascii="仿宋_GB2312" w:hAnsi="Calibri" w:eastAsia="仿宋_GB2312"/>
                <w:sz w:val="21"/>
                <w:szCs w:val="21"/>
              </w:rPr>
              <w:t>效益</w:t>
            </w:r>
          </w:p>
        </w:tc>
        <w:tc>
          <w:tcPr>
            <w:tcW w:w="382" w:type="pct"/>
            <w:vMerge w:val="restar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10</w:t>
            </w:r>
          </w:p>
        </w:tc>
        <w:tc>
          <w:tcPr>
            <w:tcW w:w="1232" w:type="pct"/>
            <w:vAlign w:val="center"/>
          </w:tcPr>
          <w:p>
            <w:pPr>
              <w:spacing w:line="240" w:lineRule="atLeast"/>
              <w:ind w:firstLine="0" w:firstLineChars="0"/>
              <w:jc w:val="center"/>
              <w:rPr>
                <w:rFonts w:hint="default"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w:t>
            </w:r>
            <w:r>
              <w:rPr>
                <w:rFonts w:hint="eastAsia" w:ascii="仿宋_GB2312" w:hAnsi="Calibri" w:eastAsia="仿宋_GB2312"/>
                <w:sz w:val="21"/>
                <w:szCs w:val="21"/>
              </w:rPr>
              <w:t>1</w:t>
            </w:r>
            <w:r>
              <w:rPr>
                <w:rFonts w:hint="eastAsia" w:ascii="仿宋_GB2312" w:hAnsi="Calibri" w:eastAsia="仿宋_GB2312"/>
                <w:sz w:val="21"/>
                <w:szCs w:val="21"/>
                <w:lang w:val="en-US" w:eastAsia="zh-CN"/>
              </w:rPr>
              <w:t>促进规模化经营，提高农业生产现代化</w:t>
            </w:r>
          </w:p>
        </w:tc>
        <w:tc>
          <w:tcPr>
            <w:tcW w:w="536" w:type="pct"/>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Calibri" w:eastAsia="仿宋_GB2312"/>
                <w:sz w:val="21"/>
                <w:szCs w:val="21"/>
                <w:lang w:val="en-US" w:eastAsia="zh-CN"/>
              </w:rPr>
              <w:t>提高</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5</w:t>
            </w:r>
          </w:p>
        </w:tc>
        <w:tc>
          <w:tcPr>
            <w:tcW w:w="846" w:type="pct"/>
            <w:vMerge w:val="restart"/>
            <w:vAlign w:val="center"/>
          </w:tcPr>
          <w:p>
            <w:pPr>
              <w:snapToGrid w:val="0"/>
              <w:spacing w:line="400" w:lineRule="exact"/>
              <w:ind w:firstLine="0" w:firstLineChars="0"/>
              <w:jc w:val="center"/>
              <w:rPr>
                <w:rFonts w:hint="eastAsia" w:ascii="仿宋_GB2312" w:hAnsi="Calibri" w:eastAsia="仿宋_GB2312" w:cs="Times New Roman"/>
                <w:color w:val="000000"/>
                <w:kern w:val="0"/>
                <w:sz w:val="21"/>
                <w:szCs w:val="21"/>
                <w:lang w:val="en-US" w:eastAsia="zh-CN" w:bidi="ar-SA"/>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p>
        </w:tc>
        <w:tc>
          <w:tcPr>
            <w:tcW w:w="382"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p>
        </w:tc>
        <w:tc>
          <w:tcPr>
            <w:tcW w:w="1232" w:type="pct"/>
            <w:vAlign w:val="center"/>
          </w:tcPr>
          <w:p>
            <w:pPr>
              <w:spacing w:line="240" w:lineRule="atLeast"/>
              <w:ind w:firstLine="0" w:firstLineChars="0"/>
              <w:jc w:val="left"/>
              <w:rPr>
                <w:rFonts w:hint="default"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22促进产业结构调整，加快农业机械化产业发展</w:t>
            </w:r>
          </w:p>
        </w:tc>
        <w:tc>
          <w:tcPr>
            <w:tcW w:w="536" w:type="pct"/>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Calibri" w:eastAsia="仿宋_GB2312"/>
                <w:sz w:val="21"/>
                <w:szCs w:val="21"/>
                <w:lang w:val="en-US" w:eastAsia="zh-CN"/>
              </w:rPr>
              <w:t>促进</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kern w:val="2"/>
                <w:sz w:val="24"/>
                <w:szCs w:val="24"/>
                <w:lang w:val="en-US" w:eastAsia="zh-CN" w:bidi="ar-SA"/>
              </w:rPr>
              <w:t>5</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s="Times New Roman"/>
                <w:color w:val="000000"/>
                <w:kern w:val="0"/>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napToGrid w:val="0"/>
              <w:spacing w:line="40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可持续影响</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5</w:t>
            </w:r>
          </w:p>
        </w:tc>
        <w:tc>
          <w:tcPr>
            <w:tcW w:w="1232" w:type="pct"/>
            <w:vAlign w:val="center"/>
          </w:tcPr>
          <w:p>
            <w:pPr>
              <w:spacing w:line="280" w:lineRule="exact"/>
              <w:ind w:firstLine="0" w:firstLineChars="0"/>
              <w:jc w:val="center"/>
              <w:rPr>
                <w:rFonts w:hint="default" w:ascii="仿宋_GB2312" w:hAnsi="仿宋_GB2312" w:eastAsia="仿宋_GB2312" w:cs="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1</w:t>
            </w:r>
            <w:r>
              <w:rPr>
                <w:rFonts w:hint="eastAsia" w:ascii="仿宋_GB2312" w:hAnsi="Calibri"/>
                <w:sz w:val="21"/>
                <w:szCs w:val="21"/>
                <w:lang w:val="en-US" w:eastAsia="zh-CN"/>
              </w:rPr>
              <w:t>政策知晓率</w:t>
            </w:r>
          </w:p>
        </w:tc>
        <w:tc>
          <w:tcPr>
            <w:tcW w:w="536" w:type="pct"/>
            <w:vAlign w:val="center"/>
          </w:tcPr>
          <w:p>
            <w:pPr>
              <w:spacing w:line="240" w:lineRule="atLeast"/>
              <w:ind w:firstLine="0" w:firstLineChars="0"/>
              <w:jc w:val="center"/>
              <w:rPr>
                <w:rFonts w:hint="default" w:ascii="仿宋_GB2312" w:hAnsi="Calibri"/>
                <w:sz w:val="21"/>
                <w:szCs w:val="21"/>
                <w:lang w:val="en-US" w:eastAsia="zh-CN"/>
              </w:rPr>
            </w:pPr>
            <w:r>
              <w:rPr>
                <w:rFonts w:hint="eastAsia" w:ascii="仿宋_GB2312" w:hAnsi="Calibri" w:eastAsia="仿宋_GB2312"/>
                <w:sz w:val="21"/>
                <w:szCs w:val="21"/>
              </w:rPr>
              <w:t>≥</w:t>
            </w:r>
            <w:r>
              <w:rPr>
                <w:rFonts w:hint="eastAsia" w:ascii="仿宋_GB2312" w:hAnsi="Calibri"/>
                <w:sz w:val="21"/>
                <w:szCs w:val="21"/>
                <w:lang w:val="en-US" w:eastAsia="zh-CN"/>
              </w:rPr>
              <w:t>90%</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5</w:t>
            </w:r>
          </w:p>
        </w:tc>
        <w:tc>
          <w:tcPr>
            <w:tcW w:w="846" w:type="pct"/>
            <w:vAlign w:val="center"/>
          </w:tcPr>
          <w:p>
            <w:pPr>
              <w:snapToGrid w:val="0"/>
              <w:spacing w:line="400" w:lineRule="exact"/>
              <w:ind w:firstLine="0" w:firstLineChars="0"/>
              <w:jc w:val="center"/>
              <w:textAlignment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查阅制度、访问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8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满意度</w:t>
            </w:r>
          </w:p>
        </w:tc>
        <w:tc>
          <w:tcPr>
            <w:tcW w:w="382"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10</w:t>
            </w:r>
          </w:p>
        </w:tc>
        <w:tc>
          <w:tcPr>
            <w:tcW w:w="1232" w:type="pct"/>
            <w:vAlign w:val="center"/>
          </w:tcPr>
          <w:p>
            <w:pPr>
              <w:spacing w:line="280" w:lineRule="exact"/>
              <w:ind w:firstLine="0" w:firstLineChars="0"/>
              <w:jc w:val="left"/>
              <w:rPr>
                <w:rFonts w:hint="eastAsia" w:ascii="仿宋_GB2312" w:hAnsi="Calibri" w:eastAsia="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1</w:t>
            </w:r>
            <w:r>
              <w:rPr>
                <w:rFonts w:hint="eastAsia" w:ascii="仿宋_GB2312" w:hAnsi="Calibri" w:eastAsia="仿宋_GB2312"/>
                <w:sz w:val="21"/>
                <w:szCs w:val="21"/>
                <w:lang w:eastAsia="zh-CN"/>
              </w:rPr>
              <w:t>受益对象满意度</w:t>
            </w:r>
          </w:p>
        </w:tc>
        <w:tc>
          <w:tcPr>
            <w:tcW w:w="536" w:type="pct"/>
            <w:vAlign w:val="center"/>
          </w:tcPr>
          <w:p>
            <w:pPr>
              <w:spacing w:line="240" w:lineRule="atLeas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rPr>
              <w:t>≥9</w:t>
            </w:r>
            <w:r>
              <w:rPr>
                <w:rFonts w:hint="eastAsia" w:ascii="仿宋_GB2312" w:hAnsi="Calibri"/>
                <w:sz w:val="21"/>
                <w:szCs w:val="21"/>
                <w:lang w:val="en-US" w:eastAsia="zh-CN"/>
              </w:rPr>
              <w:t>0</w:t>
            </w:r>
            <w:r>
              <w:rPr>
                <w:rFonts w:hint="eastAsia" w:ascii="仿宋_GB2312" w:hAnsi="Calibri" w:eastAsia="仿宋_GB2312"/>
                <w:sz w:val="21"/>
                <w:szCs w:val="21"/>
              </w:rPr>
              <w:t>%</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10</w:t>
            </w:r>
          </w:p>
        </w:tc>
        <w:tc>
          <w:tcPr>
            <w:tcW w:w="846" w:type="pct"/>
            <w:vAlign w:val="center"/>
          </w:tcPr>
          <w:p>
            <w:pPr>
              <w:spacing w:line="240" w:lineRule="atLeast"/>
              <w:ind w:firstLine="0" w:firstLineChars="0"/>
              <w:jc w:val="center"/>
              <w:rPr>
                <w:rFonts w:hint="eastAsia" w:ascii="仿宋_GB2312" w:hAnsi="Calibri" w:eastAsia="仿宋_GB2312"/>
                <w:color w:val="000000"/>
                <w:kern w:val="0"/>
                <w:sz w:val="21"/>
                <w:szCs w:val="21"/>
              </w:rPr>
            </w:pPr>
            <w:r>
              <w:rPr>
                <w:rFonts w:ascii="仿宋_GB2312" w:hAnsi="Calibri" w:eastAsia="仿宋_GB2312"/>
                <w:sz w:val="21"/>
                <w:szCs w:val="21"/>
              </w:rPr>
              <w:t>现场问卷调查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exact"/>
        </w:trPr>
        <w:tc>
          <w:tcPr>
            <w:tcW w:w="462" w:type="pct"/>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总分</w:t>
            </w:r>
          </w:p>
        </w:tc>
        <w:tc>
          <w:tcPr>
            <w:tcW w:w="38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sz w:val="24"/>
                <w:szCs w:val="24"/>
              </w:rPr>
            </w:pPr>
            <w:r>
              <w:rPr>
                <w:rFonts w:ascii="Times New Roman" w:hAnsi="Times New Roman" w:eastAsia="仿宋" w:cs="Times New Roman"/>
                <w:b/>
                <w:color w:val="000000"/>
                <w:sz w:val="24"/>
                <w:szCs w:val="24"/>
              </w:rPr>
              <w:fldChar w:fldCharType="begin"/>
            </w:r>
            <w:r>
              <w:rPr>
                <w:rFonts w:ascii="Times New Roman" w:hAnsi="Times New Roman" w:eastAsia="仿宋" w:cs="Times New Roman"/>
                <w:b/>
                <w:color w:val="000000"/>
                <w:sz w:val="24"/>
                <w:szCs w:val="24"/>
              </w:rPr>
              <w:instrText xml:space="preserve"> =SUM(ABOVE) </w:instrText>
            </w:r>
            <w:r>
              <w:rPr>
                <w:rFonts w:ascii="Times New Roman" w:hAnsi="Times New Roman" w:eastAsia="仿宋" w:cs="Times New Roman"/>
                <w:b/>
                <w:color w:val="000000"/>
                <w:sz w:val="24"/>
                <w:szCs w:val="24"/>
              </w:rPr>
              <w:fldChar w:fldCharType="separate"/>
            </w:r>
            <w:r>
              <w:rPr>
                <w:rFonts w:ascii="Times New Roman" w:hAnsi="Times New Roman" w:eastAsia="仿宋" w:cs="Times New Roman"/>
                <w:b/>
                <w:color w:val="000000"/>
                <w:sz w:val="24"/>
                <w:szCs w:val="24"/>
              </w:rPr>
              <w:t>100</w:t>
            </w:r>
            <w:r>
              <w:rPr>
                <w:rFonts w:ascii="Times New Roman" w:hAnsi="Times New Roman" w:eastAsia="仿宋" w:cs="Times New Roman"/>
                <w:b/>
                <w:color w:val="000000"/>
                <w:sz w:val="24"/>
                <w:szCs w:val="24"/>
              </w:rPr>
              <w:fldChar w:fldCharType="end"/>
            </w:r>
          </w:p>
        </w:tc>
        <w:tc>
          <w:tcPr>
            <w:tcW w:w="767" w:type="pct"/>
            <w:vAlign w:val="center"/>
          </w:tcPr>
          <w:p>
            <w:pPr>
              <w:widowControl/>
              <w:snapToGrid w:val="0"/>
              <w:spacing w:line="400" w:lineRule="exact"/>
              <w:ind w:firstLine="0" w:firstLineChars="0"/>
              <w:jc w:val="center"/>
              <w:textAlignment w:val="center"/>
              <w:rPr>
                <w:rFonts w:ascii="仿宋" w:hAnsi="仿宋" w:eastAsia="仿宋" w:cs="仿宋_GB2312"/>
                <w:b/>
                <w:color w:val="000000"/>
                <w:sz w:val="24"/>
                <w:szCs w:val="24"/>
              </w:rPr>
            </w:pPr>
          </w:p>
        </w:tc>
        <w:tc>
          <w:tcPr>
            <w:tcW w:w="382"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1232" w:type="pct"/>
            <w:vAlign w:val="center"/>
          </w:tcPr>
          <w:p>
            <w:pPr>
              <w:widowControl/>
              <w:snapToGrid w:val="0"/>
              <w:spacing w:line="400" w:lineRule="exact"/>
              <w:ind w:firstLine="0" w:firstLineChars="0"/>
              <w:jc w:val="center"/>
              <w:textAlignment w:val="center"/>
              <w:rPr>
                <w:rFonts w:ascii="仿宋" w:hAnsi="仿宋" w:eastAsia="仿宋" w:cs="仿宋_GB2312"/>
                <w:b/>
                <w:sz w:val="24"/>
                <w:szCs w:val="24"/>
              </w:rPr>
            </w:pPr>
          </w:p>
        </w:tc>
        <w:tc>
          <w:tcPr>
            <w:tcW w:w="53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385"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84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r>
      <w:bookmarkEnd w:id="34"/>
      <w:bookmarkEnd w:id="35"/>
      <w:bookmarkEnd w:id="36"/>
      <w:bookmarkEnd w:id="37"/>
    </w:tbl>
    <w:p>
      <w:pPr>
        <w:spacing w:line="620" w:lineRule="atLeast"/>
      </w:pPr>
      <w:r>
        <w:rPr>
          <w:rFonts w:hint="eastAsia"/>
        </w:rPr>
        <w:t>2.评分等级</w:t>
      </w:r>
    </w:p>
    <w:p>
      <w:pPr>
        <w:ind w:firstLine="640"/>
        <w:rPr>
          <w:rFonts w:ascii="仿宋_GB2312"/>
        </w:rPr>
      </w:pPr>
      <w:r>
        <w:rPr>
          <w:rFonts w:hint="eastAsia" w:ascii="仿宋_GB2312"/>
        </w:rPr>
        <w:t>根据财政部《项目支出绩效评价管理办法》（财预〔2020〕10号）《中共山西省委山西省人民政府关于全面实施预算绩效管理的实施意见》（晋财绩〔2019〕12号）以及</w:t>
      </w:r>
      <w:r>
        <w:rPr>
          <w:rFonts w:hint="eastAsia" w:ascii="仿宋_GB2312"/>
          <w:lang w:eastAsia="zh-CN"/>
        </w:rPr>
        <w:t>《</w:t>
      </w:r>
      <w:r>
        <w:rPr>
          <w:rFonts w:hint="eastAsia" w:ascii="仿宋_GB2312"/>
          <w:lang w:val="en-US" w:eastAsia="zh-CN"/>
        </w:rPr>
        <w:t>关于印发《2023年度财政重点绩效评价实施方案》的通知</w:t>
      </w:r>
      <w:r>
        <w:rPr>
          <w:rFonts w:hint="eastAsia" w:ascii="仿宋_GB2312"/>
          <w:lang w:eastAsia="zh-CN"/>
        </w:rPr>
        <w:t>》（古财字〔20</w:t>
      </w:r>
      <w:r>
        <w:rPr>
          <w:rFonts w:hint="eastAsia" w:ascii="仿宋_GB2312"/>
          <w:lang w:val="en-US" w:eastAsia="zh-CN"/>
        </w:rPr>
        <w:t>23</w:t>
      </w:r>
      <w:r>
        <w:rPr>
          <w:rFonts w:hint="eastAsia" w:ascii="仿宋_GB2312"/>
          <w:lang w:eastAsia="zh-CN"/>
        </w:rPr>
        <w:t>〕</w:t>
      </w:r>
      <w:r>
        <w:rPr>
          <w:rFonts w:hint="eastAsia" w:ascii="仿宋_GB2312"/>
          <w:lang w:val="en-US" w:eastAsia="zh-CN"/>
        </w:rPr>
        <w:t>59</w:t>
      </w:r>
      <w:r>
        <w:rPr>
          <w:rFonts w:hint="eastAsia" w:ascii="仿宋_GB2312"/>
          <w:lang w:eastAsia="zh-CN"/>
        </w:rPr>
        <w:t>号），</w:t>
      </w:r>
      <w:r>
        <w:rPr>
          <w:rFonts w:hint="eastAsia" w:ascii="仿宋_GB2312"/>
        </w:rPr>
        <w:t>本次绩效评价等级见</w:t>
      </w:r>
      <w:r>
        <w:rPr>
          <w:rFonts w:hint="eastAsia" w:ascii="仿宋_GB2312"/>
          <w:b/>
          <w:bCs/>
        </w:rPr>
        <w:t>表2-2</w:t>
      </w:r>
      <w:r>
        <w:rPr>
          <w:rFonts w:hint="eastAsia" w:ascii="仿宋_GB2312"/>
        </w:rPr>
        <w:t>。</w:t>
      </w:r>
    </w:p>
    <w:p>
      <w:pPr>
        <w:spacing w:line="360" w:lineRule="auto"/>
        <w:ind w:firstLine="562"/>
        <w:jc w:val="left"/>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 xml:space="preserve">表2-2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rPr>
        <w:t>绩效评价评分等级</w:t>
      </w:r>
    </w:p>
    <w:tbl>
      <w:tblPr>
        <w:tblStyle w:val="20"/>
        <w:tblW w:w="79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35"/>
        <w:gridCol w:w="37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4235" w:type="dxa"/>
            <w:shd w:val="pct20" w:color="auto" w:fill="auto"/>
            <w:vAlign w:val="center"/>
          </w:tcPr>
          <w:p>
            <w:pPr>
              <w:widowControl/>
              <w:spacing w:line="240" w:lineRule="auto"/>
              <w:ind w:firstLine="0" w:firstLineChars="0"/>
              <w:jc w:val="center"/>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分值范围</w:t>
            </w:r>
          </w:p>
        </w:tc>
        <w:tc>
          <w:tcPr>
            <w:tcW w:w="3758" w:type="dxa"/>
            <w:shd w:val="pct20" w:color="auto" w:fill="auto"/>
            <w:vAlign w:val="center"/>
          </w:tcPr>
          <w:p>
            <w:pPr>
              <w:widowControl/>
              <w:spacing w:line="240" w:lineRule="auto"/>
              <w:ind w:firstLine="0" w:firstLineChars="0"/>
              <w:jc w:val="center"/>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绩效级别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100≥P≥90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90＞P≥80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80＞P≥60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P＜60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差</w:t>
            </w:r>
          </w:p>
        </w:tc>
      </w:tr>
    </w:tbl>
    <w:p>
      <w:pPr>
        <w:pStyle w:val="4"/>
        <w:ind w:firstLine="640"/>
        <w:rPr>
          <w:rFonts w:ascii="仿宋_GB2312"/>
        </w:rPr>
      </w:pPr>
      <w:bookmarkStart w:id="38" w:name="_Toc30214"/>
      <w:r>
        <w:rPr>
          <w:rFonts w:ascii="仿宋_GB2312"/>
        </w:rPr>
        <w:t>（四）绩效评价</w:t>
      </w:r>
      <w:r>
        <w:rPr>
          <w:rFonts w:hint="eastAsia" w:ascii="仿宋_GB2312"/>
        </w:rPr>
        <w:t>方法</w:t>
      </w:r>
      <w:bookmarkEnd w:id="38"/>
    </w:p>
    <w:p>
      <w:pPr>
        <w:ind w:firstLine="640"/>
        <w:rPr>
          <w:rFonts w:hint="default" w:ascii="仿宋_GB2312"/>
          <w:lang w:val="en-US" w:eastAsia="zh-CN"/>
        </w:rPr>
      </w:pPr>
      <w:r>
        <w:rPr>
          <w:rFonts w:hint="eastAsia" w:ascii="仿宋_GB2312"/>
          <w:lang w:val="en-US" w:eastAsia="zh-CN"/>
        </w:rPr>
        <w:t>绩效评价方法主要包括成本效益分析法、比较法、因素分析法、最低成本法、公众评判法、标杆管理法等，本次绩效评价遵循“客观、公正、科学、规范”的原则，通过对项目的决策、过程、产出和效益的比较和分析，对专项资金进行综合评价，评价方法坚持定性分析和定量分析、全面评价与抽样调查、现场核查与综合分析相结合的方式进行评价，包括现场调研与核查、座谈、访谈、问卷调查、数据分析、专家评价等环节。评价方法如下：</w:t>
      </w:r>
    </w:p>
    <w:p>
      <w:pPr>
        <w:ind w:firstLine="640"/>
        <w:rPr>
          <w:rFonts w:ascii="仿宋_GB2312"/>
        </w:rPr>
      </w:pPr>
      <w:r>
        <w:rPr>
          <w:rFonts w:hint="eastAsia" w:ascii="仿宋_GB2312"/>
        </w:rPr>
        <w:t>1.比较法。是指通过对绩效目标与实施效果比较</w:t>
      </w:r>
      <w:r>
        <w:rPr>
          <w:rFonts w:hint="eastAsia" w:ascii="仿宋_GB2312"/>
          <w:lang w:eastAsia="zh-CN"/>
        </w:rPr>
        <w:t>，</w:t>
      </w:r>
      <w:r>
        <w:rPr>
          <w:rFonts w:hint="eastAsia" w:ascii="仿宋_GB2312"/>
        </w:rPr>
        <w:t>综合分析绩效目标实现程度。通过对</w:t>
      </w:r>
      <w:r>
        <w:rPr>
          <w:rFonts w:hint="eastAsia" w:ascii="仿宋_GB2312"/>
          <w:lang w:val="en-US" w:eastAsia="zh-CN"/>
        </w:rPr>
        <w:t>古县2022年农机具购置补贴项目</w:t>
      </w:r>
      <w:r>
        <w:rPr>
          <w:rFonts w:hint="eastAsia" w:ascii="仿宋_GB2312"/>
        </w:rPr>
        <w:t>目标与项目实施效果对比</w:t>
      </w:r>
      <w:r>
        <w:rPr>
          <w:rFonts w:hint="eastAsia" w:ascii="仿宋_GB2312"/>
          <w:lang w:eastAsia="zh-CN"/>
        </w:rPr>
        <w:t>，</w:t>
      </w:r>
      <w:r>
        <w:rPr>
          <w:rFonts w:hint="eastAsia" w:ascii="仿宋_GB2312"/>
        </w:rPr>
        <w:t>分析绩效目标实现程度及效益。</w:t>
      </w:r>
    </w:p>
    <w:p>
      <w:pPr>
        <w:ind w:firstLine="640"/>
        <w:rPr>
          <w:rFonts w:ascii="仿宋_GB2312"/>
        </w:rPr>
      </w:pPr>
      <w:r>
        <w:rPr>
          <w:rFonts w:hint="eastAsia" w:ascii="仿宋_GB2312"/>
        </w:rPr>
        <w:t>2.因素分析法。指通过综合分析影响绩效目标、实施效果的内外因素、评价绩效目标实现程度。针对</w:t>
      </w:r>
      <w:r>
        <w:rPr>
          <w:rFonts w:hint="eastAsia" w:ascii="仿宋_GB2312"/>
          <w:lang w:val="en-US" w:eastAsia="zh-CN"/>
        </w:rPr>
        <w:t>古县2022年农机具购置补贴项目</w:t>
      </w:r>
      <w:r>
        <w:rPr>
          <w:rFonts w:hint="eastAsia" w:ascii="仿宋_GB2312"/>
          <w:lang w:eastAsia="zh-CN"/>
        </w:rPr>
        <w:t>，</w:t>
      </w:r>
      <w:r>
        <w:rPr>
          <w:rFonts w:hint="eastAsia" w:ascii="仿宋_GB2312"/>
        </w:rPr>
        <w:t>影响绩效目标实现程度、实施效果的因素主要有</w:t>
      </w:r>
      <w:r>
        <w:rPr>
          <w:rFonts w:hint="eastAsia" w:ascii="仿宋_GB2312"/>
          <w:lang w:val="en-US" w:eastAsia="zh-CN"/>
        </w:rPr>
        <w:t>古县</w:t>
      </w:r>
      <w:r>
        <w:rPr>
          <w:rFonts w:hint="eastAsia" w:ascii="仿宋_GB2312"/>
        </w:rPr>
        <w:t>的整体发展水平、政府决策、项目管理体制、资金支持程度、相关部门的配合程度等因素。评价组结合以上因素进行绩效评价。</w:t>
      </w:r>
    </w:p>
    <w:p>
      <w:pPr>
        <w:ind w:firstLine="640"/>
        <w:rPr>
          <w:rFonts w:ascii="仿宋_GB2312"/>
        </w:rPr>
      </w:pPr>
      <w:r>
        <w:rPr>
          <w:rFonts w:hint="eastAsia" w:ascii="仿宋_GB2312"/>
        </w:rPr>
        <w:t>3.公众评判法。是指通过专家评估、公众问卷及抽样调查等对财政支出效果进行评判</w:t>
      </w:r>
      <w:r>
        <w:rPr>
          <w:rFonts w:hint="eastAsia" w:ascii="仿宋_GB2312"/>
          <w:lang w:eastAsia="zh-CN"/>
        </w:rPr>
        <w:t>，</w:t>
      </w:r>
      <w:r>
        <w:rPr>
          <w:rFonts w:hint="eastAsia" w:ascii="仿宋_GB2312"/>
        </w:rPr>
        <w:t>评价绩效目标实现程度。本项目针对受益群体设置满意度调查问卷。问卷调查采取抽样调查、实地调研等方式</w:t>
      </w:r>
      <w:r>
        <w:rPr>
          <w:rFonts w:hint="eastAsia" w:ascii="仿宋_GB2312"/>
          <w:lang w:eastAsia="zh-CN"/>
        </w:rPr>
        <w:t>，</w:t>
      </w:r>
      <w:r>
        <w:rPr>
          <w:rFonts w:hint="eastAsia" w:ascii="仿宋_GB2312"/>
        </w:rPr>
        <w:t>了解受益群体对项目实施效果满意度情况</w:t>
      </w:r>
      <w:r>
        <w:rPr>
          <w:rFonts w:hint="eastAsia" w:ascii="仿宋_GB2312"/>
          <w:lang w:eastAsia="zh-CN"/>
        </w:rPr>
        <w:t>，</w:t>
      </w:r>
      <w:r>
        <w:rPr>
          <w:rFonts w:hint="eastAsia" w:ascii="仿宋_GB2312"/>
        </w:rPr>
        <w:t>综合分析绩效目标实现程度。</w:t>
      </w:r>
    </w:p>
    <w:p>
      <w:pPr>
        <w:pStyle w:val="4"/>
        <w:ind w:firstLine="640"/>
        <w:rPr>
          <w:rFonts w:ascii="仿宋_GB2312"/>
        </w:rPr>
      </w:pPr>
      <w:bookmarkStart w:id="39" w:name="_Toc1904"/>
      <w:r>
        <w:rPr>
          <w:rFonts w:ascii="仿宋_GB2312"/>
        </w:rPr>
        <w:t>（</w:t>
      </w:r>
      <w:r>
        <w:rPr>
          <w:rFonts w:hint="eastAsia" w:ascii="仿宋_GB2312"/>
        </w:rPr>
        <w:t>五</w:t>
      </w:r>
      <w:r>
        <w:rPr>
          <w:rFonts w:ascii="仿宋_GB2312"/>
        </w:rPr>
        <w:t>）绩效评价</w:t>
      </w:r>
      <w:r>
        <w:rPr>
          <w:rFonts w:hint="eastAsia" w:ascii="仿宋_GB2312"/>
        </w:rPr>
        <w:t>标准</w:t>
      </w:r>
      <w:bookmarkEnd w:id="39"/>
    </w:p>
    <w:p>
      <w:pPr>
        <w:ind w:firstLine="640"/>
      </w:pPr>
      <w:r>
        <w:rPr>
          <w:rFonts w:hint="eastAsia"/>
        </w:rPr>
        <w:t>本项目绩效评价标准为计划标准和行业标准</w:t>
      </w:r>
      <w:r>
        <w:rPr>
          <w:rFonts w:hint="eastAsia"/>
          <w:lang w:eastAsia="zh-CN"/>
        </w:rPr>
        <w:t>，</w:t>
      </w:r>
      <w:r>
        <w:rPr>
          <w:rFonts w:hint="eastAsia"/>
        </w:rPr>
        <w:t>用于对绩效指标完成情况进行比较。</w:t>
      </w:r>
    </w:p>
    <w:p>
      <w:pPr>
        <w:ind w:firstLine="640"/>
        <w:rPr>
          <w:rFonts w:hint="eastAsia" w:ascii="仿宋_GB2312"/>
        </w:rPr>
      </w:pPr>
      <w:r>
        <w:rPr>
          <w:rFonts w:hint="eastAsia" w:ascii="仿宋_GB2312"/>
        </w:rPr>
        <w:t>本项目绩效评价标准为计划标准和行业标准</w:t>
      </w:r>
      <w:r>
        <w:rPr>
          <w:rFonts w:hint="eastAsia" w:ascii="仿宋_GB2312"/>
          <w:lang w:eastAsia="zh-CN"/>
        </w:rPr>
        <w:t>，</w:t>
      </w:r>
      <w:r>
        <w:rPr>
          <w:rFonts w:hint="eastAsia" w:ascii="仿宋_GB2312"/>
        </w:rPr>
        <w:t>用于对绩效指标完成情况进行比较。</w:t>
      </w:r>
    </w:p>
    <w:p>
      <w:pPr>
        <w:ind w:firstLine="640"/>
        <w:rPr>
          <w:rFonts w:hint="default" w:ascii="仿宋_GB2312" w:eastAsia="仿宋_GB2312"/>
          <w:lang w:val="en-US" w:eastAsia="zh-CN"/>
        </w:rPr>
      </w:pPr>
      <w:r>
        <w:rPr>
          <w:rFonts w:hint="eastAsia" w:ascii="仿宋_GB2312"/>
        </w:rPr>
        <w:t>（1）计划标准。指以预先制定的目标、计划、预算、定额等作为评价标准。</w:t>
      </w:r>
      <w:r>
        <w:rPr>
          <w:rFonts w:hint="eastAsia" w:ascii="仿宋_GB2312"/>
          <w:lang w:val="en-US" w:eastAsia="zh-CN"/>
        </w:rPr>
        <w:t>评价组实际评价中严格按照项目申请时提交的绩效目标进行考核，标准明确。</w:t>
      </w:r>
    </w:p>
    <w:p>
      <w:pPr>
        <w:ind w:firstLine="640"/>
        <w:rPr>
          <w:rFonts w:hint="default" w:ascii="仿宋_GB2312" w:eastAsia="仿宋_GB2312"/>
          <w:lang w:val="en-US" w:eastAsia="zh-CN"/>
        </w:rPr>
      </w:pPr>
      <w:r>
        <w:rPr>
          <w:rFonts w:hint="eastAsia" w:ascii="仿宋_GB2312"/>
        </w:rPr>
        <w:t>（2）行业标准。</w:t>
      </w:r>
      <w:r>
        <w:rPr>
          <w:rFonts w:hint="eastAsia" w:ascii="仿宋_GB2312"/>
          <w:lang w:val="en-US" w:eastAsia="zh-CN"/>
        </w:rPr>
        <w:t>行业标准是指参照国家公布的行业指标数据制定的评价标准。国家在不同时期根据相关行业发展的特征制定有关发展状况和指数等数据。评价组对项目评价时设置的质量标准主要为行业标准。</w:t>
      </w:r>
    </w:p>
    <w:p>
      <w:pPr>
        <w:pStyle w:val="4"/>
        <w:ind w:firstLine="640"/>
        <w:rPr>
          <w:rFonts w:ascii="仿宋_GB2312"/>
        </w:rPr>
      </w:pPr>
      <w:bookmarkStart w:id="40" w:name="_Toc16085"/>
      <w:r>
        <w:rPr>
          <w:rFonts w:hint="eastAsia" w:ascii="仿宋_GB2312"/>
        </w:rPr>
        <w:t>（六）</w:t>
      </w:r>
      <w:r>
        <w:rPr>
          <w:rFonts w:hint="eastAsia" w:ascii="仿宋_GB2312"/>
          <w:highlight w:val="none"/>
        </w:rPr>
        <w:t>绩效评价工作过程</w:t>
      </w:r>
      <w:bookmarkEnd w:id="40"/>
    </w:p>
    <w:p>
      <w:pPr>
        <w:spacing w:line="620" w:lineRule="atLeast"/>
        <w:ind w:firstLine="640"/>
        <w:rPr>
          <w:kern w:val="0"/>
          <w:szCs w:val="32"/>
        </w:rPr>
      </w:pPr>
      <w:r>
        <w:rPr>
          <w:rFonts w:hint="eastAsia"/>
          <w:kern w:val="0"/>
          <w:szCs w:val="32"/>
          <w:lang w:val="en-US" w:eastAsia="zh-CN"/>
        </w:rPr>
        <w:t>1</w:t>
      </w:r>
      <w:r>
        <w:rPr>
          <w:rFonts w:hint="eastAsia"/>
          <w:kern w:val="0"/>
          <w:szCs w:val="32"/>
        </w:rPr>
        <w:t>.人员分工</w:t>
      </w:r>
    </w:p>
    <w:p>
      <w:pPr>
        <w:ind w:firstLine="640"/>
      </w:pPr>
      <w:r>
        <w:rPr>
          <w:rFonts w:hint="eastAsia"/>
        </w:rPr>
        <w:t>评价组设置</w:t>
      </w:r>
      <w:r>
        <w:rPr>
          <w:rFonts w:hint="eastAsia"/>
          <w:lang w:val="en-US" w:eastAsia="zh-CN"/>
        </w:rPr>
        <w:t>5</w:t>
      </w:r>
      <w:r>
        <w:rPr>
          <w:rFonts w:hint="eastAsia"/>
        </w:rPr>
        <w:t>人。评价组主要负责现场勘察</w:t>
      </w:r>
      <w:r>
        <w:rPr>
          <w:rFonts w:hint="eastAsia"/>
          <w:lang w:eastAsia="zh-CN"/>
        </w:rPr>
        <w:t>，</w:t>
      </w:r>
      <w:r>
        <w:rPr>
          <w:rFonts w:hint="eastAsia"/>
        </w:rPr>
        <w:t>包括查阅收集相关的制度文件、财务资料等</w:t>
      </w:r>
      <w:r>
        <w:rPr>
          <w:rFonts w:hint="eastAsia"/>
          <w:lang w:eastAsia="zh-CN"/>
        </w:rPr>
        <w:t>，</w:t>
      </w:r>
      <w:r>
        <w:rPr>
          <w:rFonts w:hint="eastAsia"/>
        </w:rPr>
        <w:t>开展问卷调查</w:t>
      </w:r>
      <w:r>
        <w:rPr>
          <w:rFonts w:hint="eastAsia"/>
          <w:lang w:eastAsia="zh-CN"/>
        </w:rPr>
        <w:t>，</w:t>
      </w:r>
      <w:r>
        <w:rPr>
          <w:rFonts w:hint="eastAsia"/>
        </w:rPr>
        <w:t>撰写绩效评价实施方案和绩效评价报告等工作。具体人员及分工见表2-3。</w:t>
      </w:r>
    </w:p>
    <w:p>
      <w:pPr>
        <w:keepNext w:val="0"/>
        <w:keepLines w:val="0"/>
        <w:pageBreakBefore w:val="0"/>
        <w:widowControl w:val="0"/>
        <w:kinsoku/>
        <w:wordWrap/>
        <w:overflowPunct/>
        <w:topLinePunct w:val="0"/>
        <w:autoSpaceDE/>
        <w:autoSpaceDN/>
        <w:bidi w:val="0"/>
        <w:adjustRightInd/>
        <w:snapToGrid/>
        <w:spacing w:beforeLines="20" w:afterLines="20" w:line="500" w:lineRule="exact"/>
        <w:ind w:left="0" w:leftChars="0" w:firstLine="0" w:firstLineChars="0"/>
        <w:jc w:val="left"/>
        <w:textAlignment w:val="auto"/>
        <w:rPr>
          <w:rFonts w:hint="eastAsia" w:ascii="仿宋_GB2312" w:hAnsi="仿宋"/>
          <w:b/>
          <w:bCs/>
          <w:kern w:val="0"/>
          <w:sz w:val="28"/>
          <w:szCs w:val="28"/>
          <w:lang w:val="zh-CN"/>
        </w:rPr>
      </w:pPr>
      <w:bookmarkStart w:id="41" w:name="_Toc23192"/>
      <w:r>
        <w:rPr>
          <w:rFonts w:hint="eastAsia" w:ascii="仿宋_GB2312" w:hAnsi="仿宋"/>
          <w:b/>
          <w:bCs/>
          <w:kern w:val="0"/>
          <w:sz w:val="28"/>
          <w:szCs w:val="28"/>
          <w:lang w:val="zh-CN"/>
        </w:rPr>
        <w:t>表</w:t>
      </w:r>
      <w:r>
        <w:rPr>
          <w:rFonts w:hint="eastAsia" w:ascii="仿宋_GB2312" w:hAnsi="仿宋"/>
          <w:b/>
          <w:bCs/>
          <w:kern w:val="0"/>
          <w:sz w:val="28"/>
          <w:szCs w:val="28"/>
        </w:rPr>
        <w:t>2</w:t>
      </w:r>
      <w:r>
        <w:rPr>
          <w:rFonts w:hint="eastAsia" w:ascii="仿宋_GB2312" w:hAnsi="仿宋"/>
          <w:b/>
          <w:bCs/>
          <w:kern w:val="0"/>
          <w:sz w:val="28"/>
          <w:szCs w:val="28"/>
          <w:lang w:val="zh-CN"/>
        </w:rPr>
        <w:t xml:space="preserve">-3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 xml:space="preserve">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评价组工作人员分工表</w:t>
      </w:r>
      <w:bookmarkEnd w:id="41"/>
    </w:p>
    <w:tbl>
      <w:tblPr>
        <w:tblStyle w:val="47"/>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674"/>
        <w:gridCol w:w="853"/>
        <w:gridCol w:w="850"/>
        <w:gridCol w:w="1277"/>
        <w:gridCol w:w="48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8" w:hRule="atLeast"/>
          <w:tblHeader/>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序号</w:t>
            </w:r>
          </w:p>
        </w:tc>
        <w:tc>
          <w:tcPr>
            <w:tcW w:w="853"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职务</w:t>
            </w:r>
          </w:p>
        </w:tc>
        <w:tc>
          <w:tcPr>
            <w:tcW w:w="850"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姓名</w:t>
            </w:r>
          </w:p>
        </w:tc>
        <w:tc>
          <w:tcPr>
            <w:tcW w:w="1277"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职称</w:t>
            </w:r>
          </w:p>
        </w:tc>
        <w:tc>
          <w:tcPr>
            <w:tcW w:w="48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项目组职责分工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ascii="宋体" w:hAnsi="宋体" w:eastAsia="宋体" w:cs="Times New Roman Regular"/>
                <w:sz w:val="20"/>
                <w:szCs w:val="20"/>
              </w:rPr>
              <w:t>1</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组长</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王雅琼</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资产评估师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负责项目组织、协调、方案报告审核等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ascii="宋体" w:hAnsi="宋体" w:eastAsia="宋体" w:cs="Times New Roman Regular"/>
                <w:sz w:val="20"/>
                <w:szCs w:val="20"/>
              </w:rPr>
              <w:t>2</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主评人</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王荣</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资产评估师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负责协助撰写绩效评价方案、调查报告及资料收集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Times New Roman Regular"/>
                <w:sz w:val="20"/>
                <w:szCs w:val="20"/>
              </w:rPr>
              <w:t>3</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副组长</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许文玲</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价格鉴定师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负责现场调查、资料收集、评价方案和报告撰写等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Times New Roman Regular"/>
                <w:sz w:val="20"/>
                <w:szCs w:val="20"/>
              </w:rPr>
              <w:t>4</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成员</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张俊丽</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价格鉴定师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负责收集资料、问卷调查、调查报告、访谈报告撰写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8" w:hRule="atLeast"/>
        </w:trPr>
        <w:tc>
          <w:tcPr>
            <w:tcW w:w="674" w:type="dxa"/>
            <w:noWrap w:val="0"/>
            <w:vAlign w:val="center"/>
          </w:tcPr>
          <w:p>
            <w:pPr>
              <w:spacing w:line="240" w:lineRule="exact"/>
              <w:ind w:firstLine="0" w:firstLineChars="0"/>
              <w:jc w:val="center"/>
              <w:rPr>
                <w:rFonts w:hint="eastAsia" w:ascii="宋体" w:hAnsi="宋体" w:eastAsia="宋体" w:cs="Times New Roman Regular"/>
                <w:sz w:val="20"/>
                <w:szCs w:val="20"/>
                <w:lang w:val="en-US" w:eastAsia="zh-CN"/>
              </w:rPr>
            </w:pPr>
            <w:r>
              <w:rPr>
                <w:rFonts w:hint="eastAsia" w:ascii="宋体" w:hAnsi="宋体" w:eastAsia="宋体" w:cs="Times New Roman Regular"/>
                <w:sz w:val="20"/>
                <w:szCs w:val="20"/>
                <w:lang w:val="en-US" w:eastAsia="zh-CN"/>
              </w:rPr>
              <w:t>5</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成员</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王跃文</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初级绩效评价师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负责现场调查、资料收集等</w:t>
            </w:r>
          </w:p>
        </w:tc>
      </w:tr>
    </w:tbl>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主评人制度：第三方机构出具预算绩效评价报告应当由其主评人签字确认。绩效评价主评人由第三方机构根据以下条件择优评定：</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（1）遵守法律、行政法规和本办法的规定，具有良好的职业道德；</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（2）具有与预算绩效评价业务相适应的学历、能力；</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（3）具备中高级职称或注册会计师、评估师、律师、内审师、注册造价工程师、注册咨询工程师等相关行业管理部门认可的专业资质；</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（4）具有5年以上工作经验，其中从事预算绩效评价工作3年以上；</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（5）具有较强的政策理解、项目管理和沟通协调能力；</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（6）未被追究过刑事责任，或者从事评估、财务、会计、审计活动中因过失犯罪而受刑事处罚，刑罚执行期满逾5年。</w:t>
      </w:r>
    </w:p>
    <w:p>
      <w:pPr>
        <w:spacing w:line="620" w:lineRule="atLeast"/>
        <w:ind w:left="0" w:leftChars="0" w:firstLine="640" w:firstLineChars="200"/>
        <w:rPr>
          <w:kern w:val="0"/>
          <w:szCs w:val="32"/>
        </w:rPr>
      </w:pPr>
      <w:r>
        <w:rPr>
          <w:rFonts w:hint="eastAsia"/>
          <w:kern w:val="0"/>
          <w:szCs w:val="32"/>
          <w:lang w:val="en-US" w:eastAsia="zh-CN"/>
        </w:rPr>
        <w:t>2</w:t>
      </w:r>
      <w:r>
        <w:rPr>
          <w:rFonts w:hint="eastAsia"/>
          <w:kern w:val="0"/>
          <w:szCs w:val="32"/>
        </w:rPr>
        <w:t>.</w:t>
      </w:r>
      <w:r>
        <w:rPr>
          <w:rFonts w:hint="eastAsia" w:ascii="仿宋_GB2312"/>
        </w:rPr>
        <w:t xml:space="preserve"> 评价组织实施</w:t>
      </w:r>
    </w:p>
    <w:p>
      <w:pPr>
        <w:ind w:firstLine="640"/>
        <w:rPr>
          <w:rFonts w:hint="eastAsia" w:ascii="仿宋_GB2312"/>
        </w:rPr>
      </w:pPr>
      <w:r>
        <w:rPr>
          <w:rFonts w:hint="eastAsia" w:ascii="仿宋_GB2312"/>
        </w:rPr>
        <w:t>本次绩效评价工作分为评价准备、评价实施、报告撰写</w:t>
      </w:r>
      <w:r>
        <w:rPr>
          <w:rFonts w:hint="eastAsia" w:ascii="仿宋_GB2312"/>
          <w:lang w:val="en-US" w:eastAsia="zh-CN"/>
        </w:rPr>
        <w:t>三</w:t>
      </w:r>
      <w:r>
        <w:rPr>
          <w:rFonts w:hint="eastAsia" w:ascii="仿宋_GB2312"/>
        </w:rPr>
        <w:t>个阶段：</w:t>
      </w:r>
    </w:p>
    <w:p>
      <w:pPr>
        <w:ind w:firstLine="640"/>
        <w:rPr>
          <w:rFonts w:hint="eastAsia" w:ascii="仿宋_GB2312"/>
        </w:rPr>
      </w:pPr>
      <w:r>
        <w:rPr>
          <w:rFonts w:hint="eastAsia" w:ascii="仿宋_GB2312"/>
        </w:rPr>
        <w:t>1</w:t>
      </w:r>
      <w:r>
        <w:rPr>
          <w:rFonts w:hint="eastAsia" w:ascii="仿宋_GB2312"/>
          <w:lang w:eastAsia="zh-CN"/>
        </w:rPr>
        <w:t>．</w:t>
      </w:r>
      <w:r>
        <w:rPr>
          <w:rFonts w:hint="eastAsia" w:ascii="仿宋_GB2312"/>
        </w:rPr>
        <w:t>第一阶段为准备阶段</w:t>
      </w:r>
      <w:r>
        <w:rPr>
          <w:rFonts w:hint="eastAsia" w:ascii="仿宋_GB2312"/>
          <w:lang w:eastAsia="zh-CN"/>
        </w:rPr>
        <w:t>。</w:t>
      </w:r>
      <w:r>
        <w:rPr>
          <w:rFonts w:hint="eastAsia" w:ascii="仿宋_GB2312"/>
        </w:rPr>
        <w:t>主要进行以下内容：</w:t>
      </w:r>
    </w:p>
    <w:p>
      <w:pPr>
        <w:ind w:firstLine="640"/>
        <w:rPr>
          <w:rFonts w:hint="eastAsia" w:ascii="仿宋_GB2312"/>
        </w:rPr>
      </w:pPr>
      <w:r>
        <w:rPr>
          <w:rFonts w:hint="eastAsia" w:ascii="仿宋_GB2312"/>
        </w:rPr>
        <w:t>（1）确认评价对象。</w:t>
      </w:r>
    </w:p>
    <w:p>
      <w:pPr>
        <w:ind w:firstLine="640"/>
        <w:rPr>
          <w:rFonts w:hint="eastAsia" w:ascii="仿宋_GB2312"/>
        </w:rPr>
      </w:pPr>
      <w:r>
        <w:rPr>
          <w:rFonts w:hint="eastAsia" w:ascii="仿宋_GB2312"/>
        </w:rPr>
        <w:t>（2）成立评价小组，</w:t>
      </w:r>
      <w:r>
        <w:rPr>
          <w:rFonts w:hint="eastAsia" w:ascii="仿宋_GB2312"/>
          <w:lang w:val="en-US" w:eastAsia="zh-CN"/>
        </w:rPr>
        <w:t>设项目总负责人1人，由4名成员组成</w:t>
      </w:r>
      <w:r>
        <w:rPr>
          <w:rFonts w:hint="eastAsia" w:ascii="仿宋_GB2312"/>
        </w:rPr>
        <w:t>。</w:t>
      </w:r>
    </w:p>
    <w:p>
      <w:pPr>
        <w:ind w:firstLine="640"/>
        <w:rPr>
          <w:rFonts w:hint="eastAsia" w:ascii="仿宋_GB2312"/>
          <w:lang w:val="en-US" w:eastAsia="zh-CN"/>
        </w:rPr>
      </w:pPr>
      <w:r>
        <w:rPr>
          <w:rFonts w:hint="eastAsia" w:ascii="仿宋_GB2312"/>
        </w:rPr>
        <w:t>（3）制定评价工作方案。</w:t>
      </w:r>
      <w:r>
        <w:rPr>
          <w:rFonts w:hint="eastAsia" w:ascii="仿宋_GB2312"/>
          <w:lang w:eastAsia="zh-CN"/>
        </w:rPr>
        <w:t>我公司评价组</w:t>
      </w:r>
      <w:r>
        <w:rPr>
          <w:rFonts w:hint="eastAsia" w:ascii="仿宋_GB2312"/>
        </w:rPr>
        <w:t>充分收集评价项目有关的基础资料开展文案研究及实地调研，理清评价思路，设计评价指标体系、确定评价方法、确定非现场和现场核查范围、编制社会调查方案、设计基础数据采集表、明确评价工作安排，制定绩效评价工作方案。</w:t>
      </w:r>
      <w:r>
        <w:rPr>
          <w:rFonts w:hint="eastAsia" w:ascii="仿宋_GB2312"/>
          <w:lang w:eastAsia="zh-CN"/>
        </w:rPr>
        <w:t>于</w:t>
      </w:r>
      <w:r>
        <w:rPr>
          <w:rFonts w:hint="eastAsia" w:ascii="仿宋_GB2312"/>
          <w:lang w:val="en-US" w:eastAsia="zh-CN"/>
        </w:rPr>
        <w:t>11月10日前报</w:t>
      </w:r>
      <w:r>
        <w:rPr>
          <w:rFonts w:hint="eastAsia" w:ascii="仿宋_GB2312"/>
          <w:lang w:eastAsia="zh-CN"/>
        </w:rPr>
        <w:t>县</w:t>
      </w:r>
      <w:r>
        <w:rPr>
          <w:rFonts w:hint="eastAsia" w:ascii="仿宋_GB2312"/>
        </w:rPr>
        <w:t>财政局</w:t>
      </w:r>
      <w:r>
        <w:rPr>
          <w:rFonts w:hint="eastAsia" w:ascii="仿宋_GB2312"/>
          <w:lang w:eastAsia="zh-CN"/>
        </w:rPr>
        <w:t>审核。</w:t>
      </w:r>
    </w:p>
    <w:p>
      <w:pPr>
        <w:ind w:firstLine="640"/>
        <w:rPr>
          <w:rFonts w:hint="eastAsia" w:ascii="仿宋_GB2312"/>
        </w:rPr>
      </w:pPr>
      <w:r>
        <w:rPr>
          <w:rFonts w:hint="eastAsia" w:ascii="仿宋_GB2312"/>
        </w:rPr>
        <w:t>（4）确认项目评价工作方案。</w:t>
      </w:r>
      <w:r>
        <w:rPr>
          <w:rFonts w:hint="eastAsia" w:ascii="仿宋_GB2312"/>
          <w:lang w:eastAsia="zh-CN"/>
        </w:rPr>
        <w:t>县</w:t>
      </w:r>
      <w:r>
        <w:rPr>
          <w:rFonts w:hint="eastAsia" w:ascii="仿宋_GB2312"/>
        </w:rPr>
        <w:t>财政局对绩效评价工作方案进行评审论证，提出评审意见。</w:t>
      </w:r>
      <w:r>
        <w:rPr>
          <w:rFonts w:hint="eastAsia" w:ascii="仿宋_GB2312"/>
          <w:lang w:eastAsia="zh-CN"/>
        </w:rPr>
        <w:t>我公司评价组根</w:t>
      </w:r>
      <w:r>
        <w:rPr>
          <w:rFonts w:hint="eastAsia" w:ascii="仿宋_GB2312"/>
        </w:rPr>
        <w:t>据评审意见，对评价工作方案进行修改完善。并将修改后的实施方案上报</w:t>
      </w:r>
      <w:r>
        <w:rPr>
          <w:rFonts w:hint="eastAsia" w:ascii="仿宋_GB2312"/>
          <w:lang w:eastAsia="zh-CN"/>
        </w:rPr>
        <w:t>县</w:t>
      </w:r>
      <w:r>
        <w:rPr>
          <w:rFonts w:hint="eastAsia" w:ascii="仿宋_GB2312"/>
        </w:rPr>
        <w:t>财政局复审。</w:t>
      </w:r>
    </w:p>
    <w:p>
      <w:pPr>
        <w:ind w:firstLine="640"/>
        <w:rPr>
          <w:rFonts w:hint="eastAsia" w:ascii="仿宋_GB2312"/>
        </w:rPr>
      </w:pPr>
      <w:r>
        <w:rPr>
          <w:rFonts w:hint="eastAsia" w:ascii="仿宋_GB2312"/>
        </w:rPr>
        <w:t>2</w:t>
      </w:r>
      <w:r>
        <w:rPr>
          <w:rFonts w:hint="eastAsia" w:ascii="仿宋_GB2312"/>
          <w:lang w:eastAsia="zh-CN"/>
        </w:rPr>
        <w:t>．</w:t>
      </w:r>
      <w:r>
        <w:rPr>
          <w:rFonts w:hint="eastAsia" w:ascii="仿宋_GB2312"/>
        </w:rPr>
        <w:t>第二阶段为实施阶段。主要进行以下内容：</w:t>
      </w:r>
    </w:p>
    <w:p>
      <w:pPr>
        <w:ind w:firstLine="640"/>
        <w:rPr>
          <w:rFonts w:hint="eastAsia" w:ascii="仿宋_GB2312"/>
        </w:rPr>
      </w:pPr>
      <w:r>
        <w:rPr>
          <w:rFonts w:hint="eastAsia" w:ascii="仿宋_GB2312"/>
        </w:rPr>
        <w:t>（1）收集、审核资料，进行分析整理。评价组在全面收集资料的基础上，根据评价实施方案，对已收集的资料进行分类整理、审查和分析。</w:t>
      </w:r>
    </w:p>
    <w:p>
      <w:pPr>
        <w:ind w:firstLine="640"/>
        <w:rPr>
          <w:rFonts w:hint="eastAsia" w:ascii="仿宋_GB2312"/>
        </w:rPr>
      </w:pPr>
      <w:r>
        <w:rPr>
          <w:rFonts w:hint="eastAsia" w:ascii="仿宋_GB2312"/>
        </w:rPr>
        <w:t>（2）现场勘察。根据评价对象的特点和</w:t>
      </w:r>
      <w:r>
        <w:rPr>
          <w:rFonts w:hint="eastAsia" w:ascii="仿宋_GB2312"/>
          <w:lang w:eastAsia="zh-CN"/>
        </w:rPr>
        <w:t>被评价单位</w:t>
      </w:r>
      <w:r>
        <w:rPr>
          <w:rFonts w:hint="eastAsia" w:ascii="仿宋_GB2312"/>
        </w:rPr>
        <w:t>提供的数据资料，评价组采取现场勘察、询查评价的方式进行实地考察验证。</w:t>
      </w:r>
    </w:p>
    <w:p>
      <w:pPr>
        <w:ind w:firstLine="640"/>
        <w:rPr>
          <w:rFonts w:hint="eastAsia" w:ascii="仿宋_GB2312"/>
        </w:rPr>
      </w:pPr>
      <w:r>
        <w:rPr>
          <w:rFonts w:hint="eastAsia" w:ascii="仿宋_GB2312"/>
        </w:rPr>
        <w:t>（3）自评复核。</w:t>
      </w:r>
      <w:r>
        <w:rPr>
          <w:rFonts w:hint="eastAsia" w:ascii="仿宋_GB2312"/>
          <w:lang w:eastAsia="zh-CN"/>
        </w:rPr>
        <w:t>我公司评价组</w:t>
      </w:r>
      <w:r>
        <w:rPr>
          <w:rFonts w:hint="eastAsia" w:ascii="仿宋_GB2312"/>
        </w:rPr>
        <w:t>对被评价单位的自评结果进行复核，对项目总体绩效目标、各项绩效指标完成情况及预算执行情况进行核实，并提出部门（单位）绩效自评复核报告。重点复核绩效自评工作是否按要求开展、预算执行率是否真实、绩效目标完成情况是否准确等，并视评价工作需要，对存在疑问的重要基础数据资料进行解释说明。</w:t>
      </w:r>
    </w:p>
    <w:p>
      <w:pPr>
        <w:ind w:firstLine="640"/>
        <w:rPr>
          <w:rFonts w:hint="eastAsia" w:ascii="仿宋_GB2312"/>
        </w:rPr>
      </w:pPr>
      <w:r>
        <w:rPr>
          <w:rFonts w:hint="eastAsia" w:ascii="仿宋_GB2312"/>
          <w:lang w:eastAsia="zh-CN"/>
        </w:rPr>
        <w:t>（</w:t>
      </w:r>
      <w:r>
        <w:rPr>
          <w:rFonts w:hint="eastAsia" w:ascii="仿宋_GB2312"/>
          <w:lang w:val="en-US" w:eastAsia="zh-CN"/>
        </w:rPr>
        <w:t>4</w:t>
      </w:r>
      <w:r>
        <w:rPr>
          <w:rFonts w:hint="eastAsia" w:ascii="仿宋_GB2312"/>
          <w:lang w:eastAsia="zh-CN"/>
        </w:rPr>
        <w:t>）</w:t>
      </w:r>
      <w:r>
        <w:rPr>
          <w:rFonts w:hint="eastAsia" w:ascii="仿宋_GB2312"/>
        </w:rPr>
        <w:t>综合评价</w:t>
      </w:r>
      <w:r>
        <w:rPr>
          <w:rFonts w:hint="eastAsia" w:ascii="仿宋_GB2312"/>
          <w:lang w:eastAsia="zh-CN"/>
        </w:rPr>
        <w:t>。</w:t>
      </w:r>
      <w:r>
        <w:rPr>
          <w:rFonts w:hint="eastAsia" w:ascii="仿宋_GB2312"/>
        </w:rPr>
        <w:t>评价组根据评价实施方案确定的评价指标、评价权重、评价标准和评价方法，对评价对象的绩效情况进行全面的定量定性分析和综合评价</w:t>
      </w:r>
      <w:r>
        <w:rPr>
          <w:rFonts w:hint="eastAsia" w:ascii="仿宋_GB2312"/>
          <w:lang w:eastAsia="zh-CN"/>
        </w:rPr>
        <w:t>，形成评价结论</w:t>
      </w:r>
      <w:r>
        <w:rPr>
          <w:rFonts w:hint="eastAsia" w:ascii="仿宋_GB2312"/>
        </w:rPr>
        <w:t>。</w:t>
      </w:r>
    </w:p>
    <w:p>
      <w:pPr>
        <w:ind w:firstLine="640"/>
        <w:rPr>
          <w:rFonts w:hint="eastAsia" w:ascii="仿宋_GB2312"/>
        </w:rPr>
      </w:pPr>
      <w:r>
        <w:rPr>
          <w:rFonts w:hint="eastAsia" w:ascii="仿宋_GB2312"/>
        </w:rPr>
        <w:t>3</w:t>
      </w:r>
      <w:r>
        <w:rPr>
          <w:rFonts w:hint="eastAsia" w:ascii="仿宋_GB2312"/>
          <w:lang w:eastAsia="zh-CN"/>
        </w:rPr>
        <w:t>．</w:t>
      </w:r>
      <w:r>
        <w:rPr>
          <w:rFonts w:hint="eastAsia" w:ascii="仿宋_GB2312"/>
        </w:rPr>
        <w:t>第三阶段为撰写报告阶段。主要进行以下内容：</w:t>
      </w:r>
    </w:p>
    <w:p>
      <w:pPr>
        <w:ind w:firstLine="640"/>
        <w:rPr>
          <w:rFonts w:hint="eastAsia" w:ascii="仿宋_GB2312"/>
        </w:rPr>
      </w:pPr>
      <w:r>
        <w:rPr>
          <w:rFonts w:hint="eastAsia" w:ascii="仿宋_GB2312"/>
        </w:rPr>
        <w:t>（1）撰写报告。我公司评价组按照规定的文本格式和要求撰写评价报告。报告应包括以下主要内容：被评价</w:t>
      </w:r>
      <w:r>
        <w:rPr>
          <w:rFonts w:hint="eastAsia" w:ascii="仿宋_GB2312"/>
          <w:lang w:val="en-US" w:eastAsia="zh-CN"/>
        </w:rPr>
        <w:t>项目</w:t>
      </w:r>
      <w:r>
        <w:rPr>
          <w:rFonts w:hint="eastAsia" w:ascii="仿宋_GB2312"/>
        </w:rPr>
        <w:t>基本情况，绩效评价工作开展情况，绩效评价指标体系和评价方法，综合评价情况及评价结论，绩效评价指标分析，项目</w:t>
      </w:r>
      <w:r>
        <w:rPr>
          <w:rFonts w:hint="eastAsia" w:ascii="仿宋_GB2312"/>
          <w:lang w:eastAsia="zh-CN"/>
        </w:rPr>
        <w:t>（</w:t>
      </w:r>
      <w:r>
        <w:rPr>
          <w:rFonts w:hint="eastAsia" w:ascii="仿宋_GB2312"/>
        </w:rPr>
        <w:t>政策</w:t>
      </w:r>
      <w:r>
        <w:rPr>
          <w:rFonts w:hint="eastAsia" w:ascii="仿宋_GB2312"/>
          <w:lang w:eastAsia="zh-CN"/>
        </w:rPr>
        <w:t>）</w:t>
      </w:r>
      <w:r>
        <w:rPr>
          <w:rFonts w:hint="eastAsia" w:ascii="仿宋_GB2312"/>
        </w:rPr>
        <w:t>主要经验、做法和存在的问题及原因分析，改进建议及评价结果应用建议等。</w:t>
      </w:r>
    </w:p>
    <w:p>
      <w:pPr>
        <w:ind w:firstLine="640"/>
        <w:rPr>
          <w:rFonts w:hint="eastAsia" w:ascii="仿宋_GB2312"/>
        </w:rPr>
      </w:pPr>
      <w:r>
        <w:rPr>
          <w:rFonts w:hint="eastAsia" w:ascii="仿宋_GB2312"/>
        </w:rPr>
        <w:t>（2）提交报告。我公司评价组</w:t>
      </w:r>
      <w:r>
        <w:rPr>
          <w:rFonts w:hint="eastAsia" w:ascii="仿宋_GB2312"/>
          <w:lang w:eastAsia="zh-CN"/>
        </w:rPr>
        <w:t>对评价报告初稿进行内部审核</w:t>
      </w:r>
      <w:r>
        <w:rPr>
          <w:rFonts w:hint="eastAsia" w:ascii="仿宋_GB2312"/>
        </w:rPr>
        <w:t>交换意见后，对报告进行修改完善，形成评价结论，</w:t>
      </w:r>
      <w:r>
        <w:rPr>
          <w:rFonts w:hint="eastAsia" w:ascii="仿宋_GB2312"/>
          <w:lang w:eastAsia="zh-CN"/>
        </w:rPr>
        <w:t>于</w:t>
      </w:r>
      <w:r>
        <w:rPr>
          <w:rFonts w:hint="eastAsia" w:ascii="仿宋_GB2312"/>
          <w:lang w:val="en-US" w:eastAsia="zh-CN"/>
        </w:rPr>
        <w:t>11月20日前</w:t>
      </w:r>
      <w:r>
        <w:rPr>
          <w:rFonts w:hint="eastAsia" w:ascii="仿宋_GB2312"/>
        </w:rPr>
        <w:t>将评价报告报送</w:t>
      </w:r>
      <w:r>
        <w:rPr>
          <w:rFonts w:hint="eastAsia" w:ascii="仿宋_GB2312"/>
          <w:lang w:eastAsia="zh-CN"/>
        </w:rPr>
        <w:t>县财政局</w:t>
      </w:r>
      <w:r>
        <w:rPr>
          <w:rFonts w:hint="eastAsia" w:ascii="仿宋_GB2312"/>
        </w:rPr>
        <w:t>。</w:t>
      </w:r>
    </w:p>
    <w:p>
      <w:pPr>
        <w:ind w:firstLine="640"/>
        <w:rPr>
          <w:rFonts w:hint="eastAsia" w:ascii="仿宋_GB2312"/>
        </w:rPr>
      </w:pPr>
      <w:r>
        <w:rPr>
          <w:rFonts w:hint="eastAsia" w:ascii="仿宋_GB2312"/>
          <w:lang w:eastAsia="zh-CN"/>
        </w:rPr>
        <w:t>（</w:t>
      </w:r>
      <w:r>
        <w:rPr>
          <w:rFonts w:hint="eastAsia" w:ascii="仿宋_GB2312"/>
          <w:lang w:val="en-US" w:eastAsia="zh-CN"/>
        </w:rPr>
        <w:t>3</w:t>
      </w:r>
      <w:r>
        <w:rPr>
          <w:rFonts w:hint="eastAsia" w:ascii="仿宋_GB2312"/>
          <w:lang w:eastAsia="zh-CN"/>
        </w:rPr>
        <w:t>）</w:t>
      </w:r>
      <w:r>
        <w:rPr>
          <w:rFonts w:hint="eastAsia" w:ascii="仿宋_GB2312"/>
        </w:rPr>
        <w:t>审核报告。</w:t>
      </w:r>
      <w:r>
        <w:rPr>
          <w:rFonts w:hint="eastAsia" w:ascii="仿宋_GB2312"/>
          <w:lang w:eastAsia="zh-CN"/>
        </w:rPr>
        <w:t>县财政局</w:t>
      </w:r>
      <w:r>
        <w:rPr>
          <w:rFonts w:hint="eastAsia" w:ascii="仿宋_GB2312"/>
        </w:rPr>
        <w:t>对绩效评价报告进行评审，主要从报告内容完整性、评价方法的科学性、评价结论的合理性、问题分析的全面性、建议的可行性等方面进行审核，提出评审意见。</w:t>
      </w:r>
    </w:p>
    <w:p>
      <w:pPr>
        <w:ind w:firstLine="640"/>
        <w:rPr>
          <w:rFonts w:hint="eastAsia" w:ascii="仿宋_GB2312"/>
        </w:rPr>
      </w:pPr>
      <w:r>
        <w:rPr>
          <w:rFonts w:hint="eastAsia" w:ascii="仿宋_GB2312"/>
          <w:lang w:eastAsia="zh-CN"/>
        </w:rPr>
        <w:t>（</w:t>
      </w:r>
      <w:r>
        <w:rPr>
          <w:rFonts w:hint="eastAsia" w:ascii="仿宋_GB2312"/>
          <w:lang w:val="en-US" w:eastAsia="zh-CN"/>
        </w:rPr>
        <w:t>4</w:t>
      </w:r>
      <w:r>
        <w:rPr>
          <w:rFonts w:hint="eastAsia" w:ascii="仿宋_GB2312"/>
          <w:lang w:eastAsia="zh-CN"/>
        </w:rPr>
        <w:t>）</w:t>
      </w:r>
      <w:r>
        <w:rPr>
          <w:rFonts w:hint="eastAsia" w:ascii="仿宋_GB2312"/>
        </w:rPr>
        <w:t>确认报告。</w:t>
      </w:r>
      <w:r>
        <w:rPr>
          <w:rFonts w:hint="eastAsia" w:ascii="仿宋_GB2312"/>
          <w:lang w:eastAsia="zh-CN"/>
        </w:rPr>
        <w:t>我公司评价组</w:t>
      </w:r>
      <w:r>
        <w:rPr>
          <w:rFonts w:hint="eastAsia" w:ascii="仿宋_GB2312"/>
        </w:rPr>
        <w:t>根据评审意见逐一核实，逐条说明采纳或不予采纳的理由，并根据反馈的有效意见修改评价报告，提交正式评价报告。</w:t>
      </w:r>
    </w:p>
    <w:p>
      <w:pPr>
        <w:ind w:firstLine="640"/>
        <w:rPr>
          <w:rFonts w:hint="eastAsia" w:ascii="仿宋_GB2312"/>
        </w:rPr>
      </w:pPr>
      <w:r>
        <w:rPr>
          <w:rFonts w:hint="eastAsia" w:ascii="仿宋_GB2312"/>
        </w:rPr>
        <w:t>（5）建立档案。评价组在出具正式评价报告日后90日内，及时将工作底稿与评价报告等一起归入评价业务档案。</w:t>
      </w:r>
    </w:p>
    <w:p>
      <w:pPr>
        <w:pStyle w:val="3"/>
        <w:ind w:firstLine="640"/>
        <w:rPr>
          <w:highlight w:val="none"/>
        </w:rPr>
      </w:pPr>
      <w:bookmarkStart w:id="42" w:name="_Toc30057"/>
      <w:r>
        <w:rPr>
          <w:rFonts w:hint="eastAsia"/>
        </w:rPr>
        <w:t>三、</w:t>
      </w:r>
      <w:r>
        <w:rPr>
          <w:rFonts w:hint="eastAsia"/>
          <w:highlight w:val="none"/>
        </w:rPr>
        <w:t>综合评价情况及评价结论</w:t>
      </w:r>
      <w:bookmarkEnd w:id="42"/>
    </w:p>
    <w:p>
      <w:pPr>
        <w:pStyle w:val="4"/>
        <w:ind w:firstLine="640"/>
        <w:rPr>
          <w:rFonts w:hint="default" w:ascii="仿宋_GB2312" w:eastAsia="楷体_GB2312"/>
          <w:lang w:val="en-US" w:eastAsia="zh-CN"/>
        </w:rPr>
      </w:pPr>
      <w:bookmarkStart w:id="43" w:name="_Toc7250"/>
      <w:r>
        <w:rPr>
          <w:rFonts w:ascii="仿宋_GB2312"/>
        </w:rPr>
        <w:t>（一）</w:t>
      </w:r>
      <w:r>
        <w:rPr>
          <w:rFonts w:hint="eastAsia" w:ascii="仿宋_GB2312"/>
          <w:lang w:val="en-US" w:eastAsia="zh-CN"/>
        </w:rPr>
        <w:t>总体评分结果及评价结论</w:t>
      </w:r>
      <w:bookmarkEnd w:id="43"/>
    </w:p>
    <w:p>
      <w:pPr>
        <w:ind w:firstLine="640"/>
        <w:rPr>
          <w:rFonts w:hint="eastAsia"/>
          <w:lang w:eastAsia="zh-CN"/>
        </w:rPr>
      </w:pPr>
      <w:r>
        <w:rPr>
          <w:rFonts w:hint="eastAsia" w:ascii="仿宋_GB2312"/>
          <w:lang w:val="en-US" w:eastAsia="zh-CN"/>
        </w:rPr>
        <w:t>古县2022年农机具购置补贴项目</w:t>
      </w:r>
      <w:r>
        <w:rPr>
          <w:rFonts w:hint="eastAsia" w:ascii="仿宋_GB2312"/>
        </w:rPr>
        <w:t>支出绩效评价得</w:t>
      </w:r>
      <w:r>
        <w:rPr>
          <w:rFonts w:hint="eastAsia" w:ascii="仿宋_GB2312"/>
          <w:highlight w:val="none"/>
        </w:rPr>
        <w:t>分</w:t>
      </w:r>
      <w:r>
        <w:rPr>
          <w:rFonts w:hint="eastAsia" w:ascii="仿宋_GB2312"/>
          <w:highlight w:val="none"/>
          <w:lang w:val="en-US" w:eastAsia="zh-CN"/>
        </w:rPr>
        <w:t>92.8</w:t>
      </w:r>
      <w:r>
        <w:rPr>
          <w:rFonts w:hint="eastAsia" w:ascii="仿宋_GB2312"/>
          <w:highlight w:val="none"/>
        </w:rPr>
        <w:t>分</w:t>
      </w:r>
      <w:r>
        <w:rPr>
          <w:rFonts w:hint="eastAsia" w:ascii="仿宋_GB2312"/>
          <w:highlight w:val="none"/>
          <w:lang w:eastAsia="zh-CN"/>
        </w:rPr>
        <w:t>，</w:t>
      </w:r>
      <w:r>
        <w:rPr>
          <w:rFonts w:hint="eastAsia" w:ascii="仿宋_GB2312"/>
        </w:rPr>
        <w:t>绩效评价等级为“</w:t>
      </w:r>
      <w:r>
        <w:rPr>
          <w:rFonts w:hint="eastAsia" w:ascii="仿宋_GB2312"/>
          <w:lang w:val="en-US" w:eastAsia="zh-CN"/>
        </w:rPr>
        <w:t>优</w:t>
      </w:r>
      <w:r>
        <w:rPr>
          <w:rFonts w:hint="eastAsia" w:ascii="仿宋_GB2312"/>
        </w:rPr>
        <w:t>”。</w:t>
      </w:r>
      <w:r>
        <w:rPr>
          <w:rFonts w:hint="eastAsia" w:ascii="仿宋_GB2312"/>
          <w:lang w:val="en-US" w:eastAsia="zh-CN"/>
        </w:rPr>
        <w:t>项目整体</w:t>
      </w:r>
      <w:r>
        <w:rPr>
          <w:rFonts w:hint="eastAsia" w:ascii="仿宋_GB2312"/>
        </w:rPr>
        <w:t>详见下表</w:t>
      </w:r>
      <w:r>
        <w:rPr>
          <w:rFonts w:hint="eastAsia" w:ascii="仿宋_GB2312"/>
          <w:lang w:eastAsia="zh-CN"/>
        </w:rPr>
        <w:t>：</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center"/>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绩效评价得分表</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1"/>
        <w:gridCol w:w="1421"/>
        <w:gridCol w:w="1421"/>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指标</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决策</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过程</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产出</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效益</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标准分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 = sum(B2:E2) \* MERGEFORMAT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 w:val="24"/>
                <w:szCs w:val="24"/>
              </w:rPr>
              <w:t>100</w:t>
            </w:r>
            <w:r>
              <w:rPr>
                <w:rFonts w:hint="eastAsia" w:ascii="仿宋_GB2312" w:hAnsi="仿宋_GB2312" w:eastAsia="仿宋_GB2312" w:cs="仿宋_GB2312"/>
                <w:sz w:val="24"/>
                <w:szCs w:val="24"/>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lang w:eastAsia="zh-CN"/>
              </w:rPr>
            </w:pPr>
            <w:r>
              <w:rPr>
                <w:rFonts w:hint="eastAsia" w:ascii="仿宋_GB2312" w:hAnsi="仿宋_GB2312" w:eastAsia="仿宋_GB2312" w:cs="仿宋_GB2312"/>
                <w:sz w:val="24"/>
                <w:szCs w:val="24"/>
                <w:highlight w:val="none"/>
              </w:rPr>
              <w:t>1</w:t>
            </w:r>
            <w:r>
              <w:rPr>
                <w:rFonts w:hint="eastAsia" w:ascii="仿宋_GB2312" w:hAnsi="仿宋_GB2312" w:cs="仿宋_GB2312"/>
                <w:sz w:val="24"/>
                <w:szCs w:val="24"/>
                <w:highlight w:val="none"/>
                <w:lang w:val="en-US" w:eastAsia="zh-CN"/>
              </w:rPr>
              <w:t>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18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30</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26.8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92.8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得分率</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9</w:t>
            </w:r>
            <w:r>
              <w:rPr>
                <w:rFonts w:hint="eastAsia" w:ascii="仿宋_GB2312" w:hAnsi="仿宋_GB2312" w:cs="仿宋_GB2312"/>
                <w:sz w:val="24"/>
                <w:szCs w:val="24"/>
                <w:highlight w:val="none"/>
                <w:lang w:val="en-US" w:eastAsia="zh-CN"/>
              </w:rPr>
              <w:t>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100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89.33</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92.8</w:t>
            </w:r>
            <w:r>
              <w:rPr>
                <w:rFonts w:hint="eastAsia" w:ascii="仿宋_GB2312" w:hAnsi="仿宋_GB2312" w:eastAsia="仿宋_GB2312" w:cs="仿宋_GB2312"/>
                <w:sz w:val="24"/>
                <w:szCs w:val="24"/>
                <w:highlight w:val="none"/>
              </w:rPr>
              <w:t>%</w:t>
            </w:r>
          </w:p>
        </w:tc>
      </w:tr>
    </w:tbl>
    <w:p>
      <w:pPr>
        <w:ind w:firstLine="640"/>
        <w:rPr>
          <w:rFonts w:hint="eastAsia" w:ascii="仿宋_GB2312" w:hAnsi="仿宋_GB2312" w:cs="仿宋_GB2312"/>
          <w:lang w:val="en-US" w:eastAsia="zh-CN"/>
        </w:rPr>
      </w:pPr>
      <w:r>
        <w:rPr>
          <w:rFonts w:hint="eastAsia" w:ascii="仿宋_GB2312" w:hAnsi="仿宋_GB2312" w:eastAsia="仿宋_GB2312" w:cs="仿宋_GB2312"/>
          <w:lang w:val="en-US" w:eastAsia="zh-CN"/>
        </w:rPr>
        <w:t>项目整体完成情况较好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项目立项依据充分、立项程序规范、绩效目标合理、预算编制科学、资金分配合理、资金到位率</w:t>
      </w:r>
      <w:r>
        <w:rPr>
          <w:rFonts w:hint="eastAsia" w:ascii="仿宋_GB2312" w:hAnsi="仿宋_GB2312" w:cs="仿宋_GB2312"/>
          <w:lang w:val="en-US" w:eastAsia="zh-CN"/>
        </w:rPr>
        <w:t>为100%</w:t>
      </w:r>
      <w:r>
        <w:rPr>
          <w:rFonts w:hint="eastAsia" w:ascii="仿宋_GB2312" w:hAnsi="仿宋_GB2312" w:eastAsia="仿宋_GB2312" w:cs="仿宋_GB2312"/>
          <w:lang w:val="en-US" w:eastAsia="zh-CN"/>
        </w:rPr>
        <w:t>、预算执行率</w:t>
      </w:r>
      <w:r>
        <w:rPr>
          <w:rFonts w:hint="eastAsia" w:ascii="仿宋_GB2312" w:hAnsi="仿宋_GB2312" w:cs="仿宋_GB2312"/>
          <w:lang w:val="en-US" w:eastAsia="zh-CN"/>
        </w:rPr>
        <w:t>99%</w:t>
      </w:r>
      <w:r>
        <w:rPr>
          <w:rFonts w:hint="eastAsia" w:ascii="仿宋_GB2312" w:hAnsi="仿宋_GB2312" w:eastAsia="仿宋_GB2312" w:cs="仿宋_GB2312"/>
          <w:lang w:val="en-US" w:eastAsia="zh-CN"/>
        </w:rPr>
        <w:t>、资金使用合规、管理制度</w:t>
      </w:r>
      <w:r>
        <w:rPr>
          <w:rFonts w:hint="eastAsia" w:ascii="仿宋_GB2312" w:hAnsi="仿宋_GB2312" w:cs="仿宋_GB2312"/>
          <w:lang w:val="en-US" w:eastAsia="zh-CN"/>
        </w:rPr>
        <w:t>较</w:t>
      </w:r>
      <w:r>
        <w:rPr>
          <w:rFonts w:hint="eastAsia" w:ascii="仿宋_GB2312" w:hAnsi="仿宋_GB2312" w:eastAsia="仿宋_GB2312" w:cs="仿宋_GB2312"/>
          <w:lang w:val="en-US" w:eastAsia="zh-CN"/>
        </w:rPr>
        <w:t>健全、制度执行有效</w:t>
      </w:r>
      <w:r>
        <w:rPr>
          <w:rFonts w:hint="eastAsia" w:ascii="仿宋_GB2312" w:hAnsi="仿宋_GB2312" w:cs="仿宋_GB2312"/>
          <w:lang w:val="en-US" w:eastAsia="zh-CN"/>
        </w:rPr>
        <w:t>，项目应补尽补，补贴标准全部符合，补贴资金及时发放，经济效益和社会效益突出，不足之处为政策宣传度不高，仅通过村委微信群宣传，未多种方式宣传</w:t>
      </w:r>
      <w:r>
        <w:rPr>
          <w:rFonts w:hint="eastAsia" w:ascii="仿宋_GB2312" w:hAnsi="仿宋_GB2312" w:eastAsia="仿宋_GB2312" w:cs="仿宋_GB2312"/>
          <w:lang w:val="en-US" w:eastAsia="zh-CN"/>
        </w:rPr>
        <w:t>。</w:t>
      </w:r>
      <w:bookmarkStart w:id="44" w:name="_Toc25816"/>
      <w:r>
        <w:rPr>
          <w:rFonts w:hint="eastAsia" w:ascii="仿宋_GB2312" w:hAnsi="仿宋_GB2312" w:cs="仿宋_GB2312"/>
          <w:lang w:val="en-US" w:eastAsia="zh-CN"/>
        </w:rPr>
        <w:t xml:space="preserve"> </w:t>
      </w:r>
    </w:p>
    <w:p>
      <w:pPr>
        <w:pStyle w:val="4"/>
        <w:ind w:firstLine="640"/>
        <w:rPr>
          <w:rFonts w:hint="default" w:ascii="仿宋_GB2312"/>
          <w:lang w:val="en-US" w:eastAsia="zh-CN"/>
        </w:rPr>
      </w:pPr>
      <w:r>
        <w:rPr>
          <w:rFonts w:ascii="仿宋_GB2312"/>
          <w:lang w:val="en-US" w:eastAsia="zh-CN"/>
        </w:rPr>
        <w:t>（</w:t>
      </w:r>
      <w:r>
        <w:rPr>
          <w:rFonts w:hint="eastAsia" w:ascii="仿宋_GB2312"/>
          <w:lang w:val="en-US" w:eastAsia="zh-CN"/>
        </w:rPr>
        <w:t>二</w:t>
      </w:r>
      <w:r>
        <w:rPr>
          <w:rFonts w:ascii="仿宋_GB2312"/>
          <w:lang w:val="en-US" w:eastAsia="zh-CN"/>
        </w:rPr>
        <w:t>）</w:t>
      </w:r>
      <w:r>
        <w:rPr>
          <w:rFonts w:hint="eastAsia" w:ascii="仿宋_GB2312"/>
          <w:lang w:val="en-US" w:eastAsia="zh-CN"/>
        </w:rPr>
        <w:t>各项目评分结果</w:t>
      </w:r>
      <w:bookmarkEnd w:id="44"/>
    </w:p>
    <w:p>
      <w:pPr>
        <w:ind w:firstLine="640"/>
        <w:rPr>
          <w:rFonts w:ascii="仿宋_GB2312"/>
        </w:rPr>
      </w:pPr>
      <w:r>
        <w:rPr>
          <w:rFonts w:hint="eastAsia" w:ascii="仿宋_GB2312"/>
        </w:rPr>
        <w:t>1.决策阶段（满分20分</w:t>
      </w:r>
      <w:r>
        <w:rPr>
          <w:rFonts w:hint="eastAsia" w:ascii="仿宋_GB2312"/>
          <w:lang w:eastAsia="zh-CN"/>
        </w:rPr>
        <w:t>，</w:t>
      </w:r>
      <w:r>
        <w:rPr>
          <w:rFonts w:hint="eastAsia" w:ascii="仿宋_GB2312"/>
        </w:rPr>
        <w:t>考评得分1</w:t>
      </w:r>
      <w:r>
        <w:rPr>
          <w:rFonts w:hint="eastAsia" w:ascii="仿宋_GB2312"/>
          <w:lang w:val="en-US" w:eastAsia="zh-CN"/>
        </w:rPr>
        <w:t>8</w:t>
      </w:r>
      <w:r>
        <w:rPr>
          <w:rFonts w:hint="eastAsia" w:ascii="仿宋_GB2312"/>
        </w:rPr>
        <w:t>分）：</w:t>
      </w:r>
    </w:p>
    <w:p>
      <w:pPr>
        <w:ind w:firstLine="640"/>
        <w:rPr>
          <w:rFonts w:ascii="仿宋_GB2312"/>
        </w:rPr>
      </w:pPr>
      <w:r>
        <w:rPr>
          <w:rFonts w:hint="eastAsia" w:ascii="仿宋_GB2312"/>
        </w:rPr>
        <w:t>项目立项依据、立项程序规范</w:t>
      </w:r>
      <w:r>
        <w:rPr>
          <w:rFonts w:hint="eastAsia" w:ascii="仿宋_GB2312"/>
          <w:lang w:eastAsia="zh-CN"/>
        </w:rPr>
        <w:t>，</w:t>
      </w:r>
      <w:r>
        <w:rPr>
          <w:rFonts w:hint="eastAsia" w:ascii="仿宋_GB2312"/>
        </w:rPr>
        <w:t>资金分配合理性较好</w:t>
      </w:r>
      <w:r>
        <w:rPr>
          <w:rFonts w:hint="eastAsia" w:ascii="仿宋_GB2312"/>
          <w:lang w:eastAsia="zh-CN"/>
        </w:rPr>
        <w:t>，</w:t>
      </w:r>
      <w:r>
        <w:rPr>
          <w:rFonts w:hint="eastAsia" w:ascii="仿宋_GB2312"/>
        </w:rPr>
        <w:t>绩效目标合理</w:t>
      </w:r>
      <w:r>
        <w:rPr>
          <w:rFonts w:hint="eastAsia" w:ascii="仿宋_GB2312"/>
          <w:lang w:eastAsia="zh-CN"/>
        </w:rPr>
        <w:t>，</w:t>
      </w:r>
      <w:r>
        <w:rPr>
          <w:rFonts w:hint="eastAsia" w:ascii="仿宋_GB2312"/>
        </w:rPr>
        <w:t>但绩效指标明确性较差。</w:t>
      </w:r>
    </w:p>
    <w:p>
      <w:pPr>
        <w:ind w:firstLine="640"/>
        <w:rPr>
          <w:rFonts w:ascii="仿宋_GB2312"/>
        </w:rPr>
      </w:pPr>
      <w:r>
        <w:rPr>
          <w:rFonts w:hint="eastAsia" w:ascii="仿宋_GB2312"/>
        </w:rPr>
        <w:t>2.过程阶段（满分20分</w:t>
      </w:r>
      <w:r>
        <w:rPr>
          <w:rFonts w:hint="eastAsia" w:ascii="仿宋_GB2312"/>
          <w:lang w:eastAsia="zh-CN"/>
        </w:rPr>
        <w:t>，</w:t>
      </w:r>
      <w:r>
        <w:rPr>
          <w:rFonts w:hint="eastAsia" w:ascii="仿宋_GB2312"/>
        </w:rPr>
        <w:t>考评得分1</w:t>
      </w:r>
      <w:r>
        <w:rPr>
          <w:rFonts w:hint="eastAsia" w:ascii="仿宋_GB2312"/>
          <w:lang w:val="en-US" w:eastAsia="zh-CN"/>
        </w:rPr>
        <w:t>8</w:t>
      </w:r>
      <w:r>
        <w:rPr>
          <w:rFonts w:hint="eastAsia" w:ascii="仿宋_GB2312"/>
        </w:rPr>
        <w:t>分）：</w:t>
      </w:r>
    </w:p>
    <w:p>
      <w:pPr>
        <w:ind w:firstLine="640"/>
        <w:rPr>
          <w:rFonts w:hint="eastAsia" w:ascii="仿宋_GB2312"/>
          <w:lang w:val="en-US" w:eastAsia="zh-CN"/>
        </w:rPr>
      </w:pPr>
      <w:r>
        <w:rPr>
          <w:rFonts w:hint="eastAsia" w:ascii="仿宋_GB2312"/>
        </w:rPr>
        <w:t>项目业务组织机构健全</w:t>
      </w:r>
      <w:r>
        <w:rPr>
          <w:rFonts w:hint="eastAsia" w:ascii="仿宋_GB2312"/>
          <w:lang w:eastAsia="zh-CN"/>
        </w:rPr>
        <w:t>，</w:t>
      </w:r>
      <w:r>
        <w:rPr>
          <w:rFonts w:hint="eastAsia" w:ascii="仿宋_GB2312"/>
          <w:lang w:val="en-US" w:eastAsia="zh-CN"/>
        </w:rPr>
        <w:t>预算执行率</w:t>
      </w:r>
      <w:r>
        <w:rPr>
          <w:rFonts w:hint="eastAsia" w:ascii="仿宋_GB2312"/>
        </w:rPr>
        <w:t>、资金使用合规</w:t>
      </w:r>
      <w:r>
        <w:rPr>
          <w:rFonts w:hint="eastAsia" w:ascii="仿宋_GB2312"/>
          <w:lang w:eastAsia="zh-CN"/>
        </w:rPr>
        <w:t>，</w:t>
      </w:r>
      <w:r>
        <w:rPr>
          <w:rFonts w:hint="eastAsia" w:ascii="仿宋_GB2312"/>
        </w:rPr>
        <w:t>资金到位率为100%</w:t>
      </w:r>
      <w:r>
        <w:rPr>
          <w:rFonts w:hint="eastAsia" w:ascii="仿宋_GB2312"/>
          <w:lang w:val="en-US" w:eastAsia="zh-CN"/>
        </w:rPr>
        <w:t>，但管理</w:t>
      </w:r>
      <w:r>
        <w:rPr>
          <w:rFonts w:hint="eastAsia" w:ascii="仿宋_GB2312"/>
        </w:rPr>
        <w:t>制度</w:t>
      </w:r>
      <w:r>
        <w:rPr>
          <w:rFonts w:hint="eastAsia" w:ascii="仿宋_GB2312"/>
          <w:lang w:val="en-US" w:eastAsia="zh-CN"/>
        </w:rPr>
        <w:t>稍有欠缺。</w:t>
      </w:r>
    </w:p>
    <w:p>
      <w:pPr>
        <w:ind w:firstLine="640"/>
        <w:rPr>
          <w:rFonts w:ascii="仿宋_GB2312"/>
        </w:rPr>
      </w:pPr>
      <w:r>
        <w:rPr>
          <w:rFonts w:hint="eastAsia" w:ascii="仿宋_GB2312"/>
        </w:rPr>
        <w:t>3.产出阶段（满分30分</w:t>
      </w:r>
      <w:r>
        <w:rPr>
          <w:rFonts w:hint="eastAsia" w:ascii="仿宋_GB2312"/>
          <w:lang w:eastAsia="zh-CN"/>
        </w:rPr>
        <w:t>，</w:t>
      </w:r>
      <w:r>
        <w:rPr>
          <w:rFonts w:hint="eastAsia" w:ascii="仿宋_GB2312"/>
        </w:rPr>
        <w:t>考评</w:t>
      </w:r>
      <w:r>
        <w:rPr>
          <w:rFonts w:hint="eastAsia" w:ascii="仿宋_GB2312"/>
          <w:highlight w:val="none"/>
        </w:rPr>
        <w:t>得分</w:t>
      </w:r>
      <w:r>
        <w:rPr>
          <w:rFonts w:hint="eastAsia" w:ascii="仿宋_GB2312"/>
          <w:highlight w:val="none"/>
          <w:lang w:val="en-US" w:eastAsia="zh-CN"/>
        </w:rPr>
        <w:t>30</w:t>
      </w:r>
      <w:r>
        <w:rPr>
          <w:rFonts w:hint="eastAsia" w:ascii="仿宋_GB2312"/>
          <w:highlight w:val="none"/>
        </w:rPr>
        <w:t>分）：</w:t>
      </w:r>
    </w:p>
    <w:p>
      <w:pPr>
        <w:ind w:firstLine="640"/>
        <w:rPr>
          <w:rFonts w:ascii="仿宋_GB2312"/>
        </w:rPr>
      </w:pPr>
      <w:r>
        <w:rPr>
          <w:rFonts w:hint="eastAsia" w:ascii="仿宋_GB2312"/>
          <w:lang w:val="en-US" w:eastAsia="zh-CN"/>
        </w:rPr>
        <w:t>项目产出质量、数量均较好，补贴资金及时发放</w:t>
      </w:r>
      <w:r>
        <w:rPr>
          <w:rFonts w:hint="eastAsia" w:ascii="仿宋_GB2312"/>
        </w:rPr>
        <w:t>。</w:t>
      </w:r>
    </w:p>
    <w:p>
      <w:pPr>
        <w:ind w:firstLine="640"/>
        <w:rPr>
          <w:rFonts w:hint="eastAsia" w:ascii="仿宋_GB2312"/>
        </w:rPr>
      </w:pPr>
      <w:r>
        <w:rPr>
          <w:rFonts w:hint="eastAsia" w:ascii="仿宋_GB2312"/>
        </w:rPr>
        <w:t>4.效益阶段（满分30分</w:t>
      </w:r>
      <w:r>
        <w:rPr>
          <w:rFonts w:hint="eastAsia" w:ascii="仿宋_GB2312"/>
          <w:lang w:eastAsia="zh-CN"/>
        </w:rPr>
        <w:t>，</w:t>
      </w:r>
      <w:r>
        <w:rPr>
          <w:rFonts w:hint="eastAsia" w:ascii="仿宋_GB2312"/>
        </w:rPr>
        <w:t>考评得分</w:t>
      </w:r>
      <w:r>
        <w:rPr>
          <w:rFonts w:hint="eastAsia" w:ascii="仿宋_GB2312"/>
          <w:lang w:val="en-US" w:eastAsia="zh-CN"/>
        </w:rPr>
        <w:t>26.8</w:t>
      </w:r>
      <w:r>
        <w:rPr>
          <w:rFonts w:hint="eastAsia" w:ascii="仿宋_GB2312"/>
        </w:rPr>
        <w:t>分）：</w:t>
      </w:r>
    </w:p>
    <w:p>
      <w:pPr>
        <w:ind w:firstLine="640"/>
        <w:rPr>
          <w:rFonts w:hint="default" w:ascii="仿宋_GB2312"/>
          <w:lang w:val="en-US"/>
        </w:rPr>
      </w:pPr>
      <w:r>
        <w:rPr>
          <w:rFonts w:hint="eastAsia" w:ascii="仿宋_GB2312"/>
          <w:lang w:val="en-US" w:eastAsia="zh-CN"/>
        </w:rPr>
        <w:t>项目经济效益、</w:t>
      </w:r>
      <w:r>
        <w:rPr>
          <w:rFonts w:hint="eastAsia" w:ascii="仿宋_GB2312"/>
        </w:rPr>
        <w:t>社会效益</w:t>
      </w:r>
      <w:r>
        <w:rPr>
          <w:rFonts w:hint="eastAsia" w:ascii="仿宋_GB2312"/>
          <w:lang w:eastAsia="zh-CN"/>
        </w:rPr>
        <w:t>、</w:t>
      </w:r>
      <w:r>
        <w:rPr>
          <w:rFonts w:hint="eastAsia" w:ascii="仿宋_GB2312"/>
          <w:lang w:val="en-US" w:eastAsia="zh-CN"/>
        </w:rPr>
        <w:t>受益群众</w:t>
      </w:r>
      <w:r>
        <w:rPr>
          <w:rFonts w:hint="eastAsia" w:ascii="仿宋_GB2312"/>
        </w:rPr>
        <w:t>满意度</w:t>
      </w:r>
      <w:r>
        <w:rPr>
          <w:rFonts w:hint="eastAsia" w:ascii="仿宋_GB2312"/>
          <w:lang w:val="en-US" w:eastAsia="zh-CN"/>
        </w:rPr>
        <w:t>方面较好，但政策知晓度不高。</w:t>
      </w:r>
    </w:p>
    <w:p>
      <w:pPr>
        <w:pStyle w:val="3"/>
        <w:ind w:firstLine="640"/>
      </w:pPr>
      <w:bookmarkStart w:id="45" w:name="_Toc15350"/>
      <w:r>
        <w:rPr>
          <w:rFonts w:hint="eastAsia"/>
        </w:rPr>
        <w:t>四、绩效评价指标分析</w:t>
      </w:r>
      <w:bookmarkEnd w:id="45"/>
    </w:p>
    <w:p>
      <w:pPr>
        <w:pStyle w:val="4"/>
        <w:ind w:firstLine="640"/>
        <w:rPr>
          <w:rFonts w:ascii="仿宋_GB2312"/>
        </w:rPr>
      </w:pPr>
      <w:bookmarkStart w:id="46" w:name="_Toc11064"/>
      <w:r>
        <w:rPr>
          <w:rFonts w:hint="eastAsia" w:ascii="仿宋_GB2312"/>
        </w:rPr>
        <w:t>（一）项目决策情况</w:t>
      </w:r>
      <w:bookmarkEnd w:id="46"/>
    </w:p>
    <w:p>
      <w:pPr>
        <w:adjustRightInd w:val="0"/>
        <w:ind w:firstLine="640"/>
        <w:rPr>
          <w:rFonts w:ascii="仿宋_GB2312"/>
          <w:b w:val="0"/>
          <w:bCs w:val="0"/>
          <w:kern w:val="0"/>
          <w:szCs w:val="32"/>
        </w:rPr>
      </w:pPr>
      <w:r>
        <w:rPr>
          <w:rFonts w:hint="eastAsia" w:ascii="仿宋_GB2312"/>
        </w:rPr>
        <w:t>主要指标包括项目立项、绩效目标、资金投入三方面。决策：标准分20分</w:t>
      </w:r>
      <w:r>
        <w:rPr>
          <w:rFonts w:hint="eastAsia" w:ascii="仿宋_GB2312"/>
          <w:lang w:eastAsia="zh-CN"/>
        </w:rPr>
        <w:t>，</w:t>
      </w:r>
      <w:r>
        <w:rPr>
          <w:rFonts w:hint="eastAsia" w:ascii="仿宋_GB2312"/>
        </w:rPr>
        <w:t>实际得分1</w:t>
      </w:r>
      <w:r>
        <w:rPr>
          <w:rFonts w:hint="eastAsia" w:ascii="仿宋_GB2312"/>
          <w:lang w:val="en-US" w:eastAsia="zh-CN"/>
        </w:rPr>
        <w:t>8</w:t>
      </w:r>
      <w:r>
        <w:rPr>
          <w:rFonts w:hint="eastAsia" w:ascii="仿宋_GB2312"/>
        </w:rPr>
        <w:t>分</w:t>
      </w:r>
      <w:r>
        <w:rPr>
          <w:rFonts w:hint="eastAsia" w:ascii="仿宋_GB2312"/>
          <w:lang w:eastAsia="zh-CN"/>
        </w:rPr>
        <w:t>，</w:t>
      </w:r>
      <w:r>
        <w:rPr>
          <w:rFonts w:hint="eastAsia" w:ascii="仿宋_GB2312"/>
        </w:rPr>
        <w:t>得分率9</w:t>
      </w:r>
      <w:r>
        <w:rPr>
          <w:rFonts w:hint="eastAsia" w:ascii="仿宋_GB2312"/>
          <w:lang w:val="en-US" w:eastAsia="zh-CN"/>
        </w:rPr>
        <w:t>0</w:t>
      </w:r>
      <w:r>
        <w:rPr>
          <w:rFonts w:hint="eastAsia" w:ascii="仿宋_GB2312"/>
        </w:rPr>
        <w:t>%。详见</w:t>
      </w:r>
      <w:r>
        <w:rPr>
          <w:rFonts w:hint="eastAsia" w:ascii="仿宋_GB2312"/>
          <w:b w:val="0"/>
          <w:bCs w:val="0"/>
        </w:rPr>
        <w:t>表</w:t>
      </w:r>
      <w:r>
        <w:rPr>
          <w:rFonts w:hint="eastAsia" w:ascii="仿宋_GB2312"/>
          <w:b w:val="0"/>
          <w:bCs w:val="0"/>
          <w:kern w:val="0"/>
          <w:szCs w:val="32"/>
        </w:rPr>
        <w:t>4-1：</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表4-1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决策类指标体系表</w:t>
      </w:r>
    </w:p>
    <w:tbl>
      <w:tblPr>
        <w:tblStyle w:val="20"/>
        <w:tblW w:w="499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55"/>
        <w:gridCol w:w="1521"/>
        <w:gridCol w:w="2389"/>
        <w:gridCol w:w="677"/>
        <w:gridCol w:w="1057"/>
        <w:gridCol w:w="1214"/>
        <w:gridCol w:w="7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blHeader/>
          <w:jc w:val="center"/>
        </w:trPr>
        <w:tc>
          <w:tcPr>
            <w:tcW w:w="560"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89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401"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397" w:type="pct"/>
            <w:shd w:val="clear" w:color="auto" w:fill="CFCECE" w:themeFill="background2" w:themeFillShade="E5"/>
            <w:noWrap w:val="0"/>
            <w:vAlign w:val="center"/>
          </w:tcPr>
          <w:p>
            <w:pPr>
              <w:spacing w:line="240" w:lineRule="auto"/>
              <w:ind w:firstLine="0" w:firstLineChars="0"/>
              <w:jc w:val="center"/>
              <w:rPr>
                <w:rFonts w:hint="default"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620"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71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16"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A决策</w:t>
            </w: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A1项目立项</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A11立项依据充分性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充分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充分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A12立项程序规范性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较规范</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较规范</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A2绩效目标</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A21绩效目标合理性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A22绩效指标明确性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明确</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基本</w:t>
            </w:r>
            <w:r>
              <w:rPr>
                <w:rFonts w:hint="eastAsia" w:ascii="仿宋_GB2312" w:hAnsi="仿宋_GB2312" w:cs="仿宋_GB2312"/>
                <w:b w:val="0"/>
                <w:bCs w:val="0"/>
                <w:sz w:val="24"/>
              </w:rPr>
              <w:t>明确</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A3资金投入</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A31预算编制科学性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科学</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科学</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A32资金分配合理性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bCs/>
                <w:sz w:val="24"/>
              </w:rPr>
              <w:t>合计</w:t>
            </w:r>
          </w:p>
        </w:tc>
        <w:tc>
          <w:tcPr>
            <w:tcW w:w="892"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397"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20</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16"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18</w:t>
            </w:r>
          </w:p>
        </w:tc>
      </w:tr>
    </w:tbl>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b/>
          <w:bCs/>
          <w:kern w:val="0"/>
          <w:szCs w:val="32"/>
        </w:rPr>
      </w:pPr>
      <w:r>
        <w:rPr>
          <w:rFonts w:hint="eastAsia"/>
          <w:b/>
          <w:bCs/>
          <w:kern w:val="0"/>
          <w:szCs w:val="32"/>
          <w:lang w:val="en-US" w:eastAsia="zh-CN"/>
        </w:rPr>
        <w:t>1.</w:t>
      </w:r>
      <w:r>
        <w:rPr>
          <w:rFonts w:hint="eastAsia"/>
          <w:b/>
          <w:bCs/>
          <w:kern w:val="0"/>
          <w:szCs w:val="32"/>
        </w:rPr>
        <w:t>项目立项情况分析</w:t>
      </w:r>
    </w:p>
    <w:p>
      <w:pPr>
        <w:ind w:firstLine="640"/>
        <w:rPr>
          <w:rFonts w:ascii="仿宋_GB2312"/>
          <w:b/>
          <w:bCs/>
        </w:rPr>
      </w:pPr>
      <w:r>
        <w:rPr>
          <w:rFonts w:hint="eastAsia" w:ascii="仿宋_GB2312"/>
          <w:b/>
          <w:bCs/>
          <w:lang w:val="en-US" w:eastAsia="zh-CN"/>
        </w:rPr>
        <w:t>A11</w:t>
      </w:r>
      <w:r>
        <w:rPr>
          <w:rFonts w:hint="eastAsia" w:ascii="仿宋_GB2312"/>
          <w:b/>
          <w:bCs/>
        </w:rPr>
        <w:t>立项依据充分性：满分4分</w:t>
      </w:r>
      <w:r>
        <w:rPr>
          <w:rFonts w:hint="eastAsia" w:ascii="仿宋_GB2312"/>
          <w:b/>
          <w:bCs/>
          <w:lang w:eastAsia="zh-CN"/>
        </w:rPr>
        <w:t>，</w:t>
      </w:r>
      <w:r>
        <w:rPr>
          <w:rFonts w:hint="eastAsia" w:ascii="仿宋_GB2312"/>
          <w:b/>
          <w:bCs/>
        </w:rPr>
        <w:t>得分4分。</w:t>
      </w:r>
    </w:p>
    <w:p>
      <w:pPr>
        <w:ind w:firstLine="640"/>
        <w:rPr>
          <w:rFonts w:ascii="仿宋_GB2312"/>
        </w:rPr>
      </w:pPr>
      <w:r>
        <w:rPr>
          <w:rFonts w:hint="eastAsia" w:ascii="仿宋_GB2312"/>
        </w:rPr>
        <w:t>本指标考核项目立项是否符合法律法规、相关政策、发展规划以及部门职责</w:t>
      </w:r>
      <w:r>
        <w:rPr>
          <w:rFonts w:hint="eastAsia" w:ascii="仿宋_GB2312"/>
          <w:lang w:eastAsia="zh-CN"/>
        </w:rPr>
        <w:t>，</w:t>
      </w:r>
      <w:r>
        <w:rPr>
          <w:rFonts w:hint="eastAsia" w:ascii="仿宋_GB2312"/>
        </w:rPr>
        <w:t>用以反映和考核项目立项依据情况。</w:t>
      </w:r>
    </w:p>
    <w:p>
      <w:pPr>
        <w:numPr>
          <w:ilvl w:val="0"/>
          <w:numId w:val="0"/>
        </w:numPr>
        <w:ind w:firstLine="640" w:firstLineChars="200"/>
        <w:rPr>
          <w:rFonts w:ascii="仿宋_GB2312"/>
        </w:rPr>
      </w:pPr>
      <w:r>
        <w:rPr>
          <w:rFonts w:hint="eastAsia" w:ascii="仿宋_GB2312"/>
        </w:rPr>
        <w:t>根据</w:t>
      </w:r>
      <w:r>
        <w:rPr>
          <w:rFonts w:hint="eastAsia" w:ascii="仿宋_GB2312"/>
          <w:lang w:val="en-US" w:eastAsia="zh-CN"/>
        </w:rPr>
        <w:t>评价组梳理资料可得，古县农业农村局依据《国务院关于加快推进农业机械化和农机装备产业转型升级的指导意见》（国发〔2018〕42号）、农业农村部办公厅 财政部办公厅关于印发《2021—2023年农机购置补贴实施指导意见》的通知（2021年10月20 ）、农业农村部农业机械化管理司关于做好《农业机械分类》标准宣传贯彻实施工作的函（农机管〔2021〕27号）、山西省关于印发《2021—2023年全省农业机械购置补贴实施方案》的通知（晋农机发〔2021〕5号）、《临汾市2021—2023年农业机械购置补贴实施细则》（临农（农机）发〔2021〕90号）</w:t>
      </w:r>
      <w:r>
        <w:rPr>
          <w:rFonts w:hint="eastAsia" w:ascii="仿宋_GB2312"/>
        </w:rPr>
        <w:t>等文件的要求</w:t>
      </w:r>
      <w:r>
        <w:rPr>
          <w:rFonts w:hint="eastAsia" w:ascii="仿宋_GB2312"/>
          <w:lang w:eastAsia="zh-CN"/>
        </w:rPr>
        <w:t>，</w:t>
      </w:r>
      <w:r>
        <w:rPr>
          <w:rFonts w:hint="eastAsia" w:ascii="仿宋_GB2312"/>
        </w:rPr>
        <w:t>进行</w:t>
      </w:r>
      <w:r>
        <w:rPr>
          <w:rFonts w:hint="eastAsia" w:ascii="仿宋_GB2312"/>
          <w:lang w:val="en-US" w:eastAsia="zh-CN"/>
        </w:rPr>
        <w:t>了古县2022年农机具购置补贴项目</w:t>
      </w:r>
      <w:r>
        <w:rPr>
          <w:rFonts w:hint="eastAsia" w:ascii="仿宋_GB2312"/>
        </w:rPr>
        <w:t>工作的开展</w:t>
      </w:r>
      <w:r>
        <w:rPr>
          <w:rFonts w:hint="eastAsia" w:ascii="仿宋_GB2312"/>
          <w:lang w:eastAsia="zh-CN"/>
        </w:rPr>
        <w:t>，</w:t>
      </w:r>
      <w:r>
        <w:rPr>
          <w:rFonts w:hint="eastAsia" w:ascii="仿宋_GB2312"/>
        </w:rPr>
        <w:t>项目立项依据充分</w:t>
      </w:r>
      <w:r>
        <w:rPr>
          <w:rFonts w:hint="eastAsia" w:ascii="仿宋_GB2312"/>
          <w:lang w:eastAsia="zh-CN"/>
        </w:rPr>
        <w:t>，</w:t>
      </w:r>
      <w:r>
        <w:rPr>
          <w:rFonts w:hint="eastAsia" w:ascii="仿宋_GB2312"/>
        </w:rPr>
        <w:t>且属于部门履职所需</w:t>
      </w:r>
      <w:r>
        <w:rPr>
          <w:rFonts w:hint="eastAsia" w:ascii="仿宋_GB2312"/>
          <w:lang w:eastAsia="zh-CN"/>
        </w:rPr>
        <w:t>，</w:t>
      </w:r>
      <w:r>
        <w:rPr>
          <w:rFonts w:hint="eastAsia" w:ascii="仿宋_GB2312"/>
        </w:rPr>
        <w:t>未与部门内部相关项目重复。项目属于公共财政支持范围</w:t>
      </w:r>
      <w:r>
        <w:rPr>
          <w:rFonts w:hint="eastAsia" w:ascii="仿宋_GB2312"/>
          <w:lang w:eastAsia="zh-CN"/>
        </w:rPr>
        <w:t>，</w:t>
      </w:r>
      <w:r>
        <w:rPr>
          <w:rFonts w:hint="eastAsia" w:ascii="仿宋_GB2312"/>
        </w:rPr>
        <w:t>符合中央、地方事权支出责任划分原则；且与相关部门同类项目或部门内部相关项目不重复。</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kern w:val="0"/>
          <w:szCs w:val="32"/>
          <w:lang w:val="zh-CN"/>
        </w:rPr>
      </w:pPr>
      <w:r>
        <w:rPr>
          <w:rFonts w:hint="eastAsia" w:ascii="仿宋_GB2312"/>
          <w:b/>
          <w:bCs/>
          <w:kern w:val="0"/>
          <w:szCs w:val="32"/>
          <w:lang w:val="en-US" w:eastAsia="zh-CN"/>
        </w:rPr>
        <w:t>A12</w:t>
      </w:r>
      <w:r>
        <w:rPr>
          <w:rFonts w:hint="eastAsia" w:ascii="仿宋_GB2312"/>
          <w:b/>
          <w:bCs/>
          <w:kern w:val="0"/>
          <w:szCs w:val="32"/>
        </w:rPr>
        <w:t>立项程序规范性</w:t>
      </w:r>
      <w:r>
        <w:rPr>
          <w:rFonts w:hint="eastAsia" w:ascii="仿宋_GB2312"/>
          <w:b/>
          <w:bCs/>
          <w:kern w:val="0"/>
          <w:szCs w:val="32"/>
          <w:lang w:val="zh-CN"/>
        </w:rPr>
        <w:t>：满分</w:t>
      </w:r>
      <w:r>
        <w:rPr>
          <w:rFonts w:hint="eastAsia" w:ascii="仿宋_GB2312"/>
          <w:b/>
          <w:bCs/>
          <w:kern w:val="0"/>
          <w:szCs w:val="32"/>
        </w:rPr>
        <w:t>3</w:t>
      </w:r>
      <w:r>
        <w:rPr>
          <w:rFonts w:hint="eastAsia" w:ascii="仿宋_GB2312"/>
          <w:b/>
          <w:bCs/>
          <w:kern w:val="0"/>
          <w:szCs w:val="32"/>
          <w:lang w:val="zh-CN"/>
        </w:rPr>
        <w:t>分，得分</w:t>
      </w:r>
      <w:r>
        <w:rPr>
          <w:rFonts w:hint="eastAsia" w:ascii="仿宋_GB2312"/>
          <w:b/>
          <w:bCs/>
          <w:kern w:val="0"/>
          <w:szCs w:val="32"/>
        </w:rPr>
        <w:t>3</w:t>
      </w:r>
      <w:r>
        <w:rPr>
          <w:rFonts w:hint="eastAsia" w:ascii="仿宋_GB2312"/>
          <w:b/>
          <w:bCs/>
          <w:kern w:val="0"/>
          <w:szCs w:val="32"/>
          <w:lang w:val="zh-CN"/>
        </w:rPr>
        <w:t>分。</w:t>
      </w:r>
    </w:p>
    <w:p>
      <w:pPr>
        <w:ind w:firstLine="640"/>
        <w:rPr>
          <w:rFonts w:ascii="仿宋_GB2312"/>
        </w:rPr>
      </w:pPr>
      <w:r>
        <w:rPr>
          <w:rFonts w:hint="eastAsia" w:ascii="仿宋_GB2312"/>
        </w:rPr>
        <w:t>本指标考核项目申请、设立过程是否符合相关要求</w:t>
      </w:r>
      <w:r>
        <w:rPr>
          <w:rFonts w:hint="eastAsia" w:ascii="仿宋_GB2312"/>
          <w:lang w:eastAsia="zh-CN"/>
        </w:rPr>
        <w:t>，</w:t>
      </w:r>
      <w:r>
        <w:rPr>
          <w:rFonts w:hint="eastAsia" w:ascii="仿宋_GB2312"/>
        </w:rPr>
        <w:t>用以反映和考核项目立项的规范情况。</w:t>
      </w:r>
    </w:p>
    <w:p>
      <w:pPr>
        <w:ind w:firstLine="640"/>
        <w:rPr>
          <w:rFonts w:hint="eastAsia" w:ascii="仿宋_GB2312"/>
          <w:highlight w:val="none"/>
        </w:rPr>
      </w:pPr>
      <w:r>
        <w:rPr>
          <w:rFonts w:hint="eastAsia" w:ascii="仿宋_GB2312"/>
          <w:lang w:val="en-US" w:eastAsia="zh-CN"/>
        </w:rPr>
        <w:t>根据评价组现场收集整理资料分析可得，项目依据《古县2021—2023年农业机械购置补贴工作方案》（古农机字〔2021〕22号）、《古县农业机械报废更新补贴工作方案的通知》（古农机字〔2021〕11号）等文件进行申请、设立，过程符合相关文件要求</w:t>
      </w:r>
      <w:r>
        <w:rPr>
          <w:rFonts w:hint="eastAsia" w:ascii="仿宋_GB2312"/>
          <w:highlight w:val="none"/>
        </w:rPr>
        <w:t>。</w:t>
      </w:r>
    </w:p>
    <w:p>
      <w:pPr>
        <w:ind w:firstLine="640"/>
        <w:rPr>
          <w:rFonts w:hint="eastAsia" w:ascii="仿宋_GB2312"/>
        </w:rPr>
      </w:pPr>
      <w:r>
        <w:rPr>
          <w:rFonts w:hint="eastAsia" w:ascii="仿宋_GB2312"/>
        </w:rPr>
        <w:t>项目申请、设立过程符合相关规定</w:t>
      </w:r>
      <w:r>
        <w:rPr>
          <w:rFonts w:hint="eastAsia" w:ascii="仿宋_GB2312"/>
          <w:lang w:eastAsia="zh-CN"/>
        </w:rPr>
        <w:t>，</w:t>
      </w:r>
      <w:r>
        <w:rPr>
          <w:rFonts w:hint="eastAsia" w:ascii="仿宋_GB2312"/>
        </w:rPr>
        <w:t>审批文件和材料规范完整。</w:t>
      </w:r>
    </w:p>
    <w:p>
      <w:pPr>
        <w:ind w:firstLine="640"/>
        <w:rPr>
          <w:rFonts w:ascii="仿宋_GB2312"/>
        </w:rPr>
      </w:pPr>
      <w:r>
        <w:rPr>
          <w:rFonts w:hint="eastAsia" w:ascii="仿宋_GB2312"/>
        </w:rPr>
        <w:t>据评分标准：</w:t>
      </w:r>
      <w:r>
        <w:rPr>
          <w:rFonts w:hint="eastAsia" w:ascii="仿宋_GB2312"/>
          <w:lang w:val="en-US" w:eastAsia="zh-CN"/>
        </w:rPr>
        <w:t>满分3分，得分3分</w:t>
      </w:r>
      <w:r>
        <w:rPr>
          <w:rFonts w:hint="eastAsia" w:ascii="仿宋_GB2312"/>
        </w:rPr>
        <w:t>。</w:t>
      </w:r>
    </w:p>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rFonts w:hint="eastAsia"/>
          <w:b/>
          <w:bCs/>
          <w:kern w:val="0"/>
          <w:szCs w:val="32"/>
          <w:lang w:val="en-US" w:eastAsia="zh-CN"/>
        </w:rPr>
      </w:pPr>
      <w:r>
        <w:rPr>
          <w:rFonts w:hint="eastAsia"/>
          <w:b/>
          <w:bCs/>
          <w:kern w:val="0"/>
          <w:szCs w:val="32"/>
          <w:lang w:val="en-US" w:eastAsia="zh-CN"/>
        </w:rPr>
        <w:t>2.绩效目标设置情况分析</w:t>
      </w:r>
    </w:p>
    <w:p>
      <w:pPr>
        <w:ind w:firstLine="643"/>
        <w:rPr>
          <w:rFonts w:ascii="仿宋_GB2312"/>
          <w:b/>
          <w:bCs/>
          <w:kern w:val="0"/>
          <w:szCs w:val="32"/>
          <w:lang w:val="zh-CN"/>
        </w:rPr>
      </w:pPr>
      <w:r>
        <w:rPr>
          <w:rFonts w:hint="eastAsia" w:ascii="仿宋_GB2312"/>
          <w:b/>
          <w:bCs/>
          <w:kern w:val="0"/>
          <w:szCs w:val="32"/>
          <w:lang w:val="en-US" w:eastAsia="zh-CN"/>
        </w:rPr>
        <w:t>A21</w:t>
      </w:r>
      <w:r>
        <w:rPr>
          <w:rFonts w:hint="eastAsia" w:ascii="仿宋_GB2312"/>
          <w:b/>
          <w:bCs/>
          <w:kern w:val="0"/>
          <w:szCs w:val="32"/>
        </w:rPr>
        <w:t>绩效目标合理性</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rPr>
        <w:t>4</w:t>
      </w:r>
      <w:r>
        <w:rPr>
          <w:rFonts w:hint="eastAsia" w:ascii="仿宋_GB2312"/>
          <w:b/>
          <w:bCs/>
          <w:kern w:val="0"/>
          <w:szCs w:val="32"/>
          <w:lang w:val="zh-CN"/>
        </w:rPr>
        <w:t>分。</w:t>
      </w:r>
    </w:p>
    <w:p>
      <w:pPr>
        <w:ind w:firstLine="640"/>
        <w:rPr>
          <w:rFonts w:ascii="仿宋_GB2312"/>
        </w:rPr>
      </w:pPr>
      <w:r>
        <w:rPr>
          <w:rFonts w:hint="eastAsia" w:ascii="仿宋_GB2312"/>
        </w:rPr>
        <w:t>本指标考核项目所设定的绩效目标是否依据充分</w:t>
      </w:r>
      <w:r>
        <w:rPr>
          <w:rFonts w:hint="eastAsia" w:ascii="仿宋_GB2312"/>
          <w:lang w:eastAsia="zh-CN"/>
        </w:rPr>
        <w:t>，</w:t>
      </w:r>
      <w:r>
        <w:rPr>
          <w:rFonts w:hint="eastAsia" w:ascii="仿宋_GB2312"/>
        </w:rPr>
        <w:t>是否符合客观实际</w:t>
      </w:r>
      <w:r>
        <w:rPr>
          <w:rFonts w:hint="eastAsia" w:ascii="仿宋_GB2312"/>
          <w:lang w:eastAsia="zh-CN"/>
        </w:rPr>
        <w:t>，</w:t>
      </w:r>
      <w:r>
        <w:rPr>
          <w:rFonts w:hint="eastAsia" w:ascii="仿宋_GB2312"/>
        </w:rPr>
        <w:t>用以反映和考核项目绩效目标与项目实施的相符情况。</w:t>
      </w:r>
    </w:p>
    <w:p>
      <w:pPr>
        <w:ind w:firstLine="640"/>
        <w:rPr>
          <w:rFonts w:hint="eastAsia" w:ascii="仿宋_GB2312"/>
          <w:lang w:val="en-US" w:eastAsia="zh-CN"/>
        </w:rPr>
      </w:pPr>
      <w:r>
        <w:rPr>
          <w:rFonts w:hint="eastAsia" w:ascii="仿宋_GB2312"/>
          <w:lang w:val="en-US" w:eastAsia="zh-CN"/>
        </w:rPr>
        <w:t>经评价组查看绩效目标申报表和自评报告，该项目绩效目标为大力实施乡村振兴战略，继续深化供给侧结构性改革，不断促进全县农业机械化全程全面高质高效发展，实施惠普共享，实现补贴内机具敞开补贴，提升政策实现度。符合古县农机局制定《2021—2023年农业机械购置补贴方案》的文件要求，符合全县农机具补贴的部署要求。有利于减轻农民负担，优化农业机械装备结构，促进农民节本增收，促进经济发展，推动农业现代化进程和国家现代农业示范区建设步伐。项目绩效目标通过绩效目标申报表设立，且项目绩效目标与实际工作内容具有相关性，与项目实施范围一致。</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A22</w:t>
      </w:r>
      <w:r>
        <w:rPr>
          <w:rFonts w:hint="eastAsia" w:ascii="仿宋_GB2312"/>
          <w:b/>
          <w:bCs/>
          <w:kern w:val="0"/>
          <w:szCs w:val="32"/>
          <w:highlight w:val="none"/>
        </w:rPr>
        <w:t>绩效指标明确性</w:t>
      </w:r>
      <w:r>
        <w:rPr>
          <w:rFonts w:hint="eastAsia" w:ascii="仿宋_GB2312"/>
          <w:b/>
          <w:bCs/>
          <w:kern w:val="0"/>
          <w:szCs w:val="32"/>
          <w:highlight w:val="none"/>
          <w:lang w:val="zh-CN"/>
        </w:rPr>
        <w:t>：满分</w:t>
      </w:r>
      <w:r>
        <w:rPr>
          <w:rFonts w:hint="eastAsia" w:ascii="仿宋_GB2312"/>
          <w:b/>
          <w:bCs/>
          <w:kern w:val="0"/>
          <w:szCs w:val="32"/>
        </w:rPr>
        <w:t>3</w:t>
      </w:r>
      <w:r>
        <w:rPr>
          <w:rFonts w:hint="eastAsia" w:ascii="仿宋_GB2312"/>
          <w:b/>
          <w:bCs/>
          <w:kern w:val="0"/>
          <w:szCs w:val="32"/>
          <w:lang w:val="zh-CN"/>
        </w:rPr>
        <w:t>分，得分</w:t>
      </w:r>
      <w:r>
        <w:rPr>
          <w:rFonts w:hint="eastAsia" w:ascii="仿宋_GB2312"/>
          <w:b/>
          <w:bCs/>
          <w:kern w:val="0"/>
          <w:szCs w:val="32"/>
          <w:lang w:val="en-US" w:eastAsia="zh-CN"/>
        </w:rPr>
        <w:t>1</w:t>
      </w:r>
      <w:r>
        <w:rPr>
          <w:rFonts w:hint="eastAsia" w:ascii="仿宋_GB2312"/>
          <w:b/>
          <w:bCs/>
          <w:kern w:val="0"/>
          <w:szCs w:val="32"/>
          <w:lang w:val="zh-CN"/>
        </w:rPr>
        <w:t>分。</w:t>
      </w:r>
    </w:p>
    <w:p>
      <w:pPr>
        <w:ind w:firstLine="640"/>
        <w:rPr>
          <w:rFonts w:ascii="仿宋_GB2312"/>
        </w:rPr>
      </w:pPr>
      <w:r>
        <w:rPr>
          <w:rFonts w:hint="eastAsia" w:ascii="仿宋_GB2312"/>
        </w:rPr>
        <w:t>本指标考核依据绩效目标设定的绩效指标是否清晰、细化、可衡量等</w:t>
      </w:r>
      <w:r>
        <w:rPr>
          <w:rFonts w:hint="eastAsia" w:ascii="仿宋_GB2312"/>
          <w:lang w:eastAsia="zh-CN"/>
        </w:rPr>
        <w:t>，</w:t>
      </w:r>
      <w:r>
        <w:rPr>
          <w:rFonts w:hint="eastAsia" w:ascii="仿宋_GB2312"/>
        </w:rPr>
        <w:t>用以反映和考核项目绩效目标的明细化情况。</w:t>
      </w:r>
    </w:p>
    <w:p>
      <w:pPr>
        <w:ind w:firstLine="640"/>
        <w:rPr>
          <w:rFonts w:hint="eastAsia" w:ascii="仿宋_GB2312"/>
        </w:rPr>
      </w:pPr>
      <w:r>
        <w:rPr>
          <w:rFonts w:hint="eastAsia" w:ascii="仿宋_GB2312"/>
        </w:rPr>
        <w:t>经</w:t>
      </w:r>
      <w:r>
        <w:rPr>
          <w:rFonts w:hint="eastAsia" w:ascii="仿宋_GB2312"/>
          <w:lang w:val="en-US" w:eastAsia="zh-CN"/>
        </w:rPr>
        <w:t>评价组分析绩效目标申报表和自评报告</w:t>
      </w:r>
      <w:r>
        <w:rPr>
          <w:rFonts w:hint="eastAsia" w:ascii="仿宋_GB2312"/>
        </w:rPr>
        <w:t>了解</w:t>
      </w:r>
      <w:r>
        <w:rPr>
          <w:rFonts w:hint="eastAsia" w:ascii="仿宋_GB2312"/>
          <w:lang w:eastAsia="zh-CN"/>
        </w:rPr>
        <w:t>，</w:t>
      </w:r>
      <w:r>
        <w:rPr>
          <w:rFonts w:hint="eastAsia" w:ascii="仿宋_GB2312"/>
        </w:rPr>
        <w:t>该项目绩效目标分别从产出、效益、满意度三个方面设置了绩效指标。但评价过程中发现</w:t>
      </w:r>
      <w:r>
        <w:rPr>
          <w:rFonts w:hint="eastAsia" w:ascii="仿宋_GB2312"/>
          <w:lang w:eastAsia="zh-CN"/>
        </w:rPr>
        <w:t>，</w:t>
      </w:r>
      <w:r>
        <w:rPr>
          <w:rFonts w:hint="eastAsia" w:ascii="仿宋_GB2312"/>
          <w:lang w:val="en-US" w:eastAsia="zh-CN"/>
        </w:rPr>
        <w:t>质量</w:t>
      </w:r>
      <w:r>
        <w:rPr>
          <w:rFonts w:hint="eastAsia" w:ascii="仿宋_GB2312"/>
        </w:rPr>
        <w:t>指标、社会效益指标存在</w:t>
      </w:r>
      <w:r>
        <w:rPr>
          <w:rFonts w:hint="eastAsia" w:ascii="仿宋_GB2312"/>
          <w:lang w:val="en-US" w:eastAsia="zh-CN"/>
        </w:rPr>
        <w:t>设置不合理现象。未设置经济效益，设置了生态效益，此项目不应设置生态效益。</w:t>
      </w:r>
      <w:r>
        <w:rPr>
          <w:rFonts w:hint="eastAsia" w:ascii="仿宋_GB2312"/>
        </w:rPr>
        <w:t xml:space="preserve"> </w:t>
      </w:r>
    </w:p>
    <w:p>
      <w:pPr>
        <w:ind w:firstLine="640"/>
        <w:rPr>
          <w:rFonts w:hint="eastAsia" w:ascii="仿宋_GB2312"/>
          <w:lang w:val="en-US" w:eastAsia="zh-CN"/>
        </w:rPr>
      </w:pPr>
      <w:r>
        <w:rPr>
          <w:rFonts w:hint="eastAsia" w:ascii="仿宋_GB2312"/>
          <w:lang w:val="en-US" w:eastAsia="zh-CN"/>
        </w:rPr>
        <w:t>质量</w:t>
      </w:r>
      <w:r>
        <w:rPr>
          <w:rFonts w:hint="eastAsia" w:ascii="仿宋_GB2312"/>
        </w:rPr>
        <w:t>指标内容设置为“</w:t>
      </w:r>
      <w:r>
        <w:rPr>
          <w:rFonts w:hint="eastAsia" w:ascii="仿宋_GB2312"/>
          <w:lang w:val="en-US" w:eastAsia="zh-CN"/>
        </w:rPr>
        <w:t>补贴机具合格率</w:t>
      </w:r>
      <w:r>
        <w:rPr>
          <w:rFonts w:hint="eastAsia" w:ascii="仿宋_GB2312"/>
        </w:rPr>
        <w:t>”</w:t>
      </w:r>
      <w:r>
        <w:rPr>
          <w:rFonts w:hint="eastAsia" w:ascii="仿宋_GB2312"/>
          <w:lang w:eastAsia="zh-CN"/>
        </w:rPr>
        <w:t>，</w:t>
      </w:r>
      <w:r>
        <w:rPr>
          <w:rFonts w:hint="eastAsia" w:ascii="仿宋_GB2312"/>
        </w:rPr>
        <w:t>该指标</w:t>
      </w:r>
      <w:r>
        <w:rPr>
          <w:rFonts w:hint="eastAsia" w:ascii="仿宋_GB2312"/>
          <w:lang w:val="en-US" w:eastAsia="zh-CN"/>
        </w:rPr>
        <w:t>不符合项目，应设置为“补贴标准符合率”</w:t>
      </w:r>
      <w:r>
        <w:rPr>
          <w:rFonts w:hint="eastAsia" w:ascii="仿宋_GB2312"/>
          <w:lang w:eastAsia="zh-CN"/>
        </w:rPr>
        <w:t>；</w:t>
      </w:r>
      <w:r>
        <w:rPr>
          <w:rFonts w:hint="eastAsia" w:ascii="仿宋_GB2312"/>
          <w:lang w:val="en-US" w:eastAsia="zh-CN"/>
        </w:rPr>
        <w:t>社会效益设置为“受益补贴总户数”，本指标应为数量指标，社会效益应为“</w:t>
      </w:r>
      <w:r>
        <w:rPr>
          <w:rFonts w:hint="eastAsia" w:ascii="仿宋_GB2312" w:hAnsi="仿宋_GB2312" w:eastAsia="仿宋_GB2312" w:cs="仿宋_GB2312"/>
          <w:lang w:val="en-US" w:eastAsia="zh-CN"/>
        </w:rPr>
        <w:t>促进规模化经营，提高农业生产现代化</w:t>
      </w:r>
      <w:r>
        <w:rPr>
          <w:rFonts w:hint="eastAsia" w:ascii="仿宋_GB2312"/>
          <w:lang w:val="en-US" w:eastAsia="zh-CN"/>
        </w:rPr>
        <w:t xml:space="preserve">”。  </w:t>
      </w:r>
    </w:p>
    <w:p>
      <w:pPr>
        <w:ind w:firstLine="640"/>
        <w:rPr>
          <w:rFonts w:ascii="仿宋_GB2312"/>
        </w:rPr>
      </w:pPr>
      <w:r>
        <w:rPr>
          <w:rFonts w:hint="eastAsia" w:ascii="仿宋_GB2312"/>
        </w:rPr>
        <w:t>根据评分标准：</w:t>
      </w:r>
      <w:r>
        <w:rPr>
          <w:rFonts w:hint="eastAsia" w:ascii="仿宋_GB2312"/>
          <w:lang w:val="en-US" w:eastAsia="zh-CN"/>
        </w:rPr>
        <w:t>满分3分，得分1分</w:t>
      </w:r>
      <w:r>
        <w:rPr>
          <w:rFonts w:hint="eastAsia" w:ascii="仿宋_GB2312"/>
        </w:rPr>
        <w:t>。</w:t>
      </w:r>
    </w:p>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rFonts w:hint="eastAsia"/>
          <w:b/>
          <w:bCs/>
          <w:kern w:val="0"/>
          <w:szCs w:val="32"/>
          <w:lang w:val="en-US" w:eastAsia="zh-CN"/>
        </w:rPr>
      </w:pPr>
      <w:r>
        <w:rPr>
          <w:rFonts w:hint="eastAsia"/>
          <w:b/>
          <w:bCs/>
          <w:kern w:val="0"/>
          <w:szCs w:val="32"/>
          <w:lang w:val="en-US" w:eastAsia="zh-CN"/>
        </w:rPr>
        <w:t>3.资金投入情况分析</w:t>
      </w:r>
    </w:p>
    <w:p>
      <w:pPr>
        <w:ind w:firstLine="643"/>
        <w:rPr>
          <w:rFonts w:ascii="仿宋_GB2312"/>
          <w:b/>
          <w:bCs/>
          <w:kern w:val="0"/>
          <w:szCs w:val="32"/>
          <w:lang w:val="zh-CN"/>
        </w:rPr>
      </w:pPr>
      <w:r>
        <w:rPr>
          <w:rFonts w:hint="eastAsia" w:ascii="仿宋_GB2312"/>
          <w:b/>
          <w:bCs/>
          <w:kern w:val="0"/>
          <w:szCs w:val="32"/>
          <w:lang w:val="en-US" w:eastAsia="zh-CN"/>
        </w:rPr>
        <w:t>A31</w:t>
      </w:r>
      <w:r>
        <w:rPr>
          <w:rFonts w:hint="eastAsia" w:ascii="仿宋_GB2312"/>
          <w:b/>
          <w:bCs/>
          <w:kern w:val="0"/>
          <w:szCs w:val="32"/>
        </w:rPr>
        <w:t>预算编制科学性</w:t>
      </w:r>
      <w:r>
        <w:rPr>
          <w:rFonts w:hint="eastAsia" w:ascii="仿宋_GB2312"/>
          <w:b/>
          <w:bCs/>
          <w:kern w:val="0"/>
          <w:szCs w:val="32"/>
          <w:lang w:val="zh-CN"/>
        </w:rPr>
        <w:t>：满分</w:t>
      </w:r>
      <w:r>
        <w:rPr>
          <w:rFonts w:hint="eastAsia" w:ascii="仿宋_GB2312"/>
          <w:b/>
          <w:bCs/>
          <w:kern w:val="0"/>
          <w:szCs w:val="32"/>
          <w:lang w:val="en-US" w:eastAsia="zh-CN"/>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ascii="仿宋_GB2312"/>
        </w:rPr>
      </w:pPr>
      <w:r>
        <w:rPr>
          <w:rFonts w:hint="eastAsia" w:ascii="仿宋_GB2312"/>
        </w:rPr>
        <w:t>本指标考核项目预算编制是否经过科学论证、有明确标准</w:t>
      </w:r>
      <w:r>
        <w:rPr>
          <w:rFonts w:hint="eastAsia" w:ascii="仿宋_GB2312"/>
          <w:lang w:eastAsia="zh-CN"/>
        </w:rPr>
        <w:t>，</w:t>
      </w:r>
      <w:r>
        <w:rPr>
          <w:rFonts w:hint="eastAsia" w:ascii="仿宋_GB2312"/>
        </w:rPr>
        <w:t>资金额度与年度目标是否相适应</w:t>
      </w:r>
      <w:r>
        <w:rPr>
          <w:rFonts w:hint="eastAsia" w:ascii="仿宋_GB2312"/>
          <w:lang w:eastAsia="zh-CN"/>
        </w:rPr>
        <w:t>，</w:t>
      </w:r>
      <w:r>
        <w:rPr>
          <w:rFonts w:hint="eastAsia" w:ascii="仿宋_GB2312"/>
        </w:rPr>
        <w:t>用以反映和考核项目预算编制的科学性、合理性情况。</w:t>
      </w:r>
    </w:p>
    <w:p>
      <w:pPr>
        <w:ind w:firstLine="640"/>
        <w:rPr>
          <w:rFonts w:ascii="仿宋_GB2312"/>
          <w:highlight w:val="none"/>
        </w:rPr>
      </w:pPr>
      <w:r>
        <w:rPr>
          <w:rFonts w:hint="eastAsia" w:ascii="仿宋_GB2312"/>
          <w:lang w:val="en-US" w:eastAsia="zh-CN"/>
        </w:rPr>
        <w:t>经评价组查阅财务资料了解，</w:t>
      </w:r>
      <w:r>
        <w:rPr>
          <w:rFonts w:hint="eastAsia" w:ascii="仿宋_GB2312"/>
        </w:rPr>
        <w:t>本项目</w:t>
      </w:r>
      <w:r>
        <w:rPr>
          <w:rFonts w:hint="eastAsia" w:ascii="仿宋_GB2312"/>
          <w:lang w:val="en-US" w:eastAsia="zh-CN"/>
        </w:rPr>
        <w:t>预算依据为国家政策制定，补贴金额由申报系统自动生成、</w:t>
      </w:r>
      <w:r>
        <w:rPr>
          <w:rFonts w:hint="eastAsia" w:ascii="仿宋_GB2312"/>
          <w:highlight w:val="none"/>
        </w:rPr>
        <w:t>预算确定的</w:t>
      </w:r>
      <w:r>
        <w:rPr>
          <w:rFonts w:hint="eastAsia" w:ascii="仿宋_GB2312"/>
          <w:highlight w:val="none"/>
          <w:lang w:val="en-US" w:eastAsia="zh-CN"/>
        </w:rPr>
        <w:t>服务费金额</w:t>
      </w:r>
      <w:r>
        <w:rPr>
          <w:rFonts w:hint="eastAsia" w:ascii="仿宋_GB2312"/>
          <w:highlight w:val="none"/>
        </w:rPr>
        <w:t>与</w:t>
      </w:r>
      <w:r>
        <w:rPr>
          <w:rFonts w:hint="eastAsia" w:ascii="仿宋_GB2312"/>
          <w:highlight w:val="none"/>
          <w:lang w:val="en-US" w:eastAsia="zh-CN"/>
        </w:rPr>
        <w:t>申请金额</w:t>
      </w:r>
      <w:r>
        <w:rPr>
          <w:rFonts w:hint="eastAsia" w:ascii="仿宋_GB2312"/>
          <w:highlight w:val="none"/>
        </w:rPr>
        <w:t>匹配。</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A32</w:t>
      </w:r>
      <w:r>
        <w:rPr>
          <w:rFonts w:hint="eastAsia" w:ascii="仿宋_GB2312"/>
          <w:b/>
          <w:bCs/>
          <w:kern w:val="0"/>
          <w:szCs w:val="32"/>
        </w:rPr>
        <w:t>资金分配合理性</w:t>
      </w:r>
      <w:r>
        <w:rPr>
          <w:rFonts w:hint="eastAsia" w:ascii="仿宋_GB2312"/>
          <w:b/>
          <w:bCs/>
          <w:kern w:val="0"/>
          <w:szCs w:val="32"/>
          <w:lang w:val="zh-CN"/>
        </w:rPr>
        <w:t>：满分</w:t>
      </w:r>
      <w:r>
        <w:rPr>
          <w:rFonts w:hint="eastAsia" w:ascii="仿宋_GB2312"/>
          <w:b/>
          <w:bCs/>
          <w:kern w:val="0"/>
          <w:szCs w:val="32"/>
          <w:lang w:val="en-US" w:eastAsia="zh-CN"/>
        </w:rPr>
        <w:t>2</w:t>
      </w:r>
      <w:r>
        <w:rPr>
          <w:rFonts w:hint="eastAsia" w:ascii="仿宋_GB2312"/>
          <w:b/>
          <w:bCs/>
          <w:kern w:val="0"/>
          <w:szCs w:val="32"/>
          <w:lang w:val="zh-CN"/>
        </w:rPr>
        <w:t>分，得分</w:t>
      </w:r>
      <w:r>
        <w:rPr>
          <w:rFonts w:hint="eastAsia" w:ascii="仿宋_GB2312"/>
          <w:b/>
          <w:bCs/>
          <w:kern w:val="0"/>
          <w:szCs w:val="32"/>
          <w:lang w:val="en-US" w:eastAsia="zh-CN"/>
        </w:rPr>
        <w:t>2</w:t>
      </w:r>
      <w:r>
        <w:rPr>
          <w:rFonts w:hint="eastAsia" w:ascii="仿宋_GB2312"/>
          <w:b/>
          <w:bCs/>
          <w:kern w:val="0"/>
          <w:szCs w:val="32"/>
          <w:lang w:val="zh-CN"/>
        </w:rPr>
        <w:t>分。</w:t>
      </w:r>
    </w:p>
    <w:p>
      <w:pPr>
        <w:ind w:firstLine="640"/>
        <w:rPr>
          <w:rFonts w:ascii="仿宋_GB2312"/>
        </w:rPr>
      </w:pPr>
      <w:r>
        <w:rPr>
          <w:rFonts w:hint="eastAsia" w:ascii="仿宋_GB2312"/>
        </w:rPr>
        <w:t>本指标考核项目预算资金分配是否有测算依据</w:t>
      </w:r>
      <w:r>
        <w:rPr>
          <w:rFonts w:hint="eastAsia" w:ascii="仿宋_GB2312"/>
          <w:lang w:eastAsia="zh-CN"/>
        </w:rPr>
        <w:t>，</w:t>
      </w:r>
      <w:r>
        <w:rPr>
          <w:rFonts w:hint="eastAsia" w:ascii="仿宋_GB2312"/>
        </w:rPr>
        <w:t>与地方实际是否相适应</w:t>
      </w:r>
      <w:r>
        <w:rPr>
          <w:rFonts w:hint="eastAsia" w:ascii="仿宋_GB2312"/>
          <w:lang w:eastAsia="zh-CN"/>
        </w:rPr>
        <w:t>，</w:t>
      </w:r>
      <w:r>
        <w:rPr>
          <w:rFonts w:hint="eastAsia" w:ascii="仿宋_GB2312"/>
        </w:rPr>
        <w:t>用以反映和考核项目预算资金分配的科学性、合理性情况。</w:t>
      </w:r>
    </w:p>
    <w:p>
      <w:pPr>
        <w:ind w:firstLine="640"/>
        <w:rPr>
          <w:rFonts w:ascii="仿宋_GB2312"/>
        </w:rPr>
      </w:pPr>
      <w:r>
        <w:rPr>
          <w:rFonts w:hint="eastAsia" w:ascii="仿宋_GB2312"/>
          <w:lang w:val="en-US" w:eastAsia="zh-CN"/>
        </w:rPr>
        <w:t>据评价组整理资料得知，项目资金依据预算内容，全部用于古县2022年农机具购置补贴项目支出，且专款专用，预算与实际情况相符</w:t>
      </w:r>
      <w:r>
        <w:rPr>
          <w:rFonts w:hint="eastAsia" w:ascii="仿宋_GB2312"/>
        </w:rPr>
        <w:t>。</w:t>
      </w:r>
    </w:p>
    <w:p>
      <w:pPr>
        <w:ind w:firstLine="640"/>
        <w:rPr>
          <w:rFonts w:ascii="仿宋_GB2312"/>
        </w:rPr>
      </w:pPr>
      <w:r>
        <w:rPr>
          <w:rFonts w:hint="eastAsia" w:ascii="仿宋_GB2312"/>
        </w:rPr>
        <w:t>根据评分标准：</w:t>
      </w:r>
      <w:r>
        <w:rPr>
          <w:rFonts w:hint="eastAsia" w:ascii="仿宋_GB2312"/>
          <w:lang w:val="en-US" w:eastAsia="zh-CN"/>
        </w:rPr>
        <w:t>满分2分，得分2分</w:t>
      </w:r>
      <w:r>
        <w:rPr>
          <w:rFonts w:hint="eastAsia" w:ascii="仿宋_GB2312"/>
        </w:rPr>
        <w:t>。</w:t>
      </w:r>
    </w:p>
    <w:p>
      <w:pPr>
        <w:pStyle w:val="4"/>
        <w:ind w:firstLine="640"/>
        <w:rPr>
          <w:rFonts w:ascii="仿宋_GB2312"/>
        </w:rPr>
      </w:pPr>
      <w:bookmarkStart w:id="47" w:name="_Toc7789"/>
      <w:bookmarkStart w:id="48" w:name="_Toc11156"/>
      <w:r>
        <w:rPr>
          <w:rFonts w:hint="eastAsia" w:ascii="仿宋_GB2312"/>
        </w:rPr>
        <w:t>（二）项目过程情况</w:t>
      </w:r>
      <w:bookmarkEnd w:id="47"/>
      <w:bookmarkEnd w:id="48"/>
    </w:p>
    <w:p>
      <w:pPr>
        <w:ind w:firstLine="640"/>
        <w:rPr>
          <w:rFonts w:ascii="仿宋_GB2312"/>
        </w:rPr>
      </w:pPr>
      <w:r>
        <w:rPr>
          <w:rFonts w:hint="eastAsia" w:ascii="仿宋_GB2312"/>
        </w:rPr>
        <w:t>主要指标包括资金管理和组织实施两方面。</w:t>
      </w:r>
    </w:p>
    <w:p>
      <w:pPr>
        <w:ind w:firstLine="640"/>
        <w:rPr>
          <w:rFonts w:ascii="仿宋_GB2312"/>
        </w:rPr>
      </w:pPr>
      <w:r>
        <w:rPr>
          <w:rFonts w:hint="eastAsia" w:ascii="仿宋_GB2312"/>
        </w:rPr>
        <w:t>过程：标准分20分</w:t>
      </w:r>
      <w:r>
        <w:rPr>
          <w:rFonts w:hint="eastAsia" w:ascii="仿宋_GB2312"/>
          <w:lang w:eastAsia="zh-CN"/>
        </w:rPr>
        <w:t>，</w:t>
      </w:r>
      <w:r>
        <w:rPr>
          <w:rFonts w:hint="eastAsia" w:ascii="仿宋_GB2312"/>
        </w:rPr>
        <w:t>实际得分</w:t>
      </w:r>
      <w:r>
        <w:rPr>
          <w:rFonts w:hint="eastAsia" w:ascii="仿宋_GB2312"/>
          <w:lang w:val="en-US" w:eastAsia="zh-CN"/>
        </w:rPr>
        <w:t>18</w:t>
      </w:r>
      <w:r>
        <w:rPr>
          <w:rFonts w:hint="eastAsia" w:ascii="仿宋_GB2312"/>
        </w:rPr>
        <w:t>分</w:t>
      </w:r>
      <w:r>
        <w:rPr>
          <w:rFonts w:hint="eastAsia" w:ascii="仿宋_GB2312"/>
          <w:lang w:eastAsia="zh-CN"/>
        </w:rPr>
        <w:t>，</w:t>
      </w:r>
      <w:r>
        <w:rPr>
          <w:rFonts w:hint="eastAsia" w:ascii="仿宋_GB2312"/>
        </w:rPr>
        <w:t>得分率</w:t>
      </w:r>
      <w:r>
        <w:rPr>
          <w:rFonts w:hint="eastAsia" w:ascii="仿宋_GB2312"/>
          <w:lang w:val="en-US" w:eastAsia="zh-CN"/>
        </w:rPr>
        <w:t>90</w:t>
      </w:r>
      <w:r>
        <w:rPr>
          <w:rFonts w:hint="eastAsia" w:ascii="仿宋_GB2312"/>
        </w:rPr>
        <w:t>%。详见</w:t>
      </w:r>
      <w:r>
        <w:rPr>
          <w:rFonts w:hint="eastAsia" w:ascii="仿宋_GB2312"/>
          <w:b/>
          <w:bCs/>
        </w:rPr>
        <w:t>表4-2：</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表4-2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过程类指标体系表</w:t>
      </w:r>
    </w:p>
    <w:tbl>
      <w:tblPr>
        <w:tblStyle w:val="20"/>
        <w:tblW w:w="499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52"/>
        <w:gridCol w:w="1204"/>
        <w:gridCol w:w="2479"/>
        <w:gridCol w:w="752"/>
        <w:gridCol w:w="955"/>
        <w:gridCol w:w="1165"/>
        <w:gridCol w:w="8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blHeader/>
          <w:jc w:val="center"/>
        </w:trPr>
        <w:tc>
          <w:tcPr>
            <w:tcW w:w="675"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706"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453"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441"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default"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560"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683"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78"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B过程</w:t>
            </w:r>
          </w:p>
        </w:tc>
        <w:tc>
          <w:tcPr>
            <w:tcW w:w="706"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B1资金管理</w:t>
            </w: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B11资金到位率</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100%</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100%</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B12预算执行率</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95%</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99</w:t>
            </w:r>
            <w:r>
              <w:rPr>
                <w:rFonts w:hint="eastAsia" w:ascii="仿宋_GB2312" w:hAnsi="仿宋_GB2312" w:cs="仿宋_GB2312"/>
                <w:b w:val="0"/>
                <w:bCs w:val="0"/>
                <w:sz w:val="24"/>
              </w:rPr>
              <w:t>%</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B13资金使用合规性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合规</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合规</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B2组织实施</w:t>
            </w: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B21管理制度健全性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健全</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基本</w:t>
            </w:r>
            <w:r>
              <w:rPr>
                <w:rFonts w:hint="eastAsia" w:ascii="仿宋_GB2312" w:hAnsi="仿宋_GB2312" w:cs="仿宋_GB2312"/>
                <w:b w:val="0"/>
                <w:bCs w:val="0"/>
                <w:sz w:val="24"/>
              </w:rPr>
              <w:t>健全</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B22制度执行有效性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有效</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有</w:t>
            </w:r>
            <w:r>
              <w:rPr>
                <w:rFonts w:hint="eastAsia" w:ascii="仿宋_GB2312" w:hAnsi="仿宋_GB2312" w:cs="仿宋_GB2312"/>
                <w:b w:val="0"/>
                <w:bCs w:val="0"/>
                <w:sz w:val="24"/>
              </w:rPr>
              <w:t>效</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bCs/>
                <w:sz w:val="24"/>
              </w:rPr>
              <w:t>合计</w:t>
            </w:r>
          </w:p>
        </w:tc>
        <w:tc>
          <w:tcPr>
            <w:tcW w:w="706"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41"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20</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78" w:type="pct"/>
            <w:noWrap w:val="0"/>
            <w:vAlign w:val="center"/>
          </w:tcPr>
          <w:p>
            <w:pPr>
              <w:spacing w:line="240" w:lineRule="auto"/>
              <w:ind w:firstLine="0" w:firstLineChars="0"/>
              <w:jc w:val="center"/>
              <w:rPr>
                <w:rFonts w:hint="default" w:ascii="仿宋_GB2312" w:hAnsi="仿宋_GB2312" w:cs="仿宋_GB2312"/>
                <w:b w:val="0"/>
                <w:bCs w:val="0"/>
                <w:sz w:val="24"/>
              </w:rPr>
            </w:pPr>
            <w:r>
              <w:rPr>
                <w:rFonts w:hint="default" w:ascii="仿宋_GB2312" w:hAnsi="仿宋_GB2312" w:cs="仿宋_GB2312"/>
                <w:b w:val="0"/>
                <w:bCs w:val="0"/>
                <w:sz w:val="24"/>
              </w:rPr>
              <w:fldChar w:fldCharType="begin"/>
            </w:r>
            <w:r>
              <w:rPr>
                <w:rFonts w:hint="default" w:ascii="仿宋_GB2312" w:hAnsi="仿宋_GB2312" w:cs="仿宋_GB2312"/>
                <w:b w:val="0"/>
                <w:bCs w:val="0"/>
                <w:sz w:val="24"/>
              </w:rPr>
              <w:instrText xml:space="preserve"> =SUM(ABOVE) \* MERGEFORMAT </w:instrText>
            </w:r>
            <w:r>
              <w:rPr>
                <w:rFonts w:hint="default" w:ascii="仿宋_GB2312" w:hAnsi="仿宋_GB2312" w:cs="仿宋_GB2312"/>
                <w:b w:val="0"/>
                <w:bCs w:val="0"/>
                <w:sz w:val="24"/>
              </w:rPr>
              <w:fldChar w:fldCharType="separate"/>
            </w:r>
            <w:r>
              <w:rPr>
                <w:rFonts w:hint="default" w:ascii="仿宋_GB2312" w:hAnsi="仿宋_GB2312" w:cs="仿宋_GB2312"/>
                <w:b w:val="0"/>
                <w:bCs w:val="0"/>
                <w:sz w:val="24"/>
              </w:rPr>
              <w:t>18</w:t>
            </w:r>
            <w:r>
              <w:rPr>
                <w:rFonts w:hint="default" w:ascii="仿宋_GB2312" w:hAnsi="仿宋_GB2312" w:cs="仿宋_GB2312"/>
                <w:b w:val="0"/>
                <w:bCs w:val="0"/>
                <w:sz w:val="24"/>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1.资金管理情况分析</w:t>
      </w:r>
    </w:p>
    <w:p>
      <w:pPr>
        <w:ind w:firstLine="643"/>
        <w:rPr>
          <w:rFonts w:ascii="仿宋_GB2312"/>
          <w:kern w:val="0"/>
          <w:szCs w:val="32"/>
          <w:lang w:val="zh-CN"/>
        </w:rPr>
      </w:pPr>
      <w:r>
        <w:rPr>
          <w:rFonts w:hint="eastAsia" w:ascii="仿宋_GB2312"/>
          <w:b/>
          <w:bCs/>
          <w:kern w:val="0"/>
          <w:szCs w:val="32"/>
          <w:lang w:val="en-US" w:eastAsia="zh-CN"/>
        </w:rPr>
        <w:t>B11</w:t>
      </w:r>
      <w:r>
        <w:rPr>
          <w:rFonts w:hint="eastAsia" w:ascii="仿宋_GB2312"/>
          <w:b/>
          <w:bCs/>
          <w:kern w:val="0"/>
          <w:szCs w:val="32"/>
        </w:rPr>
        <w:t>资金到位率</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rPr>
        <w:t>4</w:t>
      </w:r>
      <w:r>
        <w:rPr>
          <w:rFonts w:hint="eastAsia" w:ascii="仿宋_GB2312"/>
          <w:b/>
          <w:bCs/>
          <w:kern w:val="0"/>
          <w:szCs w:val="32"/>
          <w:lang w:val="zh-CN"/>
        </w:rPr>
        <w:t>分。</w:t>
      </w:r>
    </w:p>
    <w:p>
      <w:pPr>
        <w:ind w:firstLine="640"/>
        <w:rPr>
          <w:rFonts w:ascii="仿宋_GB2312"/>
        </w:rPr>
      </w:pPr>
      <w:r>
        <w:rPr>
          <w:rFonts w:hint="eastAsia" w:ascii="仿宋_GB2312"/>
        </w:rPr>
        <w:t>本指标考核实际到位资金与预算资金的比率</w:t>
      </w:r>
      <w:r>
        <w:rPr>
          <w:rFonts w:hint="eastAsia" w:ascii="仿宋_GB2312"/>
          <w:lang w:eastAsia="zh-CN"/>
        </w:rPr>
        <w:t>，</w:t>
      </w:r>
      <w:r>
        <w:rPr>
          <w:rFonts w:hint="eastAsia" w:ascii="仿宋_GB2312"/>
        </w:rPr>
        <w:t>用以反映和考核资金落实情况对项目实施的总体保障程度。</w:t>
      </w:r>
    </w:p>
    <w:p>
      <w:pPr>
        <w:ind w:firstLine="640"/>
        <w:rPr>
          <w:rFonts w:hint="eastAsia" w:eastAsia="仿宋_GB2312"/>
          <w:lang w:val="en-US" w:eastAsia="zh-CN"/>
        </w:rPr>
      </w:pPr>
      <w:r>
        <w:rPr>
          <w:rFonts w:hint="eastAsia" w:ascii="仿宋_GB2312"/>
          <w:lang w:val="en-US" w:eastAsia="zh-CN"/>
        </w:rPr>
        <w:t>经评价组核实财务资料了解，</w:t>
      </w:r>
      <w:r>
        <w:rPr>
          <w:rFonts w:hint="eastAsia" w:ascii="仿宋_GB2312"/>
        </w:rPr>
        <w:t>本项目</w:t>
      </w:r>
      <w:r>
        <w:rPr>
          <w:rFonts w:hint="eastAsia" w:ascii="仿宋_GB2312"/>
          <w:lang w:val="en-US" w:eastAsia="zh-CN"/>
        </w:rPr>
        <w:t>2022年申请</w:t>
      </w:r>
      <w:r>
        <w:rPr>
          <w:rFonts w:hint="eastAsia" w:ascii="仿宋_GB2312"/>
        </w:rPr>
        <w:t>资金</w:t>
      </w:r>
      <w:r>
        <w:rPr>
          <w:rFonts w:hint="eastAsia" w:ascii="仿宋_GB2312" w:cs="Times New Roman"/>
          <w:lang w:val="en-US" w:eastAsia="zh-CN"/>
        </w:rPr>
        <w:t>275</w:t>
      </w:r>
      <w:r>
        <w:rPr>
          <w:rFonts w:hint="eastAsia" w:ascii="仿宋_GB2312"/>
        </w:rPr>
        <w:t>万元</w:t>
      </w:r>
      <w:r>
        <w:rPr>
          <w:rFonts w:hint="eastAsia" w:ascii="仿宋_GB2312"/>
          <w:lang w:eastAsia="zh-CN"/>
        </w:rPr>
        <w:t>，</w:t>
      </w:r>
      <w:r>
        <w:rPr>
          <w:rFonts w:hint="eastAsia" w:ascii="仿宋_GB2312"/>
        </w:rPr>
        <w:t>实际到位</w:t>
      </w:r>
      <w:r>
        <w:rPr>
          <w:rFonts w:hint="eastAsia" w:ascii="仿宋_GB2312" w:cs="Times New Roman"/>
          <w:lang w:val="en-US" w:eastAsia="zh-CN"/>
        </w:rPr>
        <w:t>275</w:t>
      </w:r>
      <w:r>
        <w:rPr>
          <w:rFonts w:hint="eastAsia" w:ascii="仿宋_GB2312"/>
        </w:rPr>
        <w:t>万元</w:t>
      </w:r>
      <w:r>
        <w:rPr>
          <w:rFonts w:hint="eastAsia" w:ascii="仿宋_GB2312"/>
          <w:lang w:eastAsia="zh-CN"/>
        </w:rPr>
        <w:t>，</w:t>
      </w:r>
      <w:r>
        <w:rPr>
          <w:rFonts w:hint="eastAsia" w:ascii="仿宋_GB2312"/>
        </w:rPr>
        <w:t>（实际到位资金/预算资金）×100%计算得分。资金到位率=</w:t>
      </w:r>
      <w:r>
        <w:rPr>
          <w:rFonts w:hint="eastAsia" w:ascii="仿宋_GB2312" w:cs="Times New Roman"/>
          <w:lang w:val="en-US" w:eastAsia="zh-CN"/>
        </w:rPr>
        <w:t>275</w:t>
      </w:r>
      <w:r>
        <w:rPr>
          <w:rFonts w:hint="eastAsia" w:ascii="仿宋_GB2312"/>
        </w:rPr>
        <w:t>/</w:t>
      </w:r>
      <w:r>
        <w:rPr>
          <w:rFonts w:hint="eastAsia" w:ascii="仿宋_GB2312" w:cs="Times New Roman"/>
          <w:lang w:val="en-US" w:eastAsia="zh-CN"/>
        </w:rPr>
        <w:t>275</w:t>
      </w:r>
      <w:r>
        <w:rPr>
          <w:rFonts w:hint="eastAsia" w:ascii="仿宋_GB2312"/>
        </w:rPr>
        <w:t>×100%=</w:t>
      </w:r>
      <w:r>
        <w:rPr>
          <w:rFonts w:hint="eastAsia" w:ascii="仿宋_GB2312"/>
          <w:lang w:val="en-US" w:eastAsia="zh-CN"/>
        </w:rPr>
        <w:t>100%</w:t>
      </w:r>
      <w:r>
        <w:rPr>
          <w:rFonts w:hint="eastAsia" w:ascii="仿宋_GB2312"/>
        </w:rPr>
        <w:t>。资金到位率100%</w:t>
      </w:r>
      <w:r>
        <w:rPr>
          <w:rFonts w:hint="eastAsia" w:ascii="仿宋_GB2312"/>
          <w:lang w:eastAsia="zh-CN"/>
        </w:rPr>
        <w:t>。</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kern w:val="0"/>
          <w:szCs w:val="32"/>
        </w:rPr>
      </w:pPr>
      <w:r>
        <w:rPr>
          <w:rFonts w:hint="eastAsia" w:ascii="仿宋_GB2312"/>
          <w:b/>
          <w:bCs/>
          <w:kern w:val="0"/>
          <w:szCs w:val="32"/>
          <w:lang w:val="en-US" w:eastAsia="zh-CN"/>
        </w:rPr>
        <w:t>B12</w:t>
      </w:r>
      <w:r>
        <w:rPr>
          <w:rFonts w:hint="eastAsia" w:ascii="仿宋_GB2312"/>
          <w:b/>
          <w:bCs/>
          <w:kern w:val="0"/>
          <w:szCs w:val="32"/>
        </w:rPr>
        <w:t>预算执行率</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hint="eastAsia" w:ascii="仿宋_GB2312" w:eastAsia="仿宋_GB2312"/>
          <w:lang w:eastAsia="zh-CN"/>
        </w:rPr>
      </w:pPr>
      <w:r>
        <w:rPr>
          <w:rFonts w:hint="eastAsia" w:ascii="仿宋_GB2312"/>
        </w:rPr>
        <w:t>本指标考核项目预算资金是否按照计划执行</w:t>
      </w:r>
      <w:r>
        <w:rPr>
          <w:rFonts w:hint="eastAsia" w:ascii="仿宋_GB2312"/>
          <w:lang w:eastAsia="zh-CN"/>
        </w:rPr>
        <w:t>，</w:t>
      </w:r>
      <w:r>
        <w:rPr>
          <w:rFonts w:hint="eastAsia" w:ascii="仿宋_GB2312"/>
        </w:rPr>
        <w:t>用以反映或考核项目预算执行情况</w:t>
      </w:r>
      <w:r>
        <w:rPr>
          <w:rFonts w:hint="eastAsia" w:ascii="仿宋_GB2312"/>
          <w:lang w:eastAsia="zh-CN"/>
        </w:rPr>
        <w:t>。</w:t>
      </w:r>
    </w:p>
    <w:p>
      <w:pPr>
        <w:ind w:firstLine="640"/>
        <w:rPr>
          <w:rFonts w:ascii="仿宋_GB2312"/>
        </w:rPr>
      </w:pPr>
      <w:r>
        <w:rPr>
          <w:rFonts w:hint="eastAsia" w:ascii="仿宋_GB2312"/>
          <w:lang w:val="en-US" w:eastAsia="zh-CN"/>
        </w:rPr>
        <w:t>根据评价组财务核实可知，</w:t>
      </w:r>
      <w:r>
        <w:rPr>
          <w:rFonts w:hint="eastAsia" w:ascii="仿宋_GB2312"/>
        </w:rPr>
        <w:t>预算执行率=（实际支出资金/实际到位资金）×100%。本项目实际到位资金</w:t>
      </w:r>
      <w:r>
        <w:rPr>
          <w:rFonts w:hint="eastAsia" w:ascii="仿宋_GB2312" w:cs="Times New Roman"/>
          <w:lang w:val="en-US" w:eastAsia="zh-CN"/>
        </w:rPr>
        <w:t>275</w:t>
      </w:r>
      <w:r>
        <w:rPr>
          <w:rFonts w:hint="eastAsia" w:ascii="仿宋_GB2312"/>
        </w:rPr>
        <w:t>万元</w:t>
      </w:r>
      <w:r>
        <w:rPr>
          <w:rFonts w:hint="eastAsia" w:ascii="仿宋_GB2312"/>
          <w:lang w:eastAsia="zh-CN"/>
        </w:rPr>
        <w:t>，截至2022年</w:t>
      </w:r>
      <w:r>
        <w:rPr>
          <w:rFonts w:hint="eastAsia" w:ascii="仿宋_GB2312"/>
        </w:rPr>
        <w:t>12月31日</w:t>
      </w:r>
      <w:r>
        <w:rPr>
          <w:rFonts w:hint="eastAsia" w:ascii="仿宋_GB2312"/>
          <w:lang w:eastAsia="zh-CN"/>
        </w:rPr>
        <w:t>，</w:t>
      </w:r>
      <w:r>
        <w:rPr>
          <w:rFonts w:hint="eastAsia" w:ascii="仿宋_GB2312"/>
          <w:lang w:val="en-US" w:eastAsia="zh-CN"/>
        </w:rPr>
        <w:t>实际支出资金</w:t>
      </w:r>
      <w:r>
        <w:rPr>
          <w:rFonts w:hint="eastAsia" w:ascii="仿宋_GB2312" w:cs="Times New Roman"/>
          <w:lang w:val="en-US" w:eastAsia="zh-CN"/>
        </w:rPr>
        <w:t>273.7</w:t>
      </w:r>
      <w:r>
        <w:rPr>
          <w:rFonts w:hint="eastAsia" w:ascii="仿宋_GB2312"/>
        </w:rPr>
        <w:t>万元</w:t>
      </w:r>
      <w:r>
        <w:rPr>
          <w:rFonts w:hint="eastAsia" w:ascii="仿宋_GB2312"/>
          <w:lang w:val="en-US" w:eastAsia="zh-CN"/>
        </w:rPr>
        <w:t>。实际</w:t>
      </w:r>
      <w:r>
        <w:rPr>
          <w:rFonts w:hint="eastAsia" w:ascii="仿宋_GB2312"/>
        </w:rPr>
        <w:t>预算执行率=</w:t>
      </w:r>
      <w:r>
        <w:rPr>
          <w:rFonts w:hint="eastAsia" w:ascii="仿宋_GB2312" w:cs="Times New Roman"/>
          <w:lang w:val="en-US" w:eastAsia="zh-CN"/>
        </w:rPr>
        <w:t>273.7</w:t>
      </w:r>
      <w:r>
        <w:rPr>
          <w:rFonts w:hint="eastAsia" w:ascii="仿宋_GB2312"/>
        </w:rPr>
        <w:t>/</w:t>
      </w:r>
      <w:r>
        <w:rPr>
          <w:rFonts w:hint="eastAsia" w:ascii="仿宋_GB2312" w:cs="Times New Roman"/>
          <w:lang w:val="en-US" w:eastAsia="zh-CN"/>
        </w:rPr>
        <w:t>275</w:t>
      </w:r>
      <w:r>
        <w:rPr>
          <w:rFonts w:hint="eastAsia" w:ascii="仿宋_GB2312"/>
        </w:rPr>
        <w:t>×100%=</w:t>
      </w:r>
      <w:r>
        <w:rPr>
          <w:rFonts w:hint="eastAsia" w:ascii="仿宋_GB2312"/>
          <w:lang w:val="en-US" w:eastAsia="zh-CN"/>
        </w:rPr>
        <w:t>99</w:t>
      </w:r>
      <w:r>
        <w:rPr>
          <w:rFonts w:hint="eastAsia" w:ascii="仿宋_GB2312"/>
        </w:rPr>
        <w:t>%。</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autoSpaceDE w:val="0"/>
        <w:autoSpaceDN w:val="0"/>
        <w:adjustRightInd w:val="0"/>
        <w:ind w:firstLine="643"/>
        <w:rPr>
          <w:rFonts w:ascii="仿宋_GB2312"/>
          <w:kern w:val="0"/>
          <w:szCs w:val="32"/>
        </w:rPr>
      </w:pPr>
      <w:r>
        <w:rPr>
          <w:rFonts w:hint="eastAsia" w:ascii="仿宋_GB2312"/>
          <w:b/>
          <w:bCs/>
          <w:kern w:val="0"/>
          <w:szCs w:val="32"/>
          <w:lang w:val="en-US" w:eastAsia="zh-CN"/>
        </w:rPr>
        <w:t>B13</w:t>
      </w:r>
      <w:r>
        <w:rPr>
          <w:rFonts w:hint="eastAsia" w:ascii="仿宋_GB2312"/>
          <w:b/>
          <w:bCs/>
          <w:kern w:val="0"/>
          <w:szCs w:val="32"/>
        </w:rPr>
        <w:t>资金使用合规性：满分4分</w:t>
      </w:r>
      <w:r>
        <w:rPr>
          <w:rFonts w:hint="eastAsia" w:ascii="仿宋_GB2312"/>
          <w:b/>
          <w:bCs/>
          <w:kern w:val="0"/>
          <w:szCs w:val="32"/>
          <w:lang w:eastAsia="zh-CN"/>
        </w:rPr>
        <w:t>，</w:t>
      </w:r>
      <w:r>
        <w:rPr>
          <w:rFonts w:hint="eastAsia" w:ascii="仿宋_GB2312"/>
          <w:b/>
          <w:bCs/>
          <w:kern w:val="0"/>
          <w:szCs w:val="32"/>
        </w:rPr>
        <w:t>得</w:t>
      </w:r>
      <w:r>
        <w:rPr>
          <w:rFonts w:hint="eastAsia" w:ascii="仿宋_GB2312"/>
          <w:b/>
          <w:bCs/>
          <w:kern w:val="0"/>
          <w:szCs w:val="32"/>
          <w:lang w:val="zh-CN"/>
        </w:rPr>
        <w:t>分</w:t>
      </w:r>
      <w:r>
        <w:rPr>
          <w:rFonts w:hint="eastAsia" w:ascii="仿宋_GB2312"/>
          <w:b/>
          <w:bCs/>
          <w:kern w:val="0"/>
          <w:szCs w:val="32"/>
        </w:rPr>
        <w:t>4分。</w:t>
      </w:r>
    </w:p>
    <w:p>
      <w:pPr>
        <w:ind w:firstLine="640"/>
        <w:rPr>
          <w:rFonts w:ascii="仿宋_GB2312"/>
        </w:rPr>
      </w:pPr>
      <w:r>
        <w:rPr>
          <w:rFonts w:hint="eastAsia" w:ascii="仿宋_GB2312"/>
        </w:rPr>
        <w:t>本指标考核项目资金使用是否符合相关的财务管理制度规定</w:t>
      </w:r>
      <w:r>
        <w:rPr>
          <w:rFonts w:hint="eastAsia" w:ascii="仿宋_GB2312"/>
          <w:lang w:eastAsia="zh-CN"/>
        </w:rPr>
        <w:t>，</w:t>
      </w:r>
      <w:r>
        <w:rPr>
          <w:rFonts w:hint="eastAsia" w:ascii="仿宋_GB2312"/>
        </w:rPr>
        <w:t>用以反映和考核项目资金的规范运行情况。</w:t>
      </w:r>
    </w:p>
    <w:p>
      <w:pPr>
        <w:pStyle w:val="2"/>
        <w:ind w:left="0" w:leftChars="0" w:firstLine="640" w:firstLineChars="200"/>
        <w:rPr>
          <w:rFonts w:hint="eastAsia" w:ascii="仿宋_GB2312" w:hAnsi="Times New Roman" w:eastAsia="仿宋_GB2312" w:cs="Times New Roman"/>
          <w:kern w:val="2"/>
          <w:sz w:val="32"/>
          <w:szCs w:val="24"/>
          <w:lang w:val="en-US" w:eastAsia="zh-CN" w:bidi="ar-SA"/>
        </w:rPr>
      </w:pPr>
      <w:r>
        <w:rPr>
          <w:rFonts w:hint="eastAsia" w:ascii="仿宋_GB2312" w:hAnsi="Times New Roman" w:eastAsia="仿宋_GB2312" w:cs="Times New Roman"/>
          <w:kern w:val="2"/>
          <w:sz w:val="32"/>
          <w:szCs w:val="24"/>
          <w:lang w:val="en-US" w:eastAsia="zh-CN" w:bidi="ar-SA"/>
        </w:rPr>
        <w:t>该项目补贴资金发放程序比较规范：一是严格操作规程。购置了纳入补贴范围的农机产品的农户，携相关资料到受理点提出申请，并在指定地点进行公示，乡镇财政部门对公示信息进行检查，乡镇农机核查人员按照“见人、见机、见票、查参数”的原则逐项进行核实后，交县级农机等部门联合核查。对资料齐全、核查无误、信息真实、公示无异议的补贴资金申请项目，通过财政“一卡通”直接发放到农户。二是抓住关键环节。在补贴资金申报、公示、核查、发放过程中，抓住资格确认、张榜公示、机具核实、“一卡通”发放等关键环节，突出重点，确保补贴合规，操作公开透明。三是完善组织机构，健全相关制度。</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2.组织实施情况分析</w:t>
      </w:r>
    </w:p>
    <w:p>
      <w:pPr>
        <w:ind w:firstLine="643"/>
        <w:rPr>
          <w:rFonts w:ascii="仿宋_GB2312"/>
          <w:kern w:val="0"/>
          <w:szCs w:val="32"/>
        </w:rPr>
      </w:pPr>
      <w:r>
        <w:rPr>
          <w:rFonts w:hint="eastAsia" w:ascii="仿宋_GB2312"/>
          <w:b/>
          <w:bCs/>
          <w:kern w:val="0"/>
          <w:szCs w:val="32"/>
          <w:lang w:val="en-US" w:eastAsia="zh-CN"/>
        </w:rPr>
        <w:t>B21</w:t>
      </w:r>
      <w:r>
        <w:rPr>
          <w:rFonts w:hint="eastAsia" w:ascii="仿宋_GB2312"/>
          <w:b/>
          <w:bCs/>
          <w:kern w:val="0"/>
          <w:szCs w:val="32"/>
        </w:rPr>
        <w:t>管理制度健全性：满分</w:t>
      </w:r>
      <w:r>
        <w:rPr>
          <w:rFonts w:hint="eastAsia" w:ascii="仿宋_GB2312"/>
          <w:b/>
          <w:bCs/>
          <w:kern w:val="0"/>
          <w:szCs w:val="32"/>
          <w:lang w:val="en-US" w:eastAsia="zh-CN"/>
        </w:rPr>
        <w:t>4</w:t>
      </w:r>
      <w:r>
        <w:rPr>
          <w:rFonts w:hint="eastAsia" w:ascii="仿宋_GB2312"/>
          <w:b/>
          <w:bCs/>
          <w:kern w:val="0"/>
          <w:szCs w:val="32"/>
        </w:rPr>
        <w:t>分</w:t>
      </w:r>
      <w:r>
        <w:rPr>
          <w:rFonts w:hint="eastAsia" w:ascii="仿宋_GB2312"/>
          <w:b/>
          <w:bCs/>
          <w:kern w:val="0"/>
          <w:szCs w:val="32"/>
          <w:lang w:eastAsia="zh-CN"/>
        </w:rPr>
        <w:t>，</w:t>
      </w:r>
      <w:r>
        <w:rPr>
          <w:rFonts w:hint="eastAsia" w:ascii="仿宋_GB2312"/>
          <w:b/>
          <w:bCs/>
          <w:kern w:val="0"/>
          <w:szCs w:val="32"/>
        </w:rPr>
        <w:t>得</w:t>
      </w:r>
      <w:r>
        <w:rPr>
          <w:rFonts w:hint="eastAsia" w:ascii="仿宋_GB2312"/>
          <w:b/>
          <w:bCs/>
          <w:kern w:val="0"/>
          <w:szCs w:val="32"/>
          <w:lang w:val="zh-CN"/>
        </w:rPr>
        <w:t>分</w:t>
      </w:r>
      <w:r>
        <w:rPr>
          <w:rFonts w:hint="eastAsia" w:ascii="仿宋_GB2312"/>
          <w:b/>
          <w:bCs/>
          <w:kern w:val="0"/>
          <w:szCs w:val="32"/>
          <w:lang w:val="en-US" w:eastAsia="zh-CN"/>
        </w:rPr>
        <w:t>4</w:t>
      </w:r>
      <w:r>
        <w:rPr>
          <w:rFonts w:hint="eastAsia" w:ascii="仿宋_GB2312"/>
          <w:b/>
          <w:bCs/>
          <w:kern w:val="0"/>
          <w:szCs w:val="32"/>
        </w:rPr>
        <w:t>分。</w:t>
      </w:r>
    </w:p>
    <w:p>
      <w:pPr>
        <w:ind w:firstLine="640"/>
        <w:rPr>
          <w:rFonts w:ascii="仿宋_GB2312"/>
        </w:rPr>
      </w:pPr>
      <w:r>
        <w:rPr>
          <w:rFonts w:hint="eastAsia" w:ascii="仿宋_GB2312"/>
        </w:rPr>
        <w:t>本指标考核</w:t>
      </w:r>
      <w:r>
        <w:rPr>
          <w:rFonts w:hint="eastAsia" w:ascii="仿宋_GB2312"/>
          <w:lang w:val="en-US" w:eastAsia="zh-CN"/>
        </w:rPr>
        <w:t>古县农业农村局</w:t>
      </w:r>
      <w:r>
        <w:rPr>
          <w:rFonts w:hint="eastAsia" w:ascii="仿宋_GB2312"/>
        </w:rPr>
        <w:t>的财务和业务管理制度是否健全</w:t>
      </w:r>
      <w:r>
        <w:rPr>
          <w:rFonts w:hint="eastAsia" w:ascii="仿宋_GB2312"/>
          <w:lang w:eastAsia="zh-CN"/>
        </w:rPr>
        <w:t>，</w:t>
      </w:r>
      <w:r>
        <w:rPr>
          <w:rFonts w:hint="eastAsia" w:ascii="仿宋_GB2312"/>
        </w:rPr>
        <w:t>用以反映和考核财务和业务管理制度对项目顺利实施的保障情况。</w:t>
      </w:r>
    </w:p>
    <w:p>
      <w:pPr>
        <w:ind w:firstLine="640"/>
        <w:rPr>
          <w:rFonts w:hint="eastAsia" w:ascii="仿宋_GB2312"/>
        </w:rPr>
      </w:pPr>
      <w:r>
        <w:rPr>
          <w:rFonts w:hint="eastAsia" w:ascii="仿宋_GB2312"/>
          <w:lang w:val="en-US" w:eastAsia="zh-CN"/>
        </w:rPr>
        <w:t>经评价组查阅资料了解，古县农业农村局制定了《古县农机具购置补贴机具核验工作制度》，但未制定</w:t>
      </w:r>
      <w:r>
        <w:rPr>
          <w:rFonts w:hint="eastAsia" w:ascii="仿宋_GB2312"/>
          <w:lang w:eastAsia="zh-CN"/>
        </w:rPr>
        <w:t>《</w:t>
      </w:r>
      <w:r>
        <w:rPr>
          <w:rFonts w:hint="eastAsia" w:ascii="仿宋_GB2312"/>
          <w:lang w:val="en-US" w:eastAsia="zh-CN"/>
        </w:rPr>
        <w:t>档案管理办法》《财务管理制度</w:t>
      </w:r>
      <w:r>
        <w:rPr>
          <w:rFonts w:hint="eastAsia" w:ascii="仿宋_GB2312"/>
          <w:lang w:eastAsia="zh-CN"/>
        </w:rPr>
        <w:t>》，</w:t>
      </w:r>
      <w:r>
        <w:rPr>
          <w:rFonts w:hint="eastAsia" w:ascii="仿宋_GB2312"/>
          <w:lang w:val="en-US" w:eastAsia="zh-CN"/>
        </w:rPr>
        <w:t>从监督、安全等方面规范业务管理，项目单位业务管理制度基本完整、合规。</w:t>
      </w:r>
    </w:p>
    <w:p>
      <w:pPr>
        <w:ind w:firstLine="640"/>
        <w:rPr>
          <w:rFonts w:ascii="仿宋_GB2312"/>
        </w:rPr>
      </w:pPr>
      <w:r>
        <w:rPr>
          <w:rFonts w:hint="eastAsia" w:ascii="仿宋_GB2312"/>
        </w:rPr>
        <w:t>根据评分标准：</w:t>
      </w:r>
      <w:r>
        <w:rPr>
          <w:rFonts w:hint="eastAsia" w:ascii="仿宋_GB2312"/>
          <w:lang w:val="en-US" w:eastAsia="zh-CN"/>
        </w:rPr>
        <w:t>满分4分，得分2分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B22</w:t>
      </w:r>
      <w:r>
        <w:rPr>
          <w:rFonts w:hint="eastAsia" w:ascii="仿宋_GB2312"/>
          <w:b/>
          <w:bCs/>
          <w:kern w:val="0"/>
          <w:szCs w:val="32"/>
          <w:highlight w:val="none"/>
          <w:lang w:val="zh-CN"/>
        </w:rPr>
        <w:t>制度执行有效性：</w:t>
      </w:r>
      <w:r>
        <w:rPr>
          <w:rFonts w:hint="eastAsia" w:ascii="仿宋_GB2312"/>
          <w:b/>
          <w:bCs/>
          <w:kern w:val="0"/>
          <w:szCs w:val="32"/>
          <w:lang w:val="zh-CN"/>
        </w:rPr>
        <w:t>满分</w:t>
      </w:r>
      <w:r>
        <w:rPr>
          <w:rFonts w:hint="eastAsia" w:ascii="仿宋_GB2312"/>
          <w:b/>
          <w:bCs/>
          <w:kern w:val="0"/>
          <w:szCs w:val="32"/>
          <w:lang w:val="en-US" w:eastAsia="zh-CN"/>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ascii="仿宋_GB2312"/>
        </w:rPr>
      </w:pPr>
      <w:r>
        <w:rPr>
          <w:rFonts w:hint="eastAsia" w:ascii="仿宋_GB2312"/>
        </w:rPr>
        <w:t>本指标用以反映和考核项目实施是否符合相关管理规定</w:t>
      </w:r>
      <w:r>
        <w:rPr>
          <w:rFonts w:hint="eastAsia" w:ascii="仿宋_GB2312"/>
          <w:lang w:eastAsia="zh-CN"/>
        </w:rPr>
        <w:t>，</w:t>
      </w:r>
      <w:r>
        <w:rPr>
          <w:rFonts w:hint="eastAsia" w:ascii="仿宋_GB2312"/>
        </w:rPr>
        <w:t>用以反映和考核相关管理制度的有效执行情况。</w:t>
      </w:r>
    </w:p>
    <w:p>
      <w:pPr>
        <w:ind w:firstLine="640"/>
        <w:rPr>
          <w:rFonts w:hint="eastAsia" w:ascii="仿宋_GB2312" w:hAnsi="Times New Roman" w:eastAsia="仿宋_GB2312" w:cs="Times New Roman"/>
          <w:kern w:val="2"/>
          <w:sz w:val="32"/>
          <w:szCs w:val="24"/>
          <w:lang w:val="en-US" w:eastAsia="zh-CN" w:bidi="ar-SA"/>
        </w:rPr>
      </w:pPr>
      <w:r>
        <w:rPr>
          <w:rFonts w:hint="eastAsia" w:ascii="仿宋_GB2312"/>
          <w:lang w:val="en-US" w:eastAsia="zh-CN"/>
        </w:rPr>
        <w:t>经评价组查阅资料、访问了解，</w:t>
      </w:r>
      <w:r>
        <w:rPr>
          <w:rFonts w:hint="eastAsia" w:ascii="仿宋_GB2312" w:hAnsi="Times New Roman" w:eastAsia="仿宋_GB2312" w:cs="Times New Roman"/>
          <w:kern w:val="2"/>
          <w:sz w:val="32"/>
          <w:szCs w:val="24"/>
          <w:lang w:val="en-US" w:eastAsia="zh-CN" w:bidi="ar-SA"/>
        </w:rPr>
        <w:t>该项目在实施过程中</w:t>
      </w:r>
      <w:r>
        <w:rPr>
          <w:rFonts w:hint="eastAsia" w:ascii="仿宋_GB2312" w:cs="Times New Roman"/>
          <w:kern w:val="2"/>
          <w:sz w:val="32"/>
          <w:szCs w:val="24"/>
          <w:lang w:val="en-US" w:eastAsia="zh-CN" w:bidi="ar-SA"/>
        </w:rPr>
        <w:t>，</w:t>
      </w:r>
      <w:r>
        <w:rPr>
          <w:rFonts w:hint="eastAsia" w:ascii="仿宋_GB2312"/>
          <w:lang w:val="en-US" w:eastAsia="zh-CN"/>
        </w:rPr>
        <w:t>项目遵守相关法律法规和相关管理规定；项目实施方案、各项制度、财务等资料齐全并及时归档。</w:t>
      </w:r>
    </w:p>
    <w:p>
      <w:pPr>
        <w:ind w:firstLine="643"/>
        <w:rPr>
          <w:rFonts w:hint="eastAsia"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pStyle w:val="4"/>
        <w:ind w:firstLine="640"/>
        <w:rPr>
          <w:rFonts w:ascii="仿宋_GB2312"/>
        </w:rPr>
      </w:pPr>
      <w:bookmarkStart w:id="49" w:name="_Toc31819"/>
      <w:r>
        <w:rPr>
          <w:rFonts w:hint="eastAsia" w:ascii="仿宋_GB2312"/>
        </w:rPr>
        <w:t>（三）项目产出情况</w:t>
      </w:r>
      <w:bookmarkEnd w:id="49"/>
    </w:p>
    <w:p>
      <w:pPr>
        <w:ind w:firstLine="640"/>
      </w:pPr>
      <w:r>
        <w:rPr>
          <w:rFonts w:hint="eastAsia" w:ascii="仿宋_GB2312"/>
        </w:rPr>
        <w:t>主要指标包括产出数量、产出质量、产出时效和产出成本四方面。产出：标准分30分</w:t>
      </w:r>
      <w:r>
        <w:rPr>
          <w:rFonts w:hint="eastAsia" w:ascii="仿宋_GB2312"/>
          <w:lang w:eastAsia="zh-CN"/>
        </w:rPr>
        <w:t>，</w:t>
      </w:r>
      <w:r>
        <w:rPr>
          <w:rFonts w:hint="eastAsia" w:ascii="仿宋_GB2312"/>
        </w:rPr>
        <w:t>实际得分</w:t>
      </w:r>
      <w:r>
        <w:rPr>
          <w:rFonts w:hint="eastAsia" w:ascii="仿宋_GB2312"/>
          <w:lang w:val="en-US" w:eastAsia="zh-CN"/>
        </w:rPr>
        <w:t>30</w:t>
      </w:r>
      <w:r>
        <w:rPr>
          <w:rFonts w:hint="eastAsia" w:ascii="仿宋_GB2312"/>
        </w:rPr>
        <w:t>分</w:t>
      </w:r>
      <w:r>
        <w:rPr>
          <w:rFonts w:hint="eastAsia" w:ascii="仿宋_GB2312"/>
          <w:lang w:eastAsia="zh-CN"/>
        </w:rPr>
        <w:t>，</w:t>
      </w:r>
      <w:r>
        <w:rPr>
          <w:rFonts w:hint="eastAsia" w:ascii="仿宋_GB2312"/>
        </w:rPr>
        <w:t>得分率</w:t>
      </w:r>
      <w:r>
        <w:rPr>
          <w:rFonts w:hint="eastAsia" w:ascii="仿宋_GB2312"/>
          <w:lang w:val="en-US" w:eastAsia="zh-CN"/>
        </w:rPr>
        <w:t>100</w:t>
      </w:r>
      <w:r>
        <w:rPr>
          <w:rFonts w:hint="eastAsia" w:ascii="仿宋_GB2312"/>
        </w:rPr>
        <w:t>%</w:t>
      </w:r>
      <w:r>
        <w:rPr>
          <w:rFonts w:hint="eastAsia" w:ascii="仿宋_GB2312"/>
          <w:lang w:eastAsia="zh-CN"/>
        </w:rPr>
        <w:t>，</w:t>
      </w:r>
      <w:r>
        <w:rPr>
          <w:rFonts w:hint="eastAsia" w:ascii="仿宋_GB2312"/>
        </w:rPr>
        <w:t>详见表4-3：</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both"/>
        <w:textAlignment w:val="auto"/>
        <w:rPr>
          <w:rFonts w:hint="eastAsia" w:ascii="仿宋_GB2312" w:hAnsi="仿宋_GB2312" w:eastAsia="仿宋_GB2312" w:cs="仿宋_GB2312"/>
          <w:b w:val="0"/>
          <w:bCs w:val="0"/>
          <w:kern w:val="0"/>
          <w:sz w:val="28"/>
          <w:szCs w:val="28"/>
        </w:rPr>
      </w:pPr>
      <w:r>
        <w:rPr>
          <w:rFonts w:hint="eastAsia" w:ascii="仿宋_GB2312" w:hAnsi="仿宋_GB2312" w:eastAsia="仿宋_GB2312" w:cs="仿宋_GB2312"/>
          <w:b/>
          <w:bCs/>
          <w:kern w:val="0"/>
          <w:sz w:val="28"/>
          <w:szCs w:val="28"/>
        </w:rPr>
        <w:t xml:space="preserve">表4-3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产出类指标体系表</w:t>
      </w:r>
    </w:p>
    <w:tbl>
      <w:tblPr>
        <w:tblStyle w:val="20"/>
        <w:tblW w:w="4998"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146"/>
        <w:gridCol w:w="1500"/>
        <w:gridCol w:w="2284"/>
        <w:gridCol w:w="691"/>
        <w:gridCol w:w="937"/>
        <w:gridCol w:w="1152"/>
        <w:gridCol w:w="81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tblHeader/>
          <w:jc w:val="center"/>
        </w:trPr>
        <w:tc>
          <w:tcPr>
            <w:tcW w:w="67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87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33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405"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54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675"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78"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C产出</w:t>
            </w: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C1产出数量</w:t>
            </w:r>
          </w:p>
        </w:tc>
        <w:tc>
          <w:tcPr>
            <w:tcW w:w="2284" w:type="dxa"/>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rPr>
              <w:t>C11</w:t>
            </w:r>
            <w:r>
              <w:rPr>
                <w:rFonts w:hint="eastAsia" w:ascii="仿宋_GB2312" w:hAnsi="仿宋_GB2312" w:cs="仿宋_GB2312"/>
                <w:b w:val="0"/>
                <w:bCs w:val="0"/>
                <w:sz w:val="24"/>
                <w:lang w:val="en-US" w:eastAsia="zh-CN"/>
              </w:rPr>
              <w:t>应补尽补率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eastAsia="zh-CN"/>
              </w:rPr>
              <w:t>0</w:t>
            </w: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C2产出质量</w:t>
            </w:r>
          </w:p>
        </w:tc>
        <w:tc>
          <w:tcPr>
            <w:tcW w:w="2284" w:type="dxa"/>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rPr>
              <w:t>C21</w:t>
            </w:r>
            <w:r>
              <w:rPr>
                <w:rFonts w:hint="eastAsia" w:ascii="仿宋_GB2312" w:hAnsi="仿宋_GB2312" w:cs="仿宋_GB2312"/>
                <w:b w:val="0"/>
                <w:bCs w:val="0"/>
                <w:sz w:val="24"/>
                <w:lang w:val="en-US" w:eastAsia="zh-CN"/>
              </w:rPr>
              <w:t>补贴标准符合率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549"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default" w:ascii="仿宋_GB2312" w:hAnsi="仿宋_GB2312" w:eastAsia="仿宋_GB2312" w:cs="仿宋_GB2312"/>
                <w:b w:val="0"/>
                <w:bCs w:val="0"/>
                <w:kern w:val="2"/>
                <w:sz w:val="24"/>
                <w:szCs w:val="24"/>
                <w:lang w:val="en-US" w:eastAsia="zh-CN" w:bidi="ar-SA"/>
              </w:rPr>
            </w:pPr>
            <w:r>
              <w:rPr>
                <w:rFonts w:hint="eastAsia" w:ascii="仿宋_GB2312" w:hAnsi="仿宋_GB2312" w:cs="仿宋_GB2312"/>
                <w:b w:val="0"/>
                <w:bCs w:val="0"/>
                <w:sz w:val="24"/>
                <w:lang w:val="en-US" w:eastAsia="zh-CN"/>
              </w:rPr>
              <w:t>100%</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rPr>
              <w:t>C</w:t>
            </w:r>
            <w:r>
              <w:rPr>
                <w:rFonts w:hint="eastAsia" w:ascii="仿宋_GB2312" w:hAnsi="仿宋_GB2312" w:cs="仿宋_GB2312"/>
                <w:b w:val="0"/>
                <w:bCs w:val="0"/>
                <w:sz w:val="24"/>
                <w:lang w:val="en-US" w:eastAsia="zh-CN"/>
              </w:rPr>
              <w:t>3</w:t>
            </w:r>
            <w:r>
              <w:rPr>
                <w:rFonts w:hint="eastAsia" w:ascii="仿宋_GB2312" w:hAnsi="仿宋_GB2312" w:cs="仿宋_GB2312"/>
                <w:b w:val="0"/>
                <w:bCs w:val="0"/>
                <w:sz w:val="24"/>
              </w:rPr>
              <w:t>产出时效</w:t>
            </w:r>
          </w:p>
        </w:tc>
        <w:tc>
          <w:tcPr>
            <w:tcW w:w="2284" w:type="dxa"/>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rPr>
              <w:t>C31</w:t>
            </w:r>
            <w:r>
              <w:rPr>
                <w:rFonts w:hint="eastAsia" w:ascii="仿宋_GB2312" w:hAnsi="仿宋_GB2312" w:cs="仿宋_GB2312"/>
                <w:b w:val="0"/>
                <w:bCs w:val="0"/>
                <w:sz w:val="24"/>
                <w:lang w:val="en-US" w:eastAsia="zh-CN"/>
              </w:rPr>
              <w:t>补贴资金发放及时性</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549"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及时</w:t>
            </w:r>
          </w:p>
        </w:tc>
        <w:tc>
          <w:tcPr>
            <w:tcW w:w="675"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及时</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合计</w:t>
            </w: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05"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30</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eastAsia="zh-CN"/>
              </w:rPr>
            </w:pPr>
            <w:r>
              <w:rPr>
                <w:rFonts w:hint="default" w:ascii="仿宋_GB2312" w:hAnsi="仿宋_GB2312" w:eastAsia="仿宋_GB2312" w:cs="仿宋_GB2312"/>
                <w:b w:val="0"/>
                <w:bCs w:val="0"/>
                <w:sz w:val="24"/>
                <w:lang w:eastAsia="zh-CN"/>
              </w:rPr>
              <w:fldChar w:fldCharType="begin"/>
            </w:r>
            <w:r>
              <w:rPr>
                <w:rFonts w:hint="default" w:ascii="仿宋_GB2312" w:hAnsi="仿宋_GB2312" w:eastAsia="仿宋_GB2312" w:cs="仿宋_GB2312"/>
                <w:b w:val="0"/>
                <w:bCs w:val="0"/>
                <w:sz w:val="24"/>
                <w:lang w:eastAsia="zh-CN"/>
              </w:rPr>
              <w:instrText xml:space="preserve"> =SUM(ABOVE) \* MERGEFORMAT </w:instrText>
            </w:r>
            <w:r>
              <w:rPr>
                <w:rFonts w:hint="default" w:ascii="仿宋_GB2312" w:hAnsi="仿宋_GB2312" w:eastAsia="仿宋_GB2312" w:cs="仿宋_GB2312"/>
                <w:b w:val="0"/>
                <w:bCs w:val="0"/>
                <w:sz w:val="24"/>
                <w:lang w:eastAsia="zh-CN"/>
              </w:rPr>
              <w:fldChar w:fldCharType="separate"/>
            </w:r>
            <w:r>
              <w:rPr>
                <w:rFonts w:hint="default" w:ascii="仿宋_GB2312" w:hAnsi="仿宋_GB2312" w:eastAsia="仿宋_GB2312" w:cs="仿宋_GB2312"/>
                <w:b w:val="0"/>
                <w:bCs w:val="0"/>
                <w:sz w:val="24"/>
                <w:lang w:eastAsia="zh-CN"/>
              </w:rPr>
              <w:t>30</w:t>
            </w:r>
            <w:r>
              <w:rPr>
                <w:rFonts w:hint="default" w:ascii="仿宋_GB2312" w:hAnsi="仿宋_GB2312" w:eastAsia="仿宋_GB2312" w:cs="仿宋_GB2312"/>
                <w:b w:val="0"/>
                <w:bCs w:val="0"/>
                <w:sz w:val="24"/>
                <w:lang w:eastAsia="zh-CN"/>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1.项目产出数量目标的实现程度分析</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C11应补尽补率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10</w:t>
      </w:r>
      <w:r>
        <w:rPr>
          <w:rFonts w:hint="eastAsia" w:ascii="仿宋_GB2312"/>
          <w:b/>
          <w:bCs/>
          <w:kern w:val="0"/>
          <w:szCs w:val="32"/>
          <w:lang w:val="zh-CN"/>
        </w:rPr>
        <w:t>分，得分</w:t>
      </w:r>
      <w:r>
        <w:rPr>
          <w:rFonts w:hint="eastAsia" w:ascii="仿宋_GB2312"/>
          <w:b/>
          <w:bCs/>
          <w:kern w:val="0"/>
          <w:szCs w:val="32"/>
          <w:lang w:val="en-US" w:eastAsia="zh-CN"/>
        </w:rPr>
        <w:t>10</w:t>
      </w:r>
      <w:r>
        <w:rPr>
          <w:rFonts w:hint="eastAsia" w:ascii="仿宋_GB2312"/>
          <w:b/>
          <w:bCs/>
          <w:kern w:val="0"/>
          <w:szCs w:val="32"/>
          <w:lang w:val="zh-CN"/>
        </w:rPr>
        <w:t>分。</w:t>
      </w:r>
    </w:p>
    <w:p>
      <w:pPr>
        <w:ind w:firstLine="640"/>
        <w:rPr>
          <w:rFonts w:ascii="仿宋_GB2312"/>
        </w:rPr>
      </w:pPr>
      <w:r>
        <w:rPr>
          <w:rFonts w:hint="eastAsia" w:ascii="仿宋_GB2312"/>
          <w:lang w:val="en-US" w:eastAsia="zh-CN"/>
        </w:rPr>
        <w:t>本指标用以反映和考核项目实际申请补贴台数与实际申请通过台数的比率，用以反映和考核补贴完成的实现程度。</w:t>
      </w:r>
    </w:p>
    <w:p>
      <w:pPr>
        <w:ind w:firstLine="640"/>
        <w:rPr>
          <w:rFonts w:hint="eastAsia" w:ascii="仿宋_GB2312" w:hAnsi="仿宋_GB2312" w:eastAsia="仿宋_GB2312" w:cs="仿宋_GB2312"/>
          <w:lang w:val="en-US" w:eastAsia="zh-CN"/>
        </w:rPr>
      </w:pPr>
      <w:r>
        <w:rPr>
          <w:rFonts w:hint="eastAsia" w:ascii="仿宋_GB2312"/>
        </w:rPr>
        <w:t>经评价组</w:t>
      </w:r>
      <w:r>
        <w:rPr>
          <w:rFonts w:hint="eastAsia" w:ascii="仿宋_GB2312"/>
          <w:lang w:val="en-US" w:eastAsia="zh-CN"/>
        </w:rPr>
        <w:t>调研、查阅补贴明细账</w:t>
      </w:r>
      <w:r>
        <w:rPr>
          <w:rFonts w:hint="eastAsia" w:ascii="仿宋_GB2312"/>
        </w:rPr>
        <w:t>了解</w:t>
      </w:r>
      <w:r>
        <w:rPr>
          <w:rFonts w:hint="eastAsia" w:ascii="仿宋_GB2312"/>
          <w:lang w:eastAsia="zh-CN"/>
        </w:rPr>
        <w:t>，</w:t>
      </w:r>
      <w:r>
        <w:rPr>
          <w:rFonts w:hint="eastAsia" w:ascii="仿宋_GB2312"/>
          <w:lang w:val="en-US" w:eastAsia="zh-CN"/>
        </w:rPr>
        <w:t>实际申请通过502台，实际补贴215台，剩余287台2023年优先补贴，依据《古县2021—2023年农业机械购置补贴工作方案》补贴申领原则上当年有效，因当年补贴资金规模不够、办理手续时间紧张等无法享受补贴的，可在下一年度优先兑付，2022年资金仅够补贴215台</w:t>
      </w:r>
      <w:r>
        <w:rPr>
          <w:rFonts w:hint="eastAsia" w:ascii="仿宋_GB2312" w:hAnsi="仿宋_GB2312" w:eastAsia="仿宋_GB2312" w:cs="仿宋_GB2312"/>
          <w:lang w:val="en-US" w:eastAsia="zh-CN"/>
        </w:rPr>
        <w:t>。</w:t>
      </w:r>
    </w:p>
    <w:p>
      <w:pPr>
        <w:ind w:firstLine="640"/>
        <w:rPr>
          <w:rFonts w:hint="eastAsia" w:ascii="仿宋_GB2312"/>
        </w:rPr>
      </w:pPr>
      <w:r>
        <w:rPr>
          <w:rFonts w:hint="eastAsia" w:ascii="仿宋_GB2312"/>
        </w:rPr>
        <w:t>根据评分标准：满分</w:t>
      </w:r>
      <w:r>
        <w:rPr>
          <w:rFonts w:hint="eastAsia" w:ascii="仿宋_GB2312"/>
          <w:lang w:val="en-US" w:eastAsia="zh-CN"/>
        </w:rPr>
        <w:t>10</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10</w:t>
      </w:r>
      <w:r>
        <w:rPr>
          <w:rFonts w:hint="eastAsia" w:ascii="仿宋_GB2312"/>
        </w:rPr>
        <w:t>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2.项目产出质量目标的实现程度分析</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C21补贴标准符合率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10</w:t>
      </w:r>
      <w:r>
        <w:rPr>
          <w:rFonts w:hint="eastAsia" w:ascii="仿宋_GB2312"/>
          <w:b/>
          <w:bCs/>
          <w:kern w:val="0"/>
          <w:szCs w:val="32"/>
          <w:lang w:val="zh-CN"/>
        </w:rPr>
        <w:t>分，得分</w:t>
      </w:r>
      <w:r>
        <w:rPr>
          <w:rFonts w:hint="eastAsia" w:ascii="仿宋_GB2312"/>
          <w:b/>
          <w:bCs/>
          <w:kern w:val="0"/>
          <w:szCs w:val="32"/>
          <w:lang w:val="en-US" w:eastAsia="zh-CN"/>
        </w:rPr>
        <w:t>10</w:t>
      </w:r>
      <w:r>
        <w:rPr>
          <w:rFonts w:hint="eastAsia" w:ascii="仿宋_GB2312"/>
          <w:b/>
          <w:bCs/>
          <w:kern w:val="0"/>
          <w:szCs w:val="32"/>
          <w:lang w:val="zh-CN"/>
        </w:rPr>
        <w:t>分。</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本指标用以反映和考核项目实施补贴符合标准人数与实际补贴总人数的比率，用以反映和考核补贴标准符合情况。</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根据评价组查阅申请手续和补贴资料，实际补贴215人，215人全部符合补贴标准。</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rPr>
      </w:pPr>
      <w:r>
        <w:rPr>
          <w:rFonts w:hint="eastAsia" w:ascii="仿宋_GB2312"/>
        </w:rPr>
        <w:t>根据评分标准：满分</w:t>
      </w:r>
      <w:r>
        <w:rPr>
          <w:rFonts w:hint="eastAsia" w:ascii="仿宋_GB2312"/>
          <w:lang w:val="en-US" w:eastAsia="zh-CN"/>
        </w:rPr>
        <w:t>10</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10</w:t>
      </w:r>
      <w:r>
        <w:rPr>
          <w:rFonts w:hint="eastAsia" w:ascii="仿宋_GB2312"/>
        </w:rPr>
        <w:t>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3.项目产出时效目标的实现程度分析</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C31补贴资金发放及时性</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10</w:t>
      </w:r>
      <w:r>
        <w:rPr>
          <w:rFonts w:hint="eastAsia" w:ascii="仿宋_GB2312"/>
          <w:b/>
          <w:bCs/>
          <w:kern w:val="0"/>
          <w:szCs w:val="32"/>
          <w:lang w:val="zh-CN"/>
        </w:rPr>
        <w:t>分，得分</w:t>
      </w:r>
      <w:r>
        <w:rPr>
          <w:rFonts w:hint="eastAsia" w:ascii="仿宋_GB2312"/>
          <w:b/>
          <w:bCs/>
          <w:kern w:val="0"/>
          <w:szCs w:val="32"/>
          <w:lang w:val="en-US" w:eastAsia="zh-CN"/>
        </w:rPr>
        <w:t>10</w:t>
      </w:r>
      <w:r>
        <w:rPr>
          <w:rFonts w:hint="eastAsia" w:ascii="仿宋_GB2312"/>
          <w:b/>
          <w:bCs/>
          <w:kern w:val="0"/>
          <w:szCs w:val="32"/>
          <w:lang w:val="zh-CN"/>
        </w:rPr>
        <w:t>分。</w:t>
      </w:r>
    </w:p>
    <w:p>
      <w:pPr>
        <w:ind w:firstLine="640"/>
        <w:rPr>
          <w:rFonts w:ascii="仿宋_GB2312"/>
        </w:rPr>
      </w:pPr>
      <w:r>
        <w:rPr>
          <w:rFonts w:hint="eastAsia" w:ascii="仿宋_GB2312"/>
        </w:rPr>
        <w:t>本指标用以反映和考核</w:t>
      </w:r>
      <w:r>
        <w:rPr>
          <w:rFonts w:hint="eastAsia" w:ascii="仿宋_GB2312"/>
          <w:lang w:val="en-US" w:eastAsia="zh-CN"/>
        </w:rPr>
        <w:t>项目实施的补贴资金发放及时性，用以反映和考核资金发放及时情况。</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default" w:ascii="仿宋_GB2312"/>
          <w:lang w:val="en-US" w:eastAsia="zh-CN"/>
        </w:rPr>
      </w:pPr>
      <w:r>
        <w:rPr>
          <w:rFonts w:hint="eastAsia" w:ascii="仿宋_GB2312"/>
          <w:lang w:val="en-US" w:eastAsia="zh-CN"/>
        </w:rPr>
        <w:t>根据评价组查阅申请时间和补贴明细，发现申请通过后，15日内全部发放到申请者手中。</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根据评分标准：满分10分，得分10分。</w:t>
      </w:r>
    </w:p>
    <w:p>
      <w:pPr>
        <w:pStyle w:val="4"/>
        <w:ind w:firstLine="640"/>
        <w:rPr>
          <w:rFonts w:ascii="仿宋_GB2312"/>
        </w:rPr>
      </w:pPr>
      <w:bookmarkStart w:id="50" w:name="_Toc8242"/>
      <w:r>
        <w:rPr>
          <w:rFonts w:hint="eastAsia" w:ascii="仿宋_GB2312"/>
        </w:rPr>
        <w:t>（四）项目效益情况</w:t>
      </w:r>
      <w:bookmarkEnd w:id="50"/>
    </w:p>
    <w:p>
      <w:pPr>
        <w:ind w:firstLine="640"/>
      </w:pPr>
      <w:r>
        <w:rPr>
          <w:rFonts w:hint="eastAsia" w:ascii="仿宋_GB2312" w:hAnsi="仿宋_GB2312" w:eastAsia="仿宋_GB2312" w:cs="仿宋_GB2312"/>
          <w:lang w:val="en-US" w:eastAsia="zh-CN"/>
        </w:rPr>
        <w:t>主要指标包括项目效益和满意度两方面。标准分30分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实际得分</w:t>
      </w:r>
      <w:r>
        <w:rPr>
          <w:rFonts w:hint="eastAsia" w:ascii="仿宋_GB2312" w:hAnsi="仿宋_GB2312" w:cs="仿宋_GB2312"/>
          <w:lang w:val="en-US" w:eastAsia="zh-CN"/>
        </w:rPr>
        <w:t>26.8</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得分率</w:t>
      </w:r>
      <w:r>
        <w:rPr>
          <w:rFonts w:hint="eastAsia" w:ascii="仿宋_GB2312" w:hAnsi="仿宋_GB2312" w:cs="仿宋_GB2312"/>
          <w:lang w:val="en-US" w:eastAsia="zh-CN"/>
        </w:rPr>
        <w:t>89.33</w:t>
      </w:r>
      <w:r>
        <w:rPr>
          <w:rFonts w:hint="eastAsia" w:ascii="仿宋_GB2312" w:hAnsi="仿宋_GB2312" w:eastAsia="仿宋_GB2312" w:cs="仿宋_GB2312"/>
          <w:lang w:val="en-US" w:eastAsia="zh-CN"/>
        </w:rPr>
        <w:t>%。</w:t>
      </w:r>
      <w:r>
        <w:rPr>
          <w:rFonts w:hint="eastAsia" w:ascii="仿宋_GB2312"/>
        </w:rPr>
        <w:t>详见</w:t>
      </w:r>
      <w:r>
        <w:rPr>
          <w:rFonts w:hint="eastAsia" w:ascii="仿宋_GB2312"/>
          <w:b/>
          <w:bCs/>
        </w:rPr>
        <w:t>表4-4：</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表4-4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效益类指标体系表</w:t>
      </w:r>
    </w:p>
    <w:tbl>
      <w:tblPr>
        <w:tblStyle w:val="20"/>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0"/>
        <w:gridCol w:w="1653"/>
        <w:gridCol w:w="2454"/>
        <w:gridCol w:w="568"/>
        <w:gridCol w:w="965"/>
        <w:gridCol w:w="957"/>
        <w:gridCol w:w="7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一级指标</w:t>
            </w:r>
          </w:p>
        </w:tc>
        <w:tc>
          <w:tcPr>
            <w:tcW w:w="969"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二级指标</w:t>
            </w:r>
          </w:p>
        </w:tc>
        <w:tc>
          <w:tcPr>
            <w:tcW w:w="1439"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三级指标</w:t>
            </w:r>
          </w:p>
        </w:tc>
        <w:tc>
          <w:tcPr>
            <w:tcW w:w="333"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分值</w:t>
            </w:r>
          </w:p>
        </w:tc>
        <w:tc>
          <w:tcPr>
            <w:tcW w:w="566" w:type="pct"/>
            <w:shd w:val="clear" w:color="auto" w:fill="CFCECE" w:themeFill="background2" w:themeFillShade="E5"/>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目标值</w:t>
            </w:r>
          </w:p>
        </w:tc>
        <w:tc>
          <w:tcPr>
            <w:tcW w:w="561" w:type="pct"/>
            <w:shd w:val="clear" w:color="auto" w:fill="CFCECE" w:themeFill="background2" w:themeFillShade="E5"/>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业绩值</w:t>
            </w:r>
          </w:p>
        </w:tc>
        <w:tc>
          <w:tcPr>
            <w:tcW w:w="443"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Merge w:val="restart"/>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ascii="仿宋_GB2312" w:hAnsi="仿宋_GB2312" w:cs="仿宋_GB2312"/>
                <w:sz w:val="24"/>
              </w:rPr>
            </w:pPr>
            <w:r>
              <w:rPr>
                <w:rFonts w:hint="eastAsia" w:ascii="仿宋_GB2312" w:hAnsi="仿宋_GB2312" w:cs="仿宋_GB2312"/>
                <w:sz w:val="24"/>
                <w:lang w:val="en-US" w:eastAsia="zh-CN"/>
              </w:rPr>
              <w:t>D1经济</w:t>
            </w:r>
            <w:r>
              <w:rPr>
                <w:rFonts w:hint="eastAsia" w:ascii="仿宋_GB2312" w:hAnsi="仿宋_GB2312" w:cs="仿宋_GB2312"/>
                <w:sz w:val="24"/>
              </w:rPr>
              <w:t>效益</w:t>
            </w: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D11增加粮食产量，提高农民收入</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5</w:t>
            </w:r>
          </w:p>
        </w:tc>
        <w:tc>
          <w:tcPr>
            <w:tcW w:w="965" w:type="dxa"/>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增加</w:t>
            </w:r>
          </w:p>
        </w:tc>
        <w:tc>
          <w:tcPr>
            <w:tcW w:w="957" w:type="dxa"/>
            <w:vAlign w:val="center"/>
          </w:tcPr>
          <w:p>
            <w:pPr>
              <w:widowControl/>
              <w:snapToGrid w:val="0"/>
              <w:spacing w:line="240" w:lineRule="auto"/>
              <w:ind w:firstLine="0" w:firstLineChars="0"/>
              <w:jc w:val="center"/>
              <w:textAlignment w:val="center"/>
              <w:rPr>
                <w:rFonts w:hint="eastAsia"/>
                <w:sz w:val="24"/>
              </w:rPr>
            </w:pPr>
            <w:r>
              <w:rPr>
                <w:rFonts w:hint="eastAsia"/>
                <w:sz w:val="24"/>
                <w:lang w:val="en-US" w:eastAsia="zh-CN"/>
              </w:rPr>
              <w:t>增加</w:t>
            </w:r>
          </w:p>
        </w:tc>
        <w:tc>
          <w:tcPr>
            <w:tcW w:w="443"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Merge w:val="continue"/>
            <w:vAlign w:val="center"/>
          </w:tcPr>
          <w:p>
            <w:pPr>
              <w:spacing w:line="240" w:lineRule="auto"/>
              <w:ind w:firstLine="0" w:firstLineChars="0"/>
              <w:jc w:val="center"/>
              <w:rPr>
                <w:sz w:val="28"/>
              </w:rPr>
            </w:pPr>
          </w:p>
        </w:tc>
        <w:tc>
          <w:tcPr>
            <w:tcW w:w="969" w:type="pct"/>
            <w:vMerge w:val="restart"/>
            <w:vAlign w:val="center"/>
          </w:tcPr>
          <w:p>
            <w:pPr>
              <w:spacing w:line="240" w:lineRule="auto"/>
              <w:ind w:firstLine="0" w:firstLineChars="0"/>
              <w:jc w:val="both"/>
              <w:rPr>
                <w:rFonts w:hint="default" w:ascii="仿宋_GB2312" w:hAnsi="仿宋_GB2312" w:cs="仿宋_GB2312"/>
                <w:sz w:val="24"/>
                <w:lang w:val="en-US" w:eastAsia="zh-CN"/>
              </w:rPr>
            </w:pPr>
            <w:r>
              <w:rPr>
                <w:rFonts w:hint="eastAsia" w:ascii="仿宋_GB2312" w:hAnsi="仿宋_GB2312" w:cs="仿宋_GB2312"/>
                <w:sz w:val="24"/>
                <w:lang w:val="en-US" w:eastAsia="zh-CN"/>
              </w:rPr>
              <w:t>D2</w:t>
            </w:r>
            <w:r>
              <w:rPr>
                <w:rFonts w:hint="eastAsia" w:ascii="仿宋_GB2312" w:hAnsi="仿宋_GB2312" w:cs="仿宋_GB2312"/>
                <w:sz w:val="24"/>
              </w:rPr>
              <w:t>社会效益</w:t>
            </w: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D21促进规模化经营，提高农业生产现代化</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5</w:t>
            </w:r>
          </w:p>
        </w:tc>
        <w:tc>
          <w:tcPr>
            <w:tcW w:w="965" w:type="dxa"/>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提高</w:t>
            </w:r>
          </w:p>
        </w:tc>
        <w:tc>
          <w:tcPr>
            <w:tcW w:w="957" w:type="dxa"/>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提高</w:t>
            </w:r>
          </w:p>
        </w:tc>
        <w:tc>
          <w:tcPr>
            <w:tcW w:w="44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Merge w:val="continue"/>
            <w:vAlign w:val="center"/>
          </w:tcPr>
          <w:p>
            <w:pPr>
              <w:spacing w:line="240" w:lineRule="auto"/>
              <w:ind w:firstLine="0" w:firstLineChars="0"/>
              <w:jc w:val="center"/>
              <w:rPr>
                <w:sz w:val="28"/>
              </w:rPr>
            </w:pPr>
          </w:p>
        </w:tc>
        <w:tc>
          <w:tcPr>
            <w:tcW w:w="969" w:type="pct"/>
            <w:vMerge w:val="continue"/>
            <w:vAlign w:val="center"/>
          </w:tcPr>
          <w:p>
            <w:pPr>
              <w:spacing w:line="240" w:lineRule="auto"/>
              <w:ind w:firstLine="0" w:firstLineChars="0"/>
              <w:jc w:val="center"/>
              <w:rPr>
                <w:rFonts w:hint="eastAsia" w:ascii="仿宋_GB2312" w:hAnsi="仿宋_GB2312" w:cs="仿宋_GB2312"/>
                <w:sz w:val="24"/>
                <w:lang w:val="en-US" w:eastAsia="zh-CN"/>
              </w:rPr>
            </w:pP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D22促进产业结构调整，加快农业机械化产业发展</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5</w:t>
            </w:r>
          </w:p>
        </w:tc>
        <w:tc>
          <w:tcPr>
            <w:tcW w:w="965" w:type="dxa"/>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促进</w:t>
            </w:r>
          </w:p>
        </w:tc>
        <w:tc>
          <w:tcPr>
            <w:tcW w:w="957" w:type="dxa"/>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促进</w:t>
            </w:r>
          </w:p>
        </w:tc>
        <w:tc>
          <w:tcPr>
            <w:tcW w:w="443"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Merge w:val="continue"/>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hint="default" w:ascii="仿宋_GB2312" w:hAnsi="仿宋_GB2312" w:eastAsia="仿宋_GB2312" w:cs="仿宋_GB2312"/>
                <w:sz w:val="24"/>
                <w:lang w:val="en-US" w:eastAsia="zh-CN"/>
              </w:rPr>
            </w:pPr>
            <w:r>
              <w:rPr>
                <w:rFonts w:hint="eastAsia" w:ascii="仿宋_GB2312" w:hAnsi="仿宋_GB2312" w:cs="仿宋_GB2312"/>
                <w:sz w:val="24"/>
                <w:lang w:val="en-US" w:eastAsia="zh-CN"/>
              </w:rPr>
              <w:t>D3可持续影响</w:t>
            </w:r>
          </w:p>
        </w:tc>
        <w:tc>
          <w:tcPr>
            <w:tcW w:w="1439" w:type="pct"/>
            <w:vAlign w:val="center"/>
          </w:tcPr>
          <w:p>
            <w:pPr>
              <w:spacing w:line="240" w:lineRule="auto"/>
              <w:ind w:firstLine="0" w:firstLineChars="0"/>
              <w:jc w:val="both"/>
              <w:rPr>
                <w:rFonts w:hint="default" w:ascii="仿宋_GB2312" w:hAnsi="仿宋_GB2312" w:cs="仿宋_GB2312"/>
                <w:sz w:val="24"/>
                <w:lang w:val="en-US" w:eastAsia="zh-CN"/>
              </w:rPr>
            </w:pPr>
            <w:r>
              <w:rPr>
                <w:rFonts w:hint="eastAsia" w:ascii="仿宋_GB2312" w:hAnsi="仿宋_GB2312" w:cs="仿宋_GB2312"/>
                <w:sz w:val="24"/>
                <w:lang w:val="en-US" w:eastAsia="zh-CN"/>
              </w:rPr>
              <w:t>D31政策知晓率</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5</w:t>
            </w:r>
          </w:p>
        </w:tc>
        <w:tc>
          <w:tcPr>
            <w:tcW w:w="965" w:type="dxa"/>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≥90%</w:t>
            </w:r>
          </w:p>
        </w:tc>
        <w:tc>
          <w:tcPr>
            <w:tcW w:w="957" w:type="dxa"/>
            <w:vAlign w:val="center"/>
          </w:tcPr>
          <w:p>
            <w:pPr>
              <w:widowControl/>
              <w:snapToGrid w:val="0"/>
              <w:spacing w:line="240" w:lineRule="auto"/>
              <w:ind w:firstLine="0" w:firstLineChars="0"/>
              <w:jc w:val="center"/>
              <w:textAlignment w:val="center"/>
              <w:rPr>
                <w:rFonts w:hint="eastAsia"/>
                <w:sz w:val="24"/>
              </w:rPr>
            </w:pPr>
            <w:r>
              <w:rPr>
                <w:rFonts w:hint="eastAsia"/>
                <w:sz w:val="24"/>
                <w:lang w:val="en-US" w:eastAsia="zh-CN"/>
              </w:rPr>
              <w:t>75%</w:t>
            </w:r>
          </w:p>
        </w:tc>
        <w:tc>
          <w:tcPr>
            <w:tcW w:w="443"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Merge w:val="continue"/>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hint="eastAsia" w:ascii="仿宋_GB2312" w:hAnsi="仿宋_GB2312" w:eastAsia="仿宋_GB2312" w:cs="仿宋_GB2312"/>
                <w:sz w:val="24"/>
                <w:lang w:eastAsia="zh-CN"/>
              </w:rPr>
            </w:pPr>
            <w:r>
              <w:rPr>
                <w:rFonts w:hint="eastAsia" w:ascii="仿宋_GB2312" w:hAnsi="仿宋_GB2312" w:cs="仿宋_GB2312"/>
                <w:sz w:val="24"/>
                <w:lang w:val="en-US" w:eastAsia="zh-CN"/>
              </w:rPr>
              <w:t>D4满意度</w:t>
            </w:r>
          </w:p>
        </w:tc>
        <w:tc>
          <w:tcPr>
            <w:tcW w:w="1439" w:type="pct"/>
            <w:vAlign w:val="center"/>
          </w:tcPr>
          <w:p>
            <w:pPr>
              <w:spacing w:line="240" w:lineRule="auto"/>
              <w:ind w:firstLine="0" w:firstLineChars="0"/>
              <w:jc w:val="both"/>
              <w:rPr>
                <w:rFonts w:hint="default" w:ascii="仿宋_GB2312" w:hAnsi="仿宋_GB2312" w:cs="仿宋_GB2312"/>
                <w:sz w:val="24"/>
                <w:lang w:val="en-US" w:eastAsia="zh-CN"/>
              </w:rPr>
            </w:pPr>
            <w:r>
              <w:rPr>
                <w:rFonts w:hint="default" w:ascii="仿宋_GB2312" w:hAnsi="仿宋_GB2312" w:cs="仿宋_GB2312"/>
                <w:sz w:val="24"/>
                <w:lang w:val="en-US" w:eastAsia="zh-CN"/>
              </w:rPr>
              <w:t>D</w:t>
            </w:r>
            <w:r>
              <w:rPr>
                <w:rFonts w:hint="eastAsia" w:ascii="仿宋_GB2312" w:hAnsi="仿宋_GB2312" w:cs="仿宋_GB2312"/>
                <w:sz w:val="24"/>
                <w:lang w:val="en-US" w:eastAsia="zh-CN"/>
              </w:rPr>
              <w:t>4</w:t>
            </w:r>
            <w:r>
              <w:rPr>
                <w:rFonts w:hint="default" w:ascii="仿宋_GB2312" w:hAnsi="仿宋_GB2312" w:cs="仿宋_GB2312"/>
                <w:sz w:val="24"/>
                <w:lang w:val="en-US" w:eastAsia="zh-CN"/>
              </w:rPr>
              <w:t>1受益对象满意度</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10</w:t>
            </w:r>
          </w:p>
        </w:tc>
        <w:tc>
          <w:tcPr>
            <w:tcW w:w="566"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≥90%</w:t>
            </w:r>
          </w:p>
        </w:tc>
        <w:tc>
          <w:tcPr>
            <w:tcW w:w="561"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86.16%</w:t>
            </w:r>
          </w:p>
        </w:tc>
        <w:tc>
          <w:tcPr>
            <w:tcW w:w="443"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6" w:type="pct"/>
            <w:vAlign w:val="center"/>
          </w:tcPr>
          <w:p>
            <w:pPr>
              <w:spacing w:line="240" w:lineRule="auto"/>
              <w:ind w:firstLine="0" w:firstLineChars="0"/>
              <w:jc w:val="center"/>
              <w:rPr>
                <w:rFonts w:hint="eastAsia" w:ascii="仿宋_GB2312" w:hAnsi="仿宋_GB2312" w:cs="仿宋_GB2312"/>
                <w:sz w:val="24"/>
                <w:lang w:val="en-US" w:eastAsia="zh-CN"/>
              </w:rPr>
            </w:pPr>
            <w:r>
              <w:rPr>
                <w:rFonts w:hint="eastAsia" w:ascii="仿宋_GB2312" w:hAnsi="仿宋_GB2312" w:cs="仿宋_GB2312"/>
                <w:b/>
                <w:bCs/>
                <w:sz w:val="24"/>
                <w:lang w:val="en-US" w:eastAsia="zh-CN"/>
              </w:rPr>
              <w:t>合计</w:t>
            </w:r>
          </w:p>
        </w:tc>
        <w:tc>
          <w:tcPr>
            <w:tcW w:w="969" w:type="pct"/>
            <w:vAlign w:val="center"/>
          </w:tcPr>
          <w:p>
            <w:pPr>
              <w:spacing w:line="240" w:lineRule="auto"/>
              <w:ind w:firstLine="0" w:firstLineChars="0"/>
              <w:jc w:val="center"/>
              <w:rPr>
                <w:rFonts w:ascii="仿宋_GB2312" w:hAnsi="仿宋_GB2312" w:cs="仿宋_GB2312"/>
                <w:sz w:val="24"/>
              </w:rPr>
            </w:pPr>
          </w:p>
        </w:tc>
        <w:tc>
          <w:tcPr>
            <w:tcW w:w="1439" w:type="pct"/>
            <w:vAlign w:val="center"/>
          </w:tcPr>
          <w:p>
            <w:pPr>
              <w:spacing w:line="240" w:lineRule="atLeast"/>
              <w:ind w:firstLine="0" w:firstLineChars="0"/>
              <w:jc w:val="center"/>
              <w:rPr>
                <w:rFonts w:ascii="仿宋_GB2312" w:hAnsi="仿宋_GB2312" w:cs="仿宋_GB2312"/>
                <w:sz w:val="24"/>
              </w:rPr>
            </w:pPr>
          </w:p>
        </w:tc>
        <w:tc>
          <w:tcPr>
            <w:tcW w:w="333" w:type="pct"/>
            <w:vAlign w:val="center"/>
          </w:tcPr>
          <w:p>
            <w:pPr>
              <w:widowControl/>
              <w:snapToGrid w:val="0"/>
              <w:spacing w:line="240" w:lineRule="auto"/>
              <w:ind w:firstLine="0" w:firstLineChars="0"/>
              <w:jc w:val="center"/>
              <w:textAlignment w:val="center"/>
              <w:rPr>
                <w:sz w:val="24"/>
              </w:rPr>
            </w:pPr>
            <w:r>
              <w:rPr>
                <w:rFonts w:hint="eastAsia"/>
                <w:sz w:val="24"/>
              </w:rPr>
              <w:t>30</w:t>
            </w:r>
          </w:p>
        </w:tc>
        <w:tc>
          <w:tcPr>
            <w:tcW w:w="566" w:type="pct"/>
            <w:vAlign w:val="center"/>
          </w:tcPr>
          <w:p>
            <w:pPr>
              <w:widowControl/>
              <w:snapToGrid w:val="0"/>
              <w:spacing w:line="240" w:lineRule="auto"/>
              <w:ind w:firstLine="0" w:firstLineChars="0"/>
              <w:jc w:val="center"/>
              <w:textAlignment w:val="center"/>
              <w:rPr>
                <w:rFonts w:hint="eastAsia"/>
                <w:sz w:val="24"/>
              </w:rPr>
            </w:pPr>
          </w:p>
        </w:tc>
        <w:tc>
          <w:tcPr>
            <w:tcW w:w="561" w:type="pct"/>
            <w:vAlign w:val="center"/>
          </w:tcPr>
          <w:p>
            <w:pPr>
              <w:widowControl/>
              <w:snapToGrid w:val="0"/>
              <w:spacing w:line="240" w:lineRule="auto"/>
              <w:ind w:firstLine="0" w:firstLineChars="0"/>
              <w:jc w:val="center"/>
              <w:textAlignment w:val="center"/>
              <w:rPr>
                <w:rFonts w:hint="eastAsia"/>
                <w:sz w:val="24"/>
              </w:rPr>
            </w:pPr>
          </w:p>
        </w:tc>
        <w:tc>
          <w:tcPr>
            <w:tcW w:w="443" w:type="pct"/>
            <w:vAlign w:val="center"/>
          </w:tcPr>
          <w:p>
            <w:pPr>
              <w:widowControl/>
              <w:snapToGrid w:val="0"/>
              <w:spacing w:line="240" w:lineRule="auto"/>
              <w:ind w:firstLine="0" w:firstLineChars="0"/>
              <w:jc w:val="center"/>
              <w:textAlignment w:val="center"/>
              <w:rPr>
                <w:rFonts w:hint="default" w:eastAsia="仿宋_GB2312"/>
                <w:sz w:val="24"/>
                <w:lang w:eastAsia="zh-CN"/>
              </w:rPr>
            </w:pPr>
            <w:r>
              <w:rPr>
                <w:rFonts w:hint="default" w:eastAsia="仿宋_GB2312"/>
                <w:sz w:val="24"/>
                <w:lang w:eastAsia="zh-CN"/>
              </w:rPr>
              <w:fldChar w:fldCharType="begin"/>
            </w:r>
            <w:r>
              <w:rPr>
                <w:rFonts w:hint="default" w:eastAsia="仿宋_GB2312"/>
                <w:sz w:val="24"/>
                <w:lang w:eastAsia="zh-CN"/>
              </w:rPr>
              <w:instrText xml:space="preserve"> =SUM(ABOVE) \* MERGEFORMAT </w:instrText>
            </w:r>
            <w:r>
              <w:rPr>
                <w:rFonts w:hint="default" w:eastAsia="仿宋_GB2312"/>
                <w:sz w:val="24"/>
                <w:lang w:eastAsia="zh-CN"/>
              </w:rPr>
              <w:fldChar w:fldCharType="separate"/>
            </w:r>
            <w:r>
              <w:rPr>
                <w:rFonts w:hint="default" w:eastAsia="仿宋_GB2312"/>
                <w:sz w:val="24"/>
                <w:lang w:eastAsia="zh-CN"/>
              </w:rPr>
              <w:t>26.8</w:t>
            </w:r>
            <w:r>
              <w:rPr>
                <w:rFonts w:hint="default" w:eastAsia="仿宋_GB2312"/>
                <w:sz w:val="24"/>
                <w:lang w:eastAsia="zh-CN"/>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1.项目实施所产生的效益分析</w:t>
      </w:r>
    </w:p>
    <w:p>
      <w:pPr>
        <w:numPr>
          <w:ilvl w:val="0"/>
          <w:numId w:val="0"/>
        </w:numPr>
        <w:ind w:firstLine="643" w:firstLineChars="200"/>
        <w:rPr>
          <w:rFonts w:ascii="仿宋_GB2312"/>
          <w:sz w:val="36"/>
          <w:szCs w:val="32"/>
        </w:rPr>
      </w:pPr>
      <w:r>
        <w:rPr>
          <w:rFonts w:hint="eastAsia"/>
          <w:b/>
          <w:bCs/>
          <w:kern w:val="0"/>
          <w:szCs w:val="32"/>
          <w:lang w:val="en-US" w:eastAsia="zh-CN"/>
        </w:rPr>
        <w:t>D11增加粮食产量，提高农民收入</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5</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5</w:t>
      </w:r>
      <w:r>
        <w:rPr>
          <w:rFonts w:hint="eastAsia" w:ascii="仿宋_GB2312"/>
          <w:b/>
          <w:bCs/>
          <w:szCs w:val="32"/>
        </w:rPr>
        <w:t>分</w:t>
      </w:r>
      <w:r>
        <w:rPr>
          <w:rFonts w:hint="eastAsia" w:ascii="仿宋_GB2312"/>
          <w:b/>
          <w:bCs/>
          <w:sz w:val="36"/>
          <w:szCs w:val="32"/>
        </w:rPr>
        <w:t>。</w:t>
      </w:r>
    </w:p>
    <w:p>
      <w:pPr>
        <w:ind w:firstLine="640"/>
        <w:rPr>
          <w:rFonts w:hint="eastAsia" w:ascii="仿宋_GB2312" w:hAnsi="仿宋_GB2312" w:eastAsia="仿宋_GB2312" w:cs="仿宋_GB2312"/>
          <w:highlight w:val="none"/>
          <w:lang w:val="en-US" w:eastAsia="zh-CN"/>
        </w:rPr>
      </w:pPr>
      <w:r>
        <w:rPr>
          <w:rFonts w:hint="eastAsia" w:ascii="仿宋_GB2312"/>
        </w:rPr>
        <w:t>本指标用以</w:t>
      </w:r>
      <w:r>
        <w:rPr>
          <w:rFonts w:hint="eastAsia" w:ascii="仿宋_GB2312" w:hAnsi="仿宋_GB2312" w:eastAsia="仿宋_GB2312" w:cs="仿宋_GB2312"/>
          <w:highlight w:val="none"/>
          <w:lang w:val="en-US" w:eastAsia="zh-CN"/>
        </w:rPr>
        <w:t>反映和考核项目增加农民收入情况的经济效益。</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经评价组成员访问和调查，农机购置补贴的实施，促进了农业机械化快速发展，大大降低了农业生产劳动强度，提高了劳动生产率，充分调动了农民的生产积极性，稳定了粮食生产面积，促进了粮食增产高产。同时，农业生产成本明显下降，一方面，农机购置补贴政策直接降低了农民生产资料投入成本和用工成本；另一方面，农民将土地流转到规模经营户，取得一定的流转收入，大量农村劳动力从繁重的体力劳动中解放出来，转至城镇打工或自主创业，其收入远高于种田农民收入。</w:t>
      </w:r>
    </w:p>
    <w:p>
      <w:pPr>
        <w:ind w:firstLine="640"/>
      </w:pPr>
      <w:r>
        <w:rPr>
          <w:rFonts w:hint="eastAsia" w:ascii="仿宋_GB2312" w:hAnsi="仿宋_GB2312" w:eastAsia="仿宋_GB2312" w:cs="仿宋_GB2312"/>
          <w:lang w:val="en-US" w:eastAsia="zh-CN"/>
        </w:rPr>
        <w:t>根据评分标准：满</w:t>
      </w:r>
      <w:r>
        <w:rPr>
          <w:rFonts w:hint="eastAsia" w:ascii="仿宋_GB2312"/>
        </w:rPr>
        <w:t>分</w:t>
      </w:r>
      <w:r>
        <w:rPr>
          <w:rFonts w:hint="eastAsia" w:ascii="仿宋_GB2312"/>
          <w:lang w:val="en-US" w:eastAsia="zh-CN"/>
        </w:rPr>
        <w:t>5</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5</w:t>
      </w:r>
      <w:r>
        <w:rPr>
          <w:rFonts w:hint="eastAsia" w:ascii="仿宋_GB2312"/>
        </w:rPr>
        <w:t>分。</w:t>
      </w:r>
    </w:p>
    <w:p>
      <w:pPr>
        <w:ind w:firstLine="643"/>
        <w:rPr>
          <w:rFonts w:ascii="仿宋_GB2312"/>
          <w:b/>
          <w:bCs/>
          <w:szCs w:val="32"/>
        </w:rPr>
      </w:pPr>
      <w:r>
        <w:rPr>
          <w:rFonts w:hint="eastAsia" w:ascii="仿宋_GB2312"/>
          <w:b/>
          <w:bCs/>
          <w:kern w:val="0"/>
          <w:szCs w:val="32"/>
          <w:lang w:val="en-US" w:eastAsia="zh-CN"/>
        </w:rPr>
        <w:t>D21促进规模化经营，提高农业生产现代化</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5</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5</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w:t>
      </w:r>
      <w:r>
        <w:rPr>
          <w:rFonts w:hint="eastAsia" w:ascii="仿宋_GB2312" w:hAnsi="仿宋_GB2312" w:eastAsia="仿宋_GB2312" w:cs="仿宋_GB2312"/>
          <w:lang w:val="en-US" w:eastAsia="zh-CN"/>
        </w:rPr>
        <w:t>反映和考核项目促进规模化经营，提高农业生产现代化情况的</w:t>
      </w:r>
      <w:r>
        <w:rPr>
          <w:rFonts w:hint="eastAsia" w:ascii="仿宋_GB2312" w:hAnsi="仿宋_GB2312" w:cs="仿宋_GB2312"/>
          <w:lang w:val="en-US" w:eastAsia="zh-CN"/>
        </w:rPr>
        <w:t>社会</w:t>
      </w:r>
      <w:r>
        <w:rPr>
          <w:rFonts w:hint="eastAsia" w:ascii="仿宋_GB2312" w:hAnsi="仿宋_GB2312" w:eastAsia="仿宋_GB2312" w:cs="仿宋_GB2312"/>
          <w:lang w:val="en-US" w:eastAsia="zh-CN"/>
        </w:rPr>
        <w:t>效益。</w:t>
      </w:r>
    </w:p>
    <w:p>
      <w:pPr>
        <w:ind w:firstLine="640"/>
        <w:rPr>
          <w:rFonts w:hint="default" w:ascii="仿宋_GB2312" w:hAnsi="仿宋_GB2312" w:cs="仿宋_GB2312"/>
          <w:highlight w:val="none"/>
          <w:lang w:val="en-US" w:eastAsia="zh-CN"/>
        </w:rPr>
      </w:pPr>
      <w:r>
        <w:rPr>
          <w:rFonts w:hint="default" w:ascii="仿宋_GB2312" w:hAnsi="仿宋_GB2312" w:cs="仿宋_GB2312"/>
          <w:highlight w:val="none"/>
          <w:lang w:val="en-US" w:eastAsia="zh-CN"/>
        </w:rPr>
        <w:t>我国农业正由传统农业向现代农业，一家一户、小户经营、手工农业向规模化、标准化、集约化、产业化经营转变，形成了许多规模性、区域性特色农业。一大批高效、低耗能的农机具得到了推广和应用，大大提高了劳动生产率，有效促进农业生产现代化。如2022年，玉米收获机、精量播种机、轮式拖拉机等现代农业机械得到广泛运用，全县农业综合机械化水平达到了75%以上。</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根据评分标准：满分</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分。</w:t>
      </w:r>
    </w:p>
    <w:p>
      <w:pPr>
        <w:ind w:firstLine="643"/>
        <w:rPr>
          <w:rFonts w:ascii="仿宋_GB2312"/>
          <w:szCs w:val="32"/>
        </w:rPr>
      </w:pPr>
      <w:r>
        <w:rPr>
          <w:rFonts w:hint="eastAsia" w:ascii="仿宋_GB2312"/>
          <w:b/>
          <w:bCs/>
          <w:kern w:val="0"/>
          <w:szCs w:val="32"/>
          <w:lang w:val="en-US" w:eastAsia="zh-CN"/>
        </w:rPr>
        <w:t>D22促进产业结构调整，加快农业机械化产业发展</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5</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5</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w:t>
      </w:r>
      <w:r>
        <w:rPr>
          <w:rFonts w:hint="eastAsia" w:ascii="仿宋_GB2312" w:hAnsi="仿宋_GB2312" w:eastAsia="仿宋_GB2312" w:cs="仿宋_GB2312"/>
          <w:lang w:val="en-US" w:eastAsia="zh-CN"/>
        </w:rPr>
        <w:t>反映和考核项目实施对促进产业结构调整，加快农业机械化产业发展的社会效益。</w:t>
      </w:r>
    </w:p>
    <w:p>
      <w:pPr>
        <w:ind w:firstLine="643"/>
        <w:rPr>
          <w:rFonts w:hint="eastAsia" w:ascii="仿宋_GB2312" w:hAnsi="仿宋_GB2312" w:cs="仿宋_GB2312"/>
          <w:highlight w:val="none"/>
          <w:lang w:val="en-US" w:eastAsia="zh-CN"/>
        </w:rPr>
      </w:pPr>
      <w:r>
        <w:rPr>
          <w:rFonts w:hint="eastAsia" w:ascii="仿宋_GB2312" w:hAnsi="仿宋_GB2312" w:eastAsia="仿宋_GB2312" w:cs="仿宋_GB2312"/>
          <w:highlight w:val="none"/>
          <w:lang w:val="en-US" w:eastAsia="zh-CN"/>
        </w:rPr>
        <w:t>经评价组</w:t>
      </w:r>
      <w:r>
        <w:rPr>
          <w:rFonts w:hint="eastAsia" w:ascii="仿宋_GB2312" w:hAnsi="仿宋_GB2312" w:cs="仿宋_GB2312"/>
          <w:highlight w:val="none"/>
          <w:lang w:val="en-US" w:eastAsia="zh-CN"/>
        </w:rPr>
        <w:t>现场勘察和问卷调查，一直以来，我国农业机械产品投入较少，研发能力较弱，技术水平不高，产品质量不稳定，农民购买意愿较低。农机购置补贴的实施，促进了农业机械的广泛运用，加大了企业投入，加快新产品的创新、研发和生产，促进了农业机械化产业发展。</w:t>
      </w:r>
    </w:p>
    <w:p>
      <w:pPr>
        <w:ind w:firstLine="643"/>
        <w:rPr>
          <w:rFonts w:hint="eastAsia" w:ascii="仿宋_GB2312" w:hAnsi="仿宋_GB2312" w:eastAsia="仿宋_GB2312" w:cs="仿宋_GB2312"/>
          <w:highlight w:val="none"/>
          <w:lang w:val="en-US" w:eastAsia="zh-CN"/>
        </w:rPr>
      </w:pPr>
      <w:r>
        <w:rPr>
          <w:rFonts w:hint="eastAsia" w:ascii="仿宋_GB2312" w:hAnsi="仿宋_GB2312" w:eastAsia="仿宋_GB2312" w:cs="仿宋_GB2312"/>
          <w:highlight w:val="none"/>
          <w:lang w:val="en-US" w:eastAsia="zh-CN"/>
        </w:rPr>
        <w:t>根据评分标准：满分</w:t>
      </w:r>
      <w:r>
        <w:rPr>
          <w:rFonts w:hint="eastAsia" w:ascii="仿宋_GB2312" w:hAnsi="仿宋_GB2312" w:cs="仿宋_GB2312"/>
          <w:highlight w:val="none"/>
          <w:lang w:val="en-US" w:eastAsia="zh-CN"/>
        </w:rPr>
        <w:t>5</w:t>
      </w:r>
      <w:r>
        <w:rPr>
          <w:rFonts w:hint="eastAsia" w:ascii="仿宋_GB2312" w:hAnsi="仿宋_GB2312" w:eastAsia="仿宋_GB2312" w:cs="仿宋_GB2312"/>
          <w:highlight w:val="none"/>
          <w:lang w:val="en-US" w:eastAsia="zh-CN"/>
        </w:rPr>
        <w:t>分</w:t>
      </w:r>
      <w:r>
        <w:rPr>
          <w:rFonts w:hint="eastAsia" w:ascii="仿宋_GB2312" w:hAnsi="仿宋_GB2312" w:cs="仿宋_GB2312"/>
          <w:highlight w:val="none"/>
          <w:lang w:val="en-US" w:eastAsia="zh-CN"/>
        </w:rPr>
        <w:t>，</w:t>
      </w:r>
      <w:r>
        <w:rPr>
          <w:rFonts w:hint="eastAsia" w:ascii="仿宋_GB2312" w:hAnsi="仿宋_GB2312" w:eastAsia="仿宋_GB2312" w:cs="仿宋_GB2312"/>
          <w:highlight w:val="none"/>
          <w:lang w:val="en-US" w:eastAsia="zh-CN"/>
        </w:rPr>
        <w:t>得分</w:t>
      </w:r>
      <w:r>
        <w:rPr>
          <w:rFonts w:hint="eastAsia" w:ascii="仿宋_GB2312" w:hAnsi="仿宋_GB2312" w:cs="仿宋_GB2312"/>
          <w:highlight w:val="none"/>
          <w:lang w:val="en-US" w:eastAsia="zh-CN"/>
        </w:rPr>
        <w:t>5</w:t>
      </w:r>
      <w:r>
        <w:rPr>
          <w:rFonts w:hint="eastAsia" w:ascii="仿宋_GB2312" w:hAnsi="仿宋_GB2312" w:eastAsia="仿宋_GB2312" w:cs="仿宋_GB2312"/>
          <w:highlight w:val="none"/>
          <w:lang w:val="en-US" w:eastAsia="zh-CN"/>
        </w:rPr>
        <w:t>分。</w:t>
      </w:r>
    </w:p>
    <w:p>
      <w:pPr>
        <w:ind w:firstLine="643"/>
        <w:rPr>
          <w:rFonts w:ascii="仿宋_GB2312"/>
          <w:szCs w:val="32"/>
        </w:rPr>
      </w:pPr>
      <w:r>
        <w:rPr>
          <w:rFonts w:hint="eastAsia" w:ascii="仿宋_GB2312"/>
          <w:b/>
          <w:bCs/>
          <w:kern w:val="0"/>
          <w:szCs w:val="32"/>
          <w:lang w:val="en-US" w:eastAsia="zh-CN"/>
        </w:rPr>
        <w:t>D31政策知晓率</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5</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3</w:t>
      </w:r>
      <w:r>
        <w:rPr>
          <w:rFonts w:hint="eastAsia" w:ascii="仿宋_GB2312"/>
          <w:b/>
          <w:bCs/>
          <w:szCs w:val="32"/>
        </w:rPr>
        <w:t>分。</w:t>
      </w:r>
    </w:p>
    <w:p>
      <w:pPr>
        <w:ind w:firstLine="640"/>
        <w:rPr>
          <w:rFonts w:hint="eastAsia" w:ascii="仿宋_GB2312" w:hAnsi="仿宋_GB2312" w:eastAsia="仿宋_GB2312" w:cs="仿宋_GB2312"/>
          <w:highlight w:val="none"/>
          <w:lang w:val="en-US" w:eastAsia="zh-CN"/>
        </w:rPr>
      </w:pPr>
      <w:r>
        <w:rPr>
          <w:rFonts w:hint="eastAsia" w:ascii="仿宋_GB2312"/>
        </w:rPr>
        <w:t>本指标用以反映和考核</w:t>
      </w:r>
      <w:r>
        <w:rPr>
          <w:rFonts w:hint="eastAsia" w:ascii="仿宋_GB2312" w:hAnsi="仿宋_GB2312" w:eastAsia="仿宋_GB2312" w:cs="仿宋_GB2312"/>
          <w:highlight w:val="none"/>
          <w:lang w:val="en-US" w:eastAsia="zh-CN"/>
        </w:rPr>
        <w:t>项目实施政策知晓可持续影响情况。</w:t>
      </w:r>
    </w:p>
    <w:p>
      <w:pPr>
        <w:ind w:firstLine="640"/>
        <w:rPr>
          <w:rFonts w:hint="default" w:ascii="仿宋_GB2312"/>
          <w:lang w:val="en-US" w:eastAsia="zh-CN"/>
        </w:rPr>
      </w:pPr>
      <w:r>
        <w:rPr>
          <w:rFonts w:hint="eastAsia" w:ascii="仿宋_GB2312"/>
          <w:lang w:val="en-US" w:eastAsia="zh-CN"/>
        </w:rPr>
        <w:t>经评价组查阅资料和问卷调查，</w:t>
      </w:r>
      <w:r>
        <w:rPr>
          <w:rFonts w:hint="default" w:ascii="仿宋_GB2312"/>
          <w:lang w:val="en-US" w:eastAsia="zh-CN"/>
        </w:rPr>
        <w:t>农业农村</w:t>
      </w:r>
      <w:r>
        <w:rPr>
          <w:rFonts w:hint="eastAsia" w:ascii="仿宋_GB2312"/>
          <w:lang w:val="en-US" w:eastAsia="zh-CN"/>
        </w:rPr>
        <w:t>（</w:t>
      </w:r>
      <w:r>
        <w:rPr>
          <w:rFonts w:hint="default" w:ascii="仿宋_GB2312"/>
          <w:lang w:val="en-US" w:eastAsia="zh-CN"/>
        </w:rPr>
        <w:t>农机</w:t>
      </w:r>
      <w:r>
        <w:rPr>
          <w:rFonts w:hint="eastAsia" w:ascii="仿宋_GB2312"/>
          <w:lang w:val="en-US" w:eastAsia="zh-CN"/>
        </w:rPr>
        <w:t>）</w:t>
      </w:r>
      <w:r>
        <w:rPr>
          <w:rFonts w:hint="default" w:ascii="仿宋_GB2312"/>
          <w:lang w:val="en-US" w:eastAsia="zh-CN"/>
        </w:rPr>
        <w:t>部门</w:t>
      </w:r>
      <w:r>
        <w:rPr>
          <w:rFonts w:hint="eastAsia" w:ascii="仿宋_GB2312"/>
          <w:lang w:val="en-US" w:eastAsia="zh-CN"/>
        </w:rPr>
        <w:t>仅用村委微信群方式宣传补贴政策</w:t>
      </w:r>
      <w:r>
        <w:rPr>
          <w:rFonts w:hint="default" w:ascii="仿宋_GB2312"/>
          <w:lang w:val="en-US" w:eastAsia="zh-CN"/>
        </w:rPr>
        <w:t>，</w:t>
      </w:r>
      <w:r>
        <w:rPr>
          <w:rFonts w:hint="eastAsia" w:ascii="仿宋_GB2312"/>
          <w:lang w:val="en-US" w:eastAsia="zh-CN"/>
        </w:rPr>
        <w:t>未</w:t>
      </w:r>
      <w:r>
        <w:rPr>
          <w:rFonts w:hint="eastAsia" w:ascii="仿宋_GB2312" w:hAnsi="仿宋_GB2312" w:cs="仿宋_GB2312"/>
          <w:lang w:val="en-US" w:eastAsia="zh-CN"/>
        </w:rPr>
        <w:t>综合运用宣传挂图、报纸杂志、广播电视、村务公开等方式宣传政策，未</w:t>
      </w:r>
      <w:r>
        <w:rPr>
          <w:rFonts w:hint="default" w:ascii="仿宋_GB2312"/>
          <w:lang w:val="en-US" w:eastAsia="zh-CN"/>
        </w:rPr>
        <w:t>全方位开展补贴政策与实施工作宣传解读，</w:t>
      </w:r>
      <w:r>
        <w:rPr>
          <w:rFonts w:hint="eastAsia" w:ascii="仿宋_GB2312"/>
          <w:lang w:val="en-US" w:eastAsia="zh-CN"/>
        </w:rPr>
        <w:t>未提升</w:t>
      </w:r>
      <w:r>
        <w:rPr>
          <w:rFonts w:hint="default" w:ascii="仿宋_GB2312"/>
          <w:lang w:val="en-US" w:eastAsia="zh-CN"/>
        </w:rPr>
        <w:t>政策知晓率，</w:t>
      </w:r>
      <w:r>
        <w:rPr>
          <w:rFonts w:hint="eastAsia" w:ascii="仿宋_GB2312"/>
          <w:lang w:val="en-US" w:eastAsia="zh-CN"/>
        </w:rPr>
        <w:t>经问卷调查，政策知晓率为75%</w:t>
      </w:r>
      <w:r>
        <w:rPr>
          <w:rFonts w:hint="default" w:ascii="仿宋_GB2312"/>
          <w:lang w:val="en-US" w:eastAsia="zh-CN"/>
        </w:rPr>
        <w:t>。</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hAnsi="仿宋_GB2312" w:eastAsia="仿宋_GB2312" w:cs="仿宋_GB2312"/>
          <w:highlight w:val="none"/>
          <w:lang w:val="en-US" w:eastAsia="zh-CN"/>
        </w:rPr>
      </w:pPr>
      <w:r>
        <w:rPr>
          <w:rFonts w:hint="eastAsia" w:ascii="仿宋_GB2312" w:hAnsi="仿宋_GB2312" w:eastAsia="仿宋_GB2312" w:cs="仿宋_GB2312"/>
          <w:highlight w:val="none"/>
          <w:lang w:val="en-US" w:eastAsia="zh-CN"/>
        </w:rPr>
        <w:t>根据评分标准：满分</w:t>
      </w:r>
      <w:r>
        <w:rPr>
          <w:rFonts w:hint="eastAsia" w:ascii="仿宋_GB2312" w:hAnsi="仿宋_GB2312" w:cs="仿宋_GB2312"/>
          <w:highlight w:val="none"/>
          <w:lang w:val="en-US" w:eastAsia="zh-CN"/>
        </w:rPr>
        <w:t>5</w:t>
      </w:r>
      <w:r>
        <w:rPr>
          <w:rFonts w:hint="eastAsia" w:ascii="仿宋_GB2312" w:hAnsi="仿宋_GB2312" w:eastAsia="仿宋_GB2312" w:cs="仿宋_GB2312"/>
          <w:highlight w:val="none"/>
          <w:lang w:val="en-US" w:eastAsia="zh-CN"/>
        </w:rPr>
        <w:t>分</w:t>
      </w:r>
      <w:r>
        <w:rPr>
          <w:rFonts w:hint="eastAsia" w:ascii="仿宋_GB2312" w:hAnsi="仿宋_GB2312" w:cs="仿宋_GB2312"/>
          <w:highlight w:val="none"/>
          <w:lang w:val="en-US" w:eastAsia="zh-CN"/>
        </w:rPr>
        <w:t>，</w:t>
      </w:r>
      <w:r>
        <w:rPr>
          <w:rFonts w:hint="eastAsia" w:ascii="仿宋_GB2312" w:hAnsi="仿宋_GB2312" w:eastAsia="仿宋_GB2312" w:cs="仿宋_GB2312"/>
          <w:highlight w:val="none"/>
          <w:lang w:val="en-US" w:eastAsia="zh-CN"/>
        </w:rPr>
        <w:t>得分</w:t>
      </w:r>
      <w:r>
        <w:rPr>
          <w:rFonts w:hint="eastAsia" w:ascii="仿宋_GB2312" w:hAnsi="仿宋_GB2312" w:cs="仿宋_GB2312"/>
          <w:highlight w:val="none"/>
          <w:lang w:val="en-US" w:eastAsia="zh-CN"/>
        </w:rPr>
        <w:t>3</w:t>
      </w:r>
      <w:r>
        <w:rPr>
          <w:rFonts w:hint="eastAsia" w:ascii="仿宋_GB2312" w:hAnsi="仿宋_GB2312" w:eastAsia="仿宋_GB2312" w:cs="仿宋_GB2312"/>
          <w:highlight w:val="none"/>
          <w:lang w:val="en-US" w:eastAsia="zh-CN"/>
        </w:rPr>
        <w:t>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2.服务对象对项目实施效果的满意度分析</w:t>
      </w:r>
    </w:p>
    <w:p>
      <w:pPr>
        <w:ind w:firstLine="643"/>
        <w:rPr>
          <w:rFonts w:ascii="仿宋_GB2312"/>
          <w:szCs w:val="32"/>
        </w:rPr>
      </w:pPr>
      <w:r>
        <w:rPr>
          <w:rFonts w:hint="eastAsia" w:ascii="仿宋_GB2312"/>
          <w:b/>
          <w:bCs/>
          <w:kern w:val="0"/>
          <w:szCs w:val="32"/>
          <w:lang w:val="en-US" w:eastAsia="zh-CN"/>
        </w:rPr>
        <w:t>D41受益对象满意度</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10</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8.8</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本指标用以反映和考核</w:t>
      </w:r>
      <w:r>
        <w:rPr>
          <w:rFonts w:hint="eastAsia" w:ascii="仿宋_GB2312" w:hAnsi="仿宋_GB2312" w:cs="仿宋_GB2312"/>
          <w:lang w:val="en-US" w:eastAsia="zh-CN"/>
        </w:rPr>
        <w:t>受益申请者</w:t>
      </w:r>
      <w:r>
        <w:rPr>
          <w:rFonts w:hint="eastAsia" w:ascii="仿宋_GB2312" w:hAnsi="仿宋_GB2312" w:eastAsia="仿宋_GB2312" w:cs="仿宋_GB2312"/>
          <w:lang w:val="en-US" w:eastAsia="zh-CN"/>
        </w:rPr>
        <w:t>对项目实施的满意程度。</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经评价组问卷调查分析计算</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调查对象为</w:t>
      </w:r>
      <w:r>
        <w:rPr>
          <w:rFonts w:hint="eastAsia" w:ascii="仿宋_GB2312" w:hAnsi="仿宋_GB2312" w:cs="仿宋_GB2312"/>
          <w:lang w:val="en-US" w:eastAsia="zh-CN"/>
        </w:rPr>
        <w:t>申请者，</w:t>
      </w:r>
      <w:r>
        <w:rPr>
          <w:rFonts w:hint="eastAsia" w:ascii="仿宋_GB2312" w:hAnsi="仿宋_GB2312" w:eastAsia="仿宋_GB2312" w:cs="仿宋_GB2312"/>
          <w:lang w:val="en-US" w:eastAsia="zh-CN"/>
        </w:rPr>
        <w:t>问卷共发放</w:t>
      </w:r>
      <w:r>
        <w:rPr>
          <w:rFonts w:hint="eastAsia" w:ascii="仿宋_GB2312" w:hAnsi="仿宋_GB2312" w:cs="仿宋_GB2312"/>
          <w:lang w:val="en-US" w:eastAsia="zh-CN"/>
        </w:rPr>
        <w:t>100</w:t>
      </w:r>
      <w:r>
        <w:rPr>
          <w:rFonts w:hint="eastAsia" w:ascii="仿宋_GB2312" w:hAnsi="仿宋_GB2312" w:eastAsia="仿宋_GB2312" w:cs="仿宋_GB2312"/>
          <w:lang w:val="en-US" w:eastAsia="zh-CN"/>
        </w:rPr>
        <w:t>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收回有效问卷</w:t>
      </w:r>
      <w:r>
        <w:rPr>
          <w:rFonts w:hint="eastAsia" w:ascii="仿宋_GB2312" w:hAnsi="仿宋_GB2312" w:cs="仿宋_GB2312"/>
          <w:lang w:val="en-US" w:eastAsia="zh-CN"/>
        </w:rPr>
        <w:t>100</w:t>
      </w:r>
      <w:r>
        <w:rPr>
          <w:rFonts w:hint="eastAsia" w:ascii="仿宋_GB2312" w:hAnsi="仿宋_GB2312" w:eastAsia="仿宋_GB2312" w:cs="仿宋_GB2312"/>
          <w:lang w:val="en-US" w:eastAsia="zh-CN"/>
        </w:rPr>
        <w:t>份。对</w:t>
      </w:r>
      <w:r>
        <w:rPr>
          <w:rFonts w:hint="eastAsia" w:ascii="仿宋_GB2312" w:hAnsi="仿宋_GB2312" w:cs="仿宋_GB2312"/>
          <w:lang w:val="en-US" w:eastAsia="zh-CN"/>
        </w:rPr>
        <w:t>项目政策宣传度</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75</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对项目补贴资金发放及时性</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92.6</w:t>
      </w:r>
      <w:r>
        <w:rPr>
          <w:rFonts w:hint="eastAsia" w:ascii="仿宋_GB2312" w:hAnsi="仿宋_GB2312" w:eastAsia="仿宋_GB2312" w:cs="仿宋_GB2312"/>
          <w:lang w:val="en-US" w:eastAsia="zh-CN"/>
        </w:rPr>
        <w:t>%；对项目</w:t>
      </w:r>
      <w:r>
        <w:rPr>
          <w:rFonts w:hint="eastAsia" w:ascii="仿宋_GB2312" w:hAnsi="仿宋_GB2312" w:cs="仿宋_GB2312"/>
          <w:lang w:val="en-US" w:eastAsia="zh-CN"/>
        </w:rPr>
        <w:t>申请审核程序</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87</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对项目整体实施</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90.2</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，对项目补贴资金额</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95.6</w:t>
      </w:r>
      <w:r>
        <w:rPr>
          <w:rFonts w:hint="eastAsia" w:ascii="仿宋_GB2312" w:hAnsi="仿宋_GB2312" w:eastAsia="仿宋_GB2312" w:cs="仿宋_GB2312"/>
          <w:lang w:val="en-US" w:eastAsia="zh-CN"/>
        </w:rPr>
        <w:t>%。综合满意度为</w:t>
      </w:r>
      <w:r>
        <w:rPr>
          <w:rFonts w:hint="eastAsia" w:ascii="仿宋_GB2312" w:hAnsi="仿宋_GB2312" w:cs="仿宋_GB2312"/>
          <w:lang w:val="en-US" w:eastAsia="zh-CN"/>
        </w:rPr>
        <w:t>88.08</w:t>
      </w:r>
      <w:r>
        <w:rPr>
          <w:rFonts w:hint="eastAsia" w:ascii="仿宋_GB2312" w:hAnsi="仿宋_GB2312" w:eastAsia="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根据评分标准：满分</w:t>
      </w:r>
      <w:r>
        <w:rPr>
          <w:rFonts w:hint="eastAsia" w:ascii="仿宋_GB2312" w:hAnsi="仿宋_GB2312" w:cs="仿宋_GB2312"/>
          <w:lang w:val="en-US" w:eastAsia="zh-CN"/>
        </w:rPr>
        <w:t>10</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w:t>
      </w:r>
      <w:r>
        <w:rPr>
          <w:rFonts w:hint="eastAsia" w:ascii="仿宋_GB2312" w:hAnsi="仿宋_GB2312" w:cs="仿宋_GB2312"/>
          <w:lang w:val="en-US" w:eastAsia="zh-CN"/>
        </w:rPr>
        <w:t>8.8</w:t>
      </w:r>
      <w:r>
        <w:rPr>
          <w:rFonts w:hint="eastAsia" w:ascii="仿宋_GB2312" w:hAnsi="仿宋_GB2312" w:eastAsia="仿宋_GB2312" w:cs="仿宋_GB2312"/>
          <w:lang w:val="en-US" w:eastAsia="zh-CN"/>
        </w:rPr>
        <w:t>分。</w:t>
      </w:r>
    </w:p>
    <w:p>
      <w:pPr>
        <w:pStyle w:val="3"/>
        <w:ind w:firstLine="640"/>
        <w:rPr>
          <w:rFonts w:hint="eastAsia" w:eastAsia="黑体"/>
          <w:lang w:val="en-US" w:eastAsia="zh-CN"/>
        </w:rPr>
      </w:pPr>
      <w:bookmarkStart w:id="51" w:name="_Toc4106"/>
      <w:r>
        <w:rPr>
          <w:rFonts w:hint="eastAsia"/>
        </w:rPr>
        <w:t>五、主要经验</w:t>
      </w:r>
      <w:r>
        <w:rPr>
          <w:rFonts w:hint="eastAsia"/>
          <w:lang w:val="en-US" w:eastAsia="zh-CN"/>
        </w:rPr>
        <w:t>及做法</w:t>
      </w:r>
      <w:bookmarkEnd w:id="51"/>
    </w:p>
    <w:p>
      <w:pPr>
        <w:ind w:firstLine="640"/>
        <w:rPr>
          <w:rFonts w:hint="default" w:ascii="仿宋_GB2312" w:hAnsi="仿宋_GB2312" w:cs="仿宋_GB2312"/>
          <w:b/>
          <w:bCs/>
          <w:lang w:val="en-US" w:eastAsia="zh-CN"/>
        </w:rPr>
      </w:pPr>
      <w:bookmarkStart w:id="52" w:name="_Toc11069"/>
      <w:bookmarkStart w:id="53" w:name="_Toc24561"/>
      <w:bookmarkStart w:id="54" w:name="_Toc1318"/>
      <w:bookmarkStart w:id="55" w:name="_Toc480"/>
      <w:bookmarkStart w:id="56" w:name="_Toc11254"/>
      <w:bookmarkStart w:id="57" w:name="_Toc133"/>
      <w:bookmarkStart w:id="58" w:name="_Toc14674"/>
      <w:r>
        <w:rPr>
          <w:rFonts w:hint="eastAsia" w:ascii="仿宋_GB2312" w:hAnsi="仿宋_GB2312" w:cs="仿宋_GB2312"/>
          <w:b/>
          <w:bCs/>
          <w:lang w:val="en-US" w:eastAsia="zh-CN"/>
        </w:rPr>
        <w:t>主要绩效：</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通过项目实施，有力地推动了农机消费，全县新增</w:t>
      </w:r>
      <w:r>
        <w:rPr>
          <w:rFonts w:hint="eastAsia" w:ascii="仿宋_GB2312" w:hAnsi="仿宋_GB2312" w:cs="仿宋_GB2312"/>
          <w:lang w:val="en-US" w:eastAsia="zh-CN"/>
        </w:rPr>
        <w:t>农机具502台</w:t>
      </w:r>
      <w:r>
        <w:rPr>
          <w:rFonts w:hint="eastAsia" w:ascii="仿宋_GB2312" w:hAnsi="仿宋_GB2312" w:eastAsia="仿宋_GB2312" w:cs="仿宋_GB2312"/>
          <w:lang w:val="en-US" w:eastAsia="zh-CN"/>
        </w:rPr>
        <w:t>，加速了农业机械化作业水平。实现山区小型机械化作业，提高了农机装备水平，解决了劳务输出等因素导致农村劳动力短缺的燃眉之急。取得了农民得实惠、企业得效益、政府得民心、事业得发展的良好效果。</w:t>
      </w:r>
    </w:p>
    <w:p>
      <w:pPr>
        <w:ind w:firstLine="640"/>
        <w:rPr>
          <w:rFonts w:hint="default" w:ascii="仿宋_GB2312" w:hAnsi="仿宋_GB2312" w:cs="仿宋_GB2312"/>
          <w:b/>
          <w:bCs/>
          <w:lang w:val="en-US" w:eastAsia="zh-CN"/>
        </w:rPr>
      </w:pPr>
      <w:r>
        <w:rPr>
          <w:rFonts w:hint="eastAsia" w:ascii="仿宋_GB2312" w:hAnsi="仿宋_GB2312" w:cs="仿宋_GB2312"/>
          <w:b/>
          <w:bCs/>
          <w:lang w:val="en-US" w:eastAsia="zh-CN"/>
        </w:rPr>
        <w:t>主要经验及做法：</w:t>
      </w:r>
    </w:p>
    <w:p>
      <w:pPr>
        <w:ind w:firstLine="640"/>
        <w:rPr>
          <w:rFonts w:hint="eastAsia" w:ascii="仿宋_GB2312" w:hAnsi="仿宋_GB2312" w:eastAsia="仿宋_GB2312" w:cs="仿宋_GB2312"/>
          <w:lang w:val="en-US" w:eastAsia="zh-CN"/>
        </w:rPr>
      </w:pPr>
      <w:r>
        <w:rPr>
          <w:rFonts w:hint="eastAsia" w:ascii="仿宋_GB2312" w:hAnsi="仿宋_GB2312" w:cs="仿宋_GB2312"/>
          <w:b/>
          <w:bCs/>
          <w:lang w:val="en-US" w:eastAsia="zh-CN"/>
        </w:rPr>
        <w:t xml:space="preserve">（一）部署快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安排相关业务人员参加了全省农机购置补贴工作会议，及时组织召开了全县农机购置补贴暨廉政教育和风险防控会议，传达上级文件精神并安排部署相关工作，发放工作资料，要求将宣传资料张贴到村。</w:t>
      </w:r>
    </w:p>
    <w:p>
      <w:pPr>
        <w:ind w:firstLine="640"/>
        <w:rPr>
          <w:rFonts w:hint="default" w:ascii="仿宋_GB2312" w:hAnsi="仿宋_GB2312" w:eastAsia="仿宋_GB2312" w:cs="仿宋_GB2312"/>
          <w:b/>
          <w:bCs/>
          <w:lang w:val="en-US" w:eastAsia="zh-CN"/>
        </w:rPr>
      </w:pPr>
      <w:r>
        <w:rPr>
          <w:rFonts w:hint="eastAsia" w:ascii="仿宋_GB2312" w:hAnsi="仿宋_GB2312" w:cs="仿宋_GB2312"/>
          <w:b/>
          <w:bCs/>
          <w:lang w:val="en-US" w:eastAsia="zh-CN"/>
        </w:rPr>
        <w:t>（二）监管实</w:t>
      </w:r>
    </w:p>
    <w:p>
      <w:pPr>
        <w:ind w:left="0" w:leftChars="0" w:firstLine="640" w:firstLineChars="200"/>
        <w:rPr>
          <w:rFonts w:hint="eastAsia" w:ascii="仿宋_GB2312"/>
          <w:lang w:val="en-US" w:eastAsia="zh-CN"/>
        </w:rPr>
      </w:pPr>
      <w:r>
        <w:rPr>
          <w:rFonts w:hint="eastAsia" w:ascii="仿宋_GB2312"/>
          <w:lang w:val="en-US" w:eastAsia="zh-CN"/>
        </w:rPr>
        <w:t>认真贯彻农机具购置补贴“四个严禁”和“八个不得”政策规定，在局领导带队下，不定期对各经销商进行监督检查，对补贴产品质量、价格、“三包”售后服务、经销商诚信经营、及时供货等政策落实情况进行全方位检查。对查出的问题进行及时纠正，全面接受社会监督。按照“三见一查”要求，对各批次结算农户进行抽查复核，杜绝套购补贴和坑农违规行为。</w:t>
      </w:r>
    </w:p>
    <w:p>
      <w:pPr>
        <w:pStyle w:val="3"/>
        <w:ind w:firstLine="640"/>
      </w:pPr>
      <w:bookmarkStart w:id="59" w:name="_Toc5324"/>
      <w:r>
        <w:rPr>
          <w:rFonts w:hint="eastAsia"/>
        </w:rPr>
        <w:t>六、存在的问题及原因分析</w:t>
      </w:r>
      <w:bookmarkEnd w:id="59"/>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绩效指标设置不规范</w:t>
      </w:r>
    </w:p>
    <w:p>
      <w:pPr>
        <w:ind w:left="0" w:leftChars="0" w:firstLine="640" w:firstLineChars="200"/>
        <w:rPr>
          <w:rFonts w:hint="eastAsia" w:ascii="仿宋_GB2312"/>
          <w:lang w:val="en-US" w:eastAsia="zh-CN"/>
        </w:rPr>
      </w:pPr>
      <w:r>
        <w:rPr>
          <w:rFonts w:hint="eastAsia" w:ascii="仿宋_GB2312"/>
          <w:lang w:val="en-US" w:eastAsia="zh-CN"/>
        </w:rPr>
        <w:t xml:space="preserve">经评价组分析绩效目标申报表和自评报告了解，该项目绩效目标分别从产出、效益、满意度三个方面设置了绩效指标。但评价过程中发现，质量指标、社会效益指标存在设置不合理现象。未设置经济效益，设置了生态效益，此项目不应设置生态效益。 </w:t>
      </w:r>
    </w:p>
    <w:p>
      <w:pPr>
        <w:ind w:left="0" w:leftChars="0" w:firstLine="640" w:firstLineChars="200"/>
        <w:rPr>
          <w:rFonts w:hint="eastAsia" w:ascii="仿宋_GB2312"/>
          <w:lang w:val="en-US" w:eastAsia="zh-CN"/>
        </w:rPr>
      </w:pPr>
      <w:r>
        <w:rPr>
          <w:rFonts w:hint="eastAsia" w:ascii="仿宋_GB2312"/>
          <w:lang w:val="en-US" w:eastAsia="zh-CN"/>
        </w:rPr>
        <w:t>质量指标内容设置为“补贴机具合格率”，该指标不符合项目，应设置为“补贴标准符合率”；社会效益设置为“受益补贴总户数”，本指标应为数量指标，社会效益应为“促进规模化经营，提高农业生产现代化”。</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政策宣传不足</w:t>
      </w:r>
    </w:p>
    <w:p>
      <w:pPr>
        <w:ind w:firstLine="640"/>
        <w:rPr>
          <w:rFonts w:hint="eastAsia" w:ascii="仿宋_GB2312"/>
          <w:lang w:val="en-US" w:eastAsia="zh-CN"/>
        </w:rPr>
      </w:pPr>
      <w:r>
        <w:rPr>
          <w:rFonts w:hint="eastAsia" w:ascii="仿宋_GB2312"/>
          <w:lang w:val="en-US" w:eastAsia="zh-CN"/>
        </w:rPr>
        <w:t>经评价组查阅资料和问卷调查，农业农村（农机）部门仅用村委微信群方式宣传补贴政策，未综合运用宣传挂图、报纸杂志、广播电视、村务公开等方式宣传政策，未全方位开展补贴政策与实施工作宣传解读，未提升政策知晓率，经问卷调查，政策知晓率为75%。</w:t>
      </w:r>
    </w:p>
    <w:p>
      <w:pPr>
        <w:pStyle w:val="3"/>
        <w:ind w:left="0" w:leftChars="0" w:firstLine="640" w:firstLineChars="200"/>
      </w:pPr>
      <w:bookmarkStart w:id="60" w:name="_Toc5337"/>
      <w:r>
        <w:rPr>
          <w:rFonts w:hint="eastAsia"/>
        </w:rPr>
        <w:t>七、建议</w:t>
      </w:r>
      <w:bookmarkEnd w:id="60"/>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rPr>
        <w:t>）重点要求绩效指标细化、量化</w:t>
      </w:r>
    </w:p>
    <w:p>
      <w:pPr>
        <w:ind w:firstLine="640"/>
        <w:rPr>
          <w:rFonts w:hint="eastAsia"/>
          <w:lang w:val="en-US" w:eastAsia="zh-CN"/>
        </w:rPr>
      </w:pPr>
      <w:r>
        <w:rPr>
          <w:rFonts w:hint="eastAsia"/>
          <w:lang w:val="en-US" w:eastAsia="zh-CN"/>
        </w:rPr>
        <w:t>建议主管单位重视项目绩效目标，加强财务人员和业务人员培训，增强相关人员预算管理理念和提炼绩效指标的能力，在进行未来年度项目预算申报时，制定绩效指标时，绩效管理人员应对项目决策、过程、产出、效益四个环节的设置进行充分沟通，设置与项目预算相匹配的细化、量化指标；必要时组织财务、绩效等方面的专家，对绩效指标进行审核，以提高绩效指标的合理性、明确性。</w:t>
      </w:r>
    </w:p>
    <w:p>
      <w:pPr>
        <w:spacing w:beforeLines="50" w:afterLines="50"/>
        <w:ind w:firstLine="643"/>
        <w:rPr>
          <w:rFonts w:hint="default" w:ascii="仿宋_GB2312" w:hAnsi="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多措并举、多方式宣传</w:t>
      </w:r>
    </w:p>
    <w:p>
      <w:pPr>
        <w:spacing w:beforeLines="50" w:afterLines="50"/>
        <w:ind w:firstLine="643"/>
        <w:rPr>
          <w:rFonts w:hint="default"/>
          <w:lang w:val="en-US" w:eastAsia="zh-CN"/>
        </w:rPr>
      </w:pPr>
      <w:r>
        <w:rPr>
          <w:rFonts w:hint="default"/>
          <w:lang w:val="en-US" w:eastAsia="zh-CN"/>
        </w:rPr>
        <w:t>农业农村</w:t>
      </w:r>
      <w:r>
        <w:rPr>
          <w:rFonts w:hint="eastAsia"/>
          <w:lang w:val="en-US" w:eastAsia="zh-CN"/>
        </w:rPr>
        <w:t>（</w:t>
      </w:r>
      <w:r>
        <w:rPr>
          <w:rFonts w:hint="default"/>
          <w:lang w:val="en-US" w:eastAsia="zh-CN"/>
        </w:rPr>
        <w:t>农机</w:t>
      </w:r>
      <w:r>
        <w:rPr>
          <w:rFonts w:hint="eastAsia"/>
          <w:lang w:val="en-US" w:eastAsia="zh-CN"/>
        </w:rPr>
        <w:t>）</w:t>
      </w:r>
      <w:r>
        <w:rPr>
          <w:rFonts w:hint="default"/>
          <w:lang w:val="en-US" w:eastAsia="zh-CN"/>
        </w:rPr>
        <w:t>部门要因地制宜、综合运用宣传挂图、报纸杂志、广播电视、互联网、村务公开等方式，全方位开展补贴政策与实施工作宣传解读，着力提升政策知晓率，切实保障购机者、农机产销企业和广大农民群众的知情权、监督权。按职责分工和有关规定，健全完善农机购置补贴信息公开专栏，建立信息审核发布机制，按要求发布并公开本县农机购置补贴工作方案。政策宣传可持续。</w:t>
      </w:r>
    </w:p>
    <w:p>
      <w:pPr>
        <w:pStyle w:val="3"/>
        <w:ind w:firstLine="640"/>
      </w:pPr>
      <w:bookmarkStart w:id="61" w:name="_Toc2083"/>
      <w:r>
        <w:rPr>
          <w:rFonts w:hint="eastAsia"/>
        </w:rPr>
        <w:t>八</w:t>
      </w:r>
      <w:r>
        <w:t>、结果应用及建议</w:t>
      </w:r>
      <w:bookmarkEnd w:id="61"/>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绩效评价结果应用，既是开展绩效评价工作的基本前提，亦是加强财政支出管理、增强资金绩效理念、合理配置公共资源、优化财政支出结构、强化资金管理水平、提高资金使用效益的重要手段。</w:t>
      </w:r>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（一）建议充分运用绩效评价结果，有效发挥绩效评价作用。建议将绩效评价结果与下一年度预算资金安排挂钩。</w:t>
      </w:r>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（二）建立绩效评价结果反馈与整改机制。将本次绩效评价项目的绩效情况、存在问题及相关建议反馈给被评价单位，并督促其落实整改，以增强绩效评价工作的约束力。</w:t>
      </w:r>
    </w:p>
    <w:p>
      <w:pPr>
        <w:spacing w:beforeLines="50" w:afterLines="50"/>
        <w:ind w:firstLine="643"/>
        <w:rPr>
          <w:rFonts w:hint="eastAsia" w:ascii="Times New Roman" w:hAnsi="Times New Roman" w:cs="Times New Roman"/>
          <w:lang w:val="en-US" w:eastAsia="zh-CN"/>
        </w:rPr>
      </w:pPr>
      <w:bookmarkStart w:id="62" w:name="OLE_LINK100"/>
      <w:bookmarkStart w:id="63" w:name="OLE_LINK99"/>
      <w:r>
        <w:rPr>
          <w:rFonts w:hint="eastAsia" w:ascii="Times New Roman" w:hAnsi="Times New Roman" w:cs="Times New Roman"/>
          <w:lang w:val="en-US" w:eastAsia="zh-CN"/>
        </w:rPr>
        <w:t>（三）按规定通报、公示绩效评价结果。促进和增强各级财政部门、相关主管部门及社会各界对绩效评价工作重要性的认识。</w:t>
      </w:r>
      <w:bookmarkEnd w:id="62"/>
      <w:bookmarkEnd w:id="63"/>
    </w:p>
    <w:p>
      <w:pPr>
        <w:pStyle w:val="3"/>
        <w:ind w:firstLine="640"/>
      </w:pPr>
      <w:bookmarkStart w:id="64" w:name="_Toc14499"/>
      <w:r>
        <w:rPr>
          <w:rFonts w:hint="eastAsia"/>
        </w:rPr>
        <w:t>九、报告附件</w:t>
      </w:r>
      <w:bookmarkEnd w:id="52"/>
      <w:bookmarkEnd w:id="53"/>
      <w:bookmarkEnd w:id="54"/>
      <w:bookmarkEnd w:id="55"/>
      <w:bookmarkEnd w:id="56"/>
      <w:bookmarkEnd w:id="57"/>
      <w:bookmarkEnd w:id="58"/>
      <w:bookmarkEnd w:id="64"/>
    </w:p>
    <w:p>
      <w:pPr>
        <w:ind w:firstLine="640"/>
      </w:pPr>
      <w:r>
        <w:t>1</w:t>
      </w:r>
      <w:r>
        <w:rPr>
          <w:rFonts w:hint="eastAsia"/>
        </w:rPr>
        <w:t>.项目</w:t>
      </w:r>
      <w:r>
        <w:t>支出绩效评价指标评分表</w:t>
      </w:r>
    </w:p>
    <w:p>
      <w:pPr>
        <w:ind w:firstLine="640"/>
      </w:pPr>
      <w:r>
        <w:t>2</w:t>
      </w:r>
      <w:r>
        <w:rPr>
          <w:rFonts w:hint="eastAsia"/>
        </w:rPr>
        <w:t>.项目</w:t>
      </w:r>
      <w:r>
        <w:t>支出绩效评价指标体系</w:t>
      </w:r>
    </w:p>
    <w:p>
      <w:pPr>
        <w:ind w:firstLine="640"/>
      </w:pPr>
      <w:r>
        <w:t>3</w:t>
      </w:r>
      <w:r>
        <w:rPr>
          <w:rFonts w:hint="eastAsia"/>
        </w:rPr>
        <w:t>.</w:t>
      </w:r>
      <w:r>
        <w:rPr>
          <w:rFonts w:hint="eastAsia"/>
          <w:lang w:val="en-US" w:eastAsia="zh-CN"/>
        </w:rPr>
        <w:t>满意度</w:t>
      </w:r>
      <w:r>
        <w:t>调查</w:t>
      </w:r>
      <w:r>
        <w:rPr>
          <w:rFonts w:hint="eastAsia"/>
        </w:rPr>
        <w:t>报告</w:t>
      </w:r>
    </w:p>
    <w:p>
      <w:pPr>
        <w:ind w:firstLine="640"/>
      </w:pPr>
      <w:r>
        <w:t>4</w:t>
      </w:r>
      <w:r>
        <w:rPr>
          <w:rFonts w:hint="eastAsia"/>
        </w:rPr>
        <w:t>.</w:t>
      </w:r>
      <w:r>
        <w:t>访谈</w:t>
      </w:r>
      <w:r>
        <w:rPr>
          <w:rFonts w:hint="eastAsia"/>
        </w:rPr>
        <w:t>报告</w:t>
      </w:r>
    </w:p>
    <w:p>
      <w:pPr>
        <w:ind w:firstLine="640"/>
      </w:pPr>
      <w:r>
        <w:t>5</w:t>
      </w:r>
      <w:r>
        <w:rPr>
          <w:rFonts w:hint="eastAsia"/>
        </w:rPr>
        <w:t>.</w:t>
      </w:r>
      <w:r>
        <w:t>合规性检查</w:t>
      </w:r>
      <w:r>
        <w:rPr>
          <w:rFonts w:hint="eastAsia"/>
        </w:rPr>
        <w:t>报告</w:t>
      </w:r>
    </w:p>
    <w:p>
      <w:pPr>
        <w:ind w:firstLine="640"/>
        <w:rPr>
          <w:rFonts w:hint="eastAsia"/>
          <w:lang w:val="en-US" w:eastAsia="zh-CN"/>
        </w:rPr>
      </w:pPr>
      <w:r>
        <w:rPr>
          <w:rFonts w:hint="eastAsia"/>
          <w:lang w:val="en-US" w:eastAsia="zh-CN"/>
        </w:rPr>
        <w:t>8.现场勘查照片</w:t>
      </w:r>
    </w:p>
    <w:p>
      <w:pPr>
        <w:pStyle w:val="33"/>
        <w:ind w:firstLine="0" w:firstLineChars="0"/>
        <w:jc w:val="center"/>
        <w:rPr>
          <w:bCs/>
          <w:sz w:val="32"/>
          <w:szCs w:val="32"/>
        </w:rPr>
      </w:pPr>
    </w:p>
    <w:p>
      <w:pPr>
        <w:pStyle w:val="33"/>
        <w:ind w:firstLine="0" w:firstLineChars="0"/>
        <w:jc w:val="center"/>
        <w:rPr>
          <w:bCs/>
          <w:sz w:val="32"/>
          <w:szCs w:val="32"/>
        </w:rPr>
      </w:pPr>
      <w:r>
        <w:rPr>
          <w:rFonts w:hint="eastAsia"/>
          <w:bCs/>
          <w:sz w:val="32"/>
          <w:szCs w:val="32"/>
        </w:rPr>
        <w:t xml:space="preserve">                </w:t>
      </w:r>
      <w:r>
        <w:rPr>
          <w:rFonts w:hint="eastAsia"/>
          <w:bCs/>
          <w:sz w:val="32"/>
          <w:szCs w:val="32"/>
          <w:lang w:eastAsia="zh-CN"/>
        </w:rPr>
        <w:t>山西恒信资产评估事务所（普通合伙）</w:t>
      </w:r>
    </w:p>
    <w:p>
      <w:pPr>
        <w:pStyle w:val="33"/>
        <w:ind w:firstLine="0" w:firstLineChars="0"/>
        <w:jc w:val="center"/>
        <w:rPr>
          <w:rFonts w:hint="eastAsia" w:ascii="仿宋_GB2312"/>
          <w:sz w:val="32"/>
          <w:szCs w:val="32"/>
          <w:lang w:val="en-US" w:eastAsia="zh-CN"/>
        </w:rPr>
      </w:pPr>
      <w:r>
        <w:rPr>
          <w:rFonts w:hint="eastAsia" w:ascii="仿宋_GB2312"/>
          <w:sz w:val="32"/>
          <w:szCs w:val="32"/>
        </w:rPr>
        <w:t xml:space="preserve">           </w:t>
      </w:r>
      <w:r>
        <w:rPr>
          <w:rFonts w:hint="eastAsia" w:ascii="仿宋_GB2312"/>
          <w:sz w:val="32"/>
          <w:szCs w:val="32"/>
          <w:lang w:val="en-US" w:eastAsia="zh-CN"/>
        </w:rPr>
        <w:t xml:space="preserve">  </w:t>
      </w:r>
      <w:r>
        <w:rPr>
          <w:rFonts w:hint="eastAsia" w:ascii="仿宋_GB2312"/>
          <w:sz w:val="32"/>
          <w:szCs w:val="32"/>
        </w:rPr>
        <w:t xml:space="preserve">  202</w:t>
      </w:r>
      <w:r>
        <w:rPr>
          <w:rFonts w:hint="eastAsia" w:ascii="仿宋_GB2312"/>
          <w:sz w:val="32"/>
          <w:szCs w:val="32"/>
          <w:lang w:val="en-US" w:eastAsia="zh-CN"/>
        </w:rPr>
        <w:t>3</w:t>
      </w:r>
      <w:r>
        <w:rPr>
          <w:rFonts w:hint="eastAsia" w:ascii="仿宋_GB2312"/>
          <w:sz w:val="32"/>
          <w:szCs w:val="32"/>
        </w:rPr>
        <w:t>年</w:t>
      </w:r>
      <w:r>
        <w:rPr>
          <w:rFonts w:hint="eastAsia" w:ascii="仿宋_GB2312"/>
          <w:sz w:val="32"/>
          <w:szCs w:val="32"/>
          <w:lang w:val="en-US" w:eastAsia="zh-CN"/>
        </w:rPr>
        <w:t>11</w:t>
      </w:r>
      <w:r>
        <w:rPr>
          <w:rFonts w:hint="eastAsia" w:ascii="仿宋_GB2312"/>
          <w:sz w:val="32"/>
          <w:szCs w:val="32"/>
        </w:rPr>
        <w:t>月</w:t>
      </w: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ind w:left="0" w:leftChars="0" w:firstLine="0" w:firstLineChars="0"/>
        <w:rPr>
          <w:rFonts w:ascii="黑体" w:hAnsi="黑体"/>
        </w:rPr>
      </w:pPr>
      <w:r>
        <w:rPr>
          <w:rFonts w:ascii="黑体" w:hAnsi="黑体"/>
        </w:rPr>
        <w:br w:type="page"/>
      </w:r>
    </w:p>
    <w:p>
      <w:pPr>
        <w:pStyle w:val="3"/>
        <w:spacing w:before="120" w:after="120"/>
        <w:ind w:firstLine="0" w:firstLineChars="0"/>
        <w:rPr>
          <w:rFonts w:ascii="黑体" w:hAnsi="黑体"/>
        </w:rPr>
      </w:pPr>
      <w:bookmarkStart w:id="65" w:name="_Toc6654"/>
      <w:r>
        <w:rPr>
          <w:rFonts w:ascii="黑体" w:hAnsi="黑体"/>
        </w:rPr>
        <w:t>附件1</w:t>
      </w:r>
      <w:r>
        <w:rPr>
          <w:rFonts w:hint="eastAsia" w:ascii="黑体" w:hAnsi="黑体"/>
        </w:rPr>
        <w:t xml:space="preserve"> ：项目</w:t>
      </w:r>
      <w:r>
        <w:rPr>
          <w:rFonts w:ascii="黑体" w:hAnsi="黑体"/>
        </w:rPr>
        <w:t>支出绩效评价指标评分</w:t>
      </w:r>
      <w:bookmarkEnd w:id="65"/>
      <w:bookmarkStart w:id="66" w:name="_Toc4893"/>
      <w:bookmarkStart w:id="67" w:name="_Toc32607"/>
    </w:p>
    <w:tbl>
      <w:tblPr>
        <w:tblStyle w:val="20"/>
        <w:tblpPr w:leftFromText="180" w:rightFromText="180" w:vertAnchor="text" w:horzAnchor="page" w:tblpX="1753" w:tblpY="571"/>
        <w:tblOverlap w:val="never"/>
        <w:tblW w:w="553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712"/>
        <w:gridCol w:w="1416"/>
        <w:gridCol w:w="706"/>
        <w:gridCol w:w="2272"/>
        <w:gridCol w:w="990"/>
        <w:gridCol w:w="810"/>
        <w:gridCol w:w="908"/>
        <w:gridCol w:w="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97" w:hRule="exact"/>
          <w:tblHeader/>
        </w:trPr>
        <w:tc>
          <w:tcPr>
            <w:tcW w:w="451" w:type="pct"/>
            <w:shd w:val="clear" w:color="auto" w:fill="BEBEBE"/>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一级指标</w:t>
            </w:r>
          </w:p>
        </w:tc>
        <w:tc>
          <w:tcPr>
            <w:tcW w:w="377"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749"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二级指标</w:t>
            </w:r>
          </w:p>
        </w:tc>
        <w:tc>
          <w:tcPr>
            <w:tcW w:w="373"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1203"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三级指标</w:t>
            </w:r>
          </w:p>
        </w:tc>
        <w:tc>
          <w:tcPr>
            <w:tcW w:w="524"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目标值</w:t>
            </w:r>
          </w:p>
        </w:tc>
        <w:tc>
          <w:tcPr>
            <w:tcW w:w="428"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分值</w:t>
            </w:r>
          </w:p>
        </w:tc>
        <w:tc>
          <w:tcPr>
            <w:tcW w:w="480"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cs="仿宋_GB2312"/>
                <w:b/>
                <w:bCs/>
                <w:color w:val="000000"/>
                <w:sz w:val="24"/>
                <w:szCs w:val="24"/>
                <w:lang w:val="en-US" w:eastAsia="zh-CN"/>
              </w:rPr>
              <w:t>业绩值</w:t>
            </w:r>
          </w:p>
        </w:tc>
        <w:tc>
          <w:tcPr>
            <w:tcW w:w="410"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cs="仿宋_GB2312"/>
                <w:b/>
                <w:bCs/>
                <w:color w:val="000000"/>
                <w:sz w:val="24"/>
                <w:szCs w:val="24"/>
                <w:lang w:val="en-US" w:eastAsia="zh-CN"/>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1" w:hRule="exac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A决策</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A1项目立项</w:t>
            </w:r>
          </w:p>
        </w:tc>
        <w:tc>
          <w:tcPr>
            <w:tcW w:w="373"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A11立项依据充分性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充分</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充分</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A12立项程序规范性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规范</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较规范</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4"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A2绩效目标</w:t>
            </w:r>
          </w:p>
        </w:tc>
        <w:tc>
          <w:tcPr>
            <w:tcW w:w="373"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A21绩效目标合理性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合理</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A22绩效指标明确性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明确</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不</w:t>
            </w:r>
            <w:r>
              <w:rPr>
                <w:rFonts w:hint="eastAsia" w:ascii="仿宋_GB2312" w:hAnsi="仿宋_GB2312" w:cs="仿宋_GB2312"/>
                <w:b w:val="0"/>
                <w:bCs w:val="0"/>
                <w:sz w:val="24"/>
              </w:rPr>
              <w:t>明确</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A3资金投入</w:t>
            </w:r>
          </w:p>
        </w:tc>
        <w:tc>
          <w:tcPr>
            <w:tcW w:w="373"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6</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A31预算编制科学性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科学</w:t>
            </w:r>
          </w:p>
        </w:tc>
        <w:tc>
          <w:tcPr>
            <w:tcW w:w="428"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4</w:t>
            </w:r>
          </w:p>
        </w:tc>
        <w:tc>
          <w:tcPr>
            <w:tcW w:w="480"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rPr>
              <w:t>科学</w:t>
            </w:r>
          </w:p>
        </w:tc>
        <w:tc>
          <w:tcPr>
            <w:tcW w:w="410"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A32资金分配合理性</w:t>
            </w:r>
          </w:p>
        </w:tc>
        <w:tc>
          <w:tcPr>
            <w:tcW w:w="524"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428"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2</w:t>
            </w:r>
          </w:p>
        </w:tc>
        <w:tc>
          <w:tcPr>
            <w:tcW w:w="480"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rPr>
              <w:t>合理</w:t>
            </w:r>
          </w:p>
        </w:tc>
        <w:tc>
          <w:tcPr>
            <w:tcW w:w="410"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0" w:hRule="exac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B过程</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49"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B1资金管理</w:t>
            </w:r>
          </w:p>
        </w:tc>
        <w:tc>
          <w:tcPr>
            <w:tcW w:w="373"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12</w:t>
            </w: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B11资金到位率</w:t>
            </w:r>
          </w:p>
        </w:tc>
        <w:tc>
          <w:tcPr>
            <w:tcW w:w="524"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100%</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100%</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B12预算执行率</w:t>
            </w:r>
          </w:p>
        </w:tc>
        <w:tc>
          <w:tcPr>
            <w:tcW w:w="524"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95%</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100</w:t>
            </w:r>
            <w:r>
              <w:rPr>
                <w:rFonts w:hint="eastAsia" w:ascii="仿宋_GB2312" w:hAnsi="仿宋_GB2312" w:cs="仿宋_GB2312"/>
                <w:b w:val="0"/>
                <w:bCs w:val="0"/>
                <w:sz w:val="24"/>
              </w:rPr>
              <w:t>%</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B13资金使用合规性</w:t>
            </w:r>
          </w:p>
        </w:tc>
        <w:tc>
          <w:tcPr>
            <w:tcW w:w="524"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合规</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rPr>
            </w:pPr>
            <w:r>
              <w:rPr>
                <w:rFonts w:hint="eastAsia" w:ascii="仿宋_GB2312" w:hAnsi="Calibri" w:eastAsia="仿宋_GB2312" w:cs="Times New Roman"/>
                <w:sz w:val="21"/>
                <w:szCs w:val="21"/>
              </w:rPr>
              <w:t>合规</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2"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B2组织实施</w:t>
            </w:r>
          </w:p>
          <w:p>
            <w:pPr>
              <w:spacing w:line="240" w:lineRule="auto"/>
              <w:ind w:firstLine="0" w:firstLineChars="0"/>
              <w:jc w:val="center"/>
              <w:rPr>
                <w:rFonts w:ascii="仿宋_GB2312" w:hAnsi="Calibri" w:eastAsia="仿宋_GB2312"/>
                <w:sz w:val="21"/>
                <w:szCs w:val="21"/>
              </w:rPr>
            </w:pPr>
          </w:p>
        </w:tc>
        <w:tc>
          <w:tcPr>
            <w:tcW w:w="373"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8</w:t>
            </w: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B21管理制度健全性</w:t>
            </w:r>
          </w:p>
        </w:tc>
        <w:tc>
          <w:tcPr>
            <w:tcW w:w="524"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健全</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rPr>
            </w:pPr>
            <w:r>
              <w:rPr>
                <w:rFonts w:hint="eastAsia" w:ascii="仿宋_GB2312" w:hAnsi="Calibri" w:eastAsia="仿宋_GB2312" w:cs="Times New Roman"/>
                <w:sz w:val="21"/>
                <w:szCs w:val="21"/>
                <w:lang w:val="en-US" w:eastAsia="zh-CN"/>
              </w:rPr>
              <w:t>基本</w:t>
            </w:r>
            <w:r>
              <w:rPr>
                <w:rFonts w:hint="eastAsia" w:ascii="仿宋_GB2312" w:hAnsi="Calibri" w:eastAsia="仿宋_GB2312" w:cs="Times New Roman"/>
                <w:sz w:val="21"/>
                <w:szCs w:val="21"/>
              </w:rPr>
              <w:t>健全</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B22制度执行有效性</w:t>
            </w:r>
          </w:p>
        </w:tc>
        <w:tc>
          <w:tcPr>
            <w:tcW w:w="524"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有效</w:t>
            </w:r>
          </w:p>
        </w:tc>
        <w:tc>
          <w:tcPr>
            <w:tcW w:w="428"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rPr>
            </w:pPr>
            <w:r>
              <w:rPr>
                <w:rFonts w:hint="eastAsia" w:ascii="仿宋_GB2312" w:hAnsi="Calibri" w:eastAsia="仿宋_GB2312" w:cs="Times New Roman"/>
                <w:sz w:val="21"/>
                <w:szCs w:val="21"/>
                <w:lang w:val="en-US" w:eastAsia="zh-CN"/>
              </w:rPr>
              <w:t>有</w:t>
            </w:r>
            <w:r>
              <w:rPr>
                <w:rFonts w:hint="eastAsia" w:ascii="仿宋_GB2312" w:hAnsi="Calibri" w:eastAsia="仿宋_GB2312" w:cs="Times New Roman"/>
                <w:sz w:val="21"/>
                <w:szCs w:val="21"/>
              </w:rPr>
              <w:t>效</w:t>
            </w:r>
          </w:p>
        </w:tc>
        <w:tc>
          <w:tcPr>
            <w:tcW w:w="410"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C产出</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49"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C1产出数量</w:t>
            </w:r>
          </w:p>
        </w:tc>
        <w:tc>
          <w:tcPr>
            <w:tcW w:w="373" w:type="pct"/>
            <w:vAlign w:val="center"/>
          </w:tcPr>
          <w:p>
            <w:pPr>
              <w:snapToGrid w:val="0"/>
              <w:spacing w:line="400" w:lineRule="exact"/>
              <w:ind w:firstLine="120" w:firstLineChars="50"/>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12</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C11应补尽补率</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428" w:type="pct"/>
            <w:vAlign w:val="center"/>
          </w:tcPr>
          <w:p>
            <w:pPr>
              <w:spacing w:line="280" w:lineRule="exact"/>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100%</w:t>
            </w:r>
          </w:p>
        </w:tc>
        <w:tc>
          <w:tcPr>
            <w:tcW w:w="480" w:type="pct"/>
            <w:vAlign w:val="center"/>
          </w:tcPr>
          <w:p>
            <w:pPr>
              <w:spacing w:line="280" w:lineRule="exact"/>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100%</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C2产出质量</w:t>
            </w:r>
          </w:p>
        </w:tc>
        <w:tc>
          <w:tcPr>
            <w:tcW w:w="373"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C21补贴标准符合率</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428" w:type="pct"/>
            <w:vAlign w:val="center"/>
          </w:tcPr>
          <w:p>
            <w:pPr>
              <w:spacing w:line="280" w:lineRule="exact"/>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100%</w:t>
            </w:r>
          </w:p>
        </w:tc>
        <w:tc>
          <w:tcPr>
            <w:tcW w:w="480" w:type="pct"/>
            <w:vAlign w:val="center"/>
          </w:tcPr>
          <w:p>
            <w:pPr>
              <w:spacing w:line="280" w:lineRule="exact"/>
              <w:ind w:firstLine="0" w:firstLineChars="0"/>
              <w:jc w:val="center"/>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100%</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C3产出时效</w:t>
            </w:r>
          </w:p>
        </w:tc>
        <w:tc>
          <w:tcPr>
            <w:tcW w:w="373"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9</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C31补贴资金发放及时性</w:t>
            </w:r>
          </w:p>
        </w:tc>
        <w:tc>
          <w:tcPr>
            <w:tcW w:w="524"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428"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及时</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及时</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D效益</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49" w:type="pct"/>
            <w:vAlign w:val="center"/>
          </w:tcPr>
          <w:p>
            <w:pPr>
              <w:snapToGrid w:val="0"/>
              <w:spacing w:line="400" w:lineRule="exact"/>
              <w:ind w:firstLine="0" w:firstLineChars="0"/>
              <w:jc w:val="left"/>
              <w:rPr>
                <w:rFonts w:ascii="仿宋_GB2312" w:hAnsi="仿宋_GB2312" w:eastAsia="仿宋_GB2312" w:cs="仿宋_GB2312"/>
                <w:color w:val="000000"/>
                <w:sz w:val="21"/>
                <w:szCs w:val="21"/>
              </w:rPr>
            </w:pPr>
            <w:r>
              <w:rPr>
                <w:rFonts w:hint="eastAsia" w:ascii="仿宋_GB2312" w:hAnsi="Calibri" w:eastAsia="仿宋_GB2312"/>
                <w:sz w:val="21"/>
                <w:szCs w:val="21"/>
              </w:rPr>
              <w:t>D1</w:t>
            </w:r>
            <w:r>
              <w:rPr>
                <w:rFonts w:hint="eastAsia" w:ascii="仿宋_GB2312" w:hAnsi="Calibri" w:eastAsia="仿宋_GB2312"/>
                <w:sz w:val="21"/>
                <w:szCs w:val="21"/>
                <w:lang w:val="en-US" w:eastAsia="zh-CN"/>
              </w:rPr>
              <w:t>经济</w:t>
            </w:r>
            <w:r>
              <w:rPr>
                <w:rFonts w:hint="eastAsia" w:ascii="仿宋_GB2312" w:hAnsi="Calibri" w:eastAsia="仿宋_GB2312"/>
                <w:sz w:val="21"/>
                <w:szCs w:val="21"/>
              </w:rPr>
              <w:t>效益</w:t>
            </w:r>
          </w:p>
        </w:tc>
        <w:tc>
          <w:tcPr>
            <w:tcW w:w="373" w:type="pct"/>
            <w:vAlign w:val="center"/>
          </w:tcPr>
          <w:p>
            <w:pPr>
              <w:snapToGrid w:val="0"/>
              <w:spacing w:line="400" w:lineRule="exact"/>
              <w:ind w:firstLine="0" w:firstLineChars="0"/>
              <w:jc w:val="center"/>
              <w:rPr>
                <w:rFonts w:hint="default" w:ascii="仿宋_GB2312" w:hAnsi="Calibri" w:eastAsia="仿宋_GB2312"/>
                <w:sz w:val="21"/>
                <w:szCs w:val="21"/>
                <w:lang w:val="en-US" w:eastAsia="zh-CN"/>
              </w:rPr>
            </w:pPr>
            <w:r>
              <w:rPr>
                <w:rFonts w:hint="eastAsia" w:eastAsia="仿宋" w:cs="Times New Roman"/>
                <w:color w:val="000000"/>
                <w:sz w:val="24"/>
                <w:szCs w:val="24"/>
                <w:lang w:val="en-US" w:eastAsia="zh-CN"/>
              </w:rPr>
              <w:t>5</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D11增加粮食产量，提高农民收入</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c>
          <w:tcPr>
            <w:tcW w:w="428" w:type="pct"/>
            <w:vAlign w:val="center"/>
          </w:tcPr>
          <w:p>
            <w:pPr>
              <w:spacing w:line="240" w:lineRule="auto"/>
              <w:ind w:firstLine="0" w:firstLineChars="0"/>
              <w:jc w:val="center"/>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增加</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增加</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2社会</w:t>
            </w:r>
            <w:r>
              <w:rPr>
                <w:rFonts w:hint="eastAsia" w:ascii="仿宋_GB2312" w:hAnsi="Calibri" w:eastAsia="仿宋_GB2312"/>
                <w:sz w:val="21"/>
                <w:szCs w:val="21"/>
              </w:rPr>
              <w:t>效益</w:t>
            </w:r>
          </w:p>
        </w:tc>
        <w:tc>
          <w:tcPr>
            <w:tcW w:w="373" w:type="pct"/>
            <w:vMerge w:val="restar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10</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D21促进规模化经营，提高农业生产现代化</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c>
          <w:tcPr>
            <w:tcW w:w="428" w:type="pct"/>
            <w:vAlign w:val="center"/>
          </w:tcPr>
          <w:p>
            <w:pPr>
              <w:spacing w:line="240" w:lineRule="auto"/>
              <w:ind w:firstLine="0" w:firstLineChars="0"/>
              <w:jc w:val="center"/>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提高</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提高</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p>
        </w:tc>
        <w:tc>
          <w:tcPr>
            <w:tcW w:w="373"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D22促进产业结构调整，加快农业机械化产业发展</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c>
          <w:tcPr>
            <w:tcW w:w="428" w:type="pct"/>
            <w:vAlign w:val="center"/>
          </w:tcPr>
          <w:p>
            <w:pPr>
              <w:spacing w:line="240" w:lineRule="auto"/>
              <w:ind w:firstLine="0" w:firstLineChars="0"/>
              <w:jc w:val="center"/>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促进</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促进</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napToGrid w:val="0"/>
              <w:spacing w:line="40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sz w:val="21"/>
                <w:szCs w:val="21"/>
                <w:lang w:val="en-US" w:eastAsia="zh-CN"/>
              </w:rPr>
              <w:t>3</w:t>
            </w:r>
            <w:r>
              <w:rPr>
                <w:rFonts w:hint="eastAsia" w:ascii="仿宋_GB2312" w:hAnsi="Calibri" w:eastAsia="仿宋_GB2312"/>
                <w:sz w:val="21"/>
                <w:szCs w:val="21"/>
              </w:rPr>
              <w:t>可持续影响</w:t>
            </w:r>
          </w:p>
        </w:tc>
        <w:tc>
          <w:tcPr>
            <w:tcW w:w="373"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5</w:t>
            </w:r>
          </w:p>
        </w:tc>
        <w:tc>
          <w:tcPr>
            <w:tcW w:w="1203" w:type="pct"/>
            <w:vAlign w:val="center"/>
          </w:tcPr>
          <w:p>
            <w:pPr>
              <w:spacing w:line="280" w:lineRule="exact"/>
              <w:ind w:firstLine="0" w:firstLineChars="0"/>
              <w:jc w:val="left"/>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D31政策知晓率</w:t>
            </w:r>
          </w:p>
        </w:tc>
        <w:tc>
          <w:tcPr>
            <w:tcW w:w="524" w:type="pct"/>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w:t>
            </w:r>
          </w:p>
        </w:tc>
        <w:tc>
          <w:tcPr>
            <w:tcW w:w="428"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≥90%</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75%</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8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sz w:val="21"/>
                <w:szCs w:val="21"/>
                <w:lang w:val="en-US" w:eastAsia="zh-CN"/>
              </w:rPr>
              <w:t>4</w:t>
            </w:r>
            <w:r>
              <w:rPr>
                <w:rFonts w:hint="eastAsia" w:ascii="仿宋_GB2312" w:hAnsi="Calibri" w:eastAsia="仿宋_GB2312"/>
                <w:sz w:val="21"/>
                <w:szCs w:val="21"/>
              </w:rPr>
              <w:t>满意度</w:t>
            </w:r>
          </w:p>
        </w:tc>
        <w:tc>
          <w:tcPr>
            <w:tcW w:w="373"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10</w:t>
            </w:r>
          </w:p>
        </w:tc>
        <w:tc>
          <w:tcPr>
            <w:tcW w:w="1203" w:type="pct"/>
            <w:vAlign w:val="center"/>
          </w:tcPr>
          <w:p>
            <w:pPr>
              <w:spacing w:line="280" w:lineRule="exact"/>
              <w:ind w:firstLine="0" w:firstLineChars="0"/>
              <w:jc w:val="left"/>
              <w:rPr>
                <w:rFonts w:hint="eastAsia" w:ascii="仿宋_GB2312" w:hAnsi="Calibri" w:eastAsia="仿宋_GB2312" w:cs="Times New Roman"/>
                <w:sz w:val="21"/>
                <w:szCs w:val="21"/>
              </w:rPr>
            </w:pPr>
            <w:r>
              <w:rPr>
                <w:rFonts w:hint="default" w:ascii="仿宋_GB2312" w:hAnsi="Calibri" w:eastAsia="仿宋_GB2312" w:cs="Times New Roman"/>
                <w:sz w:val="21"/>
                <w:szCs w:val="21"/>
                <w:lang w:val="en-US" w:eastAsia="zh-CN"/>
              </w:rPr>
              <w:t>D</w:t>
            </w:r>
            <w:r>
              <w:rPr>
                <w:rFonts w:hint="eastAsia" w:ascii="仿宋_GB2312" w:hAnsi="Calibri" w:eastAsia="仿宋_GB2312" w:cs="Times New Roman"/>
                <w:sz w:val="21"/>
                <w:szCs w:val="21"/>
                <w:lang w:val="en-US" w:eastAsia="zh-CN"/>
              </w:rPr>
              <w:t>4</w:t>
            </w:r>
            <w:r>
              <w:rPr>
                <w:rFonts w:hint="default" w:ascii="仿宋_GB2312" w:hAnsi="Calibri" w:eastAsia="仿宋_GB2312" w:cs="Times New Roman"/>
                <w:sz w:val="21"/>
                <w:szCs w:val="21"/>
                <w:lang w:val="en-US" w:eastAsia="zh-CN"/>
              </w:rPr>
              <w:t>1受益对象满意度</w:t>
            </w:r>
          </w:p>
        </w:tc>
        <w:tc>
          <w:tcPr>
            <w:tcW w:w="524"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w:t>
            </w:r>
          </w:p>
        </w:tc>
        <w:tc>
          <w:tcPr>
            <w:tcW w:w="428" w:type="pct"/>
            <w:vAlign w:val="center"/>
          </w:tcPr>
          <w:p>
            <w:pPr>
              <w:spacing w:line="240" w:lineRule="auto"/>
              <w:ind w:firstLine="0" w:firstLineChars="0"/>
              <w:jc w:val="center"/>
              <w:rPr>
                <w:rFonts w:hint="default"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≥90%</w:t>
            </w:r>
          </w:p>
        </w:tc>
        <w:tc>
          <w:tcPr>
            <w:tcW w:w="480" w:type="pct"/>
            <w:vAlign w:val="center"/>
          </w:tcPr>
          <w:p>
            <w:pPr>
              <w:spacing w:line="240" w:lineRule="auto"/>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86.16%</w:t>
            </w:r>
          </w:p>
        </w:tc>
        <w:tc>
          <w:tcPr>
            <w:tcW w:w="410" w:type="pct"/>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exact"/>
        </w:trPr>
        <w:tc>
          <w:tcPr>
            <w:tcW w:w="451" w:type="pct"/>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总分</w:t>
            </w:r>
          </w:p>
        </w:tc>
        <w:tc>
          <w:tcPr>
            <w:tcW w:w="377"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sz w:val="24"/>
                <w:szCs w:val="24"/>
              </w:rPr>
            </w:pPr>
            <w:r>
              <w:rPr>
                <w:rFonts w:ascii="Times New Roman" w:hAnsi="Times New Roman" w:eastAsia="仿宋" w:cs="Times New Roman"/>
                <w:b/>
                <w:color w:val="000000"/>
                <w:sz w:val="24"/>
                <w:szCs w:val="24"/>
              </w:rPr>
              <w:fldChar w:fldCharType="begin"/>
            </w:r>
            <w:r>
              <w:rPr>
                <w:rFonts w:ascii="Times New Roman" w:hAnsi="Times New Roman" w:eastAsia="仿宋" w:cs="Times New Roman"/>
                <w:b/>
                <w:color w:val="000000"/>
                <w:sz w:val="24"/>
                <w:szCs w:val="24"/>
              </w:rPr>
              <w:instrText xml:space="preserve"> =SUM(ABOVE) </w:instrText>
            </w:r>
            <w:r>
              <w:rPr>
                <w:rFonts w:ascii="Times New Roman" w:hAnsi="Times New Roman" w:eastAsia="仿宋" w:cs="Times New Roman"/>
                <w:b/>
                <w:color w:val="000000"/>
                <w:sz w:val="24"/>
                <w:szCs w:val="24"/>
              </w:rPr>
              <w:fldChar w:fldCharType="separate"/>
            </w:r>
            <w:r>
              <w:rPr>
                <w:rFonts w:ascii="Times New Roman" w:hAnsi="Times New Roman" w:eastAsia="仿宋" w:cs="Times New Roman"/>
                <w:b/>
                <w:color w:val="000000"/>
                <w:sz w:val="24"/>
                <w:szCs w:val="24"/>
              </w:rPr>
              <w:t>100</w:t>
            </w:r>
            <w:r>
              <w:rPr>
                <w:rFonts w:ascii="Times New Roman" w:hAnsi="Times New Roman" w:eastAsia="仿宋" w:cs="Times New Roman"/>
                <w:b/>
                <w:color w:val="000000"/>
                <w:sz w:val="24"/>
                <w:szCs w:val="24"/>
              </w:rPr>
              <w:fldChar w:fldCharType="end"/>
            </w:r>
          </w:p>
        </w:tc>
        <w:tc>
          <w:tcPr>
            <w:tcW w:w="749" w:type="pct"/>
            <w:vAlign w:val="center"/>
          </w:tcPr>
          <w:p>
            <w:pPr>
              <w:widowControl/>
              <w:snapToGrid w:val="0"/>
              <w:spacing w:line="400" w:lineRule="exact"/>
              <w:ind w:firstLine="0" w:firstLineChars="0"/>
              <w:jc w:val="center"/>
              <w:textAlignment w:val="center"/>
              <w:rPr>
                <w:rFonts w:ascii="仿宋" w:hAnsi="仿宋" w:eastAsia="仿宋" w:cs="仿宋_GB2312"/>
                <w:b/>
                <w:color w:val="000000"/>
                <w:sz w:val="24"/>
                <w:szCs w:val="24"/>
              </w:rPr>
            </w:pPr>
          </w:p>
        </w:tc>
        <w:tc>
          <w:tcPr>
            <w:tcW w:w="373"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1203" w:type="pct"/>
            <w:vAlign w:val="center"/>
          </w:tcPr>
          <w:p>
            <w:pPr>
              <w:widowControl/>
              <w:snapToGrid w:val="0"/>
              <w:spacing w:line="400" w:lineRule="exact"/>
              <w:ind w:firstLine="0" w:firstLineChars="0"/>
              <w:jc w:val="center"/>
              <w:textAlignment w:val="center"/>
              <w:rPr>
                <w:rFonts w:ascii="仿宋" w:hAnsi="仿宋" w:eastAsia="仿宋" w:cs="仿宋_GB2312"/>
                <w:b/>
                <w:sz w:val="24"/>
                <w:szCs w:val="24"/>
              </w:rPr>
            </w:pPr>
          </w:p>
        </w:tc>
        <w:tc>
          <w:tcPr>
            <w:tcW w:w="524"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428"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480"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410" w:type="pct"/>
            <w:vAlign w:val="center"/>
          </w:tcPr>
          <w:p>
            <w:pPr>
              <w:snapToGrid w:val="0"/>
              <w:spacing w:line="400" w:lineRule="exact"/>
              <w:ind w:firstLine="0" w:firstLineChars="0"/>
              <w:jc w:val="center"/>
              <w:textAlignment w:val="center"/>
              <w:rPr>
                <w:rFonts w:hint="default" w:ascii="Times New Roman" w:hAnsi="Times New Roman" w:eastAsia="仿宋" w:cs="Times New Roman"/>
                <w:b/>
                <w:color w:val="000000"/>
                <w:kern w:val="0"/>
                <w:sz w:val="24"/>
                <w:szCs w:val="24"/>
                <w:lang w:eastAsia="zh-CN"/>
              </w:rPr>
            </w:pPr>
            <w:r>
              <w:rPr>
                <w:rFonts w:hint="default" w:ascii="Times New Roman" w:hAnsi="Times New Roman" w:eastAsia="仿宋" w:cs="Times New Roman"/>
                <w:b/>
                <w:color w:val="000000"/>
                <w:kern w:val="0"/>
                <w:sz w:val="24"/>
                <w:szCs w:val="24"/>
                <w:lang w:eastAsia="zh-CN"/>
              </w:rPr>
              <w:fldChar w:fldCharType="begin"/>
            </w:r>
            <w:r>
              <w:rPr>
                <w:rFonts w:hint="default" w:ascii="Times New Roman" w:hAnsi="Times New Roman" w:eastAsia="仿宋" w:cs="Times New Roman"/>
                <w:b/>
                <w:color w:val="000000"/>
                <w:kern w:val="0"/>
                <w:sz w:val="24"/>
                <w:szCs w:val="24"/>
                <w:lang w:eastAsia="zh-CN"/>
              </w:rPr>
              <w:instrText xml:space="preserve"> =SUM(ABOVE) \* MERGEFORMAT </w:instrText>
            </w:r>
            <w:r>
              <w:rPr>
                <w:rFonts w:hint="default" w:ascii="Times New Roman" w:hAnsi="Times New Roman" w:eastAsia="仿宋" w:cs="Times New Roman"/>
                <w:b/>
                <w:color w:val="000000"/>
                <w:kern w:val="0"/>
                <w:sz w:val="24"/>
                <w:szCs w:val="24"/>
                <w:lang w:eastAsia="zh-CN"/>
              </w:rPr>
              <w:fldChar w:fldCharType="separate"/>
            </w:r>
            <w:r>
              <w:rPr>
                <w:rFonts w:hint="default" w:ascii="Times New Roman" w:hAnsi="Times New Roman" w:eastAsia="仿宋" w:cs="Times New Roman"/>
                <w:b/>
                <w:color w:val="000000"/>
                <w:kern w:val="0"/>
                <w:sz w:val="24"/>
                <w:szCs w:val="24"/>
                <w:lang w:eastAsia="zh-CN"/>
              </w:rPr>
              <w:t>92.8</w:t>
            </w:r>
            <w:r>
              <w:rPr>
                <w:rFonts w:hint="default" w:ascii="Times New Roman" w:hAnsi="Times New Roman" w:eastAsia="仿宋" w:cs="Times New Roman"/>
                <w:b/>
                <w:color w:val="000000"/>
                <w:kern w:val="0"/>
                <w:sz w:val="24"/>
                <w:szCs w:val="24"/>
                <w:lang w:eastAsia="zh-CN"/>
              </w:rPr>
              <w:fldChar w:fldCharType="end"/>
            </w:r>
          </w:p>
        </w:tc>
      </w:tr>
    </w:tbl>
    <w:p>
      <w:pPr>
        <w:rPr>
          <w:rFonts w:ascii="黑体" w:hAnsi="黑体"/>
        </w:rPr>
      </w:pPr>
    </w:p>
    <w:p>
      <w:pPr>
        <w:pStyle w:val="10"/>
      </w:pPr>
    </w:p>
    <w:p>
      <w:pPr>
        <w:rPr>
          <w:rFonts w:ascii="黑体" w:hAnsi="黑体"/>
        </w:rPr>
      </w:pPr>
    </w:p>
    <w:p>
      <w:pPr>
        <w:pStyle w:val="2"/>
      </w:pPr>
    </w:p>
    <w:p>
      <w:pPr>
        <w:rPr>
          <w:rFonts w:ascii="黑体" w:hAnsi="黑体"/>
        </w:rPr>
      </w:pPr>
    </w:p>
    <w:p>
      <w:pPr>
        <w:pStyle w:val="2"/>
      </w:pPr>
    </w:p>
    <w:p/>
    <w:p>
      <w:pPr>
        <w:rPr>
          <w:rFonts w:ascii="黑体" w:hAnsi="黑体"/>
        </w:rPr>
      </w:pPr>
    </w:p>
    <w:p>
      <w:pPr>
        <w:pStyle w:val="7"/>
        <w:rPr>
          <w:rFonts w:ascii="黑体" w:hAnsi="黑体"/>
        </w:rPr>
      </w:pPr>
    </w:p>
    <w:p>
      <w:pPr>
        <w:rPr>
          <w:rFonts w:ascii="黑体" w:hAnsi="黑体"/>
        </w:rPr>
      </w:pPr>
    </w:p>
    <w:p>
      <w:pPr>
        <w:pStyle w:val="7"/>
        <w:sectPr>
          <w:headerReference r:id="rId7" w:type="default"/>
          <w:footerReference r:id="rId8" w:type="default"/>
          <w:pgSz w:w="11906" w:h="16838"/>
          <w:pgMar w:top="1440" w:right="1797" w:bottom="1440" w:left="1797" w:header="851" w:footer="992" w:gutter="0"/>
          <w:pgNumType w:fmt="decimal" w:start="1"/>
          <w:cols w:space="425" w:num="1"/>
          <w:docGrid w:type="lines" w:linePitch="312" w:charSpace="0"/>
        </w:sectPr>
      </w:pPr>
    </w:p>
    <w:p>
      <w:pPr>
        <w:pStyle w:val="3"/>
        <w:spacing w:before="120" w:after="120"/>
        <w:ind w:firstLine="0" w:firstLineChars="0"/>
        <w:rPr>
          <w:rFonts w:ascii="黑体" w:hAnsi="黑体"/>
        </w:rPr>
      </w:pPr>
      <w:bookmarkStart w:id="68" w:name="_Toc10119"/>
      <w:r>
        <w:rPr>
          <w:rFonts w:ascii="黑体" w:hAnsi="黑体"/>
        </w:rPr>
        <w:t>附件2</w:t>
      </w:r>
      <w:r>
        <w:rPr>
          <w:rFonts w:hint="eastAsia" w:ascii="黑体" w:hAnsi="黑体"/>
        </w:rPr>
        <w:t xml:space="preserve"> ：项目</w:t>
      </w:r>
      <w:r>
        <w:rPr>
          <w:rFonts w:ascii="黑体" w:hAnsi="黑体"/>
        </w:rPr>
        <w:t>支出绩效评价指标体系</w:t>
      </w:r>
      <w:bookmarkEnd w:id="66"/>
      <w:bookmarkEnd w:id="67"/>
      <w:bookmarkEnd w:id="68"/>
    </w:p>
    <w:tbl>
      <w:tblPr>
        <w:tblStyle w:val="20"/>
        <w:tblW w:w="138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7"/>
        <w:gridCol w:w="483"/>
        <w:gridCol w:w="700"/>
        <w:gridCol w:w="471"/>
        <w:gridCol w:w="1110"/>
        <w:gridCol w:w="630"/>
        <w:gridCol w:w="473"/>
        <w:gridCol w:w="2897"/>
        <w:gridCol w:w="63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blHeader/>
          <w:jc w:val="center"/>
        </w:trPr>
        <w:tc>
          <w:tcPr>
            <w:tcW w:w="66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一级指标</w:t>
            </w:r>
          </w:p>
        </w:tc>
        <w:tc>
          <w:tcPr>
            <w:tcW w:w="48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分值</w:t>
            </w: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二级指标</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分值</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三级</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指标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目标值</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b/>
                <w:color w:val="auto"/>
                <w:sz w:val="21"/>
                <w:szCs w:val="21"/>
                <w:highlight w:val="none"/>
              </w:rPr>
              <w:t>分值</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指标解释</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5"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决策</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0</w:t>
            </w: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项目立项</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立项依据充分性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充分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项目立项是否符合法律法规、相关政策、发展规划以及部门职责，用以反映和考核项目立项依据情况。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pacing w:val="0"/>
                <w:sz w:val="21"/>
                <w:szCs w:val="21"/>
                <w:highlight w:val="none"/>
                <w:lang w:val="en-US" w:eastAsia="zh-CN"/>
              </w:rPr>
              <w:t>项目立项符合国务院关于加快推进农业机械化和农机装备产业转型升级的指导意见（国发〔2018〕42号）、农业农村部办公厅 财政部办公厅关于印发《2021—2023年农机购置补贴实施指导意见》的通知（2021年10月20 ）、农业农村部农业机械化管理司关于做好《农业机械分类》标准宣传贯彻实施工作的函（农机管〔2021〕27号）、山西省关于印发《2021—2023年全省农业机械购置补贴实施方案》的通知（晋农机发〔2021〕5号）、《临汾市2021—2023年农业机械购置补贴实施细则》（临农（农机）发〔2021〕90号）</w:t>
            </w:r>
            <w:r>
              <w:rPr>
                <w:rFonts w:hint="eastAsia" w:ascii="宋体" w:hAnsi="宋体" w:eastAsia="宋体" w:cs="宋体"/>
                <w:color w:val="auto"/>
                <w:spacing w:val="-6"/>
                <w:sz w:val="21"/>
                <w:szCs w:val="21"/>
                <w:highlight w:val="none"/>
                <w:lang w:val="en-US" w:eastAsia="zh-CN"/>
              </w:rPr>
              <w:t>等相关政策及文件要求（1分）；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pacing w:val="-6"/>
                <w:sz w:val="21"/>
                <w:szCs w:val="21"/>
                <w:highlight w:val="none"/>
                <w:lang w:val="en-US" w:eastAsia="zh-CN"/>
              </w:rPr>
              <w:t>2.</w:t>
            </w:r>
            <w:r>
              <w:rPr>
                <w:rFonts w:hint="eastAsia" w:ascii="宋体" w:hAnsi="宋体" w:eastAsia="宋体" w:cs="宋体"/>
                <w:color w:val="auto"/>
                <w:spacing w:val="-6"/>
                <w:sz w:val="21"/>
                <w:szCs w:val="21"/>
                <w:highlight w:val="none"/>
              </w:rPr>
              <w:t>项目立项符合</w:t>
            </w:r>
            <w:r>
              <w:rPr>
                <w:rFonts w:hint="eastAsia" w:ascii="宋体" w:hAnsi="宋体" w:eastAsia="宋体" w:cs="宋体"/>
                <w:color w:val="auto"/>
                <w:spacing w:val="-6"/>
                <w:sz w:val="21"/>
                <w:szCs w:val="21"/>
                <w:highlight w:val="none"/>
                <w:lang w:eastAsia="zh-CN"/>
              </w:rPr>
              <w:t>古县</w:t>
            </w:r>
            <w:r>
              <w:rPr>
                <w:rFonts w:hint="eastAsia" w:ascii="宋体" w:hAnsi="宋体" w:eastAsia="宋体" w:cs="宋体"/>
                <w:color w:val="auto"/>
                <w:spacing w:val="-6"/>
                <w:sz w:val="21"/>
                <w:szCs w:val="21"/>
                <w:highlight w:val="none"/>
              </w:rPr>
              <w:t>发展规划和政策要求</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pacing w:val="-6"/>
                <w:sz w:val="21"/>
                <w:szCs w:val="21"/>
                <w:highlight w:val="none"/>
                <w:lang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3.项目立项与部门职责范围相符，属于部门履职所需（1分）；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eastAsia="zh-CN"/>
              </w:rPr>
            </w:pPr>
            <w:r>
              <w:rPr>
                <w:rFonts w:hint="eastAsia" w:ascii="宋体" w:hAnsi="宋体" w:eastAsia="宋体" w:cs="宋体"/>
                <w:color w:val="auto"/>
                <w:sz w:val="21"/>
                <w:szCs w:val="21"/>
                <w:highlight w:val="none"/>
                <w:lang w:val="en-US" w:eastAsia="zh-CN"/>
              </w:rPr>
              <w:t>4.项目属于公共财政支持范围，符合中央、地方事权支出责任划分原则（1分）。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立项</w:t>
            </w:r>
            <w:r>
              <w:rPr>
                <w:rFonts w:hint="eastAsia" w:ascii="宋体" w:hAnsi="宋体" w:eastAsia="宋体" w:cs="宋体"/>
                <w:color w:val="auto"/>
                <w:sz w:val="21"/>
                <w:szCs w:val="21"/>
                <w:highlight w:val="none"/>
                <w:lang w:val="en-US" w:eastAsia="zh-CN"/>
              </w:rPr>
              <w:t>程序</w:t>
            </w:r>
            <w:r>
              <w:rPr>
                <w:rFonts w:hint="eastAsia" w:ascii="宋体" w:hAnsi="宋体" w:eastAsia="宋体" w:cs="宋体"/>
                <w:color w:val="auto"/>
                <w:sz w:val="21"/>
                <w:szCs w:val="21"/>
                <w:highlight w:val="none"/>
              </w:rPr>
              <w:t>规范性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规范</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项目的申请、设立过程是否符合相关要求，用以反映和考核项目立项的规范情况。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1.项目按照《古县2021—2023年农业机械购置补贴工作方案》（古农机字〔2021〕22号）、《古县农业机械报废更新补贴工作方案的通知》（古农机字〔2021〕11号）要求申请立项（1分）；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2.所提交的文件、材料符合相关要求（1分）；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z w:val="21"/>
                <w:szCs w:val="21"/>
                <w:highlight w:val="none"/>
                <w:lang w:val="en-US" w:eastAsia="zh-CN"/>
              </w:rPr>
              <w:t>3.项目开展前经过</w:t>
            </w:r>
            <w:r>
              <w:rPr>
                <w:rFonts w:hint="eastAsia" w:ascii="Times New Roman" w:hAnsi="Times New Roman" w:eastAsia="宋体" w:cs="宋体"/>
                <w:color w:val="auto"/>
                <w:spacing w:val="-6"/>
                <w:kern w:val="2"/>
                <w:sz w:val="21"/>
                <w:szCs w:val="21"/>
                <w:highlight w:val="none"/>
                <w:lang w:val="en-US" w:eastAsia="zh-CN" w:bidi="ar-SA"/>
              </w:rPr>
              <w:t>必要的可行性研究、专家论证、集体决策</w:t>
            </w:r>
            <w:r>
              <w:rPr>
                <w:rFonts w:hint="eastAsia" w:ascii="宋体" w:hAnsi="宋体" w:eastAsia="宋体" w:cs="宋体"/>
                <w:color w:val="auto"/>
                <w:sz w:val="21"/>
                <w:szCs w:val="21"/>
                <w:highlight w:val="none"/>
                <w:lang w:val="en-US" w:eastAsia="zh-CN"/>
              </w:rPr>
              <w:t>（1分）。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绩效目标</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绩效目标合理性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合理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项目所设定的绩效目标是否依据充分，是否符合客观实际，用以反映和考核项目绩效目标与项目实施的相符情况。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项目</w:t>
            </w:r>
            <w:r>
              <w:rPr>
                <w:rFonts w:hint="eastAsia" w:ascii="宋体" w:hAnsi="宋体" w:eastAsia="宋体" w:cs="宋体"/>
                <w:color w:val="auto"/>
                <w:sz w:val="21"/>
                <w:szCs w:val="21"/>
                <w:highlight w:val="none"/>
                <w:lang w:val="en-US" w:eastAsia="zh-CN"/>
              </w:rPr>
              <w:t>实施单位填报了</w:t>
            </w:r>
            <w:r>
              <w:rPr>
                <w:rFonts w:hint="eastAsia" w:ascii="宋体" w:hAnsi="宋体" w:eastAsia="宋体" w:cs="宋体"/>
                <w:color w:val="auto"/>
                <w:sz w:val="21"/>
                <w:szCs w:val="21"/>
                <w:highlight w:val="none"/>
              </w:rPr>
              <w:t>绩效目标</w:t>
            </w:r>
            <w:r>
              <w:rPr>
                <w:rFonts w:hint="eastAsia" w:ascii="宋体" w:hAnsi="宋体" w:eastAsia="宋体" w:cs="宋体"/>
                <w:color w:val="auto"/>
                <w:spacing w:val="-6"/>
                <w:sz w:val="21"/>
                <w:szCs w:val="21"/>
                <w:highlight w:val="none"/>
                <w:lang w:eastAsia="zh-CN"/>
              </w:rPr>
              <w:t>，且进行绩效自评报告</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项目绩效目标与实际工作内容具有相关性</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项目预期产出效益和效果符合正常的业绩水平</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与预算确定的项目投资额或资金量相匹配</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8"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绩效指标明确性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明确</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依据绩效目标设定的绩效指标是否明确、细化、量化等，用以反映和考核项目绩效目标的明细化情况。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1.目标设置完整性。包括提供的公共产品或服务的产出数量、质量、成本指标，预期达到的效果性指标</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2.目标设置明确性。即绩效目标设置清晰，可细化、量化，与资金或项目属性特点、支出内容相关</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3.绩效目标与项目目标任务数或计划数相对应</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资金投入</w:t>
            </w:r>
          </w:p>
        </w:tc>
        <w:tc>
          <w:tcPr>
            <w:tcW w:w="471" w:type="dxa"/>
            <w:vMerge w:val="restart"/>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6</w:t>
            </w:r>
          </w:p>
        </w:tc>
        <w:tc>
          <w:tcPr>
            <w:tcW w:w="1110"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预算编制科学性</w:t>
            </w:r>
          </w:p>
        </w:tc>
        <w:tc>
          <w:tcPr>
            <w:tcW w:w="630"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160" w:leftChars="-50" w:right="-160" w:rightChars="-5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科学</w:t>
            </w:r>
          </w:p>
        </w:tc>
        <w:tc>
          <w:tcPr>
            <w:tcW w:w="473"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4</w:t>
            </w:r>
          </w:p>
        </w:tc>
        <w:tc>
          <w:tcPr>
            <w:tcW w:w="2897"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项目预算编制是否经过科学论证、有明确标准，资金额度与年度目标是否相适应，用以反映和考核项目预算编制的科学性、合理性情况。</w:t>
            </w:r>
          </w:p>
        </w:tc>
        <w:tc>
          <w:tcPr>
            <w:tcW w:w="6375" w:type="dxa"/>
            <w:noWrap w:val="0"/>
            <w:vAlign w:val="center"/>
          </w:tcPr>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预算编制经过科学论证</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预算内容与项目内容匹配</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3.</w:t>
            </w:r>
            <w:r>
              <w:rPr>
                <w:rFonts w:hint="eastAsia" w:ascii="宋体" w:hAnsi="宋体" w:eastAsia="宋体" w:cs="宋体"/>
                <w:color w:val="auto"/>
                <w:kern w:val="0"/>
                <w:sz w:val="21"/>
                <w:szCs w:val="21"/>
                <w:highlight w:val="none"/>
              </w:rPr>
              <w:t>预算额度测算依据充分，按照标准编制</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lang w:val="en-US" w:eastAsia="zh-CN"/>
              </w:rPr>
              <w:t>4.</w:t>
            </w:r>
            <w:r>
              <w:rPr>
                <w:rFonts w:hint="eastAsia" w:ascii="宋体" w:hAnsi="宋体" w:eastAsia="宋体" w:cs="宋体"/>
                <w:color w:val="auto"/>
                <w:kern w:val="0"/>
                <w:sz w:val="21"/>
                <w:szCs w:val="21"/>
                <w:highlight w:val="none"/>
              </w:rPr>
              <w:t>预算确定的项目投资额或资金量与工作任务相匹配</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p>
        </w:tc>
        <w:tc>
          <w:tcPr>
            <w:tcW w:w="471" w:type="dxa"/>
            <w:vMerge w:val="continue"/>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p>
        </w:tc>
        <w:tc>
          <w:tcPr>
            <w:tcW w:w="1110"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rPr>
              <w:t>资金分配合理性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合理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2</w:t>
            </w:r>
          </w:p>
        </w:tc>
        <w:tc>
          <w:tcPr>
            <w:tcW w:w="2897"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rPr>
              <w:t>项目预算资金分配是否有测算依据，与补助单位或地方实际是否相适应，用以反映和考核项目预算资金分配的科学性、合理性情况。</w:t>
            </w:r>
          </w:p>
        </w:tc>
        <w:tc>
          <w:tcPr>
            <w:tcW w:w="6375" w:type="dxa"/>
            <w:noWrap w:val="0"/>
            <w:vAlign w:val="center"/>
          </w:tcPr>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预算资金分配依据充分</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firstLine="0" w:firstLineChars="0"/>
              <w:jc w:val="both"/>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资金分配额度合理，与项目单位或地方实际相适应</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过程</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20</w:t>
            </w: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资金管理</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12</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资金到位率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pacing w:val="-6"/>
                <w:sz w:val="21"/>
                <w:szCs w:val="21"/>
                <w:highlight w:val="none"/>
                <w:lang w:eastAsia="zh-CN"/>
              </w:rPr>
              <w:t>资金到位率：</w:t>
            </w:r>
            <w:r>
              <w:rPr>
                <w:rFonts w:hint="eastAsia" w:ascii="宋体" w:hAnsi="宋体" w:eastAsia="宋体" w:cs="宋体"/>
                <w:color w:val="auto"/>
                <w:spacing w:val="-6"/>
                <w:sz w:val="21"/>
                <w:szCs w:val="21"/>
                <w:highlight w:val="none"/>
                <w:lang w:val="en-US" w:eastAsia="zh-CN"/>
              </w:rPr>
              <w:t>实际到位资金总额÷规定资金总额×100%</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（实际到位</w:t>
            </w:r>
            <w:r>
              <w:rPr>
                <w:rFonts w:hint="eastAsia" w:ascii="宋体" w:hAnsi="宋体" w:eastAsia="宋体" w:cs="宋体"/>
                <w:color w:val="auto"/>
                <w:sz w:val="21"/>
                <w:szCs w:val="21"/>
                <w:highlight w:val="none"/>
                <w:lang w:val="en-US" w:eastAsia="zh-CN"/>
              </w:rPr>
              <w:t>资金</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预算资金</w:t>
            </w:r>
            <w:r>
              <w:rPr>
                <w:rFonts w:hint="eastAsia" w:ascii="宋体" w:hAnsi="宋体" w:eastAsia="宋体" w:cs="宋体"/>
                <w:color w:val="auto"/>
                <w:sz w:val="21"/>
                <w:szCs w:val="21"/>
                <w:highlight w:val="none"/>
              </w:rPr>
              <w:t>）×100%×</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计算得分（</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分），到位率低于60%不得分。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预算执行率</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≥90</w:t>
            </w:r>
            <w:r>
              <w:rPr>
                <w:rFonts w:hint="eastAsia" w:ascii="宋体" w:hAnsi="宋体" w:eastAsia="宋体" w:cs="宋体"/>
                <w:color w:val="auto"/>
                <w:sz w:val="21"/>
                <w:szCs w:val="21"/>
                <w:highlight w:val="none"/>
              </w:rPr>
              <w:t>%</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项目预算资金是否按照计划执行，用以反映或考核项目预算执行情况。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highlight w:val="none"/>
                <w:lang w:val="en-US" w:eastAsia="zh-CN"/>
              </w:rPr>
            </w:pPr>
            <w:r>
              <w:rPr>
                <w:rFonts w:hint="eastAsia" w:ascii="宋体" w:hAnsi="宋体" w:eastAsia="宋体" w:cs="宋体"/>
                <w:color w:val="auto"/>
                <w:sz w:val="21"/>
                <w:highlight w:val="none"/>
              </w:rPr>
              <w:t>实际支出</w:t>
            </w:r>
            <w:r>
              <w:rPr>
                <w:rFonts w:hint="eastAsia" w:ascii="宋体" w:hAnsi="宋体" w:eastAsia="宋体" w:cs="宋体"/>
                <w:color w:val="auto"/>
                <w:sz w:val="21"/>
                <w:highlight w:val="none"/>
                <w:lang w:val="en-US" w:eastAsia="zh-CN"/>
              </w:rPr>
              <w:t>资金</w:t>
            </w:r>
            <w:r>
              <w:rPr>
                <w:rFonts w:hint="eastAsia" w:ascii="宋体" w:hAnsi="宋体" w:eastAsia="宋体" w:cs="宋体"/>
                <w:color w:val="auto"/>
                <w:sz w:val="21"/>
                <w:highlight w:val="none"/>
              </w:rPr>
              <w:t>/</w:t>
            </w:r>
            <w:r>
              <w:rPr>
                <w:rFonts w:hint="eastAsia" w:ascii="宋体" w:hAnsi="宋体" w:eastAsia="宋体" w:cs="宋体"/>
                <w:color w:val="auto"/>
                <w:sz w:val="21"/>
                <w:highlight w:val="none"/>
                <w:lang w:val="en-US" w:eastAsia="zh-CN"/>
              </w:rPr>
              <w:t>实际到位资金</w:t>
            </w:r>
            <w:r>
              <w:rPr>
                <w:rFonts w:hint="eastAsia" w:ascii="宋体" w:hAnsi="宋体" w:eastAsia="宋体" w:cs="宋体"/>
                <w:color w:val="auto"/>
                <w:sz w:val="21"/>
                <w:highlight w:val="none"/>
              </w:rPr>
              <w:t>×100%计算</w:t>
            </w:r>
            <w:r>
              <w:rPr>
                <w:rFonts w:hint="eastAsia" w:ascii="宋体" w:hAnsi="宋体" w:eastAsia="宋体" w:cs="宋体"/>
                <w:color w:val="auto"/>
                <w:sz w:val="21"/>
                <w:highlight w:val="none"/>
                <w:lang w:eastAsia="zh-CN"/>
              </w:rPr>
              <w:t>执行率，预算执行率</w:t>
            </w:r>
            <w:r>
              <w:rPr>
                <w:rFonts w:hint="eastAsia" w:ascii="宋体" w:hAnsi="宋体" w:eastAsia="宋体" w:cs="宋体"/>
                <w:color w:val="auto"/>
                <w:sz w:val="21"/>
                <w:szCs w:val="21"/>
                <w:highlight w:val="none"/>
                <w:shd w:val="clear" w:color="auto" w:fill="auto"/>
                <w:lang w:val="en-US" w:eastAsia="zh-CN"/>
              </w:rPr>
              <w:t>≥</w:t>
            </w:r>
            <w:r>
              <w:rPr>
                <w:rFonts w:hint="eastAsia" w:ascii="宋体" w:hAnsi="宋体" w:eastAsia="宋体" w:cs="宋体"/>
                <w:color w:val="auto"/>
                <w:sz w:val="21"/>
                <w:highlight w:val="none"/>
                <w:lang w:val="en-US" w:eastAsia="zh-CN"/>
              </w:rPr>
              <w:t>95</w:t>
            </w:r>
            <w:r>
              <w:rPr>
                <w:rFonts w:hint="eastAsia" w:ascii="宋体" w:hAnsi="宋体" w:eastAsia="宋体" w:cs="宋体"/>
                <w:color w:val="auto"/>
                <w:sz w:val="21"/>
                <w:highlight w:val="none"/>
              </w:rPr>
              <w:t>%</w:t>
            </w:r>
            <w:r>
              <w:rPr>
                <w:rFonts w:hint="eastAsia" w:ascii="宋体" w:hAnsi="宋体" w:eastAsia="宋体" w:cs="宋体"/>
                <w:color w:val="auto"/>
                <w:sz w:val="21"/>
                <w:highlight w:val="none"/>
                <w:lang w:eastAsia="zh-CN"/>
              </w:rPr>
              <w:t>得</w:t>
            </w:r>
            <w:r>
              <w:rPr>
                <w:rFonts w:hint="eastAsia" w:ascii="宋体" w:hAnsi="宋体" w:eastAsia="宋体" w:cs="宋体"/>
                <w:color w:val="auto"/>
                <w:sz w:val="21"/>
                <w:highlight w:val="none"/>
                <w:lang w:val="en-US" w:eastAsia="zh-CN"/>
              </w:rPr>
              <w:t>4</w:t>
            </w:r>
            <w:r>
              <w:rPr>
                <w:rFonts w:hint="eastAsia" w:ascii="宋体" w:hAnsi="宋体" w:eastAsia="宋体" w:cs="宋体"/>
                <w:color w:val="auto"/>
                <w:sz w:val="21"/>
                <w:highlight w:val="none"/>
              </w:rPr>
              <w:t>分</w:t>
            </w:r>
            <w:r>
              <w:rPr>
                <w:rFonts w:hint="eastAsia" w:ascii="宋体" w:hAnsi="宋体" w:eastAsia="宋体" w:cs="宋体"/>
                <w:color w:val="auto"/>
                <w:sz w:val="21"/>
                <w:highlight w:val="none"/>
                <w:lang w:eastAsia="zh-CN"/>
              </w:rPr>
              <w:t>；</w:t>
            </w:r>
            <w:r>
              <w:rPr>
                <w:rFonts w:hint="eastAsia" w:ascii="宋体" w:hAnsi="宋体" w:eastAsia="宋体" w:cs="宋体"/>
                <w:color w:val="auto"/>
                <w:sz w:val="21"/>
                <w:highlight w:val="none"/>
                <w:lang w:val="en-US" w:eastAsia="zh-CN"/>
              </w:rPr>
              <w:t>60%—95%（不含95%）按其权重计分；低于60%不得分</w:t>
            </w:r>
            <w:r>
              <w:rPr>
                <w:rFonts w:hint="eastAsia" w:ascii="宋体" w:hAnsi="宋体" w:eastAsia="宋体" w:cs="宋体"/>
                <w:color w:val="auto"/>
                <w:sz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eastAsia="zh-CN"/>
              </w:rPr>
              <w:t>资金</w:t>
            </w:r>
            <w:r>
              <w:rPr>
                <w:rFonts w:hint="eastAsia" w:ascii="宋体" w:hAnsi="宋体" w:eastAsia="宋体" w:cs="宋体"/>
                <w:color w:val="auto"/>
                <w:sz w:val="21"/>
                <w:szCs w:val="21"/>
                <w:highlight w:val="none"/>
                <w:lang w:val="en-US" w:eastAsia="zh-CN"/>
              </w:rPr>
              <w:t>使用合规</w:t>
            </w:r>
            <w:r>
              <w:rPr>
                <w:rFonts w:hint="eastAsia" w:ascii="宋体" w:hAnsi="宋体" w:eastAsia="宋体" w:cs="宋体"/>
                <w:color w:val="auto"/>
                <w:sz w:val="21"/>
                <w:szCs w:val="21"/>
                <w:highlight w:val="none"/>
              </w:rPr>
              <w:t>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合规</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项目资金使用是否符合相关的财务管理制度规定，用以反映和考核项目资金的规范运行情况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1.项目</w:t>
            </w:r>
            <w:r>
              <w:rPr>
                <w:rFonts w:hint="eastAsia" w:ascii="宋体" w:hAnsi="宋体" w:eastAsia="宋体" w:cs="宋体"/>
                <w:color w:val="auto"/>
                <w:sz w:val="21"/>
                <w:szCs w:val="21"/>
                <w:highlight w:val="none"/>
              </w:rPr>
              <w:t>资金的拨付有完整的审批程序和手续（</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2.资金的使用范围符合</w:t>
            </w:r>
            <w:r>
              <w:rPr>
                <w:rFonts w:hint="eastAsia" w:ascii="宋体" w:hAnsi="宋体" w:eastAsia="宋体" w:cs="宋体"/>
                <w:color w:val="auto"/>
                <w:spacing w:val="-6"/>
                <w:sz w:val="21"/>
                <w:szCs w:val="21"/>
                <w:highlight w:val="none"/>
                <w:lang w:val="en-US" w:eastAsia="zh-CN"/>
              </w:rPr>
              <w:t>县财政局文件要求</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val="en-US"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符合项目预算批复或合同规定用途（</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4.不</w:t>
            </w:r>
            <w:r>
              <w:rPr>
                <w:rFonts w:hint="eastAsia" w:ascii="宋体" w:hAnsi="宋体" w:eastAsia="宋体" w:cs="宋体"/>
                <w:color w:val="auto"/>
                <w:sz w:val="21"/>
                <w:szCs w:val="21"/>
                <w:highlight w:val="none"/>
              </w:rPr>
              <w:t>存在套取、截留、挤占、挪用、虚列支出等情况（</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否则本指标</w:t>
            </w:r>
            <w:r>
              <w:rPr>
                <w:rFonts w:hint="eastAsia" w:ascii="宋体" w:hAnsi="宋体" w:eastAsia="宋体" w:cs="宋体"/>
                <w:color w:val="auto"/>
                <w:sz w:val="21"/>
                <w:szCs w:val="21"/>
                <w:highlight w:val="none"/>
              </w:rPr>
              <w:t>整体为0分。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组织实施</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8</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管理制度健全性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健全</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pacing w:val="-4"/>
                <w:sz w:val="21"/>
                <w:szCs w:val="21"/>
                <w:highlight w:val="none"/>
                <w:lang w:eastAsia="zh-CN"/>
              </w:rPr>
            </w:pPr>
            <w:r>
              <w:rPr>
                <w:rFonts w:hint="eastAsia" w:ascii="宋体" w:hAnsi="宋体" w:eastAsia="宋体" w:cs="宋体"/>
                <w:color w:val="auto"/>
                <w:spacing w:val="-4"/>
                <w:sz w:val="21"/>
                <w:szCs w:val="21"/>
                <w:highlight w:val="none"/>
                <w:lang w:eastAsia="zh-CN"/>
              </w:rPr>
              <w:t>是否有相关的</w:t>
            </w:r>
            <w:r>
              <w:rPr>
                <w:rFonts w:hint="eastAsia" w:ascii="宋体" w:hAnsi="宋体" w:eastAsia="宋体" w:cs="宋体"/>
                <w:color w:val="auto"/>
                <w:spacing w:val="-4"/>
                <w:sz w:val="21"/>
                <w:szCs w:val="21"/>
                <w:highlight w:val="none"/>
                <w:lang w:val="en-US" w:eastAsia="zh-CN"/>
              </w:rPr>
              <w:t>业务</w:t>
            </w:r>
            <w:r>
              <w:rPr>
                <w:rFonts w:hint="eastAsia" w:ascii="宋体" w:hAnsi="宋体" w:eastAsia="宋体" w:cs="宋体"/>
                <w:color w:val="auto"/>
                <w:spacing w:val="-4"/>
                <w:sz w:val="21"/>
                <w:szCs w:val="21"/>
                <w:highlight w:val="none"/>
                <w:lang w:eastAsia="zh-CN"/>
              </w:rPr>
              <w:t>、财务管理制度。用以反映和考核财务、业务管</w:t>
            </w:r>
            <w:r>
              <w:rPr>
                <w:rFonts w:hint="eastAsia" w:ascii="宋体" w:hAnsi="宋体" w:eastAsia="宋体" w:cs="宋体"/>
                <w:color w:val="auto"/>
                <w:sz w:val="21"/>
                <w:szCs w:val="21"/>
                <w:highlight w:val="none"/>
                <w:lang w:eastAsia="zh-CN"/>
              </w:rPr>
              <w:t>理制度对项目顺利实施的保障实施</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1.已制定或具有</w:t>
            </w:r>
            <w:r>
              <w:rPr>
                <w:rFonts w:hint="eastAsia" w:ascii="宋体" w:hAnsi="宋体" w:eastAsia="宋体" w:cs="宋体"/>
                <w:color w:val="auto"/>
                <w:sz w:val="21"/>
                <w:szCs w:val="21"/>
                <w:highlight w:val="none"/>
                <w:lang w:val="en-US" w:eastAsia="zh-CN"/>
              </w:rPr>
              <w:t>相应的</w:t>
            </w:r>
            <w:r>
              <w:rPr>
                <w:rFonts w:hint="eastAsia" w:ascii="Times New Roman" w:hAnsi="Times New Roman" w:eastAsia="宋体" w:cs="宋体"/>
                <w:i w:val="0"/>
                <w:color w:val="auto"/>
                <w:kern w:val="0"/>
                <w:sz w:val="21"/>
                <w:szCs w:val="21"/>
                <w:u w:val="none"/>
                <w:lang w:val="en-US" w:eastAsia="zh-CN" w:bidi="ar"/>
              </w:rPr>
              <w:t>业务管理制度或</w:t>
            </w:r>
            <w:r>
              <w:rPr>
                <w:rFonts w:hint="eastAsia" w:ascii="宋体" w:hAnsi="宋体" w:eastAsia="宋体" w:cs="宋体"/>
                <w:color w:val="auto"/>
                <w:sz w:val="21"/>
                <w:szCs w:val="21"/>
                <w:highlight w:val="none"/>
                <w:lang w:val="en-US" w:eastAsia="zh-CN"/>
              </w:rPr>
              <w:t>工作细则，业务</w:t>
            </w:r>
            <w:r>
              <w:rPr>
                <w:rFonts w:hint="eastAsia" w:ascii="宋体" w:hAnsi="宋体" w:eastAsia="宋体" w:cs="宋体"/>
                <w:color w:val="auto"/>
                <w:kern w:val="2"/>
                <w:sz w:val="21"/>
                <w:szCs w:val="21"/>
                <w:highlight w:val="none"/>
                <w:lang w:val="en-US" w:eastAsia="zh-CN" w:bidi="ar-SA"/>
              </w:rPr>
              <w:t>管理</w:t>
            </w:r>
            <w:r>
              <w:rPr>
                <w:rFonts w:hint="eastAsia" w:ascii="宋体" w:hAnsi="宋体" w:eastAsia="宋体" w:cs="宋体"/>
                <w:color w:val="auto"/>
                <w:sz w:val="21"/>
                <w:szCs w:val="21"/>
                <w:highlight w:val="none"/>
                <w:lang w:val="en-US" w:eastAsia="zh-CN"/>
              </w:rPr>
              <w:t>制度涵盖各个环节</w:t>
            </w:r>
            <w:r>
              <w:rPr>
                <w:rFonts w:hint="eastAsia" w:ascii="Times New Roman" w:hAnsi="Times New Roman" w:eastAsia="宋体" w:cs="宋体"/>
                <w:i w:val="0"/>
                <w:color w:val="auto"/>
                <w:kern w:val="0"/>
                <w:sz w:val="21"/>
                <w:szCs w:val="21"/>
                <w:u w:val="none"/>
                <w:lang w:val="en-US" w:eastAsia="zh-CN" w:bidi="ar"/>
              </w:rPr>
              <w:t>，且合法、合规、完整（2分）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2.已制定或具有财务制度和专项资金管理办法，财务制度涵盖各个环节</w:t>
            </w:r>
            <w:r>
              <w:rPr>
                <w:rFonts w:hint="eastAsia" w:ascii="Times New Roman" w:hAnsi="Times New Roman" w:eastAsia="宋体" w:cs="宋体"/>
                <w:i w:val="0"/>
                <w:color w:val="auto"/>
                <w:kern w:val="0"/>
                <w:sz w:val="21"/>
                <w:szCs w:val="21"/>
                <w:u w:val="none"/>
                <w:lang w:val="en-US" w:eastAsia="zh-CN" w:bidi="ar"/>
              </w:rPr>
              <w:t>，且合法、合规、完整（2分）</w:t>
            </w:r>
            <w:r>
              <w:rPr>
                <w:rFonts w:hint="eastAsia" w:ascii="宋体" w:hAnsi="宋体" w:eastAsia="宋体" w:cs="宋体"/>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制度执行有效性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有效</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是否符合相关业务</w:t>
            </w:r>
            <w:r>
              <w:rPr>
                <w:rFonts w:hint="eastAsia" w:ascii="宋体" w:hAnsi="宋体" w:eastAsia="宋体" w:cs="宋体"/>
                <w:color w:val="auto"/>
                <w:sz w:val="21"/>
                <w:szCs w:val="21"/>
                <w:highlight w:val="none"/>
                <w:lang w:eastAsia="zh-CN"/>
              </w:rPr>
              <w:t>和财务</w:t>
            </w:r>
            <w:r>
              <w:rPr>
                <w:rFonts w:hint="eastAsia" w:ascii="宋体" w:hAnsi="宋体" w:eastAsia="宋体" w:cs="宋体"/>
                <w:color w:val="auto"/>
                <w:sz w:val="21"/>
                <w:szCs w:val="21"/>
                <w:highlight w:val="none"/>
              </w:rPr>
              <w:t>管理规定，用以反映和考核</w:t>
            </w:r>
            <w:r>
              <w:rPr>
                <w:rFonts w:hint="eastAsia" w:ascii="宋体" w:hAnsi="宋体" w:eastAsia="宋体" w:cs="宋体"/>
                <w:color w:val="auto"/>
                <w:sz w:val="21"/>
                <w:szCs w:val="21"/>
                <w:highlight w:val="none"/>
                <w:lang w:val="en-US" w:eastAsia="zh-CN"/>
              </w:rPr>
              <w:t>相关</w:t>
            </w:r>
            <w:r>
              <w:rPr>
                <w:rFonts w:hint="eastAsia" w:ascii="宋体" w:hAnsi="宋体" w:eastAsia="宋体" w:cs="宋体"/>
                <w:color w:val="auto"/>
                <w:sz w:val="21"/>
                <w:szCs w:val="21"/>
                <w:highlight w:val="none"/>
              </w:rPr>
              <w:t>管理制度的有效执行情况。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1.严格遵守相关业务和财务管理制度（1.5分）；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2.项目实施的人员条件、场地设备、信息支撑等落实到位（1.5分）；3.项目申报材料、审批文件等资料齐全并归档（1分）。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5"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30</w:t>
            </w: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产出数量</w:t>
            </w:r>
          </w:p>
        </w:tc>
        <w:tc>
          <w:tcPr>
            <w:tcW w:w="47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应补尽补率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shd w:val="clear" w:color="auto" w:fill="auto"/>
                <w:lang w:val="en-US" w:eastAsia="zh-CN"/>
              </w:rPr>
              <w:t>10</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反映和</w:t>
            </w:r>
            <w:r>
              <w:rPr>
                <w:rFonts w:hint="eastAsia" w:ascii="宋体" w:hAnsi="宋体" w:eastAsia="宋体" w:cs="宋体"/>
                <w:color w:val="auto"/>
                <w:sz w:val="21"/>
                <w:szCs w:val="21"/>
                <w:highlight w:val="none"/>
                <w:lang w:val="en-US" w:eastAsia="zh-CN"/>
              </w:rPr>
              <w:t>考核项目实际申请补贴台数与实际申请通过台数的比率，用以反映和考核补贴完成的实现程度。</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shd w:val="clear" w:color="auto" w:fill="auto"/>
                <w:lang w:val="en-US" w:eastAsia="zh-CN"/>
              </w:rPr>
              <w:t>（实际完成数量/计划完成数量）×100%，完成率达到100%得满分；未达到按其完成率</w:t>
            </w:r>
            <w:r>
              <w:rPr>
                <w:rFonts w:hint="eastAsia" w:ascii="宋体" w:hAnsi="宋体" w:eastAsia="宋体" w:cs="宋体"/>
                <w:color w:val="auto"/>
                <w:sz w:val="21"/>
                <w:highlight w:val="none"/>
                <w:lang w:val="en-US" w:eastAsia="zh-CN"/>
              </w:rPr>
              <w:t>权重计分，低于90%不得分。</w:t>
            </w:r>
            <w:r>
              <w:rPr>
                <w:rFonts w:hint="eastAsia" w:ascii="宋体" w:hAnsi="宋体" w:eastAsia="宋体" w:cs="宋体"/>
                <w:color w:val="auto"/>
                <w:sz w:val="21"/>
                <w:szCs w:val="21"/>
                <w:highlight w:val="none"/>
                <w:lang w:val="en-US" w:eastAsia="zh-CN"/>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产出质量</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补贴标准符合率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反映和考核项目实施补贴符合标准人数与实际补贴总人数的比率，用以反映和考核补贴标准符合情况。</w:t>
            </w:r>
          </w:p>
        </w:tc>
        <w:tc>
          <w:tcPr>
            <w:tcW w:w="6375" w:type="dxa"/>
            <w:noWrap w:val="0"/>
            <w:vAlign w:val="center"/>
          </w:tcPr>
          <w:p>
            <w:pPr>
              <w:keepNext w:val="0"/>
              <w:keepLines w:val="0"/>
              <w:suppressLineNumbers w:val="0"/>
              <w:spacing w:before="0" w:beforeAutospacing="0" w:after="0" w:afterAutospacing="0" w:line="240" w:lineRule="auto"/>
              <w:ind w:left="0" w:leftChars="0" w:right="0" w:rightChars="0" w:firstLine="0" w:firstLineChars="0"/>
              <w:jc w:val="left"/>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补贴标准符合率达到100%得满分；未达到按其完成率</w:t>
            </w:r>
            <w:r>
              <w:rPr>
                <w:rFonts w:hint="eastAsia" w:ascii="宋体" w:hAnsi="宋体" w:eastAsia="宋体" w:cs="宋体"/>
                <w:color w:val="auto"/>
                <w:sz w:val="21"/>
                <w:highlight w:val="none"/>
                <w:lang w:val="en-US" w:eastAsia="zh-CN"/>
              </w:rPr>
              <w:t>权重计分，低于60%不得分。</w:t>
            </w:r>
            <w:r>
              <w:rPr>
                <w:rFonts w:hint="eastAsia" w:ascii="宋体" w:hAnsi="宋体" w:eastAsia="宋体" w:cs="宋体"/>
                <w:color w:val="auto"/>
                <w:sz w:val="21"/>
                <w:szCs w:val="21"/>
                <w:highlight w:val="none"/>
                <w:lang w:val="en-US" w:eastAsia="zh-CN"/>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产出时效</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补贴资金发放及时性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及时</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lang w:val="en-US" w:eastAsia="zh-CN"/>
              </w:rPr>
              <w:t>10</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反映和考核项目实施的补贴资金发放及时性，用以反映和考核资金发放及时情况。</w:t>
            </w:r>
          </w:p>
        </w:tc>
        <w:tc>
          <w:tcPr>
            <w:tcW w:w="6375"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①项目按照实施方案发放，得满分；</w:t>
            </w:r>
          </w:p>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②每延迟一天，扣0.1分，扣完为止。</w:t>
            </w:r>
            <w:r>
              <w:rPr>
                <w:rFonts w:hint="eastAsia" w:ascii="宋体" w:hAnsi="宋体" w:eastAsia="宋体" w:cs="宋体"/>
                <w:color w:val="auto"/>
                <w:sz w:val="21"/>
                <w:szCs w:val="21"/>
                <w:highlight w:val="none"/>
                <w:lang w:val="en-US" w:eastAsia="zh-CN"/>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5" w:hRule="exact"/>
          <w:jc w:val="center"/>
        </w:trPr>
        <w:tc>
          <w:tcPr>
            <w:tcW w:w="667"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rPr>
              <w:t>效益</w:t>
            </w:r>
          </w:p>
        </w:tc>
        <w:tc>
          <w:tcPr>
            <w:tcW w:w="483"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30</w:t>
            </w: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经济效益</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增加粮食产量，提高农民收入</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增加</w:t>
            </w:r>
          </w:p>
        </w:tc>
        <w:tc>
          <w:tcPr>
            <w:tcW w:w="473" w:type="dxa"/>
            <w:noWrap w:val="0"/>
            <w:vAlign w:val="center"/>
          </w:tcPr>
          <w:p>
            <w:pPr>
              <w:keepNext w:val="0"/>
              <w:keepLines w:val="0"/>
              <w:suppressLineNumbers w:val="0"/>
              <w:spacing w:before="0" w:beforeAutospacing="0" w:after="0" w:afterAutospacing="0" w:line="240" w:lineRule="auto"/>
              <w:ind w:left="0" w:leftChars="0" w:right="0" w:rightChars="0" w:firstLine="0" w:firstLineChars="0"/>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5</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反映和考核本项目实施</w:t>
            </w:r>
            <w:r>
              <w:rPr>
                <w:rFonts w:hint="eastAsia" w:ascii="宋体" w:hAnsi="宋体" w:eastAsia="宋体" w:cs="宋体"/>
                <w:color w:val="auto"/>
                <w:sz w:val="21"/>
                <w:szCs w:val="21"/>
                <w:highlight w:val="none"/>
                <w:lang w:val="en-US" w:eastAsia="zh-CN"/>
              </w:rPr>
              <w:t>农机具购置补贴</w:t>
            </w:r>
            <w:r>
              <w:rPr>
                <w:rFonts w:hint="eastAsia" w:ascii="宋体" w:hAnsi="宋体" w:eastAsia="宋体" w:cs="宋体"/>
                <w:color w:val="auto"/>
                <w:sz w:val="21"/>
                <w:szCs w:val="21"/>
                <w:highlight w:val="none"/>
                <w:lang w:eastAsia="zh-CN"/>
              </w:rPr>
              <w:t>项目，实现</w:t>
            </w:r>
            <w:r>
              <w:rPr>
                <w:rFonts w:hint="eastAsia" w:ascii="宋体" w:hAnsi="宋体" w:eastAsia="宋体" w:cs="宋体"/>
                <w:color w:val="auto"/>
                <w:sz w:val="21"/>
                <w:szCs w:val="21"/>
                <w:highlight w:val="none"/>
                <w:lang w:val="en-US" w:eastAsia="zh-CN"/>
              </w:rPr>
              <w:t>增加粮食产量，提高农民收入</w:t>
            </w:r>
            <w:r>
              <w:rPr>
                <w:rFonts w:hint="eastAsia" w:ascii="宋体" w:hAnsi="宋体" w:eastAsia="宋体" w:cs="宋体"/>
                <w:color w:val="auto"/>
                <w:sz w:val="21"/>
                <w:szCs w:val="21"/>
                <w:highlight w:val="none"/>
                <w:lang w:eastAsia="zh-CN"/>
              </w:rPr>
              <w:t>的情况。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促进农业机械化快速发展，降低农业生产劳动强度，提高劳动生产率，充分调动农民的生产积极性，稳定粮食生产面积，促进粮食增产高产（5分）。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left"/>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效益明显增加得满分，增加一般得3分，未增加不得分。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5"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社会效益</w:t>
            </w:r>
          </w:p>
        </w:tc>
        <w:tc>
          <w:tcPr>
            <w:tcW w:w="471" w:type="dxa"/>
            <w:vMerge w:val="restart"/>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10</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促进规模化经营，提高农业生产现代化</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提高</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反映和考核本项目实施</w:t>
            </w:r>
            <w:r>
              <w:rPr>
                <w:rFonts w:hint="eastAsia" w:ascii="宋体" w:hAnsi="宋体" w:eastAsia="宋体" w:cs="宋体"/>
                <w:color w:val="auto"/>
                <w:sz w:val="21"/>
                <w:szCs w:val="21"/>
                <w:highlight w:val="none"/>
                <w:lang w:val="en-US" w:eastAsia="zh-CN"/>
              </w:rPr>
              <w:t>农机具购置补贴</w:t>
            </w:r>
            <w:r>
              <w:rPr>
                <w:rFonts w:hint="eastAsia" w:ascii="宋体" w:hAnsi="宋体" w:eastAsia="宋体" w:cs="宋体"/>
                <w:color w:val="auto"/>
                <w:sz w:val="21"/>
                <w:szCs w:val="21"/>
                <w:highlight w:val="none"/>
                <w:lang w:eastAsia="zh-CN"/>
              </w:rPr>
              <w:t>项目，实现</w:t>
            </w:r>
            <w:r>
              <w:rPr>
                <w:rFonts w:hint="eastAsia" w:ascii="宋体" w:hAnsi="宋体" w:eastAsia="宋体" w:cs="宋体"/>
                <w:color w:val="auto"/>
                <w:sz w:val="21"/>
                <w:szCs w:val="21"/>
                <w:highlight w:val="none"/>
                <w:lang w:val="en-US" w:eastAsia="zh-CN"/>
              </w:rPr>
              <w:t>促进规模化经营，提高农业生产现代化</w:t>
            </w:r>
            <w:r>
              <w:rPr>
                <w:rFonts w:hint="eastAsia" w:ascii="宋体" w:hAnsi="宋体" w:eastAsia="宋体" w:cs="宋体"/>
                <w:color w:val="auto"/>
                <w:sz w:val="21"/>
                <w:szCs w:val="21"/>
                <w:highlight w:val="none"/>
                <w:lang w:eastAsia="zh-CN"/>
              </w:rPr>
              <w:t>的情况。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1"/>
                <w:highlight w:val="none"/>
                <w:lang w:val="en-US" w:eastAsia="zh-CN" w:bidi="ar-SA"/>
              </w:rPr>
              <w:t>我国农业正由传统农业向现代农业，一家一户、小户经营、手工农业向规模化、标准化、集约化、产业化经营转变，形成了许多规模性、区域性特色农业。一大批高效、低耗能的农机具得到了推广和应用，大大提高了劳动生产率，有效促进农业生产现代化。效益明显得满分，基本明显得2分，不明显不得分</w:t>
            </w:r>
            <w:r>
              <w:rPr>
                <w:rFonts w:hint="eastAsia" w:ascii="宋体" w:hAnsi="宋体" w:eastAsia="宋体" w:cs="宋体"/>
                <w:color w:val="auto"/>
                <w:kern w:val="2"/>
                <w:sz w:val="21"/>
                <w:szCs w:val="24"/>
                <w:highlight w:val="none"/>
                <w:lang w:val="en-US" w:eastAsia="zh-CN" w:bidi="ar-SA"/>
              </w:rPr>
              <w:t>（5分）。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5"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促进产业结构调整，加快农业机械化产业发展</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促进</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5</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反映和考核本项目实施</w:t>
            </w:r>
            <w:r>
              <w:rPr>
                <w:rFonts w:hint="eastAsia" w:ascii="宋体" w:hAnsi="宋体" w:eastAsia="宋体" w:cs="宋体"/>
                <w:color w:val="auto"/>
                <w:sz w:val="21"/>
                <w:szCs w:val="21"/>
                <w:highlight w:val="none"/>
                <w:lang w:val="en-US" w:eastAsia="zh-CN"/>
              </w:rPr>
              <w:t>农机具购置补贴</w:t>
            </w:r>
            <w:r>
              <w:rPr>
                <w:rFonts w:hint="eastAsia" w:ascii="宋体" w:hAnsi="宋体" w:eastAsia="宋体" w:cs="宋体"/>
                <w:color w:val="auto"/>
                <w:sz w:val="21"/>
                <w:szCs w:val="21"/>
                <w:highlight w:val="none"/>
                <w:lang w:eastAsia="zh-CN"/>
              </w:rPr>
              <w:t>项目，实现</w:t>
            </w:r>
            <w:r>
              <w:rPr>
                <w:rFonts w:hint="eastAsia" w:ascii="宋体" w:hAnsi="宋体" w:eastAsia="宋体" w:cs="宋体"/>
                <w:color w:val="auto"/>
                <w:sz w:val="21"/>
                <w:szCs w:val="21"/>
                <w:highlight w:val="none"/>
                <w:lang w:val="en-US" w:eastAsia="zh-CN"/>
              </w:rPr>
              <w:t>促进产业结构调整，加快农业机械化产业发展</w:t>
            </w:r>
            <w:r>
              <w:rPr>
                <w:rFonts w:hint="eastAsia" w:ascii="宋体" w:hAnsi="宋体" w:eastAsia="宋体" w:cs="宋体"/>
                <w:color w:val="auto"/>
                <w:sz w:val="21"/>
                <w:szCs w:val="21"/>
                <w:highlight w:val="none"/>
                <w:lang w:eastAsia="zh-CN"/>
              </w:rPr>
              <w:t>的情况。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项一直以来，我国农业机械产品投入较少，研发能力较弱，技术水平不高，产品质量不稳定，农民购买意愿较低。农机购置补贴的实施，促进了农业机械的广泛运用，加大了企业投入，加快新产品的创新、研发和生产，促进了农业机械化产业发展（5分）。</w:t>
            </w:r>
            <w:r>
              <w:rPr>
                <w:rFonts w:hint="eastAsia" w:ascii="宋体" w:hAnsi="宋体" w:eastAsia="宋体" w:cs="宋体"/>
                <w:color w:val="auto"/>
                <w:kern w:val="2"/>
                <w:sz w:val="21"/>
                <w:szCs w:val="21"/>
                <w:highlight w:val="none"/>
                <w:lang w:val="en-US" w:eastAsia="zh-CN" w:bidi="ar-SA"/>
              </w:rPr>
              <w:t>效益明显得满分，基本明显得2分，不明显不得分</w:t>
            </w:r>
            <w:r>
              <w:rPr>
                <w:rFonts w:hint="eastAsia" w:ascii="宋体" w:hAnsi="宋体" w:eastAsia="宋体" w:cs="宋体"/>
                <w:color w:val="auto"/>
                <w:kern w:val="2"/>
                <w:sz w:val="21"/>
                <w:szCs w:val="24"/>
                <w:highlight w:val="none"/>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0"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kern w:val="2"/>
                <w:sz w:val="21"/>
                <w:szCs w:val="21"/>
                <w:highlight w:val="none"/>
                <w:lang w:val="en-US" w:eastAsia="zh-CN" w:bidi="ar-SA"/>
              </w:rPr>
              <w:t>可持续影响</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5</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政策知晓率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eastAsia="zh-CN"/>
              </w:rPr>
              <w:t>≥90%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5</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项目政策宣传的可持续影响情况。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政策宣传度≥90%得满分，80%（含）-90%得4分，70%（含）-80%得5分，60%（含）-70%得2分，60%以下不得分（1分）。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5" w:hRule="atLeas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满意度</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10</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default" w:ascii="宋体" w:hAnsi="宋体" w:eastAsia="宋体" w:cs="宋体"/>
                <w:color w:val="auto"/>
                <w:sz w:val="21"/>
                <w:szCs w:val="21"/>
                <w:highlight w:val="none"/>
                <w:lang w:val="en-US" w:eastAsia="zh-CN"/>
              </w:rPr>
              <w:t>受益对象满意度</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bidi="ar-SA"/>
              </w:rPr>
            </w:pPr>
            <w:r>
              <w:rPr>
                <w:rFonts w:hint="eastAsia" w:ascii="宋体" w:hAnsi="宋体" w:eastAsia="宋体" w:cs="宋体"/>
                <w:color w:val="auto"/>
                <w:sz w:val="21"/>
                <w:szCs w:val="21"/>
                <w:highlight w:val="none"/>
                <w:lang w:eastAsia="zh-CN"/>
              </w:rPr>
              <w:t>≥90%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bidi="ar-SA"/>
              </w:rPr>
            </w:pPr>
            <w:r>
              <w:rPr>
                <w:rFonts w:hint="eastAsia" w:ascii="宋体" w:hAnsi="宋体" w:eastAsia="宋体" w:cs="宋体"/>
                <w:color w:val="auto"/>
                <w:sz w:val="21"/>
                <w:szCs w:val="21"/>
                <w:highlight w:val="none"/>
                <w:lang w:val="en-US" w:eastAsia="zh-CN"/>
              </w:rPr>
              <w:t>10</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项目受益人员对项目实施的满意程度。</w:t>
            </w:r>
          </w:p>
        </w:tc>
        <w:tc>
          <w:tcPr>
            <w:tcW w:w="6375" w:type="dxa"/>
            <w:noWrap w:val="0"/>
            <w:vAlign w:val="center"/>
          </w:tcPr>
          <w:p>
            <w:pPr>
              <w:keepNext w:val="0"/>
              <w:keepLines w:val="0"/>
              <w:suppressLineNumbers w:val="0"/>
              <w:autoSpaceDE w:val="0"/>
              <w:autoSpaceDN w:val="0"/>
              <w:adjustRightInd w:val="0"/>
              <w:spacing w:before="0" w:beforeAutospacing="0" w:after="0" w:afterAutospacing="0" w:line="400" w:lineRule="exact"/>
              <w:ind w:left="0" w:leftChars="0" w:right="0" w:rightChars="0" w:firstLine="0" w:firstLineChars="0"/>
              <w:jc w:val="left"/>
              <w:rPr>
                <w:rFonts w:hint="eastAsia" w:ascii="宋体" w:hAnsi="宋体" w:eastAsia="宋体" w:cs="宋体"/>
                <w:b/>
                <w:bCs/>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受益对象满意度达到或超过90%得满分；低于90%按其满意度为权重计算得分，60%以下不得分。</w:t>
            </w:r>
            <w:r>
              <w:rPr>
                <w:rFonts w:hint="eastAsia" w:ascii="宋体" w:hAnsi="宋体" w:eastAsia="宋体" w:cs="宋体"/>
                <w:color w:val="auto"/>
                <w:kern w:val="2"/>
                <w:sz w:val="21"/>
                <w:szCs w:val="24"/>
                <w:highlight w:val="none"/>
                <w:lang w:val="en-US" w:eastAsia="zh-CN" w:bidi="ar-SA"/>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66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总分</w:t>
            </w:r>
          </w:p>
        </w:tc>
        <w:tc>
          <w:tcPr>
            <w:tcW w:w="48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pacing w:val="-6"/>
                <w:sz w:val="18"/>
                <w:szCs w:val="18"/>
                <w:highlight w:val="none"/>
              </w:rPr>
              <w:t>100</w:t>
            </w: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c>
          <w:tcPr>
            <w:tcW w:w="47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100</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b/>
                <w:color w:val="auto"/>
                <w:spacing w:val="-6"/>
                <w:sz w:val="20"/>
                <w:szCs w:val="20"/>
                <w:highlight w:val="none"/>
              </w:rPr>
              <w:t>100</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r>
    </w:tbl>
    <w:p>
      <w:pPr>
        <w:rPr>
          <w:rFonts w:ascii="黑体" w:hAnsi="黑体"/>
        </w:rPr>
      </w:pPr>
    </w:p>
    <w:p>
      <w:pPr>
        <w:pStyle w:val="10"/>
      </w:pPr>
    </w:p>
    <w:p>
      <w:pPr>
        <w:sectPr>
          <w:pgSz w:w="16838" w:h="11906" w:orient="landscape"/>
          <w:pgMar w:top="1800" w:right="1440" w:bottom="1800" w:left="1440" w:header="851" w:footer="992" w:gutter="0"/>
          <w:pgNumType w:fmt="decimal"/>
          <w:cols w:space="425" w:num="1"/>
          <w:docGrid w:type="lines" w:linePitch="312" w:charSpace="0"/>
        </w:sectPr>
      </w:pPr>
    </w:p>
    <w:p>
      <w:pPr>
        <w:pStyle w:val="3"/>
        <w:spacing w:before="120" w:after="120"/>
        <w:ind w:firstLine="0" w:firstLineChars="0"/>
        <w:rPr>
          <w:rFonts w:ascii="黑体" w:hAnsi="黑体"/>
        </w:rPr>
      </w:pPr>
      <w:bookmarkStart w:id="69" w:name="_Toc2960"/>
      <w:r>
        <w:rPr>
          <w:rFonts w:ascii="黑体" w:hAnsi="黑体"/>
        </w:rPr>
        <w:t>附件3</w:t>
      </w:r>
      <w:bookmarkStart w:id="70" w:name="_Toc30428"/>
      <w:bookmarkStart w:id="71" w:name="_Toc16387"/>
      <w:r>
        <w:rPr>
          <w:rFonts w:hint="eastAsia" w:ascii="黑体" w:hAnsi="黑体"/>
        </w:rPr>
        <w:t xml:space="preserve"> ：满意度</w:t>
      </w:r>
      <w:r>
        <w:rPr>
          <w:rFonts w:ascii="黑体" w:hAnsi="黑体"/>
        </w:rPr>
        <w:t>调查</w:t>
      </w:r>
      <w:bookmarkEnd w:id="70"/>
      <w:bookmarkEnd w:id="71"/>
      <w:r>
        <w:rPr>
          <w:rFonts w:hint="eastAsia" w:ascii="黑体" w:hAnsi="黑体"/>
        </w:rPr>
        <w:t>报告</w:t>
      </w:r>
      <w:bookmarkEnd w:id="69"/>
    </w:p>
    <w:p>
      <w:pPr>
        <w:pStyle w:val="34"/>
        <w:spacing w:line="600" w:lineRule="exact"/>
        <w:ind w:firstLine="643"/>
        <w:rPr>
          <w:rFonts w:ascii="Times New Roman" w:hAnsi="Times New Roman"/>
          <w:b/>
          <w:bCs/>
          <w:szCs w:val="32"/>
        </w:rPr>
      </w:pPr>
      <w:r>
        <w:rPr>
          <w:rFonts w:ascii="Times New Roman" w:hAnsi="Times New Roman"/>
          <w:b/>
          <w:bCs/>
          <w:szCs w:val="32"/>
        </w:rPr>
        <w:t>一、调查背景</w:t>
      </w:r>
    </w:p>
    <w:p>
      <w:pPr>
        <w:ind w:firstLine="640"/>
        <w:rPr>
          <w:rFonts w:hint="eastAsia" w:ascii="仿宋_GB2312"/>
        </w:rPr>
      </w:pPr>
      <w:r>
        <w:rPr>
          <w:rFonts w:hint="eastAsia" w:ascii="仿宋_GB2312"/>
        </w:rPr>
        <w:t>经过问卷调查</w:t>
      </w:r>
      <w:r>
        <w:rPr>
          <w:rFonts w:hint="eastAsia" w:ascii="仿宋_GB2312"/>
          <w:lang w:eastAsia="zh-CN"/>
        </w:rPr>
        <w:t>，</w:t>
      </w:r>
      <w:r>
        <w:rPr>
          <w:rFonts w:hint="eastAsia" w:ascii="仿宋_GB2312"/>
        </w:rPr>
        <w:t>我们将根据问卷调查结果通过具体细致的数据分析</w:t>
      </w:r>
      <w:r>
        <w:rPr>
          <w:rFonts w:hint="eastAsia" w:ascii="仿宋_GB2312"/>
          <w:lang w:eastAsia="zh-CN"/>
        </w:rPr>
        <w:t>，</w:t>
      </w:r>
      <w:r>
        <w:rPr>
          <w:rFonts w:hint="eastAsia" w:ascii="仿宋_GB2312"/>
        </w:rPr>
        <w:t>深层次剖析项目建设单位的实际发展情况以及存在的问题</w:t>
      </w:r>
      <w:r>
        <w:rPr>
          <w:rFonts w:hint="eastAsia" w:ascii="仿宋_GB2312"/>
          <w:lang w:eastAsia="zh-CN"/>
        </w:rPr>
        <w:t>，</w:t>
      </w:r>
      <w:r>
        <w:rPr>
          <w:rFonts w:hint="eastAsia" w:ascii="仿宋_GB2312"/>
        </w:rPr>
        <w:t>最后经过统计确定服务对象满意度分值。</w:t>
      </w:r>
    </w:p>
    <w:p>
      <w:pPr>
        <w:pStyle w:val="34"/>
        <w:spacing w:line="600" w:lineRule="exact"/>
        <w:ind w:firstLine="643"/>
        <w:rPr>
          <w:rFonts w:ascii="Times New Roman" w:hAnsi="Times New Roman"/>
          <w:b/>
          <w:bCs/>
          <w:szCs w:val="32"/>
        </w:rPr>
      </w:pPr>
      <w:r>
        <w:rPr>
          <w:rFonts w:ascii="Times New Roman" w:hAnsi="Times New Roman"/>
          <w:b/>
          <w:bCs/>
          <w:szCs w:val="32"/>
        </w:rPr>
        <w:t>二、调查目的</w:t>
      </w:r>
    </w:p>
    <w:p>
      <w:pPr>
        <w:ind w:firstLine="640"/>
        <w:rPr>
          <w:rFonts w:ascii="仿宋_GB2312"/>
        </w:rPr>
      </w:pPr>
      <w:r>
        <w:rPr>
          <w:rFonts w:hint="eastAsia" w:ascii="仿宋_GB2312"/>
        </w:rPr>
        <w:t>经过问卷调查</w:t>
      </w:r>
      <w:r>
        <w:rPr>
          <w:rFonts w:hint="eastAsia" w:ascii="仿宋_GB2312"/>
          <w:lang w:eastAsia="zh-CN"/>
        </w:rPr>
        <w:t>，</w:t>
      </w:r>
      <w:r>
        <w:rPr>
          <w:rFonts w:hint="eastAsia" w:ascii="仿宋_GB2312"/>
        </w:rPr>
        <w:t>我们将根据问卷调查结果通过具体细致的数据分析</w:t>
      </w:r>
      <w:r>
        <w:rPr>
          <w:rFonts w:hint="eastAsia" w:ascii="仿宋_GB2312"/>
          <w:lang w:eastAsia="zh-CN"/>
        </w:rPr>
        <w:t>，</w:t>
      </w:r>
      <w:r>
        <w:rPr>
          <w:rFonts w:hint="eastAsia" w:ascii="仿宋_GB2312"/>
        </w:rPr>
        <w:t>深层次剖析项目建设单位的实际发展情况以及存在的问题</w:t>
      </w:r>
      <w:r>
        <w:rPr>
          <w:rFonts w:hint="eastAsia" w:ascii="仿宋_GB2312"/>
          <w:lang w:eastAsia="zh-CN"/>
        </w:rPr>
        <w:t>，</w:t>
      </w:r>
      <w:r>
        <w:rPr>
          <w:rFonts w:hint="eastAsia" w:ascii="仿宋_GB2312"/>
        </w:rPr>
        <w:t>最后经过统计确定服务对象满意度分值。</w:t>
      </w:r>
    </w:p>
    <w:p>
      <w:pPr>
        <w:pStyle w:val="34"/>
        <w:spacing w:line="600" w:lineRule="exact"/>
        <w:ind w:firstLine="643"/>
        <w:rPr>
          <w:rFonts w:ascii="仿宋_GB2312" w:hAnsi="Times New Roman"/>
          <w:b/>
          <w:bCs/>
          <w:szCs w:val="32"/>
        </w:rPr>
      </w:pPr>
      <w:r>
        <w:rPr>
          <w:rFonts w:hint="eastAsia" w:ascii="仿宋_GB2312" w:hAnsi="Times New Roman"/>
          <w:b/>
          <w:bCs/>
          <w:szCs w:val="32"/>
        </w:rPr>
        <w:t>三、调查对象和范围</w:t>
      </w:r>
    </w:p>
    <w:p>
      <w:pPr>
        <w:ind w:firstLine="640"/>
        <w:rPr>
          <w:rFonts w:hint="eastAsia" w:ascii="仿宋_GB2312"/>
        </w:rPr>
      </w:pPr>
      <w:r>
        <w:rPr>
          <w:rFonts w:hint="eastAsia" w:ascii="仿宋_GB2312"/>
        </w:rPr>
        <w:t>调查对象为</w:t>
      </w:r>
      <w:r>
        <w:rPr>
          <w:rFonts w:hint="eastAsia" w:ascii="仿宋_GB2312"/>
          <w:lang w:val="en-US" w:eastAsia="zh-CN"/>
        </w:rPr>
        <w:t>申请补贴者。</w:t>
      </w:r>
      <w:r>
        <w:rPr>
          <w:rFonts w:hint="eastAsia" w:ascii="仿宋_GB2312"/>
        </w:rPr>
        <w:t>范围为</w:t>
      </w:r>
      <w:r>
        <w:rPr>
          <w:rFonts w:hint="eastAsia" w:ascii="仿宋_GB2312"/>
          <w:lang w:val="en-US" w:eastAsia="zh-CN"/>
        </w:rPr>
        <w:t>古县范围内</w:t>
      </w:r>
      <w:r>
        <w:rPr>
          <w:rFonts w:hint="eastAsia" w:ascii="仿宋_GB2312"/>
        </w:rPr>
        <w:t>。</w:t>
      </w:r>
    </w:p>
    <w:p>
      <w:pPr>
        <w:spacing w:line="600" w:lineRule="exact"/>
        <w:ind w:firstLine="643"/>
        <w:rPr>
          <w:rFonts w:ascii="仿宋_GB2312"/>
          <w:b/>
          <w:bCs/>
          <w:szCs w:val="32"/>
        </w:rPr>
      </w:pPr>
      <w:r>
        <w:rPr>
          <w:rFonts w:hint="eastAsia" w:ascii="仿宋_GB2312"/>
          <w:b/>
          <w:bCs/>
          <w:szCs w:val="32"/>
        </w:rPr>
        <w:t>四、样本数量</w:t>
      </w:r>
    </w:p>
    <w:p>
      <w:pPr>
        <w:ind w:firstLine="640"/>
        <w:rPr>
          <w:rFonts w:ascii="仿宋_GB2312"/>
        </w:rPr>
      </w:pPr>
      <w:r>
        <w:rPr>
          <w:rFonts w:hint="eastAsia" w:ascii="仿宋_GB2312"/>
          <w:lang w:val="en-US" w:eastAsia="zh-CN"/>
        </w:rPr>
        <w:t>依据申请补贴数量，随机抽取100人。</w:t>
      </w:r>
    </w:p>
    <w:p>
      <w:pPr>
        <w:spacing w:line="600" w:lineRule="exact"/>
        <w:ind w:firstLine="643"/>
        <w:rPr>
          <w:rFonts w:ascii="仿宋_GB2312"/>
          <w:b/>
          <w:bCs/>
          <w:szCs w:val="32"/>
        </w:rPr>
      </w:pPr>
      <w:r>
        <w:rPr>
          <w:rFonts w:hint="eastAsia" w:ascii="仿宋_GB2312"/>
          <w:b/>
          <w:bCs/>
          <w:szCs w:val="32"/>
        </w:rPr>
        <w:t>五、调查方式</w:t>
      </w:r>
    </w:p>
    <w:p>
      <w:pPr>
        <w:ind w:firstLine="640"/>
        <w:rPr>
          <w:rFonts w:ascii="仿宋_GB2312"/>
        </w:rPr>
      </w:pPr>
      <w:r>
        <w:rPr>
          <w:rFonts w:hint="eastAsia" w:ascii="仿宋_GB2312"/>
        </w:rPr>
        <w:t>结合项目实际情况</w:t>
      </w:r>
      <w:r>
        <w:rPr>
          <w:rFonts w:hint="eastAsia" w:ascii="仿宋_GB2312"/>
          <w:lang w:eastAsia="zh-CN"/>
        </w:rPr>
        <w:t>，</w:t>
      </w:r>
      <w:r>
        <w:rPr>
          <w:rFonts w:hint="eastAsia" w:ascii="仿宋_GB2312"/>
        </w:rPr>
        <w:t>本次问卷调查采用</w:t>
      </w:r>
      <w:r>
        <w:rPr>
          <w:rFonts w:hint="eastAsia" w:ascii="仿宋_GB2312"/>
          <w:lang w:val="en-US" w:eastAsia="zh-CN"/>
        </w:rPr>
        <w:t>电话</w:t>
      </w:r>
      <w:r>
        <w:rPr>
          <w:rFonts w:hint="eastAsia" w:ascii="仿宋_GB2312"/>
        </w:rPr>
        <w:t>访问</w:t>
      </w:r>
      <w:r>
        <w:rPr>
          <w:rFonts w:hint="eastAsia" w:ascii="仿宋_GB2312"/>
          <w:lang w:val="en-US" w:eastAsia="zh-CN"/>
        </w:rPr>
        <w:t>方</w:t>
      </w:r>
      <w:r>
        <w:rPr>
          <w:rFonts w:hint="eastAsia" w:ascii="仿宋_GB2312"/>
        </w:rPr>
        <w:t>式。</w:t>
      </w:r>
    </w:p>
    <w:p>
      <w:pPr>
        <w:pStyle w:val="34"/>
        <w:spacing w:line="600" w:lineRule="exact"/>
        <w:ind w:firstLine="643"/>
        <w:rPr>
          <w:rFonts w:ascii="仿宋_GB2312" w:hAnsi="Times New Roman"/>
          <w:b/>
          <w:bCs/>
          <w:szCs w:val="32"/>
        </w:rPr>
      </w:pPr>
      <w:r>
        <w:rPr>
          <w:rFonts w:hint="eastAsia" w:ascii="仿宋_GB2312" w:hAnsi="Times New Roman"/>
          <w:b/>
          <w:bCs/>
          <w:szCs w:val="32"/>
        </w:rPr>
        <w:t>六、调查样本选取方案</w:t>
      </w:r>
    </w:p>
    <w:p>
      <w:pPr>
        <w:ind w:firstLine="640"/>
        <w:rPr>
          <w:rFonts w:hint="eastAsia" w:ascii="仿宋_GB2312"/>
          <w:lang w:val="en-US" w:eastAsia="zh-CN"/>
        </w:rPr>
      </w:pPr>
      <w:r>
        <w:rPr>
          <w:rFonts w:hint="eastAsia" w:ascii="仿宋_GB2312"/>
        </w:rPr>
        <w:t>为客观反映</w:t>
      </w:r>
      <w:r>
        <w:rPr>
          <w:rFonts w:hint="eastAsia" w:ascii="仿宋_GB2312"/>
          <w:lang w:val="en-US" w:eastAsia="zh-CN"/>
        </w:rPr>
        <w:t>古县2022年农机具购置补贴项目</w:t>
      </w:r>
      <w:r>
        <w:rPr>
          <w:rFonts w:hint="eastAsia" w:ascii="仿宋_GB2312"/>
        </w:rPr>
        <w:t>支出资金的使用效果</w:t>
      </w:r>
      <w:r>
        <w:rPr>
          <w:rFonts w:hint="eastAsia" w:ascii="仿宋_GB2312"/>
          <w:lang w:eastAsia="zh-CN"/>
        </w:rPr>
        <w:t>，</w:t>
      </w:r>
      <w:r>
        <w:rPr>
          <w:rFonts w:hint="eastAsia" w:ascii="仿宋_GB2312"/>
          <w:lang w:val="en-US" w:eastAsia="zh-CN"/>
        </w:rPr>
        <w:t>根据依据申请补贴数量，随机抽取100人。</w:t>
      </w:r>
    </w:p>
    <w:p>
      <w:pPr>
        <w:pStyle w:val="34"/>
        <w:spacing w:line="600" w:lineRule="exact"/>
        <w:ind w:firstLine="643"/>
        <w:rPr>
          <w:rFonts w:ascii="仿宋_GB2312" w:hAnsi="Times New Roman"/>
          <w:b/>
          <w:bCs/>
          <w:szCs w:val="32"/>
        </w:rPr>
      </w:pPr>
      <w:r>
        <w:rPr>
          <w:rFonts w:hint="eastAsia" w:ascii="仿宋_GB2312" w:hAnsi="Times New Roman"/>
          <w:b/>
          <w:bCs/>
          <w:szCs w:val="32"/>
        </w:rPr>
        <w:t>七、调查方法</w:t>
      </w:r>
    </w:p>
    <w:p>
      <w:pPr>
        <w:spacing w:line="600" w:lineRule="exact"/>
        <w:ind w:firstLine="640"/>
        <w:rPr>
          <w:rFonts w:ascii="仿宋_GB2312"/>
        </w:rPr>
      </w:pPr>
      <w:r>
        <w:rPr>
          <w:rFonts w:hint="eastAsia" w:ascii="仿宋_GB2312"/>
        </w:rPr>
        <w:t>调查采取现场发放问卷方式对</w:t>
      </w:r>
      <w:r>
        <w:rPr>
          <w:rFonts w:hint="eastAsia" w:ascii="仿宋_GB2312"/>
          <w:lang w:val="en-US" w:eastAsia="zh-CN"/>
        </w:rPr>
        <w:t>受益群众随机</w:t>
      </w:r>
      <w:r>
        <w:rPr>
          <w:rFonts w:hint="eastAsia" w:ascii="仿宋_GB2312"/>
        </w:rPr>
        <w:t>抽查</w:t>
      </w:r>
      <w:r>
        <w:rPr>
          <w:rFonts w:hint="eastAsia" w:ascii="仿宋_GB2312"/>
          <w:lang w:val="en-US" w:eastAsia="zh-CN"/>
        </w:rPr>
        <w:t>100</w:t>
      </w:r>
      <w:r>
        <w:rPr>
          <w:rFonts w:hint="eastAsia" w:ascii="仿宋_GB2312"/>
        </w:rPr>
        <w:t>人进行调查。每题下设“非常满意</w:t>
      </w:r>
      <w:r>
        <w:rPr>
          <w:rFonts w:hint="eastAsia" w:ascii="仿宋_GB2312"/>
          <w:lang w:eastAsia="zh-CN"/>
        </w:rPr>
        <w:t>”“</w:t>
      </w:r>
      <w:r>
        <w:rPr>
          <w:rFonts w:hint="eastAsia" w:ascii="仿宋_GB2312"/>
        </w:rPr>
        <w:t>基本满意</w:t>
      </w:r>
      <w:r>
        <w:rPr>
          <w:rFonts w:hint="eastAsia" w:ascii="仿宋_GB2312"/>
          <w:lang w:eastAsia="zh-CN"/>
        </w:rPr>
        <w:t>”“</w:t>
      </w:r>
      <w:r>
        <w:rPr>
          <w:rFonts w:hint="eastAsia" w:ascii="仿宋_GB2312"/>
        </w:rPr>
        <w:t>一般满意</w:t>
      </w:r>
      <w:r>
        <w:rPr>
          <w:rFonts w:hint="eastAsia" w:ascii="仿宋_GB2312"/>
          <w:lang w:eastAsia="zh-CN"/>
        </w:rPr>
        <w:t>”“</w:t>
      </w:r>
      <w:r>
        <w:rPr>
          <w:rFonts w:hint="eastAsia" w:ascii="仿宋_GB2312"/>
        </w:rPr>
        <w:t>不满意</w:t>
      </w:r>
      <w:r>
        <w:rPr>
          <w:rFonts w:hint="eastAsia" w:ascii="仿宋_GB2312"/>
          <w:lang w:eastAsia="zh-CN"/>
        </w:rPr>
        <w:t>”“</w:t>
      </w:r>
      <w:r>
        <w:rPr>
          <w:rFonts w:hint="eastAsia" w:ascii="仿宋_GB2312"/>
        </w:rPr>
        <w:t>非常不满意”</w:t>
      </w:r>
      <w:r>
        <w:rPr>
          <w:rFonts w:hint="eastAsia" w:ascii="仿宋_GB2312"/>
          <w:lang w:eastAsia="zh-CN"/>
        </w:rPr>
        <w:t>，</w:t>
      </w:r>
      <w:r>
        <w:rPr>
          <w:rFonts w:hint="eastAsia" w:ascii="仿宋_GB2312"/>
        </w:rPr>
        <w:t>每题分值权重为“非常满意”占1、“基本满意”0.8、“一般满意”0.6、“不满意”0、“非常不满意”-1</w:t>
      </w:r>
      <w:r>
        <w:rPr>
          <w:rFonts w:hint="eastAsia" w:ascii="仿宋_GB2312"/>
          <w:lang w:eastAsia="zh-CN"/>
        </w:rPr>
        <w:t>，</w:t>
      </w:r>
      <w:r>
        <w:rPr>
          <w:rFonts w:hint="eastAsia" w:ascii="仿宋_GB2312"/>
        </w:rPr>
        <w:t>扣分项扣完本题分值为止。问卷调查总分值按实际得分值平均计算。</w:t>
      </w:r>
    </w:p>
    <w:p>
      <w:pPr>
        <w:spacing w:line="600" w:lineRule="exact"/>
        <w:ind w:firstLine="627"/>
        <w:rPr>
          <w:rFonts w:ascii="仿宋_GB2312"/>
          <w:b/>
          <w:bCs/>
          <w:spacing w:val="-4"/>
          <w:kern w:val="0"/>
          <w:szCs w:val="32"/>
        </w:rPr>
      </w:pPr>
      <w:r>
        <w:rPr>
          <w:rFonts w:hint="eastAsia" w:ascii="仿宋_GB2312"/>
          <w:b/>
          <w:bCs/>
          <w:spacing w:val="-4"/>
          <w:kern w:val="0"/>
          <w:szCs w:val="32"/>
        </w:rPr>
        <w:t>八、问卷发放回收情况</w:t>
      </w:r>
    </w:p>
    <w:p>
      <w:pPr>
        <w:ind w:firstLine="640"/>
        <w:rPr>
          <w:rFonts w:hint="default" w:ascii="仿宋_GB2312" w:eastAsia="仿宋_GB2312"/>
          <w:lang w:val="en-US" w:eastAsia="zh-CN"/>
        </w:rPr>
      </w:pPr>
      <w:r>
        <w:rPr>
          <w:rFonts w:hint="default" w:ascii="仿宋_GB2312" w:eastAsia="仿宋_GB2312"/>
          <w:lang w:val="en-US" w:eastAsia="zh-CN"/>
        </w:rPr>
        <w:t>本项目共计</w:t>
      </w:r>
      <w:r>
        <w:rPr>
          <w:rFonts w:hint="eastAsia" w:ascii="仿宋_GB2312"/>
          <w:lang w:val="en-US" w:eastAsia="zh-CN"/>
        </w:rPr>
        <w:t>发放</w:t>
      </w:r>
      <w:r>
        <w:rPr>
          <w:rFonts w:hint="default" w:ascii="仿宋_GB2312" w:eastAsia="仿宋_GB2312"/>
          <w:lang w:val="en-US" w:eastAsia="zh-CN"/>
        </w:rPr>
        <w:t>1</w:t>
      </w:r>
      <w:r>
        <w:rPr>
          <w:rFonts w:hint="eastAsia" w:ascii="仿宋_GB2312"/>
          <w:lang w:val="en-US" w:eastAsia="zh-CN"/>
        </w:rPr>
        <w:t>0</w:t>
      </w:r>
      <w:r>
        <w:rPr>
          <w:rFonts w:hint="default" w:ascii="仿宋_GB2312" w:eastAsia="仿宋_GB2312"/>
          <w:lang w:val="en-US" w:eastAsia="zh-CN"/>
        </w:rPr>
        <w:t>0份</w:t>
      </w:r>
      <w:r>
        <w:rPr>
          <w:rFonts w:hint="eastAsia" w:ascii="仿宋_GB2312"/>
          <w:lang w:val="en-US" w:eastAsia="zh-CN"/>
        </w:rPr>
        <w:t>，实际收回100份</w:t>
      </w:r>
      <w:r>
        <w:rPr>
          <w:rFonts w:hint="default" w:ascii="仿宋_GB2312" w:eastAsia="仿宋_GB2312"/>
          <w:lang w:val="en-US" w:eastAsia="zh-CN"/>
        </w:rPr>
        <w:t>。</w:t>
      </w:r>
    </w:p>
    <w:p>
      <w:pPr>
        <w:ind w:firstLine="640"/>
        <w:rPr>
          <w:rFonts w:ascii="仿宋_GB2312"/>
        </w:rPr>
      </w:pPr>
      <w:r>
        <w:rPr>
          <w:rFonts w:hint="eastAsia" w:ascii="仿宋_GB2312"/>
        </w:rPr>
        <w:t>收回问卷的有效性主要从三个方面考虑：</w:t>
      </w:r>
    </w:p>
    <w:p>
      <w:pPr>
        <w:ind w:firstLine="640"/>
        <w:rPr>
          <w:rFonts w:ascii="仿宋_GB2312"/>
        </w:rPr>
      </w:pPr>
      <w:r>
        <w:rPr>
          <w:rFonts w:hint="eastAsia" w:ascii="仿宋_GB2312"/>
        </w:rPr>
        <w:t>1.问卷设计的有效性：本次问卷设置的问题紧密围绕该项目实施情况和效果；</w:t>
      </w:r>
    </w:p>
    <w:p>
      <w:pPr>
        <w:ind w:firstLine="640"/>
        <w:rPr>
          <w:rFonts w:ascii="仿宋_GB2312"/>
        </w:rPr>
      </w:pPr>
      <w:r>
        <w:rPr>
          <w:rFonts w:hint="eastAsia" w:ascii="仿宋_GB2312"/>
        </w:rPr>
        <w:t>2.问卷调查方式的有效性：本项目问卷调查采取</w:t>
      </w:r>
      <w:r>
        <w:rPr>
          <w:rFonts w:hint="eastAsia" w:ascii="仿宋_GB2312"/>
          <w:lang w:val="en-US" w:eastAsia="zh-CN"/>
        </w:rPr>
        <w:t>现场访谈</w:t>
      </w:r>
      <w:r>
        <w:rPr>
          <w:rFonts w:hint="eastAsia" w:ascii="仿宋_GB2312"/>
        </w:rPr>
        <w:t>方式进行</w:t>
      </w:r>
      <w:r>
        <w:rPr>
          <w:rFonts w:hint="eastAsia" w:ascii="仿宋_GB2312"/>
          <w:lang w:eastAsia="zh-CN"/>
        </w:rPr>
        <w:t>，</w:t>
      </w:r>
      <w:r>
        <w:rPr>
          <w:rFonts w:hint="eastAsia" w:ascii="仿宋_GB2312"/>
        </w:rPr>
        <w:t>能</w:t>
      </w:r>
      <w:r>
        <w:rPr>
          <w:rFonts w:hint="eastAsia" w:ascii="仿宋_GB2312"/>
          <w:lang w:val="en-US" w:eastAsia="zh-CN"/>
        </w:rPr>
        <w:t>正确理解问题并完成问卷</w:t>
      </w:r>
      <w:r>
        <w:rPr>
          <w:rFonts w:hint="eastAsia" w:ascii="仿宋_GB2312"/>
          <w:lang w:eastAsia="zh-CN"/>
        </w:rPr>
        <w:t>，</w:t>
      </w:r>
      <w:r>
        <w:rPr>
          <w:rFonts w:hint="eastAsia" w:ascii="仿宋_GB2312"/>
        </w:rPr>
        <w:t>且</w:t>
      </w:r>
      <w:r>
        <w:rPr>
          <w:rFonts w:hint="eastAsia" w:ascii="仿宋_GB2312"/>
          <w:lang w:val="en-US" w:eastAsia="zh-CN"/>
        </w:rPr>
        <w:t>对所涉选项</w:t>
      </w:r>
      <w:r>
        <w:rPr>
          <w:rFonts w:hint="eastAsia" w:ascii="仿宋_GB2312"/>
        </w:rPr>
        <w:t>调查员未出现暗示</w:t>
      </w:r>
      <w:r>
        <w:rPr>
          <w:rFonts w:hint="eastAsia" w:ascii="仿宋_GB2312"/>
          <w:lang w:val="en-US" w:eastAsia="zh-CN"/>
        </w:rPr>
        <w:t>引导</w:t>
      </w:r>
      <w:r>
        <w:rPr>
          <w:rFonts w:hint="eastAsia" w:ascii="仿宋_GB2312"/>
        </w:rPr>
        <w:t>；</w:t>
      </w:r>
    </w:p>
    <w:p>
      <w:pPr>
        <w:ind w:firstLine="640"/>
        <w:rPr>
          <w:rFonts w:ascii="仿宋_GB2312"/>
        </w:rPr>
      </w:pPr>
      <w:r>
        <w:rPr>
          <w:rFonts w:hint="eastAsia" w:ascii="仿宋_GB2312"/>
        </w:rPr>
        <w:t>3.数据整理的有效性：被调研人员不带有功利性</w:t>
      </w:r>
      <w:r>
        <w:rPr>
          <w:rFonts w:hint="eastAsia" w:ascii="仿宋_GB2312"/>
          <w:lang w:eastAsia="zh-CN"/>
        </w:rPr>
        <w:t>，</w:t>
      </w:r>
      <w:r>
        <w:rPr>
          <w:rFonts w:hint="eastAsia" w:ascii="仿宋_GB2312"/>
        </w:rPr>
        <w:t>问卷填答能客观真实反映项目实际情况；同时收回的问卷填答完整</w:t>
      </w:r>
      <w:r>
        <w:rPr>
          <w:rFonts w:hint="eastAsia" w:ascii="仿宋_GB2312"/>
          <w:lang w:eastAsia="zh-CN"/>
        </w:rPr>
        <w:t>，</w:t>
      </w:r>
      <w:r>
        <w:rPr>
          <w:rFonts w:hint="eastAsia" w:ascii="仿宋_GB2312"/>
        </w:rPr>
        <w:t>不存在缺失情况。</w:t>
      </w:r>
    </w:p>
    <w:p>
      <w:pPr>
        <w:ind w:firstLine="640"/>
        <w:rPr>
          <w:highlight w:val="none"/>
        </w:rPr>
        <w:sectPr>
          <w:pgSz w:w="11906" w:h="16838"/>
          <w:pgMar w:top="1440" w:right="1800" w:bottom="1440" w:left="1800" w:header="851" w:footer="992" w:gutter="0"/>
          <w:pgNumType w:fmt="decimal"/>
          <w:cols w:space="425" w:num="1"/>
          <w:docGrid w:type="lines" w:linePitch="312" w:charSpace="0"/>
        </w:sectPr>
      </w:pPr>
      <w:r>
        <w:rPr>
          <w:rFonts w:hint="eastAsia" w:ascii="仿宋_GB2312"/>
        </w:rPr>
        <w:t>因此</w:t>
      </w:r>
      <w:r>
        <w:rPr>
          <w:rFonts w:hint="eastAsia" w:ascii="仿宋_GB2312"/>
          <w:lang w:eastAsia="zh-CN"/>
        </w:rPr>
        <w:t>，</w:t>
      </w:r>
      <w:r>
        <w:rPr>
          <w:rFonts w:hint="eastAsia" w:ascii="仿宋_GB2312"/>
        </w:rPr>
        <w:t>本项目问卷共收</w:t>
      </w:r>
      <w:r>
        <w:rPr>
          <w:rFonts w:hint="eastAsia" w:ascii="仿宋_GB2312"/>
          <w:highlight w:val="none"/>
        </w:rPr>
        <w:t>回</w:t>
      </w:r>
      <w:r>
        <w:rPr>
          <w:rFonts w:hint="eastAsia" w:ascii="仿宋_GB2312"/>
          <w:highlight w:val="none"/>
          <w:lang w:val="en-US" w:eastAsia="zh-CN"/>
        </w:rPr>
        <w:t>100</w:t>
      </w:r>
      <w:r>
        <w:rPr>
          <w:rFonts w:hint="eastAsia" w:ascii="仿宋_GB2312"/>
          <w:highlight w:val="none"/>
        </w:rPr>
        <w:t>份</w:t>
      </w:r>
      <w:r>
        <w:rPr>
          <w:rFonts w:hint="eastAsia" w:ascii="仿宋_GB2312"/>
          <w:highlight w:val="none"/>
          <w:lang w:eastAsia="zh-CN"/>
        </w:rPr>
        <w:t>，</w:t>
      </w:r>
      <w:r>
        <w:rPr>
          <w:rFonts w:hint="eastAsia" w:ascii="仿宋_GB2312"/>
          <w:highlight w:val="none"/>
          <w:lang w:val="en-US" w:eastAsia="zh-CN"/>
        </w:rPr>
        <w:t>全部</w:t>
      </w:r>
      <w:r>
        <w:rPr>
          <w:rFonts w:hint="eastAsia" w:ascii="仿宋_GB2312"/>
          <w:highlight w:val="none"/>
        </w:rPr>
        <w:t>有效。</w:t>
      </w:r>
    </w:p>
    <w:p>
      <w:pPr>
        <w:keepNext w:val="0"/>
        <w:keepLines w:val="0"/>
        <w:pageBreakBefore w:val="0"/>
        <w:widowControl/>
        <w:kinsoku/>
        <w:wordWrap/>
        <w:overflowPunct/>
        <w:topLinePunct w:val="0"/>
        <w:autoSpaceDE/>
        <w:autoSpaceDN/>
        <w:bidi w:val="0"/>
        <w:adjustRightInd/>
        <w:snapToGrid/>
        <w:spacing w:before="63" w:beforeLines="20" w:after="63" w:afterLines="20"/>
        <w:ind w:firstLine="0" w:firstLineChars="0"/>
        <w:jc w:val="center"/>
        <w:textAlignment w:val="auto"/>
        <w:rPr>
          <w:rFonts w:ascii="方正小标宋简体" w:eastAsia="方正小标宋简体"/>
          <w:bCs/>
          <w:kern w:val="0"/>
          <w:sz w:val="40"/>
          <w:szCs w:val="40"/>
        </w:rPr>
      </w:pPr>
      <w:r>
        <w:rPr>
          <w:rFonts w:hint="eastAsia" w:ascii="方正小标宋简体" w:eastAsia="方正小标宋简体"/>
          <w:bCs/>
          <w:kern w:val="0"/>
          <w:sz w:val="40"/>
          <w:szCs w:val="40"/>
          <w:lang w:val="en-US" w:eastAsia="zh-CN"/>
        </w:rPr>
        <w:t>受益群众</w:t>
      </w:r>
      <w:r>
        <w:rPr>
          <w:rFonts w:hint="eastAsia" w:ascii="方正小标宋简体" w:eastAsia="方正小标宋简体"/>
          <w:bCs/>
          <w:kern w:val="0"/>
          <w:sz w:val="40"/>
          <w:szCs w:val="40"/>
        </w:rPr>
        <w:t>满意度调查问卷统计表</w:t>
      </w:r>
    </w:p>
    <w:tbl>
      <w:tblPr>
        <w:tblStyle w:val="20"/>
        <w:tblW w:w="506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98"/>
        <w:gridCol w:w="825"/>
        <w:gridCol w:w="988"/>
        <w:gridCol w:w="960"/>
        <w:gridCol w:w="975"/>
        <w:gridCol w:w="778"/>
        <w:gridCol w:w="878"/>
        <w:gridCol w:w="1046"/>
        <w:gridCol w:w="945"/>
        <w:gridCol w:w="1005"/>
        <w:gridCol w:w="823"/>
        <w:gridCol w:w="768"/>
        <w:gridCol w:w="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1184" w:type="pct"/>
            <w:vMerge w:val="restart"/>
            <w:shd w:val="clear" w:color="auto" w:fill="auto"/>
            <w:noWrap/>
            <w:vAlign w:val="center"/>
          </w:tcPr>
          <w:p>
            <w:pPr>
              <w:spacing w:line="360" w:lineRule="exact"/>
              <w:ind w:firstLine="360"/>
              <w:jc w:val="center"/>
              <w:rPr>
                <w:rFonts w:eastAsia="宋体"/>
                <w:color w:val="000000"/>
                <w:sz w:val="18"/>
                <w:szCs w:val="18"/>
              </w:rPr>
            </w:pPr>
          </w:p>
        </w:tc>
        <w:tc>
          <w:tcPr>
            <w:tcW w:w="287" w:type="pct"/>
            <w:vMerge w:val="restar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总数</w:t>
            </w:r>
          </w:p>
        </w:tc>
        <w:tc>
          <w:tcPr>
            <w:tcW w:w="1595" w:type="pct"/>
            <w:gridSpan w:val="5"/>
            <w:shd w:val="clear" w:color="auto" w:fill="auto"/>
            <w:noWrap/>
            <w:vAlign w:val="center"/>
          </w:tcPr>
          <w:p>
            <w:pPr>
              <w:widowControl/>
              <w:spacing w:line="360" w:lineRule="exact"/>
              <w:ind w:firstLine="0" w:firstLineChars="0"/>
              <w:jc w:val="center"/>
              <w:textAlignment w:val="center"/>
              <w:rPr>
                <w:rFonts w:ascii="仿宋_GB2312" w:hAnsi="宋体" w:cs="仿宋_GB2312"/>
                <w:color w:val="000000"/>
                <w:sz w:val="21"/>
                <w:szCs w:val="21"/>
              </w:rPr>
            </w:pPr>
            <w:r>
              <w:rPr>
                <w:rFonts w:hint="eastAsia" w:ascii="仿宋_GB2312" w:hAnsi="宋体" w:cs="仿宋_GB2312"/>
                <w:color w:val="000000"/>
                <w:kern w:val="0"/>
                <w:sz w:val="21"/>
                <w:szCs w:val="21"/>
              </w:rPr>
              <w:t>份数</w:t>
            </w:r>
          </w:p>
        </w:tc>
        <w:tc>
          <w:tcPr>
            <w:tcW w:w="1598" w:type="pct"/>
            <w:gridSpan w:val="5"/>
            <w:shd w:val="clear" w:color="auto" w:fill="auto"/>
            <w:noWrap/>
            <w:vAlign w:val="center"/>
          </w:tcPr>
          <w:p>
            <w:pPr>
              <w:widowControl/>
              <w:spacing w:line="360" w:lineRule="exact"/>
              <w:ind w:firstLine="0" w:firstLineChars="0"/>
              <w:jc w:val="center"/>
              <w:textAlignment w:val="center"/>
              <w:rPr>
                <w:rFonts w:ascii="仿宋_GB2312" w:hAnsi="宋体" w:cs="仿宋_GB2312"/>
                <w:color w:val="000000"/>
                <w:sz w:val="21"/>
                <w:szCs w:val="21"/>
              </w:rPr>
            </w:pPr>
            <w:r>
              <w:rPr>
                <w:rFonts w:hint="eastAsia" w:ascii="仿宋_GB2312" w:hAnsi="宋体" w:cs="仿宋_GB2312"/>
                <w:color w:val="000000"/>
                <w:kern w:val="0"/>
                <w:sz w:val="21"/>
                <w:szCs w:val="21"/>
              </w:rPr>
              <w:t>权重</w:t>
            </w:r>
          </w:p>
        </w:tc>
        <w:tc>
          <w:tcPr>
            <w:tcW w:w="333" w:type="pct"/>
            <w:vMerge w:val="restar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满意度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1184" w:type="pct"/>
            <w:vMerge w:val="continue"/>
            <w:shd w:val="clear" w:color="auto" w:fill="auto"/>
            <w:noWrap/>
            <w:vAlign w:val="center"/>
          </w:tcPr>
          <w:p>
            <w:pPr>
              <w:spacing w:line="360" w:lineRule="exact"/>
              <w:ind w:firstLine="360"/>
              <w:jc w:val="center"/>
              <w:rPr>
                <w:rFonts w:eastAsia="宋体"/>
                <w:color w:val="000000"/>
                <w:sz w:val="18"/>
                <w:szCs w:val="18"/>
              </w:rPr>
            </w:pPr>
          </w:p>
        </w:tc>
        <w:tc>
          <w:tcPr>
            <w:tcW w:w="287" w:type="pct"/>
            <w:vMerge w:val="continue"/>
            <w:shd w:val="clear" w:color="auto" w:fill="auto"/>
            <w:noWrap/>
            <w:vAlign w:val="center"/>
          </w:tcPr>
          <w:p>
            <w:pPr>
              <w:spacing w:line="360" w:lineRule="exact"/>
              <w:ind w:firstLine="360"/>
              <w:jc w:val="center"/>
              <w:rPr>
                <w:rFonts w:eastAsia="宋体"/>
                <w:color w:val="000000"/>
                <w:sz w:val="18"/>
                <w:szCs w:val="18"/>
              </w:rPr>
            </w:pPr>
          </w:p>
        </w:tc>
        <w:tc>
          <w:tcPr>
            <w:tcW w:w="344"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非常满意</w:t>
            </w:r>
          </w:p>
        </w:tc>
        <w:tc>
          <w:tcPr>
            <w:tcW w:w="334" w:type="pct"/>
            <w:shd w:val="clear" w:color="auto" w:fill="auto"/>
            <w:noWrap/>
            <w:vAlign w:val="center"/>
          </w:tcPr>
          <w:p>
            <w:pPr>
              <w:widowControl/>
              <w:spacing w:line="360" w:lineRule="exact"/>
              <w:ind w:firstLine="0" w:firstLineChars="0"/>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rPr>
              <w:t>基本满意</w:t>
            </w:r>
          </w:p>
        </w:tc>
        <w:tc>
          <w:tcPr>
            <w:tcW w:w="339" w:type="pct"/>
            <w:shd w:val="clear" w:color="auto" w:fill="auto"/>
            <w:noWrap/>
            <w:vAlign w:val="center"/>
          </w:tcPr>
          <w:p>
            <w:pPr>
              <w:widowControl/>
              <w:spacing w:line="360" w:lineRule="exact"/>
              <w:ind w:firstLine="0" w:firstLineChars="0"/>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rPr>
              <w:t>一般满意</w:t>
            </w:r>
          </w:p>
        </w:tc>
        <w:tc>
          <w:tcPr>
            <w:tcW w:w="271"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不满意</w:t>
            </w:r>
          </w:p>
        </w:tc>
        <w:tc>
          <w:tcPr>
            <w:tcW w:w="305"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非常不满意</w:t>
            </w:r>
          </w:p>
        </w:tc>
        <w:tc>
          <w:tcPr>
            <w:tcW w:w="364"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非常满意</w:t>
            </w:r>
          </w:p>
        </w:tc>
        <w:tc>
          <w:tcPr>
            <w:tcW w:w="329"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hint="eastAsia" w:eastAsia="宋体"/>
                <w:color w:val="000000"/>
                <w:kern w:val="0"/>
                <w:sz w:val="18"/>
                <w:szCs w:val="18"/>
                <w:lang w:val="en-US" w:eastAsia="zh-CN"/>
              </w:rPr>
              <w:t>基本</w:t>
            </w:r>
            <w:r>
              <w:rPr>
                <w:rFonts w:eastAsia="宋体"/>
                <w:color w:val="000000"/>
                <w:kern w:val="0"/>
                <w:sz w:val="18"/>
                <w:szCs w:val="18"/>
              </w:rPr>
              <w:t>满意</w:t>
            </w:r>
          </w:p>
        </w:tc>
        <w:tc>
          <w:tcPr>
            <w:tcW w:w="350"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hint="eastAsia" w:eastAsia="宋体"/>
                <w:color w:val="000000"/>
                <w:kern w:val="0"/>
                <w:sz w:val="18"/>
                <w:szCs w:val="18"/>
                <w:lang w:val="en-US" w:eastAsia="zh-CN"/>
              </w:rPr>
              <w:t>一般</w:t>
            </w:r>
            <w:r>
              <w:rPr>
                <w:rFonts w:eastAsia="宋体"/>
                <w:color w:val="000000"/>
                <w:kern w:val="0"/>
                <w:sz w:val="18"/>
                <w:szCs w:val="18"/>
              </w:rPr>
              <w:t>满意</w:t>
            </w:r>
          </w:p>
        </w:tc>
        <w:tc>
          <w:tcPr>
            <w:tcW w:w="286"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不满意</w:t>
            </w:r>
          </w:p>
        </w:tc>
        <w:tc>
          <w:tcPr>
            <w:tcW w:w="267"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非常不满意</w:t>
            </w:r>
          </w:p>
        </w:tc>
        <w:tc>
          <w:tcPr>
            <w:tcW w:w="333" w:type="pct"/>
            <w:vMerge w:val="continue"/>
            <w:shd w:val="clear" w:color="auto" w:fill="auto"/>
            <w:noWrap/>
            <w:vAlign w:val="center"/>
          </w:tcPr>
          <w:p>
            <w:pPr>
              <w:spacing w:line="360" w:lineRule="exact"/>
              <w:ind w:firstLine="360"/>
              <w:jc w:val="center"/>
              <w:rPr>
                <w:rFonts w:eastAsia="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您对项目政策宣传度是否满意？</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61</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7</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14</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18</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75.00%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rPr>
              <w:t>您</w:t>
            </w:r>
            <w:r>
              <w:rPr>
                <w:rFonts w:hint="eastAsia" w:eastAsia="宋体"/>
                <w:color w:val="000000"/>
                <w:kern w:val="0"/>
                <w:sz w:val="18"/>
                <w:szCs w:val="18"/>
                <w:lang w:val="en-US" w:eastAsia="zh-CN"/>
              </w:rPr>
              <w:t>对项目补贴资金发放及时性是否满意</w:t>
            </w:r>
            <w:r>
              <w:rPr>
                <w:rFonts w:hint="eastAsia" w:eastAsia="宋体"/>
                <w:color w:val="000000"/>
                <w:kern w:val="0"/>
                <w:sz w:val="18"/>
                <w:szCs w:val="18"/>
              </w:rPr>
              <w:t>？</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76</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11</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13</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92.60%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 xml:space="preserve">您对项目申请审核程序是否满意？ </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63</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28</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您对项目整体实施是否满意？</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64</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23</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13</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您对项目补贴资金额是否满意？</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83</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12</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5</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95.60%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综合满意度</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000000"/>
                <w:kern w:val="0"/>
                <w:sz w:val="18"/>
                <w:szCs w:val="18"/>
                <w:u w:val="none"/>
                <w:lang w:val="en-US" w:eastAsia="zh-CN" w:bidi="ar"/>
              </w:rPr>
            </w:pP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2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5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8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6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3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eastAsia="宋体" w:cs="Times New Roman"/>
                <w:i w:val="0"/>
                <w:iCs w:val="0"/>
                <w:color w:val="000000"/>
                <w:kern w:val="0"/>
                <w:sz w:val="18"/>
                <w:szCs w:val="18"/>
                <w:u w:val="none"/>
                <w:lang w:val="en-US" w:eastAsia="zh-CN" w:bidi="ar"/>
              </w:rPr>
              <w:t>88.08</w:t>
            </w:r>
            <w:r>
              <w:rPr>
                <w:rFonts w:hint="eastAsia" w:ascii="Times New Roman" w:hAnsi="Times New Roman" w:eastAsia="宋体" w:cs="Times New Roman"/>
                <w:i w:val="0"/>
                <w:iCs w:val="0"/>
                <w:color w:val="000000"/>
                <w:kern w:val="0"/>
                <w:sz w:val="18"/>
                <w:szCs w:val="18"/>
                <w:u w:val="none"/>
                <w:lang w:val="en-US" w:eastAsia="zh-CN" w:bidi="ar"/>
              </w:rPr>
              <w:t>%</w:t>
            </w:r>
          </w:p>
        </w:tc>
      </w:tr>
    </w:tbl>
    <w:p>
      <w:pPr>
        <w:sectPr>
          <w:pgSz w:w="16838" w:h="11906" w:orient="landscape"/>
          <w:pgMar w:top="1800" w:right="1440" w:bottom="1800" w:left="1440" w:header="851" w:footer="992" w:gutter="0"/>
          <w:pgNumType w:fmt="decimal"/>
          <w:cols w:space="425" w:num="1"/>
          <w:docGrid w:type="lines" w:linePitch="312" w:charSpace="0"/>
        </w:sectPr>
      </w:pPr>
      <w:r>
        <w:br w:type="page"/>
      </w:r>
    </w:p>
    <w:p>
      <w:pPr>
        <w:pStyle w:val="3"/>
        <w:spacing w:before="120" w:after="120"/>
        <w:ind w:firstLine="0" w:firstLineChars="0"/>
        <w:rPr>
          <w:rFonts w:ascii="黑体" w:hAnsi="黑体"/>
        </w:rPr>
      </w:pPr>
      <w:bookmarkStart w:id="72" w:name="_Toc5434"/>
      <w:r>
        <w:rPr>
          <w:rFonts w:ascii="黑体" w:hAnsi="黑体"/>
        </w:rPr>
        <w:t>附件</w:t>
      </w:r>
      <w:bookmarkStart w:id="73" w:name="_Toc11104"/>
      <w:r>
        <w:rPr>
          <w:rFonts w:hint="eastAsia" w:ascii="黑体" w:hAnsi="黑体"/>
        </w:rPr>
        <w:t>4 ：</w:t>
      </w:r>
      <w:r>
        <w:rPr>
          <w:rFonts w:ascii="黑体" w:hAnsi="黑体"/>
        </w:rPr>
        <w:t>访谈</w:t>
      </w:r>
      <w:bookmarkEnd w:id="73"/>
      <w:r>
        <w:rPr>
          <w:rFonts w:hint="eastAsia" w:ascii="黑体" w:hAnsi="黑体"/>
        </w:rPr>
        <w:t>报告</w:t>
      </w:r>
      <w:bookmarkEnd w:id="72"/>
    </w:p>
    <w:p>
      <w:pPr>
        <w:ind w:firstLine="0" w:firstLineChars="0"/>
        <w:jc w:val="center"/>
        <w:rPr>
          <w:rFonts w:hint="eastAsia" w:ascii="仿宋_GB2312" w:hAnsi="仿宋_GB2312" w:eastAsia="仿宋_GB2312" w:cs="仿宋_GB2312"/>
          <w:b/>
          <w:bCs/>
          <w:kern w:val="0"/>
          <w:sz w:val="32"/>
          <w:szCs w:val="32"/>
          <w:lang w:val="en-US" w:eastAsia="zh-CN"/>
        </w:rPr>
      </w:pPr>
      <w:r>
        <w:rPr>
          <w:rFonts w:hint="eastAsia" w:ascii="方正小标宋简体" w:eastAsia="方正小标宋简体"/>
          <w:kern w:val="0"/>
          <w:sz w:val="44"/>
          <w:szCs w:val="44"/>
        </w:rPr>
        <w:t xml:space="preserve"> </w:t>
      </w:r>
      <w:r>
        <w:rPr>
          <w:rFonts w:hint="eastAsia" w:ascii="仿宋_GB2312" w:hAnsi="仿宋_GB2312" w:eastAsia="仿宋_GB2312" w:cs="仿宋_GB2312"/>
          <w:b/>
          <w:bCs/>
          <w:kern w:val="0"/>
          <w:sz w:val="32"/>
          <w:szCs w:val="32"/>
        </w:rPr>
        <w:t xml:space="preserve"> </w:t>
      </w:r>
      <w:r>
        <w:rPr>
          <w:rFonts w:hint="eastAsia" w:ascii="仿宋_GB2312" w:hAnsi="仿宋_GB2312" w:cs="仿宋_GB2312"/>
          <w:b/>
          <w:bCs/>
          <w:kern w:val="0"/>
          <w:sz w:val="32"/>
          <w:szCs w:val="32"/>
          <w:lang w:val="en-US" w:eastAsia="zh-CN"/>
        </w:rPr>
        <w:t>古县2022年农机具购置补贴</w:t>
      </w:r>
    </w:p>
    <w:p>
      <w:pPr>
        <w:ind w:firstLine="0" w:firstLineChars="0"/>
        <w:jc w:val="center"/>
        <w:rPr>
          <w:rFonts w:hint="eastAsia" w:ascii="仿宋_GB2312" w:hAnsi="仿宋_GB2312" w:eastAsia="仿宋_GB2312" w:cs="仿宋_GB2312"/>
          <w:b/>
          <w:bCs/>
          <w:kern w:val="0"/>
          <w:sz w:val="32"/>
          <w:szCs w:val="32"/>
        </w:rPr>
      </w:pPr>
      <w:r>
        <w:rPr>
          <w:rFonts w:hint="eastAsia" w:ascii="仿宋_GB2312" w:hAnsi="仿宋_GB2312" w:eastAsia="仿宋_GB2312" w:cs="仿宋_GB2312"/>
          <w:b/>
          <w:bCs/>
          <w:kern w:val="0"/>
          <w:sz w:val="32"/>
          <w:szCs w:val="32"/>
        </w:rPr>
        <w:t>项目访谈报告</w:t>
      </w:r>
    </w:p>
    <w:p>
      <w:pPr>
        <w:ind w:firstLine="640"/>
        <w:rPr>
          <w:rFonts w:ascii="仿宋_GB2312"/>
        </w:rPr>
      </w:pPr>
      <w:r>
        <w:rPr>
          <w:rFonts w:hint="eastAsia" w:ascii="仿宋_GB2312"/>
        </w:rPr>
        <w:t>访谈日期：202</w:t>
      </w:r>
      <w:r>
        <w:rPr>
          <w:rFonts w:hint="eastAsia" w:ascii="仿宋_GB2312"/>
          <w:lang w:val="en-US" w:eastAsia="zh-CN"/>
        </w:rPr>
        <w:t>3</w:t>
      </w:r>
      <w:r>
        <w:rPr>
          <w:rFonts w:hint="eastAsia" w:ascii="仿宋_GB2312"/>
        </w:rPr>
        <w:t>年</w:t>
      </w:r>
      <w:r>
        <w:rPr>
          <w:rFonts w:hint="eastAsia" w:ascii="仿宋_GB2312"/>
          <w:lang w:val="en-US" w:eastAsia="zh-CN"/>
        </w:rPr>
        <w:t>11</w:t>
      </w:r>
      <w:r>
        <w:rPr>
          <w:rFonts w:hint="eastAsia" w:ascii="仿宋_GB2312"/>
        </w:rPr>
        <w:t>月</w:t>
      </w:r>
      <w:r>
        <w:rPr>
          <w:rFonts w:hint="eastAsia" w:ascii="仿宋_GB2312"/>
          <w:lang w:val="en-US" w:eastAsia="zh-CN"/>
        </w:rPr>
        <w:t>4</w:t>
      </w:r>
      <w:r>
        <w:rPr>
          <w:rFonts w:hint="eastAsia" w:ascii="仿宋_GB2312"/>
        </w:rPr>
        <w:t>日</w:t>
      </w:r>
    </w:p>
    <w:p>
      <w:pPr>
        <w:ind w:firstLine="640"/>
        <w:rPr>
          <w:rFonts w:hint="eastAsia" w:ascii="仿宋_GB2312"/>
          <w:lang w:val="en-US" w:eastAsia="zh-CN"/>
        </w:rPr>
      </w:pPr>
      <w:r>
        <w:rPr>
          <w:rFonts w:hint="eastAsia" w:ascii="仿宋_GB2312"/>
        </w:rPr>
        <w:t>访谈地点：</w:t>
      </w:r>
      <w:r>
        <w:rPr>
          <w:rFonts w:hint="eastAsia" w:ascii="仿宋_GB2312"/>
          <w:lang w:eastAsia="zh-CN"/>
        </w:rPr>
        <w:t>古县农业农村局</w:t>
      </w:r>
    </w:p>
    <w:p>
      <w:pPr>
        <w:ind w:firstLine="640"/>
        <w:rPr>
          <w:rFonts w:hint="eastAsia" w:ascii="仿宋_GB2312"/>
          <w:highlight w:val="yellow"/>
          <w:lang w:val="en-US" w:eastAsia="zh-CN"/>
        </w:rPr>
      </w:pPr>
      <w:r>
        <w:rPr>
          <w:rFonts w:hint="eastAsia" w:ascii="仿宋_GB2312"/>
        </w:rPr>
        <w:t>评价组人员：</w:t>
      </w:r>
      <w:r>
        <w:rPr>
          <w:rFonts w:hint="eastAsia" w:ascii="仿宋_GB2312"/>
          <w:lang w:val="en-US" w:eastAsia="zh-CN"/>
        </w:rPr>
        <w:t>王荣</w:t>
      </w:r>
    </w:p>
    <w:p>
      <w:pPr>
        <w:ind w:firstLine="640"/>
        <w:rPr>
          <w:rFonts w:hint="default" w:ascii="仿宋_GB2312" w:hAnsi="仿宋"/>
          <w:kern w:val="0"/>
          <w:szCs w:val="28"/>
          <w:highlight w:val="none"/>
          <w:lang w:val="en-US" w:eastAsia="zh-CN"/>
        </w:rPr>
      </w:pPr>
      <w:r>
        <w:rPr>
          <w:rFonts w:hint="eastAsia" w:ascii="仿宋_GB2312"/>
        </w:rPr>
        <w:t>访谈对象</w:t>
      </w:r>
      <w:r>
        <w:rPr>
          <w:rFonts w:hint="eastAsia" w:ascii="仿宋_GB2312"/>
          <w:highlight w:val="none"/>
        </w:rPr>
        <w:t>：</w:t>
      </w:r>
      <w:r>
        <w:rPr>
          <w:rFonts w:hint="eastAsia" w:ascii="仿宋_GB2312"/>
          <w:lang w:val="en-US" w:eastAsia="zh-CN"/>
        </w:rPr>
        <w:t>刘科长</w:t>
      </w:r>
    </w:p>
    <w:p>
      <w:pPr>
        <w:ind w:firstLine="640"/>
        <w:rPr>
          <w:rFonts w:ascii="仿宋_GB2312"/>
        </w:rPr>
      </w:pPr>
      <w:r>
        <w:rPr>
          <w:rFonts w:hint="eastAsia" w:ascii="仿宋_GB2312"/>
        </w:rPr>
        <w:t>1.</w:t>
      </w:r>
      <w:r>
        <w:rPr>
          <w:rFonts w:ascii="仿宋_GB2312"/>
        </w:rPr>
        <w:t>请您简单介绍项目</w:t>
      </w:r>
      <w:r>
        <w:rPr>
          <w:rFonts w:hint="eastAsia" w:ascii="仿宋_GB2312"/>
          <w:lang w:val="en-US" w:eastAsia="zh-CN"/>
        </w:rPr>
        <w:t>建设的主要内容</w:t>
      </w:r>
      <w:r>
        <w:rPr>
          <w:rFonts w:hint="eastAsia" w:ascii="仿宋_GB2312"/>
        </w:rPr>
        <w:t>。</w:t>
      </w:r>
    </w:p>
    <w:p>
      <w:pPr>
        <w:ind w:firstLine="640"/>
        <w:rPr>
          <w:rFonts w:hint="eastAsia" w:ascii="仿宋_GB2312"/>
          <w:lang w:val="en-US" w:eastAsia="zh-CN"/>
        </w:rPr>
      </w:pPr>
      <w:r>
        <w:rPr>
          <w:rFonts w:hint="eastAsia" w:ascii="仿宋_GB2312"/>
          <w:lang w:val="en-US" w:eastAsia="zh-CN"/>
        </w:rPr>
        <w:t>答：2022年农机具补贴申请台数为502台，实际补贴215台，剩余287台因补贴资金规模不够，在2023年度优先兑付。</w:t>
      </w:r>
    </w:p>
    <w:p>
      <w:pPr>
        <w:ind w:firstLine="640"/>
        <w:rPr>
          <w:rFonts w:hint="eastAsia" w:ascii="仿宋_GB2312" w:hAnsi="仿宋_GB2312" w:eastAsia="仿宋_GB2312" w:cs="仿宋_GB2312"/>
          <w:lang w:val="en-US" w:eastAsia="zh-CN"/>
        </w:rPr>
      </w:pPr>
      <w:r>
        <w:rPr>
          <w:rFonts w:hint="eastAsia" w:ascii="仿宋_GB2312"/>
          <w:lang w:val="en-US" w:eastAsia="zh-CN"/>
        </w:rPr>
        <w:t>补贴品目主要包含深松机、旋耕机、铧式犁、精量播种机、轮式拖拉机、自走式玉米收获机等。</w:t>
      </w:r>
    </w:p>
    <w:p>
      <w:pPr>
        <w:ind w:firstLine="640"/>
        <w:rPr>
          <w:rFonts w:hint="default" w:ascii="仿宋_GB2312" w:eastAsia="仿宋_GB2312"/>
          <w:lang w:val="en-US" w:eastAsia="zh-CN"/>
        </w:rPr>
      </w:pPr>
      <w:r>
        <w:rPr>
          <w:rFonts w:hint="eastAsia" w:ascii="仿宋_GB2312"/>
          <w:lang w:val="en-US" w:eastAsia="zh-CN"/>
        </w:rPr>
        <w:t>2</w:t>
      </w:r>
      <w:r>
        <w:rPr>
          <w:rFonts w:hint="eastAsia" w:ascii="仿宋_GB2312"/>
        </w:rPr>
        <w:t xml:space="preserve">. </w:t>
      </w:r>
      <w:r>
        <w:rPr>
          <w:rFonts w:ascii="仿宋_GB2312"/>
        </w:rPr>
        <w:t>请您简要谈谈</w:t>
      </w:r>
      <w:r>
        <w:rPr>
          <w:rFonts w:hint="eastAsia" w:ascii="仿宋_GB2312"/>
          <w:lang w:val="en-US" w:eastAsia="zh-CN"/>
        </w:rPr>
        <w:t>项目的补贴范围</w:t>
      </w:r>
    </w:p>
    <w:p>
      <w:pPr>
        <w:ind w:firstLine="640"/>
        <w:rPr>
          <w:rFonts w:hint="eastAsia" w:ascii="仿宋_GB2312"/>
          <w:lang w:val="en-US" w:eastAsia="zh-CN"/>
        </w:rPr>
      </w:pPr>
      <w:r>
        <w:rPr>
          <w:rFonts w:hint="eastAsia" w:ascii="仿宋_GB2312"/>
        </w:rPr>
        <w:t>答：</w:t>
      </w:r>
      <w:r>
        <w:rPr>
          <w:rFonts w:hint="eastAsia" w:ascii="仿宋_GB2312"/>
          <w:lang w:val="en-US" w:eastAsia="zh-CN"/>
        </w:rPr>
        <w:t>结合古县农业生产方式，选定省农机购置补贴机具种类范围15大类38个小类127品目作为县农机购置补贴机具种类范围。补贴范围原则上保持总体稳定，必要的调整按年度进行，县特色农业发展所需和小区域适用性强的机具，可列入县财政安排资金的补贴范围，具体补贴机具品目和补贴标准由县自定，不得占用中央财政补贴资金。</w:t>
      </w:r>
    </w:p>
    <w:p>
      <w:pPr>
        <w:widowControl/>
        <w:ind w:firstLine="640"/>
        <w:jc w:val="left"/>
        <w:rPr>
          <w:rFonts w:ascii="仿宋_GB2312"/>
        </w:rPr>
      </w:pPr>
      <w:r>
        <w:rPr>
          <w:rFonts w:hint="eastAsia" w:ascii="仿宋_GB2312"/>
          <w:lang w:val="en-US" w:eastAsia="zh-CN"/>
        </w:rPr>
        <w:t>3</w:t>
      </w:r>
      <w:r>
        <w:rPr>
          <w:rFonts w:hint="eastAsia" w:ascii="仿宋_GB2312"/>
        </w:rPr>
        <w:t>.</w:t>
      </w:r>
      <w:r>
        <w:rPr>
          <w:rFonts w:ascii="仿宋_GB2312"/>
        </w:rPr>
        <w:t>请您简要谈谈本项目实施</w:t>
      </w:r>
      <w:r>
        <w:rPr>
          <w:rFonts w:hint="eastAsia" w:ascii="仿宋_GB2312"/>
          <w:lang w:val="en-US" w:eastAsia="zh-CN"/>
        </w:rPr>
        <w:t>的主要绩效</w:t>
      </w:r>
      <w:r>
        <w:rPr>
          <w:rFonts w:hint="eastAsia" w:ascii="仿宋_GB2312"/>
        </w:rPr>
        <w:t>。</w:t>
      </w:r>
    </w:p>
    <w:p>
      <w:pPr>
        <w:ind w:firstLine="640"/>
        <w:rPr>
          <w:rFonts w:hint="default" w:eastAsia="仿宋_GB2312"/>
          <w:highlight w:val="none"/>
          <w:lang w:val="en-US" w:eastAsia="zh-CN"/>
        </w:rPr>
      </w:pPr>
      <w:r>
        <w:rPr>
          <w:rFonts w:hint="eastAsia" w:ascii="仿宋_GB2312" w:hAnsi="仿宋_GB2312" w:cs="仿宋_GB2312"/>
          <w:lang w:val="en-US" w:eastAsia="zh-CN"/>
        </w:rPr>
        <w:t>答：通过项目实施，有力地推动了农机消费，全县新增农机具502台，加速了农业机械化作业水平。实现山区小型机械化作业，提高了农机装备水平，解决了劳务输出等因素导致农村劳动力短缺的燃眉之急。取得了农民得实惠、企业得效益、政府得民心、事业得发展的良好效果。</w:t>
      </w:r>
    </w:p>
    <w:p>
      <w:pPr>
        <w:rPr>
          <w:rFonts w:hint="eastAsia" w:ascii="黑体" w:hAnsi="黑体"/>
        </w:rPr>
      </w:pPr>
      <w:bookmarkStart w:id="74" w:name="_Toc78440933"/>
      <w:bookmarkStart w:id="75" w:name="_Toc984"/>
      <w:r>
        <w:rPr>
          <w:rFonts w:hint="eastAsia" w:ascii="黑体" w:hAnsi="黑体"/>
        </w:rPr>
        <w:br w:type="page"/>
      </w:r>
      <w:bookmarkStart w:id="78" w:name="_GoBack"/>
      <w:bookmarkEnd w:id="78"/>
    </w:p>
    <w:p>
      <w:pPr>
        <w:pStyle w:val="3"/>
        <w:spacing w:before="120" w:after="120"/>
        <w:ind w:firstLine="0" w:firstLineChars="0"/>
        <w:rPr>
          <w:rFonts w:ascii="黑体" w:hAnsi="黑体"/>
        </w:rPr>
      </w:pPr>
      <w:r>
        <w:rPr>
          <w:rFonts w:hint="eastAsia" w:ascii="黑体" w:hAnsi="黑体"/>
        </w:rPr>
        <w:t>附件5 ：合规性检查报告</w:t>
      </w:r>
      <w:bookmarkEnd w:id="74"/>
      <w:bookmarkEnd w:id="75"/>
    </w:p>
    <w:p>
      <w:pPr>
        <w:spacing w:line="600" w:lineRule="exact"/>
        <w:ind w:firstLine="0" w:firstLineChars="0"/>
        <w:jc w:val="center"/>
        <w:rPr>
          <w:rFonts w:hint="eastAsia" w:ascii="仿宋_GB2312" w:hAnsi="仿宋_GB2312" w:eastAsia="仿宋_GB2312" w:cs="仿宋_GB2312"/>
          <w:b/>
          <w:bCs w:val="0"/>
          <w:w w:val="95"/>
          <w:kern w:val="0"/>
          <w:sz w:val="32"/>
          <w:szCs w:val="32"/>
          <w:lang w:val="en-US" w:eastAsia="zh-CN"/>
        </w:rPr>
      </w:pPr>
      <w:r>
        <w:rPr>
          <w:rFonts w:hint="eastAsia" w:ascii="仿宋_GB2312" w:hAnsi="仿宋_GB2312" w:cs="仿宋_GB2312"/>
          <w:b/>
          <w:bCs w:val="0"/>
          <w:w w:val="95"/>
          <w:kern w:val="0"/>
          <w:sz w:val="32"/>
          <w:szCs w:val="32"/>
          <w:lang w:val="en-US" w:eastAsia="zh-CN"/>
        </w:rPr>
        <w:t>古县2022年农机具购置补贴</w:t>
      </w:r>
    </w:p>
    <w:p>
      <w:pPr>
        <w:spacing w:line="600" w:lineRule="exact"/>
        <w:ind w:firstLine="0" w:firstLineChars="0"/>
        <w:jc w:val="center"/>
        <w:rPr>
          <w:rFonts w:hint="eastAsia" w:ascii="仿宋_GB2312" w:hAnsi="仿宋_GB2312" w:eastAsia="仿宋_GB2312" w:cs="仿宋_GB2312"/>
          <w:b/>
          <w:bCs w:val="0"/>
          <w:w w:val="95"/>
          <w:sz w:val="32"/>
          <w:szCs w:val="32"/>
        </w:rPr>
      </w:pPr>
      <w:r>
        <w:rPr>
          <w:rFonts w:hint="eastAsia" w:ascii="仿宋_GB2312" w:hAnsi="仿宋_GB2312" w:eastAsia="仿宋_GB2312" w:cs="仿宋_GB2312"/>
          <w:b/>
          <w:bCs w:val="0"/>
          <w:w w:val="95"/>
          <w:kern w:val="0"/>
          <w:sz w:val="32"/>
          <w:szCs w:val="32"/>
        </w:rPr>
        <w:t>项目合规性检查报告</w:t>
      </w:r>
    </w:p>
    <w:p>
      <w:pPr>
        <w:ind w:firstLine="640"/>
        <w:rPr>
          <w:rFonts w:ascii="仿宋_GB2312"/>
        </w:rPr>
      </w:pPr>
      <w:r>
        <w:rPr>
          <w:rFonts w:hint="eastAsia" w:ascii="仿宋_GB2312"/>
        </w:rPr>
        <w:t>为保证</w:t>
      </w:r>
      <w:r>
        <w:rPr>
          <w:rFonts w:hint="eastAsia" w:ascii="仿宋_GB2312"/>
          <w:lang w:eastAsia="zh-CN"/>
        </w:rPr>
        <w:t>古县2022年农机具购置补贴项目</w:t>
      </w:r>
      <w:r>
        <w:rPr>
          <w:rFonts w:hint="eastAsia" w:ascii="仿宋_GB2312"/>
        </w:rPr>
        <w:t>在资金拨付、资金支出、财务管理等方面的规范性</w:t>
      </w:r>
      <w:r>
        <w:rPr>
          <w:rFonts w:hint="eastAsia" w:ascii="仿宋_GB2312"/>
          <w:lang w:eastAsia="zh-CN"/>
        </w:rPr>
        <w:t>，</w:t>
      </w:r>
      <w:r>
        <w:rPr>
          <w:rFonts w:hint="eastAsia" w:ascii="仿宋_GB2312"/>
        </w:rPr>
        <w:t>评价组对</w:t>
      </w:r>
      <w:r>
        <w:rPr>
          <w:rFonts w:hint="eastAsia" w:ascii="仿宋_GB2312"/>
          <w:lang w:eastAsia="zh-CN"/>
        </w:rPr>
        <w:t>古县2022年农机具购置补贴项目</w:t>
      </w:r>
      <w:r>
        <w:rPr>
          <w:rFonts w:hint="eastAsia" w:ascii="仿宋_GB2312"/>
        </w:rPr>
        <w:t>财政支出资金使用及实施管理</w:t>
      </w:r>
      <w:r>
        <w:rPr>
          <w:rFonts w:hint="eastAsia" w:ascii="仿宋_GB2312"/>
          <w:lang w:eastAsia="zh-CN"/>
        </w:rPr>
        <w:t>开展</w:t>
      </w:r>
      <w:r>
        <w:rPr>
          <w:rFonts w:hint="eastAsia" w:ascii="仿宋_GB2312"/>
        </w:rPr>
        <w:t>合规性检查。</w:t>
      </w:r>
    </w:p>
    <w:p>
      <w:pPr>
        <w:ind w:firstLine="640"/>
        <w:rPr>
          <w:rFonts w:ascii="仿宋_GB2312"/>
        </w:rPr>
      </w:pPr>
      <w:r>
        <w:rPr>
          <w:rFonts w:hint="eastAsia" w:ascii="仿宋_GB2312"/>
        </w:rPr>
        <w:t>一、合规性检查对象</w:t>
      </w:r>
    </w:p>
    <w:p>
      <w:pPr>
        <w:ind w:firstLine="640"/>
        <w:rPr>
          <w:rFonts w:ascii="仿宋_GB2312"/>
        </w:rPr>
      </w:pPr>
      <w:r>
        <w:rPr>
          <w:rFonts w:hint="eastAsia" w:ascii="仿宋_GB2312"/>
        </w:rPr>
        <w:t>本次检查对象为</w:t>
      </w:r>
      <w:r>
        <w:rPr>
          <w:rFonts w:hint="eastAsia" w:ascii="仿宋_GB2312"/>
          <w:lang w:eastAsia="zh-CN"/>
        </w:rPr>
        <w:t>古县2022年农机具购置补贴项目</w:t>
      </w:r>
      <w:r>
        <w:rPr>
          <w:rFonts w:hint="eastAsia" w:ascii="仿宋_GB2312"/>
        </w:rPr>
        <w:t>财政支出资金</w:t>
      </w:r>
      <w:r>
        <w:rPr>
          <w:rFonts w:hint="eastAsia" w:ascii="仿宋_GB2312"/>
          <w:lang w:eastAsia="zh-CN"/>
        </w:rPr>
        <w:t>，</w:t>
      </w:r>
      <w:r>
        <w:rPr>
          <w:rFonts w:hint="eastAsia" w:ascii="仿宋_GB2312"/>
          <w:lang w:val="en-US" w:eastAsia="zh-CN"/>
        </w:rPr>
        <w:t>2022</w:t>
      </w:r>
      <w:r>
        <w:rPr>
          <w:rFonts w:hint="eastAsia" w:ascii="仿宋_GB2312"/>
        </w:rPr>
        <w:t>共计资金数额</w:t>
      </w:r>
      <w:r>
        <w:rPr>
          <w:rFonts w:hint="eastAsia" w:ascii="仿宋_GB2312"/>
          <w:lang w:val="en-US" w:eastAsia="zh-CN"/>
        </w:rPr>
        <w:t>275</w:t>
      </w:r>
      <w:r>
        <w:rPr>
          <w:rFonts w:hint="eastAsia" w:ascii="仿宋_GB2312"/>
        </w:rPr>
        <w:t>万元。</w:t>
      </w:r>
    </w:p>
    <w:p>
      <w:pPr>
        <w:ind w:firstLine="640"/>
        <w:rPr>
          <w:rFonts w:ascii="仿宋_GB2312"/>
        </w:rPr>
      </w:pPr>
      <w:r>
        <w:rPr>
          <w:rFonts w:hint="eastAsia" w:ascii="仿宋_GB2312"/>
        </w:rPr>
        <w:t xml:space="preserve">二、合规性检查内容 </w:t>
      </w:r>
    </w:p>
    <w:p>
      <w:pPr>
        <w:ind w:firstLine="640"/>
        <w:rPr>
          <w:rFonts w:ascii="仿宋_GB2312"/>
        </w:rPr>
      </w:pPr>
      <w:r>
        <w:rPr>
          <w:rFonts w:hint="eastAsia" w:ascii="仿宋_GB2312"/>
        </w:rPr>
        <w:t>本次合规性检查内容包括资金拨付、资金支出、财务管理等</w:t>
      </w:r>
      <w:r>
        <w:rPr>
          <w:rFonts w:hint="eastAsia" w:ascii="仿宋_GB2312"/>
          <w:lang w:eastAsia="zh-CN"/>
        </w:rPr>
        <w:t>，</w:t>
      </w:r>
      <w:r>
        <w:rPr>
          <w:rFonts w:hint="eastAsia" w:ascii="仿宋_GB2312"/>
        </w:rPr>
        <w:t>目的在于深入了解项目资金使用是否符合相关法律法规、制度和规定</w:t>
      </w:r>
      <w:r>
        <w:rPr>
          <w:rFonts w:hint="eastAsia" w:ascii="仿宋_GB2312"/>
          <w:lang w:eastAsia="zh-CN"/>
        </w:rPr>
        <w:t>，</w:t>
      </w:r>
      <w:r>
        <w:rPr>
          <w:rFonts w:hint="eastAsia" w:ascii="仿宋_GB2312"/>
        </w:rPr>
        <w:t>用以发现配套资金在资金使用的规范性和安全性上存在的问题。</w:t>
      </w:r>
    </w:p>
    <w:p>
      <w:pPr>
        <w:ind w:firstLine="640"/>
        <w:rPr>
          <w:rFonts w:ascii="仿宋_GB2312"/>
        </w:rPr>
      </w:pPr>
      <w:r>
        <w:rPr>
          <w:rFonts w:hint="eastAsia" w:ascii="仿宋_GB2312"/>
        </w:rPr>
        <w:t>三.合规性检查方法</w:t>
      </w:r>
    </w:p>
    <w:p>
      <w:pPr>
        <w:ind w:firstLine="640"/>
        <w:rPr>
          <w:rFonts w:ascii="仿宋_GB2312"/>
        </w:rPr>
      </w:pPr>
      <w:r>
        <w:rPr>
          <w:rFonts w:hint="eastAsia" w:ascii="仿宋_GB2312"/>
        </w:rPr>
        <w:t>本次合规性检查通过现场核查的方式开展</w:t>
      </w:r>
      <w:r>
        <w:rPr>
          <w:rFonts w:hint="eastAsia" w:ascii="仿宋_GB2312"/>
          <w:lang w:eastAsia="zh-CN"/>
        </w:rPr>
        <w:t>，</w:t>
      </w:r>
      <w:r>
        <w:rPr>
          <w:rFonts w:hint="eastAsia" w:ascii="仿宋_GB2312"/>
          <w:lang w:val="en-US" w:eastAsia="zh-CN"/>
        </w:rPr>
        <w:t>按照工作方案中的抽样结果，评价组对农机具补贴的215个品目开展实地调研，对于资金收支情况，按照不少于总资金30%进行抽查</w:t>
      </w:r>
      <w:r>
        <w:rPr>
          <w:rFonts w:hint="eastAsia" w:ascii="仿宋_GB2312"/>
        </w:rPr>
        <w:t>。</w:t>
      </w:r>
    </w:p>
    <w:p>
      <w:pPr>
        <w:ind w:firstLine="640"/>
        <w:rPr>
          <w:rFonts w:ascii="仿宋_GB2312"/>
        </w:rPr>
      </w:pPr>
      <w:r>
        <w:rPr>
          <w:rFonts w:hint="eastAsia" w:ascii="仿宋_GB2312"/>
        </w:rPr>
        <w:t>四、合规性检查情况</w:t>
      </w:r>
    </w:p>
    <w:p>
      <w:pPr>
        <w:ind w:firstLine="640"/>
        <w:rPr>
          <w:rFonts w:ascii="仿宋_GB2312"/>
        </w:rPr>
      </w:pPr>
      <w:r>
        <w:rPr>
          <w:rFonts w:hint="eastAsia" w:ascii="仿宋_GB2312"/>
        </w:rPr>
        <w:t>（一）资金拨付、支出情况</w:t>
      </w:r>
    </w:p>
    <w:p>
      <w:pPr>
        <w:ind w:firstLine="640"/>
        <w:rPr>
          <w:rFonts w:ascii="仿宋_GB2312"/>
        </w:rPr>
      </w:pPr>
      <w:r>
        <w:rPr>
          <w:rFonts w:hint="eastAsia" w:ascii="仿宋_GB2312"/>
        </w:rPr>
        <w:t>1.资金拨付</w:t>
      </w:r>
    </w:p>
    <w:p>
      <w:pPr>
        <w:ind w:firstLine="640"/>
        <w:rPr>
          <w:rFonts w:hint="eastAsia" w:ascii="仿宋_GB2312"/>
          <w:lang w:val="en-US" w:eastAsia="zh-CN"/>
        </w:rPr>
      </w:pPr>
      <w:r>
        <w:rPr>
          <w:rFonts w:hint="eastAsia" w:ascii="仿宋_GB2312"/>
          <w:lang w:val="en-US" w:eastAsia="zh-CN"/>
        </w:rPr>
        <w:t>项目于2022年6月27日古县财政局《关于下达2022年中央农业相关转移支付（农机购置补贴）资金的通知》（古财农〔2022〕44号）下达资金235万；</w:t>
      </w:r>
    </w:p>
    <w:p>
      <w:pPr>
        <w:ind w:firstLine="640"/>
        <w:rPr>
          <w:rFonts w:hint="eastAsia" w:ascii="仿宋_GB2312" w:cs="Times New Roman"/>
          <w:lang w:val="en-US" w:eastAsia="zh-CN"/>
        </w:rPr>
      </w:pPr>
      <w:r>
        <w:rPr>
          <w:rFonts w:hint="eastAsia" w:ascii="仿宋_GB2312"/>
          <w:lang w:val="en-US" w:eastAsia="zh-CN"/>
        </w:rPr>
        <w:t>2022年10月24日古县财政局《关于下达2022年第三批农业生产发展资金通知》（古财农〔2022〕122号）下达资金40万元</w:t>
      </w:r>
      <w:r>
        <w:rPr>
          <w:rFonts w:hint="eastAsia" w:ascii="仿宋_GB2312" w:cs="Times New Roman"/>
          <w:lang w:val="en-US" w:eastAsia="zh-CN"/>
        </w:rPr>
        <w:t>。</w:t>
      </w:r>
    </w:p>
    <w:p>
      <w:pPr>
        <w:ind w:firstLine="640"/>
        <w:rPr>
          <w:rFonts w:ascii="仿宋_GB2312"/>
        </w:rPr>
      </w:pPr>
      <w:r>
        <w:rPr>
          <w:rFonts w:hint="eastAsia" w:ascii="仿宋_GB2312" w:cs="Times New Roman"/>
          <w:lang w:val="en-US" w:eastAsia="zh-CN"/>
        </w:rPr>
        <w:t>共下达资金275万元。</w:t>
      </w:r>
    </w:p>
    <w:p>
      <w:pPr>
        <w:ind w:firstLine="640"/>
        <w:rPr>
          <w:rFonts w:ascii="仿宋_GB2312"/>
        </w:rPr>
      </w:pPr>
      <w:r>
        <w:rPr>
          <w:rFonts w:hint="eastAsia" w:ascii="仿宋_GB2312"/>
        </w:rPr>
        <w:t>2.项目支出</w:t>
      </w:r>
    </w:p>
    <w:p>
      <w:pPr>
        <w:ind w:firstLine="640"/>
        <w:rPr>
          <w:rFonts w:hint="eastAsia" w:ascii="仿宋_GB2312"/>
          <w:lang w:val="en-US" w:eastAsia="zh-CN"/>
        </w:rPr>
      </w:pPr>
      <w:r>
        <w:rPr>
          <w:rFonts w:hint="eastAsia" w:ascii="仿宋_GB2312" w:cs="Times New Roman"/>
          <w:lang w:val="en-US" w:eastAsia="zh-CN"/>
        </w:rPr>
        <w:t>2022</w:t>
      </w:r>
      <w:r>
        <w:rPr>
          <w:rFonts w:hint="eastAsia" w:ascii="仿宋_GB2312" w:hAnsi="Times New Roman" w:cs="Times New Roman"/>
          <w:lang w:val="en-US" w:eastAsia="zh-CN"/>
        </w:rPr>
        <w:t>项目</w:t>
      </w:r>
      <w:r>
        <w:rPr>
          <w:rFonts w:hint="eastAsia" w:ascii="仿宋_GB2312" w:cs="Times New Roman"/>
          <w:lang w:val="en-US" w:eastAsia="zh-CN"/>
        </w:rPr>
        <w:t>实际补贴资金273.7万元，本年结余1.3万元，已被财政收回。2022年8月5日支付资金235万元，2022年11月15日支付资金38.7万元；</w:t>
      </w:r>
      <w:r>
        <w:rPr>
          <w:rFonts w:hint="eastAsia" w:ascii="仿宋_GB2312" w:hAnsi="Times New Roman" w:cs="Times New Roman"/>
          <w:lang w:val="en-US" w:eastAsia="zh-CN"/>
        </w:rPr>
        <w:t>资金</w:t>
      </w:r>
      <w:r>
        <w:rPr>
          <w:rFonts w:hint="eastAsia" w:ascii="仿宋_GB2312" w:cs="Times New Roman"/>
          <w:lang w:val="en-US" w:eastAsia="zh-CN"/>
        </w:rPr>
        <w:t>全部</w:t>
      </w:r>
      <w:r>
        <w:rPr>
          <w:rFonts w:hint="eastAsia" w:ascii="仿宋_GB2312" w:hAnsi="Times New Roman" w:cs="Times New Roman"/>
          <w:lang w:val="en-US" w:eastAsia="zh-CN"/>
        </w:rPr>
        <w:t>为</w:t>
      </w:r>
      <w:r>
        <w:rPr>
          <w:rFonts w:hint="eastAsia" w:ascii="仿宋_GB2312" w:cs="Times New Roman"/>
          <w:lang w:val="en-US" w:eastAsia="zh-CN"/>
        </w:rPr>
        <w:t>农机具补贴项目。其中自走式玉米收获机40台，发放补贴资金133.91万元，占发放补贴资金总额的48.92%；旋耕机52台，发放补贴资金8.35万元，占发放补贴资金总额的3.05%；轮式拖拉机39台，发放补贴资金110.32万元，占发放补贴资金总额的40.31%；精量播种机54台，发放补贴资金8.48万元，占发放补贴资金总额的3.1%；其他机具30台套，发放补贴资金12.64万元，占发放补贴资金总额的4.62 %。</w:t>
      </w:r>
    </w:p>
    <w:p>
      <w:pPr>
        <w:ind w:firstLine="640"/>
        <w:rPr>
          <w:rFonts w:ascii="仿宋_GB2312"/>
        </w:rPr>
      </w:pPr>
      <w:r>
        <w:rPr>
          <w:rFonts w:hint="eastAsia" w:ascii="仿宋_GB2312"/>
        </w:rPr>
        <w:t>（二）财务管理</w:t>
      </w:r>
    </w:p>
    <w:p>
      <w:pPr>
        <w:ind w:firstLine="640"/>
        <w:rPr>
          <w:rFonts w:ascii="仿宋_GB2312"/>
        </w:rPr>
      </w:pPr>
      <w:r>
        <w:rPr>
          <w:rFonts w:hint="eastAsia" w:ascii="仿宋_GB2312"/>
        </w:rPr>
        <w:t>经过实地调查</w:t>
      </w:r>
      <w:r>
        <w:rPr>
          <w:rFonts w:hint="eastAsia" w:ascii="仿宋_GB2312"/>
          <w:lang w:eastAsia="zh-CN"/>
        </w:rPr>
        <w:t>，</w:t>
      </w:r>
      <w:r>
        <w:rPr>
          <w:rFonts w:hint="eastAsia" w:ascii="仿宋_GB2312"/>
        </w:rPr>
        <w:t>相关情况反映如下：</w:t>
      </w:r>
    </w:p>
    <w:p>
      <w:pPr>
        <w:ind w:firstLine="640"/>
        <w:rPr>
          <w:rFonts w:ascii="仿宋_GB2312"/>
        </w:rPr>
      </w:pPr>
      <w:r>
        <w:rPr>
          <w:rFonts w:hint="eastAsia" w:ascii="仿宋_GB2312"/>
          <w:lang w:eastAsia="zh-CN"/>
        </w:rPr>
        <w:t>古县农业农村局</w:t>
      </w:r>
      <w:r>
        <w:rPr>
          <w:rFonts w:hint="eastAsia" w:ascii="仿宋_GB2312"/>
        </w:rPr>
        <w:t>财务科各岗位不兼容</w:t>
      </w:r>
      <w:r>
        <w:rPr>
          <w:rFonts w:hint="eastAsia" w:ascii="仿宋_GB2312"/>
          <w:lang w:eastAsia="zh-CN"/>
        </w:rPr>
        <w:t>，</w:t>
      </w:r>
      <w:r>
        <w:rPr>
          <w:rFonts w:hint="eastAsia" w:ascii="仿宋_GB2312"/>
        </w:rPr>
        <w:t>记账</w:t>
      </w:r>
      <w:r>
        <w:rPr>
          <w:rFonts w:hint="eastAsia" w:ascii="仿宋_GB2312"/>
          <w:lang w:eastAsia="zh-CN"/>
        </w:rPr>
        <w:t>，</w:t>
      </w:r>
      <w:r>
        <w:rPr>
          <w:rFonts w:hint="eastAsia" w:ascii="仿宋_GB2312"/>
        </w:rPr>
        <w:t>报审、审批各司其职；资金支出有</w:t>
      </w:r>
      <w:r>
        <w:rPr>
          <w:rFonts w:hint="eastAsia" w:ascii="仿宋_GB2312"/>
          <w:lang w:val="en-US" w:eastAsia="zh-CN"/>
        </w:rPr>
        <w:t>主管</w:t>
      </w:r>
      <w:r>
        <w:rPr>
          <w:rFonts w:hint="eastAsia" w:ascii="仿宋_GB2312"/>
        </w:rPr>
        <w:t>单位项目负责人和财务负责人审核签字。</w:t>
      </w:r>
    </w:p>
    <w:p>
      <w:pPr>
        <w:ind w:firstLine="640"/>
        <w:rPr>
          <w:rFonts w:ascii="仿宋_GB2312"/>
        </w:rPr>
      </w:pPr>
      <w:r>
        <w:rPr>
          <w:rFonts w:hint="eastAsia" w:ascii="仿宋_GB2312"/>
        </w:rPr>
        <w:t>五、检查结论</w:t>
      </w:r>
    </w:p>
    <w:p>
      <w:pPr>
        <w:ind w:firstLine="640"/>
        <w:rPr>
          <w:rFonts w:hint="eastAsia" w:eastAsia="仿宋_GB2312"/>
          <w:lang w:eastAsia="zh-CN"/>
        </w:rPr>
      </w:pPr>
      <w:r>
        <w:rPr>
          <w:rFonts w:hint="eastAsia" w:ascii="仿宋_GB2312"/>
          <w:lang w:eastAsia="zh-CN"/>
        </w:rPr>
        <w:t>古县2022年农机具购置补贴项目</w:t>
      </w:r>
      <w:r>
        <w:rPr>
          <w:rFonts w:hint="eastAsia" w:ascii="仿宋_GB2312"/>
          <w:lang w:val="en-US" w:eastAsia="zh-CN"/>
        </w:rPr>
        <w:t>2022年</w:t>
      </w:r>
      <w:r>
        <w:rPr>
          <w:rFonts w:hint="eastAsia" w:ascii="仿宋_GB2312"/>
        </w:rPr>
        <w:t>财政拨付</w:t>
      </w:r>
      <w:r>
        <w:rPr>
          <w:rFonts w:hint="eastAsia" w:ascii="仿宋_GB2312"/>
          <w:lang w:val="en-US" w:eastAsia="zh-CN"/>
        </w:rPr>
        <w:t>275</w:t>
      </w:r>
      <w:r>
        <w:rPr>
          <w:rFonts w:hint="eastAsia" w:ascii="仿宋_GB2312"/>
        </w:rPr>
        <w:t>万元</w:t>
      </w:r>
      <w:r>
        <w:rPr>
          <w:rFonts w:hint="eastAsia" w:ascii="仿宋_GB2312"/>
          <w:lang w:eastAsia="zh-CN"/>
        </w:rPr>
        <w:t>，</w:t>
      </w:r>
      <w:r>
        <w:rPr>
          <w:rFonts w:hint="eastAsia" w:ascii="仿宋_GB2312"/>
        </w:rPr>
        <w:t>截止评价基准日（202</w:t>
      </w:r>
      <w:r>
        <w:rPr>
          <w:rFonts w:hint="eastAsia" w:ascii="仿宋_GB2312"/>
          <w:lang w:val="en-US" w:eastAsia="zh-CN"/>
        </w:rPr>
        <w:t>2</w:t>
      </w:r>
      <w:r>
        <w:rPr>
          <w:rFonts w:hint="eastAsia" w:ascii="仿宋_GB2312"/>
        </w:rPr>
        <w:t>年12月31日）</w:t>
      </w:r>
      <w:r>
        <w:rPr>
          <w:rFonts w:hint="eastAsia" w:ascii="仿宋_GB2312"/>
          <w:lang w:eastAsia="zh-CN"/>
        </w:rPr>
        <w:t>，</w:t>
      </w:r>
      <w:r>
        <w:rPr>
          <w:rFonts w:hint="eastAsia" w:ascii="仿宋_GB2312"/>
        </w:rPr>
        <w:t>实际支出金额为</w:t>
      </w:r>
      <w:r>
        <w:rPr>
          <w:rFonts w:hint="eastAsia" w:ascii="仿宋_GB2312"/>
          <w:lang w:val="en-US" w:eastAsia="zh-CN"/>
        </w:rPr>
        <w:t>273.7</w:t>
      </w:r>
      <w:r>
        <w:rPr>
          <w:rFonts w:hint="eastAsia" w:ascii="仿宋_GB2312"/>
        </w:rPr>
        <w:t>万元</w:t>
      </w:r>
      <w:r>
        <w:rPr>
          <w:rFonts w:hint="eastAsia" w:ascii="仿宋_GB2312"/>
          <w:lang w:eastAsia="zh-CN"/>
        </w:rPr>
        <w:t>。</w:t>
      </w:r>
    </w:p>
    <w:p>
      <w:pPr>
        <w:ind w:firstLine="0" w:firstLineChars="0"/>
        <w:rPr>
          <w:bCs/>
          <w:szCs w:val="32"/>
        </w:rPr>
        <w:sectPr>
          <w:pgSz w:w="11906" w:h="16838"/>
          <w:pgMar w:top="1440" w:right="1800" w:bottom="1440" w:left="1800" w:header="851" w:footer="992" w:gutter="0"/>
          <w:pgNumType w:fmt="decimal"/>
          <w:cols w:space="425" w:num="1"/>
          <w:docGrid w:type="lines" w:linePitch="312" w:charSpace="0"/>
        </w:sectPr>
      </w:pPr>
    </w:p>
    <w:p>
      <w:pPr>
        <w:pStyle w:val="7"/>
        <w:spacing w:beforeLines="100" w:afterLines="100"/>
        <w:ind w:firstLine="0" w:firstLineChars="0"/>
        <w:jc w:val="center"/>
        <w:rPr>
          <w:rFonts w:ascii="方正小标宋简体" w:eastAsia="方正小标宋简体"/>
          <w:bCs/>
          <w:sz w:val="36"/>
          <w:szCs w:val="36"/>
        </w:rPr>
      </w:pPr>
      <w:r>
        <w:rPr>
          <w:rFonts w:hint="eastAsia" w:ascii="方正小标宋简体" w:eastAsia="方正小标宋简体"/>
          <w:bCs/>
          <w:sz w:val="36"/>
          <w:szCs w:val="36"/>
        </w:rPr>
        <w:t>合规性检查表</w:t>
      </w:r>
    </w:p>
    <w:tbl>
      <w:tblPr>
        <w:tblStyle w:val="20"/>
        <w:tblW w:w="4997"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365"/>
        <w:gridCol w:w="7155"/>
        <w:gridCol w:w="3253"/>
        <w:gridCol w:w="239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blHeader/>
          <w:jc w:val="center"/>
        </w:trPr>
        <w:tc>
          <w:tcPr>
            <w:tcW w:w="482"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项目</w:t>
            </w:r>
          </w:p>
        </w:tc>
        <w:tc>
          <w:tcPr>
            <w:tcW w:w="2525"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需提供资料</w:t>
            </w:r>
          </w:p>
        </w:tc>
        <w:tc>
          <w:tcPr>
            <w:tcW w:w="1148"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检查内容</w:t>
            </w:r>
          </w:p>
        </w:tc>
        <w:tc>
          <w:tcPr>
            <w:tcW w:w="844"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是否提供有效原件（√/×）</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vMerge w:val="restar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资金拨付</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项目资金的申请资料（项目经费调整申请及批复）</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是否有资金申请报告、</w:t>
            </w:r>
          </w:p>
          <w:p>
            <w:pPr>
              <w:widowControl/>
              <w:snapToGrid w:val="0"/>
              <w:spacing w:line="240" w:lineRule="auto"/>
              <w:ind w:firstLine="0" w:firstLineChars="0"/>
              <w:jc w:val="left"/>
              <w:rPr>
                <w:rFonts w:ascii="仿宋_GB2312"/>
                <w:kern w:val="0"/>
                <w:sz w:val="24"/>
              </w:rPr>
            </w:pPr>
            <w:r>
              <w:rPr>
                <w:rFonts w:hint="eastAsia" w:ascii="仿宋_GB2312"/>
                <w:kern w:val="0"/>
                <w:sz w:val="24"/>
              </w:rPr>
              <w:t>资金调整情况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2"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财政资金下达通知及相关文件</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资金拨付是否合规</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3"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资金到账的会计账页、记账凭证及附件</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资金拨付明细</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资金支出</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专项资金核算科目的会计账页、支付凭证、资金支出明细、重大项目开支的审批资料</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资金使用是否合规</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4" w:hRule="atLeast"/>
          <w:jc w:val="center"/>
        </w:trPr>
        <w:tc>
          <w:tcPr>
            <w:tcW w:w="482" w:type="pct"/>
            <w:vMerge w:val="restar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财务管理</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专项资金管理制度或相关财务管理办法等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财务管理制度是否健全</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资金监控制度（措施）、记录或文件（专项审计报告）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资金监管情况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4" w:hRule="atLeast"/>
          <w:jc w:val="center"/>
        </w:trPr>
        <w:tc>
          <w:tcPr>
            <w:tcW w:w="482" w:type="pct"/>
            <w:vMerge w:val="restart"/>
            <w:shd w:val="clear" w:color="auto" w:fill="auto"/>
            <w:vAlign w:val="center"/>
          </w:tcPr>
          <w:p>
            <w:pPr>
              <w:snapToGrid w:val="0"/>
              <w:spacing w:line="240" w:lineRule="auto"/>
              <w:ind w:firstLine="0" w:firstLineChars="0"/>
              <w:jc w:val="center"/>
              <w:rPr>
                <w:rFonts w:ascii="仿宋_GB2312"/>
                <w:kern w:val="0"/>
                <w:sz w:val="24"/>
              </w:rPr>
            </w:pPr>
            <w:r>
              <w:rPr>
                <w:rFonts w:hint="eastAsia" w:ascii="仿宋_GB2312"/>
                <w:kern w:val="0"/>
                <w:sz w:val="24"/>
              </w:rPr>
              <w:t>项目管理</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立项背景、依据文件、申请及批复</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项目立项的规范性</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vMerge w:val="continue"/>
            <w:shd w:val="clear" w:color="auto" w:fill="auto"/>
            <w:vAlign w:val="center"/>
          </w:tcPr>
          <w:p>
            <w:pPr>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项目管理机构成立证明资料、项目实施方案、部门沟通、协商机制（各自职责、协作制度等）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保障项目实施的相关管理机构和制度</w:t>
            </w:r>
          </w:p>
        </w:tc>
        <w:tc>
          <w:tcPr>
            <w:tcW w:w="844" w:type="pct"/>
            <w:shd w:val="clear" w:color="auto" w:fill="auto"/>
            <w:vAlign w:val="center"/>
          </w:tcPr>
          <w:p>
            <w:pPr>
              <w:widowControl/>
              <w:snapToGrid w:val="0"/>
              <w:spacing w:line="240" w:lineRule="auto"/>
              <w:ind w:firstLine="0" w:firstLineChars="0"/>
              <w:jc w:val="center"/>
              <w:rPr>
                <w:rFonts w:hint="default" w:ascii="仿宋_GB2312" w:eastAsia="仿宋_GB2312"/>
                <w:kern w:val="0"/>
                <w:sz w:val="24"/>
                <w:lang w:val="en-US"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项目管理制度文件（项目管理制度或相关管理办法等）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项目管理是否规范</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4"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项目资料归档的相关资料</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项目档案管理情况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4"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项目监督制度、记录或文件、项目检查验收报告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项目监管情况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工作总结</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项目绩效目标完成情况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自评报告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项目绩效目标完成情况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b/>
                <w:bCs/>
                <w:kern w:val="0"/>
                <w:sz w:val="24"/>
                <w:lang w:eastAsia="zh-CN"/>
              </w:rPr>
            </w:pPr>
            <w:r>
              <w:rPr>
                <w:rFonts w:hint="eastAsia" w:ascii="仿宋_GB2312"/>
                <w:b/>
                <w:bCs/>
                <w:kern w:val="0"/>
                <w:sz w:val="24"/>
                <w:lang w:val="en-US" w:eastAsia="zh-CN"/>
              </w:rPr>
              <w:t>√</w:t>
            </w:r>
          </w:p>
        </w:tc>
      </w:tr>
    </w:tbl>
    <w:p>
      <w:pPr>
        <w:ind w:firstLine="0" w:firstLineChars="0"/>
        <w:sectPr>
          <w:pgSz w:w="16838" w:h="11906" w:orient="landscape"/>
          <w:pgMar w:top="1800" w:right="1440" w:bottom="1800" w:left="1440" w:header="851" w:footer="992" w:gutter="0"/>
          <w:pgNumType w:fmt="decimal"/>
          <w:cols w:space="425" w:num="1"/>
          <w:docGrid w:type="lines" w:linePitch="312" w:charSpace="0"/>
        </w:sectPr>
      </w:pPr>
    </w:p>
    <w:p>
      <w:pPr>
        <w:pStyle w:val="3"/>
        <w:spacing w:before="120" w:after="120"/>
        <w:ind w:firstLine="0" w:firstLineChars="0"/>
        <w:rPr>
          <w:rFonts w:hint="eastAsia" w:ascii="黑体" w:hAnsi="黑体"/>
          <w:b w:val="0"/>
          <w:bCs w:val="0"/>
        </w:rPr>
      </w:pPr>
      <w:bookmarkStart w:id="76" w:name="_Toc20057"/>
      <w:r>
        <w:rPr>
          <w:rFonts w:hint="eastAsia" w:ascii="黑体" w:hAnsi="黑体" w:eastAsia="仿宋_GB2312"/>
          <w:b w:val="0"/>
          <w:bCs w:val="0"/>
          <w:lang w:eastAsia="zh-CN"/>
        </w:rPr>
        <w:drawing>
          <wp:anchor distT="0" distB="0" distL="114300" distR="114300" simplePos="0" relativeHeight="251659264" behindDoc="0" locked="0" layoutInCell="1" allowOverlap="1">
            <wp:simplePos x="0" y="0"/>
            <wp:positionH relativeFrom="column">
              <wp:posOffset>97790</wp:posOffset>
            </wp:positionH>
            <wp:positionV relativeFrom="paragraph">
              <wp:posOffset>533400</wp:posOffset>
            </wp:positionV>
            <wp:extent cx="5274310" cy="3954145"/>
            <wp:effectExtent l="0" t="0" r="8890" b="8255"/>
            <wp:wrapNone/>
            <wp:docPr id="8" name="图片 8" descr="7c67062c1a9be372830f8eb4aed02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c67062c1a9be372830f8eb4aed02f9"/>
                    <pic:cNvPicPr>
                      <a:picLocks noChangeAspect="1"/>
                    </pic:cNvPicPr>
                  </pic:nvPicPr>
                  <pic:blipFill>
                    <a:blip r:embed="rId10"/>
                    <a:stretch>
                      <a:fillRect/>
                    </a:stretch>
                  </pic:blipFill>
                  <pic:spPr>
                    <a:xfrm>
                      <a:off x="0" y="0"/>
                      <a:ext cx="5274310" cy="3954145"/>
                    </a:xfrm>
                    <a:prstGeom prst="rect">
                      <a:avLst/>
                    </a:prstGeom>
                  </pic:spPr>
                </pic:pic>
              </a:graphicData>
            </a:graphic>
          </wp:anchor>
        </w:drawing>
      </w:r>
      <w:r>
        <w:rPr>
          <w:rFonts w:hint="eastAsia" w:ascii="黑体" w:hAnsi="黑体"/>
        </w:rPr>
        <w:t>附件</w:t>
      </w:r>
      <w:r>
        <w:rPr>
          <w:rFonts w:hint="eastAsia" w:ascii="黑体" w:hAnsi="黑体"/>
          <w:lang w:val="en-US" w:eastAsia="zh-CN"/>
        </w:rPr>
        <w:t>6 ：</w:t>
      </w:r>
      <w:bookmarkEnd w:id="76"/>
      <w:bookmarkStart w:id="77" w:name="_Toc31020"/>
      <w:r>
        <w:rPr>
          <w:rFonts w:hint="eastAsia" w:ascii="黑体" w:hAnsi="黑体"/>
          <w:lang w:val="en-US" w:eastAsia="zh-CN"/>
        </w:rPr>
        <w:t>现场勘查</w:t>
      </w:r>
      <w:r>
        <w:rPr>
          <w:rFonts w:hint="eastAsia" w:ascii="黑体" w:hAnsi="黑体"/>
          <w:b w:val="0"/>
          <w:bCs w:val="0"/>
        </w:rPr>
        <w:t>照片</w:t>
      </w:r>
      <w:bookmarkEnd w:id="77"/>
    </w:p>
    <w:p>
      <w:pPr>
        <w:rPr>
          <w:rFonts w:hint="eastAsia" w:ascii="黑体" w:hAnsi="黑体" w:eastAsia="仿宋_GB2312"/>
          <w:b w:val="0"/>
          <w:bCs w:val="0"/>
          <w:lang w:eastAsia="zh-CN"/>
        </w:rPr>
      </w:pPr>
    </w:p>
    <w:p>
      <w:pPr>
        <w:pStyle w:val="2"/>
        <w:rPr>
          <w:rFonts w:hint="eastAsia" w:ascii="黑体" w:hAnsi="黑体"/>
          <w:b w:val="0"/>
          <w:bCs w:val="0"/>
        </w:rPr>
      </w:pPr>
    </w:p>
    <w:p>
      <w:pPr>
        <w:rPr>
          <w:rFonts w:hint="eastAsia" w:ascii="黑体" w:hAnsi="黑体"/>
          <w:b w:val="0"/>
          <w:bCs w:val="0"/>
        </w:rPr>
      </w:pPr>
    </w:p>
    <w:p>
      <w:pPr>
        <w:pStyle w:val="2"/>
        <w:rPr>
          <w:rFonts w:hint="eastAsia" w:ascii="黑体" w:hAnsi="黑体"/>
          <w:b w:val="0"/>
          <w:bCs w:val="0"/>
        </w:rPr>
      </w:pPr>
    </w:p>
    <w:p>
      <w:pPr>
        <w:rPr>
          <w:rFonts w:hint="eastAsia" w:ascii="黑体" w:hAnsi="黑体"/>
          <w:b w:val="0"/>
          <w:bCs w:val="0"/>
        </w:rPr>
      </w:pPr>
    </w:p>
    <w:p>
      <w:pPr>
        <w:pStyle w:val="2"/>
        <w:rPr>
          <w:rFonts w:hint="eastAsia" w:ascii="黑体" w:hAnsi="黑体"/>
          <w:b w:val="0"/>
          <w:bCs w:val="0"/>
        </w:rPr>
      </w:pPr>
    </w:p>
    <w:p>
      <w:pPr>
        <w:rPr>
          <w:rFonts w:hint="eastAsia" w:ascii="黑体" w:hAnsi="黑体"/>
          <w:b w:val="0"/>
          <w:bCs w:val="0"/>
        </w:rPr>
      </w:pPr>
    </w:p>
    <w:p>
      <w:pPr>
        <w:pStyle w:val="2"/>
        <w:rPr>
          <w:rFonts w:hint="eastAsia" w:ascii="黑体" w:hAnsi="黑体"/>
          <w:b w:val="0"/>
          <w:bCs w:val="0"/>
        </w:rPr>
      </w:pPr>
    </w:p>
    <w:p>
      <w:pPr>
        <w:rPr>
          <w:rFonts w:hint="eastAsia" w:ascii="黑体" w:hAnsi="黑体"/>
          <w:b w:val="0"/>
          <w:bCs w:val="0"/>
        </w:rPr>
      </w:pPr>
    </w:p>
    <w:p>
      <w:pPr>
        <w:pStyle w:val="2"/>
        <w:rPr>
          <w:rFonts w:hint="eastAsia" w:ascii="黑体" w:hAnsi="黑体"/>
          <w:b w:val="0"/>
          <w:bCs w:val="0"/>
        </w:rPr>
      </w:pPr>
    </w:p>
    <w:p>
      <w:pPr>
        <w:rPr>
          <w:rFonts w:hint="eastAsia"/>
          <w:lang w:eastAsia="zh-CN"/>
        </w:rPr>
      </w:pPr>
      <w:r>
        <w:rPr>
          <w:rFonts w:hint="eastAsia"/>
          <w:lang w:eastAsia="zh-CN"/>
        </w:rPr>
        <w:drawing>
          <wp:anchor distT="0" distB="0" distL="114300" distR="114300" simplePos="0" relativeHeight="251660288" behindDoc="0" locked="0" layoutInCell="1" allowOverlap="1">
            <wp:simplePos x="0" y="0"/>
            <wp:positionH relativeFrom="column">
              <wp:posOffset>94615</wp:posOffset>
            </wp:positionH>
            <wp:positionV relativeFrom="paragraph">
              <wp:posOffset>17780</wp:posOffset>
            </wp:positionV>
            <wp:extent cx="5274310" cy="3954145"/>
            <wp:effectExtent l="0" t="0" r="8890" b="8255"/>
            <wp:wrapNone/>
            <wp:docPr id="9" name="图片 9" descr="4148cb1a22cb1e8969cdef6e99d69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4148cb1a22cb1e8969cdef6e99d69b0"/>
                    <pic:cNvPicPr>
                      <a:picLocks noChangeAspect="1"/>
                    </pic:cNvPicPr>
                  </pic:nvPicPr>
                  <pic:blipFill>
                    <a:blip r:embed="rId11"/>
                    <a:stretch>
                      <a:fillRect/>
                    </a:stretch>
                  </pic:blipFill>
                  <pic:spPr>
                    <a:xfrm>
                      <a:off x="0" y="0"/>
                      <a:ext cx="5274310" cy="3954145"/>
                    </a:xfrm>
                    <a:prstGeom prst="rect">
                      <a:avLst/>
                    </a:prstGeom>
                  </pic:spPr>
                </pic:pic>
              </a:graphicData>
            </a:graphic>
          </wp:anchor>
        </w:drawing>
      </w: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r>
        <w:rPr>
          <w:rFonts w:hint="eastAsia"/>
          <w:lang w:eastAsia="zh-CN"/>
        </w:rPr>
        <w:drawing>
          <wp:anchor distT="0" distB="0" distL="114300" distR="114300" simplePos="0" relativeHeight="251661312" behindDoc="0" locked="0" layoutInCell="1" allowOverlap="1">
            <wp:simplePos x="0" y="0"/>
            <wp:positionH relativeFrom="column">
              <wp:posOffset>65405</wp:posOffset>
            </wp:positionH>
            <wp:positionV relativeFrom="paragraph">
              <wp:posOffset>161290</wp:posOffset>
            </wp:positionV>
            <wp:extent cx="5274310" cy="3954145"/>
            <wp:effectExtent l="0" t="0" r="8890" b="8255"/>
            <wp:wrapNone/>
            <wp:docPr id="10" name="图片 10" descr="8908a9c632febbe70e75b9e5e5f94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908a9c632febbe70e75b9e5e5f94c8"/>
                    <pic:cNvPicPr>
                      <a:picLocks noChangeAspect="1"/>
                    </pic:cNvPicPr>
                  </pic:nvPicPr>
                  <pic:blipFill>
                    <a:blip r:embed="rId12"/>
                    <a:stretch>
                      <a:fillRect/>
                    </a:stretch>
                  </pic:blipFill>
                  <pic:spPr>
                    <a:xfrm>
                      <a:off x="0" y="0"/>
                      <a:ext cx="5274310" cy="3954145"/>
                    </a:xfrm>
                    <a:prstGeom prst="rect">
                      <a:avLst/>
                    </a:prstGeom>
                  </pic:spPr>
                </pic:pic>
              </a:graphicData>
            </a:graphic>
          </wp:anchor>
        </w:drawing>
      </w: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r>
        <w:rPr>
          <w:rFonts w:hint="eastAsia"/>
          <w:lang w:eastAsia="zh-CN"/>
        </w:rPr>
        <w:drawing>
          <wp:anchor distT="0" distB="0" distL="114300" distR="114300" simplePos="0" relativeHeight="251662336" behindDoc="0" locked="0" layoutInCell="1" allowOverlap="1">
            <wp:simplePos x="0" y="0"/>
            <wp:positionH relativeFrom="column">
              <wp:posOffset>64770</wp:posOffset>
            </wp:positionH>
            <wp:positionV relativeFrom="paragraph">
              <wp:posOffset>229870</wp:posOffset>
            </wp:positionV>
            <wp:extent cx="5274310" cy="3954145"/>
            <wp:effectExtent l="0" t="0" r="8890" b="8255"/>
            <wp:wrapNone/>
            <wp:docPr id="11" name="图片 11" descr="d3913f3aca2221e3b328beae3ffcd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3913f3aca2221e3b328beae3ffcd1e"/>
                    <pic:cNvPicPr>
                      <a:picLocks noChangeAspect="1"/>
                    </pic:cNvPicPr>
                  </pic:nvPicPr>
                  <pic:blipFill>
                    <a:blip r:embed="rId13"/>
                    <a:stretch>
                      <a:fillRect/>
                    </a:stretch>
                  </pic:blipFill>
                  <pic:spPr>
                    <a:xfrm>
                      <a:off x="0" y="0"/>
                      <a:ext cx="5274310" cy="3954145"/>
                    </a:xfrm>
                    <a:prstGeom prst="rect">
                      <a:avLst/>
                    </a:prstGeom>
                  </pic:spPr>
                </pic:pic>
              </a:graphicData>
            </a:graphic>
          </wp:anchor>
        </w:drawing>
      </w: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rPr>
          <w:rFonts w:hint="eastAsia"/>
          <w:lang w:eastAsia="zh-CN"/>
        </w:rPr>
      </w:pPr>
    </w:p>
    <w:p>
      <w:pPr>
        <w:pStyle w:val="2"/>
        <w:rPr>
          <w:rFonts w:hint="eastAsia"/>
          <w:lang w:eastAsia="zh-CN"/>
        </w:rPr>
      </w:pPr>
    </w:p>
    <w:p>
      <w:pPr>
        <w:ind w:left="0" w:leftChars="0" w:firstLine="0" w:firstLineChars="0"/>
        <w:rPr>
          <w:rFonts w:hint="eastAsia"/>
          <w:lang w:eastAsia="zh-CN"/>
        </w:rPr>
      </w:pPr>
    </w:p>
    <w:sectPr>
      <w:pgSz w:w="11906" w:h="16838"/>
      <w:pgMar w:top="1440" w:right="1800" w:bottom="1440" w:left="1800"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Lucida Console">
    <w:panose1 w:val="020B0609040504020204"/>
    <w:charset w:val="00"/>
    <w:family w:val="modern"/>
    <w:pitch w:val="default"/>
    <w:sig w:usb0="8000028F" w:usb1="00001800" w:usb2="00000000" w:usb3="00000000" w:csb0="0000001F" w:csb1="D7D70000"/>
  </w:font>
  <w:font w:name="仿宋">
    <w:panose1 w:val="02010609060101010101"/>
    <w:charset w:val="86"/>
    <w:family w:val="auto"/>
    <w:pitch w:val="default"/>
    <w:sig w:usb0="800002BF" w:usb1="38CF7CFA" w:usb2="00000016" w:usb3="00000000" w:csb0="00040001" w:csb1="00000000"/>
  </w:font>
  <w:font w:name="Times New Roman Regular">
    <w:altName w:val="Times New Roman"/>
    <w:panose1 w:val="00000000000000000000"/>
    <w:charset w:val="00"/>
    <w:family w:val="auto"/>
    <w:pitch w:val="default"/>
    <w:sig w:usb0="00000000" w:usb1="00000000" w:usb2="00000001" w:usb3="00000000" w:csb0="400001BF" w:csb1="DFF70000"/>
  </w:font>
  <w:font w:name="方正小标宋简体">
    <w:altName w:val="黑体"/>
    <w:panose1 w:val="03000509000000000000"/>
    <w:charset w:val="86"/>
    <w:family w:val="script"/>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sdt>
      <w:sdtPr>
        <w:id w:val="97075813"/>
      </w:sdtP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97075813"/>
                          </w:sdtPr>
                          <w:sdtContent>
                            <w:p>
                              <w:pPr>
                                <w:pStyle w:val="13"/>
                                <w:ind w:firstLine="360"/>
                                <w:jc w:val="center"/>
                              </w:pPr>
                              <w:r>
                                <w:fldChar w:fldCharType="begin"/>
                              </w:r>
                              <w:r>
                                <w:instrText xml:space="preserve"> PAGE   \* MERGEFORMAT </w:instrText>
                              </w:r>
                              <w:r>
                                <w:fldChar w:fldCharType="separate"/>
                              </w:r>
                              <w:r>
                                <w:t>62</w:t>
                              </w:r>
                              <w:r>
                                <w:rPr>
                                  <w:lang w:val="zh-CN"/>
                                </w:rPr>
                                <w:fldChar w:fldCharType="end"/>
                              </w:r>
                            </w:p>
                          </w:sdtContent>
                        </w:sdt>
                        <w:p>
                          <w:pPr>
                            <w:pStyle w:val="2"/>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sdt>
                    <w:sdtPr>
                      <w:id w:val="97075813"/>
                    </w:sdtPr>
                    <w:sdtContent>
                      <w:p>
                        <w:pPr>
                          <w:pStyle w:val="13"/>
                          <w:ind w:firstLine="360"/>
                          <w:jc w:val="center"/>
                        </w:pPr>
                        <w:r>
                          <w:fldChar w:fldCharType="begin"/>
                        </w:r>
                        <w:r>
                          <w:instrText xml:space="preserve"> PAGE   \* MERGEFORMAT </w:instrText>
                        </w:r>
                        <w:r>
                          <w:fldChar w:fldCharType="separate"/>
                        </w:r>
                        <w:r>
                          <w:t>62</w:t>
                        </w:r>
                        <w:r>
                          <w:rPr>
                            <w:lang w:val="zh-CN"/>
                          </w:rPr>
                          <w:fldChar w:fldCharType="end"/>
                        </w:r>
                      </w:p>
                    </w:sdtContent>
                  </w:sdt>
                  <w:p>
                    <w:pPr>
                      <w:pStyle w:val="2"/>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tabs>
        <w:tab w:val="clear" w:pos="4153"/>
      </w:tabs>
      <w:spacing w:line="240" w:lineRule="auto"/>
      <w:ind w:firstLine="0" w:firstLineChars="0"/>
      <w:jc w:val="right"/>
      <w:rPr>
        <w:rFonts w:eastAsia="仿宋"/>
        <w:i/>
      </w:rPr>
    </w:pPr>
    <w:r>
      <w:rPr>
        <w:rFonts w:hint="eastAsia" w:eastAsia="仿宋"/>
        <w:i/>
        <w:sz w:val="20"/>
      </w:rPr>
      <w:t xml:space="preserve"> </w:t>
    </w:r>
    <w:r>
      <w:rPr>
        <w:rFonts w:hint="eastAsia" w:eastAsia="仿宋"/>
        <w:i w:val="0"/>
        <w:iCs/>
        <w:sz w:val="2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4" w:space="1"/>
      </w:pBdr>
      <w:tabs>
        <w:tab w:val="clear" w:pos="4153"/>
      </w:tabs>
      <w:spacing w:line="240" w:lineRule="auto"/>
      <w:ind w:firstLine="0" w:firstLineChars="0"/>
      <w:jc w:val="right"/>
      <w:rPr>
        <w:rFonts w:eastAsia="仿宋"/>
        <w:i/>
      </w:rPr>
    </w:pPr>
    <w:r>
      <w:rPr>
        <w:rFonts w:hint="eastAsia" w:eastAsia="仿宋"/>
        <w:i/>
        <w:sz w:val="20"/>
      </w:rPr>
      <w:t xml:space="preserve"> </w:t>
    </w:r>
    <w:r>
      <w:rPr>
        <w:rFonts w:hint="eastAsia" w:eastAsia="仿宋"/>
        <w:i w:val="0"/>
        <w:iCs/>
        <w:sz w:val="20"/>
      </w:rPr>
      <w:t xml:space="preserve"> </w:t>
    </w:r>
    <w:r>
      <w:rPr>
        <w:rFonts w:hint="eastAsia" w:eastAsia="仿宋"/>
        <w:i w:val="0"/>
        <w:iCs/>
        <w:sz w:val="20"/>
        <w:lang w:val="en-US" w:eastAsia="zh-CN"/>
      </w:rPr>
      <w:t>古县2022年农机具购置补贴</w:t>
    </w:r>
    <w:r>
      <w:rPr>
        <w:rFonts w:hint="eastAsia" w:eastAsia="仿宋"/>
        <w:i w:val="0"/>
        <w:iCs/>
        <w:sz w:val="20"/>
      </w:rPr>
      <w:t>项目绩效评价报告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D4B12D4"/>
    <w:multiLevelType w:val="singleLevel"/>
    <w:tmpl w:val="FD4B12D4"/>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Q3NzkxYWMxOWZhNmNmMTIyODdkZmE2Y2IzOTg1MzkifQ=="/>
  </w:docVars>
  <w:rsids>
    <w:rsidRoot w:val="37A670C2"/>
    <w:rsid w:val="000022DB"/>
    <w:rsid w:val="00006226"/>
    <w:rsid w:val="00013429"/>
    <w:rsid w:val="000245E4"/>
    <w:rsid w:val="00026136"/>
    <w:rsid w:val="000266C3"/>
    <w:rsid w:val="00040485"/>
    <w:rsid w:val="00041582"/>
    <w:rsid w:val="00041A10"/>
    <w:rsid w:val="00045171"/>
    <w:rsid w:val="00046AC5"/>
    <w:rsid w:val="0004734A"/>
    <w:rsid w:val="00050765"/>
    <w:rsid w:val="00052C5E"/>
    <w:rsid w:val="00060C5C"/>
    <w:rsid w:val="000631C8"/>
    <w:rsid w:val="00063744"/>
    <w:rsid w:val="000710BE"/>
    <w:rsid w:val="00071D54"/>
    <w:rsid w:val="000723F3"/>
    <w:rsid w:val="000725DE"/>
    <w:rsid w:val="00076F0B"/>
    <w:rsid w:val="00077C6A"/>
    <w:rsid w:val="0008206A"/>
    <w:rsid w:val="00086127"/>
    <w:rsid w:val="000A5844"/>
    <w:rsid w:val="000A772A"/>
    <w:rsid w:val="000B33BD"/>
    <w:rsid w:val="000B5AF2"/>
    <w:rsid w:val="000C060F"/>
    <w:rsid w:val="000C2D31"/>
    <w:rsid w:val="000C576B"/>
    <w:rsid w:val="000C598A"/>
    <w:rsid w:val="000C7FF0"/>
    <w:rsid w:val="000D160A"/>
    <w:rsid w:val="000D5878"/>
    <w:rsid w:val="000D7D2A"/>
    <w:rsid w:val="000E1379"/>
    <w:rsid w:val="000E166C"/>
    <w:rsid w:val="000F760C"/>
    <w:rsid w:val="00101687"/>
    <w:rsid w:val="001246B2"/>
    <w:rsid w:val="0012716D"/>
    <w:rsid w:val="00127B7C"/>
    <w:rsid w:val="001301F9"/>
    <w:rsid w:val="001371C1"/>
    <w:rsid w:val="0014231A"/>
    <w:rsid w:val="00143082"/>
    <w:rsid w:val="001463B5"/>
    <w:rsid w:val="00146BB2"/>
    <w:rsid w:val="0014725F"/>
    <w:rsid w:val="0016171B"/>
    <w:rsid w:val="001658F8"/>
    <w:rsid w:val="00171192"/>
    <w:rsid w:val="00171D5A"/>
    <w:rsid w:val="00172961"/>
    <w:rsid w:val="00174674"/>
    <w:rsid w:val="00175097"/>
    <w:rsid w:val="00185F79"/>
    <w:rsid w:val="00186A2E"/>
    <w:rsid w:val="00192768"/>
    <w:rsid w:val="001A177A"/>
    <w:rsid w:val="001B3576"/>
    <w:rsid w:val="001B35FE"/>
    <w:rsid w:val="001B3C64"/>
    <w:rsid w:val="001B482A"/>
    <w:rsid w:val="001B5682"/>
    <w:rsid w:val="001B6F05"/>
    <w:rsid w:val="001C4131"/>
    <w:rsid w:val="001C5F95"/>
    <w:rsid w:val="001C7E22"/>
    <w:rsid w:val="001D1D3A"/>
    <w:rsid w:val="001D3221"/>
    <w:rsid w:val="001D460F"/>
    <w:rsid w:val="001D57E4"/>
    <w:rsid w:val="001D7D9B"/>
    <w:rsid w:val="001E237C"/>
    <w:rsid w:val="001E269E"/>
    <w:rsid w:val="001E6135"/>
    <w:rsid w:val="001F02A6"/>
    <w:rsid w:val="001F510C"/>
    <w:rsid w:val="001F7B89"/>
    <w:rsid w:val="00203E72"/>
    <w:rsid w:val="00222381"/>
    <w:rsid w:val="00223C2E"/>
    <w:rsid w:val="00226119"/>
    <w:rsid w:val="00231C29"/>
    <w:rsid w:val="002373B6"/>
    <w:rsid w:val="00242414"/>
    <w:rsid w:val="0024606D"/>
    <w:rsid w:val="002537FD"/>
    <w:rsid w:val="0025602A"/>
    <w:rsid w:val="00256ADB"/>
    <w:rsid w:val="00256B1E"/>
    <w:rsid w:val="0026040C"/>
    <w:rsid w:val="00264C26"/>
    <w:rsid w:val="002716D4"/>
    <w:rsid w:val="00272C04"/>
    <w:rsid w:val="00272CB0"/>
    <w:rsid w:val="002738BB"/>
    <w:rsid w:val="00281ABC"/>
    <w:rsid w:val="00284F2D"/>
    <w:rsid w:val="00285E62"/>
    <w:rsid w:val="0028661E"/>
    <w:rsid w:val="00290086"/>
    <w:rsid w:val="00290B7F"/>
    <w:rsid w:val="002A5880"/>
    <w:rsid w:val="002A6959"/>
    <w:rsid w:val="002A7410"/>
    <w:rsid w:val="002B1108"/>
    <w:rsid w:val="002B11F2"/>
    <w:rsid w:val="002B1D5A"/>
    <w:rsid w:val="002C02C0"/>
    <w:rsid w:val="002C104C"/>
    <w:rsid w:val="002C6518"/>
    <w:rsid w:val="002D0E39"/>
    <w:rsid w:val="002D72DA"/>
    <w:rsid w:val="002D79E1"/>
    <w:rsid w:val="002E1F6F"/>
    <w:rsid w:val="002E7C2F"/>
    <w:rsid w:val="002F24D8"/>
    <w:rsid w:val="002F43F7"/>
    <w:rsid w:val="002F480E"/>
    <w:rsid w:val="002F76BC"/>
    <w:rsid w:val="00301BBB"/>
    <w:rsid w:val="0030231D"/>
    <w:rsid w:val="003027BC"/>
    <w:rsid w:val="00307660"/>
    <w:rsid w:val="003143AA"/>
    <w:rsid w:val="00324EBE"/>
    <w:rsid w:val="0032728D"/>
    <w:rsid w:val="00330A16"/>
    <w:rsid w:val="00331114"/>
    <w:rsid w:val="0033131B"/>
    <w:rsid w:val="003326C3"/>
    <w:rsid w:val="00340CAF"/>
    <w:rsid w:val="00342580"/>
    <w:rsid w:val="003426F8"/>
    <w:rsid w:val="00342AE0"/>
    <w:rsid w:val="00342F9E"/>
    <w:rsid w:val="0034629B"/>
    <w:rsid w:val="003467B7"/>
    <w:rsid w:val="00346B1D"/>
    <w:rsid w:val="00351025"/>
    <w:rsid w:val="003550E2"/>
    <w:rsid w:val="00355853"/>
    <w:rsid w:val="003570FF"/>
    <w:rsid w:val="0036437A"/>
    <w:rsid w:val="00366CE8"/>
    <w:rsid w:val="00367B42"/>
    <w:rsid w:val="003705A1"/>
    <w:rsid w:val="00375C13"/>
    <w:rsid w:val="00375CD8"/>
    <w:rsid w:val="00377158"/>
    <w:rsid w:val="003776A9"/>
    <w:rsid w:val="003777A3"/>
    <w:rsid w:val="0037785A"/>
    <w:rsid w:val="00382103"/>
    <w:rsid w:val="00391D35"/>
    <w:rsid w:val="003A28D4"/>
    <w:rsid w:val="003B03D0"/>
    <w:rsid w:val="003B1225"/>
    <w:rsid w:val="003B5779"/>
    <w:rsid w:val="003C5229"/>
    <w:rsid w:val="003C639D"/>
    <w:rsid w:val="003D40DD"/>
    <w:rsid w:val="003D6CF1"/>
    <w:rsid w:val="003F2CDC"/>
    <w:rsid w:val="003F314F"/>
    <w:rsid w:val="003F390F"/>
    <w:rsid w:val="003F4804"/>
    <w:rsid w:val="003F5B7D"/>
    <w:rsid w:val="003F75C8"/>
    <w:rsid w:val="003F7E2E"/>
    <w:rsid w:val="00404A0F"/>
    <w:rsid w:val="004055D6"/>
    <w:rsid w:val="00413E7D"/>
    <w:rsid w:val="00414DD2"/>
    <w:rsid w:val="0041505B"/>
    <w:rsid w:val="00415FA0"/>
    <w:rsid w:val="004175F7"/>
    <w:rsid w:val="0043299F"/>
    <w:rsid w:val="00432B8D"/>
    <w:rsid w:val="00433FE0"/>
    <w:rsid w:val="004363E5"/>
    <w:rsid w:val="0044192E"/>
    <w:rsid w:val="00454943"/>
    <w:rsid w:val="00456C27"/>
    <w:rsid w:val="00460F63"/>
    <w:rsid w:val="00466821"/>
    <w:rsid w:val="0047207B"/>
    <w:rsid w:val="0047397C"/>
    <w:rsid w:val="0049347D"/>
    <w:rsid w:val="004946F4"/>
    <w:rsid w:val="00494EA1"/>
    <w:rsid w:val="004A451E"/>
    <w:rsid w:val="004B2525"/>
    <w:rsid w:val="004B6B56"/>
    <w:rsid w:val="004C261F"/>
    <w:rsid w:val="004C3218"/>
    <w:rsid w:val="004C5390"/>
    <w:rsid w:val="004D01C4"/>
    <w:rsid w:val="004D6732"/>
    <w:rsid w:val="004E02C3"/>
    <w:rsid w:val="004E2CFD"/>
    <w:rsid w:val="004E45F3"/>
    <w:rsid w:val="004E4AD7"/>
    <w:rsid w:val="004E781D"/>
    <w:rsid w:val="004F0112"/>
    <w:rsid w:val="004F4266"/>
    <w:rsid w:val="00502506"/>
    <w:rsid w:val="00502BD9"/>
    <w:rsid w:val="00502C13"/>
    <w:rsid w:val="00504B51"/>
    <w:rsid w:val="0050579F"/>
    <w:rsid w:val="00506769"/>
    <w:rsid w:val="0051297A"/>
    <w:rsid w:val="00512F0F"/>
    <w:rsid w:val="005224BC"/>
    <w:rsid w:val="00524AC1"/>
    <w:rsid w:val="00533732"/>
    <w:rsid w:val="00536891"/>
    <w:rsid w:val="00540D7B"/>
    <w:rsid w:val="0054188A"/>
    <w:rsid w:val="00543479"/>
    <w:rsid w:val="00545C71"/>
    <w:rsid w:val="0054656B"/>
    <w:rsid w:val="00547446"/>
    <w:rsid w:val="00554414"/>
    <w:rsid w:val="00560637"/>
    <w:rsid w:val="005732CB"/>
    <w:rsid w:val="00573DC4"/>
    <w:rsid w:val="005753AD"/>
    <w:rsid w:val="00583627"/>
    <w:rsid w:val="00584795"/>
    <w:rsid w:val="005860D5"/>
    <w:rsid w:val="00592FE2"/>
    <w:rsid w:val="005A135A"/>
    <w:rsid w:val="005A415C"/>
    <w:rsid w:val="005A7D5F"/>
    <w:rsid w:val="005A7DB3"/>
    <w:rsid w:val="005B075B"/>
    <w:rsid w:val="005B521A"/>
    <w:rsid w:val="005B61B1"/>
    <w:rsid w:val="005B707F"/>
    <w:rsid w:val="005C35DE"/>
    <w:rsid w:val="005C3D2E"/>
    <w:rsid w:val="005C3DBD"/>
    <w:rsid w:val="005C7C6F"/>
    <w:rsid w:val="005C7EB5"/>
    <w:rsid w:val="005E0260"/>
    <w:rsid w:val="005E0970"/>
    <w:rsid w:val="005E1134"/>
    <w:rsid w:val="005E13F5"/>
    <w:rsid w:val="005E2711"/>
    <w:rsid w:val="005E3A54"/>
    <w:rsid w:val="005E6A9F"/>
    <w:rsid w:val="005F0589"/>
    <w:rsid w:val="005F0EEB"/>
    <w:rsid w:val="005F388D"/>
    <w:rsid w:val="005F499B"/>
    <w:rsid w:val="005F6837"/>
    <w:rsid w:val="0060108C"/>
    <w:rsid w:val="00605048"/>
    <w:rsid w:val="00605478"/>
    <w:rsid w:val="0060591B"/>
    <w:rsid w:val="0060689A"/>
    <w:rsid w:val="00606F3A"/>
    <w:rsid w:val="0060725C"/>
    <w:rsid w:val="00607317"/>
    <w:rsid w:val="00610A14"/>
    <w:rsid w:val="0061239C"/>
    <w:rsid w:val="006124C0"/>
    <w:rsid w:val="006152B2"/>
    <w:rsid w:val="00616041"/>
    <w:rsid w:val="00616DAA"/>
    <w:rsid w:val="00620972"/>
    <w:rsid w:val="00627506"/>
    <w:rsid w:val="00635125"/>
    <w:rsid w:val="00635C79"/>
    <w:rsid w:val="00640E5A"/>
    <w:rsid w:val="006426BE"/>
    <w:rsid w:val="00655B82"/>
    <w:rsid w:val="00656A0F"/>
    <w:rsid w:val="00657B7A"/>
    <w:rsid w:val="006702A9"/>
    <w:rsid w:val="0067099B"/>
    <w:rsid w:val="00672115"/>
    <w:rsid w:val="00673BD1"/>
    <w:rsid w:val="006830B2"/>
    <w:rsid w:val="006911F9"/>
    <w:rsid w:val="00696C48"/>
    <w:rsid w:val="006A2231"/>
    <w:rsid w:val="006A4A1E"/>
    <w:rsid w:val="006B2DBC"/>
    <w:rsid w:val="006B6B00"/>
    <w:rsid w:val="006B7B72"/>
    <w:rsid w:val="006D0DCF"/>
    <w:rsid w:val="006D14F6"/>
    <w:rsid w:val="006D2E7D"/>
    <w:rsid w:val="006D3A4C"/>
    <w:rsid w:val="006E5A46"/>
    <w:rsid w:val="006F5A47"/>
    <w:rsid w:val="007113DB"/>
    <w:rsid w:val="00712C70"/>
    <w:rsid w:val="00713DEE"/>
    <w:rsid w:val="00721C1E"/>
    <w:rsid w:val="0072266C"/>
    <w:rsid w:val="00724E86"/>
    <w:rsid w:val="0072505D"/>
    <w:rsid w:val="00725265"/>
    <w:rsid w:val="00725E27"/>
    <w:rsid w:val="00734F6D"/>
    <w:rsid w:val="00735148"/>
    <w:rsid w:val="00741F1F"/>
    <w:rsid w:val="007505F3"/>
    <w:rsid w:val="00753726"/>
    <w:rsid w:val="00756ABD"/>
    <w:rsid w:val="00757D96"/>
    <w:rsid w:val="00765CBD"/>
    <w:rsid w:val="00767323"/>
    <w:rsid w:val="00771631"/>
    <w:rsid w:val="0077259D"/>
    <w:rsid w:val="00772C5C"/>
    <w:rsid w:val="0077484F"/>
    <w:rsid w:val="00775946"/>
    <w:rsid w:val="00776B04"/>
    <w:rsid w:val="00782971"/>
    <w:rsid w:val="00784AD4"/>
    <w:rsid w:val="007903EE"/>
    <w:rsid w:val="00792F8B"/>
    <w:rsid w:val="007957FB"/>
    <w:rsid w:val="00797C65"/>
    <w:rsid w:val="007A0AEF"/>
    <w:rsid w:val="007A3683"/>
    <w:rsid w:val="007A6313"/>
    <w:rsid w:val="007A7E06"/>
    <w:rsid w:val="007B1BFC"/>
    <w:rsid w:val="007B410E"/>
    <w:rsid w:val="007B55D2"/>
    <w:rsid w:val="007C177C"/>
    <w:rsid w:val="007C43F0"/>
    <w:rsid w:val="007C49E4"/>
    <w:rsid w:val="007D29A9"/>
    <w:rsid w:val="007D79B7"/>
    <w:rsid w:val="007F0A20"/>
    <w:rsid w:val="007F226D"/>
    <w:rsid w:val="007F7161"/>
    <w:rsid w:val="008047A0"/>
    <w:rsid w:val="00804CFE"/>
    <w:rsid w:val="00806819"/>
    <w:rsid w:val="00811350"/>
    <w:rsid w:val="00814F88"/>
    <w:rsid w:val="00826990"/>
    <w:rsid w:val="00826C01"/>
    <w:rsid w:val="008300A3"/>
    <w:rsid w:val="008301B3"/>
    <w:rsid w:val="00842D5A"/>
    <w:rsid w:val="008448DA"/>
    <w:rsid w:val="0084734B"/>
    <w:rsid w:val="00851B24"/>
    <w:rsid w:val="008534A9"/>
    <w:rsid w:val="00853D58"/>
    <w:rsid w:val="0086071F"/>
    <w:rsid w:val="0086085A"/>
    <w:rsid w:val="00861E4E"/>
    <w:rsid w:val="00867D3E"/>
    <w:rsid w:val="00871C98"/>
    <w:rsid w:val="00874515"/>
    <w:rsid w:val="00880FD1"/>
    <w:rsid w:val="00892533"/>
    <w:rsid w:val="00894476"/>
    <w:rsid w:val="008A0B20"/>
    <w:rsid w:val="008B07AC"/>
    <w:rsid w:val="008C146B"/>
    <w:rsid w:val="008C1494"/>
    <w:rsid w:val="008D41A2"/>
    <w:rsid w:val="008E1DCE"/>
    <w:rsid w:val="008E2F8D"/>
    <w:rsid w:val="008E7685"/>
    <w:rsid w:val="008F04F0"/>
    <w:rsid w:val="008F1EF7"/>
    <w:rsid w:val="008F287F"/>
    <w:rsid w:val="008F577A"/>
    <w:rsid w:val="008F6142"/>
    <w:rsid w:val="008F7133"/>
    <w:rsid w:val="00902247"/>
    <w:rsid w:val="00902F98"/>
    <w:rsid w:val="00925D40"/>
    <w:rsid w:val="00940CC1"/>
    <w:rsid w:val="009521EB"/>
    <w:rsid w:val="00952899"/>
    <w:rsid w:val="00952C73"/>
    <w:rsid w:val="009653D9"/>
    <w:rsid w:val="0097071A"/>
    <w:rsid w:val="00975D66"/>
    <w:rsid w:val="00981605"/>
    <w:rsid w:val="00985247"/>
    <w:rsid w:val="009931C0"/>
    <w:rsid w:val="00994981"/>
    <w:rsid w:val="00995ACE"/>
    <w:rsid w:val="0099799E"/>
    <w:rsid w:val="009A0B3A"/>
    <w:rsid w:val="009A36C4"/>
    <w:rsid w:val="009B04D6"/>
    <w:rsid w:val="009B1FED"/>
    <w:rsid w:val="009B3409"/>
    <w:rsid w:val="009B7794"/>
    <w:rsid w:val="009D1316"/>
    <w:rsid w:val="009E0739"/>
    <w:rsid w:val="009E2E40"/>
    <w:rsid w:val="009E6CBD"/>
    <w:rsid w:val="009F197D"/>
    <w:rsid w:val="009F459E"/>
    <w:rsid w:val="009F52AE"/>
    <w:rsid w:val="00A05928"/>
    <w:rsid w:val="00A12195"/>
    <w:rsid w:val="00A143E7"/>
    <w:rsid w:val="00A14B63"/>
    <w:rsid w:val="00A22014"/>
    <w:rsid w:val="00A23E7B"/>
    <w:rsid w:val="00A260CD"/>
    <w:rsid w:val="00A26713"/>
    <w:rsid w:val="00A31B5E"/>
    <w:rsid w:val="00A3440C"/>
    <w:rsid w:val="00A47366"/>
    <w:rsid w:val="00A474B4"/>
    <w:rsid w:val="00A50F8C"/>
    <w:rsid w:val="00A534D6"/>
    <w:rsid w:val="00A55179"/>
    <w:rsid w:val="00A56D3C"/>
    <w:rsid w:val="00A63931"/>
    <w:rsid w:val="00A729E5"/>
    <w:rsid w:val="00A7797D"/>
    <w:rsid w:val="00A842D9"/>
    <w:rsid w:val="00A8674F"/>
    <w:rsid w:val="00A87E34"/>
    <w:rsid w:val="00A9008F"/>
    <w:rsid w:val="00A91689"/>
    <w:rsid w:val="00A91E90"/>
    <w:rsid w:val="00A93AA6"/>
    <w:rsid w:val="00A973EA"/>
    <w:rsid w:val="00A97839"/>
    <w:rsid w:val="00AA3C79"/>
    <w:rsid w:val="00AA43F2"/>
    <w:rsid w:val="00AA566D"/>
    <w:rsid w:val="00AB0E60"/>
    <w:rsid w:val="00AB1677"/>
    <w:rsid w:val="00AB26FD"/>
    <w:rsid w:val="00AB272D"/>
    <w:rsid w:val="00AC75A9"/>
    <w:rsid w:val="00AD283C"/>
    <w:rsid w:val="00AD33EC"/>
    <w:rsid w:val="00AD4589"/>
    <w:rsid w:val="00AE123D"/>
    <w:rsid w:val="00AE12DE"/>
    <w:rsid w:val="00AE16F9"/>
    <w:rsid w:val="00AE547D"/>
    <w:rsid w:val="00AE649F"/>
    <w:rsid w:val="00AE667A"/>
    <w:rsid w:val="00AE6EB0"/>
    <w:rsid w:val="00AF136C"/>
    <w:rsid w:val="00AF7B8B"/>
    <w:rsid w:val="00B04B70"/>
    <w:rsid w:val="00B16A31"/>
    <w:rsid w:val="00B17A78"/>
    <w:rsid w:val="00B22562"/>
    <w:rsid w:val="00B26B0A"/>
    <w:rsid w:val="00B2794D"/>
    <w:rsid w:val="00B27FF7"/>
    <w:rsid w:val="00B30043"/>
    <w:rsid w:val="00B33884"/>
    <w:rsid w:val="00B41F26"/>
    <w:rsid w:val="00B43197"/>
    <w:rsid w:val="00B436F8"/>
    <w:rsid w:val="00B45FF6"/>
    <w:rsid w:val="00B47937"/>
    <w:rsid w:val="00B50DD3"/>
    <w:rsid w:val="00B51F6C"/>
    <w:rsid w:val="00B53AE7"/>
    <w:rsid w:val="00B646DA"/>
    <w:rsid w:val="00B762F7"/>
    <w:rsid w:val="00B8204D"/>
    <w:rsid w:val="00B85EEC"/>
    <w:rsid w:val="00B92A4B"/>
    <w:rsid w:val="00B94B03"/>
    <w:rsid w:val="00B95A75"/>
    <w:rsid w:val="00BA102B"/>
    <w:rsid w:val="00BA10E0"/>
    <w:rsid w:val="00BB259E"/>
    <w:rsid w:val="00BB3424"/>
    <w:rsid w:val="00BB741A"/>
    <w:rsid w:val="00BC17DD"/>
    <w:rsid w:val="00BD04F1"/>
    <w:rsid w:val="00BD45D2"/>
    <w:rsid w:val="00BD47C1"/>
    <w:rsid w:val="00BD67BB"/>
    <w:rsid w:val="00BE23D2"/>
    <w:rsid w:val="00BE53F4"/>
    <w:rsid w:val="00BF18FD"/>
    <w:rsid w:val="00BF1EE5"/>
    <w:rsid w:val="00BF2505"/>
    <w:rsid w:val="00BF47FA"/>
    <w:rsid w:val="00BF64E5"/>
    <w:rsid w:val="00C000FB"/>
    <w:rsid w:val="00C034BD"/>
    <w:rsid w:val="00C0408C"/>
    <w:rsid w:val="00C109AF"/>
    <w:rsid w:val="00C144D2"/>
    <w:rsid w:val="00C15FEB"/>
    <w:rsid w:val="00C26A41"/>
    <w:rsid w:val="00C30909"/>
    <w:rsid w:val="00C3143E"/>
    <w:rsid w:val="00C317EB"/>
    <w:rsid w:val="00C31B48"/>
    <w:rsid w:val="00C33722"/>
    <w:rsid w:val="00C34463"/>
    <w:rsid w:val="00C3574F"/>
    <w:rsid w:val="00C35D9B"/>
    <w:rsid w:val="00C40944"/>
    <w:rsid w:val="00C410B3"/>
    <w:rsid w:val="00C53249"/>
    <w:rsid w:val="00C60FF9"/>
    <w:rsid w:val="00C63423"/>
    <w:rsid w:val="00C718B8"/>
    <w:rsid w:val="00C732AB"/>
    <w:rsid w:val="00C738BA"/>
    <w:rsid w:val="00C76809"/>
    <w:rsid w:val="00C769C6"/>
    <w:rsid w:val="00C77A5A"/>
    <w:rsid w:val="00C8000D"/>
    <w:rsid w:val="00C85CE1"/>
    <w:rsid w:val="00C93913"/>
    <w:rsid w:val="00C94D31"/>
    <w:rsid w:val="00CA0215"/>
    <w:rsid w:val="00CA2874"/>
    <w:rsid w:val="00CA2F54"/>
    <w:rsid w:val="00CA3A6E"/>
    <w:rsid w:val="00CA6F0A"/>
    <w:rsid w:val="00CB1AB3"/>
    <w:rsid w:val="00CB1EB4"/>
    <w:rsid w:val="00CB6F82"/>
    <w:rsid w:val="00CB71B2"/>
    <w:rsid w:val="00CC2BC1"/>
    <w:rsid w:val="00CC6A6A"/>
    <w:rsid w:val="00CD1402"/>
    <w:rsid w:val="00CD790F"/>
    <w:rsid w:val="00CE1802"/>
    <w:rsid w:val="00CE1A64"/>
    <w:rsid w:val="00CE407E"/>
    <w:rsid w:val="00CE4A99"/>
    <w:rsid w:val="00CF5714"/>
    <w:rsid w:val="00D057BA"/>
    <w:rsid w:val="00D45D11"/>
    <w:rsid w:val="00D5063D"/>
    <w:rsid w:val="00D50F00"/>
    <w:rsid w:val="00D549CB"/>
    <w:rsid w:val="00D54C3F"/>
    <w:rsid w:val="00D61548"/>
    <w:rsid w:val="00D672CF"/>
    <w:rsid w:val="00D67FF0"/>
    <w:rsid w:val="00D7122A"/>
    <w:rsid w:val="00D7573B"/>
    <w:rsid w:val="00D814EE"/>
    <w:rsid w:val="00D825E2"/>
    <w:rsid w:val="00D83597"/>
    <w:rsid w:val="00D85210"/>
    <w:rsid w:val="00D90243"/>
    <w:rsid w:val="00D92D38"/>
    <w:rsid w:val="00D947A6"/>
    <w:rsid w:val="00D94813"/>
    <w:rsid w:val="00DA323B"/>
    <w:rsid w:val="00DA5196"/>
    <w:rsid w:val="00DA6FD8"/>
    <w:rsid w:val="00DB35EE"/>
    <w:rsid w:val="00DB3F30"/>
    <w:rsid w:val="00DB40DD"/>
    <w:rsid w:val="00DB7963"/>
    <w:rsid w:val="00DC3D79"/>
    <w:rsid w:val="00DC4F58"/>
    <w:rsid w:val="00DC584F"/>
    <w:rsid w:val="00DC7AE5"/>
    <w:rsid w:val="00DD1639"/>
    <w:rsid w:val="00DD59F9"/>
    <w:rsid w:val="00DD5DEA"/>
    <w:rsid w:val="00DF14BB"/>
    <w:rsid w:val="00DF42B7"/>
    <w:rsid w:val="00E00B21"/>
    <w:rsid w:val="00E01919"/>
    <w:rsid w:val="00E03651"/>
    <w:rsid w:val="00E04719"/>
    <w:rsid w:val="00E050F6"/>
    <w:rsid w:val="00E16043"/>
    <w:rsid w:val="00E24AC2"/>
    <w:rsid w:val="00E35C49"/>
    <w:rsid w:val="00E476D8"/>
    <w:rsid w:val="00E51252"/>
    <w:rsid w:val="00E57396"/>
    <w:rsid w:val="00E62385"/>
    <w:rsid w:val="00E630EF"/>
    <w:rsid w:val="00E63B0E"/>
    <w:rsid w:val="00E64A6B"/>
    <w:rsid w:val="00E719D5"/>
    <w:rsid w:val="00E72E4E"/>
    <w:rsid w:val="00E73753"/>
    <w:rsid w:val="00E74F92"/>
    <w:rsid w:val="00E76AD7"/>
    <w:rsid w:val="00E8172C"/>
    <w:rsid w:val="00E8463D"/>
    <w:rsid w:val="00E8555F"/>
    <w:rsid w:val="00E9182D"/>
    <w:rsid w:val="00E92673"/>
    <w:rsid w:val="00E9405E"/>
    <w:rsid w:val="00E95480"/>
    <w:rsid w:val="00EA233A"/>
    <w:rsid w:val="00EA5AAE"/>
    <w:rsid w:val="00EA7CB1"/>
    <w:rsid w:val="00EB05CB"/>
    <w:rsid w:val="00EB6FD3"/>
    <w:rsid w:val="00EB7251"/>
    <w:rsid w:val="00EC3563"/>
    <w:rsid w:val="00EC37CE"/>
    <w:rsid w:val="00EC4EE5"/>
    <w:rsid w:val="00EC733D"/>
    <w:rsid w:val="00ED1A9B"/>
    <w:rsid w:val="00ED3431"/>
    <w:rsid w:val="00ED4DD3"/>
    <w:rsid w:val="00EE2604"/>
    <w:rsid w:val="00EE5C08"/>
    <w:rsid w:val="00EF54E0"/>
    <w:rsid w:val="00EF566A"/>
    <w:rsid w:val="00EF57B6"/>
    <w:rsid w:val="00F019C8"/>
    <w:rsid w:val="00F07309"/>
    <w:rsid w:val="00F11AF8"/>
    <w:rsid w:val="00F13899"/>
    <w:rsid w:val="00F23ADC"/>
    <w:rsid w:val="00F3276B"/>
    <w:rsid w:val="00F37B54"/>
    <w:rsid w:val="00F41C85"/>
    <w:rsid w:val="00F4252E"/>
    <w:rsid w:val="00F50DD5"/>
    <w:rsid w:val="00F52077"/>
    <w:rsid w:val="00F52958"/>
    <w:rsid w:val="00F65D47"/>
    <w:rsid w:val="00F77CDB"/>
    <w:rsid w:val="00F846B2"/>
    <w:rsid w:val="00F85DBA"/>
    <w:rsid w:val="00F878A0"/>
    <w:rsid w:val="00F90D4C"/>
    <w:rsid w:val="00FA3224"/>
    <w:rsid w:val="00FA720B"/>
    <w:rsid w:val="00FB23B5"/>
    <w:rsid w:val="00FC79BD"/>
    <w:rsid w:val="00FD1AFB"/>
    <w:rsid w:val="00FD3BD5"/>
    <w:rsid w:val="00FD3FCA"/>
    <w:rsid w:val="00FD4058"/>
    <w:rsid w:val="00FE6F8E"/>
    <w:rsid w:val="00FE7A41"/>
    <w:rsid w:val="00FF137F"/>
    <w:rsid w:val="00FF204E"/>
    <w:rsid w:val="00FF420D"/>
    <w:rsid w:val="01033216"/>
    <w:rsid w:val="011078C7"/>
    <w:rsid w:val="011C1269"/>
    <w:rsid w:val="012B4116"/>
    <w:rsid w:val="013B0DE8"/>
    <w:rsid w:val="015049A5"/>
    <w:rsid w:val="0158287F"/>
    <w:rsid w:val="01596A29"/>
    <w:rsid w:val="016F6D1D"/>
    <w:rsid w:val="01721FEB"/>
    <w:rsid w:val="017A0F48"/>
    <w:rsid w:val="019822BC"/>
    <w:rsid w:val="019C0FF7"/>
    <w:rsid w:val="01B92AE4"/>
    <w:rsid w:val="01C012ED"/>
    <w:rsid w:val="01CD2573"/>
    <w:rsid w:val="01D1540B"/>
    <w:rsid w:val="01DA61FD"/>
    <w:rsid w:val="02003A2C"/>
    <w:rsid w:val="020236B3"/>
    <w:rsid w:val="020F5C11"/>
    <w:rsid w:val="021E603F"/>
    <w:rsid w:val="022B0E5C"/>
    <w:rsid w:val="022D7F60"/>
    <w:rsid w:val="022F4905"/>
    <w:rsid w:val="02307B7C"/>
    <w:rsid w:val="02426D4A"/>
    <w:rsid w:val="02467AD0"/>
    <w:rsid w:val="024D00BB"/>
    <w:rsid w:val="0256439B"/>
    <w:rsid w:val="02573029"/>
    <w:rsid w:val="02581A38"/>
    <w:rsid w:val="025D3183"/>
    <w:rsid w:val="026C49C3"/>
    <w:rsid w:val="027D14AE"/>
    <w:rsid w:val="02867454"/>
    <w:rsid w:val="028E3199"/>
    <w:rsid w:val="02934084"/>
    <w:rsid w:val="029B42B1"/>
    <w:rsid w:val="029F53A6"/>
    <w:rsid w:val="02A627A3"/>
    <w:rsid w:val="02A91117"/>
    <w:rsid w:val="02B349AE"/>
    <w:rsid w:val="02BA21E0"/>
    <w:rsid w:val="02BE15ED"/>
    <w:rsid w:val="02D44776"/>
    <w:rsid w:val="02D52C06"/>
    <w:rsid w:val="02D61B4E"/>
    <w:rsid w:val="02D84414"/>
    <w:rsid w:val="02F0687C"/>
    <w:rsid w:val="02F37E1D"/>
    <w:rsid w:val="02F525AC"/>
    <w:rsid w:val="02F94AB6"/>
    <w:rsid w:val="03151A50"/>
    <w:rsid w:val="03184B51"/>
    <w:rsid w:val="032249EF"/>
    <w:rsid w:val="0328714A"/>
    <w:rsid w:val="032A2EC2"/>
    <w:rsid w:val="032E70E2"/>
    <w:rsid w:val="03324E4D"/>
    <w:rsid w:val="0336604D"/>
    <w:rsid w:val="03375829"/>
    <w:rsid w:val="03391357"/>
    <w:rsid w:val="034662B1"/>
    <w:rsid w:val="034C19CE"/>
    <w:rsid w:val="034D095E"/>
    <w:rsid w:val="035C289A"/>
    <w:rsid w:val="035E558D"/>
    <w:rsid w:val="035E6E02"/>
    <w:rsid w:val="037E11AF"/>
    <w:rsid w:val="038B11AF"/>
    <w:rsid w:val="038C71E9"/>
    <w:rsid w:val="038E5D6A"/>
    <w:rsid w:val="03931E1C"/>
    <w:rsid w:val="039A3A76"/>
    <w:rsid w:val="03CC5320"/>
    <w:rsid w:val="03E16707"/>
    <w:rsid w:val="03E2554B"/>
    <w:rsid w:val="03E5296F"/>
    <w:rsid w:val="03E87404"/>
    <w:rsid w:val="03EA00F6"/>
    <w:rsid w:val="03F26C5B"/>
    <w:rsid w:val="03F70746"/>
    <w:rsid w:val="03FE60A2"/>
    <w:rsid w:val="04025933"/>
    <w:rsid w:val="04074FB1"/>
    <w:rsid w:val="040A30FF"/>
    <w:rsid w:val="04163446"/>
    <w:rsid w:val="041A0AF9"/>
    <w:rsid w:val="041D7380"/>
    <w:rsid w:val="041E7F45"/>
    <w:rsid w:val="042754C9"/>
    <w:rsid w:val="043D11AF"/>
    <w:rsid w:val="04423FEE"/>
    <w:rsid w:val="044259F2"/>
    <w:rsid w:val="04501CFA"/>
    <w:rsid w:val="04621481"/>
    <w:rsid w:val="046779E2"/>
    <w:rsid w:val="047563BF"/>
    <w:rsid w:val="047756AA"/>
    <w:rsid w:val="047C6C01"/>
    <w:rsid w:val="047D0EEE"/>
    <w:rsid w:val="048C2F16"/>
    <w:rsid w:val="04945D79"/>
    <w:rsid w:val="04991A17"/>
    <w:rsid w:val="049A7BD3"/>
    <w:rsid w:val="049E1946"/>
    <w:rsid w:val="04A102EE"/>
    <w:rsid w:val="04A74291"/>
    <w:rsid w:val="04B50EB1"/>
    <w:rsid w:val="04B6492C"/>
    <w:rsid w:val="04C052B4"/>
    <w:rsid w:val="04CB4231"/>
    <w:rsid w:val="04CE0603"/>
    <w:rsid w:val="04D035F5"/>
    <w:rsid w:val="04D57255"/>
    <w:rsid w:val="04DE0C8C"/>
    <w:rsid w:val="04EA6DAD"/>
    <w:rsid w:val="04EE66F0"/>
    <w:rsid w:val="04FD4265"/>
    <w:rsid w:val="052176C9"/>
    <w:rsid w:val="052851DF"/>
    <w:rsid w:val="05297AD2"/>
    <w:rsid w:val="052A7145"/>
    <w:rsid w:val="053022E6"/>
    <w:rsid w:val="05410354"/>
    <w:rsid w:val="054118AA"/>
    <w:rsid w:val="05467D5B"/>
    <w:rsid w:val="054951FC"/>
    <w:rsid w:val="055378D7"/>
    <w:rsid w:val="056C26B7"/>
    <w:rsid w:val="056F002C"/>
    <w:rsid w:val="057117E7"/>
    <w:rsid w:val="058039F7"/>
    <w:rsid w:val="05805D83"/>
    <w:rsid w:val="05826BC9"/>
    <w:rsid w:val="058A5E9A"/>
    <w:rsid w:val="058A64DF"/>
    <w:rsid w:val="05AD3936"/>
    <w:rsid w:val="05AD7137"/>
    <w:rsid w:val="05B9677F"/>
    <w:rsid w:val="05C27DED"/>
    <w:rsid w:val="05C33E86"/>
    <w:rsid w:val="05C55124"/>
    <w:rsid w:val="05C61644"/>
    <w:rsid w:val="05D63B8E"/>
    <w:rsid w:val="05EB5BC2"/>
    <w:rsid w:val="0602214A"/>
    <w:rsid w:val="062F259D"/>
    <w:rsid w:val="06587362"/>
    <w:rsid w:val="066A3BC7"/>
    <w:rsid w:val="066C387A"/>
    <w:rsid w:val="067129C0"/>
    <w:rsid w:val="06840B3B"/>
    <w:rsid w:val="06864F2E"/>
    <w:rsid w:val="06AB256C"/>
    <w:rsid w:val="06AC2E9C"/>
    <w:rsid w:val="06BE1033"/>
    <w:rsid w:val="06BF003E"/>
    <w:rsid w:val="06C731F3"/>
    <w:rsid w:val="06CB49BC"/>
    <w:rsid w:val="06D12A8C"/>
    <w:rsid w:val="06DA6BA9"/>
    <w:rsid w:val="06E53116"/>
    <w:rsid w:val="06EB1155"/>
    <w:rsid w:val="06EE0AFE"/>
    <w:rsid w:val="06EE2CE7"/>
    <w:rsid w:val="06EF3062"/>
    <w:rsid w:val="06F37C7A"/>
    <w:rsid w:val="06F636DD"/>
    <w:rsid w:val="06FA51A4"/>
    <w:rsid w:val="06FB0A7E"/>
    <w:rsid w:val="071870F9"/>
    <w:rsid w:val="071C2734"/>
    <w:rsid w:val="072E33E1"/>
    <w:rsid w:val="07342561"/>
    <w:rsid w:val="073577AD"/>
    <w:rsid w:val="07487DBA"/>
    <w:rsid w:val="0756080C"/>
    <w:rsid w:val="075720A0"/>
    <w:rsid w:val="076736BF"/>
    <w:rsid w:val="07684F71"/>
    <w:rsid w:val="076A0252"/>
    <w:rsid w:val="077010BF"/>
    <w:rsid w:val="077077CC"/>
    <w:rsid w:val="07795598"/>
    <w:rsid w:val="07803B5E"/>
    <w:rsid w:val="078608E3"/>
    <w:rsid w:val="07911328"/>
    <w:rsid w:val="07953AB0"/>
    <w:rsid w:val="07BA241D"/>
    <w:rsid w:val="07CC07AC"/>
    <w:rsid w:val="07D27820"/>
    <w:rsid w:val="07D84991"/>
    <w:rsid w:val="07DB2FA0"/>
    <w:rsid w:val="07FE6EBD"/>
    <w:rsid w:val="08040662"/>
    <w:rsid w:val="080D6D26"/>
    <w:rsid w:val="081658FD"/>
    <w:rsid w:val="081A30E0"/>
    <w:rsid w:val="0833705A"/>
    <w:rsid w:val="083E2F6B"/>
    <w:rsid w:val="084E7652"/>
    <w:rsid w:val="087243A2"/>
    <w:rsid w:val="0885106A"/>
    <w:rsid w:val="088937EC"/>
    <w:rsid w:val="08962DA7"/>
    <w:rsid w:val="0898600B"/>
    <w:rsid w:val="08987534"/>
    <w:rsid w:val="08A37121"/>
    <w:rsid w:val="08A71E03"/>
    <w:rsid w:val="08A76082"/>
    <w:rsid w:val="08AA55B4"/>
    <w:rsid w:val="08AD080E"/>
    <w:rsid w:val="08B84ACC"/>
    <w:rsid w:val="08C72F61"/>
    <w:rsid w:val="08CF562D"/>
    <w:rsid w:val="08D00067"/>
    <w:rsid w:val="08D4742C"/>
    <w:rsid w:val="08D62316"/>
    <w:rsid w:val="08EF695D"/>
    <w:rsid w:val="09091795"/>
    <w:rsid w:val="090E5E04"/>
    <w:rsid w:val="090F2459"/>
    <w:rsid w:val="091453E5"/>
    <w:rsid w:val="09280489"/>
    <w:rsid w:val="09304090"/>
    <w:rsid w:val="0948360B"/>
    <w:rsid w:val="09670F9D"/>
    <w:rsid w:val="09704BC4"/>
    <w:rsid w:val="098A1380"/>
    <w:rsid w:val="098A5267"/>
    <w:rsid w:val="09A22E34"/>
    <w:rsid w:val="09AD29F2"/>
    <w:rsid w:val="09B5434C"/>
    <w:rsid w:val="09C8190F"/>
    <w:rsid w:val="09C91940"/>
    <w:rsid w:val="09D14D0A"/>
    <w:rsid w:val="09DB7F9E"/>
    <w:rsid w:val="09E17B6C"/>
    <w:rsid w:val="09F91301"/>
    <w:rsid w:val="0A110938"/>
    <w:rsid w:val="0A18059E"/>
    <w:rsid w:val="0A1A0500"/>
    <w:rsid w:val="0A1C10E1"/>
    <w:rsid w:val="0A1F5CD0"/>
    <w:rsid w:val="0A394EB0"/>
    <w:rsid w:val="0A546815"/>
    <w:rsid w:val="0A5945ED"/>
    <w:rsid w:val="0A5B3BC6"/>
    <w:rsid w:val="0A5C5249"/>
    <w:rsid w:val="0A6476B9"/>
    <w:rsid w:val="0A84198F"/>
    <w:rsid w:val="0A8C0076"/>
    <w:rsid w:val="0A9450C5"/>
    <w:rsid w:val="0A962343"/>
    <w:rsid w:val="0A9652E1"/>
    <w:rsid w:val="0A9E5CCD"/>
    <w:rsid w:val="0AB00EF3"/>
    <w:rsid w:val="0AB95B62"/>
    <w:rsid w:val="0AC81AAF"/>
    <w:rsid w:val="0ACC050F"/>
    <w:rsid w:val="0AD3515C"/>
    <w:rsid w:val="0AD44E8F"/>
    <w:rsid w:val="0AD45556"/>
    <w:rsid w:val="0AE913BA"/>
    <w:rsid w:val="0B015A39"/>
    <w:rsid w:val="0B03580B"/>
    <w:rsid w:val="0B0B2C6B"/>
    <w:rsid w:val="0B1852A7"/>
    <w:rsid w:val="0B475E86"/>
    <w:rsid w:val="0B4E2FDE"/>
    <w:rsid w:val="0B5E2357"/>
    <w:rsid w:val="0B6C7DF0"/>
    <w:rsid w:val="0B7101DF"/>
    <w:rsid w:val="0B7B30BE"/>
    <w:rsid w:val="0B7F0877"/>
    <w:rsid w:val="0B860EB1"/>
    <w:rsid w:val="0B9111F1"/>
    <w:rsid w:val="0B927149"/>
    <w:rsid w:val="0B9A3357"/>
    <w:rsid w:val="0B9A76C5"/>
    <w:rsid w:val="0B9F503A"/>
    <w:rsid w:val="0BA15CEB"/>
    <w:rsid w:val="0BBF5277"/>
    <w:rsid w:val="0BC469FD"/>
    <w:rsid w:val="0BD14B7B"/>
    <w:rsid w:val="0BD20381"/>
    <w:rsid w:val="0BD267BD"/>
    <w:rsid w:val="0BE86847"/>
    <w:rsid w:val="0BFA3FA2"/>
    <w:rsid w:val="0C0F1E38"/>
    <w:rsid w:val="0C141EEC"/>
    <w:rsid w:val="0C264442"/>
    <w:rsid w:val="0C2B1A59"/>
    <w:rsid w:val="0C2B72AE"/>
    <w:rsid w:val="0C2C306F"/>
    <w:rsid w:val="0C3502B7"/>
    <w:rsid w:val="0C3556CA"/>
    <w:rsid w:val="0C3C2151"/>
    <w:rsid w:val="0C406E86"/>
    <w:rsid w:val="0C4A6383"/>
    <w:rsid w:val="0C4D6484"/>
    <w:rsid w:val="0C7C3A04"/>
    <w:rsid w:val="0C9526E6"/>
    <w:rsid w:val="0CB2647F"/>
    <w:rsid w:val="0CC575D3"/>
    <w:rsid w:val="0CE40906"/>
    <w:rsid w:val="0CFE158D"/>
    <w:rsid w:val="0D0B7155"/>
    <w:rsid w:val="0D315567"/>
    <w:rsid w:val="0D351EC2"/>
    <w:rsid w:val="0D371926"/>
    <w:rsid w:val="0D3A66CB"/>
    <w:rsid w:val="0D3B1C03"/>
    <w:rsid w:val="0D4A729A"/>
    <w:rsid w:val="0D5A59A3"/>
    <w:rsid w:val="0D5A6441"/>
    <w:rsid w:val="0D6654DB"/>
    <w:rsid w:val="0D671F0D"/>
    <w:rsid w:val="0D6E1011"/>
    <w:rsid w:val="0D7D62E4"/>
    <w:rsid w:val="0D8348B0"/>
    <w:rsid w:val="0D842387"/>
    <w:rsid w:val="0D850FE3"/>
    <w:rsid w:val="0D883A97"/>
    <w:rsid w:val="0D8B5E6E"/>
    <w:rsid w:val="0D937338"/>
    <w:rsid w:val="0D9A709D"/>
    <w:rsid w:val="0DA43871"/>
    <w:rsid w:val="0DB36279"/>
    <w:rsid w:val="0DB717F6"/>
    <w:rsid w:val="0DBA2331"/>
    <w:rsid w:val="0DBA3094"/>
    <w:rsid w:val="0DD0096B"/>
    <w:rsid w:val="0DD61ACC"/>
    <w:rsid w:val="0DD65420"/>
    <w:rsid w:val="0DDF2AFB"/>
    <w:rsid w:val="0DE46F2C"/>
    <w:rsid w:val="0DE63443"/>
    <w:rsid w:val="0DF7383C"/>
    <w:rsid w:val="0E0072C5"/>
    <w:rsid w:val="0E034DDF"/>
    <w:rsid w:val="0E061558"/>
    <w:rsid w:val="0E0F5231"/>
    <w:rsid w:val="0E1924B1"/>
    <w:rsid w:val="0E2042FF"/>
    <w:rsid w:val="0E4E7E80"/>
    <w:rsid w:val="0E4F3164"/>
    <w:rsid w:val="0E61690A"/>
    <w:rsid w:val="0E651252"/>
    <w:rsid w:val="0E6A6868"/>
    <w:rsid w:val="0E732A36"/>
    <w:rsid w:val="0E7E0566"/>
    <w:rsid w:val="0E7E6F16"/>
    <w:rsid w:val="0E8972FC"/>
    <w:rsid w:val="0E9947CE"/>
    <w:rsid w:val="0EA4779F"/>
    <w:rsid w:val="0EB83E0F"/>
    <w:rsid w:val="0EBB3568"/>
    <w:rsid w:val="0EC26AF9"/>
    <w:rsid w:val="0ED53729"/>
    <w:rsid w:val="0EEF7C6C"/>
    <w:rsid w:val="0F0547E3"/>
    <w:rsid w:val="0F1349A1"/>
    <w:rsid w:val="0F16254C"/>
    <w:rsid w:val="0F21215E"/>
    <w:rsid w:val="0F2335A3"/>
    <w:rsid w:val="0F2604F1"/>
    <w:rsid w:val="0F2638CF"/>
    <w:rsid w:val="0F2E6AE0"/>
    <w:rsid w:val="0F2F5E3E"/>
    <w:rsid w:val="0F4B669A"/>
    <w:rsid w:val="0F536376"/>
    <w:rsid w:val="0F645E7C"/>
    <w:rsid w:val="0F67724C"/>
    <w:rsid w:val="0F6F1CEA"/>
    <w:rsid w:val="0F715D97"/>
    <w:rsid w:val="0F8E6586"/>
    <w:rsid w:val="0FBA741E"/>
    <w:rsid w:val="0FBE48AF"/>
    <w:rsid w:val="0FCE7E93"/>
    <w:rsid w:val="0FD9162E"/>
    <w:rsid w:val="0FDF0D55"/>
    <w:rsid w:val="0FDF5034"/>
    <w:rsid w:val="0FF37BDE"/>
    <w:rsid w:val="10010571"/>
    <w:rsid w:val="100A2A8D"/>
    <w:rsid w:val="100B237C"/>
    <w:rsid w:val="101744CC"/>
    <w:rsid w:val="101F69DB"/>
    <w:rsid w:val="10253F04"/>
    <w:rsid w:val="102A2753"/>
    <w:rsid w:val="104004B1"/>
    <w:rsid w:val="10442A2A"/>
    <w:rsid w:val="10451F19"/>
    <w:rsid w:val="106A47DF"/>
    <w:rsid w:val="10741088"/>
    <w:rsid w:val="10845250"/>
    <w:rsid w:val="10A02A15"/>
    <w:rsid w:val="10AA7BAC"/>
    <w:rsid w:val="10AB2957"/>
    <w:rsid w:val="10AF0EAA"/>
    <w:rsid w:val="10B97633"/>
    <w:rsid w:val="10BA5042"/>
    <w:rsid w:val="10C66FC7"/>
    <w:rsid w:val="10D04E5F"/>
    <w:rsid w:val="10D34B99"/>
    <w:rsid w:val="10D53D8F"/>
    <w:rsid w:val="10D764EC"/>
    <w:rsid w:val="10DD651F"/>
    <w:rsid w:val="10E16B8A"/>
    <w:rsid w:val="10E87F18"/>
    <w:rsid w:val="10F70DBE"/>
    <w:rsid w:val="10FC7382"/>
    <w:rsid w:val="11123798"/>
    <w:rsid w:val="11143962"/>
    <w:rsid w:val="111C5B00"/>
    <w:rsid w:val="113A4BDA"/>
    <w:rsid w:val="11427ACA"/>
    <w:rsid w:val="11814977"/>
    <w:rsid w:val="1189720F"/>
    <w:rsid w:val="11A6398C"/>
    <w:rsid w:val="11B031DE"/>
    <w:rsid w:val="11B121BE"/>
    <w:rsid w:val="11B72CCA"/>
    <w:rsid w:val="11BC3E24"/>
    <w:rsid w:val="11C93525"/>
    <w:rsid w:val="11CE2B7F"/>
    <w:rsid w:val="11F362DF"/>
    <w:rsid w:val="11FC3C7B"/>
    <w:rsid w:val="11FD46CD"/>
    <w:rsid w:val="11FD7B6C"/>
    <w:rsid w:val="12035076"/>
    <w:rsid w:val="1206759C"/>
    <w:rsid w:val="12136CA3"/>
    <w:rsid w:val="12227CBE"/>
    <w:rsid w:val="12246927"/>
    <w:rsid w:val="12300067"/>
    <w:rsid w:val="12314157"/>
    <w:rsid w:val="12561381"/>
    <w:rsid w:val="125A2941"/>
    <w:rsid w:val="127952CC"/>
    <w:rsid w:val="1288550F"/>
    <w:rsid w:val="1292638E"/>
    <w:rsid w:val="129C24AC"/>
    <w:rsid w:val="129E2F84"/>
    <w:rsid w:val="12AA42EA"/>
    <w:rsid w:val="12B46304"/>
    <w:rsid w:val="12C46775"/>
    <w:rsid w:val="12C86253"/>
    <w:rsid w:val="12CF03E2"/>
    <w:rsid w:val="12DB084A"/>
    <w:rsid w:val="12DD07C5"/>
    <w:rsid w:val="13041600"/>
    <w:rsid w:val="13095362"/>
    <w:rsid w:val="131258AF"/>
    <w:rsid w:val="13187C6B"/>
    <w:rsid w:val="132415BA"/>
    <w:rsid w:val="13260A6A"/>
    <w:rsid w:val="13335337"/>
    <w:rsid w:val="133921D0"/>
    <w:rsid w:val="133E464B"/>
    <w:rsid w:val="13453400"/>
    <w:rsid w:val="134C7653"/>
    <w:rsid w:val="13585F74"/>
    <w:rsid w:val="136D3B05"/>
    <w:rsid w:val="136F66CF"/>
    <w:rsid w:val="13712A9F"/>
    <w:rsid w:val="137E4505"/>
    <w:rsid w:val="138634A6"/>
    <w:rsid w:val="13916645"/>
    <w:rsid w:val="13AE3878"/>
    <w:rsid w:val="13BB2916"/>
    <w:rsid w:val="13D84274"/>
    <w:rsid w:val="13D901E5"/>
    <w:rsid w:val="13E374CE"/>
    <w:rsid w:val="13EC5F71"/>
    <w:rsid w:val="13F96B6D"/>
    <w:rsid w:val="140B289C"/>
    <w:rsid w:val="140D62C1"/>
    <w:rsid w:val="14186D67"/>
    <w:rsid w:val="14192BB7"/>
    <w:rsid w:val="142676D5"/>
    <w:rsid w:val="143A19E4"/>
    <w:rsid w:val="143F42F3"/>
    <w:rsid w:val="144051B2"/>
    <w:rsid w:val="14434391"/>
    <w:rsid w:val="144F61DA"/>
    <w:rsid w:val="14522278"/>
    <w:rsid w:val="14634202"/>
    <w:rsid w:val="14693FA2"/>
    <w:rsid w:val="146A3D04"/>
    <w:rsid w:val="146C185C"/>
    <w:rsid w:val="1474631C"/>
    <w:rsid w:val="14765F59"/>
    <w:rsid w:val="14810A3E"/>
    <w:rsid w:val="148166BA"/>
    <w:rsid w:val="149F2FE4"/>
    <w:rsid w:val="14B20F69"/>
    <w:rsid w:val="14B45A88"/>
    <w:rsid w:val="14BA5128"/>
    <w:rsid w:val="14BD4C81"/>
    <w:rsid w:val="14E84721"/>
    <w:rsid w:val="14F32B1B"/>
    <w:rsid w:val="14F4543A"/>
    <w:rsid w:val="150558D1"/>
    <w:rsid w:val="15130A9A"/>
    <w:rsid w:val="15332BC0"/>
    <w:rsid w:val="153601C5"/>
    <w:rsid w:val="154843B8"/>
    <w:rsid w:val="154E7926"/>
    <w:rsid w:val="155A142E"/>
    <w:rsid w:val="156D04E1"/>
    <w:rsid w:val="156E44ED"/>
    <w:rsid w:val="157A496E"/>
    <w:rsid w:val="15EA26F3"/>
    <w:rsid w:val="15EF066C"/>
    <w:rsid w:val="15F230E6"/>
    <w:rsid w:val="15F52A30"/>
    <w:rsid w:val="15FC4008"/>
    <w:rsid w:val="15FD7FC2"/>
    <w:rsid w:val="160F7CF5"/>
    <w:rsid w:val="162B467B"/>
    <w:rsid w:val="162F4021"/>
    <w:rsid w:val="163D2640"/>
    <w:rsid w:val="163E2ACB"/>
    <w:rsid w:val="163F70AC"/>
    <w:rsid w:val="165404E6"/>
    <w:rsid w:val="165A12C4"/>
    <w:rsid w:val="165B60C9"/>
    <w:rsid w:val="165D25DE"/>
    <w:rsid w:val="165D57D6"/>
    <w:rsid w:val="16695657"/>
    <w:rsid w:val="16751EB4"/>
    <w:rsid w:val="167F2D2C"/>
    <w:rsid w:val="16893D6C"/>
    <w:rsid w:val="16AB1250"/>
    <w:rsid w:val="16AD495D"/>
    <w:rsid w:val="16BC42BA"/>
    <w:rsid w:val="16BE0494"/>
    <w:rsid w:val="16E178E4"/>
    <w:rsid w:val="16E878B7"/>
    <w:rsid w:val="170061F6"/>
    <w:rsid w:val="170212C1"/>
    <w:rsid w:val="1706559C"/>
    <w:rsid w:val="170F339C"/>
    <w:rsid w:val="17156B45"/>
    <w:rsid w:val="171C6B6E"/>
    <w:rsid w:val="171D2728"/>
    <w:rsid w:val="17250BC5"/>
    <w:rsid w:val="17261EF4"/>
    <w:rsid w:val="172D5E73"/>
    <w:rsid w:val="173956DC"/>
    <w:rsid w:val="173B3498"/>
    <w:rsid w:val="174B1EB0"/>
    <w:rsid w:val="174D1C3B"/>
    <w:rsid w:val="175224D1"/>
    <w:rsid w:val="176C53E7"/>
    <w:rsid w:val="177B50F7"/>
    <w:rsid w:val="178F4347"/>
    <w:rsid w:val="17A91654"/>
    <w:rsid w:val="17AA1097"/>
    <w:rsid w:val="17B669ED"/>
    <w:rsid w:val="17BF5B59"/>
    <w:rsid w:val="17C4348D"/>
    <w:rsid w:val="17D32750"/>
    <w:rsid w:val="17D83750"/>
    <w:rsid w:val="17D90B36"/>
    <w:rsid w:val="17DD038D"/>
    <w:rsid w:val="17DD62FD"/>
    <w:rsid w:val="17E9134C"/>
    <w:rsid w:val="17EA65DF"/>
    <w:rsid w:val="17F453F5"/>
    <w:rsid w:val="1807337A"/>
    <w:rsid w:val="180A74EF"/>
    <w:rsid w:val="180C273E"/>
    <w:rsid w:val="181B2107"/>
    <w:rsid w:val="181F61E3"/>
    <w:rsid w:val="183D3E8E"/>
    <w:rsid w:val="184B5FC0"/>
    <w:rsid w:val="184E0FA9"/>
    <w:rsid w:val="184E65D2"/>
    <w:rsid w:val="18545176"/>
    <w:rsid w:val="1872677E"/>
    <w:rsid w:val="187B2350"/>
    <w:rsid w:val="188C7801"/>
    <w:rsid w:val="18910E95"/>
    <w:rsid w:val="189274E0"/>
    <w:rsid w:val="18961EEC"/>
    <w:rsid w:val="1898073E"/>
    <w:rsid w:val="18BD2382"/>
    <w:rsid w:val="18C35D71"/>
    <w:rsid w:val="18CF24A6"/>
    <w:rsid w:val="18D81BCE"/>
    <w:rsid w:val="18E71B98"/>
    <w:rsid w:val="18F148E1"/>
    <w:rsid w:val="18FA7BB9"/>
    <w:rsid w:val="190753C0"/>
    <w:rsid w:val="190C6CAC"/>
    <w:rsid w:val="190F00C5"/>
    <w:rsid w:val="19122936"/>
    <w:rsid w:val="19145CCA"/>
    <w:rsid w:val="191579B2"/>
    <w:rsid w:val="19297089"/>
    <w:rsid w:val="192F409F"/>
    <w:rsid w:val="193D5E7E"/>
    <w:rsid w:val="193F5818"/>
    <w:rsid w:val="194257E6"/>
    <w:rsid w:val="194B0B02"/>
    <w:rsid w:val="196478F1"/>
    <w:rsid w:val="196E2A72"/>
    <w:rsid w:val="19781FA4"/>
    <w:rsid w:val="197A2092"/>
    <w:rsid w:val="198202C0"/>
    <w:rsid w:val="19A10C24"/>
    <w:rsid w:val="19A65F73"/>
    <w:rsid w:val="19AA220F"/>
    <w:rsid w:val="19C53A0F"/>
    <w:rsid w:val="19C97BBF"/>
    <w:rsid w:val="19D87C85"/>
    <w:rsid w:val="19E2543C"/>
    <w:rsid w:val="19F57D72"/>
    <w:rsid w:val="1A09580F"/>
    <w:rsid w:val="1A0C5445"/>
    <w:rsid w:val="1A0D5626"/>
    <w:rsid w:val="1A1766E8"/>
    <w:rsid w:val="1A1D7DF4"/>
    <w:rsid w:val="1A1F1582"/>
    <w:rsid w:val="1A204319"/>
    <w:rsid w:val="1A2B7304"/>
    <w:rsid w:val="1A2D3F78"/>
    <w:rsid w:val="1A367F46"/>
    <w:rsid w:val="1A476C4E"/>
    <w:rsid w:val="1A534654"/>
    <w:rsid w:val="1A585199"/>
    <w:rsid w:val="1A5B19D6"/>
    <w:rsid w:val="1A5B52A5"/>
    <w:rsid w:val="1A5F124B"/>
    <w:rsid w:val="1A6A7BF0"/>
    <w:rsid w:val="1A6C4333"/>
    <w:rsid w:val="1A795743"/>
    <w:rsid w:val="1A814A54"/>
    <w:rsid w:val="1A8B79A2"/>
    <w:rsid w:val="1AA9696A"/>
    <w:rsid w:val="1AB71087"/>
    <w:rsid w:val="1ABA1FC8"/>
    <w:rsid w:val="1AC9700C"/>
    <w:rsid w:val="1ACD7291"/>
    <w:rsid w:val="1ADA5AFA"/>
    <w:rsid w:val="1ADF230B"/>
    <w:rsid w:val="1AE34C66"/>
    <w:rsid w:val="1B085B54"/>
    <w:rsid w:val="1B096B31"/>
    <w:rsid w:val="1B0B4F2F"/>
    <w:rsid w:val="1B1D6673"/>
    <w:rsid w:val="1B1E197E"/>
    <w:rsid w:val="1B291F8A"/>
    <w:rsid w:val="1B356D7B"/>
    <w:rsid w:val="1B3E52A3"/>
    <w:rsid w:val="1B42549A"/>
    <w:rsid w:val="1B440A6E"/>
    <w:rsid w:val="1B5D1B42"/>
    <w:rsid w:val="1B612DA1"/>
    <w:rsid w:val="1B684130"/>
    <w:rsid w:val="1B684D7F"/>
    <w:rsid w:val="1B68711F"/>
    <w:rsid w:val="1B6B3848"/>
    <w:rsid w:val="1B892AB1"/>
    <w:rsid w:val="1BAC3477"/>
    <w:rsid w:val="1BB4552B"/>
    <w:rsid w:val="1BB6108E"/>
    <w:rsid w:val="1BC577D4"/>
    <w:rsid w:val="1BD37832"/>
    <w:rsid w:val="1BD8637E"/>
    <w:rsid w:val="1BD96DDB"/>
    <w:rsid w:val="1BDC7AD6"/>
    <w:rsid w:val="1BEC0B03"/>
    <w:rsid w:val="1C033E58"/>
    <w:rsid w:val="1C1A06AB"/>
    <w:rsid w:val="1C2C1EA2"/>
    <w:rsid w:val="1C5446B4"/>
    <w:rsid w:val="1C644C84"/>
    <w:rsid w:val="1C8C6544"/>
    <w:rsid w:val="1C9C5A5F"/>
    <w:rsid w:val="1C9E5F8D"/>
    <w:rsid w:val="1CA02BDA"/>
    <w:rsid w:val="1CA107E3"/>
    <w:rsid w:val="1CAB69CA"/>
    <w:rsid w:val="1CAC44F0"/>
    <w:rsid w:val="1CAD4FBF"/>
    <w:rsid w:val="1CB12502"/>
    <w:rsid w:val="1CBF4493"/>
    <w:rsid w:val="1CC26A61"/>
    <w:rsid w:val="1CC44688"/>
    <w:rsid w:val="1CC949A7"/>
    <w:rsid w:val="1CCE263D"/>
    <w:rsid w:val="1CDF0421"/>
    <w:rsid w:val="1CE00C35"/>
    <w:rsid w:val="1CE63A5F"/>
    <w:rsid w:val="1CEA0FBF"/>
    <w:rsid w:val="1CEE68B6"/>
    <w:rsid w:val="1CF245F9"/>
    <w:rsid w:val="1CFD5264"/>
    <w:rsid w:val="1D0654F6"/>
    <w:rsid w:val="1D29096B"/>
    <w:rsid w:val="1D303D0C"/>
    <w:rsid w:val="1D7163E2"/>
    <w:rsid w:val="1D81772B"/>
    <w:rsid w:val="1D966D4B"/>
    <w:rsid w:val="1D976424"/>
    <w:rsid w:val="1D9B1C8A"/>
    <w:rsid w:val="1DA9073E"/>
    <w:rsid w:val="1DAA3471"/>
    <w:rsid w:val="1DB279C1"/>
    <w:rsid w:val="1DE858DD"/>
    <w:rsid w:val="1DEB35A3"/>
    <w:rsid w:val="1E14234D"/>
    <w:rsid w:val="1E1F05E8"/>
    <w:rsid w:val="1E2C710D"/>
    <w:rsid w:val="1E2F6D4A"/>
    <w:rsid w:val="1E4D4DDF"/>
    <w:rsid w:val="1E4E0423"/>
    <w:rsid w:val="1E4E24F3"/>
    <w:rsid w:val="1E552F6B"/>
    <w:rsid w:val="1E630C85"/>
    <w:rsid w:val="1E6E5B19"/>
    <w:rsid w:val="1E880F6F"/>
    <w:rsid w:val="1E883B31"/>
    <w:rsid w:val="1E935967"/>
    <w:rsid w:val="1E9E60BA"/>
    <w:rsid w:val="1EB02200"/>
    <w:rsid w:val="1EB458DE"/>
    <w:rsid w:val="1EB542DA"/>
    <w:rsid w:val="1EB83620"/>
    <w:rsid w:val="1EC27F9B"/>
    <w:rsid w:val="1EC9341E"/>
    <w:rsid w:val="1ECB1107"/>
    <w:rsid w:val="1ED37FC3"/>
    <w:rsid w:val="1ED41446"/>
    <w:rsid w:val="1ED478D1"/>
    <w:rsid w:val="1EE1293A"/>
    <w:rsid w:val="1EF60275"/>
    <w:rsid w:val="1EFC62AD"/>
    <w:rsid w:val="1F0D7A53"/>
    <w:rsid w:val="1F1104FB"/>
    <w:rsid w:val="1F176598"/>
    <w:rsid w:val="1F1F369F"/>
    <w:rsid w:val="1F3802BD"/>
    <w:rsid w:val="1F3C03A4"/>
    <w:rsid w:val="1F406E16"/>
    <w:rsid w:val="1F58466C"/>
    <w:rsid w:val="1F7107B2"/>
    <w:rsid w:val="1F7407E6"/>
    <w:rsid w:val="1F8B509A"/>
    <w:rsid w:val="1F8F0AF0"/>
    <w:rsid w:val="1F9B513F"/>
    <w:rsid w:val="1FB23C6B"/>
    <w:rsid w:val="1FBA7361"/>
    <w:rsid w:val="1FC3293E"/>
    <w:rsid w:val="1FC86021"/>
    <w:rsid w:val="1FCE66E7"/>
    <w:rsid w:val="1FD3056E"/>
    <w:rsid w:val="1FD44B72"/>
    <w:rsid w:val="1FD6128A"/>
    <w:rsid w:val="1FE01650"/>
    <w:rsid w:val="1FE27D00"/>
    <w:rsid w:val="1FE36034"/>
    <w:rsid w:val="1FF03BF6"/>
    <w:rsid w:val="20021E18"/>
    <w:rsid w:val="200A3535"/>
    <w:rsid w:val="200F54C2"/>
    <w:rsid w:val="20123698"/>
    <w:rsid w:val="20150574"/>
    <w:rsid w:val="201A79C2"/>
    <w:rsid w:val="202D2BC1"/>
    <w:rsid w:val="204A1E47"/>
    <w:rsid w:val="20517769"/>
    <w:rsid w:val="20601879"/>
    <w:rsid w:val="20633456"/>
    <w:rsid w:val="20672C08"/>
    <w:rsid w:val="20741C3E"/>
    <w:rsid w:val="207F0B66"/>
    <w:rsid w:val="20814E6D"/>
    <w:rsid w:val="20863300"/>
    <w:rsid w:val="208E2209"/>
    <w:rsid w:val="20940315"/>
    <w:rsid w:val="20962FE6"/>
    <w:rsid w:val="20A04CD4"/>
    <w:rsid w:val="20A3147C"/>
    <w:rsid w:val="20BB5EEC"/>
    <w:rsid w:val="20BD0621"/>
    <w:rsid w:val="20BE3D75"/>
    <w:rsid w:val="20C01177"/>
    <w:rsid w:val="20E757FA"/>
    <w:rsid w:val="20F55CDD"/>
    <w:rsid w:val="20FA701E"/>
    <w:rsid w:val="21052421"/>
    <w:rsid w:val="211A3333"/>
    <w:rsid w:val="211F415A"/>
    <w:rsid w:val="2131647F"/>
    <w:rsid w:val="21395C97"/>
    <w:rsid w:val="214B077B"/>
    <w:rsid w:val="21582D4C"/>
    <w:rsid w:val="215D6AB8"/>
    <w:rsid w:val="216713E0"/>
    <w:rsid w:val="21932C88"/>
    <w:rsid w:val="21955EC7"/>
    <w:rsid w:val="21A659B2"/>
    <w:rsid w:val="21BD6A53"/>
    <w:rsid w:val="21C52FD6"/>
    <w:rsid w:val="21D36874"/>
    <w:rsid w:val="21DD63A5"/>
    <w:rsid w:val="21DE6167"/>
    <w:rsid w:val="21E359DD"/>
    <w:rsid w:val="21F52495"/>
    <w:rsid w:val="21F8120C"/>
    <w:rsid w:val="21FD1119"/>
    <w:rsid w:val="22160D89"/>
    <w:rsid w:val="221A6E7F"/>
    <w:rsid w:val="222D7E81"/>
    <w:rsid w:val="22473857"/>
    <w:rsid w:val="22483116"/>
    <w:rsid w:val="22493107"/>
    <w:rsid w:val="224D112D"/>
    <w:rsid w:val="226151FC"/>
    <w:rsid w:val="226338A3"/>
    <w:rsid w:val="227E02EC"/>
    <w:rsid w:val="229E5239"/>
    <w:rsid w:val="22AF2ACB"/>
    <w:rsid w:val="22BD1159"/>
    <w:rsid w:val="22BF4D31"/>
    <w:rsid w:val="22D7711D"/>
    <w:rsid w:val="22D94EC6"/>
    <w:rsid w:val="22DB68C8"/>
    <w:rsid w:val="22DD3DAD"/>
    <w:rsid w:val="22E43E3E"/>
    <w:rsid w:val="22E70030"/>
    <w:rsid w:val="22EE5862"/>
    <w:rsid w:val="23077BC0"/>
    <w:rsid w:val="230A7B0B"/>
    <w:rsid w:val="23234FC3"/>
    <w:rsid w:val="232C069B"/>
    <w:rsid w:val="23394EF3"/>
    <w:rsid w:val="2352031A"/>
    <w:rsid w:val="23731D93"/>
    <w:rsid w:val="237F1F21"/>
    <w:rsid w:val="23953F30"/>
    <w:rsid w:val="239F3FFD"/>
    <w:rsid w:val="23A3664D"/>
    <w:rsid w:val="23B35594"/>
    <w:rsid w:val="23B553DE"/>
    <w:rsid w:val="23CC1C6B"/>
    <w:rsid w:val="23E34A76"/>
    <w:rsid w:val="23F774E5"/>
    <w:rsid w:val="23F944BF"/>
    <w:rsid w:val="23FD7C9D"/>
    <w:rsid w:val="24157712"/>
    <w:rsid w:val="241F78EC"/>
    <w:rsid w:val="24281606"/>
    <w:rsid w:val="24304C40"/>
    <w:rsid w:val="24377449"/>
    <w:rsid w:val="244A1131"/>
    <w:rsid w:val="244E07EA"/>
    <w:rsid w:val="247363AC"/>
    <w:rsid w:val="24736D00"/>
    <w:rsid w:val="2478640D"/>
    <w:rsid w:val="247E2C16"/>
    <w:rsid w:val="24853FA4"/>
    <w:rsid w:val="248C5333"/>
    <w:rsid w:val="248D0F3D"/>
    <w:rsid w:val="249415ED"/>
    <w:rsid w:val="249E5565"/>
    <w:rsid w:val="24A2179D"/>
    <w:rsid w:val="24A74770"/>
    <w:rsid w:val="24AF1CE3"/>
    <w:rsid w:val="24B00072"/>
    <w:rsid w:val="24BD2AB6"/>
    <w:rsid w:val="24CF521F"/>
    <w:rsid w:val="24E22FF5"/>
    <w:rsid w:val="24E3027B"/>
    <w:rsid w:val="24E72569"/>
    <w:rsid w:val="24E74BF1"/>
    <w:rsid w:val="24F502CB"/>
    <w:rsid w:val="24FE6010"/>
    <w:rsid w:val="250255F5"/>
    <w:rsid w:val="25050C41"/>
    <w:rsid w:val="250C3DCF"/>
    <w:rsid w:val="250F1AC0"/>
    <w:rsid w:val="25127931"/>
    <w:rsid w:val="251E5F1F"/>
    <w:rsid w:val="252500EC"/>
    <w:rsid w:val="252724A0"/>
    <w:rsid w:val="25316CAC"/>
    <w:rsid w:val="2534190D"/>
    <w:rsid w:val="253E444F"/>
    <w:rsid w:val="253E611B"/>
    <w:rsid w:val="25455653"/>
    <w:rsid w:val="254C1312"/>
    <w:rsid w:val="254F25A0"/>
    <w:rsid w:val="25663CDA"/>
    <w:rsid w:val="256736AA"/>
    <w:rsid w:val="25695674"/>
    <w:rsid w:val="2573122E"/>
    <w:rsid w:val="25753B62"/>
    <w:rsid w:val="257E039C"/>
    <w:rsid w:val="25801AF2"/>
    <w:rsid w:val="258204E4"/>
    <w:rsid w:val="259A6743"/>
    <w:rsid w:val="259A75DB"/>
    <w:rsid w:val="25A02AF0"/>
    <w:rsid w:val="25C23C69"/>
    <w:rsid w:val="25C45D22"/>
    <w:rsid w:val="25CD62F9"/>
    <w:rsid w:val="25F85957"/>
    <w:rsid w:val="26006DC0"/>
    <w:rsid w:val="260E4E76"/>
    <w:rsid w:val="261D2BAA"/>
    <w:rsid w:val="26215C3B"/>
    <w:rsid w:val="26263565"/>
    <w:rsid w:val="26282E39"/>
    <w:rsid w:val="262C374E"/>
    <w:rsid w:val="263B5A87"/>
    <w:rsid w:val="263C4B36"/>
    <w:rsid w:val="263C6D6D"/>
    <w:rsid w:val="264138D4"/>
    <w:rsid w:val="265A4FBD"/>
    <w:rsid w:val="26812549"/>
    <w:rsid w:val="26824745"/>
    <w:rsid w:val="26832E3C"/>
    <w:rsid w:val="26925E39"/>
    <w:rsid w:val="2695285E"/>
    <w:rsid w:val="269739E8"/>
    <w:rsid w:val="269E1AEB"/>
    <w:rsid w:val="26A11355"/>
    <w:rsid w:val="26AF1A4D"/>
    <w:rsid w:val="26CC2FFF"/>
    <w:rsid w:val="26CD258B"/>
    <w:rsid w:val="26D65A75"/>
    <w:rsid w:val="26E42A05"/>
    <w:rsid w:val="26EE51AA"/>
    <w:rsid w:val="270839E3"/>
    <w:rsid w:val="27247AA4"/>
    <w:rsid w:val="27265811"/>
    <w:rsid w:val="27280E23"/>
    <w:rsid w:val="272F27C8"/>
    <w:rsid w:val="27335CC4"/>
    <w:rsid w:val="275339CD"/>
    <w:rsid w:val="277017FF"/>
    <w:rsid w:val="2776582A"/>
    <w:rsid w:val="277976C4"/>
    <w:rsid w:val="277C473C"/>
    <w:rsid w:val="27856069"/>
    <w:rsid w:val="27906EE8"/>
    <w:rsid w:val="27932534"/>
    <w:rsid w:val="279B3ADF"/>
    <w:rsid w:val="27AD767B"/>
    <w:rsid w:val="27C04F0D"/>
    <w:rsid w:val="27D7507C"/>
    <w:rsid w:val="27DF1C1D"/>
    <w:rsid w:val="27E401CA"/>
    <w:rsid w:val="27F80C31"/>
    <w:rsid w:val="27FA3169"/>
    <w:rsid w:val="27FF34BF"/>
    <w:rsid w:val="2822092D"/>
    <w:rsid w:val="282877AB"/>
    <w:rsid w:val="28296293"/>
    <w:rsid w:val="2848123F"/>
    <w:rsid w:val="2849353B"/>
    <w:rsid w:val="28567364"/>
    <w:rsid w:val="285D2B42"/>
    <w:rsid w:val="285F21E7"/>
    <w:rsid w:val="28695261"/>
    <w:rsid w:val="286B6916"/>
    <w:rsid w:val="287074CA"/>
    <w:rsid w:val="28786F8D"/>
    <w:rsid w:val="28812F43"/>
    <w:rsid w:val="289F6654"/>
    <w:rsid w:val="28AC6435"/>
    <w:rsid w:val="28B12578"/>
    <w:rsid w:val="28B801A7"/>
    <w:rsid w:val="28BD4B57"/>
    <w:rsid w:val="28D805BD"/>
    <w:rsid w:val="28E25E42"/>
    <w:rsid w:val="28F214DC"/>
    <w:rsid w:val="28F7681D"/>
    <w:rsid w:val="2922671A"/>
    <w:rsid w:val="292938D1"/>
    <w:rsid w:val="292A360C"/>
    <w:rsid w:val="29304C4C"/>
    <w:rsid w:val="293B2CEA"/>
    <w:rsid w:val="295F6A41"/>
    <w:rsid w:val="296D746F"/>
    <w:rsid w:val="29722EAC"/>
    <w:rsid w:val="29896CCB"/>
    <w:rsid w:val="299A22A0"/>
    <w:rsid w:val="29B14754"/>
    <w:rsid w:val="29B260EA"/>
    <w:rsid w:val="29B95DAE"/>
    <w:rsid w:val="29C66AFA"/>
    <w:rsid w:val="29C9356B"/>
    <w:rsid w:val="29D17C77"/>
    <w:rsid w:val="29D578D4"/>
    <w:rsid w:val="29EE0062"/>
    <w:rsid w:val="29F86FC6"/>
    <w:rsid w:val="2A0140CD"/>
    <w:rsid w:val="2A107DF7"/>
    <w:rsid w:val="2A132E42"/>
    <w:rsid w:val="2A173754"/>
    <w:rsid w:val="2A2B62B5"/>
    <w:rsid w:val="2A573918"/>
    <w:rsid w:val="2A6641C2"/>
    <w:rsid w:val="2A6C1A0D"/>
    <w:rsid w:val="2A736D61"/>
    <w:rsid w:val="2A7674A9"/>
    <w:rsid w:val="2A823220"/>
    <w:rsid w:val="2A930540"/>
    <w:rsid w:val="2A9B56E6"/>
    <w:rsid w:val="2AAA20C2"/>
    <w:rsid w:val="2ABB36A7"/>
    <w:rsid w:val="2ACA2711"/>
    <w:rsid w:val="2ADC3CFB"/>
    <w:rsid w:val="2AE8703B"/>
    <w:rsid w:val="2AEC0CD7"/>
    <w:rsid w:val="2AF56CDC"/>
    <w:rsid w:val="2B0379D1"/>
    <w:rsid w:val="2B067E60"/>
    <w:rsid w:val="2B102B37"/>
    <w:rsid w:val="2B14398C"/>
    <w:rsid w:val="2B287437"/>
    <w:rsid w:val="2B2C5F47"/>
    <w:rsid w:val="2B312B28"/>
    <w:rsid w:val="2B3163C1"/>
    <w:rsid w:val="2B395AE8"/>
    <w:rsid w:val="2B5620E3"/>
    <w:rsid w:val="2B57140A"/>
    <w:rsid w:val="2B5E1DE1"/>
    <w:rsid w:val="2B6A5CA2"/>
    <w:rsid w:val="2B77216D"/>
    <w:rsid w:val="2B816B0E"/>
    <w:rsid w:val="2B8A00F2"/>
    <w:rsid w:val="2BB85FA6"/>
    <w:rsid w:val="2BC413BB"/>
    <w:rsid w:val="2BD02AD5"/>
    <w:rsid w:val="2BF437BD"/>
    <w:rsid w:val="2BF94E30"/>
    <w:rsid w:val="2C006A2E"/>
    <w:rsid w:val="2C1F5E0E"/>
    <w:rsid w:val="2C215C14"/>
    <w:rsid w:val="2C38751E"/>
    <w:rsid w:val="2C3B17CC"/>
    <w:rsid w:val="2C42165F"/>
    <w:rsid w:val="2C45574A"/>
    <w:rsid w:val="2C4A2114"/>
    <w:rsid w:val="2C5640C1"/>
    <w:rsid w:val="2C5A23B0"/>
    <w:rsid w:val="2C6C77F8"/>
    <w:rsid w:val="2C857869"/>
    <w:rsid w:val="2C8A6266"/>
    <w:rsid w:val="2CAE2A6A"/>
    <w:rsid w:val="2CB1017E"/>
    <w:rsid w:val="2CD16667"/>
    <w:rsid w:val="2CEB4BC0"/>
    <w:rsid w:val="2CED0939"/>
    <w:rsid w:val="2CF46965"/>
    <w:rsid w:val="2CF52589"/>
    <w:rsid w:val="2CF577ED"/>
    <w:rsid w:val="2D0143E4"/>
    <w:rsid w:val="2D0A14EA"/>
    <w:rsid w:val="2D0A3299"/>
    <w:rsid w:val="2D0F08AF"/>
    <w:rsid w:val="2D140993"/>
    <w:rsid w:val="2D2F5CF7"/>
    <w:rsid w:val="2D316F91"/>
    <w:rsid w:val="2D3D7935"/>
    <w:rsid w:val="2D401D7D"/>
    <w:rsid w:val="2D6B5B8B"/>
    <w:rsid w:val="2D7B5F44"/>
    <w:rsid w:val="2D911683"/>
    <w:rsid w:val="2DA1343D"/>
    <w:rsid w:val="2DA51C69"/>
    <w:rsid w:val="2DA7239E"/>
    <w:rsid w:val="2DAC3027"/>
    <w:rsid w:val="2DC33F22"/>
    <w:rsid w:val="2DC85AC2"/>
    <w:rsid w:val="2DD0413C"/>
    <w:rsid w:val="2DD5604D"/>
    <w:rsid w:val="2DE0513F"/>
    <w:rsid w:val="2DE55704"/>
    <w:rsid w:val="2DEC700C"/>
    <w:rsid w:val="2DF33D2D"/>
    <w:rsid w:val="2E0F130F"/>
    <w:rsid w:val="2E0F3743"/>
    <w:rsid w:val="2E2C37BC"/>
    <w:rsid w:val="2E2E6A86"/>
    <w:rsid w:val="2E356854"/>
    <w:rsid w:val="2E3750BD"/>
    <w:rsid w:val="2E3A2A1B"/>
    <w:rsid w:val="2E445DAC"/>
    <w:rsid w:val="2E4C0B19"/>
    <w:rsid w:val="2E51098C"/>
    <w:rsid w:val="2E530C6F"/>
    <w:rsid w:val="2E5A189F"/>
    <w:rsid w:val="2E616B36"/>
    <w:rsid w:val="2E7E32C8"/>
    <w:rsid w:val="2E89452C"/>
    <w:rsid w:val="2E8B11D0"/>
    <w:rsid w:val="2E8C3533"/>
    <w:rsid w:val="2E9541CC"/>
    <w:rsid w:val="2E9F3EB4"/>
    <w:rsid w:val="2EAA152E"/>
    <w:rsid w:val="2EB274C4"/>
    <w:rsid w:val="2EB52D1C"/>
    <w:rsid w:val="2EC50704"/>
    <w:rsid w:val="2EC76F67"/>
    <w:rsid w:val="2ED32F80"/>
    <w:rsid w:val="2EE0579A"/>
    <w:rsid w:val="2EED1496"/>
    <w:rsid w:val="2EF312C6"/>
    <w:rsid w:val="2EF678A9"/>
    <w:rsid w:val="2F014D6D"/>
    <w:rsid w:val="2F047096"/>
    <w:rsid w:val="2F097580"/>
    <w:rsid w:val="2F11723D"/>
    <w:rsid w:val="2F191AB1"/>
    <w:rsid w:val="2F225391"/>
    <w:rsid w:val="2F2362E2"/>
    <w:rsid w:val="2F2458A7"/>
    <w:rsid w:val="2F270358"/>
    <w:rsid w:val="2F334919"/>
    <w:rsid w:val="2F394E6F"/>
    <w:rsid w:val="2F4D58A9"/>
    <w:rsid w:val="2F5300F5"/>
    <w:rsid w:val="2F57478F"/>
    <w:rsid w:val="2F624378"/>
    <w:rsid w:val="2F636B3A"/>
    <w:rsid w:val="2F652FB2"/>
    <w:rsid w:val="2F664949"/>
    <w:rsid w:val="2F6A621D"/>
    <w:rsid w:val="2F6D12A6"/>
    <w:rsid w:val="2F6D297D"/>
    <w:rsid w:val="2F701931"/>
    <w:rsid w:val="2F7075FF"/>
    <w:rsid w:val="2F976BB0"/>
    <w:rsid w:val="2FA86552"/>
    <w:rsid w:val="2FBB2A05"/>
    <w:rsid w:val="2FBE7AFB"/>
    <w:rsid w:val="2FC811E9"/>
    <w:rsid w:val="2FCA31B3"/>
    <w:rsid w:val="2FCE5A81"/>
    <w:rsid w:val="2FD77832"/>
    <w:rsid w:val="2FDD3677"/>
    <w:rsid w:val="2FE909E4"/>
    <w:rsid w:val="2FEF2A3D"/>
    <w:rsid w:val="2FF511E7"/>
    <w:rsid w:val="2FF60AE0"/>
    <w:rsid w:val="2FFB15BE"/>
    <w:rsid w:val="300C73F8"/>
    <w:rsid w:val="30122BD3"/>
    <w:rsid w:val="301F2B6C"/>
    <w:rsid w:val="302208F9"/>
    <w:rsid w:val="30275F10"/>
    <w:rsid w:val="30284824"/>
    <w:rsid w:val="30336FAA"/>
    <w:rsid w:val="30481C22"/>
    <w:rsid w:val="304D0758"/>
    <w:rsid w:val="304E7E8A"/>
    <w:rsid w:val="3059008F"/>
    <w:rsid w:val="306550D4"/>
    <w:rsid w:val="3071362F"/>
    <w:rsid w:val="308D56F1"/>
    <w:rsid w:val="308F410B"/>
    <w:rsid w:val="30981AA5"/>
    <w:rsid w:val="30AC2ACA"/>
    <w:rsid w:val="30B36080"/>
    <w:rsid w:val="30BD2BD7"/>
    <w:rsid w:val="30E63EA2"/>
    <w:rsid w:val="30EE4C7F"/>
    <w:rsid w:val="30F6248A"/>
    <w:rsid w:val="30FF351C"/>
    <w:rsid w:val="311741DE"/>
    <w:rsid w:val="311C39E0"/>
    <w:rsid w:val="31365CBC"/>
    <w:rsid w:val="313905F0"/>
    <w:rsid w:val="31405EEE"/>
    <w:rsid w:val="31450E22"/>
    <w:rsid w:val="31505EEF"/>
    <w:rsid w:val="315A3F60"/>
    <w:rsid w:val="31741628"/>
    <w:rsid w:val="317E2B57"/>
    <w:rsid w:val="318140D7"/>
    <w:rsid w:val="31833929"/>
    <w:rsid w:val="31A569B0"/>
    <w:rsid w:val="31A91F5E"/>
    <w:rsid w:val="31B534BB"/>
    <w:rsid w:val="31B770FA"/>
    <w:rsid w:val="31D15234"/>
    <w:rsid w:val="31D62A53"/>
    <w:rsid w:val="31EC7411"/>
    <w:rsid w:val="32007F01"/>
    <w:rsid w:val="320C7AB3"/>
    <w:rsid w:val="32134E13"/>
    <w:rsid w:val="32252923"/>
    <w:rsid w:val="322F37A1"/>
    <w:rsid w:val="324120A5"/>
    <w:rsid w:val="32417253"/>
    <w:rsid w:val="32576126"/>
    <w:rsid w:val="325A081E"/>
    <w:rsid w:val="327E1384"/>
    <w:rsid w:val="328674B4"/>
    <w:rsid w:val="328E66F6"/>
    <w:rsid w:val="32921A5B"/>
    <w:rsid w:val="32A15AE4"/>
    <w:rsid w:val="32A324A7"/>
    <w:rsid w:val="32A425D7"/>
    <w:rsid w:val="32B36180"/>
    <w:rsid w:val="32C72AC4"/>
    <w:rsid w:val="32CF75AE"/>
    <w:rsid w:val="32E455C2"/>
    <w:rsid w:val="32E4664F"/>
    <w:rsid w:val="32E50688"/>
    <w:rsid w:val="33000B8E"/>
    <w:rsid w:val="33017D1E"/>
    <w:rsid w:val="330561E8"/>
    <w:rsid w:val="33056836"/>
    <w:rsid w:val="33060118"/>
    <w:rsid w:val="333D3D6D"/>
    <w:rsid w:val="335401AA"/>
    <w:rsid w:val="33577B5E"/>
    <w:rsid w:val="336472BC"/>
    <w:rsid w:val="338D7281"/>
    <w:rsid w:val="338E4750"/>
    <w:rsid w:val="3395537D"/>
    <w:rsid w:val="339B3BB5"/>
    <w:rsid w:val="33A02354"/>
    <w:rsid w:val="33A47CBE"/>
    <w:rsid w:val="33A53D1B"/>
    <w:rsid w:val="33AD2BD0"/>
    <w:rsid w:val="33B60F22"/>
    <w:rsid w:val="33BD4C84"/>
    <w:rsid w:val="33C106AA"/>
    <w:rsid w:val="33C7264F"/>
    <w:rsid w:val="33D4015C"/>
    <w:rsid w:val="33DE3752"/>
    <w:rsid w:val="33F4306A"/>
    <w:rsid w:val="34116EF0"/>
    <w:rsid w:val="34120C85"/>
    <w:rsid w:val="341D008A"/>
    <w:rsid w:val="34255EE2"/>
    <w:rsid w:val="34337CD5"/>
    <w:rsid w:val="343A1A3F"/>
    <w:rsid w:val="34421184"/>
    <w:rsid w:val="34423502"/>
    <w:rsid w:val="344A7EC6"/>
    <w:rsid w:val="344E0800"/>
    <w:rsid w:val="344F6ECA"/>
    <w:rsid w:val="34500455"/>
    <w:rsid w:val="34544DEC"/>
    <w:rsid w:val="345D0CE3"/>
    <w:rsid w:val="345E47EA"/>
    <w:rsid w:val="346040E6"/>
    <w:rsid w:val="34637732"/>
    <w:rsid w:val="34675474"/>
    <w:rsid w:val="346C1D10"/>
    <w:rsid w:val="346F532C"/>
    <w:rsid w:val="3471226A"/>
    <w:rsid w:val="348778C5"/>
    <w:rsid w:val="348F0527"/>
    <w:rsid w:val="34962473"/>
    <w:rsid w:val="34973DAC"/>
    <w:rsid w:val="34C3533D"/>
    <w:rsid w:val="34C957E7"/>
    <w:rsid w:val="34CB23BD"/>
    <w:rsid w:val="34DA5C46"/>
    <w:rsid w:val="34E22D4D"/>
    <w:rsid w:val="34E87CF6"/>
    <w:rsid w:val="34EE7BB1"/>
    <w:rsid w:val="34F3647D"/>
    <w:rsid w:val="35026503"/>
    <w:rsid w:val="3509733E"/>
    <w:rsid w:val="350B476C"/>
    <w:rsid w:val="35112AB2"/>
    <w:rsid w:val="35170C48"/>
    <w:rsid w:val="351A4FD4"/>
    <w:rsid w:val="351F4BDB"/>
    <w:rsid w:val="35390A5C"/>
    <w:rsid w:val="35661288"/>
    <w:rsid w:val="35821FE9"/>
    <w:rsid w:val="358636D8"/>
    <w:rsid w:val="35870A1D"/>
    <w:rsid w:val="35887EFA"/>
    <w:rsid w:val="35894BB0"/>
    <w:rsid w:val="35A44DDA"/>
    <w:rsid w:val="35B504E8"/>
    <w:rsid w:val="35C14902"/>
    <w:rsid w:val="35C73224"/>
    <w:rsid w:val="35CF29B4"/>
    <w:rsid w:val="35D24B6F"/>
    <w:rsid w:val="360F1719"/>
    <w:rsid w:val="36232E67"/>
    <w:rsid w:val="3626734A"/>
    <w:rsid w:val="36321AB2"/>
    <w:rsid w:val="36462E68"/>
    <w:rsid w:val="364B5F61"/>
    <w:rsid w:val="36533F02"/>
    <w:rsid w:val="36565775"/>
    <w:rsid w:val="365B196F"/>
    <w:rsid w:val="365E2B6B"/>
    <w:rsid w:val="36637A36"/>
    <w:rsid w:val="367A3030"/>
    <w:rsid w:val="36880509"/>
    <w:rsid w:val="368A0733"/>
    <w:rsid w:val="368B1D19"/>
    <w:rsid w:val="368E4832"/>
    <w:rsid w:val="369816E6"/>
    <w:rsid w:val="36A66282"/>
    <w:rsid w:val="36A91D74"/>
    <w:rsid w:val="36CC15BF"/>
    <w:rsid w:val="36D26A73"/>
    <w:rsid w:val="36F21665"/>
    <w:rsid w:val="36F25C99"/>
    <w:rsid w:val="36F40B16"/>
    <w:rsid w:val="370A1A81"/>
    <w:rsid w:val="370A2E1C"/>
    <w:rsid w:val="371C4403"/>
    <w:rsid w:val="371D62BE"/>
    <w:rsid w:val="37227D0E"/>
    <w:rsid w:val="37261827"/>
    <w:rsid w:val="372B4B9D"/>
    <w:rsid w:val="373130D1"/>
    <w:rsid w:val="37376C4C"/>
    <w:rsid w:val="373A29CC"/>
    <w:rsid w:val="37402D47"/>
    <w:rsid w:val="37595639"/>
    <w:rsid w:val="375A12C0"/>
    <w:rsid w:val="375D571E"/>
    <w:rsid w:val="3763345A"/>
    <w:rsid w:val="37860639"/>
    <w:rsid w:val="37987709"/>
    <w:rsid w:val="37A670C2"/>
    <w:rsid w:val="37B0547B"/>
    <w:rsid w:val="37C93D50"/>
    <w:rsid w:val="37D27A66"/>
    <w:rsid w:val="37D3017F"/>
    <w:rsid w:val="37E658C2"/>
    <w:rsid w:val="37EF1A09"/>
    <w:rsid w:val="38107BD1"/>
    <w:rsid w:val="38117BEB"/>
    <w:rsid w:val="381C20D2"/>
    <w:rsid w:val="381D3358"/>
    <w:rsid w:val="386A6A93"/>
    <w:rsid w:val="386F48F8"/>
    <w:rsid w:val="38831CA2"/>
    <w:rsid w:val="38B74873"/>
    <w:rsid w:val="38BC19DF"/>
    <w:rsid w:val="38CA3328"/>
    <w:rsid w:val="38D417F7"/>
    <w:rsid w:val="38D52552"/>
    <w:rsid w:val="38D70E11"/>
    <w:rsid w:val="38D97B5E"/>
    <w:rsid w:val="38E1342F"/>
    <w:rsid w:val="38F82E5F"/>
    <w:rsid w:val="39030B43"/>
    <w:rsid w:val="39063B86"/>
    <w:rsid w:val="391E6E5C"/>
    <w:rsid w:val="3924663E"/>
    <w:rsid w:val="39265461"/>
    <w:rsid w:val="39286129"/>
    <w:rsid w:val="3929719C"/>
    <w:rsid w:val="39360D73"/>
    <w:rsid w:val="39365636"/>
    <w:rsid w:val="394C22B5"/>
    <w:rsid w:val="396F3BB8"/>
    <w:rsid w:val="397C551E"/>
    <w:rsid w:val="397D5EB4"/>
    <w:rsid w:val="398377B4"/>
    <w:rsid w:val="39A05C69"/>
    <w:rsid w:val="39A14F85"/>
    <w:rsid w:val="39AF772E"/>
    <w:rsid w:val="39B36A66"/>
    <w:rsid w:val="39BA6046"/>
    <w:rsid w:val="39BA6FC4"/>
    <w:rsid w:val="39C1724D"/>
    <w:rsid w:val="39C5093C"/>
    <w:rsid w:val="39DC55E0"/>
    <w:rsid w:val="39DF447A"/>
    <w:rsid w:val="3A105C66"/>
    <w:rsid w:val="3A1621E7"/>
    <w:rsid w:val="3A22463F"/>
    <w:rsid w:val="3A316DD9"/>
    <w:rsid w:val="3A3728D1"/>
    <w:rsid w:val="3A4D3791"/>
    <w:rsid w:val="3A502507"/>
    <w:rsid w:val="3A5F18E7"/>
    <w:rsid w:val="3A647D60"/>
    <w:rsid w:val="3A6F5083"/>
    <w:rsid w:val="3A744447"/>
    <w:rsid w:val="3A7B425D"/>
    <w:rsid w:val="3A7D77A0"/>
    <w:rsid w:val="3A92702B"/>
    <w:rsid w:val="3A9A30C2"/>
    <w:rsid w:val="3AC505EE"/>
    <w:rsid w:val="3AC7394B"/>
    <w:rsid w:val="3ADD0576"/>
    <w:rsid w:val="3AF048AF"/>
    <w:rsid w:val="3AF25543"/>
    <w:rsid w:val="3B0529E1"/>
    <w:rsid w:val="3B0C6285"/>
    <w:rsid w:val="3B1779B8"/>
    <w:rsid w:val="3B286AFE"/>
    <w:rsid w:val="3B2D469D"/>
    <w:rsid w:val="3B304DB4"/>
    <w:rsid w:val="3B441834"/>
    <w:rsid w:val="3B4756B8"/>
    <w:rsid w:val="3B5B1567"/>
    <w:rsid w:val="3B5F037D"/>
    <w:rsid w:val="3B7316F7"/>
    <w:rsid w:val="3B793720"/>
    <w:rsid w:val="3B85186F"/>
    <w:rsid w:val="3B8A379C"/>
    <w:rsid w:val="3B8D4D19"/>
    <w:rsid w:val="3B9B06A4"/>
    <w:rsid w:val="3B9F005B"/>
    <w:rsid w:val="3BC00D24"/>
    <w:rsid w:val="3BCB633B"/>
    <w:rsid w:val="3BD525A0"/>
    <w:rsid w:val="3BDC3C0A"/>
    <w:rsid w:val="3BDE3D31"/>
    <w:rsid w:val="3BF33A92"/>
    <w:rsid w:val="3BF53366"/>
    <w:rsid w:val="3C051818"/>
    <w:rsid w:val="3C09416F"/>
    <w:rsid w:val="3C140E94"/>
    <w:rsid w:val="3C173494"/>
    <w:rsid w:val="3C1F05B3"/>
    <w:rsid w:val="3C233668"/>
    <w:rsid w:val="3C2F0FA5"/>
    <w:rsid w:val="3C3C6A20"/>
    <w:rsid w:val="3C4254F8"/>
    <w:rsid w:val="3C47049B"/>
    <w:rsid w:val="3C576E06"/>
    <w:rsid w:val="3C582C3F"/>
    <w:rsid w:val="3C5F6A31"/>
    <w:rsid w:val="3C636E13"/>
    <w:rsid w:val="3C814B93"/>
    <w:rsid w:val="3C8A17BF"/>
    <w:rsid w:val="3C94492D"/>
    <w:rsid w:val="3C9D417B"/>
    <w:rsid w:val="3CB52EE3"/>
    <w:rsid w:val="3CC25377"/>
    <w:rsid w:val="3CC316B6"/>
    <w:rsid w:val="3CCD283D"/>
    <w:rsid w:val="3CCF164F"/>
    <w:rsid w:val="3CD32666"/>
    <w:rsid w:val="3CE31410"/>
    <w:rsid w:val="3CE96AE1"/>
    <w:rsid w:val="3CEE34DA"/>
    <w:rsid w:val="3CFB762D"/>
    <w:rsid w:val="3D07231F"/>
    <w:rsid w:val="3D130D8C"/>
    <w:rsid w:val="3D173F9D"/>
    <w:rsid w:val="3D1D7C65"/>
    <w:rsid w:val="3D5323E2"/>
    <w:rsid w:val="3D5517FF"/>
    <w:rsid w:val="3D59220C"/>
    <w:rsid w:val="3D6055D1"/>
    <w:rsid w:val="3D620A9F"/>
    <w:rsid w:val="3D680A02"/>
    <w:rsid w:val="3D6A1B31"/>
    <w:rsid w:val="3D717F20"/>
    <w:rsid w:val="3D850719"/>
    <w:rsid w:val="3D932E36"/>
    <w:rsid w:val="3D99117E"/>
    <w:rsid w:val="3D9B4E0F"/>
    <w:rsid w:val="3DAE1A1E"/>
    <w:rsid w:val="3DCC6348"/>
    <w:rsid w:val="3DDB16E6"/>
    <w:rsid w:val="3DEA5515"/>
    <w:rsid w:val="3DEC2546"/>
    <w:rsid w:val="3DF71617"/>
    <w:rsid w:val="3E0C10AA"/>
    <w:rsid w:val="3E1F2D15"/>
    <w:rsid w:val="3E204FCF"/>
    <w:rsid w:val="3E2148E6"/>
    <w:rsid w:val="3E251234"/>
    <w:rsid w:val="3E255306"/>
    <w:rsid w:val="3E3A28C0"/>
    <w:rsid w:val="3E3F1321"/>
    <w:rsid w:val="3E43552F"/>
    <w:rsid w:val="3E483C21"/>
    <w:rsid w:val="3E5308F1"/>
    <w:rsid w:val="3E606B89"/>
    <w:rsid w:val="3E6A003B"/>
    <w:rsid w:val="3E7964D0"/>
    <w:rsid w:val="3E7B0328"/>
    <w:rsid w:val="3E806081"/>
    <w:rsid w:val="3E8170CA"/>
    <w:rsid w:val="3E894239"/>
    <w:rsid w:val="3E8962E2"/>
    <w:rsid w:val="3E90381A"/>
    <w:rsid w:val="3E9171EE"/>
    <w:rsid w:val="3E956BD6"/>
    <w:rsid w:val="3EC145AB"/>
    <w:rsid w:val="3EDC080D"/>
    <w:rsid w:val="3EE75E9F"/>
    <w:rsid w:val="3EEB2871"/>
    <w:rsid w:val="3F005501"/>
    <w:rsid w:val="3F0D4805"/>
    <w:rsid w:val="3F125766"/>
    <w:rsid w:val="3F156C0C"/>
    <w:rsid w:val="3F23220E"/>
    <w:rsid w:val="3F24363F"/>
    <w:rsid w:val="3F447863"/>
    <w:rsid w:val="3F496BB7"/>
    <w:rsid w:val="3F4F0FDF"/>
    <w:rsid w:val="3F5F7EC2"/>
    <w:rsid w:val="3F6C7184"/>
    <w:rsid w:val="3F7F7B16"/>
    <w:rsid w:val="3F8764FC"/>
    <w:rsid w:val="3F8C36C3"/>
    <w:rsid w:val="3F8E7D59"/>
    <w:rsid w:val="3FAD4516"/>
    <w:rsid w:val="3FD15B36"/>
    <w:rsid w:val="3FD31FE5"/>
    <w:rsid w:val="3FEE2BF1"/>
    <w:rsid w:val="3FEE6A4A"/>
    <w:rsid w:val="3FF71E31"/>
    <w:rsid w:val="3FF92FD3"/>
    <w:rsid w:val="3FFE3A57"/>
    <w:rsid w:val="40145ADD"/>
    <w:rsid w:val="402266F3"/>
    <w:rsid w:val="40286E5D"/>
    <w:rsid w:val="403501D5"/>
    <w:rsid w:val="403A1FC0"/>
    <w:rsid w:val="403A57EB"/>
    <w:rsid w:val="404C67A7"/>
    <w:rsid w:val="40504C81"/>
    <w:rsid w:val="406E212F"/>
    <w:rsid w:val="40802FE2"/>
    <w:rsid w:val="40834096"/>
    <w:rsid w:val="409D24C0"/>
    <w:rsid w:val="40BF3BCA"/>
    <w:rsid w:val="40DD7AF9"/>
    <w:rsid w:val="40FC1D22"/>
    <w:rsid w:val="4108321F"/>
    <w:rsid w:val="41135886"/>
    <w:rsid w:val="411461C7"/>
    <w:rsid w:val="411C6B90"/>
    <w:rsid w:val="41354774"/>
    <w:rsid w:val="4138643D"/>
    <w:rsid w:val="41396C83"/>
    <w:rsid w:val="413D1A37"/>
    <w:rsid w:val="413F4FC2"/>
    <w:rsid w:val="414F176A"/>
    <w:rsid w:val="415811CE"/>
    <w:rsid w:val="41635BFC"/>
    <w:rsid w:val="416E1F3E"/>
    <w:rsid w:val="416F7716"/>
    <w:rsid w:val="417B4E16"/>
    <w:rsid w:val="41801AFE"/>
    <w:rsid w:val="41887598"/>
    <w:rsid w:val="418F3691"/>
    <w:rsid w:val="41924FA5"/>
    <w:rsid w:val="41A75102"/>
    <w:rsid w:val="41A93A7D"/>
    <w:rsid w:val="41B461A6"/>
    <w:rsid w:val="41BF4559"/>
    <w:rsid w:val="41C83DB4"/>
    <w:rsid w:val="41CC461A"/>
    <w:rsid w:val="41D1217F"/>
    <w:rsid w:val="41FA3BE5"/>
    <w:rsid w:val="41FB4C97"/>
    <w:rsid w:val="42032FD0"/>
    <w:rsid w:val="420D7482"/>
    <w:rsid w:val="421263E4"/>
    <w:rsid w:val="422A7852"/>
    <w:rsid w:val="424448C1"/>
    <w:rsid w:val="424E280B"/>
    <w:rsid w:val="424F56D9"/>
    <w:rsid w:val="42511FD0"/>
    <w:rsid w:val="42644DA1"/>
    <w:rsid w:val="42666D6B"/>
    <w:rsid w:val="426B4382"/>
    <w:rsid w:val="42734A5B"/>
    <w:rsid w:val="42771EF3"/>
    <w:rsid w:val="42810B1F"/>
    <w:rsid w:val="428D254A"/>
    <w:rsid w:val="42967273"/>
    <w:rsid w:val="429B02E7"/>
    <w:rsid w:val="429C0647"/>
    <w:rsid w:val="42A02EFF"/>
    <w:rsid w:val="42BB1594"/>
    <w:rsid w:val="42E31563"/>
    <w:rsid w:val="42EF4FB3"/>
    <w:rsid w:val="43116DF1"/>
    <w:rsid w:val="431951CE"/>
    <w:rsid w:val="431F6C99"/>
    <w:rsid w:val="432F47B6"/>
    <w:rsid w:val="43421586"/>
    <w:rsid w:val="434248CF"/>
    <w:rsid w:val="43432C09"/>
    <w:rsid w:val="43486FC5"/>
    <w:rsid w:val="434A214F"/>
    <w:rsid w:val="43562BAD"/>
    <w:rsid w:val="43640812"/>
    <w:rsid w:val="436408E2"/>
    <w:rsid w:val="43714B16"/>
    <w:rsid w:val="43714D57"/>
    <w:rsid w:val="43773E93"/>
    <w:rsid w:val="437A0F68"/>
    <w:rsid w:val="437D50B7"/>
    <w:rsid w:val="43801F1D"/>
    <w:rsid w:val="43901E9C"/>
    <w:rsid w:val="43A430AD"/>
    <w:rsid w:val="43AB5F64"/>
    <w:rsid w:val="43AD4752"/>
    <w:rsid w:val="43B00140"/>
    <w:rsid w:val="43C53926"/>
    <w:rsid w:val="43E3697B"/>
    <w:rsid w:val="43E539F2"/>
    <w:rsid w:val="43F14D5A"/>
    <w:rsid w:val="43F25B19"/>
    <w:rsid w:val="43F46C70"/>
    <w:rsid w:val="43FE1C96"/>
    <w:rsid w:val="43FF1225"/>
    <w:rsid w:val="44010594"/>
    <w:rsid w:val="441445A5"/>
    <w:rsid w:val="44185B0F"/>
    <w:rsid w:val="44185E43"/>
    <w:rsid w:val="44193CE6"/>
    <w:rsid w:val="442245A2"/>
    <w:rsid w:val="4439440B"/>
    <w:rsid w:val="443E0A40"/>
    <w:rsid w:val="445552E9"/>
    <w:rsid w:val="446308D0"/>
    <w:rsid w:val="446A67DA"/>
    <w:rsid w:val="447059E7"/>
    <w:rsid w:val="44765407"/>
    <w:rsid w:val="447A4D50"/>
    <w:rsid w:val="4484172B"/>
    <w:rsid w:val="448A000F"/>
    <w:rsid w:val="44951B02"/>
    <w:rsid w:val="449536D3"/>
    <w:rsid w:val="449776B0"/>
    <w:rsid w:val="44B666E0"/>
    <w:rsid w:val="44CE046B"/>
    <w:rsid w:val="44D00A48"/>
    <w:rsid w:val="44D01C39"/>
    <w:rsid w:val="44D67827"/>
    <w:rsid w:val="44D97282"/>
    <w:rsid w:val="44DE781E"/>
    <w:rsid w:val="44F0279B"/>
    <w:rsid w:val="44F31CE6"/>
    <w:rsid w:val="44F5597B"/>
    <w:rsid w:val="44F93920"/>
    <w:rsid w:val="44FB282C"/>
    <w:rsid w:val="4503059E"/>
    <w:rsid w:val="4521341D"/>
    <w:rsid w:val="45246A6A"/>
    <w:rsid w:val="452B5ACA"/>
    <w:rsid w:val="45315556"/>
    <w:rsid w:val="45372164"/>
    <w:rsid w:val="454F7F8B"/>
    <w:rsid w:val="455E3D2A"/>
    <w:rsid w:val="45665A51"/>
    <w:rsid w:val="457B25DF"/>
    <w:rsid w:val="45992FB4"/>
    <w:rsid w:val="459B4F7E"/>
    <w:rsid w:val="45A41A0E"/>
    <w:rsid w:val="45AA03F8"/>
    <w:rsid w:val="45B63B66"/>
    <w:rsid w:val="45BA35BE"/>
    <w:rsid w:val="45C718D7"/>
    <w:rsid w:val="45CF69D6"/>
    <w:rsid w:val="45D40F17"/>
    <w:rsid w:val="45E75247"/>
    <w:rsid w:val="45E83F3B"/>
    <w:rsid w:val="45E94BA4"/>
    <w:rsid w:val="45F15959"/>
    <w:rsid w:val="45F35012"/>
    <w:rsid w:val="45FF375F"/>
    <w:rsid w:val="46006555"/>
    <w:rsid w:val="46144D30"/>
    <w:rsid w:val="46216A87"/>
    <w:rsid w:val="46250CEB"/>
    <w:rsid w:val="46284338"/>
    <w:rsid w:val="462D6FDD"/>
    <w:rsid w:val="46492C2C"/>
    <w:rsid w:val="46595450"/>
    <w:rsid w:val="466C691A"/>
    <w:rsid w:val="466F06E1"/>
    <w:rsid w:val="4671046B"/>
    <w:rsid w:val="467526A6"/>
    <w:rsid w:val="46837300"/>
    <w:rsid w:val="46981EA3"/>
    <w:rsid w:val="469A1867"/>
    <w:rsid w:val="469A20E4"/>
    <w:rsid w:val="46B57334"/>
    <w:rsid w:val="46BD2CD2"/>
    <w:rsid w:val="46C26354"/>
    <w:rsid w:val="46C43305"/>
    <w:rsid w:val="46D9592A"/>
    <w:rsid w:val="46DD3374"/>
    <w:rsid w:val="46F00118"/>
    <w:rsid w:val="46F95C69"/>
    <w:rsid w:val="47005886"/>
    <w:rsid w:val="471F644F"/>
    <w:rsid w:val="47413903"/>
    <w:rsid w:val="475A49C5"/>
    <w:rsid w:val="475B4AC2"/>
    <w:rsid w:val="475E77F3"/>
    <w:rsid w:val="476A44D6"/>
    <w:rsid w:val="476E6C15"/>
    <w:rsid w:val="47770862"/>
    <w:rsid w:val="477B566E"/>
    <w:rsid w:val="477F7C51"/>
    <w:rsid w:val="47880CB9"/>
    <w:rsid w:val="47953C4F"/>
    <w:rsid w:val="47A44A24"/>
    <w:rsid w:val="47A65B65"/>
    <w:rsid w:val="47A83982"/>
    <w:rsid w:val="47AC6F41"/>
    <w:rsid w:val="47B06FAC"/>
    <w:rsid w:val="47B533F6"/>
    <w:rsid w:val="47CB141F"/>
    <w:rsid w:val="47E0077F"/>
    <w:rsid w:val="48311BC9"/>
    <w:rsid w:val="48421C41"/>
    <w:rsid w:val="4851401A"/>
    <w:rsid w:val="48580F04"/>
    <w:rsid w:val="485E7E2D"/>
    <w:rsid w:val="48677196"/>
    <w:rsid w:val="48677399"/>
    <w:rsid w:val="48755A4D"/>
    <w:rsid w:val="487B5843"/>
    <w:rsid w:val="48852B14"/>
    <w:rsid w:val="488C0196"/>
    <w:rsid w:val="489A776F"/>
    <w:rsid w:val="48A11790"/>
    <w:rsid w:val="48A5351C"/>
    <w:rsid w:val="48AA54D8"/>
    <w:rsid w:val="48AC1147"/>
    <w:rsid w:val="48CC544E"/>
    <w:rsid w:val="48D4628E"/>
    <w:rsid w:val="48F57F75"/>
    <w:rsid w:val="49311755"/>
    <w:rsid w:val="4932741B"/>
    <w:rsid w:val="49654D82"/>
    <w:rsid w:val="49684FE2"/>
    <w:rsid w:val="497037B4"/>
    <w:rsid w:val="497109CC"/>
    <w:rsid w:val="498161FA"/>
    <w:rsid w:val="49887640"/>
    <w:rsid w:val="498B5309"/>
    <w:rsid w:val="49927651"/>
    <w:rsid w:val="499D2C5E"/>
    <w:rsid w:val="49B04890"/>
    <w:rsid w:val="49B81710"/>
    <w:rsid w:val="49B83B27"/>
    <w:rsid w:val="49D2321B"/>
    <w:rsid w:val="49D547D7"/>
    <w:rsid w:val="49DD2136"/>
    <w:rsid w:val="49EE688D"/>
    <w:rsid w:val="49FA5FEB"/>
    <w:rsid w:val="49FE34CF"/>
    <w:rsid w:val="49FE52CC"/>
    <w:rsid w:val="49FE753E"/>
    <w:rsid w:val="4A0B240F"/>
    <w:rsid w:val="4A271AD5"/>
    <w:rsid w:val="4A314103"/>
    <w:rsid w:val="4A3E5A40"/>
    <w:rsid w:val="4A3E6EFF"/>
    <w:rsid w:val="4A443111"/>
    <w:rsid w:val="4A595408"/>
    <w:rsid w:val="4A5971B6"/>
    <w:rsid w:val="4A621AA2"/>
    <w:rsid w:val="4A6D679F"/>
    <w:rsid w:val="4A7575E6"/>
    <w:rsid w:val="4A7B12C4"/>
    <w:rsid w:val="4AA27245"/>
    <w:rsid w:val="4ADB406F"/>
    <w:rsid w:val="4ADD32B8"/>
    <w:rsid w:val="4AE01685"/>
    <w:rsid w:val="4AE07549"/>
    <w:rsid w:val="4AE2236E"/>
    <w:rsid w:val="4AE37C72"/>
    <w:rsid w:val="4AEB68E6"/>
    <w:rsid w:val="4AF82D8E"/>
    <w:rsid w:val="4AFA2747"/>
    <w:rsid w:val="4B090BDC"/>
    <w:rsid w:val="4B285CF0"/>
    <w:rsid w:val="4B370241"/>
    <w:rsid w:val="4B490AD1"/>
    <w:rsid w:val="4B517E8D"/>
    <w:rsid w:val="4B542888"/>
    <w:rsid w:val="4B685902"/>
    <w:rsid w:val="4B6B0F4E"/>
    <w:rsid w:val="4B751199"/>
    <w:rsid w:val="4B9A69ED"/>
    <w:rsid w:val="4B9F509C"/>
    <w:rsid w:val="4BA643C9"/>
    <w:rsid w:val="4BA7756F"/>
    <w:rsid w:val="4BAA0B73"/>
    <w:rsid w:val="4BB203E5"/>
    <w:rsid w:val="4BBB5579"/>
    <w:rsid w:val="4BBE3026"/>
    <w:rsid w:val="4BC114B6"/>
    <w:rsid w:val="4BD50134"/>
    <w:rsid w:val="4BDF7A46"/>
    <w:rsid w:val="4BFC429C"/>
    <w:rsid w:val="4BFD7259"/>
    <w:rsid w:val="4C037515"/>
    <w:rsid w:val="4C0B141A"/>
    <w:rsid w:val="4C15535E"/>
    <w:rsid w:val="4C1566DB"/>
    <w:rsid w:val="4C2F6CB0"/>
    <w:rsid w:val="4C427832"/>
    <w:rsid w:val="4C581541"/>
    <w:rsid w:val="4C660013"/>
    <w:rsid w:val="4C7211F5"/>
    <w:rsid w:val="4C870FFF"/>
    <w:rsid w:val="4C8E2D43"/>
    <w:rsid w:val="4C9A43B9"/>
    <w:rsid w:val="4CA35E71"/>
    <w:rsid w:val="4CAA218A"/>
    <w:rsid w:val="4CAD70C9"/>
    <w:rsid w:val="4CBF3B46"/>
    <w:rsid w:val="4CC0189C"/>
    <w:rsid w:val="4CC30517"/>
    <w:rsid w:val="4CCE5C39"/>
    <w:rsid w:val="4CE56545"/>
    <w:rsid w:val="4CE5696C"/>
    <w:rsid w:val="4CF23A0D"/>
    <w:rsid w:val="4D0A709D"/>
    <w:rsid w:val="4D0B1C51"/>
    <w:rsid w:val="4D0D7ED3"/>
    <w:rsid w:val="4D0F6FE0"/>
    <w:rsid w:val="4D106251"/>
    <w:rsid w:val="4D120FFB"/>
    <w:rsid w:val="4D216B5E"/>
    <w:rsid w:val="4D271778"/>
    <w:rsid w:val="4D434255"/>
    <w:rsid w:val="4D4E6CE8"/>
    <w:rsid w:val="4D5213B5"/>
    <w:rsid w:val="4D614593"/>
    <w:rsid w:val="4D653938"/>
    <w:rsid w:val="4D68012B"/>
    <w:rsid w:val="4D694534"/>
    <w:rsid w:val="4D720CBA"/>
    <w:rsid w:val="4D981DA3"/>
    <w:rsid w:val="4D9C7CE9"/>
    <w:rsid w:val="4D9F44E6"/>
    <w:rsid w:val="4DAE1C18"/>
    <w:rsid w:val="4DB20382"/>
    <w:rsid w:val="4DC47D2A"/>
    <w:rsid w:val="4DCF1C27"/>
    <w:rsid w:val="4DDA6459"/>
    <w:rsid w:val="4DDF57B2"/>
    <w:rsid w:val="4DEF230B"/>
    <w:rsid w:val="4DF03B9B"/>
    <w:rsid w:val="4DF24111"/>
    <w:rsid w:val="4DF66654"/>
    <w:rsid w:val="4DF80A94"/>
    <w:rsid w:val="4DFC4A28"/>
    <w:rsid w:val="4DFE60AA"/>
    <w:rsid w:val="4E00249F"/>
    <w:rsid w:val="4E00332E"/>
    <w:rsid w:val="4E0E05AC"/>
    <w:rsid w:val="4E102B99"/>
    <w:rsid w:val="4E13730E"/>
    <w:rsid w:val="4E233B70"/>
    <w:rsid w:val="4E255D2C"/>
    <w:rsid w:val="4E2C00AD"/>
    <w:rsid w:val="4E3471FF"/>
    <w:rsid w:val="4E4C3C0C"/>
    <w:rsid w:val="4E4E215E"/>
    <w:rsid w:val="4E4F1146"/>
    <w:rsid w:val="4E4F4B57"/>
    <w:rsid w:val="4E617524"/>
    <w:rsid w:val="4E6529EE"/>
    <w:rsid w:val="4E656129"/>
    <w:rsid w:val="4E7E3E00"/>
    <w:rsid w:val="4E816CDB"/>
    <w:rsid w:val="4E8C1402"/>
    <w:rsid w:val="4E9B3045"/>
    <w:rsid w:val="4EAA6215"/>
    <w:rsid w:val="4EAA7FE0"/>
    <w:rsid w:val="4ED46303"/>
    <w:rsid w:val="4ED67D09"/>
    <w:rsid w:val="4EDA4302"/>
    <w:rsid w:val="4EDE2C5B"/>
    <w:rsid w:val="4EDE5EDB"/>
    <w:rsid w:val="4EEA63EB"/>
    <w:rsid w:val="4EEC6F81"/>
    <w:rsid w:val="4EF32681"/>
    <w:rsid w:val="4EF5400C"/>
    <w:rsid w:val="4EF57BA2"/>
    <w:rsid w:val="4EF72982"/>
    <w:rsid w:val="4EFC6F9D"/>
    <w:rsid w:val="4F172DF9"/>
    <w:rsid w:val="4F20425A"/>
    <w:rsid w:val="4F2A2ECF"/>
    <w:rsid w:val="4F3322DC"/>
    <w:rsid w:val="4F490341"/>
    <w:rsid w:val="4F4D57B1"/>
    <w:rsid w:val="4F5060BC"/>
    <w:rsid w:val="4F5166AD"/>
    <w:rsid w:val="4F532425"/>
    <w:rsid w:val="4F545641"/>
    <w:rsid w:val="4F585C8E"/>
    <w:rsid w:val="4F592A3F"/>
    <w:rsid w:val="4F5B577E"/>
    <w:rsid w:val="4F610A1F"/>
    <w:rsid w:val="4F622668"/>
    <w:rsid w:val="4F6E03EE"/>
    <w:rsid w:val="4F820F5D"/>
    <w:rsid w:val="4F8D3312"/>
    <w:rsid w:val="4FA80426"/>
    <w:rsid w:val="4FAE7745"/>
    <w:rsid w:val="4FAF4384"/>
    <w:rsid w:val="4FB85258"/>
    <w:rsid w:val="4FC07FB3"/>
    <w:rsid w:val="4FD13BB2"/>
    <w:rsid w:val="4FD23C92"/>
    <w:rsid w:val="4FDC241B"/>
    <w:rsid w:val="4FF15468"/>
    <w:rsid w:val="4FF37764"/>
    <w:rsid w:val="4FFB3506"/>
    <w:rsid w:val="500152DB"/>
    <w:rsid w:val="5007701F"/>
    <w:rsid w:val="50153B7F"/>
    <w:rsid w:val="502A7469"/>
    <w:rsid w:val="502D7D64"/>
    <w:rsid w:val="502F56C3"/>
    <w:rsid w:val="50375244"/>
    <w:rsid w:val="503D3845"/>
    <w:rsid w:val="503D7FC4"/>
    <w:rsid w:val="504900A3"/>
    <w:rsid w:val="505A3CA1"/>
    <w:rsid w:val="506955AD"/>
    <w:rsid w:val="507E55FA"/>
    <w:rsid w:val="5086682B"/>
    <w:rsid w:val="50A64258"/>
    <w:rsid w:val="50D15DDA"/>
    <w:rsid w:val="50E0690B"/>
    <w:rsid w:val="50F14A63"/>
    <w:rsid w:val="50FD7A3B"/>
    <w:rsid w:val="51046633"/>
    <w:rsid w:val="511B129A"/>
    <w:rsid w:val="51281690"/>
    <w:rsid w:val="51286AE7"/>
    <w:rsid w:val="512B36A4"/>
    <w:rsid w:val="512F6EC2"/>
    <w:rsid w:val="51374884"/>
    <w:rsid w:val="51482E30"/>
    <w:rsid w:val="514F0251"/>
    <w:rsid w:val="51576B34"/>
    <w:rsid w:val="51657456"/>
    <w:rsid w:val="516D68F2"/>
    <w:rsid w:val="51897905"/>
    <w:rsid w:val="51900341"/>
    <w:rsid w:val="51986E86"/>
    <w:rsid w:val="51BF499A"/>
    <w:rsid w:val="51D414AC"/>
    <w:rsid w:val="51E57A85"/>
    <w:rsid w:val="51F72E2E"/>
    <w:rsid w:val="520E5250"/>
    <w:rsid w:val="52171B12"/>
    <w:rsid w:val="52173BDE"/>
    <w:rsid w:val="521D4876"/>
    <w:rsid w:val="52202A1F"/>
    <w:rsid w:val="5250366B"/>
    <w:rsid w:val="52614E59"/>
    <w:rsid w:val="52731534"/>
    <w:rsid w:val="52787C06"/>
    <w:rsid w:val="52976ACD"/>
    <w:rsid w:val="52A557D1"/>
    <w:rsid w:val="52D4686F"/>
    <w:rsid w:val="52DD1244"/>
    <w:rsid w:val="52F924B3"/>
    <w:rsid w:val="53004724"/>
    <w:rsid w:val="53134CF9"/>
    <w:rsid w:val="531613D5"/>
    <w:rsid w:val="532F4F57"/>
    <w:rsid w:val="533B56AA"/>
    <w:rsid w:val="53514ECE"/>
    <w:rsid w:val="535B057E"/>
    <w:rsid w:val="536A1E82"/>
    <w:rsid w:val="53777F05"/>
    <w:rsid w:val="537C11D4"/>
    <w:rsid w:val="537D46A4"/>
    <w:rsid w:val="537F5ABB"/>
    <w:rsid w:val="53933738"/>
    <w:rsid w:val="53947468"/>
    <w:rsid w:val="53963229"/>
    <w:rsid w:val="539A5E09"/>
    <w:rsid w:val="539D5092"/>
    <w:rsid w:val="53A07C03"/>
    <w:rsid w:val="53AA12C7"/>
    <w:rsid w:val="53AC384D"/>
    <w:rsid w:val="53C23628"/>
    <w:rsid w:val="53C25DCC"/>
    <w:rsid w:val="53E06CDD"/>
    <w:rsid w:val="53E144A4"/>
    <w:rsid w:val="53E854B8"/>
    <w:rsid w:val="53EC0808"/>
    <w:rsid w:val="53F06419"/>
    <w:rsid w:val="5402441A"/>
    <w:rsid w:val="540E7263"/>
    <w:rsid w:val="54224ABC"/>
    <w:rsid w:val="54260108"/>
    <w:rsid w:val="54291572"/>
    <w:rsid w:val="542B7A31"/>
    <w:rsid w:val="542D7C06"/>
    <w:rsid w:val="54312743"/>
    <w:rsid w:val="54396F00"/>
    <w:rsid w:val="543D36A4"/>
    <w:rsid w:val="5444780B"/>
    <w:rsid w:val="54560B60"/>
    <w:rsid w:val="545D5F28"/>
    <w:rsid w:val="545D78A2"/>
    <w:rsid w:val="54687819"/>
    <w:rsid w:val="546F1F31"/>
    <w:rsid w:val="548E1158"/>
    <w:rsid w:val="54921C42"/>
    <w:rsid w:val="54925E5C"/>
    <w:rsid w:val="549E5F97"/>
    <w:rsid w:val="54B36650"/>
    <w:rsid w:val="54D50BBE"/>
    <w:rsid w:val="54D92E01"/>
    <w:rsid w:val="54ED50CA"/>
    <w:rsid w:val="550E5655"/>
    <w:rsid w:val="55254864"/>
    <w:rsid w:val="553F5747"/>
    <w:rsid w:val="554B4D06"/>
    <w:rsid w:val="554E3DBB"/>
    <w:rsid w:val="555068A2"/>
    <w:rsid w:val="5564329B"/>
    <w:rsid w:val="557E23C5"/>
    <w:rsid w:val="559B0682"/>
    <w:rsid w:val="55A320DC"/>
    <w:rsid w:val="55A71AA8"/>
    <w:rsid w:val="55B17F8E"/>
    <w:rsid w:val="55B328AE"/>
    <w:rsid w:val="55B833CE"/>
    <w:rsid w:val="55E17BFA"/>
    <w:rsid w:val="55F970C4"/>
    <w:rsid w:val="56012D34"/>
    <w:rsid w:val="5616227A"/>
    <w:rsid w:val="561974A7"/>
    <w:rsid w:val="56262642"/>
    <w:rsid w:val="562C49E4"/>
    <w:rsid w:val="563A4B7A"/>
    <w:rsid w:val="56436809"/>
    <w:rsid w:val="56471AF1"/>
    <w:rsid w:val="564D4072"/>
    <w:rsid w:val="56541DC8"/>
    <w:rsid w:val="56591083"/>
    <w:rsid w:val="566E2C92"/>
    <w:rsid w:val="56766F43"/>
    <w:rsid w:val="56875089"/>
    <w:rsid w:val="568F6FE4"/>
    <w:rsid w:val="56B0015D"/>
    <w:rsid w:val="56B85264"/>
    <w:rsid w:val="56BD31BD"/>
    <w:rsid w:val="56C96A5F"/>
    <w:rsid w:val="56D4628A"/>
    <w:rsid w:val="56FD7FDC"/>
    <w:rsid w:val="570010E5"/>
    <w:rsid w:val="570E57E2"/>
    <w:rsid w:val="57164709"/>
    <w:rsid w:val="57377FBC"/>
    <w:rsid w:val="573E7698"/>
    <w:rsid w:val="57504CE9"/>
    <w:rsid w:val="5770609A"/>
    <w:rsid w:val="578A4D0C"/>
    <w:rsid w:val="57971108"/>
    <w:rsid w:val="579B2E5F"/>
    <w:rsid w:val="579D0170"/>
    <w:rsid w:val="57A94B38"/>
    <w:rsid w:val="57B1418D"/>
    <w:rsid w:val="57B978AC"/>
    <w:rsid w:val="57D604CD"/>
    <w:rsid w:val="57DB730E"/>
    <w:rsid w:val="57DC3EA6"/>
    <w:rsid w:val="57E37C81"/>
    <w:rsid w:val="57E5652D"/>
    <w:rsid w:val="57F4051E"/>
    <w:rsid w:val="58022C3B"/>
    <w:rsid w:val="581F3088"/>
    <w:rsid w:val="58286000"/>
    <w:rsid w:val="58360C59"/>
    <w:rsid w:val="583E2BB6"/>
    <w:rsid w:val="58450D79"/>
    <w:rsid w:val="58492617"/>
    <w:rsid w:val="586050CC"/>
    <w:rsid w:val="5866766D"/>
    <w:rsid w:val="588A455F"/>
    <w:rsid w:val="589F4707"/>
    <w:rsid w:val="589F6B18"/>
    <w:rsid w:val="58A255C2"/>
    <w:rsid w:val="58AF45E4"/>
    <w:rsid w:val="58BA70F2"/>
    <w:rsid w:val="58C033C5"/>
    <w:rsid w:val="58C53FC4"/>
    <w:rsid w:val="58C8623C"/>
    <w:rsid w:val="58F00CE5"/>
    <w:rsid w:val="58F50A93"/>
    <w:rsid w:val="590D20C8"/>
    <w:rsid w:val="59137AE9"/>
    <w:rsid w:val="592B7F6F"/>
    <w:rsid w:val="592C7727"/>
    <w:rsid w:val="593B28A8"/>
    <w:rsid w:val="59413C36"/>
    <w:rsid w:val="59434B17"/>
    <w:rsid w:val="5945074B"/>
    <w:rsid w:val="595C18A3"/>
    <w:rsid w:val="596E14B1"/>
    <w:rsid w:val="596F5E5F"/>
    <w:rsid w:val="597F00E2"/>
    <w:rsid w:val="5980012F"/>
    <w:rsid w:val="59807E7D"/>
    <w:rsid w:val="598A2EE8"/>
    <w:rsid w:val="598B6C4C"/>
    <w:rsid w:val="598D72CE"/>
    <w:rsid w:val="59A85BFF"/>
    <w:rsid w:val="59B95E61"/>
    <w:rsid w:val="59CC05A8"/>
    <w:rsid w:val="59E34752"/>
    <w:rsid w:val="59E64851"/>
    <w:rsid w:val="59ED3C37"/>
    <w:rsid w:val="59F6624E"/>
    <w:rsid w:val="59F73519"/>
    <w:rsid w:val="59FF4361"/>
    <w:rsid w:val="5A00484C"/>
    <w:rsid w:val="5A010C64"/>
    <w:rsid w:val="5A012EA9"/>
    <w:rsid w:val="5A021E4B"/>
    <w:rsid w:val="5A03064C"/>
    <w:rsid w:val="5A0413DD"/>
    <w:rsid w:val="5A1A7829"/>
    <w:rsid w:val="5A1D56F3"/>
    <w:rsid w:val="5A1E1882"/>
    <w:rsid w:val="5A237A00"/>
    <w:rsid w:val="5A327F24"/>
    <w:rsid w:val="5A3840F9"/>
    <w:rsid w:val="5A41722B"/>
    <w:rsid w:val="5A4C38AD"/>
    <w:rsid w:val="5A5C35A1"/>
    <w:rsid w:val="5A62240D"/>
    <w:rsid w:val="5A663955"/>
    <w:rsid w:val="5A6E5C08"/>
    <w:rsid w:val="5A723EE7"/>
    <w:rsid w:val="5A737D1E"/>
    <w:rsid w:val="5A772364"/>
    <w:rsid w:val="5A8E4C59"/>
    <w:rsid w:val="5A90452E"/>
    <w:rsid w:val="5A9A0A91"/>
    <w:rsid w:val="5ABF12B7"/>
    <w:rsid w:val="5AC0096B"/>
    <w:rsid w:val="5AC4067B"/>
    <w:rsid w:val="5ACD6BD0"/>
    <w:rsid w:val="5ACD77B4"/>
    <w:rsid w:val="5AD16223"/>
    <w:rsid w:val="5AD5219E"/>
    <w:rsid w:val="5AE004FB"/>
    <w:rsid w:val="5AE6303A"/>
    <w:rsid w:val="5AEA13DF"/>
    <w:rsid w:val="5AFD7BB7"/>
    <w:rsid w:val="5AFE7FD6"/>
    <w:rsid w:val="5B001A43"/>
    <w:rsid w:val="5B0B3659"/>
    <w:rsid w:val="5B0D3606"/>
    <w:rsid w:val="5B0D3DD0"/>
    <w:rsid w:val="5B134FBB"/>
    <w:rsid w:val="5B136F0D"/>
    <w:rsid w:val="5B2B4256"/>
    <w:rsid w:val="5B3075DF"/>
    <w:rsid w:val="5B321A89"/>
    <w:rsid w:val="5B390F16"/>
    <w:rsid w:val="5B440F3A"/>
    <w:rsid w:val="5B5A37BF"/>
    <w:rsid w:val="5B5D35BD"/>
    <w:rsid w:val="5B627373"/>
    <w:rsid w:val="5B6B02CB"/>
    <w:rsid w:val="5B860DDB"/>
    <w:rsid w:val="5B863B83"/>
    <w:rsid w:val="5B866962"/>
    <w:rsid w:val="5B8E12DF"/>
    <w:rsid w:val="5BB861F6"/>
    <w:rsid w:val="5BBE70A2"/>
    <w:rsid w:val="5BC30933"/>
    <w:rsid w:val="5BD42B40"/>
    <w:rsid w:val="5BE2525D"/>
    <w:rsid w:val="5BE54300"/>
    <w:rsid w:val="5BEC7E8A"/>
    <w:rsid w:val="5BEE14A4"/>
    <w:rsid w:val="5C0A0310"/>
    <w:rsid w:val="5C121E06"/>
    <w:rsid w:val="5C273940"/>
    <w:rsid w:val="5C5F1B6A"/>
    <w:rsid w:val="5C6673EE"/>
    <w:rsid w:val="5C7165E1"/>
    <w:rsid w:val="5C8400C2"/>
    <w:rsid w:val="5C9E6630"/>
    <w:rsid w:val="5CA2679A"/>
    <w:rsid w:val="5CA442C0"/>
    <w:rsid w:val="5CA81EF7"/>
    <w:rsid w:val="5CC14937"/>
    <w:rsid w:val="5CD20A76"/>
    <w:rsid w:val="5CE1296B"/>
    <w:rsid w:val="5D0059D2"/>
    <w:rsid w:val="5D201C08"/>
    <w:rsid w:val="5D252E4C"/>
    <w:rsid w:val="5D4654C6"/>
    <w:rsid w:val="5D5D0F2F"/>
    <w:rsid w:val="5D651ED3"/>
    <w:rsid w:val="5D7376D0"/>
    <w:rsid w:val="5D7F0889"/>
    <w:rsid w:val="5D804255"/>
    <w:rsid w:val="5D84130C"/>
    <w:rsid w:val="5D8A5BC0"/>
    <w:rsid w:val="5D8A65A8"/>
    <w:rsid w:val="5D9E6041"/>
    <w:rsid w:val="5D9F419F"/>
    <w:rsid w:val="5DAF72F9"/>
    <w:rsid w:val="5DBE2C17"/>
    <w:rsid w:val="5DC13BB9"/>
    <w:rsid w:val="5DC32E2B"/>
    <w:rsid w:val="5DCA41FA"/>
    <w:rsid w:val="5DCD5767"/>
    <w:rsid w:val="5DD7449D"/>
    <w:rsid w:val="5DE556A8"/>
    <w:rsid w:val="5E363C12"/>
    <w:rsid w:val="5E57681C"/>
    <w:rsid w:val="5E625491"/>
    <w:rsid w:val="5E6A06A6"/>
    <w:rsid w:val="5E7B3F23"/>
    <w:rsid w:val="5E820631"/>
    <w:rsid w:val="5E8C6BA4"/>
    <w:rsid w:val="5E9924AF"/>
    <w:rsid w:val="5E992890"/>
    <w:rsid w:val="5E996B4B"/>
    <w:rsid w:val="5E9B5FC4"/>
    <w:rsid w:val="5E9E42D1"/>
    <w:rsid w:val="5EA115A8"/>
    <w:rsid w:val="5EB27B93"/>
    <w:rsid w:val="5EB6652D"/>
    <w:rsid w:val="5EC411D7"/>
    <w:rsid w:val="5EC66783"/>
    <w:rsid w:val="5ED22C04"/>
    <w:rsid w:val="5EE15D0F"/>
    <w:rsid w:val="5EFC6636"/>
    <w:rsid w:val="5F01005D"/>
    <w:rsid w:val="5F0B466C"/>
    <w:rsid w:val="5F113629"/>
    <w:rsid w:val="5F176E10"/>
    <w:rsid w:val="5F1A05B4"/>
    <w:rsid w:val="5F1B13EE"/>
    <w:rsid w:val="5F2046ED"/>
    <w:rsid w:val="5F210B49"/>
    <w:rsid w:val="5F2B2A77"/>
    <w:rsid w:val="5F3365F3"/>
    <w:rsid w:val="5F41229A"/>
    <w:rsid w:val="5F4804FF"/>
    <w:rsid w:val="5F6E5059"/>
    <w:rsid w:val="5F730D62"/>
    <w:rsid w:val="5F943C9A"/>
    <w:rsid w:val="5F944AC0"/>
    <w:rsid w:val="5F98583A"/>
    <w:rsid w:val="5FA04663"/>
    <w:rsid w:val="5FA10F8B"/>
    <w:rsid w:val="5FAE59A4"/>
    <w:rsid w:val="5FAF1D4F"/>
    <w:rsid w:val="5FB44474"/>
    <w:rsid w:val="5FC609F2"/>
    <w:rsid w:val="5FDC5EDE"/>
    <w:rsid w:val="5FDC7263"/>
    <w:rsid w:val="5FE84E12"/>
    <w:rsid w:val="5FEE1067"/>
    <w:rsid w:val="5FEF0257"/>
    <w:rsid w:val="6006344F"/>
    <w:rsid w:val="60063D1C"/>
    <w:rsid w:val="601104E8"/>
    <w:rsid w:val="60251C80"/>
    <w:rsid w:val="602539D5"/>
    <w:rsid w:val="602A4E59"/>
    <w:rsid w:val="602A71D2"/>
    <w:rsid w:val="603360FC"/>
    <w:rsid w:val="60355C9A"/>
    <w:rsid w:val="60402552"/>
    <w:rsid w:val="6047758B"/>
    <w:rsid w:val="604B1350"/>
    <w:rsid w:val="604C400D"/>
    <w:rsid w:val="604C539B"/>
    <w:rsid w:val="60593313"/>
    <w:rsid w:val="60641DBE"/>
    <w:rsid w:val="606C0A29"/>
    <w:rsid w:val="607B01F0"/>
    <w:rsid w:val="60805044"/>
    <w:rsid w:val="60842148"/>
    <w:rsid w:val="6085265B"/>
    <w:rsid w:val="60941BC9"/>
    <w:rsid w:val="60950584"/>
    <w:rsid w:val="60B8658C"/>
    <w:rsid w:val="60C153B2"/>
    <w:rsid w:val="60D01B6D"/>
    <w:rsid w:val="60D45E64"/>
    <w:rsid w:val="60EB6608"/>
    <w:rsid w:val="60F105A6"/>
    <w:rsid w:val="60F72EF0"/>
    <w:rsid w:val="6114779E"/>
    <w:rsid w:val="613115D8"/>
    <w:rsid w:val="61327675"/>
    <w:rsid w:val="613574A4"/>
    <w:rsid w:val="6136780A"/>
    <w:rsid w:val="613C0967"/>
    <w:rsid w:val="61412B4B"/>
    <w:rsid w:val="615D6F10"/>
    <w:rsid w:val="615E4424"/>
    <w:rsid w:val="616B7AA3"/>
    <w:rsid w:val="61764157"/>
    <w:rsid w:val="617821BF"/>
    <w:rsid w:val="618B1E0E"/>
    <w:rsid w:val="618E37A4"/>
    <w:rsid w:val="619C34EB"/>
    <w:rsid w:val="61A668C9"/>
    <w:rsid w:val="61C61704"/>
    <w:rsid w:val="61C71334"/>
    <w:rsid w:val="61DD4BC4"/>
    <w:rsid w:val="61DE64C6"/>
    <w:rsid w:val="62112CFA"/>
    <w:rsid w:val="62192165"/>
    <w:rsid w:val="62366611"/>
    <w:rsid w:val="624F56BB"/>
    <w:rsid w:val="62504FBF"/>
    <w:rsid w:val="625449C2"/>
    <w:rsid w:val="62562501"/>
    <w:rsid w:val="625858D7"/>
    <w:rsid w:val="626C45B7"/>
    <w:rsid w:val="627A55C2"/>
    <w:rsid w:val="627C18C8"/>
    <w:rsid w:val="627C3369"/>
    <w:rsid w:val="6287652A"/>
    <w:rsid w:val="62962567"/>
    <w:rsid w:val="62974CEE"/>
    <w:rsid w:val="629E17B2"/>
    <w:rsid w:val="62C32BB4"/>
    <w:rsid w:val="62CA591E"/>
    <w:rsid w:val="62E24549"/>
    <w:rsid w:val="630322F6"/>
    <w:rsid w:val="630930CF"/>
    <w:rsid w:val="630E22A3"/>
    <w:rsid w:val="63160203"/>
    <w:rsid w:val="631E7C6D"/>
    <w:rsid w:val="63223E6A"/>
    <w:rsid w:val="632443AD"/>
    <w:rsid w:val="63272ED7"/>
    <w:rsid w:val="632A59DF"/>
    <w:rsid w:val="6334591F"/>
    <w:rsid w:val="63383209"/>
    <w:rsid w:val="635D341B"/>
    <w:rsid w:val="635F3637"/>
    <w:rsid w:val="63635124"/>
    <w:rsid w:val="636407E6"/>
    <w:rsid w:val="636E387A"/>
    <w:rsid w:val="63701BA4"/>
    <w:rsid w:val="6370722E"/>
    <w:rsid w:val="637209A4"/>
    <w:rsid w:val="6373282E"/>
    <w:rsid w:val="637B214B"/>
    <w:rsid w:val="637E2C22"/>
    <w:rsid w:val="6388493C"/>
    <w:rsid w:val="63970EAE"/>
    <w:rsid w:val="639D5F0D"/>
    <w:rsid w:val="639E35F2"/>
    <w:rsid w:val="63A17CCE"/>
    <w:rsid w:val="63A63014"/>
    <w:rsid w:val="63B136CD"/>
    <w:rsid w:val="63B3128D"/>
    <w:rsid w:val="63BA5AFD"/>
    <w:rsid w:val="63D7141F"/>
    <w:rsid w:val="63DC4C88"/>
    <w:rsid w:val="63F75327"/>
    <w:rsid w:val="640262AE"/>
    <w:rsid w:val="64034EC5"/>
    <w:rsid w:val="6422492C"/>
    <w:rsid w:val="64233AC2"/>
    <w:rsid w:val="64265F03"/>
    <w:rsid w:val="6427771B"/>
    <w:rsid w:val="642A684F"/>
    <w:rsid w:val="643028DD"/>
    <w:rsid w:val="64340C30"/>
    <w:rsid w:val="643A375C"/>
    <w:rsid w:val="64446453"/>
    <w:rsid w:val="64590086"/>
    <w:rsid w:val="646D3B32"/>
    <w:rsid w:val="6470717E"/>
    <w:rsid w:val="64740A1C"/>
    <w:rsid w:val="64836EB1"/>
    <w:rsid w:val="64857C12"/>
    <w:rsid w:val="64857E22"/>
    <w:rsid w:val="64870218"/>
    <w:rsid w:val="64920E2E"/>
    <w:rsid w:val="64985953"/>
    <w:rsid w:val="64A15589"/>
    <w:rsid w:val="64BB664B"/>
    <w:rsid w:val="64E37015"/>
    <w:rsid w:val="64E50B47"/>
    <w:rsid w:val="64FF06CE"/>
    <w:rsid w:val="650824E8"/>
    <w:rsid w:val="651B2A8F"/>
    <w:rsid w:val="65202F90"/>
    <w:rsid w:val="65292BD7"/>
    <w:rsid w:val="652F2B95"/>
    <w:rsid w:val="653623BE"/>
    <w:rsid w:val="653B1DB1"/>
    <w:rsid w:val="653B778C"/>
    <w:rsid w:val="65491A0C"/>
    <w:rsid w:val="654F4E2D"/>
    <w:rsid w:val="656308DE"/>
    <w:rsid w:val="656A0213"/>
    <w:rsid w:val="656E74B0"/>
    <w:rsid w:val="656F7435"/>
    <w:rsid w:val="657119CF"/>
    <w:rsid w:val="65A610A9"/>
    <w:rsid w:val="65B425C1"/>
    <w:rsid w:val="65B573D7"/>
    <w:rsid w:val="65E62C03"/>
    <w:rsid w:val="6604701D"/>
    <w:rsid w:val="66115A7A"/>
    <w:rsid w:val="661E1452"/>
    <w:rsid w:val="66384575"/>
    <w:rsid w:val="663C75A0"/>
    <w:rsid w:val="6655487D"/>
    <w:rsid w:val="66642D82"/>
    <w:rsid w:val="66704E8B"/>
    <w:rsid w:val="668802B4"/>
    <w:rsid w:val="66A22C4E"/>
    <w:rsid w:val="66A478C3"/>
    <w:rsid w:val="66AE4055"/>
    <w:rsid w:val="66B2768F"/>
    <w:rsid w:val="66B95D3F"/>
    <w:rsid w:val="66BC66AA"/>
    <w:rsid w:val="66C9376B"/>
    <w:rsid w:val="66DB239B"/>
    <w:rsid w:val="66DE475F"/>
    <w:rsid w:val="66E1079B"/>
    <w:rsid w:val="66E371AD"/>
    <w:rsid w:val="66E44696"/>
    <w:rsid w:val="66F7071A"/>
    <w:rsid w:val="66FA2274"/>
    <w:rsid w:val="670544F5"/>
    <w:rsid w:val="670818F0"/>
    <w:rsid w:val="6711623A"/>
    <w:rsid w:val="671504C1"/>
    <w:rsid w:val="671B20AA"/>
    <w:rsid w:val="673C3FA4"/>
    <w:rsid w:val="67515B84"/>
    <w:rsid w:val="6752338C"/>
    <w:rsid w:val="67674868"/>
    <w:rsid w:val="676B1ECE"/>
    <w:rsid w:val="677A1765"/>
    <w:rsid w:val="678B726D"/>
    <w:rsid w:val="678C0773"/>
    <w:rsid w:val="67905989"/>
    <w:rsid w:val="67926018"/>
    <w:rsid w:val="67A509AC"/>
    <w:rsid w:val="67AD0BCB"/>
    <w:rsid w:val="67C82155"/>
    <w:rsid w:val="67C95523"/>
    <w:rsid w:val="67CD035E"/>
    <w:rsid w:val="67D30FBF"/>
    <w:rsid w:val="67FC681E"/>
    <w:rsid w:val="681661D3"/>
    <w:rsid w:val="68190258"/>
    <w:rsid w:val="682149A9"/>
    <w:rsid w:val="68266AE1"/>
    <w:rsid w:val="68292C25"/>
    <w:rsid w:val="683B0161"/>
    <w:rsid w:val="683F448D"/>
    <w:rsid w:val="68A35D74"/>
    <w:rsid w:val="68D2558C"/>
    <w:rsid w:val="68EC4153"/>
    <w:rsid w:val="69020CEC"/>
    <w:rsid w:val="6902742B"/>
    <w:rsid w:val="690842C0"/>
    <w:rsid w:val="690D3E3E"/>
    <w:rsid w:val="692E1979"/>
    <w:rsid w:val="69384ECC"/>
    <w:rsid w:val="694F3806"/>
    <w:rsid w:val="69626E44"/>
    <w:rsid w:val="6968600A"/>
    <w:rsid w:val="6969736B"/>
    <w:rsid w:val="696B542F"/>
    <w:rsid w:val="697667CB"/>
    <w:rsid w:val="69786D29"/>
    <w:rsid w:val="697D41E8"/>
    <w:rsid w:val="69872A13"/>
    <w:rsid w:val="699163F6"/>
    <w:rsid w:val="69A0384A"/>
    <w:rsid w:val="69A329F2"/>
    <w:rsid w:val="69AF7CDC"/>
    <w:rsid w:val="69B46F62"/>
    <w:rsid w:val="69BF37A2"/>
    <w:rsid w:val="69C55ED2"/>
    <w:rsid w:val="69D21E3B"/>
    <w:rsid w:val="69DF1E13"/>
    <w:rsid w:val="69E43625"/>
    <w:rsid w:val="69FA70FA"/>
    <w:rsid w:val="6A010FA4"/>
    <w:rsid w:val="6A0B1E23"/>
    <w:rsid w:val="6A135FE4"/>
    <w:rsid w:val="6A216272"/>
    <w:rsid w:val="6A303637"/>
    <w:rsid w:val="6A365A0B"/>
    <w:rsid w:val="6A4C30BB"/>
    <w:rsid w:val="6A4E53F5"/>
    <w:rsid w:val="6A4F2FD4"/>
    <w:rsid w:val="6A622FBB"/>
    <w:rsid w:val="6A630159"/>
    <w:rsid w:val="6A673E33"/>
    <w:rsid w:val="6A6F648C"/>
    <w:rsid w:val="6A8D3715"/>
    <w:rsid w:val="6A99303B"/>
    <w:rsid w:val="6A9B606D"/>
    <w:rsid w:val="6A9E2C97"/>
    <w:rsid w:val="6AA53ED1"/>
    <w:rsid w:val="6AAA6D5E"/>
    <w:rsid w:val="6AB516E1"/>
    <w:rsid w:val="6AC92AC4"/>
    <w:rsid w:val="6ACD0A6E"/>
    <w:rsid w:val="6AD4320D"/>
    <w:rsid w:val="6AD55F8D"/>
    <w:rsid w:val="6AEF086C"/>
    <w:rsid w:val="6AEF34F2"/>
    <w:rsid w:val="6AF759CF"/>
    <w:rsid w:val="6AFD7867"/>
    <w:rsid w:val="6AFE04BE"/>
    <w:rsid w:val="6B03163B"/>
    <w:rsid w:val="6B06582F"/>
    <w:rsid w:val="6B114EDE"/>
    <w:rsid w:val="6B1761E6"/>
    <w:rsid w:val="6B1B6095"/>
    <w:rsid w:val="6B2D7B77"/>
    <w:rsid w:val="6B3E158C"/>
    <w:rsid w:val="6B460C38"/>
    <w:rsid w:val="6B5477F9"/>
    <w:rsid w:val="6B5C3EFA"/>
    <w:rsid w:val="6B621707"/>
    <w:rsid w:val="6B6D2635"/>
    <w:rsid w:val="6B7522A0"/>
    <w:rsid w:val="6B94591F"/>
    <w:rsid w:val="6BAB5037"/>
    <w:rsid w:val="6BB02E29"/>
    <w:rsid w:val="6BB05477"/>
    <w:rsid w:val="6BB162A4"/>
    <w:rsid w:val="6BB27D88"/>
    <w:rsid w:val="6BBB5183"/>
    <w:rsid w:val="6BC01791"/>
    <w:rsid w:val="6BDC307A"/>
    <w:rsid w:val="6BE744F4"/>
    <w:rsid w:val="6BE873C3"/>
    <w:rsid w:val="6BEA1902"/>
    <w:rsid w:val="6BEC358E"/>
    <w:rsid w:val="6BEF29DD"/>
    <w:rsid w:val="6BF009E6"/>
    <w:rsid w:val="6BF14FCE"/>
    <w:rsid w:val="6C18274B"/>
    <w:rsid w:val="6C183117"/>
    <w:rsid w:val="6C1D18F6"/>
    <w:rsid w:val="6C1E7006"/>
    <w:rsid w:val="6C3017C6"/>
    <w:rsid w:val="6C3B314E"/>
    <w:rsid w:val="6C3D278A"/>
    <w:rsid w:val="6C3F5DB4"/>
    <w:rsid w:val="6C474C68"/>
    <w:rsid w:val="6C4C7FA8"/>
    <w:rsid w:val="6C5C4A0C"/>
    <w:rsid w:val="6C660AC1"/>
    <w:rsid w:val="6C722099"/>
    <w:rsid w:val="6C790502"/>
    <w:rsid w:val="6C7C0AD4"/>
    <w:rsid w:val="6C8C6748"/>
    <w:rsid w:val="6C90548F"/>
    <w:rsid w:val="6C9A2312"/>
    <w:rsid w:val="6C9C3206"/>
    <w:rsid w:val="6C9D4410"/>
    <w:rsid w:val="6C9E26DD"/>
    <w:rsid w:val="6C9E316C"/>
    <w:rsid w:val="6CA53850"/>
    <w:rsid w:val="6CBB16AE"/>
    <w:rsid w:val="6CBE5E6E"/>
    <w:rsid w:val="6CBF32F2"/>
    <w:rsid w:val="6CD41A2E"/>
    <w:rsid w:val="6CFC3CF9"/>
    <w:rsid w:val="6CFD1345"/>
    <w:rsid w:val="6CFF615C"/>
    <w:rsid w:val="6D0522AB"/>
    <w:rsid w:val="6D053BFA"/>
    <w:rsid w:val="6D157512"/>
    <w:rsid w:val="6D1A7E50"/>
    <w:rsid w:val="6D1C1AFD"/>
    <w:rsid w:val="6D211737"/>
    <w:rsid w:val="6D2C54D3"/>
    <w:rsid w:val="6D2D3E5E"/>
    <w:rsid w:val="6D2F0AEF"/>
    <w:rsid w:val="6D372F2F"/>
    <w:rsid w:val="6D3772D5"/>
    <w:rsid w:val="6D3D2DB9"/>
    <w:rsid w:val="6D3D613F"/>
    <w:rsid w:val="6D3E1A72"/>
    <w:rsid w:val="6D3F3B91"/>
    <w:rsid w:val="6D5B4E6F"/>
    <w:rsid w:val="6D68655D"/>
    <w:rsid w:val="6D814D9A"/>
    <w:rsid w:val="6D8639CB"/>
    <w:rsid w:val="6D8F7637"/>
    <w:rsid w:val="6DA07AAE"/>
    <w:rsid w:val="6DC43908"/>
    <w:rsid w:val="6DC76061"/>
    <w:rsid w:val="6DD31CAE"/>
    <w:rsid w:val="6DDF1572"/>
    <w:rsid w:val="6DEC773A"/>
    <w:rsid w:val="6DEE1E64"/>
    <w:rsid w:val="6DF04A06"/>
    <w:rsid w:val="6DF37782"/>
    <w:rsid w:val="6DFB5D0A"/>
    <w:rsid w:val="6DFD3BAC"/>
    <w:rsid w:val="6E0E4FAA"/>
    <w:rsid w:val="6E1075AF"/>
    <w:rsid w:val="6E160D96"/>
    <w:rsid w:val="6E1B63AC"/>
    <w:rsid w:val="6E2060D9"/>
    <w:rsid w:val="6E216609"/>
    <w:rsid w:val="6E254499"/>
    <w:rsid w:val="6E337B9A"/>
    <w:rsid w:val="6E371794"/>
    <w:rsid w:val="6E587601"/>
    <w:rsid w:val="6E691212"/>
    <w:rsid w:val="6E6B2E90"/>
    <w:rsid w:val="6E6F2CD2"/>
    <w:rsid w:val="6E736AD6"/>
    <w:rsid w:val="6E87506C"/>
    <w:rsid w:val="6E881C94"/>
    <w:rsid w:val="6E895A0C"/>
    <w:rsid w:val="6E8C750D"/>
    <w:rsid w:val="6E932152"/>
    <w:rsid w:val="6E957F0D"/>
    <w:rsid w:val="6EAC464C"/>
    <w:rsid w:val="6EAE2EB7"/>
    <w:rsid w:val="6EB61E47"/>
    <w:rsid w:val="6EC557F7"/>
    <w:rsid w:val="6ED44ED9"/>
    <w:rsid w:val="6EE66AF0"/>
    <w:rsid w:val="6EF76642"/>
    <w:rsid w:val="6EF81753"/>
    <w:rsid w:val="6F011A46"/>
    <w:rsid w:val="6F1150A1"/>
    <w:rsid w:val="6F193770"/>
    <w:rsid w:val="6F2319BD"/>
    <w:rsid w:val="6F280AFB"/>
    <w:rsid w:val="6F327A6A"/>
    <w:rsid w:val="6F375468"/>
    <w:rsid w:val="6F3F50D9"/>
    <w:rsid w:val="6F5222A2"/>
    <w:rsid w:val="6F522C74"/>
    <w:rsid w:val="6F533822"/>
    <w:rsid w:val="6F5D275D"/>
    <w:rsid w:val="6F6124E5"/>
    <w:rsid w:val="6F6A7401"/>
    <w:rsid w:val="6F792E7E"/>
    <w:rsid w:val="6F967DAB"/>
    <w:rsid w:val="6F9A6769"/>
    <w:rsid w:val="6FAF6120"/>
    <w:rsid w:val="6FB2556F"/>
    <w:rsid w:val="6FCC3262"/>
    <w:rsid w:val="6FD432D1"/>
    <w:rsid w:val="6FE0455F"/>
    <w:rsid w:val="6FE54EC4"/>
    <w:rsid w:val="6FEA0E5F"/>
    <w:rsid w:val="6FFD55EA"/>
    <w:rsid w:val="700755C1"/>
    <w:rsid w:val="700E36D8"/>
    <w:rsid w:val="701C12CD"/>
    <w:rsid w:val="7027728A"/>
    <w:rsid w:val="7040659E"/>
    <w:rsid w:val="7062789C"/>
    <w:rsid w:val="7067284D"/>
    <w:rsid w:val="7095123F"/>
    <w:rsid w:val="709A001B"/>
    <w:rsid w:val="70A62062"/>
    <w:rsid w:val="70CD7FBF"/>
    <w:rsid w:val="70DC7772"/>
    <w:rsid w:val="70E70CA0"/>
    <w:rsid w:val="70EA18D2"/>
    <w:rsid w:val="70F11172"/>
    <w:rsid w:val="70F405BA"/>
    <w:rsid w:val="70FC727E"/>
    <w:rsid w:val="71023D91"/>
    <w:rsid w:val="711517D9"/>
    <w:rsid w:val="7137174F"/>
    <w:rsid w:val="713811B4"/>
    <w:rsid w:val="7149355C"/>
    <w:rsid w:val="71731AFC"/>
    <w:rsid w:val="717F3A70"/>
    <w:rsid w:val="719646C8"/>
    <w:rsid w:val="71A44AE2"/>
    <w:rsid w:val="71A5490B"/>
    <w:rsid w:val="71C11019"/>
    <w:rsid w:val="71CC00E9"/>
    <w:rsid w:val="71CD6690"/>
    <w:rsid w:val="71D60F71"/>
    <w:rsid w:val="71D7606A"/>
    <w:rsid w:val="71E8430A"/>
    <w:rsid w:val="71F81348"/>
    <w:rsid w:val="71FD65FB"/>
    <w:rsid w:val="71FF4C8C"/>
    <w:rsid w:val="72042563"/>
    <w:rsid w:val="72062C59"/>
    <w:rsid w:val="720912FA"/>
    <w:rsid w:val="724203AC"/>
    <w:rsid w:val="72494BC7"/>
    <w:rsid w:val="72527473"/>
    <w:rsid w:val="72592E43"/>
    <w:rsid w:val="726A2B3A"/>
    <w:rsid w:val="72843BB7"/>
    <w:rsid w:val="728A3B01"/>
    <w:rsid w:val="72914710"/>
    <w:rsid w:val="72A73F87"/>
    <w:rsid w:val="72AE6B26"/>
    <w:rsid w:val="72BC4E8A"/>
    <w:rsid w:val="72D06F66"/>
    <w:rsid w:val="72D26A2D"/>
    <w:rsid w:val="72EA7565"/>
    <w:rsid w:val="72F71196"/>
    <w:rsid w:val="72FB3DFA"/>
    <w:rsid w:val="730900D5"/>
    <w:rsid w:val="731755C1"/>
    <w:rsid w:val="732644C8"/>
    <w:rsid w:val="73267A6F"/>
    <w:rsid w:val="733A28D8"/>
    <w:rsid w:val="733F2B3D"/>
    <w:rsid w:val="7361513E"/>
    <w:rsid w:val="73683291"/>
    <w:rsid w:val="73707370"/>
    <w:rsid w:val="73751ACC"/>
    <w:rsid w:val="73816D8C"/>
    <w:rsid w:val="738B2457"/>
    <w:rsid w:val="738E70E5"/>
    <w:rsid w:val="73992AEA"/>
    <w:rsid w:val="73A21510"/>
    <w:rsid w:val="73A85A0B"/>
    <w:rsid w:val="73AF3858"/>
    <w:rsid w:val="73B01C95"/>
    <w:rsid w:val="73B94EFD"/>
    <w:rsid w:val="73C97B11"/>
    <w:rsid w:val="73DC038C"/>
    <w:rsid w:val="73DC09EB"/>
    <w:rsid w:val="73FB4CB6"/>
    <w:rsid w:val="74011577"/>
    <w:rsid w:val="74021984"/>
    <w:rsid w:val="740C5B2D"/>
    <w:rsid w:val="741F125A"/>
    <w:rsid w:val="742F46E0"/>
    <w:rsid w:val="743106D8"/>
    <w:rsid w:val="7453472A"/>
    <w:rsid w:val="745A0DE2"/>
    <w:rsid w:val="74766F01"/>
    <w:rsid w:val="747C46F8"/>
    <w:rsid w:val="747D56CB"/>
    <w:rsid w:val="74940C67"/>
    <w:rsid w:val="74A91A02"/>
    <w:rsid w:val="74AE1BAF"/>
    <w:rsid w:val="74B47D78"/>
    <w:rsid w:val="74CE56B6"/>
    <w:rsid w:val="74D85420"/>
    <w:rsid w:val="74D95E99"/>
    <w:rsid w:val="74EB4BD7"/>
    <w:rsid w:val="74FC2934"/>
    <w:rsid w:val="75042370"/>
    <w:rsid w:val="751B4F72"/>
    <w:rsid w:val="751C79E2"/>
    <w:rsid w:val="751D29D0"/>
    <w:rsid w:val="754543C0"/>
    <w:rsid w:val="755A0776"/>
    <w:rsid w:val="75637282"/>
    <w:rsid w:val="75735A9C"/>
    <w:rsid w:val="757840E4"/>
    <w:rsid w:val="757D616F"/>
    <w:rsid w:val="758E5275"/>
    <w:rsid w:val="759425EF"/>
    <w:rsid w:val="75B4121E"/>
    <w:rsid w:val="75B72DB3"/>
    <w:rsid w:val="75C32559"/>
    <w:rsid w:val="75CA4B1B"/>
    <w:rsid w:val="75D05CCE"/>
    <w:rsid w:val="75D764F9"/>
    <w:rsid w:val="75D91027"/>
    <w:rsid w:val="75ED04B3"/>
    <w:rsid w:val="75F4087F"/>
    <w:rsid w:val="75F511A7"/>
    <w:rsid w:val="75FB7844"/>
    <w:rsid w:val="75FF0362"/>
    <w:rsid w:val="76025A09"/>
    <w:rsid w:val="76127015"/>
    <w:rsid w:val="76165DD7"/>
    <w:rsid w:val="761C1742"/>
    <w:rsid w:val="7625601A"/>
    <w:rsid w:val="762A1882"/>
    <w:rsid w:val="76351F42"/>
    <w:rsid w:val="763617C0"/>
    <w:rsid w:val="763D65A7"/>
    <w:rsid w:val="76533495"/>
    <w:rsid w:val="766111DA"/>
    <w:rsid w:val="76621AC4"/>
    <w:rsid w:val="76832A08"/>
    <w:rsid w:val="769A36EB"/>
    <w:rsid w:val="76AA6BE1"/>
    <w:rsid w:val="76AE5B98"/>
    <w:rsid w:val="76BA1405"/>
    <w:rsid w:val="76CF204F"/>
    <w:rsid w:val="76D31F1A"/>
    <w:rsid w:val="76DD4B47"/>
    <w:rsid w:val="76E35C36"/>
    <w:rsid w:val="76E4464B"/>
    <w:rsid w:val="76FC150A"/>
    <w:rsid w:val="77037355"/>
    <w:rsid w:val="77316A3F"/>
    <w:rsid w:val="77403975"/>
    <w:rsid w:val="774571D5"/>
    <w:rsid w:val="77505B17"/>
    <w:rsid w:val="77550B81"/>
    <w:rsid w:val="775A7DCC"/>
    <w:rsid w:val="777642E4"/>
    <w:rsid w:val="777B5DA6"/>
    <w:rsid w:val="778A5F66"/>
    <w:rsid w:val="778E4093"/>
    <w:rsid w:val="77943091"/>
    <w:rsid w:val="779F7282"/>
    <w:rsid w:val="77B51620"/>
    <w:rsid w:val="77C22DD4"/>
    <w:rsid w:val="77D63978"/>
    <w:rsid w:val="77DD6C56"/>
    <w:rsid w:val="77E01C7B"/>
    <w:rsid w:val="77E240DA"/>
    <w:rsid w:val="77E3786C"/>
    <w:rsid w:val="77F65F1E"/>
    <w:rsid w:val="77F97358"/>
    <w:rsid w:val="77F9775E"/>
    <w:rsid w:val="780316C2"/>
    <w:rsid w:val="780F40DC"/>
    <w:rsid w:val="781078B2"/>
    <w:rsid w:val="78267E28"/>
    <w:rsid w:val="78281DF2"/>
    <w:rsid w:val="782E1CC6"/>
    <w:rsid w:val="78347E7C"/>
    <w:rsid w:val="78352240"/>
    <w:rsid w:val="78395BD5"/>
    <w:rsid w:val="784D3606"/>
    <w:rsid w:val="78525476"/>
    <w:rsid w:val="78553C6A"/>
    <w:rsid w:val="78574EEE"/>
    <w:rsid w:val="78596A84"/>
    <w:rsid w:val="785C01A9"/>
    <w:rsid w:val="785D68A5"/>
    <w:rsid w:val="78682678"/>
    <w:rsid w:val="786930ED"/>
    <w:rsid w:val="787957D2"/>
    <w:rsid w:val="7893191B"/>
    <w:rsid w:val="789D2A68"/>
    <w:rsid w:val="78A87692"/>
    <w:rsid w:val="78AE39AF"/>
    <w:rsid w:val="78AF32FD"/>
    <w:rsid w:val="78C653AD"/>
    <w:rsid w:val="78CC47C3"/>
    <w:rsid w:val="78D035B3"/>
    <w:rsid w:val="78D0786C"/>
    <w:rsid w:val="78E43441"/>
    <w:rsid w:val="78F35090"/>
    <w:rsid w:val="7909440F"/>
    <w:rsid w:val="790E548B"/>
    <w:rsid w:val="7914356B"/>
    <w:rsid w:val="79282069"/>
    <w:rsid w:val="79292E6A"/>
    <w:rsid w:val="792D3305"/>
    <w:rsid w:val="793B2D9E"/>
    <w:rsid w:val="795B4ABD"/>
    <w:rsid w:val="797057FE"/>
    <w:rsid w:val="79744F86"/>
    <w:rsid w:val="79974FF9"/>
    <w:rsid w:val="79A656C4"/>
    <w:rsid w:val="79C93160"/>
    <w:rsid w:val="79CC4944"/>
    <w:rsid w:val="79D55FA9"/>
    <w:rsid w:val="79DE4E5E"/>
    <w:rsid w:val="79E32474"/>
    <w:rsid w:val="79E82566"/>
    <w:rsid w:val="79EB757B"/>
    <w:rsid w:val="79EC5FCD"/>
    <w:rsid w:val="79F83492"/>
    <w:rsid w:val="79F87DCD"/>
    <w:rsid w:val="79FB4905"/>
    <w:rsid w:val="7A0643B5"/>
    <w:rsid w:val="7A067F11"/>
    <w:rsid w:val="7A0B3DF8"/>
    <w:rsid w:val="7A110F79"/>
    <w:rsid w:val="7A165D08"/>
    <w:rsid w:val="7A184992"/>
    <w:rsid w:val="7A273CE5"/>
    <w:rsid w:val="7A280EAC"/>
    <w:rsid w:val="7A2E67B7"/>
    <w:rsid w:val="7A3A30BA"/>
    <w:rsid w:val="7A3E4008"/>
    <w:rsid w:val="7A505D0D"/>
    <w:rsid w:val="7A5F1966"/>
    <w:rsid w:val="7A67304B"/>
    <w:rsid w:val="7A6B2829"/>
    <w:rsid w:val="7A7326F5"/>
    <w:rsid w:val="7A7C6425"/>
    <w:rsid w:val="7A7E7C12"/>
    <w:rsid w:val="7A871863"/>
    <w:rsid w:val="7A9419C0"/>
    <w:rsid w:val="7A9674E6"/>
    <w:rsid w:val="7A9E639B"/>
    <w:rsid w:val="7AA339B1"/>
    <w:rsid w:val="7ABB4B5F"/>
    <w:rsid w:val="7AC1224F"/>
    <w:rsid w:val="7ACE6956"/>
    <w:rsid w:val="7AD661B8"/>
    <w:rsid w:val="7AE16B8E"/>
    <w:rsid w:val="7AE32FFF"/>
    <w:rsid w:val="7AE90B6A"/>
    <w:rsid w:val="7AEB03DA"/>
    <w:rsid w:val="7AED5790"/>
    <w:rsid w:val="7AF16E13"/>
    <w:rsid w:val="7AF661D7"/>
    <w:rsid w:val="7B1D0615"/>
    <w:rsid w:val="7B215F27"/>
    <w:rsid w:val="7B2366ED"/>
    <w:rsid w:val="7B2C4615"/>
    <w:rsid w:val="7B2E0BFB"/>
    <w:rsid w:val="7B2F0461"/>
    <w:rsid w:val="7B5F5B2A"/>
    <w:rsid w:val="7B6A0E94"/>
    <w:rsid w:val="7B7056D4"/>
    <w:rsid w:val="7B89704B"/>
    <w:rsid w:val="7B9616AE"/>
    <w:rsid w:val="7BA54158"/>
    <w:rsid w:val="7BA66E47"/>
    <w:rsid w:val="7BAA0935"/>
    <w:rsid w:val="7BB927EC"/>
    <w:rsid w:val="7BBF183E"/>
    <w:rsid w:val="7BC82AD2"/>
    <w:rsid w:val="7BCA7521"/>
    <w:rsid w:val="7BD10297"/>
    <w:rsid w:val="7BF158FB"/>
    <w:rsid w:val="7BF50902"/>
    <w:rsid w:val="7BF73FB5"/>
    <w:rsid w:val="7BF7591E"/>
    <w:rsid w:val="7C183E77"/>
    <w:rsid w:val="7C1C5A81"/>
    <w:rsid w:val="7C221254"/>
    <w:rsid w:val="7C23124E"/>
    <w:rsid w:val="7C30282C"/>
    <w:rsid w:val="7C374CF9"/>
    <w:rsid w:val="7C482A62"/>
    <w:rsid w:val="7C4F0E28"/>
    <w:rsid w:val="7C563840"/>
    <w:rsid w:val="7C627076"/>
    <w:rsid w:val="7C725D31"/>
    <w:rsid w:val="7C792C1C"/>
    <w:rsid w:val="7C7E6D98"/>
    <w:rsid w:val="7C8C3E26"/>
    <w:rsid w:val="7C975B14"/>
    <w:rsid w:val="7C9944BA"/>
    <w:rsid w:val="7CA13F21"/>
    <w:rsid w:val="7CA77B0E"/>
    <w:rsid w:val="7CAA42C8"/>
    <w:rsid w:val="7CC21EEA"/>
    <w:rsid w:val="7CC22F46"/>
    <w:rsid w:val="7CD11CE8"/>
    <w:rsid w:val="7CE053CC"/>
    <w:rsid w:val="7CEB1069"/>
    <w:rsid w:val="7D272826"/>
    <w:rsid w:val="7D285712"/>
    <w:rsid w:val="7D2E701F"/>
    <w:rsid w:val="7D363104"/>
    <w:rsid w:val="7D555B4F"/>
    <w:rsid w:val="7D5B4A17"/>
    <w:rsid w:val="7D6A1A4B"/>
    <w:rsid w:val="7D764A86"/>
    <w:rsid w:val="7D804BCF"/>
    <w:rsid w:val="7D8072EF"/>
    <w:rsid w:val="7D8418EC"/>
    <w:rsid w:val="7DAC7BB1"/>
    <w:rsid w:val="7DB13FB5"/>
    <w:rsid w:val="7DB3054C"/>
    <w:rsid w:val="7DB94104"/>
    <w:rsid w:val="7DD270EF"/>
    <w:rsid w:val="7DD500A0"/>
    <w:rsid w:val="7DDE1326"/>
    <w:rsid w:val="7DEF4DB6"/>
    <w:rsid w:val="7DF62157"/>
    <w:rsid w:val="7DFA0129"/>
    <w:rsid w:val="7E33329E"/>
    <w:rsid w:val="7E374B3D"/>
    <w:rsid w:val="7E424CF3"/>
    <w:rsid w:val="7E431C8A"/>
    <w:rsid w:val="7E4B4A8C"/>
    <w:rsid w:val="7E4D4360"/>
    <w:rsid w:val="7E4F0C6B"/>
    <w:rsid w:val="7E573431"/>
    <w:rsid w:val="7E6C784D"/>
    <w:rsid w:val="7E6D4A02"/>
    <w:rsid w:val="7E724F5D"/>
    <w:rsid w:val="7E755665"/>
    <w:rsid w:val="7E8B529E"/>
    <w:rsid w:val="7E8E6E02"/>
    <w:rsid w:val="7E8F5828"/>
    <w:rsid w:val="7E9055C2"/>
    <w:rsid w:val="7E9D2F6B"/>
    <w:rsid w:val="7EA83C8C"/>
    <w:rsid w:val="7EA95E79"/>
    <w:rsid w:val="7EB3736F"/>
    <w:rsid w:val="7EBB0058"/>
    <w:rsid w:val="7EC31A02"/>
    <w:rsid w:val="7ED259BC"/>
    <w:rsid w:val="7EE8419B"/>
    <w:rsid w:val="7EEC2797"/>
    <w:rsid w:val="7EF26CB5"/>
    <w:rsid w:val="7EF412B5"/>
    <w:rsid w:val="7EFA4F61"/>
    <w:rsid w:val="7EFB473A"/>
    <w:rsid w:val="7F0013D2"/>
    <w:rsid w:val="7F2B44F2"/>
    <w:rsid w:val="7F2F0A65"/>
    <w:rsid w:val="7F4F02C3"/>
    <w:rsid w:val="7F520134"/>
    <w:rsid w:val="7F5522F4"/>
    <w:rsid w:val="7F6060C4"/>
    <w:rsid w:val="7F6F6558"/>
    <w:rsid w:val="7F874610"/>
    <w:rsid w:val="7FA02C74"/>
    <w:rsid w:val="7FA64C8A"/>
    <w:rsid w:val="7FAA3B2B"/>
    <w:rsid w:val="7FB80B53"/>
    <w:rsid w:val="7FD8234F"/>
    <w:rsid w:val="7FEE255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iPriority="99"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qFormat="1"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qFormat="1"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640" w:lineRule="exact"/>
      <w:ind w:firstLine="200" w:firstLineChars="200"/>
      <w:jc w:val="both"/>
    </w:pPr>
    <w:rPr>
      <w:rFonts w:ascii="Times New Roman" w:hAnsi="Times New Roman" w:eastAsia="仿宋_GB2312" w:cs="Times New Roman"/>
      <w:kern w:val="2"/>
      <w:sz w:val="32"/>
      <w:szCs w:val="24"/>
      <w:lang w:val="en-US" w:eastAsia="zh-CN" w:bidi="ar-SA"/>
    </w:rPr>
  </w:style>
  <w:style w:type="paragraph" w:styleId="3">
    <w:name w:val="heading 1"/>
    <w:basedOn w:val="1"/>
    <w:next w:val="1"/>
    <w:qFormat/>
    <w:uiPriority w:val="0"/>
    <w:pPr>
      <w:keepNext/>
      <w:keepLines/>
      <w:spacing w:before="340" w:after="340"/>
      <w:outlineLvl w:val="0"/>
    </w:pPr>
    <w:rPr>
      <w:rFonts w:eastAsia="黑体"/>
      <w:kern w:val="44"/>
    </w:rPr>
  </w:style>
  <w:style w:type="paragraph" w:styleId="4">
    <w:name w:val="heading 2"/>
    <w:basedOn w:val="1"/>
    <w:next w:val="1"/>
    <w:unhideWhenUsed/>
    <w:qFormat/>
    <w:uiPriority w:val="0"/>
    <w:pPr>
      <w:keepNext/>
      <w:keepLines/>
      <w:spacing w:before="200" w:after="200"/>
      <w:outlineLvl w:val="1"/>
    </w:pPr>
    <w:rPr>
      <w:rFonts w:ascii="Arial" w:hAnsi="Arial" w:eastAsia="楷体_GB2312"/>
    </w:rPr>
  </w:style>
  <w:style w:type="character" w:default="1" w:styleId="22">
    <w:name w:val="Default Paragraph Font"/>
    <w:semiHidden/>
    <w:unhideWhenUsed/>
    <w:qFormat/>
    <w:uiPriority w:val="1"/>
  </w:style>
  <w:style w:type="table" w:default="1" w:styleId="20">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99"/>
    <w:pPr>
      <w:ind w:left="206"/>
      <w:jc w:val="left"/>
    </w:pPr>
    <w:rPr>
      <w:rFonts w:ascii="宋体" w:hAnsi="宋体" w:eastAsia="宋体" w:cs="Times New Roman"/>
      <w:kern w:val="0"/>
      <w:sz w:val="18"/>
      <w:szCs w:val="18"/>
      <w:lang w:eastAsia="en-US"/>
    </w:rPr>
  </w:style>
  <w:style w:type="paragraph" w:styleId="5">
    <w:name w:val="Normal Indent"/>
    <w:basedOn w:val="1"/>
    <w:qFormat/>
    <w:uiPriority w:val="0"/>
    <w:pPr>
      <w:ind w:firstLine="420"/>
    </w:pPr>
    <w:rPr>
      <w:sz w:val="21"/>
    </w:rPr>
  </w:style>
  <w:style w:type="paragraph" w:styleId="6">
    <w:name w:val="Document Map"/>
    <w:basedOn w:val="1"/>
    <w:link w:val="58"/>
    <w:qFormat/>
    <w:uiPriority w:val="0"/>
    <w:rPr>
      <w:rFonts w:ascii="宋体" w:eastAsia="宋体"/>
      <w:sz w:val="18"/>
      <w:szCs w:val="18"/>
    </w:rPr>
  </w:style>
  <w:style w:type="paragraph" w:styleId="7">
    <w:name w:val="toa heading"/>
    <w:basedOn w:val="1"/>
    <w:next w:val="1"/>
    <w:unhideWhenUsed/>
    <w:qFormat/>
    <w:uiPriority w:val="99"/>
    <w:rPr>
      <w:rFonts w:ascii="Arial" w:hAnsi="Arial"/>
      <w:sz w:val="24"/>
    </w:rPr>
  </w:style>
  <w:style w:type="paragraph" w:styleId="8">
    <w:name w:val="annotation text"/>
    <w:basedOn w:val="1"/>
    <w:qFormat/>
    <w:uiPriority w:val="0"/>
    <w:pPr>
      <w:jc w:val="left"/>
    </w:pPr>
  </w:style>
  <w:style w:type="paragraph" w:styleId="9">
    <w:name w:val="Body Text Indent"/>
    <w:basedOn w:val="1"/>
    <w:qFormat/>
    <w:uiPriority w:val="0"/>
    <w:pPr>
      <w:spacing w:after="120"/>
      <w:ind w:left="420" w:leftChars="200"/>
    </w:pPr>
  </w:style>
  <w:style w:type="paragraph" w:styleId="10">
    <w:name w:val="Block Text"/>
    <w:basedOn w:val="1"/>
    <w:qFormat/>
    <w:uiPriority w:val="0"/>
    <w:pPr>
      <w:spacing w:before="100" w:beforeAutospacing="1"/>
      <w:ind w:left="700" w:leftChars="700" w:right="700" w:rightChars="700"/>
    </w:pPr>
  </w:style>
  <w:style w:type="paragraph" w:styleId="11">
    <w:name w:val="toc 3"/>
    <w:basedOn w:val="1"/>
    <w:next w:val="1"/>
    <w:qFormat/>
    <w:uiPriority w:val="0"/>
    <w:pPr>
      <w:ind w:left="840" w:leftChars="400"/>
    </w:pPr>
  </w:style>
  <w:style w:type="paragraph" w:styleId="12">
    <w:name w:val="Balloon Text"/>
    <w:basedOn w:val="1"/>
    <w:link w:val="35"/>
    <w:qFormat/>
    <w:uiPriority w:val="0"/>
    <w:pPr>
      <w:spacing w:line="240" w:lineRule="auto"/>
    </w:pPr>
    <w:rPr>
      <w:sz w:val="18"/>
      <w:szCs w:val="18"/>
    </w:rPr>
  </w:style>
  <w:style w:type="paragraph" w:styleId="13">
    <w:name w:val="footer"/>
    <w:basedOn w:val="1"/>
    <w:link w:val="51"/>
    <w:qFormat/>
    <w:uiPriority w:val="99"/>
    <w:pPr>
      <w:tabs>
        <w:tab w:val="center" w:pos="4153"/>
        <w:tab w:val="right" w:pos="8306"/>
      </w:tabs>
      <w:snapToGrid w:val="0"/>
      <w:jc w:val="left"/>
    </w:pPr>
    <w:rPr>
      <w:sz w:val="18"/>
      <w:szCs w:val="18"/>
    </w:rPr>
  </w:style>
  <w:style w:type="paragraph" w:styleId="1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5">
    <w:name w:val="toc 1"/>
    <w:basedOn w:val="1"/>
    <w:next w:val="1"/>
    <w:qFormat/>
    <w:uiPriority w:val="39"/>
    <w:pPr>
      <w:tabs>
        <w:tab w:val="right" w:leader="dot" w:pos="8296"/>
      </w:tabs>
      <w:ind w:firstLine="0" w:firstLineChars="0"/>
      <w:jc w:val="center"/>
    </w:pPr>
    <w:rPr>
      <w:rFonts w:ascii="宋体" w:hAnsi="宋体"/>
      <w:b/>
      <w:kern w:val="0"/>
      <w:sz w:val="28"/>
      <w:szCs w:val="36"/>
    </w:rPr>
  </w:style>
  <w:style w:type="paragraph" w:styleId="16">
    <w:name w:val="toc 2"/>
    <w:basedOn w:val="1"/>
    <w:next w:val="1"/>
    <w:qFormat/>
    <w:uiPriority w:val="39"/>
    <w:pPr>
      <w:ind w:left="420" w:leftChars="200" w:firstLine="0" w:firstLineChars="0"/>
    </w:pPr>
    <w:rPr>
      <w:sz w:val="28"/>
    </w:rPr>
  </w:style>
  <w:style w:type="paragraph" w:styleId="17">
    <w:name w:val="Normal (Web)"/>
    <w:basedOn w:val="1"/>
    <w:next w:val="1"/>
    <w:autoRedefine/>
    <w:unhideWhenUsed/>
    <w:qFormat/>
    <w:uiPriority w:val="99"/>
    <w:pPr>
      <w:widowControl/>
      <w:spacing w:before="100" w:beforeAutospacing="1" w:after="100" w:afterAutospacing="1"/>
      <w:jc w:val="left"/>
    </w:pPr>
    <w:rPr>
      <w:rFonts w:ascii="宋体" w:hAnsi="宋体" w:eastAsia="宋体" w:cs="宋体"/>
      <w:kern w:val="0"/>
      <w:sz w:val="24"/>
    </w:rPr>
  </w:style>
  <w:style w:type="paragraph" w:styleId="18">
    <w:name w:val="Title"/>
    <w:basedOn w:val="1"/>
    <w:next w:val="1"/>
    <w:link w:val="59"/>
    <w:autoRedefine/>
    <w:qFormat/>
    <w:uiPriority w:val="0"/>
    <w:pPr>
      <w:spacing w:before="240" w:after="60"/>
      <w:jc w:val="center"/>
      <w:outlineLvl w:val="0"/>
    </w:pPr>
    <w:rPr>
      <w:rFonts w:eastAsia="宋体" w:asciiTheme="majorHAnsi" w:hAnsiTheme="majorHAnsi" w:cstheme="majorBidi"/>
      <w:b/>
      <w:bCs/>
      <w:szCs w:val="32"/>
    </w:rPr>
  </w:style>
  <w:style w:type="paragraph" w:styleId="19">
    <w:name w:val="Body Text First Indent 2"/>
    <w:basedOn w:val="9"/>
    <w:autoRedefine/>
    <w:qFormat/>
    <w:uiPriority w:val="0"/>
    <w:pPr>
      <w:ind w:firstLine="420"/>
    </w:pPr>
  </w:style>
  <w:style w:type="table" w:styleId="21">
    <w:name w:val="Table Grid"/>
    <w:basedOn w:val="2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3">
    <w:name w:val="Strong"/>
    <w:basedOn w:val="22"/>
    <w:qFormat/>
    <w:uiPriority w:val="0"/>
    <w:rPr>
      <w:b/>
    </w:rPr>
  </w:style>
  <w:style w:type="character" w:styleId="24">
    <w:name w:val="FollowedHyperlink"/>
    <w:basedOn w:val="22"/>
    <w:qFormat/>
    <w:uiPriority w:val="0"/>
    <w:rPr>
      <w:color w:val="000000"/>
      <w:u w:val="none"/>
    </w:rPr>
  </w:style>
  <w:style w:type="character" w:styleId="25">
    <w:name w:val="Emphasis"/>
    <w:basedOn w:val="22"/>
    <w:autoRedefine/>
    <w:qFormat/>
    <w:uiPriority w:val="0"/>
    <w:rPr>
      <w:sz w:val="21"/>
      <w:szCs w:val="21"/>
    </w:rPr>
  </w:style>
  <w:style w:type="character" w:styleId="26">
    <w:name w:val="HTML Definition"/>
    <w:basedOn w:val="22"/>
    <w:autoRedefine/>
    <w:qFormat/>
    <w:uiPriority w:val="0"/>
    <w:rPr>
      <w:b/>
      <w:i/>
    </w:rPr>
  </w:style>
  <w:style w:type="character" w:styleId="27">
    <w:name w:val="HTML Typewriter"/>
    <w:basedOn w:val="22"/>
    <w:autoRedefine/>
    <w:qFormat/>
    <w:uiPriority w:val="0"/>
    <w:rPr>
      <w:rFonts w:hint="default" w:ascii="Lucida Console" w:hAnsi="Lucida Console" w:eastAsia="Lucida Console" w:cs="Lucida Console"/>
      <w:sz w:val="21"/>
      <w:szCs w:val="21"/>
    </w:rPr>
  </w:style>
  <w:style w:type="character" w:styleId="28">
    <w:name w:val="HTML Acronym"/>
    <w:basedOn w:val="22"/>
    <w:qFormat/>
    <w:uiPriority w:val="0"/>
  </w:style>
  <w:style w:type="character" w:styleId="29">
    <w:name w:val="Hyperlink"/>
    <w:basedOn w:val="22"/>
    <w:qFormat/>
    <w:uiPriority w:val="99"/>
    <w:rPr>
      <w:color w:val="000000"/>
      <w:u w:val="none"/>
    </w:rPr>
  </w:style>
  <w:style w:type="character" w:styleId="30">
    <w:name w:val="HTML Code"/>
    <w:basedOn w:val="22"/>
    <w:qFormat/>
    <w:uiPriority w:val="0"/>
    <w:rPr>
      <w:rFonts w:ascii="Lucida Console" w:hAnsi="Lucida Console" w:eastAsia="Lucida Console" w:cs="Lucida Console"/>
      <w:sz w:val="21"/>
      <w:szCs w:val="21"/>
    </w:rPr>
  </w:style>
  <w:style w:type="table" w:customStyle="1" w:styleId="31">
    <w:name w:val="网格型4"/>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32">
    <w:name w:val="网格型5"/>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3">
    <w:name w:val="闻政正文"/>
    <w:basedOn w:val="1"/>
    <w:link w:val="50"/>
    <w:qFormat/>
    <w:uiPriority w:val="0"/>
    <w:pPr>
      <w:spacing w:line="500" w:lineRule="exact"/>
      <w:ind w:firstLine="560"/>
    </w:pPr>
    <w:rPr>
      <w:kern w:val="0"/>
      <w:sz w:val="28"/>
      <w:szCs w:val="28"/>
    </w:rPr>
  </w:style>
  <w:style w:type="paragraph" w:customStyle="1" w:styleId="34">
    <w:name w:val="列出段落1"/>
    <w:basedOn w:val="1"/>
    <w:qFormat/>
    <w:uiPriority w:val="0"/>
    <w:pPr>
      <w:ind w:firstLine="420"/>
    </w:pPr>
    <w:rPr>
      <w:rFonts w:ascii="Calibri" w:hAnsi="Calibri"/>
      <w:szCs w:val="22"/>
    </w:rPr>
  </w:style>
  <w:style w:type="character" w:customStyle="1" w:styleId="35">
    <w:name w:val="批注框文本 Char"/>
    <w:basedOn w:val="22"/>
    <w:link w:val="12"/>
    <w:qFormat/>
    <w:uiPriority w:val="0"/>
    <w:rPr>
      <w:rFonts w:eastAsia="仿宋_GB2312"/>
      <w:kern w:val="2"/>
      <w:sz w:val="18"/>
      <w:szCs w:val="18"/>
    </w:rPr>
  </w:style>
  <w:style w:type="character" w:customStyle="1" w:styleId="36">
    <w:name w:val="layui-layer-tabnow"/>
    <w:basedOn w:val="22"/>
    <w:qFormat/>
    <w:uiPriority w:val="0"/>
    <w:rPr>
      <w:bdr w:val="single" w:color="CCCCCC" w:sz="6" w:space="0"/>
      <w:shd w:val="clear" w:color="auto" w:fill="FFFFFF"/>
    </w:rPr>
  </w:style>
  <w:style w:type="character" w:customStyle="1" w:styleId="37">
    <w:name w:val="first-child"/>
    <w:basedOn w:val="22"/>
    <w:autoRedefine/>
    <w:qFormat/>
    <w:uiPriority w:val="0"/>
  </w:style>
  <w:style w:type="character" w:customStyle="1" w:styleId="38">
    <w:name w:val="hover21"/>
    <w:basedOn w:val="22"/>
    <w:qFormat/>
    <w:uiPriority w:val="0"/>
  </w:style>
  <w:style w:type="character" w:customStyle="1" w:styleId="39">
    <w:name w:val="hover22"/>
    <w:basedOn w:val="22"/>
    <w:qFormat/>
    <w:uiPriority w:val="0"/>
  </w:style>
  <w:style w:type="character" w:customStyle="1" w:styleId="40">
    <w:name w:val="hover23"/>
    <w:basedOn w:val="22"/>
    <w:qFormat/>
    <w:uiPriority w:val="0"/>
  </w:style>
  <w:style w:type="character" w:customStyle="1" w:styleId="41">
    <w:name w:val="hover24"/>
    <w:basedOn w:val="22"/>
    <w:qFormat/>
    <w:uiPriority w:val="0"/>
    <w:rPr>
      <w:color w:val="F85659"/>
    </w:rPr>
  </w:style>
  <w:style w:type="paragraph" w:customStyle="1" w:styleId="42">
    <w:name w:val="列出段落2"/>
    <w:basedOn w:val="1"/>
    <w:autoRedefine/>
    <w:qFormat/>
    <w:uiPriority w:val="0"/>
    <w:pPr>
      <w:ind w:firstLine="420"/>
    </w:pPr>
    <w:rPr>
      <w:rFonts w:ascii="Calibri" w:hAnsi="Calibri"/>
      <w:szCs w:val="22"/>
    </w:rPr>
  </w:style>
  <w:style w:type="character" w:customStyle="1" w:styleId="43">
    <w:name w:val="列出段落 Char"/>
    <w:link w:val="44"/>
    <w:autoRedefine/>
    <w:qFormat/>
    <w:uiPriority w:val="34"/>
    <w:rPr>
      <w:rFonts w:ascii="Calibri" w:hAnsi="Calibri"/>
    </w:rPr>
  </w:style>
  <w:style w:type="paragraph" w:styleId="44">
    <w:name w:val="List Paragraph"/>
    <w:basedOn w:val="1"/>
    <w:link w:val="43"/>
    <w:qFormat/>
    <w:uiPriority w:val="34"/>
    <w:pPr>
      <w:spacing w:line="240" w:lineRule="auto"/>
      <w:ind w:firstLine="420"/>
    </w:pPr>
    <w:rPr>
      <w:rFonts w:ascii="Calibri" w:hAnsi="Calibri" w:eastAsia="宋体"/>
      <w:kern w:val="0"/>
      <w:sz w:val="20"/>
      <w:szCs w:val="20"/>
    </w:rPr>
  </w:style>
  <w:style w:type="table" w:customStyle="1" w:styleId="45">
    <w:name w:val="网格型1"/>
    <w:basedOn w:val="20"/>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6">
    <w:name w:val="网格型2"/>
    <w:basedOn w:val="20"/>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7">
    <w:name w:val="网格型3"/>
    <w:basedOn w:val="20"/>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8">
    <w:name w:val="网格型6"/>
    <w:basedOn w:val="20"/>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49">
    <w:name w:val="List Paragraph1"/>
    <w:basedOn w:val="1"/>
    <w:autoRedefine/>
    <w:qFormat/>
    <w:uiPriority w:val="0"/>
    <w:pPr>
      <w:spacing w:line="240" w:lineRule="auto"/>
      <w:ind w:firstLine="420"/>
    </w:pPr>
    <w:rPr>
      <w:rFonts w:ascii="Calibri" w:hAnsi="Calibri" w:eastAsia="宋体"/>
      <w:sz w:val="21"/>
      <w:szCs w:val="22"/>
    </w:rPr>
  </w:style>
  <w:style w:type="character" w:customStyle="1" w:styleId="50">
    <w:name w:val="闻政正文 Char"/>
    <w:link w:val="33"/>
    <w:autoRedefine/>
    <w:qFormat/>
    <w:uiPriority w:val="0"/>
    <w:rPr>
      <w:rFonts w:eastAsia="仿宋_GB2312"/>
      <w:sz w:val="28"/>
      <w:szCs w:val="28"/>
    </w:rPr>
  </w:style>
  <w:style w:type="character" w:customStyle="1" w:styleId="51">
    <w:name w:val="页脚 Char"/>
    <w:basedOn w:val="22"/>
    <w:link w:val="13"/>
    <w:qFormat/>
    <w:uiPriority w:val="99"/>
    <w:rPr>
      <w:rFonts w:eastAsia="仿宋_GB2312"/>
      <w:kern w:val="2"/>
      <w:sz w:val="18"/>
      <w:szCs w:val="18"/>
    </w:rPr>
  </w:style>
  <w:style w:type="table" w:customStyle="1" w:styleId="52">
    <w:name w:val="网格型31"/>
    <w:basedOn w:val="20"/>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3">
    <w:name w:val="No Spacing_ad81b47b-6779-4c76-b471-79375858c8cb"/>
    <w:basedOn w:val="1"/>
    <w:autoRedefine/>
    <w:qFormat/>
    <w:uiPriority w:val="0"/>
    <w:rPr>
      <w:rFonts w:eastAsia="宋体"/>
    </w:rPr>
  </w:style>
  <w:style w:type="character" w:customStyle="1" w:styleId="54">
    <w:name w:val="font21"/>
    <w:basedOn w:val="22"/>
    <w:autoRedefine/>
    <w:qFormat/>
    <w:uiPriority w:val="0"/>
    <w:rPr>
      <w:rFonts w:hint="eastAsia" w:ascii="仿宋_GB2312" w:eastAsia="仿宋_GB2312" w:cs="仿宋_GB2312"/>
      <w:color w:val="000000"/>
      <w:sz w:val="18"/>
      <w:szCs w:val="18"/>
      <w:u w:val="none"/>
    </w:rPr>
  </w:style>
  <w:style w:type="character" w:customStyle="1" w:styleId="55">
    <w:name w:val="font11"/>
    <w:basedOn w:val="22"/>
    <w:autoRedefine/>
    <w:qFormat/>
    <w:uiPriority w:val="0"/>
    <w:rPr>
      <w:rFonts w:hint="default" w:ascii="Times New Roman" w:hAnsi="Times New Roman" w:cs="Times New Roman"/>
      <w:color w:val="000000"/>
      <w:sz w:val="18"/>
      <w:szCs w:val="18"/>
      <w:u w:val="none"/>
    </w:rPr>
  </w:style>
  <w:style w:type="character" w:customStyle="1" w:styleId="56">
    <w:name w:val="font31"/>
    <w:basedOn w:val="22"/>
    <w:autoRedefine/>
    <w:qFormat/>
    <w:uiPriority w:val="0"/>
    <w:rPr>
      <w:rFonts w:hint="eastAsia" w:ascii="仿宋_GB2312" w:eastAsia="仿宋_GB2312" w:cs="仿宋_GB2312"/>
      <w:color w:val="000000"/>
      <w:sz w:val="22"/>
      <w:szCs w:val="22"/>
      <w:u w:val="none"/>
    </w:rPr>
  </w:style>
  <w:style w:type="character" w:customStyle="1" w:styleId="57">
    <w:name w:val="font51"/>
    <w:basedOn w:val="22"/>
    <w:autoRedefine/>
    <w:qFormat/>
    <w:uiPriority w:val="0"/>
    <w:rPr>
      <w:rFonts w:hint="eastAsia" w:ascii="仿宋_GB2312" w:eastAsia="仿宋_GB2312" w:cs="仿宋_GB2312"/>
      <w:color w:val="000000"/>
      <w:sz w:val="22"/>
      <w:szCs w:val="22"/>
      <w:u w:val="none"/>
    </w:rPr>
  </w:style>
  <w:style w:type="character" w:customStyle="1" w:styleId="58">
    <w:name w:val="文档结构图 Char"/>
    <w:basedOn w:val="22"/>
    <w:link w:val="6"/>
    <w:autoRedefine/>
    <w:qFormat/>
    <w:uiPriority w:val="0"/>
    <w:rPr>
      <w:rFonts w:ascii="宋体"/>
      <w:kern w:val="2"/>
      <w:sz w:val="18"/>
      <w:szCs w:val="18"/>
    </w:rPr>
  </w:style>
  <w:style w:type="character" w:customStyle="1" w:styleId="59">
    <w:name w:val="标题 Char"/>
    <w:basedOn w:val="22"/>
    <w:link w:val="18"/>
    <w:autoRedefine/>
    <w:qFormat/>
    <w:uiPriority w:val="0"/>
    <w:rPr>
      <w:rFonts w:asciiTheme="majorHAnsi" w:hAnsiTheme="majorHAnsi" w:cstheme="majorBidi"/>
      <w:b/>
      <w:bCs/>
      <w:kern w:val="2"/>
      <w:sz w:val="32"/>
      <w:szCs w:val="32"/>
    </w:rPr>
  </w:style>
  <w:style w:type="paragraph" w:customStyle="1" w:styleId="60">
    <w:name w:val="正文首行缩进 21"/>
    <w:basedOn w:val="61"/>
    <w:next w:val="17"/>
    <w:autoRedefine/>
    <w:qFormat/>
    <w:uiPriority w:val="99"/>
    <w:pPr>
      <w:ind w:firstLine="200" w:firstLineChars="200"/>
    </w:pPr>
  </w:style>
  <w:style w:type="paragraph" w:customStyle="1" w:styleId="61">
    <w:name w:val="正文文本缩进1"/>
    <w:basedOn w:val="1"/>
    <w:autoRedefine/>
    <w:qFormat/>
    <w:uiPriority w:val="99"/>
    <w:pPr>
      <w:ind w:left="200" w:leftChars="200"/>
    </w:pPr>
  </w:style>
  <w:style w:type="paragraph" w:customStyle="1" w:styleId="62">
    <w:name w:val="闻政-正文段落文字"/>
    <w:basedOn w:val="1"/>
    <w:autoRedefine/>
    <w:qFormat/>
    <w:uiPriority w:val="99"/>
    <w:pPr>
      <w:spacing w:line="500" w:lineRule="exact"/>
      <w:ind w:firstLine="200"/>
    </w:pPr>
    <w:rPr>
      <w:rFonts w:ascii="Times New Roman" w:hAnsi="Times New Roman" w:cs="Times New Roman"/>
      <w:kern w:val="0"/>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F5770F-79C2-4F8B-98CC-EF7B29F9AF59}">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85</Pages>
  <Words>29892</Words>
  <Characters>33479</Characters>
  <Lines>218</Lines>
  <Paragraphs>61</Paragraphs>
  <TotalTime>14</TotalTime>
  <ScaleCrop>false</ScaleCrop>
  <LinksUpToDate>false</LinksUpToDate>
  <CharactersWithSpaces>33848</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2020-12-08T10:32:00Z</dcterms:created>
  <dc:creator>Administrator</dc:creator>
  <cp:lastModifiedBy>WPS_1694479635</cp:lastModifiedBy>
  <cp:lastPrinted>2021-08-03T07:14:00Z</cp:lastPrinted>
  <dcterms:modified xsi:type="dcterms:W3CDTF">2024-05-20T03:06:20Z</dcterms:modified>
  <cp:revision>476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8706663CF9D54659A88FB00487A709AA_13</vt:lpwstr>
  </property>
</Properties>
</file>