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A8C63E">
      <w:pPr>
        <w:autoSpaceDE w:val="0"/>
        <w:autoSpaceDN w:val="0"/>
        <w:adjustRightInd w:val="0"/>
        <w:ind w:left="0" w:leftChars="0" w:firstLine="0" w:firstLineChars="0"/>
        <w:jc w:val="both"/>
        <w:rPr>
          <w:rFonts w:ascii="仿宋_GB2312" w:hAnsi="仿宋_GB2312" w:cs="仿宋_GB2312"/>
          <w:b/>
          <w:sz w:val="44"/>
          <w:szCs w:val="44"/>
        </w:rPr>
      </w:pPr>
    </w:p>
    <w:p w14:paraId="237ECD4B">
      <w:pPr>
        <w:pStyle w:val="2"/>
        <w:rPr>
          <w:rFonts w:hint="eastAsia" w:ascii="黑体" w:hAnsi="黑体" w:eastAsia="黑体" w:cs="黑体"/>
        </w:rPr>
      </w:pPr>
    </w:p>
    <w:p w14:paraId="50B28AC5">
      <w:pPr>
        <w:autoSpaceDE w:val="0"/>
        <w:autoSpaceDN w:val="0"/>
        <w:adjustRightInd w:val="0"/>
        <w:spacing w:line="660" w:lineRule="exact"/>
        <w:ind w:firstLine="0" w:firstLineChars="0"/>
        <w:jc w:val="center"/>
        <w:rPr>
          <w:rFonts w:hint="eastAsia" w:ascii="黑体" w:hAnsi="黑体" w:eastAsia="黑体" w:cs="黑体"/>
          <w:b w:val="0"/>
          <w:bCs/>
          <w:sz w:val="44"/>
          <w:szCs w:val="44"/>
          <w:lang w:val="en-US" w:eastAsia="zh-CN"/>
        </w:rPr>
      </w:pPr>
      <w:r>
        <w:rPr>
          <w:rFonts w:hint="eastAsia" w:ascii="黑体" w:hAnsi="黑体" w:eastAsia="黑体" w:cs="黑体"/>
          <w:b w:val="0"/>
          <w:bCs/>
          <w:sz w:val="44"/>
          <w:szCs w:val="44"/>
          <w:lang w:val="en-US" w:eastAsia="zh-CN"/>
        </w:rPr>
        <w:t>古县县委党校改扩建项目</w:t>
      </w:r>
    </w:p>
    <w:p w14:paraId="6C899699">
      <w:pPr>
        <w:autoSpaceDE w:val="0"/>
        <w:autoSpaceDN w:val="0"/>
        <w:adjustRightInd w:val="0"/>
        <w:spacing w:line="660" w:lineRule="exact"/>
        <w:ind w:firstLine="0" w:firstLineChars="0"/>
        <w:jc w:val="center"/>
        <w:rPr>
          <w:rFonts w:hint="eastAsia" w:ascii="黑体" w:hAnsi="黑体" w:eastAsia="黑体" w:cs="黑体"/>
          <w:b w:val="0"/>
          <w:bCs/>
          <w:kern w:val="0"/>
          <w:sz w:val="44"/>
          <w:szCs w:val="44"/>
        </w:rPr>
      </w:pPr>
      <w:r>
        <w:rPr>
          <w:rFonts w:hint="eastAsia" w:ascii="黑体" w:hAnsi="黑体" w:eastAsia="黑体" w:cs="黑体"/>
          <w:b w:val="0"/>
          <w:bCs/>
          <w:sz w:val="44"/>
          <w:szCs w:val="44"/>
        </w:rPr>
        <w:t>支出绩效评价</w:t>
      </w:r>
      <w:r>
        <w:rPr>
          <w:rFonts w:hint="eastAsia" w:ascii="黑体" w:hAnsi="黑体" w:eastAsia="黑体" w:cs="黑体"/>
          <w:b w:val="0"/>
          <w:bCs/>
          <w:sz w:val="44"/>
          <w:szCs w:val="44"/>
          <w:lang w:val="en-US" w:eastAsia="zh-CN"/>
        </w:rPr>
        <w:t>工作</w:t>
      </w:r>
      <w:r>
        <w:rPr>
          <w:rFonts w:hint="eastAsia" w:ascii="黑体" w:hAnsi="黑体" w:eastAsia="黑体" w:cs="黑体"/>
          <w:b w:val="0"/>
          <w:bCs/>
          <w:sz w:val="44"/>
          <w:szCs w:val="44"/>
        </w:rPr>
        <w:t>报告</w:t>
      </w:r>
    </w:p>
    <w:p w14:paraId="27343C34">
      <w:pPr>
        <w:spacing w:line="574" w:lineRule="exact"/>
        <w:ind w:right="618" w:firstLine="964" w:firstLineChars="300"/>
        <w:jc w:val="left"/>
        <w:rPr>
          <w:rFonts w:hint="eastAsia" w:ascii="黑体" w:hAnsi="黑体" w:eastAsia="黑体" w:cs="黑体"/>
          <w:b/>
          <w:bCs/>
          <w:szCs w:val="32"/>
        </w:rPr>
      </w:pPr>
    </w:p>
    <w:p w14:paraId="19B976A5">
      <w:pPr>
        <w:pStyle w:val="2"/>
        <w:rPr>
          <w:rFonts w:hint="eastAsia" w:ascii="黑体" w:hAnsi="黑体" w:eastAsia="黑体" w:cs="黑体"/>
        </w:rPr>
      </w:pPr>
    </w:p>
    <w:p w14:paraId="5666903B">
      <w:pPr>
        <w:spacing w:line="574" w:lineRule="exact"/>
        <w:ind w:right="618" w:firstLine="964" w:firstLineChars="300"/>
        <w:jc w:val="left"/>
        <w:rPr>
          <w:rFonts w:hint="eastAsia" w:ascii="黑体" w:hAnsi="黑体" w:eastAsia="黑体" w:cs="黑体"/>
          <w:b/>
          <w:bCs/>
          <w:szCs w:val="32"/>
        </w:rPr>
      </w:pPr>
    </w:p>
    <w:p w14:paraId="6007044C">
      <w:pPr>
        <w:ind w:left="0" w:leftChars="0" w:right="618" w:firstLine="640" w:firstLineChars="200"/>
        <w:jc w:val="left"/>
        <w:rPr>
          <w:rFonts w:hint="eastAsia" w:ascii="黑体" w:hAnsi="黑体" w:eastAsia="黑体" w:cs="黑体"/>
          <w:b w:val="0"/>
          <w:bCs w:val="0"/>
          <w:szCs w:val="32"/>
          <w:lang w:val="en-US"/>
        </w:rPr>
      </w:pPr>
      <w:r>
        <w:rPr>
          <w:rFonts w:hint="eastAsia" w:ascii="黑体" w:hAnsi="黑体" w:eastAsia="黑体" w:cs="黑体"/>
          <w:b w:val="0"/>
          <w:bCs w:val="0"/>
          <w:szCs w:val="32"/>
        </w:rPr>
        <w:t>项目名称：</w:t>
      </w:r>
      <w:r>
        <w:rPr>
          <w:rFonts w:hint="eastAsia" w:ascii="黑体" w:hAnsi="黑体" w:eastAsia="黑体" w:cs="黑体"/>
          <w:b w:val="0"/>
          <w:bCs w:val="0"/>
          <w:szCs w:val="32"/>
          <w:lang w:val="en-US" w:eastAsia="zh-CN"/>
        </w:rPr>
        <w:t>古县县委党校改扩建</w:t>
      </w:r>
    </w:p>
    <w:p w14:paraId="26C30573">
      <w:pPr>
        <w:ind w:left="0" w:leftChars="0" w:right="618" w:firstLine="640" w:firstLineChars="200"/>
        <w:jc w:val="left"/>
        <w:rPr>
          <w:rFonts w:hint="eastAsia" w:ascii="黑体" w:hAnsi="黑体" w:eastAsia="黑体" w:cs="黑体"/>
          <w:b w:val="0"/>
          <w:bCs w:val="0"/>
          <w:szCs w:val="32"/>
        </w:rPr>
      </w:pPr>
      <w:r>
        <w:rPr>
          <w:rFonts w:hint="eastAsia" w:ascii="黑体" w:hAnsi="黑体" w:eastAsia="黑体" w:cs="黑体"/>
          <w:b w:val="0"/>
          <w:bCs w:val="0"/>
          <w:szCs w:val="32"/>
        </w:rPr>
        <w:t>委托单位：</w:t>
      </w:r>
      <w:r>
        <w:rPr>
          <w:rFonts w:hint="eastAsia" w:ascii="黑体" w:hAnsi="黑体" w:eastAsia="黑体" w:cs="黑体"/>
          <w:b w:val="0"/>
          <w:bCs w:val="0"/>
          <w:szCs w:val="32"/>
          <w:lang w:eastAsia="zh-CN"/>
        </w:rPr>
        <w:t>古县财政局</w:t>
      </w:r>
    </w:p>
    <w:p w14:paraId="6604BD68">
      <w:pPr>
        <w:ind w:left="0" w:leftChars="0" w:right="618" w:firstLine="640" w:firstLineChars="200"/>
        <w:jc w:val="left"/>
        <w:rPr>
          <w:rFonts w:hint="eastAsia" w:ascii="黑体" w:hAnsi="黑体" w:eastAsia="黑体" w:cs="黑体"/>
          <w:b w:val="0"/>
          <w:bCs w:val="0"/>
          <w:szCs w:val="32"/>
          <w:lang w:val="en-US" w:eastAsia="zh-CN"/>
        </w:rPr>
      </w:pPr>
      <w:r>
        <w:rPr>
          <w:rFonts w:hint="eastAsia" w:ascii="黑体" w:hAnsi="黑体" w:eastAsia="黑体" w:cs="黑体"/>
          <w:b w:val="0"/>
          <w:bCs w:val="0"/>
          <w:szCs w:val="32"/>
        </w:rPr>
        <w:t>主管单位：</w:t>
      </w:r>
      <w:r>
        <w:rPr>
          <w:rFonts w:hint="eastAsia" w:ascii="黑体" w:hAnsi="黑体" w:eastAsia="黑体" w:cs="黑体"/>
          <w:b w:val="0"/>
          <w:bCs w:val="0"/>
          <w:szCs w:val="32"/>
          <w:lang w:val="en-US" w:eastAsia="zh-CN"/>
        </w:rPr>
        <w:t>中国共产党古县委员会</w:t>
      </w:r>
    </w:p>
    <w:p w14:paraId="547F80BB">
      <w:pPr>
        <w:ind w:left="0" w:leftChars="0" w:right="618" w:firstLine="640" w:firstLineChars="200"/>
        <w:jc w:val="left"/>
        <w:rPr>
          <w:rFonts w:hint="eastAsia" w:ascii="黑体" w:hAnsi="黑体" w:eastAsia="黑体" w:cs="黑体"/>
          <w:b w:val="0"/>
          <w:bCs w:val="0"/>
          <w:szCs w:val="32"/>
          <w:lang w:val="en-US"/>
        </w:rPr>
      </w:pPr>
      <w:r>
        <w:rPr>
          <w:rFonts w:hint="eastAsia" w:ascii="黑体" w:hAnsi="黑体" w:eastAsia="黑体" w:cs="黑体"/>
          <w:b w:val="0"/>
          <w:bCs w:val="0"/>
          <w:szCs w:val="32"/>
        </w:rPr>
        <w:t>实施单位：</w:t>
      </w:r>
      <w:r>
        <w:rPr>
          <w:rFonts w:hint="eastAsia" w:ascii="黑体" w:hAnsi="黑体" w:eastAsia="黑体" w:cs="黑体"/>
          <w:b w:val="0"/>
          <w:bCs w:val="0"/>
          <w:szCs w:val="32"/>
          <w:lang w:val="en-US" w:eastAsia="zh-CN"/>
        </w:rPr>
        <w:t xml:space="preserve">中国共产党古县委员会  </w:t>
      </w:r>
    </w:p>
    <w:p w14:paraId="4E713527">
      <w:pPr>
        <w:ind w:left="0" w:leftChars="0" w:right="618" w:firstLine="640" w:firstLineChars="200"/>
        <w:jc w:val="left"/>
        <w:rPr>
          <w:rFonts w:hint="eastAsia" w:ascii="黑体" w:hAnsi="黑体" w:eastAsia="黑体" w:cs="黑体"/>
          <w:b w:val="0"/>
          <w:bCs w:val="0"/>
          <w:szCs w:val="32"/>
          <w:lang w:eastAsia="zh-CN"/>
        </w:rPr>
      </w:pPr>
      <w:r>
        <w:rPr>
          <w:rFonts w:hint="eastAsia" w:ascii="黑体" w:hAnsi="黑体" w:eastAsia="黑体" w:cs="黑体"/>
          <w:b w:val="0"/>
          <w:bCs w:val="0"/>
          <w:szCs w:val="32"/>
        </w:rPr>
        <w:t>评价机构：</w:t>
      </w:r>
      <w:r>
        <w:rPr>
          <w:rFonts w:hint="eastAsia" w:ascii="黑体" w:hAnsi="黑体" w:eastAsia="黑体" w:cs="黑体"/>
          <w:b w:val="0"/>
          <w:bCs w:val="0"/>
          <w:szCs w:val="32"/>
          <w:lang w:eastAsia="zh-CN"/>
        </w:rPr>
        <w:t>临汾薪火传管理咨询有限责任公司</w:t>
      </w:r>
    </w:p>
    <w:p w14:paraId="1F089479">
      <w:pPr>
        <w:ind w:left="0" w:leftChars="0" w:right="618" w:firstLine="640" w:firstLineChars="200"/>
        <w:jc w:val="left"/>
        <w:rPr>
          <w:rFonts w:hint="default" w:ascii="黑体" w:hAnsi="黑体" w:eastAsia="黑体" w:cs="黑体"/>
          <w:b w:val="0"/>
          <w:bCs w:val="0"/>
          <w:szCs w:val="32"/>
          <w:lang w:val="en-US" w:eastAsia="zh-CN"/>
        </w:rPr>
      </w:pPr>
      <w:r>
        <w:rPr>
          <w:rFonts w:hint="eastAsia" w:ascii="黑体" w:hAnsi="黑体" w:eastAsia="黑体" w:cs="黑体"/>
          <w:b w:val="0"/>
          <w:bCs w:val="0"/>
          <w:szCs w:val="32"/>
        </w:rPr>
        <w:t>主 评 人：</w:t>
      </w:r>
      <w:r>
        <w:rPr>
          <w:rFonts w:hint="eastAsia" w:ascii="黑体" w:hAnsi="黑体" w:eastAsia="黑体" w:cs="黑体"/>
          <w:b w:val="0"/>
          <w:bCs w:val="0"/>
          <w:szCs w:val="32"/>
          <w:lang w:val="en-US" w:eastAsia="zh-CN"/>
        </w:rPr>
        <w:t>张晴</w:t>
      </w:r>
    </w:p>
    <w:p w14:paraId="1C4A0558">
      <w:pPr>
        <w:pStyle w:val="7"/>
        <w:rPr>
          <w:rFonts w:hint="eastAsia" w:ascii="黑体" w:hAnsi="黑体" w:eastAsia="黑体" w:cs="黑体"/>
          <w:b w:val="0"/>
          <w:bCs w:val="0"/>
          <w:szCs w:val="32"/>
          <w:lang w:val="en-US" w:eastAsia="zh-CN"/>
        </w:rPr>
      </w:pPr>
    </w:p>
    <w:p w14:paraId="41F63C6D">
      <w:pPr>
        <w:rPr>
          <w:rFonts w:hint="eastAsia" w:ascii="黑体" w:hAnsi="黑体" w:eastAsia="黑体" w:cs="黑体"/>
          <w:b w:val="0"/>
          <w:bCs w:val="0"/>
          <w:szCs w:val="32"/>
          <w:lang w:val="en-US" w:eastAsia="zh-CN"/>
        </w:rPr>
      </w:pPr>
    </w:p>
    <w:p w14:paraId="62C0E4F4">
      <w:pPr>
        <w:pStyle w:val="7"/>
        <w:rPr>
          <w:rFonts w:hint="eastAsia"/>
          <w:lang w:val="en-US" w:eastAsia="zh-CN"/>
        </w:rPr>
      </w:pPr>
    </w:p>
    <w:p w14:paraId="2B3D62B4">
      <w:pPr>
        <w:ind w:left="0" w:leftChars="0" w:right="618" w:firstLine="0" w:firstLineChars="0"/>
        <w:jc w:val="center"/>
        <w:rPr>
          <w:rFonts w:hint="eastAsia" w:ascii="黑体" w:hAnsi="黑体" w:eastAsia="黑体" w:cs="黑体"/>
          <w:lang w:val="en-US" w:eastAsia="zh-CN"/>
        </w:rPr>
      </w:pPr>
      <w:r>
        <w:rPr>
          <w:rFonts w:hint="eastAsia" w:ascii="黑体" w:hAnsi="黑体" w:eastAsia="黑体" w:cs="黑体"/>
          <w:b w:val="0"/>
          <w:bCs w:val="0"/>
          <w:szCs w:val="32"/>
        </w:rPr>
        <w:t>二〇二二年</w:t>
      </w:r>
      <w:r>
        <w:rPr>
          <w:rFonts w:hint="eastAsia" w:ascii="黑体" w:hAnsi="黑体" w:eastAsia="黑体" w:cs="黑体"/>
          <w:b w:val="0"/>
          <w:bCs w:val="0"/>
          <w:szCs w:val="32"/>
          <w:lang w:val="en-US" w:eastAsia="zh-CN"/>
        </w:rPr>
        <w:t>八</w:t>
      </w:r>
      <w:r>
        <w:rPr>
          <w:rFonts w:hint="eastAsia" w:ascii="黑体" w:hAnsi="黑体" w:eastAsia="黑体" w:cs="黑体"/>
          <w:b w:val="0"/>
          <w:bCs w:val="0"/>
          <w:szCs w:val="32"/>
        </w:rPr>
        <w:t>月</w:t>
      </w:r>
      <w:r>
        <w:rPr>
          <w:rFonts w:hint="eastAsia" w:ascii="黑体" w:hAnsi="黑体" w:eastAsia="黑体" w:cs="黑体"/>
          <w:b w:val="0"/>
          <w:bCs w:val="0"/>
          <w:szCs w:val="32"/>
          <w:lang w:val="en-US" w:eastAsia="zh-CN"/>
        </w:rPr>
        <w:t>八日</w:t>
      </w:r>
    </w:p>
    <w:p w14:paraId="5D46F839">
      <w:pPr>
        <w:pStyle w:val="14"/>
        <w:rPr>
          <w:rStyle w:val="28"/>
          <w:rFonts w:hint="eastAsia" w:ascii="黑体" w:hAnsi="黑体" w:eastAsia="黑体" w:cs="仿宋_GB2312"/>
          <w:b w:val="0"/>
          <w:sz w:val="44"/>
          <w:szCs w:val="44"/>
        </w:rPr>
      </w:pPr>
    </w:p>
    <w:p w14:paraId="78DF98A2">
      <w:pPr>
        <w:rPr>
          <w:rFonts w:hint="eastAsia"/>
        </w:rPr>
      </w:pPr>
    </w:p>
    <w:p w14:paraId="2394FBB3">
      <w:pPr>
        <w:pStyle w:val="2"/>
        <w:rPr>
          <w:rFonts w:hint="eastAsia"/>
        </w:rPr>
      </w:pPr>
    </w:p>
    <w:p w14:paraId="25A6A044">
      <w:pPr>
        <w:pStyle w:val="14"/>
        <w:rPr>
          <w:rStyle w:val="28"/>
          <w:rFonts w:hint="eastAsia" w:ascii="黑体" w:hAnsi="黑体" w:eastAsia="黑体" w:cs="仿宋_GB2312"/>
          <w:b w:val="0"/>
          <w:sz w:val="44"/>
          <w:szCs w:val="44"/>
        </w:rPr>
      </w:pPr>
    </w:p>
    <w:p w14:paraId="4DCB0C00">
      <w:pPr>
        <w:pStyle w:val="14"/>
        <w:rPr>
          <w:rStyle w:val="28"/>
          <w:rFonts w:ascii="黑体" w:hAnsi="黑体" w:eastAsia="黑体" w:cs="仿宋_GB2312"/>
          <w:b w:val="0"/>
          <w:sz w:val="44"/>
          <w:szCs w:val="44"/>
        </w:rPr>
      </w:pPr>
      <w:r>
        <w:rPr>
          <w:rStyle w:val="28"/>
          <w:rFonts w:hint="eastAsia" w:ascii="黑体" w:hAnsi="黑体" w:eastAsia="黑体" w:cs="仿宋_GB2312"/>
          <w:b w:val="0"/>
          <w:sz w:val="44"/>
          <w:szCs w:val="44"/>
        </w:rPr>
        <w:t>目   录</w:t>
      </w:r>
    </w:p>
    <w:p w14:paraId="5AC93A28">
      <w:pPr>
        <w:pStyle w:val="14"/>
        <w:rPr>
          <w:rFonts w:ascii="Times New Roman" w:hAnsi="Times New Roman"/>
          <w:b w:val="0"/>
          <w:bCs/>
          <w:sz w:val="22"/>
          <w:szCs w:val="22"/>
        </w:rPr>
      </w:pPr>
    </w:p>
    <w:p w14:paraId="50CBF3CC">
      <w:pPr>
        <w:pStyle w:val="14"/>
        <w:tabs>
          <w:tab w:val="right" w:leader="dot" w:pos="8306"/>
          <w:tab w:val="clear" w:pos="8296"/>
        </w:tabs>
      </w:pPr>
      <w:r>
        <w:rPr>
          <w:rFonts w:hint="eastAsia" w:ascii="仿宋_GB2312" w:hAnsi="仿宋_GB2312" w:cs="仿宋_GB2312"/>
          <w:b w:val="0"/>
          <w:bCs/>
          <w:sz w:val="32"/>
          <w:szCs w:val="32"/>
        </w:rPr>
        <w:fldChar w:fldCharType="begin"/>
      </w:r>
      <w:r>
        <w:rPr>
          <w:rFonts w:hint="eastAsia" w:ascii="仿宋_GB2312" w:hAnsi="仿宋_GB2312" w:cs="仿宋_GB2312"/>
          <w:b w:val="0"/>
          <w:bCs/>
          <w:sz w:val="32"/>
          <w:szCs w:val="32"/>
        </w:rPr>
        <w:instrText xml:space="preserve"> TOC \o "1-3" \h \z \u </w:instrText>
      </w:r>
      <w:r>
        <w:rPr>
          <w:rFonts w:hint="eastAsia" w:ascii="仿宋_GB2312" w:hAnsi="仿宋_GB2312" w:cs="仿宋_GB2312"/>
          <w:b w:val="0"/>
          <w:bCs/>
          <w:sz w:val="32"/>
          <w:szCs w:val="32"/>
        </w:rPr>
        <w:fldChar w:fldCharType="separate"/>
      </w:r>
      <w:r>
        <w:rPr>
          <w:rFonts w:hint="eastAsia" w:ascii="仿宋_GB2312" w:hAnsi="仿宋_GB2312" w:cs="仿宋_GB2312"/>
          <w:bCs/>
          <w:szCs w:val="32"/>
        </w:rPr>
        <w:fldChar w:fldCharType="begin"/>
      </w:r>
      <w:r>
        <w:rPr>
          <w:rFonts w:hint="eastAsia" w:ascii="仿宋_GB2312" w:hAnsi="仿宋_GB2312" w:cs="仿宋_GB2312"/>
          <w:bCs/>
          <w:szCs w:val="32"/>
        </w:rPr>
        <w:instrText xml:space="preserve"> HYPERLINK \l _Toc21806 </w:instrText>
      </w:r>
      <w:r>
        <w:rPr>
          <w:rFonts w:hint="eastAsia" w:ascii="仿宋_GB2312" w:hAnsi="仿宋_GB2312" w:cs="仿宋_GB2312"/>
          <w:bCs/>
          <w:szCs w:val="32"/>
        </w:rPr>
        <w:fldChar w:fldCharType="separate"/>
      </w:r>
      <w:r>
        <w:rPr>
          <w:rFonts w:hint="eastAsia" w:ascii="黑体" w:hAnsi="黑体" w:eastAsia="黑体" w:cs="黑体"/>
          <w:szCs w:val="44"/>
        </w:rPr>
        <w:t>摘   要</w:t>
      </w:r>
      <w:r>
        <w:tab/>
      </w:r>
      <w:r>
        <w:fldChar w:fldCharType="begin"/>
      </w:r>
      <w:r>
        <w:instrText xml:space="preserve"> PAGEREF _Toc21806 \h </w:instrText>
      </w:r>
      <w:r>
        <w:fldChar w:fldCharType="separate"/>
      </w:r>
      <w:r>
        <w:t>1</w:t>
      </w:r>
      <w:r>
        <w:fldChar w:fldCharType="end"/>
      </w:r>
      <w:r>
        <w:rPr>
          <w:rFonts w:hint="eastAsia" w:ascii="仿宋_GB2312" w:hAnsi="仿宋_GB2312" w:cs="仿宋_GB2312"/>
          <w:bCs/>
          <w:szCs w:val="32"/>
        </w:rPr>
        <w:fldChar w:fldCharType="end"/>
      </w:r>
    </w:p>
    <w:p w14:paraId="520653ED">
      <w:pPr>
        <w:pStyle w:val="14"/>
        <w:tabs>
          <w:tab w:val="right" w:leader="dot" w:pos="8306"/>
          <w:tab w:val="clear" w:pos="829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_Toc30773 </w:instrText>
      </w:r>
      <w:r>
        <w:rPr>
          <w:rFonts w:hint="eastAsia" w:ascii="仿宋_GB2312" w:hAnsi="仿宋_GB2312" w:cs="仿宋_GB2312"/>
          <w:bCs/>
          <w:kern w:val="0"/>
          <w:szCs w:val="32"/>
        </w:rPr>
        <w:fldChar w:fldCharType="separate"/>
      </w:r>
      <w:r>
        <w:rPr>
          <w:rFonts w:hint="eastAsia"/>
          <w:lang w:val="en-US" w:eastAsia="zh-CN"/>
        </w:rPr>
        <w:t>一、项目</w:t>
      </w:r>
      <w:r>
        <w:rPr>
          <w:rFonts w:hint="eastAsia"/>
        </w:rPr>
        <w:t>基本情况</w:t>
      </w:r>
      <w:r>
        <w:tab/>
      </w:r>
      <w:r>
        <w:fldChar w:fldCharType="begin"/>
      </w:r>
      <w:r>
        <w:instrText xml:space="preserve"> PAGEREF _Toc30773 \h </w:instrText>
      </w:r>
      <w:r>
        <w:fldChar w:fldCharType="separate"/>
      </w:r>
      <w:r>
        <w:t>7</w:t>
      </w:r>
      <w:r>
        <w:fldChar w:fldCharType="end"/>
      </w:r>
      <w:r>
        <w:rPr>
          <w:rFonts w:hint="eastAsia" w:ascii="仿宋_GB2312" w:hAnsi="仿宋_GB2312" w:cs="仿宋_GB2312"/>
          <w:bCs/>
          <w:kern w:val="0"/>
          <w:szCs w:val="32"/>
        </w:rPr>
        <w:fldChar w:fldCharType="end"/>
      </w:r>
    </w:p>
    <w:p w14:paraId="3E4970D9">
      <w:pPr>
        <w:pStyle w:val="15"/>
        <w:tabs>
          <w:tab w:val="right" w:leader="dot" w:pos="830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_Toc20826 </w:instrText>
      </w:r>
      <w:r>
        <w:rPr>
          <w:rFonts w:hint="eastAsia" w:ascii="仿宋_GB2312" w:hAnsi="仿宋_GB2312" w:cs="仿宋_GB2312"/>
          <w:bCs/>
          <w:kern w:val="0"/>
          <w:szCs w:val="32"/>
        </w:rPr>
        <w:fldChar w:fldCharType="separate"/>
      </w:r>
      <w:r>
        <w:rPr>
          <w:rFonts w:ascii="仿宋_GB2312"/>
        </w:rPr>
        <w:t>（一）</w:t>
      </w:r>
      <w:r>
        <w:rPr>
          <w:rFonts w:hint="eastAsia" w:ascii="仿宋_GB2312"/>
        </w:rPr>
        <w:t>项目</w:t>
      </w:r>
      <w:r>
        <w:rPr>
          <w:rFonts w:hint="eastAsia" w:ascii="仿宋_GB2312"/>
          <w:lang w:val="en-US" w:eastAsia="zh-CN"/>
        </w:rPr>
        <w:t>概况</w:t>
      </w:r>
      <w:r>
        <w:tab/>
      </w:r>
      <w:r>
        <w:fldChar w:fldCharType="begin"/>
      </w:r>
      <w:r>
        <w:instrText xml:space="preserve"> PAGEREF _Toc20826 \h </w:instrText>
      </w:r>
      <w:r>
        <w:fldChar w:fldCharType="separate"/>
      </w:r>
      <w:r>
        <w:t>7</w:t>
      </w:r>
      <w:r>
        <w:fldChar w:fldCharType="end"/>
      </w:r>
      <w:r>
        <w:rPr>
          <w:rFonts w:hint="eastAsia" w:ascii="仿宋_GB2312" w:hAnsi="仿宋_GB2312" w:cs="仿宋_GB2312"/>
          <w:bCs/>
          <w:kern w:val="0"/>
          <w:szCs w:val="32"/>
        </w:rPr>
        <w:fldChar w:fldCharType="end"/>
      </w:r>
    </w:p>
    <w:p w14:paraId="7DF6F650">
      <w:pPr>
        <w:pStyle w:val="15"/>
        <w:tabs>
          <w:tab w:val="right" w:leader="dot" w:pos="830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_Toc8365 </w:instrText>
      </w:r>
      <w:r>
        <w:rPr>
          <w:rFonts w:hint="eastAsia" w:ascii="仿宋_GB2312" w:hAnsi="仿宋_GB2312" w:cs="仿宋_GB2312"/>
          <w:bCs/>
          <w:kern w:val="0"/>
          <w:szCs w:val="32"/>
        </w:rPr>
        <w:fldChar w:fldCharType="separate"/>
      </w:r>
      <w:r>
        <w:rPr>
          <w:rFonts w:ascii="仿宋_GB2312"/>
        </w:rPr>
        <w:t>（</w:t>
      </w:r>
      <w:r>
        <w:rPr>
          <w:rFonts w:hint="eastAsia" w:ascii="仿宋_GB2312"/>
          <w:lang w:val="en-US" w:eastAsia="zh-CN"/>
        </w:rPr>
        <w:t>二</w:t>
      </w:r>
      <w:r>
        <w:rPr>
          <w:rFonts w:ascii="仿宋_GB2312"/>
        </w:rPr>
        <w:t>）</w:t>
      </w:r>
      <w:r>
        <w:rPr>
          <w:rFonts w:hint="eastAsia" w:ascii="仿宋_GB2312"/>
          <w:lang w:val="en-US" w:eastAsia="zh-CN"/>
        </w:rPr>
        <w:t>资金投入和使用情况</w:t>
      </w:r>
      <w:r>
        <w:tab/>
      </w:r>
      <w:r>
        <w:fldChar w:fldCharType="begin"/>
      </w:r>
      <w:r>
        <w:instrText xml:space="preserve"> PAGEREF _Toc8365 \h </w:instrText>
      </w:r>
      <w:r>
        <w:fldChar w:fldCharType="separate"/>
      </w:r>
      <w:r>
        <w:t>14</w:t>
      </w:r>
      <w:r>
        <w:fldChar w:fldCharType="end"/>
      </w:r>
      <w:r>
        <w:rPr>
          <w:rFonts w:hint="eastAsia" w:ascii="仿宋_GB2312" w:hAnsi="仿宋_GB2312" w:cs="仿宋_GB2312"/>
          <w:bCs/>
          <w:kern w:val="0"/>
          <w:szCs w:val="32"/>
        </w:rPr>
        <w:fldChar w:fldCharType="end"/>
      </w:r>
    </w:p>
    <w:p w14:paraId="59C00D67">
      <w:pPr>
        <w:pStyle w:val="15"/>
        <w:tabs>
          <w:tab w:val="right" w:leader="dot" w:pos="830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_Toc32284 </w:instrText>
      </w:r>
      <w:r>
        <w:rPr>
          <w:rFonts w:hint="eastAsia" w:ascii="仿宋_GB2312" w:hAnsi="仿宋_GB2312" w:cs="仿宋_GB2312"/>
          <w:bCs/>
          <w:kern w:val="0"/>
          <w:szCs w:val="32"/>
        </w:rPr>
        <w:fldChar w:fldCharType="separate"/>
      </w:r>
      <w:r>
        <w:rPr>
          <w:rFonts w:hint="eastAsia" w:ascii="仿宋_GB2312"/>
          <w:lang w:val="en-US" w:eastAsia="zh-CN"/>
        </w:rPr>
        <w:t>（三）项目绩效目标</w:t>
      </w:r>
      <w:r>
        <w:tab/>
      </w:r>
      <w:r>
        <w:fldChar w:fldCharType="begin"/>
      </w:r>
      <w:r>
        <w:instrText xml:space="preserve"> PAGEREF _Toc32284 \h </w:instrText>
      </w:r>
      <w:r>
        <w:fldChar w:fldCharType="separate"/>
      </w:r>
      <w:r>
        <w:t>16</w:t>
      </w:r>
      <w:r>
        <w:fldChar w:fldCharType="end"/>
      </w:r>
      <w:r>
        <w:rPr>
          <w:rFonts w:hint="eastAsia" w:ascii="仿宋_GB2312" w:hAnsi="仿宋_GB2312" w:cs="仿宋_GB2312"/>
          <w:bCs/>
          <w:kern w:val="0"/>
          <w:szCs w:val="32"/>
        </w:rPr>
        <w:fldChar w:fldCharType="end"/>
      </w:r>
    </w:p>
    <w:p w14:paraId="52E48A7D">
      <w:pPr>
        <w:pStyle w:val="14"/>
        <w:tabs>
          <w:tab w:val="right" w:leader="dot" w:pos="8306"/>
          <w:tab w:val="clear" w:pos="829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_Toc12426 </w:instrText>
      </w:r>
      <w:r>
        <w:rPr>
          <w:rFonts w:hint="eastAsia" w:ascii="仿宋_GB2312" w:hAnsi="仿宋_GB2312" w:cs="仿宋_GB2312"/>
          <w:bCs/>
          <w:kern w:val="0"/>
          <w:szCs w:val="32"/>
        </w:rPr>
        <w:fldChar w:fldCharType="separate"/>
      </w:r>
      <w:r>
        <w:t>二、</w:t>
      </w:r>
      <w:r>
        <w:rPr>
          <w:rFonts w:hint="eastAsia"/>
        </w:rPr>
        <w:t>绩效评价工作开展情况</w:t>
      </w:r>
      <w:r>
        <w:tab/>
      </w:r>
      <w:r>
        <w:fldChar w:fldCharType="begin"/>
      </w:r>
      <w:r>
        <w:instrText xml:space="preserve"> PAGEREF _Toc12426 \h </w:instrText>
      </w:r>
      <w:r>
        <w:fldChar w:fldCharType="separate"/>
      </w:r>
      <w:r>
        <w:t>17</w:t>
      </w:r>
      <w:r>
        <w:fldChar w:fldCharType="end"/>
      </w:r>
      <w:r>
        <w:rPr>
          <w:rFonts w:hint="eastAsia" w:ascii="仿宋_GB2312" w:hAnsi="仿宋_GB2312" w:cs="仿宋_GB2312"/>
          <w:bCs/>
          <w:kern w:val="0"/>
          <w:szCs w:val="32"/>
        </w:rPr>
        <w:fldChar w:fldCharType="end"/>
      </w:r>
    </w:p>
    <w:p w14:paraId="05E79D56">
      <w:pPr>
        <w:pStyle w:val="15"/>
        <w:tabs>
          <w:tab w:val="right" w:leader="dot" w:pos="830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_Toc29243 </w:instrText>
      </w:r>
      <w:r>
        <w:rPr>
          <w:rFonts w:hint="eastAsia" w:ascii="仿宋_GB2312" w:hAnsi="仿宋_GB2312" w:cs="仿宋_GB2312"/>
          <w:bCs/>
          <w:kern w:val="0"/>
          <w:szCs w:val="32"/>
        </w:rPr>
        <w:fldChar w:fldCharType="separate"/>
      </w:r>
      <w:r>
        <w:rPr>
          <w:rFonts w:ascii="仿宋_GB2312"/>
        </w:rPr>
        <w:t>（一）</w:t>
      </w:r>
      <w:r>
        <w:rPr>
          <w:rFonts w:hint="eastAsia" w:ascii="仿宋_GB2312"/>
        </w:rPr>
        <w:t>绩效</w:t>
      </w:r>
      <w:r>
        <w:rPr>
          <w:rFonts w:ascii="仿宋_GB2312"/>
        </w:rPr>
        <w:t>评价目的</w:t>
      </w:r>
      <w:r>
        <w:rPr>
          <w:rFonts w:hint="eastAsia" w:ascii="仿宋_GB2312"/>
        </w:rPr>
        <w:t>、对象和范围</w:t>
      </w:r>
      <w:r>
        <w:tab/>
      </w:r>
      <w:r>
        <w:fldChar w:fldCharType="begin"/>
      </w:r>
      <w:r>
        <w:instrText xml:space="preserve"> PAGEREF _Toc29243 \h </w:instrText>
      </w:r>
      <w:r>
        <w:fldChar w:fldCharType="separate"/>
      </w:r>
      <w:r>
        <w:t>17</w:t>
      </w:r>
      <w:r>
        <w:fldChar w:fldCharType="end"/>
      </w:r>
      <w:r>
        <w:rPr>
          <w:rFonts w:hint="eastAsia" w:ascii="仿宋_GB2312" w:hAnsi="仿宋_GB2312" w:cs="仿宋_GB2312"/>
          <w:bCs/>
          <w:kern w:val="0"/>
          <w:szCs w:val="32"/>
        </w:rPr>
        <w:fldChar w:fldCharType="end"/>
      </w:r>
    </w:p>
    <w:p w14:paraId="47F95482">
      <w:pPr>
        <w:pStyle w:val="15"/>
        <w:tabs>
          <w:tab w:val="right" w:leader="dot" w:pos="830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_Toc13994 </w:instrText>
      </w:r>
      <w:r>
        <w:rPr>
          <w:rFonts w:hint="eastAsia" w:ascii="仿宋_GB2312" w:hAnsi="仿宋_GB2312" w:cs="仿宋_GB2312"/>
          <w:bCs/>
          <w:kern w:val="0"/>
          <w:szCs w:val="32"/>
        </w:rPr>
        <w:fldChar w:fldCharType="separate"/>
      </w:r>
      <w:r>
        <w:rPr>
          <w:rFonts w:ascii="仿宋_GB2312"/>
        </w:rPr>
        <w:t>（</w:t>
      </w:r>
      <w:r>
        <w:rPr>
          <w:rFonts w:hint="eastAsia" w:ascii="仿宋_GB2312"/>
        </w:rPr>
        <w:t>二</w:t>
      </w:r>
      <w:r>
        <w:rPr>
          <w:rFonts w:ascii="仿宋_GB2312"/>
        </w:rPr>
        <w:t>）绩效评</w:t>
      </w:r>
      <w:r>
        <w:rPr>
          <w:rFonts w:hint="eastAsia" w:ascii="仿宋_GB2312"/>
        </w:rPr>
        <w:t>价原则</w:t>
      </w:r>
      <w:r>
        <w:tab/>
      </w:r>
      <w:r>
        <w:fldChar w:fldCharType="begin"/>
      </w:r>
      <w:r>
        <w:instrText xml:space="preserve"> PAGEREF _Toc13994 \h </w:instrText>
      </w:r>
      <w:r>
        <w:fldChar w:fldCharType="separate"/>
      </w:r>
      <w:r>
        <w:t>20</w:t>
      </w:r>
      <w:r>
        <w:fldChar w:fldCharType="end"/>
      </w:r>
      <w:r>
        <w:rPr>
          <w:rFonts w:hint="eastAsia" w:ascii="仿宋_GB2312" w:hAnsi="仿宋_GB2312" w:cs="仿宋_GB2312"/>
          <w:bCs/>
          <w:kern w:val="0"/>
          <w:szCs w:val="32"/>
        </w:rPr>
        <w:fldChar w:fldCharType="end"/>
      </w:r>
    </w:p>
    <w:p w14:paraId="704EB325">
      <w:pPr>
        <w:pStyle w:val="15"/>
        <w:tabs>
          <w:tab w:val="right" w:leader="dot" w:pos="830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_Toc20363 </w:instrText>
      </w:r>
      <w:r>
        <w:rPr>
          <w:rFonts w:hint="eastAsia" w:ascii="仿宋_GB2312" w:hAnsi="仿宋_GB2312" w:cs="仿宋_GB2312"/>
          <w:bCs/>
          <w:kern w:val="0"/>
          <w:szCs w:val="32"/>
        </w:rPr>
        <w:fldChar w:fldCharType="separate"/>
      </w:r>
      <w:r>
        <w:rPr>
          <w:rFonts w:ascii="仿宋_GB2312"/>
        </w:rPr>
        <w:t>（</w:t>
      </w:r>
      <w:r>
        <w:rPr>
          <w:rFonts w:hint="eastAsia" w:ascii="仿宋_GB2312"/>
        </w:rPr>
        <w:t>三</w:t>
      </w:r>
      <w:r>
        <w:rPr>
          <w:rFonts w:ascii="仿宋_GB2312"/>
        </w:rPr>
        <w:t>）绩效评价</w:t>
      </w:r>
      <w:r>
        <w:rPr>
          <w:rFonts w:hint="eastAsia" w:ascii="仿宋_GB2312"/>
        </w:rPr>
        <w:t>指标体系</w:t>
      </w:r>
      <w:r>
        <w:tab/>
      </w:r>
      <w:r>
        <w:fldChar w:fldCharType="begin"/>
      </w:r>
      <w:r>
        <w:instrText xml:space="preserve"> PAGEREF _Toc20363 \h </w:instrText>
      </w:r>
      <w:r>
        <w:fldChar w:fldCharType="separate"/>
      </w:r>
      <w:r>
        <w:t>21</w:t>
      </w:r>
      <w:r>
        <w:fldChar w:fldCharType="end"/>
      </w:r>
      <w:r>
        <w:rPr>
          <w:rFonts w:hint="eastAsia" w:ascii="仿宋_GB2312" w:hAnsi="仿宋_GB2312" w:cs="仿宋_GB2312"/>
          <w:bCs/>
          <w:kern w:val="0"/>
          <w:szCs w:val="32"/>
        </w:rPr>
        <w:fldChar w:fldCharType="end"/>
      </w:r>
    </w:p>
    <w:p w14:paraId="4499A527">
      <w:pPr>
        <w:pStyle w:val="15"/>
        <w:tabs>
          <w:tab w:val="right" w:leader="dot" w:pos="830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_Toc2640 </w:instrText>
      </w:r>
      <w:r>
        <w:rPr>
          <w:rFonts w:hint="eastAsia" w:ascii="仿宋_GB2312" w:hAnsi="仿宋_GB2312" w:cs="仿宋_GB2312"/>
          <w:bCs/>
          <w:kern w:val="0"/>
          <w:szCs w:val="32"/>
        </w:rPr>
        <w:fldChar w:fldCharType="separate"/>
      </w:r>
      <w:r>
        <w:rPr>
          <w:rFonts w:ascii="仿宋_GB2312"/>
        </w:rPr>
        <w:t>（四）绩效评价</w:t>
      </w:r>
      <w:r>
        <w:rPr>
          <w:rFonts w:hint="eastAsia" w:ascii="仿宋_GB2312"/>
        </w:rPr>
        <w:t>方法</w:t>
      </w:r>
      <w:r>
        <w:tab/>
      </w:r>
      <w:r>
        <w:fldChar w:fldCharType="begin"/>
      </w:r>
      <w:r>
        <w:instrText xml:space="preserve"> PAGEREF _Toc2640 \h </w:instrText>
      </w:r>
      <w:r>
        <w:fldChar w:fldCharType="separate"/>
      </w:r>
      <w:r>
        <w:t>24</w:t>
      </w:r>
      <w:r>
        <w:fldChar w:fldCharType="end"/>
      </w:r>
      <w:r>
        <w:rPr>
          <w:rFonts w:hint="eastAsia" w:ascii="仿宋_GB2312" w:hAnsi="仿宋_GB2312" w:cs="仿宋_GB2312"/>
          <w:bCs/>
          <w:kern w:val="0"/>
          <w:szCs w:val="32"/>
        </w:rPr>
        <w:fldChar w:fldCharType="end"/>
      </w:r>
    </w:p>
    <w:p w14:paraId="7DCAB0FE">
      <w:pPr>
        <w:pStyle w:val="15"/>
        <w:tabs>
          <w:tab w:val="right" w:leader="dot" w:pos="830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_Toc25078 </w:instrText>
      </w:r>
      <w:r>
        <w:rPr>
          <w:rFonts w:hint="eastAsia" w:ascii="仿宋_GB2312" w:hAnsi="仿宋_GB2312" w:cs="仿宋_GB2312"/>
          <w:bCs/>
          <w:kern w:val="0"/>
          <w:szCs w:val="32"/>
        </w:rPr>
        <w:fldChar w:fldCharType="separate"/>
      </w:r>
      <w:r>
        <w:rPr>
          <w:rFonts w:ascii="仿宋_GB2312"/>
        </w:rPr>
        <w:t>（</w:t>
      </w:r>
      <w:r>
        <w:rPr>
          <w:rFonts w:hint="eastAsia" w:ascii="仿宋_GB2312"/>
        </w:rPr>
        <w:t>五</w:t>
      </w:r>
      <w:r>
        <w:rPr>
          <w:rFonts w:ascii="仿宋_GB2312"/>
        </w:rPr>
        <w:t>）绩效评价</w:t>
      </w:r>
      <w:r>
        <w:rPr>
          <w:rFonts w:hint="eastAsia" w:ascii="仿宋_GB2312"/>
        </w:rPr>
        <w:t>标准</w:t>
      </w:r>
      <w:r>
        <w:tab/>
      </w:r>
      <w:r>
        <w:fldChar w:fldCharType="begin"/>
      </w:r>
      <w:r>
        <w:instrText xml:space="preserve"> PAGEREF _Toc25078 \h </w:instrText>
      </w:r>
      <w:r>
        <w:fldChar w:fldCharType="separate"/>
      </w:r>
      <w:r>
        <w:t>25</w:t>
      </w:r>
      <w:r>
        <w:fldChar w:fldCharType="end"/>
      </w:r>
      <w:r>
        <w:rPr>
          <w:rFonts w:hint="eastAsia" w:ascii="仿宋_GB2312" w:hAnsi="仿宋_GB2312" w:cs="仿宋_GB2312"/>
          <w:bCs/>
          <w:kern w:val="0"/>
          <w:szCs w:val="32"/>
        </w:rPr>
        <w:fldChar w:fldCharType="end"/>
      </w:r>
    </w:p>
    <w:p w14:paraId="74505595">
      <w:pPr>
        <w:pStyle w:val="15"/>
        <w:tabs>
          <w:tab w:val="right" w:leader="dot" w:pos="830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_Toc14993 </w:instrText>
      </w:r>
      <w:r>
        <w:rPr>
          <w:rFonts w:hint="eastAsia" w:ascii="仿宋_GB2312" w:hAnsi="仿宋_GB2312" w:cs="仿宋_GB2312"/>
          <w:bCs/>
          <w:kern w:val="0"/>
          <w:szCs w:val="32"/>
        </w:rPr>
        <w:fldChar w:fldCharType="separate"/>
      </w:r>
      <w:r>
        <w:rPr>
          <w:rFonts w:hint="eastAsia" w:ascii="仿宋_GB2312"/>
        </w:rPr>
        <w:t>（六）绩效评价工作过程</w:t>
      </w:r>
      <w:r>
        <w:tab/>
      </w:r>
      <w:r>
        <w:fldChar w:fldCharType="begin"/>
      </w:r>
      <w:r>
        <w:instrText xml:space="preserve"> PAGEREF _Toc14993 \h </w:instrText>
      </w:r>
      <w:r>
        <w:fldChar w:fldCharType="separate"/>
      </w:r>
      <w:r>
        <w:t>25</w:t>
      </w:r>
      <w:r>
        <w:fldChar w:fldCharType="end"/>
      </w:r>
      <w:r>
        <w:rPr>
          <w:rFonts w:hint="eastAsia" w:ascii="仿宋_GB2312" w:hAnsi="仿宋_GB2312" w:cs="仿宋_GB2312"/>
          <w:bCs/>
          <w:kern w:val="0"/>
          <w:szCs w:val="32"/>
        </w:rPr>
        <w:fldChar w:fldCharType="end"/>
      </w:r>
    </w:p>
    <w:p w14:paraId="6A0B1A73">
      <w:pPr>
        <w:pStyle w:val="14"/>
        <w:tabs>
          <w:tab w:val="right" w:leader="dot" w:pos="8306"/>
          <w:tab w:val="clear" w:pos="829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_Toc27599 </w:instrText>
      </w:r>
      <w:r>
        <w:rPr>
          <w:rFonts w:hint="eastAsia" w:ascii="仿宋_GB2312" w:hAnsi="仿宋_GB2312" w:cs="仿宋_GB2312"/>
          <w:bCs/>
          <w:kern w:val="0"/>
          <w:szCs w:val="32"/>
        </w:rPr>
        <w:fldChar w:fldCharType="separate"/>
      </w:r>
      <w:r>
        <w:rPr>
          <w:rFonts w:hint="eastAsia"/>
        </w:rPr>
        <w:t>三、</w:t>
      </w:r>
      <w:r>
        <w:rPr>
          <w:rFonts w:hint="eastAsia"/>
          <w:highlight w:val="none"/>
        </w:rPr>
        <w:t>综合评价情况及评价结论</w:t>
      </w:r>
      <w:r>
        <w:tab/>
      </w:r>
      <w:r>
        <w:fldChar w:fldCharType="begin"/>
      </w:r>
      <w:r>
        <w:instrText xml:space="preserve"> PAGEREF _Toc27599 \h </w:instrText>
      </w:r>
      <w:r>
        <w:fldChar w:fldCharType="separate"/>
      </w:r>
      <w:r>
        <w:t>29</w:t>
      </w:r>
      <w:r>
        <w:fldChar w:fldCharType="end"/>
      </w:r>
      <w:r>
        <w:rPr>
          <w:rFonts w:hint="eastAsia" w:ascii="仿宋_GB2312" w:hAnsi="仿宋_GB2312" w:cs="仿宋_GB2312"/>
          <w:bCs/>
          <w:kern w:val="0"/>
          <w:szCs w:val="32"/>
        </w:rPr>
        <w:fldChar w:fldCharType="end"/>
      </w:r>
    </w:p>
    <w:p w14:paraId="5B0D0D46">
      <w:pPr>
        <w:pStyle w:val="15"/>
        <w:tabs>
          <w:tab w:val="right" w:leader="dot" w:pos="830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_Toc22996 </w:instrText>
      </w:r>
      <w:r>
        <w:rPr>
          <w:rFonts w:hint="eastAsia" w:ascii="仿宋_GB2312" w:hAnsi="仿宋_GB2312" w:cs="仿宋_GB2312"/>
          <w:bCs/>
          <w:kern w:val="0"/>
          <w:szCs w:val="32"/>
        </w:rPr>
        <w:fldChar w:fldCharType="separate"/>
      </w:r>
      <w:r>
        <w:rPr>
          <w:rFonts w:ascii="仿宋_GB2312"/>
        </w:rPr>
        <w:t>（一）</w:t>
      </w:r>
      <w:r>
        <w:rPr>
          <w:rFonts w:hint="eastAsia" w:ascii="仿宋_GB2312"/>
          <w:lang w:val="en-US" w:eastAsia="zh-CN"/>
        </w:rPr>
        <w:t>总体评分结果及评价结论</w:t>
      </w:r>
      <w:r>
        <w:tab/>
      </w:r>
      <w:r>
        <w:fldChar w:fldCharType="begin"/>
      </w:r>
      <w:r>
        <w:instrText xml:space="preserve"> PAGEREF _Toc22996 \h </w:instrText>
      </w:r>
      <w:r>
        <w:fldChar w:fldCharType="separate"/>
      </w:r>
      <w:r>
        <w:t>29</w:t>
      </w:r>
      <w:r>
        <w:fldChar w:fldCharType="end"/>
      </w:r>
      <w:r>
        <w:rPr>
          <w:rFonts w:hint="eastAsia" w:ascii="仿宋_GB2312" w:hAnsi="仿宋_GB2312" w:cs="仿宋_GB2312"/>
          <w:bCs/>
          <w:kern w:val="0"/>
          <w:szCs w:val="32"/>
        </w:rPr>
        <w:fldChar w:fldCharType="end"/>
      </w:r>
    </w:p>
    <w:p w14:paraId="350E71FB">
      <w:pPr>
        <w:pStyle w:val="15"/>
        <w:tabs>
          <w:tab w:val="right" w:leader="dot" w:pos="830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_Toc12726 </w:instrText>
      </w:r>
      <w:r>
        <w:rPr>
          <w:rFonts w:hint="eastAsia" w:ascii="仿宋_GB2312" w:hAnsi="仿宋_GB2312" w:cs="仿宋_GB2312"/>
          <w:bCs/>
          <w:kern w:val="0"/>
          <w:szCs w:val="32"/>
        </w:rPr>
        <w:fldChar w:fldCharType="separate"/>
      </w:r>
      <w:r>
        <w:rPr>
          <w:rFonts w:ascii="仿宋_GB2312"/>
          <w:lang w:val="en-US" w:eastAsia="zh-CN"/>
        </w:rPr>
        <w:t>（</w:t>
      </w:r>
      <w:r>
        <w:rPr>
          <w:rFonts w:hint="eastAsia" w:ascii="仿宋_GB2312"/>
          <w:lang w:val="en-US" w:eastAsia="zh-CN"/>
        </w:rPr>
        <w:t>二</w:t>
      </w:r>
      <w:r>
        <w:rPr>
          <w:rFonts w:ascii="仿宋_GB2312"/>
          <w:lang w:val="en-US" w:eastAsia="zh-CN"/>
        </w:rPr>
        <w:t>）</w:t>
      </w:r>
      <w:r>
        <w:rPr>
          <w:rFonts w:hint="eastAsia" w:ascii="仿宋_GB2312"/>
          <w:lang w:val="en-US" w:eastAsia="zh-CN"/>
        </w:rPr>
        <w:t>各项目评分结果</w:t>
      </w:r>
      <w:r>
        <w:tab/>
      </w:r>
      <w:r>
        <w:fldChar w:fldCharType="begin"/>
      </w:r>
      <w:r>
        <w:instrText xml:space="preserve"> PAGEREF _Toc12726 \h </w:instrText>
      </w:r>
      <w:r>
        <w:fldChar w:fldCharType="separate"/>
      </w:r>
      <w:r>
        <w:t>30</w:t>
      </w:r>
      <w:r>
        <w:fldChar w:fldCharType="end"/>
      </w:r>
      <w:r>
        <w:rPr>
          <w:rFonts w:hint="eastAsia" w:ascii="仿宋_GB2312" w:hAnsi="仿宋_GB2312" w:cs="仿宋_GB2312"/>
          <w:bCs/>
          <w:kern w:val="0"/>
          <w:szCs w:val="32"/>
        </w:rPr>
        <w:fldChar w:fldCharType="end"/>
      </w:r>
    </w:p>
    <w:p w14:paraId="7700B0E9">
      <w:pPr>
        <w:pStyle w:val="14"/>
        <w:tabs>
          <w:tab w:val="right" w:leader="dot" w:pos="8306"/>
          <w:tab w:val="clear" w:pos="829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_Toc3760 </w:instrText>
      </w:r>
      <w:r>
        <w:rPr>
          <w:rFonts w:hint="eastAsia" w:ascii="仿宋_GB2312" w:hAnsi="仿宋_GB2312" w:cs="仿宋_GB2312"/>
          <w:bCs/>
          <w:kern w:val="0"/>
          <w:szCs w:val="32"/>
        </w:rPr>
        <w:fldChar w:fldCharType="separate"/>
      </w:r>
      <w:r>
        <w:rPr>
          <w:rFonts w:hint="eastAsia"/>
        </w:rPr>
        <w:t>四、绩效评价指标分析</w:t>
      </w:r>
      <w:r>
        <w:tab/>
      </w:r>
      <w:r>
        <w:fldChar w:fldCharType="begin"/>
      </w:r>
      <w:r>
        <w:instrText xml:space="preserve"> PAGEREF _Toc3760 \h </w:instrText>
      </w:r>
      <w:r>
        <w:fldChar w:fldCharType="separate"/>
      </w:r>
      <w:r>
        <w:t>31</w:t>
      </w:r>
      <w:r>
        <w:fldChar w:fldCharType="end"/>
      </w:r>
      <w:r>
        <w:rPr>
          <w:rFonts w:hint="eastAsia" w:ascii="仿宋_GB2312" w:hAnsi="仿宋_GB2312" w:cs="仿宋_GB2312"/>
          <w:bCs/>
          <w:kern w:val="0"/>
          <w:szCs w:val="32"/>
        </w:rPr>
        <w:fldChar w:fldCharType="end"/>
      </w:r>
    </w:p>
    <w:p w14:paraId="715A4A07">
      <w:pPr>
        <w:pStyle w:val="15"/>
        <w:tabs>
          <w:tab w:val="right" w:leader="dot" w:pos="830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_Toc10896 </w:instrText>
      </w:r>
      <w:r>
        <w:rPr>
          <w:rFonts w:hint="eastAsia" w:ascii="仿宋_GB2312" w:hAnsi="仿宋_GB2312" w:cs="仿宋_GB2312"/>
          <w:bCs/>
          <w:kern w:val="0"/>
          <w:szCs w:val="32"/>
        </w:rPr>
        <w:fldChar w:fldCharType="separate"/>
      </w:r>
      <w:r>
        <w:rPr>
          <w:rFonts w:hint="eastAsia" w:ascii="仿宋_GB2312"/>
        </w:rPr>
        <w:t>（一）项目决策情况</w:t>
      </w:r>
      <w:r>
        <w:tab/>
      </w:r>
      <w:r>
        <w:fldChar w:fldCharType="begin"/>
      </w:r>
      <w:r>
        <w:instrText xml:space="preserve"> PAGEREF _Toc10896 \h </w:instrText>
      </w:r>
      <w:r>
        <w:fldChar w:fldCharType="separate"/>
      </w:r>
      <w:r>
        <w:t>31</w:t>
      </w:r>
      <w:r>
        <w:fldChar w:fldCharType="end"/>
      </w:r>
      <w:r>
        <w:rPr>
          <w:rFonts w:hint="eastAsia" w:ascii="仿宋_GB2312" w:hAnsi="仿宋_GB2312" w:cs="仿宋_GB2312"/>
          <w:bCs/>
          <w:kern w:val="0"/>
          <w:szCs w:val="32"/>
        </w:rPr>
        <w:fldChar w:fldCharType="end"/>
      </w:r>
    </w:p>
    <w:p w14:paraId="4A74FE63">
      <w:pPr>
        <w:pStyle w:val="15"/>
        <w:tabs>
          <w:tab w:val="right" w:leader="dot" w:pos="830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_Toc23670 </w:instrText>
      </w:r>
      <w:r>
        <w:rPr>
          <w:rFonts w:hint="eastAsia" w:ascii="仿宋_GB2312" w:hAnsi="仿宋_GB2312" w:cs="仿宋_GB2312"/>
          <w:bCs/>
          <w:kern w:val="0"/>
          <w:szCs w:val="32"/>
        </w:rPr>
        <w:fldChar w:fldCharType="separate"/>
      </w:r>
      <w:r>
        <w:rPr>
          <w:rFonts w:hint="eastAsia" w:ascii="仿宋_GB2312"/>
        </w:rPr>
        <w:t>（二）项目过程情况</w:t>
      </w:r>
      <w:r>
        <w:tab/>
      </w:r>
      <w:r>
        <w:fldChar w:fldCharType="begin"/>
      </w:r>
      <w:r>
        <w:instrText xml:space="preserve"> PAGEREF _Toc23670 \h </w:instrText>
      </w:r>
      <w:r>
        <w:fldChar w:fldCharType="separate"/>
      </w:r>
      <w:r>
        <w:t>35</w:t>
      </w:r>
      <w:r>
        <w:fldChar w:fldCharType="end"/>
      </w:r>
      <w:r>
        <w:rPr>
          <w:rFonts w:hint="eastAsia" w:ascii="仿宋_GB2312" w:hAnsi="仿宋_GB2312" w:cs="仿宋_GB2312"/>
          <w:bCs/>
          <w:kern w:val="0"/>
          <w:szCs w:val="32"/>
        </w:rPr>
        <w:fldChar w:fldCharType="end"/>
      </w:r>
    </w:p>
    <w:p w14:paraId="60C691EC">
      <w:pPr>
        <w:pStyle w:val="15"/>
        <w:tabs>
          <w:tab w:val="right" w:leader="dot" w:pos="830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_Toc7271 </w:instrText>
      </w:r>
      <w:r>
        <w:rPr>
          <w:rFonts w:hint="eastAsia" w:ascii="仿宋_GB2312" w:hAnsi="仿宋_GB2312" w:cs="仿宋_GB2312"/>
          <w:bCs/>
          <w:kern w:val="0"/>
          <w:szCs w:val="32"/>
        </w:rPr>
        <w:fldChar w:fldCharType="separate"/>
      </w:r>
      <w:r>
        <w:rPr>
          <w:rFonts w:hint="eastAsia" w:ascii="仿宋_GB2312"/>
        </w:rPr>
        <w:t>（三）项目产出情况</w:t>
      </w:r>
      <w:r>
        <w:tab/>
      </w:r>
      <w:r>
        <w:fldChar w:fldCharType="begin"/>
      </w:r>
      <w:r>
        <w:instrText xml:space="preserve"> PAGEREF _Toc7271 \h </w:instrText>
      </w:r>
      <w:r>
        <w:fldChar w:fldCharType="separate"/>
      </w:r>
      <w:r>
        <w:t>37</w:t>
      </w:r>
      <w:r>
        <w:fldChar w:fldCharType="end"/>
      </w:r>
      <w:r>
        <w:rPr>
          <w:rFonts w:hint="eastAsia" w:ascii="仿宋_GB2312" w:hAnsi="仿宋_GB2312" w:cs="仿宋_GB2312"/>
          <w:bCs/>
          <w:kern w:val="0"/>
          <w:szCs w:val="32"/>
        </w:rPr>
        <w:fldChar w:fldCharType="end"/>
      </w:r>
    </w:p>
    <w:p w14:paraId="4FB03528">
      <w:pPr>
        <w:pStyle w:val="15"/>
        <w:tabs>
          <w:tab w:val="right" w:leader="dot" w:pos="830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_Toc26902 </w:instrText>
      </w:r>
      <w:r>
        <w:rPr>
          <w:rFonts w:hint="eastAsia" w:ascii="仿宋_GB2312" w:hAnsi="仿宋_GB2312" w:cs="仿宋_GB2312"/>
          <w:bCs/>
          <w:kern w:val="0"/>
          <w:szCs w:val="32"/>
        </w:rPr>
        <w:fldChar w:fldCharType="separate"/>
      </w:r>
      <w:r>
        <w:rPr>
          <w:rFonts w:hint="eastAsia" w:ascii="仿宋_GB2312"/>
        </w:rPr>
        <w:t>（四）项目效益情况</w:t>
      </w:r>
      <w:r>
        <w:tab/>
      </w:r>
      <w:r>
        <w:fldChar w:fldCharType="begin"/>
      </w:r>
      <w:r>
        <w:instrText xml:space="preserve"> PAGEREF _Toc26902 \h </w:instrText>
      </w:r>
      <w:r>
        <w:fldChar w:fldCharType="separate"/>
      </w:r>
      <w:r>
        <w:t>40</w:t>
      </w:r>
      <w:r>
        <w:fldChar w:fldCharType="end"/>
      </w:r>
      <w:r>
        <w:rPr>
          <w:rFonts w:hint="eastAsia" w:ascii="仿宋_GB2312" w:hAnsi="仿宋_GB2312" w:cs="仿宋_GB2312"/>
          <w:bCs/>
          <w:kern w:val="0"/>
          <w:szCs w:val="32"/>
        </w:rPr>
        <w:fldChar w:fldCharType="end"/>
      </w:r>
    </w:p>
    <w:p w14:paraId="46FE76E6">
      <w:pPr>
        <w:pStyle w:val="14"/>
        <w:tabs>
          <w:tab w:val="right" w:leader="dot" w:pos="8306"/>
          <w:tab w:val="clear" w:pos="829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_Toc30002 </w:instrText>
      </w:r>
      <w:r>
        <w:rPr>
          <w:rFonts w:hint="eastAsia" w:ascii="仿宋_GB2312" w:hAnsi="仿宋_GB2312" w:cs="仿宋_GB2312"/>
          <w:bCs/>
          <w:kern w:val="0"/>
          <w:szCs w:val="32"/>
        </w:rPr>
        <w:fldChar w:fldCharType="separate"/>
      </w:r>
      <w:r>
        <w:rPr>
          <w:rFonts w:hint="eastAsia"/>
        </w:rPr>
        <w:t>五、主要经验</w:t>
      </w:r>
      <w:r>
        <w:rPr>
          <w:rFonts w:hint="eastAsia"/>
          <w:lang w:val="en-US" w:eastAsia="zh-CN"/>
        </w:rPr>
        <w:t>及做法</w:t>
      </w:r>
      <w:r>
        <w:tab/>
      </w:r>
      <w:r>
        <w:fldChar w:fldCharType="begin"/>
      </w:r>
      <w:r>
        <w:instrText xml:space="preserve"> PAGEREF _Toc30002 \h </w:instrText>
      </w:r>
      <w:r>
        <w:fldChar w:fldCharType="separate"/>
      </w:r>
      <w:r>
        <w:t>42</w:t>
      </w:r>
      <w:r>
        <w:fldChar w:fldCharType="end"/>
      </w:r>
      <w:r>
        <w:rPr>
          <w:rFonts w:hint="eastAsia" w:ascii="仿宋_GB2312" w:hAnsi="仿宋_GB2312" w:cs="仿宋_GB2312"/>
          <w:bCs/>
          <w:kern w:val="0"/>
          <w:szCs w:val="32"/>
        </w:rPr>
        <w:fldChar w:fldCharType="end"/>
      </w:r>
    </w:p>
    <w:p w14:paraId="284BA44C">
      <w:pPr>
        <w:pStyle w:val="14"/>
        <w:tabs>
          <w:tab w:val="right" w:leader="dot" w:pos="8306"/>
          <w:tab w:val="clear" w:pos="829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_Toc29522 </w:instrText>
      </w:r>
      <w:r>
        <w:rPr>
          <w:rFonts w:hint="eastAsia" w:ascii="仿宋_GB2312" w:hAnsi="仿宋_GB2312" w:cs="仿宋_GB2312"/>
          <w:bCs/>
          <w:kern w:val="0"/>
          <w:szCs w:val="32"/>
        </w:rPr>
        <w:fldChar w:fldCharType="separate"/>
      </w:r>
      <w:r>
        <w:rPr>
          <w:rFonts w:hint="eastAsia"/>
        </w:rPr>
        <w:t>六、存在的问题及原因分析</w:t>
      </w:r>
      <w:r>
        <w:tab/>
      </w:r>
      <w:r>
        <w:fldChar w:fldCharType="begin"/>
      </w:r>
      <w:r>
        <w:instrText xml:space="preserve"> PAGEREF _Toc29522 \h </w:instrText>
      </w:r>
      <w:r>
        <w:fldChar w:fldCharType="separate"/>
      </w:r>
      <w:r>
        <w:t>42</w:t>
      </w:r>
      <w:r>
        <w:fldChar w:fldCharType="end"/>
      </w:r>
      <w:r>
        <w:rPr>
          <w:rFonts w:hint="eastAsia" w:ascii="仿宋_GB2312" w:hAnsi="仿宋_GB2312" w:cs="仿宋_GB2312"/>
          <w:bCs/>
          <w:kern w:val="0"/>
          <w:szCs w:val="32"/>
        </w:rPr>
        <w:fldChar w:fldCharType="end"/>
      </w:r>
    </w:p>
    <w:p w14:paraId="5E6311A0">
      <w:pPr>
        <w:pStyle w:val="14"/>
        <w:tabs>
          <w:tab w:val="right" w:leader="dot" w:pos="8306"/>
          <w:tab w:val="clear" w:pos="829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_Toc26313 </w:instrText>
      </w:r>
      <w:r>
        <w:rPr>
          <w:rFonts w:hint="eastAsia" w:ascii="仿宋_GB2312" w:hAnsi="仿宋_GB2312" w:cs="仿宋_GB2312"/>
          <w:bCs/>
          <w:kern w:val="0"/>
          <w:szCs w:val="32"/>
        </w:rPr>
        <w:fldChar w:fldCharType="separate"/>
      </w:r>
      <w:r>
        <w:rPr>
          <w:rFonts w:hint="eastAsia"/>
        </w:rPr>
        <w:t>七、建议</w:t>
      </w:r>
      <w:r>
        <w:tab/>
      </w:r>
      <w:r>
        <w:fldChar w:fldCharType="begin"/>
      </w:r>
      <w:r>
        <w:instrText xml:space="preserve"> PAGEREF _Toc26313 \h </w:instrText>
      </w:r>
      <w:r>
        <w:fldChar w:fldCharType="separate"/>
      </w:r>
      <w:r>
        <w:t>43</w:t>
      </w:r>
      <w:r>
        <w:fldChar w:fldCharType="end"/>
      </w:r>
      <w:r>
        <w:rPr>
          <w:rFonts w:hint="eastAsia" w:ascii="仿宋_GB2312" w:hAnsi="仿宋_GB2312" w:cs="仿宋_GB2312"/>
          <w:bCs/>
          <w:kern w:val="0"/>
          <w:szCs w:val="32"/>
        </w:rPr>
        <w:fldChar w:fldCharType="end"/>
      </w:r>
    </w:p>
    <w:p w14:paraId="6222219A">
      <w:pPr>
        <w:pStyle w:val="14"/>
        <w:tabs>
          <w:tab w:val="right" w:leader="dot" w:pos="8306"/>
          <w:tab w:val="clear" w:pos="829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_Toc851 </w:instrText>
      </w:r>
      <w:r>
        <w:rPr>
          <w:rFonts w:hint="eastAsia" w:ascii="仿宋_GB2312" w:hAnsi="仿宋_GB2312" w:cs="仿宋_GB2312"/>
          <w:bCs/>
          <w:kern w:val="0"/>
          <w:szCs w:val="32"/>
        </w:rPr>
        <w:fldChar w:fldCharType="separate"/>
      </w:r>
      <w:r>
        <w:rPr>
          <w:rFonts w:hint="eastAsia"/>
        </w:rPr>
        <w:t>八</w:t>
      </w:r>
      <w:r>
        <w:t>、结果应用及建议</w:t>
      </w:r>
      <w:r>
        <w:tab/>
      </w:r>
      <w:r>
        <w:fldChar w:fldCharType="begin"/>
      </w:r>
      <w:r>
        <w:instrText xml:space="preserve"> PAGEREF _Toc851 \h </w:instrText>
      </w:r>
      <w:r>
        <w:fldChar w:fldCharType="separate"/>
      </w:r>
      <w:r>
        <w:t>45</w:t>
      </w:r>
      <w:r>
        <w:fldChar w:fldCharType="end"/>
      </w:r>
      <w:r>
        <w:rPr>
          <w:rFonts w:hint="eastAsia" w:ascii="仿宋_GB2312" w:hAnsi="仿宋_GB2312" w:cs="仿宋_GB2312"/>
          <w:bCs/>
          <w:kern w:val="0"/>
          <w:szCs w:val="32"/>
        </w:rPr>
        <w:fldChar w:fldCharType="end"/>
      </w:r>
    </w:p>
    <w:p w14:paraId="39A3B88E">
      <w:pPr>
        <w:pStyle w:val="14"/>
        <w:tabs>
          <w:tab w:val="right" w:leader="dot" w:pos="8306"/>
          <w:tab w:val="clear" w:pos="829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_Toc18325 </w:instrText>
      </w:r>
      <w:r>
        <w:rPr>
          <w:rFonts w:hint="eastAsia" w:ascii="仿宋_GB2312" w:hAnsi="仿宋_GB2312" w:cs="仿宋_GB2312"/>
          <w:bCs/>
          <w:kern w:val="0"/>
          <w:szCs w:val="32"/>
        </w:rPr>
        <w:fldChar w:fldCharType="separate"/>
      </w:r>
      <w:r>
        <w:rPr>
          <w:rFonts w:hint="eastAsia"/>
        </w:rPr>
        <w:t>九、报告附件</w:t>
      </w:r>
      <w:r>
        <w:tab/>
      </w:r>
      <w:r>
        <w:fldChar w:fldCharType="begin"/>
      </w:r>
      <w:r>
        <w:instrText xml:space="preserve"> PAGEREF _Toc18325 \h </w:instrText>
      </w:r>
      <w:r>
        <w:fldChar w:fldCharType="separate"/>
      </w:r>
      <w:r>
        <w:t>45</w:t>
      </w:r>
      <w:r>
        <w:fldChar w:fldCharType="end"/>
      </w:r>
      <w:r>
        <w:rPr>
          <w:rFonts w:hint="eastAsia" w:ascii="仿宋_GB2312" w:hAnsi="仿宋_GB2312" w:cs="仿宋_GB2312"/>
          <w:bCs/>
          <w:kern w:val="0"/>
          <w:szCs w:val="32"/>
        </w:rPr>
        <w:fldChar w:fldCharType="end"/>
      </w:r>
    </w:p>
    <w:p w14:paraId="02B5EB51">
      <w:pPr>
        <w:pStyle w:val="14"/>
        <w:tabs>
          <w:tab w:val="right" w:leader="dot" w:pos="8306"/>
          <w:tab w:val="clear" w:pos="829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_Toc28959 </w:instrText>
      </w:r>
      <w:r>
        <w:rPr>
          <w:rFonts w:hint="eastAsia" w:ascii="仿宋_GB2312" w:hAnsi="仿宋_GB2312" w:cs="仿宋_GB2312"/>
          <w:bCs/>
          <w:kern w:val="0"/>
          <w:szCs w:val="32"/>
        </w:rPr>
        <w:fldChar w:fldCharType="separate"/>
      </w:r>
      <w:r>
        <w:rPr>
          <w:rFonts w:ascii="黑体" w:hAnsi="黑体"/>
        </w:rPr>
        <w:t>附件1</w:t>
      </w:r>
      <w:r>
        <w:rPr>
          <w:rFonts w:hint="eastAsia" w:ascii="黑体" w:hAnsi="黑体"/>
        </w:rPr>
        <w:t xml:space="preserve"> ：项目</w:t>
      </w:r>
      <w:r>
        <w:rPr>
          <w:rFonts w:ascii="黑体" w:hAnsi="黑体"/>
        </w:rPr>
        <w:t>支出绩效评价指标评分</w:t>
      </w:r>
      <w:r>
        <w:tab/>
      </w:r>
      <w:r>
        <w:fldChar w:fldCharType="begin"/>
      </w:r>
      <w:r>
        <w:instrText xml:space="preserve"> PAGEREF _Toc28959 \h </w:instrText>
      </w:r>
      <w:r>
        <w:fldChar w:fldCharType="separate"/>
      </w:r>
      <w:r>
        <w:t>47</w:t>
      </w:r>
      <w:r>
        <w:fldChar w:fldCharType="end"/>
      </w:r>
      <w:r>
        <w:rPr>
          <w:rFonts w:hint="eastAsia" w:ascii="仿宋_GB2312" w:hAnsi="仿宋_GB2312" w:cs="仿宋_GB2312"/>
          <w:bCs/>
          <w:kern w:val="0"/>
          <w:szCs w:val="32"/>
        </w:rPr>
        <w:fldChar w:fldCharType="end"/>
      </w:r>
    </w:p>
    <w:p w14:paraId="253DFE58">
      <w:pPr>
        <w:pStyle w:val="14"/>
        <w:tabs>
          <w:tab w:val="right" w:leader="dot" w:pos="8306"/>
          <w:tab w:val="clear" w:pos="829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_Toc1475 </w:instrText>
      </w:r>
      <w:r>
        <w:rPr>
          <w:rFonts w:hint="eastAsia" w:ascii="仿宋_GB2312" w:hAnsi="仿宋_GB2312" w:cs="仿宋_GB2312"/>
          <w:bCs/>
          <w:kern w:val="0"/>
          <w:szCs w:val="32"/>
        </w:rPr>
        <w:fldChar w:fldCharType="separate"/>
      </w:r>
      <w:r>
        <w:rPr>
          <w:rFonts w:ascii="黑体" w:hAnsi="黑体"/>
        </w:rPr>
        <w:t>附件2</w:t>
      </w:r>
      <w:r>
        <w:rPr>
          <w:rFonts w:hint="eastAsia" w:ascii="黑体" w:hAnsi="黑体"/>
        </w:rPr>
        <w:t xml:space="preserve"> ：项目</w:t>
      </w:r>
      <w:r>
        <w:rPr>
          <w:rFonts w:ascii="黑体" w:hAnsi="黑体"/>
        </w:rPr>
        <w:t>支出绩效评价指标体系</w:t>
      </w:r>
      <w:r>
        <w:tab/>
      </w:r>
      <w:r>
        <w:fldChar w:fldCharType="begin"/>
      </w:r>
      <w:r>
        <w:instrText xml:space="preserve"> PAGEREF _Toc1475 \h </w:instrText>
      </w:r>
      <w:r>
        <w:fldChar w:fldCharType="separate"/>
      </w:r>
      <w:r>
        <w:t>49</w:t>
      </w:r>
      <w:r>
        <w:fldChar w:fldCharType="end"/>
      </w:r>
      <w:r>
        <w:rPr>
          <w:rFonts w:hint="eastAsia" w:ascii="仿宋_GB2312" w:hAnsi="仿宋_GB2312" w:cs="仿宋_GB2312"/>
          <w:bCs/>
          <w:kern w:val="0"/>
          <w:szCs w:val="32"/>
        </w:rPr>
        <w:fldChar w:fldCharType="end"/>
      </w:r>
    </w:p>
    <w:p w14:paraId="79EC1FF7">
      <w:pPr>
        <w:pStyle w:val="14"/>
        <w:tabs>
          <w:tab w:val="right" w:leader="dot" w:pos="8306"/>
          <w:tab w:val="clear" w:pos="829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_Toc30591 </w:instrText>
      </w:r>
      <w:r>
        <w:rPr>
          <w:rFonts w:hint="eastAsia" w:ascii="仿宋_GB2312" w:hAnsi="仿宋_GB2312" w:cs="仿宋_GB2312"/>
          <w:bCs/>
          <w:kern w:val="0"/>
          <w:szCs w:val="32"/>
        </w:rPr>
        <w:fldChar w:fldCharType="separate"/>
      </w:r>
      <w:r>
        <w:rPr>
          <w:rFonts w:ascii="黑体" w:hAnsi="黑体"/>
        </w:rPr>
        <w:t>附件3</w:t>
      </w:r>
      <w:r>
        <w:rPr>
          <w:rFonts w:hint="eastAsia" w:ascii="黑体" w:hAnsi="黑体"/>
        </w:rPr>
        <w:t xml:space="preserve"> ：满意度</w:t>
      </w:r>
      <w:r>
        <w:rPr>
          <w:rFonts w:ascii="黑体" w:hAnsi="黑体"/>
        </w:rPr>
        <w:t>调查</w:t>
      </w:r>
      <w:r>
        <w:rPr>
          <w:rFonts w:hint="eastAsia" w:ascii="黑体" w:hAnsi="黑体"/>
        </w:rPr>
        <w:t>报告</w:t>
      </w:r>
      <w:r>
        <w:tab/>
      </w:r>
      <w:r>
        <w:fldChar w:fldCharType="begin"/>
      </w:r>
      <w:r>
        <w:instrText xml:space="preserve"> PAGEREF _Toc30591 \h </w:instrText>
      </w:r>
      <w:r>
        <w:fldChar w:fldCharType="separate"/>
      </w:r>
      <w:r>
        <w:t>54</w:t>
      </w:r>
      <w:r>
        <w:fldChar w:fldCharType="end"/>
      </w:r>
      <w:r>
        <w:rPr>
          <w:rFonts w:hint="eastAsia" w:ascii="仿宋_GB2312" w:hAnsi="仿宋_GB2312" w:cs="仿宋_GB2312"/>
          <w:bCs/>
          <w:kern w:val="0"/>
          <w:szCs w:val="32"/>
        </w:rPr>
        <w:fldChar w:fldCharType="end"/>
      </w:r>
    </w:p>
    <w:p w14:paraId="2D9EF90B">
      <w:pPr>
        <w:pStyle w:val="14"/>
        <w:tabs>
          <w:tab w:val="right" w:leader="dot" w:pos="8306"/>
          <w:tab w:val="clear" w:pos="829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_Toc10495 </w:instrText>
      </w:r>
      <w:r>
        <w:rPr>
          <w:rFonts w:hint="eastAsia" w:ascii="仿宋_GB2312" w:hAnsi="仿宋_GB2312" w:cs="仿宋_GB2312"/>
          <w:bCs/>
          <w:kern w:val="0"/>
          <w:szCs w:val="32"/>
        </w:rPr>
        <w:fldChar w:fldCharType="separate"/>
      </w:r>
      <w:r>
        <w:rPr>
          <w:rFonts w:ascii="黑体" w:hAnsi="黑体"/>
        </w:rPr>
        <w:t>附件</w:t>
      </w:r>
      <w:r>
        <w:rPr>
          <w:rFonts w:hint="eastAsia" w:ascii="黑体" w:hAnsi="黑体"/>
        </w:rPr>
        <w:t>4 ：</w:t>
      </w:r>
      <w:r>
        <w:rPr>
          <w:rFonts w:ascii="黑体" w:hAnsi="黑体"/>
        </w:rPr>
        <w:t>访谈</w:t>
      </w:r>
      <w:r>
        <w:rPr>
          <w:rFonts w:hint="eastAsia" w:ascii="黑体" w:hAnsi="黑体"/>
        </w:rPr>
        <w:t>报告</w:t>
      </w:r>
      <w:r>
        <w:tab/>
      </w:r>
      <w:r>
        <w:fldChar w:fldCharType="begin"/>
      </w:r>
      <w:r>
        <w:instrText xml:space="preserve"> PAGEREF _Toc10495 \h </w:instrText>
      </w:r>
      <w:r>
        <w:fldChar w:fldCharType="separate"/>
      </w:r>
      <w:r>
        <w:t>57</w:t>
      </w:r>
      <w:r>
        <w:fldChar w:fldCharType="end"/>
      </w:r>
      <w:r>
        <w:rPr>
          <w:rFonts w:hint="eastAsia" w:ascii="仿宋_GB2312" w:hAnsi="仿宋_GB2312" w:cs="仿宋_GB2312"/>
          <w:bCs/>
          <w:kern w:val="0"/>
          <w:szCs w:val="32"/>
        </w:rPr>
        <w:fldChar w:fldCharType="end"/>
      </w:r>
    </w:p>
    <w:p w14:paraId="3931B938">
      <w:pPr>
        <w:pStyle w:val="14"/>
        <w:tabs>
          <w:tab w:val="right" w:leader="dot" w:pos="8306"/>
          <w:tab w:val="clear" w:pos="8296"/>
        </w:tabs>
        <w:rPr>
          <w:rFonts w:ascii="仿宋_GB2312"/>
          <w:bCs/>
          <w:kern w:val="0"/>
          <w:szCs w:val="32"/>
        </w:rPr>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_Toc32598 </w:instrText>
      </w:r>
      <w:r>
        <w:rPr>
          <w:rFonts w:hint="eastAsia" w:ascii="仿宋_GB2312" w:hAnsi="仿宋_GB2312" w:cs="仿宋_GB2312"/>
          <w:bCs/>
          <w:kern w:val="0"/>
          <w:szCs w:val="32"/>
        </w:rPr>
        <w:fldChar w:fldCharType="separate"/>
      </w:r>
      <w:r>
        <w:rPr>
          <w:rFonts w:hint="eastAsia" w:ascii="黑体" w:hAnsi="黑体"/>
        </w:rPr>
        <w:t>附件5 ：合规性检查报告</w:t>
      </w:r>
      <w:r>
        <w:tab/>
      </w:r>
      <w:r>
        <w:fldChar w:fldCharType="begin"/>
      </w:r>
      <w:r>
        <w:instrText xml:space="preserve"> PAGEREF _Toc32598 \h </w:instrText>
      </w:r>
      <w:r>
        <w:fldChar w:fldCharType="separate"/>
      </w:r>
      <w:r>
        <w:t>61</w:t>
      </w:r>
      <w:r>
        <w:fldChar w:fldCharType="end"/>
      </w:r>
      <w:r>
        <w:rPr>
          <w:rFonts w:hint="eastAsia" w:ascii="仿宋_GB2312" w:hAnsi="仿宋_GB2312" w:cs="仿宋_GB2312"/>
          <w:bCs/>
          <w:kern w:val="0"/>
          <w:szCs w:val="32"/>
        </w:rPr>
        <w:fldChar w:fldCharType="end"/>
      </w:r>
      <w:r>
        <w:rPr>
          <w:rFonts w:hint="eastAsia" w:ascii="仿宋_GB2312" w:hAnsi="仿宋_GB2312" w:cs="仿宋_GB2312"/>
          <w:bCs/>
          <w:kern w:val="0"/>
          <w:szCs w:val="32"/>
        </w:rPr>
        <w:fldChar w:fldCharType="end"/>
      </w:r>
    </w:p>
    <w:p w14:paraId="71777B7D">
      <w:pPr>
        <w:ind w:firstLine="640"/>
        <w:rPr>
          <w:rFonts w:eastAsia="黑体"/>
          <w:szCs w:val="32"/>
        </w:rPr>
      </w:pPr>
    </w:p>
    <w:p w14:paraId="1154BE32">
      <w:pPr>
        <w:widowControl/>
        <w:spacing w:line="240" w:lineRule="auto"/>
        <w:ind w:firstLine="0" w:firstLineChars="0"/>
        <w:jc w:val="left"/>
        <w:rPr>
          <w:rFonts w:eastAsia="黑体"/>
          <w:szCs w:val="32"/>
        </w:rPr>
      </w:pPr>
    </w:p>
    <w:p w14:paraId="3D48A489">
      <w:pPr>
        <w:tabs>
          <w:tab w:val="left" w:pos="1963"/>
        </w:tabs>
        <w:bidi w:val="0"/>
        <w:jc w:val="left"/>
        <w:rPr>
          <w:rFonts w:ascii="Times New Roman" w:hAnsi="Times New Roman" w:eastAsia="仿宋_GB2312" w:cs="Times New Roman"/>
          <w:kern w:val="2"/>
          <w:sz w:val="32"/>
          <w:szCs w:val="24"/>
          <w:lang w:val="en-US" w:eastAsia="zh-CN" w:bidi="ar-SA"/>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720" w:num="1"/>
          <w:docGrid w:type="lines" w:linePitch="312" w:charSpace="0"/>
        </w:sectPr>
      </w:pPr>
    </w:p>
    <w:p w14:paraId="67DED9C0">
      <w:pPr>
        <w:pStyle w:val="3"/>
        <w:ind w:firstLine="199" w:firstLineChars="45"/>
        <w:jc w:val="center"/>
        <w:rPr>
          <w:rFonts w:hint="eastAsia" w:ascii="黑体" w:hAnsi="黑体" w:eastAsia="黑体" w:cs="黑体"/>
          <w:b/>
          <w:sz w:val="44"/>
          <w:szCs w:val="44"/>
        </w:rPr>
      </w:pPr>
      <w:bookmarkStart w:id="0" w:name="_Toc21806"/>
      <w:bookmarkStart w:id="1" w:name="_Toc32047"/>
      <w:r>
        <w:rPr>
          <w:rFonts w:hint="eastAsia" w:ascii="黑体" w:hAnsi="黑体" w:eastAsia="黑体" w:cs="黑体"/>
          <w:b/>
          <w:sz w:val="44"/>
          <w:szCs w:val="44"/>
        </w:rPr>
        <w:t>摘   要</w:t>
      </w:r>
      <w:bookmarkEnd w:id="0"/>
    </w:p>
    <w:p w14:paraId="234A2CE9">
      <w:pPr>
        <w:ind w:firstLine="640"/>
      </w:pPr>
      <w:r>
        <w:t>受</w:t>
      </w:r>
      <w:r>
        <w:rPr>
          <w:rFonts w:hint="eastAsia"/>
          <w:lang w:eastAsia="zh-CN"/>
        </w:rPr>
        <w:t>古县财政局</w:t>
      </w:r>
      <w:r>
        <w:t>委托，我</w:t>
      </w:r>
      <w:r>
        <w:rPr>
          <w:rFonts w:hint="eastAsia"/>
        </w:rPr>
        <w:t>公司承担对</w:t>
      </w:r>
      <w:r>
        <w:rPr>
          <w:rFonts w:hint="eastAsia"/>
          <w:lang w:eastAsia="zh-CN"/>
        </w:rPr>
        <w:t>古县县委党校改扩建项目</w:t>
      </w:r>
      <w:r>
        <w:rPr>
          <w:rFonts w:hint="eastAsia"/>
        </w:rPr>
        <w:t>财政支出</w:t>
      </w:r>
      <w:r>
        <w:t>绩效评价工作。</w:t>
      </w:r>
      <w:r>
        <w:rPr>
          <w:rFonts w:hint="eastAsia"/>
          <w:lang w:val="zh-CN"/>
        </w:rPr>
        <w:t>我们本着客观、公平、公正的原则，按照绩效评价工作方案确定的评价指标、评价标准和评价方法，对评价对象的资金使用情况进行全面的分析和综合评价，形成了本报告，现将绩效评价情况简要报告如下：</w:t>
      </w:r>
    </w:p>
    <w:p w14:paraId="32049FC8">
      <w:pPr>
        <w:spacing w:beforeLines="100" w:afterLines="100"/>
        <w:ind w:firstLine="640"/>
        <w:rPr>
          <w:rFonts w:ascii="黑体" w:hAnsi="黑体" w:eastAsia="黑体" w:cs="黑体"/>
          <w:kern w:val="0"/>
          <w:szCs w:val="32"/>
        </w:rPr>
      </w:pPr>
      <w:r>
        <w:rPr>
          <w:rFonts w:hint="eastAsia" w:ascii="黑体" w:hAnsi="黑体" w:eastAsia="黑体" w:cs="黑体"/>
          <w:kern w:val="0"/>
          <w:szCs w:val="32"/>
        </w:rPr>
        <w:t>一、项目基本情况</w:t>
      </w:r>
    </w:p>
    <w:p w14:paraId="198276BA">
      <w:pPr>
        <w:spacing w:beforeLines="50" w:afterLines="50"/>
        <w:ind w:firstLine="640"/>
        <w:rPr>
          <w:rFonts w:ascii="楷体_GB2312" w:eastAsia="楷体_GB2312"/>
          <w:bCs/>
          <w:kern w:val="0"/>
          <w:szCs w:val="32"/>
        </w:rPr>
      </w:pPr>
      <w:r>
        <w:rPr>
          <w:rFonts w:hint="eastAsia" w:ascii="楷体_GB2312" w:eastAsia="楷体_GB2312"/>
          <w:kern w:val="0"/>
          <w:szCs w:val="32"/>
        </w:rPr>
        <w:t>（一）项目概况</w:t>
      </w:r>
    </w:p>
    <w:p w14:paraId="7AC5388C">
      <w:pPr>
        <w:ind w:firstLine="640"/>
        <w:rPr>
          <w:rFonts w:hint="default" w:ascii="仿宋_GB2312" w:cs="Times New Roman"/>
          <w:lang w:val="en-US" w:eastAsia="zh-CN"/>
        </w:rPr>
      </w:pPr>
      <w:r>
        <w:rPr>
          <w:rFonts w:hint="default" w:ascii="仿宋_GB2312" w:cs="Times New Roman"/>
          <w:lang w:val="en-US" w:eastAsia="zh-CN"/>
        </w:rPr>
        <w:t>古县县委党校承担着550余名科技干部，220余名农村（社区）“两委”主干、近600名机关公务员的主体培训，担负着党校学历教育的重要职责，党校始建于1985年9月，受当时条件所限，入口街巷偏窄，路网系统不完整，上空电线、网线随意混乱搭接，周围环境条件极差，校内缺乏标准活动场地。功能划分严重不合理，加之建设年代久远，路面硬化多出已破损严重，排水出现较大问题。北楼为两层预制板危楼，建筑基脚、墙脚外侧地面严重沉降开裂，底层墙体多处沉降断裂，且已闲置多年；东楼为四层综合楼，用于党校办公教学和科研使用，外墙墙体出现细微裂缝，外墙砖局部脱落，建筑内部墙皮大面积脱落，屋面防水已经老化，渗漏明显，门、窗密闭性差，卫生设施老化，存在上下水跑冒滴漏现象。加之无学员宿舍、食堂，无法满足食宿一体的要求。党校现有的基础设施已无法满足新形势下党校工作的需求。</w:t>
      </w:r>
    </w:p>
    <w:p w14:paraId="129233D1">
      <w:pPr>
        <w:ind w:firstLine="640"/>
        <w:rPr>
          <w:rFonts w:hint="default" w:ascii="仿宋_GB2312" w:cs="Times New Roman"/>
          <w:lang w:val="en-US" w:eastAsia="zh-CN"/>
        </w:rPr>
      </w:pPr>
      <w:r>
        <w:rPr>
          <w:rFonts w:hint="default" w:ascii="仿宋_GB2312" w:cs="Times New Roman"/>
          <w:lang w:val="en-US" w:eastAsia="zh-CN"/>
        </w:rPr>
        <w:t>为彻底改善党校基础设施老化滞后不适应发展需要的问题，顺利通过全省验收，完善县级党校领导体制，深化办学体制改革，加大基层党员干部培训力度，提高党校教学水平，改善办学条件，对党校的改扩建是非常必要的。</w:t>
      </w:r>
    </w:p>
    <w:p w14:paraId="668D2A0C">
      <w:pPr>
        <w:ind w:firstLine="640"/>
        <w:rPr>
          <w:rFonts w:hint="default" w:ascii="仿宋_GB2312" w:cs="Times New Roman"/>
          <w:lang w:val="en-US" w:eastAsia="zh-CN"/>
        </w:rPr>
      </w:pPr>
      <w:r>
        <w:rPr>
          <w:rFonts w:hint="default" w:ascii="仿宋_GB2312" w:cs="Times New Roman"/>
          <w:lang w:val="en-US" w:eastAsia="zh-CN"/>
        </w:rPr>
        <w:t>古县县委会议2019年第16次会议于2019年5月13日召开，会议同意《县委党校改扩建项目实施方案》。</w:t>
      </w:r>
    </w:p>
    <w:p w14:paraId="101EAD03">
      <w:pPr>
        <w:spacing w:beforeLines="50" w:afterLines="50"/>
        <w:ind w:left="0" w:leftChars="0" w:firstLine="320" w:firstLineChars="100"/>
        <w:rPr>
          <w:rFonts w:ascii="楷体_GB2312" w:hAnsi="仿宋_GB2312" w:eastAsia="楷体_GB2312" w:cs="仿宋_GB2312"/>
          <w:kern w:val="0"/>
          <w:szCs w:val="32"/>
        </w:rPr>
      </w:pPr>
      <w:r>
        <w:rPr>
          <w:rFonts w:hint="eastAsia" w:ascii="楷体_GB2312" w:hAnsi="仿宋_GB2312" w:eastAsia="楷体_GB2312" w:cs="仿宋_GB2312"/>
          <w:kern w:val="0"/>
          <w:szCs w:val="32"/>
        </w:rPr>
        <w:t>（二）项目绩效目标</w:t>
      </w:r>
    </w:p>
    <w:p w14:paraId="68C53850">
      <w:pPr>
        <w:ind w:firstLine="640"/>
        <w:rPr>
          <w:rFonts w:hint="eastAsia" w:ascii="仿宋_GB2312" w:hAnsi="Times New Roman" w:cs="Times New Roman"/>
          <w:lang w:val="en-US" w:eastAsia="zh-CN"/>
        </w:rPr>
      </w:pPr>
      <w:r>
        <w:rPr>
          <w:rFonts w:hint="eastAsia" w:ascii="仿宋_GB2312" w:hAnsi="Times New Roman" w:cs="Times New Roman"/>
          <w:lang w:val="en-US" w:eastAsia="zh-CN"/>
        </w:rPr>
        <w:t>提高学校办学条件，满足干部教育200人以上封闭培训要求的设备完善、设施齐全、规模合理的学校区，改善原有的基础设施条件，推进党校建设，为党校科学发展提供有力保证。</w:t>
      </w:r>
    </w:p>
    <w:p w14:paraId="46337E9B">
      <w:pPr>
        <w:numPr>
          <w:ilvl w:val="0"/>
          <w:numId w:val="0"/>
        </w:numPr>
        <w:spacing w:beforeLines="100" w:afterLines="100"/>
        <w:ind w:firstLine="640" w:firstLineChars="200"/>
        <w:rPr>
          <w:rFonts w:hint="eastAsia" w:ascii="黑体" w:hAnsi="黑体" w:eastAsia="黑体" w:cs="黑体"/>
          <w:kern w:val="0"/>
          <w:szCs w:val="32"/>
          <w:highlight w:val="none"/>
        </w:rPr>
      </w:pPr>
      <w:r>
        <w:rPr>
          <w:rFonts w:hint="eastAsia" w:ascii="黑体" w:hAnsi="黑体" w:eastAsia="黑体" w:cs="黑体"/>
          <w:kern w:val="0"/>
          <w:szCs w:val="32"/>
          <w:highlight w:val="none"/>
          <w:lang w:val="en-US" w:eastAsia="zh-CN"/>
        </w:rPr>
        <w:t>二、</w:t>
      </w:r>
      <w:r>
        <w:rPr>
          <w:rFonts w:hint="eastAsia" w:ascii="黑体" w:hAnsi="黑体" w:eastAsia="黑体" w:cs="黑体"/>
          <w:kern w:val="0"/>
          <w:szCs w:val="32"/>
          <w:highlight w:val="none"/>
        </w:rPr>
        <w:t>评价结论</w:t>
      </w:r>
    </w:p>
    <w:p w14:paraId="74093997">
      <w:pPr>
        <w:ind w:firstLine="640"/>
        <w:rPr>
          <w:rFonts w:hint="eastAsia"/>
          <w:lang w:eastAsia="zh-CN"/>
        </w:rPr>
      </w:pPr>
      <w:r>
        <w:rPr>
          <w:rFonts w:hint="eastAsia" w:ascii="仿宋_GB2312"/>
          <w:lang w:val="en-US" w:eastAsia="zh-CN"/>
        </w:rPr>
        <w:t>古县县委党校改扩建项目</w:t>
      </w:r>
      <w:r>
        <w:rPr>
          <w:rFonts w:hint="eastAsia" w:ascii="仿宋_GB2312"/>
        </w:rPr>
        <w:t>支出绩效评价得</w:t>
      </w:r>
      <w:r>
        <w:rPr>
          <w:rFonts w:hint="eastAsia" w:ascii="仿宋_GB2312"/>
          <w:highlight w:val="none"/>
        </w:rPr>
        <w:t>分</w:t>
      </w:r>
      <w:r>
        <w:rPr>
          <w:rFonts w:hint="eastAsia" w:ascii="仿宋_GB2312"/>
          <w:highlight w:val="none"/>
          <w:lang w:val="en-US" w:eastAsia="zh-CN"/>
        </w:rPr>
        <w:t>66</w:t>
      </w:r>
      <w:r>
        <w:rPr>
          <w:rFonts w:hint="eastAsia" w:ascii="仿宋_GB2312"/>
          <w:highlight w:val="none"/>
        </w:rPr>
        <w:t>分，</w:t>
      </w:r>
      <w:r>
        <w:rPr>
          <w:rFonts w:hint="eastAsia" w:ascii="仿宋_GB2312"/>
        </w:rPr>
        <w:t>绩效评价等级为“</w:t>
      </w:r>
      <w:r>
        <w:rPr>
          <w:rFonts w:hint="eastAsia" w:ascii="仿宋_GB2312"/>
          <w:lang w:val="en-US" w:eastAsia="zh-CN"/>
        </w:rPr>
        <w:t>中</w:t>
      </w:r>
      <w:r>
        <w:rPr>
          <w:rFonts w:hint="eastAsia" w:ascii="仿宋_GB2312"/>
        </w:rPr>
        <w:t>”。</w:t>
      </w:r>
      <w:r>
        <w:rPr>
          <w:rFonts w:hint="eastAsia" w:ascii="仿宋_GB2312"/>
          <w:lang w:val="en-US" w:eastAsia="zh-CN"/>
        </w:rPr>
        <w:t>项目整体</w:t>
      </w:r>
      <w:r>
        <w:rPr>
          <w:rFonts w:hint="eastAsia" w:ascii="仿宋_GB2312"/>
        </w:rPr>
        <w:t>详见下表</w:t>
      </w:r>
      <w:r>
        <w:rPr>
          <w:rFonts w:hint="eastAsia" w:ascii="仿宋_GB2312"/>
          <w:lang w:eastAsia="zh-CN"/>
        </w:rPr>
        <w:t>：</w:t>
      </w:r>
    </w:p>
    <w:p w14:paraId="7B0CEC02">
      <w:pPr>
        <w:keepNext w:val="0"/>
        <w:keepLines w:val="0"/>
        <w:pageBreakBefore w:val="0"/>
        <w:widowControl w:val="0"/>
        <w:kinsoku/>
        <w:wordWrap/>
        <w:overflowPunct/>
        <w:topLinePunct w:val="0"/>
        <w:autoSpaceDE w:val="0"/>
        <w:autoSpaceDN w:val="0"/>
        <w:bidi w:val="0"/>
        <w:adjustRightInd w:val="0"/>
        <w:snapToGrid/>
        <w:spacing w:before="63" w:beforeLines="20" w:after="63" w:afterLines="20" w:line="500" w:lineRule="exact"/>
        <w:ind w:left="0" w:leftChars="0" w:firstLine="0" w:firstLineChars="0"/>
        <w:jc w:val="center"/>
        <w:textAlignment w:val="auto"/>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绩效评价得分表</w:t>
      </w:r>
    </w:p>
    <w:tbl>
      <w:tblPr>
        <w:tblStyle w:val="2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1"/>
        <w:gridCol w:w="1421"/>
        <w:gridCol w:w="1421"/>
        <w:gridCol w:w="1421"/>
        <w:gridCol w:w="1421"/>
      </w:tblGrid>
      <w:tr w14:paraId="0E621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vAlign w:val="center"/>
          </w:tcPr>
          <w:p w14:paraId="735F87A0">
            <w:pPr>
              <w:spacing w:line="240" w:lineRule="auto"/>
              <w:ind w:firstLine="0" w:firstLineChars="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指标</w:t>
            </w:r>
          </w:p>
        </w:tc>
        <w:tc>
          <w:tcPr>
            <w:tcW w:w="833" w:type="pct"/>
            <w:vAlign w:val="center"/>
          </w:tcPr>
          <w:p w14:paraId="2A345B8F">
            <w:pPr>
              <w:spacing w:line="240" w:lineRule="auto"/>
              <w:ind w:firstLine="0" w:firstLineChars="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决策</w:t>
            </w:r>
          </w:p>
        </w:tc>
        <w:tc>
          <w:tcPr>
            <w:tcW w:w="833" w:type="pct"/>
            <w:vAlign w:val="center"/>
          </w:tcPr>
          <w:p w14:paraId="389E1F92">
            <w:pPr>
              <w:spacing w:line="240" w:lineRule="auto"/>
              <w:ind w:firstLine="0" w:firstLineChars="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过程</w:t>
            </w:r>
          </w:p>
        </w:tc>
        <w:tc>
          <w:tcPr>
            <w:tcW w:w="833" w:type="pct"/>
            <w:vAlign w:val="center"/>
          </w:tcPr>
          <w:p w14:paraId="7522AD16">
            <w:pPr>
              <w:spacing w:line="240" w:lineRule="auto"/>
              <w:ind w:firstLine="0" w:firstLineChars="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产出</w:t>
            </w:r>
          </w:p>
        </w:tc>
        <w:tc>
          <w:tcPr>
            <w:tcW w:w="833" w:type="pct"/>
            <w:vAlign w:val="center"/>
          </w:tcPr>
          <w:p w14:paraId="376F0B6A">
            <w:pPr>
              <w:spacing w:line="240" w:lineRule="auto"/>
              <w:ind w:firstLine="0" w:firstLineChars="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效益</w:t>
            </w:r>
          </w:p>
        </w:tc>
        <w:tc>
          <w:tcPr>
            <w:tcW w:w="833" w:type="pct"/>
            <w:vAlign w:val="center"/>
          </w:tcPr>
          <w:p w14:paraId="6DDDAC08">
            <w:pPr>
              <w:spacing w:line="240" w:lineRule="auto"/>
              <w:ind w:firstLine="0" w:firstLineChars="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总分</w:t>
            </w:r>
          </w:p>
        </w:tc>
      </w:tr>
      <w:tr w14:paraId="5A7A0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833" w:type="pct"/>
            <w:vAlign w:val="center"/>
          </w:tcPr>
          <w:p w14:paraId="589D2526">
            <w:pPr>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标准分</w:t>
            </w:r>
          </w:p>
        </w:tc>
        <w:tc>
          <w:tcPr>
            <w:tcW w:w="833" w:type="pct"/>
            <w:vAlign w:val="center"/>
          </w:tcPr>
          <w:p w14:paraId="5D158278">
            <w:pPr>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c>
          <w:tcPr>
            <w:tcW w:w="833" w:type="pct"/>
            <w:vAlign w:val="center"/>
          </w:tcPr>
          <w:p w14:paraId="5D6DB111">
            <w:pPr>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c>
          <w:tcPr>
            <w:tcW w:w="833" w:type="pct"/>
            <w:vAlign w:val="center"/>
          </w:tcPr>
          <w:p w14:paraId="3F264400">
            <w:pPr>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w:t>
            </w:r>
          </w:p>
        </w:tc>
        <w:tc>
          <w:tcPr>
            <w:tcW w:w="833" w:type="pct"/>
            <w:vAlign w:val="center"/>
          </w:tcPr>
          <w:p w14:paraId="67C63E1A">
            <w:pPr>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w:t>
            </w:r>
          </w:p>
        </w:tc>
        <w:tc>
          <w:tcPr>
            <w:tcW w:w="833" w:type="pct"/>
            <w:vAlign w:val="center"/>
          </w:tcPr>
          <w:p w14:paraId="15AD8F2D">
            <w:pPr>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 sum(B2:E2) \* MERGEFORMAT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rPr>
              <w:t>100</w:t>
            </w:r>
            <w:r>
              <w:rPr>
                <w:rFonts w:hint="eastAsia" w:ascii="仿宋_GB2312" w:hAnsi="仿宋_GB2312" w:eastAsia="仿宋_GB2312" w:cs="仿宋_GB2312"/>
                <w:sz w:val="24"/>
                <w:szCs w:val="24"/>
              </w:rPr>
              <w:fldChar w:fldCharType="end"/>
            </w:r>
          </w:p>
        </w:tc>
      </w:tr>
      <w:tr w14:paraId="4F25B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vAlign w:val="center"/>
          </w:tcPr>
          <w:p w14:paraId="053E58C1">
            <w:pPr>
              <w:spacing w:line="240" w:lineRule="auto"/>
              <w:ind w:firstLine="0" w:firstLineChars="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得分</w:t>
            </w:r>
          </w:p>
        </w:tc>
        <w:tc>
          <w:tcPr>
            <w:tcW w:w="833" w:type="pct"/>
            <w:vAlign w:val="center"/>
          </w:tcPr>
          <w:p w14:paraId="195395BF">
            <w:pPr>
              <w:spacing w:line="240" w:lineRule="auto"/>
              <w:ind w:firstLine="0" w:firstLineChars="0"/>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1</w:t>
            </w:r>
            <w:r>
              <w:rPr>
                <w:rFonts w:hint="eastAsia" w:ascii="仿宋_GB2312" w:hAnsi="仿宋_GB2312" w:cs="仿宋_GB2312"/>
                <w:sz w:val="24"/>
                <w:szCs w:val="24"/>
                <w:highlight w:val="none"/>
                <w:lang w:val="en-US" w:eastAsia="zh-CN"/>
              </w:rPr>
              <w:t>8</w:t>
            </w:r>
          </w:p>
        </w:tc>
        <w:tc>
          <w:tcPr>
            <w:tcW w:w="833" w:type="pct"/>
            <w:vAlign w:val="center"/>
          </w:tcPr>
          <w:p w14:paraId="6AE00B26">
            <w:pPr>
              <w:spacing w:line="240" w:lineRule="auto"/>
              <w:ind w:firstLine="0" w:firstLineChars="0"/>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w:t>
            </w:r>
            <w:r>
              <w:rPr>
                <w:rFonts w:hint="eastAsia" w:ascii="仿宋_GB2312" w:hAnsi="仿宋_GB2312" w:cs="仿宋_GB2312"/>
                <w:sz w:val="24"/>
                <w:szCs w:val="24"/>
                <w:highlight w:val="none"/>
                <w:lang w:val="en-US" w:eastAsia="zh-CN"/>
              </w:rPr>
              <w:t>4</w:t>
            </w:r>
          </w:p>
        </w:tc>
        <w:tc>
          <w:tcPr>
            <w:tcW w:w="833" w:type="pct"/>
            <w:vAlign w:val="center"/>
          </w:tcPr>
          <w:p w14:paraId="7496594B">
            <w:pPr>
              <w:spacing w:line="240" w:lineRule="auto"/>
              <w:ind w:firstLine="0" w:firstLineChars="0"/>
              <w:jc w:val="center"/>
              <w:rPr>
                <w:rFonts w:hint="default" w:ascii="仿宋_GB2312" w:hAnsi="仿宋_GB2312" w:eastAsia="仿宋_GB2312" w:cs="仿宋_GB2312"/>
                <w:sz w:val="24"/>
                <w:szCs w:val="24"/>
                <w:highlight w:val="none"/>
                <w:lang w:val="en-US" w:eastAsia="zh-CN"/>
              </w:rPr>
            </w:pPr>
            <w:r>
              <w:rPr>
                <w:rFonts w:hint="eastAsia" w:ascii="仿宋_GB2312" w:hAnsi="仿宋_GB2312" w:cs="仿宋_GB2312"/>
                <w:sz w:val="24"/>
                <w:szCs w:val="24"/>
                <w:highlight w:val="none"/>
                <w:lang w:val="en-US" w:eastAsia="zh-CN"/>
              </w:rPr>
              <w:t>18</w:t>
            </w:r>
          </w:p>
        </w:tc>
        <w:tc>
          <w:tcPr>
            <w:tcW w:w="833" w:type="pct"/>
            <w:vAlign w:val="center"/>
          </w:tcPr>
          <w:p w14:paraId="3456FBD8">
            <w:pPr>
              <w:spacing w:line="240" w:lineRule="auto"/>
              <w:ind w:firstLine="0" w:firstLineChars="0"/>
              <w:jc w:val="center"/>
              <w:rPr>
                <w:rFonts w:hint="default" w:ascii="仿宋_GB2312" w:hAnsi="仿宋_GB2312" w:eastAsia="仿宋_GB2312" w:cs="仿宋_GB2312"/>
                <w:sz w:val="24"/>
                <w:szCs w:val="24"/>
                <w:highlight w:val="none"/>
                <w:lang w:val="en-US" w:eastAsia="zh-CN"/>
              </w:rPr>
            </w:pPr>
            <w:r>
              <w:rPr>
                <w:rFonts w:hint="eastAsia" w:ascii="仿宋_GB2312" w:hAnsi="仿宋_GB2312" w:cs="仿宋_GB2312"/>
                <w:sz w:val="24"/>
                <w:szCs w:val="24"/>
                <w:highlight w:val="none"/>
                <w:lang w:val="en-US" w:eastAsia="zh-CN"/>
              </w:rPr>
              <w:t>16</w:t>
            </w:r>
          </w:p>
        </w:tc>
        <w:tc>
          <w:tcPr>
            <w:tcW w:w="833" w:type="pct"/>
            <w:vAlign w:val="center"/>
          </w:tcPr>
          <w:p w14:paraId="26FA0C1E">
            <w:pPr>
              <w:spacing w:line="240" w:lineRule="auto"/>
              <w:ind w:firstLine="0" w:firstLineChars="0"/>
              <w:jc w:val="center"/>
              <w:rPr>
                <w:rFonts w:hint="default" w:ascii="仿宋_GB2312" w:hAnsi="仿宋_GB2312" w:eastAsia="仿宋_GB2312" w:cs="仿宋_GB2312"/>
                <w:sz w:val="24"/>
                <w:szCs w:val="24"/>
                <w:highlight w:val="none"/>
                <w:lang w:val="en-US" w:eastAsia="zh-CN"/>
              </w:rPr>
            </w:pPr>
            <w:r>
              <w:rPr>
                <w:rFonts w:hint="eastAsia" w:ascii="仿宋_GB2312" w:hAnsi="仿宋_GB2312" w:cs="仿宋_GB2312"/>
                <w:sz w:val="24"/>
                <w:szCs w:val="24"/>
                <w:highlight w:val="none"/>
                <w:lang w:val="en-US" w:eastAsia="zh-CN"/>
              </w:rPr>
              <w:t>66</w:t>
            </w:r>
          </w:p>
        </w:tc>
      </w:tr>
      <w:tr w14:paraId="53DA8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vAlign w:val="center"/>
          </w:tcPr>
          <w:p w14:paraId="760BE7FC">
            <w:pPr>
              <w:spacing w:line="240" w:lineRule="auto"/>
              <w:ind w:firstLine="0" w:firstLineChars="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得分率</w:t>
            </w:r>
          </w:p>
        </w:tc>
        <w:tc>
          <w:tcPr>
            <w:tcW w:w="833" w:type="pct"/>
            <w:vAlign w:val="center"/>
          </w:tcPr>
          <w:p w14:paraId="3F667CEF">
            <w:pPr>
              <w:spacing w:line="240" w:lineRule="auto"/>
              <w:ind w:firstLine="0" w:firstLineChars="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9</w:t>
            </w:r>
            <w:r>
              <w:rPr>
                <w:rFonts w:hint="eastAsia" w:ascii="仿宋_GB2312" w:hAnsi="仿宋_GB2312" w:cs="仿宋_GB2312"/>
                <w:sz w:val="24"/>
                <w:szCs w:val="24"/>
                <w:highlight w:val="none"/>
                <w:lang w:val="en-US" w:eastAsia="zh-CN"/>
              </w:rPr>
              <w:t>0</w:t>
            </w:r>
            <w:r>
              <w:rPr>
                <w:rFonts w:hint="eastAsia" w:ascii="仿宋_GB2312" w:hAnsi="仿宋_GB2312" w:eastAsia="仿宋_GB2312" w:cs="仿宋_GB2312"/>
                <w:sz w:val="24"/>
                <w:szCs w:val="24"/>
                <w:highlight w:val="none"/>
              </w:rPr>
              <w:t>%</w:t>
            </w:r>
          </w:p>
        </w:tc>
        <w:tc>
          <w:tcPr>
            <w:tcW w:w="833" w:type="pct"/>
            <w:vAlign w:val="center"/>
          </w:tcPr>
          <w:p w14:paraId="084F7CB6">
            <w:pPr>
              <w:spacing w:line="240" w:lineRule="auto"/>
              <w:ind w:firstLine="0" w:firstLineChars="0"/>
              <w:jc w:val="center"/>
              <w:rPr>
                <w:rFonts w:hint="eastAsia" w:ascii="仿宋_GB2312" w:hAnsi="仿宋_GB2312" w:eastAsia="仿宋_GB2312" w:cs="仿宋_GB2312"/>
                <w:sz w:val="24"/>
                <w:szCs w:val="24"/>
                <w:highlight w:val="none"/>
              </w:rPr>
            </w:pPr>
            <w:r>
              <w:rPr>
                <w:rFonts w:hint="eastAsia" w:ascii="仿宋_GB2312" w:hAnsi="仿宋_GB2312" w:cs="仿宋_GB2312"/>
                <w:sz w:val="24"/>
                <w:szCs w:val="24"/>
                <w:highlight w:val="none"/>
                <w:lang w:val="en-US" w:eastAsia="zh-CN"/>
              </w:rPr>
              <w:t>70</w:t>
            </w:r>
            <w:r>
              <w:rPr>
                <w:rFonts w:hint="eastAsia" w:ascii="仿宋_GB2312" w:hAnsi="仿宋_GB2312" w:eastAsia="仿宋_GB2312" w:cs="仿宋_GB2312"/>
                <w:sz w:val="24"/>
                <w:szCs w:val="24"/>
                <w:highlight w:val="none"/>
              </w:rPr>
              <w:t>%</w:t>
            </w:r>
          </w:p>
        </w:tc>
        <w:tc>
          <w:tcPr>
            <w:tcW w:w="833" w:type="pct"/>
            <w:vAlign w:val="center"/>
          </w:tcPr>
          <w:p w14:paraId="77F0D2E6">
            <w:pPr>
              <w:spacing w:line="240" w:lineRule="auto"/>
              <w:ind w:firstLine="0" w:firstLineChars="0"/>
              <w:jc w:val="center"/>
              <w:rPr>
                <w:rFonts w:hint="eastAsia" w:ascii="仿宋_GB2312" w:hAnsi="仿宋_GB2312" w:eastAsia="仿宋_GB2312" w:cs="仿宋_GB2312"/>
                <w:sz w:val="24"/>
                <w:szCs w:val="24"/>
                <w:highlight w:val="none"/>
              </w:rPr>
            </w:pPr>
            <w:r>
              <w:rPr>
                <w:rFonts w:hint="eastAsia" w:ascii="仿宋_GB2312" w:hAnsi="仿宋_GB2312" w:cs="仿宋_GB2312"/>
                <w:sz w:val="24"/>
                <w:szCs w:val="24"/>
                <w:highlight w:val="none"/>
                <w:lang w:val="en-US" w:eastAsia="zh-CN"/>
              </w:rPr>
              <w:t>60</w:t>
            </w:r>
            <w:r>
              <w:rPr>
                <w:rFonts w:hint="eastAsia" w:ascii="仿宋_GB2312" w:hAnsi="仿宋_GB2312" w:eastAsia="仿宋_GB2312" w:cs="仿宋_GB2312"/>
                <w:sz w:val="24"/>
                <w:szCs w:val="24"/>
                <w:highlight w:val="none"/>
              </w:rPr>
              <w:t>%</w:t>
            </w:r>
          </w:p>
        </w:tc>
        <w:tc>
          <w:tcPr>
            <w:tcW w:w="833" w:type="pct"/>
            <w:vAlign w:val="center"/>
          </w:tcPr>
          <w:p w14:paraId="350AFDD8">
            <w:pPr>
              <w:spacing w:line="240" w:lineRule="auto"/>
              <w:ind w:firstLine="0" w:firstLineChars="0"/>
              <w:jc w:val="center"/>
              <w:rPr>
                <w:rFonts w:hint="eastAsia" w:ascii="仿宋_GB2312" w:hAnsi="仿宋_GB2312" w:eastAsia="仿宋_GB2312" w:cs="仿宋_GB2312"/>
                <w:sz w:val="24"/>
                <w:szCs w:val="24"/>
                <w:highlight w:val="none"/>
              </w:rPr>
            </w:pPr>
            <w:r>
              <w:rPr>
                <w:rFonts w:hint="eastAsia" w:ascii="仿宋_GB2312" w:hAnsi="仿宋_GB2312" w:cs="仿宋_GB2312"/>
                <w:sz w:val="24"/>
                <w:szCs w:val="24"/>
                <w:highlight w:val="none"/>
                <w:lang w:val="en-US" w:eastAsia="zh-CN"/>
              </w:rPr>
              <w:t>53.33</w:t>
            </w:r>
            <w:r>
              <w:rPr>
                <w:rFonts w:hint="eastAsia" w:ascii="仿宋_GB2312" w:hAnsi="仿宋_GB2312" w:eastAsia="仿宋_GB2312" w:cs="仿宋_GB2312"/>
                <w:sz w:val="24"/>
                <w:szCs w:val="24"/>
                <w:highlight w:val="none"/>
              </w:rPr>
              <w:t>%</w:t>
            </w:r>
          </w:p>
        </w:tc>
        <w:tc>
          <w:tcPr>
            <w:tcW w:w="833" w:type="pct"/>
            <w:vAlign w:val="center"/>
          </w:tcPr>
          <w:p w14:paraId="08DA2793">
            <w:pPr>
              <w:spacing w:line="240" w:lineRule="auto"/>
              <w:ind w:firstLine="0" w:firstLineChars="0"/>
              <w:jc w:val="center"/>
              <w:rPr>
                <w:rFonts w:hint="eastAsia" w:ascii="仿宋_GB2312" w:hAnsi="仿宋_GB2312" w:eastAsia="仿宋_GB2312" w:cs="仿宋_GB2312"/>
                <w:sz w:val="24"/>
                <w:szCs w:val="24"/>
                <w:highlight w:val="none"/>
              </w:rPr>
            </w:pPr>
            <w:r>
              <w:rPr>
                <w:rFonts w:hint="eastAsia" w:ascii="仿宋_GB2312" w:hAnsi="仿宋_GB2312" w:cs="仿宋_GB2312"/>
                <w:sz w:val="24"/>
                <w:szCs w:val="24"/>
                <w:highlight w:val="none"/>
                <w:lang w:val="en-US" w:eastAsia="zh-CN"/>
              </w:rPr>
              <w:t>66</w:t>
            </w:r>
            <w:r>
              <w:rPr>
                <w:rFonts w:hint="eastAsia" w:ascii="仿宋_GB2312" w:hAnsi="仿宋_GB2312" w:eastAsia="仿宋_GB2312" w:cs="仿宋_GB2312"/>
                <w:sz w:val="24"/>
                <w:szCs w:val="24"/>
                <w:highlight w:val="none"/>
              </w:rPr>
              <w:t>%</w:t>
            </w:r>
          </w:p>
        </w:tc>
      </w:tr>
    </w:tbl>
    <w:p w14:paraId="26DDB4A1">
      <w:pPr>
        <w:ind w:firstLine="640"/>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项目整体完成情况较好，项目立项依据充分、立项程序规范、绩效目标合理、预算编制科学、资金分配合理、资金到位率</w:t>
      </w:r>
      <w:r>
        <w:rPr>
          <w:rFonts w:hint="eastAsia" w:ascii="仿宋_GB2312" w:hAnsi="仿宋_GB2312" w:cs="仿宋_GB2312"/>
          <w:lang w:val="en-US" w:eastAsia="zh-CN"/>
        </w:rPr>
        <w:t>为100%</w:t>
      </w:r>
      <w:r>
        <w:rPr>
          <w:rFonts w:hint="eastAsia" w:ascii="仿宋_GB2312" w:hAnsi="仿宋_GB2312" w:eastAsia="仿宋_GB2312" w:cs="仿宋_GB2312"/>
          <w:lang w:val="en-US" w:eastAsia="zh-CN"/>
        </w:rPr>
        <w:t>、预算执行率</w:t>
      </w:r>
      <w:r>
        <w:rPr>
          <w:rFonts w:hint="eastAsia" w:ascii="仿宋_GB2312" w:hAnsi="仿宋_GB2312" w:cs="仿宋_GB2312"/>
          <w:lang w:val="en-US" w:eastAsia="zh-CN"/>
        </w:rPr>
        <w:t>100%</w:t>
      </w:r>
      <w:r>
        <w:rPr>
          <w:rFonts w:hint="eastAsia" w:ascii="仿宋_GB2312" w:hAnsi="仿宋_GB2312" w:eastAsia="仿宋_GB2312" w:cs="仿宋_GB2312"/>
          <w:lang w:val="en-US" w:eastAsia="zh-CN"/>
        </w:rPr>
        <w:t>、资金使用合规、管理制度</w:t>
      </w:r>
      <w:r>
        <w:rPr>
          <w:rFonts w:hint="eastAsia" w:ascii="仿宋_GB2312" w:hAnsi="仿宋_GB2312" w:cs="仿宋_GB2312"/>
          <w:lang w:val="en-US" w:eastAsia="zh-CN"/>
        </w:rPr>
        <w:t>较</w:t>
      </w:r>
      <w:r>
        <w:rPr>
          <w:rFonts w:hint="eastAsia" w:ascii="仿宋_GB2312" w:hAnsi="仿宋_GB2312" w:eastAsia="仿宋_GB2312" w:cs="仿宋_GB2312"/>
          <w:lang w:val="en-US" w:eastAsia="zh-CN"/>
        </w:rPr>
        <w:t>健全、产出数量和质量完成较好，制度执行有效</w:t>
      </w:r>
      <w:r>
        <w:rPr>
          <w:rFonts w:hint="eastAsia" w:ascii="仿宋_GB2312" w:hAnsi="仿宋_GB2312" w:cs="仿宋_GB2312"/>
          <w:lang w:val="en-US" w:eastAsia="zh-CN"/>
        </w:rPr>
        <w:t>差，</w:t>
      </w:r>
      <w:r>
        <w:rPr>
          <w:rFonts w:hint="eastAsia" w:ascii="仿宋_GB2312" w:hAnsi="仿宋_GB2312" w:eastAsia="仿宋_GB2312" w:cs="仿宋_GB2312"/>
          <w:lang w:val="en-US" w:eastAsia="zh-CN"/>
        </w:rPr>
        <w:t>项目</w:t>
      </w:r>
      <w:r>
        <w:rPr>
          <w:rFonts w:hint="eastAsia" w:ascii="仿宋_GB2312" w:hAnsi="仿宋_GB2312" w:cs="仿宋_GB2312"/>
          <w:lang w:val="en-US" w:eastAsia="zh-CN"/>
        </w:rPr>
        <w:t>完工</w:t>
      </w:r>
      <w:r>
        <w:rPr>
          <w:rFonts w:hint="eastAsia" w:ascii="仿宋_GB2312" w:hAnsi="仿宋_GB2312" w:eastAsia="仿宋_GB2312" w:cs="仿宋_GB2312"/>
          <w:lang w:val="en-US" w:eastAsia="zh-CN"/>
        </w:rPr>
        <w:t>时间和</w:t>
      </w:r>
      <w:r>
        <w:rPr>
          <w:rFonts w:hint="eastAsia" w:ascii="仿宋_GB2312" w:hAnsi="仿宋_GB2312" w:cs="仿宋_GB2312"/>
          <w:lang w:val="en-US" w:eastAsia="zh-CN"/>
        </w:rPr>
        <w:t>验收</w:t>
      </w:r>
      <w:r>
        <w:rPr>
          <w:rFonts w:hint="eastAsia" w:ascii="仿宋_GB2312" w:hAnsi="仿宋_GB2312" w:eastAsia="仿宋_GB2312" w:cs="仿宋_GB2312"/>
          <w:lang w:val="en-US" w:eastAsia="zh-CN"/>
        </w:rPr>
        <w:t>时间较差，</w:t>
      </w:r>
      <w:r>
        <w:rPr>
          <w:rFonts w:hint="eastAsia" w:ascii="仿宋_GB2312" w:hAnsi="仿宋_GB2312" w:cs="仿宋_GB2312"/>
          <w:lang w:val="en-US" w:eastAsia="zh-CN"/>
        </w:rPr>
        <w:t>但</w:t>
      </w:r>
      <w:r>
        <w:rPr>
          <w:rFonts w:hint="eastAsia" w:ascii="仿宋_GB2312" w:hAnsi="仿宋_GB2312" w:eastAsia="仿宋_GB2312" w:cs="仿宋_GB2312"/>
          <w:lang w:val="en-US" w:eastAsia="zh-CN"/>
        </w:rPr>
        <w:t>绩效指标</w:t>
      </w:r>
      <w:r>
        <w:rPr>
          <w:rFonts w:hint="eastAsia" w:ascii="仿宋_GB2312" w:hAnsi="仿宋_GB2312" w:cs="仿宋_GB2312"/>
          <w:lang w:val="en-US" w:eastAsia="zh-CN"/>
        </w:rPr>
        <w:t>不</w:t>
      </w:r>
      <w:r>
        <w:rPr>
          <w:rFonts w:hint="eastAsia" w:ascii="仿宋_GB2312" w:hAnsi="仿宋_GB2312" w:eastAsia="仿宋_GB2312" w:cs="仿宋_GB2312"/>
          <w:lang w:val="en-US" w:eastAsia="zh-CN"/>
        </w:rPr>
        <w:t>明确</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社会效益稍欠缺，原因为</w:t>
      </w:r>
      <w:r>
        <w:rPr>
          <w:rFonts w:hint="eastAsia" w:ascii="仿宋_GB2312" w:hAnsi="仿宋_GB2312" w:cs="仿宋_GB2312"/>
          <w:lang w:val="en-US" w:eastAsia="zh-CN"/>
        </w:rPr>
        <w:t>完工</w:t>
      </w:r>
      <w:r>
        <w:rPr>
          <w:rFonts w:hint="eastAsia" w:ascii="仿宋_GB2312" w:hAnsi="仿宋_GB2312" w:eastAsia="仿宋_GB2312" w:cs="仿宋_GB2312"/>
          <w:lang w:val="en-US" w:eastAsia="zh-CN"/>
        </w:rPr>
        <w:t>时间迟，施工时间长，</w:t>
      </w:r>
      <w:r>
        <w:rPr>
          <w:rFonts w:hint="eastAsia" w:ascii="仿宋_GB2312" w:hAnsi="仿宋_GB2312" w:cs="仿宋_GB2312"/>
          <w:lang w:val="en-US" w:eastAsia="zh-CN"/>
        </w:rPr>
        <w:t>工作人员</w:t>
      </w:r>
      <w:r>
        <w:rPr>
          <w:rFonts w:hint="eastAsia" w:ascii="仿宋_GB2312" w:hAnsi="仿宋_GB2312" w:eastAsia="仿宋_GB2312" w:cs="仿宋_GB2312"/>
          <w:lang w:val="en-US" w:eastAsia="zh-CN"/>
        </w:rPr>
        <w:t>满意度为</w:t>
      </w:r>
      <w:r>
        <w:rPr>
          <w:rFonts w:hint="eastAsia" w:ascii="仿宋_GB2312" w:hAnsi="仿宋_GB2312" w:cs="仿宋_GB2312"/>
          <w:lang w:val="en-US" w:eastAsia="zh-CN"/>
        </w:rPr>
        <w:t>68.69</w:t>
      </w:r>
      <w:r>
        <w:rPr>
          <w:rFonts w:hint="eastAsia" w:ascii="仿宋_GB2312" w:hAnsi="仿宋_GB2312" w:eastAsia="仿宋_GB2312" w:cs="仿宋_GB2312"/>
          <w:lang w:val="en-US" w:eastAsia="zh-CN"/>
        </w:rPr>
        <w:t>%。</w:t>
      </w:r>
    </w:p>
    <w:p w14:paraId="6D836E81">
      <w:pPr>
        <w:spacing w:beforeLines="100" w:afterLines="100"/>
        <w:ind w:firstLine="640"/>
        <w:rPr>
          <w:rFonts w:hint="eastAsia" w:ascii="黑体" w:hAnsi="黑体" w:eastAsia="黑体" w:cs="黑体"/>
          <w:kern w:val="0"/>
          <w:szCs w:val="32"/>
          <w:lang w:val="en-US" w:eastAsia="zh-CN"/>
        </w:rPr>
      </w:pPr>
      <w:r>
        <w:rPr>
          <w:rFonts w:hint="eastAsia" w:ascii="黑体" w:hAnsi="黑体" w:eastAsia="黑体" w:cs="黑体"/>
          <w:kern w:val="0"/>
          <w:szCs w:val="32"/>
        </w:rPr>
        <w:t>三、主要</w:t>
      </w:r>
      <w:r>
        <w:rPr>
          <w:rFonts w:hint="eastAsia" w:ascii="黑体" w:hAnsi="黑体" w:eastAsia="黑体" w:cs="黑体"/>
          <w:kern w:val="0"/>
          <w:szCs w:val="32"/>
          <w:lang w:val="en-US" w:eastAsia="zh-CN"/>
        </w:rPr>
        <w:t>绩效及</w:t>
      </w:r>
      <w:r>
        <w:rPr>
          <w:rFonts w:hint="eastAsia" w:ascii="黑体" w:hAnsi="黑体" w:eastAsia="黑体" w:cs="黑体"/>
          <w:kern w:val="0"/>
          <w:szCs w:val="32"/>
        </w:rPr>
        <w:t>经验</w:t>
      </w:r>
      <w:r>
        <w:rPr>
          <w:rFonts w:hint="eastAsia" w:ascii="黑体" w:hAnsi="黑体" w:eastAsia="黑体" w:cs="黑体"/>
          <w:kern w:val="0"/>
          <w:szCs w:val="32"/>
          <w:lang w:val="en-US" w:eastAsia="zh-CN"/>
        </w:rPr>
        <w:t>做法</w:t>
      </w:r>
    </w:p>
    <w:p w14:paraId="7447F797">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无</w:t>
      </w:r>
    </w:p>
    <w:p w14:paraId="6D627A8F">
      <w:pPr>
        <w:spacing w:beforeLines="100" w:afterLines="100"/>
        <w:rPr>
          <w:rFonts w:ascii="黑体" w:hAnsi="黑体" w:eastAsia="黑体" w:cs="黑体"/>
          <w:kern w:val="0"/>
          <w:szCs w:val="32"/>
        </w:rPr>
      </w:pPr>
      <w:r>
        <w:rPr>
          <w:rFonts w:hint="eastAsia" w:ascii="黑体" w:hAnsi="黑体" w:eastAsia="黑体" w:cs="黑体"/>
          <w:kern w:val="0"/>
          <w:szCs w:val="32"/>
        </w:rPr>
        <w:t>四、存在的问题及原因分析</w:t>
      </w:r>
    </w:p>
    <w:p w14:paraId="535D7EC0">
      <w:pPr>
        <w:spacing w:beforeLines="50" w:afterLines="50"/>
        <w:ind w:firstLine="643"/>
        <w:rPr>
          <w:rFonts w:hint="default" w:ascii="仿宋_GB2312" w:hAnsi="仿宋_GB2312" w:eastAsia="仿宋_GB2312" w:cs="仿宋_GB2312"/>
          <w:b/>
          <w:kern w:val="0"/>
          <w:szCs w:val="32"/>
          <w:lang w:val="en-US" w:eastAsia="zh-CN"/>
        </w:rPr>
      </w:pPr>
      <w:r>
        <w:rPr>
          <w:rFonts w:hint="eastAsia" w:ascii="仿宋_GB2312" w:hAnsi="仿宋_GB2312" w:cs="仿宋_GB2312"/>
          <w:b/>
          <w:kern w:val="0"/>
          <w:szCs w:val="32"/>
        </w:rPr>
        <w:t>（一）部分绩效指标设置不规范</w:t>
      </w:r>
    </w:p>
    <w:p w14:paraId="0666FC89">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经评价组分析资料了解，该项目绩效目标分别从产出、效益、满意度三个方面设置了绩效指标。但评价过程中发现，成本指标、社会效益指标存在细化、量化程度不足。</w:t>
      </w:r>
    </w:p>
    <w:p w14:paraId="60D36AAB">
      <w:pPr>
        <w:spacing w:beforeLines="50" w:afterLines="50"/>
        <w:ind w:firstLine="643"/>
        <w:rPr>
          <w:rFonts w:hint="default" w:ascii="仿宋_GB2312" w:hAnsi="仿宋_GB2312" w:eastAsia="仿宋_GB2312" w:cs="仿宋_GB2312"/>
          <w:b/>
          <w:kern w:val="0"/>
          <w:szCs w:val="32"/>
          <w:lang w:val="en-US" w:eastAsia="zh-CN"/>
        </w:rPr>
      </w:pPr>
      <w:r>
        <w:rPr>
          <w:rFonts w:hint="eastAsia" w:ascii="仿宋_GB2312" w:hAnsi="仿宋_GB2312" w:cs="仿宋_GB2312"/>
          <w:b/>
          <w:kern w:val="0"/>
          <w:szCs w:val="32"/>
          <w:lang w:eastAsia="zh-CN"/>
        </w:rPr>
        <w:t>（</w:t>
      </w:r>
      <w:r>
        <w:rPr>
          <w:rFonts w:hint="eastAsia" w:ascii="仿宋_GB2312" w:hAnsi="仿宋_GB2312" w:cs="仿宋_GB2312"/>
          <w:b/>
          <w:kern w:val="0"/>
          <w:szCs w:val="32"/>
          <w:lang w:val="en-US" w:eastAsia="zh-CN"/>
        </w:rPr>
        <w:t>二</w:t>
      </w:r>
      <w:r>
        <w:rPr>
          <w:rFonts w:hint="eastAsia" w:ascii="仿宋_GB2312" w:hAnsi="仿宋_GB2312" w:cs="仿宋_GB2312"/>
          <w:b/>
          <w:kern w:val="0"/>
          <w:szCs w:val="32"/>
          <w:lang w:eastAsia="zh-CN"/>
        </w:rPr>
        <w:t>）</w:t>
      </w:r>
      <w:r>
        <w:rPr>
          <w:rFonts w:hint="eastAsia" w:ascii="仿宋_GB2312" w:hAnsi="仿宋_GB2312" w:cs="仿宋_GB2312"/>
          <w:b/>
          <w:kern w:val="0"/>
          <w:szCs w:val="32"/>
          <w:lang w:val="en-US" w:eastAsia="zh-CN"/>
        </w:rPr>
        <w:t>完工不及时</w:t>
      </w:r>
    </w:p>
    <w:p w14:paraId="78AFD23B">
      <w:pPr>
        <w:spacing w:beforeLines="50" w:afterLines="50"/>
        <w:ind w:firstLine="643"/>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该项目合同规定计划开工日期为以发包人开工令为准，合同内容约定计划开工日期为2020年6月20日，计划竣工日期为2021年11月11日，工期总日历天数510天，截止绩效评价基准日尚未竣工。</w:t>
      </w:r>
    </w:p>
    <w:p w14:paraId="10523A1E">
      <w:pPr>
        <w:spacing w:beforeLines="50" w:afterLines="50"/>
        <w:ind w:firstLine="643"/>
        <w:rPr>
          <w:rFonts w:hint="default" w:ascii="仿宋_GB2312" w:hAnsi="仿宋_GB2312" w:eastAsia="仿宋_GB2312" w:cs="仿宋_GB2312"/>
          <w:b/>
          <w:kern w:val="0"/>
          <w:szCs w:val="32"/>
          <w:lang w:val="en-US" w:eastAsia="zh-CN"/>
        </w:rPr>
      </w:pPr>
      <w:r>
        <w:rPr>
          <w:rFonts w:hint="eastAsia" w:ascii="仿宋_GB2312" w:hAnsi="仿宋_GB2312" w:cs="仿宋_GB2312"/>
          <w:b/>
          <w:kern w:val="0"/>
          <w:szCs w:val="32"/>
          <w:lang w:eastAsia="zh-CN"/>
        </w:rPr>
        <w:t>（</w:t>
      </w:r>
      <w:r>
        <w:rPr>
          <w:rFonts w:hint="eastAsia" w:ascii="仿宋_GB2312" w:hAnsi="仿宋_GB2312" w:cs="仿宋_GB2312"/>
          <w:b/>
          <w:kern w:val="0"/>
          <w:szCs w:val="32"/>
          <w:lang w:val="en-US" w:eastAsia="zh-CN"/>
        </w:rPr>
        <w:t>三</w:t>
      </w:r>
      <w:r>
        <w:rPr>
          <w:rFonts w:hint="eastAsia" w:ascii="仿宋_GB2312" w:hAnsi="仿宋_GB2312" w:cs="仿宋_GB2312"/>
          <w:b/>
          <w:kern w:val="0"/>
          <w:szCs w:val="32"/>
          <w:lang w:eastAsia="zh-CN"/>
        </w:rPr>
        <w:t>）</w:t>
      </w:r>
      <w:r>
        <w:rPr>
          <w:rFonts w:hint="eastAsia" w:ascii="仿宋_GB2312" w:hAnsi="仿宋_GB2312" w:cs="仿宋_GB2312"/>
          <w:b/>
          <w:kern w:val="0"/>
          <w:szCs w:val="32"/>
          <w:lang w:val="en-US" w:eastAsia="zh-CN"/>
        </w:rPr>
        <w:t>验收不及时</w:t>
      </w:r>
    </w:p>
    <w:p w14:paraId="007223FF">
      <w:pPr>
        <w:ind w:firstLine="640"/>
        <w:rPr>
          <w:rFonts w:hint="default" w:ascii="仿宋_GB2312" w:hAnsi="仿宋_GB2312" w:eastAsia="仿宋_GB2312" w:cs="仿宋_GB2312"/>
          <w:lang w:val="en-US" w:eastAsia="zh-CN"/>
        </w:rPr>
      </w:pPr>
      <w:r>
        <w:rPr>
          <w:rFonts w:hint="eastAsia" w:ascii="仿宋_GB2312"/>
          <w:lang w:val="en-US" w:eastAsia="zh-CN"/>
        </w:rPr>
        <w:t>经评价组查阅资料，本项目截止绩效评价日项目已经完工，但尚未组织验收。</w:t>
      </w:r>
    </w:p>
    <w:p w14:paraId="408CD19A">
      <w:pPr>
        <w:spacing w:beforeLines="100" w:afterLines="100"/>
        <w:ind w:firstLine="640"/>
        <w:rPr>
          <w:rFonts w:ascii="黑体" w:hAnsi="黑体" w:eastAsia="黑体" w:cs="黑体"/>
          <w:kern w:val="0"/>
          <w:szCs w:val="32"/>
        </w:rPr>
      </w:pPr>
      <w:r>
        <w:rPr>
          <w:rFonts w:hint="eastAsia" w:ascii="黑体" w:hAnsi="黑体" w:eastAsia="黑体" w:cs="黑体"/>
          <w:kern w:val="0"/>
          <w:szCs w:val="32"/>
        </w:rPr>
        <w:t>五、建议</w:t>
      </w:r>
    </w:p>
    <w:p w14:paraId="6B915535">
      <w:pPr>
        <w:spacing w:beforeLines="50" w:afterLines="50"/>
        <w:ind w:firstLine="643"/>
        <w:rPr>
          <w:rFonts w:hint="default" w:ascii="仿宋_GB2312" w:hAnsi="仿宋_GB2312" w:eastAsia="仿宋_GB2312" w:cs="仿宋_GB2312"/>
          <w:b/>
          <w:kern w:val="0"/>
          <w:szCs w:val="32"/>
          <w:lang w:val="en-US" w:eastAsia="zh-CN"/>
        </w:rPr>
      </w:pPr>
      <w:r>
        <w:rPr>
          <w:rFonts w:hint="eastAsia" w:ascii="仿宋_GB2312" w:hAnsi="仿宋_GB2312" w:cs="仿宋_GB2312"/>
          <w:b/>
          <w:kern w:val="0"/>
          <w:szCs w:val="32"/>
        </w:rPr>
        <w:t>（一）提高绩效管理意识，合理设定、及时调整绩效目标</w:t>
      </w:r>
    </w:p>
    <w:p w14:paraId="6C0B8493">
      <w:pPr>
        <w:ind w:firstLine="640"/>
        <w:rPr>
          <w:rFonts w:hint="default" w:eastAsia="仿宋_GB2312"/>
          <w:lang w:val="en-US" w:eastAsia="zh-CN"/>
        </w:rPr>
      </w:pPr>
      <w:r>
        <w:rPr>
          <w:rFonts w:hint="default" w:eastAsia="仿宋_GB2312"/>
          <w:lang w:val="en-US" w:eastAsia="zh-CN"/>
        </w:rPr>
        <w:t xml:space="preserve">建议项目单位按照“谁申请资金、谁编制目标”的原则，根据工作特点、资金安排、年度工作要点及资源配备情况，从预期产出、预期效果和公众满意度等方面，制定出科学合理的绩效目标；将年度绩效目标进一步细化为一级指标、二级指标及三级指标，并全面分解三级指标和指标值，确保指标值设置合理，以便于绩效目标的有效实施和达到预期效果。 </w:t>
      </w:r>
    </w:p>
    <w:p w14:paraId="315E0BAB">
      <w:pPr>
        <w:ind w:firstLine="640"/>
        <w:rPr>
          <w:rFonts w:hint="default" w:eastAsia="仿宋_GB2312"/>
          <w:lang w:val="en-US" w:eastAsia="zh-CN"/>
        </w:rPr>
      </w:pPr>
      <w:r>
        <w:rPr>
          <w:rFonts w:hint="default" w:eastAsia="仿宋_GB2312"/>
          <w:lang w:val="en-US" w:eastAsia="zh-CN"/>
        </w:rPr>
        <w:t>项目单位在年初设定绩效目标后，在预算执行中，因预算调整、政策变化、突发事件等因素影响绩效目标实现的情况，应根据</w:t>
      </w:r>
      <w:r>
        <w:rPr>
          <w:rFonts w:hint="eastAsia"/>
          <w:lang w:val="en-US" w:eastAsia="zh-CN"/>
        </w:rPr>
        <w:t>相关政策</w:t>
      </w:r>
      <w:r>
        <w:rPr>
          <w:rFonts w:hint="default" w:eastAsia="仿宋_GB2312"/>
          <w:lang w:val="en-US" w:eastAsia="zh-CN"/>
        </w:rPr>
        <w:t>规定调整绩效目标，由业务主管部门提出绩效目标调整申请，按预算管理流程报批调整，及时更新，使设定的绩效目标符合项目实际情况</w:t>
      </w:r>
      <w:r>
        <w:rPr>
          <w:rFonts w:hint="eastAsia"/>
          <w:lang w:val="en-US" w:eastAsia="zh-CN"/>
        </w:rPr>
        <w:t>。</w:t>
      </w:r>
    </w:p>
    <w:p w14:paraId="1EBEB8A9">
      <w:pPr>
        <w:spacing w:beforeLines="50" w:afterLines="50"/>
        <w:ind w:firstLine="643"/>
        <w:rPr>
          <w:rFonts w:hint="default" w:ascii="仿宋_GB2312" w:hAnsi="仿宋_GB2312" w:eastAsia="仿宋_GB2312" w:cs="仿宋_GB2312"/>
          <w:b/>
          <w:kern w:val="0"/>
          <w:szCs w:val="32"/>
          <w:lang w:val="en-US" w:eastAsia="zh-CN"/>
        </w:rPr>
      </w:pPr>
      <w:r>
        <w:rPr>
          <w:rFonts w:hint="eastAsia" w:ascii="仿宋_GB2312" w:hAnsi="仿宋_GB2312" w:cs="仿宋_GB2312"/>
          <w:b/>
          <w:kern w:val="0"/>
          <w:szCs w:val="32"/>
        </w:rPr>
        <w:t>（二）</w:t>
      </w:r>
      <w:r>
        <w:rPr>
          <w:rFonts w:hint="eastAsia" w:ascii="仿宋_GB2312" w:hAnsi="仿宋_GB2312" w:cs="仿宋_GB2312"/>
          <w:b/>
          <w:kern w:val="0"/>
          <w:szCs w:val="32"/>
          <w:lang w:val="en-US" w:eastAsia="zh-CN"/>
        </w:rPr>
        <w:t>及时整改发现问题、保证如期完工</w:t>
      </w:r>
    </w:p>
    <w:p w14:paraId="11FEA6E9">
      <w:pPr>
        <w:ind w:firstLine="640"/>
        <w:rPr>
          <w:rFonts w:hint="eastAsia"/>
          <w:lang w:val="en-US" w:eastAsia="zh-CN"/>
        </w:rPr>
      </w:pPr>
      <w:r>
        <w:rPr>
          <w:rFonts w:hint="eastAsia"/>
          <w:lang w:val="en-US" w:eastAsia="zh-CN"/>
        </w:rPr>
        <w:t>建议主管单位应成立项目领导小组，专项监管项目的实施进度，定期考核，发现施工进度滞后，应及时寻找问题，解决问题，确保工程如期完工。</w:t>
      </w:r>
    </w:p>
    <w:p w14:paraId="6884F374">
      <w:pPr>
        <w:ind w:firstLine="640"/>
        <w:rPr>
          <w:rFonts w:hint="eastAsia"/>
          <w:lang w:val="en-US" w:eastAsia="zh-CN"/>
        </w:rPr>
      </w:pPr>
      <w:r>
        <w:rPr>
          <w:rFonts w:hint="eastAsia"/>
          <w:lang w:val="en-US" w:eastAsia="zh-CN"/>
        </w:rPr>
        <w:t>施工单位施工期间，应主动与主管单位、监理、设计、专业分包队伍及时沟通情况，得到各单位在工作上的支持，加大协调管理力度，结合工程实际施工情况，协调各工种或各相关专业分包队伍之间的工作配合。提供方便，为快速优质施工创造条件。</w:t>
      </w:r>
    </w:p>
    <w:p w14:paraId="32936165">
      <w:pPr>
        <w:ind w:firstLine="640"/>
        <w:rPr>
          <w:rFonts w:hint="eastAsia"/>
          <w:lang w:val="en-US" w:eastAsia="zh-CN"/>
        </w:rPr>
      </w:pPr>
      <w:r>
        <w:rPr>
          <w:rFonts w:hint="eastAsia"/>
          <w:lang w:val="en-US" w:eastAsia="zh-CN"/>
        </w:rPr>
        <w:t>加强服务，主动配合和协助业主在施工过程中涉及工程设计变更、材料供应等配套工作上的困难，及时解决工程施工过程中出现的各种问题，保证施工正常进行。虚心接受各级领导及有关主管部门的监督，并主动邀请主管职能部门领导现场指导，虚心学习，不足之处及时整改，积极预防质量通病，加快速度。</w:t>
      </w:r>
    </w:p>
    <w:p w14:paraId="7E800CC4">
      <w:pPr>
        <w:ind w:firstLine="640"/>
        <w:rPr>
          <w:rFonts w:hint="eastAsia"/>
          <w:lang w:val="en-US" w:eastAsia="zh-CN"/>
        </w:rPr>
      </w:pPr>
      <w:r>
        <w:rPr>
          <w:rFonts w:hint="eastAsia"/>
          <w:lang w:val="en-US" w:eastAsia="zh-CN"/>
        </w:rPr>
        <w:t>加大劳动力投放，组织施工素质高、技术熟练、能打硬仗的施工队伍，进行本工程的施工，合理安排作业班次，节假日不休息，力争提前工期。</w:t>
      </w:r>
    </w:p>
    <w:p w14:paraId="7AD7427B">
      <w:pPr>
        <w:numPr>
          <w:ilvl w:val="0"/>
          <w:numId w:val="1"/>
        </w:numPr>
        <w:spacing w:beforeLines="50" w:afterLines="50"/>
        <w:ind w:firstLine="643"/>
        <w:rPr>
          <w:rFonts w:hint="eastAsia" w:ascii="仿宋_GB2312" w:hAnsi="仿宋_GB2312" w:cs="仿宋_GB2312"/>
          <w:b/>
          <w:kern w:val="0"/>
          <w:szCs w:val="32"/>
          <w:lang w:val="en-US" w:eastAsia="zh-CN"/>
        </w:rPr>
      </w:pPr>
      <w:r>
        <w:rPr>
          <w:rFonts w:hint="eastAsia" w:ascii="仿宋_GB2312" w:hAnsi="仿宋_GB2312" w:cs="仿宋_GB2312"/>
          <w:b/>
          <w:kern w:val="0"/>
          <w:szCs w:val="32"/>
          <w:lang w:val="en-US" w:eastAsia="zh-CN"/>
        </w:rPr>
        <w:t>及时组织验收并投入使用</w:t>
      </w:r>
    </w:p>
    <w:p w14:paraId="62249DD9">
      <w:pPr>
        <w:numPr>
          <w:ilvl w:val="0"/>
          <w:numId w:val="0"/>
        </w:numPr>
        <w:spacing w:beforeLines="50" w:afterLines="50"/>
        <w:ind w:firstLine="640" w:firstLineChars="200"/>
        <w:rPr>
          <w:rFonts w:hint="eastAsia" w:ascii="仿宋_GB2312" w:hAnsi="Times New Roman" w:eastAsia="仿宋_GB2312" w:cs="Times New Roman"/>
          <w:kern w:val="2"/>
          <w:sz w:val="32"/>
          <w:szCs w:val="24"/>
          <w:lang w:val="en-US" w:eastAsia="zh-CN" w:bidi="ar-SA"/>
        </w:rPr>
      </w:pPr>
      <w:r>
        <w:rPr>
          <w:rFonts w:hint="eastAsia"/>
          <w:lang w:val="en-US" w:eastAsia="zh-CN"/>
        </w:rPr>
        <w:t>项目主管单位应及时组织验收，及时投入使用，改善工组人员工作环境，</w:t>
      </w:r>
      <w:r>
        <w:rPr>
          <w:rFonts w:hint="eastAsia" w:ascii="仿宋_GB2312" w:hAnsi="仿宋_GB2312" w:eastAsia="仿宋_GB2312" w:cs="仿宋_GB2312"/>
          <w:lang w:val="en-US" w:eastAsia="zh-CN"/>
        </w:rPr>
        <w:t>改善党校基础设施，促进党校办学规模的不断优化，完善县级党校领导体制，深化办学体制改革</w:t>
      </w:r>
      <w:r>
        <w:rPr>
          <w:rFonts w:hint="eastAsia" w:ascii="仿宋_GB2312" w:hAnsi="仿宋_GB2312" w:cs="仿宋_GB2312"/>
          <w:lang w:val="en-US" w:eastAsia="zh-CN"/>
        </w:rPr>
        <w:t>。</w:t>
      </w:r>
    </w:p>
    <w:p w14:paraId="0DA0DA91">
      <w:pPr>
        <w:spacing w:beforeLines="100" w:afterLines="100"/>
        <w:ind w:firstLine="640"/>
        <w:rPr>
          <w:rFonts w:ascii="黑体" w:hAnsi="黑体" w:eastAsia="黑体" w:cs="黑体"/>
          <w:kern w:val="0"/>
          <w:szCs w:val="32"/>
        </w:rPr>
      </w:pPr>
      <w:r>
        <w:rPr>
          <w:rFonts w:ascii="黑体" w:hAnsi="黑体" w:eastAsia="黑体" w:cs="黑体"/>
          <w:kern w:val="0"/>
          <w:szCs w:val="32"/>
        </w:rPr>
        <w:t>六、结果应用及建议</w:t>
      </w:r>
    </w:p>
    <w:p w14:paraId="4D567474">
      <w:pPr>
        <w:ind w:firstLine="640"/>
        <w:rPr>
          <w:rFonts w:hint="eastAsia"/>
          <w:highlight w:val="none"/>
        </w:rPr>
      </w:pPr>
      <w:r>
        <w:rPr>
          <w:rFonts w:hint="eastAsia"/>
          <w:highlight w:val="none"/>
        </w:rPr>
        <w:t>绩效评价结果应用，既是开展绩效评价工作的基本前提，亦是加强财政支出管理、增强资金绩效理念、合理配置公共资源、优化财政支出结构、强化资金管理水平、提高资金使用效益的重要手段。</w:t>
      </w:r>
    </w:p>
    <w:p w14:paraId="33F2C2FD">
      <w:pPr>
        <w:ind w:firstLine="640"/>
        <w:rPr>
          <w:rFonts w:hint="eastAsia"/>
          <w:highlight w:val="none"/>
        </w:rPr>
      </w:pPr>
      <w:r>
        <w:rPr>
          <w:rFonts w:hint="eastAsia"/>
          <w:highlight w:val="none"/>
        </w:rPr>
        <w:t>（一）建议充分运用绩效评价结果，有效发挥绩效评价作用。建议将绩效评价结果与下一年度预算资金安排挂钩。</w:t>
      </w:r>
    </w:p>
    <w:p w14:paraId="0BAF3985">
      <w:pPr>
        <w:ind w:firstLine="640"/>
        <w:rPr>
          <w:rFonts w:hint="eastAsia"/>
          <w:highlight w:val="none"/>
        </w:rPr>
      </w:pPr>
      <w:r>
        <w:rPr>
          <w:rFonts w:hint="eastAsia"/>
          <w:highlight w:val="none"/>
        </w:rPr>
        <w:t>（二）建议建立绩效评价结果反馈与整改机制。将本次绩效评价项目的绩效情况、存在问题及相关建议反馈给被评价单位，并督促其落实整改，以增强绩效评价工作的约束力。</w:t>
      </w:r>
    </w:p>
    <w:p w14:paraId="216C89CB">
      <w:pPr>
        <w:ind w:firstLine="640"/>
        <w:rPr>
          <w:rFonts w:hint="eastAsia"/>
          <w:highlight w:val="none"/>
        </w:rPr>
      </w:pPr>
      <w:r>
        <w:rPr>
          <w:rFonts w:hint="eastAsia"/>
          <w:highlight w:val="none"/>
        </w:rPr>
        <w:t>（三）建议在一定范围内通报、公示绩效评价结果。促进和增强各级财政部门、相关主管部门及社会各界对绩效评价工作重要性的认识。</w:t>
      </w:r>
    </w:p>
    <w:p w14:paraId="58D94E3F">
      <w:pPr>
        <w:ind w:firstLine="640"/>
      </w:pPr>
    </w:p>
    <w:p w14:paraId="20C989EE">
      <w:pPr>
        <w:pStyle w:val="2"/>
      </w:pPr>
    </w:p>
    <w:p w14:paraId="63CF8E15"/>
    <w:p w14:paraId="269F8E0A">
      <w:pPr>
        <w:widowControl/>
        <w:ind w:firstLine="0" w:firstLineChars="0"/>
        <w:jc w:val="center"/>
        <w:rPr>
          <w:rFonts w:hint="eastAsia" w:ascii="黑体" w:hAnsi="黑体" w:eastAsia="黑体" w:cs="黑体"/>
          <w:b w:val="0"/>
          <w:bCs w:val="0"/>
          <w:kern w:val="0"/>
          <w:sz w:val="44"/>
          <w:szCs w:val="44"/>
          <w:lang w:val="en-US" w:eastAsia="zh-CN"/>
        </w:rPr>
      </w:pPr>
    </w:p>
    <w:p w14:paraId="6F895FDE">
      <w:pPr>
        <w:widowControl/>
        <w:ind w:firstLine="0" w:firstLineChars="0"/>
        <w:jc w:val="center"/>
        <w:rPr>
          <w:rFonts w:hint="eastAsia" w:ascii="黑体" w:hAnsi="黑体" w:eastAsia="黑体" w:cs="黑体"/>
          <w:b w:val="0"/>
          <w:bCs w:val="0"/>
          <w:kern w:val="0"/>
          <w:sz w:val="44"/>
          <w:szCs w:val="44"/>
          <w:lang w:val="en-US" w:eastAsia="zh-CN"/>
        </w:rPr>
      </w:pPr>
      <w:r>
        <w:rPr>
          <w:rFonts w:hint="eastAsia" w:ascii="黑体" w:hAnsi="黑体" w:eastAsia="黑体" w:cs="黑体"/>
          <w:b w:val="0"/>
          <w:bCs w:val="0"/>
          <w:kern w:val="0"/>
          <w:sz w:val="44"/>
          <w:szCs w:val="44"/>
          <w:lang w:val="en-US" w:eastAsia="zh-CN"/>
        </w:rPr>
        <w:t>古县县委党校改扩建项目</w:t>
      </w:r>
    </w:p>
    <w:p w14:paraId="774F257D">
      <w:pPr>
        <w:widowControl/>
        <w:ind w:firstLine="0" w:firstLineChars="0"/>
        <w:jc w:val="center"/>
        <w:rPr>
          <w:rFonts w:hint="eastAsia" w:ascii="黑体" w:hAnsi="黑体" w:eastAsia="黑体" w:cs="黑体"/>
          <w:b w:val="0"/>
          <w:bCs w:val="0"/>
          <w:kern w:val="0"/>
          <w:sz w:val="44"/>
          <w:szCs w:val="44"/>
        </w:rPr>
      </w:pPr>
      <w:r>
        <w:rPr>
          <w:rFonts w:hint="eastAsia" w:ascii="黑体" w:hAnsi="黑体" w:eastAsia="黑体" w:cs="黑体"/>
          <w:b w:val="0"/>
          <w:bCs w:val="0"/>
          <w:kern w:val="0"/>
          <w:sz w:val="44"/>
          <w:szCs w:val="44"/>
        </w:rPr>
        <w:t>支出绩效评价报告</w:t>
      </w:r>
    </w:p>
    <w:p w14:paraId="6551FDEF">
      <w:pPr>
        <w:widowControl/>
        <w:ind w:firstLine="883"/>
        <w:jc w:val="center"/>
        <w:rPr>
          <w:rFonts w:ascii="仿宋_GB2312" w:hAnsi="仿宋_GB2312" w:cs="仿宋_GB2312"/>
          <w:b/>
          <w:kern w:val="0"/>
          <w:sz w:val="44"/>
          <w:szCs w:val="44"/>
        </w:rPr>
      </w:pPr>
    </w:p>
    <w:p w14:paraId="6EBC70F1">
      <w:pPr>
        <w:ind w:firstLine="640"/>
        <w:rPr>
          <w:rFonts w:hint="eastAsia" w:ascii="仿宋_GB2312"/>
        </w:rPr>
      </w:pPr>
      <w:r>
        <w:rPr>
          <w:rFonts w:hint="eastAsia" w:ascii="仿宋_GB2312"/>
        </w:rPr>
        <w:t>受</w:t>
      </w:r>
      <w:r>
        <w:rPr>
          <w:rFonts w:hint="eastAsia" w:ascii="仿宋_GB2312"/>
          <w:lang w:eastAsia="zh-CN"/>
        </w:rPr>
        <w:t>古县财政局</w:t>
      </w:r>
      <w:r>
        <w:rPr>
          <w:rFonts w:hint="eastAsia" w:ascii="仿宋_GB2312"/>
        </w:rPr>
        <w:t>委托，我公司承担</w:t>
      </w:r>
      <w:r>
        <w:rPr>
          <w:rFonts w:hint="eastAsia" w:ascii="仿宋_GB2312"/>
          <w:lang w:val="en-US" w:eastAsia="zh-CN"/>
        </w:rPr>
        <w:t>古县县委党校改扩建项目</w:t>
      </w:r>
      <w:r>
        <w:rPr>
          <w:rFonts w:hint="eastAsia" w:ascii="仿宋_GB2312"/>
        </w:rPr>
        <w:t>支出资金的绩效评价工作。根据《中共中央国务院关于全面实施预算绩效管理的意见》（中发〔2018〕34号）、《财政部关于印发&lt;项目支出绩效评价管理办法&gt;的通知》（财预〔2020〕10 号）、山西省财政厅《省级项目支出绩效评价管理办法》、《中共山西省委 山西省人民政府关于全面实施预算绩效管理的实施意见》（晋发〔2018〕39号）、《</w:t>
      </w:r>
      <w:r>
        <w:rPr>
          <w:rFonts w:hint="eastAsia" w:ascii="仿宋_GB2312"/>
          <w:lang w:eastAsia="zh-CN"/>
        </w:rPr>
        <w:t>古县财政局</w:t>
      </w:r>
      <w:r>
        <w:rPr>
          <w:rFonts w:hint="eastAsia" w:ascii="仿宋_GB2312"/>
        </w:rPr>
        <w:t>2022年预算绩效评价实施方案》的通知（</w:t>
      </w:r>
      <w:r>
        <w:rPr>
          <w:rFonts w:hint="eastAsia" w:ascii="仿宋_GB2312"/>
          <w:lang w:val="en-US" w:eastAsia="zh-CN"/>
        </w:rPr>
        <w:t>古</w:t>
      </w:r>
      <w:r>
        <w:rPr>
          <w:rFonts w:hint="eastAsia" w:ascii="仿宋_GB2312"/>
        </w:rPr>
        <w:t>财</w:t>
      </w:r>
      <w:r>
        <w:rPr>
          <w:rFonts w:hint="eastAsia" w:ascii="仿宋_GB2312"/>
          <w:lang w:val="en-US" w:eastAsia="zh-CN"/>
        </w:rPr>
        <w:t>字</w:t>
      </w:r>
      <w:r>
        <w:rPr>
          <w:rFonts w:hint="eastAsia" w:ascii="仿宋_GB2312"/>
        </w:rPr>
        <w:t>〔2022〕</w:t>
      </w:r>
      <w:r>
        <w:rPr>
          <w:rFonts w:hint="eastAsia" w:ascii="仿宋_GB2312"/>
          <w:lang w:val="en-US" w:eastAsia="zh-CN"/>
        </w:rPr>
        <w:t>27</w:t>
      </w:r>
      <w:r>
        <w:rPr>
          <w:rFonts w:hint="eastAsia" w:ascii="仿宋_GB2312"/>
        </w:rPr>
        <w:t>号）等文件，对</w:t>
      </w:r>
      <w:r>
        <w:rPr>
          <w:rFonts w:hint="eastAsia" w:ascii="仿宋_GB2312"/>
          <w:lang w:val="en-US" w:eastAsia="zh-CN"/>
        </w:rPr>
        <w:t>古县县委党校改扩建项目</w:t>
      </w:r>
      <w:r>
        <w:rPr>
          <w:rFonts w:hint="eastAsia" w:ascii="仿宋_GB2312"/>
        </w:rPr>
        <w:t>支出资金进行全面的分析和综合评价。我们本着客观、公平、公正的原则，现将绩效评价情况报告如下：</w:t>
      </w:r>
    </w:p>
    <w:p w14:paraId="790A3C22">
      <w:pPr>
        <w:pStyle w:val="3"/>
        <w:ind w:firstLine="640"/>
        <w:rPr>
          <w:rFonts w:hint="eastAsia"/>
        </w:rPr>
      </w:pPr>
      <w:bookmarkStart w:id="2" w:name="_Toc30773"/>
      <w:r>
        <w:rPr>
          <w:rFonts w:hint="eastAsia"/>
          <w:lang w:val="en-US" w:eastAsia="zh-CN"/>
        </w:rPr>
        <w:t>一、项目</w:t>
      </w:r>
      <w:r>
        <w:rPr>
          <w:rFonts w:hint="eastAsia"/>
        </w:rPr>
        <w:t>基本情况</w:t>
      </w:r>
      <w:bookmarkEnd w:id="1"/>
      <w:bookmarkEnd w:id="2"/>
      <w:bookmarkStart w:id="3" w:name="_Toc17963"/>
    </w:p>
    <w:p w14:paraId="46AEB9A3">
      <w:pPr>
        <w:pStyle w:val="4"/>
        <w:ind w:left="0" w:leftChars="0" w:firstLine="320" w:firstLineChars="100"/>
        <w:rPr>
          <w:rFonts w:hint="eastAsia" w:ascii="仿宋_GB2312"/>
          <w:lang w:val="en-US" w:eastAsia="zh-CN"/>
        </w:rPr>
      </w:pPr>
      <w:bookmarkStart w:id="4" w:name="_Toc20826"/>
      <w:r>
        <w:rPr>
          <w:rFonts w:ascii="仿宋_GB2312"/>
        </w:rPr>
        <w:t>（一）</w:t>
      </w:r>
      <w:bookmarkEnd w:id="3"/>
      <w:r>
        <w:rPr>
          <w:rFonts w:hint="eastAsia" w:ascii="仿宋_GB2312"/>
        </w:rPr>
        <w:t>项目</w:t>
      </w:r>
      <w:r>
        <w:rPr>
          <w:rFonts w:hint="eastAsia" w:ascii="仿宋_GB2312"/>
          <w:lang w:val="en-US" w:eastAsia="zh-CN"/>
        </w:rPr>
        <w:t>概况</w:t>
      </w:r>
      <w:bookmarkEnd w:id="4"/>
    </w:p>
    <w:p w14:paraId="3BE33BB4">
      <w:pPr>
        <w:keepNext/>
        <w:keepLines/>
        <w:pageBreakBefore w:val="0"/>
        <w:widowControl w:val="0"/>
        <w:kinsoku/>
        <w:wordWrap/>
        <w:overflowPunct/>
        <w:topLinePunct w:val="0"/>
        <w:autoSpaceDE/>
        <w:autoSpaceDN/>
        <w:bidi w:val="0"/>
        <w:adjustRightInd/>
        <w:snapToGrid/>
        <w:ind w:firstLine="640"/>
        <w:textAlignment w:val="auto"/>
        <w:outlineLvl w:val="9"/>
        <w:rPr>
          <w:rFonts w:hint="default" w:ascii="仿宋_GB2312" w:hAnsi="仿宋_GB2312" w:eastAsia="仿宋_GB2312" w:cs="仿宋_GB2312"/>
          <w:b/>
          <w:bCs/>
          <w:lang w:val="en-US" w:eastAsia="zh-CN"/>
        </w:rPr>
      </w:pPr>
      <w:r>
        <w:rPr>
          <w:rFonts w:hint="eastAsia" w:ascii="仿宋_GB2312" w:hAnsi="仿宋_GB2312" w:eastAsia="仿宋_GB2312" w:cs="仿宋_GB2312"/>
          <w:b/>
          <w:bCs/>
          <w:lang w:val="en-US" w:eastAsia="zh-CN"/>
        </w:rPr>
        <w:t>1.项目背景</w:t>
      </w:r>
    </w:p>
    <w:p w14:paraId="09B92DD6">
      <w:pPr>
        <w:ind w:firstLine="640"/>
        <w:rPr>
          <w:rFonts w:hint="eastAsia"/>
          <w:lang w:val="en-US" w:eastAsia="zh-CN"/>
        </w:rPr>
      </w:pPr>
      <w:r>
        <w:rPr>
          <w:rFonts w:hint="eastAsia"/>
          <w:lang w:val="en-US" w:eastAsia="zh-CN"/>
        </w:rPr>
        <w:t>2015年12月11日召开全国党校工作会议，习近平作出了重要讲话：各级党委是办党校管党校建党校的主体，党委书记是办党校管党校建党校的第一责任人。要坚持党委办党校、党委管党校、党委建党校，把党校工作纳入党的建设总体安排，研究解决党校改革发展中的重要问题，帮助党校解决实际困难。各级组织部门要做好统筹协调和服务工作，支持党校解决师资培养、基地建设、教学科研、经费保障等方面的困难和问题。</w:t>
      </w:r>
    </w:p>
    <w:p w14:paraId="2405157B">
      <w:pPr>
        <w:ind w:firstLine="640"/>
        <w:rPr>
          <w:rFonts w:hint="eastAsia"/>
          <w:lang w:val="en-US" w:eastAsia="zh-CN"/>
        </w:rPr>
      </w:pPr>
      <w:r>
        <w:rPr>
          <w:rFonts w:hint="eastAsia"/>
          <w:lang w:val="en-US" w:eastAsia="zh-CN"/>
        </w:rPr>
        <w:t>中央党校要牵头制订全国党校系统“十三五”建设和发展规划，对基础设施、教材、科研、人才队伍建设作出全面规划，切实解决基础设施落后、基础工作薄弱、基层党校脆弱的问题。要支持和鼓励基础较好的地方把县级党校办好。对基础薄弱、办学条件差的县级党校不能轻言撤并，可以走加挂市级党校分校牌子、整合资源的路子，多措并举。要加大对党校基础设施和教学设备的经费投入，健全党校经费保障机制，党校办学经费纳入本级财政预算。要加大对革命老区、民族地区、边疆地区、欠发达地区党校的经费投入，使这些地区的党校建设有一个新的发展。要建立健全质量评估评价体系，定期对各级党校办学水平进行评估和考核，促进党校系统办学水平整体提高。</w:t>
      </w:r>
    </w:p>
    <w:p w14:paraId="7EF6A5FF">
      <w:pPr>
        <w:ind w:firstLine="640"/>
        <w:rPr>
          <w:rFonts w:hint="eastAsia"/>
          <w:lang w:val="en-US" w:eastAsia="zh-CN"/>
        </w:rPr>
      </w:pPr>
      <w:r>
        <w:rPr>
          <w:rFonts w:hint="eastAsia"/>
          <w:lang w:val="en-US" w:eastAsia="zh-CN"/>
        </w:rPr>
        <w:t>临汾市古县坚持以习近平新时代中国特色社会主义思想为指导，深入贯彻习近平总书记关于党校建设的重要论述，坚持“党校姓党、实事求是、质量立校、改革创新、从严治校”的办学原则，按照有利于加强党员干部教育培训，有利于提高党员干部综合素质，有利于加强党的基层组织建设的要求，规范化建设本县党校，为推动全县经济社会高质量发展提供坚强组织保证。</w:t>
      </w:r>
    </w:p>
    <w:p w14:paraId="0EBD59F4">
      <w:pPr>
        <w:ind w:firstLine="640"/>
        <w:rPr>
          <w:rFonts w:hint="eastAsia"/>
          <w:lang w:val="en-US" w:eastAsia="zh-CN"/>
        </w:rPr>
      </w:pPr>
      <w:r>
        <w:rPr>
          <w:rFonts w:hint="eastAsia"/>
          <w:lang w:val="en-US" w:eastAsia="zh-CN"/>
        </w:rPr>
        <w:t>党校承担着党的建设理论的研究，以及对党组织和党员状况的调查研究等任务。基层党校还承担对积极分子的培训工作，党校基本是每位党员必须经理的一个培训场所。</w:t>
      </w:r>
    </w:p>
    <w:p w14:paraId="41E4435D">
      <w:pPr>
        <w:ind w:firstLine="640"/>
        <w:rPr>
          <w:rFonts w:hint="eastAsia"/>
          <w:lang w:val="en-US" w:eastAsia="zh-CN"/>
        </w:rPr>
      </w:pPr>
      <w:r>
        <w:rPr>
          <w:rFonts w:hint="eastAsia"/>
          <w:lang w:val="en-US" w:eastAsia="zh-CN"/>
        </w:rPr>
        <w:t>古县县委党校承担着550余名科技干部，220余名农村（社区）“两委”主干、近600名机关公务员的主体培训，担负着党校学历教育的重要职责，党校始建于1985年9月，受当时条件所限，入口街巷偏窄，路网系统不完整，上空电线、网线随意混乱搭接，周围环境条件极差，校内缺乏标准活动场地。功能划分严重不合理，加之建设年代久远，路面硬化多出已破损严重，排水出现较大问题。北楼为两层预制板危楼，建筑基脚、墙脚外侧地面严重沉降开裂，底层墙体多处沉降断裂，且已闲置多年；东楼为四层综合楼，用于党校办公教学和科研使用，外墙墙体出现细微裂缝，外墙砖局部脱落，建筑内部墙皮大面积脱落，屋面防水已经老化，渗漏明显，门、窗密闭性差，卫生设施老化，存在上下水跑冒滴漏现象。加之无学员宿舍、食堂，无法满足食宿一体的要求。党校现有的基础设施已无法满足新形势下党校工作的需求。</w:t>
      </w:r>
    </w:p>
    <w:p w14:paraId="09DE68A0">
      <w:pPr>
        <w:ind w:firstLine="640"/>
        <w:rPr>
          <w:rFonts w:hint="eastAsia"/>
          <w:lang w:val="en-US" w:eastAsia="zh-CN"/>
        </w:rPr>
      </w:pPr>
      <w:r>
        <w:rPr>
          <w:rFonts w:hint="eastAsia"/>
          <w:lang w:val="en-US" w:eastAsia="zh-CN"/>
        </w:rPr>
        <w:t>为彻底改善党校基础设施老化滞后不适应发展需要的问题，顺利通过全省验收，完善县级党校领导体制，深化办学体制改革，加大基层党员干部培训力度，提高党校教学水平，改善办学条件，对党校的改扩建是非常必要的。</w:t>
      </w:r>
    </w:p>
    <w:p w14:paraId="0D92E73C">
      <w:pPr>
        <w:keepNext/>
        <w:keepLines/>
        <w:pageBreakBefore w:val="0"/>
        <w:widowControl w:val="0"/>
        <w:kinsoku/>
        <w:wordWrap/>
        <w:overflowPunct/>
        <w:topLinePunct w:val="0"/>
        <w:autoSpaceDE/>
        <w:autoSpaceDN/>
        <w:bidi w:val="0"/>
        <w:adjustRightInd/>
        <w:snapToGrid/>
        <w:ind w:firstLine="640"/>
        <w:textAlignment w:val="auto"/>
        <w:outlineLvl w:val="9"/>
        <w:rPr>
          <w:rFonts w:hint="eastAsia" w:ascii="仿宋_GB2312" w:hAnsi="仿宋_GB2312" w:eastAsia="仿宋_GB2312" w:cs="仿宋_GB2312"/>
          <w:b/>
          <w:bCs/>
          <w:lang w:val="en-US" w:eastAsia="zh-CN"/>
        </w:rPr>
      </w:pPr>
      <w:bookmarkStart w:id="5" w:name="_Toc75440691"/>
      <w:bookmarkStart w:id="6" w:name="_Toc11107"/>
      <w:bookmarkStart w:id="7" w:name="_Toc1880"/>
      <w:r>
        <w:rPr>
          <w:rFonts w:hint="eastAsia" w:ascii="仿宋_GB2312" w:hAnsi="仿宋_GB2312" w:eastAsia="仿宋_GB2312" w:cs="仿宋_GB2312"/>
          <w:b/>
          <w:bCs/>
          <w:lang w:val="en-US" w:eastAsia="zh-CN"/>
        </w:rPr>
        <w:t>2.立项依据</w:t>
      </w:r>
      <w:bookmarkEnd w:id="5"/>
    </w:p>
    <w:p w14:paraId="23872587">
      <w:pPr>
        <w:numPr>
          <w:ilvl w:val="0"/>
          <w:numId w:val="0"/>
        </w:numPr>
        <w:ind w:firstLine="640" w:firstLineChars="200"/>
      </w:pPr>
      <w:r>
        <w:rPr>
          <w:rFonts w:hint="eastAsia"/>
        </w:rPr>
        <w:t>本项目的立项依据包括但不限于：</w:t>
      </w:r>
    </w:p>
    <w:p w14:paraId="3DAB68ED">
      <w:pPr>
        <w:numPr>
          <w:ilvl w:val="0"/>
          <w:numId w:val="2"/>
        </w:numPr>
        <w:ind w:firstLine="640"/>
      </w:pPr>
      <w:r>
        <w:t>《</w:t>
      </w:r>
      <w:r>
        <w:rPr>
          <w:rFonts w:hint="eastAsia"/>
          <w:lang w:val="en-US" w:eastAsia="zh-CN"/>
        </w:rPr>
        <w:t>中国共产党党校工作</w:t>
      </w:r>
      <w:r>
        <w:t>条例》(</w:t>
      </w:r>
      <w:r>
        <w:rPr>
          <w:rFonts w:hint="eastAsia"/>
          <w:lang w:val="en-US" w:eastAsia="zh-CN"/>
        </w:rPr>
        <w:t>中发</w:t>
      </w:r>
      <w:r>
        <w:t>〔</w:t>
      </w:r>
      <w:r>
        <w:rPr>
          <w:rFonts w:hint="eastAsia"/>
          <w:lang w:val="en-US" w:eastAsia="zh-CN"/>
        </w:rPr>
        <w:t>2008</w:t>
      </w:r>
      <w:r>
        <w:t>〕</w:t>
      </w:r>
      <w:r>
        <w:rPr>
          <w:rFonts w:hint="eastAsia"/>
          <w:lang w:val="en-US" w:eastAsia="zh-CN"/>
        </w:rPr>
        <w:t>13</w:t>
      </w:r>
      <w:r>
        <w:t>号)</w:t>
      </w:r>
      <w:r>
        <w:rPr>
          <w:rFonts w:hint="eastAsia"/>
        </w:rPr>
        <w:t>;</w:t>
      </w:r>
    </w:p>
    <w:p w14:paraId="12B5E28B">
      <w:pPr>
        <w:numPr>
          <w:ilvl w:val="0"/>
          <w:numId w:val="2"/>
        </w:numPr>
        <w:ind w:firstLine="640"/>
      </w:pPr>
      <w:r>
        <w:rPr>
          <w:rFonts w:hint="eastAsia"/>
        </w:rPr>
        <w:t>《</w:t>
      </w:r>
      <w:r>
        <w:rPr>
          <w:rFonts w:hint="eastAsia"/>
          <w:lang w:val="en-US" w:eastAsia="zh-CN"/>
        </w:rPr>
        <w:t>关于加强和改进新形势下党校工作的实施意见</w:t>
      </w:r>
      <w:r>
        <w:rPr>
          <w:rFonts w:hint="eastAsia"/>
        </w:rPr>
        <w:t>》</w:t>
      </w:r>
      <w:r>
        <w:t>(</w:t>
      </w:r>
      <w:r>
        <w:rPr>
          <w:rFonts w:hint="eastAsia"/>
          <w:lang w:val="en-US" w:eastAsia="zh-CN"/>
        </w:rPr>
        <w:t>临发</w:t>
      </w:r>
      <w:r>
        <w:t>〔</w:t>
      </w:r>
      <w:r>
        <w:rPr>
          <w:rFonts w:hint="eastAsia"/>
          <w:lang w:val="en-US" w:eastAsia="zh-CN"/>
        </w:rPr>
        <w:t>2016</w:t>
      </w:r>
      <w:r>
        <w:t>〕</w:t>
      </w:r>
      <w:r>
        <w:rPr>
          <w:rFonts w:hint="eastAsia"/>
          <w:lang w:val="en-US" w:eastAsia="zh-CN"/>
        </w:rPr>
        <w:t>23</w:t>
      </w:r>
      <w:r>
        <w:t>号)</w:t>
      </w:r>
      <w:r>
        <w:rPr>
          <w:rFonts w:hint="eastAsia"/>
        </w:rPr>
        <w:t>；</w:t>
      </w:r>
    </w:p>
    <w:p w14:paraId="7E6AA30A">
      <w:pPr>
        <w:numPr>
          <w:ilvl w:val="0"/>
          <w:numId w:val="2"/>
        </w:numPr>
        <w:ind w:firstLine="640"/>
        <w:rPr>
          <w:rFonts w:hint="eastAsia"/>
        </w:rPr>
      </w:pPr>
      <w:r>
        <w:rPr>
          <w:rFonts w:hint="eastAsia"/>
        </w:rPr>
        <w:t>《</w:t>
      </w:r>
      <w:r>
        <w:rPr>
          <w:rFonts w:hint="eastAsia"/>
          <w:lang w:val="en-US" w:eastAsia="zh-CN"/>
        </w:rPr>
        <w:t>关于加强全市县党级党校工作的实施意见</w:t>
      </w:r>
      <w:r>
        <w:rPr>
          <w:rFonts w:hint="eastAsia"/>
        </w:rPr>
        <w:t>》</w:t>
      </w:r>
      <w:r>
        <w:t>(</w:t>
      </w:r>
      <w:r>
        <w:rPr>
          <w:rFonts w:hint="eastAsia"/>
          <w:lang w:val="en-US" w:eastAsia="zh-CN"/>
        </w:rPr>
        <w:t>临办发</w:t>
      </w:r>
      <w:r>
        <w:t>〔</w:t>
      </w:r>
      <w:r>
        <w:rPr>
          <w:rFonts w:hint="eastAsia"/>
          <w:lang w:val="en-US" w:eastAsia="zh-CN"/>
        </w:rPr>
        <w:t>2013</w:t>
      </w:r>
      <w:r>
        <w:t>〕</w:t>
      </w:r>
      <w:r>
        <w:rPr>
          <w:rFonts w:hint="eastAsia"/>
          <w:lang w:val="en-US" w:eastAsia="zh-CN"/>
        </w:rPr>
        <w:t>8</w:t>
      </w:r>
      <w:r>
        <w:t>号)</w:t>
      </w:r>
      <w:r>
        <w:rPr>
          <w:rFonts w:hint="eastAsia"/>
        </w:rPr>
        <w:t>；</w:t>
      </w:r>
    </w:p>
    <w:p w14:paraId="2990BC70">
      <w:pPr>
        <w:numPr>
          <w:ilvl w:val="0"/>
          <w:numId w:val="2"/>
        </w:numPr>
        <w:ind w:firstLine="640"/>
      </w:pPr>
      <w:r>
        <w:rPr>
          <w:rFonts w:hint="eastAsia"/>
        </w:rPr>
        <w:t>《</w:t>
      </w:r>
      <w:r>
        <w:rPr>
          <w:rFonts w:hint="eastAsia"/>
          <w:lang w:val="en-US" w:eastAsia="zh-CN"/>
        </w:rPr>
        <w:t>贯彻&lt;中共中央关于面向21世纪加强和改进党校工作的决定&gt;的实施意见</w:t>
      </w:r>
      <w:r>
        <w:rPr>
          <w:rFonts w:hint="eastAsia"/>
        </w:rPr>
        <w:t>》(晋发〔</w:t>
      </w:r>
      <w:r>
        <w:rPr>
          <w:rFonts w:hint="eastAsia"/>
          <w:lang w:val="en-US" w:eastAsia="zh-CN"/>
        </w:rPr>
        <w:t>2001</w:t>
      </w:r>
      <w:r>
        <w:rPr>
          <w:rFonts w:hint="eastAsia"/>
        </w:rPr>
        <w:t>〕</w:t>
      </w:r>
      <w:r>
        <w:rPr>
          <w:rFonts w:hint="eastAsia"/>
          <w:lang w:val="en-US" w:eastAsia="zh-CN"/>
        </w:rPr>
        <w:t>10</w:t>
      </w:r>
      <w:r>
        <w:rPr>
          <w:rFonts w:hint="eastAsia"/>
        </w:rPr>
        <w:t>号)；</w:t>
      </w:r>
    </w:p>
    <w:p w14:paraId="2A5AD929">
      <w:pPr>
        <w:numPr>
          <w:ilvl w:val="0"/>
          <w:numId w:val="2"/>
        </w:numPr>
        <w:ind w:firstLine="640"/>
        <w:rPr>
          <w:rFonts w:hint="eastAsia"/>
          <w:lang w:eastAsia="zh-CN"/>
        </w:rPr>
      </w:pPr>
      <w:r>
        <w:rPr>
          <w:rFonts w:hint="eastAsia"/>
        </w:rPr>
        <w:t>《</w:t>
      </w:r>
      <w:r>
        <w:rPr>
          <w:rFonts w:hint="eastAsia"/>
          <w:lang w:val="en-US" w:eastAsia="zh-CN"/>
        </w:rPr>
        <w:t>中共古县县委党校改扩建项目实施方案会议纪要</w:t>
      </w:r>
      <w:r>
        <w:rPr>
          <w:rFonts w:hint="eastAsia"/>
        </w:rPr>
        <w:t>》</w:t>
      </w:r>
      <w:r>
        <w:rPr>
          <w:rFonts w:hint="eastAsia"/>
          <w:lang w:val="en-US" w:eastAsia="zh-CN"/>
        </w:rPr>
        <w:t>2019年5月13日</w:t>
      </w:r>
      <w:r>
        <w:rPr>
          <w:rFonts w:hint="eastAsia"/>
          <w:lang w:eastAsia="zh-CN"/>
        </w:rPr>
        <w:t>；</w:t>
      </w:r>
    </w:p>
    <w:p w14:paraId="57F15C7B">
      <w:pPr>
        <w:numPr>
          <w:ilvl w:val="0"/>
          <w:numId w:val="2"/>
        </w:numPr>
        <w:ind w:firstLine="640"/>
        <w:rPr>
          <w:rFonts w:hint="eastAsia"/>
          <w:lang w:eastAsia="zh-CN"/>
        </w:rPr>
      </w:pPr>
      <w:r>
        <w:rPr>
          <w:rFonts w:hint="eastAsia"/>
          <w:lang w:eastAsia="zh-CN"/>
        </w:rPr>
        <w:t>《</w:t>
      </w:r>
      <w:r>
        <w:rPr>
          <w:rFonts w:hint="eastAsia"/>
          <w:lang w:val="en-US" w:eastAsia="zh-CN"/>
        </w:rPr>
        <w:t>关于中共古县县委党校改扩建项目可行性研究报告的批复</w:t>
      </w:r>
      <w:r>
        <w:rPr>
          <w:rFonts w:hint="eastAsia"/>
          <w:lang w:eastAsia="zh-CN"/>
        </w:rPr>
        <w:t>》</w:t>
      </w:r>
      <w:r>
        <w:rPr>
          <w:rFonts w:hint="eastAsia"/>
        </w:rPr>
        <w:t>（</w:t>
      </w:r>
      <w:r>
        <w:rPr>
          <w:rFonts w:hint="eastAsia"/>
          <w:lang w:val="en-US" w:eastAsia="zh-CN"/>
        </w:rPr>
        <w:t>古发改审批</w:t>
      </w:r>
      <w:r>
        <w:rPr>
          <w:rFonts w:hint="eastAsia"/>
        </w:rPr>
        <w:t>〔</w:t>
      </w:r>
      <w:r>
        <w:rPr>
          <w:rFonts w:hint="eastAsia"/>
          <w:lang w:val="en-US" w:eastAsia="zh-CN"/>
        </w:rPr>
        <w:t>2019</w:t>
      </w:r>
      <w:r>
        <w:rPr>
          <w:rFonts w:hint="eastAsia"/>
        </w:rPr>
        <w:t>〕</w:t>
      </w:r>
      <w:r>
        <w:rPr>
          <w:rFonts w:hint="eastAsia"/>
          <w:lang w:val="en-US" w:eastAsia="zh-CN"/>
        </w:rPr>
        <w:t>1</w:t>
      </w:r>
      <w:r>
        <w:rPr>
          <w:rFonts w:hint="eastAsia"/>
        </w:rPr>
        <w:t>2号）；</w:t>
      </w:r>
    </w:p>
    <w:p w14:paraId="507E10AA">
      <w:pPr>
        <w:numPr>
          <w:ilvl w:val="0"/>
          <w:numId w:val="2"/>
        </w:numPr>
        <w:ind w:firstLine="640"/>
      </w:pPr>
      <w:r>
        <w:rPr>
          <w:rFonts w:hint="eastAsia"/>
        </w:rPr>
        <w:t>《</w:t>
      </w:r>
      <w:r>
        <w:rPr>
          <w:rFonts w:hint="eastAsia"/>
          <w:lang w:eastAsia="zh-CN"/>
        </w:rPr>
        <w:t>古县县委党校改扩建</w:t>
      </w:r>
      <w:r>
        <w:rPr>
          <w:rFonts w:hint="eastAsia"/>
        </w:rPr>
        <w:t>工作方案》</w:t>
      </w:r>
      <w:r>
        <w:rPr>
          <w:rFonts w:hint="eastAsia"/>
          <w:lang w:val="en-US" w:eastAsia="zh-CN"/>
        </w:rPr>
        <w:t>2019年4月</w:t>
      </w:r>
      <w:r>
        <w:rPr>
          <w:rFonts w:hint="eastAsia"/>
        </w:rPr>
        <w:t>；</w:t>
      </w:r>
    </w:p>
    <w:p w14:paraId="5E9F2FB1">
      <w:pPr>
        <w:numPr>
          <w:ilvl w:val="0"/>
          <w:numId w:val="2"/>
        </w:numPr>
        <w:ind w:firstLine="640"/>
      </w:pPr>
      <w:r>
        <w:rPr>
          <w:rFonts w:hint="eastAsia"/>
        </w:rPr>
        <w:t>国家相关法律、法规、政策。</w:t>
      </w:r>
    </w:p>
    <w:p w14:paraId="353ECC31">
      <w:pPr>
        <w:keepNext/>
        <w:keepLines/>
        <w:pageBreakBefore w:val="0"/>
        <w:widowControl w:val="0"/>
        <w:kinsoku/>
        <w:wordWrap/>
        <w:overflowPunct/>
        <w:topLinePunct w:val="0"/>
        <w:autoSpaceDE/>
        <w:autoSpaceDN/>
        <w:bidi w:val="0"/>
        <w:adjustRightInd/>
        <w:snapToGrid/>
        <w:ind w:left="0" w:leftChars="0" w:firstLine="643" w:firstLineChars="200"/>
        <w:textAlignment w:val="auto"/>
        <w:outlineLvl w:val="9"/>
        <w:rPr>
          <w:rFonts w:hint="eastAsia" w:ascii="仿宋_GB2312" w:hAnsi="仿宋_GB2312" w:eastAsia="仿宋_GB2312" w:cs="仿宋_GB2312"/>
          <w:b/>
          <w:bCs/>
          <w:lang w:val="en-US" w:eastAsia="zh-CN"/>
        </w:rPr>
      </w:pPr>
      <w:r>
        <w:rPr>
          <w:rFonts w:hint="eastAsia" w:ascii="仿宋_GB2312" w:hAnsi="仿宋_GB2312" w:eastAsia="仿宋_GB2312" w:cs="仿宋_GB2312"/>
          <w:b/>
          <w:bCs/>
          <w:lang w:val="en-US" w:eastAsia="zh-CN"/>
        </w:rPr>
        <w:t>3.项目内容和实施方式</w:t>
      </w:r>
    </w:p>
    <w:bookmarkEnd w:id="6"/>
    <w:bookmarkEnd w:id="7"/>
    <w:p w14:paraId="0D854142">
      <w:pPr>
        <w:ind w:firstLine="640"/>
        <w:rPr>
          <w:rFonts w:hint="eastAsia" w:ascii="仿宋_GB2312" w:hAnsi="仿宋_GB2312" w:eastAsia="仿宋_GB2312" w:cs="仿宋_GB2312"/>
          <w:lang w:val="en-US" w:eastAsia="zh-CN"/>
        </w:rPr>
      </w:pPr>
      <w:bookmarkStart w:id="8" w:name="_Toc75440693"/>
      <w:bookmarkStart w:id="9" w:name="_Toc23383"/>
      <w:bookmarkStart w:id="10" w:name="_Toc13908"/>
      <w:bookmarkStart w:id="11" w:name="_Toc13148"/>
      <w:r>
        <w:rPr>
          <w:rFonts w:hint="eastAsia" w:ascii="仿宋_GB2312" w:hAnsi="仿宋_GB2312" w:eastAsia="仿宋_GB2312" w:cs="仿宋_GB2312"/>
          <w:lang w:val="en-US" w:eastAsia="zh-CN"/>
        </w:rPr>
        <w:t xml:space="preserve">依据古县县委党校制定《古县县委党校改扩建项目实施方案》，项目建设内容和实施方式为： </w:t>
      </w:r>
    </w:p>
    <w:p w14:paraId="2288553C">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建设内容：</w:t>
      </w:r>
    </w:p>
    <w:p w14:paraId="3EF9519A">
      <w:pPr>
        <w:ind w:firstLine="640"/>
        <w:rPr>
          <w:rFonts w:hint="eastAsia" w:ascii="仿宋_GB2312" w:hAnsi="仿宋_GB2312" w:eastAsia="仿宋_GB2312" w:cs="仿宋_GB2312"/>
          <w:lang w:val="en-US" w:eastAsia="zh-CN"/>
        </w:rPr>
      </w:pPr>
      <w:r>
        <w:rPr>
          <w:rFonts w:hint="eastAsia" w:ascii="仿宋_GB2312" w:hAnsi="仿宋_GB2312" w:cs="仿宋_GB2312"/>
          <w:lang w:val="en-US" w:eastAsia="zh-CN"/>
        </w:rPr>
        <w:t>（1）</w:t>
      </w:r>
      <w:r>
        <w:rPr>
          <w:rFonts w:hint="eastAsia" w:ascii="仿宋_GB2312" w:hAnsi="仿宋_GB2312" w:eastAsia="仿宋_GB2312" w:cs="仿宋_GB2312"/>
          <w:lang w:val="en-US" w:eastAsia="zh-CN"/>
        </w:rPr>
        <w:t>拆除工程</w:t>
      </w:r>
    </w:p>
    <w:p w14:paraId="70434EAB">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将党校内北侧二楼拆除，拆除面积402.87平方米，紧邻党校的四户居民住宅拆除。</w:t>
      </w:r>
    </w:p>
    <w:p w14:paraId="3A175949">
      <w:pPr>
        <w:ind w:firstLine="640"/>
        <w:rPr>
          <w:rFonts w:hint="eastAsia" w:ascii="仿宋_GB2312" w:hAnsi="仿宋_GB2312" w:eastAsia="仿宋_GB2312" w:cs="仿宋_GB2312"/>
          <w:lang w:val="en-US" w:eastAsia="zh-CN"/>
        </w:rPr>
      </w:pPr>
      <w:r>
        <w:rPr>
          <w:rFonts w:hint="eastAsia" w:ascii="仿宋_GB2312" w:hAnsi="仿宋_GB2312" w:cs="仿宋_GB2312"/>
          <w:lang w:val="en-US" w:eastAsia="zh-CN"/>
        </w:rPr>
        <w:t>（2）</w:t>
      </w:r>
      <w:r>
        <w:rPr>
          <w:rFonts w:hint="eastAsia" w:ascii="仿宋_GB2312" w:hAnsi="仿宋_GB2312" w:eastAsia="仿宋_GB2312" w:cs="仿宋_GB2312"/>
          <w:lang w:val="en-US" w:eastAsia="zh-CN"/>
        </w:rPr>
        <w:t>新建工程：</w:t>
      </w:r>
    </w:p>
    <w:p w14:paraId="1BE6ACAF">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综合教学楼:拆除北侧二层楼及四户居民住宅后，原址新建综合教学楼一栋，建筑面积3624平方米，六层，框架结构。其中:一层功能主要为多功能厅、文体室、档案室;二层功能主要为多功能厅、报告厅、图书室、阅览室;三至五层主要功能为教学辅助用房;六层主要功能为容纳200人的大会议室。</w:t>
      </w:r>
    </w:p>
    <w:p w14:paraId="3B5D12F4">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大门:大门位于党校北侧，紧临龙泉街，为成品自动伸缩门，东、西两侧均设门卫室。</w:t>
      </w:r>
    </w:p>
    <w:p w14:paraId="0BE7AD13">
      <w:pPr>
        <w:ind w:firstLine="640"/>
        <w:rPr>
          <w:rFonts w:hint="eastAsia" w:ascii="仿宋_GB2312" w:hAnsi="仿宋_GB2312" w:eastAsia="仿宋_GB2312" w:cs="仿宋_GB2312"/>
          <w:lang w:val="en-US" w:eastAsia="zh-CN"/>
        </w:rPr>
      </w:pPr>
      <w:r>
        <w:rPr>
          <w:rFonts w:hint="eastAsia" w:ascii="仿宋_GB2312" w:hAnsi="仿宋_GB2312" w:cs="仿宋_GB2312"/>
          <w:lang w:val="en-US" w:eastAsia="zh-CN"/>
        </w:rPr>
        <w:t>（3）</w:t>
      </w:r>
      <w:r>
        <w:rPr>
          <w:rFonts w:hint="eastAsia" w:ascii="仿宋_GB2312" w:hAnsi="仿宋_GB2312" w:eastAsia="仿宋_GB2312" w:cs="仿宋_GB2312"/>
          <w:lang w:val="en-US" w:eastAsia="zh-CN"/>
        </w:rPr>
        <w:t>改建工程</w:t>
      </w:r>
    </w:p>
    <w:p w14:paraId="551E6570">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综合办公楼:建筑面积2053.96平方米，四层。经检测、加固后进行屋顶、外墙改造，并将室内外重新装修。</w:t>
      </w:r>
    </w:p>
    <w:p w14:paraId="35A6E7F0">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学员宿舍(原二中学生宿舍楼):建筑面积3303平方米，五层。经检测、加固后进行屋顶、外墙改造，开间内设独立卫生间，并将室内外重新装修。</w:t>
      </w:r>
    </w:p>
    <w:p w14:paraId="706FA0C5">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阶梯教室及食堂:建筑面积分别为277.17平方米、1312平方米，均为一层，根据检测结果，视需要进行改造、装修。</w:t>
      </w:r>
    </w:p>
    <w:p w14:paraId="7151CC10">
      <w:pPr>
        <w:ind w:firstLine="640"/>
        <w:rPr>
          <w:rFonts w:hint="eastAsia" w:ascii="仿宋_GB2312" w:hAnsi="仿宋_GB2312" w:eastAsia="仿宋_GB2312" w:cs="仿宋_GB2312"/>
          <w:lang w:val="en-US" w:eastAsia="zh-CN"/>
        </w:rPr>
      </w:pPr>
      <w:r>
        <w:rPr>
          <w:rFonts w:hint="eastAsia" w:ascii="仿宋_GB2312" w:hAnsi="仿宋_GB2312" w:cs="仿宋_GB2312"/>
          <w:lang w:val="en-US" w:eastAsia="zh-CN"/>
        </w:rPr>
        <w:t>（4）</w:t>
      </w:r>
      <w:r>
        <w:rPr>
          <w:rFonts w:hint="eastAsia" w:ascii="仿宋_GB2312" w:hAnsi="仿宋_GB2312" w:eastAsia="仿宋_GB2312" w:cs="仿宋_GB2312"/>
          <w:lang w:val="en-US" w:eastAsia="zh-CN"/>
        </w:rPr>
        <w:t xml:space="preserve">附属工程 </w:t>
      </w:r>
    </w:p>
    <w:p w14:paraId="15BDD16A">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道路、绿化、停车位以及室外公用配套等工程的建设。党校经改扩建后，占地20亩，校内综合教学楼、办公楼、学员宿舍、食堂及阶梯教室五个单体建筑可满足200人的干部教育封闭教学使用。</w:t>
      </w:r>
    </w:p>
    <w:p w14:paraId="61945691">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实施方式：</w:t>
      </w:r>
    </w:p>
    <w:p w14:paraId="4FD1DD70">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为保证项目有效实施，成立建设领导小组，负责全面的协调工作。领导组下设具体办事机构 ，负责具体事项的运作。保障措施如下;</w:t>
      </w:r>
    </w:p>
    <w:p w14:paraId="5C4ADD48">
      <w:pPr>
        <w:ind w:firstLine="640"/>
        <w:rPr>
          <w:rFonts w:hint="eastAsia" w:ascii="仿宋_GB2312" w:hAnsi="仿宋_GB2312" w:eastAsia="仿宋_GB2312" w:cs="仿宋_GB2312"/>
          <w:lang w:val="en-US" w:eastAsia="zh-CN"/>
        </w:rPr>
      </w:pPr>
      <w:r>
        <w:rPr>
          <w:rFonts w:hint="eastAsia" w:ascii="仿宋_GB2312" w:hAnsi="仿宋_GB2312" w:cs="仿宋_GB2312"/>
          <w:lang w:val="en-US" w:eastAsia="zh-CN"/>
        </w:rPr>
        <w:t>（1）</w:t>
      </w:r>
      <w:r>
        <w:rPr>
          <w:rFonts w:hint="eastAsia" w:ascii="仿宋_GB2312" w:hAnsi="仿宋_GB2312" w:eastAsia="仿宋_GB2312" w:cs="仿宋_GB2312"/>
          <w:lang w:val="en-US" w:eastAsia="zh-CN"/>
        </w:rPr>
        <w:t>建设单位应严格按照国家对工程项目建设管理的有关规定和程序，开展施工建设。严格执行“四大制度”，即:项目法人制、合同制、招投标制和工程监理制，确保工程质量和进度。</w:t>
      </w:r>
    </w:p>
    <w:p w14:paraId="7E933634">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①实行项目法人责任制。项目法人对项目的前期准备、实施过程的管理工作负全部责任。</w:t>
      </w:r>
    </w:p>
    <w:p w14:paraId="75907D0B">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②实行合同制。项目单位应当强化对参建单位的合同管理，明确违约条款和处罚措施，并通过行政和司法渠道保证参建单位严格履行合同约定。</w:t>
      </w:r>
    </w:p>
    <w:p w14:paraId="563FBEF6">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③实行招投标制。由项目单位负责组织公开招标，确定参建单位或者项目管理单位。</w:t>
      </w:r>
    </w:p>
    <w:p w14:paraId="0722784C">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④实行工程监理制。项目单位委托具有相应监理资质的监理单位，对工程建设的进度、质量、投资实施全过程的控制。</w:t>
      </w:r>
    </w:p>
    <w:p w14:paraId="299546E7">
      <w:pPr>
        <w:ind w:firstLine="640"/>
        <w:rPr>
          <w:rFonts w:hint="eastAsia" w:ascii="仿宋_GB2312" w:hAnsi="仿宋_GB2312" w:eastAsia="仿宋_GB2312" w:cs="仿宋_GB2312"/>
          <w:lang w:val="en-US" w:eastAsia="zh-CN"/>
        </w:rPr>
      </w:pPr>
      <w:r>
        <w:rPr>
          <w:rFonts w:hint="eastAsia" w:ascii="仿宋_GB2312" w:hAnsi="仿宋_GB2312" w:cs="仿宋_GB2312"/>
          <w:lang w:val="en-US" w:eastAsia="zh-CN"/>
        </w:rPr>
        <w:t>（2）</w:t>
      </w:r>
      <w:r>
        <w:rPr>
          <w:rFonts w:hint="eastAsia" w:ascii="仿宋_GB2312" w:hAnsi="仿宋_GB2312" w:eastAsia="仿宋_GB2312" w:cs="仿宋_GB2312"/>
          <w:lang w:val="en-US" w:eastAsia="zh-CN"/>
        </w:rPr>
        <w:t>在项目实施全过程中，建设单位应积极配合有关部门。单位抓好工程质量、生产安全和各项监督、检查工作，确保工程顺利进行。</w:t>
      </w:r>
    </w:p>
    <w:p w14:paraId="29792237">
      <w:pPr>
        <w:ind w:firstLine="640"/>
        <w:rPr>
          <w:rFonts w:hint="eastAsia" w:ascii="仿宋_GB2312" w:hAnsi="仿宋_GB2312" w:eastAsia="仿宋_GB2312" w:cs="仿宋_GB2312"/>
          <w:lang w:val="en-US" w:eastAsia="zh-CN"/>
        </w:rPr>
      </w:pPr>
      <w:r>
        <w:rPr>
          <w:rFonts w:hint="eastAsia" w:ascii="仿宋_GB2312" w:hAnsi="仿宋_GB2312" w:cs="仿宋_GB2312"/>
          <w:lang w:val="en-US" w:eastAsia="zh-CN"/>
        </w:rPr>
        <w:t>（3）</w:t>
      </w:r>
      <w:r>
        <w:rPr>
          <w:rFonts w:hint="eastAsia" w:ascii="仿宋_GB2312" w:hAnsi="仿宋_GB2312" w:eastAsia="仿宋_GB2312" w:cs="仿宋_GB2312"/>
          <w:lang w:val="en-US" w:eastAsia="zh-CN"/>
        </w:rPr>
        <w:t>严格执行国家有关项目建设资金的管理办法，确定专人负责，设立专户，实行专款专用管理，严格执行财务管理制度，确保管好用好各项建设资金。</w:t>
      </w:r>
    </w:p>
    <w:p w14:paraId="58A06F16">
      <w:pPr>
        <w:ind w:firstLine="640"/>
        <w:rPr>
          <w:rFonts w:hint="eastAsia" w:ascii="仿宋_GB2312" w:hAnsi="仿宋_GB2312" w:eastAsia="仿宋_GB2312" w:cs="仿宋_GB2312"/>
          <w:lang w:val="en-US" w:eastAsia="zh-CN"/>
        </w:rPr>
      </w:pPr>
      <w:r>
        <w:rPr>
          <w:rFonts w:hint="eastAsia" w:ascii="仿宋_GB2312" w:hAnsi="仿宋_GB2312" w:cs="仿宋_GB2312"/>
          <w:lang w:val="en-US" w:eastAsia="zh-CN"/>
        </w:rPr>
        <w:t>（4）</w:t>
      </w:r>
      <w:r>
        <w:rPr>
          <w:rFonts w:hint="eastAsia" w:ascii="仿宋_GB2312" w:hAnsi="仿宋_GB2312" w:eastAsia="仿宋_GB2312" w:cs="仿宋_GB2312"/>
          <w:lang w:val="en-US" w:eastAsia="zh-CN"/>
        </w:rPr>
        <w:t>建设单位项目负责人、勘察单位项目负责人、设计单位项目负责人、施工单位项目经理、监理单位总监理工程师，在工程设计使用年限内，承担相应的质量终身责任。</w:t>
      </w:r>
    </w:p>
    <w:p w14:paraId="232A4D62">
      <w:pPr>
        <w:ind w:firstLine="640"/>
        <w:rPr>
          <w:rFonts w:hint="eastAsia" w:ascii="仿宋_GB2312" w:hAnsi="仿宋_GB2312" w:eastAsia="仿宋_GB2312" w:cs="仿宋_GB2312"/>
          <w:lang w:val="en-US" w:eastAsia="zh-CN"/>
        </w:rPr>
      </w:pPr>
      <w:r>
        <w:rPr>
          <w:rFonts w:hint="eastAsia" w:ascii="仿宋_GB2312" w:hAnsi="仿宋_GB2312" w:cs="仿宋_GB2312"/>
          <w:lang w:val="en-US" w:eastAsia="zh-CN"/>
        </w:rPr>
        <w:t>（5）</w:t>
      </w:r>
      <w:r>
        <w:rPr>
          <w:rFonts w:hint="eastAsia" w:ascii="仿宋_GB2312" w:hAnsi="仿宋_GB2312" w:eastAsia="仿宋_GB2312" w:cs="仿宋_GB2312"/>
          <w:lang w:val="en-US" w:eastAsia="zh-CN"/>
        </w:rPr>
        <w:t>做好竣工验收工作。</w:t>
      </w:r>
    </w:p>
    <w:p w14:paraId="4A97A4BF">
      <w:pPr>
        <w:ind w:firstLine="640"/>
        <w:rPr>
          <w:rFonts w:hint="eastAsia" w:ascii="仿宋_GB2312" w:hAnsi="仿宋_GB2312" w:eastAsia="仿宋_GB2312" w:cs="仿宋_GB2312"/>
          <w:lang w:val="en-US" w:eastAsia="zh-CN"/>
        </w:rPr>
      </w:pPr>
      <w:r>
        <w:rPr>
          <w:rFonts w:hint="eastAsia" w:ascii="仿宋_GB2312" w:hAnsi="仿宋_GB2312" w:cs="仿宋_GB2312"/>
          <w:lang w:val="en-US" w:eastAsia="zh-CN"/>
        </w:rPr>
        <w:t>（6）</w:t>
      </w:r>
      <w:r>
        <w:rPr>
          <w:rFonts w:hint="eastAsia" w:ascii="仿宋_GB2312" w:hAnsi="仿宋_GB2312" w:eastAsia="仿宋_GB2312" w:cs="仿宋_GB2312"/>
          <w:lang w:val="en-US" w:eastAsia="zh-CN"/>
        </w:rPr>
        <w:t>认真建立项目档案，健全项目档案管理制度。</w:t>
      </w:r>
    </w:p>
    <w:p w14:paraId="6066F4C9">
      <w:pPr>
        <w:keepNext/>
        <w:keepLines/>
        <w:pageBreakBefore w:val="0"/>
        <w:widowControl w:val="0"/>
        <w:kinsoku/>
        <w:wordWrap/>
        <w:overflowPunct/>
        <w:topLinePunct w:val="0"/>
        <w:autoSpaceDE/>
        <w:autoSpaceDN/>
        <w:bidi w:val="0"/>
        <w:adjustRightInd/>
        <w:snapToGrid/>
        <w:ind w:left="0" w:leftChars="0" w:firstLine="643" w:firstLineChars="200"/>
        <w:textAlignment w:val="auto"/>
        <w:outlineLvl w:val="9"/>
        <w:rPr>
          <w:rFonts w:hint="eastAsia" w:ascii="仿宋_GB2312" w:hAnsi="仿宋_GB2312" w:eastAsia="仿宋_GB2312" w:cs="仿宋_GB2312"/>
          <w:b/>
          <w:bCs/>
          <w:lang w:val="en-US" w:eastAsia="zh-CN"/>
        </w:rPr>
      </w:pPr>
      <w:r>
        <w:rPr>
          <w:rFonts w:hint="eastAsia" w:ascii="仿宋_GB2312" w:hAnsi="仿宋_GB2312" w:eastAsia="仿宋_GB2312" w:cs="仿宋_GB2312"/>
          <w:b/>
          <w:bCs/>
          <w:lang w:val="en-US" w:eastAsia="zh-CN"/>
        </w:rPr>
        <w:t>4.项目实施情况</w:t>
      </w:r>
    </w:p>
    <w:p w14:paraId="763BB73E">
      <w:pPr>
        <w:ind w:firstLine="640"/>
        <w:rPr>
          <w:rFonts w:hint="eastAsia" w:ascii="仿宋_GB2312"/>
          <w:lang w:val="en-US" w:eastAsia="zh-CN"/>
        </w:rPr>
      </w:pPr>
      <w:r>
        <w:rPr>
          <w:rFonts w:hint="eastAsia" w:ascii="仿宋_GB2312"/>
          <w:lang w:val="en-US" w:eastAsia="zh-CN"/>
        </w:rPr>
        <w:t>古县县委会议2019年第16次会议于2019年5月13日召开，会议同意《县委党校改扩建项目实施方案》。2019年5月由山西省城乡规划设计研究院出具了《中共古县县委党校改扩建项目可行性研究报告》，并于2019年7月12日由古县发展和改革局批复；2019年4月古县县委党校出具了《古县县委党校改扩建项目实施方案》；2019年12月6日由山西翔鸿工程造价咨询有限公司出具了《中共古县县委党校改扩建项目预算评审书》 ；2020年5月22日通过公开招标确定山西一建集团有限公司为施工方，于2020年7月24日签订施工合同，合同内容约定计划开工日期为2020年6月20日，计划竣工日期为2021年11月11日，工期总日历天数510天，工程质量符合国家质量验评标准。</w:t>
      </w:r>
    </w:p>
    <w:p w14:paraId="4383A3A8">
      <w:pPr>
        <w:ind w:firstLine="640"/>
        <w:rPr>
          <w:rFonts w:hint="eastAsia" w:ascii="仿宋_GB2312"/>
          <w:lang w:val="en-US" w:eastAsia="zh-CN"/>
        </w:rPr>
      </w:pPr>
      <w:r>
        <w:rPr>
          <w:rFonts w:hint="eastAsia" w:ascii="仿宋_GB2312"/>
          <w:lang w:val="en-US" w:eastAsia="zh-CN"/>
        </w:rPr>
        <w:t>项目于评价基准日2021年12月31日新建综合教学楼室内装饰装修完成、屋面工程完成、电梯工程完成、外墙真石漆完成，外墙干挂石材完成80%、玻璃幕墙完成60%；宿舍楼室内装饰装修完成、屋面工程完成、外墙真石漆完成；东楼室内装饰装修完成、屋面工程完成、外墙真石漆完成；室外管网完成80%、道路基层完成50%。</w:t>
      </w:r>
    </w:p>
    <w:p w14:paraId="1FCB8582">
      <w:pPr>
        <w:ind w:firstLine="640"/>
        <w:rPr>
          <w:rFonts w:hint="eastAsia" w:ascii="仿宋_GB2312"/>
          <w:lang w:val="en-US" w:eastAsia="zh-CN"/>
        </w:rPr>
      </w:pPr>
      <w:r>
        <w:rPr>
          <w:rFonts w:hint="eastAsia" w:ascii="仿宋_GB2312"/>
          <w:lang w:val="en-US" w:eastAsia="zh-CN"/>
        </w:rPr>
        <w:t>截止绩效评价日已全部完工，但尚未验收。</w:t>
      </w:r>
    </w:p>
    <w:p w14:paraId="19FF51A0">
      <w:pPr>
        <w:pStyle w:val="4"/>
        <w:ind w:left="0" w:leftChars="0" w:firstLine="320" w:firstLineChars="100"/>
        <w:rPr>
          <w:rFonts w:hint="default" w:eastAsia="楷体_GB2312"/>
          <w:lang w:val="en-US" w:eastAsia="zh-CN"/>
        </w:rPr>
      </w:pPr>
      <w:bookmarkStart w:id="12" w:name="_Toc8365"/>
      <w:r>
        <w:rPr>
          <w:rFonts w:ascii="仿宋_GB2312"/>
        </w:rPr>
        <w:t>（</w:t>
      </w:r>
      <w:r>
        <w:rPr>
          <w:rFonts w:hint="eastAsia" w:ascii="仿宋_GB2312"/>
          <w:lang w:val="en-US" w:eastAsia="zh-CN"/>
        </w:rPr>
        <w:t>二</w:t>
      </w:r>
      <w:r>
        <w:rPr>
          <w:rFonts w:ascii="仿宋_GB2312"/>
        </w:rPr>
        <w:t>）</w:t>
      </w:r>
      <w:r>
        <w:rPr>
          <w:rFonts w:hint="eastAsia" w:ascii="仿宋_GB2312"/>
          <w:lang w:val="en-US" w:eastAsia="zh-CN"/>
        </w:rPr>
        <w:t>资金投入和使用情况</w:t>
      </w:r>
      <w:bookmarkEnd w:id="12"/>
    </w:p>
    <w:p w14:paraId="72C03B08">
      <w:pPr>
        <w:keepNext/>
        <w:keepLines/>
        <w:pageBreakBefore w:val="0"/>
        <w:widowControl w:val="0"/>
        <w:kinsoku/>
        <w:wordWrap/>
        <w:overflowPunct/>
        <w:topLinePunct w:val="0"/>
        <w:autoSpaceDE/>
        <w:autoSpaceDN/>
        <w:bidi w:val="0"/>
        <w:adjustRightInd/>
        <w:snapToGrid/>
        <w:ind w:firstLine="640"/>
        <w:textAlignment w:val="auto"/>
        <w:outlineLvl w:val="9"/>
        <w:rPr>
          <w:rFonts w:hint="eastAsia" w:ascii="仿宋_GB2312" w:hAnsi="仿宋_GB2312" w:eastAsia="仿宋_GB2312" w:cs="仿宋_GB2312"/>
          <w:b/>
          <w:bCs/>
          <w:lang w:val="en-US" w:eastAsia="zh-CN"/>
        </w:rPr>
      </w:pPr>
      <w:r>
        <w:rPr>
          <w:rFonts w:hint="eastAsia" w:ascii="仿宋_GB2312" w:hAnsi="仿宋_GB2312" w:cs="仿宋_GB2312"/>
          <w:b/>
          <w:bCs/>
          <w:lang w:val="en-US" w:eastAsia="zh-CN"/>
        </w:rPr>
        <w:t>1</w:t>
      </w:r>
      <w:r>
        <w:rPr>
          <w:rFonts w:hint="eastAsia" w:ascii="仿宋_GB2312" w:hAnsi="仿宋_GB2312" w:eastAsia="仿宋_GB2312" w:cs="仿宋_GB2312"/>
          <w:b/>
          <w:bCs/>
          <w:lang w:val="en-US" w:eastAsia="zh-CN"/>
        </w:rPr>
        <w:t>.</w:t>
      </w:r>
      <w:bookmarkEnd w:id="8"/>
      <w:bookmarkEnd w:id="9"/>
      <w:bookmarkEnd w:id="10"/>
      <w:bookmarkEnd w:id="11"/>
      <w:r>
        <w:rPr>
          <w:rFonts w:hint="eastAsia" w:ascii="仿宋_GB2312" w:hAnsi="仿宋_GB2312" w:cs="仿宋_GB2312"/>
          <w:b/>
          <w:bCs/>
          <w:lang w:val="en-US" w:eastAsia="zh-CN"/>
        </w:rPr>
        <w:t>资金投入情况</w:t>
      </w:r>
    </w:p>
    <w:p w14:paraId="58CD0B24">
      <w:pPr>
        <w:ind w:firstLine="640"/>
        <w:rPr>
          <w:rFonts w:hint="eastAsia" w:ascii="仿宋_GB2312"/>
          <w:lang w:val="en-US" w:eastAsia="zh-CN"/>
        </w:rPr>
      </w:pPr>
      <w:bookmarkStart w:id="13" w:name="_Toc5425"/>
      <w:bookmarkStart w:id="14" w:name="_Toc75440694"/>
      <w:bookmarkStart w:id="15" w:name="_Toc3055"/>
      <w:r>
        <w:rPr>
          <w:rFonts w:hint="eastAsia" w:ascii="仿宋_GB2312"/>
          <w:lang w:val="en-US" w:eastAsia="zh-CN"/>
        </w:rPr>
        <w:t>本项目预算资金为3124.13万元，依据《中共古县县委党校改扩建项目可行性研究报告》预算金额为3124.13万元，古县财政预算评审中心通过第三方机构评审，审定金额为2960.31万元，项目中标价为2960.1万元，古县财政局关于《下达党校改扩建资金的通知》（古财预〔2021〕2号）、《下达党校改扩建资金的通知》（古财预〔2021〕307号）均下达资金500万元，共下达资金1000万元。</w:t>
      </w:r>
    </w:p>
    <w:p w14:paraId="35BC97B6">
      <w:pPr>
        <w:keepNext/>
        <w:keepLines/>
        <w:pageBreakBefore w:val="0"/>
        <w:widowControl w:val="0"/>
        <w:kinsoku/>
        <w:wordWrap/>
        <w:overflowPunct/>
        <w:topLinePunct w:val="0"/>
        <w:autoSpaceDE/>
        <w:autoSpaceDN/>
        <w:bidi w:val="0"/>
        <w:adjustRightInd/>
        <w:snapToGrid/>
        <w:ind w:firstLine="640"/>
        <w:textAlignment w:val="auto"/>
        <w:outlineLvl w:val="9"/>
        <w:rPr>
          <w:rFonts w:hint="eastAsia" w:ascii="仿宋_GB2312" w:hAnsi="仿宋_GB2312" w:cs="仿宋_GB2312"/>
          <w:b/>
          <w:bCs/>
          <w:lang w:val="en-US" w:eastAsia="zh-CN"/>
        </w:rPr>
      </w:pPr>
      <w:bookmarkStart w:id="16" w:name="_Toc523209930"/>
      <w:r>
        <w:rPr>
          <w:rFonts w:hint="eastAsia" w:ascii="仿宋_GB2312" w:hAnsi="仿宋_GB2312" w:cs="仿宋_GB2312"/>
          <w:b/>
          <w:bCs/>
          <w:lang w:val="en-US" w:eastAsia="zh-CN"/>
        </w:rPr>
        <w:t>2.项目资金拨付流程</w:t>
      </w:r>
    </w:p>
    <w:p w14:paraId="6554E80A">
      <w:pPr>
        <w:numPr>
          <w:ilvl w:val="0"/>
          <w:numId w:val="0"/>
        </w:numPr>
        <w:ind w:firstLine="640" w:firstLineChars="200"/>
        <w:rPr>
          <w:rFonts w:hint="eastAsia" w:ascii="仿宋_GB2312"/>
          <w:lang w:val="en-US" w:eastAsia="zh-CN"/>
        </w:rPr>
      </w:pPr>
      <w:r>
        <w:rPr>
          <w:rFonts w:hint="eastAsia"/>
          <w:lang w:val="en-US" w:eastAsia="zh-CN"/>
        </w:rPr>
        <w:drawing>
          <wp:anchor distT="0" distB="0" distL="114300" distR="114300" simplePos="0" relativeHeight="251659264" behindDoc="0" locked="0" layoutInCell="1" allowOverlap="1">
            <wp:simplePos x="0" y="0"/>
            <wp:positionH relativeFrom="column">
              <wp:posOffset>-144145</wp:posOffset>
            </wp:positionH>
            <wp:positionV relativeFrom="paragraph">
              <wp:posOffset>1746885</wp:posOffset>
            </wp:positionV>
            <wp:extent cx="5276850" cy="2827020"/>
            <wp:effectExtent l="0" t="0" r="0" b="0"/>
            <wp:wrapNone/>
            <wp:docPr id="1" name="ECB019B1-382A-4266-B25C-5B523AA43C14-1" descr="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CB019B1-382A-4266-B25C-5B523AA43C14-1" descr="wps"/>
                    <pic:cNvPicPr>
                      <a:picLocks noChangeAspect="1"/>
                    </pic:cNvPicPr>
                  </pic:nvPicPr>
                  <pic:blipFill>
                    <a:blip r:embed="rId14"/>
                    <a:stretch>
                      <a:fillRect/>
                    </a:stretch>
                  </pic:blipFill>
                  <pic:spPr>
                    <a:xfrm>
                      <a:off x="0" y="0"/>
                      <a:ext cx="5276850" cy="2827020"/>
                    </a:xfrm>
                    <a:prstGeom prst="rect">
                      <a:avLst/>
                    </a:prstGeom>
                  </pic:spPr>
                </pic:pic>
              </a:graphicData>
            </a:graphic>
          </wp:anchor>
        </w:drawing>
      </w:r>
      <w:r>
        <w:rPr>
          <w:rFonts w:hint="eastAsia" w:ascii="仿宋_GB2312"/>
          <w:lang w:val="en-US" w:eastAsia="zh-CN"/>
        </w:rPr>
        <w:t>本项目资金由财政直接支付，支付流程：由项目实施单位向县财政局、县级分管领导、县政府县长申请，申请批复后财政局拨付资金，支付由国库支付中心直接支付，本项目中标价为2960.1万元，申请资金1000万元，下达资金1000万元，实际支付金额为1000万元，拨付流程图见图1。</w:t>
      </w:r>
    </w:p>
    <w:p w14:paraId="0A9B78AE">
      <w:pPr>
        <w:pStyle w:val="7"/>
        <w:ind w:left="0" w:leftChars="0" w:firstLine="0" w:firstLineChars="0"/>
        <w:rPr>
          <w:rFonts w:hint="eastAsia"/>
          <w:lang w:val="en-US" w:eastAsia="zh-CN"/>
        </w:rPr>
      </w:pPr>
    </w:p>
    <w:p w14:paraId="517747AE">
      <w:pPr>
        <w:keepNext/>
        <w:keepLines/>
        <w:pageBreakBefore w:val="0"/>
        <w:widowControl w:val="0"/>
        <w:kinsoku/>
        <w:wordWrap/>
        <w:overflowPunct/>
        <w:topLinePunct w:val="0"/>
        <w:autoSpaceDE/>
        <w:autoSpaceDN/>
        <w:bidi w:val="0"/>
        <w:adjustRightInd/>
        <w:snapToGrid/>
        <w:ind w:firstLine="640"/>
        <w:textAlignment w:val="auto"/>
        <w:outlineLvl w:val="9"/>
        <w:rPr>
          <w:rFonts w:hint="eastAsia" w:ascii="仿宋_GB2312" w:hAnsi="仿宋_GB2312" w:cs="仿宋_GB2312"/>
          <w:b/>
          <w:bCs/>
          <w:lang w:val="en-US" w:eastAsia="zh-CN"/>
        </w:rPr>
      </w:pPr>
    </w:p>
    <w:p w14:paraId="37110F20">
      <w:pPr>
        <w:keepNext/>
        <w:keepLines/>
        <w:pageBreakBefore w:val="0"/>
        <w:widowControl w:val="0"/>
        <w:kinsoku/>
        <w:wordWrap/>
        <w:overflowPunct/>
        <w:topLinePunct w:val="0"/>
        <w:autoSpaceDE/>
        <w:autoSpaceDN/>
        <w:bidi w:val="0"/>
        <w:adjustRightInd/>
        <w:snapToGrid/>
        <w:ind w:left="0" w:leftChars="0" w:firstLine="0" w:firstLineChars="0"/>
        <w:jc w:val="center"/>
        <w:textAlignment w:val="auto"/>
        <w:outlineLvl w:val="9"/>
        <w:rPr>
          <w:rFonts w:hint="eastAsia" w:ascii="仿宋_GB2312" w:hAnsi="仿宋_GB2312" w:eastAsia="仿宋_GB2312" w:cs="仿宋_GB2312"/>
          <w:color w:val="000000"/>
          <w:sz w:val="28"/>
          <w:szCs w:val="28"/>
        </w:rPr>
      </w:pPr>
    </w:p>
    <w:p w14:paraId="5F13F3D5">
      <w:pPr>
        <w:keepNext/>
        <w:keepLines/>
        <w:pageBreakBefore w:val="0"/>
        <w:widowControl w:val="0"/>
        <w:kinsoku/>
        <w:wordWrap/>
        <w:overflowPunct/>
        <w:topLinePunct w:val="0"/>
        <w:autoSpaceDE/>
        <w:autoSpaceDN/>
        <w:bidi w:val="0"/>
        <w:adjustRightInd/>
        <w:snapToGrid/>
        <w:ind w:left="0" w:leftChars="0" w:firstLine="0" w:firstLineChars="0"/>
        <w:jc w:val="center"/>
        <w:textAlignment w:val="auto"/>
        <w:outlineLvl w:val="9"/>
        <w:rPr>
          <w:rFonts w:hint="eastAsia" w:ascii="仿宋_GB2312" w:hAnsi="仿宋_GB2312" w:eastAsia="仿宋_GB2312" w:cs="仿宋_GB2312"/>
          <w:color w:val="000000"/>
          <w:sz w:val="28"/>
          <w:szCs w:val="28"/>
        </w:rPr>
      </w:pPr>
    </w:p>
    <w:p w14:paraId="18414D9C">
      <w:pPr>
        <w:keepNext/>
        <w:keepLines/>
        <w:pageBreakBefore w:val="0"/>
        <w:widowControl w:val="0"/>
        <w:kinsoku/>
        <w:wordWrap/>
        <w:overflowPunct/>
        <w:topLinePunct w:val="0"/>
        <w:autoSpaceDE/>
        <w:autoSpaceDN/>
        <w:bidi w:val="0"/>
        <w:adjustRightInd/>
        <w:snapToGrid/>
        <w:ind w:left="0" w:leftChars="0" w:firstLine="0" w:firstLineChars="0"/>
        <w:jc w:val="center"/>
        <w:textAlignment w:val="auto"/>
        <w:outlineLvl w:val="9"/>
        <w:rPr>
          <w:rFonts w:hint="eastAsia" w:ascii="仿宋_GB2312" w:hAnsi="仿宋_GB2312" w:eastAsia="仿宋_GB2312" w:cs="仿宋_GB2312"/>
          <w:color w:val="000000"/>
          <w:sz w:val="28"/>
          <w:szCs w:val="28"/>
        </w:rPr>
      </w:pPr>
    </w:p>
    <w:p w14:paraId="374E0FB3">
      <w:pPr>
        <w:keepNext/>
        <w:keepLines/>
        <w:pageBreakBefore w:val="0"/>
        <w:widowControl w:val="0"/>
        <w:kinsoku/>
        <w:wordWrap/>
        <w:overflowPunct/>
        <w:topLinePunct w:val="0"/>
        <w:autoSpaceDE/>
        <w:autoSpaceDN/>
        <w:bidi w:val="0"/>
        <w:adjustRightInd/>
        <w:snapToGrid/>
        <w:ind w:left="0" w:leftChars="0" w:firstLine="0" w:firstLineChars="0"/>
        <w:jc w:val="center"/>
        <w:textAlignment w:val="auto"/>
        <w:outlineLvl w:val="9"/>
        <w:rPr>
          <w:rFonts w:hint="eastAsia" w:ascii="仿宋_GB2312" w:hAnsi="仿宋_GB2312" w:eastAsia="仿宋_GB2312" w:cs="仿宋_GB2312"/>
          <w:color w:val="000000"/>
          <w:sz w:val="28"/>
          <w:szCs w:val="28"/>
        </w:rPr>
      </w:pPr>
    </w:p>
    <w:p w14:paraId="51C4CA1C">
      <w:pPr>
        <w:keepNext/>
        <w:keepLines/>
        <w:pageBreakBefore w:val="0"/>
        <w:widowControl w:val="0"/>
        <w:kinsoku/>
        <w:wordWrap/>
        <w:overflowPunct/>
        <w:topLinePunct w:val="0"/>
        <w:autoSpaceDE/>
        <w:autoSpaceDN/>
        <w:bidi w:val="0"/>
        <w:adjustRightInd/>
        <w:snapToGrid/>
        <w:ind w:left="0" w:leftChars="0" w:firstLine="0" w:firstLineChars="0"/>
        <w:jc w:val="center"/>
        <w:textAlignment w:val="auto"/>
        <w:outlineLvl w:val="9"/>
        <w:rPr>
          <w:rFonts w:hint="eastAsia" w:ascii="仿宋_GB2312" w:hAnsi="仿宋_GB2312" w:cs="仿宋_GB2312"/>
          <w:b/>
          <w:bCs/>
          <w:lang w:val="en-US" w:eastAsia="zh-CN"/>
        </w:rPr>
      </w:pPr>
      <w:r>
        <w:rPr>
          <w:rFonts w:hint="eastAsia" w:ascii="仿宋_GB2312" w:hAnsi="仿宋_GB2312" w:eastAsia="仿宋_GB2312" w:cs="仿宋_GB2312"/>
          <w:color w:val="000000"/>
          <w:sz w:val="28"/>
          <w:szCs w:val="28"/>
        </w:rPr>
        <w:t>图1    资金</w:t>
      </w:r>
      <w:r>
        <w:rPr>
          <w:rFonts w:hint="eastAsia" w:ascii="仿宋_GB2312" w:hAnsi="仿宋" w:eastAsia="仿宋_GB2312" w:cs="Times New Roman"/>
          <w:kern w:val="0"/>
          <w:sz w:val="28"/>
          <w:szCs w:val="28"/>
        </w:rPr>
        <w:t>拨</w:t>
      </w:r>
      <w:r>
        <w:rPr>
          <w:rFonts w:hint="eastAsia" w:ascii="仿宋_GB2312" w:hAnsi="仿宋_GB2312" w:eastAsia="仿宋_GB2312" w:cs="仿宋_GB2312"/>
          <w:color w:val="000000"/>
          <w:sz w:val="28"/>
          <w:szCs w:val="28"/>
        </w:rPr>
        <w:t>付流程图</w:t>
      </w:r>
    </w:p>
    <w:p w14:paraId="2E4C6B34">
      <w:pPr>
        <w:keepNext/>
        <w:keepLines/>
        <w:pageBreakBefore w:val="0"/>
        <w:widowControl w:val="0"/>
        <w:kinsoku/>
        <w:wordWrap/>
        <w:overflowPunct/>
        <w:topLinePunct w:val="0"/>
        <w:autoSpaceDE/>
        <w:autoSpaceDN/>
        <w:bidi w:val="0"/>
        <w:adjustRightInd/>
        <w:snapToGrid/>
        <w:ind w:firstLine="640"/>
        <w:textAlignment w:val="auto"/>
        <w:outlineLvl w:val="9"/>
        <w:rPr>
          <w:rFonts w:hint="eastAsia" w:ascii="仿宋_GB2312" w:hAnsi="仿宋_GB2312" w:eastAsia="仿宋_GB2312" w:cs="仿宋_GB2312"/>
          <w:b/>
          <w:bCs/>
          <w:lang w:val="en-US" w:eastAsia="zh-CN"/>
        </w:rPr>
      </w:pPr>
      <w:r>
        <w:rPr>
          <w:rFonts w:hint="eastAsia" w:ascii="仿宋_GB2312" w:hAnsi="仿宋_GB2312" w:cs="仿宋_GB2312"/>
          <w:b/>
          <w:bCs/>
          <w:lang w:val="en-US" w:eastAsia="zh-CN"/>
        </w:rPr>
        <w:t>3</w:t>
      </w:r>
      <w:r>
        <w:rPr>
          <w:rFonts w:hint="eastAsia" w:ascii="仿宋_GB2312" w:hAnsi="仿宋_GB2312" w:eastAsia="仿宋_GB2312" w:cs="仿宋_GB2312"/>
          <w:b/>
          <w:bCs/>
          <w:lang w:val="en-US" w:eastAsia="zh-CN"/>
        </w:rPr>
        <w:t>.资金</w:t>
      </w:r>
      <w:bookmarkEnd w:id="13"/>
      <w:bookmarkEnd w:id="14"/>
      <w:bookmarkEnd w:id="15"/>
      <w:bookmarkEnd w:id="16"/>
      <w:r>
        <w:rPr>
          <w:rFonts w:hint="eastAsia" w:ascii="仿宋_GB2312" w:hAnsi="仿宋_GB2312" w:cs="仿宋_GB2312"/>
          <w:b/>
          <w:bCs/>
          <w:lang w:val="en-US" w:eastAsia="zh-CN"/>
        </w:rPr>
        <w:t>来源及使用情况</w:t>
      </w:r>
    </w:p>
    <w:p w14:paraId="3081716D">
      <w:pPr>
        <w:ind w:firstLine="640"/>
        <w:rPr>
          <w:rFonts w:hint="eastAsia" w:ascii="仿宋_GB2312" w:hAnsi="Times New Roman" w:cs="Times New Roman"/>
          <w:lang w:val="en-US" w:eastAsia="zh-CN"/>
        </w:rPr>
      </w:pPr>
      <w:bookmarkStart w:id="17" w:name="_Toc7266"/>
      <w:bookmarkStart w:id="18" w:name="_Toc31275"/>
      <w:bookmarkStart w:id="19" w:name="_Toc75440696"/>
      <w:bookmarkStart w:id="20" w:name="_Toc22508"/>
      <w:r>
        <w:rPr>
          <w:rFonts w:hint="eastAsia" w:ascii="仿宋_GB2312" w:hAnsi="Times New Roman" w:cs="Times New Roman"/>
          <w:lang w:val="en-US" w:eastAsia="zh-CN"/>
        </w:rPr>
        <w:t>古县县委党校改扩建项目资金财政拨付1000万元，全部为县级财政资金，截止评价基准日（2021年12月31日），实际支出金额为1000万元。</w:t>
      </w:r>
    </w:p>
    <w:p w14:paraId="584BEF95">
      <w:pPr>
        <w:ind w:firstLine="640"/>
        <w:rPr>
          <w:rFonts w:hint="eastAsia" w:ascii="仿宋_GB2312" w:hAnsi="Times New Roman" w:cs="Times New Roman"/>
          <w:lang w:val="en-US" w:eastAsia="zh-CN"/>
        </w:rPr>
      </w:pPr>
      <w:r>
        <w:rPr>
          <w:rFonts w:hint="eastAsia" w:ascii="仿宋_GB2312" w:hAnsi="Times New Roman" w:cs="Times New Roman"/>
          <w:lang w:val="en-US" w:eastAsia="zh-CN"/>
        </w:rPr>
        <w:t>古县县委党校改扩建项目资金来源及使用情况详见表2-表3：</w:t>
      </w:r>
    </w:p>
    <w:p w14:paraId="3BCE2DFF">
      <w:pPr>
        <w:autoSpaceDE w:val="0"/>
        <w:autoSpaceDN w:val="0"/>
        <w:adjustRightInd w:val="0"/>
        <w:spacing w:beforeLines="100" w:line="440" w:lineRule="exact"/>
        <w:ind w:firstLine="0" w:firstLineChars="0"/>
        <w:rPr>
          <w:rFonts w:ascii="仿宋_GB2312" w:hAnsi="宋体" w:eastAsia="仿宋_GB2312" w:cs="仿宋_GB2312"/>
          <w:b/>
          <w:bCs/>
          <w:color w:val="000000"/>
          <w:kern w:val="0"/>
          <w:sz w:val="28"/>
          <w:szCs w:val="28"/>
        </w:rPr>
      </w:pPr>
      <w:r>
        <w:rPr>
          <w:rFonts w:hint="eastAsia" w:ascii="仿宋_GB2312" w:hAnsi="宋体" w:eastAsia="仿宋_GB2312" w:cs="仿宋_GB2312"/>
          <w:b/>
          <w:bCs/>
          <w:color w:val="000000"/>
          <w:kern w:val="0"/>
          <w:sz w:val="28"/>
          <w:szCs w:val="28"/>
        </w:rPr>
        <w:t>表</w:t>
      </w:r>
      <w:r>
        <w:rPr>
          <w:rFonts w:hint="eastAsia" w:ascii="仿宋_GB2312" w:hAnsi="宋体" w:eastAsia="仿宋_GB2312" w:cs="仿宋_GB2312"/>
          <w:b/>
          <w:bCs/>
          <w:color w:val="000000"/>
          <w:kern w:val="0"/>
          <w:sz w:val="28"/>
          <w:szCs w:val="28"/>
          <w:lang w:val="en-US" w:eastAsia="zh-CN"/>
        </w:rPr>
        <w:t>1-1</w:t>
      </w:r>
      <w:r>
        <w:rPr>
          <w:rFonts w:hint="eastAsia" w:ascii="仿宋_GB2312" w:hAnsi="宋体" w:eastAsia="仿宋_GB2312" w:cs="仿宋_GB2312"/>
          <w:b/>
          <w:bCs/>
          <w:color w:val="000000"/>
          <w:kern w:val="0"/>
          <w:sz w:val="28"/>
          <w:szCs w:val="28"/>
        </w:rPr>
        <w:t xml:space="preserve">                   资金来源表               单位：万元</w:t>
      </w:r>
    </w:p>
    <w:tbl>
      <w:tblPr>
        <w:tblStyle w:val="19"/>
        <w:tblW w:w="83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4"/>
        <w:gridCol w:w="2384"/>
        <w:gridCol w:w="1134"/>
        <w:gridCol w:w="1276"/>
        <w:gridCol w:w="1134"/>
        <w:gridCol w:w="1386"/>
      </w:tblGrid>
      <w:tr w14:paraId="3A5D1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exact"/>
          <w:jc w:val="center"/>
        </w:trPr>
        <w:tc>
          <w:tcPr>
            <w:tcW w:w="3428" w:type="dxa"/>
            <w:gridSpan w:val="2"/>
            <w:vAlign w:val="center"/>
          </w:tcPr>
          <w:p w14:paraId="55B7B1C5">
            <w:pPr>
              <w:tabs>
                <w:tab w:val="left" w:pos="720"/>
              </w:tabs>
              <w:spacing w:line="240" w:lineRule="auto"/>
              <w:ind w:firstLine="0" w:firstLineChars="0"/>
              <w:jc w:val="center"/>
              <w:rPr>
                <w:rFonts w:ascii="仿宋_GB2312" w:hAnsi="宋体" w:eastAsia="仿宋_GB2312" w:cs="仿宋_GB2312"/>
                <w:b/>
                <w:color w:val="000000"/>
                <w:sz w:val="21"/>
                <w:szCs w:val="21"/>
              </w:rPr>
            </w:pPr>
            <w:r>
              <w:rPr>
                <w:rFonts w:hint="eastAsia" w:ascii="仿宋_GB2312" w:hAnsi="宋体" w:eastAsia="仿宋_GB2312" w:cs="仿宋_GB2312"/>
                <w:b/>
                <w:color w:val="000000"/>
                <w:sz w:val="21"/>
                <w:szCs w:val="21"/>
              </w:rPr>
              <w:t>名称</w:t>
            </w:r>
          </w:p>
        </w:tc>
        <w:tc>
          <w:tcPr>
            <w:tcW w:w="1134" w:type="dxa"/>
            <w:vAlign w:val="center"/>
          </w:tcPr>
          <w:p w14:paraId="269CAFCB">
            <w:pPr>
              <w:tabs>
                <w:tab w:val="left" w:pos="720"/>
              </w:tabs>
              <w:spacing w:line="240" w:lineRule="auto"/>
              <w:ind w:firstLine="0" w:firstLineChars="0"/>
              <w:jc w:val="center"/>
              <w:rPr>
                <w:rFonts w:ascii="仿宋_GB2312" w:hAnsi="宋体" w:eastAsia="仿宋_GB2312" w:cs="仿宋_GB2312"/>
                <w:b/>
                <w:color w:val="000000"/>
                <w:sz w:val="21"/>
                <w:szCs w:val="21"/>
              </w:rPr>
            </w:pPr>
            <w:r>
              <w:rPr>
                <w:rFonts w:hint="eastAsia" w:ascii="仿宋_GB2312" w:hAnsi="宋体" w:eastAsia="仿宋_GB2312" w:cs="仿宋_GB2312"/>
                <w:b/>
                <w:color w:val="000000"/>
                <w:sz w:val="21"/>
                <w:szCs w:val="21"/>
              </w:rPr>
              <w:t>中央资金</w:t>
            </w:r>
          </w:p>
        </w:tc>
        <w:tc>
          <w:tcPr>
            <w:tcW w:w="1276" w:type="dxa"/>
            <w:vAlign w:val="center"/>
          </w:tcPr>
          <w:p w14:paraId="204C58C0">
            <w:pPr>
              <w:tabs>
                <w:tab w:val="left" w:pos="720"/>
              </w:tabs>
              <w:spacing w:line="240" w:lineRule="auto"/>
              <w:ind w:firstLine="0" w:firstLineChars="0"/>
              <w:jc w:val="center"/>
              <w:rPr>
                <w:rFonts w:ascii="仿宋_GB2312" w:hAnsi="宋体" w:eastAsia="仿宋_GB2312" w:cs="仿宋_GB2312"/>
                <w:b/>
                <w:color w:val="000000"/>
                <w:sz w:val="21"/>
                <w:szCs w:val="21"/>
              </w:rPr>
            </w:pPr>
            <w:r>
              <w:rPr>
                <w:rFonts w:hint="eastAsia" w:ascii="仿宋_GB2312" w:hAnsi="宋体" w:eastAsia="仿宋_GB2312" w:cs="仿宋_GB2312"/>
                <w:b/>
                <w:color w:val="000000"/>
                <w:sz w:val="21"/>
                <w:szCs w:val="21"/>
              </w:rPr>
              <w:t>省级资金</w:t>
            </w:r>
          </w:p>
        </w:tc>
        <w:tc>
          <w:tcPr>
            <w:tcW w:w="1134" w:type="dxa"/>
            <w:vAlign w:val="center"/>
          </w:tcPr>
          <w:p w14:paraId="5CB94DFA">
            <w:pPr>
              <w:tabs>
                <w:tab w:val="left" w:pos="720"/>
              </w:tabs>
              <w:spacing w:line="240" w:lineRule="auto"/>
              <w:ind w:firstLine="0" w:firstLineChars="0"/>
              <w:jc w:val="center"/>
              <w:rPr>
                <w:rFonts w:ascii="仿宋_GB2312" w:hAnsi="宋体" w:eastAsia="仿宋_GB2312" w:cs="仿宋_GB2312"/>
                <w:b/>
                <w:color w:val="000000"/>
                <w:sz w:val="21"/>
                <w:szCs w:val="21"/>
              </w:rPr>
            </w:pPr>
            <w:r>
              <w:rPr>
                <w:rFonts w:hint="eastAsia" w:ascii="仿宋_GB2312" w:hAnsi="宋体" w:eastAsia="仿宋_GB2312" w:cs="仿宋_GB2312"/>
                <w:b/>
                <w:color w:val="000000"/>
                <w:sz w:val="21"/>
                <w:szCs w:val="21"/>
              </w:rPr>
              <w:t>县级资金</w:t>
            </w:r>
          </w:p>
        </w:tc>
        <w:tc>
          <w:tcPr>
            <w:tcW w:w="1386" w:type="dxa"/>
            <w:vAlign w:val="center"/>
          </w:tcPr>
          <w:p w14:paraId="1EA03ACA">
            <w:pPr>
              <w:tabs>
                <w:tab w:val="left" w:pos="720"/>
              </w:tabs>
              <w:spacing w:line="240" w:lineRule="auto"/>
              <w:ind w:firstLine="0" w:firstLineChars="0"/>
              <w:jc w:val="center"/>
              <w:rPr>
                <w:rFonts w:ascii="仿宋_GB2312" w:hAnsi="宋体" w:eastAsia="仿宋_GB2312" w:cs="仿宋_GB2312"/>
                <w:b/>
                <w:color w:val="000000"/>
                <w:sz w:val="21"/>
                <w:szCs w:val="21"/>
              </w:rPr>
            </w:pPr>
            <w:r>
              <w:rPr>
                <w:rFonts w:hint="eastAsia" w:ascii="仿宋_GB2312" w:hAnsi="宋体" w:eastAsia="仿宋_GB2312" w:cs="仿宋_GB2312"/>
                <w:b/>
                <w:color w:val="000000"/>
                <w:sz w:val="21"/>
                <w:szCs w:val="21"/>
              </w:rPr>
              <w:t>合计</w:t>
            </w:r>
          </w:p>
        </w:tc>
      </w:tr>
      <w:tr w14:paraId="39303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exact"/>
          <w:jc w:val="center"/>
        </w:trPr>
        <w:tc>
          <w:tcPr>
            <w:tcW w:w="1044" w:type="dxa"/>
            <w:vMerge w:val="restart"/>
            <w:vAlign w:val="center"/>
          </w:tcPr>
          <w:p w14:paraId="4E9B9A04">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预算资金</w:t>
            </w:r>
          </w:p>
        </w:tc>
        <w:tc>
          <w:tcPr>
            <w:tcW w:w="2384" w:type="dxa"/>
            <w:vAlign w:val="center"/>
          </w:tcPr>
          <w:p w14:paraId="0D1EBF9A">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lang w:val="en-US" w:eastAsia="zh-CN"/>
              </w:rPr>
              <w:t>古</w:t>
            </w:r>
            <w:r>
              <w:rPr>
                <w:rFonts w:hint="eastAsia" w:ascii="仿宋_GB2312" w:hAnsi="Calibri" w:eastAsia="仿宋_GB2312" w:cs="Times New Roman"/>
                <w:sz w:val="21"/>
                <w:szCs w:val="21"/>
              </w:rPr>
              <w:t>财</w:t>
            </w:r>
            <w:r>
              <w:rPr>
                <w:rFonts w:hint="eastAsia" w:ascii="仿宋_GB2312" w:hAnsi="Calibri" w:eastAsia="仿宋_GB2312" w:cs="Times New Roman"/>
                <w:sz w:val="21"/>
                <w:szCs w:val="21"/>
                <w:lang w:val="en-US" w:eastAsia="zh-CN"/>
              </w:rPr>
              <w:t>预</w:t>
            </w:r>
            <w:r>
              <w:rPr>
                <w:rFonts w:hint="eastAsia" w:ascii="仿宋_GB2312" w:hAnsi="Calibri" w:eastAsia="仿宋_GB2312" w:cs="Times New Roman"/>
                <w:sz w:val="21"/>
                <w:szCs w:val="21"/>
              </w:rPr>
              <w:t>〔2021〕</w:t>
            </w:r>
            <w:r>
              <w:rPr>
                <w:rFonts w:hint="eastAsia" w:ascii="仿宋_GB2312" w:hAnsi="Calibri" w:eastAsia="仿宋_GB2312" w:cs="Times New Roman"/>
                <w:sz w:val="21"/>
                <w:szCs w:val="21"/>
                <w:lang w:val="en-US" w:eastAsia="zh-CN"/>
              </w:rPr>
              <w:t>2</w:t>
            </w:r>
            <w:r>
              <w:rPr>
                <w:rFonts w:hint="eastAsia" w:ascii="仿宋_GB2312" w:hAnsi="Calibri" w:eastAsia="仿宋_GB2312" w:cs="Times New Roman"/>
                <w:sz w:val="21"/>
                <w:szCs w:val="21"/>
              </w:rPr>
              <w:t>号</w:t>
            </w:r>
          </w:p>
        </w:tc>
        <w:tc>
          <w:tcPr>
            <w:tcW w:w="1134" w:type="dxa"/>
            <w:vAlign w:val="center"/>
          </w:tcPr>
          <w:p w14:paraId="0FDA6AD6">
            <w:pPr>
              <w:spacing w:line="260" w:lineRule="exact"/>
              <w:ind w:firstLine="0" w:firstLineChars="0"/>
              <w:jc w:val="center"/>
              <w:rPr>
                <w:rFonts w:ascii="仿宋_GB2312" w:hAnsi="Calibri" w:eastAsia="仿宋_GB2312" w:cs="Times New Roman"/>
                <w:sz w:val="21"/>
                <w:szCs w:val="21"/>
              </w:rPr>
            </w:pPr>
          </w:p>
        </w:tc>
        <w:tc>
          <w:tcPr>
            <w:tcW w:w="1276" w:type="dxa"/>
            <w:vAlign w:val="center"/>
          </w:tcPr>
          <w:p w14:paraId="54A9AE55">
            <w:pPr>
              <w:spacing w:line="260" w:lineRule="exact"/>
              <w:ind w:firstLine="0" w:firstLineChars="0"/>
              <w:jc w:val="center"/>
              <w:rPr>
                <w:rFonts w:ascii="仿宋_GB2312" w:hAnsi="Calibri" w:eastAsia="仿宋_GB2312" w:cs="Times New Roman"/>
                <w:sz w:val="21"/>
                <w:szCs w:val="21"/>
              </w:rPr>
            </w:pPr>
          </w:p>
        </w:tc>
        <w:tc>
          <w:tcPr>
            <w:tcW w:w="1134" w:type="dxa"/>
            <w:vAlign w:val="center"/>
          </w:tcPr>
          <w:p w14:paraId="0BEF09DB">
            <w:pPr>
              <w:spacing w:line="260" w:lineRule="exact"/>
              <w:ind w:firstLine="0" w:firstLineChars="0"/>
              <w:jc w:val="center"/>
              <w:rPr>
                <w:rFonts w:hint="default" w:ascii="仿宋_GB2312" w:hAnsi="Calibri" w:eastAsia="仿宋_GB2312" w:cs="Times New Roman"/>
                <w:sz w:val="21"/>
                <w:szCs w:val="21"/>
                <w:lang w:val="en-US" w:eastAsia="zh-CN"/>
              </w:rPr>
            </w:pPr>
            <w:r>
              <w:rPr>
                <w:rFonts w:hint="eastAsia" w:ascii="仿宋_GB2312" w:hAnsi="Calibri" w:eastAsia="仿宋_GB2312" w:cs="Times New Roman"/>
                <w:sz w:val="21"/>
                <w:szCs w:val="21"/>
                <w:lang w:val="en-US" w:eastAsia="zh-CN"/>
              </w:rPr>
              <w:t>500</w:t>
            </w:r>
          </w:p>
        </w:tc>
        <w:tc>
          <w:tcPr>
            <w:tcW w:w="1386" w:type="dxa"/>
            <w:vAlign w:val="center"/>
          </w:tcPr>
          <w:p w14:paraId="5E50BB1D">
            <w:pPr>
              <w:spacing w:line="260" w:lineRule="exact"/>
              <w:ind w:firstLine="0" w:firstLineChars="0"/>
              <w:jc w:val="center"/>
              <w:rPr>
                <w:rFonts w:hint="default" w:ascii="仿宋_GB2312" w:hAnsi="Calibri" w:eastAsia="仿宋_GB2312" w:cs="Times New Roman"/>
                <w:sz w:val="21"/>
                <w:szCs w:val="21"/>
                <w:lang w:val="en-US" w:eastAsia="zh-CN"/>
              </w:rPr>
            </w:pPr>
            <w:r>
              <w:rPr>
                <w:rFonts w:hint="eastAsia" w:ascii="仿宋_GB2312" w:hAnsi="Calibri" w:eastAsia="仿宋_GB2312" w:cs="Times New Roman"/>
                <w:sz w:val="21"/>
                <w:szCs w:val="21"/>
                <w:lang w:val="en-US" w:eastAsia="zh-CN"/>
              </w:rPr>
              <w:t>500</w:t>
            </w:r>
          </w:p>
        </w:tc>
      </w:tr>
      <w:tr w14:paraId="6AF04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exact"/>
          <w:jc w:val="center"/>
        </w:trPr>
        <w:tc>
          <w:tcPr>
            <w:tcW w:w="1044" w:type="dxa"/>
            <w:vMerge w:val="continue"/>
            <w:vAlign w:val="center"/>
          </w:tcPr>
          <w:p w14:paraId="302B28D2">
            <w:pPr>
              <w:spacing w:line="260" w:lineRule="exact"/>
              <w:ind w:firstLine="0" w:firstLineChars="0"/>
              <w:jc w:val="center"/>
              <w:rPr>
                <w:rFonts w:ascii="仿宋_GB2312" w:hAnsi="Calibri" w:eastAsia="仿宋_GB2312" w:cs="Times New Roman"/>
                <w:sz w:val="21"/>
                <w:szCs w:val="21"/>
              </w:rPr>
            </w:pPr>
          </w:p>
        </w:tc>
        <w:tc>
          <w:tcPr>
            <w:tcW w:w="2384" w:type="dxa"/>
            <w:vAlign w:val="center"/>
          </w:tcPr>
          <w:p w14:paraId="122803DF">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lang w:val="en-US" w:eastAsia="zh-CN"/>
              </w:rPr>
              <w:t>古</w:t>
            </w:r>
            <w:r>
              <w:rPr>
                <w:rFonts w:hint="eastAsia" w:ascii="仿宋_GB2312" w:hAnsi="Calibri" w:eastAsia="仿宋_GB2312" w:cs="Times New Roman"/>
                <w:sz w:val="21"/>
                <w:szCs w:val="21"/>
              </w:rPr>
              <w:t>财</w:t>
            </w:r>
            <w:r>
              <w:rPr>
                <w:rFonts w:hint="eastAsia" w:ascii="仿宋_GB2312" w:hAnsi="Calibri" w:eastAsia="仿宋_GB2312" w:cs="Times New Roman"/>
                <w:sz w:val="21"/>
                <w:szCs w:val="21"/>
                <w:lang w:val="en-US" w:eastAsia="zh-CN"/>
              </w:rPr>
              <w:t>预</w:t>
            </w:r>
            <w:r>
              <w:rPr>
                <w:rFonts w:hint="eastAsia" w:ascii="仿宋_GB2312" w:hAnsi="Calibri" w:eastAsia="仿宋_GB2312" w:cs="Times New Roman"/>
                <w:sz w:val="21"/>
                <w:szCs w:val="21"/>
              </w:rPr>
              <w:t>〔2021〕</w:t>
            </w:r>
            <w:r>
              <w:rPr>
                <w:rFonts w:hint="eastAsia" w:ascii="仿宋_GB2312" w:hAnsi="Calibri" w:eastAsia="仿宋_GB2312" w:cs="Times New Roman"/>
                <w:sz w:val="21"/>
                <w:szCs w:val="21"/>
                <w:lang w:val="en-US" w:eastAsia="zh-CN"/>
              </w:rPr>
              <w:t>307</w:t>
            </w:r>
            <w:r>
              <w:rPr>
                <w:rFonts w:hint="eastAsia" w:ascii="仿宋_GB2312" w:hAnsi="Calibri" w:eastAsia="仿宋_GB2312" w:cs="Times New Roman"/>
                <w:sz w:val="21"/>
                <w:szCs w:val="21"/>
              </w:rPr>
              <w:t>号</w:t>
            </w:r>
          </w:p>
        </w:tc>
        <w:tc>
          <w:tcPr>
            <w:tcW w:w="1134" w:type="dxa"/>
            <w:vAlign w:val="center"/>
          </w:tcPr>
          <w:p w14:paraId="43A8DD1B">
            <w:pPr>
              <w:spacing w:line="260" w:lineRule="exact"/>
              <w:ind w:firstLine="0" w:firstLineChars="0"/>
              <w:jc w:val="center"/>
              <w:rPr>
                <w:rFonts w:ascii="仿宋_GB2312" w:hAnsi="Calibri" w:eastAsia="仿宋_GB2312" w:cs="Times New Roman"/>
                <w:sz w:val="21"/>
                <w:szCs w:val="21"/>
              </w:rPr>
            </w:pPr>
          </w:p>
        </w:tc>
        <w:tc>
          <w:tcPr>
            <w:tcW w:w="1276" w:type="dxa"/>
            <w:vAlign w:val="center"/>
          </w:tcPr>
          <w:p w14:paraId="42DE0F91">
            <w:pPr>
              <w:spacing w:line="260" w:lineRule="exact"/>
              <w:ind w:firstLine="0" w:firstLineChars="0"/>
              <w:jc w:val="center"/>
              <w:rPr>
                <w:rFonts w:ascii="仿宋_GB2312" w:hAnsi="Calibri" w:eastAsia="仿宋_GB2312" w:cs="Times New Roman"/>
                <w:sz w:val="21"/>
                <w:szCs w:val="21"/>
              </w:rPr>
            </w:pPr>
          </w:p>
        </w:tc>
        <w:tc>
          <w:tcPr>
            <w:tcW w:w="1134" w:type="dxa"/>
            <w:vAlign w:val="center"/>
          </w:tcPr>
          <w:p w14:paraId="687082F9">
            <w:pPr>
              <w:spacing w:line="260" w:lineRule="exact"/>
              <w:ind w:firstLine="0" w:firstLineChars="0"/>
              <w:jc w:val="center"/>
              <w:rPr>
                <w:rFonts w:hint="default" w:ascii="仿宋_GB2312" w:hAnsi="Calibri" w:eastAsia="仿宋_GB2312" w:cs="Times New Roman"/>
                <w:sz w:val="21"/>
                <w:szCs w:val="21"/>
                <w:lang w:val="en-US" w:eastAsia="zh-CN"/>
              </w:rPr>
            </w:pPr>
            <w:r>
              <w:rPr>
                <w:rFonts w:hint="eastAsia" w:ascii="仿宋_GB2312" w:hAnsi="Calibri" w:eastAsia="仿宋_GB2312" w:cs="Times New Roman"/>
                <w:sz w:val="21"/>
                <w:szCs w:val="21"/>
                <w:lang w:val="en-US" w:eastAsia="zh-CN"/>
              </w:rPr>
              <w:t>500</w:t>
            </w:r>
          </w:p>
        </w:tc>
        <w:tc>
          <w:tcPr>
            <w:tcW w:w="1386" w:type="dxa"/>
            <w:vAlign w:val="center"/>
          </w:tcPr>
          <w:p w14:paraId="43AE4A35">
            <w:pPr>
              <w:spacing w:line="260" w:lineRule="exact"/>
              <w:ind w:firstLine="0" w:firstLineChars="0"/>
              <w:jc w:val="center"/>
              <w:rPr>
                <w:rFonts w:hint="default" w:ascii="仿宋_GB2312" w:hAnsi="Calibri" w:eastAsia="仿宋_GB2312" w:cs="Times New Roman"/>
                <w:sz w:val="21"/>
                <w:szCs w:val="21"/>
                <w:lang w:val="en-US" w:eastAsia="zh-CN"/>
              </w:rPr>
            </w:pPr>
            <w:r>
              <w:rPr>
                <w:rFonts w:hint="eastAsia" w:ascii="仿宋_GB2312" w:hAnsi="Calibri" w:eastAsia="仿宋_GB2312" w:cs="Times New Roman"/>
                <w:sz w:val="21"/>
                <w:szCs w:val="21"/>
                <w:lang w:val="en-US" w:eastAsia="zh-CN"/>
              </w:rPr>
              <w:t>500</w:t>
            </w:r>
          </w:p>
        </w:tc>
      </w:tr>
      <w:tr w14:paraId="12BDF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exact"/>
          <w:jc w:val="center"/>
        </w:trPr>
        <w:tc>
          <w:tcPr>
            <w:tcW w:w="1044" w:type="dxa"/>
            <w:vMerge w:val="continue"/>
            <w:vAlign w:val="center"/>
          </w:tcPr>
          <w:p w14:paraId="378ABFA3">
            <w:pPr>
              <w:spacing w:line="260" w:lineRule="exact"/>
              <w:ind w:firstLine="0" w:firstLineChars="0"/>
              <w:jc w:val="center"/>
              <w:rPr>
                <w:rFonts w:ascii="仿宋_GB2312" w:hAnsi="Calibri" w:eastAsia="仿宋_GB2312" w:cs="Times New Roman"/>
                <w:sz w:val="21"/>
                <w:szCs w:val="21"/>
              </w:rPr>
            </w:pPr>
          </w:p>
        </w:tc>
        <w:tc>
          <w:tcPr>
            <w:tcW w:w="2384" w:type="dxa"/>
            <w:vAlign w:val="center"/>
          </w:tcPr>
          <w:p w14:paraId="52E87BDA">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小计</w:t>
            </w:r>
          </w:p>
        </w:tc>
        <w:tc>
          <w:tcPr>
            <w:tcW w:w="3544" w:type="dxa"/>
            <w:gridSpan w:val="3"/>
            <w:vAlign w:val="center"/>
          </w:tcPr>
          <w:p w14:paraId="7CA19516">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1000</w:t>
            </w:r>
          </w:p>
        </w:tc>
        <w:tc>
          <w:tcPr>
            <w:tcW w:w="1386" w:type="dxa"/>
            <w:vAlign w:val="center"/>
          </w:tcPr>
          <w:p w14:paraId="0EBE4F3D">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1000</w:t>
            </w:r>
          </w:p>
        </w:tc>
      </w:tr>
      <w:tr w14:paraId="40F47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3428" w:type="dxa"/>
            <w:gridSpan w:val="2"/>
            <w:vAlign w:val="center"/>
          </w:tcPr>
          <w:p w14:paraId="00B50077">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实际到位额</w:t>
            </w:r>
          </w:p>
        </w:tc>
        <w:tc>
          <w:tcPr>
            <w:tcW w:w="3544" w:type="dxa"/>
            <w:gridSpan w:val="3"/>
            <w:vAlign w:val="center"/>
          </w:tcPr>
          <w:p w14:paraId="5F14F2BA">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1000</w:t>
            </w:r>
          </w:p>
        </w:tc>
        <w:tc>
          <w:tcPr>
            <w:tcW w:w="1386" w:type="dxa"/>
            <w:vAlign w:val="center"/>
          </w:tcPr>
          <w:p w14:paraId="6A54AA46">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1000</w:t>
            </w:r>
          </w:p>
        </w:tc>
      </w:tr>
      <w:tr w14:paraId="61500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3428" w:type="dxa"/>
            <w:gridSpan w:val="2"/>
            <w:vAlign w:val="center"/>
          </w:tcPr>
          <w:p w14:paraId="23243080">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实际支付额</w:t>
            </w:r>
          </w:p>
        </w:tc>
        <w:tc>
          <w:tcPr>
            <w:tcW w:w="3544" w:type="dxa"/>
            <w:gridSpan w:val="3"/>
            <w:vAlign w:val="center"/>
          </w:tcPr>
          <w:p w14:paraId="68919233">
            <w:pPr>
              <w:spacing w:line="260" w:lineRule="exact"/>
              <w:ind w:firstLine="0" w:firstLineChars="0"/>
              <w:jc w:val="center"/>
              <w:rPr>
                <w:rFonts w:hint="default" w:ascii="仿宋_GB2312" w:hAnsi="Calibri" w:eastAsia="仿宋_GB2312" w:cs="Times New Roman"/>
                <w:sz w:val="21"/>
                <w:szCs w:val="21"/>
                <w:lang w:val="en-US" w:eastAsia="zh-CN"/>
              </w:rPr>
            </w:pPr>
            <w:r>
              <w:rPr>
                <w:rFonts w:hint="eastAsia" w:ascii="仿宋_GB2312" w:hAnsi="Calibri" w:eastAsia="仿宋_GB2312" w:cs="Times New Roman"/>
                <w:sz w:val="21"/>
                <w:szCs w:val="21"/>
                <w:lang w:val="en-US" w:eastAsia="zh-CN"/>
              </w:rPr>
              <w:t>1000</w:t>
            </w:r>
          </w:p>
        </w:tc>
        <w:tc>
          <w:tcPr>
            <w:tcW w:w="1386" w:type="dxa"/>
            <w:vAlign w:val="center"/>
          </w:tcPr>
          <w:p w14:paraId="4EAEB836">
            <w:pPr>
              <w:spacing w:line="260" w:lineRule="exact"/>
              <w:ind w:firstLine="0" w:firstLineChars="0"/>
              <w:jc w:val="center"/>
              <w:rPr>
                <w:rFonts w:hint="default" w:ascii="仿宋_GB2312" w:hAnsi="Calibri" w:eastAsia="仿宋_GB2312" w:cs="Times New Roman"/>
                <w:sz w:val="21"/>
                <w:szCs w:val="21"/>
                <w:lang w:val="en-US" w:eastAsia="zh-CN"/>
              </w:rPr>
            </w:pPr>
            <w:r>
              <w:rPr>
                <w:rFonts w:hint="eastAsia" w:ascii="仿宋_GB2312" w:hAnsi="Calibri" w:eastAsia="仿宋_GB2312" w:cs="Times New Roman"/>
                <w:sz w:val="21"/>
                <w:szCs w:val="21"/>
                <w:lang w:val="en-US" w:eastAsia="zh-CN"/>
              </w:rPr>
              <w:t>1000</w:t>
            </w:r>
          </w:p>
        </w:tc>
      </w:tr>
      <w:tr w14:paraId="303A5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3428" w:type="dxa"/>
            <w:gridSpan w:val="2"/>
            <w:vAlign w:val="center"/>
          </w:tcPr>
          <w:p w14:paraId="43625A12">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结余金额</w:t>
            </w:r>
          </w:p>
        </w:tc>
        <w:tc>
          <w:tcPr>
            <w:tcW w:w="3544" w:type="dxa"/>
            <w:gridSpan w:val="3"/>
            <w:vAlign w:val="center"/>
          </w:tcPr>
          <w:p w14:paraId="7652D917">
            <w:pPr>
              <w:spacing w:line="260" w:lineRule="exact"/>
              <w:ind w:firstLine="0" w:firstLineChars="0"/>
              <w:jc w:val="center"/>
              <w:rPr>
                <w:rFonts w:hint="eastAsia" w:ascii="仿宋_GB2312" w:hAnsi="Calibri" w:eastAsia="仿宋_GB2312" w:cs="Times New Roman"/>
                <w:sz w:val="21"/>
                <w:szCs w:val="21"/>
                <w:lang w:eastAsia="zh-CN"/>
              </w:rPr>
            </w:pPr>
            <w:r>
              <w:rPr>
                <w:rFonts w:hint="eastAsia" w:ascii="仿宋_GB2312" w:hAnsi="Calibri" w:eastAsia="仿宋_GB2312" w:cs="Times New Roman"/>
                <w:sz w:val="21"/>
                <w:szCs w:val="21"/>
                <w:lang w:val="en-US" w:eastAsia="zh-CN"/>
              </w:rPr>
              <w:t>0</w:t>
            </w:r>
          </w:p>
        </w:tc>
        <w:tc>
          <w:tcPr>
            <w:tcW w:w="1386" w:type="dxa"/>
            <w:vAlign w:val="center"/>
          </w:tcPr>
          <w:p w14:paraId="67CA0FE8">
            <w:pPr>
              <w:spacing w:line="260" w:lineRule="exact"/>
              <w:ind w:firstLine="0" w:firstLineChars="0"/>
              <w:jc w:val="center"/>
              <w:rPr>
                <w:rFonts w:hint="eastAsia" w:ascii="仿宋_GB2312" w:hAnsi="Calibri" w:eastAsia="仿宋_GB2312" w:cs="Times New Roman"/>
                <w:sz w:val="21"/>
                <w:szCs w:val="21"/>
                <w:lang w:eastAsia="zh-CN"/>
              </w:rPr>
            </w:pPr>
            <w:r>
              <w:rPr>
                <w:rFonts w:hint="eastAsia" w:ascii="仿宋_GB2312" w:hAnsi="Calibri" w:eastAsia="仿宋_GB2312" w:cs="Times New Roman"/>
                <w:sz w:val="21"/>
                <w:szCs w:val="21"/>
                <w:lang w:val="en-US" w:eastAsia="zh-CN"/>
              </w:rPr>
              <w:t>0</w:t>
            </w:r>
          </w:p>
        </w:tc>
      </w:tr>
    </w:tbl>
    <w:p w14:paraId="79D90EB0">
      <w:pPr>
        <w:tabs>
          <w:tab w:val="left" w:pos="720"/>
        </w:tabs>
        <w:spacing w:beforeLines="100" w:line="440" w:lineRule="exact"/>
        <w:ind w:firstLine="0" w:firstLineChars="0"/>
        <w:rPr>
          <w:rFonts w:ascii="仿宋_GB2312" w:hAnsi="宋体" w:eastAsia="仿宋_GB2312" w:cs="仿宋_GB2312"/>
          <w:b/>
          <w:bCs/>
          <w:color w:val="000000"/>
          <w:kern w:val="0"/>
          <w:sz w:val="28"/>
          <w:szCs w:val="28"/>
        </w:rPr>
      </w:pPr>
      <w:r>
        <w:rPr>
          <w:rFonts w:hint="eastAsia" w:ascii="仿宋_GB2312" w:hAnsi="宋体" w:eastAsia="仿宋_GB2312" w:cs="仿宋_GB2312"/>
          <w:b/>
          <w:bCs/>
          <w:color w:val="000000"/>
          <w:kern w:val="0"/>
          <w:sz w:val="28"/>
          <w:szCs w:val="28"/>
        </w:rPr>
        <w:t>表</w:t>
      </w:r>
      <w:r>
        <w:rPr>
          <w:rFonts w:hint="eastAsia" w:ascii="仿宋_GB2312" w:hAnsi="宋体" w:eastAsia="仿宋_GB2312" w:cs="仿宋_GB2312"/>
          <w:b/>
          <w:bCs/>
          <w:color w:val="000000"/>
          <w:kern w:val="0"/>
          <w:sz w:val="28"/>
          <w:szCs w:val="28"/>
          <w:lang w:val="en-US" w:eastAsia="zh-CN"/>
        </w:rPr>
        <w:t>1-2</w:t>
      </w:r>
      <w:r>
        <w:rPr>
          <w:rFonts w:hint="eastAsia" w:ascii="仿宋_GB2312" w:hAnsi="宋体" w:eastAsia="仿宋_GB2312" w:cs="仿宋_GB2312"/>
          <w:b/>
          <w:bCs/>
          <w:color w:val="000000"/>
          <w:kern w:val="0"/>
          <w:sz w:val="28"/>
          <w:szCs w:val="28"/>
        </w:rPr>
        <w:t xml:space="preserve">               资金支付</w:t>
      </w:r>
      <w:r>
        <w:rPr>
          <w:rFonts w:hint="eastAsia" w:ascii="仿宋_GB2312" w:hAnsi="宋体" w:eastAsia="仿宋_GB2312" w:cs="仿宋_GB2312"/>
          <w:b/>
          <w:bCs/>
          <w:color w:val="000000"/>
          <w:kern w:val="0"/>
          <w:sz w:val="28"/>
          <w:szCs w:val="28"/>
          <w:lang w:val="en-US" w:eastAsia="zh-CN"/>
        </w:rPr>
        <w:t>明细</w:t>
      </w:r>
      <w:r>
        <w:rPr>
          <w:rFonts w:hint="eastAsia" w:ascii="仿宋_GB2312" w:hAnsi="宋体" w:eastAsia="仿宋_GB2312" w:cs="仿宋_GB2312"/>
          <w:b/>
          <w:bCs/>
          <w:color w:val="000000"/>
          <w:kern w:val="0"/>
          <w:sz w:val="28"/>
          <w:szCs w:val="28"/>
        </w:rPr>
        <w:t>表               单位：万元</w:t>
      </w:r>
    </w:p>
    <w:bookmarkEnd w:id="17"/>
    <w:bookmarkEnd w:id="18"/>
    <w:bookmarkEnd w:id="19"/>
    <w:bookmarkEnd w:id="20"/>
    <w:tbl>
      <w:tblPr>
        <w:tblStyle w:val="19"/>
        <w:tblW w:w="4933" w:type="pct"/>
        <w:tblInd w:w="55" w:type="dxa"/>
        <w:tblLayout w:type="autofit"/>
        <w:tblCellMar>
          <w:top w:w="0" w:type="dxa"/>
          <w:left w:w="108" w:type="dxa"/>
          <w:bottom w:w="0" w:type="dxa"/>
          <w:right w:w="108" w:type="dxa"/>
        </w:tblCellMar>
      </w:tblPr>
      <w:tblGrid>
        <w:gridCol w:w="972"/>
        <w:gridCol w:w="2768"/>
        <w:gridCol w:w="1699"/>
        <w:gridCol w:w="1699"/>
        <w:gridCol w:w="1276"/>
      </w:tblGrid>
      <w:tr w14:paraId="71C168DB">
        <w:tblPrEx>
          <w:tblCellMar>
            <w:top w:w="0" w:type="dxa"/>
            <w:left w:w="108" w:type="dxa"/>
            <w:bottom w:w="0" w:type="dxa"/>
            <w:right w:w="108" w:type="dxa"/>
          </w:tblCellMar>
        </w:tblPrEx>
        <w:trPr>
          <w:trHeight w:val="486" w:hRule="atLeast"/>
        </w:trPr>
        <w:tc>
          <w:tcPr>
            <w:tcW w:w="5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88D281">
            <w:pPr>
              <w:tabs>
                <w:tab w:val="left" w:pos="720"/>
              </w:tabs>
              <w:spacing w:line="240" w:lineRule="auto"/>
              <w:ind w:firstLine="0" w:firstLineChars="0"/>
              <w:jc w:val="center"/>
              <w:rPr>
                <w:rFonts w:ascii="仿宋_GB2312" w:hAnsi="宋体" w:eastAsia="仿宋_GB2312" w:cs="仿宋_GB2312"/>
                <w:b/>
                <w:color w:val="000000"/>
                <w:sz w:val="21"/>
                <w:szCs w:val="21"/>
              </w:rPr>
            </w:pPr>
            <w:bookmarkStart w:id="21" w:name="_Toc7214"/>
            <w:bookmarkStart w:id="22" w:name="_Toc23883"/>
            <w:bookmarkStart w:id="23" w:name="_Toc15796"/>
            <w:bookmarkStart w:id="24" w:name="_Toc75440698"/>
            <w:r>
              <w:rPr>
                <w:rFonts w:ascii="仿宋_GB2312" w:hAnsi="宋体" w:eastAsia="仿宋_GB2312" w:cs="仿宋_GB2312"/>
                <w:b/>
                <w:color w:val="000000"/>
                <w:sz w:val="21"/>
                <w:szCs w:val="21"/>
              </w:rPr>
              <w:t>序号</w:t>
            </w:r>
          </w:p>
        </w:tc>
        <w:tc>
          <w:tcPr>
            <w:tcW w:w="16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66104A">
            <w:pPr>
              <w:tabs>
                <w:tab w:val="left" w:pos="720"/>
              </w:tabs>
              <w:spacing w:line="240" w:lineRule="auto"/>
              <w:ind w:firstLine="0" w:firstLineChars="0"/>
              <w:jc w:val="center"/>
              <w:rPr>
                <w:rFonts w:ascii="仿宋_GB2312" w:hAnsi="宋体" w:eastAsia="仿宋_GB2312" w:cs="仿宋_GB2312"/>
                <w:b/>
                <w:color w:val="000000"/>
                <w:sz w:val="21"/>
                <w:szCs w:val="21"/>
              </w:rPr>
            </w:pPr>
            <w:r>
              <w:rPr>
                <w:rFonts w:hint="eastAsia" w:ascii="仿宋_GB2312" w:hAnsi="宋体" w:eastAsia="仿宋_GB2312" w:cs="仿宋_GB2312"/>
                <w:b/>
                <w:color w:val="000000"/>
                <w:sz w:val="21"/>
                <w:szCs w:val="21"/>
              </w:rPr>
              <w:t>供应商</w:t>
            </w:r>
            <w:r>
              <w:rPr>
                <w:rFonts w:ascii="仿宋_GB2312" w:hAnsi="宋体" w:eastAsia="仿宋_GB2312" w:cs="仿宋_GB2312"/>
                <w:b/>
                <w:color w:val="000000"/>
                <w:sz w:val="21"/>
                <w:szCs w:val="21"/>
              </w:rPr>
              <w:t>名称</w:t>
            </w:r>
          </w:p>
        </w:tc>
        <w:tc>
          <w:tcPr>
            <w:tcW w:w="10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686731">
            <w:pPr>
              <w:tabs>
                <w:tab w:val="left" w:pos="720"/>
              </w:tabs>
              <w:spacing w:line="240" w:lineRule="auto"/>
              <w:ind w:firstLine="0" w:firstLineChars="0"/>
              <w:jc w:val="center"/>
              <w:rPr>
                <w:rFonts w:ascii="仿宋_GB2312" w:hAnsi="宋体" w:eastAsia="仿宋_GB2312" w:cs="仿宋_GB2312"/>
                <w:b/>
                <w:color w:val="000000"/>
                <w:sz w:val="21"/>
                <w:szCs w:val="21"/>
              </w:rPr>
            </w:pPr>
            <w:r>
              <w:rPr>
                <w:rFonts w:ascii="仿宋_GB2312" w:hAnsi="宋体" w:eastAsia="仿宋_GB2312" w:cs="仿宋_GB2312"/>
                <w:b/>
                <w:color w:val="000000"/>
                <w:sz w:val="21"/>
                <w:szCs w:val="21"/>
              </w:rPr>
              <w:t>中标金额</w:t>
            </w:r>
          </w:p>
        </w:tc>
        <w:tc>
          <w:tcPr>
            <w:tcW w:w="1009" w:type="pct"/>
            <w:tcBorders>
              <w:top w:val="single" w:color="000000" w:sz="4" w:space="0"/>
              <w:left w:val="single" w:color="auto" w:sz="4" w:space="0"/>
              <w:bottom w:val="single" w:color="000000" w:sz="4" w:space="0"/>
              <w:right w:val="single" w:color="auto" w:sz="4" w:space="0"/>
            </w:tcBorders>
            <w:shd w:val="clear" w:color="auto" w:fill="auto"/>
            <w:vAlign w:val="center"/>
          </w:tcPr>
          <w:p w14:paraId="25CCEC97">
            <w:pPr>
              <w:tabs>
                <w:tab w:val="left" w:pos="720"/>
              </w:tabs>
              <w:spacing w:line="240" w:lineRule="auto"/>
              <w:ind w:firstLine="0" w:firstLineChars="0"/>
              <w:jc w:val="center"/>
              <w:rPr>
                <w:rFonts w:ascii="仿宋_GB2312" w:hAnsi="宋体" w:eastAsia="仿宋_GB2312" w:cs="仿宋_GB2312"/>
                <w:b/>
                <w:color w:val="000000"/>
                <w:sz w:val="21"/>
                <w:szCs w:val="21"/>
              </w:rPr>
            </w:pPr>
            <w:r>
              <w:rPr>
                <w:rFonts w:hint="eastAsia" w:ascii="仿宋_GB2312" w:hAnsi="宋体" w:eastAsia="仿宋_GB2312" w:cs="仿宋_GB2312"/>
                <w:b/>
                <w:color w:val="000000"/>
                <w:sz w:val="21"/>
                <w:szCs w:val="21"/>
              </w:rPr>
              <w:t>资金</w:t>
            </w:r>
            <w:r>
              <w:rPr>
                <w:rFonts w:ascii="仿宋_GB2312" w:hAnsi="宋体" w:eastAsia="仿宋_GB2312" w:cs="仿宋_GB2312"/>
                <w:b/>
                <w:color w:val="000000"/>
                <w:sz w:val="21"/>
                <w:szCs w:val="21"/>
              </w:rPr>
              <w:t>支付金额</w:t>
            </w:r>
          </w:p>
        </w:tc>
        <w:tc>
          <w:tcPr>
            <w:tcW w:w="758" w:type="pct"/>
            <w:tcBorders>
              <w:top w:val="single" w:color="000000" w:sz="4" w:space="0"/>
              <w:left w:val="single" w:color="auto" w:sz="4" w:space="0"/>
              <w:bottom w:val="single" w:color="000000" w:sz="4" w:space="0"/>
              <w:right w:val="single" w:color="000000" w:sz="4" w:space="0"/>
            </w:tcBorders>
            <w:shd w:val="clear" w:color="auto" w:fill="auto"/>
            <w:vAlign w:val="center"/>
          </w:tcPr>
          <w:p w14:paraId="0639F392">
            <w:pPr>
              <w:tabs>
                <w:tab w:val="left" w:pos="720"/>
              </w:tabs>
              <w:spacing w:line="240" w:lineRule="auto"/>
              <w:ind w:firstLine="0" w:firstLineChars="0"/>
              <w:jc w:val="center"/>
              <w:rPr>
                <w:rFonts w:ascii="仿宋_GB2312" w:hAnsi="宋体" w:eastAsia="仿宋_GB2312" w:cs="仿宋_GB2312"/>
                <w:b/>
                <w:color w:val="000000"/>
                <w:sz w:val="21"/>
                <w:szCs w:val="21"/>
              </w:rPr>
            </w:pPr>
            <w:r>
              <w:rPr>
                <w:rFonts w:ascii="仿宋_GB2312" w:hAnsi="宋体" w:eastAsia="仿宋_GB2312" w:cs="仿宋_GB2312"/>
                <w:b/>
                <w:color w:val="000000"/>
                <w:sz w:val="21"/>
                <w:szCs w:val="21"/>
              </w:rPr>
              <w:t>支付时间</w:t>
            </w:r>
          </w:p>
        </w:tc>
      </w:tr>
      <w:tr w14:paraId="51248B11">
        <w:tblPrEx>
          <w:tblCellMar>
            <w:top w:w="0" w:type="dxa"/>
            <w:left w:w="108" w:type="dxa"/>
            <w:bottom w:w="0" w:type="dxa"/>
            <w:right w:w="108" w:type="dxa"/>
          </w:tblCellMar>
        </w:tblPrEx>
        <w:trPr>
          <w:trHeight w:val="486" w:hRule="atLeast"/>
        </w:trPr>
        <w:tc>
          <w:tcPr>
            <w:tcW w:w="578" w:type="pct"/>
            <w:vMerge w:val="restart"/>
            <w:tcBorders>
              <w:top w:val="single" w:color="000000" w:sz="4" w:space="0"/>
              <w:left w:val="single" w:color="000000" w:sz="4" w:space="0"/>
              <w:right w:val="single" w:color="000000" w:sz="4" w:space="0"/>
            </w:tcBorders>
            <w:shd w:val="clear" w:color="auto" w:fill="auto"/>
            <w:vAlign w:val="center"/>
          </w:tcPr>
          <w:p w14:paraId="183806FD">
            <w:pPr>
              <w:widowControl/>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w:t>
            </w:r>
          </w:p>
        </w:tc>
        <w:tc>
          <w:tcPr>
            <w:tcW w:w="1643" w:type="pct"/>
            <w:vMerge w:val="restart"/>
            <w:tcBorders>
              <w:top w:val="single" w:color="000000" w:sz="4" w:space="0"/>
              <w:left w:val="single" w:color="000000" w:sz="4" w:space="0"/>
              <w:right w:val="single" w:color="000000" w:sz="4" w:space="0"/>
            </w:tcBorders>
            <w:shd w:val="clear" w:color="auto" w:fill="auto"/>
            <w:vAlign w:val="center"/>
          </w:tcPr>
          <w:p w14:paraId="0B88E547">
            <w:pPr>
              <w:widowControl/>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山西一建集团有限公司</w:t>
            </w:r>
          </w:p>
        </w:tc>
        <w:tc>
          <w:tcPr>
            <w:tcW w:w="1009" w:type="pct"/>
            <w:vMerge w:val="restart"/>
            <w:tcBorders>
              <w:top w:val="single" w:color="000000" w:sz="4" w:space="0"/>
              <w:left w:val="single" w:color="000000" w:sz="4" w:space="0"/>
              <w:right w:val="single" w:color="000000" w:sz="4" w:space="0"/>
            </w:tcBorders>
            <w:shd w:val="clear" w:color="auto" w:fill="auto"/>
            <w:vAlign w:val="center"/>
          </w:tcPr>
          <w:p w14:paraId="53F88CA7">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2960.1</w:t>
            </w:r>
          </w:p>
        </w:tc>
        <w:tc>
          <w:tcPr>
            <w:tcW w:w="1009" w:type="pct"/>
            <w:tcBorders>
              <w:top w:val="single" w:color="000000" w:sz="4" w:space="0"/>
              <w:left w:val="single" w:color="auto" w:sz="4" w:space="0"/>
              <w:bottom w:val="single" w:color="000000" w:sz="4" w:space="0"/>
              <w:right w:val="single" w:color="auto" w:sz="4" w:space="0"/>
            </w:tcBorders>
            <w:shd w:val="clear" w:color="auto" w:fill="auto"/>
            <w:vAlign w:val="center"/>
          </w:tcPr>
          <w:p w14:paraId="36549A1F">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500</w:t>
            </w:r>
          </w:p>
        </w:tc>
        <w:tc>
          <w:tcPr>
            <w:tcW w:w="758" w:type="pct"/>
            <w:tcBorders>
              <w:top w:val="single" w:color="000000" w:sz="4" w:space="0"/>
              <w:left w:val="single" w:color="auto" w:sz="4" w:space="0"/>
              <w:bottom w:val="single" w:color="000000" w:sz="4" w:space="0"/>
              <w:right w:val="single" w:color="000000" w:sz="4" w:space="0"/>
            </w:tcBorders>
            <w:shd w:val="clear" w:color="auto" w:fill="auto"/>
            <w:vAlign w:val="center"/>
          </w:tcPr>
          <w:p w14:paraId="040FE1D3">
            <w:pPr>
              <w:widowControl/>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2021.2.24</w:t>
            </w:r>
          </w:p>
        </w:tc>
      </w:tr>
      <w:tr w14:paraId="043FD200">
        <w:tblPrEx>
          <w:tblCellMar>
            <w:top w:w="0" w:type="dxa"/>
            <w:left w:w="108" w:type="dxa"/>
            <w:bottom w:w="0" w:type="dxa"/>
            <w:right w:w="108" w:type="dxa"/>
          </w:tblCellMar>
        </w:tblPrEx>
        <w:trPr>
          <w:trHeight w:val="486" w:hRule="atLeast"/>
        </w:trPr>
        <w:tc>
          <w:tcPr>
            <w:tcW w:w="578" w:type="pct"/>
            <w:vMerge w:val="continue"/>
            <w:tcBorders>
              <w:left w:val="single" w:color="000000" w:sz="4" w:space="0"/>
              <w:bottom w:val="single" w:color="000000" w:sz="4" w:space="0"/>
              <w:right w:val="single" w:color="000000" w:sz="4" w:space="0"/>
            </w:tcBorders>
            <w:shd w:val="clear" w:color="auto" w:fill="auto"/>
            <w:vAlign w:val="center"/>
          </w:tcPr>
          <w:p w14:paraId="6C321C4B">
            <w:pPr>
              <w:widowControl/>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643" w:type="pct"/>
            <w:vMerge w:val="continue"/>
            <w:tcBorders>
              <w:left w:val="single" w:color="000000" w:sz="4" w:space="0"/>
              <w:bottom w:val="single" w:color="000000" w:sz="4" w:space="0"/>
              <w:right w:val="single" w:color="000000" w:sz="4" w:space="0"/>
            </w:tcBorders>
            <w:shd w:val="clear" w:color="auto" w:fill="auto"/>
            <w:vAlign w:val="center"/>
          </w:tcPr>
          <w:p w14:paraId="7B5D950A">
            <w:pPr>
              <w:widowControl/>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09" w:type="pct"/>
            <w:vMerge w:val="continue"/>
            <w:tcBorders>
              <w:left w:val="single" w:color="000000" w:sz="4" w:space="0"/>
              <w:bottom w:val="single" w:color="000000" w:sz="4" w:space="0"/>
              <w:right w:val="single" w:color="000000" w:sz="4" w:space="0"/>
            </w:tcBorders>
            <w:shd w:val="clear" w:color="auto" w:fill="auto"/>
            <w:vAlign w:val="center"/>
          </w:tcPr>
          <w:p w14:paraId="394CF45E">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09" w:type="pct"/>
            <w:tcBorders>
              <w:top w:val="single" w:color="000000" w:sz="4" w:space="0"/>
              <w:left w:val="single" w:color="auto" w:sz="4" w:space="0"/>
              <w:bottom w:val="single" w:color="000000" w:sz="4" w:space="0"/>
              <w:right w:val="single" w:color="auto" w:sz="4" w:space="0"/>
            </w:tcBorders>
            <w:shd w:val="clear" w:color="auto" w:fill="auto"/>
            <w:vAlign w:val="center"/>
          </w:tcPr>
          <w:p w14:paraId="03954908">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500</w:t>
            </w:r>
          </w:p>
        </w:tc>
        <w:tc>
          <w:tcPr>
            <w:tcW w:w="758" w:type="pct"/>
            <w:tcBorders>
              <w:top w:val="single" w:color="000000" w:sz="4" w:space="0"/>
              <w:left w:val="single" w:color="auto" w:sz="4" w:space="0"/>
              <w:bottom w:val="single" w:color="000000" w:sz="4" w:space="0"/>
              <w:right w:val="single" w:color="000000" w:sz="4" w:space="0"/>
            </w:tcBorders>
            <w:shd w:val="clear" w:color="auto" w:fill="auto"/>
            <w:vAlign w:val="center"/>
          </w:tcPr>
          <w:p w14:paraId="7E11BC0F">
            <w:pPr>
              <w:widowControl/>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2021.11.16</w:t>
            </w:r>
          </w:p>
        </w:tc>
      </w:tr>
      <w:tr w14:paraId="75BA4952">
        <w:tblPrEx>
          <w:tblCellMar>
            <w:top w:w="0" w:type="dxa"/>
            <w:left w:w="108" w:type="dxa"/>
            <w:bottom w:w="0" w:type="dxa"/>
            <w:right w:w="108" w:type="dxa"/>
          </w:tblCellMar>
        </w:tblPrEx>
        <w:trPr>
          <w:trHeight w:val="486" w:hRule="atLeast"/>
        </w:trPr>
        <w:tc>
          <w:tcPr>
            <w:tcW w:w="2222"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1E640BE0">
            <w:pPr>
              <w:spacing w:line="240" w:lineRule="auto"/>
              <w:ind w:firstLine="0" w:firstLineChars="0"/>
              <w:jc w:val="center"/>
              <w:textAlignment w:val="center"/>
              <w:rPr>
                <w:rFonts w:ascii="仿宋_GB2312" w:hAnsi="仿宋_GB2312" w:eastAsia="仿宋_GB2312" w:cs="仿宋_GB2312"/>
                <w:color w:val="000000"/>
                <w:kern w:val="0"/>
                <w:sz w:val="21"/>
                <w:szCs w:val="21"/>
              </w:rPr>
            </w:pPr>
            <w:r>
              <w:rPr>
                <w:rFonts w:ascii="仿宋_GB2312" w:hAnsi="仿宋_GB2312" w:eastAsia="仿宋_GB2312" w:cs="仿宋_GB2312"/>
                <w:color w:val="000000"/>
                <w:kern w:val="0"/>
                <w:sz w:val="21"/>
                <w:szCs w:val="21"/>
              </w:rPr>
              <w:t>合计</w:t>
            </w:r>
          </w:p>
        </w:tc>
        <w:tc>
          <w:tcPr>
            <w:tcW w:w="1009" w:type="pct"/>
            <w:tcBorders>
              <w:top w:val="single" w:color="000000" w:sz="4" w:space="0"/>
              <w:left w:val="single" w:color="000000" w:sz="4" w:space="0"/>
              <w:bottom w:val="single" w:color="000000" w:sz="4" w:space="0"/>
              <w:right w:val="single" w:color="auto" w:sz="4" w:space="0"/>
            </w:tcBorders>
            <w:shd w:val="clear" w:color="auto" w:fill="auto"/>
            <w:vAlign w:val="center"/>
          </w:tcPr>
          <w:p w14:paraId="112F341B">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2960.1</w:t>
            </w:r>
          </w:p>
        </w:tc>
        <w:tc>
          <w:tcPr>
            <w:tcW w:w="1009" w:type="pct"/>
            <w:tcBorders>
              <w:top w:val="single" w:color="000000" w:sz="4" w:space="0"/>
              <w:left w:val="single" w:color="auto" w:sz="4" w:space="0"/>
              <w:bottom w:val="single" w:color="000000" w:sz="4" w:space="0"/>
              <w:right w:val="single" w:color="auto" w:sz="4" w:space="0"/>
            </w:tcBorders>
            <w:shd w:val="clear" w:color="auto" w:fill="auto"/>
            <w:vAlign w:val="center"/>
          </w:tcPr>
          <w:p w14:paraId="6733BC77">
            <w:pPr>
              <w:spacing w:line="240" w:lineRule="auto"/>
              <w:ind w:firstLine="0" w:firstLineChars="0"/>
              <w:jc w:val="center"/>
              <w:textAlignment w:val="center"/>
              <w:rPr>
                <w:rFonts w:ascii="仿宋_GB2312" w:hAnsi="仿宋_GB2312" w:eastAsia="仿宋_GB2312" w:cs="仿宋_GB2312"/>
                <w:color w:val="000000"/>
                <w:kern w:val="0"/>
                <w:sz w:val="21"/>
                <w:szCs w:val="21"/>
              </w:rPr>
            </w:pPr>
            <w:r>
              <w:rPr>
                <w:rFonts w:ascii="仿宋_GB2312" w:hAnsi="仿宋_GB2312" w:eastAsia="仿宋_GB2312" w:cs="仿宋_GB2312"/>
                <w:color w:val="000000"/>
                <w:kern w:val="0"/>
                <w:sz w:val="21"/>
                <w:szCs w:val="21"/>
              </w:rPr>
              <w:fldChar w:fldCharType="begin"/>
            </w:r>
            <w:r>
              <w:rPr>
                <w:rFonts w:ascii="仿宋_GB2312" w:hAnsi="仿宋_GB2312" w:eastAsia="仿宋_GB2312" w:cs="仿宋_GB2312"/>
                <w:color w:val="000000"/>
                <w:kern w:val="0"/>
                <w:sz w:val="21"/>
                <w:szCs w:val="21"/>
              </w:rPr>
              <w:instrText xml:space="preserve"> =SUM(ABOVE) </w:instrText>
            </w:r>
            <w:r>
              <w:rPr>
                <w:rFonts w:ascii="仿宋_GB2312" w:hAnsi="仿宋_GB2312" w:eastAsia="仿宋_GB2312" w:cs="仿宋_GB2312"/>
                <w:color w:val="000000"/>
                <w:kern w:val="0"/>
                <w:sz w:val="21"/>
                <w:szCs w:val="21"/>
              </w:rPr>
              <w:fldChar w:fldCharType="separate"/>
            </w:r>
            <w:r>
              <w:rPr>
                <w:rFonts w:ascii="仿宋_GB2312" w:hAnsi="仿宋_GB2312" w:eastAsia="仿宋_GB2312" w:cs="仿宋_GB2312"/>
                <w:color w:val="000000"/>
                <w:kern w:val="0"/>
                <w:sz w:val="21"/>
                <w:szCs w:val="21"/>
              </w:rPr>
              <w:t>1000</w:t>
            </w:r>
            <w:r>
              <w:rPr>
                <w:rFonts w:ascii="仿宋_GB2312" w:hAnsi="仿宋_GB2312" w:eastAsia="仿宋_GB2312" w:cs="仿宋_GB2312"/>
                <w:color w:val="000000"/>
                <w:kern w:val="0"/>
                <w:sz w:val="21"/>
                <w:szCs w:val="21"/>
              </w:rPr>
              <w:fldChar w:fldCharType="end"/>
            </w:r>
          </w:p>
        </w:tc>
        <w:tc>
          <w:tcPr>
            <w:tcW w:w="758" w:type="pct"/>
            <w:tcBorders>
              <w:top w:val="single" w:color="000000" w:sz="4" w:space="0"/>
              <w:left w:val="single" w:color="auto" w:sz="4" w:space="0"/>
              <w:bottom w:val="single" w:color="000000" w:sz="4" w:space="0"/>
              <w:right w:val="single" w:color="000000" w:sz="4" w:space="0"/>
            </w:tcBorders>
            <w:shd w:val="clear" w:color="auto" w:fill="auto"/>
            <w:vAlign w:val="center"/>
          </w:tcPr>
          <w:p w14:paraId="0E434100">
            <w:pPr>
              <w:spacing w:line="240" w:lineRule="auto"/>
              <w:ind w:firstLine="0" w:firstLineChars="0"/>
              <w:jc w:val="center"/>
              <w:textAlignment w:val="center"/>
              <w:rPr>
                <w:rFonts w:ascii="仿宋_GB2312" w:hAnsi="仿宋_GB2312" w:eastAsia="仿宋_GB2312" w:cs="仿宋_GB2312"/>
                <w:color w:val="000000"/>
                <w:kern w:val="0"/>
                <w:sz w:val="21"/>
                <w:szCs w:val="21"/>
              </w:rPr>
            </w:pPr>
          </w:p>
        </w:tc>
      </w:tr>
    </w:tbl>
    <w:p w14:paraId="7BC2006C">
      <w:pPr>
        <w:pStyle w:val="4"/>
        <w:ind w:left="0" w:leftChars="0" w:firstLine="320" w:firstLineChars="100"/>
        <w:rPr>
          <w:rFonts w:hint="eastAsia" w:ascii="仿宋_GB2312"/>
          <w:lang w:val="en-US" w:eastAsia="zh-CN"/>
        </w:rPr>
      </w:pPr>
      <w:bookmarkStart w:id="25" w:name="_Toc32284"/>
      <w:r>
        <w:rPr>
          <w:rFonts w:hint="eastAsia" w:ascii="仿宋_GB2312"/>
          <w:lang w:val="en-US" w:eastAsia="zh-CN"/>
        </w:rPr>
        <w:t>（三）项目绩效目标</w:t>
      </w:r>
      <w:bookmarkEnd w:id="21"/>
      <w:bookmarkEnd w:id="22"/>
      <w:bookmarkEnd w:id="23"/>
      <w:bookmarkEnd w:id="24"/>
      <w:bookmarkEnd w:id="25"/>
    </w:p>
    <w:p w14:paraId="56E622A4">
      <w:pPr>
        <w:spacing w:line="520" w:lineRule="exact"/>
        <w:ind w:firstLine="643"/>
        <w:rPr>
          <w:rFonts w:ascii="仿宋_GB2312" w:hAnsi="仿宋"/>
          <w:b w:val="0"/>
          <w:bCs/>
          <w:kern w:val="0"/>
          <w:szCs w:val="32"/>
        </w:rPr>
      </w:pPr>
      <w:r>
        <w:rPr>
          <w:rFonts w:hint="eastAsia" w:ascii="仿宋_GB2312" w:hAnsi="仿宋"/>
          <w:b w:val="0"/>
          <w:bCs/>
          <w:kern w:val="0"/>
          <w:szCs w:val="32"/>
          <w:lang w:val="en-US" w:eastAsia="zh-CN"/>
        </w:rPr>
        <w:t>1.项目总体</w:t>
      </w:r>
      <w:r>
        <w:rPr>
          <w:rFonts w:hint="eastAsia" w:ascii="仿宋_GB2312" w:hAnsi="仿宋"/>
          <w:b w:val="0"/>
          <w:bCs/>
          <w:kern w:val="0"/>
          <w:szCs w:val="32"/>
        </w:rPr>
        <w:t>目标</w:t>
      </w:r>
    </w:p>
    <w:p w14:paraId="05EA3EF0">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提高学校办学条件，满足干部教育200人以上封闭培训要求的设备完善、设施齐全、规模合理的学校区，改善原有的基础设施条件，推进党校建设，为党校科学发展提供有力保证。</w:t>
      </w:r>
    </w:p>
    <w:p w14:paraId="58C99FD2">
      <w:pPr>
        <w:spacing w:line="520" w:lineRule="exact"/>
        <w:ind w:firstLine="643"/>
        <w:rPr>
          <w:rFonts w:hint="eastAsia" w:ascii="仿宋_GB2312" w:hAnsi="仿宋"/>
          <w:b w:val="0"/>
          <w:bCs/>
          <w:kern w:val="0"/>
          <w:szCs w:val="32"/>
          <w:lang w:val="en-US" w:eastAsia="zh-CN"/>
        </w:rPr>
      </w:pPr>
      <w:r>
        <w:rPr>
          <w:rFonts w:hint="eastAsia" w:ascii="仿宋_GB2312" w:hAnsi="仿宋"/>
          <w:b w:val="0"/>
          <w:bCs/>
          <w:kern w:val="0"/>
          <w:szCs w:val="32"/>
          <w:lang w:val="en-US" w:eastAsia="zh-CN"/>
        </w:rPr>
        <w:t>2.阶段性目标</w:t>
      </w:r>
    </w:p>
    <w:p w14:paraId="267D0C9B">
      <w:pPr>
        <w:ind w:firstLine="640"/>
        <w:rPr>
          <w:rFonts w:hint="eastAsia" w:ascii="仿宋_GB2312"/>
          <w:lang w:val="en-US" w:eastAsia="zh-CN"/>
        </w:rPr>
      </w:pPr>
      <w:r>
        <w:rPr>
          <w:rFonts w:hint="eastAsia" w:ascii="仿宋_GB2312"/>
          <w:lang w:val="en-US" w:eastAsia="zh-CN"/>
        </w:rPr>
        <w:t>（1）产出目标</w:t>
      </w:r>
    </w:p>
    <w:p w14:paraId="3B4EF5C2">
      <w:pPr>
        <w:ind w:firstLine="640"/>
        <w:rPr>
          <w:rFonts w:hint="eastAsia"/>
          <w:lang w:val="zh-CN" w:eastAsia="zh-CN"/>
        </w:rPr>
      </w:pPr>
      <w:r>
        <w:rPr>
          <w:rFonts w:hint="eastAsia"/>
          <w:lang w:val="zh-CN" w:eastAsia="zh-CN"/>
        </w:rPr>
        <w:t>数量指标：新建综合教学楼4783.02㎡；</w:t>
      </w:r>
    </w:p>
    <w:p w14:paraId="5D75C176">
      <w:pPr>
        <w:ind w:firstLine="2240" w:firstLineChars="700"/>
        <w:rPr>
          <w:rFonts w:hint="eastAsia"/>
          <w:lang w:val="zh-CN" w:eastAsia="zh-CN"/>
        </w:rPr>
      </w:pPr>
      <w:r>
        <w:rPr>
          <w:rFonts w:hint="eastAsia"/>
          <w:lang w:val="zh-CN" w:eastAsia="zh-CN"/>
        </w:rPr>
        <w:t>容纳学员人数200人。</w:t>
      </w:r>
    </w:p>
    <w:p w14:paraId="76A12A48">
      <w:pPr>
        <w:ind w:firstLine="640"/>
        <w:rPr>
          <w:rFonts w:hint="eastAsia"/>
          <w:lang w:val="zh-CN" w:eastAsia="zh-CN"/>
        </w:rPr>
      </w:pPr>
      <w:r>
        <w:rPr>
          <w:rFonts w:hint="eastAsia"/>
          <w:lang w:val="zh-CN" w:eastAsia="zh-CN"/>
        </w:rPr>
        <w:t xml:space="preserve">质量指标：新建综合教学楼达到施工合同的要求。     </w:t>
      </w:r>
    </w:p>
    <w:p w14:paraId="6DF792FE">
      <w:pPr>
        <w:ind w:firstLine="640"/>
        <w:rPr>
          <w:rFonts w:hint="eastAsia"/>
          <w:lang w:val="zh-CN" w:eastAsia="zh-CN"/>
        </w:rPr>
      </w:pPr>
      <w:r>
        <w:rPr>
          <w:rFonts w:hint="eastAsia"/>
          <w:lang w:val="zh-CN" w:eastAsia="zh-CN"/>
        </w:rPr>
        <w:t>时效指标：项目完工及时性；</w:t>
      </w:r>
    </w:p>
    <w:p w14:paraId="5166743B">
      <w:pPr>
        <w:ind w:firstLine="2240" w:firstLineChars="700"/>
        <w:rPr>
          <w:rFonts w:hint="eastAsia"/>
          <w:lang w:val="zh-CN" w:eastAsia="zh-CN"/>
        </w:rPr>
      </w:pPr>
      <w:r>
        <w:rPr>
          <w:rFonts w:hint="eastAsia"/>
          <w:lang w:val="zh-CN" w:eastAsia="zh-CN"/>
        </w:rPr>
        <w:t>项目验收及时性。</w:t>
      </w:r>
    </w:p>
    <w:p w14:paraId="746EF317">
      <w:pPr>
        <w:ind w:firstLine="640"/>
        <w:rPr>
          <w:rFonts w:hint="eastAsia"/>
          <w:lang w:val="zh-CN" w:eastAsia="zh-CN"/>
        </w:rPr>
      </w:pPr>
      <w:r>
        <w:rPr>
          <w:rFonts w:hint="eastAsia"/>
          <w:lang w:val="zh-CN" w:eastAsia="zh-CN"/>
        </w:rPr>
        <w:t>成本指标：实际成本控制在2960.1万元内。</w:t>
      </w:r>
    </w:p>
    <w:p w14:paraId="4B44F2B8">
      <w:pPr>
        <w:spacing w:line="520" w:lineRule="exact"/>
        <w:ind w:firstLine="643"/>
        <w:rPr>
          <w:rFonts w:ascii="仿宋_GB2312" w:hAnsi="仿宋"/>
          <w:b w:val="0"/>
          <w:bCs w:val="0"/>
          <w:kern w:val="0"/>
          <w:szCs w:val="32"/>
        </w:rPr>
      </w:pPr>
      <w:r>
        <w:rPr>
          <w:rFonts w:hint="eastAsia" w:ascii="仿宋_GB2312" w:hAnsi="仿宋"/>
          <w:b w:val="0"/>
          <w:bCs w:val="0"/>
          <w:kern w:val="0"/>
          <w:szCs w:val="32"/>
          <w:lang w:val="en-US" w:eastAsia="zh-CN"/>
        </w:rPr>
        <w:t>（2）</w:t>
      </w:r>
      <w:r>
        <w:rPr>
          <w:rFonts w:ascii="仿宋_GB2312" w:hAnsi="仿宋"/>
          <w:b w:val="0"/>
          <w:bCs w:val="0"/>
          <w:kern w:val="0"/>
          <w:szCs w:val="32"/>
        </w:rPr>
        <w:t>效益目标</w:t>
      </w:r>
    </w:p>
    <w:p w14:paraId="42391DC2">
      <w:pPr>
        <w:ind w:firstLine="640"/>
        <w:rPr>
          <w:rFonts w:hint="eastAsia" w:ascii="仿宋_GB2312" w:hAnsi="仿宋_GB2312" w:eastAsia="仿宋_GB2312" w:cs="仿宋_GB2312"/>
          <w:lang w:val="en-US" w:eastAsia="zh-CN"/>
        </w:rPr>
      </w:pPr>
      <w:bookmarkStart w:id="26" w:name="_Toc1646"/>
      <w:r>
        <w:rPr>
          <w:rFonts w:hint="eastAsia" w:ascii="仿宋_GB2312" w:hAnsi="仿宋_GB2312" w:eastAsia="仿宋_GB2312" w:cs="仿宋_GB2312"/>
          <w:lang w:val="en-US" w:eastAsia="zh-CN"/>
        </w:rPr>
        <w:t>社会效益-改善工作环境：改善党校基础设施，促进党校办学规模的不断优化，完善县级党校领导体制，深化办学体制改革，改善工作人员工作环境，符合国家方针政策。</w:t>
      </w:r>
    </w:p>
    <w:p w14:paraId="6A2A7325">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可持续影响：有相应的后续管理费用和专业维护人员，运行维护后续制度健全。</w:t>
      </w:r>
    </w:p>
    <w:p w14:paraId="33DF3BD2">
      <w:pPr>
        <w:ind w:firstLine="640"/>
        <w:rPr>
          <w:rFonts w:hint="eastAsia" w:ascii="仿宋_GB2312" w:hAnsi="仿宋_GB2312" w:eastAsia="仿宋_GB2312" w:cs="仿宋_GB2312"/>
          <w:lang w:val="en-US" w:eastAsia="zh-CN"/>
        </w:rPr>
      </w:pPr>
      <w:r>
        <w:rPr>
          <w:rFonts w:hint="eastAsia" w:ascii="仿宋_GB2312" w:hAnsi="仿宋_GB2312" w:cs="仿宋_GB2312"/>
          <w:lang w:val="en-US" w:eastAsia="zh-CN"/>
        </w:rPr>
        <w:t>（3）</w:t>
      </w:r>
      <w:r>
        <w:rPr>
          <w:rFonts w:hint="eastAsia" w:ascii="仿宋_GB2312" w:hAnsi="仿宋_GB2312" w:eastAsia="仿宋_GB2312" w:cs="仿宋_GB2312"/>
          <w:lang w:val="en-US" w:eastAsia="zh-CN"/>
        </w:rPr>
        <w:t>服务对象满意度：95%及以上。</w:t>
      </w:r>
    </w:p>
    <w:bookmarkEnd w:id="26"/>
    <w:p w14:paraId="76447D80">
      <w:pPr>
        <w:pStyle w:val="3"/>
        <w:ind w:firstLine="640"/>
      </w:pPr>
      <w:bookmarkStart w:id="27" w:name="_Toc12426"/>
      <w:r>
        <w:t>二、</w:t>
      </w:r>
      <w:r>
        <w:rPr>
          <w:rFonts w:hint="eastAsia"/>
        </w:rPr>
        <w:t>绩效评价工作开展情况</w:t>
      </w:r>
      <w:bookmarkEnd w:id="27"/>
    </w:p>
    <w:p w14:paraId="5B9F0508">
      <w:pPr>
        <w:pStyle w:val="4"/>
        <w:ind w:firstLine="640"/>
        <w:rPr>
          <w:rFonts w:ascii="仿宋_GB2312"/>
        </w:rPr>
      </w:pPr>
      <w:bookmarkStart w:id="28" w:name="_Toc29243"/>
      <w:r>
        <w:rPr>
          <w:rFonts w:ascii="仿宋_GB2312"/>
        </w:rPr>
        <w:t>（一）</w:t>
      </w:r>
      <w:r>
        <w:rPr>
          <w:rFonts w:hint="eastAsia" w:ascii="仿宋_GB2312"/>
        </w:rPr>
        <w:t>绩效</w:t>
      </w:r>
      <w:r>
        <w:rPr>
          <w:rFonts w:ascii="仿宋_GB2312"/>
        </w:rPr>
        <w:t>评价目的</w:t>
      </w:r>
      <w:r>
        <w:rPr>
          <w:rFonts w:hint="eastAsia" w:ascii="仿宋_GB2312"/>
        </w:rPr>
        <w:t>、对象和范围</w:t>
      </w:r>
      <w:bookmarkEnd w:id="28"/>
    </w:p>
    <w:p w14:paraId="4491F2A4">
      <w:pPr>
        <w:ind w:firstLine="640"/>
        <w:rPr>
          <w:rFonts w:hint="eastAsia"/>
        </w:rPr>
      </w:pPr>
      <w:r>
        <w:rPr>
          <w:rFonts w:hint="eastAsia" w:ascii="仿宋_GB2312"/>
        </w:rPr>
        <w:t>1.</w:t>
      </w:r>
      <w:r>
        <w:rPr>
          <w:rFonts w:hint="eastAsia"/>
        </w:rPr>
        <w:t>评价目的</w:t>
      </w:r>
    </w:p>
    <w:p w14:paraId="3BF3FCA2">
      <w:pPr>
        <w:ind w:firstLine="640"/>
        <w:rPr>
          <w:rFonts w:hint="eastAsia"/>
        </w:rPr>
      </w:pPr>
      <w:r>
        <w:rPr>
          <w:rFonts w:hint="eastAsia"/>
        </w:rPr>
        <w:t>财政支出绩效评价旨在通过评价改善预算部门的财政支出管理，优化资源配置，提高公共服务水平。本次绩效评价遵循《财政部关于印发&lt;项目支出绩效评价管理办法&gt;的通知》（财预〔2020〕10 号）、《中共中央国务院关于全面实施预算绩效管理的意见》(中发〔2018〕34号)、《山西省财政厅关于印发&lt;省级项目支出绩效评价管理办法&gt;的通知》的有关规定，客观、全面、公正地评价</w:t>
      </w:r>
      <w:r>
        <w:rPr>
          <w:rFonts w:hint="eastAsia"/>
          <w:lang w:val="en-US" w:eastAsia="zh-CN"/>
        </w:rPr>
        <w:t>古县县委党校改扩建项目</w:t>
      </w:r>
      <w:r>
        <w:rPr>
          <w:rFonts w:hint="eastAsia"/>
        </w:rPr>
        <w:t>。</w:t>
      </w:r>
    </w:p>
    <w:p w14:paraId="28C9C089">
      <w:pPr>
        <w:ind w:firstLine="640"/>
        <w:rPr>
          <w:rFonts w:hint="eastAsia"/>
        </w:rPr>
      </w:pPr>
      <w:r>
        <w:rPr>
          <w:rFonts w:hint="eastAsia"/>
        </w:rPr>
        <w:t>（1）通过绩效评价，深入了解</w:t>
      </w:r>
      <w:r>
        <w:rPr>
          <w:rFonts w:hint="eastAsia"/>
          <w:lang w:val="en-US" w:eastAsia="zh-CN"/>
        </w:rPr>
        <w:t>古县县委党校改扩建项目</w:t>
      </w:r>
      <w:r>
        <w:rPr>
          <w:rFonts w:hint="eastAsia"/>
        </w:rPr>
        <w:t>的决策、过程、产出和效益方面的详细情况，从而发现问题，并提出改进意见，进一步提高资金使用效率，为今后</w:t>
      </w:r>
      <w:r>
        <w:rPr>
          <w:rFonts w:hint="eastAsia"/>
          <w:lang w:val="en-US" w:eastAsia="zh-CN"/>
        </w:rPr>
        <w:t>古县县委党校改扩建项目</w:t>
      </w:r>
      <w:r>
        <w:rPr>
          <w:rFonts w:hint="eastAsia"/>
        </w:rPr>
        <w:t>科学合理</w:t>
      </w:r>
      <w:r>
        <w:rPr>
          <w:rFonts w:hint="eastAsia"/>
          <w:lang w:val="en-US" w:eastAsia="zh-CN"/>
        </w:rPr>
        <w:t>工作</w:t>
      </w:r>
      <w:r>
        <w:rPr>
          <w:rFonts w:hint="eastAsia"/>
        </w:rPr>
        <w:t>方案提供参考。</w:t>
      </w:r>
    </w:p>
    <w:p w14:paraId="187D9B09">
      <w:pPr>
        <w:ind w:firstLine="640"/>
        <w:rPr>
          <w:rFonts w:hint="eastAsia"/>
        </w:rPr>
      </w:pPr>
      <w:r>
        <w:rPr>
          <w:rFonts w:hint="eastAsia"/>
        </w:rPr>
        <w:t>（2）督促、指导资金使用单位，严格按照政策规定用途使用</w:t>
      </w:r>
      <w:r>
        <w:rPr>
          <w:rFonts w:hint="eastAsia"/>
          <w:lang w:val="en-US" w:eastAsia="zh-CN"/>
        </w:rPr>
        <w:t>古县县委党校改扩建项目</w:t>
      </w:r>
      <w:r>
        <w:rPr>
          <w:rFonts w:hint="eastAsia"/>
        </w:rPr>
        <w:t>资金，建立健全资金分配、管理制度，确保资金运行安全，对项目资金的拨付及使用提供科学依据。</w:t>
      </w:r>
    </w:p>
    <w:p w14:paraId="7D0EC09A">
      <w:pPr>
        <w:ind w:firstLine="640"/>
        <w:rPr>
          <w:rFonts w:hint="eastAsia"/>
        </w:rPr>
      </w:pPr>
      <w:r>
        <w:rPr>
          <w:rFonts w:hint="eastAsia"/>
        </w:rPr>
        <w:t>（3）从绩效的角度发现</w:t>
      </w:r>
      <w:r>
        <w:rPr>
          <w:rFonts w:hint="eastAsia"/>
          <w:lang w:val="en-US" w:eastAsia="zh-CN"/>
        </w:rPr>
        <w:t>古县县委党校改扩建项目</w:t>
      </w:r>
      <w:r>
        <w:rPr>
          <w:rFonts w:hint="eastAsia"/>
        </w:rPr>
        <w:t>在效率效益、完成情况和完成质量方面存在的问题，提出解决问题的建议，为提升资金使用绩效提供决策依据，提高各职能部门管理水平，加强规范化、制度化建设，建立健全目标化管理制度，推进预算绩效管理。</w:t>
      </w:r>
    </w:p>
    <w:p w14:paraId="1354F91B">
      <w:pPr>
        <w:ind w:firstLine="640"/>
      </w:pPr>
      <w:r>
        <w:rPr>
          <w:rFonts w:hint="eastAsia" w:ascii="仿宋_GB2312"/>
        </w:rPr>
        <w:t>2.</w:t>
      </w:r>
      <w:r>
        <w:rPr>
          <w:rFonts w:hint="eastAsia"/>
        </w:rPr>
        <w:t>评价依据</w:t>
      </w:r>
    </w:p>
    <w:p w14:paraId="7E4B6D90">
      <w:pPr>
        <w:ind w:firstLine="640"/>
        <w:rPr>
          <w:rFonts w:hint="eastAsia" w:ascii="仿宋_GB2312"/>
        </w:rPr>
      </w:pPr>
      <w:r>
        <w:rPr>
          <w:rFonts w:hint="eastAsia" w:ascii="仿宋_GB2312"/>
        </w:rPr>
        <w:t>评价依据是评价所依据的法律、法规规章、政策文件，包括但不限于：</w:t>
      </w:r>
    </w:p>
    <w:p w14:paraId="7C4B4CD9">
      <w:pPr>
        <w:ind w:firstLine="640"/>
        <w:rPr>
          <w:rFonts w:hint="eastAsia" w:ascii="仿宋_GB2312"/>
          <w:lang w:val="en-US" w:eastAsia="zh-CN"/>
        </w:rPr>
      </w:pPr>
      <w:r>
        <w:rPr>
          <w:rFonts w:hint="eastAsia" w:ascii="仿宋_GB2312"/>
          <w:lang w:val="en-US" w:eastAsia="zh-CN"/>
        </w:rPr>
        <w:t>（1）《中华人民共和国预算法》（2018年修正）；</w:t>
      </w:r>
    </w:p>
    <w:p w14:paraId="48903A67">
      <w:pPr>
        <w:ind w:firstLine="640"/>
        <w:rPr>
          <w:rFonts w:hint="eastAsia" w:ascii="仿宋_GB2312"/>
          <w:lang w:val="en-US" w:eastAsia="zh-CN"/>
        </w:rPr>
      </w:pPr>
      <w:r>
        <w:rPr>
          <w:rFonts w:hint="eastAsia" w:ascii="仿宋_GB2312"/>
          <w:lang w:val="en-US" w:eastAsia="zh-CN"/>
        </w:rPr>
        <w:t>（2）《中华人民共和国预算法实施条例》（中华人民共和国国务院令第729号修订）；</w:t>
      </w:r>
    </w:p>
    <w:p w14:paraId="4369B8D2">
      <w:pPr>
        <w:ind w:firstLine="640"/>
        <w:rPr>
          <w:rFonts w:hint="eastAsia" w:ascii="仿宋_GB2312"/>
          <w:lang w:val="en-US" w:eastAsia="zh-CN"/>
        </w:rPr>
      </w:pPr>
      <w:r>
        <w:rPr>
          <w:rFonts w:hint="eastAsia" w:ascii="仿宋_GB2312"/>
          <w:lang w:val="en-US" w:eastAsia="zh-CN"/>
        </w:rPr>
        <w:t>（3）《中共中央国务院关于全面实施预算绩效管理的意见》（中发〔2018〕34号）；</w:t>
      </w:r>
    </w:p>
    <w:p w14:paraId="1D21F051">
      <w:pPr>
        <w:ind w:firstLine="640"/>
        <w:rPr>
          <w:rFonts w:hint="eastAsia" w:ascii="仿宋_GB2312"/>
          <w:lang w:val="en-US" w:eastAsia="zh-CN"/>
        </w:rPr>
      </w:pPr>
      <w:r>
        <w:rPr>
          <w:rFonts w:hint="eastAsia" w:ascii="仿宋_GB2312"/>
          <w:lang w:val="en-US" w:eastAsia="zh-CN"/>
        </w:rPr>
        <w:t>（4）《财政部关于印发&lt;项目支出绩效评价管理办法&gt;的通知》（财预〔2020〕10号）；</w:t>
      </w:r>
    </w:p>
    <w:p w14:paraId="2A628C1D">
      <w:pPr>
        <w:ind w:firstLine="640"/>
        <w:rPr>
          <w:rFonts w:hint="eastAsia" w:ascii="仿宋_GB2312"/>
          <w:lang w:val="en-US" w:eastAsia="zh-CN"/>
        </w:rPr>
      </w:pPr>
      <w:r>
        <w:rPr>
          <w:rFonts w:hint="eastAsia" w:ascii="仿宋_GB2312"/>
          <w:lang w:val="en-US" w:eastAsia="zh-CN"/>
        </w:rPr>
        <w:t>（5）《山西省委 山西省人民政府正式印发&lt;关于全面实施预算绩效管理的实施意见&gt;》（晋发〔2018〕39号）；</w:t>
      </w:r>
    </w:p>
    <w:p w14:paraId="333041DB">
      <w:pPr>
        <w:ind w:firstLine="640"/>
        <w:rPr>
          <w:rFonts w:hint="eastAsia" w:ascii="仿宋_GB2312"/>
          <w:lang w:val="en-US" w:eastAsia="zh-CN"/>
        </w:rPr>
      </w:pPr>
      <w:r>
        <w:rPr>
          <w:rFonts w:hint="eastAsia" w:ascii="仿宋_GB2312"/>
          <w:lang w:val="en-US" w:eastAsia="zh-CN"/>
        </w:rPr>
        <w:t>（6）《山西省财政厅关于贯彻落实&lt;中共山西省委 山西省人民政府关于全面实施预算绩效管理的实施意见&gt;的通知》（晋财绩〔2019〕12号）；</w:t>
      </w:r>
    </w:p>
    <w:p w14:paraId="701CDF7E">
      <w:pPr>
        <w:ind w:firstLine="640"/>
        <w:rPr>
          <w:rFonts w:hint="eastAsia" w:ascii="仿宋_GB2312"/>
          <w:lang w:val="en-US" w:eastAsia="zh-CN"/>
        </w:rPr>
      </w:pPr>
      <w:r>
        <w:rPr>
          <w:rFonts w:hint="eastAsia" w:ascii="仿宋_GB2312"/>
          <w:lang w:val="en-US" w:eastAsia="zh-CN"/>
        </w:rPr>
        <w:t>（7）</w:t>
      </w:r>
      <w:r>
        <w:rPr>
          <w:rFonts w:hint="eastAsia" w:ascii="仿宋_GB2312"/>
          <w:lang w:eastAsia="zh-CN"/>
        </w:rPr>
        <w:t>《临汾市全面实施预算绩效管理实施方案》（临财办〔2019〕30号）</w:t>
      </w:r>
      <w:r>
        <w:rPr>
          <w:rFonts w:hint="eastAsia" w:ascii="仿宋_GB2312"/>
          <w:lang w:val="en-US" w:eastAsia="zh-CN"/>
        </w:rPr>
        <w:t>；</w:t>
      </w:r>
    </w:p>
    <w:p w14:paraId="6A1819E8">
      <w:pPr>
        <w:ind w:firstLine="640"/>
        <w:rPr>
          <w:rFonts w:hint="eastAsia" w:ascii="仿宋_GB2312"/>
          <w:lang w:val="en-US" w:eastAsia="zh-CN"/>
        </w:rPr>
      </w:pPr>
      <w:r>
        <w:rPr>
          <w:rFonts w:hint="eastAsia" w:ascii="仿宋_GB2312"/>
          <w:lang w:val="en-US" w:eastAsia="zh-CN"/>
        </w:rPr>
        <w:t>（8）</w:t>
      </w:r>
      <w:r>
        <w:rPr>
          <w:rFonts w:hint="eastAsia" w:ascii="仿宋_GB2312"/>
          <w:lang w:eastAsia="zh-CN"/>
        </w:rPr>
        <w:t>《</w:t>
      </w:r>
      <w:r>
        <w:rPr>
          <w:rFonts w:hint="eastAsia" w:ascii="仿宋_GB2312"/>
          <w:lang w:val="en-US" w:eastAsia="zh-CN"/>
        </w:rPr>
        <w:t>市级项目支出绩效评价管理办法（试行）</w:t>
      </w:r>
      <w:r>
        <w:rPr>
          <w:rFonts w:hint="eastAsia" w:ascii="仿宋_GB2312"/>
          <w:lang w:eastAsia="zh-CN"/>
        </w:rPr>
        <w:t>》（</w:t>
      </w:r>
      <w:r>
        <w:rPr>
          <w:rFonts w:hint="eastAsia" w:ascii="仿宋_GB2312"/>
          <w:lang w:val="en-US" w:eastAsia="zh-CN"/>
        </w:rPr>
        <w:t>临财绩</w:t>
      </w:r>
      <w:r>
        <w:rPr>
          <w:rFonts w:hint="eastAsia" w:ascii="仿宋_GB2312"/>
        </w:rPr>
        <w:t>〔20</w:t>
      </w:r>
      <w:r>
        <w:rPr>
          <w:rFonts w:hint="eastAsia" w:ascii="仿宋_GB2312"/>
          <w:lang w:val="en-US" w:eastAsia="zh-CN"/>
        </w:rPr>
        <w:t>21</w:t>
      </w:r>
      <w:r>
        <w:rPr>
          <w:rFonts w:hint="eastAsia" w:ascii="仿宋_GB2312"/>
        </w:rPr>
        <w:t>〕</w:t>
      </w:r>
      <w:r>
        <w:rPr>
          <w:rFonts w:hint="eastAsia" w:ascii="仿宋_GB2312"/>
          <w:lang w:val="en-US" w:eastAsia="zh-CN"/>
        </w:rPr>
        <w:t>6</w:t>
      </w:r>
      <w:r>
        <w:rPr>
          <w:rFonts w:hint="eastAsia" w:ascii="仿宋_GB2312"/>
        </w:rPr>
        <w:t>号</w:t>
      </w:r>
      <w:r>
        <w:rPr>
          <w:rFonts w:hint="eastAsia" w:ascii="仿宋_GB2312"/>
          <w:lang w:eastAsia="zh-CN"/>
        </w:rPr>
        <w:t>）</w:t>
      </w:r>
      <w:r>
        <w:rPr>
          <w:rFonts w:hint="eastAsia" w:ascii="仿宋_GB2312"/>
          <w:lang w:val="en-US" w:eastAsia="zh-CN"/>
        </w:rPr>
        <w:t>；</w:t>
      </w:r>
    </w:p>
    <w:p w14:paraId="27571633">
      <w:pPr>
        <w:ind w:firstLine="640"/>
        <w:rPr>
          <w:rFonts w:hint="eastAsia" w:ascii="仿宋_GB2312"/>
          <w:lang w:val="en-US" w:eastAsia="zh-CN"/>
        </w:rPr>
      </w:pPr>
      <w:r>
        <w:rPr>
          <w:rFonts w:hint="eastAsia" w:ascii="仿宋_GB2312"/>
          <w:lang w:val="en-US" w:eastAsia="zh-CN"/>
        </w:rPr>
        <w:t>（9）《古县财政局2022年预算绩效评价实施方案》（古财字〔2022〕27号）；</w:t>
      </w:r>
    </w:p>
    <w:p w14:paraId="3DC1E83D">
      <w:pPr>
        <w:ind w:firstLine="640"/>
        <w:rPr>
          <w:rFonts w:hint="eastAsia" w:ascii="仿宋_GB2312"/>
          <w:lang w:val="en-US" w:eastAsia="zh-CN"/>
        </w:rPr>
      </w:pPr>
      <w:r>
        <w:rPr>
          <w:rFonts w:hint="eastAsia" w:ascii="仿宋_GB2312"/>
          <w:lang w:val="en-US" w:eastAsia="zh-CN"/>
        </w:rPr>
        <w:t>（10）《关于委托第三方机构参与预算绩效管理的指导意见》（财预〔2021〕6号）；</w:t>
      </w:r>
    </w:p>
    <w:p w14:paraId="1133757A">
      <w:pPr>
        <w:ind w:firstLine="640"/>
        <w:rPr>
          <w:rFonts w:hint="eastAsia" w:ascii="仿宋_GB2312"/>
          <w:lang w:val="en-US" w:eastAsia="zh-CN"/>
        </w:rPr>
      </w:pPr>
      <w:r>
        <w:rPr>
          <w:rFonts w:hint="eastAsia" w:ascii="仿宋_GB2312"/>
          <w:lang w:val="en-US" w:eastAsia="zh-CN"/>
        </w:rPr>
        <w:t>（11）财政部关于印发《第三方机构预算绩效评价业务监督管理暂行办法》的通知（财监[2021]4号）；</w:t>
      </w:r>
    </w:p>
    <w:p w14:paraId="06A3D578">
      <w:pPr>
        <w:ind w:firstLine="640"/>
        <w:rPr>
          <w:rFonts w:hint="eastAsia" w:ascii="仿宋_GB2312"/>
        </w:rPr>
      </w:pPr>
      <w:r>
        <w:rPr>
          <w:rFonts w:hint="eastAsia" w:ascii="仿宋_GB2312"/>
          <w:lang w:val="en-US" w:eastAsia="zh-CN"/>
        </w:rPr>
        <w:t>（12）其他有关的法律、法规规章、政策文件。</w:t>
      </w:r>
    </w:p>
    <w:p w14:paraId="59CD931F">
      <w:pPr>
        <w:ind w:firstLine="640"/>
        <w:rPr>
          <w:rFonts w:ascii="仿宋_GB2312"/>
        </w:rPr>
      </w:pPr>
      <w:r>
        <w:rPr>
          <w:rFonts w:hint="eastAsia" w:ascii="仿宋_GB2312"/>
        </w:rPr>
        <w:t>3.评价对象和范围</w:t>
      </w:r>
    </w:p>
    <w:p w14:paraId="364B2619">
      <w:pPr>
        <w:ind w:firstLine="640"/>
        <w:rPr>
          <w:rFonts w:hint="eastAsia" w:ascii="仿宋_GB2312"/>
        </w:rPr>
      </w:pPr>
      <w:r>
        <w:rPr>
          <w:rFonts w:hint="eastAsia"/>
        </w:rPr>
        <w:t>本次绩效评价的对象</w:t>
      </w:r>
      <w:r>
        <w:rPr>
          <w:rFonts w:hint="eastAsia"/>
          <w:lang w:eastAsia="zh-CN"/>
        </w:rPr>
        <w:t>：</w:t>
      </w:r>
      <w:r>
        <w:rPr>
          <w:rFonts w:hint="eastAsia"/>
          <w:lang w:val="en-US" w:eastAsia="zh-CN"/>
        </w:rPr>
        <w:t>古县县委党校改扩建项目涉及的县级</w:t>
      </w:r>
      <w:r>
        <w:rPr>
          <w:rFonts w:hint="eastAsia"/>
        </w:rPr>
        <w:t>财政资</w:t>
      </w:r>
      <w:r>
        <w:rPr>
          <w:rFonts w:hint="eastAsia" w:ascii="仿宋_GB2312"/>
        </w:rPr>
        <w:t>金</w:t>
      </w:r>
      <w:r>
        <w:rPr>
          <w:rFonts w:hint="eastAsia" w:ascii="仿宋_GB2312"/>
          <w:lang w:val="en-US" w:eastAsia="zh-CN"/>
        </w:rPr>
        <w:t>1000万元</w:t>
      </w:r>
      <w:r>
        <w:rPr>
          <w:rFonts w:hint="eastAsia" w:ascii="仿宋_GB2312"/>
        </w:rPr>
        <w:t>。</w:t>
      </w:r>
    </w:p>
    <w:p w14:paraId="3591D82F">
      <w:pPr>
        <w:ind w:firstLine="640"/>
        <w:rPr>
          <w:rFonts w:hint="eastAsia"/>
          <w:lang w:val="en-US" w:eastAsia="zh-CN"/>
        </w:rPr>
      </w:pPr>
      <w:r>
        <w:rPr>
          <w:rFonts w:hint="eastAsia"/>
          <w:lang w:val="en-US" w:eastAsia="zh-CN"/>
        </w:rPr>
        <w:t>评价</w:t>
      </w:r>
      <w:r>
        <w:rPr>
          <w:rFonts w:hint="eastAsia"/>
        </w:rPr>
        <w:t>范围：</w:t>
      </w:r>
      <w:r>
        <w:rPr>
          <w:rFonts w:hint="eastAsia"/>
          <w:lang w:val="en-US" w:eastAsia="zh-CN"/>
        </w:rPr>
        <w:t>古县县委党校改扩建项目涉及的县级</w:t>
      </w:r>
      <w:r>
        <w:rPr>
          <w:rFonts w:hint="eastAsia"/>
        </w:rPr>
        <w:t>财政资金</w:t>
      </w:r>
      <w:r>
        <w:rPr>
          <w:rFonts w:hint="eastAsia"/>
          <w:lang w:val="en-US" w:eastAsia="zh-CN"/>
        </w:rPr>
        <w:t>的使用绩效。</w:t>
      </w:r>
    </w:p>
    <w:p w14:paraId="2E1E5DB1">
      <w:pPr>
        <w:ind w:firstLine="640"/>
      </w:pPr>
      <w:r>
        <w:rPr>
          <w:rFonts w:hint="eastAsia"/>
          <w:lang w:val="en-US" w:eastAsia="zh-CN"/>
        </w:rPr>
        <w:t>评价时段：</w:t>
      </w:r>
      <w:r>
        <w:rPr>
          <w:rFonts w:hint="eastAsia" w:ascii="仿宋_GB2312"/>
          <w:lang w:val="en-US" w:eastAsia="zh-CN"/>
        </w:rPr>
        <w:t>2021</w:t>
      </w:r>
      <w:r>
        <w:rPr>
          <w:rFonts w:hint="eastAsia"/>
          <w:lang w:val="en-US" w:eastAsia="zh-CN"/>
        </w:rPr>
        <w:t>年</w:t>
      </w:r>
      <w:r>
        <w:rPr>
          <w:rFonts w:hint="eastAsia" w:ascii="仿宋_GB2312"/>
          <w:lang w:val="en-US" w:eastAsia="zh-CN"/>
        </w:rPr>
        <w:t>1</w:t>
      </w:r>
      <w:r>
        <w:rPr>
          <w:rFonts w:hint="eastAsia"/>
          <w:lang w:val="en-US" w:eastAsia="zh-CN"/>
        </w:rPr>
        <w:t>月</w:t>
      </w:r>
      <w:r>
        <w:rPr>
          <w:rFonts w:hint="eastAsia" w:ascii="仿宋_GB2312"/>
          <w:lang w:val="en-US" w:eastAsia="zh-CN"/>
        </w:rPr>
        <w:t>1</w:t>
      </w:r>
      <w:r>
        <w:rPr>
          <w:rFonts w:hint="eastAsia"/>
          <w:lang w:val="en-US" w:eastAsia="zh-CN"/>
        </w:rPr>
        <w:t>日</w:t>
      </w:r>
      <w:r>
        <w:rPr>
          <w:rFonts w:hint="eastAsia" w:ascii="仿宋_GB2312"/>
        </w:rPr>
        <w:t>至2021年</w:t>
      </w:r>
      <w:r>
        <w:rPr>
          <w:rFonts w:hint="eastAsia" w:ascii="仿宋_GB2312"/>
          <w:lang w:val="en-US" w:eastAsia="zh-CN"/>
        </w:rPr>
        <w:t>12</w:t>
      </w:r>
      <w:r>
        <w:rPr>
          <w:rFonts w:hint="eastAsia" w:ascii="仿宋_GB2312"/>
        </w:rPr>
        <w:t>月31日；</w:t>
      </w:r>
    </w:p>
    <w:p w14:paraId="124D82E9">
      <w:pPr>
        <w:ind w:firstLine="640"/>
      </w:pPr>
      <w:r>
        <w:rPr>
          <w:rFonts w:hint="eastAsia"/>
        </w:rPr>
        <w:t>受益群体范围：</w:t>
      </w:r>
      <w:r>
        <w:rPr>
          <w:rFonts w:hint="eastAsia"/>
          <w:lang w:val="en-US" w:eastAsia="zh-CN"/>
        </w:rPr>
        <w:t>古县全县党员及预备党员</w:t>
      </w:r>
      <w:r>
        <w:rPr>
          <w:rFonts w:hint="eastAsia"/>
        </w:rPr>
        <w:t>。</w:t>
      </w:r>
    </w:p>
    <w:p w14:paraId="3395FAE7">
      <w:pPr>
        <w:ind w:firstLine="640"/>
      </w:pPr>
      <w:r>
        <w:rPr>
          <w:rFonts w:hint="eastAsia" w:ascii="仿宋_GB2312"/>
        </w:rPr>
        <w:t>4.</w:t>
      </w:r>
      <w:r>
        <w:rPr>
          <w:rFonts w:hint="eastAsia"/>
        </w:rPr>
        <w:t>绩效评价基准日</w:t>
      </w:r>
    </w:p>
    <w:p w14:paraId="218C4174">
      <w:pPr>
        <w:ind w:firstLine="640"/>
        <w:rPr>
          <w:rFonts w:ascii="仿宋_GB2312"/>
        </w:rPr>
      </w:pPr>
      <w:r>
        <w:rPr>
          <w:rFonts w:hint="eastAsia" w:ascii="仿宋_GB2312"/>
        </w:rPr>
        <w:t>本次评价基准日为2021年12月31日。</w:t>
      </w:r>
    </w:p>
    <w:p w14:paraId="1730E323">
      <w:pPr>
        <w:pStyle w:val="4"/>
        <w:ind w:firstLine="640"/>
        <w:rPr>
          <w:rFonts w:ascii="仿宋_GB2312"/>
        </w:rPr>
      </w:pPr>
      <w:bookmarkStart w:id="29" w:name="_Toc13994"/>
      <w:r>
        <w:rPr>
          <w:rFonts w:ascii="仿宋_GB2312"/>
        </w:rPr>
        <w:t>（</w:t>
      </w:r>
      <w:r>
        <w:rPr>
          <w:rFonts w:hint="eastAsia" w:ascii="仿宋_GB2312"/>
        </w:rPr>
        <w:t>二</w:t>
      </w:r>
      <w:r>
        <w:rPr>
          <w:rFonts w:ascii="仿宋_GB2312"/>
        </w:rPr>
        <w:t>）</w:t>
      </w:r>
      <w:bookmarkStart w:id="30" w:name="_Toc518123236"/>
      <w:r>
        <w:rPr>
          <w:rFonts w:ascii="仿宋_GB2312"/>
        </w:rPr>
        <w:t>绩效评</w:t>
      </w:r>
      <w:bookmarkEnd w:id="30"/>
      <w:r>
        <w:rPr>
          <w:rFonts w:hint="eastAsia" w:ascii="仿宋_GB2312"/>
        </w:rPr>
        <w:t>价原则</w:t>
      </w:r>
      <w:bookmarkEnd w:id="29"/>
    </w:p>
    <w:p w14:paraId="1540E82A">
      <w:pPr>
        <w:ind w:firstLine="640"/>
        <w:rPr>
          <w:rFonts w:hint="eastAsia" w:ascii="仿宋_GB2312" w:hAnsi="Times New Roman" w:cs="Times New Roman"/>
          <w:lang w:val="zh-CN" w:eastAsia="zh-CN"/>
        </w:rPr>
      </w:pPr>
      <w:r>
        <w:rPr>
          <w:rFonts w:hint="eastAsia" w:ascii="仿宋_GB2312" w:hAnsi="Times New Roman" w:cs="Times New Roman"/>
          <w:lang w:val="zh-CN" w:eastAsia="zh-CN"/>
        </w:rPr>
        <w:t>评价机构应当遵守法律、法规等有关规定，并按照以下原则从事预算绩效评价业务：</w:t>
      </w:r>
    </w:p>
    <w:p w14:paraId="0BA32E76">
      <w:pPr>
        <w:ind w:firstLine="640"/>
        <w:rPr>
          <w:rFonts w:hint="eastAsia" w:ascii="仿宋_GB2312" w:hAnsi="Times New Roman" w:cs="Times New Roman"/>
          <w:lang w:val="zh-CN" w:eastAsia="zh-CN"/>
        </w:rPr>
      </w:pPr>
      <w:r>
        <w:rPr>
          <w:rFonts w:hint="eastAsia" w:ascii="仿宋_GB2312" w:hAnsi="Times New Roman" w:cs="Times New Roman"/>
          <w:lang w:val="zh-CN" w:eastAsia="zh-CN"/>
        </w:rPr>
        <w:t>1.独立原则。</w:t>
      </w:r>
      <w:r>
        <w:rPr>
          <w:rFonts w:hint="eastAsia" w:ascii="仿宋_GB2312" w:cs="Times New Roman"/>
          <w:lang w:val="zh-CN" w:eastAsia="zh-CN"/>
        </w:rPr>
        <w:t>临汾薪火传管理咨询有限责任公司</w:t>
      </w:r>
      <w:r>
        <w:rPr>
          <w:rFonts w:hint="eastAsia" w:ascii="仿宋_GB2312" w:hAnsi="Times New Roman" w:cs="Times New Roman"/>
          <w:lang w:val="zh-CN" w:eastAsia="zh-CN"/>
        </w:rPr>
        <w:t>在</w:t>
      </w:r>
      <w:r>
        <w:rPr>
          <w:rFonts w:hint="eastAsia" w:ascii="仿宋_GB2312" w:cs="Times New Roman"/>
          <w:lang w:val="zh-CN" w:eastAsia="zh-CN"/>
        </w:rPr>
        <w:t>古县财政局</w:t>
      </w:r>
      <w:r>
        <w:rPr>
          <w:rFonts w:hint="eastAsia" w:ascii="仿宋_GB2312" w:hAnsi="Times New Roman" w:cs="Times New Roman"/>
          <w:lang w:val="zh-CN" w:eastAsia="zh-CN"/>
        </w:rPr>
        <w:t>和</w:t>
      </w:r>
      <w:r>
        <w:rPr>
          <w:rFonts w:hint="eastAsia" w:ascii="仿宋_GB2312" w:cs="Times New Roman"/>
          <w:lang w:val="zh-CN" w:eastAsia="zh-CN"/>
        </w:rPr>
        <w:t>中国共产党古县委员会</w:t>
      </w:r>
      <w:r>
        <w:rPr>
          <w:rFonts w:hint="eastAsia" w:ascii="仿宋_GB2312" w:hAnsi="Times New Roman" w:cs="Times New Roman"/>
          <w:lang w:val="zh-CN" w:eastAsia="zh-CN"/>
        </w:rPr>
        <w:t>提供工作便利条件和相关资料情况下独立完成委托事项。</w:t>
      </w:r>
      <w:bookmarkStart w:id="74" w:name="_GoBack"/>
      <w:bookmarkEnd w:id="74"/>
    </w:p>
    <w:p w14:paraId="323DA430">
      <w:pPr>
        <w:ind w:firstLine="640"/>
        <w:rPr>
          <w:rFonts w:hint="eastAsia" w:ascii="仿宋_GB2312" w:hAnsi="Times New Roman" w:cs="Times New Roman"/>
          <w:lang w:val="zh-CN" w:eastAsia="zh-CN"/>
        </w:rPr>
      </w:pPr>
      <w:r>
        <w:rPr>
          <w:rFonts w:hint="eastAsia" w:ascii="仿宋_GB2312" w:hAnsi="Times New Roman" w:cs="Times New Roman"/>
          <w:lang w:val="zh-CN" w:eastAsia="zh-CN"/>
        </w:rPr>
        <w:t>2.客观原则。按照与</w:t>
      </w:r>
      <w:r>
        <w:rPr>
          <w:rFonts w:hint="eastAsia" w:ascii="仿宋_GB2312" w:cs="Times New Roman"/>
          <w:lang w:val="zh-CN" w:eastAsia="zh-CN"/>
        </w:rPr>
        <w:t>古县财政局</w:t>
      </w:r>
      <w:r>
        <w:rPr>
          <w:rFonts w:hint="eastAsia" w:ascii="仿宋_GB2312" w:hAnsi="Times New Roman" w:cs="Times New Roman"/>
          <w:lang w:val="zh-CN" w:eastAsia="zh-CN"/>
        </w:rPr>
        <w:t>签订协议（合同）约定事项，参照</w:t>
      </w:r>
      <w:r>
        <w:rPr>
          <w:rFonts w:hint="eastAsia" w:ascii="仿宋_GB2312"/>
          <w:lang w:val="en-US" w:eastAsia="zh-CN"/>
        </w:rPr>
        <w:t>《古县财政局2022年预算绩效评价实施方案》（古财字〔2022〕27号）</w:t>
      </w:r>
      <w:r>
        <w:rPr>
          <w:rFonts w:hint="eastAsia" w:ascii="仿宋_GB2312" w:hAnsi="Times New Roman" w:cs="Times New Roman"/>
          <w:lang w:val="zh-CN" w:eastAsia="zh-CN"/>
        </w:rPr>
        <w:t>文件对</w:t>
      </w:r>
      <w:r>
        <w:rPr>
          <w:rFonts w:hint="eastAsia" w:ascii="仿宋_GB2312" w:cs="Times New Roman"/>
          <w:lang w:val="zh-CN" w:eastAsia="zh-CN"/>
        </w:rPr>
        <w:t>古县县委党校改扩建</w:t>
      </w:r>
      <w:r>
        <w:rPr>
          <w:rFonts w:hint="eastAsia" w:ascii="仿宋_GB2312" w:hAnsi="Times New Roman" w:cs="Times New Roman"/>
          <w:lang w:val="zh-CN" w:eastAsia="zh-CN"/>
        </w:rPr>
        <w:t>项目设定指标，并运用行业协会发布的财政支出绩效评价操作指引通过定量和定性评价、评价组评价与委托方聘用专家组评审相结合的方式，对</w:t>
      </w:r>
      <w:r>
        <w:rPr>
          <w:rFonts w:hint="eastAsia" w:ascii="仿宋_GB2312" w:cs="Times New Roman"/>
          <w:lang w:val="zh-CN" w:eastAsia="zh-CN"/>
        </w:rPr>
        <w:t>古县县委党校改扩建</w:t>
      </w:r>
      <w:r>
        <w:rPr>
          <w:rFonts w:hint="eastAsia" w:ascii="仿宋_GB2312" w:hAnsi="Times New Roman" w:cs="Times New Roman"/>
          <w:lang w:val="zh-CN" w:eastAsia="zh-CN"/>
        </w:rPr>
        <w:t>项目客观公正、实事求是地开展预算绩效评价，不得出具不实预算绩效评价报告。</w:t>
      </w:r>
    </w:p>
    <w:p w14:paraId="53982EDF">
      <w:pPr>
        <w:ind w:firstLine="640"/>
        <w:rPr>
          <w:rFonts w:hint="eastAsia" w:ascii="仿宋_GB2312" w:hAnsi="Times New Roman" w:cs="Times New Roman"/>
          <w:lang w:val="zh-CN" w:eastAsia="zh-CN"/>
        </w:rPr>
      </w:pPr>
      <w:r>
        <w:rPr>
          <w:rFonts w:hint="eastAsia" w:ascii="仿宋_GB2312" w:hAnsi="Times New Roman" w:cs="Times New Roman"/>
          <w:lang w:val="zh-CN" w:eastAsia="zh-CN"/>
        </w:rPr>
        <w:t>3.规范原则。</w:t>
      </w:r>
      <w:r>
        <w:rPr>
          <w:rFonts w:hint="eastAsia" w:ascii="仿宋_GB2312" w:cs="Times New Roman"/>
          <w:lang w:val="zh-CN" w:eastAsia="zh-CN"/>
        </w:rPr>
        <w:t>临汾薪火传管理咨询有限责任公司</w:t>
      </w:r>
      <w:r>
        <w:rPr>
          <w:rFonts w:hint="eastAsia" w:ascii="仿宋_GB2312" w:hAnsi="Times New Roman" w:cs="Times New Roman"/>
          <w:lang w:val="zh-CN" w:eastAsia="zh-CN"/>
        </w:rPr>
        <w:t>履行座谈会、现场勘察、问卷调查等必要评价程序，合理选取具有代表性的样本，对支付凭证、实施方案、服务课时汇总等原始资料进行必要的核查验证，形成结论并出具预算绩效评价报告。</w:t>
      </w:r>
    </w:p>
    <w:p w14:paraId="051E995A">
      <w:pPr>
        <w:pStyle w:val="4"/>
        <w:ind w:firstLine="640"/>
        <w:rPr>
          <w:rFonts w:ascii="仿宋_GB2312"/>
        </w:rPr>
      </w:pPr>
      <w:bookmarkStart w:id="31" w:name="_Toc20363"/>
      <w:r>
        <w:rPr>
          <w:rFonts w:ascii="仿宋_GB2312"/>
        </w:rPr>
        <w:t>（</w:t>
      </w:r>
      <w:r>
        <w:rPr>
          <w:rFonts w:hint="eastAsia" w:ascii="仿宋_GB2312"/>
        </w:rPr>
        <w:t>三</w:t>
      </w:r>
      <w:r>
        <w:rPr>
          <w:rFonts w:ascii="仿宋_GB2312"/>
        </w:rPr>
        <w:t>）绩效评价</w:t>
      </w:r>
      <w:r>
        <w:rPr>
          <w:rFonts w:hint="eastAsia" w:ascii="仿宋_GB2312"/>
        </w:rPr>
        <w:t>指标体系</w:t>
      </w:r>
      <w:bookmarkEnd w:id="31"/>
    </w:p>
    <w:p w14:paraId="61161C6C">
      <w:pPr>
        <w:ind w:firstLine="640"/>
      </w:pPr>
      <w:bookmarkStart w:id="32" w:name="_Toc469065643"/>
      <w:bookmarkStart w:id="33" w:name="_Toc450549943"/>
      <w:bookmarkStart w:id="34" w:name="_Toc469065895"/>
      <w:bookmarkStart w:id="35" w:name="_Toc469065553"/>
      <w:r>
        <w:rPr>
          <w:rFonts w:hint="eastAsia"/>
        </w:rPr>
        <w:t>1.</w:t>
      </w:r>
      <w:r>
        <w:rPr>
          <w:rFonts w:hint="eastAsia" w:ascii="仿宋_GB2312"/>
        </w:rPr>
        <w:t xml:space="preserve"> 指标体系</w:t>
      </w:r>
    </w:p>
    <w:p w14:paraId="01FC12E4">
      <w:pPr>
        <w:ind w:firstLine="640"/>
        <w:rPr>
          <w:rFonts w:hint="eastAsia" w:ascii="仿宋_GB2312" w:hAnsi="Times New Roman" w:cs="Times New Roman"/>
          <w:lang w:val="zh-CN" w:eastAsia="zh-CN"/>
        </w:rPr>
      </w:pPr>
      <w:r>
        <w:rPr>
          <w:rFonts w:hint="eastAsia" w:ascii="仿宋_GB2312" w:hAnsi="Times New Roman" w:cs="Times New Roman"/>
          <w:lang w:val="zh-CN" w:eastAsia="zh-CN"/>
        </w:rPr>
        <w:t>根据《财政部关于印发&lt;项目支出绩效评价管理办法&gt;的通知》（财预〔2020〕10号）提供的项目绩效评价指标体系，遵循相关性、重要性、可比性、系统性、经济性原则，形成了古县县委党校改扩建项目的绩效评价指标体系。评价指标在实施方案中确定的绩效评价指标体系的基础上，结合项目的实际情况，在可操作性和可量化方面对评价指标进行了进一步细化和调整，最终形成20个三级指标。其中：6个决策类指标，5个过程类指标，6个产出类指标和3个效益类指标。</w:t>
      </w:r>
    </w:p>
    <w:p w14:paraId="60545E70">
      <w:pPr>
        <w:spacing w:beforeLines="20" w:afterLines="20" w:line="500" w:lineRule="exact"/>
        <w:ind w:left="0" w:leftChars="0" w:firstLine="0" w:firstLineChars="0"/>
        <w:jc w:val="left"/>
        <w:rPr>
          <w:rFonts w:hint="eastAsia" w:ascii="仿宋_GB2312" w:hAnsi="仿宋"/>
          <w:b/>
          <w:bCs/>
          <w:kern w:val="0"/>
          <w:sz w:val="28"/>
          <w:szCs w:val="28"/>
          <w:lang w:val="zh-CN"/>
        </w:rPr>
      </w:pPr>
      <w:r>
        <w:rPr>
          <w:rFonts w:hint="eastAsia" w:ascii="仿宋_GB2312" w:hAnsi="仿宋"/>
          <w:b/>
          <w:bCs/>
          <w:kern w:val="0"/>
          <w:sz w:val="28"/>
          <w:szCs w:val="28"/>
          <w:lang w:val="zh-CN"/>
        </w:rPr>
        <w:t xml:space="preserve">表2-1   </w:t>
      </w:r>
      <w:r>
        <w:rPr>
          <w:rFonts w:hint="eastAsia" w:ascii="仿宋_GB2312" w:hAnsi="仿宋"/>
          <w:b/>
          <w:bCs/>
          <w:kern w:val="0"/>
          <w:sz w:val="28"/>
          <w:szCs w:val="28"/>
          <w:lang w:val="en-US" w:eastAsia="zh-CN"/>
        </w:rPr>
        <w:t xml:space="preserve">           </w:t>
      </w:r>
      <w:r>
        <w:rPr>
          <w:rFonts w:hint="eastAsia" w:ascii="仿宋_GB2312" w:hAnsi="仿宋"/>
          <w:b/>
          <w:bCs/>
          <w:kern w:val="0"/>
          <w:sz w:val="28"/>
          <w:szCs w:val="28"/>
          <w:lang w:val="zh-CN"/>
        </w:rPr>
        <w:t xml:space="preserve">  评价指标体系分值表</w:t>
      </w:r>
    </w:p>
    <w:tbl>
      <w:tblPr>
        <w:tblStyle w:val="19"/>
        <w:tblW w:w="5405" w:type="pct"/>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712"/>
        <w:gridCol w:w="1416"/>
        <w:gridCol w:w="706"/>
        <w:gridCol w:w="2272"/>
        <w:gridCol w:w="990"/>
        <w:gridCol w:w="710"/>
        <w:gridCol w:w="1560"/>
      </w:tblGrid>
      <w:tr w14:paraId="4D01B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7" w:hRule="exact"/>
          <w:tblHeader/>
        </w:trPr>
        <w:tc>
          <w:tcPr>
            <w:tcW w:w="462" w:type="pct"/>
            <w:shd w:val="clear" w:color="auto" w:fill="BEBEBE"/>
            <w:vAlign w:val="center"/>
          </w:tcPr>
          <w:p w14:paraId="586AA85F">
            <w:pPr>
              <w:snapToGrid w:val="0"/>
              <w:spacing w:line="360" w:lineRule="exact"/>
              <w:ind w:firstLine="0" w:firstLineChars="0"/>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一级指标</w:t>
            </w:r>
          </w:p>
        </w:tc>
        <w:tc>
          <w:tcPr>
            <w:tcW w:w="386" w:type="pct"/>
            <w:shd w:val="clear" w:color="auto" w:fill="BEBEBE"/>
            <w:vAlign w:val="center"/>
          </w:tcPr>
          <w:p w14:paraId="2921E588">
            <w:pPr>
              <w:snapToGrid w:val="0"/>
              <w:spacing w:line="400" w:lineRule="exact"/>
              <w:ind w:firstLine="0" w:firstLineChars="0"/>
              <w:jc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分值</w:t>
            </w:r>
          </w:p>
        </w:tc>
        <w:tc>
          <w:tcPr>
            <w:tcW w:w="767" w:type="pct"/>
            <w:shd w:val="clear" w:color="auto" w:fill="BEBEBE"/>
            <w:vAlign w:val="center"/>
          </w:tcPr>
          <w:p w14:paraId="0FFD146F">
            <w:pPr>
              <w:snapToGrid w:val="0"/>
              <w:spacing w:line="400" w:lineRule="exact"/>
              <w:ind w:firstLine="0" w:firstLineChars="0"/>
              <w:jc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二级指标</w:t>
            </w:r>
          </w:p>
        </w:tc>
        <w:tc>
          <w:tcPr>
            <w:tcW w:w="382" w:type="pct"/>
            <w:shd w:val="clear" w:color="auto" w:fill="BEBEBE"/>
            <w:vAlign w:val="center"/>
          </w:tcPr>
          <w:p w14:paraId="055FF00F">
            <w:pPr>
              <w:snapToGrid w:val="0"/>
              <w:spacing w:line="400" w:lineRule="exact"/>
              <w:ind w:firstLine="0" w:firstLineChars="0"/>
              <w:jc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分值</w:t>
            </w:r>
          </w:p>
        </w:tc>
        <w:tc>
          <w:tcPr>
            <w:tcW w:w="1232" w:type="pct"/>
            <w:shd w:val="clear" w:color="auto" w:fill="BEBEBE"/>
            <w:vAlign w:val="center"/>
          </w:tcPr>
          <w:p w14:paraId="021E48BF">
            <w:pPr>
              <w:snapToGrid w:val="0"/>
              <w:spacing w:line="400" w:lineRule="exact"/>
              <w:ind w:firstLine="0" w:firstLineChars="0"/>
              <w:jc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三级指标</w:t>
            </w:r>
          </w:p>
        </w:tc>
        <w:tc>
          <w:tcPr>
            <w:tcW w:w="536" w:type="pct"/>
            <w:shd w:val="clear" w:color="auto" w:fill="BEBEBE"/>
            <w:vAlign w:val="center"/>
          </w:tcPr>
          <w:p w14:paraId="2B1D0DD3">
            <w:pPr>
              <w:snapToGrid w:val="0"/>
              <w:spacing w:line="400" w:lineRule="exact"/>
              <w:ind w:firstLine="0" w:firstLineChars="0"/>
              <w:jc w:val="center"/>
              <w:rPr>
                <w:rFonts w:ascii="仿宋_GB2312" w:hAnsi="仿宋_GB2312" w:eastAsia="仿宋_GB2312" w:cs="仿宋_GB2312"/>
                <w:b/>
                <w:bCs/>
                <w:color w:val="000000"/>
                <w:sz w:val="24"/>
                <w:szCs w:val="24"/>
              </w:rPr>
            </w:pPr>
            <w:r>
              <w:rPr>
                <w:rFonts w:ascii="仿宋_GB2312" w:hAnsi="仿宋_GB2312" w:eastAsia="仿宋_GB2312" w:cs="仿宋_GB2312"/>
                <w:b/>
                <w:bCs/>
                <w:color w:val="000000"/>
                <w:sz w:val="24"/>
                <w:szCs w:val="24"/>
              </w:rPr>
              <w:t>目标值</w:t>
            </w:r>
          </w:p>
        </w:tc>
        <w:tc>
          <w:tcPr>
            <w:tcW w:w="385" w:type="pct"/>
            <w:shd w:val="clear" w:color="auto" w:fill="BEBEBE"/>
            <w:vAlign w:val="center"/>
          </w:tcPr>
          <w:p w14:paraId="7F298C9A">
            <w:pPr>
              <w:snapToGrid w:val="0"/>
              <w:spacing w:line="400" w:lineRule="exact"/>
              <w:ind w:firstLine="0" w:firstLineChars="0"/>
              <w:jc w:val="center"/>
              <w:rPr>
                <w:rFonts w:ascii="仿宋_GB2312" w:hAnsi="仿宋_GB2312" w:eastAsia="仿宋_GB2312" w:cs="仿宋_GB2312"/>
                <w:b/>
                <w:bCs/>
                <w:color w:val="000000"/>
                <w:sz w:val="24"/>
                <w:szCs w:val="24"/>
              </w:rPr>
            </w:pPr>
            <w:r>
              <w:rPr>
                <w:rFonts w:ascii="仿宋_GB2312" w:hAnsi="仿宋_GB2312" w:eastAsia="仿宋_GB2312" w:cs="仿宋_GB2312"/>
                <w:b/>
                <w:bCs/>
                <w:color w:val="000000"/>
                <w:sz w:val="24"/>
                <w:szCs w:val="24"/>
              </w:rPr>
              <w:t>分值</w:t>
            </w:r>
          </w:p>
        </w:tc>
        <w:tc>
          <w:tcPr>
            <w:tcW w:w="846" w:type="pct"/>
            <w:shd w:val="clear" w:color="auto" w:fill="BEBEBE"/>
            <w:vAlign w:val="center"/>
          </w:tcPr>
          <w:p w14:paraId="38704F24">
            <w:pPr>
              <w:spacing w:line="240" w:lineRule="auto"/>
              <w:ind w:firstLine="0" w:firstLineChars="0"/>
              <w:jc w:val="center"/>
              <w:rPr>
                <w:rFonts w:ascii="仿宋_GB2312" w:hAnsi="Calibri" w:eastAsia="仿宋_GB2312" w:cs="Times New Roman"/>
                <w:b/>
                <w:bCs/>
                <w:color w:val="000000"/>
                <w:sz w:val="21"/>
                <w:szCs w:val="21"/>
              </w:rPr>
            </w:pPr>
            <w:r>
              <w:rPr>
                <w:rFonts w:hint="eastAsia" w:ascii="仿宋_GB2312" w:hAnsi="Calibri" w:eastAsia="仿宋_GB2312" w:cs="Times New Roman"/>
                <w:b/>
                <w:bCs/>
                <w:color w:val="000000"/>
                <w:sz w:val="21"/>
                <w:szCs w:val="21"/>
              </w:rPr>
              <w:t>资料或数据来源</w:t>
            </w:r>
          </w:p>
        </w:tc>
      </w:tr>
      <w:tr w14:paraId="078D1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11" w:hRule="exact"/>
        </w:trPr>
        <w:tc>
          <w:tcPr>
            <w:tcW w:w="462" w:type="pct"/>
            <w:vMerge w:val="restart"/>
            <w:vAlign w:val="center"/>
          </w:tcPr>
          <w:p w14:paraId="4063505D">
            <w:pPr>
              <w:snapToGrid w:val="0"/>
              <w:spacing w:line="360" w:lineRule="exact"/>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A决策</w:t>
            </w:r>
          </w:p>
        </w:tc>
        <w:tc>
          <w:tcPr>
            <w:tcW w:w="386" w:type="pct"/>
            <w:vMerge w:val="restart"/>
            <w:vAlign w:val="center"/>
          </w:tcPr>
          <w:p w14:paraId="25E9E136">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20</w:t>
            </w:r>
          </w:p>
        </w:tc>
        <w:tc>
          <w:tcPr>
            <w:tcW w:w="767" w:type="pct"/>
            <w:vMerge w:val="restart"/>
            <w:vAlign w:val="center"/>
          </w:tcPr>
          <w:p w14:paraId="4DA4FB8E">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A1项目立项</w:t>
            </w:r>
          </w:p>
        </w:tc>
        <w:tc>
          <w:tcPr>
            <w:tcW w:w="382" w:type="pct"/>
            <w:vMerge w:val="restart"/>
            <w:vAlign w:val="center"/>
          </w:tcPr>
          <w:p w14:paraId="34CB9125">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7</w:t>
            </w:r>
          </w:p>
        </w:tc>
        <w:tc>
          <w:tcPr>
            <w:tcW w:w="1232" w:type="pct"/>
            <w:vAlign w:val="center"/>
          </w:tcPr>
          <w:p w14:paraId="45F54518">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A11立项依据充分性</w:t>
            </w:r>
          </w:p>
        </w:tc>
        <w:tc>
          <w:tcPr>
            <w:tcW w:w="536" w:type="pct"/>
            <w:vAlign w:val="center"/>
          </w:tcPr>
          <w:p w14:paraId="17E50C6C">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充分</w:t>
            </w:r>
          </w:p>
        </w:tc>
        <w:tc>
          <w:tcPr>
            <w:tcW w:w="385" w:type="pct"/>
            <w:vAlign w:val="center"/>
          </w:tcPr>
          <w:p w14:paraId="4B9ACDAC">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Align w:val="center"/>
          </w:tcPr>
          <w:p w14:paraId="4E11DA16">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项目相关政策及文件</w:t>
            </w:r>
          </w:p>
        </w:tc>
      </w:tr>
      <w:tr w14:paraId="286AD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06" w:hRule="exact"/>
        </w:trPr>
        <w:tc>
          <w:tcPr>
            <w:tcW w:w="462" w:type="pct"/>
            <w:vMerge w:val="continue"/>
            <w:vAlign w:val="center"/>
          </w:tcPr>
          <w:p w14:paraId="41673545">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14:paraId="6C643C67">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14:paraId="543A96FE">
            <w:pPr>
              <w:snapToGrid w:val="0"/>
              <w:spacing w:line="400" w:lineRule="exact"/>
              <w:ind w:firstLine="0" w:firstLineChars="0"/>
              <w:jc w:val="center"/>
              <w:rPr>
                <w:rFonts w:ascii="仿宋_GB2312" w:hAnsi="仿宋_GB2312" w:eastAsia="仿宋_GB2312" w:cs="仿宋_GB2312"/>
                <w:color w:val="000000"/>
                <w:sz w:val="24"/>
                <w:szCs w:val="24"/>
              </w:rPr>
            </w:pPr>
          </w:p>
        </w:tc>
        <w:tc>
          <w:tcPr>
            <w:tcW w:w="382" w:type="pct"/>
            <w:vMerge w:val="continue"/>
            <w:vAlign w:val="center"/>
          </w:tcPr>
          <w:p w14:paraId="4BD8B4EC">
            <w:pPr>
              <w:snapToGrid w:val="0"/>
              <w:spacing w:line="400" w:lineRule="exact"/>
              <w:ind w:firstLine="0" w:firstLineChars="0"/>
              <w:jc w:val="center"/>
              <w:rPr>
                <w:rFonts w:ascii="Times New Roman" w:hAnsi="Times New Roman" w:eastAsia="仿宋" w:cs="Times New Roman"/>
                <w:color w:val="000000"/>
                <w:sz w:val="24"/>
                <w:szCs w:val="24"/>
              </w:rPr>
            </w:pPr>
          </w:p>
        </w:tc>
        <w:tc>
          <w:tcPr>
            <w:tcW w:w="1232" w:type="pct"/>
            <w:vAlign w:val="center"/>
          </w:tcPr>
          <w:p w14:paraId="44D67BF5">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A12立项程序规范性</w:t>
            </w:r>
          </w:p>
        </w:tc>
        <w:tc>
          <w:tcPr>
            <w:tcW w:w="536" w:type="pct"/>
            <w:vAlign w:val="center"/>
          </w:tcPr>
          <w:p w14:paraId="36A49503">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规范</w:t>
            </w:r>
          </w:p>
        </w:tc>
        <w:tc>
          <w:tcPr>
            <w:tcW w:w="385" w:type="pct"/>
            <w:vAlign w:val="center"/>
          </w:tcPr>
          <w:p w14:paraId="0B8B4063">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3</w:t>
            </w:r>
          </w:p>
        </w:tc>
        <w:tc>
          <w:tcPr>
            <w:tcW w:w="846" w:type="pct"/>
            <w:vAlign w:val="center"/>
          </w:tcPr>
          <w:p w14:paraId="155C7513">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sz w:val="21"/>
                <w:szCs w:val="21"/>
              </w:rPr>
              <w:t>项目相关政策及文件</w:t>
            </w:r>
          </w:p>
        </w:tc>
      </w:tr>
      <w:tr w14:paraId="4D820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4" w:hRule="exact"/>
        </w:trPr>
        <w:tc>
          <w:tcPr>
            <w:tcW w:w="462" w:type="pct"/>
            <w:vMerge w:val="continue"/>
            <w:vAlign w:val="center"/>
          </w:tcPr>
          <w:p w14:paraId="2150057F">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14:paraId="14A7508C">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restart"/>
            <w:vAlign w:val="center"/>
          </w:tcPr>
          <w:p w14:paraId="0E2650D1">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A2绩效目标</w:t>
            </w:r>
          </w:p>
        </w:tc>
        <w:tc>
          <w:tcPr>
            <w:tcW w:w="382" w:type="pct"/>
            <w:vMerge w:val="restart"/>
            <w:vAlign w:val="center"/>
          </w:tcPr>
          <w:p w14:paraId="7403CA7C">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7</w:t>
            </w:r>
          </w:p>
        </w:tc>
        <w:tc>
          <w:tcPr>
            <w:tcW w:w="1232" w:type="pct"/>
            <w:vAlign w:val="center"/>
          </w:tcPr>
          <w:p w14:paraId="6E0DD5D9">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A21绩效目标合理性</w:t>
            </w:r>
          </w:p>
        </w:tc>
        <w:tc>
          <w:tcPr>
            <w:tcW w:w="536" w:type="pct"/>
            <w:vAlign w:val="center"/>
          </w:tcPr>
          <w:p w14:paraId="73CA984F">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合理</w:t>
            </w:r>
          </w:p>
        </w:tc>
        <w:tc>
          <w:tcPr>
            <w:tcW w:w="385" w:type="pct"/>
            <w:vAlign w:val="center"/>
          </w:tcPr>
          <w:p w14:paraId="4D31605D">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Align w:val="center"/>
          </w:tcPr>
          <w:p w14:paraId="6FCBF625">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sz w:val="21"/>
                <w:szCs w:val="21"/>
              </w:rPr>
              <w:t>项目相关政策及文件</w:t>
            </w:r>
          </w:p>
        </w:tc>
      </w:tr>
      <w:tr w14:paraId="494FD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6" w:hRule="exact"/>
        </w:trPr>
        <w:tc>
          <w:tcPr>
            <w:tcW w:w="462" w:type="pct"/>
            <w:vMerge w:val="continue"/>
            <w:vAlign w:val="center"/>
          </w:tcPr>
          <w:p w14:paraId="76D06A4B">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14:paraId="538C205D">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14:paraId="3DDBA3B1">
            <w:pPr>
              <w:snapToGrid w:val="0"/>
              <w:spacing w:line="400" w:lineRule="exact"/>
              <w:ind w:firstLine="0" w:firstLineChars="0"/>
              <w:jc w:val="center"/>
              <w:rPr>
                <w:rFonts w:ascii="仿宋_GB2312" w:hAnsi="仿宋_GB2312" w:eastAsia="仿宋_GB2312" w:cs="仿宋_GB2312"/>
                <w:color w:val="000000"/>
                <w:sz w:val="24"/>
                <w:szCs w:val="24"/>
              </w:rPr>
            </w:pPr>
          </w:p>
        </w:tc>
        <w:tc>
          <w:tcPr>
            <w:tcW w:w="382" w:type="pct"/>
            <w:vMerge w:val="continue"/>
            <w:vAlign w:val="center"/>
          </w:tcPr>
          <w:p w14:paraId="5542AE0F">
            <w:pPr>
              <w:snapToGrid w:val="0"/>
              <w:spacing w:line="400" w:lineRule="exact"/>
              <w:ind w:firstLine="0" w:firstLineChars="0"/>
              <w:jc w:val="center"/>
              <w:rPr>
                <w:rFonts w:ascii="Times New Roman" w:hAnsi="Times New Roman" w:eastAsia="仿宋" w:cs="Times New Roman"/>
                <w:color w:val="000000"/>
                <w:sz w:val="24"/>
                <w:szCs w:val="24"/>
              </w:rPr>
            </w:pPr>
          </w:p>
        </w:tc>
        <w:tc>
          <w:tcPr>
            <w:tcW w:w="1232" w:type="pct"/>
            <w:vAlign w:val="center"/>
          </w:tcPr>
          <w:p w14:paraId="6038D1FB">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A22绩效指标明确性</w:t>
            </w:r>
          </w:p>
        </w:tc>
        <w:tc>
          <w:tcPr>
            <w:tcW w:w="536" w:type="pct"/>
            <w:vAlign w:val="center"/>
          </w:tcPr>
          <w:p w14:paraId="3590BFD4">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明确</w:t>
            </w:r>
          </w:p>
        </w:tc>
        <w:tc>
          <w:tcPr>
            <w:tcW w:w="385" w:type="pct"/>
            <w:vAlign w:val="center"/>
          </w:tcPr>
          <w:p w14:paraId="1481DE2A">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3</w:t>
            </w:r>
          </w:p>
        </w:tc>
        <w:tc>
          <w:tcPr>
            <w:tcW w:w="846" w:type="pct"/>
            <w:vAlign w:val="center"/>
          </w:tcPr>
          <w:p w14:paraId="6F81213D">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评价组梳理</w:t>
            </w:r>
          </w:p>
        </w:tc>
      </w:tr>
      <w:tr w14:paraId="1E44B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exact"/>
        </w:trPr>
        <w:tc>
          <w:tcPr>
            <w:tcW w:w="462" w:type="pct"/>
            <w:vMerge w:val="continue"/>
            <w:vAlign w:val="center"/>
          </w:tcPr>
          <w:p w14:paraId="0792006E">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14:paraId="44D65313">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restart"/>
            <w:vAlign w:val="center"/>
          </w:tcPr>
          <w:p w14:paraId="2806489F">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A3资金投入</w:t>
            </w:r>
          </w:p>
        </w:tc>
        <w:tc>
          <w:tcPr>
            <w:tcW w:w="382" w:type="pct"/>
            <w:vMerge w:val="restart"/>
            <w:vAlign w:val="center"/>
          </w:tcPr>
          <w:p w14:paraId="6D925002">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6</w:t>
            </w:r>
          </w:p>
        </w:tc>
        <w:tc>
          <w:tcPr>
            <w:tcW w:w="1232" w:type="pct"/>
            <w:vAlign w:val="center"/>
          </w:tcPr>
          <w:p w14:paraId="17F30AA6">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A31预算编制科学性</w:t>
            </w:r>
          </w:p>
        </w:tc>
        <w:tc>
          <w:tcPr>
            <w:tcW w:w="536" w:type="pct"/>
            <w:vAlign w:val="center"/>
          </w:tcPr>
          <w:p w14:paraId="57B4511B">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科学</w:t>
            </w:r>
          </w:p>
        </w:tc>
        <w:tc>
          <w:tcPr>
            <w:tcW w:w="385" w:type="pct"/>
            <w:vAlign w:val="center"/>
          </w:tcPr>
          <w:p w14:paraId="78BD07EC">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2</w:t>
            </w:r>
          </w:p>
        </w:tc>
        <w:tc>
          <w:tcPr>
            <w:tcW w:w="846" w:type="pct"/>
            <w:vAlign w:val="center"/>
          </w:tcPr>
          <w:p w14:paraId="7EC2B261">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宋体" w:eastAsia="仿宋_GB2312" w:cs="宋体"/>
                <w:sz w:val="21"/>
                <w:szCs w:val="21"/>
              </w:rPr>
              <w:t>评价组分析</w:t>
            </w:r>
          </w:p>
        </w:tc>
      </w:tr>
      <w:tr w14:paraId="14EC5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exact"/>
        </w:trPr>
        <w:tc>
          <w:tcPr>
            <w:tcW w:w="462" w:type="pct"/>
            <w:vMerge w:val="continue"/>
            <w:vAlign w:val="center"/>
          </w:tcPr>
          <w:p w14:paraId="4807A82A">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14:paraId="618FCF82">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14:paraId="5976F4F3">
            <w:pPr>
              <w:snapToGrid w:val="0"/>
              <w:spacing w:line="400" w:lineRule="exact"/>
              <w:ind w:firstLine="0" w:firstLineChars="0"/>
              <w:jc w:val="center"/>
              <w:rPr>
                <w:rFonts w:ascii="仿宋_GB2312" w:hAnsi="仿宋_GB2312" w:eastAsia="仿宋_GB2312" w:cs="仿宋_GB2312"/>
                <w:color w:val="000000"/>
                <w:sz w:val="24"/>
                <w:szCs w:val="24"/>
              </w:rPr>
            </w:pPr>
          </w:p>
        </w:tc>
        <w:tc>
          <w:tcPr>
            <w:tcW w:w="382" w:type="pct"/>
            <w:vMerge w:val="continue"/>
            <w:vAlign w:val="center"/>
          </w:tcPr>
          <w:p w14:paraId="0B8A8C45">
            <w:pPr>
              <w:snapToGrid w:val="0"/>
              <w:spacing w:line="400" w:lineRule="exact"/>
              <w:ind w:firstLine="0" w:firstLineChars="0"/>
              <w:jc w:val="center"/>
              <w:rPr>
                <w:rFonts w:ascii="Times New Roman" w:hAnsi="Times New Roman" w:eastAsia="仿宋" w:cs="Times New Roman"/>
                <w:color w:val="000000"/>
                <w:sz w:val="24"/>
                <w:szCs w:val="24"/>
              </w:rPr>
            </w:pPr>
          </w:p>
        </w:tc>
        <w:tc>
          <w:tcPr>
            <w:tcW w:w="1232" w:type="pct"/>
            <w:vAlign w:val="center"/>
          </w:tcPr>
          <w:p w14:paraId="1AAB8BD7">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A32资金分配合理性</w:t>
            </w:r>
          </w:p>
        </w:tc>
        <w:tc>
          <w:tcPr>
            <w:tcW w:w="536" w:type="pct"/>
            <w:vAlign w:val="center"/>
          </w:tcPr>
          <w:p w14:paraId="53CFA917">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合理</w:t>
            </w:r>
          </w:p>
        </w:tc>
        <w:tc>
          <w:tcPr>
            <w:tcW w:w="385" w:type="pct"/>
            <w:vAlign w:val="center"/>
          </w:tcPr>
          <w:p w14:paraId="15C8FE9D">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Align w:val="center"/>
          </w:tcPr>
          <w:p w14:paraId="40EB23A2">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sz w:val="21"/>
                <w:szCs w:val="21"/>
              </w:rPr>
              <w:t>财务核实</w:t>
            </w:r>
          </w:p>
        </w:tc>
      </w:tr>
      <w:tr w14:paraId="2AA16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462" w:type="pct"/>
            <w:vMerge w:val="restart"/>
            <w:vAlign w:val="center"/>
          </w:tcPr>
          <w:p w14:paraId="17ECF2D5">
            <w:pPr>
              <w:snapToGrid w:val="0"/>
              <w:spacing w:line="360" w:lineRule="exact"/>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B过程</w:t>
            </w:r>
          </w:p>
        </w:tc>
        <w:tc>
          <w:tcPr>
            <w:tcW w:w="386" w:type="pct"/>
            <w:vMerge w:val="restart"/>
            <w:vAlign w:val="center"/>
          </w:tcPr>
          <w:p w14:paraId="3312E3F7">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20</w:t>
            </w:r>
          </w:p>
        </w:tc>
        <w:tc>
          <w:tcPr>
            <w:tcW w:w="767" w:type="pct"/>
            <w:vMerge w:val="restart"/>
            <w:vAlign w:val="center"/>
          </w:tcPr>
          <w:p w14:paraId="0C5BCCEB">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B1资金管理</w:t>
            </w:r>
          </w:p>
        </w:tc>
        <w:tc>
          <w:tcPr>
            <w:tcW w:w="382" w:type="pct"/>
            <w:vMerge w:val="restart"/>
            <w:vAlign w:val="center"/>
          </w:tcPr>
          <w:p w14:paraId="702CC5CB">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12</w:t>
            </w:r>
          </w:p>
        </w:tc>
        <w:tc>
          <w:tcPr>
            <w:tcW w:w="1232" w:type="pct"/>
            <w:vAlign w:val="center"/>
          </w:tcPr>
          <w:p w14:paraId="6206BFA1">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B11资金到位率</w:t>
            </w:r>
          </w:p>
        </w:tc>
        <w:tc>
          <w:tcPr>
            <w:tcW w:w="536" w:type="pct"/>
            <w:vAlign w:val="center"/>
          </w:tcPr>
          <w:p w14:paraId="1525FBAB">
            <w:pPr>
              <w:widowControl/>
              <w:spacing w:line="240" w:lineRule="auto"/>
              <w:ind w:firstLine="0" w:firstLineChars="0"/>
              <w:jc w:val="center"/>
              <w:textAlignment w:val="center"/>
              <w:rPr>
                <w:rFonts w:ascii="仿宋_GB2312" w:hAnsi="Calibri" w:eastAsia="仿宋_GB2312" w:cs="Times New Roman"/>
                <w:sz w:val="21"/>
                <w:szCs w:val="21"/>
              </w:rPr>
            </w:pPr>
            <w:r>
              <w:rPr>
                <w:rFonts w:hint="eastAsia" w:ascii="仿宋_GB2312" w:hAnsi="Calibri" w:eastAsia="仿宋_GB2312" w:cs="Times New Roman"/>
                <w:kern w:val="0"/>
                <w:sz w:val="21"/>
                <w:szCs w:val="21"/>
              </w:rPr>
              <w:t>100%</w:t>
            </w:r>
          </w:p>
        </w:tc>
        <w:tc>
          <w:tcPr>
            <w:tcW w:w="385" w:type="pct"/>
            <w:vAlign w:val="center"/>
          </w:tcPr>
          <w:p w14:paraId="027F04FA">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Align w:val="center"/>
          </w:tcPr>
          <w:p w14:paraId="6B3FAC12">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实施单位提供财务资料</w:t>
            </w:r>
          </w:p>
        </w:tc>
      </w:tr>
      <w:tr w14:paraId="3762D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15" w:hRule="exact"/>
        </w:trPr>
        <w:tc>
          <w:tcPr>
            <w:tcW w:w="462" w:type="pct"/>
            <w:vMerge w:val="continue"/>
            <w:vAlign w:val="center"/>
          </w:tcPr>
          <w:p w14:paraId="5440A99C">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14:paraId="2276D0EB">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14:paraId="6D05A781">
            <w:pPr>
              <w:snapToGrid w:val="0"/>
              <w:spacing w:line="400" w:lineRule="exact"/>
              <w:ind w:firstLine="0" w:firstLineChars="0"/>
              <w:jc w:val="center"/>
              <w:rPr>
                <w:rFonts w:ascii="仿宋_GB2312" w:hAnsi="仿宋_GB2312" w:eastAsia="仿宋_GB2312" w:cs="仿宋_GB2312"/>
                <w:color w:val="000000"/>
                <w:sz w:val="24"/>
                <w:szCs w:val="24"/>
              </w:rPr>
            </w:pPr>
          </w:p>
        </w:tc>
        <w:tc>
          <w:tcPr>
            <w:tcW w:w="382" w:type="pct"/>
            <w:vMerge w:val="continue"/>
            <w:vAlign w:val="center"/>
          </w:tcPr>
          <w:p w14:paraId="5FA5CC60">
            <w:pPr>
              <w:snapToGrid w:val="0"/>
              <w:spacing w:line="400" w:lineRule="exact"/>
              <w:ind w:firstLine="0" w:firstLineChars="0"/>
              <w:jc w:val="center"/>
              <w:rPr>
                <w:rFonts w:ascii="Times New Roman" w:hAnsi="Times New Roman" w:eastAsia="仿宋" w:cs="Times New Roman"/>
                <w:color w:val="000000"/>
                <w:sz w:val="24"/>
                <w:szCs w:val="24"/>
              </w:rPr>
            </w:pPr>
          </w:p>
        </w:tc>
        <w:tc>
          <w:tcPr>
            <w:tcW w:w="1232" w:type="pct"/>
            <w:vAlign w:val="center"/>
          </w:tcPr>
          <w:p w14:paraId="2336A2CE">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B12预算执行率</w:t>
            </w:r>
          </w:p>
        </w:tc>
        <w:tc>
          <w:tcPr>
            <w:tcW w:w="536" w:type="pct"/>
            <w:vAlign w:val="center"/>
          </w:tcPr>
          <w:p w14:paraId="5C15289B">
            <w:pPr>
              <w:widowControl/>
              <w:spacing w:line="240" w:lineRule="auto"/>
              <w:ind w:firstLine="0" w:firstLineChars="0"/>
              <w:jc w:val="center"/>
              <w:textAlignment w:val="center"/>
              <w:rPr>
                <w:rFonts w:ascii="仿宋_GB2312" w:hAnsi="Calibri" w:eastAsia="仿宋_GB2312" w:cs="Times New Roman"/>
                <w:sz w:val="21"/>
                <w:szCs w:val="21"/>
              </w:rPr>
            </w:pPr>
            <w:r>
              <w:rPr>
                <w:rFonts w:hint="eastAsia" w:ascii="仿宋_GB2312" w:hAnsi="Calibri" w:eastAsia="仿宋_GB2312" w:cs="Times New Roman"/>
                <w:kern w:val="0"/>
                <w:sz w:val="21"/>
                <w:szCs w:val="21"/>
              </w:rPr>
              <w:t>95%</w:t>
            </w:r>
          </w:p>
        </w:tc>
        <w:tc>
          <w:tcPr>
            <w:tcW w:w="385" w:type="pct"/>
            <w:vAlign w:val="center"/>
          </w:tcPr>
          <w:p w14:paraId="6484C651">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Align w:val="center"/>
          </w:tcPr>
          <w:p w14:paraId="7EDEC630">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评价组分析、</w:t>
            </w:r>
          </w:p>
          <w:p w14:paraId="15821A78">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财务核实</w:t>
            </w:r>
          </w:p>
        </w:tc>
      </w:tr>
      <w:tr w14:paraId="60A48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exact"/>
        </w:trPr>
        <w:tc>
          <w:tcPr>
            <w:tcW w:w="462" w:type="pct"/>
            <w:vMerge w:val="continue"/>
            <w:vAlign w:val="center"/>
          </w:tcPr>
          <w:p w14:paraId="37F2FE9D">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14:paraId="7447E651">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14:paraId="42DE4FE3">
            <w:pPr>
              <w:snapToGrid w:val="0"/>
              <w:spacing w:line="400" w:lineRule="exact"/>
              <w:ind w:firstLine="0" w:firstLineChars="0"/>
              <w:jc w:val="center"/>
              <w:rPr>
                <w:rFonts w:ascii="仿宋_GB2312" w:hAnsi="仿宋_GB2312" w:eastAsia="仿宋_GB2312" w:cs="仿宋_GB2312"/>
                <w:color w:val="000000"/>
                <w:sz w:val="24"/>
                <w:szCs w:val="24"/>
              </w:rPr>
            </w:pPr>
          </w:p>
        </w:tc>
        <w:tc>
          <w:tcPr>
            <w:tcW w:w="382" w:type="pct"/>
            <w:vMerge w:val="continue"/>
            <w:vAlign w:val="center"/>
          </w:tcPr>
          <w:p w14:paraId="63A097FA">
            <w:pPr>
              <w:snapToGrid w:val="0"/>
              <w:spacing w:line="400" w:lineRule="exact"/>
              <w:ind w:firstLine="0" w:firstLineChars="0"/>
              <w:jc w:val="center"/>
              <w:rPr>
                <w:rFonts w:ascii="Times New Roman" w:hAnsi="Times New Roman" w:eastAsia="仿宋" w:cs="Times New Roman"/>
                <w:color w:val="000000"/>
                <w:sz w:val="24"/>
                <w:szCs w:val="24"/>
              </w:rPr>
            </w:pPr>
          </w:p>
        </w:tc>
        <w:tc>
          <w:tcPr>
            <w:tcW w:w="1232" w:type="pct"/>
            <w:vAlign w:val="center"/>
          </w:tcPr>
          <w:p w14:paraId="32E55833">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B13资金使用合规性</w:t>
            </w:r>
          </w:p>
        </w:tc>
        <w:tc>
          <w:tcPr>
            <w:tcW w:w="536" w:type="pct"/>
            <w:vAlign w:val="center"/>
          </w:tcPr>
          <w:p w14:paraId="668F07F6">
            <w:pPr>
              <w:widowControl/>
              <w:spacing w:line="240" w:lineRule="auto"/>
              <w:ind w:firstLine="0" w:firstLineChars="0"/>
              <w:jc w:val="center"/>
              <w:textAlignment w:val="center"/>
              <w:rPr>
                <w:rFonts w:ascii="仿宋_GB2312" w:hAnsi="Calibri" w:eastAsia="仿宋_GB2312" w:cs="Times New Roman"/>
                <w:sz w:val="21"/>
                <w:szCs w:val="21"/>
              </w:rPr>
            </w:pPr>
            <w:r>
              <w:rPr>
                <w:rFonts w:hint="eastAsia" w:ascii="仿宋_GB2312" w:hAnsi="Calibri" w:eastAsia="仿宋_GB2312" w:cs="Times New Roman"/>
                <w:kern w:val="0"/>
                <w:sz w:val="21"/>
                <w:szCs w:val="21"/>
              </w:rPr>
              <w:t>合规</w:t>
            </w:r>
          </w:p>
        </w:tc>
        <w:tc>
          <w:tcPr>
            <w:tcW w:w="385" w:type="pct"/>
            <w:vAlign w:val="center"/>
          </w:tcPr>
          <w:p w14:paraId="573E0B14">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Align w:val="center"/>
          </w:tcPr>
          <w:p w14:paraId="17872EAE">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评价组分析、</w:t>
            </w:r>
          </w:p>
          <w:p w14:paraId="1201B553">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财务核实</w:t>
            </w:r>
          </w:p>
        </w:tc>
      </w:tr>
      <w:tr w14:paraId="6E2FC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2" w:hRule="exact"/>
        </w:trPr>
        <w:tc>
          <w:tcPr>
            <w:tcW w:w="462" w:type="pct"/>
            <w:vMerge w:val="continue"/>
            <w:vAlign w:val="center"/>
          </w:tcPr>
          <w:p w14:paraId="77FCCF18">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14:paraId="5C47BBC7">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restart"/>
            <w:vAlign w:val="center"/>
          </w:tcPr>
          <w:p w14:paraId="73CA62B8">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B2组织实施</w:t>
            </w:r>
          </w:p>
          <w:p w14:paraId="3BAB70EF">
            <w:pPr>
              <w:spacing w:line="240" w:lineRule="auto"/>
              <w:ind w:firstLine="0" w:firstLineChars="0"/>
              <w:jc w:val="center"/>
              <w:rPr>
                <w:rFonts w:ascii="仿宋_GB2312" w:hAnsi="Calibri" w:eastAsia="仿宋_GB2312" w:cs="Times New Roman"/>
                <w:sz w:val="21"/>
                <w:szCs w:val="21"/>
              </w:rPr>
            </w:pPr>
          </w:p>
        </w:tc>
        <w:tc>
          <w:tcPr>
            <w:tcW w:w="382" w:type="pct"/>
            <w:vMerge w:val="restart"/>
            <w:vAlign w:val="center"/>
          </w:tcPr>
          <w:p w14:paraId="2E2F37FB">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8</w:t>
            </w:r>
          </w:p>
        </w:tc>
        <w:tc>
          <w:tcPr>
            <w:tcW w:w="1232" w:type="pct"/>
            <w:vAlign w:val="center"/>
          </w:tcPr>
          <w:p w14:paraId="1E9283C1">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B21管理制度健全性</w:t>
            </w:r>
          </w:p>
        </w:tc>
        <w:tc>
          <w:tcPr>
            <w:tcW w:w="536" w:type="pct"/>
            <w:vAlign w:val="center"/>
          </w:tcPr>
          <w:p w14:paraId="1F3E6152">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健全</w:t>
            </w:r>
          </w:p>
        </w:tc>
        <w:tc>
          <w:tcPr>
            <w:tcW w:w="385" w:type="pct"/>
            <w:vAlign w:val="center"/>
          </w:tcPr>
          <w:p w14:paraId="468E21A4">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Align w:val="center"/>
          </w:tcPr>
          <w:p w14:paraId="3CF35B12">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实施单位提供相关管理制度及文件</w:t>
            </w:r>
          </w:p>
        </w:tc>
      </w:tr>
      <w:tr w14:paraId="2521E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7" w:hRule="exact"/>
        </w:trPr>
        <w:tc>
          <w:tcPr>
            <w:tcW w:w="462" w:type="pct"/>
            <w:vMerge w:val="continue"/>
            <w:vAlign w:val="center"/>
          </w:tcPr>
          <w:p w14:paraId="1E3F481B">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14:paraId="48081251">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14:paraId="7B097960">
            <w:pPr>
              <w:snapToGrid w:val="0"/>
              <w:spacing w:line="400" w:lineRule="exact"/>
              <w:ind w:firstLine="0" w:firstLineChars="0"/>
              <w:jc w:val="center"/>
              <w:rPr>
                <w:rFonts w:ascii="仿宋_GB2312" w:hAnsi="仿宋_GB2312" w:eastAsia="仿宋_GB2312" w:cs="仿宋_GB2312"/>
                <w:color w:val="000000"/>
                <w:sz w:val="24"/>
                <w:szCs w:val="24"/>
              </w:rPr>
            </w:pPr>
          </w:p>
        </w:tc>
        <w:tc>
          <w:tcPr>
            <w:tcW w:w="382" w:type="pct"/>
            <w:vMerge w:val="continue"/>
            <w:vAlign w:val="center"/>
          </w:tcPr>
          <w:p w14:paraId="31FBE110">
            <w:pPr>
              <w:snapToGrid w:val="0"/>
              <w:spacing w:line="400" w:lineRule="exact"/>
              <w:ind w:firstLine="0" w:firstLineChars="0"/>
              <w:jc w:val="center"/>
              <w:rPr>
                <w:rFonts w:ascii="Times New Roman" w:hAnsi="Times New Roman" w:eastAsia="仿宋" w:cs="Times New Roman"/>
                <w:color w:val="000000"/>
                <w:sz w:val="24"/>
                <w:szCs w:val="24"/>
              </w:rPr>
            </w:pPr>
          </w:p>
        </w:tc>
        <w:tc>
          <w:tcPr>
            <w:tcW w:w="1232" w:type="pct"/>
            <w:vAlign w:val="center"/>
          </w:tcPr>
          <w:p w14:paraId="16C05363">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B22制度执行有效性</w:t>
            </w:r>
          </w:p>
        </w:tc>
        <w:tc>
          <w:tcPr>
            <w:tcW w:w="536" w:type="pct"/>
            <w:vAlign w:val="center"/>
          </w:tcPr>
          <w:p w14:paraId="34ACE239">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有效</w:t>
            </w:r>
          </w:p>
        </w:tc>
        <w:tc>
          <w:tcPr>
            <w:tcW w:w="385" w:type="pct"/>
            <w:vAlign w:val="center"/>
          </w:tcPr>
          <w:p w14:paraId="11B51773">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Align w:val="center"/>
          </w:tcPr>
          <w:p w14:paraId="6567B95A">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实施单位提供相关资料、评价组调研</w:t>
            </w:r>
          </w:p>
        </w:tc>
      </w:tr>
      <w:tr w14:paraId="65984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462" w:type="pct"/>
            <w:vMerge w:val="restart"/>
            <w:vAlign w:val="center"/>
          </w:tcPr>
          <w:p w14:paraId="56D88744">
            <w:pPr>
              <w:snapToGrid w:val="0"/>
              <w:spacing w:line="360" w:lineRule="exact"/>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C产出</w:t>
            </w:r>
          </w:p>
        </w:tc>
        <w:tc>
          <w:tcPr>
            <w:tcW w:w="386" w:type="pct"/>
            <w:vMerge w:val="restart"/>
            <w:vAlign w:val="center"/>
          </w:tcPr>
          <w:p w14:paraId="23AA4C61">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30</w:t>
            </w:r>
          </w:p>
        </w:tc>
        <w:tc>
          <w:tcPr>
            <w:tcW w:w="767" w:type="pct"/>
            <w:vMerge w:val="restart"/>
            <w:vAlign w:val="center"/>
          </w:tcPr>
          <w:p w14:paraId="21B49FCE">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C1产出数量</w:t>
            </w:r>
          </w:p>
        </w:tc>
        <w:tc>
          <w:tcPr>
            <w:tcW w:w="382" w:type="pct"/>
            <w:vMerge w:val="restart"/>
            <w:vAlign w:val="center"/>
          </w:tcPr>
          <w:p w14:paraId="5EA954DC">
            <w:pPr>
              <w:snapToGrid w:val="0"/>
              <w:spacing w:line="400" w:lineRule="exact"/>
              <w:ind w:firstLine="120" w:firstLineChars="50"/>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8</w:t>
            </w:r>
          </w:p>
        </w:tc>
        <w:tc>
          <w:tcPr>
            <w:tcW w:w="1232" w:type="pct"/>
            <w:vAlign w:val="center"/>
          </w:tcPr>
          <w:p w14:paraId="1CCAE9AD">
            <w:pPr>
              <w:spacing w:line="240" w:lineRule="auto"/>
              <w:ind w:firstLine="0" w:firstLineChars="0"/>
              <w:jc w:val="center"/>
              <w:rPr>
                <w:rFonts w:hint="default" w:ascii="仿宋_GB2312" w:hAnsi="Calibri" w:eastAsia="仿宋_GB2312" w:cs="Times New Roman"/>
                <w:color w:val="000000"/>
                <w:sz w:val="21"/>
                <w:szCs w:val="21"/>
                <w:lang w:val="en-US" w:eastAsia="zh-CN"/>
              </w:rPr>
            </w:pPr>
            <w:r>
              <w:rPr>
                <w:rFonts w:hint="eastAsia" w:ascii="仿宋_GB2312" w:hAnsi="Calibri" w:eastAsia="仿宋_GB2312" w:cs="Times New Roman"/>
                <w:sz w:val="21"/>
                <w:szCs w:val="21"/>
              </w:rPr>
              <w:t>C11</w:t>
            </w:r>
            <w:r>
              <w:rPr>
                <w:rFonts w:hint="eastAsia" w:ascii="仿宋_GB2312" w:hAnsi="Calibri" w:eastAsia="仿宋_GB2312" w:cs="Times New Roman"/>
                <w:sz w:val="21"/>
                <w:szCs w:val="21"/>
                <w:lang w:val="en-US" w:eastAsia="zh-CN"/>
              </w:rPr>
              <w:t>综合教学楼建筑面积完成率</w:t>
            </w:r>
          </w:p>
        </w:tc>
        <w:tc>
          <w:tcPr>
            <w:tcW w:w="536" w:type="pct"/>
            <w:vAlign w:val="center"/>
          </w:tcPr>
          <w:p w14:paraId="5DF17943">
            <w:pPr>
              <w:spacing w:line="240" w:lineRule="auto"/>
              <w:ind w:firstLine="0" w:firstLineChars="0"/>
              <w:jc w:val="center"/>
              <w:rPr>
                <w:rFonts w:ascii="仿宋_GB2312" w:hAnsi="Calibri" w:eastAsia="仿宋_GB2312" w:cs="Times New Roman"/>
                <w:b/>
                <w:bCs/>
                <w:color w:val="000000"/>
                <w:kern w:val="0"/>
                <w:sz w:val="21"/>
                <w:szCs w:val="21"/>
              </w:rPr>
            </w:pPr>
            <w:r>
              <w:rPr>
                <w:rFonts w:hint="eastAsia" w:ascii="仿宋_GB2312" w:hAnsi="Calibri" w:eastAsia="仿宋_GB2312" w:cs="Times New Roman"/>
                <w:sz w:val="21"/>
                <w:szCs w:val="21"/>
              </w:rPr>
              <w:t>100%</w:t>
            </w:r>
          </w:p>
        </w:tc>
        <w:tc>
          <w:tcPr>
            <w:tcW w:w="385" w:type="pct"/>
            <w:vAlign w:val="center"/>
          </w:tcPr>
          <w:p w14:paraId="13B22705">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Merge w:val="restart"/>
            <w:vAlign w:val="center"/>
          </w:tcPr>
          <w:p w14:paraId="656E90C1">
            <w:pPr>
              <w:snapToGrid w:val="0"/>
              <w:spacing w:line="400" w:lineRule="exact"/>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实地勘察、查阅相关资料、分析计算</w:t>
            </w:r>
          </w:p>
        </w:tc>
      </w:tr>
      <w:tr w14:paraId="1D5AC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462" w:type="pct"/>
            <w:vMerge w:val="continue"/>
            <w:vAlign w:val="center"/>
          </w:tcPr>
          <w:p w14:paraId="0204287A">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14:paraId="31E293F1">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14:paraId="2E332ADA">
            <w:pPr>
              <w:spacing w:line="240" w:lineRule="auto"/>
              <w:ind w:firstLine="0" w:firstLineChars="0"/>
              <w:jc w:val="center"/>
              <w:rPr>
                <w:rFonts w:ascii="仿宋_GB2312" w:hAnsi="Calibri" w:eastAsia="仿宋_GB2312" w:cs="Times New Roman"/>
                <w:sz w:val="21"/>
                <w:szCs w:val="21"/>
              </w:rPr>
            </w:pPr>
          </w:p>
        </w:tc>
        <w:tc>
          <w:tcPr>
            <w:tcW w:w="382" w:type="pct"/>
            <w:vMerge w:val="continue"/>
            <w:vAlign w:val="center"/>
          </w:tcPr>
          <w:p w14:paraId="38650A69">
            <w:pPr>
              <w:snapToGrid w:val="0"/>
              <w:spacing w:line="400" w:lineRule="exact"/>
              <w:ind w:firstLine="120" w:firstLineChars="50"/>
              <w:rPr>
                <w:rFonts w:ascii="Times New Roman" w:hAnsi="Times New Roman" w:eastAsia="仿宋" w:cs="Times New Roman"/>
                <w:color w:val="000000"/>
                <w:sz w:val="24"/>
                <w:szCs w:val="24"/>
              </w:rPr>
            </w:pPr>
          </w:p>
        </w:tc>
        <w:tc>
          <w:tcPr>
            <w:tcW w:w="1232" w:type="pct"/>
            <w:vAlign w:val="center"/>
          </w:tcPr>
          <w:p w14:paraId="4B8D4F50">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C12</w:t>
            </w:r>
            <w:r>
              <w:rPr>
                <w:rFonts w:hint="eastAsia" w:ascii="仿宋_GB2312" w:hAnsi="Calibri" w:eastAsia="仿宋_GB2312" w:cs="Times New Roman"/>
                <w:sz w:val="21"/>
                <w:szCs w:val="21"/>
                <w:lang w:val="en-US" w:eastAsia="zh-CN"/>
              </w:rPr>
              <w:t>学员人数容纳</w:t>
            </w:r>
            <w:r>
              <w:rPr>
                <w:rFonts w:hint="eastAsia" w:ascii="仿宋_GB2312" w:hAnsi="Calibri" w:eastAsia="仿宋_GB2312" w:cs="Times New Roman"/>
                <w:sz w:val="21"/>
                <w:szCs w:val="21"/>
              </w:rPr>
              <w:t>率</w:t>
            </w:r>
          </w:p>
        </w:tc>
        <w:tc>
          <w:tcPr>
            <w:tcW w:w="536" w:type="pct"/>
            <w:vAlign w:val="center"/>
          </w:tcPr>
          <w:p w14:paraId="5E7E209F">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100%</w:t>
            </w:r>
          </w:p>
        </w:tc>
        <w:tc>
          <w:tcPr>
            <w:tcW w:w="385" w:type="pct"/>
            <w:vAlign w:val="center"/>
          </w:tcPr>
          <w:p w14:paraId="7BB812D4">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Merge w:val="continue"/>
            <w:vAlign w:val="center"/>
          </w:tcPr>
          <w:p w14:paraId="098A3FC3">
            <w:pPr>
              <w:snapToGrid w:val="0"/>
              <w:spacing w:line="400" w:lineRule="exact"/>
              <w:ind w:firstLine="0" w:firstLineChars="0"/>
              <w:jc w:val="center"/>
              <w:rPr>
                <w:rFonts w:ascii="仿宋_GB2312" w:hAnsi="Calibri" w:eastAsia="仿宋_GB2312" w:cs="Times New Roman"/>
                <w:color w:val="000000"/>
                <w:kern w:val="0"/>
                <w:sz w:val="21"/>
                <w:szCs w:val="21"/>
              </w:rPr>
            </w:pPr>
          </w:p>
        </w:tc>
      </w:tr>
      <w:tr w14:paraId="56506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5" w:hRule="exact"/>
        </w:trPr>
        <w:tc>
          <w:tcPr>
            <w:tcW w:w="462" w:type="pct"/>
            <w:vMerge w:val="continue"/>
            <w:vAlign w:val="center"/>
          </w:tcPr>
          <w:p w14:paraId="6909BF66">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14:paraId="22B3E629">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Align w:val="center"/>
          </w:tcPr>
          <w:p w14:paraId="53118FEA">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C2产出质量</w:t>
            </w:r>
          </w:p>
        </w:tc>
        <w:tc>
          <w:tcPr>
            <w:tcW w:w="382" w:type="pct"/>
            <w:vAlign w:val="center"/>
          </w:tcPr>
          <w:p w14:paraId="77D45525">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8</w:t>
            </w:r>
          </w:p>
        </w:tc>
        <w:tc>
          <w:tcPr>
            <w:tcW w:w="1232" w:type="pct"/>
            <w:vAlign w:val="center"/>
          </w:tcPr>
          <w:p w14:paraId="3DCAE3E8">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sz w:val="21"/>
                <w:szCs w:val="21"/>
              </w:rPr>
              <w:t>C21</w:t>
            </w:r>
            <w:r>
              <w:rPr>
                <w:rFonts w:hint="eastAsia" w:ascii="仿宋_GB2312" w:hAnsi="Calibri" w:eastAsia="仿宋_GB2312" w:cs="Times New Roman"/>
                <w:sz w:val="21"/>
                <w:szCs w:val="21"/>
                <w:lang w:val="en-US" w:eastAsia="zh-CN"/>
              </w:rPr>
              <w:t>质量合格</w:t>
            </w:r>
            <w:r>
              <w:rPr>
                <w:rFonts w:hint="eastAsia" w:ascii="仿宋_GB2312" w:hAnsi="Calibri" w:eastAsia="仿宋_GB2312" w:cs="Times New Roman"/>
                <w:sz w:val="21"/>
                <w:szCs w:val="21"/>
              </w:rPr>
              <w:t>率</w:t>
            </w:r>
          </w:p>
        </w:tc>
        <w:tc>
          <w:tcPr>
            <w:tcW w:w="536" w:type="pct"/>
            <w:vAlign w:val="center"/>
          </w:tcPr>
          <w:p w14:paraId="0F1DD334">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sz w:val="21"/>
                <w:szCs w:val="21"/>
              </w:rPr>
              <w:t>100%</w:t>
            </w:r>
          </w:p>
        </w:tc>
        <w:tc>
          <w:tcPr>
            <w:tcW w:w="385" w:type="pct"/>
            <w:vAlign w:val="center"/>
          </w:tcPr>
          <w:p w14:paraId="7D34793C">
            <w:pPr>
              <w:snapToGrid w:val="0"/>
              <w:spacing w:line="400" w:lineRule="exact"/>
              <w:ind w:firstLine="0" w:firstLineChars="0"/>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lang w:val="en-US" w:eastAsia="zh-CN"/>
              </w:rPr>
              <w:t>8</w:t>
            </w:r>
          </w:p>
        </w:tc>
        <w:tc>
          <w:tcPr>
            <w:tcW w:w="846" w:type="pct"/>
            <w:vAlign w:val="center"/>
          </w:tcPr>
          <w:p w14:paraId="20ED0CDD">
            <w:pPr>
              <w:snapToGrid w:val="0"/>
              <w:spacing w:line="400" w:lineRule="exact"/>
              <w:ind w:firstLine="0" w:firstLineChars="0"/>
              <w:jc w:val="center"/>
              <w:rPr>
                <w:rFonts w:ascii="Times New Roman" w:hAnsi="Times New Roman" w:eastAsia="仿宋" w:cs="Times New Roman"/>
                <w:color w:val="000000"/>
                <w:kern w:val="0"/>
                <w:sz w:val="24"/>
                <w:szCs w:val="24"/>
              </w:rPr>
            </w:pPr>
            <w:r>
              <w:rPr>
                <w:rFonts w:hint="eastAsia" w:ascii="仿宋_GB2312" w:hAnsi="Calibri" w:eastAsia="仿宋_GB2312" w:cs="Times New Roman"/>
                <w:color w:val="000000"/>
                <w:kern w:val="0"/>
                <w:sz w:val="21"/>
                <w:szCs w:val="21"/>
              </w:rPr>
              <w:t>实</w:t>
            </w:r>
            <w:r>
              <w:rPr>
                <w:rFonts w:hint="eastAsia" w:ascii="仿宋_GB2312" w:hAnsi="Calibri" w:eastAsia="仿宋_GB2312" w:cs="Times New Roman"/>
                <w:color w:val="000000"/>
                <w:sz w:val="21"/>
                <w:szCs w:val="21"/>
              </w:rPr>
              <w:t>地勘察、查阅相关资料、分析计算</w:t>
            </w:r>
          </w:p>
        </w:tc>
      </w:tr>
      <w:tr w14:paraId="66768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exact"/>
        </w:trPr>
        <w:tc>
          <w:tcPr>
            <w:tcW w:w="462" w:type="pct"/>
            <w:vMerge w:val="continue"/>
            <w:vAlign w:val="center"/>
          </w:tcPr>
          <w:p w14:paraId="0E151412">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14:paraId="76F4F4EB">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restart"/>
            <w:vAlign w:val="center"/>
          </w:tcPr>
          <w:p w14:paraId="2FBC63D9">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C3产出时效</w:t>
            </w:r>
          </w:p>
        </w:tc>
        <w:tc>
          <w:tcPr>
            <w:tcW w:w="382" w:type="pct"/>
            <w:vMerge w:val="restart"/>
            <w:vAlign w:val="center"/>
          </w:tcPr>
          <w:p w14:paraId="3366031E">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8</w:t>
            </w:r>
          </w:p>
        </w:tc>
        <w:tc>
          <w:tcPr>
            <w:tcW w:w="1232" w:type="pct"/>
            <w:vAlign w:val="center"/>
          </w:tcPr>
          <w:p w14:paraId="0E163AB1">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sz w:val="21"/>
                <w:szCs w:val="21"/>
              </w:rPr>
              <w:t>C31</w:t>
            </w:r>
            <w:r>
              <w:rPr>
                <w:rFonts w:hint="eastAsia" w:ascii="仿宋_GB2312" w:hAnsi="Calibri" w:eastAsia="仿宋_GB2312" w:cs="Times New Roman"/>
                <w:sz w:val="21"/>
                <w:szCs w:val="21"/>
                <w:lang w:val="en-US" w:eastAsia="zh-CN"/>
              </w:rPr>
              <w:t>项目完工</w:t>
            </w:r>
            <w:r>
              <w:rPr>
                <w:rFonts w:hint="eastAsia" w:ascii="仿宋_GB2312" w:hAnsi="Calibri" w:eastAsia="仿宋_GB2312" w:cs="Times New Roman"/>
                <w:sz w:val="21"/>
                <w:szCs w:val="21"/>
              </w:rPr>
              <w:t>及时性</w:t>
            </w:r>
          </w:p>
        </w:tc>
        <w:tc>
          <w:tcPr>
            <w:tcW w:w="536" w:type="pct"/>
            <w:vAlign w:val="center"/>
          </w:tcPr>
          <w:p w14:paraId="21F24DA4">
            <w:pPr>
              <w:spacing w:line="240" w:lineRule="auto"/>
              <w:ind w:firstLine="0" w:firstLineChars="0"/>
              <w:jc w:val="center"/>
              <w:rPr>
                <w:rFonts w:ascii="仿宋_GB2312" w:hAnsi="Calibri" w:eastAsia="仿宋_GB2312" w:cs="Times New Roman"/>
                <w:bCs/>
                <w:color w:val="000000"/>
                <w:kern w:val="0"/>
                <w:sz w:val="21"/>
                <w:szCs w:val="21"/>
              </w:rPr>
            </w:pPr>
            <w:r>
              <w:rPr>
                <w:rFonts w:hint="eastAsia" w:ascii="仿宋_GB2312" w:hAnsi="Calibri" w:eastAsia="仿宋_GB2312" w:cs="Times New Roman"/>
                <w:sz w:val="21"/>
                <w:szCs w:val="21"/>
              </w:rPr>
              <w:t>及时</w:t>
            </w:r>
          </w:p>
        </w:tc>
        <w:tc>
          <w:tcPr>
            <w:tcW w:w="385" w:type="pct"/>
            <w:vAlign w:val="center"/>
          </w:tcPr>
          <w:p w14:paraId="54FBD293">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Merge w:val="restart"/>
            <w:vAlign w:val="center"/>
          </w:tcPr>
          <w:p w14:paraId="68C11C8D">
            <w:pPr>
              <w:snapToGrid w:val="0"/>
              <w:spacing w:line="400" w:lineRule="exact"/>
              <w:ind w:firstLine="0" w:firstLineChars="0"/>
              <w:jc w:val="center"/>
              <w:rPr>
                <w:rFonts w:ascii="Times New Roman" w:hAnsi="Times New Roman" w:eastAsia="仿宋" w:cs="Times New Roman"/>
                <w:color w:val="000000"/>
                <w:kern w:val="0"/>
                <w:sz w:val="24"/>
                <w:szCs w:val="24"/>
              </w:rPr>
            </w:pPr>
            <w:r>
              <w:rPr>
                <w:rFonts w:hint="eastAsia" w:ascii="仿宋_GB2312" w:hAnsi="Calibri" w:eastAsia="仿宋_GB2312" w:cs="Times New Roman"/>
                <w:color w:val="000000"/>
                <w:kern w:val="0"/>
                <w:sz w:val="21"/>
                <w:szCs w:val="21"/>
              </w:rPr>
              <w:t>实</w:t>
            </w:r>
            <w:r>
              <w:rPr>
                <w:rFonts w:hint="eastAsia" w:ascii="仿宋_GB2312" w:hAnsi="Calibri" w:eastAsia="仿宋_GB2312" w:cs="Times New Roman"/>
                <w:color w:val="000000"/>
                <w:sz w:val="21"/>
                <w:szCs w:val="21"/>
              </w:rPr>
              <w:t>地勘察、查阅相关资料、分析计算</w:t>
            </w:r>
          </w:p>
        </w:tc>
      </w:tr>
      <w:tr w14:paraId="0E8E4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exact"/>
        </w:trPr>
        <w:tc>
          <w:tcPr>
            <w:tcW w:w="462" w:type="pct"/>
            <w:vMerge w:val="continue"/>
            <w:vAlign w:val="center"/>
          </w:tcPr>
          <w:p w14:paraId="6751A6B2">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14:paraId="6F27B3CD">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14:paraId="79AB55B8">
            <w:pPr>
              <w:spacing w:line="240" w:lineRule="auto"/>
              <w:ind w:firstLine="0" w:firstLineChars="0"/>
              <w:jc w:val="center"/>
              <w:rPr>
                <w:rFonts w:ascii="仿宋_GB2312" w:hAnsi="Calibri" w:eastAsia="仿宋_GB2312" w:cs="Times New Roman"/>
                <w:sz w:val="21"/>
                <w:szCs w:val="21"/>
              </w:rPr>
            </w:pPr>
          </w:p>
        </w:tc>
        <w:tc>
          <w:tcPr>
            <w:tcW w:w="382" w:type="pct"/>
            <w:vMerge w:val="continue"/>
            <w:vAlign w:val="center"/>
          </w:tcPr>
          <w:p w14:paraId="2975D798">
            <w:pPr>
              <w:snapToGrid w:val="0"/>
              <w:spacing w:line="400" w:lineRule="exact"/>
              <w:ind w:firstLine="0" w:firstLineChars="0"/>
              <w:jc w:val="center"/>
              <w:rPr>
                <w:rFonts w:ascii="Times New Roman" w:hAnsi="Times New Roman" w:eastAsia="仿宋" w:cs="Times New Roman"/>
                <w:color w:val="000000"/>
                <w:sz w:val="24"/>
                <w:szCs w:val="24"/>
              </w:rPr>
            </w:pPr>
          </w:p>
        </w:tc>
        <w:tc>
          <w:tcPr>
            <w:tcW w:w="1232" w:type="pct"/>
            <w:vAlign w:val="center"/>
          </w:tcPr>
          <w:p w14:paraId="55AB6821">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C32</w:t>
            </w:r>
            <w:r>
              <w:rPr>
                <w:rFonts w:hint="eastAsia" w:ascii="仿宋_GB2312" w:hAnsi="Calibri" w:eastAsia="仿宋_GB2312" w:cs="Times New Roman"/>
                <w:sz w:val="21"/>
                <w:szCs w:val="21"/>
                <w:lang w:val="en-US" w:eastAsia="zh-CN"/>
              </w:rPr>
              <w:t>项目验收</w:t>
            </w:r>
            <w:r>
              <w:rPr>
                <w:rFonts w:hint="eastAsia" w:ascii="仿宋_GB2312" w:hAnsi="Calibri" w:eastAsia="仿宋_GB2312" w:cs="Times New Roman"/>
                <w:sz w:val="21"/>
                <w:szCs w:val="21"/>
              </w:rPr>
              <w:t>及时性</w:t>
            </w:r>
          </w:p>
        </w:tc>
        <w:tc>
          <w:tcPr>
            <w:tcW w:w="536" w:type="pct"/>
            <w:vAlign w:val="center"/>
          </w:tcPr>
          <w:p w14:paraId="6D3366CF">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及时</w:t>
            </w:r>
          </w:p>
        </w:tc>
        <w:tc>
          <w:tcPr>
            <w:tcW w:w="385" w:type="pct"/>
            <w:vAlign w:val="center"/>
          </w:tcPr>
          <w:p w14:paraId="701D51C8">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Merge w:val="continue"/>
            <w:vAlign w:val="center"/>
          </w:tcPr>
          <w:p w14:paraId="3B9B0C4C">
            <w:pPr>
              <w:snapToGrid w:val="0"/>
              <w:spacing w:line="400" w:lineRule="exact"/>
              <w:ind w:firstLine="0" w:firstLineChars="0"/>
              <w:jc w:val="center"/>
              <w:rPr>
                <w:rFonts w:ascii="仿宋_GB2312" w:hAnsi="Calibri" w:eastAsia="仿宋_GB2312" w:cs="Times New Roman"/>
                <w:color w:val="000000"/>
                <w:kern w:val="0"/>
                <w:sz w:val="21"/>
                <w:szCs w:val="21"/>
              </w:rPr>
            </w:pPr>
          </w:p>
        </w:tc>
      </w:tr>
      <w:tr w14:paraId="6EDD3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9" w:hRule="exact"/>
        </w:trPr>
        <w:tc>
          <w:tcPr>
            <w:tcW w:w="462" w:type="pct"/>
            <w:vMerge w:val="continue"/>
            <w:vAlign w:val="center"/>
          </w:tcPr>
          <w:p w14:paraId="3F32F088">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14:paraId="1AE6B646">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Align w:val="center"/>
          </w:tcPr>
          <w:p w14:paraId="2732472D">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C4产出成本</w:t>
            </w:r>
          </w:p>
        </w:tc>
        <w:tc>
          <w:tcPr>
            <w:tcW w:w="382" w:type="pct"/>
            <w:vAlign w:val="center"/>
          </w:tcPr>
          <w:p w14:paraId="282B4D65">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6</w:t>
            </w:r>
          </w:p>
        </w:tc>
        <w:tc>
          <w:tcPr>
            <w:tcW w:w="1232" w:type="pct"/>
            <w:vAlign w:val="center"/>
          </w:tcPr>
          <w:p w14:paraId="419E9BD0">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C41成本节约率</w:t>
            </w:r>
          </w:p>
        </w:tc>
        <w:tc>
          <w:tcPr>
            <w:tcW w:w="536" w:type="pct"/>
            <w:vAlign w:val="center"/>
          </w:tcPr>
          <w:p w14:paraId="11AC2FDA">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≥0</w:t>
            </w:r>
          </w:p>
        </w:tc>
        <w:tc>
          <w:tcPr>
            <w:tcW w:w="385" w:type="pct"/>
            <w:vAlign w:val="center"/>
          </w:tcPr>
          <w:p w14:paraId="4609BC83">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6</w:t>
            </w:r>
          </w:p>
        </w:tc>
        <w:tc>
          <w:tcPr>
            <w:tcW w:w="846" w:type="pct"/>
            <w:vAlign w:val="center"/>
          </w:tcPr>
          <w:p w14:paraId="75D093A2">
            <w:pPr>
              <w:snapToGrid w:val="0"/>
              <w:spacing w:line="400" w:lineRule="exact"/>
              <w:ind w:firstLine="0" w:firstLineChars="0"/>
              <w:jc w:val="center"/>
              <w:rPr>
                <w:rFonts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实</w:t>
            </w:r>
            <w:r>
              <w:rPr>
                <w:rFonts w:hint="eastAsia" w:ascii="仿宋_GB2312" w:hAnsi="Calibri" w:eastAsia="仿宋_GB2312" w:cs="Times New Roman"/>
                <w:color w:val="000000"/>
                <w:sz w:val="21"/>
                <w:szCs w:val="21"/>
              </w:rPr>
              <w:t>地勘察、查阅相关资料、分析计算</w:t>
            </w:r>
          </w:p>
        </w:tc>
      </w:tr>
      <w:tr w14:paraId="0B1DE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462" w:type="pct"/>
            <w:vMerge w:val="restart"/>
            <w:vAlign w:val="center"/>
          </w:tcPr>
          <w:p w14:paraId="4CACD857">
            <w:pPr>
              <w:snapToGrid w:val="0"/>
              <w:spacing w:line="360" w:lineRule="exact"/>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D效益</w:t>
            </w:r>
          </w:p>
        </w:tc>
        <w:tc>
          <w:tcPr>
            <w:tcW w:w="386" w:type="pct"/>
            <w:vMerge w:val="restart"/>
            <w:vAlign w:val="center"/>
          </w:tcPr>
          <w:p w14:paraId="7F63CFAD">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30</w:t>
            </w:r>
          </w:p>
        </w:tc>
        <w:tc>
          <w:tcPr>
            <w:tcW w:w="767" w:type="pct"/>
            <w:vAlign w:val="center"/>
          </w:tcPr>
          <w:p w14:paraId="6EF05077">
            <w:pPr>
              <w:snapToGrid w:val="0"/>
              <w:spacing w:line="400" w:lineRule="exact"/>
              <w:ind w:firstLine="0" w:firstLineChars="0"/>
              <w:jc w:val="left"/>
              <w:rPr>
                <w:rFonts w:ascii="仿宋_GB2312" w:hAnsi="仿宋_GB2312" w:eastAsia="仿宋_GB2312" w:cs="仿宋_GB2312"/>
                <w:color w:val="000000"/>
                <w:sz w:val="21"/>
                <w:szCs w:val="21"/>
              </w:rPr>
            </w:pPr>
            <w:r>
              <w:rPr>
                <w:rFonts w:hint="eastAsia" w:ascii="仿宋_GB2312" w:hAnsi="Calibri" w:eastAsia="仿宋_GB2312" w:cs="Times New Roman"/>
                <w:sz w:val="21"/>
                <w:szCs w:val="21"/>
              </w:rPr>
              <w:t>D1</w:t>
            </w:r>
            <w:r>
              <w:rPr>
                <w:rFonts w:hint="eastAsia" w:ascii="仿宋_GB2312" w:hAnsi="Calibri" w:eastAsia="仿宋_GB2312" w:cs="Times New Roman"/>
                <w:sz w:val="21"/>
                <w:szCs w:val="21"/>
                <w:lang w:val="en-US" w:eastAsia="zh-CN"/>
              </w:rPr>
              <w:t>社会</w:t>
            </w:r>
            <w:r>
              <w:rPr>
                <w:rFonts w:hint="eastAsia" w:ascii="仿宋_GB2312" w:hAnsi="Calibri" w:eastAsia="仿宋_GB2312" w:cs="Times New Roman"/>
                <w:sz w:val="21"/>
                <w:szCs w:val="21"/>
              </w:rPr>
              <w:t>效益</w:t>
            </w:r>
          </w:p>
        </w:tc>
        <w:tc>
          <w:tcPr>
            <w:tcW w:w="382" w:type="pct"/>
            <w:vAlign w:val="center"/>
          </w:tcPr>
          <w:p w14:paraId="196D167C">
            <w:pPr>
              <w:snapToGrid w:val="0"/>
              <w:spacing w:line="400" w:lineRule="exact"/>
              <w:ind w:firstLine="0" w:firstLineChars="0"/>
              <w:jc w:val="center"/>
              <w:rPr>
                <w:rFonts w:hint="default" w:ascii="仿宋_GB2312" w:hAnsi="Calibri" w:eastAsia="仿宋_GB2312" w:cs="Times New Roman"/>
                <w:sz w:val="21"/>
                <w:szCs w:val="21"/>
                <w:lang w:val="en-US" w:eastAsia="zh-CN"/>
              </w:rPr>
            </w:pPr>
            <w:r>
              <w:rPr>
                <w:rFonts w:hint="eastAsia" w:ascii="Times New Roman" w:hAnsi="Times New Roman" w:eastAsia="仿宋" w:cs="Times New Roman"/>
                <w:color w:val="000000"/>
                <w:sz w:val="24"/>
                <w:szCs w:val="24"/>
                <w:lang w:val="en-US" w:eastAsia="zh-CN"/>
              </w:rPr>
              <w:t>10</w:t>
            </w:r>
          </w:p>
        </w:tc>
        <w:tc>
          <w:tcPr>
            <w:tcW w:w="1232" w:type="pct"/>
            <w:vAlign w:val="center"/>
          </w:tcPr>
          <w:p w14:paraId="40CC82E8">
            <w:pPr>
              <w:spacing w:line="240" w:lineRule="atLeast"/>
              <w:ind w:firstLine="0" w:firstLineChars="0"/>
              <w:jc w:val="left"/>
              <w:rPr>
                <w:rFonts w:hint="default" w:ascii="仿宋_GB2312" w:hAnsi="Calibri" w:eastAsia="仿宋_GB2312" w:cs="Times New Roman"/>
                <w:sz w:val="21"/>
                <w:szCs w:val="21"/>
                <w:lang w:val="en-US" w:eastAsia="zh-CN"/>
              </w:rPr>
            </w:pPr>
            <w:r>
              <w:rPr>
                <w:rFonts w:hint="eastAsia" w:ascii="仿宋_GB2312" w:hAnsi="Calibri" w:eastAsia="仿宋_GB2312" w:cs="Times New Roman"/>
                <w:sz w:val="21"/>
                <w:szCs w:val="21"/>
              </w:rPr>
              <w:t>D</w:t>
            </w:r>
            <w:r>
              <w:rPr>
                <w:rFonts w:hint="eastAsia" w:ascii="仿宋_GB2312" w:hAnsi="Calibri" w:eastAsia="仿宋_GB2312" w:cs="Times New Roman"/>
                <w:sz w:val="21"/>
                <w:szCs w:val="21"/>
                <w:lang w:val="en-US" w:eastAsia="zh-CN"/>
              </w:rPr>
              <w:t>1</w:t>
            </w:r>
            <w:r>
              <w:rPr>
                <w:rFonts w:hint="eastAsia" w:ascii="仿宋_GB2312" w:hAnsi="Calibri" w:eastAsia="仿宋_GB2312" w:cs="Times New Roman"/>
                <w:sz w:val="21"/>
                <w:szCs w:val="21"/>
              </w:rPr>
              <w:t>1</w:t>
            </w:r>
            <w:r>
              <w:rPr>
                <w:rFonts w:hint="eastAsia" w:ascii="仿宋_GB2312" w:hAnsi="Calibri" w:eastAsia="仿宋_GB2312" w:cs="Times New Roman"/>
                <w:sz w:val="21"/>
                <w:szCs w:val="21"/>
                <w:lang w:val="en-US" w:eastAsia="zh-CN"/>
              </w:rPr>
              <w:t>改善工作环境</w:t>
            </w:r>
          </w:p>
        </w:tc>
        <w:tc>
          <w:tcPr>
            <w:tcW w:w="536" w:type="pct"/>
            <w:vAlign w:val="center"/>
          </w:tcPr>
          <w:p w14:paraId="3D0FBB25">
            <w:pPr>
              <w:spacing w:line="240" w:lineRule="atLeast"/>
              <w:ind w:firstLine="0" w:firstLineChars="0"/>
              <w:jc w:val="center"/>
              <w:rPr>
                <w:rFonts w:ascii="仿宋_GB2312" w:hAnsi="Calibri" w:eastAsia="仿宋_GB2312" w:cs="Times New Roman"/>
                <w:sz w:val="21"/>
                <w:szCs w:val="21"/>
              </w:rPr>
            </w:pPr>
            <w:r>
              <w:rPr>
                <w:rFonts w:hint="eastAsia" w:ascii="仿宋_GB2312" w:hAnsi="仿宋_GB2312" w:eastAsia="仿宋_GB2312" w:cs="仿宋_GB2312"/>
                <w:sz w:val="21"/>
                <w:szCs w:val="21"/>
                <w:lang w:val="en-US" w:eastAsia="zh-CN"/>
              </w:rPr>
              <w:t>改善</w:t>
            </w:r>
          </w:p>
        </w:tc>
        <w:tc>
          <w:tcPr>
            <w:tcW w:w="385" w:type="pct"/>
            <w:vAlign w:val="center"/>
          </w:tcPr>
          <w:p w14:paraId="65E88C57">
            <w:pPr>
              <w:snapToGrid w:val="0"/>
              <w:spacing w:line="400" w:lineRule="exact"/>
              <w:ind w:firstLine="0" w:firstLineChars="0"/>
              <w:jc w:val="center"/>
              <w:rPr>
                <w:rFonts w:hint="default" w:ascii="Times New Roman" w:hAnsi="Times New Roman" w:eastAsia="仿宋" w:cs="Times New Roman"/>
                <w:color w:val="000000"/>
                <w:sz w:val="24"/>
                <w:szCs w:val="24"/>
                <w:lang w:val="en-US" w:eastAsia="zh-CN"/>
              </w:rPr>
            </w:pPr>
            <w:r>
              <w:rPr>
                <w:rFonts w:hint="eastAsia" w:ascii="Times New Roman" w:hAnsi="Times New Roman" w:eastAsia="仿宋" w:cs="Times New Roman"/>
                <w:color w:val="000000"/>
                <w:sz w:val="24"/>
                <w:szCs w:val="24"/>
                <w:lang w:val="en-US" w:eastAsia="zh-CN"/>
              </w:rPr>
              <w:t>10</w:t>
            </w:r>
          </w:p>
        </w:tc>
        <w:tc>
          <w:tcPr>
            <w:tcW w:w="846" w:type="pct"/>
            <w:vAlign w:val="center"/>
          </w:tcPr>
          <w:p w14:paraId="1180602F">
            <w:pPr>
              <w:snapToGrid w:val="0"/>
              <w:spacing w:line="400" w:lineRule="exact"/>
              <w:ind w:firstLine="0" w:firstLineChars="0"/>
              <w:jc w:val="center"/>
              <w:rPr>
                <w:rFonts w:ascii="仿宋_GB2312" w:hAnsi="Times New Roman" w:eastAsia="仿宋_GB2312" w:cs="Times New Roman"/>
                <w:color w:val="000000"/>
                <w:kern w:val="0"/>
                <w:sz w:val="24"/>
                <w:szCs w:val="24"/>
              </w:rPr>
            </w:pPr>
            <w:r>
              <w:rPr>
                <w:rFonts w:hint="eastAsia" w:ascii="仿宋_GB2312" w:hAnsi="Calibri" w:eastAsia="仿宋_GB2312" w:cs="Times New Roman"/>
                <w:color w:val="000000"/>
                <w:kern w:val="0"/>
                <w:sz w:val="21"/>
                <w:szCs w:val="21"/>
              </w:rPr>
              <w:t>实</w:t>
            </w:r>
            <w:r>
              <w:rPr>
                <w:rFonts w:hint="eastAsia" w:ascii="仿宋_GB2312" w:hAnsi="Calibri" w:eastAsia="仿宋_GB2312" w:cs="Times New Roman"/>
                <w:color w:val="000000"/>
                <w:sz w:val="21"/>
                <w:szCs w:val="21"/>
              </w:rPr>
              <w:t>地勘察、查阅相关资料、分析计算</w:t>
            </w:r>
          </w:p>
        </w:tc>
      </w:tr>
      <w:tr w14:paraId="2AC04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trPr>
        <w:tc>
          <w:tcPr>
            <w:tcW w:w="462" w:type="pct"/>
            <w:vMerge w:val="continue"/>
            <w:vAlign w:val="center"/>
          </w:tcPr>
          <w:p w14:paraId="4F1BDA52">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14:paraId="2B40C767">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Align w:val="center"/>
          </w:tcPr>
          <w:p w14:paraId="6BA3F1E2">
            <w:pPr>
              <w:snapToGrid w:val="0"/>
              <w:spacing w:line="400" w:lineRule="exact"/>
              <w:ind w:firstLine="0" w:firstLineChars="0"/>
              <w:jc w:val="left"/>
              <w:rPr>
                <w:rFonts w:ascii="仿宋_GB2312" w:hAnsi="仿宋_GB2312" w:eastAsia="仿宋_GB2312" w:cs="仿宋_GB2312"/>
                <w:sz w:val="21"/>
                <w:szCs w:val="21"/>
              </w:rPr>
            </w:pPr>
            <w:r>
              <w:rPr>
                <w:rFonts w:hint="eastAsia" w:ascii="仿宋_GB2312" w:hAnsi="Calibri" w:eastAsia="仿宋_GB2312" w:cs="Times New Roman"/>
                <w:sz w:val="21"/>
                <w:szCs w:val="21"/>
              </w:rPr>
              <w:t>D</w:t>
            </w:r>
            <w:r>
              <w:rPr>
                <w:rFonts w:hint="eastAsia" w:ascii="仿宋_GB2312" w:hAnsi="Calibri" w:eastAsia="仿宋_GB2312" w:cs="Times New Roman"/>
                <w:sz w:val="21"/>
                <w:szCs w:val="21"/>
                <w:lang w:val="en-US" w:eastAsia="zh-CN"/>
              </w:rPr>
              <w:t>2</w:t>
            </w:r>
            <w:r>
              <w:rPr>
                <w:rFonts w:hint="eastAsia" w:ascii="仿宋_GB2312" w:hAnsi="Calibri" w:eastAsia="仿宋_GB2312" w:cs="Times New Roman"/>
                <w:sz w:val="21"/>
                <w:szCs w:val="21"/>
              </w:rPr>
              <w:t>可持续影响</w:t>
            </w:r>
          </w:p>
        </w:tc>
        <w:tc>
          <w:tcPr>
            <w:tcW w:w="382" w:type="pct"/>
            <w:vAlign w:val="center"/>
          </w:tcPr>
          <w:p w14:paraId="67E50E07">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10</w:t>
            </w:r>
          </w:p>
        </w:tc>
        <w:tc>
          <w:tcPr>
            <w:tcW w:w="1232" w:type="pct"/>
            <w:vAlign w:val="center"/>
          </w:tcPr>
          <w:p w14:paraId="0833CC82">
            <w:pPr>
              <w:spacing w:line="280" w:lineRule="exact"/>
              <w:ind w:firstLine="0" w:firstLineChars="0"/>
              <w:jc w:val="left"/>
              <w:rPr>
                <w:rFonts w:hint="default" w:ascii="仿宋_GB2312" w:hAnsi="仿宋_GB2312" w:eastAsia="仿宋_GB2312" w:cs="仿宋_GB2312"/>
                <w:sz w:val="21"/>
                <w:szCs w:val="21"/>
                <w:lang w:val="en-US" w:eastAsia="zh-CN"/>
              </w:rPr>
            </w:pPr>
            <w:r>
              <w:rPr>
                <w:rFonts w:hint="eastAsia" w:ascii="仿宋_GB2312" w:hAnsi="Calibri" w:eastAsia="仿宋_GB2312" w:cs="Times New Roman"/>
                <w:sz w:val="21"/>
                <w:szCs w:val="21"/>
              </w:rPr>
              <w:t>D</w:t>
            </w:r>
            <w:r>
              <w:rPr>
                <w:rFonts w:hint="eastAsia" w:ascii="仿宋_GB2312" w:hAnsi="Calibri" w:eastAsia="仿宋_GB2312" w:cs="Times New Roman"/>
                <w:sz w:val="21"/>
                <w:szCs w:val="21"/>
                <w:lang w:val="en-US" w:eastAsia="zh-CN"/>
              </w:rPr>
              <w:t>2</w:t>
            </w:r>
            <w:r>
              <w:rPr>
                <w:rFonts w:hint="eastAsia" w:ascii="仿宋_GB2312" w:hAnsi="Calibri" w:eastAsia="仿宋_GB2312" w:cs="Times New Roman"/>
                <w:sz w:val="21"/>
                <w:szCs w:val="21"/>
              </w:rPr>
              <w:t>1</w:t>
            </w:r>
            <w:r>
              <w:rPr>
                <w:rFonts w:hint="eastAsia" w:ascii="仿宋_GB2312" w:hAnsi="仿宋_GB2312" w:eastAsia="仿宋_GB2312" w:cs="仿宋_GB2312"/>
                <w:sz w:val="21"/>
                <w:szCs w:val="21"/>
                <w:lang w:val="en-US" w:eastAsia="zh-CN"/>
              </w:rPr>
              <w:t>有后期维护人员</w:t>
            </w:r>
          </w:p>
        </w:tc>
        <w:tc>
          <w:tcPr>
            <w:tcW w:w="536" w:type="pct"/>
            <w:vAlign w:val="center"/>
          </w:tcPr>
          <w:p w14:paraId="7007819E">
            <w:pPr>
              <w:spacing w:line="240" w:lineRule="atLeas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可持续</w:t>
            </w:r>
          </w:p>
        </w:tc>
        <w:tc>
          <w:tcPr>
            <w:tcW w:w="385" w:type="pct"/>
            <w:vAlign w:val="center"/>
          </w:tcPr>
          <w:p w14:paraId="07759724">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10</w:t>
            </w:r>
          </w:p>
        </w:tc>
        <w:tc>
          <w:tcPr>
            <w:tcW w:w="846" w:type="pct"/>
            <w:vAlign w:val="center"/>
          </w:tcPr>
          <w:p w14:paraId="45C7465C">
            <w:pPr>
              <w:snapToGrid w:val="0"/>
              <w:spacing w:line="400" w:lineRule="exact"/>
              <w:ind w:firstLine="0" w:firstLineChars="0"/>
              <w:jc w:val="center"/>
              <w:textAlignment w:val="center"/>
              <w:rPr>
                <w:rFonts w:ascii="仿宋_GB2312" w:hAnsi="Calibri" w:eastAsia="仿宋_GB2312" w:cs="Times New Roman"/>
                <w:sz w:val="21"/>
                <w:szCs w:val="21"/>
              </w:rPr>
            </w:pPr>
            <w:r>
              <w:rPr>
                <w:rFonts w:hint="eastAsia" w:ascii="仿宋_GB2312" w:hAnsi="Calibri" w:eastAsia="仿宋_GB2312" w:cs="Times New Roman"/>
                <w:color w:val="000000"/>
                <w:kern w:val="0"/>
                <w:sz w:val="21"/>
                <w:szCs w:val="21"/>
              </w:rPr>
              <w:t>实</w:t>
            </w:r>
            <w:r>
              <w:rPr>
                <w:rFonts w:hint="eastAsia" w:ascii="仿宋_GB2312" w:hAnsi="Calibri" w:eastAsia="仿宋_GB2312" w:cs="Times New Roman"/>
                <w:color w:val="000000"/>
                <w:sz w:val="21"/>
                <w:szCs w:val="21"/>
              </w:rPr>
              <w:t>地勘察、查阅相关资料、分析计算</w:t>
            </w:r>
          </w:p>
        </w:tc>
      </w:tr>
      <w:tr w14:paraId="6DDFB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79" w:hRule="exact"/>
        </w:trPr>
        <w:tc>
          <w:tcPr>
            <w:tcW w:w="462" w:type="pct"/>
            <w:vMerge w:val="continue"/>
            <w:vAlign w:val="center"/>
          </w:tcPr>
          <w:p w14:paraId="2448C5E2">
            <w:pPr>
              <w:snapToGrid w:val="0"/>
              <w:spacing w:line="360" w:lineRule="exact"/>
              <w:ind w:firstLine="0" w:firstLineChars="0"/>
              <w:jc w:val="center"/>
              <w:rPr>
                <w:rFonts w:ascii="仿宋" w:hAnsi="仿宋" w:eastAsia="仿宋" w:cs="仿宋_GB2312"/>
                <w:b/>
                <w:sz w:val="24"/>
                <w:szCs w:val="24"/>
              </w:rPr>
            </w:pPr>
          </w:p>
        </w:tc>
        <w:tc>
          <w:tcPr>
            <w:tcW w:w="386" w:type="pct"/>
            <w:vMerge w:val="continue"/>
            <w:vAlign w:val="center"/>
          </w:tcPr>
          <w:p w14:paraId="12D99E86">
            <w:pPr>
              <w:snapToGrid w:val="0"/>
              <w:spacing w:line="400" w:lineRule="exact"/>
              <w:ind w:firstLine="0" w:firstLineChars="0"/>
              <w:jc w:val="center"/>
              <w:rPr>
                <w:rFonts w:ascii="仿宋" w:hAnsi="仿宋" w:eastAsia="仿宋" w:cs="仿宋_GB2312"/>
                <w:color w:val="000000"/>
                <w:sz w:val="24"/>
                <w:szCs w:val="24"/>
              </w:rPr>
            </w:pPr>
          </w:p>
        </w:tc>
        <w:tc>
          <w:tcPr>
            <w:tcW w:w="767" w:type="pct"/>
            <w:vAlign w:val="center"/>
          </w:tcPr>
          <w:p w14:paraId="4A39982C">
            <w:pPr>
              <w:spacing w:line="280" w:lineRule="exact"/>
              <w:ind w:firstLine="0" w:firstLineChars="0"/>
              <w:jc w:val="left"/>
              <w:rPr>
                <w:rFonts w:ascii="仿宋_GB2312" w:hAnsi="仿宋_GB2312" w:eastAsia="仿宋_GB2312" w:cs="仿宋_GB2312"/>
                <w:sz w:val="21"/>
                <w:szCs w:val="21"/>
              </w:rPr>
            </w:pPr>
            <w:r>
              <w:rPr>
                <w:rFonts w:hint="eastAsia" w:ascii="仿宋_GB2312" w:hAnsi="Calibri" w:eastAsia="仿宋_GB2312" w:cs="Times New Roman"/>
                <w:sz w:val="21"/>
                <w:szCs w:val="21"/>
              </w:rPr>
              <w:t>D</w:t>
            </w:r>
            <w:r>
              <w:rPr>
                <w:rFonts w:hint="eastAsia" w:ascii="仿宋_GB2312" w:hAnsi="Calibri" w:eastAsia="仿宋_GB2312" w:cs="Times New Roman"/>
                <w:sz w:val="21"/>
                <w:szCs w:val="21"/>
                <w:lang w:val="en-US" w:eastAsia="zh-CN"/>
              </w:rPr>
              <w:t>3</w:t>
            </w:r>
            <w:r>
              <w:rPr>
                <w:rFonts w:hint="eastAsia" w:ascii="仿宋_GB2312" w:hAnsi="Calibri" w:eastAsia="仿宋_GB2312" w:cs="Times New Roman"/>
                <w:sz w:val="21"/>
                <w:szCs w:val="21"/>
              </w:rPr>
              <w:t>满意度</w:t>
            </w:r>
          </w:p>
        </w:tc>
        <w:tc>
          <w:tcPr>
            <w:tcW w:w="382" w:type="pct"/>
            <w:vAlign w:val="center"/>
          </w:tcPr>
          <w:p w14:paraId="27BD81ED">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10</w:t>
            </w:r>
          </w:p>
        </w:tc>
        <w:tc>
          <w:tcPr>
            <w:tcW w:w="1232" w:type="pct"/>
            <w:vAlign w:val="center"/>
          </w:tcPr>
          <w:p w14:paraId="1D371A18">
            <w:pPr>
              <w:spacing w:line="280" w:lineRule="exact"/>
              <w:ind w:firstLine="0" w:firstLineChars="0"/>
              <w:jc w:val="left"/>
              <w:rPr>
                <w:rFonts w:ascii="仿宋_GB2312" w:hAnsi="仿宋_GB2312" w:eastAsia="仿宋_GB2312" w:cs="仿宋_GB2312"/>
                <w:sz w:val="21"/>
                <w:szCs w:val="21"/>
              </w:rPr>
            </w:pPr>
            <w:r>
              <w:rPr>
                <w:rFonts w:hint="eastAsia" w:ascii="仿宋_GB2312" w:hAnsi="Calibri" w:eastAsia="仿宋_GB2312" w:cs="Times New Roman"/>
                <w:sz w:val="21"/>
                <w:szCs w:val="21"/>
              </w:rPr>
              <w:t xml:space="preserve"> D</w:t>
            </w:r>
            <w:r>
              <w:rPr>
                <w:rFonts w:hint="eastAsia" w:ascii="仿宋_GB2312" w:hAnsi="Calibri" w:eastAsia="仿宋_GB2312" w:cs="Times New Roman"/>
                <w:sz w:val="21"/>
                <w:szCs w:val="21"/>
                <w:lang w:val="en-US" w:eastAsia="zh-CN"/>
              </w:rPr>
              <w:t>3</w:t>
            </w:r>
            <w:r>
              <w:rPr>
                <w:rFonts w:hint="eastAsia" w:ascii="仿宋_GB2312" w:hAnsi="Calibri" w:eastAsia="仿宋_GB2312" w:cs="Times New Roman"/>
                <w:sz w:val="21"/>
                <w:szCs w:val="21"/>
              </w:rPr>
              <w:t>1服务对象满意度</w:t>
            </w:r>
          </w:p>
        </w:tc>
        <w:tc>
          <w:tcPr>
            <w:tcW w:w="536" w:type="pct"/>
            <w:vAlign w:val="center"/>
          </w:tcPr>
          <w:p w14:paraId="744B3399">
            <w:pPr>
              <w:spacing w:line="240" w:lineRule="atLeas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≥95%</w:t>
            </w:r>
          </w:p>
        </w:tc>
        <w:tc>
          <w:tcPr>
            <w:tcW w:w="385" w:type="pct"/>
            <w:vAlign w:val="center"/>
          </w:tcPr>
          <w:p w14:paraId="785D9821">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10</w:t>
            </w:r>
          </w:p>
        </w:tc>
        <w:tc>
          <w:tcPr>
            <w:tcW w:w="846" w:type="pct"/>
            <w:vAlign w:val="center"/>
          </w:tcPr>
          <w:p w14:paraId="0B374FE3">
            <w:pPr>
              <w:spacing w:line="240" w:lineRule="atLeast"/>
              <w:ind w:firstLine="0" w:firstLineChars="0"/>
              <w:jc w:val="center"/>
              <w:rPr>
                <w:rFonts w:ascii="仿宋_GB2312" w:hAnsi="Calibri" w:eastAsia="仿宋_GB2312" w:cs="Times New Roman"/>
                <w:sz w:val="21"/>
                <w:szCs w:val="21"/>
              </w:rPr>
            </w:pPr>
            <w:r>
              <w:rPr>
                <w:rFonts w:ascii="仿宋_GB2312" w:hAnsi="Calibri" w:eastAsia="仿宋_GB2312" w:cs="Times New Roman"/>
                <w:sz w:val="21"/>
                <w:szCs w:val="21"/>
              </w:rPr>
              <w:t>现场问卷调查</w:t>
            </w:r>
          </w:p>
        </w:tc>
      </w:tr>
      <w:tr w14:paraId="40CFF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exact"/>
        </w:trPr>
        <w:tc>
          <w:tcPr>
            <w:tcW w:w="462" w:type="pct"/>
            <w:vAlign w:val="center"/>
          </w:tcPr>
          <w:p w14:paraId="1B3D9FFF">
            <w:pPr>
              <w:snapToGrid w:val="0"/>
              <w:spacing w:line="360" w:lineRule="exact"/>
              <w:ind w:firstLine="0" w:firstLineChars="0"/>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总分</w:t>
            </w:r>
          </w:p>
        </w:tc>
        <w:tc>
          <w:tcPr>
            <w:tcW w:w="386" w:type="pct"/>
            <w:vAlign w:val="center"/>
          </w:tcPr>
          <w:p w14:paraId="2EF16AED">
            <w:pPr>
              <w:widowControl/>
              <w:snapToGrid w:val="0"/>
              <w:spacing w:line="400" w:lineRule="exact"/>
              <w:ind w:firstLine="0" w:firstLineChars="0"/>
              <w:jc w:val="center"/>
              <w:textAlignment w:val="center"/>
              <w:rPr>
                <w:rFonts w:ascii="Times New Roman" w:hAnsi="Times New Roman" w:eastAsia="仿宋" w:cs="Times New Roman"/>
                <w:b/>
                <w:color w:val="000000"/>
                <w:sz w:val="24"/>
                <w:szCs w:val="24"/>
              </w:rPr>
            </w:pPr>
            <w:r>
              <w:rPr>
                <w:rFonts w:ascii="Times New Roman" w:hAnsi="Times New Roman" w:eastAsia="仿宋" w:cs="Times New Roman"/>
                <w:b/>
                <w:color w:val="000000"/>
                <w:sz w:val="24"/>
                <w:szCs w:val="24"/>
              </w:rPr>
              <w:fldChar w:fldCharType="begin"/>
            </w:r>
            <w:r>
              <w:rPr>
                <w:rFonts w:ascii="Times New Roman" w:hAnsi="Times New Roman" w:eastAsia="仿宋" w:cs="Times New Roman"/>
                <w:b/>
                <w:color w:val="000000"/>
                <w:sz w:val="24"/>
                <w:szCs w:val="24"/>
              </w:rPr>
              <w:instrText xml:space="preserve"> =SUM(ABOVE) </w:instrText>
            </w:r>
            <w:r>
              <w:rPr>
                <w:rFonts w:ascii="Times New Roman" w:hAnsi="Times New Roman" w:eastAsia="仿宋" w:cs="Times New Roman"/>
                <w:b/>
                <w:color w:val="000000"/>
                <w:sz w:val="24"/>
                <w:szCs w:val="24"/>
              </w:rPr>
              <w:fldChar w:fldCharType="separate"/>
            </w:r>
            <w:r>
              <w:rPr>
                <w:rFonts w:ascii="Times New Roman" w:hAnsi="Times New Roman" w:eastAsia="仿宋" w:cs="Times New Roman"/>
                <w:b/>
                <w:color w:val="000000"/>
                <w:sz w:val="24"/>
                <w:szCs w:val="24"/>
              </w:rPr>
              <w:t>100</w:t>
            </w:r>
            <w:r>
              <w:rPr>
                <w:rFonts w:ascii="Times New Roman" w:hAnsi="Times New Roman" w:eastAsia="仿宋" w:cs="Times New Roman"/>
                <w:b/>
                <w:color w:val="000000"/>
                <w:sz w:val="24"/>
                <w:szCs w:val="24"/>
              </w:rPr>
              <w:fldChar w:fldCharType="end"/>
            </w:r>
          </w:p>
        </w:tc>
        <w:tc>
          <w:tcPr>
            <w:tcW w:w="767" w:type="pct"/>
            <w:vAlign w:val="center"/>
          </w:tcPr>
          <w:p w14:paraId="7CF91F0E">
            <w:pPr>
              <w:widowControl/>
              <w:snapToGrid w:val="0"/>
              <w:spacing w:line="400" w:lineRule="exact"/>
              <w:ind w:firstLine="0" w:firstLineChars="0"/>
              <w:jc w:val="center"/>
              <w:textAlignment w:val="center"/>
              <w:rPr>
                <w:rFonts w:ascii="仿宋" w:hAnsi="仿宋" w:eastAsia="仿宋" w:cs="仿宋_GB2312"/>
                <w:b/>
                <w:color w:val="000000"/>
                <w:sz w:val="24"/>
                <w:szCs w:val="24"/>
              </w:rPr>
            </w:pPr>
          </w:p>
        </w:tc>
        <w:tc>
          <w:tcPr>
            <w:tcW w:w="382" w:type="pct"/>
            <w:vAlign w:val="center"/>
          </w:tcPr>
          <w:p w14:paraId="745037FD">
            <w:pPr>
              <w:widowControl/>
              <w:snapToGrid w:val="0"/>
              <w:spacing w:line="400" w:lineRule="exact"/>
              <w:ind w:firstLine="0" w:firstLineChars="0"/>
              <w:jc w:val="center"/>
              <w:textAlignment w:val="center"/>
              <w:rPr>
                <w:rFonts w:ascii="Times New Roman" w:hAnsi="Times New Roman" w:eastAsia="仿宋" w:cs="Times New Roman"/>
                <w:b/>
                <w:color w:val="000000"/>
                <w:kern w:val="0"/>
                <w:sz w:val="24"/>
                <w:szCs w:val="24"/>
              </w:rPr>
            </w:pPr>
            <w:r>
              <w:rPr>
                <w:rFonts w:ascii="Times New Roman" w:hAnsi="Times New Roman" w:eastAsia="仿宋" w:cs="Times New Roman"/>
                <w:b/>
                <w:color w:val="000000"/>
                <w:kern w:val="0"/>
                <w:sz w:val="24"/>
                <w:szCs w:val="24"/>
              </w:rPr>
              <w:fldChar w:fldCharType="begin"/>
            </w:r>
            <w:r>
              <w:rPr>
                <w:rFonts w:ascii="Times New Roman" w:hAnsi="Times New Roman" w:eastAsia="仿宋" w:cs="Times New Roman"/>
                <w:b/>
                <w:color w:val="000000"/>
                <w:kern w:val="0"/>
                <w:sz w:val="24"/>
                <w:szCs w:val="24"/>
              </w:rPr>
              <w:instrText xml:space="preserve"> =SUM(ABOVE) </w:instrText>
            </w:r>
            <w:r>
              <w:rPr>
                <w:rFonts w:ascii="Times New Roman" w:hAnsi="Times New Roman" w:eastAsia="仿宋" w:cs="Times New Roman"/>
                <w:b/>
                <w:color w:val="000000"/>
                <w:kern w:val="0"/>
                <w:sz w:val="24"/>
                <w:szCs w:val="24"/>
              </w:rPr>
              <w:fldChar w:fldCharType="separate"/>
            </w:r>
            <w:r>
              <w:rPr>
                <w:rFonts w:ascii="Times New Roman" w:hAnsi="Times New Roman" w:eastAsia="仿宋" w:cs="Times New Roman"/>
                <w:b/>
                <w:color w:val="000000"/>
                <w:kern w:val="0"/>
                <w:sz w:val="24"/>
                <w:szCs w:val="24"/>
              </w:rPr>
              <w:t>100</w:t>
            </w:r>
            <w:r>
              <w:rPr>
                <w:rFonts w:ascii="Times New Roman" w:hAnsi="Times New Roman" w:eastAsia="仿宋" w:cs="Times New Roman"/>
                <w:b/>
                <w:color w:val="000000"/>
                <w:kern w:val="0"/>
                <w:sz w:val="24"/>
                <w:szCs w:val="24"/>
              </w:rPr>
              <w:fldChar w:fldCharType="end"/>
            </w:r>
          </w:p>
        </w:tc>
        <w:tc>
          <w:tcPr>
            <w:tcW w:w="1232" w:type="pct"/>
            <w:vAlign w:val="center"/>
          </w:tcPr>
          <w:p w14:paraId="7D33660A">
            <w:pPr>
              <w:widowControl/>
              <w:snapToGrid w:val="0"/>
              <w:spacing w:line="400" w:lineRule="exact"/>
              <w:ind w:firstLine="0" w:firstLineChars="0"/>
              <w:jc w:val="center"/>
              <w:textAlignment w:val="center"/>
              <w:rPr>
                <w:rFonts w:ascii="仿宋" w:hAnsi="仿宋" w:eastAsia="仿宋" w:cs="仿宋_GB2312"/>
                <w:b/>
                <w:sz w:val="24"/>
                <w:szCs w:val="24"/>
              </w:rPr>
            </w:pPr>
          </w:p>
        </w:tc>
        <w:tc>
          <w:tcPr>
            <w:tcW w:w="536" w:type="pct"/>
            <w:vAlign w:val="center"/>
          </w:tcPr>
          <w:p w14:paraId="124D9B08">
            <w:pPr>
              <w:widowControl/>
              <w:snapToGrid w:val="0"/>
              <w:spacing w:line="400" w:lineRule="exact"/>
              <w:ind w:firstLine="0" w:firstLineChars="0"/>
              <w:jc w:val="center"/>
              <w:textAlignment w:val="center"/>
              <w:rPr>
                <w:rFonts w:ascii="Times New Roman" w:hAnsi="Times New Roman" w:eastAsia="仿宋" w:cs="Times New Roman"/>
                <w:b/>
                <w:color w:val="000000"/>
                <w:kern w:val="0"/>
                <w:sz w:val="24"/>
                <w:szCs w:val="24"/>
              </w:rPr>
            </w:pPr>
          </w:p>
        </w:tc>
        <w:tc>
          <w:tcPr>
            <w:tcW w:w="385" w:type="pct"/>
            <w:vAlign w:val="center"/>
          </w:tcPr>
          <w:p w14:paraId="05382F01">
            <w:pPr>
              <w:snapToGrid w:val="0"/>
              <w:spacing w:line="400" w:lineRule="exact"/>
              <w:ind w:firstLine="0" w:firstLineChars="0"/>
              <w:jc w:val="center"/>
              <w:textAlignment w:val="center"/>
              <w:rPr>
                <w:rFonts w:ascii="Times New Roman" w:hAnsi="Times New Roman" w:eastAsia="仿宋" w:cs="Times New Roman"/>
                <w:b/>
                <w:color w:val="000000"/>
                <w:kern w:val="0"/>
                <w:sz w:val="24"/>
                <w:szCs w:val="24"/>
              </w:rPr>
            </w:pPr>
            <w:r>
              <w:rPr>
                <w:rFonts w:ascii="Times New Roman" w:hAnsi="Times New Roman" w:eastAsia="仿宋" w:cs="Times New Roman"/>
                <w:b/>
                <w:color w:val="000000"/>
                <w:kern w:val="0"/>
                <w:sz w:val="24"/>
                <w:szCs w:val="24"/>
              </w:rPr>
              <w:fldChar w:fldCharType="begin"/>
            </w:r>
            <w:r>
              <w:rPr>
                <w:rFonts w:ascii="Times New Roman" w:hAnsi="Times New Roman" w:eastAsia="仿宋" w:cs="Times New Roman"/>
                <w:b/>
                <w:color w:val="000000"/>
                <w:kern w:val="0"/>
                <w:sz w:val="24"/>
                <w:szCs w:val="24"/>
              </w:rPr>
              <w:instrText xml:space="preserve"> =SUM(ABOVE) </w:instrText>
            </w:r>
            <w:r>
              <w:rPr>
                <w:rFonts w:ascii="Times New Roman" w:hAnsi="Times New Roman" w:eastAsia="仿宋" w:cs="Times New Roman"/>
                <w:b/>
                <w:color w:val="000000"/>
                <w:kern w:val="0"/>
                <w:sz w:val="24"/>
                <w:szCs w:val="24"/>
              </w:rPr>
              <w:fldChar w:fldCharType="separate"/>
            </w:r>
            <w:r>
              <w:rPr>
                <w:rFonts w:ascii="Times New Roman" w:hAnsi="Times New Roman" w:eastAsia="仿宋" w:cs="Times New Roman"/>
                <w:b/>
                <w:color w:val="000000"/>
                <w:kern w:val="0"/>
                <w:sz w:val="24"/>
                <w:szCs w:val="24"/>
              </w:rPr>
              <w:t>100</w:t>
            </w:r>
            <w:r>
              <w:rPr>
                <w:rFonts w:ascii="Times New Roman" w:hAnsi="Times New Roman" w:eastAsia="仿宋" w:cs="Times New Roman"/>
                <w:b/>
                <w:color w:val="000000"/>
                <w:kern w:val="0"/>
                <w:sz w:val="24"/>
                <w:szCs w:val="24"/>
              </w:rPr>
              <w:fldChar w:fldCharType="end"/>
            </w:r>
          </w:p>
        </w:tc>
        <w:tc>
          <w:tcPr>
            <w:tcW w:w="846" w:type="pct"/>
            <w:vAlign w:val="center"/>
          </w:tcPr>
          <w:p w14:paraId="5C1AE2DA">
            <w:pPr>
              <w:widowControl/>
              <w:snapToGrid w:val="0"/>
              <w:spacing w:line="400" w:lineRule="exact"/>
              <w:ind w:firstLine="0" w:firstLineChars="0"/>
              <w:jc w:val="center"/>
              <w:textAlignment w:val="center"/>
              <w:rPr>
                <w:rFonts w:ascii="Times New Roman" w:hAnsi="Times New Roman" w:eastAsia="仿宋" w:cs="Times New Roman"/>
                <w:b/>
                <w:color w:val="000000"/>
                <w:kern w:val="0"/>
                <w:sz w:val="24"/>
                <w:szCs w:val="24"/>
              </w:rPr>
            </w:pPr>
          </w:p>
        </w:tc>
      </w:tr>
      <w:bookmarkEnd w:id="32"/>
      <w:bookmarkEnd w:id="33"/>
      <w:bookmarkEnd w:id="34"/>
      <w:bookmarkEnd w:id="35"/>
    </w:tbl>
    <w:p w14:paraId="739E1739">
      <w:pPr>
        <w:spacing w:line="620" w:lineRule="atLeast"/>
      </w:pPr>
      <w:r>
        <w:rPr>
          <w:rFonts w:hint="eastAsia"/>
        </w:rPr>
        <w:t>2.评分等级</w:t>
      </w:r>
    </w:p>
    <w:p w14:paraId="10B8B9BA">
      <w:pPr>
        <w:ind w:firstLine="640"/>
        <w:rPr>
          <w:rFonts w:ascii="仿宋_GB2312"/>
        </w:rPr>
      </w:pPr>
      <w:r>
        <w:rPr>
          <w:rFonts w:hint="eastAsia" w:ascii="仿宋_GB2312"/>
        </w:rPr>
        <w:t>根据财政部《项目支出绩效评价管理办法》（财预〔2020〕10号）《中共山西省委山西省人民政府关于全面实施预算绩效管理的实施意见》（晋财绩〔2019〕12号）以及《</w:t>
      </w:r>
      <w:r>
        <w:rPr>
          <w:rFonts w:hint="eastAsia" w:ascii="仿宋_GB2312"/>
          <w:lang w:eastAsia="zh-CN"/>
        </w:rPr>
        <w:t>古县财政局</w:t>
      </w:r>
      <w:r>
        <w:rPr>
          <w:rFonts w:hint="eastAsia" w:ascii="仿宋_GB2312"/>
        </w:rPr>
        <w:t>2022年预算绩效评价实施方案》（</w:t>
      </w:r>
      <w:r>
        <w:rPr>
          <w:rFonts w:hint="eastAsia" w:ascii="仿宋_GB2312"/>
          <w:lang w:val="en-US" w:eastAsia="zh-CN"/>
        </w:rPr>
        <w:t>古财字</w:t>
      </w:r>
      <w:r>
        <w:rPr>
          <w:rFonts w:hint="eastAsia" w:ascii="仿宋_GB2312"/>
        </w:rPr>
        <w:t>〔2022〕</w:t>
      </w:r>
      <w:r>
        <w:rPr>
          <w:rFonts w:hint="eastAsia" w:ascii="仿宋_GB2312"/>
          <w:lang w:val="en-US" w:eastAsia="zh-CN"/>
        </w:rPr>
        <w:t>27</w:t>
      </w:r>
      <w:r>
        <w:rPr>
          <w:rFonts w:hint="eastAsia" w:ascii="仿宋_GB2312"/>
        </w:rPr>
        <w:t>号），本次绩效评价等级见</w:t>
      </w:r>
      <w:r>
        <w:rPr>
          <w:rFonts w:hint="eastAsia" w:ascii="仿宋_GB2312"/>
          <w:b/>
          <w:bCs/>
        </w:rPr>
        <w:t>表2-2</w:t>
      </w:r>
      <w:r>
        <w:rPr>
          <w:rFonts w:hint="eastAsia" w:ascii="仿宋_GB2312"/>
        </w:rPr>
        <w:t>。</w:t>
      </w:r>
    </w:p>
    <w:p w14:paraId="4FC2AA54">
      <w:pPr>
        <w:spacing w:line="360" w:lineRule="auto"/>
        <w:ind w:firstLine="562"/>
        <w:jc w:val="left"/>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 xml:space="preserve">表2-2 </w:t>
      </w:r>
      <w:r>
        <w:rPr>
          <w:rFonts w:hint="eastAsia" w:ascii="仿宋_GB2312" w:hAnsi="仿宋_GB2312" w:cs="仿宋_GB2312"/>
          <w:b/>
          <w:bCs w:val="0"/>
          <w:sz w:val="28"/>
          <w:szCs w:val="28"/>
          <w:lang w:val="en-US" w:eastAsia="zh-CN"/>
        </w:rPr>
        <w:t xml:space="preserve">            </w:t>
      </w:r>
      <w:r>
        <w:rPr>
          <w:rFonts w:hint="eastAsia" w:ascii="仿宋_GB2312" w:hAnsi="仿宋_GB2312" w:eastAsia="仿宋_GB2312" w:cs="仿宋_GB2312"/>
          <w:b/>
          <w:bCs w:val="0"/>
          <w:sz w:val="28"/>
          <w:szCs w:val="28"/>
        </w:rPr>
        <w:t>绩效评价评分等级</w:t>
      </w:r>
    </w:p>
    <w:tbl>
      <w:tblPr>
        <w:tblStyle w:val="19"/>
        <w:tblW w:w="79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35"/>
        <w:gridCol w:w="3758"/>
      </w:tblGrid>
      <w:tr w14:paraId="0C944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4235" w:type="dxa"/>
            <w:shd w:val="pct20" w:color="auto" w:fill="auto"/>
            <w:vAlign w:val="center"/>
          </w:tcPr>
          <w:p w14:paraId="73A919AC">
            <w:pPr>
              <w:widowControl/>
              <w:spacing w:line="240" w:lineRule="auto"/>
              <w:ind w:firstLine="0" w:firstLineChars="0"/>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分值范围</w:t>
            </w:r>
          </w:p>
        </w:tc>
        <w:tc>
          <w:tcPr>
            <w:tcW w:w="3758" w:type="dxa"/>
            <w:shd w:val="pct20" w:color="auto" w:fill="auto"/>
            <w:vAlign w:val="center"/>
          </w:tcPr>
          <w:p w14:paraId="6ABF85BF">
            <w:pPr>
              <w:widowControl/>
              <w:spacing w:line="240" w:lineRule="auto"/>
              <w:ind w:firstLine="0" w:firstLineChars="0"/>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绩效级别</w:t>
            </w:r>
          </w:p>
        </w:tc>
      </w:tr>
      <w:tr w14:paraId="28CBE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35" w:type="dxa"/>
            <w:vAlign w:val="center"/>
          </w:tcPr>
          <w:p w14:paraId="2802697C">
            <w:pPr>
              <w:widowControl/>
              <w:spacing w:line="240" w:lineRule="auto"/>
              <w:ind w:firstLine="0" w:firstLineChars="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100≥P≥90</w:t>
            </w:r>
          </w:p>
        </w:tc>
        <w:tc>
          <w:tcPr>
            <w:tcW w:w="3758" w:type="dxa"/>
            <w:vAlign w:val="center"/>
          </w:tcPr>
          <w:p w14:paraId="171BA13A">
            <w:pPr>
              <w:widowControl/>
              <w:spacing w:line="240" w:lineRule="auto"/>
              <w:ind w:firstLine="0" w:firstLineChars="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w:t>
            </w:r>
          </w:p>
        </w:tc>
      </w:tr>
      <w:tr w14:paraId="74FD4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35" w:type="dxa"/>
            <w:vAlign w:val="center"/>
          </w:tcPr>
          <w:p w14:paraId="136357F1">
            <w:pPr>
              <w:widowControl/>
              <w:spacing w:line="240" w:lineRule="auto"/>
              <w:ind w:firstLine="0" w:firstLineChars="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90＞P≥80</w:t>
            </w:r>
          </w:p>
        </w:tc>
        <w:tc>
          <w:tcPr>
            <w:tcW w:w="3758" w:type="dxa"/>
            <w:vAlign w:val="center"/>
          </w:tcPr>
          <w:p w14:paraId="2B45B4DF">
            <w:pPr>
              <w:widowControl/>
              <w:spacing w:line="240" w:lineRule="auto"/>
              <w:ind w:firstLine="0" w:firstLineChars="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良</w:t>
            </w:r>
          </w:p>
        </w:tc>
      </w:tr>
      <w:tr w14:paraId="2D674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35" w:type="dxa"/>
            <w:vAlign w:val="center"/>
          </w:tcPr>
          <w:p w14:paraId="17CEBE00">
            <w:pPr>
              <w:widowControl/>
              <w:spacing w:line="240" w:lineRule="auto"/>
              <w:ind w:firstLine="0" w:firstLineChars="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80＞P≥60</w:t>
            </w:r>
          </w:p>
        </w:tc>
        <w:tc>
          <w:tcPr>
            <w:tcW w:w="3758" w:type="dxa"/>
            <w:vAlign w:val="center"/>
          </w:tcPr>
          <w:p w14:paraId="0079D02E">
            <w:pPr>
              <w:widowControl/>
              <w:spacing w:line="240" w:lineRule="auto"/>
              <w:ind w:firstLine="0" w:firstLineChars="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w:t>
            </w:r>
          </w:p>
        </w:tc>
      </w:tr>
      <w:tr w14:paraId="58D11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35" w:type="dxa"/>
            <w:vAlign w:val="center"/>
          </w:tcPr>
          <w:p w14:paraId="7A4A2CDE">
            <w:pPr>
              <w:widowControl/>
              <w:spacing w:line="240" w:lineRule="auto"/>
              <w:ind w:firstLine="0" w:firstLineChars="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P＜60</w:t>
            </w:r>
          </w:p>
        </w:tc>
        <w:tc>
          <w:tcPr>
            <w:tcW w:w="3758" w:type="dxa"/>
            <w:vAlign w:val="center"/>
          </w:tcPr>
          <w:p w14:paraId="309815DD">
            <w:pPr>
              <w:widowControl/>
              <w:spacing w:line="240" w:lineRule="auto"/>
              <w:ind w:firstLine="0" w:firstLineChars="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差</w:t>
            </w:r>
          </w:p>
        </w:tc>
      </w:tr>
    </w:tbl>
    <w:p w14:paraId="07F00338">
      <w:pPr>
        <w:pStyle w:val="4"/>
        <w:ind w:firstLine="640"/>
        <w:rPr>
          <w:rFonts w:ascii="仿宋_GB2312"/>
        </w:rPr>
      </w:pPr>
      <w:bookmarkStart w:id="36" w:name="_Toc2640"/>
      <w:r>
        <w:rPr>
          <w:rFonts w:ascii="仿宋_GB2312"/>
        </w:rPr>
        <w:t>（四）绩效评价</w:t>
      </w:r>
      <w:r>
        <w:rPr>
          <w:rFonts w:hint="eastAsia" w:ascii="仿宋_GB2312"/>
        </w:rPr>
        <w:t>方法</w:t>
      </w:r>
      <w:bookmarkEnd w:id="36"/>
    </w:p>
    <w:p w14:paraId="3D29BCC6">
      <w:pPr>
        <w:ind w:firstLine="640"/>
        <w:rPr>
          <w:rFonts w:hint="default" w:ascii="仿宋_GB2312"/>
          <w:lang w:val="en-US" w:eastAsia="zh-CN"/>
        </w:rPr>
      </w:pPr>
      <w:r>
        <w:rPr>
          <w:rFonts w:hint="eastAsia" w:ascii="仿宋_GB2312"/>
          <w:lang w:val="en-US" w:eastAsia="zh-CN"/>
        </w:rPr>
        <w:t>绩效评价方法主要包括成本效益分析法、比较法、因素分析法、最低成本法、公众评判法、标杆管理法等，本次绩效评价遵循“客观、公正、科学、规范”的原则，通过对项目的决策、过程、产出和效益的比较和分析，对专项资金进行综合评价，评价方法坚持定性分析和定量分析、全面评价与抽样调查、现场核查与综合分析相结合的方式进行评价，包括现场调研与核查、座谈、访谈、问卷调查、数据分析、专家评价等环节。评价方法如下：</w:t>
      </w:r>
    </w:p>
    <w:p w14:paraId="5FD7F1D8">
      <w:pPr>
        <w:ind w:firstLine="640"/>
        <w:rPr>
          <w:rFonts w:ascii="仿宋_GB2312"/>
        </w:rPr>
      </w:pPr>
      <w:r>
        <w:rPr>
          <w:rFonts w:hint="eastAsia" w:ascii="仿宋_GB2312"/>
        </w:rPr>
        <w:t>1.比较法。是指通过对绩效目标与实施效果比较，综合分析绩效目标实现程度。通过对</w:t>
      </w:r>
      <w:r>
        <w:rPr>
          <w:rFonts w:hint="eastAsia" w:ascii="仿宋_GB2312"/>
          <w:lang w:val="en-US" w:eastAsia="zh-CN"/>
        </w:rPr>
        <w:t>古县县委党校改扩建项目</w:t>
      </w:r>
      <w:r>
        <w:rPr>
          <w:rFonts w:hint="eastAsia" w:ascii="仿宋_GB2312"/>
        </w:rPr>
        <w:t>目标与项目实施效果对比，分析绩效目标实现程度及效益。</w:t>
      </w:r>
    </w:p>
    <w:p w14:paraId="760E1231">
      <w:pPr>
        <w:ind w:firstLine="640"/>
        <w:rPr>
          <w:rFonts w:ascii="仿宋_GB2312"/>
        </w:rPr>
      </w:pPr>
      <w:r>
        <w:rPr>
          <w:rFonts w:hint="eastAsia" w:ascii="仿宋_GB2312"/>
        </w:rPr>
        <w:t>2.因素分析法。指通过综合分析影响绩效目标、实施效果的内外因素、评价绩效目标实现程度。针对</w:t>
      </w:r>
      <w:r>
        <w:rPr>
          <w:rFonts w:hint="eastAsia" w:ascii="仿宋_GB2312"/>
          <w:lang w:val="en-US" w:eastAsia="zh-CN"/>
        </w:rPr>
        <w:t>古县县委党校改扩建项目</w:t>
      </w:r>
      <w:r>
        <w:rPr>
          <w:rFonts w:hint="eastAsia" w:ascii="仿宋_GB2312"/>
        </w:rPr>
        <w:t>，影响绩效目标实现程度、实施效果的因素主要有</w:t>
      </w:r>
      <w:r>
        <w:rPr>
          <w:rFonts w:hint="eastAsia" w:ascii="仿宋_GB2312"/>
          <w:lang w:val="en-US" w:eastAsia="zh-CN"/>
        </w:rPr>
        <w:t>临汾市</w:t>
      </w:r>
      <w:r>
        <w:rPr>
          <w:rFonts w:hint="eastAsia" w:ascii="仿宋_GB2312"/>
        </w:rPr>
        <w:t>的整体发展水平、政府决策、项目管理体制、资金支持程度、相关部门的配合程度等因素。评价组结合以上因素进行绩效评价。</w:t>
      </w:r>
    </w:p>
    <w:p w14:paraId="0E2042F8">
      <w:pPr>
        <w:ind w:firstLine="640"/>
        <w:rPr>
          <w:rFonts w:ascii="仿宋_GB2312"/>
        </w:rPr>
      </w:pPr>
      <w:r>
        <w:rPr>
          <w:rFonts w:hint="eastAsia" w:ascii="仿宋_GB2312"/>
        </w:rPr>
        <w:t>3.公众评判法。是指通过专家评估、公众问卷及抽样调查等对财政支出效果进行评判，评价绩效目标实现程度。本次绩效评价由</w:t>
      </w:r>
      <w:r>
        <w:rPr>
          <w:rFonts w:hint="eastAsia" w:ascii="仿宋_GB2312"/>
          <w:lang w:eastAsia="zh-CN"/>
        </w:rPr>
        <w:t>古县财政局</w:t>
      </w:r>
      <w:r>
        <w:rPr>
          <w:rFonts w:hint="eastAsia" w:ascii="仿宋_GB2312"/>
        </w:rPr>
        <w:t>组织评审会议，成立专家评审小组，通过专家小组对项目绩效评价</w:t>
      </w:r>
      <w:r>
        <w:rPr>
          <w:rFonts w:hint="eastAsia" w:ascii="仿宋_GB2312"/>
          <w:lang w:val="en-US" w:eastAsia="zh-CN"/>
        </w:rPr>
        <w:t>工作</w:t>
      </w:r>
      <w:r>
        <w:rPr>
          <w:rFonts w:hint="eastAsia" w:ascii="仿宋_GB2312"/>
        </w:rPr>
        <w:t>方案及绩效评价报告进行评审，分析方案和报告的可行性、合理性，提出全面综合意见；本项目针对受益群体设置满意度调查问卷。问卷调查采取抽样调查、实地调研等方式，了解受益群体对项目实施效果满意度情况，综合分析绩效目标实现程度。</w:t>
      </w:r>
    </w:p>
    <w:p w14:paraId="2AC3AD03">
      <w:pPr>
        <w:pStyle w:val="4"/>
        <w:ind w:firstLine="640"/>
        <w:rPr>
          <w:rFonts w:ascii="仿宋_GB2312"/>
        </w:rPr>
      </w:pPr>
      <w:bookmarkStart w:id="37" w:name="_Toc25078"/>
      <w:r>
        <w:rPr>
          <w:rFonts w:ascii="仿宋_GB2312"/>
        </w:rPr>
        <w:t>（</w:t>
      </w:r>
      <w:r>
        <w:rPr>
          <w:rFonts w:hint="eastAsia" w:ascii="仿宋_GB2312"/>
        </w:rPr>
        <w:t>五</w:t>
      </w:r>
      <w:r>
        <w:rPr>
          <w:rFonts w:ascii="仿宋_GB2312"/>
        </w:rPr>
        <w:t>）绩效评价</w:t>
      </w:r>
      <w:r>
        <w:rPr>
          <w:rFonts w:hint="eastAsia" w:ascii="仿宋_GB2312"/>
        </w:rPr>
        <w:t>标准</w:t>
      </w:r>
      <w:bookmarkEnd w:id="37"/>
    </w:p>
    <w:p w14:paraId="2FE4A553">
      <w:pPr>
        <w:ind w:firstLine="640"/>
      </w:pPr>
      <w:r>
        <w:rPr>
          <w:rFonts w:hint="eastAsia"/>
        </w:rPr>
        <w:t>本项目绩效评价标准为计划标准和行业标准，用于对绩效指标完成情况进行比较。</w:t>
      </w:r>
    </w:p>
    <w:p w14:paraId="4902CE37">
      <w:pPr>
        <w:ind w:firstLine="640"/>
        <w:rPr>
          <w:rFonts w:hint="eastAsia" w:ascii="仿宋_GB2312"/>
        </w:rPr>
      </w:pPr>
      <w:r>
        <w:rPr>
          <w:rFonts w:hint="eastAsia" w:ascii="仿宋_GB2312"/>
        </w:rPr>
        <w:t>本项目绩效评价标准为计划标准和行业标准，用于对绩效指标完成情况进行比较。</w:t>
      </w:r>
    </w:p>
    <w:p w14:paraId="646F5389">
      <w:pPr>
        <w:ind w:firstLine="640"/>
        <w:rPr>
          <w:rFonts w:hint="eastAsia" w:ascii="仿宋_GB2312"/>
        </w:rPr>
      </w:pPr>
      <w:r>
        <w:rPr>
          <w:rFonts w:hint="eastAsia" w:ascii="仿宋_GB2312"/>
        </w:rPr>
        <w:t>（1）计划标准。指以预先制定的目标、计划、预算、定额等作为评价标准。</w:t>
      </w:r>
    </w:p>
    <w:p w14:paraId="60E85152">
      <w:pPr>
        <w:ind w:firstLine="640"/>
        <w:rPr>
          <w:rFonts w:hint="eastAsia" w:ascii="仿宋_GB2312"/>
        </w:rPr>
      </w:pPr>
      <w:r>
        <w:rPr>
          <w:rFonts w:hint="eastAsia" w:ascii="仿宋_GB2312"/>
        </w:rPr>
        <w:t>（2）行业标准。指参照国家公布的行业指标数据制定的评价标准。</w:t>
      </w:r>
    </w:p>
    <w:p w14:paraId="2FEB939B">
      <w:pPr>
        <w:pStyle w:val="4"/>
        <w:ind w:firstLine="640"/>
        <w:rPr>
          <w:rFonts w:ascii="仿宋_GB2312"/>
        </w:rPr>
      </w:pPr>
      <w:bookmarkStart w:id="38" w:name="_Toc14993"/>
      <w:r>
        <w:rPr>
          <w:rFonts w:hint="eastAsia" w:ascii="仿宋_GB2312"/>
        </w:rPr>
        <w:t>（六）绩效评价工作过程</w:t>
      </w:r>
      <w:bookmarkEnd w:id="38"/>
    </w:p>
    <w:p w14:paraId="289111D9">
      <w:pPr>
        <w:spacing w:line="620" w:lineRule="atLeast"/>
        <w:ind w:firstLine="640"/>
        <w:rPr>
          <w:kern w:val="0"/>
          <w:szCs w:val="32"/>
        </w:rPr>
      </w:pPr>
      <w:r>
        <w:rPr>
          <w:rFonts w:hint="eastAsia"/>
          <w:kern w:val="0"/>
          <w:szCs w:val="32"/>
          <w:lang w:val="en-US" w:eastAsia="zh-CN"/>
        </w:rPr>
        <w:t>1</w:t>
      </w:r>
      <w:r>
        <w:rPr>
          <w:rFonts w:hint="eastAsia"/>
          <w:kern w:val="0"/>
          <w:szCs w:val="32"/>
        </w:rPr>
        <w:t>.人员分工</w:t>
      </w:r>
    </w:p>
    <w:p w14:paraId="24E3398E">
      <w:pPr>
        <w:ind w:firstLine="640"/>
      </w:pPr>
      <w:r>
        <w:rPr>
          <w:rFonts w:hint="eastAsia"/>
        </w:rPr>
        <w:t>评价组设置</w:t>
      </w:r>
      <w:r>
        <w:rPr>
          <w:rFonts w:hint="eastAsia"/>
          <w:lang w:val="en-US" w:eastAsia="zh-CN"/>
        </w:rPr>
        <w:t>4人</w:t>
      </w:r>
      <w:r>
        <w:rPr>
          <w:rFonts w:hint="eastAsia"/>
        </w:rPr>
        <w:t>。评价组主要负责现场勘察，包括查阅收集相关的制度文件、财务资料等，开展问卷调查，撰写绩效评价实施方案和绩效评价报告等工作。具体人员及分工见表2-3。</w:t>
      </w:r>
    </w:p>
    <w:p w14:paraId="00816A40">
      <w:pPr>
        <w:keepNext w:val="0"/>
        <w:keepLines w:val="0"/>
        <w:pageBreakBefore w:val="0"/>
        <w:widowControl w:val="0"/>
        <w:kinsoku/>
        <w:wordWrap/>
        <w:overflowPunct/>
        <w:topLinePunct w:val="0"/>
        <w:autoSpaceDE/>
        <w:autoSpaceDN/>
        <w:bidi w:val="0"/>
        <w:adjustRightInd/>
        <w:snapToGrid/>
        <w:spacing w:beforeLines="20" w:afterLines="20" w:line="500" w:lineRule="exact"/>
        <w:ind w:left="0" w:leftChars="0" w:firstLine="0" w:firstLineChars="0"/>
        <w:jc w:val="left"/>
        <w:textAlignment w:val="auto"/>
        <w:rPr>
          <w:rFonts w:hint="eastAsia" w:ascii="仿宋_GB2312" w:hAnsi="仿宋"/>
          <w:b/>
          <w:bCs/>
          <w:kern w:val="0"/>
          <w:sz w:val="28"/>
          <w:szCs w:val="28"/>
          <w:lang w:val="zh-CN"/>
        </w:rPr>
      </w:pPr>
      <w:bookmarkStart w:id="39" w:name="_Toc23192"/>
      <w:r>
        <w:rPr>
          <w:rFonts w:hint="eastAsia" w:ascii="仿宋_GB2312" w:hAnsi="仿宋"/>
          <w:b/>
          <w:bCs/>
          <w:kern w:val="0"/>
          <w:sz w:val="28"/>
          <w:szCs w:val="28"/>
          <w:lang w:val="zh-CN"/>
        </w:rPr>
        <w:t>表</w:t>
      </w:r>
      <w:r>
        <w:rPr>
          <w:rFonts w:hint="eastAsia" w:ascii="仿宋_GB2312" w:hAnsi="仿宋"/>
          <w:b/>
          <w:bCs/>
          <w:kern w:val="0"/>
          <w:sz w:val="28"/>
          <w:szCs w:val="28"/>
        </w:rPr>
        <w:t>2</w:t>
      </w:r>
      <w:r>
        <w:rPr>
          <w:rFonts w:hint="eastAsia" w:ascii="仿宋_GB2312" w:hAnsi="仿宋"/>
          <w:b/>
          <w:bCs/>
          <w:kern w:val="0"/>
          <w:sz w:val="28"/>
          <w:szCs w:val="28"/>
          <w:lang w:val="zh-CN"/>
        </w:rPr>
        <w:t xml:space="preserve">-3  </w:t>
      </w:r>
      <w:r>
        <w:rPr>
          <w:rFonts w:hint="eastAsia" w:ascii="仿宋_GB2312" w:hAnsi="仿宋"/>
          <w:b/>
          <w:bCs/>
          <w:kern w:val="0"/>
          <w:sz w:val="28"/>
          <w:szCs w:val="28"/>
          <w:lang w:val="en-US" w:eastAsia="zh-CN"/>
        </w:rPr>
        <w:t xml:space="preserve">        </w:t>
      </w:r>
      <w:r>
        <w:rPr>
          <w:rFonts w:hint="eastAsia" w:ascii="仿宋_GB2312" w:hAnsi="仿宋"/>
          <w:b/>
          <w:bCs/>
          <w:kern w:val="0"/>
          <w:sz w:val="28"/>
          <w:szCs w:val="28"/>
          <w:lang w:val="zh-CN"/>
        </w:rPr>
        <w:t xml:space="preserve">  </w:t>
      </w:r>
      <w:r>
        <w:rPr>
          <w:rFonts w:hint="eastAsia" w:ascii="仿宋_GB2312" w:hAnsi="仿宋"/>
          <w:b/>
          <w:bCs/>
          <w:kern w:val="0"/>
          <w:sz w:val="28"/>
          <w:szCs w:val="28"/>
          <w:lang w:val="en-US" w:eastAsia="zh-CN"/>
        </w:rPr>
        <w:t xml:space="preserve">   </w:t>
      </w:r>
      <w:r>
        <w:rPr>
          <w:rFonts w:hint="eastAsia" w:ascii="仿宋_GB2312" w:hAnsi="仿宋"/>
          <w:b/>
          <w:bCs/>
          <w:kern w:val="0"/>
          <w:sz w:val="28"/>
          <w:szCs w:val="28"/>
          <w:lang w:val="zh-CN"/>
        </w:rPr>
        <w:t>评价组工作人员分工表</w:t>
      </w:r>
      <w:bookmarkEnd w:id="39"/>
    </w:p>
    <w:tbl>
      <w:tblPr>
        <w:tblStyle w:val="5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4"/>
        <w:gridCol w:w="853"/>
        <w:gridCol w:w="850"/>
        <w:gridCol w:w="1276"/>
        <w:gridCol w:w="4875"/>
      </w:tblGrid>
      <w:tr w14:paraId="301E67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6" w:hRule="atLeast"/>
          <w:tblHeader/>
        </w:trPr>
        <w:tc>
          <w:tcPr>
            <w:tcW w:w="395" w:type="pct"/>
            <w:shd w:val="clear" w:color="auto" w:fill="auto"/>
            <w:vAlign w:val="center"/>
          </w:tcPr>
          <w:p w14:paraId="025C9216">
            <w:pPr>
              <w:spacing w:line="240" w:lineRule="exact"/>
              <w:ind w:firstLine="0" w:firstLineChars="0"/>
              <w:jc w:val="center"/>
              <w:rPr>
                <w:rFonts w:ascii="宋体" w:hAnsi="宋体" w:eastAsia="宋体" w:cs="Times New Roman Regular"/>
                <w:sz w:val="20"/>
                <w:szCs w:val="20"/>
              </w:rPr>
            </w:pPr>
            <w:r>
              <w:rPr>
                <w:rFonts w:ascii="宋体" w:hAnsi="宋体" w:eastAsia="宋体" w:cs="Times New Roman Regular"/>
                <w:sz w:val="20"/>
                <w:szCs w:val="20"/>
              </w:rPr>
              <w:t>序号</w:t>
            </w:r>
          </w:p>
        </w:tc>
        <w:tc>
          <w:tcPr>
            <w:tcW w:w="500" w:type="pct"/>
            <w:shd w:val="clear" w:color="auto" w:fill="auto"/>
            <w:vAlign w:val="center"/>
          </w:tcPr>
          <w:p w14:paraId="590F7C2C">
            <w:pPr>
              <w:spacing w:line="240" w:lineRule="exact"/>
              <w:ind w:firstLine="0" w:firstLineChars="0"/>
              <w:jc w:val="center"/>
              <w:rPr>
                <w:rFonts w:ascii="宋体" w:hAnsi="宋体" w:eastAsia="宋体" w:cs="Times New Roman Regular"/>
                <w:sz w:val="20"/>
                <w:szCs w:val="20"/>
              </w:rPr>
            </w:pPr>
            <w:r>
              <w:rPr>
                <w:rFonts w:ascii="宋体" w:hAnsi="宋体" w:eastAsia="宋体" w:cs="Times New Roman Regular"/>
                <w:sz w:val="20"/>
                <w:szCs w:val="20"/>
              </w:rPr>
              <w:t>职务</w:t>
            </w:r>
          </w:p>
        </w:tc>
        <w:tc>
          <w:tcPr>
            <w:tcW w:w="498" w:type="pct"/>
            <w:shd w:val="clear" w:color="auto" w:fill="auto"/>
            <w:vAlign w:val="center"/>
          </w:tcPr>
          <w:p w14:paraId="1A1ED00B">
            <w:pPr>
              <w:spacing w:line="240" w:lineRule="exact"/>
              <w:ind w:firstLine="0" w:firstLineChars="0"/>
              <w:jc w:val="center"/>
              <w:rPr>
                <w:rFonts w:ascii="宋体" w:hAnsi="宋体" w:eastAsia="宋体" w:cs="Times New Roman Regular"/>
                <w:sz w:val="20"/>
                <w:szCs w:val="20"/>
              </w:rPr>
            </w:pPr>
            <w:r>
              <w:rPr>
                <w:rFonts w:ascii="宋体" w:hAnsi="宋体" w:eastAsia="宋体" w:cs="Times New Roman Regular"/>
                <w:sz w:val="20"/>
                <w:szCs w:val="20"/>
              </w:rPr>
              <w:t>姓名</w:t>
            </w:r>
          </w:p>
        </w:tc>
        <w:tc>
          <w:tcPr>
            <w:tcW w:w="748" w:type="pct"/>
            <w:shd w:val="clear" w:color="auto" w:fill="auto"/>
            <w:vAlign w:val="center"/>
          </w:tcPr>
          <w:p w14:paraId="495B88B7">
            <w:pPr>
              <w:spacing w:line="240" w:lineRule="exact"/>
              <w:ind w:firstLine="0" w:firstLineChars="0"/>
              <w:jc w:val="center"/>
              <w:rPr>
                <w:rFonts w:ascii="宋体" w:hAnsi="宋体" w:eastAsia="宋体" w:cs="Times New Roman Regular"/>
                <w:sz w:val="20"/>
                <w:szCs w:val="20"/>
              </w:rPr>
            </w:pPr>
            <w:r>
              <w:rPr>
                <w:rFonts w:hint="eastAsia" w:ascii="宋体" w:hAnsi="宋体" w:eastAsia="宋体" w:cs="Times New Roman Regular"/>
                <w:sz w:val="20"/>
                <w:szCs w:val="20"/>
              </w:rPr>
              <w:t>职称</w:t>
            </w:r>
          </w:p>
        </w:tc>
        <w:tc>
          <w:tcPr>
            <w:tcW w:w="2857" w:type="pct"/>
            <w:shd w:val="clear" w:color="auto" w:fill="auto"/>
            <w:vAlign w:val="center"/>
          </w:tcPr>
          <w:p w14:paraId="287821F8">
            <w:pPr>
              <w:spacing w:line="240" w:lineRule="exact"/>
              <w:ind w:firstLine="400" w:firstLineChars="0"/>
              <w:jc w:val="center"/>
              <w:rPr>
                <w:rFonts w:ascii="宋体" w:hAnsi="宋体" w:eastAsia="宋体" w:cs="Times New Roman Regular"/>
                <w:sz w:val="20"/>
                <w:szCs w:val="20"/>
              </w:rPr>
            </w:pPr>
            <w:r>
              <w:rPr>
                <w:rFonts w:ascii="宋体" w:hAnsi="宋体" w:eastAsia="宋体" w:cs="Times New Roman Regular"/>
                <w:sz w:val="20"/>
                <w:szCs w:val="20"/>
              </w:rPr>
              <w:t>项目组职责分工</w:t>
            </w:r>
          </w:p>
        </w:tc>
      </w:tr>
      <w:tr w14:paraId="055EC9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3" w:hRule="atLeast"/>
        </w:trPr>
        <w:tc>
          <w:tcPr>
            <w:tcW w:w="395" w:type="pct"/>
            <w:shd w:val="clear" w:color="auto" w:fill="auto"/>
            <w:vAlign w:val="center"/>
          </w:tcPr>
          <w:p w14:paraId="7D1AD97D">
            <w:pPr>
              <w:spacing w:line="240" w:lineRule="exact"/>
              <w:ind w:firstLine="0" w:firstLineChars="0"/>
              <w:jc w:val="center"/>
              <w:rPr>
                <w:rFonts w:hint="eastAsia" w:ascii="宋体" w:hAnsi="宋体" w:eastAsia="宋体" w:cs="Times New Roman Regular"/>
                <w:sz w:val="20"/>
                <w:szCs w:val="20"/>
                <w:lang w:eastAsia="zh-CN"/>
              </w:rPr>
            </w:pPr>
            <w:r>
              <w:rPr>
                <w:rFonts w:hint="eastAsia" w:ascii="宋体" w:hAnsi="宋体" w:eastAsia="宋体" w:cs="Times New Roman Regular"/>
                <w:sz w:val="20"/>
                <w:szCs w:val="20"/>
                <w:lang w:val="en-US" w:eastAsia="zh-CN"/>
              </w:rPr>
              <w:t>1</w:t>
            </w:r>
          </w:p>
        </w:tc>
        <w:tc>
          <w:tcPr>
            <w:tcW w:w="500" w:type="pct"/>
            <w:shd w:val="clear" w:color="auto" w:fill="auto"/>
            <w:vAlign w:val="center"/>
          </w:tcPr>
          <w:p w14:paraId="54AB8C3A">
            <w:pPr>
              <w:spacing w:line="240" w:lineRule="exact"/>
              <w:ind w:firstLine="0" w:firstLineChars="0"/>
              <w:jc w:val="center"/>
              <w:rPr>
                <w:rFonts w:hint="default" w:ascii="宋体" w:hAnsi="宋体" w:eastAsia="宋体" w:cs="Times New Roman Regular"/>
                <w:sz w:val="20"/>
                <w:szCs w:val="20"/>
                <w:lang w:val="en-US" w:eastAsia="zh-CN"/>
              </w:rPr>
            </w:pPr>
            <w:r>
              <w:rPr>
                <w:rFonts w:hint="eastAsia" w:ascii="宋体" w:hAnsi="宋体" w:eastAsia="宋体" w:cs="Times New Roman Regular"/>
                <w:sz w:val="20"/>
                <w:szCs w:val="20"/>
                <w:lang w:val="en-US" w:eastAsia="zh-CN"/>
              </w:rPr>
              <w:t>组长</w:t>
            </w:r>
          </w:p>
        </w:tc>
        <w:tc>
          <w:tcPr>
            <w:tcW w:w="498" w:type="pct"/>
            <w:shd w:val="clear" w:color="auto" w:fill="auto"/>
            <w:vAlign w:val="center"/>
          </w:tcPr>
          <w:p w14:paraId="6EFC4466">
            <w:pPr>
              <w:spacing w:line="240" w:lineRule="exact"/>
              <w:ind w:firstLine="0" w:firstLineChars="0"/>
              <w:jc w:val="center"/>
              <w:rPr>
                <w:rFonts w:ascii="宋体" w:hAnsi="宋体" w:eastAsia="宋体" w:cs="Times New Roman Regular"/>
                <w:sz w:val="20"/>
                <w:szCs w:val="20"/>
              </w:rPr>
            </w:pPr>
            <w:r>
              <w:rPr>
                <w:rFonts w:hint="eastAsia" w:ascii="宋体" w:hAnsi="宋体" w:eastAsia="宋体" w:cs="Times New Roman Regular"/>
                <w:sz w:val="20"/>
                <w:szCs w:val="20"/>
                <w:lang w:val="en-US" w:eastAsia="zh-CN"/>
              </w:rPr>
              <w:t>张晴</w:t>
            </w:r>
          </w:p>
        </w:tc>
        <w:tc>
          <w:tcPr>
            <w:tcW w:w="748" w:type="pct"/>
            <w:shd w:val="clear" w:color="auto" w:fill="auto"/>
            <w:vAlign w:val="center"/>
          </w:tcPr>
          <w:p w14:paraId="40920F82">
            <w:pPr>
              <w:spacing w:line="240" w:lineRule="exact"/>
              <w:ind w:firstLine="0" w:firstLineChars="0"/>
              <w:jc w:val="center"/>
              <w:rPr>
                <w:rFonts w:ascii="宋体" w:hAnsi="宋体" w:eastAsia="宋体" w:cs="Times New Roman Regular"/>
                <w:sz w:val="20"/>
                <w:szCs w:val="20"/>
              </w:rPr>
            </w:pPr>
            <w:r>
              <w:rPr>
                <w:rFonts w:hint="eastAsia" w:ascii="宋体" w:hAnsi="宋体" w:eastAsia="宋体" w:cs="Times New Roman Regular"/>
                <w:sz w:val="20"/>
                <w:szCs w:val="20"/>
              </w:rPr>
              <w:t>助理评估师</w:t>
            </w:r>
          </w:p>
        </w:tc>
        <w:tc>
          <w:tcPr>
            <w:tcW w:w="2857" w:type="pct"/>
            <w:shd w:val="clear" w:color="auto" w:fill="auto"/>
            <w:vAlign w:val="center"/>
          </w:tcPr>
          <w:p w14:paraId="1EED6655">
            <w:pPr>
              <w:widowControl/>
              <w:spacing w:line="240" w:lineRule="auto"/>
              <w:ind w:firstLine="400" w:firstLineChars="0"/>
              <w:jc w:val="center"/>
              <w:rPr>
                <w:rFonts w:ascii="宋体" w:hAnsi="宋体" w:eastAsia="宋体" w:cs="Times New Roman Regular"/>
                <w:sz w:val="20"/>
                <w:szCs w:val="20"/>
              </w:rPr>
            </w:pPr>
            <w:r>
              <w:rPr>
                <w:rFonts w:hint="eastAsia" w:ascii="宋体" w:hAnsi="宋体" w:eastAsia="宋体" w:cs="Times New Roman Regular"/>
                <w:sz w:val="20"/>
                <w:szCs w:val="20"/>
              </w:rPr>
              <w:t>负责项目报告审核，履行主评人职责</w:t>
            </w:r>
          </w:p>
        </w:tc>
      </w:tr>
      <w:tr w14:paraId="3ECB93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2" w:hRule="atLeast"/>
        </w:trPr>
        <w:tc>
          <w:tcPr>
            <w:tcW w:w="395" w:type="pct"/>
            <w:shd w:val="clear" w:color="auto" w:fill="auto"/>
            <w:vAlign w:val="center"/>
          </w:tcPr>
          <w:p w14:paraId="573F3B1A">
            <w:pPr>
              <w:spacing w:line="240" w:lineRule="exact"/>
              <w:ind w:firstLine="0" w:firstLineChars="0"/>
              <w:jc w:val="center"/>
              <w:rPr>
                <w:rFonts w:hint="eastAsia" w:ascii="宋体" w:hAnsi="宋体" w:eastAsia="宋体" w:cs="Times New Roman Regular"/>
                <w:sz w:val="20"/>
                <w:szCs w:val="20"/>
                <w:lang w:eastAsia="zh-CN"/>
              </w:rPr>
            </w:pPr>
            <w:r>
              <w:rPr>
                <w:rFonts w:hint="eastAsia" w:ascii="宋体" w:hAnsi="宋体" w:eastAsia="宋体" w:cs="Times New Roman Regular"/>
                <w:sz w:val="20"/>
                <w:szCs w:val="20"/>
                <w:lang w:val="en-US" w:eastAsia="zh-CN"/>
              </w:rPr>
              <w:t>2</w:t>
            </w:r>
          </w:p>
        </w:tc>
        <w:tc>
          <w:tcPr>
            <w:tcW w:w="500" w:type="pct"/>
            <w:shd w:val="clear" w:color="auto" w:fill="auto"/>
            <w:vAlign w:val="center"/>
          </w:tcPr>
          <w:p w14:paraId="1D1E8FD4">
            <w:pPr>
              <w:spacing w:line="240" w:lineRule="exact"/>
              <w:ind w:firstLine="0" w:firstLineChars="0"/>
              <w:jc w:val="center"/>
              <w:rPr>
                <w:rFonts w:ascii="宋体" w:hAnsi="宋体" w:eastAsia="宋体" w:cs="Times New Roman Regular"/>
                <w:sz w:val="20"/>
                <w:szCs w:val="20"/>
              </w:rPr>
            </w:pPr>
            <w:r>
              <w:rPr>
                <w:rFonts w:ascii="宋体" w:hAnsi="宋体" w:eastAsia="宋体" w:cs="Times New Roman Regular"/>
                <w:sz w:val="20"/>
                <w:szCs w:val="20"/>
              </w:rPr>
              <w:t>负责人</w:t>
            </w:r>
          </w:p>
        </w:tc>
        <w:tc>
          <w:tcPr>
            <w:tcW w:w="498" w:type="pct"/>
            <w:shd w:val="clear" w:color="auto" w:fill="auto"/>
            <w:vAlign w:val="center"/>
          </w:tcPr>
          <w:p w14:paraId="20A1BB1B">
            <w:pPr>
              <w:spacing w:line="240" w:lineRule="exact"/>
              <w:ind w:firstLine="0" w:firstLineChars="0"/>
              <w:jc w:val="center"/>
              <w:rPr>
                <w:rFonts w:ascii="宋体" w:hAnsi="宋体" w:eastAsia="宋体" w:cs="Times New Roman Regular"/>
                <w:sz w:val="20"/>
                <w:szCs w:val="20"/>
              </w:rPr>
            </w:pPr>
            <w:r>
              <w:rPr>
                <w:rFonts w:hint="eastAsia" w:ascii="宋体" w:hAnsi="宋体" w:eastAsia="宋体" w:cs="Times New Roman Regular"/>
                <w:sz w:val="20"/>
                <w:szCs w:val="20"/>
                <w:lang w:val="en-US" w:eastAsia="zh-CN"/>
              </w:rPr>
              <w:t>王炳霞</w:t>
            </w:r>
          </w:p>
        </w:tc>
        <w:tc>
          <w:tcPr>
            <w:tcW w:w="748" w:type="pct"/>
            <w:shd w:val="clear" w:color="auto" w:fill="auto"/>
            <w:vAlign w:val="center"/>
          </w:tcPr>
          <w:p w14:paraId="72811ABF">
            <w:pPr>
              <w:spacing w:line="240" w:lineRule="exact"/>
              <w:ind w:firstLine="0" w:firstLineChars="0"/>
              <w:jc w:val="center"/>
              <w:rPr>
                <w:rFonts w:ascii="宋体" w:hAnsi="宋体" w:eastAsia="宋体" w:cs="Times New Roman Regular"/>
                <w:sz w:val="20"/>
                <w:szCs w:val="20"/>
              </w:rPr>
            </w:pPr>
            <w:r>
              <w:rPr>
                <w:rFonts w:hint="eastAsia" w:ascii="宋体" w:hAnsi="宋体" w:eastAsia="宋体" w:cs="Times New Roman Regular"/>
                <w:sz w:val="20"/>
                <w:szCs w:val="20"/>
              </w:rPr>
              <w:t>助理评估师</w:t>
            </w:r>
          </w:p>
        </w:tc>
        <w:tc>
          <w:tcPr>
            <w:tcW w:w="2857" w:type="pct"/>
            <w:shd w:val="clear" w:color="auto" w:fill="auto"/>
            <w:vAlign w:val="center"/>
          </w:tcPr>
          <w:p w14:paraId="044B09C4">
            <w:pPr>
              <w:widowControl/>
              <w:spacing w:line="240" w:lineRule="auto"/>
              <w:ind w:firstLine="400" w:firstLineChars="0"/>
              <w:jc w:val="center"/>
              <w:rPr>
                <w:rFonts w:ascii="宋体" w:hAnsi="宋体" w:eastAsia="宋体" w:cs="Times New Roman Regular"/>
                <w:sz w:val="20"/>
                <w:szCs w:val="20"/>
              </w:rPr>
            </w:pPr>
            <w:r>
              <w:rPr>
                <w:rFonts w:hint="eastAsia" w:ascii="宋体" w:hAnsi="宋体" w:eastAsia="宋体" w:cs="Times New Roman Regular"/>
                <w:sz w:val="20"/>
                <w:szCs w:val="20"/>
              </w:rPr>
              <w:t>负责制定方案、组织项目组成员开展工作、现场绩效评价、撰写绩效评价报告</w:t>
            </w:r>
          </w:p>
        </w:tc>
      </w:tr>
      <w:tr w14:paraId="6AD407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6" w:hRule="atLeast"/>
        </w:trPr>
        <w:tc>
          <w:tcPr>
            <w:tcW w:w="395" w:type="pct"/>
            <w:shd w:val="clear" w:color="auto" w:fill="auto"/>
            <w:vAlign w:val="center"/>
          </w:tcPr>
          <w:p w14:paraId="44B3CBCD">
            <w:pPr>
              <w:spacing w:line="240" w:lineRule="exact"/>
              <w:ind w:firstLine="0" w:firstLineChars="0"/>
              <w:jc w:val="center"/>
              <w:rPr>
                <w:rFonts w:hint="eastAsia" w:ascii="宋体" w:hAnsi="宋体" w:eastAsia="宋体" w:cs="Times New Roman Regular"/>
                <w:sz w:val="20"/>
                <w:szCs w:val="20"/>
                <w:lang w:eastAsia="zh-CN"/>
              </w:rPr>
            </w:pPr>
            <w:r>
              <w:rPr>
                <w:rFonts w:hint="eastAsia" w:ascii="宋体" w:hAnsi="宋体" w:eastAsia="宋体" w:cs="Times New Roman Regular"/>
                <w:sz w:val="20"/>
                <w:szCs w:val="20"/>
                <w:lang w:val="en-US" w:eastAsia="zh-CN"/>
              </w:rPr>
              <w:t>3</w:t>
            </w:r>
          </w:p>
        </w:tc>
        <w:tc>
          <w:tcPr>
            <w:tcW w:w="500" w:type="pct"/>
            <w:vMerge w:val="restart"/>
            <w:shd w:val="clear" w:color="auto" w:fill="auto"/>
            <w:vAlign w:val="center"/>
          </w:tcPr>
          <w:p w14:paraId="596E293C">
            <w:pPr>
              <w:spacing w:line="240" w:lineRule="exact"/>
              <w:ind w:firstLine="0" w:firstLineChars="0"/>
              <w:jc w:val="center"/>
              <w:rPr>
                <w:rFonts w:ascii="宋体" w:hAnsi="宋体" w:eastAsia="宋体" w:cs="Times New Roman Regular"/>
                <w:sz w:val="20"/>
                <w:szCs w:val="20"/>
              </w:rPr>
            </w:pPr>
            <w:r>
              <w:rPr>
                <w:rFonts w:ascii="宋体" w:hAnsi="宋体" w:eastAsia="宋体" w:cs="Times New Roman Regular"/>
                <w:sz w:val="20"/>
                <w:szCs w:val="20"/>
              </w:rPr>
              <w:t>成员</w:t>
            </w:r>
          </w:p>
        </w:tc>
        <w:tc>
          <w:tcPr>
            <w:tcW w:w="498" w:type="pct"/>
            <w:shd w:val="clear" w:color="auto" w:fill="auto"/>
            <w:vAlign w:val="center"/>
          </w:tcPr>
          <w:p w14:paraId="52386FAE">
            <w:pPr>
              <w:spacing w:line="240" w:lineRule="exact"/>
              <w:ind w:firstLine="0" w:firstLineChars="0"/>
              <w:jc w:val="center"/>
              <w:rPr>
                <w:rFonts w:ascii="宋体" w:hAnsi="宋体" w:eastAsia="宋体" w:cs="Times New Roman Regular"/>
                <w:sz w:val="20"/>
                <w:szCs w:val="20"/>
              </w:rPr>
            </w:pPr>
            <w:r>
              <w:rPr>
                <w:rFonts w:hint="eastAsia" w:ascii="宋体" w:hAnsi="宋体" w:eastAsia="宋体" w:cs="Times New Roman Regular"/>
                <w:sz w:val="20"/>
                <w:szCs w:val="20"/>
                <w:lang w:val="en-US" w:eastAsia="zh-CN"/>
              </w:rPr>
              <w:t>郭天娇</w:t>
            </w:r>
          </w:p>
        </w:tc>
        <w:tc>
          <w:tcPr>
            <w:tcW w:w="748" w:type="pct"/>
            <w:shd w:val="clear" w:color="auto" w:fill="auto"/>
            <w:vAlign w:val="center"/>
          </w:tcPr>
          <w:p w14:paraId="516DD477">
            <w:pPr>
              <w:spacing w:line="240" w:lineRule="exact"/>
              <w:ind w:firstLine="0" w:firstLineChars="0"/>
              <w:jc w:val="center"/>
              <w:rPr>
                <w:rFonts w:ascii="宋体" w:hAnsi="宋体" w:eastAsia="宋体" w:cs="Times New Roman Regular"/>
                <w:sz w:val="20"/>
                <w:szCs w:val="20"/>
              </w:rPr>
            </w:pPr>
            <w:r>
              <w:rPr>
                <w:rFonts w:hint="eastAsia" w:ascii="宋体" w:hAnsi="宋体" w:eastAsia="宋体" w:cs="Times New Roman Regular"/>
                <w:sz w:val="20"/>
                <w:szCs w:val="20"/>
              </w:rPr>
              <w:t>助理评估师</w:t>
            </w:r>
          </w:p>
        </w:tc>
        <w:tc>
          <w:tcPr>
            <w:tcW w:w="2857" w:type="pct"/>
            <w:shd w:val="clear" w:color="auto" w:fill="auto"/>
            <w:vAlign w:val="center"/>
          </w:tcPr>
          <w:p w14:paraId="1C635588">
            <w:pPr>
              <w:widowControl/>
              <w:spacing w:line="240" w:lineRule="auto"/>
              <w:ind w:firstLine="400" w:firstLineChars="0"/>
              <w:jc w:val="center"/>
              <w:rPr>
                <w:rFonts w:ascii="宋体" w:hAnsi="宋体" w:eastAsia="宋体" w:cs="Times New Roman Regular"/>
                <w:sz w:val="20"/>
                <w:szCs w:val="20"/>
              </w:rPr>
            </w:pPr>
            <w:r>
              <w:rPr>
                <w:rFonts w:ascii="宋体" w:hAnsi="宋体" w:eastAsia="宋体" w:cs="Times New Roman Regular"/>
                <w:sz w:val="20"/>
                <w:szCs w:val="20"/>
              </w:rPr>
              <w:t>负责现场调查、资料收集、问卷调查等</w:t>
            </w:r>
          </w:p>
        </w:tc>
      </w:tr>
      <w:tr w14:paraId="366A50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0" w:hRule="atLeast"/>
        </w:trPr>
        <w:tc>
          <w:tcPr>
            <w:tcW w:w="395" w:type="pct"/>
            <w:shd w:val="clear" w:color="auto" w:fill="auto"/>
            <w:vAlign w:val="center"/>
          </w:tcPr>
          <w:p w14:paraId="425129D6">
            <w:pPr>
              <w:spacing w:line="240" w:lineRule="exact"/>
              <w:ind w:firstLine="0" w:firstLineChars="0"/>
              <w:jc w:val="center"/>
              <w:rPr>
                <w:rFonts w:hint="eastAsia" w:ascii="宋体" w:hAnsi="宋体" w:eastAsia="宋体" w:cs="Times New Roman Regular"/>
                <w:sz w:val="20"/>
                <w:szCs w:val="20"/>
                <w:lang w:eastAsia="zh-CN"/>
              </w:rPr>
            </w:pPr>
            <w:r>
              <w:rPr>
                <w:rFonts w:hint="eastAsia" w:ascii="宋体" w:hAnsi="宋体" w:eastAsia="宋体" w:cs="Times New Roman Regular"/>
                <w:sz w:val="20"/>
                <w:szCs w:val="20"/>
                <w:lang w:val="en-US" w:eastAsia="zh-CN"/>
              </w:rPr>
              <w:t>4</w:t>
            </w:r>
          </w:p>
        </w:tc>
        <w:tc>
          <w:tcPr>
            <w:tcW w:w="500" w:type="pct"/>
            <w:vMerge w:val="continue"/>
            <w:shd w:val="clear" w:color="auto" w:fill="auto"/>
            <w:vAlign w:val="center"/>
          </w:tcPr>
          <w:p w14:paraId="2A10E6F0">
            <w:pPr>
              <w:spacing w:line="240" w:lineRule="exact"/>
              <w:ind w:firstLine="400" w:firstLineChars="0"/>
              <w:jc w:val="center"/>
              <w:rPr>
                <w:rFonts w:ascii="宋体" w:hAnsi="宋体" w:eastAsia="宋体" w:cs="Times New Roman Regular"/>
                <w:sz w:val="20"/>
                <w:szCs w:val="20"/>
              </w:rPr>
            </w:pPr>
          </w:p>
        </w:tc>
        <w:tc>
          <w:tcPr>
            <w:tcW w:w="498" w:type="pct"/>
            <w:shd w:val="clear" w:color="auto" w:fill="auto"/>
            <w:vAlign w:val="center"/>
          </w:tcPr>
          <w:p w14:paraId="5E1D761C">
            <w:pPr>
              <w:spacing w:line="240" w:lineRule="exact"/>
              <w:ind w:firstLine="0" w:firstLineChars="0"/>
              <w:jc w:val="center"/>
              <w:rPr>
                <w:rFonts w:ascii="宋体" w:hAnsi="宋体" w:eastAsia="宋体" w:cs="Times New Roman Regular"/>
                <w:sz w:val="20"/>
                <w:szCs w:val="20"/>
              </w:rPr>
            </w:pPr>
            <w:r>
              <w:rPr>
                <w:rFonts w:hint="eastAsia" w:ascii="宋体" w:hAnsi="宋体" w:eastAsia="宋体" w:cs="Times New Roman Regular"/>
                <w:sz w:val="20"/>
                <w:szCs w:val="20"/>
                <w:lang w:val="en-US" w:eastAsia="zh-CN"/>
              </w:rPr>
              <w:t>王峰</w:t>
            </w:r>
          </w:p>
        </w:tc>
        <w:tc>
          <w:tcPr>
            <w:tcW w:w="748" w:type="pct"/>
            <w:shd w:val="clear" w:color="auto" w:fill="auto"/>
            <w:vAlign w:val="center"/>
          </w:tcPr>
          <w:p w14:paraId="103CE688">
            <w:pPr>
              <w:spacing w:line="240" w:lineRule="exact"/>
              <w:ind w:firstLine="0" w:firstLineChars="0"/>
              <w:jc w:val="center"/>
              <w:rPr>
                <w:rFonts w:ascii="宋体" w:hAnsi="宋体" w:eastAsia="宋体" w:cs="Times New Roman Regular"/>
                <w:sz w:val="20"/>
                <w:szCs w:val="20"/>
              </w:rPr>
            </w:pPr>
            <w:r>
              <w:rPr>
                <w:rFonts w:hint="eastAsia" w:ascii="宋体" w:hAnsi="宋体" w:eastAsia="宋体" w:cs="Times New Roman Regular"/>
                <w:sz w:val="20"/>
                <w:szCs w:val="20"/>
              </w:rPr>
              <w:t>助理会计师</w:t>
            </w:r>
          </w:p>
        </w:tc>
        <w:tc>
          <w:tcPr>
            <w:tcW w:w="2857" w:type="pct"/>
            <w:shd w:val="clear" w:color="auto" w:fill="auto"/>
            <w:vAlign w:val="center"/>
          </w:tcPr>
          <w:p w14:paraId="02956289">
            <w:pPr>
              <w:widowControl/>
              <w:spacing w:line="240" w:lineRule="auto"/>
              <w:ind w:firstLine="400" w:firstLineChars="0"/>
              <w:jc w:val="center"/>
              <w:rPr>
                <w:rFonts w:ascii="宋体" w:hAnsi="宋体" w:eastAsia="宋体" w:cs="Times New Roman Regular"/>
                <w:sz w:val="20"/>
                <w:szCs w:val="20"/>
              </w:rPr>
            </w:pPr>
            <w:r>
              <w:rPr>
                <w:rFonts w:ascii="宋体" w:hAnsi="宋体" w:eastAsia="宋体" w:cs="Times New Roman Regular"/>
                <w:sz w:val="20"/>
                <w:szCs w:val="20"/>
              </w:rPr>
              <w:t>负责现场调查、资料收集、问卷调查等</w:t>
            </w:r>
          </w:p>
        </w:tc>
      </w:tr>
    </w:tbl>
    <w:p w14:paraId="5A446577">
      <w:pPr>
        <w:spacing w:line="620" w:lineRule="atLeast"/>
        <w:ind w:left="0" w:leftChars="0" w:firstLine="640" w:firstLineChars="200"/>
        <w:rPr>
          <w:rFonts w:hint="eastAsia"/>
          <w:kern w:val="0"/>
          <w:szCs w:val="32"/>
          <w:lang w:val="en-US" w:eastAsia="zh-CN"/>
        </w:rPr>
      </w:pPr>
      <w:r>
        <w:rPr>
          <w:rFonts w:hint="eastAsia"/>
          <w:kern w:val="0"/>
          <w:szCs w:val="32"/>
          <w:lang w:val="en-US" w:eastAsia="zh-CN"/>
        </w:rPr>
        <w:t>主评人制度：第三方机构出具预算绩效评价报告应当由其主评人签字确认。绩效评价主评人由第三方机构根据以下条件择优评定：</w:t>
      </w:r>
    </w:p>
    <w:p w14:paraId="05781B82">
      <w:pPr>
        <w:spacing w:line="620" w:lineRule="atLeast"/>
        <w:ind w:left="0" w:leftChars="0" w:firstLine="640" w:firstLineChars="200"/>
        <w:rPr>
          <w:rFonts w:hint="eastAsia"/>
          <w:kern w:val="0"/>
          <w:szCs w:val="32"/>
          <w:lang w:val="en-US" w:eastAsia="zh-CN"/>
        </w:rPr>
      </w:pPr>
      <w:r>
        <w:rPr>
          <w:rFonts w:hint="eastAsia"/>
          <w:kern w:val="0"/>
          <w:szCs w:val="32"/>
          <w:lang w:val="en-US" w:eastAsia="zh-CN"/>
        </w:rPr>
        <w:t>（1）遵守法律、行政法规和本办法的规定，具有良好的职业道德；</w:t>
      </w:r>
    </w:p>
    <w:p w14:paraId="1E405ACE">
      <w:pPr>
        <w:spacing w:line="620" w:lineRule="atLeast"/>
        <w:ind w:left="0" w:leftChars="0" w:firstLine="640" w:firstLineChars="200"/>
        <w:rPr>
          <w:rFonts w:hint="eastAsia"/>
          <w:kern w:val="0"/>
          <w:szCs w:val="32"/>
          <w:lang w:val="en-US" w:eastAsia="zh-CN"/>
        </w:rPr>
      </w:pPr>
      <w:r>
        <w:rPr>
          <w:rFonts w:hint="eastAsia"/>
          <w:kern w:val="0"/>
          <w:szCs w:val="32"/>
          <w:lang w:val="en-US" w:eastAsia="zh-CN"/>
        </w:rPr>
        <w:t>（2）具有与预算绩效评价业务相适应的学历、能力；</w:t>
      </w:r>
    </w:p>
    <w:p w14:paraId="6C20BE89">
      <w:pPr>
        <w:spacing w:line="620" w:lineRule="atLeast"/>
        <w:ind w:left="0" w:leftChars="0" w:firstLine="640" w:firstLineChars="200"/>
        <w:rPr>
          <w:rFonts w:hint="eastAsia"/>
          <w:kern w:val="0"/>
          <w:szCs w:val="32"/>
          <w:lang w:val="en-US" w:eastAsia="zh-CN"/>
        </w:rPr>
      </w:pPr>
      <w:r>
        <w:rPr>
          <w:rFonts w:hint="eastAsia"/>
          <w:kern w:val="0"/>
          <w:szCs w:val="32"/>
          <w:lang w:val="en-US" w:eastAsia="zh-CN"/>
        </w:rPr>
        <w:t>（3）具备中高级职称或注册会计师、评估师、律师、内审师、注册造价工程师、注册咨询工程师等相关行业管理部门认可的专业资质；</w:t>
      </w:r>
    </w:p>
    <w:p w14:paraId="47D4A5E1">
      <w:pPr>
        <w:spacing w:line="620" w:lineRule="atLeast"/>
        <w:ind w:left="0" w:leftChars="0" w:firstLine="640" w:firstLineChars="200"/>
        <w:rPr>
          <w:rFonts w:hint="eastAsia"/>
          <w:kern w:val="0"/>
          <w:szCs w:val="32"/>
          <w:lang w:val="en-US" w:eastAsia="zh-CN"/>
        </w:rPr>
      </w:pPr>
      <w:r>
        <w:rPr>
          <w:rFonts w:hint="eastAsia"/>
          <w:kern w:val="0"/>
          <w:szCs w:val="32"/>
          <w:lang w:val="en-US" w:eastAsia="zh-CN"/>
        </w:rPr>
        <w:t>（4）具有5年以上工作经验，其中从事预算绩效评价工作3年以上；</w:t>
      </w:r>
    </w:p>
    <w:p w14:paraId="3F804E93">
      <w:pPr>
        <w:spacing w:line="620" w:lineRule="atLeast"/>
        <w:ind w:left="0" w:leftChars="0" w:firstLine="640" w:firstLineChars="200"/>
        <w:rPr>
          <w:rFonts w:hint="eastAsia"/>
          <w:kern w:val="0"/>
          <w:szCs w:val="32"/>
          <w:lang w:val="en-US" w:eastAsia="zh-CN"/>
        </w:rPr>
      </w:pPr>
      <w:r>
        <w:rPr>
          <w:rFonts w:hint="eastAsia"/>
          <w:kern w:val="0"/>
          <w:szCs w:val="32"/>
          <w:lang w:val="en-US" w:eastAsia="zh-CN"/>
        </w:rPr>
        <w:t>（5）具有较强的政策理解、项目管理和沟通协调能力；</w:t>
      </w:r>
    </w:p>
    <w:p w14:paraId="30EC32AF">
      <w:pPr>
        <w:spacing w:line="620" w:lineRule="atLeast"/>
        <w:ind w:left="0" w:leftChars="0" w:firstLine="640" w:firstLineChars="200"/>
        <w:rPr>
          <w:rFonts w:hint="eastAsia"/>
          <w:kern w:val="0"/>
          <w:szCs w:val="32"/>
          <w:lang w:val="en-US" w:eastAsia="zh-CN"/>
        </w:rPr>
      </w:pPr>
      <w:r>
        <w:rPr>
          <w:rFonts w:hint="eastAsia"/>
          <w:kern w:val="0"/>
          <w:szCs w:val="32"/>
          <w:lang w:val="en-US" w:eastAsia="zh-CN"/>
        </w:rPr>
        <w:t>（6）未被追究过刑事责任，或者从事评估、财务、会计、审计活动中因过失犯罪而受刑事处罚，刑罚执行期满逾5年。</w:t>
      </w:r>
    </w:p>
    <w:p w14:paraId="2A09D221">
      <w:pPr>
        <w:spacing w:line="620" w:lineRule="atLeast"/>
        <w:ind w:left="0" w:leftChars="0" w:firstLine="640" w:firstLineChars="200"/>
        <w:rPr>
          <w:kern w:val="0"/>
          <w:szCs w:val="32"/>
        </w:rPr>
      </w:pPr>
      <w:r>
        <w:rPr>
          <w:rFonts w:hint="eastAsia"/>
          <w:kern w:val="0"/>
          <w:szCs w:val="32"/>
          <w:lang w:val="en-US" w:eastAsia="zh-CN"/>
        </w:rPr>
        <w:t>2</w:t>
      </w:r>
      <w:r>
        <w:rPr>
          <w:rFonts w:hint="eastAsia"/>
          <w:kern w:val="0"/>
          <w:szCs w:val="32"/>
        </w:rPr>
        <w:t>.</w:t>
      </w:r>
      <w:r>
        <w:rPr>
          <w:rFonts w:hint="eastAsia" w:ascii="仿宋_GB2312"/>
        </w:rPr>
        <w:t xml:space="preserve"> 评价组织实施</w:t>
      </w:r>
    </w:p>
    <w:p w14:paraId="161EC760">
      <w:pPr>
        <w:ind w:firstLine="640"/>
        <w:rPr>
          <w:rFonts w:hint="eastAsia" w:ascii="仿宋_GB2312"/>
        </w:rPr>
      </w:pPr>
      <w:r>
        <w:rPr>
          <w:rFonts w:hint="eastAsia" w:ascii="仿宋_GB2312"/>
        </w:rPr>
        <w:t>本次绩效评价工作分为评价准备、评价实施、报告撰写</w:t>
      </w:r>
      <w:r>
        <w:rPr>
          <w:rFonts w:hint="eastAsia" w:ascii="仿宋_GB2312"/>
          <w:lang w:val="en-US" w:eastAsia="zh-CN"/>
        </w:rPr>
        <w:t>三</w:t>
      </w:r>
      <w:r>
        <w:rPr>
          <w:rFonts w:hint="eastAsia" w:ascii="仿宋_GB2312"/>
        </w:rPr>
        <w:t>个阶段：</w:t>
      </w:r>
    </w:p>
    <w:p w14:paraId="6C52146E">
      <w:pPr>
        <w:ind w:firstLine="640"/>
        <w:rPr>
          <w:rFonts w:hint="eastAsia" w:ascii="仿宋_GB2312"/>
        </w:rPr>
      </w:pPr>
      <w:r>
        <w:rPr>
          <w:rFonts w:hint="eastAsia" w:ascii="仿宋_GB2312"/>
        </w:rPr>
        <w:t>(1)评价准备阶段(2022年5月下旬至6月下旬)</w:t>
      </w:r>
    </w:p>
    <w:p w14:paraId="1A1854D8">
      <w:pPr>
        <w:ind w:firstLine="640"/>
        <w:rPr>
          <w:rFonts w:hint="eastAsia" w:ascii="仿宋_GB2312"/>
        </w:rPr>
      </w:pPr>
      <w:r>
        <w:rPr>
          <w:rFonts w:hint="eastAsia" w:ascii="仿宋_GB2312"/>
        </w:rPr>
        <w:t>①制定评价工作方案。评价机构要充分收集评价项目有关的基础资料开展文案研究及实地调研，理清评价思路，设计评价指标体系、确定评价方法、确定非现场和现场核查范围、编制社会调查方案、设计基础数据采集表、明确评价工作安排，在与项目主管部门充分沟通的基础上，制定绩效评价工作方案，于6月20日前报县财政局预算股审核。</w:t>
      </w:r>
    </w:p>
    <w:p w14:paraId="3CB128D0">
      <w:pPr>
        <w:ind w:firstLine="640"/>
        <w:rPr>
          <w:rFonts w:hint="eastAsia" w:ascii="仿宋_GB2312"/>
        </w:rPr>
      </w:pPr>
      <w:r>
        <w:rPr>
          <w:rFonts w:hint="eastAsia" w:ascii="仿宋_GB2312"/>
        </w:rPr>
        <w:t>②确认项目评价工作方案。县财政局预算股于6月27曰前组织预算绩效行业专家、绩效评价专家对评价机构上报的绩效评价工作方案进行评审论证,提出评审意见。评价机构根据评审意见，对评价工作方案进行修改完善。</w:t>
      </w:r>
    </w:p>
    <w:p w14:paraId="60E02B6E">
      <w:pPr>
        <w:ind w:firstLine="640"/>
        <w:rPr>
          <w:rFonts w:hint="eastAsia" w:ascii="仿宋_GB2312"/>
        </w:rPr>
      </w:pPr>
      <w:r>
        <w:rPr>
          <w:rFonts w:hint="eastAsia" w:ascii="仿宋_GB2312"/>
        </w:rPr>
        <w:t>(2)评价实施阶段(2022年7月上旬)</w:t>
      </w:r>
    </w:p>
    <w:p w14:paraId="758F8151">
      <w:pPr>
        <w:ind w:firstLine="640"/>
        <w:rPr>
          <w:rFonts w:hint="eastAsia" w:ascii="仿宋_GB2312"/>
        </w:rPr>
      </w:pPr>
      <w:r>
        <w:rPr>
          <w:rFonts w:hint="eastAsia" w:ascii="仿宋_GB2312"/>
        </w:rPr>
        <w:t>①收集、审核资料。评价机构根据评价工作方案，分类收集、整理绩效评价相关资料，并对资料进行审核、汇总和分析。</w:t>
      </w:r>
    </w:p>
    <w:p w14:paraId="331BBF8C">
      <w:pPr>
        <w:ind w:firstLine="640"/>
        <w:rPr>
          <w:rFonts w:hint="eastAsia" w:ascii="仿宋_GB2312"/>
        </w:rPr>
      </w:pPr>
      <w:r>
        <w:rPr>
          <w:rFonts w:hint="eastAsia" w:ascii="仿宋_GB2312"/>
        </w:rPr>
        <w:t>②现场核查。根据评价工作方案确定的现场核查范围，结合评价对象的特点和项目承担单位提供的数据资料，进行现场调研、座谈及实地验证核实。</w:t>
      </w:r>
    </w:p>
    <w:p w14:paraId="3F6C81F6">
      <w:pPr>
        <w:ind w:firstLine="640"/>
        <w:rPr>
          <w:rFonts w:hint="eastAsia" w:ascii="仿宋_GB2312"/>
        </w:rPr>
      </w:pPr>
      <w:r>
        <w:rPr>
          <w:rFonts w:hint="eastAsia" w:ascii="仿宋_GB2312"/>
        </w:rPr>
        <w:t xml:space="preserve">③综合评价。评价机构全面梳理、汇总现场评价和非现场评价情况，根据评价工作方案确定的评价指标体系、工作底稿、工作记录等情况，进行全面的定量定性分析和综合评价，形成初步评价结论。     </w:t>
      </w:r>
    </w:p>
    <w:p w14:paraId="437EE0F3">
      <w:pPr>
        <w:ind w:firstLine="640"/>
        <w:rPr>
          <w:rFonts w:hint="eastAsia" w:ascii="仿宋_GB2312"/>
        </w:rPr>
      </w:pPr>
      <w:r>
        <w:rPr>
          <w:rFonts w:hint="eastAsia" w:ascii="仿宋_GB2312"/>
        </w:rPr>
        <w:t>④自评复核。评价机构对被评价部门（单位）的自评结果进行复核,对项目总体绩效目标、各项绩效指标完成情况及预算执行情况进行核实，并提出部门（单位）绩效自评复核报告。重点复核绩效自评工作是否按要求开展、预算执行率是否真实、绩效目标完成情况是否准确等，并视评价工作需要，对存在疑问的重要基础数据资料进行解释说明。</w:t>
      </w:r>
    </w:p>
    <w:p w14:paraId="1D809229">
      <w:pPr>
        <w:ind w:firstLine="640"/>
        <w:rPr>
          <w:rFonts w:hint="eastAsia" w:ascii="仿宋_GB2312"/>
        </w:rPr>
      </w:pPr>
      <w:r>
        <w:rPr>
          <w:rFonts w:hint="eastAsia" w:ascii="仿宋_GB2312"/>
        </w:rPr>
        <w:t>⑤交换意见。评价机构就绩效评价工作开展情况及初步评价结论与被评价部门或单位交换意见。</w:t>
      </w:r>
    </w:p>
    <w:p w14:paraId="615FF9D3">
      <w:pPr>
        <w:ind w:firstLine="640"/>
        <w:rPr>
          <w:rFonts w:hint="eastAsia" w:ascii="仿宋_GB2312"/>
        </w:rPr>
      </w:pPr>
      <w:r>
        <w:rPr>
          <w:rFonts w:hint="eastAsia" w:ascii="仿宋_GB2312"/>
        </w:rPr>
        <w:t>(3)报告撰写阶段(2022年7月中旬至7月下旬)</w:t>
      </w:r>
    </w:p>
    <w:p w14:paraId="08049059">
      <w:pPr>
        <w:ind w:firstLine="640"/>
        <w:rPr>
          <w:rFonts w:hint="eastAsia" w:ascii="仿宋_GB2312"/>
        </w:rPr>
      </w:pPr>
      <w:r>
        <w:rPr>
          <w:rFonts w:hint="eastAsia" w:ascii="仿宋_GB2312"/>
        </w:rPr>
        <w:t>①撰写报告。评价机构按照规定的文本格式和要求撰写评价报告。报告应包括以下主要内容:被评价对象基本情况，绩效评价工作开展情况，绩效评价指标体系和评价方法，综合评价情况及评价结论，绩效评价指标分析，项目（政策）主要经验、做法和存在的问题及原因分析，改进建议及评价结果应用建议等。</w:t>
      </w:r>
    </w:p>
    <w:p w14:paraId="717554BF">
      <w:pPr>
        <w:ind w:firstLine="640"/>
        <w:rPr>
          <w:rFonts w:hint="eastAsia" w:ascii="仿宋_GB2312"/>
        </w:rPr>
      </w:pPr>
      <w:r>
        <w:rPr>
          <w:rFonts w:hint="eastAsia" w:ascii="仿宋_GB2312"/>
        </w:rPr>
        <w:t>②提交报告。评价机构与被评价部门（单位）交换意见后，对报告进行修改完善，形成评价结论，于7月15日前将正式评价报告报送县财政局预算股。</w:t>
      </w:r>
    </w:p>
    <w:p w14:paraId="12018D94">
      <w:pPr>
        <w:ind w:firstLine="640"/>
        <w:rPr>
          <w:rFonts w:hint="eastAsia" w:ascii="仿宋_GB2312"/>
        </w:rPr>
      </w:pPr>
      <w:r>
        <w:rPr>
          <w:rFonts w:hint="eastAsia" w:ascii="仿宋_GB2312"/>
        </w:rPr>
        <w:t>③审核报告。县财政局预算股组织专家对绩效评价报告进行评审，主要从报告内容完整性、评价方法的科学性、评价结论的合理性、问题分析的全面性、建议的可行性等方面进行审核，专家组于7月20日前提交书面评审意见。</w:t>
      </w:r>
    </w:p>
    <w:p w14:paraId="712190AD">
      <w:pPr>
        <w:ind w:firstLine="640"/>
        <w:rPr>
          <w:rFonts w:hint="eastAsia" w:ascii="仿宋_GB2312"/>
        </w:rPr>
      </w:pPr>
      <w:r>
        <w:rPr>
          <w:rFonts w:hint="eastAsia" w:ascii="仿宋_GB2312"/>
        </w:rPr>
        <w:t>④确认报告。评价机构根据专家意见修改评价报告，7月25日前提交正式评价报告。</w:t>
      </w:r>
    </w:p>
    <w:p w14:paraId="4AF990DC">
      <w:pPr>
        <w:pStyle w:val="3"/>
        <w:ind w:firstLine="640"/>
        <w:rPr>
          <w:highlight w:val="none"/>
        </w:rPr>
      </w:pPr>
      <w:bookmarkStart w:id="40" w:name="_Toc27599"/>
      <w:r>
        <w:rPr>
          <w:rFonts w:hint="eastAsia"/>
        </w:rPr>
        <w:t>三、</w:t>
      </w:r>
      <w:r>
        <w:rPr>
          <w:rFonts w:hint="eastAsia"/>
          <w:highlight w:val="none"/>
        </w:rPr>
        <w:t>综合评价情况及评价结论</w:t>
      </w:r>
      <w:bookmarkEnd w:id="40"/>
    </w:p>
    <w:p w14:paraId="61043701">
      <w:pPr>
        <w:pStyle w:val="4"/>
        <w:ind w:firstLine="640"/>
        <w:rPr>
          <w:rFonts w:hint="default" w:ascii="仿宋_GB2312" w:eastAsia="楷体_GB2312"/>
          <w:lang w:val="en-US" w:eastAsia="zh-CN"/>
        </w:rPr>
      </w:pPr>
      <w:bookmarkStart w:id="41" w:name="_Toc22996"/>
      <w:r>
        <w:rPr>
          <w:rFonts w:ascii="仿宋_GB2312"/>
        </w:rPr>
        <w:t>（一）</w:t>
      </w:r>
      <w:r>
        <w:rPr>
          <w:rFonts w:hint="eastAsia" w:ascii="仿宋_GB2312"/>
          <w:lang w:val="en-US" w:eastAsia="zh-CN"/>
        </w:rPr>
        <w:t>总体评分结果及评价结论</w:t>
      </w:r>
      <w:bookmarkEnd w:id="41"/>
    </w:p>
    <w:p w14:paraId="1B36D104">
      <w:pPr>
        <w:ind w:firstLine="640"/>
        <w:rPr>
          <w:rFonts w:hint="eastAsia"/>
          <w:lang w:eastAsia="zh-CN"/>
        </w:rPr>
      </w:pPr>
      <w:r>
        <w:rPr>
          <w:rFonts w:hint="eastAsia" w:ascii="仿宋_GB2312"/>
          <w:lang w:val="en-US" w:eastAsia="zh-CN"/>
        </w:rPr>
        <w:t>古县县委党校改扩建项目</w:t>
      </w:r>
      <w:r>
        <w:rPr>
          <w:rFonts w:hint="eastAsia" w:ascii="仿宋_GB2312"/>
        </w:rPr>
        <w:t>支出绩效评价得</w:t>
      </w:r>
      <w:r>
        <w:rPr>
          <w:rFonts w:hint="eastAsia" w:ascii="仿宋_GB2312"/>
          <w:highlight w:val="none"/>
        </w:rPr>
        <w:t>分</w:t>
      </w:r>
      <w:r>
        <w:rPr>
          <w:rFonts w:hint="eastAsia" w:ascii="仿宋_GB2312"/>
          <w:highlight w:val="none"/>
          <w:lang w:val="en-US" w:eastAsia="zh-CN"/>
        </w:rPr>
        <w:t>66</w:t>
      </w:r>
      <w:r>
        <w:rPr>
          <w:rFonts w:hint="eastAsia" w:ascii="仿宋_GB2312"/>
          <w:highlight w:val="none"/>
        </w:rPr>
        <w:t>分，</w:t>
      </w:r>
      <w:r>
        <w:rPr>
          <w:rFonts w:hint="eastAsia" w:ascii="仿宋_GB2312"/>
        </w:rPr>
        <w:t>绩效评价等级为“</w:t>
      </w:r>
      <w:r>
        <w:rPr>
          <w:rFonts w:hint="eastAsia" w:ascii="仿宋_GB2312"/>
          <w:lang w:val="en-US" w:eastAsia="zh-CN"/>
        </w:rPr>
        <w:t>中</w:t>
      </w:r>
      <w:r>
        <w:rPr>
          <w:rFonts w:hint="eastAsia" w:ascii="仿宋_GB2312"/>
        </w:rPr>
        <w:t>”。</w:t>
      </w:r>
      <w:r>
        <w:rPr>
          <w:rFonts w:hint="eastAsia" w:ascii="仿宋_GB2312"/>
          <w:lang w:val="en-US" w:eastAsia="zh-CN"/>
        </w:rPr>
        <w:t>项目整体</w:t>
      </w:r>
      <w:r>
        <w:rPr>
          <w:rFonts w:hint="eastAsia" w:ascii="仿宋_GB2312"/>
        </w:rPr>
        <w:t>详见下表</w:t>
      </w:r>
      <w:r>
        <w:rPr>
          <w:rFonts w:hint="eastAsia" w:ascii="仿宋_GB2312"/>
          <w:lang w:eastAsia="zh-CN"/>
        </w:rPr>
        <w:t>：</w:t>
      </w:r>
    </w:p>
    <w:p w14:paraId="302E574F">
      <w:pPr>
        <w:keepNext w:val="0"/>
        <w:keepLines w:val="0"/>
        <w:pageBreakBefore w:val="0"/>
        <w:widowControl w:val="0"/>
        <w:kinsoku/>
        <w:wordWrap/>
        <w:overflowPunct/>
        <w:topLinePunct w:val="0"/>
        <w:autoSpaceDE w:val="0"/>
        <w:autoSpaceDN w:val="0"/>
        <w:bidi w:val="0"/>
        <w:adjustRightInd w:val="0"/>
        <w:snapToGrid/>
        <w:spacing w:before="63" w:beforeLines="20" w:after="63" w:afterLines="20" w:line="500" w:lineRule="exact"/>
        <w:ind w:left="0" w:leftChars="0" w:firstLine="0" w:firstLineChars="0"/>
        <w:jc w:val="center"/>
        <w:textAlignment w:val="auto"/>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绩效评价得分表</w:t>
      </w:r>
    </w:p>
    <w:tbl>
      <w:tblPr>
        <w:tblStyle w:val="2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1"/>
        <w:gridCol w:w="1421"/>
        <w:gridCol w:w="1421"/>
        <w:gridCol w:w="1421"/>
        <w:gridCol w:w="1421"/>
      </w:tblGrid>
      <w:tr w14:paraId="7E28E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vAlign w:val="center"/>
          </w:tcPr>
          <w:p w14:paraId="5E342EDE">
            <w:pPr>
              <w:spacing w:line="240" w:lineRule="auto"/>
              <w:ind w:firstLine="0" w:firstLineChars="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指标</w:t>
            </w:r>
          </w:p>
        </w:tc>
        <w:tc>
          <w:tcPr>
            <w:tcW w:w="833" w:type="pct"/>
            <w:vAlign w:val="center"/>
          </w:tcPr>
          <w:p w14:paraId="357CBC86">
            <w:pPr>
              <w:spacing w:line="240" w:lineRule="auto"/>
              <w:ind w:firstLine="0" w:firstLineChars="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决策</w:t>
            </w:r>
          </w:p>
        </w:tc>
        <w:tc>
          <w:tcPr>
            <w:tcW w:w="833" w:type="pct"/>
            <w:vAlign w:val="center"/>
          </w:tcPr>
          <w:p w14:paraId="3F8DB5B4">
            <w:pPr>
              <w:spacing w:line="240" w:lineRule="auto"/>
              <w:ind w:firstLine="0" w:firstLineChars="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过程</w:t>
            </w:r>
          </w:p>
        </w:tc>
        <w:tc>
          <w:tcPr>
            <w:tcW w:w="833" w:type="pct"/>
            <w:vAlign w:val="center"/>
          </w:tcPr>
          <w:p w14:paraId="17BB1486">
            <w:pPr>
              <w:spacing w:line="240" w:lineRule="auto"/>
              <w:ind w:firstLine="0" w:firstLineChars="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产出</w:t>
            </w:r>
          </w:p>
        </w:tc>
        <w:tc>
          <w:tcPr>
            <w:tcW w:w="833" w:type="pct"/>
            <w:vAlign w:val="center"/>
          </w:tcPr>
          <w:p w14:paraId="41E4A50E">
            <w:pPr>
              <w:spacing w:line="240" w:lineRule="auto"/>
              <w:ind w:firstLine="0" w:firstLineChars="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效益</w:t>
            </w:r>
          </w:p>
        </w:tc>
        <w:tc>
          <w:tcPr>
            <w:tcW w:w="833" w:type="pct"/>
            <w:vAlign w:val="center"/>
          </w:tcPr>
          <w:p w14:paraId="6D9A1695">
            <w:pPr>
              <w:spacing w:line="240" w:lineRule="auto"/>
              <w:ind w:firstLine="0" w:firstLineChars="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总分</w:t>
            </w:r>
          </w:p>
        </w:tc>
      </w:tr>
      <w:tr w14:paraId="41C9A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833" w:type="pct"/>
            <w:vAlign w:val="center"/>
          </w:tcPr>
          <w:p w14:paraId="574684D0">
            <w:pPr>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标准分</w:t>
            </w:r>
          </w:p>
        </w:tc>
        <w:tc>
          <w:tcPr>
            <w:tcW w:w="833" w:type="pct"/>
            <w:vAlign w:val="center"/>
          </w:tcPr>
          <w:p w14:paraId="5A977C71">
            <w:pPr>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c>
          <w:tcPr>
            <w:tcW w:w="833" w:type="pct"/>
            <w:vAlign w:val="center"/>
          </w:tcPr>
          <w:p w14:paraId="76697046">
            <w:pPr>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c>
          <w:tcPr>
            <w:tcW w:w="833" w:type="pct"/>
            <w:vAlign w:val="center"/>
          </w:tcPr>
          <w:p w14:paraId="5305FACD">
            <w:pPr>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w:t>
            </w:r>
          </w:p>
        </w:tc>
        <w:tc>
          <w:tcPr>
            <w:tcW w:w="833" w:type="pct"/>
            <w:vAlign w:val="center"/>
          </w:tcPr>
          <w:p w14:paraId="6B6431AE">
            <w:pPr>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w:t>
            </w:r>
          </w:p>
        </w:tc>
        <w:tc>
          <w:tcPr>
            <w:tcW w:w="833" w:type="pct"/>
            <w:vAlign w:val="center"/>
          </w:tcPr>
          <w:p w14:paraId="71F3748D">
            <w:pPr>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 sum(B2:E2) \* MERGEFORMAT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rPr>
              <w:t>100</w:t>
            </w:r>
            <w:r>
              <w:rPr>
                <w:rFonts w:hint="eastAsia" w:ascii="仿宋_GB2312" w:hAnsi="仿宋_GB2312" w:eastAsia="仿宋_GB2312" w:cs="仿宋_GB2312"/>
                <w:sz w:val="24"/>
                <w:szCs w:val="24"/>
              </w:rPr>
              <w:fldChar w:fldCharType="end"/>
            </w:r>
          </w:p>
        </w:tc>
      </w:tr>
      <w:tr w14:paraId="11602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vAlign w:val="center"/>
          </w:tcPr>
          <w:p w14:paraId="2E4215F9">
            <w:pPr>
              <w:spacing w:line="240" w:lineRule="auto"/>
              <w:ind w:firstLine="0" w:firstLineChars="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得分</w:t>
            </w:r>
          </w:p>
        </w:tc>
        <w:tc>
          <w:tcPr>
            <w:tcW w:w="833" w:type="pct"/>
            <w:vAlign w:val="center"/>
          </w:tcPr>
          <w:p w14:paraId="4D4C4117">
            <w:pPr>
              <w:spacing w:line="240" w:lineRule="auto"/>
              <w:ind w:firstLine="0" w:firstLineChars="0"/>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1</w:t>
            </w:r>
            <w:r>
              <w:rPr>
                <w:rFonts w:hint="eastAsia" w:ascii="仿宋_GB2312" w:hAnsi="仿宋_GB2312" w:cs="仿宋_GB2312"/>
                <w:sz w:val="24"/>
                <w:szCs w:val="24"/>
                <w:highlight w:val="none"/>
                <w:lang w:val="en-US" w:eastAsia="zh-CN"/>
              </w:rPr>
              <w:t>8</w:t>
            </w:r>
          </w:p>
        </w:tc>
        <w:tc>
          <w:tcPr>
            <w:tcW w:w="833" w:type="pct"/>
            <w:vAlign w:val="center"/>
          </w:tcPr>
          <w:p w14:paraId="3749B97D">
            <w:pPr>
              <w:spacing w:line="240" w:lineRule="auto"/>
              <w:ind w:firstLine="0" w:firstLineChars="0"/>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w:t>
            </w:r>
            <w:r>
              <w:rPr>
                <w:rFonts w:hint="eastAsia" w:ascii="仿宋_GB2312" w:hAnsi="仿宋_GB2312" w:cs="仿宋_GB2312"/>
                <w:sz w:val="24"/>
                <w:szCs w:val="24"/>
                <w:highlight w:val="none"/>
                <w:lang w:val="en-US" w:eastAsia="zh-CN"/>
              </w:rPr>
              <w:t>4</w:t>
            </w:r>
          </w:p>
        </w:tc>
        <w:tc>
          <w:tcPr>
            <w:tcW w:w="833" w:type="pct"/>
            <w:vAlign w:val="center"/>
          </w:tcPr>
          <w:p w14:paraId="72E89BAF">
            <w:pPr>
              <w:spacing w:line="240" w:lineRule="auto"/>
              <w:ind w:firstLine="0" w:firstLineChars="0"/>
              <w:jc w:val="center"/>
              <w:rPr>
                <w:rFonts w:hint="default" w:ascii="仿宋_GB2312" w:hAnsi="仿宋_GB2312" w:eastAsia="仿宋_GB2312" w:cs="仿宋_GB2312"/>
                <w:sz w:val="24"/>
                <w:szCs w:val="24"/>
                <w:highlight w:val="none"/>
                <w:lang w:val="en-US" w:eastAsia="zh-CN"/>
              </w:rPr>
            </w:pPr>
            <w:r>
              <w:rPr>
                <w:rFonts w:hint="eastAsia" w:ascii="仿宋_GB2312" w:hAnsi="仿宋_GB2312" w:cs="仿宋_GB2312"/>
                <w:sz w:val="24"/>
                <w:szCs w:val="24"/>
                <w:highlight w:val="none"/>
                <w:lang w:val="en-US" w:eastAsia="zh-CN"/>
              </w:rPr>
              <w:t>18</w:t>
            </w:r>
          </w:p>
        </w:tc>
        <w:tc>
          <w:tcPr>
            <w:tcW w:w="833" w:type="pct"/>
            <w:vAlign w:val="center"/>
          </w:tcPr>
          <w:p w14:paraId="027A9FEB">
            <w:pPr>
              <w:spacing w:line="240" w:lineRule="auto"/>
              <w:ind w:firstLine="0" w:firstLineChars="0"/>
              <w:jc w:val="center"/>
              <w:rPr>
                <w:rFonts w:hint="default" w:ascii="仿宋_GB2312" w:hAnsi="仿宋_GB2312" w:eastAsia="仿宋_GB2312" w:cs="仿宋_GB2312"/>
                <w:sz w:val="24"/>
                <w:szCs w:val="24"/>
                <w:highlight w:val="none"/>
                <w:lang w:val="en-US" w:eastAsia="zh-CN"/>
              </w:rPr>
            </w:pPr>
            <w:r>
              <w:rPr>
                <w:rFonts w:hint="eastAsia" w:ascii="仿宋_GB2312" w:hAnsi="仿宋_GB2312" w:cs="仿宋_GB2312"/>
                <w:sz w:val="24"/>
                <w:szCs w:val="24"/>
                <w:highlight w:val="none"/>
                <w:lang w:val="en-US" w:eastAsia="zh-CN"/>
              </w:rPr>
              <w:t>16</w:t>
            </w:r>
          </w:p>
        </w:tc>
        <w:tc>
          <w:tcPr>
            <w:tcW w:w="833" w:type="pct"/>
            <w:vAlign w:val="center"/>
          </w:tcPr>
          <w:p w14:paraId="5D138529">
            <w:pPr>
              <w:spacing w:line="240" w:lineRule="auto"/>
              <w:ind w:firstLine="0" w:firstLineChars="0"/>
              <w:jc w:val="center"/>
              <w:rPr>
                <w:rFonts w:hint="default" w:ascii="仿宋_GB2312" w:hAnsi="仿宋_GB2312" w:eastAsia="仿宋_GB2312" w:cs="仿宋_GB2312"/>
                <w:sz w:val="24"/>
                <w:szCs w:val="24"/>
                <w:highlight w:val="none"/>
                <w:lang w:val="en-US" w:eastAsia="zh-CN"/>
              </w:rPr>
            </w:pPr>
            <w:r>
              <w:rPr>
                <w:rFonts w:hint="eastAsia" w:ascii="仿宋_GB2312" w:hAnsi="仿宋_GB2312" w:cs="仿宋_GB2312"/>
                <w:sz w:val="24"/>
                <w:szCs w:val="24"/>
                <w:highlight w:val="none"/>
                <w:lang w:val="en-US" w:eastAsia="zh-CN"/>
              </w:rPr>
              <w:t>66</w:t>
            </w:r>
          </w:p>
        </w:tc>
      </w:tr>
      <w:tr w14:paraId="3CC22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vAlign w:val="center"/>
          </w:tcPr>
          <w:p w14:paraId="2C990E92">
            <w:pPr>
              <w:spacing w:line="240" w:lineRule="auto"/>
              <w:ind w:firstLine="0" w:firstLineChars="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得分率</w:t>
            </w:r>
          </w:p>
        </w:tc>
        <w:tc>
          <w:tcPr>
            <w:tcW w:w="833" w:type="pct"/>
            <w:vAlign w:val="center"/>
          </w:tcPr>
          <w:p w14:paraId="63994730">
            <w:pPr>
              <w:spacing w:line="240" w:lineRule="auto"/>
              <w:ind w:firstLine="0" w:firstLineChars="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9</w:t>
            </w:r>
            <w:r>
              <w:rPr>
                <w:rFonts w:hint="eastAsia" w:ascii="仿宋_GB2312" w:hAnsi="仿宋_GB2312" w:cs="仿宋_GB2312"/>
                <w:sz w:val="24"/>
                <w:szCs w:val="24"/>
                <w:highlight w:val="none"/>
                <w:lang w:val="en-US" w:eastAsia="zh-CN"/>
              </w:rPr>
              <w:t>0</w:t>
            </w:r>
            <w:r>
              <w:rPr>
                <w:rFonts w:hint="eastAsia" w:ascii="仿宋_GB2312" w:hAnsi="仿宋_GB2312" w:eastAsia="仿宋_GB2312" w:cs="仿宋_GB2312"/>
                <w:sz w:val="24"/>
                <w:szCs w:val="24"/>
                <w:highlight w:val="none"/>
              </w:rPr>
              <w:t>%</w:t>
            </w:r>
          </w:p>
        </w:tc>
        <w:tc>
          <w:tcPr>
            <w:tcW w:w="833" w:type="pct"/>
            <w:vAlign w:val="center"/>
          </w:tcPr>
          <w:p w14:paraId="000C06C3">
            <w:pPr>
              <w:spacing w:line="240" w:lineRule="auto"/>
              <w:ind w:firstLine="0" w:firstLineChars="0"/>
              <w:jc w:val="center"/>
              <w:rPr>
                <w:rFonts w:hint="eastAsia" w:ascii="仿宋_GB2312" w:hAnsi="仿宋_GB2312" w:eastAsia="仿宋_GB2312" w:cs="仿宋_GB2312"/>
                <w:sz w:val="24"/>
                <w:szCs w:val="24"/>
                <w:highlight w:val="none"/>
              </w:rPr>
            </w:pPr>
            <w:r>
              <w:rPr>
                <w:rFonts w:hint="eastAsia" w:ascii="仿宋_GB2312" w:hAnsi="仿宋_GB2312" w:cs="仿宋_GB2312"/>
                <w:sz w:val="24"/>
                <w:szCs w:val="24"/>
                <w:highlight w:val="none"/>
                <w:lang w:val="en-US" w:eastAsia="zh-CN"/>
              </w:rPr>
              <w:t>70</w:t>
            </w:r>
            <w:r>
              <w:rPr>
                <w:rFonts w:hint="eastAsia" w:ascii="仿宋_GB2312" w:hAnsi="仿宋_GB2312" w:eastAsia="仿宋_GB2312" w:cs="仿宋_GB2312"/>
                <w:sz w:val="24"/>
                <w:szCs w:val="24"/>
                <w:highlight w:val="none"/>
              </w:rPr>
              <w:t>%</w:t>
            </w:r>
          </w:p>
        </w:tc>
        <w:tc>
          <w:tcPr>
            <w:tcW w:w="833" w:type="pct"/>
            <w:vAlign w:val="center"/>
          </w:tcPr>
          <w:p w14:paraId="628D7689">
            <w:pPr>
              <w:spacing w:line="240" w:lineRule="auto"/>
              <w:ind w:firstLine="0" w:firstLineChars="0"/>
              <w:jc w:val="center"/>
              <w:rPr>
                <w:rFonts w:hint="eastAsia" w:ascii="仿宋_GB2312" w:hAnsi="仿宋_GB2312" w:eastAsia="仿宋_GB2312" w:cs="仿宋_GB2312"/>
                <w:sz w:val="24"/>
                <w:szCs w:val="24"/>
                <w:highlight w:val="none"/>
              </w:rPr>
            </w:pPr>
            <w:r>
              <w:rPr>
                <w:rFonts w:hint="eastAsia" w:ascii="仿宋_GB2312" w:hAnsi="仿宋_GB2312" w:cs="仿宋_GB2312"/>
                <w:sz w:val="24"/>
                <w:szCs w:val="24"/>
                <w:highlight w:val="none"/>
                <w:lang w:val="en-US" w:eastAsia="zh-CN"/>
              </w:rPr>
              <w:t>60</w:t>
            </w:r>
            <w:r>
              <w:rPr>
                <w:rFonts w:hint="eastAsia" w:ascii="仿宋_GB2312" w:hAnsi="仿宋_GB2312" w:eastAsia="仿宋_GB2312" w:cs="仿宋_GB2312"/>
                <w:sz w:val="24"/>
                <w:szCs w:val="24"/>
                <w:highlight w:val="none"/>
              </w:rPr>
              <w:t>%</w:t>
            </w:r>
          </w:p>
        </w:tc>
        <w:tc>
          <w:tcPr>
            <w:tcW w:w="833" w:type="pct"/>
            <w:vAlign w:val="center"/>
          </w:tcPr>
          <w:p w14:paraId="531A5A38">
            <w:pPr>
              <w:spacing w:line="240" w:lineRule="auto"/>
              <w:ind w:firstLine="0" w:firstLineChars="0"/>
              <w:jc w:val="center"/>
              <w:rPr>
                <w:rFonts w:hint="eastAsia" w:ascii="仿宋_GB2312" w:hAnsi="仿宋_GB2312" w:eastAsia="仿宋_GB2312" w:cs="仿宋_GB2312"/>
                <w:sz w:val="24"/>
                <w:szCs w:val="24"/>
                <w:highlight w:val="none"/>
              </w:rPr>
            </w:pPr>
            <w:r>
              <w:rPr>
                <w:rFonts w:hint="eastAsia" w:ascii="仿宋_GB2312" w:hAnsi="仿宋_GB2312" w:cs="仿宋_GB2312"/>
                <w:sz w:val="24"/>
                <w:szCs w:val="24"/>
                <w:highlight w:val="none"/>
                <w:lang w:val="en-US" w:eastAsia="zh-CN"/>
              </w:rPr>
              <w:t>53.33</w:t>
            </w:r>
            <w:r>
              <w:rPr>
                <w:rFonts w:hint="eastAsia" w:ascii="仿宋_GB2312" w:hAnsi="仿宋_GB2312" w:eastAsia="仿宋_GB2312" w:cs="仿宋_GB2312"/>
                <w:sz w:val="24"/>
                <w:szCs w:val="24"/>
                <w:highlight w:val="none"/>
              </w:rPr>
              <w:t>%</w:t>
            </w:r>
          </w:p>
        </w:tc>
        <w:tc>
          <w:tcPr>
            <w:tcW w:w="833" w:type="pct"/>
            <w:vAlign w:val="center"/>
          </w:tcPr>
          <w:p w14:paraId="7F104432">
            <w:pPr>
              <w:spacing w:line="240" w:lineRule="auto"/>
              <w:ind w:firstLine="0" w:firstLineChars="0"/>
              <w:jc w:val="center"/>
              <w:rPr>
                <w:rFonts w:hint="eastAsia" w:ascii="仿宋_GB2312" w:hAnsi="仿宋_GB2312" w:eastAsia="仿宋_GB2312" w:cs="仿宋_GB2312"/>
                <w:sz w:val="24"/>
                <w:szCs w:val="24"/>
                <w:highlight w:val="none"/>
              </w:rPr>
            </w:pPr>
            <w:r>
              <w:rPr>
                <w:rFonts w:hint="eastAsia" w:ascii="仿宋_GB2312" w:hAnsi="仿宋_GB2312" w:cs="仿宋_GB2312"/>
                <w:sz w:val="24"/>
                <w:szCs w:val="24"/>
                <w:highlight w:val="none"/>
                <w:lang w:val="en-US" w:eastAsia="zh-CN"/>
              </w:rPr>
              <w:t>66</w:t>
            </w:r>
            <w:r>
              <w:rPr>
                <w:rFonts w:hint="eastAsia" w:ascii="仿宋_GB2312" w:hAnsi="仿宋_GB2312" w:eastAsia="仿宋_GB2312" w:cs="仿宋_GB2312"/>
                <w:sz w:val="24"/>
                <w:szCs w:val="24"/>
                <w:highlight w:val="none"/>
              </w:rPr>
              <w:t>%</w:t>
            </w:r>
          </w:p>
        </w:tc>
      </w:tr>
    </w:tbl>
    <w:p w14:paraId="4CDA393F">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项目整体完成情况较好，项目立项依据充分、立项程序规范、绩效目标合理、预算编制科学、资金分配合理、资金到位率</w:t>
      </w:r>
      <w:r>
        <w:rPr>
          <w:rFonts w:hint="eastAsia" w:ascii="仿宋_GB2312" w:hAnsi="仿宋_GB2312" w:cs="仿宋_GB2312"/>
          <w:lang w:val="en-US" w:eastAsia="zh-CN"/>
        </w:rPr>
        <w:t>为100%</w:t>
      </w:r>
      <w:r>
        <w:rPr>
          <w:rFonts w:hint="eastAsia" w:ascii="仿宋_GB2312" w:hAnsi="仿宋_GB2312" w:eastAsia="仿宋_GB2312" w:cs="仿宋_GB2312"/>
          <w:lang w:val="en-US" w:eastAsia="zh-CN"/>
        </w:rPr>
        <w:t>、预算执行率</w:t>
      </w:r>
      <w:r>
        <w:rPr>
          <w:rFonts w:hint="eastAsia" w:ascii="仿宋_GB2312" w:hAnsi="仿宋_GB2312" w:cs="仿宋_GB2312"/>
          <w:lang w:val="en-US" w:eastAsia="zh-CN"/>
        </w:rPr>
        <w:t>100%</w:t>
      </w:r>
      <w:r>
        <w:rPr>
          <w:rFonts w:hint="eastAsia" w:ascii="仿宋_GB2312" w:hAnsi="仿宋_GB2312" w:eastAsia="仿宋_GB2312" w:cs="仿宋_GB2312"/>
          <w:lang w:val="en-US" w:eastAsia="zh-CN"/>
        </w:rPr>
        <w:t>、资金使用合规、管理制度</w:t>
      </w:r>
      <w:r>
        <w:rPr>
          <w:rFonts w:hint="eastAsia" w:ascii="仿宋_GB2312" w:hAnsi="仿宋_GB2312" w:cs="仿宋_GB2312"/>
          <w:lang w:val="en-US" w:eastAsia="zh-CN"/>
        </w:rPr>
        <w:t>较</w:t>
      </w:r>
      <w:r>
        <w:rPr>
          <w:rFonts w:hint="eastAsia" w:ascii="仿宋_GB2312" w:hAnsi="仿宋_GB2312" w:eastAsia="仿宋_GB2312" w:cs="仿宋_GB2312"/>
          <w:lang w:val="en-US" w:eastAsia="zh-CN"/>
        </w:rPr>
        <w:t>健全、产出数量和质量完成较好，制度执行有效</w:t>
      </w:r>
      <w:r>
        <w:rPr>
          <w:rFonts w:hint="eastAsia" w:ascii="仿宋_GB2312" w:hAnsi="仿宋_GB2312" w:cs="仿宋_GB2312"/>
          <w:lang w:val="en-US" w:eastAsia="zh-CN"/>
        </w:rPr>
        <w:t>差，</w:t>
      </w:r>
      <w:r>
        <w:rPr>
          <w:rFonts w:hint="eastAsia" w:ascii="仿宋_GB2312" w:hAnsi="仿宋_GB2312" w:eastAsia="仿宋_GB2312" w:cs="仿宋_GB2312"/>
          <w:lang w:val="en-US" w:eastAsia="zh-CN"/>
        </w:rPr>
        <w:t>项目</w:t>
      </w:r>
      <w:r>
        <w:rPr>
          <w:rFonts w:hint="eastAsia" w:ascii="仿宋_GB2312" w:hAnsi="仿宋_GB2312" w:cs="仿宋_GB2312"/>
          <w:lang w:val="en-US" w:eastAsia="zh-CN"/>
        </w:rPr>
        <w:t>完工</w:t>
      </w:r>
      <w:r>
        <w:rPr>
          <w:rFonts w:hint="eastAsia" w:ascii="仿宋_GB2312" w:hAnsi="仿宋_GB2312" w:eastAsia="仿宋_GB2312" w:cs="仿宋_GB2312"/>
          <w:lang w:val="en-US" w:eastAsia="zh-CN"/>
        </w:rPr>
        <w:t>时间和</w:t>
      </w:r>
      <w:r>
        <w:rPr>
          <w:rFonts w:hint="eastAsia" w:ascii="仿宋_GB2312" w:hAnsi="仿宋_GB2312" w:cs="仿宋_GB2312"/>
          <w:lang w:val="en-US" w:eastAsia="zh-CN"/>
        </w:rPr>
        <w:t>验收</w:t>
      </w:r>
      <w:r>
        <w:rPr>
          <w:rFonts w:hint="eastAsia" w:ascii="仿宋_GB2312" w:hAnsi="仿宋_GB2312" w:eastAsia="仿宋_GB2312" w:cs="仿宋_GB2312"/>
          <w:lang w:val="en-US" w:eastAsia="zh-CN"/>
        </w:rPr>
        <w:t>时间较差，</w:t>
      </w:r>
      <w:r>
        <w:rPr>
          <w:rFonts w:hint="eastAsia" w:ascii="仿宋_GB2312" w:hAnsi="仿宋_GB2312" w:cs="仿宋_GB2312"/>
          <w:lang w:val="en-US" w:eastAsia="zh-CN"/>
        </w:rPr>
        <w:t>但</w:t>
      </w:r>
      <w:r>
        <w:rPr>
          <w:rFonts w:hint="eastAsia" w:ascii="仿宋_GB2312" w:hAnsi="仿宋_GB2312" w:eastAsia="仿宋_GB2312" w:cs="仿宋_GB2312"/>
          <w:lang w:val="en-US" w:eastAsia="zh-CN"/>
        </w:rPr>
        <w:t>绩效指标</w:t>
      </w:r>
      <w:r>
        <w:rPr>
          <w:rFonts w:hint="eastAsia" w:ascii="仿宋_GB2312" w:hAnsi="仿宋_GB2312" w:cs="仿宋_GB2312"/>
          <w:lang w:val="en-US" w:eastAsia="zh-CN"/>
        </w:rPr>
        <w:t>不</w:t>
      </w:r>
      <w:r>
        <w:rPr>
          <w:rFonts w:hint="eastAsia" w:ascii="仿宋_GB2312" w:hAnsi="仿宋_GB2312" w:eastAsia="仿宋_GB2312" w:cs="仿宋_GB2312"/>
          <w:lang w:val="en-US" w:eastAsia="zh-CN"/>
        </w:rPr>
        <w:t>明确</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社会效益稍欠缺，原因为</w:t>
      </w:r>
      <w:r>
        <w:rPr>
          <w:rFonts w:hint="eastAsia" w:ascii="仿宋_GB2312" w:hAnsi="仿宋_GB2312" w:cs="仿宋_GB2312"/>
          <w:lang w:val="en-US" w:eastAsia="zh-CN"/>
        </w:rPr>
        <w:t>完工</w:t>
      </w:r>
      <w:r>
        <w:rPr>
          <w:rFonts w:hint="eastAsia" w:ascii="仿宋_GB2312" w:hAnsi="仿宋_GB2312" w:eastAsia="仿宋_GB2312" w:cs="仿宋_GB2312"/>
          <w:lang w:val="en-US" w:eastAsia="zh-CN"/>
        </w:rPr>
        <w:t>时间迟，施工时间长，</w:t>
      </w:r>
      <w:r>
        <w:rPr>
          <w:rFonts w:hint="eastAsia" w:ascii="仿宋_GB2312" w:hAnsi="仿宋_GB2312" w:cs="仿宋_GB2312"/>
          <w:lang w:val="en-US" w:eastAsia="zh-CN"/>
        </w:rPr>
        <w:t>工作人员</w:t>
      </w:r>
      <w:r>
        <w:rPr>
          <w:rFonts w:hint="eastAsia" w:ascii="仿宋_GB2312" w:hAnsi="仿宋_GB2312" w:eastAsia="仿宋_GB2312" w:cs="仿宋_GB2312"/>
          <w:lang w:val="en-US" w:eastAsia="zh-CN"/>
        </w:rPr>
        <w:t>满意度为</w:t>
      </w:r>
      <w:r>
        <w:rPr>
          <w:rFonts w:hint="eastAsia" w:ascii="仿宋_GB2312" w:hAnsi="仿宋_GB2312" w:cs="仿宋_GB2312"/>
          <w:lang w:val="en-US" w:eastAsia="zh-CN"/>
        </w:rPr>
        <w:t>68.69</w:t>
      </w:r>
      <w:r>
        <w:rPr>
          <w:rFonts w:hint="eastAsia" w:ascii="仿宋_GB2312" w:hAnsi="仿宋_GB2312" w:eastAsia="仿宋_GB2312" w:cs="仿宋_GB2312"/>
          <w:lang w:val="en-US" w:eastAsia="zh-CN"/>
        </w:rPr>
        <w:t>%。</w:t>
      </w:r>
    </w:p>
    <w:p w14:paraId="11E771CA">
      <w:pPr>
        <w:pStyle w:val="4"/>
        <w:ind w:firstLine="640"/>
        <w:rPr>
          <w:rFonts w:hint="default" w:ascii="仿宋_GB2312"/>
          <w:lang w:val="en-US" w:eastAsia="zh-CN"/>
        </w:rPr>
      </w:pPr>
      <w:bookmarkStart w:id="42" w:name="_Toc12726"/>
      <w:r>
        <w:rPr>
          <w:rFonts w:ascii="仿宋_GB2312"/>
          <w:lang w:val="en-US" w:eastAsia="zh-CN"/>
        </w:rPr>
        <w:t>（</w:t>
      </w:r>
      <w:r>
        <w:rPr>
          <w:rFonts w:hint="eastAsia" w:ascii="仿宋_GB2312"/>
          <w:lang w:val="en-US" w:eastAsia="zh-CN"/>
        </w:rPr>
        <w:t>二</w:t>
      </w:r>
      <w:r>
        <w:rPr>
          <w:rFonts w:ascii="仿宋_GB2312"/>
          <w:lang w:val="en-US" w:eastAsia="zh-CN"/>
        </w:rPr>
        <w:t>）</w:t>
      </w:r>
      <w:r>
        <w:rPr>
          <w:rFonts w:hint="eastAsia" w:ascii="仿宋_GB2312"/>
          <w:lang w:val="en-US" w:eastAsia="zh-CN"/>
        </w:rPr>
        <w:t>各项目评分结果</w:t>
      </w:r>
      <w:bookmarkEnd w:id="42"/>
    </w:p>
    <w:p w14:paraId="36C3CD47">
      <w:pPr>
        <w:ind w:firstLine="640"/>
        <w:rPr>
          <w:rFonts w:ascii="仿宋_GB2312"/>
        </w:rPr>
      </w:pPr>
      <w:r>
        <w:rPr>
          <w:rFonts w:hint="eastAsia" w:ascii="仿宋_GB2312"/>
        </w:rPr>
        <w:t>1.决策阶段（满分20分，考评得分1</w:t>
      </w:r>
      <w:r>
        <w:rPr>
          <w:rFonts w:hint="eastAsia" w:ascii="仿宋_GB2312"/>
          <w:lang w:val="en-US" w:eastAsia="zh-CN"/>
        </w:rPr>
        <w:t>8</w:t>
      </w:r>
      <w:r>
        <w:rPr>
          <w:rFonts w:hint="eastAsia" w:ascii="仿宋_GB2312"/>
        </w:rPr>
        <w:t>分）：</w:t>
      </w:r>
    </w:p>
    <w:p w14:paraId="3B9C0170">
      <w:pPr>
        <w:ind w:firstLine="640"/>
        <w:rPr>
          <w:rFonts w:ascii="仿宋_GB2312"/>
        </w:rPr>
      </w:pPr>
      <w:r>
        <w:rPr>
          <w:rFonts w:hint="eastAsia" w:ascii="仿宋_GB2312"/>
        </w:rPr>
        <w:t>项目立项依据、立项程序规范，资金分配合理性较好，绩效目标合理</w:t>
      </w:r>
      <w:r>
        <w:rPr>
          <w:rFonts w:hint="eastAsia" w:ascii="仿宋_GB2312"/>
          <w:lang w:eastAsia="zh-CN"/>
        </w:rPr>
        <w:t>，</w:t>
      </w:r>
      <w:r>
        <w:rPr>
          <w:rFonts w:hint="eastAsia" w:ascii="仿宋_GB2312"/>
        </w:rPr>
        <w:t>但绩效指标明确性较差。</w:t>
      </w:r>
    </w:p>
    <w:p w14:paraId="147A5D23">
      <w:pPr>
        <w:ind w:firstLine="640"/>
        <w:rPr>
          <w:rFonts w:ascii="仿宋_GB2312"/>
        </w:rPr>
      </w:pPr>
      <w:r>
        <w:rPr>
          <w:rFonts w:hint="eastAsia" w:ascii="仿宋_GB2312"/>
        </w:rPr>
        <w:t>2.过程阶段（满分20分，考评得分1</w:t>
      </w:r>
      <w:r>
        <w:rPr>
          <w:rFonts w:hint="eastAsia" w:ascii="仿宋_GB2312"/>
          <w:lang w:val="en-US" w:eastAsia="zh-CN"/>
        </w:rPr>
        <w:t>4</w:t>
      </w:r>
      <w:r>
        <w:rPr>
          <w:rFonts w:hint="eastAsia" w:ascii="仿宋_GB2312"/>
        </w:rPr>
        <w:t>分）：</w:t>
      </w:r>
    </w:p>
    <w:p w14:paraId="0AA6FD3F">
      <w:pPr>
        <w:ind w:firstLine="640"/>
        <w:rPr>
          <w:rFonts w:hint="eastAsia" w:ascii="仿宋_GB2312"/>
          <w:lang w:val="en-US" w:eastAsia="zh-CN"/>
        </w:rPr>
      </w:pPr>
      <w:r>
        <w:rPr>
          <w:rFonts w:hint="eastAsia" w:ascii="仿宋_GB2312"/>
        </w:rPr>
        <w:t>项目业务组织机构健全，</w:t>
      </w:r>
      <w:r>
        <w:rPr>
          <w:rFonts w:hint="eastAsia" w:ascii="仿宋_GB2312"/>
          <w:lang w:val="en-US" w:eastAsia="zh-CN"/>
        </w:rPr>
        <w:t>项目主管单位和施工单位管理</w:t>
      </w:r>
      <w:r>
        <w:rPr>
          <w:rFonts w:hint="eastAsia" w:ascii="仿宋_GB2312"/>
        </w:rPr>
        <w:t>制度</w:t>
      </w:r>
      <w:r>
        <w:rPr>
          <w:rFonts w:hint="eastAsia" w:ascii="仿宋_GB2312"/>
          <w:lang w:val="en-US" w:eastAsia="zh-CN"/>
        </w:rPr>
        <w:t>均健全</w:t>
      </w:r>
      <w:r>
        <w:rPr>
          <w:rFonts w:hint="eastAsia" w:ascii="仿宋_GB2312"/>
        </w:rPr>
        <w:t>、资金使用合规，资金到位率为100%</w:t>
      </w:r>
      <w:r>
        <w:rPr>
          <w:rFonts w:hint="eastAsia" w:ascii="仿宋_GB2312"/>
          <w:lang w:val="en-US" w:eastAsia="zh-CN"/>
        </w:rPr>
        <w:t>，但主管单位未设置《档案管理制度》。</w:t>
      </w:r>
    </w:p>
    <w:p w14:paraId="65340B22">
      <w:pPr>
        <w:ind w:firstLine="640"/>
        <w:rPr>
          <w:rFonts w:ascii="仿宋_GB2312"/>
        </w:rPr>
      </w:pPr>
      <w:r>
        <w:rPr>
          <w:rFonts w:hint="eastAsia" w:ascii="仿宋_GB2312"/>
        </w:rPr>
        <w:t>3.产出阶段（满分30分，考评</w:t>
      </w:r>
      <w:r>
        <w:rPr>
          <w:rFonts w:hint="eastAsia" w:ascii="仿宋_GB2312"/>
          <w:highlight w:val="none"/>
        </w:rPr>
        <w:t>得分</w:t>
      </w:r>
      <w:r>
        <w:rPr>
          <w:rFonts w:hint="eastAsia" w:ascii="仿宋_GB2312"/>
          <w:highlight w:val="none"/>
          <w:lang w:val="en-US" w:eastAsia="zh-CN"/>
        </w:rPr>
        <w:t>18</w:t>
      </w:r>
      <w:r>
        <w:rPr>
          <w:rFonts w:hint="eastAsia" w:ascii="仿宋_GB2312"/>
          <w:highlight w:val="none"/>
        </w:rPr>
        <w:t>分）：</w:t>
      </w:r>
    </w:p>
    <w:p w14:paraId="248F38EA">
      <w:pPr>
        <w:ind w:firstLine="640"/>
        <w:rPr>
          <w:rFonts w:ascii="仿宋_GB2312"/>
        </w:rPr>
      </w:pPr>
      <w:r>
        <w:rPr>
          <w:rFonts w:hint="eastAsia" w:ascii="仿宋_GB2312"/>
          <w:lang w:val="en-US" w:eastAsia="zh-CN"/>
        </w:rPr>
        <w:t>项目产出质量、数量、成本节约均较好，但时效性欠缺，项目完工和验收时间不及时</w:t>
      </w:r>
      <w:r>
        <w:rPr>
          <w:rFonts w:hint="eastAsia" w:ascii="仿宋_GB2312"/>
        </w:rPr>
        <w:t>。</w:t>
      </w:r>
    </w:p>
    <w:p w14:paraId="39528B45">
      <w:pPr>
        <w:ind w:firstLine="640"/>
        <w:rPr>
          <w:rFonts w:ascii="仿宋_GB2312"/>
        </w:rPr>
      </w:pPr>
      <w:r>
        <w:rPr>
          <w:rFonts w:hint="eastAsia" w:ascii="仿宋_GB2312"/>
        </w:rPr>
        <w:t>4.效益阶段（满分30分，考评得分</w:t>
      </w:r>
      <w:r>
        <w:rPr>
          <w:rFonts w:hint="eastAsia" w:ascii="仿宋_GB2312"/>
          <w:lang w:val="en-US" w:eastAsia="zh-CN"/>
        </w:rPr>
        <w:t>16</w:t>
      </w:r>
      <w:r>
        <w:rPr>
          <w:rFonts w:hint="eastAsia" w:ascii="仿宋_GB2312"/>
        </w:rPr>
        <w:t>分）：</w:t>
      </w:r>
    </w:p>
    <w:p w14:paraId="3AE6A4C0">
      <w:pPr>
        <w:ind w:firstLine="640"/>
        <w:rPr>
          <w:rFonts w:hint="default" w:ascii="仿宋_GB2312"/>
          <w:lang w:val="en-US"/>
        </w:rPr>
      </w:pPr>
      <w:r>
        <w:rPr>
          <w:rFonts w:hint="eastAsia" w:ascii="仿宋_GB2312"/>
          <w:lang w:val="en-US" w:eastAsia="zh-CN"/>
        </w:rPr>
        <w:t>项目</w:t>
      </w:r>
      <w:r>
        <w:rPr>
          <w:rFonts w:hint="eastAsia" w:ascii="仿宋_GB2312"/>
        </w:rPr>
        <w:t>可持续影响</w:t>
      </w:r>
      <w:r>
        <w:rPr>
          <w:rFonts w:hint="eastAsia" w:ascii="仿宋_GB2312"/>
          <w:lang w:val="en-US" w:eastAsia="zh-CN"/>
        </w:rPr>
        <w:t>均较好</w:t>
      </w:r>
      <w:r>
        <w:rPr>
          <w:rFonts w:hint="eastAsia" w:ascii="仿宋_GB2312"/>
          <w:lang w:eastAsia="zh-CN"/>
        </w:rPr>
        <w:t>，</w:t>
      </w:r>
      <w:r>
        <w:rPr>
          <w:rFonts w:hint="eastAsia" w:ascii="仿宋_GB2312"/>
          <w:lang w:val="en-US" w:eastAsia="zh-CN"/>
        </w:rPr>
        <w:t>但工作人员</w:t>
      </w:r>
      <w:r>
        <w:rPr>
          <w:rFonts w:hint="eastAsia" w:ascii="仿宋_GB2312"/>
        </w:rPr>
        <w:t>满意度</w:t>
      </w:r>
      <w:r>
        <w:rPr>
          <w:rFonts w:hint="eastAsia" w:ascii="仿宋_GB2312"/>
          <w:lang w:val="en-US" w:eastAsia="zh-CN"/>
        </w:rPr>
        <w:t>方面稍欠缺，主要原因为完工不及时，施工期间时间长，影响工作人员工作。</w:t>
      </w:r>
    </w:p>
    <w:p w14:paraId="2C82C3CC">
      <w:pPr>
        <w:pStyle w:val="3"/>
        <w:ind w:firstLine="640"/>
      </w:pPr>
      <w:bookmarkStart w:id="43" w:name="_Toc3760"/>
      <w:r>
        <w:rPr>
          <w:rFonts w:hint="eastAsia"/>
        </w:rPr>
        <w:t>四、绩效评价指标分析</w:t>
      </w:r>
      <w:bookmarkEnd w:id="43"/>
    </w:p>
    <w:p w14:paraId="311B7880">
      <w:pPr>
        <w:pStyle w:val="4"/>
        <w:ind w:firstLine="640"/>
        <w:rPr>
          <w:rFonts w:ascii="仿宋_GB2312"/>
        </w:rPr>
      </w:pPr>
      <w:bookmarkStart w:id="44" w:name="_Toc10896"/>
      <w:r>
        <w:rPr>
          <w:rFonts w:hint="eastAsia" w:ascii="仿宋_GB2312"/>
        </w:rPr>
        <w:t>（一）项目决策情况</w:t>
      </w:r>
      <w:bookmarkEnd w:id="44"/>
    </w:p>
    <w:p w14:paraId="7D882165">
      <w:pPr>
        <w:adjustRightInd w:val="0"/>
        <w:ind w:firstLine="640"/>
        <w:rPr>
          <w:rFonts w:ascii="仿宋_GB2312"/>
          <w:kern w:val="0"/>
          <w:szCs w:val="32"/>
        </w:rPr>
      </w:pPr>
      <w:r>
        <w:rPr>
          <w:rFonts w:hint="eastAsia" w:ascii="仿宋_GB2312"/>
        </w:rPr>
        <w:t>主要指标包括项目立项、绩效目标、资金投入三方面。决策：标准分20分，实际得分1</w:t>
      </w:r>
      <w:r>
        <w:rPr>
          <w:rFonts w:hint="eastAsia" w:ascii="仿宋_GB2312"/>
          <w:lang w:val="en-US" w:eastAsia="zh-CN"/>
        </w:rPr>
        <w:t>8</w:t>
      </w:r>
      <w:r>
        <w:rPr>
          <w:rFonts w:hint="eastAsia" w:ascii="仿宋_GB2312"/>
        </w:rPr>
        <w:t>分，得分率9</w:t>
      </w:r>
      <w:r>
        <w:rPr>
          <w:rFonts w:hint="eastAsia" w:ascii="仿宋_GB2312"/>
          <w:lang w:val="en-US" w:eastAsia="zh-CN"/>
        </w:rPr>
        <w:t>0</w:t>
      </w:r>
      <w:r>
        <w:rPr>
          <w:rFonts w:hint="eastAsia" w:ascii="仿宋_GB2312"/>
        </w:rPr>
        <w:t>%。详见</w:t>
      </w:r>
      <w:r>
        <w:rPr>
          <w:rFonts w:hint="eastAsia" w:ascii="仿宋_GB2312"/>
          <w:b/>
          <w:bCs/>
        </w:rPr>
        <w:t>表</w:t>
      </w:r>
      <w:r>
        <w:rPr>
          <w:rFonts w:hint="eastAsia" w:ascii="仿宋_GB2312"/>
          <w:b/>
          <w:bCs/>
          <w:kern w:val="0"/>
          <w:szCs w:val="32"/>
        </w:rPr>
        <w:t>4-1：</w:t>
      </w:r>
    </w:p>
    <w:p w14:paraId="1342D6A8">
      <w:pPr>
        <w:keepNext w:val="0"/>
        <w:keepLines w:val="0"/>
        <w:pageBreakBefore w:val="0"/>
        <w:widowControl w:val="0"/>
        <w:kinsoku/>
        <w:wordWrap/>
        <w:overflowPunct/>
        <w:topLinePunct w:val="0"/>
        <w:autoSpaceDE w:val="0"/>
        <w:autoSpaceDN w:val="0"/>
        <w:bidi w:val="0"/>
        <w:adjustRightInd w:val="0"/>
        <w:snapToGrid/>
        <w:spacing w:before="63" w:beforeLines="20" w:after="63" w:afterLines="20" w:line="500" w:lineRule="exact"/>
        <w:ind w:firstLine="0" w:firstLineChars="0"/>
        <w:jc w:val="both"/>
        <w:textAlignment w:val="auto"/>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 xml:space="preserve">表4-1  </w:t>
      </w:r>
      <w:r>
        <w:rPr>
          <w:rFonts w:hint="eastAsia" w:ascii="仿宋_GB2312" w:hAnsi="仿宋_GB2312" w:cs="仿宋_GB2312"/>
          <w:b/>
          <w:bCs/>
          <w:kern w:val="0"/>
          <w:sz w:val="28"/>
          <w:szCs w:val="28"/>
          <w:lang w:val="en-US" w:eastAsia="zh-CN"/>
        </w:rPr>
        <w:t xml:space="preserve">              </w:t>
      </w:r>
      <w:r>
        <w:rPr>
          <w:rFonts w:hint="eastAsia" w:ascii="仿宋_GB2312" w:hAnsi="仿宋_GB2312" w:eastAsia="仿宋_GB2312" w:cs="仿宋_GB2312"/>
          <w:b/>
          <w:bCs/>
          <w:kern w:val="0"/>
          <w:sz w:val="28"/>
          <w:szCs w:val="28"/>
        </w:rPr>
        <w:t xml:space="preserve"> 决策类指标体系表</w:t>
      </w:r>
    </w:p>
    <w:tbl>
      <w:tblPr>
        <w:tblStyle w:val="19"/>
        <w:tblW w:w="4997"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5"/>
        <w:gridCol w:w="1521"/>
        <w:gridCol w:w="2389"/>
        <w:gridCol w:w="677"/>
        <w:gridCol w:w="1057"/>
        <w:gridCol w:w="1214"/>
        <w:gridCol w:w="710"/>
      </w:tblGrid>
      <w:tr w14:paraId="3E3428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560" w:type="pct"/>
            <w:shd w:val="clear" w:color="auto" w:fill="CFCECE" w:themeFill="background2" w:themeFillShade="E5"/>
            <w:noWrap w:val="0"/>
            <w:vAlign w:val="center"/>
          </w:tcPr>
          <w:p w14:paraId="1C721B05">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一级指标</w:t>
            </w:r>
          </w:p>
        </w:tc>
        <w:tc>
          <w:tcPr>
            <w:tcW w:w="892" w:type="pct"/>
            <w:shd w:val="clear" w:color="auto" w:fill="CFCECE" w:themeFill="background2" w:themeFillShade="E5"/>
            <w:noWrap w:val="0"/>
            <w:vAlign w:val="center"/>
          </w:tcPr>
          <w:p w14:paraId="2C098FFD">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二级指标</w:t>
            </w:r>
          </w:p>
        </w:tc>
        <w:tc>
          <w:tcPr>
            <w:tcW w:w="1401" w:type="pct"/>
            <w:shd w:val="clear" w:color="auto" w:fill="CFCECE" w:themeFill="background2" w:themeFillShade="E5"/>
            <w:noWrap w:val="0"/>
            <w:vAlign w:val="center"/>
          </w:tcPr>
          <w:p w14:paraId="3C67D952">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三级指标</w:t>
            </w:r>
          </w:p>
        </w:tc>
        <w:tc>
          <w:tcPr>
            <w:tcW w:w="397" w:type="pct"/>
            <w:shd w:val="clear" w:color="auto" w:fill="CFCECE" w:themeFill="background2" w:themeFillShade="E5"/>
            <w:noWrap w:val="0"/>
            <w:vAlign w:val="center"/>
          </w:tcPr>
          <w:p w14:paraId="03375F5B">
            <w:pPr>
              <w:spacing w:line="240" w:lineRule="auto"/>
              <w:ind w:firstLine="0" w:firstLineChars="0"/>
              <w:jc w:val="center"/>
              <w:rPr>
                <w:rFonts w:hint="default" w:ascii="仿宋_GB2312" w:hAnsi="仿宋_GB2312" w:eastAsia="仿宋_GB2312" w:cs="仿宋_GB2312"/>
                <w:b/>
                <w:bCs/>
                <w:sz w:val="24"/>
                <w:lang w:val="en-US" w:eastAsia="zh-CN"/>
              </w:rPr>
            </w:pPr>
            <w:r>
              <w:rPr>
                <w:rFonts w:hint="eastAsia" w:ascii="仿宋_GB2312" w:hAnsi="仿宋_GB2312" w:cs="仿宋_GB2312"/>
                <w:b/>
                <w:bCs/>
                <w:sz w:val="24"/>
                <w:lang w:val="en-US" w:eastAsia="zh-CN"/>
              </w:rPr>
              <w:t>分值</w:t>
            </w:r>
          </w:p>
        </w:tc>
        <w:tc>
          <w:tcPr>
            <w:tcW w:w="620" w:type="pct"/>
            <w:shd w:val="clear" w:color="auto" w:fill="CFCECE" w:themeFill="background2" w:themeFillShade="E5"/>
            <w:noWrap w:val="0"/>
            <w:vAlign w:val="center"/>
          </w:tcPr>
          <w:p w14:paraId="05A34E21">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目标值</w:t>
            </w:r>
          </w:p>
        </w:tc>
        <w:tc>
          <w:tcPr>
            <w:tcW w:w="712" w:type="pct"/>
            <w:shd w:val="clear" w:color="auto" w:fill="CFCECE" w:themeFill="background2" w:themeFillShade="E5"/>
            <w:noWrap w:val="0"/>
            <w:vAlign w:val="center"/>
          </w:tcPr>
          <w:p w14:paraId="146CF68E">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业绩值</w:t>
            </w:r>
          </w:p>
        </w:tc>
        <w:tc>
          <w:tcPr>
            <w:tcW w:w="416" w:type="pct"/>
            <w:shd w:val="clear" w:color="auto" w:fill="CFCECE" w:themeFill="background2" w:themeFillShade="E5"/>
            <w:noWrap w:val="0"/>
            <w:vAlign w:val="center"/>
          </w:tcPr>
          <w:p w14:paraId="17EDF911">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得分</w:t>
            </w:r>
          </w:p>
        </w:tc>
      </w:tr>
      <w:tr w14:paraId="169565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60" w:type="pct"/>
            <w:vMerge w:val="restart"/>
            <w:noWrap w:val="0"/>
            <w:vAlign w:val="center"/>
          </w:tcPr>
          <w:p w14:paraId="4ECA5BF6">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A决策</w:t>
            </w:r>
          </w:p>
        </w:tc>
        <w:tc>
          <w:tcPr>
            <w:tcW w:w="892" w:type="pct"/>
            <w:vMerge w:val="restart"/>
            <w:noWrap w:val="0"/>
            <w:vAlign w:val="center"/>
          </w:tcPr>
          <w:p w14:paraId="4C007488">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A1项目立项</w:t>
            </w:r>
          </w:p>
        </w:tc>
        <w:tc>
          <w:tcPr>
            <w:tcW w:w="1401" w:type="pct"/>
            <w:noWrap w:val="0"/>
            <w:vAlign w:val="center"/>
          </w:tcPr>
          <w:p w14:paraId="47A4DF4B">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A11立项依据充分性</w:t>
            </w:r>
          </w:p>
        </w:tc>
        <w:tc>
          <w:tcPr>
            <w:tcW w:w="397" w:type="pct"/>
            <w:noWrap w:val="0"/>
            <w:vAlign w:val="center"/>
          </w:tcPr>
          <w:p w14:paraId="5CFA2857">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4</w:t>
            </w:r>
          </w:p>
        </w:tc>
        <w:tc>
          <w:tcPr>
            <w:tcW w:w="620" w:type="pct"/>
            <w:noWrap w:val="0"/>
            <w:vAlign w:val="center"/>
          </w:tcPr>
          <w:p w14:paraId="218DBBA1">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充分</w:t>
            </w:r>
          </w:p>
        </w:tc>
        <w:tc>
          <w:tcPr>
            <w:tcW w:w="712" w:type="pct"/>
            <w:noWrap w:val="0"/>
            <w:vAlign w:val="center"/>
          </w:tcPr>
          <w:p w14:paraId="0091A94E">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充分</w:t>
            </w:r>
          </w:p>
        </w:tc>
        <w:tc>
          <w:tcPr>
            <w:tcW w:w="416" w:type="pct"/>
            <w:noWrap w:val="0"/>
            <w:vAlign w:val="center"/>
          </w:tcPr>
          <w:p w14:paraId="2576093D">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4</w:t>
            </w:r>
          </w:p>
        </w:tc>
      </w:tr>
      <w:tr w14:paraId="68A408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60" w:type="pct"/>
            <w:vMerge w:val="continue"/>
            <w:noWrap w:val="0"/>
            <w:vAlign w:val="center"/>
          </w:tcPr>
          <w:p w14:paraId="652D0F3B">
            <w:pPr>
              <w:spacing w:line="240" w:lineRule="auto"/>
              <w:ind w:firstLine="0" w:firstLineChars="0"/>
              <w:jc w:val="center"/>
              <w:rPr>
                <w:rFonts w:hint="eastAsia" w:ascii="仿宋_GB2312" w:hAnsi="仿宋_GB2312" w:cs="仿宋_GB2312"/>
                <w:b w:val="0"/>
                <w:bCs w:val="0"/>
                <w:sz w:val="24"/>
              </w:rPr>
            </w:pPr>
          </w:p>
        </w:tc>
        <w:tc>
          <w:tcPr>
            <w:tcW w:w="892" w:type="pct"/>
            <w:vMerge w:val="continue"/>
            <w:noWrap w:val="0"/>
            <w:vAlign w:val="center"/>
          </w:tcPr>
          <w:p w14:paraId="4A814125">
            <w:pPr>
              <w:spacing w:line="240" w:lineRule="auto"/>
              <w:ind w:firstLine="0" w:firstLineChars="0"/>
              <w:jc w:val="center"/>
              <w:rPr>
                <w:rFonts w:hint="eastAsia" w:ascii="仿宋_GB2312" w:hAnsi="仿宋_GB2312" w:cs="仿宋_GB2312"/>
                <w:b w:val="0"/>
                <w:bCs w:val="0"/>
                <w:sz w:val="24"/>
              </w:rPr>
            </w:pPr>
          </w:p>
        </w:tc>
        <w:tc>
          <w:tcPr>
            <w:tcW w:w="1401" w:type="pct"/>
            <w:noWrap w:val="0"/>
            <w:vAlign w:val="center"/>
          </w:tcPr>
          <w:p w14:paraId="32756560">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A12立项程序规范性</w:t>
            </w:r>
          </w:p>
        </w:tc>
        <w:tc>
          <w:tcPr>
            <w:tcW w:w="397" w:type="pct"/>
            <w:noWrap w:val="0"/>
            <w:vAlign w:val="center"/>
          </w:tcPr>
          <w:p w14:paraId="2A5D8968">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3</w:t>
            </w:r>
          </w:p>
        </w:tc>
        <w:tc>
          <w:tcPr>
            <w:tcW w:w="620" w:type="pct"/>
            <w:noWrap w:val="0"/>
            <w:vAlign w:val="center"/>
          </w:tcPr>
          <w:p w14:paraId="33427ACB">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较规范</w:t>
            </w:r>
          </w:p>
        </w:tc>
        <w:tc>
          <w:tcPr>
            <w:tcW w:w="712" w:type="pct"/>
            <w:noWrap w:val="0"/>
            <w:vAlign w:val="center"/>
          </w:tcPr>
          <w:p w14:paraId="3ED942CA">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较规范</w:t>
            </w:r>
          </w:p>
        </w:tc>
        <w:tc>
          <w:tcPr>
            <w:tcW w:w="416" w:type="pct"/>
            <w:noWrap w:val="0"/>
            <w:vAlign w:val="center"/>
          </w:tcPr>
          <w:p w14:paraId="70DD4854">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3</w:t>
            </w:r>
          </w:p>
        </w:tc>
      </w:tr>
      <w:tr w14:paraId="10DCB7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60" w:type="pct"/>
            <w:vMerge w:val="continue"/>
            <w:noWrap w:val="0"/>
            <w:vAlign w:val="center"/>
          </w:tcPr>
          <w:p w14:paraId="507262F3">
            <w:pPr>
              <w:spacing w:line="240" w:lineRule="auto"/>
              <w:ind w:firstLine="0" w:firstLineChars="0"/>
              <w:jc w:val="center"/>
              <w:rPr>
                <w:rFonts w:hint="eastAsia" w:ascii="仿宋_GB2312" w:hAnsi="仿宋_GB2312" w:cs="仿宋_GB2312"/>
                <w:b w:val="0"/>
                <w:bCs w:val="0"/>
                <w:sz w:val="24"/>
              </w:rPr>
            </w:pPr>
          </w:p>
        </w:tc>
        <w:tc>
          <w:tcPr>
            <w:tcW w:w="892" w:type="pct"/>
            <w:vMerge w:val="restart"/>
            <w:noWrap w:val="0"/>
            <w:vAlign w:val="center"/>
          </w:tcPr>
          <w:p w14:paraId="6078A3E8">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A2绩效目标</w:t>
            </w:r>
          </w:p>
        </w:tc>
        <w:tc>
          <w:tcPr>
            <w:tcW w:w="1401" w:type="pct"/>
            <w:noWrap w:val="0"/>
            <w:vAlign w:val="center"/>
          </w:tcPr>
          <w:p w14:paraId="0749623B">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A21绩效目标合理性</w:t>
            </w:r>
          </w:p>
        </w:tc>
        <w:tc>
          <w:tcPr>
            <w:tcW w:w="397" w:type="pct"/>
            <w:noWrap w:val="0"/>
            <w:vAlign w:val="center"/>
          </w:tcPr>
          <w:p w14:paraId="665AD8FF">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4</w:t>
            </w:r>
          </w:p>
        </w:tc>
        <w:tc>
          <w:tcPr>
            <w:tcW w:w="620" w:type="pct"/>
            <w:noWrap w:val="0"/>
            <w:vAlign w:val="center"/>
          </w:tcPr>
          <w:p w14:paraId="4E53AC79">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合理</w:t>
            </w:r>
          </w:p>
        </w:tc>
        <w:tc>
          <w:tcPr>
            <w:tcW w:w="712" w:type="pct"/>
            <w:noWrap w:val="0"/>
            <w:vAlign w:val="center"/>
          </w:tcPr>
          <w:p w14:paraId="2276C4C7">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合理</w:t>
            </w:r>
          </w:p>
        </w:tc>
        <w:tc>
          <w:tcPr>
            <w:tcW w:w="416" w:type="pct"/>
            <w:noWrap w:val="0"/>
            <w:vAlign w:val="center"/>
          </w:tcPr>
          <w:p w14:paraId="67C6843E">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4</w:t>
            </w:r>
          </w:p>
        </w:tc>
      </w:tr>
      <w:tr w14:paraId="483220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60" w:type="pct"/>
            <w:vMerge w:val="continue"/>
            <w:noWrap w:val="0"/>
            <w:vAlign w:val="center"/>
          </w:tcPr>
          <w:p w14:paraId="67CFB375">
            <w:pPr>
              <w:spacing w:line="240" w:lineRule="auto"/>
              <w:ind w:firstLine="0" w:firstLineChars="0"/>
              <w:jc w:val="center"/>
              <w:rPr>
                <w:rFonts w:hint="eastAsia" w:ascii="仿宋_GB2312" w:hAnsi="仿宋_GB2312" w:cs="仿宋_GB2312"/>
                <w:b w:val="0"/>
                <w:bCs w:val="0"/>
                <w:sz w:val="24"/>
              </w:rPr>
            </w:pPr>
          </w:p>
        </w:tc>
        <w:tc>
          <w:tcPr>
            <w:tcW w:w="892" w:type="pct"/>
            <w:vMerge w:val="continue"/>
            <w:noWrap w:val="0"/>
            <w:vAlign w:val="center"/>
          </w:tcPr>
          <w:p w14:paraId="2CDE5EE2">
            <w:pPr>
              <w:spacing w:line="240" w:lineRule="auto"/>
              <w:ind w:firstLine="0" w:firstLineChars="0"/>
              <w:jc w:val="center"/>
              <w:rPr>
                <w:rFonts w:hint="eastAsia" w:ascii="仿宋_GB2312" w:hAnsi="仿宋_GB2312" w:cs="仿宋_GB2312"/>
                <w:b w:val="0"/>
                <w:bCs w:val="0"/>
                <w:sz w:val="24"/>
              </w:rPr>
            </w:pPr>
          </w:p>
        </w:tc>
        <w:tc>
          <w:tcPr>
            <w:tcW w:w="1401" w:type="pct"/>
            <w:noWrap w:val="0"/>
            <w:vAlign w:val="center"/>
          </w:tcPr>
          <w:p w14:paraId="21468D15">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A22绩效指标明确性</w:t>
            </w:r>
          </w:p>
        </w:tc>
        <w:tc>
          <w:tcPr>
            <w:tcW w:w="397" w:type="pct"/>
            <w:noWrap w:val="0"/>
            <w:vAlign w:val="center"/>
          </w:tcPr>
          <w:p w14:paraId="5715BD47">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3</w:t>
            </w:r>
          </w:p>
        </w:tc>
        <w:tc>
          <w:tcPr>
            <w:tcW w:w="620" w:type="pct"/>
            <w:noWrap w:val="0"/>
            <w:vAlign w:val="center"/>
          </w:tcPr>
          <w:p w14:paraId="76BD6C17">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明确</w:t>
            </w:r>
          </w:p>
        </w:tc>
        <w:tc>
          <w:tcPr>
            <w:tcW w:w="712" w:type="pct"/>
            <w:noWrap w:val="0"/>
            <w:vAlign w:val="center"/>
          </w:tcPr>
          <w:p w14:paraId="7FAEA94D">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不</w:t>
            </w:r>
            <w:r>
              <w:rPr>
                <w:rFonts w:hint="eastAsia" w:ascii="仿宋_GB2312" w:hAnsi="仿宋_GB2312" w:cs="仿宋_GB2312"/>
                <w:b w:val="0"/>
                <w:bCs w:val="0"/>
                <w:sz w:val="24"/>
              </w:rPr>
              <w:t>明确</w:t>
            </w:r>
          </w:p>
        </w:tc>
        <w:tc>
          <w:tcPr>
            <w:tcW w:w="416" w:type="pct"/>
            <w:noWrap w:val="0"/>
            <w:vAlign w:val="center"/>
          </w:tcPr>
          <w:p w14:paraId="1AF3A53F">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1</w:t>
            </w:r>
          </w:p>
        </w:tc>
      </w:tr>
      <w:tr w14:paraId="698334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60" w:type="pct"/>
            <w:vMerge w:val="continue"/>
            <w:noWrap w:val="0"/>
            <w:vAlign w:val="center"/>
          </w:tcPr>
          <w:p w14:paraId="3E14FA56">
            <w:pPr>
              <w:spacing w:line="240" w:lineRule="auto"/>
              <w:ind w:firstLine="0" w:firstLineChars="0"/>
              <w:jc w:val="center"/>
              <w:rPr>
                <w:rFonts w:hint="eastAsia" w:ascii="仿宋_GB2312" w:hAnsi="仿宋_GB2312" w:cs="仿宋_GB2312"/>
                <w:b w:val="0"/>
                <w:bCs w:val="0"/>
                <w:sz w:val="24"/>
              </w:rPr>
            </w:pPr>
          </w:p>
        </w:tc>
        <w:tc>
          <w:tcPr>
            <w:tcW w:w="892" w:type="pct"/>
            <w:vMerge w:val="restart"/>
            <w:noWrap w:val="0"/>
            <w:vAlign w:val="center"/>
          </w:tcPr>
          <w:p w14:paraId="20AA6D29">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A3资金投入</w:t>
            </w:r>
          </w:p>
        </w:tc>
        <w:tc>
          <w:tcPr>
            <w:tcW w:w="1401" w:type="pct"/>
            <w:noWrap w:val="0"/>
            <w:vAlign w:val="center"/>
          </w:tcPr>
          <w:p w14:paraId="58E644BF">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A31预算编制科学性</w:t>
            </w:r>
          </w:p>
        </w:tc>
        <w:tc>
          <w:tcPr>
            <w:tcW w:w="397" w:type="pct"/>
            <w:noWrap w:val="0"/>
            <w:vAlign w:val="center"/>
          </w:tcPr>
          <w:p w14:paraId="724B89DA">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2</w:t>
            </w:r>
          </w:p>
        </w:tc>
        <w:tc>
          <w:tcPr>
            <w:tcW w:w="620" w:type="pct"/>
            <w:noWrap w:val="0"/>
            <w:vAlign w:val="center"/>
          </w:tcPr>
          <w:p w14:paraId="6D65B742">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科学</w:t>
            </w:r>
          </w:p>
        </w:tc>
        <w:tc>
          <w:tcPr>
            <w:tcW w:w="712" w:type="pct"/>
            <w:noWrap w:val="0"/>
            <w:vAlign w:val="center"/>
          </w:tcPr>
          <w:p w14:paraId="2C02B732">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科学</w:t>
            </w:r>
          </w:p>
        </w:tc>
        <w:tc>
          <w:tcPr>
            <w:tcW w:w="416" w:type="pct"/>
            <w:noWrap w:val="0"/>
            <w:vAlign w:val="center"/>
          </w:tcPr>
          <w:p w14:paraId="57B2EC1A">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2</w:t>
            </w:r>
          </w:p>
        </w:tc>
      </w:tr>
      <w:tr w14:paraId="6F22BA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60" w:type="pct"/>
            <w:vMerge w:val="continue"/>
            <w:noWrap w:val="0"/>
            <w:vAlign w:val="center"/>
          </w:tcPr>
          <w:p w14:paraId="24E0C241">
            <w:pPr>
              <w:spacing w:line="240" w:lineRule="auto"/>
              <w:ind w:firstLine="0" w:firstLineChars="0"/>
              <w:jc w:val="center"/>
              <w:rPr>
                <w:rFonts w:hint="eastAsia" w:ascii="仿宋_GB2312" w:hAnsi="仿宋_GB2312" w:cs="仿宋_GB2312"/>
                <w:b w:val="0"/>
                <w:bCs w:val="0"/>
                <w:sz w:val="24"/>
              </w:rPr>
            </w:pPr>
          </w:p>
        </w:tc>
        <w:tc>
          <w:tcPr>
            <w:tcW w:w="892" w:type="pct"/>
            <w:vMerge w:val="continue"/>
            <w:noWrap w:val="0"/>
            <w:vAlign w:val="center"/>
          </w:tcPr>
          <w:p w14:paraId="5BA873C8">
            <w:pPr>
              <w:spacing w:line="240" w:lineRule="auto"/>
              <w:ind w:firstLine="0" w:firstLineChars="0"/>
              <w:jc w:val="center"/>
              <w:rPr>
                <w:rFonts w:hint="eastAsia" w:ascii="仿宋_GB2312" w:hAnsi="仿宋_GB2312" w:cs="仿宋_GB2312"/>
                <w:b w:val="0"/>
                <w:bCs w:val="0"/>
                <w:sz w:val="24"/>
              </w:rPr>
            </w:pPr>
          </w:p>
        </w:tc>
        <w:tc>
          <w:tcPr>
            <w:tcW w:w="1401" w:type="pct"/>
            <w:noWrap w:val="0"/>
            <w:vAlign w:val="center"/>
          </w:tcPr>
          <w:p w14:paraId="028656C3">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A32资金分配合理性</w:t>
            </w:r>
          </w:p>
        </w:tc>
        <w:tc>
          <w:tcPr>
            <w:tcW w:w="397" w:type="pct"/>
            <w:noWrap w:val="0"/>
            <w:vAlign w:val="center"/>
          </w:tcPr>
          <w:p w14:paraId="6AA91356">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4</w:t>
            </w:r>
          </w:p>
        </w:tc>
        <w:tc>
          <w:tcPr>
            <w:tcW w:w="620" w:type="pct"/>
            <w:noWrap w:val="0"/>
            <w:vAlign w:val="center"/>
          </w:tcPr>
          <w:p w14:paraId="295B5766">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合理</w:t>
            </w:r>
          </w:p>
        </w:tc>
        <w:tc>
          <w:tcPr>
            <w:tcW w:w="712" w:type="pct"/>
            <w:noWrap w:val="0"/>
            <w:vAlign w:val="center"/>
          </w:tcPr>
          <w:p w14:paraId="24CB7CE5">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合理</w:t>
            </w:r>
          </w:p>
        </w:tc>
        <w:tc>
          <w:tcPr>
            <w:tcW w:w="416" w:type="pct"/>
            <w:noWrap w:val="0"/>
            <w:vAlign w:val="center"/>
          </w:tcPr>
          <w:p w14:paraId="391D3446">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4</w:t>
            </w:r>
          </w:p>
        </w:tc>
      </w:tr>
      <w:tr w14:paraId="394A7E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60" w:type="pct"/>
            <w:noWrap w:val="0"/>
            <w:vAlign w:val="center"/>
          </w:tcPr>
          <w:p w14:paraId="7003504C">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bCs/>
                <w:sz w:val="24"/>
              </w:rPr>
              <w:t>合计</w:t>
            </w:r>
          </w:p>
        </w:tc>
        <w:tc>
          <w:tcPr>
            <w:tcW w:w="892" w:type="pct"/>
            <w:noWrap w:val="0"/>
            <w:vAlign w:val="center"/>
          </w:tcPr>
          <w:p w14:paraId="1C2445D6">
            <w:pPr>
              <w:spacing w:line="240" w:lineRule="auto"/>
              <w:ind w:firstLine="0" w:firstLineChars="0"/>
              <w:jc w:val="center"/>
              <w:rPr>
                <w:rFonts w:hint="eastAsia" w:ascii="仿宋_GB2312" w:hAnsi="仿宋_GB2312" w:cs="仿宋_GB2312"/>
                <w:b w:val="0"/>
                <w:bCs w:val="0"/>
                <w:sz w:val="24"/>
              </w:rPr>
            </w:pPr>
          </w:p>
        </w:tc>
        <w:tc>
          <w:tcPr>
            <w:tcW w:w="1401" w:type="pct"/>
            <w:noWrap w:val="0"/>
            <w:vAlign w:val="center"/>
          </w:tcPr>
          <w:p w14:paraId="7A66E122">
            <w:pPr>
              <w:spacing w:line="240" w:lineRule="auto"/>
              <w:ind w:firstLine="0" w:firstLineChars="0"/>
              <w:jc w:val="center"/>
              <w:rPr>
                <w:rFonts w:hint="eastAsia" w:ascii="仿宋_GB2312" w:hAnsi="仿宋_GB2312" w:cs="仿宋_GB2312"/>
                <w:b w:val="0"/>
                <w:bCs w:val="0"/>
                <w:sz w:val="24"/>
              </w:rPr>
            </w:pPr>
          </w:p>
        </w:tc>
        <w:tc>
          <w:tcPr>
            <w:tcW w:w="397" w:type="pct"/>
            <w:noWrap w:val="0"/>
            <w:vAlign w:val="center"/>
          </w:tcPr>
          <w:p w14:paraId="1AFEB20B">
            <w:pPr>
              <w:spacing w:line="240" w:lineRule="auto"/>
              <w:ind w:firstLine="0" w:firstLineChars="0"/>
              <w:jc w:val="center"/>
              <w:rPr>
                <w:rFonts w:hint="default"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20</w:t>
            </w:r>
          </w:p>
        </w:tc>
        <w:tc>
          <w:tcPr>
            <w:tcW w:w="620" w:type="pct"/>
            <w:noWrap w:val="0"/>
            <w:vAlign w:val="center"/>
          </w:tcPr>
          <w:p w14:paraId="042411CE">
            <w:pPr>
              <w:spacing w:line="240" w:lineRule="auto"/>
              <w:ind w:firstLine="0" w:firstLineChars="0"/>
              <w:jc w:val="center"/>
              <w:rPr>
                <w:rFonts w:hint="eastAsia" w:ascii="仿宋_GB2312" w:hAnsi="仿宋_GB2312" w:cs="仿宋_GB2312"/>
                <w:b w:val="0"/>
                <w:bCs w:val="0"/>
                <w:sz w:val="24"/>
              </w:rPr>
            </w:pPr>
          </w:p>
        </w:tc>
        <w:tc>
          <w:tcPr>
            <w:tcW w:w="712" w:type="pct"/>
            <w:noWrap w:val="0"/>
            <w:vAlign w:val="center"/>
          </w:tcPr>
          <w:p w14:paraId="10C6E379">
            <w:pPr>
              <w:spacing w:line="240" w:lineRule="auto"/>
              <w:ind w:firstLine="0" w:firstLineChars="0"/>
              <w:jc w:val="center"/>
              <w:rPr>
                <w:rFonts w:hint="eastAsia" w:ascii="仿宋_GB2312" w:hAnsi="仿宋_GB2312" w:cs="仿宋_GB2312"/>
                <w:b w:val="0"/>
                <w:bCs w:val="0"/>
                <w:sz w:val="24"/>
              </w:rPr>
            </w:pPr>
          </w:p>
        </w:tc>
        <w:tc>
          <w:tcPr>
            <w:tcW w:w="416" w:type="pct"/>
            <w:noWrap w:val="0"/>
            <w:vAlign w:val="center"/>
          </w:tcPr>
          <w:p w14:paraId="23841441">
            <w:pPr>
              <w:spacing w:line="240" w:lineRule="auto"/>
              <w:ind w:firstLine="0" w:firstLineChars="0"/>
              <w:jc w:val="center"/>
              <w:rPr>
                <w:rFonts w:hint="default"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18</w:t>
            </w:r>
          </w:p>
        </w:tc>
      </w:tr>
    </w:tbl>
    <w:p w14:paraId="4BD2A2A7">
      <w:pPr>
        <w:keepNext w:val="0"/>
        <w:keepLines w:val="0"/>
        <w:pageBreakBefore w:val="0"/>
        <w:widowControl w:val="0"/>
        <w:numPr>
          <w:ilvl w:val="0"/>
          <w:numId w:val="0"/>
        </w:numPr>
        <w:kinsoku/>
        <w:wordWrap/>
        <w:overflowPunct/>
        <w:topLinePunct w:val="0"/>
        <w:autoSpaceDE w:val="0"/>
        <w:autoSpaceDN w:val="0"/>
        <w:bidi w:val="0"/>
        <w:adjustRightInd w:val="0"/>
        <w:snapToGrid/>
        <w:ind w:firstLine="643" w:firstLineChars="200"/>
        <w:textAlignment w:val="auto"/>
        <w:outlineLvl w:val="9"/>
        <w:rPr>
          <w:b/>
          <w:bCs/>
          <w:kern w:val="0"/>
          <w:szCs w:val="32"/>
        </w:rPr>
      </w:pPr>
      <w:r>
        <w:rPr>
          <w:rFonts w:hint="eastAsia"/>
          <w:b/>
          <w:bCs/>
          <w:kern w:val="0"/>
          <w:szCs w:val="32"/>
          <w:lang w:val="en-US" w:eastAsia="zh-CN"/>
        </w:rPr>
        <w:t>1.</w:t>
      </w:r>
      <w:r>
        <w:rPr>
          <w:rFonts w:hint="eastAsia"/>
          <w:b/>
          <w:bCs/>
          <w:kern w:val="0"/>
          <w:szCs w:val="32"/>
        </w:rPr>
        <w:t>项目立项情况分析</w:t>
      </w:r>
    </w:p>
    <w:p w14:paraId="30FB4302">
      <w:pPr>
        <w:ind w:firstLine="640"/>
        <w:rPr>
          <w:rFonts w:ascii="仿宋_GB2312"/>
          <w:b/>
          <w:bCs/>
        </w:rPr>
      </w:pPr>
      <w:r>
        <w:rPr>
          <w:rFonts w:hint="eastAsia" w:ascii="仿宋_GB2312"/>
          <w:b/>
          <w:bCs/>
          <w:lang w:val="en-US" w:eastAsia="zh-CN"/>
        </w:rPr>
        <w:t>A11</w:t>
      </w:r>
      <w:r>
        <w:rPr>
          <w:rFonts w:hint="eastAsia" w:ascii="仿宋_GB2312"/>
          <w:b/>
          <w:bCs/>
        </w:rPr>
        <w:t>立项依据充分性：满分4分，得分4分。</w:t>
      </w:r>
    </w:p>
    <w:p w14:paraId="5AFAC063">
      <w:pPr>
        <w:ind w:firstLine="640"/>
        <w:rPr>
          <w:rFonts w:ascii="仿宋_GB2312"/>
        </w:rPr>
      </w:pPr>
      <w:r>
        <w:rPr>
          <w:rFonts w:hint="eastAsia" w:ascii="仿宋_GB2312"/>
        </w:rPr>
        <w:t>本指标考核项目立项是否符合法律法规、相关政策、发展规划以及部门职责，用以反映和考核项目立项依据情况。</w:t>
      </w:r>
    </w:p>
    <w:p w14:paraId="0D32907E">
      <w:pPr>
        <w:numPr>
          <w:ilvl w:val="0"/>
          <w:numId w:val="0"/>
        </w:numPr>
        <w:ind w:firstLine="640" w:firstLineChars="200"/>
        <w:rPr>
          <w:rFonts w:ascii="仿宋_GB2312"/>
        </w:rPr>
      </w:pPr>
      <w:r>
        <w:rPr>
          <w:rFonts w:hint="eastAsia" w:ascii="仿宋_GB2312"/>
        </w:rPr>
        <w:t>根据</w:t>
      </w:r>
      <w:r>
        <w:rPr>
          <w:rFonts w:hint="eastAsia" w:ascii="仿宋_GB2312"/>
          <w:lang w:val="en-US" w:eastAsia="zh-CN"/>
        </w:rPr>
        <w:t>评价组梳理资料可得，中国共产党古县委员会依据《中国共产党党校工作条例》(中发〔2008〕13号)；《关于加强和改进新形势下党校工作的实施意见》(临发〔2016〕23号);《关于加强全市县党级党校工作的实施意见》(临办发〔2013〕8号)、《中共古县县委党校改扩建项目实施方案会议纪要》2019年5月13日</w:t>
      </w:r>
      <w:r>
        <w:rPr>
          <w:rFonts w:hint="eastAsia" w:ascii="仿宋_GB2312"/>
        </w:rPr>
        <w:t>等文件的要求</w:t>
      </w:r>
      <w:r>
        <w:rPr>
          <w:rFonts w:hint="eastAsia" w:ascii="仿宋_GB2312"/>
          <w:lang w:eastAsia="zh-CN"/>
        </w:rPr>
        <w:t>，</w:t>
      </w:r>
      <w:r>
        <w:rPr>
          <w:rFonts w:hint="eastAsia" w:ascii="仿宋_GB2312"/>
        </w:rPr>
        <w:t>进行</w:t>
      </w:r>
      <w:r>
        <w:rPr>
          <w:rFonts w:hint="eastAsia" w:ascii="仿宋_GB2312"/>
          <w:lang w:val="en-US" w:eastAsia="zh-CN"/>
        </w:rPr>
        <w:t>了古县县委党校改扩建项目</w:t>
      </w:r>
      <w:r>
        <w:rPr>
          <w:rFonts w:hint="eastAsia" w:ascii="仿宋_GB2312"/>
        </w:rPr>
        <w:t>工作的开展，项目立项依据充分，且属于部门履职所需，未与部门内部相关项目重复。项目属于公共财政支持范围，符合中央、地方事权支出责任划分原则；且与相关部门同类项目或部门内部相关项目不重复。</w:t>
      </w:r>
    </w:p>
    <w:p w14:paraId="71FB960B">
      <w:pPr>
        <w:ind w:firstLine="640"/>
        <w:rPr>
          <w:rFonts w:ascii="仿宋_GB2312"/>
        </w:rPr>
      </w:pPr>
      <w:r>
        <w:rPr>
          <w:rFonts w:hint="eastAsia" w:ascii="仿宋_GB2312"/>
        </w:rPr>
        <w:t>根据评分标准：</w:t>
      </w:r>
      <w:r>
        <w:rPr>
          <w:rFonts w:hint="eastAsia" w:ascii="仿宋_GB2312"/>
          <w:lang w:val="en-US" w:eastAsia="zh-CN"/>
        </w:rPr>
        <w:t>满分4分，得分4分</w:t>
      </w:r>
      <w:r>
        <w:rPr>
          <w:rFonts w:hint="eastAsia" w:ascii="仿宋_GB2312"/>
        </w:rPr>
        <w:t>。</w:t>
      </w:r>
    </w:p>
    <w:p w14:paraId="446F49A2">
      <w:pPr>
        <w:ind w:firstLine="643"/>
        <w:rPr>
          <w:rFonts w:ascii="仿宋_GB2312"/>
          <w:kern w:val="0"/>
          <w:szCs w:val="32"/>
          <w:lang w:val="zh-CN"/>
        </w:rPr>
      </w:pPr>
      <w:r>
        <w:rPr>
          <w:rFonts w:hint="eastAsia" w:ascii="仿宋_GB2312"/>
          <w:b/>
          <w:bCs/>
          <w:kern w:val="0"/>
          <w:szCs w:val="32"/>
          <w:lang w:val="en-US" w:eastAsia="zh-CN"/>
        </w:rPr>
        <w:t>A12</w:t>
      </w:r>
      <w:r>
        <w:rPr>
          <w:rFonts w:hint="eastAsia" w:ascii="仿宋_GB2312"/>
          <w:b/>
          <w:bCs/>
          <w:kern w:val="0"/>
          <w:szCs w:val="32"/>
        </w:rPr>
        <w:t>立项程序规范性</w:t>
      </w:r>
      <w:r>
        <w:rPr>
          <w:rFonts w:hint="eastAsia" w:ascii="仿宋_GB2312"/>
          <w:b/>
          <w:bCs/>
          <w:kern w:val="0"/>
          <w:szCs w:val="32"/>
          <w:lang w:val="zh-CN"/>
        </w:rPr>
        <w:t>：满分</w:t>
      </w:r>
      <w:r>
        <w:rPr>
          <w:rFonts w:hint="eastAsia" w:ascii="仿宋_GB2312"/>
          <w:b/>
          <w:bCs/>
          <w:kern w:val="0"/>
          <w:szCs w:val="32"/>
        </w:rPr>
        <w:t>3</w:t>
      </w:r>
      <w:r>
        <w:rPr>
          <w:rFonts w:hint="eastAsia" w:ascii="仿宋_GB2312"/>
          <w:b/>
          <w:bCs/>
          <w:kern w:val="0"/>
          <w:szCs w:val="32"/>
          <w:lang w:val="zh-CN"/>
        </w:rPr>
        <w:t>分，得分</w:t>
      </w:r>
      <w:r>
        <w:rPr>
          <w:rFonts w:hint="eastAsia" w:ascii="仿宋_GB2312"/>
          <w:b/>
          <w:bCs/>
          <w:kern w:val="0"/>
          <w:szCs w:val="32"/>
        </w:rPr>
        <w:t>3</w:t>
      </w:r>
      <w:r>
        <w:rPr>
          <w:rFonts w:hint="eastAsia" w:ascii="仿宋_GB2312"/>
          <w:b/>
          <w:bCs/>
          <w:kern w:val="0"/>
          <w:szCs w:val="32"/>
          <w:lang w:val="zh-CN"/>
        </w:rPr>
        <w:t>分。</w:t>
      </w:r>
    </w:p>
    <w:p w14:paraId="7868310C">
      <w:pPr>
        <w:ind w:firstLine="640"/>
        <w:rPr>
          <w:rFonts w:ascii="仿宋_GB2312"/>
        </w:rPr>
      </w:pPr>
      <w:r>
        <w:rPr>
          <w:rFonts w:hint="eastAsia" w:ascii="仿宋_GB2312"/>
        </w:rPr>
        <w:t>本指标考核项目申请、设立过程是否符合相关要求，用以反映和考核项目立项的规范情况。。</w:t>
      </w:r>
    </w:p>
    <w:p w14:paraId="7201AE12">
      <w:pPr>
        <w:ind w:firstLine="640"/>
        <w:rPr>
          <w:rFonts w:hint="eastAsia" w:ascii="仿宋_GB2312"/>
          <w:highlight w:val="none"/>
        </w:rPr>
      </w:pPr>
      <w:r>
        <w:rPr>
          <w:rFonts w:hint="eastAsia" w:ascii="仿宋_GB2312"/>
          <w:lang w:val="en-US" w:eastAsia="zh-CN"/>
        </w:rPr>
        <w:t>根据评价组现场收集整理资料分析可得，项目由市城管局委托山西省城乡规划设计研究院出具了《中共古县县委党校改扩建项目可行性研究报告》。中国共产党古县委员会《关于报批古县县委党校改扩建整治改造可行性研究报告的请示》（临城管〔2020〕172号），《关于中共古县县委党校改扩建项目可行性研究报告的批复》（古发改审批〔2019〕12号）批准建设。古县县委党校制定了《古县县委党校改扩建项目实施方案》。</w:t>
      </w:r>
      <w:r>
        <w:rPr>
          <w:rFonts w:hint="eastAsia" w:ascii="仿宋_GB2312"/>
          <w:highlight w:val="none"/>
        </w:rPr>
        <w:t>事前经过《中共古县县委党校改扩建项目实施方案会议纪要》。</w:t>
      </w:r>
    </w:p>
    <w:p w14:paraId="1AF0B77D">
      <w:pPr>
        <w:ind w:firstLine="640"/>
        <w:rPr>
          <w:rFonts w:hint="eastAsia" w:ascii="仿宋_GB2312"/>
        </w:rPr>
      </w:pPr>
      <w:r>
        <w:rPr>
          <w:rFonts w:hint="eastAsia" w:ascii="仿宋_GB2312"/>
        </w:rPr>
        <w:t>项目申请、设立过程符合相关规定，审批文件和材料规范完整。</w:t>
      </w:r>
    </w:p>
    <w:p w14:paraId="0828FD99">
      <w:pPr>
        <w:ind w:firstLine="640"/>
        <w:rPr>
          <w:rFonts w:ascii="仿宋_GB2312"/>
        </w:rPr>
      </w:pPr>
      <w:r>
        <w:rPr>
          <w:rFonts w:hint="eastAsia" w:ascii="仿宋_GB2312"/>
        </w:rPr>
        <w:t>据评分标准：</w:t>
      </w:r>
      <w:r>
        <w:rPr>
          <w:rFonts w:hint="eastAsia" w:ascii="仿宋_GB2312"/>
          <w:lang w:val="en-US" w:eastAsia="zh-CN"/>
        </w:rPr>
        <w:t>满分3分，得分3分</w:t>
      </w:r>
      <w:r>
        <w:rPr>
          <w:rFonts w:hint="eastAsia" w:ascii="仿宋_GB2312"/>
        </w:rPr>
        <w:t>。</w:t>
      </w:r>
    </w:p>
    <w:p w14:paraId="0BEFEF2F">
      <w:pPr>
        <w:keepNext w:val="0"/>
        <w:keepLines w:val="0"/>
        <w:pageBreakBefore w:val="0"/>
        <w:widowControl w:val="0"/>
        <w:numPr>
          <w:ilvl w:val="0"/>
          <w:numId w:val="0"/>
        </w:numPr>
        <w:kinsoku/>
        <w:wordWrap/>
        <w:overflowPunct/>
        <w:topLinePunct w:val="0"/>
        <w:autoSpaceDE w:val="0"/>
        <w:autoSpaceDN w:val="0"/>
        <w:bidi w:val="0"/>
        <w:adjustRightInd w:val="0"/>
        <w:snapToGrid/>
        <w:ind w:firstLine="643" w:firstLineChars="200"/>
        <w:textAlignment w:val="auto"/>
        <w:outlineLvl w:val="9"/>
        <w:rPr>
          <w:rFonts w:hint="eastAsia"/>
          <w:b/>
          <w:bCs/>
          <w:kern w:val="0"/>
          <w:szCs w:val="32"/>
          <w:lang w:val="en-US" w:eastAsia="zh-CN"/>
        </w:rPr>
      </w:pPr>
      <w:r>
        <w:rPr>
          <w:rFonts w:hint="eastAsia"/>
          <w:b/>
          <w:bCs/>
          <w:kern w:val="0"/>
          <w:szCs w:val="32"/>
          <w:lang w:val="en-US" w:eastAsia="zh-CN"/>
        </w:rPr>
        <w:t>2.绩效目标设置情况分析</w:t>
      </w:r>
    </w:p>
    <w:p w14:paraId="6D250F3D">
      <w:pPr>
        <w:ind w:firstLine="643"/>
        <w:rPr>
          <w:rFonts w:ascii="仿宋_GB2312"/>
          <w:b/>
          <w:bCs/>
          <w:kern w:val="0"/>
          <w:szCs w:val="32"/>
          <w:lang w:val="zh-CN"/>
        </w:rPr>
      </w:pPr>
      <w:r>
        <w:rPr>
          <w:rFonts w:hint="eastAsia" w:ascii="仿宋_GB2312"/>
          <w:b/>
          <w:bCs/>
          <w:kern w:val="0"/>
          <w:szCs w:val="32"/>
          <w:lang w:val="en-US" w:eastAsia="zh-CN"/>
        </w:rPr>
        <w:t>A21</w:t>
      </w:r>
      <w:r>
        <w:rPr>
          <w:rFonts w:hint="eastAsia" w:ascii="仿宋_GB2312"/>
          <w:b/>
          <w:bCs/>
          <w:kern w:val="0"/>
          <w:szCs w:val="32"/>
        </w:rPr>
        <w:t>绩效目标合理性</w:t>
      </w:r>
      <w:r>
        <w:rPr>
          <w:rFonts w:hint="eastAsia" w:ascii="仿宋_GB2312"/>
          <w:b/>
          <w:bCs/>
          <w:kern w:val="0"/>
          <w:szCs w:val="32"/>
          <w:lang w:val="zh-CN"/>
        </w:rPr>
        <w:t>：满分</w:t>
      </w:r>
      <w:r>
        <w:rPr>
          <w:rFonts w:hint="eastAsia" w:ascii="仿宋_GB2312"/>
          <w:b/>
          <w:bCs/>
          <w:kern w:val="0"/>
          <w:szCs w:val="32"/>
        </w:rPr>
        <w:t>4</w:t>
      </w:r>
      <w:r>
        <w:rPr>
          <w:rFonts w:hint="eastAsia" w:ascii="仿宋_GB2312"/>
          <w:b/>
          <w:bCs/>
          <w:kern w:val="0"/>
          <w:szCs w:val="32"/>
          <w:lang w:val="zh-CN"/>
        </w:rPr>
        <w:t>分，得分</w:t>
      </w:r>
      <w:r>
        <w:rPr>
          <w:rFonts w:hint="eastAsia" w:ascii="仿宋_GB2312"/>
          <w:b/>
          <w:bCs/>
          <w:kern w:val="0"/>
          <w:szCs w:val="32"/>
        </w:rPr>
        <w:t>4</w:t>
      </w:r>
      <w:r>
        <w:rPr>
          <w:rFonts w:hint="eastAsia" w:ascii="仿宋_GB2312"/>
          <w:b/>
          <w:bCs/>
          <w:kern w:val="0"/>
          <w:szCs w:val="32"/>
          <w:lang w:val="zh-CN"/>
        </w:rPr>
        <w:t>分。</w:t>
      </w:r>
    </w:p>
    <w:p w14:paraId="519E5A5B">
      <w:pPr>
        <w:ind w:firstLine="640"/>
        <w:rPr>
          <w:rFonts w:ascii="仿宋_GB2312"/>
        </w:rPr>
      </w:pPr>
      <w:r>
        <w:rPr>
          <w:rFonts w:hint="eastAsia" w:ascii="仿宋_GB2312"/>
        </w:rPr>
        <w:t>本指标考核项目所设定的绩效目标是否依据充分，是否符合客观实际，用以反映和考核项目绩效目标与项目实施的相符情况。</w:t>
      </w:r>
    </w:p>
    <w:p w14:paraId="5B100A10">
      <w:pPr>
        <w:ind w:firstLine="640"/>
        <w:rPr>
          <w:rFonts w:hint="eastAsia" w:ascii="仿宋_GB2312"/>
          <w:lang w:val="en-US" w:eastAsia="zh-CN"/>
        </w:rPr>
      </w:pPr>
      <w:r>
        <w:rPr>
          <w:rFonts w:hint="eastAsia" w:ascii="仿宋_GB2312"/>
          <w:lang w:val="en-US" w:eastAsia="zh-CN"/>
        </w:rPr>
        <w:t>经评价组现场访谈及整理分析资料了解，该项目绩效目标为古县县委党校改扩建工程，项目包括拆除工程、新建工程、改建工程、附属工程 。符合《古县县委党校改扩建工作方案》的文件要求，符合，完善县级党校领导体制，深化办学体制改革，加大基层党员干部培训力度，提高党校教学水平，改善办学条件的部署要求。项目绩效目标通过绩效目标申报表设立，且项目绩效目标与实际工作内容具有相关性,与项目实施范围一致。</w:t>
      </w:r>
    </w:p>
    <w:p w14:paraId="4CE06E80">
      <w:pPr>
        <w:ind w:firstLine="640"/>
        <w:rPr>
          <w:rFonts w:ascii="仿宋_GB2312"/>
        </w:rPr>
      </w:pPr>
      <w:r>
        <w:rPr>
          <w:rFonts w:hint="eastAsia" w:ascii="仿宋_GB2312"/>
        </w:rPr>
        <w:t>根据评分标准：</w:t>
      </w:r>
      <w:r>
        <w:rPr>
          <w:rFonts w:hint="eastAsia" w:ascii="仿宋_GB2312"/>
          <w:lang w:val="en-US" w:eastAsia="zh-CN"/>
        </w:rPr>
        <w:t>满分4分，得分4分</w:t>
      </w:r>
      <w:r>
        <w:rPr>
          <w:rFonts w:hint="eastAsia" w:ascii="仿宋_GB2312"/>
        </w:rPr>
        <w:t>。</w:t>
      </w:r>
    </w:p>
    <w:p w14:paraId="68079739">
      <w:pPr>
        <w:ind w:firstLine="643"/>
        <w:rPr>
          <w:rFonts w:ascii="仿宋_GB2312"/>
          <w:b/>
          <w:bCs/>
          <w:kern w:val="0"/>
          <w:szCs w:val="32"/>
          <w:lang w:val="zh-CN"/>
        </w:rPr>
      </w:pPr>
      <w:r>
        <w:rPr>
          <w:rFonts w:hint="eastAsia" w:ascii="仿宋_GB2312"/>
          <w:b/>
          <w:bCs/>
          <w:kern w:val="0"/>
          <w:szCs w:val="32"/>
          <w:lang w:val="en-US" w:eastAsia="zh-CN"/>
        </w:rPr>
        <w:t>A22</w:t>
      </w:r>
      <w:r>
        <w:rPr>
          <w:rFonts w:hint="eastAsia" w:ascii="仿宋_GB2312"/>
          <w:b/>
          <w:bCs/>
          <w:kern w:val="0"/>
          <w:szCs w:val="32"/>
          <w:highlight w:val="none"/>
        </w:rPr>
        <w:t>绩效指标明确性</w:t>
      </w:r>
      <w:r>
        <w:rPr>
          <w:rFonts w:hint="eastAsia" w:ascii="仿宋_GB2312"/>
          <w:b/>
          <w:bCs/>
          <w:kern w:val="0"/>
          <w:szCs w:val="32"/>
          <w:highlight w:val="none"/>
          <w:lang w:val="zh-CN"/>
        </w:rPr>
        <w:t>：满分</w:t>
      </w:r>
      <w:r>
        <w:rPr>
          <w:rFonts w:hint="eastAsia" w:ascii="仿宋_GB2312"/>
          <w:b/>
          <w:bCs/>
          <w:kern w:val="0"/>
          <w:szCs w:val="32"/>
        </w:rPr>
        <w:t>3</w:t>
      </w:r>
      <w:r>
        <w:rPr>
          <w:rFonts w:hint="eastAsia" w:ascii="仿宋_GB2312"/>
          <w:b/>
          <w:bCs/>
          <w:kern w:val="0"/>
          <w:szCs w:val="32"/>
          <w:lang w:val="zh-CN"/>
        </w:rPr>
        <w:t>分，得分</w:t>
      </w:r>
      <w:r>
        <w:rPr>
          <w:rFonts w:hint="eastAsia" w:ascii="仿宋_GB2312"/>
          <w:b/>
          <w:bCs/>
          <w:kern w:val="0"/>
          <w:szCs w:val="32"/>
          <w:lang w:val="en-US" w:eastAsia="zh-CN"/>
        </w:rPr>
        <w:t>1</w:t>
      </w:r>
      <w:r>
        <w:rPr>
          <w:rFonts w:hint="eastAsia" w:ascii="仿宋_GB2312"/>
          <w:b/>
          <w:bCs/>
          <w:kern w:val="0"/>
          <w:szCs w:val="32"/>
          <w:lang w:val="zh-CN"/>
        </w:rPr>
        <w:t>分。</w:t>
      </w:r>
    </w:p>
    <w:p w14:paraId="2FA91748">
      <w:pPr>
        <w:ind w:firstLine="640"/>
        <w:rPr>
          <w:rFonts w:ascii="仿宋_GB2312"/>
        </w:rPr>
      </w:pPr>
      <w:r>
        <w:rPr>
          <w:rFonts w:hint="eastAsia" w:ascii="仿宋_GB2312"/>
        </w:rPr>
        <w:t>本指标考核依据绩效目标设定的绩效指标是否清晰、细化、可衡量等，用以反映和考核项目绩效目标的明细化情况。</w:t>
      </w:r>
    </w:p>
    <w:p w14:paraId="0686331E">
      <w:pPr>
        <w:ind w:firstLine="640"/>
        <w:rPr>
          <w:rFonts w:hint="eastAsia" w:ascii="仿宋_GB2312"/>
        </w:rPr>
      </w:pPr>
      <w:r>
        <w:rPr>
          <w:rFonts w:hint="eastAsia" w:ascii="仿宋_GB2312"/>
        </w:rPr>
        <w:t>经</w:t>
      </w:r>
      <w:r>
        <w:rPr>
          <w:rFonts w:hint="eastAsia" w:ascii="仿宋_GB2312"/>
          <w:lang w:val="en-US" w:eastAsia="zh-CN"/>
        </w:rPr>
        <w:t>评价组分析资料</w:t>
      </w:r>
      <w:r>
        <w:rPr>
          <w:rFonts w:hint="eastAsia" w:ascii="仿宋_GB2312"/>
        </w:rPr>
        <w:t xml:space="preserve">了解，该项目绩效目标分别从产出、效益、满意度三个方面设置了绩效指标。但评价过程中发现，成本指标、社会效益指标存在细化、量化程度不足。 </w:t>
      </w:r>
    </w:p>
    <w:p w14:paraId="6B762DD5">
      <w:pPr>
        <w:ind w:firstLine="640"/>
        <w:rPr>
          <w:rFonts w:ascii="仿宋_GB2312"/>
        </w:rPr>
      </w:pPr>
      <w:r>
        <w:rPr>
          <w:rFonts w:hint="eastAsia" w:ascii="仿宋_GB2312"/>
        </w:rPr>
        <w:t>根据评分标准：</w:t>
      </w:r>
      <w:r>
        <w:rPr>
          <w:rFonts w:hint="eastAsia" w:ascii="仿宋_GB2312"/>
          <w:lang w:val="en-US" w:eastAsia="zh-CN"/>
        </w:rPr>
        <w:t>满分3分，得分1分</w:t>
      </w:r>
      <w:r>
        <w:rPr>
          <w:rFonts w:hint="eastAsia" w:ascii="仿宋_GB2312"/>
        </w:rPr>
        <w:t>。</w:t>
      </w:r>
    </w:p>
    <w:p w14:paraId="77DEEF12">
      <w:pPr>
        <w:keepNext w:val="0"/>
        <w:keepLines w:val="0"/>
        <w:pageBreakBefore w:val="0"/>
        <w:widowControl w:val="0"/>
        <w:numPr>
          <w:ilvl w:val="0"/>
          <w:numId w:val="0"/>
        </w:numPr>
        <w:kinsoku/>
        <w:wordWrap/>
        <w:overflowPunct/>
        <w:topLinePunct w:val="0"/>
        <w:autoSpaceDE w:val="0"/>
        <w:autoSpaceDN w:val="0"/>
        <w:bidi w:val="0"/>
        <w:adjustRightInd w:val="0"/>
        <w:snapToGrid/>
        <w:ind w:firstLine="643" w:firstLineChars="200"/>
        <w:textAlignment w:val="auto"/>
        <w:outlineLvl w:val="9"/>
        <w:rPr>
          <w:rFonts w:hint="eastAsia"/>
          <w:b/>
          <w:bCs/>
          <w:kern w:val="0"/>
          <w:szCs w:val="32"/>
          <w:lang w:val="en-US" w:eastAsia="zh-CN"/>
        </w:rPr>
      </w:pPr>
      <w:r>
        <w:rPr>
          <w:rFonts w:hint="eastAsia"/>
          <w:b/>
          <w:bCs/>
          <w:kern w:val="0"/>
          <w:szCs w:val="32"/>
          <w:lang w:val="en-US" w:eastAsia="zh-CN"/>
        </w:rPr>
        <w:t>3.资金投入情况分析</w:t>
      </w:r>
    </w:p>
    <w:p w14:paraId="6EAFE531">
      <w:pPr>
        <w:ind w:firstLine="643"/>
        <w:rPr>
          <w:rFonts w:ascii="仿宋_GB2312"/>
          <w:b/>
          <w:bCs/>
          <w:kern w:val="0"/>
          <w:szCs w:val="32"/>
          <w:lang w:val="zh-CN"/>
        </w:rPr>
      </w:pPr>
      <w:r>
        <w:rPr>
          <w:rFonts w:hint="eastAsia" w:ascii="仿宋_GB2312"/>
          <w:b/>
          <w:bCs/>
          <w:kern w:val="0"/>
          <w:szCs w:val="32"/>
          <w:lang w:val="en-US" w:eastAsia="zh-CN"/>
        </w:rPr>
        <w:t>A31</w:t>
      </w:r>
      <w:r>
        <w:rPr>
          <w:rFonts w:hint="eastAsia" w:ascii="仿宋_GB2312"/>
          <w:b/>
          <w:bCs/>
          <w:kern w:val="0"/>
          <w:szCs w:val="32"/>
        </w:rPr>
        <w:t>预算编制科学性</w:t>
      </w:r>
      <w:r>
        <w:rPr>
          <w:rFonts w:hint="eastAsia" w:ascii="仿宋_GB2312"/>
          <w:b/>
          <w:bCs/>
          <w:kern w:val="0"/>
          <w:szCs w:val="32"/>
          <w:lang w:val="zh-CN"/>
        </w:rPr>
        <w:t>：满分</w:t>
      </w:r>
      <w:r>
        <w:rPr>
          <w:rFonts w:hint="eastAsia" w:ascii="仿宋_GB2312"/>
          <w:b/>
          <w:bCs/>
          <w:kern w:val="0"/>
          <w:szCs w:val="32"/>
        </w:rPr>
        <w:t>2</w:t>
      </w:r>
      <w:r>
        <w:rPr>
          <w:rFonts w:hint="eastAsia" w:ascii="仿宋_GB2312"/>
          <w:b/>
          <w:bCs/>
          <w:kern w:val="0"/>
          <w:szCs w:val="32"/>
          <w:lang w:val="zh-CN"/>
        </w:rPr>
        <w:t>分，得分</w:t>
      </w:r>
      <w:r>
        <w:rPr>
          <w:rFonts w:hint="eastAsia" w:ascii="仿宋_GB2312"/>
          <w:b/>
          <w:bCs/>
          <w:kern w:val="0"/>
          <w:szCs w:val="32"/>
        </w:rPr>
        <w:t>2</w:t>
      </w:r>
      <w:r>
        <w:rPr>
          <w:rFonts w:hint="eastAsia" w:ascii="仿宋_GB2312"/>
          <w:b/>
          <w:bCs/>
          <w:kern w:val="0"/>
          <w:szCs w:val="32"/>
          <w:lang w:val="zh-CN"/>
        </w:rPr>
        <w:t>分。</w:t>
      </w:r>
    </w:p>
    <w:p w14:paraId="2F486DB0">
      <w:pPr>
        <w:ind w:firstLine="640"/>
        <w:rPr>
          <w:rFonts w:ascii="仿宋_GB2312"/>
        </w:rPr>
      </w:pPr>
      <w:r>
        <w:rPr>
          <w:rFonts w:hint="eastAsia" w:ascii="仿宋_GB2312"/>
        </w:rPr>
        <w:t>本指标考核项目预算编制是否经过科学论证、有明确标准，资金额度与年度目标是否相适应，用以反映和考核项目预算编制的科学性、合理性情况。</w:t>
      </w:r>
    </w:p>
    <w:p w14:paraId="10282419">
      <w:pPr>
        <w:ind w:firstLine="640"/>
        <w:rPr>
          <w:rFonts w:ascii="仿宋_GB2312"/>
          <w:highlight w:val="none"/>
        </w:rPr>
      </w:pPr>
      <w:r>
        <w:rPr>
          <w:rFonts w:hint="eastAsia" w:ascii="仿宋_GB2312"/>
          <w:lang w:val="en-US" w:eastAsia="zh-CN"/>
        </w:rPr>
        <w:t>经评价组查阅财务资料了解，</w:t>
      </w:r>
      <w:r>
        <w:rPr>
          <w:rFonts w:hint="eastAsia" w:ascii="仿宋_GB2312"/>
        </w:rPr>
        <w:t>本项目</w:t>
      </w:r>
      <w:r>
        <w:rPr>
          <w:rFonts w:hint="eastAsia" w:ascii="仿宋_GB2312"/>
          <w:lang w:val="en-US" w:eastAsia="zh-CN"/>
        </w:rPr>
        <w:t>由山西省城乡规划设计研究院出具了可行性研究报告，投资估算依据《山西省建设工程费用定额》、《山西省建设工程计价依据》（2018年）、《山西省工程建设其他费用标准》，项目预算经古县财政局预算评审中心评审，</w:t>
      </w:r>
      <w:r>
        <w:rPr>
          <w:rFonts w:hint="eastAsia" w:ascii="仿宋_GB2312"/>
          <w:highlight w:val="none"/>
        </w:rPr>
        <w:t>预算确定的</w:t>
      </w:r>
      <w:r>
        <w:rPr>
          <w:rFonts w:hint="eastAsia" w:ascii="仿宋_GB2312"/>
          <w:highlight w:val="none"/>
          <w:lang w:val="en-US" w:eastAsia="zh-CN"/>
        </w:rPr>
        <w:t>服务费资金额</w:t>
      </w:r>
      <w:r>
        <w:rPr>
          <w:rFonts w:hint="eastAsia" w:ascii="仿宋_GB2312"/>
          <w:highlight w:val="none"/>
        </w:rPr>
        <w:t>与</w:t>
      </w:r>
      <w:r>
        <w:rPr>
          <w:rFonts w:hint="eastAsia" w:ascii="仿宋_GB2312"/>
          <w:highlight w:val="none"/>
          <w:lang w:val="en-US" w:eastAsia="zh-CN"/>
        </w:rPr>
        <w:t>申请金额</w:t>
      </w:r>
      <w:r>
        <w:rPr>
          <w:rFonts w:hint="eastAsia" w:ascii="仿宋_GB2312"/>
          <w:highlight w:val="none"/>
        </w:rPr>
        <w:t>匹配。</w:t>
      </w:r>
    </w:p>
    <w:p w14:paraId="3E6B9CB2">
      <w:pPr>
        <w:ind w:firstLine="640"/>
        <w:rPr>
          <w:rFonts w:ascii="仿宋_GB2312"/>
        </w:rPr>
      </w:pPr>
      <w:r>
        <w:rPr>
          <w:rFonts w:hint="eastAsia" w:ascii="仿宋_GB2312"/>
        </w:rPr>
        <w:t>根据评分标准：</w:t>
      </w:r>
      <w:r>
        <w:rPr>
          <w:rFonts w:hint="eastAsia" w:ascii="仿宋_GB2312"/>
          <w:lang w:val="en-US" w:eastAsia="zh-CN"/>
        </w:rPr>
        <w:t>满分2分，得分2分</w:t>
      </w:r>
      <w:r>
        <w:rPr>
          <w:rFonts w:hint="eastAsia" w:ascii="仿宋_GB2312"/>
        </w:rPr>
        <w:t>。</w:t>
      </w:r>
    </w:p>
    <w:p w14:paraId="0E27E64A">
      <w:pPr>
        <w:ind w:firstLine="643"/>
        <w:rPr>
          <w:rFonts w:ascii="仿宋_GB2312"/>
          <w:b/>
          <w:bCs/>
          <w:kern w:val="0"/>
          <w:szCs w:val="32"/>
          <w:lang w:val="zh-CN"/>
        </w:rPr>
      </w:pPr>
      <w:r>
        <w:rPr>
          <w:rFonts w:hint="eastAsia" w:ascii="仿宋_GB2312"/>
          <w:b/>
          <w:bCs/>
          <w:kern w:val="0"/>
          <w:szCs w:val="32"/>
          <w:lang w:val="en-US" w:eastAsia="zh-CN"/>
        </w:rPr>
        <w:t>A32</w:t>
      </w:r>
      <w:r>
        <w:rPr>
          <w:rFonts w:hint="eastAsia" w:ascii="仿宋_GB2312"/>
          <w:b/>
          <w:bCs/>
          <w:kern w:val="0"/>
          <w:szCs w:val="32"/>
        </w:rPr>
        <w:t>资金分配合理性</w:t>
      </w:r>
      <w:r>
        <w:rPr>
          <w:rFonts w:hint="eastAsia" w:ascii="仿宋_GB2312"/>
          <w:b/>
          <w:bCs/>
          <w:kern w:val="0"/>
          <w:szCs w:val="32"/>
          <w:lang w:val="zh-CN"/>
        </w:rPr>
        <w:t>：满分</w:t>
      </w:r>
      <w:r>
        <w:rPr>
          <w:rFonts w:hint="eastAsia" w:ascii="仿宋_GB2312"/>
          <w:b/>
          <w:bCs/>
          <w:kern w:val="0"/>
          <w:szCs w:val="32"/>
        </w:rPr>
        <w:t>4</w:t>
      </w:r>
      <w:r>
        <w:rPr>
          <w:rFonts w:hint="eastAsia" w:ascii="仿宋_GB2312"/>
          <w:b/>
          <w:bCs/>
          <w:kern w:val="0"/>
          <w:szCs w:val="32"/>
          <w:lang w:val="zh-CN"/>
        </w:rPr>
        <w:t>分，得分</w:t>
      </w:r>
      <w:r>
        <w:rPr>
          <w:rFonts w:hint="eastAsia" w:ascii="仿宋_GB2312"/>
          <w:b/>
          <w:bCs/>
          <w:kern w:val="0"/>
          <w:szCs w:val="32"/>
        </w:rPr>
        <w:t>4</w:t>
      </w:r>
      <w:r>
        <w:rPr>
          <w:rFonts w:hint="eastAsia" w:ascii="仿宋_GB2312"/>
          <w:b/>
          <w:bCs/>
          <w:kern w:val="0"/>
          <w:szCs w:val="32"/>
          <w:lang w:val="zh-CN"/>
        </w:rPr>
        <w:t>分。</w:t>
      </w:r>
    </w:p>
    <w:p w14:paraId="1910C764">
      <w:pPr>
        <w:ind w:firstLine="640"/>
        <w:rPr>
          <w:rFonts w:ascii="仿宋_GB2312"/>
        </w:rPr>
      </w:pPr>
      <w:r>
        <w:rPr>
          <w:rFonts w:hint="eastAsia" w:ascii="仿宋_GB2312"/>
        </w:rPr>
        <w:t>本指标考核项目预算资金分配是否有测算依据，与地方实际是否相适应，用以反映和考核项目预算资金分配的科学性、合理性情况。</w:t>
      </w:r>
    </w:p>
    <w:p w14:paraId="4F9380BD">
      <w:pPr>
        <w:ind w:firstLine="640"/>
        <w:rPr>
          <w:rFonts w:ascii="仿宋_GB2312"/>
        </w:rPr>
      </w:pPr>
      <w:r>
        <w:rPr>
          <w:rFonts w:hint="eastAsia" w:ascii="仿宋_GB2312"/>
          <w:lang w:val="en-US" w:eastAsia="zh-CN"/>
        </w:rPr>
        <w:t>据评价组整理资料得知，项目资金依据预算内容，全部用于古县县委党校改扩建项目工程款，且专款专用，预算与实际情况相符</w:t>
      </w:r>
      <w:r>
        <w:rPr>
          <w:rFonts w:hint="eastAsia" w:ascii="仿宋_GB2312"/>
        </w:rPr>
        <w:t>。</w:t>
      </w:r>
    </w:p>
    <w:p w14:paraId="59D20AE0">
      <w:pPr>
        <w:ind w:firstLine="640"/>
        <w:rPr>
          <w:rFonts w:ascii="仿宋_GB2312"/>
        </w:rPr>
      </w:pPr>
      <w:r>
        <w:rPr>
          <w:rFonts w:hint="eastAsia" w:ascii="仿宋_GB2312"/>
        </w:rPr>
        <w:t>根据评分标准：</w:t>
      </w:r>
      <w:r>
        <w:rPr>
          <w:rFonts w:hint="eastAsia" w:ascii="仿宋_GB2312"/>
          <w:lang w:val="en-US" w:eastAsia="zh-CN"/>
        </w:rPr>
        <w:t>满分4分，得分4分</w:t>
      </w:r>
      <w:r>
        <w:rPr>
          <w:rFonts w:hint="eastAsia" w:ascii="仿宋_GB2312"/>
        </w:rPr>
        <w:t>。</w:t>
      </w:r>
    </w:p>
    <w:p w14:paraId="3CA37752">
      <w:pPr>
        <w:pStyle w:val="4"/>
        <w:ind w:firstLine="640"/>
        <w:rPr>
          <w:rFonts w:ascii="仿宋_GB2312"/>
        </w:rPr>
      </w:pPr>
      <w:bookmarkStart w:id="45" w:name="_Toc7789"/>
      <w:bookmarkStart w:id="46" w:name="_Toc23670"/>
      <w:r>
        <w:rPr>
          <w:rFonts w:hint="eastAsia" w:ascii="仿宋_GB2312"/>
        </w:rPr>
        <w:t>（二）项目过程情况</w:t>
      </w:r>
      <w:bookmarkEnd w:id="45"/>
      <w:bookmarkEnd w:id="46"/>
    </w:p>
    <w:p w14:paraId="0913ECD8">
      <w:pPr>
        <w:ind w:firstLine="640"/>
        <w:rPr>
          <w:rFonts w:ascii="仿宋_GB2312"/>
        </w:rPr>
      </w:pPr>
      <w:r>
        <w:rPr>
          <w:rFonts w:hint="eastAsia" w:ascii="仿宋_GB2312"/>
        </w:rPr>
        <w:t>主要指标包括资金管理和组织实施两方面。</w:t>
      </w:r>
    </w:p>
    <w:p w14:paraId="0B4EB34B">
      <w:pPr>
        <w:ind w:firstLine="640"/>
        <w:rPr>
          <w:rFonts w:ascii="仿宋_GB2312"/>
        </w:rPr>
      </w:pPr>
      <w:r>
        <w:rPr>
          <w:rFonts w:hint="eastAsia" w:ascii="仿宋_GB2312"/>
        </w:rPr>
        <w:t>过程：标准分20分，实际得分</w:t>
      </w:r>
      <w:r>
        <w:rPr>
          <w:rFonts w:hint="eastAsia" w:ascii="仿宋_GB2312"/>
          <w:lang w:val="en-US" w:eastAsia="zh-CN"/>
        </w:rPr>
        <w:t>14</w:t>
      </w:r>
      <w:r>
        <w:rPr>
          <w:rFonts w:hint="eastAsia" w:ascii="仿宋_GB2312"/>
        </w:rPr>
        <w:t>分，得分率</w:t>
      </w:r>
      <w:r>
        <w:rPr>
          <w:rFonts w:hint="eastAsia" w:ascii="仿宋_GB2312"/>
          <w:lang w:val="en-US" w:eastAsia="zh-CN"/>
        </w:rPr>
        <w:t>70</w:t>
      </w:r>
      <w:r>
        <w:rPr>
          <w:rFonts w:hint="eastAsia" w:ascii="仿宋_GB2312"/>
        </w:rPr>
        <w:t>%。详见</w:t>
      </w:r>
      <w:r>
        <w:rPr>
          <w:rFonts w:hint="eastAsia" w:ascii="仿宋_GB2312"/>
          <w:b/>
          <w:bCs/>
        </w:rPr>
        <w:t>表4-2：</w:t>
      </w:r>
    </w:p>
    <w:p w14:paraId="6A8DC286">
      <w:pPr>
        <w:keepNext w:val="0"/>
        <w:keepLines w:val="0"/>
        <w:pageBreakBefore w:val="0"/>
        <w:widowControl w:val="0"/>
        <w:kinsoku/>
        <w:wordWrap/>
        <w:overflowPunct/>
        <w:topLinePunct w:val="0"/>
        <w:autoSpaceDE w:val="0"/>
        <w:autoSpaceDN w:val="0"/>
        <w:bidi w:val="0"/>
        <w:adjustRightInd w:val="0"/>
        <w:snapToGrid/>
        <w:spacing w:before="63" w:beforeLines="20" w:after="63" w:afterLines="20" w:line="500" w:lineRule="exact"/>
        <w:ind w:firstLine="0" w:firstLineChars="0"/>
        <w:jc w:val="both"/>
        <w:textAlignment w:val="auto"/>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 xml:space="preserve">表4-2     </w:t>
      </w:r>
      <w:r>
        <w:rPr>
          <w:rFonts w:hint="eastAsia" w:ascii="仿宋_GB2312" w:hAnsi="仿宋_GB2312" w:cs="仿宋_GB2312"/>
          <w:b/>
          <w:bCs/>
          <w:kern w:val="0"/>
          <w:sz w:val="28"/>
          <w:szCs w:val="28"/>
          <w:lang w:val="en-US" w:eastAsia="zh-CN"/>
        </w:rPr>
        <w:t xml:space="preserve">            </w:t>
      </w:r>
      <w:r>
        <w:rPr>
          <w:rFonts w:hint="eastAsia" w:ascii="仿宋_GB2312" w:hAnsi="仿宋_GB2312" w:eastAsia="仿宋_GB2312" w:cs="仿宋_GB2312"/>
          <w:b/>
          <w:bCs/>
          <w:kern w:val="0"/>
          <w:sz w:val="28"/>
          <w:szCs w:val="28"/>
        </w:rPr>
        <w:t>过程类指标体系表</w:t>
      </w:r>
    </w:p>
    <w:tbl>
      <w:tblPr>
        <w:tblStyle w:val="19"/>
        <w:tblW w:w="4997"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8"/>
        <w:gridCol w:w="1220"/>
        <w:gridCol w:w="2492"/>
        <w:gridCol w:w="768"/>
        <w:gridCol w:w="970"/>
        <w:gridCol w:w="1180"/>
        <w:gridCol w:w="725"/>
      </w:tblGrid>
      <w:tr w14:paraId="114284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685" w:type="pct"/>
            <w:shd w:val="clear" w:color="auto" w:fill="CFCECE" w:themeFill="background2" w:themeFillShade="E5"/>
            <w:noWrap w:val="0"/>
            <w:vAlign w:val="center"/>
          </w:tcPr>
          <w:p w14:paraId="1EAB33F6">
            <w:pPr>
              <w:shd w:val="clear" w:fill="CFCECE" w:themeFill="background2" w:themeFillShade="E5"/>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一级指标</w:t>
            </w:r>
          </w:p>
        </w:tc>
        <w:tc>
          <w:tcPr>
            <w:tcW w:w="715" w:type="pct"/>
            <w:shd w:val="clear" w:color="auto" w:fill="CFCECE" w:themeFill="background2" w:themeFillShade="E5"/>
            <w:noWrap w:val="0"/>
            <w:vAlign w:val="center"/>
          </w:tcPr>
          <w:p w14:paraId="6CB5DA45">
            <w:pPr>
              <w:shd w:val="clear" w:fill="CFCECE" w:themeFill="background2" w:themeFillShade="E5"/>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二级指标</w:t>
            </w:r>
          </w:p>
        </w:tc>
        <w:tc>
          <w:tcPr>
            <w:tcW w:w="1461" w:type="pct"/>
            <w:shd w:val="clear" w:color="auto" w:fill="CFCECE" w:themeFill="background2" w:themeFillShade="E5"/>
            <w:noWrap w:val="0"/>
            <w:vAlign w:val="center"/>
          </w:tcPr>
          <w:p w14:paraId="4958A904">
            <w:pPr>
              <w:shd w:val="clear" w:fill="CFCECE" w:themeFill="background2" w:themeFillShade="E5"/>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三级指标</w:t>
            </w:r>
          </w:p>
        </w:tc>
        <w:tc>
          <w:tcPr>
            <w:tcW w:w="450" w:type="pct"/>
            <w:shd w:val="clear" w:color="auto" w:fill="CFCECE" w:themeFill="background2" w:themeFillShade="E5"/>
            <w:noWrap w:val="0"/>
            <w:vAlign w:val="center"/>
          </w:tcPr>
          <w:p w14:paraId="46A39171">
            <w:pPr>
              <w:shd w:val="clear" w:fill="CFCECE" w:themeFill="background2" w:themeFillShade="E5"/>
              <w:spacing w:line="240" w:lineRule="auto"/>
              <w:ind w:firstLine="0" w:firstLineChars="0"/>
              <w:jc w:val="center"/>
              <w:rPr>
                <w:rFonts w:hint="default" w:ascii="仿宋_GB2312" w:hAnsi="仿宋_GB2312" w:eastAsia="仿宋_GB2312" w:cs="仿宋_GB2312"/>
                <w:b/>
                <w:bCs/>
                <w:sz w:val="24"/>
                <w:lang w:val="en-US" w:eastAsia="zh-CN"/>
              </w:rPr>
            </w:pPr>
            <w:r>
              <w:rPr>
                <w:rFonts w:hint="eastAsia" w:ascii="仿宋_GB2312" w:hAnsi="仿宋_GB2312" w:cs="仿宋_GB2312"/>
                <w:b/>
                <w:bCs/>
                <w:sz w:val="24"/>
                <w:lang w:val="en-US" w:eastAsia="zh-CN"/>
              </w:rPr>
              <w:t>分值</w:t>
            </w:r>
          </w:p>
        </w:tc>
        <w:tc>
          <w:tcPr>
            <w:tcW w:w="569" w:type="pct"/>
            <w:shd w:val="clear" w:color="auto" w:fill="CFCECE" w:themeFill="background2" w:themeFillShade="E5"/>
            <w:noWrap w:val="0"/>
            <w:vAlign w:val="center"/>
          </w:tcPr>
          <w:p w14:paraId="1054B654">
            <w:pPr>
              <w:shd w:val="clear" w:fill="CFCECE" w:themeFill="background2" w:themeFillShade="E5"/>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目标值</w:t>
            </w:r>
          </w:p>
        </w:tc>
        <w:tc>
          <w:tcPr>
            <w:tcW w:w="692" w:type="pct"/>
            <w:shd w:val="clear" w:color="auto" w:fill="CFCECE" w:themeFill="background2" w:themeFillShade="E5"/>
            <w:noWrap w:val="0"/>
            <w:vAlign w:val="center"/>
          </w:tcPr>
          <w:p w14:paraId="3C77AFCD">
            <w:pPr>
              <w:shd w:val="clear" w:fill="CFCECE" w:themeFill="background2" w:themeFillShade="E5"/>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业绩值</w:t>
            </w:r>
          </w:p>
        </w:tc>
        <w:tc>
          <w:tcPr>
            <w:tcW w:w="425" w:type="pct"/>
            <w:shd w:val="clear" w:color="auto" w:fill="CFCECE" w:themeFill="background2" w:themeFillShade="E5"/>
            <w:noWrap w:val="0"/>
            <w:vAlign w:val="center"/>
          </w:tcPr>
          <w:p w14:paraId="425065A7">
            <w:pPr>
              <w:shd w:val="clear" w:fill="CFCECE" w:themeFill="background2" w:themeFillShade="E5"/>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得分</w:t>
            </w:r>
          </w:p>
        </w:tc>
      </w:tr>
      <w:tr w14:paraId="242FAD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85" w:type="pct"/>
            <w:vMerge w:val="restart"/>
            <w:noWrap w:val="0"/>
            <w:vAlign w:val="center"/>
          </w:tcPr>
          <w:p w14:paraId="688273E5">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B过程</w:t>
            </w:r>
          </w:p>
        </w:tc>
        <w:tc>
          <w:tcPr>
            <w:tcW w:w="715" w:type="pct"/>
            <w:vMerge w:val="restart"/>
            <w:noWrap w:val="0"/>
            <w:vAlign w:val="center"/>
          </w:tcPr>
          <w:p w14:paraId="68E35B66">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B1资金管理</w:t>
            </w:r>
          </w:p>
        </w:tc>
        <w:tc>
          <w:tcPr>
            <w:tcW w:w="1461" w:type="pct"/>
            <w:noWrap w:val="0"/>
            <w:vAlign w:val="center"/>
          </w:tcPr>
          <w:p w14:paraId="31148EAA">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B11资金到位率</w:t>
            </w:r>
          </w:p>
        </w:tc>
        <w:tc>
          <w:tcPr>
            <w:tcW w:w="450" w:type="pct"/>
            <w:noWrap w:val="0"/>
            <w:vAlign w:val="center"/>
          </w:tcPr>
          <w:p w14:paraId="278B4851">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4</w:t>
            </w:r>
          </w:p>
        </w:tc>
        <w:tc>
          <w:tcPr>
            <w:tcW w:w="569" w:type="pct"/>
            <w:noWrap w:val="0"/>
            <w:vAlign w:val="center"/>
          </w:tcPr>
          <w:p w14:paraId="56444A8F">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100%</w:t>
            </w:r>
          </w:p>
        </w:tc>
        <w:tc>
          <w:tcPr>
            <w:tcW w:w="692" w:type="pct"/>
            <w:noWrap w:val="0"/>
            <w:vAlign w:val="center"/>
          </w:tcPr>
          <w:p w14:paraId="5C89C6FC">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100%</w:t>
            </w:r>
          </w:p>
        </w:tc>
        <w:tc>
          <w:tcPr>
            <w:tcW w:w="425" w:type="pct"/>
            <w:noWrap w:val="0"/>
            <w:vAlign w:val="center"/>
          </w:tcPr>
          <w:p w14:paraId="05841E71">
            <w:pPr>
              <w:spacing w:line="240" w:lineRule="auto"/>
              <w:ind w:firstLine="0" w:firstLineChars="0"/>
              <w:jc w:val="center"/>
              <w:rPr>
                <w:rFonts w:hint="eastAsia" w:ascii="仿宋_GB2312" w:hAnsi="仿宋_GB2312" w:eastAsia="仿宋_GB2312" w:cs="仿宋_GB2312"/>
                <w:b w:val="0"/>
                <w:bCs w:val="0"/>
                <w:sz w:val="24"/>
                <w:lang w:eastAsia="zh-CN"/>
              </w:rPr>
            </w:pPr>
            <w:r>
              <w:rPr>
                <w:rFonts w:hint="eastAsia" w:ascii="仿宋_GB2312" w:hAnsi="仿宋_GB2312" w:cs="仿宋_GB2312"/>
                <w:b w:val="0"/>
                <w:bCs w:val="0"/>
                <w:sz w:val="24"/>
                <w:lang w:val="en-US" w:eastAsia="zh-CN"/>
              </w:rPr>
              <w:t>4</w:t>
            </w:r>
          </w:p>
        </w:tc>
      </w:tr>
      <w:tr w14:paraId="430677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85" w:type="pct"/>
            <w:vMerge w:val="continue"/>
            <w:noWrap w:val="0"/>
            <w:vAlign w:val="center"/>
          </w:tcPr>
          <w:p w14:paraId="013AD1A1">
            <w:pPr>
              <w:spacing w:line="240" w:lineRule="auto"/>
              <w:ind w:firstLine="0" w:firstLineChars="0"/>
              <w:jc w:val="center"/>
              <w:rPr>
                <w:rFonts w:hint="eastAsia" w:ascii="仿宋_GB2312" w:hAnsi="仿宋_GB2312" w:cs="仿宋_GB2312"/>
                <w:b w:val="0"/>
                <w:bCs w:val="0"/>
                <w:sz w:val="24"/>
              </w:rPr>
            </w:pPr>
          </w:p>
        </w:tc>
        <w:tc>
          <w:tcPr>
            <w:tcW w:w="715" w:type="pct"/>
            <w:vMerge w:val="continue"/>
            <w:noWrap w:val="0"/>
            <w:vAlign w:val="center"/>
          </w:tcPr>
          <w:p w14:paraId="2A162D90">
            <w:pPr>
              <w:spacing w:line="240" w:lineRule="auto"/>
              <w:ind w:firstLine="0" w:firstLineChars="0"/>
              <w:jc w:val="center"/>
              <w:rPr>
                <w:rFonts w:hint="eastAsia" w:ascii="仿宋_GB2312" w:hAnsi="仿宋_GB2312" w:cs="仿宋_GB2312"/>
                <w:b w:val="0"/>
                <w:bCs w:val="0"/>
                <w:sz w:val="24"/>
              </w:rPr>
            </w:pPr>
          </w:p>
        </w:tc>
        <w:tc>
          <w:tcPr>
            <w:tcW w:w="1461" w:type="pct"/>
            <w:noWrap w:val="0"/>
            <w:vAlign w:val="center"/>
          </w:tcPr>
          <w:p w14:paraId="644D8B0A">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B12预算执行率</w:t>
            </w:r>
          </w:p>
        </w:tc>
        <w:tc>
          <w:tcPr>
            <w:tcW w:w="450" w:type="pct"/>
            <w:noWrap w:val="0"/>
            <w:vAlign w:val="center"/>
          </w:tcPr>
          <w:p w14:paraId="0539AE9B">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4</w:t>
            </w:r>
          </w:p>
        </w:tc>
        <w:tc>
          <w:tcPr>
            <w:tcW w:w="569" w:type="pct"/>
            <w:noWrap w:val="0"/>
            <w:vAlign w:val="center"/>
          </w:tcPr>
          <w:p w14:paraId="4CBE6C83">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95%</w:t>
            </w:r>
          </w:p>
        </w:tc>
        <w:tc>
          <w:tcPr>
            <w:tcW w:w="692" w:type="pct"/>
            <w:noWrap w:val="0"/>
            <w:vAlign w:val="center"/>
          </w:tcPr>
          <w:p w14:paraId="1A7ADAE7">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100</w:t>
            </w:r>
            <w:r>
              <w:rPr>
                <w:rFonts w:hint="eastAsia" w:ascii="仿宋_GB2312" w:hAnsi="仿宋_GB2312" w:cs="仿宋_GB2312"/>
                <w:b w:val="0"/>
                <w:bCs w:val="0"/>
                <w:sz w:val="24"/>
              </w:rPr>
              <w:t>%</w:t>
            </w:r>
          </w:p>
        </w:tc>
        <w:tc>
          <w:tcPr>
            <w:tcW w:w="425" w:type="pct"/>
            <w:noWrap w:val="0"/>
            <w:vAlign w:val="center"/>
          </w:tcPr>
          <w:p w14:paraId="20EAF5BB">
            <w:pPr>
              <w:spacing w:line="240" w:lineRule="auto"/>
              <w:ind w:firstLine="0" w:firstLineChars="0"/>
              <w:jc w:val="center"/>
              <w:rPr>
                <w:rFonts w:hint="eastAsia" w:ascii="仿宋_GB2312" w:hAnsi="仿宋_GB2312" w:eastAsia="仿宋_GB2312" w:cs="仿宋_GB2312"/>
                <w:b w:val="0"/>
                <w:bCs w:val="0"/>
                <w:sz w:val="24"/>
                <w:lang w:eastAsia="zh-CN"/>
              </w:rPr>
            </w:pPr>
            <w:r>
              <w:rPr>
                <w:rFonts w:hint="eastAsia" w:ascii="仿宋_GB2312" w:hAnsi="仿宋_GB2312" w:cs="仿宋_GB2312"/>
                <w:b w:val="0"/>
                <w:bCs w:val="0"/>
                <w:sz w:val="24"/>
                <w:lang w:val="en-US" w:eastAsia="zh-CN"/>
              </w:rPr>
              <w:t>4</w:t>
            </w:r>
          </w:p>
        </w:tc>
      </w:tr>
      <w:tr w14:paraId="37C5B8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85" w:type="pct"/>
            <w:vMerge w:val="continue"/>
            <w:noWrap w:val="0"/>
            <w:vAlign w:val="center"/>
          </w:tcPr>
          <w:p w14:paraId="32DEA7D9">
            <w:pPr>
              <w:spacing w:line="240" w:lineRule="auto"/>
              <w:ind w:firstLine="0" w:firstLineChars="0"/>
              <w:jc w:val="center"/>
              <w:rPr>
                <w:rFonts w:hint="eastAsia" w:ascii="仿宋_GB2312" w:hAnsi="仿宋_GB2312" w:cs="仿宋_GB2312"/>
                <w:b w:val="0"/>
                <w:bCs w:val="0"/>
                <w:sz w:val="24"/>
              </w:rPr>
            </w:pPr>
          </w:p>
        </w:tc>
        <w:tc>
          <w:tcPr>
            <w:tcW w:w="715" w:type="pct"/>
            <w:vMerge w:val="continue"/>
            <w:noWrap w:val="0"/>
            <w:vAlign w:val="center"/>
          </w:tcPr>
          <w:p w14:paraId="2F9095DC">
            <w:pPr>
              <w:spacing w:line="240" w:lineRule="auto"/>
              <w:ind w:firstLine="0" w:firstLineChars="0"/>
              <w:jc w:val="center"/>
              <w:rPr>
                <w:rFonts w:hint="eastAsia" w:ascii="仿宋_GB2312" w:hAnsi="仿宋_GB2312" w:cs="仿宋_GB2312"/>
                <w:b w:val="0"/>
                <w:bCs w:val="0"/>
                <w:sz w:val="24"/>
              </w:rPr>
            </w:pPr>
          </w:p>
        </w:tc>
        <w:tc>
          <w:tcPr>
            <w:tcW w:w="1461" w:type="pct"/>
            <w:noWrap w:val="0"/>
            <w:vAlign w:val="center"/>
          </w:tcPr>
          <w:p w14:paraId="3673EA75">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B13资金使用合规性</w:t>
            </w:r>
          </w:p>
        </w:tc>
        <w:tc>
          <w:tcPr>
            <w:tcW w:w="450" w:type="pct"/>
            <w:noWrap w:val="0"/>
            <w:vAlign w:val="center"/>
          </w:tcPr>
          <w:p w14:paraId="4EF97669">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4</w:t>
            </w:r>
          </w:p>
        </w:tc>
        <w:tc>
          <w:tcPr>
            <w:tcW w:w="569" w:type="pct"/>
            <w:noWrap w:val="0"/>
            <w:vAlign w:val="center"/>
          </w:tcPr>
          <w:p w14:paraId="380EC363">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合规</w:t>
            </w:r>
          </w:p>
        </w:tc>
        <w:tc>
          <w:tcPr>
            <w:tcW w:w="692" w:type="pct"/>
            <w:noWrap w:val="0"/>
            <w:vAlign w:val="center"/>
          </w:tcPr>
          <w:p w14:paraId="61FFBF65">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合规</w:t>
            </w:r>
          </w:p>
        </w:tc>
        <w:tc>
          <w:tcPr>
            <w:tcW w:w="425" w:type="pct"/>
            <w:noWrap w:val="0"/>
            <w:vAlign w:val="center"/>
          </w:tcPr>
          <w:p w14:paraId="7309AE03">
            <w:pPr>
              <w:spacing w:line="240" w:lineRule="auto"/>
              <w:ind w:firstLine="0" w:firstLineChars="0"/>
              <w:jc w:val="center"/>
              <w:rPr>
                <w:rFonts w:hint="eastAsia" w:ascii="仿宋_GB2312" w:hAnsi="仿宋_GB2312" w:eastAsia="仿宋_GB2312" w:cs="仿宋_GB2312"/>
                <w:b w:val="0"/>
                <w:bCs w:val="0"/>
                <w:sz w:val="24"/>
                <w:lang w:eastAsia="zh-CN"/>
              </w:rPr>
            </w:pPr>
            <w:r>
              <w:rPr>
                <w:rFonts w:hint="eastAsia" w:ascii="仿宋_GB2312" w:hAnsi="仿宋_GB2312" w:cs="仿宋_GB2312"/>
                <w:b w:val="0"/>
                <w:bCs w:val="0"/>
                <w:sz w:val="24"/>
                <w:lang w:val="en-US" w:eastAsia="zh-CN"/>
              </w:rPr>
              <w:t>4</w:t>
            </w:r>
          </w:p>
        </w:tc>
      </w:tr>
      <w:tr w14:paraId="7F7A59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85" w:type="pct"/>
            <w:vMerge w:val="continue"/>
            <w:noWrap w:val="0"/>
            <w:vAlign w:val="center"/>
          </w:tcPr>
          <w:p w14:paraId="4C8E3B53">
            <w:pPr>
              <w:spacing w:line="240" w:lineRule="auto"/>
              <w:ind w:firstLine="0" w:firstLineChars="0"/>
              <w:jc w:val="center"/>
              <w:rPr>
                <w:rFonts w:hint="eastAsia" w:ascii="仿宋_GB2312" w:hAnsi="仿宋_GB2312" w:cs="仿宋_GB2312"/>
                <w:b w:val="0"/>
                <w:bCs w:val="0"/>
                <w:sz w:val="24"/>
              </w:rPr>
            </w:pPr>
          </w:p>
        </w:tc>
        <w:tc>
          <w:tcPr>
            <w:tcW w:w="715" w:type="pct"/>
            <w:vMerge w:val="restart"/>
            <w:noWrap w:val="0"/>
            <w:vAlign w:val="center"/>
          </w:tcPr>
          <w:p w14:paraId="59C47D06">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B2组织实施</w:t>
            </w:r>
          </w:p>
        </w:tc>
        <w:tc>
          <w:tcPr>
            <w:tcW w:w="1461" w:type="pct"/>
            <w:noWrap w:val="0"/>
            <w:vAlign w:val="center"/>
          </w:tcPr>
          <w:p w14:paraId="536C8C42">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B21管理制度健全性</w:t>
            </w:r>
          </w:p>
        </w:tc>
        <w:tc>
          <w:tcPr>
            <w:tcW w:w="450" w:type="pct"/>
            <w:noWrap w:val="0"/>
            <w:vAlign w:val="center"/>
          </w:tcPr>
          <w:p w14:paraId="17922CD8">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4</w:t>
            </w:r>
          </w:p>
        </w:tc>
        <w:tc>
          <w:tcPr>
            <w:tcW w:w="569" w:type="pct"/>
            <w:noWrap w:val="0"/>
            <w:vAlign w:val="center"/>
          </w:tcPr>
          <w:p w14:paraId="08E3D774">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健全</w:t>
            </w:r>
          </w:p>
        </w:tc>
        <w:tc>
          <w:tcPr>
            <w:tcW w:w="692" w:type="pct"/>
            <w:noWrap w:val="0"/>
            <w:vAlign w:val="center"/>
          </w:tcPr>
          <w:p w14:paraId="0728DBEA">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较</w:t>
            </w:r>
            <w:r>
              <w:rPr>
                <w:rFonts w:hint="eastAsia" w:ascii="仿宋_GB2312" w:hAnsi="仿宋_GB2312" w:cs="仿宋_GB2312"/>
                <w:b w:val="0"/>
                <w:bCs w:val="0"/>
                <w:sz w:val="24"/>
              </w:rPr>
              <w:t>健全</w:t>
            </w:r>
          </w:p>
        </w:tc>
        <w:tc>
          <w:tcPr>
            <w:tcW w:w="425" w:type="pct"/>
            <w:noWrap w:val="0"/>
            <w:vAlign w:val="center"/>
          </w:tcPr>
          <w:p w14:paraId="098352A1">
            <w:pPr>
              <w:spacing w:line="240" w:lineRule="auto"/>
              <w:ind w:firstLine="0" w:firstLineChars="0"/>
              <w:jc w:val="center"/>
              <w:rPr>
                <w:rFonts w:hint="default"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2</w:t>
            </w:r>
          </w:p>
        </w:tc>
      </w:tr>
      <w:tr w14:paraId="6FF2A7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85" w:type="pct"/>
            <w:vMerge w:val="continue"/>
            <w:noWrap w:val="0"/>
            <w:vAlign w:val="center"/>
          </w:tcPr>
          <w:p w14:paraId="720D2B92">
            <w:pPr>
              <w:spacing w:line="240" w:lineRule="auto"/>
              <w:ind w:firstLine="0" w:firstLineChars="0"/>
              <w:jc w:val="center"/>
              <w:rPr>
                <w:rFonts w:hint="eastAsia" w:ascii="仿宋_GB2312" w:hAnsi="仿宋_GB2312" w:cs="仿宋_GB2312"/>
                <w:b w:val="0"/>
                <w:bCs w:val="0"/>
                <w:sz w:val="24"/>
              </w:rPr>
            </w:pPr>
          </w:p>
        </w:tc>
        <w:tc>
          <w:tcPr>
            <w:tcW w:w="715" w:type="pct"/>
            <w:vMerge w:val="continue"/>
            <w:noWrap w:val="0"/>
            <w:vAlign w:val="center"/>
          </w:tcPr>
          <w:p w14:paraId="70A80939">
            <w:pPr>
              <w:spacing w:line="240" w:lineRule="auto"/>
              <w:ind w:firstLine="0" w:firstLineChars="0"/>
              <w:jc w:val="center"/>
              <w:rPr>
                <w:rFonts w:hint="eastAsia" w:ascii="仿宋_GB2312" w:hAnsi="仿宋_GB2312" w:cs="仿宋_GB2312"/>
                <w:b w:val="0"/>
                <w:bCs w:val="0"/>
                <w:sz w:val="24"/>
              </w:rPr>
            </w:pPr>
          </w:p>
        </w:tc>
        <w:tc>
          <w:tcPr>
            <w:tcW w:w="1461" w:type="pct"/>
            <w:noWrap w:val="0"/>
            <w:vAlign w:val="center"/>
          </w:tcPr>
          <w:p w14:paraId="7A1C296A">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B22制度执行有效性</w:t>
            </w:r>
          </w:p>
        </w:tc>
        <w:tc>
          <w:tcPr>
            <w:tcW w:w="450" w:type="pct"/>
            <w:noWrap w:val="0"/>
            <w:vAlign w:val="center"/>
          </w:tcPr>
          <w:p w14:paraId="6EB323FC">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4</w:t>
            </w:r>
          </w:p>
        </w:tc>
        <w:tc>
          <w:tcPr>
            <w:tcW w:w="569" w:type="pct"/>
            <w:noWrap w:val="0"/>
            <w:vAlign w:val="center"/>
          </w:tcPr>
          <w:p w14:paraId="49D1FDC3">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有效</w:t>
            </w:r>
          </w:p>
        </w:tc>
        <w:tc>
          <w:tcPr>
            <w:tcW w:w="692" w:type="pct"/>
            <w:noWrap w:val="0"/>
            <w:vAlign w:val="center"/>
          </w:tcPr>
          <w:p w14:paraId="3AAFD466">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无</w:t>
            </w:r>
            <w:r>
              <w:rPr>
                <w:rFonts w:hint="eastAsia" w:ascii="仿宋_GB2312" w:hAnsi="仿宋_GB2312" w:cs="仿宋_GB2312"/>
                <w:b w:val="0"/>
                <w:bCs w:val="0"/>
                <w:sz w:val="24"/>
              </w:rPr>
              <w:t>效</w:t>
            </w:r>
          </w:p>
        </w:tc>
        <w:tc>
          <w:tcPr>
            <w:tcW w:w="425" w:type="pct"/>
            <w:noWrap w:val="0"/>
            <w:vAlign w:val="center"/>
          </w:tcPr>
          <w:p w14:paraId="5DF10223">
            <w:pPr>
              <w:spacing w:line="240" w:lineRule="auto"/>
              <w:ind w:firstLine="0" w:firstLineChars="0"/>
              <w:jc w:val="center"/>
              <w:rPr>
                <w:rFonts w:hint="eastAsia" w:ascii="仿宋_GB2312" w:hAnsi="仿宋_GB2312" w:eastAsia="仿宋_GB2312" w:cs="仿宋_GB2312"/>
                <w:b w:val="0"/>
                <w:bCs w:val="0"/>
                <w:sz w:val="24"/>
                <w:lang w:eastAsia="zh-CN"/>
              </w:rPr>
            </w:pPr>
            <w:r>
              <w:rPr>
                <w:rFonts w:hint="eastAsia" w:ascii="仿宋_GB2312" w:hAnsi="仿宋_GB2312" w:cs="仿宋_GB2312"/>
                <w:b w:val="0"/>
                <w:bCs w:val="0"/>
                <w:sz w:val="24"/>
                <w:lang w:val="en-US" w:eastAsia="zh-CN"/>
              </w:rPr>
              <w:t>0</w:t>
            </w:r>
          </w:p>
        </w:tc>
      </w:tr>
      <w:tr w14:paraId="7ED563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85" w:type="pct"/>
            <w:noWrap w:val="0"/>
            <w:vAlign w:val="center"/>
          </w:tcPr>
          <w:p w14:paraId="15683432">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bCs/>
                <w:sz w:val="24"/>
              </w:rPr>
              <w:t>合计</w:t>
            </w:r>
          </w:p>
        </w:tc>
        <w:tc>
          <w:tcPr>
            <w:tcW w:w="715" w:type="pct"/>
            <w:noWrap w:val="0"/>
            <w:vAlign w:val="center"/>
          </w:tcPr>
          <w:p w14:paraId="2E91E845">
            <w:pPr>
              <w:spacing w:line="240" w:lineRule="auto"/>
              <w:ind w:firstLine="0" w:firstLineChars="0"/>
              <w:jc w:val="center"/>
              <w:rPr>
                <w:rFonts w:hint="eastAsia" w:ascii="仿宋_GB2312" w:hAnsi="仿宋_GB2312" w:cs="仿宋_GB2312"/>
                <w:b w:val="0"/>
                <w:bCs w:val="0"/>
                <w:sz w:val="24"/>
              </w:rPr>
            </w:pPr>
          </w:p>
        </w:tc>
        <w:tc>
          <w:tcPr>
            <w:tcW w:w="1461" w:type="pct"/>
            <w:noWrap w:val="0"/>
            <w:vAlign w:val="center"/>
          </w:tcPr>
          <w:p w14:paraId="5FF7E397">
            <w:pPr>
              <w:spacing w:line="240" w:lineRule="auto"/>
              <w:ind w:firstLine="0" w:firstLineChars="0"/>
              <w:jc w:val="center"/>
              <w:rPr>
                <w:rFonts w:hint="eastAsia" w:ascii="仿宋_GB2312" w:hAnsi="仿宋_GB2312" w:cs="仿宋_GB2312"/>
                <w:b w:val="0"/>
                <w:bCs w:val="0"/>
                <w:sz w:val="24"/>
              </w:rPr>
            </w:pPr>
          </w:p>
        </w:tc>
        <w:tc>
          <w:tcPr>
            <w:tcW w:w="450" w:type="pct"/>
            <w:noWrap w:val="0"/>
            <w:vAlign w:val="center"/>
          </w:tcPr>
          <w:p w14:paraId="5976954F">
            <w:pPr>
              <w:spacing w:line="240" w:lineRule="auto"/>
              <w:ind w:firstLine="0" w:firstLineChars="0"/>
              <w:jc w:val="center"/>
              <w:rPr>
                <w:rFonts w:hint="default"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20</w:t>
            </w:r>
          </w:p>
        </w:tc>
        <w:tc>
          <w:tcPr>
            <w:tcW w:w="569" w:type="pct"/>
            <w:noWrap w:val="0"/>
            <w:vAlign w:val="center"/>
          </w:tcPr>
          <w:p w14:paraId="4DB56BDF">
            <w:pPr>
              <w:spacing w:line="240" w:lineRule="auto"/>
              <w:ind w:firstLine="0" w:firstLineChars="0"/>
              <w:jc w:val="center"/>
              <w:rPr>
                <w:rFonts w:hint="eastAsia" w:ascii="仿宋_GB2312" w:hAnsi="仿宋_GB2312" w:cs="仿宋_GB2312"/>
                <w:b w:val="0"/>
                <w:bCs w:val="0"/>
                <w:sz w:val="24"/>
              </w:rPr>
            </w:pPr>
          </w:p>
        </w:tc>
        <w:tc>
          <w:tcPr>
            <w:tcW w:w="692" w:type="pct"/>
            <w:noWrap w:val="0"/>
            <w:vAlign w:val="center"/>
          </w:tcPr>
          <w:p w14:paraId="623E8F54">
            <w:pPr>
              <w:spacing w:line="240" w:lineRule="auto"/>
              <w:ind w:firstLine="0" w:firstLineChars="0"/>
              <w:jc w:val="center"/>
              <w:rPr>
                <w:rFonts w:hint="eastAsia" w:ascii="仿宋_GB2312" w:hAnsi="仿宋_GB2312" w:cs="仿宋_GB2312"/>
                <w:b w:val="0"/>
                <w:bCs w:val="0"/>
                <w:sz w:val="24"/>
              </w:rPr>
            </w:pPr>
          </w:p>
        </w:tc>
        <w:tc>
          <w:tcPr>
            <w:tcW w:w="425" w:type="pct"/>
            <w:noWrap w:val="0"/>
            <w:vAlign w:val="center"/>
          </w:tcPr>
          <w:p w14:paraId="4F21F963">
            <w:pPr>
              <w:spacing w:line="240" w:lineRule="auto"/>
              <w:ind w:firstLine="0" w:firstLineChars="0"/>
              <w:jc w:val="center"/>
              <w:rPr>
                <w:rFonts w:hint="default" w:ascii="仿宋_GB2312" w:hAnsi="仿宋_GB2312" w:cs="仿宋_GB2312"/>
                <w:b w:val="0"/>
                <w:bCs w:val="0"/>
                <w:sz w:val="24"/>
                <w:lang w:val="en-US"/>
              </w:rPr>
            </w:pPr>
            <w:r>
              <w:rPr>
                <w:rFonts w:hint="eastAsia" w:ascii="仿宋_GB2312" w:hAnsi="仿宋_GB2312" w:cs="仿宋_GB2312"/>
                <w:b w:val="0"/>
                <w:bCs w:val="0"/>
                <w:sz w:val="24"/>
                <w:lang w:val="en-US" w:eastAsia="zh-CN"/>
              </w:rPr>
              <w:t>14</w:t>
            </w:r>
          </w:p>
        </w:tc>
      </w:tr>
    </w:tbl>
    <w:p w14:paraId="62FC2CA2">
      <w:pPr>
        <w:keepNext w:val="0"/>
        <w:keepLines w:val="0"/>
        <w:pageBreakBefore w:val="0"/>
        <w:widowControl w:val="0"/>
        <w:kinsoku/>
        <w:wordWrap/>
        <w:overflowPunct/>
        <w:topLinePunct w:val="0"/>
        <w:autoSpaceDE/>
        <w:autoSpaceDN/>
        <w:bidi w:val="0"/>
        <w:adjustRightInd/>
        <w:snapToGrid/>
        <w:ind w:left="0" w:leftChars="0" w:firstLine="643" w:firstLineChars="200"/>
        <w:textAlignment w:val="auto"/>
        <w:outlineLvl w:val="9"/>
        <w:rPr>
          <w:rFonts w:hint="eastAsia"/>
          <w:b/>
          <w:bCs/>
          <w:kern w:val="0"/>
          <w:szCs w:val="32"/>
        </w:rPr>
      </w:pPr>
      <w:r>
        <w:rPr>
          <w:rFonts w:hint="eastAsia"/>
          <w:b/>
          <w:bCs/>
          <w:kern w:val="0"/>
          <w:szCs w:val="32"/>
        </w:rPr>
        <w:t>1.资金管理情况分析</w:t>
      </w:r>
    </w:p>
    <w:p w14:paraId="170015E5">
      <w:pPr>
        <w:ind w:firstLine="643"/>
        <w:rPr>
          <w:rFonts w:ascii="仿宋_GB2312"/>
          <w:kern w:val="0"/>
          <w:szCs w:val="32"/>
          <w:lang w:val="zh-CN"/>
        </w:rPr>
      </w:pPr>
      <w:r>
        <w:rPr>
          <w:rFonts w:hint="eastAsia" w:ascii="仿宋_GB2312"/>
          <w:b/>
          <w:bCs/>
          <w:kern w:val="0"/>
          <w:szCs w:val="32"/>
          <w:lang w:val="en-US" w:eastAsia="zh-CN"/>
        </w:rPr>
        <w:t>B11</w:t>
      </w:r>
      <w:r>
        <w:rPr>
          <w:rFonts w:hint="eastAsia" w:ascii="仿宋_GB2312"/>
          <w:b/>
          <w:bCs/>
          <w:kern w:val="0"/>
          <w:szCs w:val="32"/>
        </w:rPr>
        <w:t>资金到位率</w:t>
      </w:r>
      <w:r>
        <w:rPr>
          <w:rFonts w:hint="eastAsia" w:ascii="仿宋_GB2312"/>
          <w:b/>
          <w:bCs/>
          <w:kern w:val="0"/>
          <w:szCs w:val="32"/>
          <w:lang w:val="zh-CN"/>
        </w:rPr>
        <w:t>：满分</w:t>
      </w:r>
      <w:r>
        <w:rPr>
          <w:rFonts w:hint="eastAsia" w:ascii="仿宋_GB2312"/>
          <w:b/>
          <w:bCs/>
          <w:kern w:val="0"/>
          <w:szCs w:val="32"/>
        </w:rPr>
        <w:t>4</w:t>
      </w:r>
      <w:r>
        <w:rPr>
          <w:rFonts w:hint="eastAsia" w:ascii="仿宋_GB2312"/>
          <w:b/>
          <w:bCs/>
          <w:kern w:val="0"/>
          <w:szCs w:val="32"/>
          <w:lang w:val="zh-CN"/>
        </w:rPr>
        <w:t>分，得分</w:t>
      </w:r>
      <w:r>
        <w:rPr>
          <w:rFonts w:hint="eastAsia" w:ascii="仿宋_GB2312"/>
          <w:b/>
          <w:bCs/>
          <w:kern w:val="0"/>
          <w:szCs w:val="32"/>
        </w:rPr>
        <w:t>4</w:t>
      </w:r>
      <w:r>
        <w:rPr>
          <w:rFonts w:hint="eastAsia" w:ascii="仿宋_GB2312"/>
          <w:b/>
          <w:bCs/>
          <w:kern w:val="0"/>
          <w:szCs w:val="32"/>
          <w:lang w:val="zh-CN"/>
        </w:rPr>
        <w:t>分。</w:t>
      </w:r>
    </w:p>
    <w:p w14:paraId="0B198837">
      <w:pPr>
        <w:ind w:firstLine="640"/>
        <w:rPr>
          <w:rFonts w:ascii="仿宋_GB2312"/>
        </w:rPr>
      </w:pPr>
      <w:r>
        <w:rPr>
          <w:rFonts w:hint="eastAsia" w:ascii="仿宋_GB2312"/>
        </w:rPr>
        <w:t>本指标考核实际到位资金与预算资金的比率，用以反映和考核资金落实情况对项目实施的总体保障程度。</w:t>
      </w:r>
    </w:p>
    <w:p w14:paraId="5D4357D5">
      <w:pPr>
        <w:ind w:firstLine="640"/>
        <w:rPr>
          <w:rFonts w:hint="eastAsia" w:eastAsia="仿宋_GB2312"/>
          <w:lang w:val="en-US" w:eastAsia="zh-CN"/>
        </w:rPr>
      </w:pPr>
      <w:r>
        <w:rPr>
          <w:rFonts w:hint="eastAsia" w:ascii="仿宋_GB2312"/>
          <w:lang w:val="en-US" w:eastAsia="zh-CN"/>
        </w:rPr>
        <w:t>经评价组核实财务资料了解，</w:t>
      </w:r>
      <w:r>
        <w:rPr>
          <w:rFonts w:hint="eastAsia" w:ascii="仿宋_GB2312"/>
        </w:rPr>
        <w:t>本项目</w:t>
      </w:r>
      <w:r>
        <w:rPr>
          <w:rFonts w:hint="eastAsia" w:ascii="仿宋_GB2312"/>
          <w:lang w:val="en-US" w:eastAsia="zh-CN"/>
        </w:rPr>
        <w:t>申请</w:t>
      </w:r>
      <w:r>
        <w:rPr>
          <w:rFonts w:hint="eastAsia" w:ascii="仿宋_GB2312"/>
        </w:rPr>
        <w:t>资金</w:t>
      </w:r>
      <w:r>
        <w:rPr>
          <w:rFonts w:hint="eastAsia" w:ascii="仿宋_GB2312" w:hAnsi="仿宋" w:eastAsia="仿宋_GB2312" w:cs="Times New Roman"/>
          <w:kern w:val="0"/>
          <w:sz w:val="28"/>
          <w:szCs w:val="28"/>
          <w:lang w:val="en-US" w:eastAsia="zh-CN"/>
        </w:rPr>
        <w:t>1000</w:t>
      </w:r>
      <w:r>
        <w:rPr>
          <w:rFonts w:hint="eastAsia" w:ascii="仿宋_GB2312"/>
        </w:rPr>
        <w:t>万元，实际到位</w:t>
      </w:r>
      <w:r>
        <w:rPr>
          <w:rFonts w:hint="eastAsia" w:ascii="仿宋_GB2312" w:hAnsi="仿宋" w:eastAsia="仿宋_GB2312" w:cs="Times New Roman"/>
          <w:kern w:val="0"/>
          <w:sz w:val="28"/>
          <w:szCs w:val="28"/>
          <w:lang w:val="en-US" w:eastAsia="zh-CN"/>
        </w:rPr>
        <w:t>1000</w:t>
      </w:r>
      <w:r>
        <w:rPr>
          <w:rFonts w:hint="eastAsia" w:ascii="仿宋_GB2312"/>
        </w:rPr>
        <w:t>万元，（实际到位资金/预算资金）×100%计算得分。资金到位率=</w:t>
      </w:r>
      <w:r>
        <w:rPr>
          <w:rFonts w:hint="eastAsia" w:ascii="仿宋_GB2312" w:hAnsi="仿宋" w:eastAsia="仿宋_GB2312" w:cs="Times New Roman"/>
          <w:kern w:val="0"/>
          <w:sz w:val="28"/>
          <w:szCs w:val="28"/>
          <w:lang w:val="en-US" w:eastAsia="zh-CN"/>
        </w:rPr>
        <w:t>1000</w:t>
      </w:r>
      <w:r>
        <w:rPr>
          <w:rFonts w:hint="eastAsia" w:ascii="仿宋_GB2312"/>
        </w:rPr>
        <w:t>/</w:t>
      </w:r>
      <w:r>
        <w:rPr>
          <w:rFonts w:hint="eastAsia" w:ascii="仿宋_GB2312" w:hAnsi="仿宋" w:eastAsia="仿宋_GB2312" w:cs="Times New Roman"/>
          <w:kern w:val="0"/>
          <w:sz w:val="28"/>
          <w:szCs w:val="28"/>
          <w:lang w:val="en-US" w:eastAsia="zh-CN"/>
        </w:rPr>
        <w:t>1000</w:t>
      </w:r>
      <w:r>
        <w:rPr>
          <w:rFonts w:hint="eastAsia" w:ascii="仿宋_GB2312"/>
        </w:rPr>
        <w:t>×100%=</w:t>
      </w:r>
      <w:r>
        <w:rPr>
          <w:rFonts w:hint="eastAsia" w:ascii="仿宋_GB2312"/>
          <w:lang w:val="en-US" w:eastAsia="zh-CN"/>
        </w:rPr>
        <w:t>100%</w:t>
      </w:r>
      <w:r>
        <w:rPr>
          <w:rFonts w:hint="eastAsia" w:ascii="仿宋_GB2312"/>
        </w:rPr>
        <w:t>。资金到位率100%</w:t>
      </w:r>
      <w:r>
        <w:rPr>
          <w:rFonts w:hint="eastAsia" w:ascii="仿宋_GB2312"/>
          <w:lang w:eastAsia="zh-CN"/>
        </w:rPr>
        <w:t>。</w:t>
      </w:r>
    </w:p>
    <w:p w14:paraId="1CE368B4">
      <w:pPr>
        <w:ind w:firstLine="640"/>
        <w:rPr>
          <w:rFonts w:ascii="仿宋_GB2312"/>
        </w:rPr>
      </w:pPr>
      <w:r>
        <w:rPr>
          <w:rFonts w:hint="eastAsia" w:ascii="仿宋_GB2312"/>
        </w:rPr>
        <w:t>根据评分标准：</w:t>
      </w:r>
      <w:r>
        <w:rPr>
          <w:rFonts w:hint="eastAsia" w:ascii="仿宋_GB2312"/>
          <w:lang w:val="en-US" w:eastAsia="zh-CN"/>
        </w:rPr>
        <w:t>满分4分，得分4分</w:t>
      </w:r>
      <w:r>
        <w:rPr>
          <w:rFonts w:hint="eastAsia" w:ascii="仿宋_GB2312"/>
        </w:rPr>
        <w:t>。</w:t>
      </w:r>
    </w:p>
    <w:p w14:paraId="6024B21A">
      <w:pPr>
        <w:ind w:firstLine="643"/>
        <w:rPr>
          <w:rFonts w:ascii="仿宋_GB2312"/>
          <w:kern w:val="0"/>
          <w:szCs w:val="32"/>
        </w:rPr>
      </w:pPr>
      <w:r>
        <w:rPr>
          <w:rFonts w:hint="eastAsia" w:ascii="仿宋_GB2312"/>
          <w:b/>
          <w:bCs/>
          <w:kern w:val="0"/>
          <w:szCs w:val="32"/>
          <w:lang w:val="en-US" w:eastAsia="zh-CN"/>
        </w:rPr>
        <w:t>B12</w:t>
      </w:r>
      <w:r>
        <w:rPr>
          <w:rFonts w:hint="eastAsia" w:ascii="仿宋_GB2312"/>
          <w:b/>
          <w:bCs/>
          <w:kern w:val="0"/>
          <w:szCs w:val="32"/>
        </w:rPr>
        <w:t>预算执行率</w:t>
      </w:r>
      <w:r>
        <w:rPr>
          <w:rFonts w:hint="eastAsia" w:ascii="仿宋_GB2312"/>
          <w:b/>
          <w:bCs/>
          <w:kern w:val="0"/>
          <w:szCs w:val="32"/>
          <w:lang w:val="zh-CN"/>
        </w:rPr>
        <w:t>：满分</w:t>
      </w:r>
      <w:r>
        <w:rPr>
          <w:rFonts w:hint="eastAsia" w:ascii="仿宋_GB2312"/>
          <w:b/>
          <w:bCs/>
          <w:kern w:val="0"/>
          <w:szCs w:val="32"/>
        </w:rPr>
        <w:t>4</w:t>
      </w:r>
      <w:r>
        <w:rPr>
          <w:rFonts w:hint="eastAsia" w:ascii="仿宋_GB2312"/>
          <w:b/>
          <w:bCs/>
          <w:kern w:val="0"/>
          <w:szCs w:val="32"/>
          <w:lang w:val="zh-CN"/>
        </w:rPr>
        <w:t>分，得分</w:t>
      </w:r>
      <w:r>
        <w:rPr>
          <w:rFonts w:hint="eastAsia" w:ascii="仿宋_GB2312"/>
          <w:b/>
          <w:bCs/>
          <w:kern w:val="0"/>
          <w:szCs w:val="32"/>
          <w:lang w:val="en-US" w:eastAsia="zh-CN"/>
        </w:rPr>
        <w:t>4</w:t>
      </w:r>
      <w:r>
        <w:rPr>
          <w:rFonts w:hint="eastAsia" w:ascii="仿宋_GB2312"/>
          <w:b/>
          <w:bCs/>
          <w:kern w:val="0"/>
          <w:szCs w:val="32"/>
          <w:lang w:val="zh-CN"/>
        </w:rPr>
        <w:t>分。</w:t>
      </w:r>
    </w:p>
    <w:p w14:paraId="27730810">
      <w:pPr>
        <w:ind w:firstLine="640"/>
        <w:rPr>
          <w:rFonts w:hint="eastAsia" w:ascii="仿宋_GB2312" w:eastAsia="仿宋_GB2312"/>
          <w:lang w:eastAsia="zh-CN"/>
        </w:rPr>
      </w:pPr>
      <w:r>
        <w:rPr>
          <w:rFonts w:hint="eastAsia" w:ascii="仿宋_GB2312"/>
        </w:rPr>
        <w:t>本指标考核项目预算资金是否按照计划执行，用以反映或考核项目预算执行情况</w:t>
      </w:r>
      <w:r>
        <w:rPr>
          <w:rFonts w:hint="eastAsia" w:ascii="仿宋_GB2312"/>
          <w:lang w:eastAsia="zh-CN"/>
        </w:rPr>
        <w:t>。</w:t>
      </w:r>
    </w:p>
    <w:p w14:paraId="63B38864">
      <w:pPr>
        <w:ind w:firstLine="640"/>
        <w:rPr>
          <w:rFonts w:ascii="仿宋_GB2312"/>
        </w:rPr>
      </w:pPr>
      <w:r>
        <w:rPr>
          <w:rFonts w:hint="eastAsia" w:ascii="仿宋_GB2312"/>
          <w:lang w:val="en-US" w:eastAsia="zh-CN"/>
        </w:rPr>
        <w:t>根据评价组财务核实可知，</w:t>
      </w:r>
      <w:r>
        <w:rPr>
          <w:rFonts w:hint="eastAsia" w:ascii="仿宋_GB2312"/>
        </w:rPr>
        <w:t>预算执行率=（实际支出资金/实际到位资金）×100%。本项目实际到位资金</w:t>
      </w:r>
      <w:r>
        <w:rPr>
          <w:rFonts w:hint="eastAsia" w:ascii="仿宋_GB2312" w:hAnsi="仿宋" w:eastAsia="仿宋_GB2312" w:cs="Times New Roman"/>
          <w:kern w:val="0"/>
          <w:sz w:val="28"/>
          <w:szCs w:val="28"/>
          <w:lang w:val="en-US" w:eastAsia="zh-CN"/>
        </w:rPr>
        <w:t>1000</w:t>
      </w:r>
      <w:r>
        <w:rPr>
          <w:rFonts w:hint="eastAsia" w:ascii="仿宋_GB2312"/>
        </w:rPr>
        <w:t>万元，截止2021年12月31日，</w:t>
      </w:r>
      <w:r>
        <w:rPr>
          <w:rFonts w:hint="eastAsia" w:ascii="仿宋_GB2312"/>
          <w:lang w:val="en-US" w:eastAsia="zh-CN"/>
        </w:rPr>
        <w:t>实际支出资金</w:t>
      </w:r>
      <w:r>
        <w:rPr>
          <w:rFonts w:hint="eastAsia" w:ascii="仿宋_GB2312" w:hAnsi="仿宋" w:eastAsia="仿宋_GB2312" w:cs="Times New Roman"/>
          <w:kern w:val="0"/>
          <w:sz w:val="28"/>
          <w:szCs w:val="28"/>
          <w:lang w:val="en-US" w:eastAsia="zh-CN"/>
        </w:rPr>
        <w:t>1000</w:t>
      </w:r>
      <w:r>
        <w:rPr>
          <w:rFonts w:hint="eastAsia" w:ascii="仿宋_GB2312"/>
        </w:rPr>
        <w:t>万元</w:t>
      </w:r>
      <w:r>
        <w:rPr>
          <w:rFonts w:hint="eastAsia" w:ascii="仿宋_GB2312"/>
          <w:lang w:val="en-US" w:eastAsia="zh-CN"/>
        </w:rPr>
        <w:t>。实际</w:t>
      </w:r>
      <w:r>
        <w:rPr>
          <w:rFonts w:hint="eastAsia" w:ascii="仿宋_GB2312"/>
        </w:rPr>
        <w:t>预算执行率=</w:t>
      </w:r>
      <w:r>
        <w:rPr>
          <w:rFonts w:hint="eastAsia" w:ascii="仿宋_GB2312" w:hAnsi="仿宋" w:eastAsia="仿宋_GB2312" w:cs="Times New Roman"/>
          <w:kern w:val="0"/>
          <w:sz w:val="28"/>
          <w:szCs w:val="28"/>
          <w:lang w:val="en-US" w:eastAsia="zh-CN"/>
        </w:rPr>
        <w:t>1000</w:t>
      </w:r>
      <w:r>
        <w:rPr>
          <w:rFonts w:hint="eastAsia" w:ascii="仿宋_GB2312"/>
        </w:rPr>
        <w:t>/</w:t>
      </w:r>
      <w:r>
        <w:rPr>
          <w:rFonts w:hint="eastAsia" w:ascii="仿宋_GB2312" w:hAnsi="仿宋" w:eastAsia="仿宋_GB2312" w:cs="Times New Roman"/>
          <w:kern w:val="0"/>
          <w:sz w:val="28"/>
          <w:szCs w:val="28"/>
          <w:lang w:val="en-US" w:eastAsia="zh-CN"/>
        </w:rPr>
        <w:t>1000</w:t>
      </w:r>
      <w:r>
        <w:rPr>
          <w:rFonts w:hint="eastAsia" w:ascii="仿宋_GB2312"/>
        </w:rPr>
        <w:t>×100%=</w:t>
      </w:r>
      <w:r>
        <w:rPr>
          <w:rFonts w:hint="eastAsia" w:ascii="仿宋_GB2312"/>
          <w:lang w:val="en-US" w:eastAsia="zh-CN"/>
        </w:rPr>
        <w:t>100</w:t>
      </w:r>
      <w:r>
        <w:rPr>
          <w:rFonts w:hint="eastAsia" w:ascii="仿宋_GB2312"/>
        </w:rPr>
        <w:t>%。</w:t>
      </w:r>
    </w:p>
    <w:p w14:paraId="42AFD6C2">
      <w:pPr>
        <w:ind w:firstLine="640"/>
        <w:rPr>
          <w:rFonts w:ascii="仿宋_GB2312"/>
        </w:rPr>
      </w:pPr>
      <w:r>
        <w:rPr>
          <w:rFonts w:hint="eastAsia" w:ascii="仿宋_GB2312"/>
        </w:rPr>
        <w:t>根据评分标准：</w:t>
      </w:r>
      <w:r>
        <w:rPr>
          <w:rFonts w:hint="eastAsia" w:ascii="仿宋_GB2312"/>
          <w:lang w:val="en-US" w:eastAsia="zh-CN"/>
        </w:rPr>
        <w:t>满分4分，得分4分</w:t>
      </w:r>
      <w:r>
        <w:rPr>
          <w:rFonts w:hint="eastAsia" w:ascii="仿宋_GB2312"/>
        </w:rPr>
        <w:t>。</w:t>
      </w:r>
    </w:p>
    <w:p w14:paraId="73B8E8D0">
      <w:pPr>
        <w:autoSpaceDE w:val="0"/>
        <w:autoSpaceDN w:val="0"/>
        <w:adjustRightInd w:val="0"/>
        <w:ind w:firstLine="643"/>
        <w:rPr>
          <w:rFonts w:ascii="仿宋_GB2312"/>
          <w:kern w:val="0"/>
          <w:szCs w:val="32"/>
        </w:rPr>
      </w:pPr>
      <w:r>
        <w:rPr>
          <w:rFonts w:hint="eastAsia" w:ascii="仿宋_GB2312"/>
          <w:b/>
          <w:bCs/>
          <w:kern w:val="0"/>
          <w:szCs w:val="32"/>
          <w:lang w:val="en-US" w:eastAsia="zh-CN"/>
        </w:rPr>
        <w:t>B13</w:t>
      </w:r>
      <w:r>
        <w:rPr>
          <w:rFonts w:hint="eastAsia" w:ascii="仿宋_GB2312"/>
          <w:b/>
          <w:bCs/>
          <w:kern w:val="0"/>
          <w:szCs w:val="32"/>
        </w:rPr>
        <w:t>资金使用合规性：满分4分，得</w:t>
      </w:r>
      <w:r>
        <w:rPr>
          <w:rFonts w:hint="eastAsia" w:ascii="仿宋_GB2312"/>
          <w:b/>
          <w:bCs/>
          <w:kern w:val="0"/>
          <w:szCs w:val="32"/>
          <w:lang w:val="zh-CN"/>
        </w:rPr>
        <w:t>分</w:t>
      </w:r>
      <w:r>
        <w:rPr>
          <w:rFonts w:hint="eastAsia" w:ascii="仿宋_GB2312"/>
          <w:b/>
          <w:bCs/>
          <w:kern w:val="0"/>
          <w:szCs w:val="32"/>
        </w:rPr>
        <w:t>4分。</w:t>
      </w:r>
    </w:p>
    <w:p w14:paraId="36BD48F0">
      <w:pPr>
        <w:ind w:firstLine="640"/>
        <w:rPr>
          <w:rFonts w:ascii="仿宋_GB2312"/>
        </w:rPr>
      </w:pPr>
      <w:r>
        <w:rPr>
          <w:rFonts w:hint="eastAsia" w:ascii="仿宋_GB2312"/>
        </w:rPr>
        <w:t>本指标考核项目资金使用是否符合相关的财务管理制度规定，用以反映和考核项目资金的规范运行情况。</w:t>
      </w:r>
    </w:p>
    <w:p w14:paraId="1072F4B1">
      <w:pPr>
        <w:pStyle w:val="7"/>
        <w:rPr>
          <w:rFonts w:hint="eastAsia" w:ascii="仿宋_GB2312" w:hAnsi="Times New Roman" w:eastAsia="仿宋_GB2312" w:cs="Times New Roman"/>
          <w:kern w:val="2"/>
          <w:sz w:val="32"/>
          <w:szCs w:val="24"/>
          <w:lang w:val="en-US" w:eastAsia="zh-CN" w:bidi="ar-SA"/>
        </w:rPr>
      </w:pPr>
      <w:r>
        <w:rPr>
          <w:rFonts w:hint="eastAsia" w:ascii="仿宋_GB2312" w:hAnsi="Times New Roman" w:eastAsia="仿宋_GB2312" w:cs="Times New Roman"/>
          <w:kern w:val="2"/>
          <w:sz w:val="32"/>
          <w:szCs w:val="24"/>
          <w:lang w:val="en-US" w:eastAsia="zh-CN" w:bidi="ar-SA"/>
        </w:rPr>
        <w:t>该项目已支付资金均为通过古县财政局直接支付，经查阅凭证及原始单据等财务资料，申请支付资料齐全，资金使用审批手续完备，凭证的入账依据充分。未发现存在挪用、挤占、虚列、套取支出的情况，资金支出财务处理规范。</w:t>
      </w:r>
    </w:p>
    <w:p w14:paraId="7569E0E8">
      <w:pPr>
        <w:ind w:firstLine="640"/>
        <w:rPr>
          <w:rFonts w:ascii="仿宋_GB2312"/>
        </w:rPr>
      </w:pPr>
      <w:r>
        <w:rPr>
          <w:rFonts w:hint="eastAsia" w:ascii="仿宋_GB2312"/>
        </w:rPr>
        <w:t>根据评分标准：</w:t>
      </w:r>
      <w:r>
        <w:rPr>
          <w:rFonts w:hint="eastAsia" w:ascii="仿宋_GB2312"/>
          <w:lang w:val="en-US" w:eastAsia="zh-CN"/>
        </w:rPr>
        <w:t>满分4分，得分4分</w:t>
      </w:r>
      <w:r>
        <w:rPr>
          <w:rFonts w:hint="eastAsia" w:ascii="仿宋_GB2312"/>
        </w:rPr>
        <w:t>。</w:t>
      </w:r>
    </w:p>
    <w:p w14:paraId="79E336E3">
      <w:pPr>
        <w:keepNext w:val="0"/>
        <w:keepLines w:val="0"/>
        <w:pageBreakBefore w:val="0"/>
        <w:widowControl w:val="0"/>
        <w:kinsoku/>
        <w:wordWrap/>
        <w:overflowPunct/>
        <w:topLinePunct w:val="0"/>
        <w:autoSpaceDE/>
        <w:autoSpaceDN/>
        <w:bidi w:val="0"/>
        <w:adjustRightInd/>
        <w:snapToGrid/>
        <w:ind w:left="0" w:leftChars="0" w:firstLine="643" w:firstLineChars="200"/>
        <w:textAlignment w:val="auto"/>
        <w:outlineLvl w:val="9"/>
        <w:rPr>
          <w:rFonts w:hint="eastAsia"/>
          <w:b/>
          <w:bCs/>
          <w:kern w:val="0"/>
          <w:szCs w:val="32"/>
        </w:rPr>
      </w:pPr>
      <w:r>
        <w:rPr>
          <w:rFonts w:hint="eastAsia"/>
          <w:b/>
          <w:bCs/>
          <w:kern w:val="0"/>
          <w:szCs w:val="32"/>
        </w:rPr>
        <w:t>2.组织实施情况分析</w:t>
      </w:r>
    </w:p>
    <w:p w14:paraId="376F2995">
      <w:pPr>
        <w:ind w:firstLine="643"/>
        <w:rPr>
          <w:rFonts w:ascii="仿宋_GB2312"/>
          <w:kern w:val="0"/>
          <w:szCs w:val="32"/>
        </w:rPr>
      </w:pPr>
      <w:r>
        <w:rPr>
          <w:rFonts w:hint="eastAsia" w:ascii="仿宋_GB2312"/>
          <w:b/>
          <w:bCs/>
          <w:kern w:val="0"/>
          <w:szCs w:val="32"/>
          <w:lang w:val="en-US" w:eastAsia="zh-CN"/>
        </w:rPr>
        <w:t>B21</w:t>
      </w:r>
      <w:r>
        <w:rPr>
          <w:rFonts w:hint="eastAsia" w:ascii="仿宋_GB2312"/>
          <w:b/>
          <w:bCs/>
          <w:kern w:val="0"/>
          <w:szCs w:val="32"/>
        </w:rPr>
        <w:t>管理制度健全性：满分</w:t>
      </w:r>
      <w:r>
        <w:rPr>
          <w:rFonts w:hint="eastAsia" w:ascii="仿宋_GB2312"/>
          <w:b/>
          <w:bCs/>
          <w:kern w:val="0"/>
          <w:szCs w:val="32"/>
          <w:lang w:val="en-US" w:eastAsia="zh-CN"/>
        </w:rPr>
        <w:t>4</w:t>
      </w:r>
      <w:r>
        <w:rPr>
          <w:rFonts w:hint="eastAsia" w:ascii="仿宋_GB2312"/>
          <w:b/>
          <w:bCs/>
          <w:kern w:val="0"/>
          <w:szCs w:val="32"/>
        </w:rPr>
        <w:t>分，得</w:t>
      </w:r>
      <w:r>
        <w:rPr>
          <w:rFonts w:hint="eastAsia" w:ascii="仿宋_GB2312"/>
          <w:b/>
          <w:bCs/>
          <w:kern w:val="0"/>
          <w:szCs w:val="32"/>
          <w:lang w:val="zh-CN"/>
        </w:rPr>
        <w:t>分</w:t>
      </w:r>
      <w:r>
        <w:rPr>
          <w:rFonts w:hint="eastAsia" w:ascii="仿宋_GB2312"/>
          <w:b/>
          <w:bCs/>
          <w:kern w:val="0"/>
          <w:szCs w:val="32"/>
          <w:lang w:val="en-US" w:eastAsia="zh-CN"/>
        </w:rPr>
        <w:t>2</w:t>
      </w:r>
      <w:r>
        <w:rPr>
          <w:rFonts w:hint="eastAsia" w:ascii="仿宋_GB2312"/>
          <w:b/>
          <w:bCs/>
          <w:kern w:val="0"/>
          <w:szCs w:val="32"/>
        </w:rPr>
        <w:t>分。</w:t>
      </w:r>
    </w:p>
    <w:p w14:paraId="495C2161">
      <w:pPr>
        <w:ind w:firstLine="640"/>
        <w:rPr>
          <w:rFonts w:ascii="仿宋_GB2312"/>
        </w:rPr>
      </w:pPr>
      <w:r>
        <w:rPr>
          <w:rFonts w:hint="eastAsia" w:ascii="仿宋_GB2312"/>
        </w:rPr>
        <w:t>本指标考核</w:t>
      </w:r>
      <w:r>
        <w:rPr>
          <w:rFonts w:hint="eastAsia" w:ascii="仿宋_GB2312"/>
          <w:lang w:val="en-US" w:eastAsia="zh-CN"/>
        </w:rPr>
        <w:t>中国共产党古县委员会</w:t>
      </w:r>
      <w:r>
        <w:rPr>
          <w:rFonts w:hint="eastAsia" w:ascii="仿宋_GB2312"/>
        </w:rPr>
        <w:t>的财务和业务管理制度是否健全，用以反映和考核财务和业务管理制度对项目顺利实施的保障情况。</w:t>
      </w:r>
    </w:p>
    <w:p w14:paraId="587036C0">
      <w:pPr>
        <w:ind w:firstLine="640"/>
        <w:rPr>
          <w:rFonts w:hint="eastAsia" w:ascii="仿宋_GB2312"/>
        </w:rPr>
      </w:pPr>
      <w:r>
        <w:rPr>
          <w:rFonts w:hint="eastAsia" w:ascii="仿宋_GB2312"/>
          <w:lang w:val="en-US" w:eastAsia="zh-CN"/>
        </w:rPr>
        <w:t>经评价组查阅资料了解，中国共产党古县委员会制定了《古县县委党校改扩建项目实施方案》</w:t>
      </w:r>
      <w:r>
        <w:rPr>
          <w:rFonts w:hint="eastAsia" w:ascii="仿宋_GB2312"/>
        </w:rPr>
        <w:t>、《财务管理制度》</w:t>
      </w:r>
      <w:r>
        <w:rPr>
          <w:rFonts w:hint="eastAsia" w:ascii="仿宋_GB2312"/>
          <w:lang w:eastAsia="zh-CN"/>
        </w:rPr>
        <w:t>、《</w:t>
      </w:r>
      <w:r>
        <w:rPr>
          <w:rFonts w:hint="eastAsia" w:ascii="仿宋_GB2312"/>
          <w:lang w:val="en-US" w:eastAsia="zh-CN"/>
        </w:rPr>
        <w:t>项目管理制度</w:t>
      </w:r>
      <w:r>
        <w:rPr>
          <w:rFonts w:hint="eastAsia" w:ascii="仿宋_GB2312"/>
          <w:lang w:eastAsia="zh-CN"/>
        </w:rPr>
        <w:t>》、《</w:t>
      </w:r>
      <w:r>
        <w:rPr>
          <w:rFonts w:hint="eastAsia" w:ascii="仿宋_GB2312"/>
          <w:lang w:val="en-US" w:eastAsia="zh-CN"/>
        </w:rPr>
        <w:t>专项资金管理制度</w:t>
      </w:r>
      <w:r>
        <w:rPr>
          <w:rFonts w:hint="eastAsia" w:ascii="仿宋_GB2312"/>
          <w:lang w:eastAsia="zh-CN"/>
        </w:rPr>
        <w:t>》、《</w:t>
      </w:r>
      <w:r>
        <w:rPr>
          <w:rFonts w:hint="eastAsia" w:ascii="仿宋_GB2312"/>
          <w:lang w:val="en-US" w:eastAsia="zh-CN"/>
        </w:rPr>
        <w:t>人员管理制度</w:t>
      </w:r>
      <w:r>
        <w:rPr>
          <w:rFonts w:hint="eastAsia" w:ascii="仿宋_GB2312"/>
          <w:lang w:eastAsia="zh-CN"/>
        </w:rPr>
        <w:t>》</w:t>
      </w:r>
      <w:r>
        <w:rPr>
          <w:rFonts w:hint="eastAsia" w:ascii="仿宋_GB2312"/>
          <w:lang w:val="en-US" w:eastAsia="zh-CN"/>
        </w:rPr>
        <w:t>等办法，但未制定《档案管理制度》；山西一建集团有限公司制定《安全施工管理制度》、《档案管理制度》、《项目管理制度》等相关业务管理制度。从监督、安全等方面规范业务管理，项目单位业务管理制度完整、合规。</w:t>
      </w:r>
      <w:r>
        <w:rPr>
          <w:rFonts w:hint="eastAsia" w:ascii="仿宋_GB2312"/>
        </w:rPr>
        <w:t>。</w:t>
      </w:r>
    </w:p>
    <w:p w14:paraId="4C393880">
      <w:pPr>
        <w:ind w:firstLine="640"/>
        <w:rPr>
          <w:rFonts w:ascii="仿宋_GB2312"/>
        </w:rPr>
      </w:pPr>
      <w:r>
        <w:rPr>
          <w:rFonts w:hint="eastAsia" w:ascii="仿宋_GB2312"/>
        </w:rPr>
        <w:t>根据评分标准：</w:t>
      </w:r>
      <w:r>
        <w:rPr>
          <w:rFonts w:hint="eastAsia" w:ascii="仿宋_GB2312"/>
          <w:lang w:val="en-US" w:eastAsia="zh-CN"/>
        </w:rPr>
        <w:t>满分4分，得分2分</w:t>
      </w:r>
      <w:r>
        <w:rPr>
          <w:rFonts w:hint="eastAsia" w:ascii="仿宋_GB2312"/>
        </w:rPr>
        <w:t>。</w:t>
      </w:r>
    </w:p>
    <w:p w14:paraId="6F59D1BD">
      <w:pPr>
        <w:ind w:firstLine="643"/>
        <w:rPr>
          <w:rFonts w:ascii="仿宋_GB2312"/>
          <w:b/>
          <w:bCs/>
          <w:kern w:val="0"/>
          <w:szCs w:val="32"/>
          <w:lang w:val="zh-CN"/>
        </w:rPr>
      </w:pPr>
      <w:r>
        <w:rPr>
          <w:rFonts w:hint="eastAsia" w:ascii="仿宋_GB2312"/>
          <w:b/>
          <w:bCs/>
          <w:kern w:val="0"/>
          <w:szCs w:val="32"/>
          <w:lang w:val="en-US" w:eastAsia="zh-CN"/>
        </w:rPr>
        <w:t>B22</w:t>
      </w:r>
      <w:r>
        <w:rPr>
          <w:rFonts w:hint="eastAsia" w:ascii="仿宋_GB2312"/>
          <w:b/>
          <w:bCs/>
          <w:kern w:val="0"/>
          <w:szCs w:val="32"/>
          <w:highlight w:val="none"/>
          <w:lang w:val="zh-CN"/>
        </w:rPr>
        <w:t>制度执行有效性：</w:t>
      </w:r>
      <w:r>
        <w:rPr>
          <w:rFonts w:hint="eastAsia" w:ascii="仿宋_GB2312"/>
          <w:b/>
          <w:bCs/>
          <w:kern w:val="0"/>
          <w:szCs w:val="32"/>
          <w:lang w:val="zh-CN"/>
        </w:rPr>
        <w:t>满分</w:t>
      </w:r>
      <w:r>
        <w:rPr>
          <w:rFonts w:hint="eastAsia" w:ascii="仿宋_GB2312"/>
          <w:b/>
          <w:bCs/>
          <w:kern w:val="0"/>
          <w:szCs w:val="32"/>
          <w:lang w:val="en-US" w:eastAsia="zh-CN"/>
        </w:rPr>
        <w:t>4</w:t>
      </w:r>
      <w:r>
        <w:rPr>
          <w:rFonts w:hint="eastAsia" w:ascii="仿宋_GB2312"/>
          <w:b/>
          <w:bCs/>
          <w:kern w:val="0"/>
          <w:szCs w:val="32"/>
          <w:lang w:val="zh-CN"/>
        </w:rPr>
        <w:t>分，得分</w:t>
      </w:r>
      <w:r>
        <w:rPr>
          <w:rFonts w:hint="eastAsia" w:ascii="仿宋_GB2312"/>
          <w:b/>
          <w:bCs/>
          <w:kern w:val="0"/>
          <w:szCs w:val="32"/>
          <w:lang w:val="en-US" w:eastAsia="zh-CN"/>
        </w:rPr>
        <w:t>0</w:t>
      </w:r>
      <w:r>
        <w:rPr>
          <w:rFonts w:hint="eastAsia" w:ascii="仿宋_GB2312"/>
          <w:b/>
          <w:bCs/>
          <w:kern w:val="0"/>
          <w:szCs w:val="32"/>
          <w:lang w:val="zh-CN"/>
        </w:rPr>
        <w:t>分。</w:t>
      </w:r>
    </w:p>
    <w:p w14:paraId="1CCD8C6F">
      <w:pPr>
        <w:ind w:firstLine="640"/>
        <w:rPr>
          <w:rFonts w:ascii="仿宋_GB2312"/>
        </w:rPr>
      </w:pPr>
      <w:r>
        <w:rPr>
          <w:rFonts w:hint="eastAsia" w:ascii="仿宋_GB2312"/>
        </w:rPr>
        <w:t>本指标用以反映和考核项目实施是否符合相关管理规定，用以反映和考核相关管理制度的有效执行情况。</w:t>
      </w:r>
    </w:p>
    <w:p w14:paraId="105D4822">
      <w:pPr>
        <w:ind w:firstLine="640"/>
        <w:rPr>
          <w:rFonts w:hint="eastAsia" w:ascii="仿宋_GB2312" w:hAnsi="Times New Roman" w:eastAsia="仿宋_GB2312" w:cs="Times New Roman"/>
          <w:kern w:val="2"/>
          <w:sz w:val="32"/>
          <w:szCs w:val="24"/>
          <w:lang w:val="en-US" w:eastAsia="zh-CN" w:bidi="ar-SA"/>
        </w:rPr>
      </w:pPr>
      <w:r>
        <w:rPr>
          <w:rFonts w:hint="eastAsia" w:ascii="仿宋_GB2312"/>
          <w:lang w:val="en-US" w:eastAsia="zh-CN"/>
        </w:rPr>
        <w:t>经评价组查阅资料、访问了解，</w:t>
      </w:r>
      <w:r>
        <w:rPr>
          <w:rFonts w:hint="eastAsia" w:ascii="仿宋_GB2312" w:hAnsi="Times New Roman" w:eastAsia="仿宋_GB2312" w:cs="Times New Roman"/>
          <w:kern w:val="2"/>
          <w:sz w:val="32"/>
          <w:szCs w:val="24"/>
          <w:lang w:val="en-US" w:eastAsia="zh-CN" w:bidi="ar-SA"/>
        </w:rPr>
        <w:t>该项目</w:t>
      </w:r>
      <w:r>
        <w:rPr>
          <w:rFonts w:hint="eastAsia" w:ascii="仿宋_GB2312" w:cs="Times New Roman"/>
          <w:kern w:val="2"/>
          <w:sz w:val="32"/>
          <w:szCs w:val="24"/>
          <w:lang w:val="en-US" w:eastAsia="zh-CN" w:bidi="ar-SA"/>
        </w:rPr>
        <w:t>合同内容约定计划开工日期为2020年6月20日，计划竣工日期为2021年11月11日，实际截止绩效评价日未竣工验收，制度执行有效性差</w:t>
      </w:r>
      <w:r>
        <w:rPr>
          <w:rFonts w:hint="eastAsia" w:ascii="仿宋_GB2312"/>
          <w:lang w:val="en-US" w:eastAsia="zh-CN"/>
        </w:rPr>
        <w:t>。</w:t>
      </w:r>
    </w:p>
    <w:p w14:paraId="2C636779">
      <w:pPr>
        <w:ind w:firstLine="643"/>
        <w:rPr>
          <w:rFonts w:hint="eastAsia" w:ascii="仿宋_GB2312"/>
        </w:rPr>
      </w:pPr>
      <w:r>
        <w:rPr>
          <w:rFonts w:hint="eastAsia" w:ascii="仿宋_GB2312"/>
        </w:rPr>
        <w:t>根据评分标准：</w:t>
      </w:r>
      <w:r>
        <w:rPr>
          <w:rFonts w:hint="eastAsia" w:ascii="仿宋_GB2312"/>
          <w:lang w:val="en-US" w:eastAsia="zh-CN"/>
        </w:rPr>
        <w:t>满分4分，得分0分</w:t>
      </w:r>
      <w:r>
        <w:rPr>
          <w:rFonts w:hint="eastAsia" w:ascii="仿宋_GB2312"/>
        </w:rPr>
        <w:t>。</w:t>
      </w:r>
    </w:p>
    <w:p w14:paraId="093233A6">
      <w:pPr>
        <w:pStyle w:val="4"/>
        <w:ind w:firstLine="640"/>
        <w:rPr>
          <w:rFonts w:ascii="仿宋_GB2312"/>
        </w:rPr>
      </w:pPr>
      <w:bookmarkStart w:id="47" w:name="_Toc7271"/>
      <w:r>
        <w:rPr>
          <w:rFonts w:hint="eastAsia" w:ascii="仿宋_GB2312"/>
        </w:rPr>
        <w:t>（三）项目产出情况</w:t>
      </w:r>
      <w:bookmarkEnd w:id="47"/>
    </w:p>
    <w:p w14:paraId="5EDCA254">
      <w:pPr>
        <w:ind w:firstLine="640"/>
      </w:pPr>
      <w:r>
        <w:rPr>
          <w:rFonts w:hint="eastAsia" w:ascii="仿宋_GB2312"/>
        </w:rPr>
        <w:t>主要指标包括产出数量、产出质量、产出时效和产出成本四方面。产出：标准分30分，实际得分</w:t>
      </w:r>
      <w:r>
        <w:rPr>
          <w:rFonts w:hint="eastAsia" w:ascii="仿宋_GB2312"/>
          <w:lang w:val="en-US" w:eastAsia="zh-CN"/>
        </w:rPr>
        <w:t>18</w:t>
      </w:r>
      <w:r>
        <w:rPr>
          <w:rFonts w:hint="eastAsia" w:ascii="仿宋_GB2312"/>
        </w:rPr>
        <w:t>分，得分率</w:t>
      </w:r>
      <w:r>
        <w:rPr>
          <w:rFonts w:hint="eastAsia" w:ascii="仿宋_GB2312"/>
          <w:lang w:val="en-US" w:eastAsia="zh-CN"/>
        </w:rPr>
        <w:t>60</w:t>
      </w:r>
      <w:r>
        <w:rPr>
          <w:rFonts w:hint="eastAsia" w:ascii="仿宋_GB2312"/>
        </w:rPr>
        <w:t>%，详见</w:t>
      </w:r>
      <w:r>
        <w:rPr>
          <w:rFonts w:hint="eastAsia" w:ascii="仿宋_GB2312"/>
          <w:b/>
          <w:bCs/>
        </w:rPr>
        <w:t>表4-3：</w:t>
      </w:r>
    </w:p>
    <w:p w14:paraId="6720D28C">
      <w:pPr>
        <w:keepNext w:val="0"/>
        <w:keepLines w:val="0"/>
        <w:pageBreakBefore w:val="0"/>
        <w:widowControl w:val="0"/>
        <w:kinsoku/>
        <w:wordWrap/>
        <w:overflowPunct/>
        <w:topLinePunct w:val="0"/>
        <w:autoSpaceDE w:val="0"/>
        <w:autoSpaceDN w:val="0"/>
        <w:bidi w:val="0"/>
        <w:adjustRightInd w:val="0"/>
        <w:snapToGrid/>
        <w:spacing w:before="63" w:beforeLines="20" w:after="63" w:afterLines="20" w:line="500" w:lineRule="exact"/>
        <w:ind w:left="0" w:leftChars="0" w:firstLine="0" w:firstLineChars="0"/>
        <w:jc w:val="both"/>
        <w:textAlignment w:val="auto"/>
        <w:rPr>
          <w:rFonts w:hint="eastAsia" w:ascii="仿宋_GB2312" w:hAnsi="仿宋_GB2312" w:eastAsia="仿宋_GB2312" w:cs="仿宋_GB2312"/>
          <w:b w:val="0"/>
          <w:bCs w:val="0"/>
          <w:kern w:val="0"/>
          <w:sz w:val="28"/>
          <w:szCs w:val="28"/>
        </w:rPr>
      </w:pPr>
      <w:r>
        <w:rPr>
          <w:rFonts w:hint="eastAsia" w:ascii="仿宋_GB2312" w:hAnsi="仿宋_GB2312" w:eastAsia="仿宋_GB2312" w:cs="仿宋_GB2312"/>
          <w:b/>
          <w:bCs/>
          <w:kern w:val="0"/>
          <w:sz w:val="28"/>
          <w:szCs w:val="28"/>
        </w:rPr>
        <w:t xml:space="preserve">表4-3   </w:t>
      </w:r>
      <w:r>
        <w:rPr>
          <w:rFonts w:hint="eastAsia" w:ascii="仿宋_GB2312" w:hAnsi="仿宋_GB2312" w:cs="仿宋_GB2312"/>
          <w:b/>
          <w:bCs/>
          <w:kern w:val="0"/>
          <w:sz w:val="28"/>
          <w:szCs w:val="28"/>
          <w:lang w:val="en-US" w:eastAsia="zh-CN"/>
        </w:rPr>
        <w:t xml:space="preserve">            </w:t>
      </w:r>
      <w:r>
        <w:rPr>
          <w:rFonts w:hint="eastAsia" w:ascii="仿宋_GB2312" w:hAnsi="仿宋_GB2312" w:eastAsia="仿宋_GB2312" w:cs="仿宋_GB2312"/>
          <w:b/>
          <w:bCs/>
          <w:kern w:val="0"/>
          <w:sz w:val="28"/>
          <w:szCs w:val="28"/>
        </w:rPr>
        <w:t xml:space="preserve">  产出类指标体系表</w:t>
      </w:r>
    </w:p>
    <w:tbl>
      <w:tblPr>
        <w:tblStyle w:val="19"/>
        <w:tblW w:w="4998"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146"/>
        <w:gridCol w:w="1500"/>
        <w:gridCol w:w="2284"/>
        <w:gridCol w:w="691"/>
        <w:gridCol w:w="937"/>
        <w:gridCol w:w="1152"/>
        <w:gridCol w:w="815"/>
      </w:tblGrid>
      <w:tr w14:paraId="483D93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blHeader/>
          <w:jc w:val="center"/>
        </w:trPr>
        <w:tc>
          <w:tcPr>
            <w:tcW w:w="672" w:type="pct"/>
            <w:shd w:val="clear" w:color="auto" w:fill="CFCECE" w:themeFill="background2" w:themeFillShade="E5"/>
            <w:noWrap w:val="0"/>
            <w:vAlign w:val="center"/>
          </w:tcPr>
          <w:p w14:paraId="0839D3E2">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一级指标</w:t>
            </w:r>
          </w:p>
        </w:tc>
        <w:tc>
          <w:tcPr>
            <w:tcW w:w="879" w:type="pct"/>
            <w:shd w:val="clear" w:color="auto" w:fill="CFCECE" w:themeFill="background2" w:themeFillShade="E5"/>
            <w:noWrap w:val="0"/>
            <w:vAlign w:val="center"/>
          </w:tcPr>
          <w:p w14:paraId="159B0CFB">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二级指标</w:t>
            </w:r>
          </w:p>
        </w:tc>
        <w:tc>
          <w:tcPr>
            <w:tcW w:w="1339" w:type="pct"/>
            <w:shd w:val="clear" w:color="auto" w:fill="CFCECE" w:themeFill="background2" w:themeFillShade="E5"/>
            <w:noWrap w:val="0"/>
            <w:vAlign w:val="center"/>
          </w:tcPr>
          <w:p w14:paraId="107F0288">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三级指标</w:t>
            </w:r>
          </w:p>
        </w:tc>
        <w:tc>
          <w:tcPr>
            <w:tcW w:w="405" w:type="pct"/>
            <w:shd w:val="clear" w:color="auto" w:fill="CFCECE" w:themeFill="background2" w:themeFillShade="E5"/>
            <w:noWrap w:val="0"/>
            <w:vAlign w:val="center"/>
          </w:tcPr>
          <w:p w14:paraId="32E573DA">
            <w:pPr>
              <w:spacing w:line="240" w:lineRule="auto"/>
              <w:ind w:firstLine="0" w:firstLineChars="0"/>
              <w:jc w:val="center"/>
              <w:rPr>
                <w:rFonts w:hint="eastAsia" w:ascii="仿宋_GB2312" w:hAnsi="仿宋_GB2312" w:eastAsia="仿宋_GB2312" w:cs="仿宋_GB2312"/>
                <w:b/>
                <w:bCs/>
                <w:sz w:val="24"/>
                <w:lang w:val="en-US" w:eastAsia="zh-CN"/>
              </w:rPr>
            </w:pPr>
            <w:r>
              <w:rPr>
                <w:rFonts w:hint="eastAsia" w:ascii="仿宋_GB2312" w:hAnsi="仿宋_GB2312" w:cs="仿宋_GB2312"/>
                <w:b/>
                <w:bCs/>
                <w:sz w:val="24"/>
                <w:lang w:val="en-US" w:eastAsia="zh-CN"/>
              </w:rPr>
              <w:t>分值</w:t>
            </w:r>
          </w:p>
        </w:tc>
        <w:tc>
          <w:tcPr>
            <w:tcW w:w="549" w:type="pct"/>
            <w:shd w:val="clear" w:color="auto" w:fill="CFCECE" w:themeFill="background2" w:themeFillShade="E5"/>
            <w:noWrap w:val="0"/>
            <w:vAlign w:val="center"/>
          </w:tcPr>
          <w:p w14:paraId="4CD3BE9A">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目标值</w:t>
            </w:r>
          </w:p>
        </w:tc>
        <w:tc>
          <w:tcPr>
            <w:tcW w:w="675" w:type="pct"/>
            <w:shd w:val="clear" w:color="auto" w:fill="CFCECE" w:themeFill="background2" w:themeFillShade="E5"/>
            <w:noWrap w:val="0"/>
            <w:vAlign w:val="center"/>
          </w:tcPr>
          <w:p w14:paraId="6536B4BE">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业绩值</w:t>
            </w:r>
          </w:p>
        </w:tc>
        <w:tc>
          <w:tcPr>
            <w:tcW w:w="478" w:type="pct"/>
            <w:shd w:val="clear" w:color="auto" w:fill="CFCECE" w:themeFill="background2" w:themeFillShade="E5"/>
            <w:noWrap w:val="0"/>
            <w:vAlign w:val="center"/>
          </w:tcPr>
          <w:p w14:paraId="4B24AB8A">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得分</w:t>
            </w:r>
          </w:p>
        </w:tc>
      </w:tr>
      <w:tr w14:paraId="4EFA62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672" w:type="pct"/>
            <w:vMerge w:val="restart"/>
            <w:noWrap w:val="0"/>
            <w:vAlign w:val="center"/>
          </w:tcPr>
          <w:p w14:paraId="42C11BFE">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C产出</w:t>
            </w:r>
          </w:p>
        </w:tc>
        <w:tc>
          <w:tcPr>
            <w:tcW w:w="879" w:type="pct"/>
            <w:vMerge w:val="restart"/>
            <w:noWrap w:val="0"/>
            <w:vAlign w:val="center"/>
          </w:tcPr>
          <w:p w14:paraId="2EC48FFF">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C1产出数量</w:t>
            </w:r>
          </w:p>
        </w:tc>
        <w:tc>
          <w:tcPr>
            <w:tcW w:w="2284" w:type="dxa"/>
            <w:noWrap w:val="0"/>
            <w:vAlign w:val="center"/>
          </w:tcPr>
          <w:p w14:paraId="592A06CF">
            <w:pPr>
              <w:spacing w:line="240" w:lineRule="auto"/>
              <w:ind w:firstLine="0" w:firstLineChars="0"/>
              <w:jc w:val="center"/>
              <w:rPr>
                <w:rFonts w:hint="eastAsia" w:ascii="仿宋_GB2312" w:hAnsi="仿宋_GB2312" w:cs="仿宋_GB2312"/>
                <w:b w:val="0"/>
                <w:bCs w:val="0"/>
                <w:sz w:val="24"/>
                <w:lang w:val="en-US" w:eastAsia="zh-CN"/>
              </w:rPr>
            </w:pPr>
            <w:r>
              <w:rPr>
                <w:rFonts w:hint="eastAsia" w:ascii="仿宋_GB2312" w:hAnsi="仿宋_GB2312" w:cs="仿宋_GB2312"/>
                <w:b w:val="0"/>
                <w:bCs w:val="0"/>
                <w:sz w:val="24"/>
              </w:rPr>
              <w:t>C11</w:t>
            </w:r>
            <w:r>
              <w:rPr>
                <w:rFonts w:hint="eastAsia" w:ascii="仿宋_GB2312" w:hAnsi="仿宋_GB2312" w:cs="仿宋_GB2312"/>
                <w:b w:val="0"/>
                <w:bCs w:val="0"/>
                <w:sz w:val="24"/>
                <w:lang w:val="en-US" w:eastAsia="zh-CN"/>
              </w:rPr>
              <w:t>综合教学楼建筑面积完成率</w:t>
            </w:r>
          </w:p>
        </w:tc>
        <w:tc>
          <w:tcPr>
            <w:tcW w:w="691" w:type="dxa"/>
            <w:noWrap w:val="0"/>
            <w:vAlign w:val="center"/>
          </w:tcPr>
          <w:p w14:paraId="4BAF898B">
            <w:pPr>
              <w:spacing w:line="240" w:lineRule="auto"/>
              <w:ind w:firstLine="0" w:firstLineChars="0"/>
              <w:jc w:val="center"/>
              <w:rPr>
                <w:rFonts w:hint="default" w:ascii="仿宋_GB2312" w:hAnsi="仿宋_GB2312" w:cs="仿宋_GB2312"/>
                <w:b w:val="0"/>
                <w:bCs w:val="0"/>
                <w:sz w:val="24"/>
                <w:lang w:val="en-US" w:eastAsia="zh-CN"/>
              </w:rPr>
            </w:pPr>
            <w:r>
              <w:rPr>
                <w:rFonts w:hint="eastAsia" w:ascii="仿宋_GB2312" w:hAnsi="仿宋_GB2312" w:cs="仿宋_GB2312"/>
                <w:b w:val="0"/>
                <w:bCs w:val="0"/>
                <w:sz w:val="24"/>
                <w:lang w:val="en-US" w:eastAsia="zh-CN"/>
              </w:rPr>
              <w:t>4</w:t>
            </w:r>
          </w:p>
        </w:tc>
        <w:tc>
          <w:tcPr>
            <w:tcW w:w="549" w:type="pct"/>
            <w:noWrap w:val="0"/>
            <w:vAlign w:val="center"/>
          </w:tcPr>
          <w:p w14:paraId="331208BB">
            <w:pPr>
              <w:spacing w:line="240" w:lineRule="auto"/>
              <w:ind w:firstLine="0" w:firstLineChars="0"/>
              <w:jc w:val="center"/>
              <w:rPr>
                <w:rFonts w:hint="eastAsia" w:ascii="仿宋_GB2312" w:hAnsi="仿宋_GB2312" w:cs="仿宋_GB2312"/>
                <w:b w:val="0"/>
                <w:bCs w:val="0"/>
                <w:sz w:val="24"/>
                <w:lang w:val="en-US" w:eastAsia="zh-CN"/>
              </w:rPr>
            </w:pPr>
            <w:r>
              <w:rPr>
                <w:rFonts w:hint="eastAsia" w:ascii="仿宋_GB2312" w:hAnsi="仿宋_GB2312" w:cs="仿宋_GB2312"/>
                <w:b w:val="0"/>
                <w:bCs w:val="0"/>
                <w:sz w:val="24"/>
                <w:lang w:val="en-US" w:eastAsia="zh-CN"/>
              </w:rPr>
              <w:t>100%</w:t>
            </w:r>
          </w:p>
        </w:tc>
        <w:tc>
          <w:tcPr>
            <w:tcW w:w="675" w:type="pct"/>
            <w:noWrap w:val="0"/>
            <w:vAlign w:val="center"/>
          </w:tcPr>
          <w:p w14:paraId="50555CF4">
            <w:pPr>
              <w:spacing w:line="240" w:lineRule="auto"/>
              <w:ind w:firstLine="0" w:firstLineChars="0"/>
              <w:jc w:val="center"/>
              <w:rPr>
                <w:rFonts w:hint="default" w:ascii="仿宋_GB2312" w:hAnsi="仿宋_GB2312" w:cs="仿宋_GB2312"/>
                <w:b w:val="0"/>
                <w:bCs w:val="0"/>
                <w:sz w:val="24"/>
                <w:lang w:val="en-US" w:eastAsia="zh-CN"/>
              </w:rPr>
            </w:pPr>
            <w:r>
              <w:rPr>
                <w:rFonts w:hint="eastAsia" w:ascii="仿宋_GB2312" w:hAnsi="仿宋_GB2312" w:cs="仿宋_GB2312"/>
                <w:b w:val="0"/>
                <w:bCs w:val="0"/>
                <w:sz w:val="24"/>
                <w:lang w:val="en-US" w:eastAsia="zh-CN"/>
              </w:rPr>
              <w:t>100%</w:t>
            </w:r>
          </w:p>
        </w:tc>
        <w:tc>
          <w:tcPr>
            <w:tcW w:w="478" w:type="pct"/>
            <w:noWrap w:val="0"/>
            <w:vAlign w:val="center"/>
          </w:tcPr>
          <w:p w14:paraId="73193ABF">
            <w:pPr>
              <w:spacing w:line="240" w:lineRule="auto"/>
              <w:ind w:firstLine="0" w:firstLineChars="0"/>
              <w:jc w:val="center"/>
              <w:rPr>
                <w:rFonts w:hint="default"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4</w:t>
            </w:r>
          </w:p>
        </w:tc>
      </w:tr>
      <w:tr w14:paraId="451BDC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672" w:type="pct"/>
            <w:vMerge w:val="continue"/>
            <w:noWrap w:val="0"/>
            <w:vAlign w:val="center"/>
          </w:tcPr>
          <w:p w14:paraId="70EA4958">
            <w:pPr>
              <w:spacing w:line="240" w:lineRule="auto"/>
              <w:ind w:firstLine="0" w:firstLineChars="0"/>
              <w:jc w:val="center"/>
              <w:rPr>
                <w:rFonts w:hint="eastAsia" w:ascii="仿宋_GB2312" w:hAnsi="仿宋_GB2312" w:cs="仿宋_GB2312"/>
                <w:b w:val="0"/>
                <w:bCs w:val="0"/>
                <w:sz w:val="24"/>
              </w:rPr>
            </w:pPr>
          </w:p>
        </w:tc>
        <w:tc>
          <w:tcPr>
            <w:tcW w:w="879" w:type="pct"/>
            <w:vMerge w:val="continue"/>
            <w:noWrap w:val="0"/>
            <w:vAlign w:val="center"/>
          </w:tcPr>
          <w:p w14:paraId="6F0BD199">
            <w:pPr>
              <w:spacing w:line="240" w:lineRule="auto"/>
              <w:ind w:firstLine="0" w:firstLineChars="0"/>
              <w:jc w:val="center"/>
              <w:rPr>
                <w:rFonts w:hint="eastAsia" w:ascii="仿宋_GB2312" w:hAnsi="仿宋_GB2312" w:cs="仿宋_GB2312"/>
                <w:b w:val="0"/>
                <w:bCs w:val="0"/>
                <w:sz w:val="24"/>
              </w:rPr>
            </w:pPr>
          </w:p>
        </w:tc>
        <w:tc>
          <w:tcPr>
            <w:tcW w:w="2284" w:type="dxa"/>
            <w:noWrap w:val="0"/>
            <w:vAlign w:val="center"/>
          </w:tcPr>
          <w:p w14:paraId="18E0CBB3">
            <w:pPr>
              <w:spacing w:line="240" w:lineRule="auto"/>
              <w:ind w:firstLine="0" w:firstLineChars="0"/>
              <w:jc w:val="center"/>
              <w:rPr>
                <w:rFonts w:hint="eastAsia" w:ascii="仿宋_GB2312" w:hAnsi="仿宋_GB2312" w:cs="仿宋_GB2312"/>
                <w:b w:val="0"/>
                <w:bCs w:val="0"/>
                <w:sz w:val="24"/>
                <w:lang w:val="en-US" w:eastAsia="zh-CN"/>
              </w:rPr>
            </w:pPr>
            <w:r>
              <w:rPr>
                <w:rFonts w:hint="eastAsia" w:ascii="仿宋_GB2312" w:hAnsi="仿宋_GB2312" w:cs="仿宋_GB2312"/>
                <w:b w:val="0"/>
                <w:bCs w:val="0"/>
                <w:sz w:val="24"/>
              </w:rPr>
              <w:t>C12</w:t>
            </w:r>
            <w:r>
              <w:rPr>
                <w:rFonts w:hint="eastAsia" w:ascii="仿宋_GB2312" w:hAnsi="仿宋_GB2312" w:cs="仿宋_GB2312"/>
                <w:b w:val="0"/>
                <w:bCs w:val="0"/>
                <w:sz w:val="24"/>
                <w:lang w:val="en-US" w:eastAsia="zh-CN"/>
              </w:rPr>
              <w:t>学员人数容纳</w:t>
            </w:r>
            <w:r>
              <w:rPr>
                <w:rFonts w:hint="eastAsia" w:ascii="仿宋_GB2312" w:hAnsi="仿宋_GB2312" w:cs="仿宋_GB2312"/>
                <w:b w:val="0"/>
                <w:bCs w:val="0"/>
                <w:sz w:val="24"/>
              </w:rPr>
              <w:t>率</w:t>
            </w:r>
          </w:p>
        </w:tc>
        <w:tc>
          <w:tcPr>
            <w:tcW w:w="691" w:type="dxa"/>
            <w:noWrap w:val="0"/>
            <w:vAlign w:val="center"/>
          </w:tcPr>
          <w:p w14:paraId="4542E8DE">
            <w:pPr>
              <w:spacing w:line="240" w:lineRule="auto"/>
              <w:ind w:firstLine="0" w:firstLineChars="0"/>
              <w:jc w:val="center"/>
              <w:rPr>
                <w:rFonts w:hint="default" w:ascii="仿宋_GB2312" w:hAnsi="仿宋_GB2312" w:cs="仿宋_GB2312"/>
                <w:b w:val="0"/>
                <w:bCs w:val="0"/>
                <w:sz w:val="24"/>
                <w:lang w:val="en-US" w:eastAsia="zh-CN"/>
              </w:rPr>
            </w:pPr>
            <w:r>
              <w:rPr>
                <w:rFonts w:hint="eastAsia" w:ascii="仿宋_GB2312" w:hAnsi="仿宋_GB2312" w:cs="仿宋_GB2312"/>
                <w:b w:val="0"/>
                <w:bCs w:val="0"/>
                <w:sz w:val="24"/>
                <w:lang w:val="en-US" w:eastAsia="zh-CN"/>
              </w:rPr>
              <w:t>4</w:t>
            </w:r>
          </w:p>
        </w:tc>
        <w:tc>
          <w:tcPr>
            <w:tcW w:w="549" w:type="pct"/>
            <w:noWrap w:val="0"/>
            <w:vAlign w:val="center"/>
          </w:tcPr>
          <w:p w14:paraId="1046B312">
            <w:pPr>
              <w:spacing w:line="240" w:lineRule="auto"/>
              <w:ind w:firstLine="0" w:firstLineChars="0"/>
              <w:jc w:val="center"/>
              <w:rPr>
                <w:rFonts w:hint="eastAsia" w:ascii="仿宋_GB2312" w:hAnsi="仿宋_GB2312" w:cs="仿宋_GB2312"/>
                <w:b w:val="0"/>
                <w:bCs w:val="0"/>
                <w:sz w:val="24"/>
                <w:lang w:val="en-US" w:eastAsia="zh-CN"/>
              </w:rPr>
            </w:pPr>
            <w:r>
              <w:rPr>
                <w:rFonts w:hint="eastAsia" w:ascii="仿宋_GB2312" w:hAnsi="仿宋_GB2312" w:cs="仿宋_GB2312"/>
                <w:b w:val="0"/>
                <w:bCs w:val="0"/>
                <w:sz w:val="24"/>
                <w:lang w:val="en-US" w:eastAsia="zh-CN"/>
              </w:rPr>
              <w:t>100%</w:t>
            </w:r>
          </w:p>
        </w:tc>
        <w:tc>
          <w:tcPr>
            <w:tcW w:w="675" w:type="pct"/>
            <w:noWrap w:val="0"/>
            <w:vAlign w:val="center"/>
          </w:tcPr>
          <w:p w14:paraId="0B64C241">
            <w:pPr>
              <w:spacing w:line="240" w:lineRule="auto"/>
              <w:ind w:firstLine="0" w:firstLineChars="0"/>
              <w:jc w:val="center"/>
              <w:rPr>
                <w:rFonts w:hint="eastAsia" w:ascii="仿宋_GB2312" w:hAnsi="仿宋_GB2312" w:cs="仿宋_GB2312"/>
                <w:b w:val="0"/>
                <w:bCs w:val="0"/>
                <w:sz w:val="24"/>
                <w:lang w:val="en-US" w:eastAsia="zh-CN"/>
              </w:rPr>
            </w:pPr>
            <w:r>
              <w:rPr>
                <w:rFonts w:hint="eastAsia" w:ascii="仿宋_GB2312" w:hAnsi="仿宋_GB2312" w:cs="仿宋_GB2312"/>
                <w:b w:val="0"/>
                <w:bCs w:val="0"/>
                <w:sz w:val="24"/>
                <w:lang w:val="en-US" w:eastAsia="zh-CN"/>
              </w:rPr>
              <w:t>100%</w:t>
            </w:r>
          </w:p>
        </w:tc>
        <w:tc>
          <w:tcPr>
            <w:tcW w:w="478" w:type="pct"/>
            <w:noWrap w:val="0"/>
            <w:vAlign w:val="center"/>
          </w:tcPr>
          <w:p w14:paraId="4BBF7F72">
            <w:pPr>
              <w:spacing w:line="240" w:lineRule="auto"/>
              <w:ind w:firstLine="0" w:firstLineChars="0"/>
              <w:jc w:val="center"/>
              <w:rPr>
                <w:rFonts w:hint="default" w:ascii="仿宋_GB2312" w:hAnsi="仿宋_GB2312" w:cs="仿宋_GB2312"/>
                <w:b w:val="0"/>
                <w:bCs w:val="0"/>
                <w:sz w:val="24"/>
                <w:lang w:val="en-US" w:eastAsia="zh-CN"/>
              </w:rPr>
            </w:pPr>
            <w:r>
              <w:rPr>
                <w:rFonts w:hint="eastAsia" w:ascii="仿宋_GB2312" w:hAnsi="仿宋_GB2312" w:cs="仿宋_GB2312"/>
                <w:b w:val="0"/>
                <w:bCs w:val="0"/>
                <w:sz w:val="24"/>
                <w:lang w:val="en-US" w:eastAsia="zh-CN"/>
              </w:rPr>
              <w:t>4</w:t>
            </w:r>
          </w:p>
        </w:tc>
      </w:tr>
      <w:tr w14:paraId="27C17A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672" w:type="pct"/>
            <w:vMerge w:val="continue"/>
            <w:noWrap w:val="0"/>
            <w:vAlign w:val="center"/>
          </w:tcPr>
          <w:p w14:paraId="3492C811">
            <w:pPr>
              <w:spacing w:line="240" w:lineRule="auto"/>
              <w:ind w:firstLine="0" w:firstLineChars="0"/>
              <w:jc w:val="center"/>
              <w:rPr>
                <w:rFonts w:hint="eastAsia" w:ascii="仿宋_GB2312" w:hAnsi="仿宋_GB2312" w:cs="仿宋_GB2312"/>
                <w:b w:val="0"/>
                <w:bCs w:val="0"/>
                <w:sz w:val="24"/>
              </w:rPr>
            </w:pPr>
          </w:p>
        </w:tc>
        <w:tc>
          <w:tcPr>
            <w:tcW w:w="879" w:type="pct"/>
            <w:noWrap w:val="0"/>
            <w:vAlign w:val="center"/>
          </w:tcPr>
          <w:p w14:paraId="0931582A">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C2产出质量</w:t>
            </w:r>
          </w:p>
        </w:tc>
        <w:tc>
          <w:tcPr>
            <w:tcW w:w="2284" w:type="dxa"/>
            <w:noWrap w:val="0"/>
            <w:vAlign w:val="center"/>
          </w:tcPr>
          <w:p w14:paraId="24C11725">
            <w:pPr>
              <w:spacing w:line="240" w:lineRule="auto"/>
              <w:ind w:firstLine="0" w:firstLineChars="0"/>
              <w:jc w:val="center"/>
              <w:rPr>
                <w:rFonts w:hint="eastAsia" w:ascii="仿宋_GB2312" w:hAnsi="仿宋_GB2312" w:cs="仿宋_GB2312"/>
                <w:b w:val="0"/>
                <w:bCs w:val="0"/>
                <w:sz w:val="24"/>
                <w:lang w:val="en-US" w:eastAsia="zh-CN"/>
              </w:rPr>
            </w:pPr>
            <w:r>
              <w:rPr>
                <w:rFonts w:hint="eastAsia" w:ascii="仿宋_GB2312" w:hAnsi="仿宋_GB2312" w:cs="仿宋_GB2312"/>
                <w:b w:val="0"/>
                <w:bCs w:val="0"/>
                <w:sz w:val="24"/>
              </w:rPr>
              <w:t>C21</w:t>
            </w:r>
            <w:r>
              <w:rPr>
                <w:rFonts w:hint="eastAsia" w:ascii="仿宋_GB2312" w:hAnsi="仿宋_GB2312" w:cs="仿宋_GB2312"/>
                <w:b w:val="0"/>
                <w:bCs w:val="0"/>
                <w:sz w:val="24"/>
                <w:lang w:val="en-US" w:eastAsia="zh-CN"/>
              </w:rPr>
              <w:t>质量合格</w:t>
            </w:r>
            <w:r>
              <w:rPr>
                <w:rFonts w:hint="eastAsia" w:ascii="仿宋_GB2312" w:hAnsi="仿宋_GB2312" w:cs="仿宋_GB2312"/>
                <w:b w:val="0"/>
                <w:bCs w:val="0"/>
                <w:sz w:val="24"/>
              </w:rPr>
              <w:t>率</w:t>
            </w:r>
          </w:p>
        </w:tc>
        <w:tc>
          <w:tcPr>
            <w:tcW w:w="691" w:type="dxa"/>
            <w:noWrap w:val="0"/>
            <w:vAlign w:val="center"/>
          </w:tcPr>
          <w:p w14:paraId="2B0EF5A4">
            <w:pPr>
              <w:spacing w:line="240" w:lineRule="auto"/>
              <w:ind w:firstLine="0" w:firstLineChars="0"/>
              <w:jc w:val="center"/>
              <w:rPr>
                <w:rFonts w:hint="eastAsia" w:ascii="仿宋_GB2312" w:hAnsi="仿宋_GB2312" w:cs="仿宋_GB2312"/>
                <w:b w:val="0"/>
                <w:bCs w:val="0"/>
                <w:sz w:val="24"/>
                <w:lang w:val="en-US" w:eastAsia="zh-CN"/>
              </w:rPr>
            </w:pPr>
            <w:r>
              <w:rPr>
                <w:rFonts w:hint="eastAsia" w:ascii="仿宋_GB2312" w:hAnsi="仿宋_GB2312" w:cs="仿宋_GB2312"/>
                <w:b w:val="0"/>
                <w:bCs w:val="0"/>
                <w:sz w:val="24"/>
                <w:lang w:val="en-US" w:eastAsia="zh-CN"/>
              </w:rPr>
              <w:t>8</w:t>
            </w:r>
          </w:p>
        </w:tc>
        <w:tc>
          <w:tcPr>
            <w:tcW w:w="549" w:type="pct"/>
            <w:noWrap w:val="0"/>
            <w:vAlign w:val="center"/>
          </w:tcPr>
          <w:p w14:paraId="1A9B699D">
            <w:pPr>
              <w:spacing w:line="240" w:lineRule="auto"/>
              <w:ind w:firstLine="0" w:firstLineChars="0"/>
              <w:jc w:val="center"/>
              <w:rPr>
                <w:rFonts w:hint="default" w:ascii="仿宋_GB2312" w:hAnsi="仿宋_GB2312" w:cs="仿宋_GB2312"/>
                <w:b w:val="0"/>
                <w:bCs w:val="0"/>
                <w:sz w:val="24"/>
                <w:lang w:val="en-US" w:eastAsia="zh-CN"/>
              </w:rPr>
            </w:pPr>
            <w:r>
              <w:rPr>
                <w:rFonts w:hint="eastAsia" w:ascii="仿宋_GB2312" w:hAnsi="仿宋_GB2312" w:cs="仿宋_GB2312"/>
                <w:b w:val="0"/>
                <w:bCs w:val="0"/>
                <w:sz w:val="24"/>
                <w:lang w:val="en-US" w:eastAsia="zh-CN"/>
              </w:rPr>
              <w:t>100%</w:t>
            </w:r>
          </w:p>
        </w:tc>
        <w:tc>
          <w:tcPr>
            <w:tcW w:w="675" w:type="pct"/>
            <w:noWrap w:val="0"/>
            <w:vAlign w:val="center"/>
          </w:tcPr>
          <w:p w14:paraId="7D2E1A7B">
            <w:pPr>
              <w:spacing w:line="240" w:lineRule="auto"/>
              <w:ind w:firstLine="0" w:firstLineChars="0"/>
              <w:jc w:val="center"/>
              <w:rPr>
                <w:rFonts w:hint="default"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现场勘察100%</w:t>
            </w:r>
          </w:p>
        </w:tc>
        <w:tc>
          <w:tcPr>
            <w:tcW w:w="478" w:type="pct"/>
            <w:noWrap w:val="0"/>
            <w:vAlign w:val="center"/>
          </w:tcPr>
          <w:p w14:paraId="09FF2ACB">
            <w:pPr>
              <w:spacing w:line="240" w:lineRule="auto"/>
              <w:ind w:firstLine="0" w:firstLineChars="0"/>
              <w:jc w:val="center"/>
              <w:rPr>
                <w:rFonts w:hint="default"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4</w:t>
            </w:r>
          </w:p>
        </w:tc>
      </w:tr>
      <w:tr w14:paraId="61FB4F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672" w:type="pct"/>
            <w:vMerge w:val="continue"/>
            <w:noWrap w:val="0"/>
            <w:vAlign w:val="center"/>
          </w:tcPr>
          <w:p w14:paraId="51B07D0C">
            <w:pPr>
              <w:spacing w:line="240" w:lineRule="auto"/>
              <w:ind w:firstLine="0" w:firstLineChars="0"/>
              <w:jc w:val="center"/>
              <w:rPr>
                <w:rFonts w:hint="eastAsia" w:ascii="仿宋_GB2312" w:hAnsi="仿宋_GB2312" w:cs="仿宋_GB2312"/>
                <w:b w:val="0"/>
                <w:bCs w:val="0"/>
                <w:sz w:val="24"/>
              </w:rPr>
            </w:pPr>
          </w:p>
        </w:tc>
        <w:tc>
          <w:tcPr>
            <w:tcW w:w="879" w:type="pct"/>
            <w:vMerge w:val="restart"/>
            <w:noWrap w:val="0"/>
            <w:vAlign w:val="center"/>
          </w:tcPr>
          <w:p w14:paraId="1E64EB9C">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rPr>
              <w:t>C</w:t>
            </w:r>
            <w:r>
              <w:rPr>
                <w:rFonts w:hint="eastAsia" w:ascii="仿宋_GB2312" w:hAnsi="仿宋_GB2312" w:cs="仿宋_GB2312"/>
                <w:b w:val="0"/>
                <w:bCs w:val="0"/>
                <w:sz w:val="24"/>
                <w:lang w:val="en-US" w:eastAsia="zh-CN"/>
              </w:rPr>
              <w:t>3</w:t>
            </w:r>
            <w:r>
              <w:rPr>
                <w:rFonts w:hint="eastAsia" w:ascii="仿宋_GB2312" w:hAnsi="仿宋_GB2312" w:cs="仿宋_GB2312"/>
                <w:b w:val="0"/>
                <w:bCs w:val="0"/>
                <w:sz w:val="24"/>
              </w:rPr>
              <w:t>产出时效</w:t>
            </w:r>
          </w:p>
        </w:tc>
        <w:tc>
          <w:tcPr>
            <w:tcW w:w="2284" w:type="dxa"/>
            <w:noWrap w:val="0"/>
            <w:vAlign w:val="center"/>
          </w:tcPr>
          <w:p w14:paraId="753883EF">
            <w:pPr>
              <w:spacing w:line="240" w:lineRule="auto"/>
              <w:ind w:firstLine="0" w:firstLineChars="0"/>
              <w:jc w:val="center"/>
              <w:rPr>
                <w:rFonts w:hint="default" w:ascii="仿宋_GB2312" w:hAnsi="仿宋_GB2312" w:cs="仿宋_GB2312"/>
                <w:b w:val="0"/>
                <w:bCs w:val="0"/>
                <w:sz w:val="24"/>
                <w:lang w:val="en-US" w:eastAsia="zh-CN"/>
              </w:rPr>
            </w:pPr>
            <w:r>
              <w:rPr>
                <w:rFonts w:hint="eastAsia" w:ascii="仿宋_GB2312" w:hAnsi="仿宋_GB2312" w:cs="仿宋_GB2312"/>
                <w:b w:val="0"/>
                <w:bCs w:val="0"/>
                <w:sz w:val="24"/>
              </w:rPr>
              <w:t>C31</w:t>
            </w:r>
            <w:r>
              <w:rPr>
                <w:rFonts w:hint="eastAsia" w:ascii="仿宋_GB2312" w:hAnsi="仿宋_GB2312" w:cs="仿宋_GB2312"/>
                <w:b w:val="0"/>
                <w:bCs w:val="0"/>
                <w:sz w:val="24"/>
                <w:lang w:val="en-US" w:eastAsia="zh-CN"/>
              </w:rPr>
              <w:t>项目完工</w:t>
            </w:r>
            <w:r>
              <w:rPr>
                <w:rFonts w:hint="eastAsia" w:ascii="仿宋_GB2312" w:hAnsi="仿宋_GB2312" w:cs="仿宋_GB2312"/>
                <w:b w:val="0"/>
                <w:bCs w:val="0"/>
                <w:sz w:val="24"/>
              </w:rPr>
              <w:t>及时性</w:t>
            </w:r>
          </w:p>
        </w:tc>
        <w:tc>
          <w:tcPr>
            <w:tcW w:w="691" w:type="dxa"/>
            <w:noWrap w:val="0"/>
            <w:vAlign w:val="center"/>
          </w:tcPr>
          <w:p w14:paraId="49EE2660">
            <w:pPr>
              <w:spacing w:line="240" w:lineRule="auto"/>
              <w:ind w:firstLine="0" w:firstLineChars="0"/>
              <w:jc w:val="center"/>
              <w:rPr>
                <w:rFonts w:hint="default" w:ascii="仿宋_GB2312" w:hAnsi="仿宋_GB2312" w:cs="仿宋_GB2312"/>
                <w:b w:val="0"/>
                <w:bCs w:val="0"/>
                <w:sz w:val="24"/>
                <w:lang w:val="en-US" w:eastAsia="zh-CN"/>
              </w:rPr>
            </w:pPr>
            <w:r>
              <w:rPr>
                <w:rFonts w:hint="eastAsia" w:ascii="仿宋_GB2312" w:hAnsi="仿宋_GB2312" w:cs="仿宋_GB2312"/>
                <w:b w:val="0"/>
                <w:bCs w:val="0"/>
                <w:sz w:val="24"/>
                <w:lang w:val="en-US" w:eastAsia="zh-CN"/>
              </w:rPr>
              <w:t>4</w:t>
            </w:r>
          </w:p>
        </w:tc>
        <w:tc>
          <w:tcPr>
            <w:tcW w:w="549" w:type="pct"/>
            <w:noWrap w:val="0"/>
            <w:vAlign w:val="center"/>
          </w:tcPr>
          <w:p w14:paraId="1C192368">
            <w:pPr>
              <w:spacing w:line="240" w:lineRule="auto"/>
              <w:ind w:firstLine="0" w:firstLineChars="0"/>
              <w:jc w:val="center"/>
              <w:rPr>
                <w:rFonts w:hint="eastAsia" w:ascii="仿宋_GB2312" w:hAnsi="仿宋_GB2312" w:cs="仿宋_GB2312"/>
                <w:b w:val="0"/>
                <w:bCs w:val="0"/>
                <w:sz w:val="24"/>
                <w:lang w:val="en-US" w:eastAsia="zh-CN"/>
              </w:rPr>
            </w:pPr>
            <w:r>
              <w:rPr>
                <w:rFonts w:hint="eastAsia" w:ascii="仿宋_GB2312" w:hAnsi="仿宋_GB2312" w:cs="仿宋_GB2312"/>
                <w:b w:val="0"/>
                <w:bCs w:val="0"/>
                <w:sz w:val="24"/>
                <w:lang w:val="en-US" w:eastAsia="zh-CN"/>
              </w:rPr>
              <w:t>及时</w:t>
            </w:r>
          </w:p>
        </w:tc>
        <w:tc>
          <w:tcPr>
            <w:tcW w:w="675" w:type="pct"/>
            <w:noWrap w:val="0"/>
            <w:vAlign w:val="center"/>
          </w:tcPr>
          <w:p w14:paraId="114BBF9C">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不及时</w:t>
            </w:r>
          </w:p>
        </w:tc>
        <w:tc>
          <w:tcPr>
            <w:tcW w:w="478" w:type="pct"/>
            <w:noWrap w:val="0"/>
            <w:vAlign w:val="center"/>
          </w:tcPr>
          <w:p w14:paraId="09C46D00">
            <w:pPr>
              <w:spacing w:line="240" w:lineRule="auto"/>
              <w:ind w:firstLine="0" w:firstLineChars="0"/>
              <w:jc w:val="center"/>
              <w:rPr>
                <w:rFonts w:hint="default"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0</w:t>
            </w:r>
          </w:p>
        </w:tc>
      </w:tr>
      <w:tr w14:paraId="2E51F8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672" w:type="pct"/>
            <w:vMerge w:val="continue"/>
            <w:noWrap w:val="0"/>
            <w:vAlign w:val="center"/>
          </w:tcPr>
          <w:p w14:paraId="02517ED8">
            <w:pPr>
              <w:spacing w:line="240" w:lineRule="auto"/>
              <w:ind w:firstLine="0" w:firstLineChars="0"/>
              <w:jc w:val="center"/>
              <w:rPr>
                <w:rFonts w:hint="eastAsia" w:ascii="仿宋_GB2312" w:hAnsi="仿宋_GB2312" w:cs="仿宋_GB2312"/>
                <w:b w:val="0"/>
                <w:bCs w:val="0"/>
                <w:sz w:val="24"/>
              </w:rPr>
            </w:pPr>
          </w:p>
        </w:tc>
        <w:tc>
          <w:tcPr>
            <w:tcW w:w="879" w:type="pct"/>
            <w:vMerge w:val="continue"/>
            <w:noWrap w:val="0"/>
            <w:vAlign w:val="center"/>
          </w:tcPr>
          <w:p w14:paraId="05DE20CD">
            <w:pPr>
              <w:spacing w:line="240" w:lineRule="auto"/>
              <w:ind w:firstLine="0" w:firstLineChars="0"/>
              <w:jc w:val="center"/>
              <w:rPr>
                <w:rFonts w:hint="eastAsia" w:ascii="仿宋_GB2312" w:hAnsi="仿宋_GB2312" w:cs="仿宋_GB2312"/>
                <w:b w:val="0"/>
                <w:bCs w:val="0"/>
                <w:sz w:val="24"/>
              </w:rPr>
            </w:pPr>
          </w:p>
        </w:tc>
        <w:tc>
          <w:tcPr>
            <w:tcW w:w="2284" w:type="dxa"/>
            <w:noWrap w:val="0"/>
            <w:vAlign w:val="center"/>
          </w:tcPr>
          <w:p w14:paraId="489A27D3">
            <w:pPr>
              <w:spacing w:line="240" w:lineRule="auto"/>
              <w:ind w:firstLine="0" w:firstLineChars="0"/>
              <w:jc w:val="center"/>
              <w:rPr>
                <w:rFonts w:hint="eastAsia" w:ascii="仿宋_GB2312" w:hAnsi="仿宋_GB2312" w:cs="仿宋_GB2312"/>
                <w:b w:val="0"/>
                <w:bCs w:val="0"/>
                <w:sz w:val="24"/>
                <w:lang w:val="en-US" w:eastAsia="zh-CN"/>
              </w:rPr>
            </w:pPr>
            <w:r>
              <w:rPr>
                <w:rFonts w:hint="eastAsia" w:ascii="仿宋_GB2312" w:hAnsi="仿宋_GB2312" w:cs="仿宋_GB2312"/>
                <w:b w:val="0"/>
                <w:bCs w:val="0"/>
                <w:sz w:val="24"/>
              </w:rPr>
              <w:t>C32</w:t>
            </w:r>
            <w:r>
              <w:rPr>
                <w:rFonts w:hint="eastAsia" w:ascii="仿宋_GB2312" w:hAnsi="仿宋_GB2312" w:cs="仿宋_GB2312"/>
                <w:b w:val="0"/>
                <w:bCs w:val="0"/>
                <w:sz w:val="24"/>
                <w:lang w:val="en-US" w:eastAsia="zh-CN"/>
              </w:rPr>
              <w:t>项目验收</w:t>
            </w:r>
            <w:r>
              <w:rPr>
                <w:rFonts w:hint="eastAsia" w:ascii="仿宋_GB2312" w:hAnsi="仿宋_GB2312" w:cs="仿宋_GB2312"/>
                <w:b w:val="0"/>
                <w:bCs w:val="0"/>
                <w:sz w:val="24"/>
              </w:rPr>
              <w:t>及时性</w:t>
            </w:r>
          </w:p>
        </w:tc>
        <w:tc>
          <w:tcPr>
            <w:tcW w:w="691" w:type="dxa"/>
            <w:noWrap w:val="0"/>
            <w:vAlign w:val="center"/>
          </w:tcPr>
          <w:p w14:paraId="470B31F6">
            <w:pPr>
              <w:spacing w:line="240" w:lineRule="auto"/>
              <w:ind w:firstLine="0" w:firstLineChars="0"/>
              <w:jc w:val="center"/>
              <w:rPr>
                <w:rFonts w:hint="eastAsia" w:ascii="仿宋_GB2312" w:hAnsi="仿宋_GB2312" w:cs="仿宋_GB2312"/>
                <w:b w:val="0"/>
                <w:bCs w:val="0"/>
                <w:sz w:val="24"/>
                <w:lang w:val="en-US" w:eastAsia="zh-CN"/>
              </w:rPr>
            </w:pPr>
            <w:r>
              <w:rPr>
                <w:rFonts w:hint="eastAsia" w:ascii="仿宋_GB2312" w:hAnsi="仿宋_GB2312" w:cs="仿宋_GB2312"/>
                <w:b w:val="0"/>
                <w:bCs w:val="0"/>
                <w:sz w:val="24"/>
                <w:lang w:val="en-US" w:eastAsia="zh-CN"/>
              </w:rPr>
              <w:t>4</w:t>
            </w:r>
          </w:p>
        </w:tc>
        <w:tc>
          <w:tcPr>
            <w:tcW w:w="549" w:type="pct"/>
            <w:noWrap w:val="0"/>
            <w:vAlign w:val="center"/>
          </w:tcPr>
          <w:p w14:paraId="091EAE58">
            <w:pPr>
              <w:spacing w:line="240" w:lineRule="auto"/>
              <w:ind w:firstLine="0" w:firstLineChars="0"/>
              <w:jc w:val="center"/>
              <w:rPr>
                <w:rFonts w:hint="eastAsia" w:ascii="仿宋_GB2312" w:hAnsi="仿宋_GB2312" w:cs="仿宋_GB2312"/>
                <w:b w:val="0"/>
                <w:bCs w:val="0"/>
                <w:sz w:val="24"/>
                <w:lang w:val="en-US" w:eastAsia="zh-CN"/>
              </w:rPr>
            </w:pPr>
            <w:r>
              <w:rPr>
                <w:rFonts w:hint="eastAsia" w:ascii="仿宋_GB2312" w:hAnsi="仿宋_GB2312" w:cs="仿宋_GB2312"/>
                <w:b w:val="0"/>
                <w:bCs w:val="0"/>
                <w:sz w:val="24"/>
                <w:lang w:val="en-US" w:eastAsia="zh-CN"/>
              </w:rPr>
              <w:t>及时</w:t>
            </w:r>
          </w:p>
        </w:tc>
        <w:tc>
          <w:tcPr>
            <w:tcW w:w="675" w:type="pct"/>
            <w:noWrap w:val="0"/>
            <w:vAlign w:val="center"/>
          </w:tcPr>
          <w:p w14:paraId="27D45A5A">
            <w:pPr>
              <w:spacing w:line="240" w:lineRule="auto"/>
              <w:ind w:firstLine="0" w:firstLineChars="0"/>
              <w:jc w:val="center"/>
              <w:rPr>
                <w:rFonts w:hint="eastAsia" w:ascii="仿宋_GB2312" w:hAnsi="仿宋_GB2312" w:cs="仿宋_GB2312"/>
                <w:b w:val="0"/>
                <w:bCs w:val="0"/>
                <w:sz w:val="24"/>
                <w:lang w:val="en-US" w:eastAsia="zh-CN"/>
              </w:rPr>
            </w:pPr>
            <w:r>
              <w:rPr>
                <w:rFonts w:hint="eastAsia" w:ascii="仿宋_GB2312" w:hAnsi="仿宋_GB2312" w:cs="仿宋_GB2312"/>
                <w:b w:val="0"/>
                <w:bCs w:val="0"/>
                <w:sz w:val="24"/>
                <w:lang w:val="en-US" w:eastAsia="zh-CN"/>
              </w:rPr>
              <w:t>不及时</w:t>
            </w:r>
          </w:p>
        </w:tc>
        <w:tc>
          <w:tcPr>
            <w:tcW w:w="478" w:type="pct"/>
            <w:noWrap w:val="0"/>
            <w:vAlign w:val="center"/>
          </w:tcPr>
          <w:p w14:paraId="50AA5923">
            <w:pPr>
              <w:spacing w:line="240" w:lineRule="auto"/>
              <w:ind w:firstLine="0" w:firstLineChars="0"/>
              <w:jc w:val="center"/>
              <w:rPr>
                <w:rFonts w:hint="default"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0</w:t>
            </w:r>
          </w:p>
        </w:tc>
      </w:tr>
      <w:tr w14:paraId="1C6C56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672" w:type="pct"/>
            <w:vMerge w:val="continue"/>
            <w:noWrap w:val="0"/>
            <w:vAlign w:val="center"/>
          </w:tcPr>
          <w:p w14:paraId="693E2F0D">
            <w:pPr>
              <w:spacing w:line="240" w:lineRule="auto"/>
              <w:ind w:firstLine="0" w:firstLineChars="0"/>
              <w:jc w:val="center"/>
              <w:rPr>
                <w:rFonts w:hint="eastAsia" w:ascii="仿宋_GB2312" w:hAnsi="仿宋_GB2312" w:cs="仿宋_GB2312"/>
                <w:b w:val="0"/>
                <w:bCs w:val="0"/>
                <w:sz w:val="24"/>
              </w:rPr>
            </w:pPr>
          </w:p>
        </w:tc>
        <w:tc>
          <w:tcPr>
            <w:tcW w:w="879" w:type="pct"/>
            <w:noWrap w:val="0"/>
            <w:vAlign w:val="center"/>
          </w:tcPr>
          <w:p w14:paraId="20A5E20E">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C</w:t>
            </w:r>
            <w:r>
              <w:rPr>
                <w:rFonts w:hint="eastAsia" w:ascii="仿宋_GB2312" w:hAnsi="仿宋_GB2312" w:cs="仿宋_GB2312"/>
                <w:b w:val="0"/>
                <w:bCs w:val="0"/>
                <w:sz w:val="24"/>
                <w:lang w:val="en-US" w:eastAsia="zh-CN"/>
              </w:rPr>
              <w:t>4</w:t>
            </w:r>
            <w:r>
              <w:rPr>
                <w:rFonts w:hint="eastAsia" w:ascii="仿宋_GB2312" w:hAnsi="仿宋_GB2312" w:cs="仿宋_GB2312"/>
                <w:b w:val="0"/>
                <w:bCs w:val="0"/>
                <w:sz w:val="24"/>
              </w:rPr>
              <w:t>产出</w:t>
            </w:r>
            <w:r>
              <w:rPr>
                <w:rFonts w:hint="eastAsia" w:ascii="仿宋_GB2312" w:hAnsi="仿宋_GB2312" w:cs="仿宋_GB2312"/>
                <w:b w:val="0"/>
                <w:bCs w:val="0"/>
                <w:sz w:val="24"/>
                <w:lang w:val="en-US" w:eastAsia="zh-CN"/>
              </w:rPr>
              <w:t>成本</w:t>
            </w:r>
          </w:p>
        </w:tc>
        <w:tc>
          <w:tcPr>
            <w:tcW w:w="2284" w:type="dxa"/>
            <w:noWrap w:val="0"/>
            <w:vAlign w:val="center"/>
          </w:tcPr>
          <w:p w14:paraId="4E2DDD94">
            <w:pPr>
              <w:spacing w:line="240" w:lineRule="auto"/>
              <w:ind w:firstLine="0" w:firstLineChars="0"/>
              <w:jc w:val="center"/>
              <w:rPr>
                <w:rFonts w:hint="eastAsia" w:ascii="仿宋_GB2312" w:hAnsi="仿宋_GB2312" w:cs="仿宋_GB2312"/>
                <w:b w:val="0"/>
                <w:bCs w:val="0"/>
                <w:sz w:val="24"/>
                <w:lang w:val="en-US" w:eastAsia="zh-CN"/>
              </w:rPr>
            </w:pPr>
            <w:r>
              <w:rPr>
                <w:rFonts w:hint="eastAsia" w:ascii="仿宋_GB2312" w:hAnsi="仿宋_GB2312" w:cs="仿宋_GB2312"/>
                <w:b w:val="0"/>
                <w:bCs w:val="0"/>
                <w:sz w:val="24"/>
              </w:rPr>
              <w:t>C41成本节约率</w:t>
            </w:r>
          </w:p>
        </w:tc>
        <w:tc>
          <w:tcPr>
            <w:tcW w:w="691" w:type="dxa"/>
            <w:noWrap w:val="0"/>
            <w:vAlign w:val="center"/>
          </w:tcPr>
          <w:p w14:paraId="6B0C8BF1">
            <w:pPr>
              <w:spacing w:line="240" w:lineRule="auto"/>
              <w:ind w:firstLine="0" w:firstLineChars="0"/>
              <w:jc w:val="center"/>
              <w:rPr>
                <w:rFonts w:hint="eastAsia" w:ascii="仿宋_GB2312" w:hAnsi="仿宋_GB2312" w:cs="仿宋_GB2312"/>
                <w:b w:val="0"/>
                <w:bCs w:val="0"/>
                <w:sz w:val="24"/>
                <w:lang w:val="en-US" w:eastAsia="zh-CN"/>
              </w:rPr>
            </w:pPr>
            <w:r>
              <w:rPr>
                <w:rFonts w:hint="eastAsia" w:ascii="仿宋_GB2312" w:hAnsi="仿宋_GB2312" w:cs="仿宋_GB2312"/>
                <w:b w:val="0"/>
                <w:bCs w:val="0"/>
                <w:sz w:val="24"/>
                <w:lang w:val="en-US" w:eastAsia="zh-CN"/>
              </w:rPr>
              <w:t>6</w:t>
            </w:r>
          </w:p>
        </w:tc>
        <w:tc>
          <w:tcPr>
            <w:tcW w:w="549" w:type="pct"/>
            <w:noWrap w:val="0"/>
            <w:vAlign w:val="center"/>
          </w:tcPr>
          <w:p w14:paraId="2C2FF79A">
            <w:pPr>
              <w:spacing w:line="240" w:lineRule="auto"/>
              <w:ind w:firstLine="0" w:firstLineChars="0"/>
              <w:jc w:val="center"/>
              <w:rPr>
                <w:rFonts w:hint="eastAsia" w:ascii="仿宋_GB2312" w:hAnsi="仿宋_GB2312" w:cs="仿宋_GB2312"/>
                <w:b w:val="0"/>
                <w:bCs w:val="0"/>
                <w:sz w:val="24"/>
                <w:lang w:val="en-US" w:eastAsia="zh-CN"/>
              </w:rPr>
            </w:pPr>
            <w:r>
              <w:rPr>
                <w:rFonts w:hint="eastAsia" w:ascii="仿宋_GB2312" w:hAnsi="仿宋_GB2312" w:cs="仿宋_GB2312"/>
                <w:b w:val="0"/>
                <w:bCs w:val="0"/>
                <w:sz w:val="24"/>
                <w:lang w:val="en-US" w:eastAsia="zh-CN"/>
              </w:rPr>
              <w:t>≥0</w:t>
            </w:r>
          </w:p>
        </w:tc>
        <w:tc>
          <w:tcPr>
            <w:tcW w:w="675" w:type="pct"/>
            <w:noWrap w:val="0"/>
            <w:vAlign w:val="center"/>
          </w:tcPr>
          <w:p w14:paraId="2F82D50C">
            <w:pPr>
              <w:spacing w:line="240" w:lineRule="auto"/>
              <w:ind w:firstLine="0" w:firstLineChars="0"/>
              <w:jc w:val="center"/>
              <w:rPr>
                <w:rFonts w:hint="default" w:ascii="仿宋_GB2312" w:hAnsi="仿宋_GB2312" w:cs="仿宋_GB2312"/>
                <w:b w:val="0"/>
                <w:bCs w:val="0"/>
                <w:sz w:val="24"/>
                <w:lang w:val="en-US"/>
              </w:rPr>
            </w:pPr>
            <w:r>
              <w:rPr>
                <w:rFonts w:hint="eastAsia" w:ascii="仿宋_GB2312" w:hAnsi="仿宋_GB2312" w:cs="仿宋_GB2312"/>
                <w:b w:val="0"/>
                <w:bCs w:val="0"/>
                <w:sz w:val="24"/>
                <w:highlight w:val="none"/>
                <w:lang w:val="en-US" w:eastAsia="zh-CN"/>
              </w:rPr>
              <w:t>0%</w:t>
            </w:r>
          </w:p>
        </w:tc>
        <w:tc>
          <w:tcPr>
            <w:tcW w:w="478" w:type="pct"/>
            <w:noWrap w:val="0"/>
            <w:vAlign w:val="center"/>
          </w:tcPr>
          <w:p w14:paraId="7F4A760F">
            <w:pPr>
              <w:spacing w:line="240" w:lineRule="auto"/>
              <w:ind w:firstLine="0" w:firstLineChars="0"/>
              <w:jc w:val="center"/>
              <w:rPr>
                <w:rFonts w:hint="default"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6</w:t>
            </w:r>
          </w:p>
        </w:tc>
      </w:tr>
      <w:tr w14:paraId="6263C2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672" w:type="pct"/>
            <w:noWrap w:val="0"/>
            <w:vAlign w:val="center"/>
          </w:tcPr>
          <w:p w14:paraId="606AE455">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合计</w:t>
            </w:r>
          </w:p>
        </w:tc>
        <w:tc>
          <w:tcPr>
            <w:tcW w:w="879" w:type="pct"/>
            <w:noWrap w:val="0"/>
            <w:vAlign w:val="center"/>
          </w:tcPr>
          <w:p w14:paraId="45310121">
            <w:pPr>
              <w:spacing w:line="240" w:lineRule="auto"/>
              <w:ind w:firstLine="0" w:firstLineChars="0"/>
              <w:jc w:val="center"/>
              <w:rPr>
                <w:rFonts w:hint="eastAsia" w:ascii="仿宋_GB2312" w:hAnsi="仿宋_GB2312" w:cs="仿宋_GB2312"/>
                <w:b w:val="0"/>
                <w:bCs w:val="0"/>
                <w:sz w:val="24"/>
              </w:rPr>
            </w:pPr>
          </w:p>
        </w:tc>
        <w:tc>
          <w:tcPr>
            <w:tcW w:w="1339" w:type="pct"/>
            <w:noWrap w:val="0"/>
            <w:vAlign w:val="center"/>
          </w:tcPr>
          <w:p w14:paraId="6E35E45A">
            <w:pPr>
              <w:spacing w:line="240" w:lineRule="auto"/>
              <w:ind w:firstLine="0" w:firstLineChars="0"/>
              <w:jc w:val="center"/>
              <w:rPr>
                <w:rFonts w:hint="eastAsia" w:ascii="仿宋_GB2312" w:hAnsi="仿宋_GB2312" w:cs="仿宋_GB2312"/>
                <w:b w:val="0"/>
                <w:bCs w:val="0"/>
                <w:sz w:val="24"/>
              </w:rPr>
            </w:pPr>
          </w:p>
        </w:tc>
        <w:tc>
          <w:tcPr>
            <w:tcW w:w="405" w:type="pct"/>
            <w:noWrap w:val="0"/>
            <w:vAlign w:val="center"/>
          </w:tcPr>
          <w:p w14:paraId="60C338AE">
            <w:pPr>
              <w:spacing w:line="240" w:lineRule="auto"/>
              <w:ind w:firstLine="0" w:firstLineChars="0"/>
              <w:jc w:val="center"/>
              <w:rPr>
                <w:rFonts w:hint="default"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30</w:t>
            </w:r>
          </w:p>
        </w:tc>
        <w:tc>
          <w:tcPr>
            <w:tcW w:w="549" w:type="pct"/>
            <w:noWrap w:val="0"/>
            <w:vAlign w:val="center"/>
          </w:tcPr>
          <w:p w14:paraId="1782E9E9">
            <w:pPr>
              <w:spacing w:line="240" w:lineRule="auto"/>
              <w:ind w:firstLine="0" w:firstLineChars="0"/>
              <w:jc w:val="center"/>
              <w:rPr>
                <w:rFonts w:hint="eastAsia" w:ascii="仿宋_GB2312" w:hAnsi="仿宋_GB2312" w:cs="仿宋_GB2312"/>
                <w:b w:val="0"/>
                <w:bCs w:val="0"/>
                <w:sz w:val="24"/>
              </w:rPr>
            </w:pPr>
          </w:p>
        </w:tc>
        <w:tc>
          <w:tcPr>
            <w:tcW w:w="675" w:type="pct"/>
            <w:noWrap w:val="0"/>
            <w:vAlign w:val="center"/>
          </w:tcPr>
          <w:p w14:paraId="2750D48F">
            <w:pPr>
              <w:spacing w:line="240" w:lineRule="auto"/>
              <w:ind w:firstLine="0" w:firstLineChars="0"/>
              <w:jc w:val="center"/>
              <w:rPr>
                <w:rFonts w:hint="eastAsia" w:ascii="仿宋_GB2312" w:hAnsi="仿宋_GB2312" w:cs="仿宋_GB2312"/>
                <w:b w:val="0"/>
                <w:bCs w:val="0"/>
                <w:sz w:val="24"/>
              </w:rPr>
            </w:pPr>
          </w:p>
        </w:tc>
        <w:tc>
          <w:tcPr>
            <w:tcW w:w="478" w:type="pct"/>
            <w:noWrap w:val="0"/>
            <w:vAlign w:val="center"/>
          </w:tcPr>
          <w:p w14:paraId="170D91DD">
            <w:pPr>
              <w:spacing w:line="240" w:lineRule="auto"/>
              <w:ind w:firstLine="0" w:firstLineChars="0"/>
              <w:jc w:val="center"/>
              <w:rPr>
                <w:rFonts w:hint="default"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18</w:t>
            </w:r>
          </w:p>
        </w:tc>
      </w:tr>
    </w:tbl>
    <w:p w14:paraId="2BBB841F">
      <w:pPr>
        <w:keepNext w:val="0"/>
        <w:keepLines w:val="0"/>
        <w:pageBreakBefore w:val="0"/>
        <w:widowControl w:val="0"/>
        <w:kinsoku/>
        <w:wordWrap/>
        <w:overflowPunct/>
        <w:topLinePunct w:val="0"/>
        <w:autoSpaceDE/>
        <w:autoSpaceDN/>
        <w:bidi w:val="0"/>
        <w:adjustRightInd/>
        <w:snapToGrid/>
        <w:ind w:left="0" w:leftChars="0" w:firstLine="643" w:firstLineChars="200"/>
        <w:textAlignment w:val="auto"/>
        <w:outlineLvl w:val="9"/>
        <w:rPr>
          <w:rFonts w:hint="eastAsia"/>
          <w:b/>
          <w:bCs/>
          <w:kern w:val="0"/>
          <w:szCs w:val="32"/>
        </w:rPr>
      </w:pPr>
      <w:r>
        <w:rPr>
          <w:rFonts w:hint="eastAsia"/>
          <w:b/>
          <w:bCs/>
          <w:kern w:val="0"/>
          <w:szCs w:val="32"/>
        </w:rPr>
        <w:t>1.项目产出数量目标的实现程度分析</w:t>
      </w:r>
    </w:p>
    <w:p w14:paraId="12952CAE">
      <w:pPr>
        <w:autoSpaceDE w:val="0"/>
        <w:autoSpaceDN w:val="0"/>
        <w:adjustRightInd w:val="0"/>
        <w:ind w:firstLine="643"/>
        <w:rPr>
          <w:rFonts w:ascii="仿宋_GB2312"/>
          <w:b/>
          <w:bCs/>
          <w:kern w:val="0"/>
          <w:szCs w:val="32"/>
        </w:rPr>
      </w:pPr>
      <w:r>
        <w:rPr>
          <w:rFonts w:hint="eastAsia" w:ascii="仿宋_GB2312"/>
          <w:b/>
          <w:bCs/>
          <w:kern w:val="0"/>
          <w:szCs w:val="32"/>
          <w:lang w:val="en-US" w:eastAsia="zh-CN"/>
        </w:rPr>
        <w:t>C11综合教学楼建筑面积完成率</w:t>
      </w:r>
      <w:r>
        <w:rPr>
          <w:rFonts w:hint="eastAsia" w:ascii="仿宋_GB2312"/>
          <w:b/>
          <w:bCs/>
          <w:kern w:val="0"/>
          <w:szCs w:val="32"/>
        </w:rPr>
        <w:t>：</w:t>
      </w:r>
      <w:r>
        <w:rPr>
          <w:rFonts w:hint="eastAsia" w:ascii="仿宋_GB2312"/>
          <w:b/>
          <w:bCs/>
          <w:kern w:val="0"/>
          <w:szCs w:val="32"/>
          <w:lang w:val="zh-CN"/>
        </w:rPr>
        <w:t>满分</w:t>
      </w:r>
      <w:r>
        <w:rPr>
          <w:rFonts w:hint="eastAsia" w:ascii="仿宋_GB2312"/>
          <w:b/>
          <w:bCs/>
          <w:kern w:val="0"/>
          <w:szCs w:val="32"/>
          <w:lang w:val="en-US" w:eastAsia="zh-CN"/>
        </w:rPr>
        <w:t>4</w:t>
      </w:r>
      <w:r>
        <w:rPr>
          <w:rFonts w:hint="eastAsia" w:ascii="仿宋_GB2312"/>
          <w:b/>
          <w:bCs/>
          <w:kern w:val="0"/>
          <w:szCs w:val="32"/>
          <w:lang w:val="zh-CN"/>
        </w:rPr>
        <w:t>分，得分</w:t>
      </w:r>
      <w:r>
        <w:rPr>
          <w:rFonts w:hint="eastAsia" w:ascii="仿宋_GB2312"/>
          <w:b/>
          <w:bCs/>
          <w:kern w:val="0"/>
          <w:szCs w:val="32"/>
          <w:lang w:val="en-US" w:eastAsia="zh-CN"/>
        </w:rPr>
        <w:t>4</w:t>
      </w:r>
      <w:r>
        <w:rPr>
          <w:rFonts w:hint="eastAsia" w:ascii="仿宋_GB2312"/>
          <w:b/>
          <w:bCs/>
          <w:kern w:val="0"/>
          <w:szCs w:val="32"/>
          <w:lang w:val="zh-CN"/>
        </w:rPr>
        <w:t>分。</w:t>
      </w:r>
    </w:p>
    <w:p w14:paraId="505CA930">
      <w:pPr>
        <w:ind w:firstLine="640"/>
        <w:rPr>
          <w:rFonts w:ascii="仿宋_GB2312"/>
        </w:rPr>
      </w:pPr>
      <w:r>
        <w:rPr>
          <w:rFonts w:hint="eastAsia" w:ascii="仿宋_GB2312"/>
          <w:lang w:val="en-US" w:eastAsia="zh-CN"/>
        </w:rPr>
        <w:t>本指标用以反映和考核项目综合教学楼建筑面积实际产出数与计划产出数的比率,用以反映和考核综合教学楼建筑面积的实现程度。</w:t>
      </w:r>
    </w:p>
    <w:p w14:paraId="67023D6B">
      <w:pPr>
        <w:ind w:firstLine="640"/>
        <w:rPr>
          <w:rFonts w:hint="eastAsia" w:ascii="仿宋_GB2312"/>
          <w:lang w:val="en-US" w:eastAsia="zh-CN"/>
        </w:rPr>
      </w:pPr>
      <w:r>
        <w:rPr>
          <w:rFonts w:hint="eastAsia" w:ascii="仿宋_GB2312"/>
        </w:rPr>
        <w:t>经评价组</w:t>
      </w:r>
      <w:r>
        <w:rPr>
          <w:rFonts w:hint="eastAsia" w:ascii="仿宋_GB2312"/>
          <w:lang w:val="en-US" w:eastAsia="zh-CN"/>
        </w:rPr>
        <w:t>实地勘察和查阅资料</w:t>
      </w:r>
      <w:r>
        <w:rPr>
          <w:rFonts w:hint="eastAsia" w:ascii="仿宋_GB2312"/>
        </w:rPr>
        <w:t>，</w:t>
      </w:r>
      <w:r>
        <w:rPr>
          <w:rFonts w:hint="eastAsia" w:ascii="仿宋_GB2312"/>
          <w:lang w:val="en-US" w:eastAsia="zh-CN"/>
        </w:rPr>
        <w:t>综合教学楼建筑面积截止绩效评价基准日未完工，但截止绩效评价日全部完工，计划建设3624平方米，实际完成3624平方米。</w:t>
      </w:r>
    </w:p>
    <w:p w14:paraId="1DAF5A40">
      <w:pPr>
        <w:ind w:firstLine="640"/>
        <w:rPr>
          <w:rFonts w:hint="eastAsia" w:ascii="仿宋_GB2312"/>
        </w:rPr>
      </w:pPr>
      <w:r>
        <w:rPr>
          <w:rFonts w:hint="eastAsia" w:ascii="仿宋_GB2312"/>
        </w:rPr>
        <w:t>根据评分标准：满分</w:t>
      </w:r>
      <w:r>
        <w:rPr>
          <w:rFonts w:hint="eastAsia" w:ascii="仿宋_GB2312"/>
          <w:lang w:val="en-US" w:eastAsia="zh-CN"/>
        </w:rPr>
        <w:t>4</w:t>
      </w:r>
      <w:r>
        <w:rPr>
          <w:rFonts w:hint="eastAsia" w:ascii="仿宋_GB2312"/>
        </w:rPr>
        <w:t>分，得分</w:t>
      </w:r>
      <w:r>
        <w:rPr>
          <w:rFonts w:hint="eastAsia" w:ascii="仿宋_GB2312"/>
          <w:lang w:val="en-US" w:eastAsia="zh-CN"/>
        </w:rPr>
        <w:t>4</w:t>
      </w:r>
      <w:r>
        <w:rPr>
          <w:rFonts w:hint="eastAsia" w:ascii="仿宋_GB2312"/>
        </w:rPr>
        <w:t>分。</w:t>
      </w:r>
    </w:p>
    <w:p w14:paraId="1DD0CAE9">
      <w:pPr>
        <w:autoSpaceDE w:val="0"/>
        <w:autoSpaceDN w:val="0"/>
        <w:adjustRightInd w:val="0"/>
        <w:ind w:firstLine="643"/>
        <w:rPr>
          <w:rFonts w:ascii="仿宋_GB2312"/>
          <w:b/>
          <w:bCs/>
          <w:kern w:val="0"/>
          <w:szCs w:val="32"/>
        </w:rPr>
      </w:pPr>
      <w:r>
        <w:rPr>
          <w:rFonts w:hint="eastAsia" w:ascii="仿宋_GB2312"/>
          <w:b/>
          <w:bCs/>
          <w:kern w:val="0"/>
          <w:szCs w:val="32"/>
          <w:lang w:val="en-US" w:eastAsia="zh-CN"/>
        </w:rPr>
        <w:t>C12学员人数容纳率</w:t>
      </w:r>
      <w:r>
        <w:rPr>
          <w:rFonts w:hint="eastAsia" w:ascii="仿宋_GB2312"/>
          <w:b/>
          <w:bCs/>
          <w:kern w:val="0"/>
          <w:szCs w:val="32"/>
        </w:rPr>
        <w:t>：</w:t>
      </w:r>
      <w:r>
        <w:rPr>
          <w:rFonts w:hint="eastAsia" w:ascii="仿宋_GB2312"/>
          <w:b/>
          <w:bCs/>
          <w:kern w:val="0"/>
          <w:szCs w:val="32"/>
          <w:lang w:val="zh-CN"/>
        </w:rPr>
        <w:t>满分</w:t>
      </w:r>
      <w:r>
        <w:rPr>
          <w:rFonts w:hint="eastAsia" w:ascii="仿宋_GB2312"/>
          <w:b/>
          <w:bCs/>
          <w:kern w:val="0"/>
          <w:szCs w:val="32"/>
          <w:lang w:val="en-US" w:eastAsia="zh-CN"/>
        </w:rPr>
        <w:t>4</w:t>
      </w:r>
      <w:r>
        <w:rPr>
          <w:rFonts w:hint="eastAsia" w:ascii="仿宋_GB2312"/>
          <w:b/>
          <w:bCs/>
          <w:kern w:val="0"/>
          <w:szCs w:val="32"/>
          <w:lang w:val="zh-CN"/>
        </w:rPr>
        <w:t>分，得分</w:t>
      </w:r>
      <w:r>
        <w:rPr>
          <w:rFonts w:hint="eastAsia" w:ascii="仿宋_GB2312"/>
          <w:b/>
          <w:bCs/>
          <w:kern w:val="0"/>
          <w:szCs w:val="32"/>
          <w:lang w:val="en-US" w:eastAsia="zh-CN"/>
        </w:rPr>
        <w:t>4</w:t>
      </w:r>
      <w:r>
        <w:rPr>
          <w:rFonts w:hint="eastAsia" w:ascii="仿宋_GB2312"/>
          <w:b/>
          <w:bCs/>
          <w:kern w:val="0"/>
          <w:szCs w:val="32"/>
          <w:lang w:val="zh-CN"/>
        </w:rPr>
        <w:t>分。</w:t>
      </w:r>
    </w:p>
    <w:p w14:paraId="6F07E55F">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outlineLvl w:val="9"/>
        <w:rPr>
          <w:rFonts w:hint="eastAsia" w:ascii="仿宋_GB2312"/>
          <w:lang w:val="en-US" w:eastAsia="zh-CN"/>
        </w:rPr>
      </w:pPr>
      <w:r>
        <w:rPr>
          <w:rFonts w:hint="eastAsia" w:ascii="仿宋_GB2312"/>
          <w:lang w:val="en-US" w:eastAsia="zh-CN"/>
        </w:rPr>
        <w:t>本指标用以反映和考核项目实施的学员人数实际容纳数与计划容纳数的比率,反映和考核教学楼容纳学员人数情况。</w:t>
      </w:r>
    </w:p>
    <w:p w14:paraId="5CFCD875">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outlineLvl w:val="9"/>
        <w:rPr>
          <w:rFonts w:hint="eastAsia" w:ascii="仿宋_GB2312"/>
        </w:rPr>
      </w:pPr>
      <w:r>
        <w:rPr>
          <w:rFonts w:hint="eastAsia" w:ascii="仿宋_GB2312"/>
          <w:lang w:val="en-US" w:eastAsia="zh-CN"/>
        </w:rPr>
        <w:t>根据评价组查阅施工图纸姐现场勘察，</w:t>
      </w:r>
      <w:r>
        <w:rPr>
          <w:rFonts w:hint="eastAsia" w:ascii="仿宋_GB2312"/>
        </w:rPr>
        <w:t>本项目校内综合教学楼、办公楼、学员宿舍、食堂及阶梯教室五个单体建筑可满足200人的干部教育封闭教学使用</w:t>
      </w:r>
      <w:r>
        <w:rPr>
          <w:rFonts w:hint="eastAsia" w:ascii="仿宋_GB2312"/>
          <w:lang w:eastAsia="zh-CN"/>
        </w:rPr>
        <w:t>，</w:t>
      </w:r>
      <w:r>
        <w:rPr>
          <w:rFonts w:hint="eastAsia" w:ascii="仿宋_GB2312"/>
          <w:lang w:val="en-US" w:eastAsia="zh-CN"/>
        </w:rPr>
        <w:t>和计划相符</w:t>
      </w:r>
      <w:r>
        <w:rPr>
          <w:rFonts w:hint="eastAsia" w:ascii="仿宋_GB2312"/>
        </w:rPr>
        <w:t>。</w:t>
      </w:r>
    </w:p>
    <w:p w14:paraId="036CB470">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outlineLvl w:val="9"/>
        <w:rPr>
          <w:rFonts w:hint="eastAsia" w:ascii="仿宋_GB2312"/>
        </w:rPr>
      </w:pPr>
      <w:r>
        <w:rPr>
          <w:rFonts w:hint="eastAsia" w:ascii="仿宋_GB2312"/>
        </w:rPr>
        <w:t>根据评分标准：满分</w:t>
      </w:r>
      <w:r>
        <w:rPr>
          <w:rFonts w:hint="eastAsia" w:ascii="仿宋_GB2312"/>
          <w:lang w:val="en-US" w:eastAsia="zh-CN"/>
        </w:rPr>
        <w:t>4</w:t>
      </w:r>
      <w:r>
        <w:rPr>
          <w:rFonts w:hint="eastAsia" w:ascii="仿宋_GB2312"/>
        </w:rPr>
        <w:t>分，得分</w:t>
      </w:r>
      <w:r>
        <w:rPr>
          <w:rFonts w:hint="eastAsia" w:ascii="仿宋_GB2312"/>
          <w:lang w:val="en-US" w:eastAsia="zh-CN"/>
        </w:rPr>
        <w:t>4</w:t>
      </w:r>
      <w:r>
        <w:rPr>
          <w:rFonts w:hint="eastAsia" w:ascii="仿宋_GB2312"/>
        </w:rPr>
        <w:t>分。</w:t>
      </w:r>
    </w:p>
    <w:p w14:paraId="1018E741">
      <w:pPr>
        <w:keepNext w:val="0"/>
        <w:keepLines w:val="0"/>
        <w:pageBreakBefore w:val="0"/>
        <w:widowControl w:val="0"/>
        <w:kinsoku/>
        <w:wordWrap/>
        <w:overflowPunct/>
        <w:topLinePunct w:val="0"/>
        <w:autoSpaceDE/>
        <w:autoSpaceDN/>
        <w:bidi w:val="0"/>
        <w:adjustRightInd/>
        <w:snapToGrid/>
        <w:ind w:left="0" w:leftChars="0" w:firstLine="643" w:firstLineChars="200"/>
        <w:textAlignment w:val="auto"/>
        <w:outlineLvl w:val="9"/>
        <w:rPr>
          <w:rFonts w:hint="eastAsia"/>
          <w:b/>
          <w:bCs/>
          <w:kern w:val="0"/>
          <w:szCs w:val="32"/>
        </w:rPr>
      </w:pPr>
      <w:r>
        <w:rPr>
          <w:rFonts w:hint="eastAsia"/>
          <w:b/>
          <w:bCs/>
          <w:kern w:val="0"/>
          <w:szCs w:val="32"/>
        </w:rPr>
        <w:t>2.项目产出质量目标的实现程度分析</w:t>
      </w:r>
    </w:p>
    <w:p w14:paraId="1A9A8FF5">
      <w:pPr>
        <w:pStyle w:val="2"/>
        <w:ind w:firstLine="643"/>
        <w:rPr>
          <w:rFonts w:ascii="仿宋_GB2312"/>
        </w:rPr>
      </w:pPr>
      <w:r>
        <w:rPr>
          <w:rFonts w:hint="eastAsia" w:ascii="仿宋_GB2312" w:hAnsi="Times New Roman"/>
          <w:b/>
          <w:bCs/>
          <w:kern w:val="0"/>
          <w:sz w:val="32"/>
          <w:szCs w:val="32"/>
          <w:lang w:val="en-US" w:eastAsia="zh-CN"/>
        </w:rPr>
        <w:t>C21质量合格率</w:t>
      </w:r>
      <w:r>
        <w:rPr>
          <w:rFonts w:hint="eastAsia" w:ascii="仿宋_GB2312" w:hAnsi="Times New Roman"/>
          <w:b/>
          <w:bCs/>
          <w:kern w:val="0"/>
          <w:sz w:val="32"/>
          <w:szCs w:val="32"/>
        </w:rPr>
        <w:t>：</w:t>
      </w:r>
      <w:r>
        <w:rPr>
          <w:rFonts w:hint="eastAsia" w:ascii="仿宋_GB2312" w:hAnsi="Times New Roman"/>
          <w:b/>
          <w:bCs/>
          <w:kern w:val="0"/>
          <w:sz w:val="32"/>
          <w:szCs w:val="32"/>
          <w:lang w:val="zh-CN"/>
        </w:rPr>
        <w:t>满分</w:t>
      </w:r>
      <w:r>
        <w:rPr>
          <w:rFonts w:hint="eastAsia" w:ascii="仿宋_GB2312" w:hAnsi="Times New Roman"/>
          <w:b/>
          <w:bCs/>
          <w:kern w:val="0"/>
          <w:sz w:val="32"/>
          <w:szCs w:val="32"/>
          <w:lang w:val="en-US" w:eastAsia="zh-CN"/>
        </w:rPr>
        <w:t>8</w:t>
      </w:r>
      <w:r>
        <w:rPr>
          <w:rFonts w:hint="eastAsia" w:ascii="仿宋_GB2312" w:hAnsi="Times New Roman"/>
          <w:b/>
          <w:bCs/>
          <w:kern w:val="0"/>
          <w:sz w:val="32"/>
          <w:szCs w:val="32"/>
          <w:lang w:val="zh-CN"/>
        </w:rPr>
        <w:t>分，得分</w:t>
      </w:r>
      <w:r>
        <w:rPr>
          <w:rFonts w:hint="eastAsia" w:ascii="仿宋_GB2312" w:hAnsi="Times New Roman"/>
          <w:b/>
          <w:bCs/>
          <w:kern w:val="0"/>
          <w:sz w:val="32"/>
          <w:szCs w:val="32"/>
          <w:lang w:val="en-US" w:eastAsia="zh-CN"/>
        </w:rPr>
        <w:t>4</w:t>
      </w:r>
      <w:r>
        <w:rPr>
          <w:rFonts w:hint="eastAsia" w:ascii="仿宋_GB2312" w:hAnsi="Times New Roman"/>
          <w:b/>
          <w:bCs/>
          <w:kern w:val="0"/>
          <w:sz w:val="32"/>
          <w:szCs w:val="32"/>
          <w:lang w:val="zh-CN"/>
        </w:rPr>
        <w:t>分。</w:t>
      </w:r>
    </w:p>
    <w:p w14:paraId="1024D4E8">
      <w:pPr>
        <w:ind w:firstLine="640"/>
        <w:rPr>
          <w:rFonts w:ascii="仿宋_GB2312"/>
        </w:rPr>
      </w:pPr>
      <w:r>
        <w:rPr>
          <w:rFonts w:hint="eastAsia" w:ascii="仿宋_GB2312"/>
        </w:rPr>
        <w:t>本指标用以反映和考核</w:t>
      </w:r>
      <w:r>
        <w:rPr>
          <w:rFonts w:hint="eastAsia" w:ascii="仿宋_GB2312"/>
          <w:lang w:val="en-US" w:eastAsia="zh-CN"/>
        </w:rPr>
        <w:t>根据国家颁发的现行相关专业质量验收规范验收合格得工程量与实际应验收的工程量的比率，</w:t>
      </w:r>
      <w:r>
        <w:rPr>
          <w:rFonts w:hint="eastAsia" w:ascii="仿宋_GB2312"/>
        </w:rPr>
        <w:t>反映和考核</w:t>
      </w:r>
      <w:r>
        <w:rPr>
          <w:rFonts w:hint="eastAsia" w:ascii="仿宋_GB2312"/>
          <w:lang w:val="en-US" w:eastAsia="zh-CN"/>
        </w:rPr>
        <w:t>项目整体的质量</w:t>
      </w:r>
      <w:r>
        <w:rPr>
          <w:rFonts w:hint="eastAsia" w:ascii="仿宋_GB2312"/>
        </w:rPr>
        <w:t>情况</w:t>
      </w:r>
      <w:r>
        <w:rPr>
          <w:rFonts w:hint="eastAsia" w:ascii="仿宋_GB2312"/>
          <w:lang w:eastAsia="zh-CN"/>
        </w:rPr>
        <w:t>。</w:t>
      </w:r>
    </w:p>
    <w:p w14:paraId="29667EEB">
      <w:pPr>
        <w:ind w:left="0" w:leftChars="0" w:firstLine="640" w:firstLineChars="200"/>
        <w:rPr>
          <w:rFonts w:hint="default" w:ascii="仿宋_GB2312"/>
          <w:lang w:val="en-US" w:eastAsia="zh-CN"/>
        </w:rPr>
      </w:pPr>
      <w:r>
        <w:rPr>
          <w:rFonts w:hint="default" w:ascii="仿宋_GB2312"/>
          <w:lang w:val="en-US" w:eastAsia="zh-CN"/>
        </w:rPr>
        <w:t>经</w:t>
      </w:r>
      <w:r>
        <w:rPr>
          <w:rFonts w:hint="eastAsia" w:ascii="仿宋_GB2312"/>
          <w:lang w:val="en-US" w:eastAsia="zh-CN"/>
        </w:rPr>
        <w:t>评价组查阅资料，项目完成后未组织验收，现场勘察质量符合标准，但未有专业机构出具报告</w:t>
      </w:r>
      <w:r>
        <w:rPr>
          <w:rFonts w:hint="default" w:ascii="仿宋_GB2312"/>
          <w:lang w:val="en-US" w:eastAsia="zh-CN"/>
        </w:rPr>
        <w:t>。</w:t>
      </w:r>
    </w:p>
    <w:p w14:paraId="52DA2421">
      <w:pPr>
        <w:ind w:left="0" w:leftChars="0" w:firstLine="640" w:firstLineChars="200"/>
        <w:rPr>
          <w:rFonts w:hint="eastAsia" w:ascii="仿宋_GB2312"/>
        </w:rPr>
      </w:pPr>
      <w:r>
        <w:rPr>
          <w:rFonts w:hint="eastAsia" w:ascii="仿宋_GB2312"/>
        </w:rPr>
        <w:t>根据评分标准：满分</w:t>
      </w:r>
      <w:r>
        <w:rPr>
          <w:rFonts w:hint="eastAsia" w:ascii="仿宋_GB2312"/>
          <w:lang w:val="en-US" w:eastAsia="zh-CN"/>
        </w:rPr>
        <w:t>8</w:t>
      </w:r>
      <w:r>
        <w:rPr>
          <w:rFonts w:hint="eastAsia" w:ascii="仿宋_GB2312"/>
        </w:rPr>
        <w:t>分，得分</w:t>
      </w:r>
      <w:r>
        <w:rPr>
          <w:rFonts w:hint="eastAsia" w:ascii="仿宋_GB2312"/>
          <w:lang w:val="en-US" w:eastAsia="zh-CN"/>
        </w:rPr>
        <w:t>4</w:t>
      </w:r>
      <w:r>
        <w:rPr>
          <w:rFonts w:hint="eastAsia" w:ascii="仿宋_GB2312"/>
        </w:rPr>
        <w:t>分。</w:t>
      </w:r>
    </w:p>
    <w:p w14:paraId="643A06B4">
      <w:pPr>
        <w:keepNext w:val="0"/>
        <w:keepLines w:val="0"/>
        <w:pageBreakBefore w:val="0"/>
        <w:widowControl w:val="0"/>
        <w:kinsoku/>
        <w:wordWrap/>
        <w:overflowPunct/>
        <w:topLinePunct w:val="0"/>
        <w:autoSpaceDE/>
        <w:autoSpaceDN/>
        <w:bidi w:val="0"/>
        <w:adjustRightInd/>
        <w:snapToGrid/>
        <w:ind w:left="0" w:leftChars="0" w:firstLine="643" w:firstLineChars="200"/>
        <w:textAlignment w:val="auto"/>
        <w:outlineLvl w:val="9"/>
        <w:rPr>
          <w:rFonts w:hint="eastAsia"/>
          <w:b/>
          <w:bCs/>
          <w:kern w:val="0"/>
          <w:szCs w:val="32"/>
          <w:lang w:val="en-US" w:eastAsia="zh-CN"/>
        </w:rPr>
      </w:pPr>
      <w:r>
        <w:rPr>
          <w:rFonts w:hint="eastAsia"/>
          <w:b/>
          <w:bCs/>
          <w:kern w:val="0"/>
          <w:szCs w:val="32"/>
          <w:lang w:val="en-US" w:eastAsia="zh-CN"/>
        </w:rPr>
        <w:t>3.项目产出时效目标的实现程度分析</w:t>
      </w:r>
    </w:p>
    <w:p w14:paraId="62DD8535">
      <w:pPr>
        <w:ind w:firstLine="643"/>
        <w:rPr>
          <w:rFonts w:ascii="仿宋_GB2312"/>
          <w:kern w:val="0"/>
          <w:szCs w:val="32"/>
        </w:rPr>
      </w:pPr>
      <w:r>
        <w:rPr>
          <w:rFonts w:hint="eastAsia" w:ascii="仿宋_GB2312"/>
          <w:b/>
          <w:bCs/>
          <w:kern w:val="0"/>
          <w:szCs w:val="32"/>
          <w:lang w:val="en-US" w:eastAsia="zh-CN"/>
        </w:rPr>
        <w:t>C31项目完工及时性</w:t>
      </w:r>
      <w:r>
        <w:rPr>
          <w:rFonts w:hint="eastAsia" w:ascii="仿宋_GB2312"/>
          <w:b/>
          <w:bCs/>
          <w:kern w:val="0"/>
          <w:szCs w:val="32"/>
        </w:rPr>
        <w:t>：满分</w:t>
      </w:r>
      <w:r>
        <w:rPr>
          <w:rFonts w:hint="eastAsia" w:ascii="仿宋_GB2312"/>
          <w:b/>
          <w:bCs/>
          <w:kern w:val="0"/>
          <w:szCs w:val="32"/>
          <w:lang w:val="en-US" w:eastAsia="zh-CN"/>
        </w:rPr>
        <w:t>4</w:t>
      </w:r>
      <w:r>
        <w:rPr>
          <w:rFonts w:hint="eastAsia" w:ascii="仿宋_GB2312"/>
          <w:b/>
          <w:bCs/>
          <w:kern w:val="0"/>
          <w:szCs w:val="32"/>
        </w:rPr>
        <w:t>分，得分</w:t>
      </w:r>
      <w:r>
        <w:rPr>
          <w:rFonts w:hint="eastAsia" w:ascii="仿宋_GB2312"/>
          <w:b/>
          <w:bCs/>
          <w:kern w:val="0"/>
          <w:szCs w:val="32"/>
          <w:lang w:val="en-US" w:eastAsia="zh-CN"/>
        </w:rPr>
        <w:t>0</w:t>
      </w:r>
      <w:r>
        <w:rPr>
          <w:rFonts w:hint="eastAsia" w:ascii="仿宋_GB2312"/>
          <w:b/>
          <w:bCs/>
          <w:kern w:val="0"/>
          <w:szCs w:val="32"/>
        </w:rPr>
        <w:t>分。</w:t>
      </w:r>
    </w:p>
    <w:p w14:paraId="70D84813">
      <w:pPr>
        <w:ind w:firstLine="640"/>
        <w:rPr>
          <w:rFonts w:hint="eastAsia" w:ascii="仿宋_GB2312"/>
        </w:rPr>
      </w:pPr>
      <w:r>
        <w:rPr>
          <w:rFonts w:hint="eastAsia" w:ascii="仿宋_GB2312"/>
        </w:rPr>
        <w:t>本指标用以反映和考核项目实际</w:t>
      </w:r>
      <w:r>
        <w:rPr>
          <w:rFonts w:hint="eastAsia" w:ascii="仿宋_GB2312"/>
          <w:lang w:val="en-US" w:eastAsia="zh-CN"/>
        </w:rPr>
        <w:t>完工</w:t>
      </w:r>
      <w:r>
        <w:rPr>
          <w:rFonts w:hint="eastAsia" w:ascii="仿宋_GB2312"/>
        </w:rPr>
        <w:t>时间与计划</w:t>
      </w:r>
      <w:r>
        <w:rPr>
          <w:rFonts w:hint="eastAsia" w:ascii="仿宋_GB2312"/>
          <w:lang w:val="en-US" w:eastAsia="zh-CN"/>
        </w:rPr>
        <w:t>完工</w:t>
      </w:r>
      <w:r>
        <w:rPr>
          <w:rFonts w:hint="eastAsia" w:ascii="仿宋_GB2312"/>
        </w:rPr>
        <w:t>时间的比较，反映和考核</w:t>
      </w:r>
      <w:r>
        <w:rPr>
          <w:rFonts w:hint="eastAsia" w:ascii="仿宋_GB2312"/>
          <w:lang w:val="en-US" w:eastAsia="zh-CN"/>
        </w:rPr>
        <w:t>项目完工及时情况</w:t>
      </w:r>
      <w:r>
        <w:rPr>
          <w:rFonts w:hint="eastAsia" w:ascii="仿宋_GB2312"/>
        </w:rPr>
        <w:t>。</w:t>
      </w:r>
    </w:p>
    <w:p w14:paraId="55A5B638">
      <w:pPr>
        <w:ind w:left="0" w:leftChars="0" w:firstLine="640" w:firstLineChars="200"/>
        <w:rPr>
          <w:rFonts w:hint="default" w:ascii="仿宋_GB2312"/>
          <w:lang w:val="en-US"/>
        </w:rPr>
      </w:pPr>
      <w:r>
        <w:rPr>
          <w:rFonts w:hint="default" w:ascii="仿宋_GB2312"/>
          <w:lang w:val="en-US"/>
        </w:rPr>
        <w:t>该项目合同规定计划开工日期为以发包人开工令为准，</w:t>
      </w:r>
      <w:r>
        <w:rPr>
          <w:rFonts w:hint="default" w:ascii="仿宋_GB2312"/>
          <w:lang w:val="en-US" w:eastAsia="zh-CN"/>
        </w:rPr>
        <w:t>合同内容约定计划开工日期为2020年6月20日，计划竣工日期为2021年11月11日，工期总日历天数510天，</w:t>
      </w:r>
      <w:r>
        <w:rPr>
          <w:rFonts w:hint="eastAsia" w:ascii="仿宋_GB2312"/>
          <w:lang w:val="en-US" w:eastAsia="zh-CN"/>
        </w:rPr>
        <w:t>截止绩效评价基准日尚未竣工。</w:t>
      </w:r>
    </w:p>
    <w:p w14:paraId="29C0B3FE">
      <w:pPr>
        <w:ind w:left="0" w:leftChars="0" w:firstLine="640" w:firstLineChars="200"/>
        <w:rPr>
          <w:rFonts w:ascii="仿宋_GB2312"/>
        </w:rPr>
      </w:pPr>
      <w:r>
        <w:rPr>
          <w:rFonts w:hint="eastAsia" w:ascii="仿宋_GB2312"/>
        </w:rPr>
        <w:t>根据评分标准：</w:t>
      </w:r>
      <w:r>
        <w:rPr>
          <w:rFonts w:hint="eastAsia" w:ascii="仿宋_GB2312"/>
          <w:lang w:val="en-US" w:eastAsia="zh-CN"/>
        </w:rPr>
        <w:t>满分4分，得分0分。</w:t>
      </w:r>
    </w:p>
    <w:p w14:paraId="7581BA19">
      <w:pPr>
        <w:autoSpaceDE w:val="0"/>
        <w:autoSpaceDN w:val="0"/>
        <w:adjustRightInd w:val="0"/>
        <w:ind w:firstLine="643"/>
        <w:rPr>
          <w:rFonts w:ascii="仿宋_GB2312"/>
          <w:kern w:val="0"/>
          <w:szCs w:val="32"/>
        </w:rPr>
      </w:pPr>
      <w:r>
        <w:rPr>
          <w:rFonts w:hint="eastAsia" w:ascii="仿宋_GB2312"/>
          <w:b/>
          <w:bCs/>
          <w:kern w:val="0"/>
          <w:szCs w:val="32"/>
          <w:lang w:val="en-US" w:eastAsia="zh-CN"/>
        </w:rPr>
        <w:t>C32项目验收及时性</w:t>
      </w:r>
      <w:r>
        <w:rPr>
          <w:rFonts w:hint="eastAsia" w:ascii="仿宋_GB2312"/>
          <w:b/>
          <w:bCs/>
          <w:kern w:val="0"/>
          <w:szCs w:val="32"/>
        </w:rPr>
        <w:t>：满分</w:t>
      </w:r>
      <w:r>
        <w:rPr>
          <w:rFonts w:hint="eastAsia" w:ascii="仿宋_GB2312"/>
          <w:b/>
          <w:bCs/>
          <w:kern w:val="0"/>
          <w:szCs w:val="32"/>
          <w:lang w:val="en-US" w:eastAsia="zh-CN"/>
        </w:rPr>
        <w:t>4</w:t>
      </w:r>
      <w:r>
        <w:rPr>
          <w:rFonts w:hint="eastAsia" w:ascii="仿宋_GB2312"/>
          <w:b/>
          <w:bCs/>
          <w:kern w:val="0"/>
          <w:szCs w:val="32"/>
        </w:rPr>
        <w:t>分，得分</w:t>
      </w:r>
      <w:r>
        <w:rPr>
          <w:rFonts w:hint="eastAsia" w:ascii="仿宋_GB2312"/>
          <w:b/>
          <w:bCs/>
          <w:kern w:val="0"/>
          <w:szCs w:val="32"/>
          <w:lang w:val="en-US" w:eastAsia="zh-CN"/>
        </w:rPr>
        <w:t>0</w:t>
      </w:r>
      <w:r>
        <w:rPr>
          <w:rFonts w:hint="eastAsia" w:ascii="仿宋_GB2312"/>
          <w:b/>
          <w:bCs/>
          <w:kern w:val="0"/>
          <w:szCs w:val="32"/>
        </w:rPr>
        <w:t>分。</w:t>
      </w:r>
    </w:p>
    <w:p w14:paraId="3EAA3B92">
      <w:pPr>
        <w:ind w:left="0" w:leftChars="0" w:firstLine="640" w:firstLineChars="200"/>
        <w:rPr>
          <w:rFonts w:hint="eastAsia" w:ascii="仿宋_GB2312"/>
        </w:rPr>
      </w:pPr>
      <w:r>
        <w:rPr>
          <w:rFonts w:hint="eastAsia" w:ascii="仿宋_GB2312"/>
        </w:rPr>
        <w:t>本指标用以反映和考核项目实际</w:t>
      </w:r>
      <w:r>
        <w:rPr>
          <w:rFonts w:hint="eastAsia" w:ascii="仿宋_GB2312"/>
          <w:lang w:val="en-US" w:eastAsia="zh-CN"/>
        </w:rPr>
        <w:t>验收</w:t>
      </w:r>
      <w:r>
        <w:rPr>
          <w:rFonts w:hint="eastAsia" w:ascii="仿宋_GB2312"/>
        </w:rPr>
        <w:t>时间与计划</w:t>
      </w:r>
      <w:r>
        <w:rPr>
          <w:rFonts w:hint="eastAsia" w:ascii="仿宋_GB2312"/>
          <w:lang w:val="en-US" w:eastAsia="zh-CN"/>
        </w:rPr>
        <w:t>验收</w:t>
      </w:r>
      <w:r>
        <w:rPr>
          <w:rFonts w:hint="eastAsia" w:ascii="仿宋_GB2312"/>
        </w:rPr>
        <w:t>时间的比较，反映和考核</w:t>
      </w:r>
      <w:r>
        <w:rPr>
          <w:rFonts w:hint="eastAsia" w:ascii="仿宋_GB2312"/>
          <w:lang w:val="en-US" w:eastAsia="zh-CN"/>
        </w:rPr>
        <w:t>项目项验收工及时情况</w:t>
      </w:r>
      <w:r>
        <w:rPr>
          <w:rFonts w:hint="eastAsia" w:ascii="仿宋_GB2312"/>
        </w:rPr>
        <w:t>。</w:t>
      </w:r>
    </w:p>
    <w:p w14:paraId="5439B020">
      <w:pPr>
        <w:ind w:left="0" w:leftChars="0" w:firstLine="640" w:firstLineChars="200"/>
        <w:rPr>
          <w:rFonts w:hint="eastAsia" w:ascii="仿宋_GB2312"/>
          <w:lang w:val="en-US" w:eastAsia="zh-CN"/>
        </w:rPr>
      </w:pPr>
      <w:r>
        <w:rPr>
          <w:rFonts w:hint="eastAsia" w:ascii="仿宋_GB2312"/>
          <w:lang w:val="en-US" w:eastAsia="zh-CN"/>
        </w:rPr>
        <w:t>经评价组查阅资料，本项目截止绩效评价日项目已经完工，但尚未组织验收。</w:t>
      </w:r>
    </w:p>
    <w:p w14:paraId="44CD4A4B">
      <w:pPr>
        <w:ind w:left="0" w:leftChars="0" w:firstLine="640" w:firstLineChars="200"/>
        <w:rPr>
          <w:rFonts w:ascii="仿宋_GB2312"/>
        </w:rPr>
      </w:pPr>
      <w:r>
        <w:rPr>
          <w:rFonts w:hint="eastAsia" w:ascii="仿宋_GB2312"/>
          <w:lang w:val="en-US" w:eastAsia="zh-CN"/>
        </w:rPr>
        <w:t>根据评分标准：满分4分，得分0分。</w:t>
      </w:r>
    </w:p>
    <w:p w14:paraId="10C9E24E">
      <w:pPr>
        <w:keepNext w:val="0"/>
        <w:keepLines w:val="0"/>
        <w:pageBreakBefore w:val="0"/>
        <w:widowControl w:val="0"/>
        <w:kinsoku/>
        <w:wordWrap/>
        <w:overflowPunct/>
        <w:topLinePunct w:val="0"/>
        <w:autoSpaceDE/>
        <w:autoSpaceDN/>
        <w:bidi w:val="0"/>
        <w:adjustRightInd/>
        <w:snapToGrid/>
        <w:ind w:left="0" w:leftChars="0" w:firstLine="643" w:firstLineChars="200"/>
        <w:textAlignment w:val="auto"/>
        <w:outlineLvl w:val="9"/>
        <w:rPr>
          <w:rFonts w:hint="eastAsia"/>
          <w:b/>
          <w:bCs/>
          <w:kern w:val="0"/>
          <w:szCs w:val="32"/>
        </w:rPr>
      </w:pPr>
      <w:r>
        <w:rPr>
          <w:rFonts w:hint="eastAsia"/>
          <w:b/>
          <w:bCs/>
          <w:kern w:val="0"/>
          <w:szCs w:val="32"/>
          <w:lang w:val="en-US" w:eastAsia="zh-CN"/>
        </w:rPr>
        <w:t>4.</w:t>
      </w:r>
      <w:r>
        <w:rPr>
          <w:rFonts w:hint="eastAsia"/>
          <w:b/>
          <w:bCs/>
          <w:kern w:val="0"/>
          <w:szCs w:val="32"/>
        </w:rPr>
        <w:t>项目</w:t>
      </w:r>
      <w:r>
        <w:rPr>
          <w:rFonts w:hint="eastAsia"/>
          <w:b/>
          <w:bCs/>
          <w:kern w:val="0"/>
          <w:szCs w:val="32"/>
          <w:lang w:val="en-US" w:eastAsia="zh-CN"/>
        </w:rPr>
        <w:t>的成本节约</w:t>
      </w:r>
      <w:r>
        <w:rPr>
          <w:rFonts w:hint="eastAsia"/>
          <w:b/>
          <w:bCs/>
          <w:kern w:val="0"/>
          <w:szCs w:val="32"/>
        </w:rPr>
        <w:t>程度分析</w:t>
      </w:r>
    </w:p>
    <w:p w14:paraId="75C5E74F">
      <w:pPr>
        <w:ind w:firstLine="643"/>
        <w:rPr>
          <w:rFonts w:ascii="仿宋_GB2312"/>
          <w:kern w:val="0"/>
          <w:szCs w:val="32"/>
          <w:highlight w:val="none"/>
        </w:rPr>
      </w:pPr>
      <w:r>
        <w:rPr>
          <w:rFonts w:hint="eastAsia" w:ascii="仿宋_GB2312"/>
          <w:b/>
          <w:bCs/>
          <w:kern w:val="0"/>
          <w:szCs w:val="32"/>
          <w:highlight w:val="none"/>
          <w:lang w:val="en-US" w:eastAsia="zh-CN"/>
        </w:rPr>
        <w:t>C41成本节约率</w:t>
      </w:r>
      <w:r>
        <w:rPr>
          <w:rFonts w:hint="eastAsia" w:ascii="仿宋_GB2312"/>
          <w:b/>
          <w:bCs/>
          <w:kern w:val="0"/>
          <w:szCs w:val="32"/>
          <w:highlight w:val="none"/>
        </w:rPr>
        <w:t>：满分</w:t>
      </w:r>
      <w:r>
        <w:rPr>
          <w:rFonts w:hint="eastAsia" w:ascii="仿宋_GB2312"/>
          <w:b/>
          <w:bCs/>
          <w:kern w:val="0"/>
          <w:szCs w:val="32"/>
          <w:highlight w:val="none"/>
          <w:lang w:val="en-US" w:eastAsia="zh-CN"/>
        </w:rPr>
        <w:t>6</w:t>
      </w:r>
      <w:r>
        <w:rPr>
          <w:rFonts w:hint="eastAsia" w:ascii="仿宋_GB2312"/>
          <w:b/>
          <w:bCs/>
          <w:kern w:val="0"/>
          <w:szCs w:val="32"/>
          <w:highlight w:val="none"/>
        </w:rPr>
        <w:t>分，得</w:t>
      </w:r>
      <w:r>
        <w:rPr>
          <w:rFonts w:hint="eastAsia" w:ascii="仿宋_GB2312"/>
          <w:b/>
          <w:bCs/>
          <w:kern w:val="0"/>
          <w:szCs w:val="32"/>
          <w:highlight w:val="none"/>
          <w:lang w:val="en-US" w:eastAsia="zh-CN"/>
        </w:rPr>
        <w:t>6</w:t>
      </w:r>
      <w:r>
        <w:rPr>
          <w:rFonts w:hint="eastAsia" w:ascii="仿宋_GB2312"/>
          <w:b/>
          <w:bCs/>
          <w:kern w:val="0"/>
          <w:szCs w:val="32"/>
          <w:highlight w:val="none"/>
        </w:rPr>
        <w:t>分。</w:t>
      </w:r>
    </w:p>
    <w:p w14:paraId="53092A98">
      <w:pPr>
        <w:ind w:firstLine="640"/>
        <w:rPr>
          <w:rFonts w:hint="eastAsia" w:ascii="仿宋_GB2312"/>
          <w:lang w:val="en-US" w:eastAsia="zh-CN"/>
        </w:rPr>
      </w:pPr>
      <w:r>
        <w:rPr>
          <w:rFonts w:hint="eastAsia" w:ascii="仿宋_GB2312"/>
        </w:rPr>
        <w:t>本指标用以反映和考核</w:t>
      </w:r>
      <w:r>
        <w:rPr>
          <w:rFonts w:hint="eastAsia" w:ascii="仿宋_GB2312"/>
          <w:highlight w:val="none"/>
          <w:lang w:val="en-US" w:eastAsia="zh-CN"/>
        </w:rPr>
        <w:t>通过项目计划工作目标的实际节约成本与</w:t>
      </w:r>
      <w:r>
        <w:rPr>
          <w:rFonts w:hint="eastAsia" w:ascii="仿宋_GB2312"/>
          <w:lang w:val="en-US" w:eastAsia="zh-CN"/>
        </w:rPr>
        <w:t>计划成本的比率，用以反映和考核项目的成本节约程度。</w:t>
      </w:r>
    </w:p>
    <w:p w14:paraId="08B27CD5">
      <w:pPr>
        <w:rPr>
          <w:rFonts w:hint="default" w:ascii="仿宋_GB2312" w:eastAsia="仿宋_GB2312"/>
          <w:highlight w:val="yellow"/>
          <w:lang w:val="en-US" w:eastAsia="zh-CN"/>
        </w:rPr>
      </w:pPr>
      <w:r>
        <w:rPr>
          <w:rFonts w:hint="eastAsia" w:ascii="仿宋_GB2312"/>
          <w:highlight w:val="none"/>
          <w:lang w:val="en-US" w:eastAsia="zh-CN"/>
        </w:rPr>
        <w:t>截止绩效评价日，该项目审定金额为2960.31万元，项目中标价为2960.1万元，成本节约率为0%。</w:t>
      </w:r>
    </w:p>
    <w:p w14:paraId="2358D7BF">
      <w:pPr>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根据评分标准：满分6分，得分</w:t>
      </w:r>
      <w:r>
        <w:rPr>
          <w:rFonts w:hint="eastAsia" w:ascii="仿宋_GB2312" w:hAnsi="仿宋_GB2312" w:cs="仿宋_GB2312"/>
          <w:lang w:val="en-US" w:eastAsia="zh-CN"/>
        </w:rPr>
        <w:t>6</w:t>
      </w:r>
      <w:r>
        <w:rPr>
          <w:rFonts w:hint="eastAsia" w:ascii="仿宋_GB2312" w:hAnsi="仿宋_GB2312" w:eastAsia="仿宋_GB2312" w:cs="仿宋_GB2312"/>
          <w:lang w:val="en-US" w:eastAsia="zh-CN"/>
        </w:rPr>
        <w:t>分。</w:t>
      </w:r>
    </w:p>
    <w:p w14:paraId="6CC7F2B8">
      <w:pPr>
        <w:pStyle w:val="4"/>
        <w:ind w:firstLine="640"/>
        <w:rPr>
          <w:rFonts w:ascii="仿宋_GB2312"/>
        </w:rPr>
      </w:pPr>
      <w:bookmarkStart w:id="48" w:name="_Toc26902"/>
      <w:r>
        <w:rPr>
          <w:rFonts w:hint="eastAsia" w:ascii="仿宋_GB2312"/>
        </w:rPr>
        <w:t>（四）项目效益情况</w:t>
      </w:r>
      <w:bookmarkEnd w:id="48"/>
    </w:p>
    <w:p w14:paraId="461AA156">
      <w:pPr>
        <w:ind w:firstLine="640"/>
      </w:pPr>
      <w:r>
        <w:rPr>
          <w:rFonts w:hint="eastAsia" w:ascii="仿宋_GB2312" w:hAnsi="仿宋_GB2312" w:eastAsia="仿宋_GB2312" w:cs="仿宋_GB2312"/>
          <w:lang w:val="en-US" w:eastAsia="zh-CN"/>
        </w:rPr>
        <w:t>主要指标包括项目效益和满意度两方面。标准分30分，实际得分</w:t>
      </w:r>
      <w:r>
        <w:rPr>
          <w:rFonts w:hint="eastAsia" w:ascii="仿宋_GB2312" w:hAnsi="仿宋_GB2312" w:cs="仿宋_GB2312"/>
          <w:lang w:val="en-US" w:eastAsia="zh-CN"/>
        </w:rPr>
        <w:t>16</w:t>
      </w:r>
      <w:r>
        <w:rPr>
          <w:rFonts w:hint="eastAsia" w:ascii="仿宋_GB2312" w:hAnsi="仿宋_GB2312" w:eastAsia="仿宋_GB2312" w:cs="仿宋_GB2312"/>
          <w:lang w:val="en-US" w:eastAsia="zh-CN"/>
        </w:rPr>
        <w:t>分，得分率</w:t>
      </w:r>
      <w:r>
        <w:rPr>
          <w:rFonts w:hint="eastAsia" w:ascii="仿宋_GB2312" w:hAnsi="仿宋_GB2312" w:cs="仿宋_GB2312"/>
          <w:lang w:val="en-US" w:eastAsia="zh-CN"/>
        </w:rPr>
        <w:t>53.33</w:t>
      </w:r>
      <w:r>
        <w:rPr>
          <w:rFonts w:hint="eastAsia" w:ascii="仿宋_GB2312" w:hAnsi="仿宋_GB2312" w:eastAsia="仿宋_GB2312" w:cs="仿宋_GB2312"/>
          <w:lang w:val="en-US" w:eastAsia="zh-CN"/>
        </w:rPr>
        <w:t>%。</w:t>
      </w:r>
      <w:r>
        <w:rPr>
          <w:rFonts w:hint="eastAsia" w:ascii="仿宋_GB2312"/>
        </w:rPr>
        <w:t>详见</w:t>
      </w:r>
      <w:r>
        <w:rPr>
          <w:rFonts w:hint="eastAsia" w:ascii="仿宋_GB2312"/>
          <w:b/>
          <w:bCs/>
        </w:rPr>
        <w:t>表4-4：</w:t>
      </w:r>
    </w:p>
    <w:p w14:paraId="61008DDB">
      <w:pPr>
        <w:keepNext w:val="0"/>
        <w:keepLines w:val="0"/>
        <w:pageBreakBefore w:val="0"/>
        <w:widowControl w:val="0"/>
        <w:kinsoku/>
        <w:wordWrap/>
        <w:overflowPunct/>
        <w:topLinePunct w:val="0"/>
        <w:autoSpaceDE w:val="0"/>
        <w:autoSpaceDN w:val="0"/>
        <w:bidi w:val="0"/>
        <w:adjustRightInd w:val="0"/>
        <w:snapToGrid/>
        <w:spacing w:before="63" w:beforeLines="20" w:after="63" w:afterLines="20" w:line="500" w:lineRule="exact"/>
        <w:ind w:left="0" w:leftChars="0" w:firstLine="0" w:firstLineChars="0"/>
        <w:jc w:val="both"/>
        <w:textAlignment w:val="auto"/>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 xml:space="preserve">表4-4   </w:t>
      </w:r>
      <w:r>
        <w:rPr>
          <w:rFonts w:hint="eastAsia" w:ascii="仿宋_GB2312" w:hAnsi="仿宋_GB2312" w:cs="仿宋_GB2312"/>
          <w:b/>
          <w:bCs/>
          <w:kern w:val="0"/>
          <w:sz w:val="28"/>
          <w:szCs w:val="28"/>
          <w:lang w:val="en-US" w:eastAsia="zh-CN"/>
        </w:rPr>
        <w:t xml:space="preserve">            </w:t>
      </w:r>
      <w:r>
        <w:rPr>
          <w:rFonts w:hint="eastAsia" w:ascii="仿宋_GB2312" w:hAnsi="仿宋_GB2312" w:eastAsia="仿宋_GB2312" w:cs="仿宋_GB2312"/>
          <w:b/>
          <w:bCs/>
          <w:kern w:val="0"/>
          <w:sz w:val="28"/>
          <w:szCs w:val="28"/>
        </w:rPr>
        <w:t xml:space="preserve"> 效益类指标体系表</w:t>
      </w:r>
    </w:p>
    <w:tbl>
      <w:tblPr>
        <w:tblStyle w:val="19"/>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2"/>
        <w:gridCol w:w="1653"/>
        <w:gridCol w:w="2454"/>
        <w:gridCol w:w="568"/>
        <w:gridCol w:w="965"/>
        <w:gridCol w:w="957"/>
        <w:gridCol w:w="754"/>
      </w:tblGrid>
      <w:tr w14:paraId="70248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87" w:type="pct"/>
            <w:shd w:val="clear" w:color="auto" w:fill="CFCECE" w:themeFill="background2" w:themeFillShade="E5"/>
            <w:vAlign w:val="center"/>
          </w:tcPr>
          <w:p w14:paraId="298A4936">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一级指标</w:t>
            </w:r>
          </w:p>
        </w:tc>
        <w:tc>
          <w:tcPr>
            <w:tcW w:w="969" w:type="pct"/>
            <w:shd w:val="clear" w:color="auto" w:fill="CFCECE" w:themeFill="background2" w:themeFillShade="E5"/>
            <w:vAlign w:val="center"/>
          </w:tcPr>
          <w:p w14:paraId="1F3535CF">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二级指标</w:t>
            </w:r>
          </w:p>
        </w:tc>
        <w:tc>
          <w:tcPr>
            <w:tcW w:w="1439" w:type="pct"/>
            <w:shd w:val="clear" w:color="auto" w:fill="CFCECE" w:themeFill="background2" w:themeFillShade="E5"/>
            <w:vAlign w:val="center"/>
          </w:tcPr>
          <w:p w14:paraId="2494B8AD">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三级指标</w:t>
            </w:r>
          </w:p>
        </w:tc>
        <w:tc>
          <w:tcPr>
            <w:tcW w:w="333" w:type="pct"/>
            <w:shd w:val="clear" w:color="auto" w:fill="CFCECE" w:themeFill="background2" w:themeFillShade="E5"/>
            <w:vAlign w:val="center"/>
          </w:tcPr>
          <w:p w14:paraId="6B4A9A6C">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分值</w:t>
            </w:r>
          </w:p>
        </w:tc>
        <w:tc>
          <w:tcPr>
            <w:tcW w:w="566" w:type="pct"/>
            <w:shd w:val="clear" w:color="auto" w:fill="CFCECE" w:themeFill="background2" w:themeFillShade="E5"/>
            <w:vAlign w:val="center"/>
          </w:tcPr>
          <w:p w14:paraId="0D8846CA">
            <w:pPr>
              <w:spacing w:line="240" w:lineRule="auto"/>
              <w:ind w:firstLine="0" w:firstLineChars="0"/>
              <w:jc w:val="center"/>
              <w:rPr>
                <w:rFonts w:hint="eastAsia" w:ascii="仿宋_GB2312" w:hAnsi="仿宋_GB2312" w:eastAsia="仿宋_GB2312" w:cs="仿宋_GB2312"/>
                <w:b/>
                <w:bCs/>
                <w:sz w:val="24"/>
                <w:lang w:val="en-US" w:eastAsia="zh-CN"/>
              </w:rPr>
            </w:pPr>
            <w:r>
              <w:rPr>
                <w:rFonts w:hint="eastAsia" w:ascii="仿宋_GB2312" w:hAnsi="仿宋_GB2312" w:cs="仿宋_GB2312"/>
                <w:b/>
                <w:bCs/>
                <w:sz w:val="24"/>
                <w:lang w:val="en-US" w:eastAsia="zh-CN"/>
              </w:rPr>
              <w:t>目标值</w:t>
            </w:r>
          </w:p>
        </w:tc>
        <w:tc>
          <w:tcPr>
            <w:tcW w:w="561" w:type="pct"/>
            <w:shd w:val="clear" w:color="auto" w:fill="CFCECE" w:themeFill="background2" w:themeFillShade="E5"/>
            <w:vAlign w:val="center"/>
          </w:tcPr>
          <w:p w14:paraId="5341445E">
            <w:pPr>
              <w:spacing w:line="240" w:lineRule="auto"/>
              <w:ind w:firstLine="0" w:firstLineChars="0"/>
              <w:jc w:val="center"/>
              <w:rPr>
                <w:rFonts w:hint="eastAsia" w:ascii="仿宋_GB2312" w:hAnsi="仿宋_GB2312" w:eastAsia="仿宋_GB2312" w:cs="仿宋_GB2312"/>
                <w:b/>
                <w:bCs/>
                <w:sz w:val="24"/>
                <w:lang w:val="en-US" w:eastAsia="zh-CN"/>
              </w:rPr>
            </w:pPr>
            <w:r>
              <w:rPr>
                <w:rFonts w:hint="eastAsia" w:ascii="仿宋_GB2312" w:hAnsi="仿宋_GB2312" w:cs="仿宋_GB2312"/>
                <w:b/>
                <w:bCs/>
                <w:sz w:val="24"/>
                <w:lang w:val="en-US" w:eastAsia="zh-CN"/>
              </w:rPr>
              <w:t>业绩值</w:t>
            </w:r>
          </w:p>
        </w:tc>
        <w:tc>
          <w:tcPr>
            <w:tcW w:w="442" w:type="pct"/>
            <w:shd w:val="clear" w:color="auto" w:fill="CFCECE" w:themeFill="background2" w:themeFillShade="E5"/>
            <w:vAlign w:val="center"/>
          </w:tcPr>
          <w:p w14:paraId="07E87DCB">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得分</w:t>
            </w:r>
          </w:p>
        </w:tc>
      </w:tr>
      <w:tr w14:paraId="03426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87" w:type="pct"/>
            <w:vMerge w:val="restart"/>
            <w:vAlign w:val="center"/>
          </w:tcPr>
          <w:p w14:paraId="245955B2">
            <w:pPr>
              <w:spacing w:line="240" w:lineRule="auto"/>
              <w:ind w:firstLine="0" w:firstLineChars="0"/>
              <w:jc w:val="center"/>
              <w:rPr>
                <w:sz w:val="28"/>
              </w:rPr>
            </w:pPr>
          </w:p>
        </w:tc>
        <w:tc>
          <w:tcPr>
            <w:tcW w:w="969" w:type="pct"/>
            <w:vAlign w:val="center"/>
          </w:tcPr>
          <w:p w14:paraId="54874370">
            <w:pPr>
              <w:spacing w:line="240" w:lineRule="auto"/>
              <w:ind w:firstLine="0" w:firstLineChars="0"/>
              <w:jc w:val="both"/>
              <w:rPr>
                <w:rFonts w:hint="default" w:ascii="仿宋_GB2312" w:hAnsi="仿宋_GB2312" w:cs="仿宋_GB2312"/>
                <w:sz w:val="24"/>
                <w:lang w:val="en-US" w:eastAsia="zh-CN"/>
              </w:rPr>
            </w:pPr>
            <w:r>
              <w:rPr>
                <w:rFonts w:hint="eastAsia" w:ascii="仿宋_GB2312" w:hAnsi="仿宋_GB2312" w:cs="仿宋_GB2312"/>
                <w:sz w:val="24"/>
                <w:lang w:val="en-US" w:eastAsia="zh-CN"/>
              </w:rPr>
              <w:t>D1</w:t>
            </w:r>
            <w:r>
              <w:rPr>
                <w:rFonts w:hint="eastAsia" w:ascii="仿宋_GB2312" w:hAnsi="仿宋_GB2312" w:cs="仿宋_GB2312"/>
                <w:sz w:val="24"/>
              </w:rPr>
              <w:t>社会效益</w:t>
            </w:r>
          </w:p>
        </w:tc>
        <w:tc>
          <w:tcPr>
            <w:tcW w:w="2454" w:type="dxa"/>
            <w:vAlign w:val="center"/>
          </w:tcPr>
          <w:p w14:paraId="004A86F6">
            <w:pPr>
              <w:spacing w:line="240" w:lineRule="auto"/>
              <w:ind w:firstLine="0" w:firstLineChars="0"/>
              <w:jc w:val="both"/>
              <w:rPr>
                <w:rFonts w:hint="eastAsia" w:ascii="仿宋_GB2312" w:hAnsi="仿宋_GB2312" w:cs="仿宋_GB2312"/>
                <w:sz w:val="24"/>
                <w:lang w:val="en-US" w:eastAsia="zh-CN"/>
              </w:rPr>
            </w:pPr>
            <w:r>
              <w:rPr>
                <w:rFonts w:hint="eastAsia" w:ascii="仿宋_GB2312" w:hAnsi="仿宋_GB2312" w:cs="仿宋_GB2312"/>
                <w:sz w:val="24"/>
                <w:lang w:val="en-US" w:eastAsia="zh-CN"/>
              </w:rPr>
              <w:t>D11改善工作环境</w:t>
            </w:r>
          </w:p>
        </w:tc>
        <w:tc>
          <w:tcPr>
            <w:tcW w:w="333" w:type="pct"/>
            <w:vAlign w:val="center"/>
          </w:tcPr>
          <w:p w14:paraId="5223351C">
            <w:pPr>
              <w:widowControl/>
              <w:snapToGrid w:val="0"/>
              <w:spacing w:line="240" w:lineRule="auto"/>
              <w:ind w:firstLine="0" w:firstLineChars="0"/>
              <w:jc w:val="center"/>
              <w:textAlignment w:val="center"/>
              <w:rPr>
                <w:rFonts w:hint="default"/>
                <w:sz w:val="24"/>
                <w:lang w:val="en-US" w:eastAsia="zh-CN"/>
              </w:rPr>
            </w:pPr>
            <w:r>
              <w:rPr>
                <w:rFonts w:hint="eastAsia"/>
                <w:sz w:val="24"/>
                <w:lang w:val="en-US" w:eastAsia="zh-CN"/>
              </w:rPr>
              <w:t>10</w:t>
            </w:r>
          </w:p>
        </w:tc>
        <w:tc>
          <w:tcPr>
            <w:tcW w:w="965" w:type="dxa"/>
            <w:vAlign w:val="center"/>
          </w:tcPr>
          <w:p w14:paraId="42A94999">
            <w:pPr>
              <w:spacing w:line="240" w:lineRule="auto"/>
              <w:ind w:left="0" w:leftChars="0" w:firstLine="0" w:firstLineChars="0"/>
              <w:jc w:val="both"/>
              <w:rPr>
                <w:rFonts w:hint="eastAsia" w:ascii="仿宋_GB2312" w:hAnsi="仿宋_GB2312" w:cs="仿宋_GB2312"/>
                <w:sz w:val="24"/>
                <w:lang w:val="en-US" w:eastAsia="zh-CN"/>
              </w:rPr>
            </w:pPr>
            <w:r>
              <w:rPr>
                <w:rFonts w:hint="eastAsia" w:ascii="仿宋_GB2312" w:hAnsi="仿宋_GB2312" w:cs="仿宋_GB2312"/>
                <w:sz w:val="24"/>
                <w:lang w:val="en-US" w:eastAsia="zh-CN"/>
              </w:rPr>
              <w:t>改善</w:t>
            </w:r>
          </w:p>
        </w:tc>
        <w:tc>
          <w:tcPr>
            <w:tcW w:w="561" w:type="pct"/>
            <w:vAlign w:val="center"/>
          </w:tcPr>
          <w:p w14:paraId="30F6FE1D">
            <w:pPr>
              <w:widowControl/>
              <w:snapToGrid w:val="0"/>
              <w:spacing w:line="240" w:lineRule="auto"/>
              <w:ind w:firstLine="0" w:firstLineChars="0"/>
              <w:jc w:val="center"/>
              <w:textAlignment w:val="center"/>
              <w:rPr>
                <w:rFonts w:hint="default"/>
                <w:sz w:val="24"/>
                <w:lang w:val="en-US" w:eastAsia="zh-CN"/>
              </w:rPr>
            </w:pPr>
            <w:r>
              <w:rPr>
                <w:rFonts w:hint="eastAsia"/>
                <w:sz w:val="24"/>
                <w:lang w:val="en-US" w:eastAsia="zh-CN"/>
              </w:rPr>
              <w:t>基本改善</w:t>
            </w:r>
          </w:p>
        </w:tc>
        <w:tc>
          <w:tcPr>
            <w:tcW w:w="442" w:type="pct"/>
            <w:vAlign w:val="center"/>
          </w:tcPr>
          <w:p w14:paraId="51747634">
            <w:pPr>
              <w:widowControl/>
              <w:snapToGrid w:val="0"/>
              <w:spacing w:line="240" w:lineRule="auto"/>
              <w:ind w:firstLine="0" w:firstLineChars="0"/>
              <w:jc w:val="center"/>
              <w:textAlignment w:val="center"/>
              <w:rPr>
                <w:rFonts w:hint="default"/>
                <w:sz w:val="24"/>
                <w:lang w:val="en-US" w:eastAsia="zh-CN"/>
              </w:rPr>
            </w:pPr>
            <w:r>
              <w:rPr>
                <w:rFonts w:hint="eastAsia"/>
                <w:sz w:val="24"/>
                <w:lang w:val="en-US" w:eastAsia="zh-CN"/>
              </w:rPr>
              <w:t>3</w:t>
            </w:r>
          </w:p>
        </w:tc>
      </w:tr>
      <w:tr w14:paraId="12E43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87" w:type="pct"/>
            <w:vMerge w:val="continue"/>
            <w:vAlign w:val="center"/>
          </w:tcPr>
          <w:p w14:paraId="0AC01FDF">
            <w:pPr>
              <w:spacing w:line="240" w:lineRule="auto"/>
              <w:ind w:firstLine="0" w:firstLineChars="0"/>
              <w:jc w:val="center"/>
              <w:rPr>
                <w:sz w:val="28"/>
              </w:rPr>
            </w:pPr>
          </w:p>
        </w:tc>
        <w:tc>
          <w:tcPr>
            <w:tcW w:w="969" w:type="pct"/>
            <w:vAlign w:val="center"/>
          </w:tcPr>
          <w:p w14:paraId="4266A84D">
            <w:pPr>
              <w:spacing w:line="240" w:lineRule="auto"/>
              <w:ind w:firstLine="0" w:firstLineChars="0"/>
              <w:jc w:val="both"/>
              <w:rPr>
                <w:rFonts w:hint="default" w:ascii="仿宋_GB2312" w:hAnsi="仿宋_GB2312" w:eastAsia="仿宋_GB2312" w:cs="仿宋_GB2312"/>
                <w:sz w:val="24"/>
                <w:lang w:val="en-US" w:eastAsia="zh-CN"/>
              </w:rPr>
            </w:pPr>
            <w:r>
              <w:rPr>
                <w:rFonts w:hint="eastAsia" w:ascii="仿宋_GB2312" w:hAnsi="仿宋_GB2312" w:cs="仿宋_GB2312"/>
                <w:sz w:val="24"/>
                <w:lang w:val="en-US" w:eastAsia="zh-CN"/>
              </w:rPr>
              <w:t>D2可持续影响</w:t>
            </w:r>
          </w:p>
        </w:tc>
        <w:tc>
          <w:tcPr>
            <w:tcW w:w="2454" w:type="dxa"/>
            <w:vAlign w:val="center"/>
          </w:tcPr>
          <w:p w14:paraId="1EBAA7A6">
            <w:pPr>
              <w:spacing w:line="240" w:lineRule="auto"/>
              <w:ind w:firstLine="0" w:firstLineChars="0"/>
              <w:jc w:val="both"/>
              <w:rPr>
                <w:rFonts w:hint="default" w:ascii="仿宋_GB2312" w:hAnsi="仿宋_GB2312" w:cs="仿宋_GB2312"/>
                <w:sz w:val="24"/>
                <w:lang w:val="en-US" w:eastAsia="zh-CN"/>
              </w:rPr>
            </w:pPr>
            <w:r>
              <w:rPr>
                <w:rFonts w:hint="eastAsia" w:ascii="仿宋_GB2312" w:hAnsi="仿宋_GB2312" w:cs="仿宋_GB2312"/>
                <w:sz w:val="24"/>
                <w:lang w:val="en-US" w:eastAsia="zh-CN"/>
              </w:rPr>
              <w:t>D21有后期维护人员</w:t>
            </w:r>
          </w:p>
        </w:tc>
        <w:tc>
          <w:tcPr>
            <w:tcW w:w="333" w:type="pct"/>
            <w:vAlign w:val="center"/>
          </w:tcPr>
          <w:p w14:paraId="575D3614">
            <w:pPr>
              <w:widowControl/>
              <w:snapToGrid w:val="0"/>
              <w:spacing w:line="240" w:lineRule="auto"/>
              <w:ind w:firstLine="0" w:firstLineChars="0"/>
              <w:jc w:val="center"/>
              <w:textAlignment w:val="center"/>
              <w:rPr>
                <w:rFonts w:hint="default"/>
                <w:sz w:val="24"/>
                <w:lang w:val="en-US" w:eastAsia="zh-CN"/>
              </w:rPr>
            </w:pPr>
            <w:r>
              <w:rPr>
                <w:rFonts w:hint="eastAsia"/>
                <w:sz w:val="24"/>
                <w:lang w:val="en-US" w:eastAsia="zh-CN"/>
              </w:rPr>
              <w:t>10</w:t>
            </w:r>
          </w:p>
        </w:tc>
        <w:tc>
          <w:tcPr>
            <w:tcW w:w="965" w:type="dxa"/>
            <w:vAlign w:val="center"/>
          </w:tcPr>
          <w:p w14:paraId="0FD90F05">
            <w:pPr>
              <w:spacing w:line="240" w:lineRule="auto"/>
              <w:ind w:firstLine="0" w:firstLineChars="0"/>
              <w:jc w:val="both"/>
              <w:rPr>
                <w:rFonts w:hint="eastAsia" w:ascii="仿宋_GB2312" w:hAnsi="仿宋_GB2312" w:cs="仿宋_GB2312"/>
                <w:sz w:val="24"/>
                <w:lang w:val="en-US" w:eastAsia="zh-CN"/>
              </w:rPr>
            </w:pPr>
            <w:r>
              <w:rPr>
                <w:rFonts w:hint="eastAsia" w:ascii="仿宋_GB2312" w:hAnsi="仿宋_GB2312" w:cs="仿宋_GB2312"/>
                <w:sz w:val="24"/>
                <w:lang w:val="en-US" w:eastAsia="zh-CN"/>
              </w:rPr>
              <w:t>可持续</w:t>
            </w:r>
          </w:p>
        </w:tc>
        <w:tc>
          <w:tcPr>
            <w:tcW w:w="561" w:type="pct"/>
            <w:vAlign w:val="center"/>
          </w:tcPr>
          <w:p w14:paraId="57B4094C">
            <w:pPr>
              <w:widowControl/>
              <w:snapToGrid w:val="0"/>
              <w:spacing w:line="240" w:lineRule="auto"/>
              <w:ind w:firstLine="0" w:firstLineChars="0"/>
              <w:jc w:val="center"/>
              <w:textAlignment w:val="center"/>
              <w:rPr>
                <w:rFonts w:hint="eastAsia"/>
                <w:sz w:val="24"/>
              </w:rPr>
            </w:pPr>
            <w:r>
              <w:rPr>
                <w:rFonts w:hint="eastAsia" w:ascii="仿宋_GB2312" w:hAnsi="仿宋_GB2312" w:cs="仿宋_GB2312"/>
                <w:sz w:val="24"/>
                <w:lang w:val="en-US" w:eastAsia="zh-CN"/>
              </w:rPr>
              <w:t>可持续</w:t>
            </w:r>
          </w:p>
        </w:tc>
        <w:tc>
          <w:tcPr>
            <w:tcW w:w="442" w:type="pct"/>
            <w:vAlign w:val="center"/>
          </w:tcPr>
          <w:p w14:paraId="18EADBA1">
            <w:pPr>
              <w:widowControl/>
              <w:snapToGrid w:val="0"/>
              <w:spacing w:line="240" w:lineRule="auto"/>
              <w:ind w:firstLine="0" w:firstLineChars="0"/>
              <w:jc w:val="center"/>
              <w:textAlignment w:val="center"/>
              <w:rPr>
                <w:rFonts w:hint="default" w:eastAsia="仿宋_GB2312"/>
                <w:sz w:val="24"/>
                <w:lang w:val="en-US" w:eastAsia="zh-CN"/>
              </w:rPr>
            </w:pPr>
            <w:r>
              <w:rPr>
                <w:rFonts w:hint="eastAsia"/>
                <w:sz w:val="24"/>
                <w:lang w:val="en-US" w:eastAsia="zh-CN"/>
              </w:rPr>
              <w:t>10</w:t>
            </w:r>
          </w:p>
        </w:tc>
      </w:tr>
      <w:tr w14:paraId="6E16F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87" w:type="pct"/>
            <w:vMerge w:val="continue"/>
            <w:vAlign w:val="center"/>
          </w:tcPr>
          <w:p w14:paraId="201E18F5">
            <w:pPr>
              <w:spacing w:line="240" w:lineRule="auto"/>
              <w:ind w:firstLine="0" w:firstLineChars="0"/>
              <w:jc w:val="center"/>
              <w:rPr>
                <w:sz w:val="28"/>
              </w:rPr>
            </w:pPr>
          </w:p>
        </w:tc>
        <w:tc>
          <w:tcPr>
            <w:tcW w:w="969" w:type="pct"/>
            <w:vAlign w:val="center"/>
          </w:tcPr>
          <w:p w14:paraId="09DA9ED4">
            <w:pPr>
              <w:spacing w:line="240" w:lineRule="auto"/>
              <w:ind w:firstLine="0" w:firstLineChars="0"/>
              <w:jc w:val="both"/>
              <w:rPr>
                <w:rFonts w:hint="eastAsia" w:ascii="仿宋_GB2312" w:hAnsi="仿宋_GB2312" w:eastAsia="仿宋_GB2312" w:cs="仿宋_GB2312"/>
                <w:sz w:val="24"/>
                <w:lang w:eastAsia="zh-CN"/>
              </w:rPr>
            </w:pPr>
            <w:r>
              <w:rPr>
                <w:rFonts w:hint="eastAsia" w:ascii="仿宋_GB2312" w:hAnsi="仿宋_GB2312" w:cs="仿宋_GB2312"/>
                <w:sz w:val="24"/>
                <w:lang w:val="en-US" w:eastAsia="zh-CN"/>
              </w:rPr>
              <w:t>D3满意度</w:t>
            </w:r>
          </w:p>
        </w:tc>
        <w:tc>
          <w:tcPr>
            <w:tcW w:w="2454" w:type="dxa"/>
            <w:vAlign w:val="center"/>
          </w:tcPr>
          <w:p w14:paraId="594C0EE6">
            <w:pPr>
              <w:spacing w:line="240" w:lineRule="auto"/>
              <w:ind w:firstLine="0" w:firstLineChars="0"/>
              <w:jc w:val="both"/>
              <w:rPr>
                <w:rFonts w:hint="default" w:ascii="仿宋_GB2312" w:hAnsi="仿宋_GB2312" w:cs="仿宋_GB2312"/>
                <w:sz w:val="24"/>
                <w:lang w:val="en-US" w:eastAsia="zh-CN"/>
              </w:rPr>
            </w:pPr>
            <w:r>
              <w:rPr>
                <w:rFonts w:hint="eastAsia" w:ascii="仿宋_GB2312" w:hAnsi="仿宋_GB2312" w:cs="仿宋_GB2312"/>
                <w:sz w:val="24"/>
                <w:lang w:val="en-US" w:eastAsia="zh-CN"/>
              </w:rPr>
              <w:t>D31服务对象满意度</w:t>
            </w:r>
          </w:p>
        </w:tc>
        <w:tc>
          <w:tcPr>
            <w:tcW w:w="333" w:type="pct"/>
            <w:vAlign w:val="center"/>
          </w:tcPr>
          <w:p w14:paraId="18292216">
            <w:pPr>
              <w:widowControl/>
              <w:snapToGrid w:val="0"/>
              <w:spacing w:line="240" w:lineRule="auto"/>
              <w:ind w:firstLine="0" w:firstLineChars="0"/>
              <w:jc w:val="center"/>
              <w:textAlignment w:val="center"/>
              <w:rPr>
                <w:rFonts w:hint="default"/>
                <w:sz w:val="24"/>
                <w:lang w:val="en-US" w:eastAsia="zh-CN"/>
              </w:rPr>
            </w:pPr>
            <w:r>
              <w:rPr>
                <w:rFonts w:hint="eastAsia"/>
                <w:sz w:val="24"/>
                <w:lang w:val="en-US" w:eastAsia="zh-CN"/>
              </w:rPr>
              <w:t>10</w:t>
            </w:r>
          </w:p>
        </w:tc>
        <w:tc>
          <w:tcPr>
            <w:tcW w:w="566" w:type="pct"/>
            <w:vAlign w:val="center"/>
          </w:tcPr>
          <w:p w14:paraId="1584AFA4">
            <w:pPr>
              <w:widowControl/>
              <w:snapToGrid w:val="0"/>
              <w:spacing w:line="240" w:lineRule="auto"/>
              <w:ind w:firstLine="0" w:firstLineChars="0"/>
              <w:jc w:val="center"/>
              <w:textAlignment w:val="center"/>
              <w:rPr>
                <w:rFonts w:hint="eastAsia"/>
                <w:sz w:val="24"/>
                <w:lang w:val="en-US" w:eastAsia="zh-CN"/>
              </w:rPr>
            </w:pPr>
            <w:r>
              <w:rPr>
                <w:rFonts w:hint="eastAsia"/>
                <w:sz w:val="24"/>
                <w:lang w:val="en-US" w:eastAsia="zh-CN"/>
              </w:rPr>
              <w:t>≥95%</w:t>
            </w:r>
          </w:p>
        </w:tc>
        <w:tc>
          <w:tcPr>
            <w:tcW w:w="561" w:type="pct"/>
            <w:vAlign w:val="center"/>
          </w:tcPr>
          <w:p w14:paraId="2FAAD7A8">
            <w:pPr>
              <w:widowControl/>
              <w:snapToGrid w:val="0"/>
              <w:spacing w:line="240" w:lineRule="auto"/>
              <w:ind w:firstLine="0" w:firstLineChars="0"/>
              <w:jc w:val="center"/>
              <w:textAlignment w:val="center"/>
              <w:rPr>
                <w:rFonts w:hint="default" w:eastAsia="仿宋_GB2312"/>
                <w:sz w:val="24"/>
                <w:lang w:val="en-US" w:eastAsia="zh-CN"/>
              </w:rPr>
            </w:pPr>
            <w:r>
              <w:rPr>
                <w:rFonts w:hint="eastAsia"/>
                <w:sz w:val="24"/>
                <w:lang w:val="en-US" w:eastAsia="zh-CN"/>
              </w:rPr>
              <w:t>68.69%</w:t>
            </w:r>
          </w:p>
        </w:tc>
        <w:tc>
          <w:tcPr>
            <w:tcW w:w="442" w:type="pct"/>
            <w:vAlign w:val="center"/>
          </w:tcPr>
          <w:p w14:paraId="74459BCC">
            <w:pPr>
              <w:widowControl/>
              <w:snapToGrid w:val="0"/>
              <w:spacing w:line="240" w:lineRule="auto"/>
              <w:ind w:firstLine="0" w:firstLineChars="0"/>
              <w:jc w:val="center"/>
              <w:textAlignment w:val="center"/>
              <w:rPr>
                <w:rFonts w:hint="default" w:eastAsia="仿宋_GB2312"/>
                <w:sz w:val="24"/>
                <w:lang w:val="en-US" w:eastAsia="zh-CN"/>
              </w:rPr>
            </w:pPr>
            <w:r>
              <w:rPr>
                <w:rFonts w:hint="eastAsia"/>
                <w:sz w:val="24"/>
                <w:lang w:val="en-US" w:eastAsia="zh-CN"/>
              </w:rPr>
              <w:t>3</w:t>
            </w:r>
          </w:p>
        </w:tc>
      </w:tr>
      <w:tr w14:paraId="4BE35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87" w:type="pct"/>
            <w:vAlign w:val="center"/>
          </w:tcPr>
          <w:p w14:paraId="095BEAD1">
            <w:pPr>
              <w:spacing w:line="240" w:lineRule="auto"/>
              <w:ind w:firstLine="0" w:firstLineChars="0"/>
              <w:jc w:val="center"/>
              <w:rPr>
                <w:rFonts w:hint="eastAsia" w:ascii="仿宋_GB2312" w:hAnsi="仿宋_GB2312" w:cs="仿宋_GB2312"/>
                <w:sz w:val="24"/>
                <w:lang w:val="en-US" w:eastAsia="zh-CN"/>
              </w:rPr>
            </w:pPr>
            <w:r>
              <w:rPr>
                <w:rFonts w:hint="eastAsia" w:ascii="仿宋_GB2312" w:hAnsi="仿宋_GB2312" w:cs="仿宋_GB2312"/>
                <w:b/>
                <w:bCs/>
                <w:sz w:val="24"/>
                <w:lang w:val="en-US" w:eastAsia="zh-CN"/>
              </w:rPr>
              <w:t>合计</w:t>
            </w:r>
          </w:p>
        </w:tc>
        <w:tc>
          <w:tcPr>
            <w:tcW w:w="969" w:type="pct"/>
            <w:vAlign w:val="center"/>
          </w:tcPr>
          <w:p w14:paraId="24CD2BF7">
            <w:pPr>
              <w:spacing w:line="240" w:lineRule="auto"/>
              <w:ind w:firstLine="0" w:firstLineChars="0"/>
              <w:jc w:val="center"/>
              <w:rPr>
                <w:rFonts w:ascii="仿宋_GB2312" w:hAnsi="仿宋_GB2312" w:cs="仿宋_GB2312"/>
                <w:sz w:val="24"/>
              </w:rPr>
            </w:pPr>
          </w:p>
        </w:tc>
        <w:tc>
          <w:tcPr>
            <w:tcW w:w="1439" w:type="pct"/>
            <w:vAlign w:val="center"/>
          </w:tcPr>
          <w:p w14:paraId="5069F978">
            <w:pPr>
              <w:spacing w:line="240" w:lineRule="atLeast"/>
              <w:ind w:firstLine="0" w:firstLineChars="0"/>
              <w:jc w:val="center"/>
              <w:rPr>
                <w:rFonts w:ascii="仿宋_GB2312" w:hAnsi="仿宋_GB2312" w:cs="仿宋_GB2312"/>
                <w:sz w:val="24"/>
              </w:rPr>
            </w:pPr>
          </w:p>
        </w:tc>
        <w:tc>
          <w:tcPr>
            <w:tcW w:w="333" w:type="pct"/>
            <w:vAlign w:val="center"/>
          </w:tcPr>
          <w:p w14:paraId="38ED0948">
            <w:pPr>
              <w:widowControl/>
              <w:snapToGrid w:val="0"/>
              <w:spacing w:line="240" w:lineRule="auto"/>
              <w:ind w:firstLine="0" w:firstLineChars="0"/>
              <w:jc w:val="center"/>
              <w:textAlignment w:val="center"/>
              <w:rPr>
                <w:sz w:val="24"/>
              </w:rPr>
            </w:pPr>
            <w:r>
              <w:rPr>
                <w:rFonts w:hint="eastAsia"/>
                <w:sz w:val="24"/>
              </w:rPr>
              <w:t>30</w:t>
            </w:r>
          </w:p>
        </w:tc>
        <w:tc>
          <w:tcPr>
            <w:tcW w:w="566" w:type="pct"/>
            <w:vAlign w:val="center"/>
          </w:tcPr>
          <w:p w14:paraId="0D478D2A">
            <w:pPr>
              <w:widowControl/>
              <w:snapToGrid w:val="0"/>
              <w:spacing w:line="240" w:lineRule="auto"/>
              <w:ind w:firstLine="0" w:firstLineChars="0"/>
              <w:jc w:val="center"/>
              <w:textAlignment w:val="center"/>
              <w:rPr>
                <w:rFonts w:hint="eastAsia"/>
                <w:sz w:val="24"/>
              </w:rPr>
            </w:pPr>
          </w:p>
        </w:tc>
        <w:tc>
          <w:tcPr>
            <w:tcW w:w="561" w:type="pct"/>
            <w:vAlign w:val="center"/>
          </w:tcPr>
          <w:p w14:paraId="6DB49D32">
            <w:pPr>
              <w:widowControl/>
              <w:snapToGrid w:val="0"/>
              <w:spacing w:line="240" w:lineRule="auto"/>
              <w:ind w:firstLine="0" w:firstLineChars="0"/>
              <w:jc w:val="center"/>
              <w:textAlignment w:val="center"/>
              <w:rPr>
                <w:rFonts w:hint="eastAsia"/>
                <w:sz w:val="24"/>
              </w:rPr>
            </w:pPr>
          </w:p>
        </w:tc>
        <w:tc>
          <w:tcPr>
            <w:tcW w:w="442" w:type="pct"/>
            <w:vAlign w:val="center"/>
          </w:tcPr>
          <w:p w14:paraId="6DE6D2AD">
            <w:pPr>
              <w:widowControl/>
              <w:snapToGrid w:val="0"/>
              <w:spacing w:line="240" w:lineRule="auto"/>
              <w:ind w:firstLine="0" w:firstLineChars="0"/>
              <w:jc w:val="center"/>
              <w:textAlignment w:val="center"/>
              <w:rPr>
                <w:rFonts w:hint="default" w:eastAsia="仿宋_GB2312"/>
                <w:sz w:val="24"/>
                <w:lang w:val="en-US" w:eastAsia="zh-CN"/>
              </w:rPr>
            </w:pPr>
            <w:r>
              <w:rPr>
                <w:rFonts w:hint="eastAsia"/>
                <w:sz w:val="24"/>
                <w:lang w:val="en-US" w:eastAsia="zh-CN"/>
              </w:rPr>
              <w:t>16</w:t>
            </w:r>
          </w:p>
        </w:tc>
      </w:tr>
    </w:tbl>
    <w:p w14:paraId="565B429E">
      <w:pPr>
        <w:keepNext w:val="0"/>
        <w:keepLines w:val="0"/>
        <w:pageBreakBefore w:val="0"/>
        <w:widowControl w:val="0"/>
        <w:kinsoku/>
        <w:wordWrap/>
        <w:overflowPunct/>
        <w:topLinePunct w:val="0"/>
        <w:autoSpaceDE/>
        <w:autoSpaceDN/>
        <w:bidi w:val="0"/>
        <w:adjustRightInd/>
        <w:snapToGrid/>
        <w:ind w:left="0" w:leftChars="0" w:firstLine="643" w:firstLineChars="200"/>
        <w:textAlignment w:val="auto"/>
        <w:outlineLvl w:val="9"/>
        <w:rPr>
          <w:rFonts w:hint="eastAsia"/>
          <w:b/>
          <w:bCs/>
          <w:kern w:val="0"/>
          <w:szCs w:val="32"/>
          <w:lang w:val="en-US" w:eastAsia="zh-CN"/>
        </w:rPr>
      </w:pPr>
      <w:r>
        <w:rPr>
          <w:rFonts w:hint="eastAsia"/>
          <w:b/>
          <w:bCs/>
          <w:kern w:val="0"/>
          <w:szCs w:val="32"/>
          <w:lang w:val="en-US" w:eastAsia="zh-CN"/>
        </w:rPr>
        <w:t>1.项目实施所产生的效益分析</w:t>
      </w:r>
    </w:p>
    <w:p w14:paraId="0B6CA383">
      <w:pPr>
        <w:numPr>
          <w:ilvl w:val="0"/>
          <w:numId w:val="0"/>
        </w:numPr>
        <w:ind w:firstLine="643" w:firstLineChars="200"/>
        <w:rPr>
          <w:rFonts w:ascii="仿宋_GB2312"/>
          <w:sz w:val="36"/>
          <w:szCs w:val="32"/>
        </w:rPr>
      </w:pPr>
      <w:r>
        <w:rPr>
          <w:rFonts w:hint="eastAsia"/>
          <w:b/>
          <w:bCs/>
          <w:kern w:val="0"/>
          <w:szCs w:val="32"/>
          <w:lang w:val="en-US" w:eastAsia="zh-CN"/>
        </w:rPr>
        <w:t>D11改善工作环境</w:t>
      </w:r>
      <w:r>
        <w:rPr>
          <w:rFonts w:hint="eastAsia" w:ascii="仿宋_GB2312"/>
          <w:b/>
          <w:bCs/>
          <w:kern w:val="0"/>
          <w:szCs w:val="32"/>
        </w:rPr>
        <w:t>：</w:t>
      </w:r>
      <w:r>
        <w:rPr>
          <w:rFonts w:hint="eastAsia" w:ascii="仿宋_GB2312"/>
          <w:b/>
          <w:bCs/>
          <w:szCs w:val="32"/>
        </w:rPr>
        <w:t>满分</w:t>
      </w:r>
      <w:r>
        <w:rPr>
          <w:rFonts w:hint="eastAsia" w:ascii="仿宋_GB2312"/>
          <w:b/>
          <w:bCs/>
          <w:szCs w:val="32"/>
          <w:lang w:val="en-US" w:eastAsia="zh-CN"/>
        </w:rPr>
        <w:t>10</w:t>
      </w:r>
      <w:r>
        <w:rPr>
          <w:rFonts w:hint="eastAsia" w:ascii="仿宋_GB2312"/>
          <w:b/>
          <w:bCs/>
          <w:szCs w:val="32"/>
        </w:rPr>
        <w:t>分，得</w:t>
      </w:r>
      <w:r>
        <w:rPr>
          <w:rFonts w:hint="eastAsia" w:ascii="仿宋_GB2312"/>
          <w:b/>
          <w:bCs/>
          <w:szCs w:val="32"/>
          <w:lang w:val="en-US" w:eastAsia="zh-CN"/>
        </w:rPr>
        <w:t>3</w:t>
      </w:r>
      <w:r>
        <w:rPr>
          <w:rFonts w:hint="eastAsia" w:ascii="仿宋_GB2312"/>
          <w:b/>
          <w:bCs/>
          <w:szCs w:val="32"/>
        </w:rPr>
        <w:t>分</w:t>
      </w:r>
      <w:r>
        <w:rPr>
          <w:rFonts w:hint="eastAsia" w:ascii="仿宋_GB2312"/>
          <w:b/>
          <w:bCs/>
          <w:sz w:val="36"/>
          <w:szCs w:val="32"/>
        </w:rPr>
        <w:t>。</w:t>
      </w:r>
    </w:p>
    <w:p w14:paraId="67FCC010">
      <w:pPr>
        <w:ind w:firstLine="640"/>
        <w:rPr>
          <w:rFonts w:hint="eastAsia" w:ascii="仿宋_GB2312" w:hAnsi="仿宋_GB2312" w:eastAsia="仿宋_GB2312" w:cs="仿宋_GB2312"/>
          <w:highlight w:val="none"/>
          <w:lang w:val="en-US" w:eastAsia="zh-CN"/>
        </w:rPr>
      </w:pPr>
      <w:r>
        <w:rPr>
          <w:rFonts w:hint="eastAsia" w:ascii="仿宋_GB2312"/>
        </w:rPr>
        <w:t>本指标反映和考核项目实施的</w:t>
      </w:r>
      <w:r>
        <w:rPr>
          <w:rFonts w:hint="eastAsia" w:ascii="仿宋_GB2312"/>
          <w:lang w:val="en-US" w:eastAsia="zh-CN"/>
        </w:rPr>
        <w:t>社会</w:t>
      </w:r>
      <w:r>
        <w:rPr>
          <w:rFonts w:hint="eastAsia" w:ascii="仿宋_GB2312"/>
        </w:rPr>
        <w:t>效益情况</w:t>
      </w:r>
      <w:r>
        <w:rPr>
          <w:rFonts w:hint="eastAsia" w:ascii="仿宋_GB2312" w:hAnsi="仿宋_GB2312" w:eastAsia="仿宋_GB2312" w:cs="仿宋_GB2312"/>
          <w:highlight w:val="none"/>
          <w:lang w:val="en-US" w:eastAsia="zh-CN"/>
        </w:rPr>
        <w:t>。</w:t>
      </w:r>
    </w:p>
    <w:p w14:paraId="7847BFCC">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该项目的实施</w:t>
      </w:r>
      <w:r>
        <w:rPr>
          <w:rFonts w:hint="eastAsia" w:ascii="仿宋_GB2312" w:hAnsi="仿宋_GB2312" w:cs="仿宋_GB2312"/>
          <w:lang w:val="en-US" w:eastAsia="zh-CN"/>
        </w:rPr>
        <w:t>建成后</w:t>
      </w:r>
      <w:r>
        <w:rPr>
          <w:rFonts w:hint="eastAsia" w:ascii="仿宋_GB2312" w:hAnsi="仿宋_GB2312" w:eastAsia="仿宋_GB2312" w:cs="仿宋_GB2312"/>
          <w:lang w:val="en-US" w:eastAsia="zh-CN"/>
        </w:rPr>
        <w:t>，</w:t>
      </w:r>
      <w:r>
        <w:rPr>
          <w:rFonts w:hint="eastAsia" w:ascii="仿宋_GB2312" w:hAnsi="仿宋_GB2312" w:cs="仿宋_GB2312"/>
          <w:lang w:val="en-US" w:eastAsia="zh-CN"/>
        </w:rPr>
        <w:t>有效</w:t>
      </w:r>
      <w:r>
        <w:rPr>
          <w:rFonts w:hint="eastAsia" w:ascii="仿宋_GB2312" w:hAnsi="仿宋_GB2312" w:eastAsia="仿宋_GB2312" w:cs="仿宋_GB2312"/>
          <w:lang w:val="en-US" w:eastAsia="zh-CN"/>
        </w:rPr>
        <w:t>改善党校基础设施，促进党校办学规模的不断优化，完善县级党校领导体制，深化办学体制改革，改善工作人员工作环境，符合国家方针政策</w:t>
      </w:r>
      <w:r>
        <w:rPr>
          <w:rFonts w:hint="eastAsia" w:ascii="仿宋_GB2312" w:hAnsi="仿宋_GB2312" w:cs="仿宋_GB2312"/>
          <w:lang w:val="en-US" w:eastAsia="zh-CN"/>
        </w:rPr>
        <w:t>，但项目截止绩效评价日尚未投入使用，工作人员满意度较差，满意度为66.86%</w:t>
      </w:r>
      <w:r>
        <w:rPr>
          <w:rFonts w:hint="eastAsia" w:ascii="仿宋_GB2312" w:hAnsi="仿宋_GB2312" w:eastAsia="仿宋_GB2312" w:cs="仿宋_GB2312"/>
          <w:lang w:val="en-US" w:eastAsia="zh-CN"/>
        </w:rPr>
        <w:t>。</w:t>
      </w:r>
    </w:p>
    <w:p w14:paraId="1F416544">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lang w:val="en-US" w:eastAsia="zh-CN"/>
        </w:rPr>
        <w:t>根据评分标准：满</w:t>
      </w:r>
      <w:r>
        <w:rPr>
          <w:rFonts w:hint="eastAsia" w:ascii="仿宋_GB2312"/>
        </w:rPr>
        <w:t>分</w:t>
      </w:r>
      <w:r>
        <w:rPr>
          <w:rFonts w:hint="eastAsia" w:ascii="仿宋_GB2312"/>
          <w:lang w:val="en-US" w:eastAsia="zh-CN"/>
        </w:rPr>
        <w:t>10</w:t>
      </w:r>
      <w:r>
        <w:rPr>
          <w:rFonts w:hint="eastAsia" w:ascii="仿宋_GB2312"/>
        </w:rPr>
        <w:t>分，得分</w:t>
      </w:r>
      <w:r>
        <w:rPr>
          <w:rFonts w:hint="eastAsia" w:ascii="仿宋_GB2312"/>
          <w:lang w:val="en-US" w:eastAsia="zh-CN"/>
        </w:rPr>
        <w:t>3</w:t>
      </w:r>
      <w:r>
        <w:rPr>
          <w:rFonts w:hint="eastAsia" w:ascii="仿宋_GB2312"/>
        </w:rPr>
        <w:t>分。</w:t>
      </w:r>
    </w:p>
    <w:p w14:paraId="232EA3AB">
      <w:pPr>
        <w:ind w:firstLine="643"/>
        <w:rPr>
          <w:rFonts w:ascii="仿宋_GB2312"/>
          <w:szCs w:val="32"/>
        </w:rPr>
      </w:pPr>
      <w:r>
        <w:rPr>
          <w:rFonts w:hint="eastAsia" w:ascii="仿宋_GB2312"/>
          <w:b/>
          <w:bCs/>
          <w:kern w:val="0"/>
          <w:szCs w:val="32"/>
          <w:lang w:val="en-US" w:eastAsia="zh-CN"/>
        </w:rPr>
        <w:t>D21有后期维护人员</w:t>
      </w:r>
      <w:r>
        <w:rPr>
          <w:rFonts w:hint="eastAsia" w:ascii="仿宋_GB2312"/>
          <w:b/>
          <w:bCs/>
          <w:kern w:val="0"/>
          <w:szCs w:val="32"/>
        </w:rPr>
        <w:t>：</w:t>
      </w:r>
      <w:r>
        <w:rPr>
          <w:rFonts w:hint="eastAsia" w:ascii="仿宋_GB2312"/>
          <w:b/>
          <w:bCs/>
          <w:szCs w:val="32"/>
        </w:rPr>
        <w:t>满分</w:t>
      </w:r>
      <w:r>
        <w:rPr>
          <w:rFonts w:hint="eastAsia" w:ascii="仿宋_GB2312"/>
          <w:b/>
          <w:bCs/>
          <w:szCs w:val="32"/>
          <w:lang w:val="en-US" w:eastAsia="zh-CN"/>
        </w:rPr>
        <w:t>10</w:t>
      </w:r>
      <w:r>
        <w:rPr>
          <w:rFonts w:hint="eastAsia" w:ascii="仿宋_GB2312"/>
          <w:b/>
          <w:bCs/>
          <w:szCs w:val="32"/>
        </w:rPr>
        <w:t>分，得</w:t>
      </w:r>
      <w:r>
        <w:rPr>
          <w:rFonts w:hint="eastAsia" w:ascii="仿宋_GB2312"/>
          <w:b/>
          <w:bCs/>
          <w:szCs w:val="32"/>
          <w:lang w:val="en-US" w:eastAsia="zh-CN"/>
        </w:rPr>
        <w:t>10</w:t>
      </w:r>
      <w:r>
        <w:rPr>
          <w:rFonts w:hint="eastAsia" w:ascii="仿宋_GB2312"/>
          <w:b/>
          <w:bCs/>
          <w:szCs w:val="32"/>
        </w:rPr>
        <w:t>分。</w:t>
      </w:r>
    </w:p>
    <w:p w14:paraId="4494CA2E">
      <w:pPr>
        <w:ind w:firstLine="640"/>
        <w:rPr>
          <w:rFonts w:hint="eastAsia" w:ascii="仿宋_GB2312" w:hAnsi="仿宋_GB2312" w:eastAsia="仿宋_GB2312" w:cs="仿宋_GB2312"/>
          <w:highlight w:val="none"/>
          <w:lang w:val="en-US" w:eastAsia="zh-CN"/>
        </w:rPr>
      </w:pPr>
      <w:r>
        <w:rPr>
          <w:rFonts w:hint="eastAsia" w:ascii="仿宋_GB2312"/>
        </w:rPr>
        <w:t>本指标</w:t>
      </w:r>
      <w:r>
        <w:rPr>
          <w:rFonts w:hint="eastAsia" w:ascii="仿宋_GB2312"/>
          <w:lang w:val="en-US" w:eastAsia="zh-CN"/>
        </w:rPr>
        <w:t>反映和考核</w:t>
      </w:r>
      <w:r>
        <w:rPr>
          <w:rFonts w:hint="eastAsia" w:ascii="仿宋_GB2312"/>
        </w:rPr>
        <w:t>项目</w:t>
      </w:r>
      <w:r>
        <w:rPr>
          <w:rFonts w:hint="eastAsia" w:ascii="仿宋_GB2312"/>
          <w:lang w:val="en-US" w:eastAsia="zh-CN"/>
        </w:rPr>
        <w:t>后期有维护维修人员及经费</w:t>
      </w:r>
      <w:r>
        <w:rPr>
          <w:rFonts w:hint="eastAsia" w:ascii="仿宋_GB2312"/>
        </w:rPr>
        <w:t>可持续影响情况。</w:t>
      </w:r>
    </w:p>
    <w:p w14:paraId="3BF11DB1">
      <w:pPr>
        <w:ind w:firstLine="640"/>
        <w:rPr>
          <w:rFonts w:hint="default" w:ascii="仿宋_GB2312" w:hAnsi="仿宋_GB2312" w:cs="仿宋_GB2312"/>
          <w:highlight w:val="none"/>
          <w:lang w:val="en-US" w:eastAsia="zh-CN"/>
        </w:rPr>
      </w:pPr>
      <w:r>
        <w:rPr>
          <w:rFonts w:hint="eastAsia" w:ascii="仿宋_GB2312" w:hAnsi="仿宋_GB2312" w:cs="仿宋_GB2312"/>
          <w:highlight w:val="none"/>
          <w:lang w:val="en-US" w:eastAsia="zh-CN"/>
        </w:rPr>
        <w:t>经评价组查阅资料和访谈，本项目主管单位制定了后期管护制度，设置了后期管护人员职位，有专项经费。</w:t>
      </w:r>
    </w:p>
    <w:p w14:paraId="4025BEAB">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outlineLvl w:val="9"/>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根据评分标准：满分</w:t>
      </w:r>
      <w:r>
        <w:rPr>
          <w:rFonts w:hint="eastAsia" w:ascii="仿宋_GB2312" w:hAnsi="仿宋_GB2312" w:cs="仿宋_GB2312"/>
          <w:highlight w:val="none"/>
          <w:lang w:val="en-US" w:eastAsia="zh-CN"/>
        </w:rPr>
        <w:t>10</w:t>
      </w:r>
      <w:r>
        <w:rPr>
          <w:rFonts w:hint="eastAsia" w:ascii="仿宋_GB2312" w:hAnsi="仿宋_GB2312" w:eastAsia="仿宋_GB2312" w:cs="仿宋_GB2312"/>
          <w:highlight w:val="none"/>
          <w:lang w:val="en-US" w:eastAsia="zh-CN"/>
        </w:rPr>
        <w:t>分，得分</w:t>
      </w:r>
      <w:r>
        <w:rPr>
          <w:rFonts w:hint="eastAsia" w:ascii="仿宋_GB2312" w:hAnsi="仿宋_GB2312" w:cs="仿宋_GB2312"/>
          <w:highlight w:val="none"/>
          <w:lang w:val="en-US" w:eastAsia="zh-CN"/>
        </w:rPr>
        <w:t>10</w:t>
      </w:r>
      <w:r>
        <w:rPr>
          <w:rFonts w:hint="eastAsia" w:ascii="仿宋_GB2312" w:hAnsi="仿宋_GB2312" w:eastAsia="仿宋_GB2312" w:cs="仿宋_GB2312"/>
          <w:highlight w:val="none"/>
          <w:lang w:val="en-US" w:eastAsia="zh-CN"/>
        </w:rPr>
        <w:t>分。</w:t>
      </w:r>
    </w:p>
    <w:p w14:paraId="4FE19484">
      <w:pPr>
        <w:keepNext w:val="0"/>
        <w:keepLines w:val="0"/>
        <w:pageBreakBefore w:val="0"/>
        <w:widowControl w:val="0"/>
        <w:kinsoku/>
        <w:wordWrap/>
        <w:overflowPunct/>
        <w:topLinePunct w:val="0"/>
        <w:autoSpaceDE/>
        <w:autoSpaceDN/>
        <w:bidi w:val="0"/>
        <w:adjustRightInd/>
        <w:snapToGrid/>
        <w:ind w:left="0" w:leftChars="0" w:firstLine="643" w:firstLineChars="200"/>
        <w:textAlignment w:val="auto"/>
        <w:outlineLvl w:val="9"/>
        <w:rPr>
          <w:rFonts w:hint="eastAsia"/>
          <w:b/>
          <w:bCs/>
          <w:kern w:val="0"/>
          <w:szCs w:val="32"/>
          <w:lang w:val="en-US" w:eastAsia="zh-CN"/>
        </w:rPr>
      </w:pPr>
      <w:r>
        <w:rPr>
          <w:rFonts w:hint="eastAsia"/>
          <w:b/>
          <w:bCs/>
          <w:kern w:val="0"/>
          <w:szCs w:val="32"/>
          <w:lang w:val="en-US" w:eastAsia="zh-CN"/>
        </w:rPr>
        <w:t>2.服务对象对项目实施效果的满意度分析</w:t>
      </w:r>
    </w:p>
    <w:p w14:paraId="382643D8">
      <w:pPr>
        <w:ind w:firstLine="643"/>
        <w:rPr>
          <w:rFonts w:ascii="仿宋_GB2312"/>
          <w:szCs w:val="32"/>
        </w:rPr>
      </w:pPr>
      <w:r>
        <w:rPr>
          <w:rFonts w:hint="eastAsia" w:ascii="仿宋_GB2312"/>
          <w:b/>
          <w:bCs/>
          <w:kern w:val="0"/>
          <w:szCs w:val="32"/>
          <w:lang w:val="en-US" w:eastAsia="zh-CN"/>
        </w:rPr>
        <w:t>D31服务对象满意度</w:t>
      </w:r>
      <w:r>
        <w:rPr>
          <w:rFonts w:hint="eastAsia" w:ascii="仿宋_GB2312"/>
          <w:b/>
          <w:bCs/>
          <w:kern w:val="0"/>
          <w:szCs w:val="32"/>
        </w:rPr>
        <w:t>：</w:t>
      </w:r>
      <w:r>
        <w:rPr>
          <w:rFonts w:hint="eastAsia" w:ascii="仿宋_GB2312"/>
          <w:b/>
          <w:bCs/>
          <w:szCs w:val="32"/>
        </w:rPr>
        <w:t>满分</w:t>
      </w:r>
      <w:r>
        <w:rPr>
          <w:rFonts w:hint="eastAsia" w:ascii="仿宋_GB2312"/>
          <w:b/>
          <w:bCs/>
          <w:szCs w:val="32"/>
          <w:lang w:val="en-US" w:eastAsia="zh-CN"/>
        </w:rPr>
        <w:t>10</w:t>
      </w:r>
      <w:r>
        <w:rPr>
          <w:rFonts w:hint="eastAsia" w:ascii="仿宋_GB2312"/>
          <w:b/>
          <w:bCs/>
          <w:szCs w:val="32"/>
        </w:rPr>
        <w:t>分，得</w:t>
      </w:r>
      <w:r>
        <w:rPr>
          <w:rFonts w:hint="eastAsia" w:ascii="仿宋_GB2312"/>
          <w:b/>
          <w:bCs/>
          <w:szCs w:val="32"/>
          <w:lang w:val="en-US" w:eastAsia="zh-CN"/>
        </w:rPr>
        <w:t>3</w:t>
      </w:r>
      <w:r>
        <w:rPr>
          <w:rFonts w:hint="eastAsia" w:ascii="仿宋_GB2312"/>
          <w:b/>
          <w:bCs/>
          <w:szCs w:val="32"/>
        </w:rPr>
        <w:t>分。</w:t>
      </w:r>
    </w:p>
    <w:p w14:paraId="09C0CD7C">
      <w:pPr>
        <w:ind w:firstLine="640"/>
        <w:rPr>
          <w:rFonts w:hint="eastAsia" w:ascii="仿宋_GB2312" w:hAnsi="仿宋_GB2312" w:eastAsia="仿宋_GB2312" w:cs="仿宋_GB2312"/>
          <w:lang w:val="en-US" w:eastAsia="zh-CN"/>
        </w:rPr>
      </w:pPr>
      <w:r>
        <w:rPr>
          <w:rFonts w:hint="eastAsia" w:ascii="仿宋_GB2312"/>
        </w:rPr>
        <w:t>本指标用以反映和考核</w:t>
      </w:r>
      <w:r>
        <w:rPr>
          <w:rFonts w:hint="eastAsia" w:ascii="仿宋_GB2312"/>
          <w:lang w:val="en-US" w:eastAsia="zh-CN"/>
        </w:rPr>
        <w:t>服务对象</w:t>
      </w:r>
      <w:r>
        <w:rPr>
          <w:rFonts w:hint="eastAsia" w:ascii="仿宋_GB2312" w:hAnsi="仿宋_GB2312" w:eastAsia="仿宋_GB2312" w:cs="仿宋_GB2312"/>
          <w:lang w:val="en-US" w:eastAsia="zh-CN"/>
        </w:rPr>
        <w:t>对项目实施的满意程度。</w:t>
      </w:r>
    </w:p>
    <w:p w14:paraId="1F577F5A">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经评价组问卷调查分析计算，调查对象为</w:t>
      </w:r>
      <w:r>
        <w:rPr>
          <w:rFonts w:hint="eastAsia" w:ascii="仿宋_GB2312" w:hAnsi="仿宋_GB2312" w:cs="仿宋_GB2312"/>
          <w:lang w:val="en-US" w:eastAsia="zh-CN"/>
        </w:rPr>
        <w:t>工作人员</w:t>
      </w:r>
      <w:r>
        <w:rPr>
          <w:rFonts w:hint="eastAsia" w:ascii="仿宋_GB2312" w:hAnsi="仿宋_GB2312" w:eastAsia="仿宋_GB2312" w:cs="仿宋_GB2312"/>
          <w:lang w:val="en-US" w:eastAsia="zh-CN"/>
        </w:rPr>
        <w:t>，问卷共发放</w:t>
      </w:r>
      <w:r>
        <w:rPr>
          <w:rFonts w:hint="eastAsia" w:ascii="仿宋_GB2312" w:hAnsi="仿宋_GB2312" w:cs="仿宋_GB2312"/>
          <w:lang w:val="en-US" w:eastAsia="zh-CN"/>
        </w:rPr>
        <w:t>35</w:t>
      </w:r>
      <w:r>
        <w:rPr>
          <w:rFonts w:hint="eastAsia" w:ascii="仿宋_GB2312" w:hAnsi="仿宋_GB2312" w:eastAsia="仿宋_GB2312" w:cs="仿宋_GB2312"/>
          <w:lang w:val="en-US" w:eastAsia="zh-CN"/>
        </w:rPr>
        <w:t>份，收回有效问卷</w:t>
      </w:r>
      <w:r>
        <w:rPr>
          <w:rFonts w:hint="eastAsia" w:ascii="仿宋_GB2312" w:hAnsi="仿宋_GB2312" w:cs="仿宋_GB2312"/>
          <w:lang w:val="en-US" w:eastAsia="zh-CN"/>
        </w:rPr>
        <w:t>35</w:t>
      </w:r>
      <w:r>
        <w:rPr>
          <w:rFonts w:hint="eastAsia" w:ascii="仿宋_GB2312" w:hAnsi="仿宋_GB2312" w:eastAsia="仿宋_GB2312" w:cs="仿宋_GB2312"/>
          <w:lang w:val="en-US" w:eastAsia="zh-CN"/>
        </w:rPr>
        <w:t>份。对古县县委党校改扩建项目的工程进度满意度为</w:t>
      </w:r>
      <w:r>
        <w:rPr>
          <w:rFonts w:hint="eastAsia" w:ascii="仿宋_GB2312" w:hAnsi="仿宋_GB2312" w:cs="仿宋_GB2312"/>
          <w:lang w:val="en-US" w:eastAsia="zh-CN"/>
        </w:rPr>
        <w:t>53.71</w:t>
      </w:r>
      <w:r>
        <w:rPr>
          <w:rFonts w:hint="eastAsia" w:ascii="仿宋_GB2312" w:hAnsi="仿宋_GB2312" w:eastAsia="仿宋_GB2312" w:cs="仿宋_GB2312"/>
          <w:lang w:val="en-US" w:eastAsia="zh-CN"/>
        </w:rPr>
        <w:t>%；对古县县委党校改扩建项目的工程质量满意度为</w:t>
      </w:r>
      <w:r>
        <w:rPr>
          <w:rFonts w:hint="eastAsia" w:ascii="仿宋_GB2312" w:hAnsi="仿宋_GB2312" w:cs="仿宋_GB2312"/>
          <w:lang w:val="en-US" w:eastAsia="zh-CN"/>
        </w:rPr>
        <w:t>71.43</w:t>
      </w:r>
      <w:r>
        <w:rPr>
          <w:rFonts w:hint="eastAsia" w:ascii="仿宋_GB2312" w:hAnsi="仿宋_GB2312" w:eastAsia="仿宋_GB2312" w:cs="仿宋_GB2312"/>
          <w:lang w:val="en-US" w:eastAsia="zh-CN"/>
        </w:rPr>
        <w:t>%；对您的工作环境的改善满意度为</w:t>
      </w:r>
      <w:r>
        <w:rPr>
          <w:rFonts w:hint="eastAsia" w:ascii="仿宋_GB2312" w:hAnsi="仿宋_GB2312" w:cs="仿宋_GB2312"/>
          <w:lang w:val="en-US" w:eastAsia="zh-CN"/>
        </w:rPr>
        <w:t>66.86</w:t>
      </w:r>
      <w:r>
        <w:rPr>
          <w:rFonts w:hint="eastAsia" w:ascii="仿宋_GB2312" w:hAnsi="仿宋_GB2312" w:eastAsia="仿宋_GB2312" w:cs="仿宋_GB2312"/>
          <w:lang w:val="en-US" w:eastAsia="zh-CN"/>
        </w:rPr>
        <w:t>%；本项目实施对教学质量的提高满意度为</w:t>
      </w:r>
      <w:r>
        <w:rPr>
          <w:rFonts w:hint="eastAsia" w:ascii="仿宋_GB2312" w:hAnsi="仿宋_GB2312" w:cs="仿宋_GB2312"/>
          <w:lang w:val="en-US" w:eastAsia="zh-CN"/>
        </w:rPr>
        <w:t>81.71</w:t>
      </w:r>
      <w:r>
        <w:rPr>
          <w:rFonts w:hint="eastAsia" w:ascii="仿宋_GB2312" w:hAnsi="仿宋_GB2312" w:eastAsia="仿宋_GB2312" w:cs="仿宋_GB2312"/>
          <w:lang w:val="en-US" w:eastAsia="zh-CN"/>
        </w:rPr>
        <w:t>%</w:t>
      </w:r>
      <w:r>
        <w:rPr>
          <w:rFonts w:hint="eastAsia" w:ascii="仿宋_GB2312" w:hAnsi="仿宋_GB2312" w:cs="仿宋_GB2312"/>
          <w:lang w:val="en-US" w:eastAsia="zh-CN"/>
        </w:rPr>
        <w:t>，对本项目的实施过程</w:t>
      </w:r>
      <w:r>
        <w:rPr>
          <w:rFonts w:hint="eastAsia" w:ascii="仿宋_GB2312" w:hAnsi="仿宋_GB2312" w:eastAsia="仿宋_GB2312" w:cs="仿宋_GB2312"/>
          <w:lang w:val="en-US" w:eastAsia="zh-CN"/>
        </w:rPr>
        <w:t>满意度为</w:t>
      </w:r>
      <w:r>
        <w:rPr>
          <w:rFonts w:hint="eastAsia" w:ascii="仿宋_GB2312" w:hAnsi="仿宋_GB2312" w:cs="仿宋_GB2312"/>
          <w:lang w:val="en-US" w:eastAsia="zh-CN"/>
        </w:rPr>
        <w:t>69.71</w:t>
      </w:r>
      <w:r>
        <w:rPr>
          <w:rFonts w:hint="eastAsia" w:ascii="仿宋_GB2312" w:hAnsi="仿宋_GB2312" w:eastAsia="仿宋_GB2312" w:cs="仿宋_GB2312"/>
          <w:lang w:val="en-US" w:eastAsia="zh-CN"/>
        </w:rPr>
        <w:t>%</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综合满意度为</w:t>
      </w:r>
      <w:r>
        <w:rPr>
          <w:rFonts w:hint="eastAsia" w:ascii="仿宋_GB2312" w:hAnsi="仿宋_GB2312" w:cs="仿宋_GB2312"/>
          <w:lang w:val="en-US" w:eastAsia="zh-CN"/>
        </w:rPr>
        <w:t>78.69</w:t>
      </w:r>
      <w:r>
        <w:rPr>
          <w:rFonts w:hint="eastAsia" w:ascii="仿宋_GB2312" w:hAnsi="仿宋_GB2312" w:eastAsia="仿宋_GB2312" w:cs="仿宋_GB2312"/>
          <w:lang w:val="en-US" w:eastAsia="zh-CN"/>
        </w:rPr>
        <w:t>%。</w:t>
      </w:r>
    </w:p>
    <w:p w14:paraId="688F03A3">
      <w:pPr>
        <w:ind w:firstLine="640"/>
        <w:rPr>
          <w:rFonts w:hint="eastAsia" w:ascii="仿宋_GB2312"/>
          <w:lang w:val="en-US" w:eastAsia="zh-CN"/>
        </w:rPr>
      </w:pPr>
      <w:r>
        <w:rPr>
          <w:rFonts w:hint="eastAsia" w:ascii="仿宋_GB2312"/>
          <w:lang w:val="en-US" w:eastAsia="zh-CN"/>
        </w:rPr>
        <w:t>根据评分标准：满分10分，得分3分。</w:t>
      </w:r>
    </w:p>
    <w:p w14:paraId="48C594E8">
      <w:pPr>
        <w:pStyle w:val="3"/>
        <w:ind w:firstLine="640"/>
        <w:rPr>
          <w:rFonts w:hint="eastAsia" w:eastAsia="黑体"/>
          <w:lang w:val="en-US" w:eastAsia="zh-CN"/>
        </w:rPr>
      </w:pPr>
      <w:bookmarkStart w:id="49" w:name="_Toc30002"/>
      <w:r>
        <w:rPr>
          <w:rFonts w:hint="eastAsia"/>
        </w:rPr>
        <w:t>五、主要经验</w:t>
      </w:r>
      <w:r>
        <w:rPr>
          <w:rFonts w:hint="eastAsia"/>
          <w:lang w:val="en-US" w:eastAsia="zh-CN"/>
        </w:rPr>
        <w:t>及做法</w:t>
      </w:r>
      <w:bookmarkEnd w:id="49"/>
    </w:p>
    <w:p w14:paraId="7C8639F3">
      <w:pPr>
        <w:numPr>
          <w:ilvl w:val="0"/>
          <w:numId w:val="0"/>
        </w:numPr>
        <w:ind w:firstLine="643" w:firstLineChars="200"/>
        <w:rPr>
          <w:rFonts w:hint="eastAsia" w:ascii="仿宋_GB2312" w:hAnsi="仿宋_GB2312" w:eastAsia="仿宋_GB2312" w:cs="仿宋_GB2312"/>
          <w:lang w:val="en-US" w:eastAsia="zh-CN"/>
        </w:rPr>
      </w:pPr>
      <w:bookmarkStart w:id="50" w:name="_Toc11254"/>
      <w:bookmarkStart w:id="51" w:name="_Toc11069"/>
      <w:bookmarkStart w:id="52" w:name="_Toc133"/>
      <w:bookmarkStart w:id="53" w:name="_Toc480"/>
      <w:bookmarkStart w:id="54" w:name="_Toc14674"/>
      <w:bookmarkStart w:id="55" w:name="_Toc1318"/>
      <w:bookmarkStart w:id="56" w:name="_Toc24561"/>
      <w:r>
        <w:rPr>
          <w:rFonts w:hint="eastAsia" w:ascii="仿宋_GB2312" w:hAnsi="仿宋_GB2312" w:cs="仿宋_GB2312"/>
          <w:b/>
          <w:bCs/>
          <w:lang w:val="en-US" w:eastAsia="zh-CN"/>
        </w:rPr>
        <w:t>无</w:t>
      </w:r>
    </w:p>
    <w:p w14:paraId="74F1507B">
      <w:pPr>
        <w:pStyle w:val="3"/>
        <w:ind w:firstLine="640"/>
      </w:pPr>
      <w:bookmarkStart w:id="57" w:name="_Toc29522"/>
      <w:r>
        <w:rPr>
          <w:rFonts w:hint="eastAsia"/>
        </w:rPr>
        <w:t>六、存在的问题及原因分析</w:t>
      </w:r>
      <w:bookmarkEnd w:id="57"/>
    </w:p>
    <w:p w14:paraId="6D2C5DF6">
      <w:pPr>
        <w:spacing w:beforeLines="50" w:afterLines="50"/>
        <w:ind w:firstLine="643"/>
        <w:rPr>
          <w:rFonts w:hint="default" w:ascii="仿宋_GB2312" w:hAnsi="仿宋_GB2312" w:eastAsia="仿宋_GB2312" w:cs="仿宋_GB2312"/>
          <w:b/>
          <w:kern w:val="0"/>
          <w:szCs w:val="32"/>
          <w:lang w:val="en-US" w:eastAsia="zh-CN"/>
        </w:rPr>
      </w:pPr>
      <w:r>
        <w:rPr>
          <w:rFonts w:hint="eastAsia" w:ascii="仿宋_GB2312" w:hAnsi="仿宋_GB2312" w:cs="仿宋_GB2312"/>
          <w:b/>
          <w:kern w:val="0"/>
          <w:szCs w:val="32"/>
        </w:rPr>
        <w:t>（一）部分绩效指标设置不规范</w:t>
      </w:r>
    </w:p>
    <w:p w14:paraId="4F49993A">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经评价组分析资料了解，该项目绩效目标分别从产出、效益、满意度三个方面设置了绩效指标。但评价过程中发现，成本指标、社会效益指标存在细化、量化程度不足。</w:t>
      </w:r>
    </w:p>
    <w:p w14:paraId="05910B8E">
      <w:pPr>
        <w:spacing w:beforeLines="50" w:afterLines="50"/>
        <w:ind w:firstLine="643"/>
        <w:rPr>
          <w:rFonts w:hint="default" w:ascii="仿宋_GB2312" w:hAnsi="仿宋_GB2312" w:eastAsia="仿宋_GB2312" w:cs="仿宋_GB2312"/>
          <w:b/>
          <w:kern w:val="0"/>
          <w:szCs w:val="32"/>
          <w:lang w:val="en-US" w:eastAsia="zh-CN"/>
        </w:rPr>
      </w:pPr>
      <w:r>
        <w:rPr>
          <w:rFonts w:hint="eastAsia" w:ascii="仿宋_GB2312" w:hAnsi="仿宋_GB2312" w:cs="仿宋_GB2312"/>
          <w:b/>
          <w:kern w:val="0"/>
          <w:szCs w:val="32"/>
          <w:lang w:eastAsia="zh-CN"/>
        </w:rPr>
        <w:t>（</w:t>
      </w:r>
      <w:r>
        <w:rPr>
          <w:rFonts w:hint="eastAsia" w:ascii="仿宋_GB2312" w:hAnsi="仿宋_GB2312" w:cs="仿宋_GB2312"/>
          <w:b/>
          <w:kern w:val="0"/>
          <w:szCs w:val="32"/>
          <w:lang w:val="en-US" w:eastAsia="zh-CN"/>
        </w:rPr>
        <w:t>二</w:t>
      </w:r>
      <w:r>
        <w:rPr>
          <w:rFonts w:hint="eastAsia" w:ascii="仿宋_GB2312" w:hAnsi="仿宋_GB2312" w:cs="仿宋_GB2312"/>
          <w:b/>
          <w:kern w:val="0"/>
          <w:szCs w:val="32"/>
          <w:lang w:eastAsia="zh-CN"/>
        </w:rPr>
        <w:t>）</w:t>
      </w:r>
      <w:r>
        <w:rPr>
          <w:rFonts w:hint="eastAsia" w:ascii="仿宋_GB2312" w:hAnsi="仿宋_GB2312" w:cs="仿宋_GB2312"/>
          <w:b/>
          <w:kern w:val="0"/>
          <w:szCs w:val="32"/>
          <w:lang w:val="en-US" w:eastAsia="zh-CN"/>
        </w:rPr>
        <w:t>完工不及时</w:t>
      </w:r>
    </w:p>
    <w:p w14:paraId="4408F6BF">
      <w:pPr>
        <w:spacing w:beforeLines="50" w:afterLines="50"/>
        <w:ind w:firstLine="643"/>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该项目合同规定计划开工日期为以发包人开工令为准，合同内容约定计划开工日期为2020年6月20日，计划竣工日期为2021年11月11日，工期总日历天数510天，截止绩效评价基准日尚未竣工。</w:t>
      </w:r>
    </w:p>
    <w:p w14:paraId="13DC11AD">
      <w:pPr>
        <w:spacing w:beforeLines="50" w:afterLines="50"/>
        <w:ind w:firstLine="643"/>
        <w:rPr>
          <w:rFonts w:hint="default" w:ascii="仿宋_GB2312" w:hAnsi="仿宋_GB2312" w:eastAsia="仿宋_GB2312" w:cs="仿宋_GB2312"/>
          <w:b/>
          <w:kern w:val="0"/>
          <w:szCs w:val="32"/>
          <w:lang w:val="en-US" w:eastAsia="zh-CN"/>
        </w:rPr>
      </w:pPr>
      <w:r>
        <w:rPr>
          <w:rFonts w:hint="eastAsia" w:ascii="仿宋_GB2312" w:hAnsi="仿宋_GB2312" w:cs="仿宋_GB2312"/>
          <w:b/>
          <w:kern w:val="0"/>
          <w:szCs w:val="32"/>
          <w:lang w:eastAsia="zh-CN"/>
        </w:rPr>
        <w:t>（</w:t>
      </w:r>
      <w:r>
        <w:rPr>
          <w:rFonts w:hint="eastAsia" w:ascii="仿宋_GB2312" w:hAnsi="仿宋_GB2312" w:cs="仿宋_GB2312"/>
          <w:b/>
          <w:kern w:val="0"/>
          <w:szCs w:val="32"/>
          <w:lang w:val="en-US" w:eastAsia="zh-CN"/>
        </w:rPr>
        <w:t>三</w:t>
      </w:r>
      <w:r>
        <w:rPr>
          <w:rFonts w:hint="eastAsia" w:ascii="仿宋_GB2312" w:hAnsi="仿宋_GB2312" w:cs="仿宋_GB2312"/>
          <w:b/>
          <w:kern w:val="0"/>
          <w:szCs w:val="32"/>
          <w:lang w:eastAsia="zh-CN"/>
        </w:rPr>
        <w:t>）</w:t>
      </w:r>
      <w:r>
        <w:rPr>
          <w:rFonts w:hint="eastAsia" w:ascii="仿宋_GB2312" w:hAnsi="仿宋_GB2312" w:cs="仿宋_GB2312"/>
          <w:b/>
          <w:kern w:val="0"/>
          <w:szCs w:val="32"/>
          <w:lang w:val="en-US" w:eastAsia="zh-CN"/>
        </w:rPr>
        <w:t>验收不及时</w:t>
      </w:r>
    </w:p>
    <w:p w14:paraId="256161E0">
      <w:pPr>
        <w:ind w:firstLine="640"/>
        <w:rPr>
          <w:rFonts w:hint="eastAsia" w:ascii="仿宋_GB2312" w:hAnsi="仿宋_GB2312" w:eastAsia="仿宋_GB2312" w:cs="仿宋_GB2312"/>
          <w:lang w:val="en-US" w:eastAsia="zh-CN"/>
        </w:rPr>
      </w:pPr>
      <w:r>
        <w:rPr>
          <w:rFonts w:hint="eastAsia" w:ascii="仿宋_GB2312"/>
          <w:lang w:val="en-US" w:eastAsia="zh-CN"/>
        </w:rPr>
        <w:t>经评价组查阅资料，本项目截止绩效评价日项目已经完工，但尚未组织验收。</w:t>
      </w:r>
    </w:p>
    <w:p w14:paraId="5AF46720">
      <w:pPr>
        <w:pStyle w:val="3"/>
        <w:ind w:left="0" w:leftChars="0" w:firstLine="640" w:firstLineChars="200"/>
      </w:pPr>
      <w:bookmarkStart w:id="58" w:name="_Toc26313"/>
      <w:r>
        <w:rPr>
          <w:rFonts w:hint="eastAsia"/>
        </w:rPr>
        <w:t>七、建议</w:t>
      </w:r>
      <w:bookmarkEnd w:id="58"/>
    </w:p>
    <w:p w14:paraId="102628F4">
      <w:pPr>
        <w:spacing w:beforeLines="50" w:afterLines="50"/>
        <w:ind w:firstLine="643"/>
        <w:rPr>
          <w:rFonts w:hint="default" w:ascii="仿宋_GB2312" w:hAnsi="仿宋_GB2312" w:eastAsia="仿宋_GB2312" w:cs="仿宋_GB2312"/>
          <w:b/>
          <w:kern w:val="0"/>
          <w:szCs w:val="32"/>
          <w:lang w:val="en-US" w:eastAsia="zh-CN"/>
        </w:rPr>
      </w:pPr>
      <w:r>
        <w:rPr>
          <w:rFonts w:hint="eastAsia" w:ascii="仿宋_GB2312" w:hAnsi="仿宋_GB2312" w:cs="仿宋_GB2312"/>
          <w:b/>
          <w:kern w:val="0"/>
          <w:szCs w:val="32"/>
        </w:rPr>
        <w:t>（一）提高绩效管理意识，合理设定、及时调整绩效目标</w:t>
      </w:r>
    </w:p>
    <w:p w14:paraId="608C016F">
      <w:pPr>
        <w:ind w:firstLine="640"/>
        <w:rPr>
          <w:rFonts w:hint="default" w:eastAsia="仿宋_GB2312"/>
          <w:lang w:val="en-US" w:eastAsia="zh-CN"/>
        </w:rPr>
      </w:pPr>
      <w:r>
        <w:rPr>
          <w:rFonts w:hint="default" w:eastAsia="仿宋_GB2312"/>
          <w:lang w:val="en-US" w:eastAsia="zh-CN"/>
        </w:rPr>
        <w:t xml:space="preserve">建议项目单位按照“谁申请资金、谁编制目标”的原则，根据工作特点、资金安排、年度工作要点及资源配备情况，从预期产出、预期效果和公众满意度等方面，制定出科学合理的绩效目标；将年度绩效目标进一步细化为一级指标、二级指标及三级指标，并全面分解三级指标和指标值，确保指标值设置合理，以便于绩效目标的有效实施和达到预期效果。 </w:t>
      </w:r>
    </w:p>
    <w:p w14:paraId="64E49F3E">
      <w:pPr>
        <w:ind w:firstLine="640"/>
        <w:rPr>
          <w:rFonts w:hint="default" w:eastAsia="仿宋_GB2312"/>
          <w:lang w:val="en-US" w:eastAsia="zh-CN"/>
        </w:rPr>
      </w:pPr>
      <w:r>
        <w:rPr>
          <w:rFonts w:hint="default" w:eastAsia="仿宋_GB2312"/>
          <w:lang w:val="en-US" w:eastAsia="zh-CN"/>
        </w:rPr>
        <w:t>项目单位在年初设定绩效目标后，在预算执行中，因预算调整、政策变化、突发事件等因素影响绩效目标实现的情况，应根据</w:t>
      </w:r>
      <w:r>
        <w:rPr>
          <w:rFonts w:hint="eastAsia"/>
          <w:lang w:val="en-US" w:eastAsia="zh-CN"/>
        </w:rPr>
        <w:t>相关政策</w:t>
      </w:r>
      <w:r>
        <w:rPr>
          <w:rFonts w:hint="default" w:eastAsia="仿宋_GB2312"/>
          <w:lang w:val="en-US" w:eastAsia="zh-CN"/>
        </w:rPr>
        <w:t>规定调整绩效目标，由业务主管部门提出绩效目标调整申请，按预算管理流程报批调整，及时更新，使设定的绩效目标符合项目实际情况</w:t>
      </w:r>
      <w:r>
        <w:rPr>
          <w:rFonts w:hint="eastAsia"/>
          <w:lang w:val="en-US" w:eastAsia="zh-CN"/>
        </w:rPr>
        <w:t>。</w:t>
      </w:r>
    </w:p>
    <w:p w14:paraId="27B52F22">
      <w:pPr>
        <w:spacing w:beforeLines="50" w:afterLines="50"/>
        <w:ind w:firstLine="643"/>
        <w:rPr>
          <w:rFonts w:hint="default" w:ascii="仿宋_GB2312" w:hAnsi="仿宋_GB2312" w:eastAsia="仿宋_GB2312" w:cs="仿宋_GB2312"/>
          <w:b/>
          <w:kern w:val="0"/>
          <w:szCs w:val="32"/>
          <w:lang w:val="en-US" w:eastAsia="zh-CN"/>
        </w:rPr>
      </w:pPr>
      <w:r>
        <w:rPr>
          <w:rFonts w:hint="eastAsia" w:ascii="仿宋_GB2312" w:hAnsi="仿宋_GB2312" w:cs="仿宋_GB2312"/>
          <w:b/>
          <w:kern w:val="0"/>
          <w:szCs w:val="32"/>
        </w:rPr>
        <w:t>（二）</w:t>
      </w:r>
      <w:r>
        <w:rPr>
          <w:rFonts w:hint="eastAsia" w:ascii="仿宋_GB2312" w:hAnsi="仿宋_GB2312" w:cs="仿宋_GB2312"/>
          <w:b/>
          <w:kern w:val="0"/>
          <w:szCs w:val="32"/>
          <w:lang w:val="en-US" w:eastAsia="zh-CN"/>
        </w:rPr>
        <w:t>及时整改发现问题、保证如期完工</w:t>
      </w:r>
    </w:p>
    <w:p w14:paraId="001970B8">
      <w:pPr>
        <w:ind w:firstLine="640"/>
        <w:rPr>
          <w:rFonts w:hint="eastAsia"/>
          <w:lang w:val="en-US" w:eastAsia="zh-CN"/>
        </w:rPr>
      </w:pPr>
      <w:r>
        <w:rPr>
          <w:rFonts w:hint="eastAsia"/>
          <w:lang w:val="en-US" w:eastAsia="zh-CN"/>
        </w:rPr>
        <w:t>建议主管单位应成立项目领导小组，专项监管项目的实施进度，定期考核，发现施工进度滞后，应及时寻找问题，解决问题，确保工程如期完工。</w:t>
      </w:r>
    </w:p>
    <w:p w14:paraId="0734085B">
      <w:pPr>
        <w:ind w:firstLine="640"/>
        <w:rPr>
          <w:rFonts w:hint="eastAsia"/>
          <w:lang w:val="en-US" w:eastAsia="zh-CN"/>
        </w:rPr>
      </w:pPr>
      <w:r>
        <w:rPr>
          <w:rFonts w:hint="eastAsia"/>
          <w:lang w:val="en-US" w:eastAsia="zh-CN"/>
        </w:rPr>
        <w:t>施工单位施工期间，应主动与主管单位、监理、设计、专业分包队伍及时沟通情况，得到各单位在工作上的支持，加大协调管理力度，结合工程实际施工情况，协调各工种或各相关专业分包队伍之间的工作配合。提供方便，为快速优质施工创造条件。</w:t>
      </w:r>
    </w:p>
    <w:p w14:paraId="05C2BB54">
      <w:pPr>
        <w:ind w:firstLine="640"/>
        <w:rPr>
          <w:rFonts w:hint="eastAsia"/>
          <w:lang w:val="en-US" w:eastAsia="zh-CN"/>
        </w:rPr>
      </w:pPr>
      <w:r>
        <w:rPr>
          <w:rFonts w:hint="eastAsia"/>
          <w:lang w:val="en-US" w:eastAsia="zh-CN"/>
        </w:rPr>
        <w:t>加强服务，主动配合和协助业主在施工过程中涉及工程设计变更、材料供应等配套工作上的困难，及时解决工程施工过程中出现的各种问题，保证施工正常进行。虚心接受各级领导及有关主管部门的监督，并主动邀请主管职能部门领导现场指导，虚心学习，不足之处及时整改，积极预防质量通病，加快速度。</w:t>
      </w:r>
    </w:p>
    <w:p w14:paraId="649031EB">
      <w:pPr>
        <w:ind w:firstLine="640"/>
        <w:rPr>
          <w:rFonts w:hint="eastAsia"/>
          <w:lang w:val="en-US" w:eastAsia="zh-CN"/>
        </w:rPr>
      </w:pPr>
      <w:r>
        <w:rPr>
          <w:rFonts w:hint="eastAsia"/>
          <w:lang w:val="en-US" w:eastAsia="zh-CN"/>
        </w:rPr>
        <w:t>加大劳动力投放，组织施工素质高、技术熟练、能打硬仗的施工队伍，进行本工程的施工，合理安排作业班次，节假日不休息，力争提前工期。</w:t>
      </w:r>
    </w:p>
    <w:p w14:paraId="24C429FF">
      <w:pPr>
        <w:numPr>
          <w:ilvl w:val="0"/>
          <w:numId w:val="1"/>
        </w:numPr>
        <w:spacing w:beforeLines="50" w:afterLines="50"/>
        <w:ind w:firstLine="643"/>
        <w:rPr>
          <w:rFonts w:hint="eastAsia" w:ascii="仿宋_GB2312" w:hAnsi="仿宋_GB2312" w:cs="仿宋_GB2312"/>
          <w:b/>
          <w:kern w:val="0"/>
          <w:szCs w:val="32"/>
          <w:lang w:val="en-US" w:eastAsia="zh-CN"/>
        </w:rPr>
      </w:pPr>
      <w:r>
        <w:rPr>
          <w:rFonts w:hint="eastAsia" w:ascii="仿宋_GB2312" w:hAnsi="仿宋_GB2312" w:cs="仿宋_GB2312"/>
          <w:b/>
          <w:kern w:val="0"/>
          <w:szCs w:val="32"/>
          <w:lang w:val="en-US" w:eastAsia="zh-CN"/>
        </w:rPr>
        <w:t>及时组织验收并投入使用</w:t>
      </w:r>
    </w:p>
    <w:p w14:paraId="11DBD5F2">
      <w:pPr>
        <w:ind w:firstLine="640"/>
        <w:rPr>
          <w:rFonts w:hint="default"/>
          <w:lang w:val="en-US" w:eastAsia="zh-CN"/>
        </w:rPr>
      </w:pPr>
      <w:r>
        <w:rPr>
          <w:rFonts w:hint="eastAsia"/>
          <w:lang w:val="en-US" w:eastAsia="zh-CN"/>
        </w:rPr>
        <w:t>项目主管单位应及时组织验收，及时投入使用，改善工组人员工作环境，</w:t>
      </w:r>
      <w:r>
        <w:rPr>
          <w:rFonts w:hint="eastAsia" w:ascii="仿宋_GB2312" w:hAnsi="仿宋_GB2312" w:eastAsia="仿宋_GB2312" w:cs="仿宋_GB2312"/>
          <w:lang w:val="en-US" w:eastAsia="zh-CN"/>
        </w:rPr>
        <w:t>改善党校基础设施，促进党校办学规模的不断优化，完善县级党校领导体制，深化办学体制改革</w:t>
      </w:r>
      <w:r>
        <w:rPr>
          <w:rFonts w:hint="eastAsia" w:ascii="仿宋_GB2312" w:hAnsi="仿宋_GB2312" w:cs="仿宋_GB2312"/>
          <w:lang w:val="en-US" w:eastAsia="zh-CN"/>
        </w:rPr>
        <w:t>。</w:t>
      </w:r>
    </w:p>
    <w:p w14:paraId="287C2DC8">
      <w:pPr>
        <w:pStyle w:val="3"/>
        <w:ind w:firstLine="640"/>
      </w:pPr>
      <w:bookmarkStart w:id="59" w:name="_Toc851"/>
      <w:r>
        <w:rPr>
          <w:rFonts w:hint="eastAsia"/>
        </w:rPr>
        <w:t>八</w:t>
      </w:r>
      <w:r>
        <w:t>、结果应用及建议</w:t>
      </w:r>
      <w:bookmarkEnd w:id="59"/>
    </w:p>
    <w:p w14:paraId="095C43C3">
      <w:pPr>
        <w:ind w:firstLine="640"/>
        <w:rPr>
          <w:rFonts w:hint="eastAsia"/>
          <w:highlight w:val="yellow"/>
        </w:rPr>
      </w:pPr>
      <w:r>
        <w:rPr>
          <w:rFonts w:hint="eastAsia"/>
          <w:highlight w:val="none"/>
        </w:rPr>
        <w:t>绩效评价结果应用，既是开展绩效评价工作的基本前提，亦是加强财政支出管理、增强资金绩效理念、合理配置公共资源、优化财政支出结构、强化资金管理水平、提高资金使用效益的重要手段。</w:t>
      </w:r>
    </w:p>
    <w:p w14:paraId="75926917">
      <w:pPr>
        <w:ind w:firstLine="640"/>
        <w:rPr>
          <w:rFonts w:hint="eastAsia"/>
          <w:highlight w:val="none"/>
        </w:rPr>
      </w:pPr>
      <w:r>
        <w:rPr>
          <w:rFonts w:hint="eastAsia"/>
          <w:highlight w:val="none"/>
        </w:rPr>
        <w:t>（一）建议充分运用绩效评价结果，有效发挥绩效评价作用。建议将绩效评价结果与下一年度预算资金安排挂钩。</w:t>
      </w:r>
    </w:p>
    <w:p w14:paraId="0B2B2ED3">
      <w:pPr>
        <w:ind w:firstLine="640"/>
        <w:rPr>
          <w:rFonts w:hint="eastAsia"/>
          <w:highlight w:val="none"/>
        </w:rPr>
      </w:pPr>
      <w:r>
        <w:rPr>
          <w:rFonts w:hint="eastAsia"/>
          <w:highlight w:val="none"/>
        </w:rPr>
        <w:t>（二）建议建立绩效评价结果反馈与整改机制。将本次绩效评价项目的绩效情况、存在问题及相关建议反馈给被评价单位，并督促其落实整改，以增强绩效评价工作的约束力。</w:t>
      </w:r>
    </w:p>
    <w:p w14:paraId="2BAC13AA">
      <w:pPr>
        <w:ind w:firstLine="640"/>
      </w:pPr>
      <w:bookmarkStart w:id="60" w:name="OLE_LINK99"/>
      <w:bookmarkStart w:id="61" w:name="OLE_LINK100"/>
      <w:r>
        <w:rPr>
          <w:rFonts w:hint="eastAsia"/>
          <w:highlight w:val="none"/>
        </w:rPr>
        <w:t>（三）建议在一定范围内通报、公示绩效评价结果。促进和增强各级财政部门、相关主管部门及社会各界对绩效评价工作重要性的认识。</w:t>
      </w:r>
      <w:bookmarkEnd w:id="60"/>
      <w:bookmarkEnd w:id="61"/>
    </w:p>
    <w:p w14:paraId="5FC89946">
      <w:pPr>
        <w:pStyle w:val="3"/>
        <w:ind w:firstLine="640"/>
      </w:pPr>
      <w:bookmarkStart w:id="62" w:name="_Toc18325"/>
      <w:r>
        <w:rPr>
          <w:rFonts w:hint="eastAsia"/>
        </w:rPr>
        <w:t>九、报告附件</w:t>
      </w:r>
      <w:bookmarkEnd w:id="50"/>
      <w:bookmarkEnd w:id="51"/>
      <w:bookmarkEnd w:id="52"/>
      <w:bookmarkEnd w:id="53"/>
      <w:bookmarkEnd w:id="54"/>
      <w:bookmarkEnd w:id="55"/>
      <w:bookmarkEnd w:id="56"/>
      <w:bookmarkEnd w:id="62"/>
    </w:p>
    <w:p w14:paraId="3E2F81F7">
      <w:pPr>
        <w:ind w:firstLine="640"/>
      </w:pPr>
      <w:r>
        <w:t>1</w:t>
      </w:r>
      <w:r>
        <w:rPr>
          <w:rFonts w:hint="eastAsia"/>
        </w:rPr>
        <w:t>.项目</w:t>
      </w:r>
      <w:r>
        <w:t>支出绩效评价指标评分表</w:t>
      </w:r>
    </w:p>
    <w:p w14:paraId="50C6C052">
      <w:pPr>
        <w:ind w:firstLine="640"/>
      </w:pPr>
      <w:r>
        <w:t>2</w:t>
      </w:r>
      <w:r>
        <w:rPr>
          <w:rFonts w:hint="eastAsia"/>
        </w:rPr>
        <w:t>.项目</w:t>
      </w:r>
      <w:r>
        <w:t>支出绩效评价指标体系</w:t>
      </w:r>
    </w:p>
    <w:p w14:paraId="7143EC4F">
      <w:pPr>
        <w:ind w:firstLine="640"/>
      </w:pPr>
      <w:r>
        <w:t>3</w:t>
      </w:r>
      <w:r>
        <w:rPr>
          <w:rFonts w:hint="eastAsia"/>
        </w:rPr>
        <w:t>.</w:t>
      </w:r>
      <w:r>
        <w:rPr>
          <w:rFonts w:hint="eastAsia"/>
          <w:lang w:val="en-US" w:eastAsia="zh-CN"/>
        </w:rPr>
        <w:t>满意度</w:t>
      </w:r>
      <w:r>
        <w:t>调查</w:t>
      </w:r>
      <w:r>
        <w:rPr>
          <w:rFonts w:hint="eastAsia"/>
        </w:rPr>
        <w:t>报告</w:t>
      </w:r>
    </w:p>
    <w:p w14:paraId="7898EE90">
      <w:pPr>
        <w:ind w:firstLine="640"/>
      </w:pPr>
      <w:r>
        <w:t>4</w:t>
      </w:r>
      <w:r>
        <w:rPr>
          <w:rFonts w:hint="eastAsia"/>
        </w:rPr>
        <w:t>.</w:t>
      </w:r>
      <w:r>
        <w:t>访谈</w:t>
      </w:r>
      <w:r>
        <w:rPr>
          <w:rFonts w:hint="eastAsia"/>
        </w:rPr>
        <w:t>报告</w:t>
      </w:r>
    </w:p>
    <w:p w14:paraId="6527D382">
      <w:pPr>
        <w:ind w:firstLine="640"/>
      </w:pPr>
      <w:r>
        <w:t>5</w:t>
      </w:r>
      <w:r>
        <w:rPr>
          <w:rFonts w:hint="eastAsia"/>
        </w:rPr>
        <w:t>.</w:t>
      </w:r>
      <w:r>
        <w:t>合规性检查</w:t>
      </w:r>
      <w:r>
        <w:rPr>
          <w:rFonts w:hint="eastAsia"/>
        </w:rPr>
        <w:t>报告</w:t>
      </w:r>
    </w:p>
    <w:p w14:paraId="5B3CBC6E">
      <w:pPr>
        <w:ind w:firstLine="640"/>
        <w:rPr>
          <w:rFonts w:hint="default" w:eastAsia="仿宋_GB2312"/>
          <w:lang w:val="en-US" w:eastAsia="zh-CN"/>
        </w:rPr>
      </w:pPr>
    </w:p>
    <w:p w14:paraId="75E1577C">
      <w:pPr>
        <w:pStyle w:val="32"/>
        <w:ind w:firstLine="0" w:firstLineChars="0"/>
        <w:jc w:val="center"/>
        <w:rPr>
          <w:bCs/>
          <w:sz w:val="32"/>
          <w:szCs w:val="32"/>
        </w:rPr>
      </w:pPr>
    </w:p>
    <w:p w14:paraId="4FF6D3BF">
      <w:pPr>
        <w:pStyle w:val="32"/>
        <w:ind w:firstLine="0" w:firstLineChars="0"/>
        <w:jc w:val="center"/>
        <w:rPr>
          <w:bCs/>
          <w:sz w:val="32"/>
          <w:szCs w:val="32"/>
        </w:rPr>
      </w:pPr>
      <w:r>
        <w:rPr>
          <w:rFonts w:hint="eastAsia"/>
          <w:bCs/>
          <w:sz w:val="32"/>
          <w:szCs w:val="32"/>
        </w:rPr>
        <w:t xml:space="preserve">                </w:t>
      </w:r>
      <w:r>
        <w:rPr>
          <w:rFonts w:hint="eastAsia"/>
          <w:bCs/>
          <w:sz w:val="32"/>
          <w:szCs w:val="32"/>
          <w:lang w:eastAsia="zh-CN"/>
        </w:rPr>
        <w:t>临汾薪火传管理咨询有限责任公司</w:t>
      </w:r>
    </w:p>
    <w:p w14:paraId="74D5A91C">
      <w:pPr>
        <w:pStyle w:val="32"/>
        <w:ind w:firstLine="0" w:firstLineChars="0"/>
        <w:jc w:val="center"/>
        <w:rPr>
          <w:rFonts w:hint="default" w:ascii="仿宋_GB2312" w:eastAsia="仿宋_GB2312"/>
          <w:sz w:val="32"/>
          <w:szCs w:val="32"/>
          <w:lang w:val="en-US" w:eastAsia="zh-CN"/>
        </w:rPr>
      </w:pPr>
      <w:r>
        <w:rPr>
          <w:rFonts w:hint="eastAsia" w:ascii="仿宋_GB2312"/>
          <w:sz w:val="32"/>
          <w:szCs w:val="32"/>
        </w:rPr>
        <w:t xml:space="preserve">           </w:t>
      </w:r>
      <w:r>
        <w:rPr>
          <w:rFonts w:hint="eastAsia" w:ascii="仿宋_GB2312"/>
          <w:sz w:val="32"/>
          <w:szCs w:val="32"/>
          <w:lang w:val="en-US" w:eastAsia="zh-CN"/>
        </w:rPr>
        <w:t xml:space="preserve">  </w:t>
      </w:r>
      <w:r>
        <w:rPr>
          <w:rFonts w:hint="eastAsia" w:ascii="仿宋_GB2312"/>
          <w:sz w:val="32"/>
          <w:szCs w:val="32"/>
        </w:rPr>
        <w:t xml:space="preserve">  2022年</w:t>
      </w:r>
      <w:r>
        <w:rPr>
          <w:rFonts w:hint="eastAsia" w:ascii="仿宋_GB2312"/>
          <w:sz w:val="32"/>
          <w:szCs w:val="32"/>
          <w:lang w:val="en-US" w:eastAsia="zh-CN"/>
        </w:rPr>
        <w:t>8</w:t>
      </w:r>
      <w:r>
        <w:rPr>
          <w:rFonts w:hint="eastAsia" w:ascii="仿宋_GB2312"/>
          <w:sz w:val="32"/>
          <w:szCs w:val="32"/>
        </w:rPr>
        <w:t>月</w:t>
      </w:r>
      <w:r>
        <w:rPr>
          <w:rFonts w:hint="eastAsia" w:ascii="仿宋_GB2312"/>
          <w:sz w:val="32"/>
          <w:szCs w:val="32"/>
          <w:lang w:val="en-US" w:eastAsia="zh-CN"/>
        </w:rPr>
        <w:t>8日</w:t>
      </w:r>
    </w:p>
    <w:p w14:paraId="662790DF">
      <w:pPr>
        <w:pStyle w:val="32"/>
        <w:ind w:firstLine="0" w:firstLineChars="0"/>
        <w:jc w:val="center"/>
        <w:rPr>
          <w:rFonts w:hint="eastAsia" w:ascii="仿宋_GB2312"/>
          <w:sz w:val="32"/>
          <w:szCs w:val="32"/>
          <w:lang w:val="en-US" w:eastAsia="zh-CN"/>
        </w:rPr>
      </w:pPr>
    </w:p>
    <w:p w14:paraId="28B6BC2C">
      <w:pPr>
        <w:pStyle w:val="32"/>
        <w:ind w:firstLine="0" w:firstLineChars="0"/>
        <w:jc w:val="center"/>
        <w:rPr>
          <w:rFonts w:hint="eastAsia" w:ascii="仿宋_GB2312"/>
          <w:sz w:val="32"/>
          <w:szCs w:val="32"/>
          <w:lang w:val="en-US" w:eastAsia="zh-CN"/>
        </w:rPr>
      </w:pPr>
    </w:p>
    <w:p w14:paraId="65CE3C7D">
      <w:pPr>
        <w:pStyle w:val="32"/>
        <w:ind w:firstLine="0" w:firstLineChars="0"/>
        <w:jc w:val="center"/>
        <w:rPr>
          <w:rFonts w:hint="eastAsia" w:ascii="仿宋_GB2312"/>
          <w:sz w:val="32"/>
          <w:szCs w:val="32"/>
          <w:lang w:val="en-US" w:eastAsia="zh-CN"/>
        </w:rPr>
      </w:pPr>
    </w:p>
    <w:p w14:paraId="600BFE0C">
      <w:pPr>
        <w:pStyle w:val="32"/>
        <w:ind w:firstLine="0" w:firstLineChars="0"/>
        <w:jc w:val="center"/>
        <w:rPr>
          <w:rFonts w:hint="eastAsia" w:ascii="仿宋_GB2312"/>
          <w:sz w:val="32"/>
          <w:szCs w:val="32"/>
          <w:lang w:val="en-US" w:eastAsia="zh-CN"/>
        </w:rPr>
      </w:pPr>
    </w:p>
    <w:p w14:paraId="352F4C07">
      <w:pPr>
        <w:pStyle w:val="32"/>
        <w:ind w:firstLine="0" w:firstLineChars="0"/>
        <w:jc w:val="center"/>
        <w:rPr>
          <w:rFonts w:hint="eastAsia" w:ascii="仿宋_GB2312"/>
          <w:sz w:val="32"/>
          <w:szCs w:val="32"/>
          <w:lang w:val="en-US" w:eastAsia="zh-CN"/>
        </w:rPr>
      </w:pPr>
    </w:p>
    <w:p w14:paraId="6172CCFD">
      <w:pPr>
        <w:pStyle w:val="32"/>
        <w:ind w:firstLine="0" w:firstLineChars="0"/>
        <w:jc w:val="center"/>
        <w:rPr>
          <w:rFonts w:hint="eastAsia" w:ascii="仿宋_GB2312"/>
          <w:sz w:val="32"/>
          <w:szCs w:val="32"/>
          <w:lang w:val="en-US" w:eastAsia="zh-CN"/>
        </w:rPr>
      </w:pPr>
    </w:p>
    <w:p w14:paraId="5BF8F722">
      <w:pPr>
        <w:pStyle w:val="32"/>
        <w:ind w:firstLine="0" w:firstLineChars="0"/>
        <w:jc w:val="center"/>
        <w:rPr>
          <w:rFonts w:hint="eastAsia" w:ascii="仿宋_GB2312"/>
          <w:sz w:val="32"/>
          <w:szCs w:val="32"/>
          <w:lang w:val="en-US" w:eastAsia="zh-CN"/>
        </w:rPr>
      </w:pPr>
    </w:p>
    <w:p w14:paraId="6CCF0728">
      <w:pPr>
        <w:pStyle w:val="32"/>
        <w:ind w:firstLine="0" w:firstLineChars="0"/>
        <w:jc w:val="center"/>
        <w:rPr>
          <w:rFonts w:hint="eastAsia" w:ascii="仿宋_GB2312"/>
          <w:sz w:val="32"/>
          <w:szCs w:val="32"/>
          <w:lang w:val="en-US" w:eastAsia="zh-CN"/>
        </w:rPr>
      </w:pPr>
    </w:p>
    <w:p w14:paraId="163A9D4A">
      <w:pPr>
        <w:pStyle w:val="32"/>
        <w:ind w:firstLine="0" w:firstLineChars="0"/>
        <w:jc w:val="center"/>
        <w:rPr>
          <w:rFonts w:hint="eastAsia" w:ascii="仿宋_GB2312"/>
          <w:sz w:val="32"/>
          <w:szCs w:val="32"/>
          <w:lang w:val="en-US" w:eastAsia="zh-CN"/>
        </w:rPr>
      </w:pPr>
    </w:p>
    <w:p w14:paraId="4A6707EB">
      <w:pPr>
        <w:pStyle w:val="32"/>
        <w:ind w:firstLine="0" w:firstLineChars="0"/>
        <w:jc w:val="center"/>
        <w:rPr>
          <w:rFonts w:hint="eastAsia" w:ascii="仿宋_GB2312"/>
          <w:sz w:val="32"/>
          <w:szCs w:val="32"/>
          <w:lang w:val="en-US" w:eastAsia="zh-CN"/>
        </w:rPr>
      </w:pPr>
    </w:p>
    <w:p w14:paraId="7BC62095">
      <w:pPr>
        <w:pStyle w:val="32"/>
        <w:ind w:firstLine="0" w:firstLineChars="0"/>
        <w:jc w:val="center"/>
        <w:rPr>
          <w:rFonts w:hint="eastAsia" w:ascii="仿宋_GB2312"/>
          <w:sz w:val="32"/>
          <w:szCs w:val="32"/>
          <w:lang w:val="en-US" w:eastAsia="zh-CN"/>
        </w:rPr>
      </w:pPr>
    </w:p>
    <w:p w14:paraId="6F53D359">
      <w:pPr>
        <w:pStyle w:val="32"/>
        <w:ind w:firstLine="0" w:firstLineChars="0"/>
        <w:jc w:val="center"/>
        <w:rPr>
          <w:rFonts w:hint="eastAsia" w:ascii="仿宋_GB2312"/>
          <w:sz w:val="32"/>
          <w:szCs w:val="32"/>
          <w:lang w:val="en-US" w:eastAsia="zh-CN"/>
        </w:rPr>
      </w:pPr>
    </w:p>
    <w:p w14:paraId="53555CC4">
      <w:pPr>
        <w:rPr>
          <w:rFonts w:ascii="黑体" w:hAnsi="黑体"/>
        </w:rPr>
      </w:pPr>
      <w:r>
        <w:rPr>
          <w:rFonts w:ascii="黑体" w:hAnsi="黑体"/>
        </w:rPr>
        <w:br w:type="page"/>
      </w:r>
    </w:p>
    <w:p w14:paraId="5DA24AB6">
      <w:pPr>
        <w:pStyle w:val="3"/>
        <w:spacing w:before="120" w:after="120"/>
        <w:ind w:firstLine="0" w:firstLineChars="0"/>
        <w:rPr>
          <w:rFonts w:ascii="黑体" w:hAnsi="黑体"/>
        </w:rPr>
      </w:pPr>
      <w:bookmarkStart w:id="63" w:name="_Toc28959"/>
      <w:r>
        <w:rPr>
          <w:rFonts w:ascii="黑体" w:hAnsi="黑体"/>
        </w:rPr>
        <w:t>附件1</w:t>
      </w:r>
      <w:r>
        <w:rPr>
          <w:rFonts w:hint="eastAsia" w:ascii="黑体" w:hAnsi="黑体"/>
        </w:rPr>
        <w:t xml:space="preserve"> ：项目</w:t>
      </w:r>
      <w:r>
        <w:rPr>
          <w:rFonts w:ascii="黑体" w:hAnsi="黑体"/>
        </w:rPr>
        <w:t>支出绩效评价指标评分</w:t>
      </w:r>
      <w:bookmarkEnd w:id="63"/>
      <w:bookmarkStart w:id="64" w:name="_Toc4893"/>
      <w:bookmarkStart w:id="65" w:name="_Toc32607"/>
    </w:p>
    <w:tbl>
      <w:tblPr>
        <w:tblStyle w:val="19"/>
        <w:tblW w:w="5385" w:type="pct"/>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712"/>
        <w:gridCol w:w="1416"/>
        <w:gridCol w:w="706"/>
        <w:gridCol w:w="2272"/>
        <w:gridCol w:w="990"/>
        <w:gridCol w:w="710"/>
        <w:gridCol w:w="908"/>
        <w:gridCol w:w="618"/>
      </w:tblGrid>
      <w:tr w14:paraId="30F3A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97" w:hRule="exact"/>
          <w:tblHeader/>
        </w:trPr>
        <w:tc>
          <w:tcPr>
            <w:tcW w:w="464" w:type="pct"/>
            <w:shd w:val="clear" w:color="auto" w:fill="BEBEBE"/>
            <w:vAlign w:val="center"/>
          </w:tcPr>
          <w:p w14:paraId="359C77A0">
            <w:pPr>
              <w:snapToGrid w:val="0"/>
              <w:spacing w:line="360" w:lineRule="exact"/>
              <w:ind w:firstLine="0" w:firstLineChars="0"/>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一级指标</w:t>
            </w:r>
          </w:p>
        </w:tc>
        <w:tc>
          <w:tcPr>
            <w:tcW w:w="387" w:type="pct"/>
            <w:shd w:val="clear" w:color="auto" w:fill="BEBEBE"/>
            <w:vAlign w:val="center"/>
          </w:tcPr>
          <w:p w14:paraId="421F5EFD">
            <w:pPr>
              <w:snapToGrid w:val="0"/>
              <w:spacing w:line="400" w:lineRule="exact"/>
              <w:ind w:firstLine="0" w:firstLineChars="0"/>
              <w:jc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分值</w:t>
            </w:r>
          </w:p>
        </w:tc>
        <w:tc>
          <w:tcPr>
            <w:tcW w:w="770" w:type="pct"/>
            <w:shd w:val="clear" w:color="auto" w:fill="BEBEBE"/>
            <w:vAlign w:val="center"/>
          </w:tcPr>
          <w:p w14:paraId="084AB2BA">
            <w:pPr>
              <w:snapToGrid w:val="0"/>
              <w:spacing w:line="400" w:lineRule="exact"/>
              <w:ind w:firstLine="0" w:firstLineChars="0"/>
              <w:jc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二级指标</w:t>
            </w:r>
          </w:p>
        </w:tc>
        <w:tc>
          <w:tcPr>
            <w:tcW w:w="384" w:type="pct"/>
            <w:shd w:val="clear" w:color="auto" w:fill="BEBEBE"/>
            <w:vAlign w:val="center"/>
          </w:tcPr>
          <w:p w14:paraId="7972481A">
            <w:pPr>
              <w:snapToGrid w:val="0"/>
              <w:spacing w:line="400" w:lineRule="exact"/>
              <w:ind w:firstLine="0" w:firstLineChars="0"/>
              <w:jc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分值</w:t>
            </w:r>
          </w:p>
        </w:tc>
        <w:tc>
          <w:tcPr>
            <w:tcW w:w="1236" w:type="pct"/>
            <w:shd w:val="clear" w:color="auto" w:fill="BEBEBE"/>
            <w:vAlign w:val="center"/>
          </w:tcPr>
          <w:p w14:paraId="0015B80E">
            <w:pPr>
              <w:snapToGrid w:val="0"/>
              <w:spacing w:line="400" w:lineRule="exact"/>
              <w:ind w:firstLine="0" w:firstLineChars="0"/>
              <w:jc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三级指标</w:t>
            </w:r>
          </w:p>
        </w:tc>
        <w:tc>
          <w:tcPr>
            <w:tcW w:w="538" w:type="pct"/>
            <w:shd w:val="clear" w:color="auto" w:fill="BEBEBE"/>
            <w:vAlign w:val="center"/>
          </w:tcPr>
          <w:p w14:paraId="256640EA">
            <w:pPr>
              <w:snapToGrid w:val="0"/>
              <w:spacing w:line="400" w:lineRule="exact"/>
              <w:ind w:firstLine="0" w:firstLineChars="0"/>
              <w:jc w:val="center"/>
              <w:rPr>
                <w:rFonts w:ascii="仿宋_GB2312" w:hAnsi="仿宋_GB2312" w:eastAsia="仿宋_GB2312" w:cs="仿宋_GB2312"/>
                <w:b/>
                <w:bCs/>
                <w:color w:val="000000"/>
                <w:sz w:val="24"/>
                <w:szCs w:val="24"/>
              </w:rPr>
            </w:pPr>
            <w:r>
              <w:rPr>
                <w:rFonts w:ascii="仿宋_GB2312" w:hAnsi="仿宋_GB2312" w:eastAsia="仿宋_GB2312" w:cs="仿宋_GB2312"/>
                <w:b/>
                <w:bCs/>
                <w:color w:val="000000"/>
                <w:sz w:val="24"/>
                <w:szCs w:val="24"/>
              </w:rPr>
              <w:t>目标值</w:t>
            </w:r>
          </w:p>
        </w:tc>
        <w:tc>
          <w:tcPr>
            <w:tcW w:w="386" w:type="pct"/>
            <w:shd w:val="clear" w:color="auto" w:fill="BEBEBE"/>
            <w:vAlign w:val="center"/>
          </w:tcPr>
          <w:p w14:paraId="7C949376">
            <w:pPr>
              <w:snapToGrid w:val="0"/>
              <w:spacing w:line="400" w:lineRule="exact"/>
              <w:ind w:firstLine="0" w:firstLineChars="0"/>
              <w:jc w:val="center"/>
              <w:rPr>
                <w:rFonts w:ascii="仿宋_GB2312" w:hAnsi="仿宋_GB2312" w:eastAsia="仿宋_GB2312" w:cs="仿宋_GB2312"/>
                <w:b/>
                <w:bCs/>
                <w:color w:val="000000"/>
                <w:sz w:val="24"/>
                <w:szCs w:val="24"/>
              </w:rPr>
            </w:pPr>
            <w:r>
              <w:rPr>
                <w:rFonts w:ascii="仿宋_GB2312" w:hAnsi="仿宋_GB2312" w:eastAsia="仿宋_GB2312" w:cs="仿宋_GB2312"/>
                <w:b/>
                <w:bCs/>
                <w:color w:val="000000"/>
                <w:sz w:val="24"/>
                <w:szCs w:val="24"/>
              </w:rPr>
              <w:t>分值</w:t>
            </w:r>
          </w:p>
        </w:tc>
        <w:tc>
          <w:tcPr>
            <w:tcW w:w="494" w:type="pct"/>
            <w:shd w:val="clear" w:color="auto" w:fill="BEBEBE"/>
            <w:vAlign w:val="center"/>
          </w:tcPr>
          <w:p w14:paraId="5D267EC5">
            <w:pPr>
              <w:snapToGrid w:val="0"/>
              <w:spacing w:line="400" w:lineRule="exact"/>
              <w:ind w:firstLine="0" w:firstLineChars="0"/>
              <w:jc w:val="center"/>
              <w:rPr>
                <w:rFonts w:hint="eastAsia" w:ascii="仿宋_GB2312" w:hAnsi="仿宋_GB2312" w:eastAsia="仿宋_GB2312" w:cs="仿宋_GB2312"/>
                <w:b/>
                <w:bCs/>
                <w:color w:val="000000"/>
                <w:sz w:val="24"/>
                <w:szCs w:val="24"/>
                <w:lang w:val="en-US" w:eastAsia="zh-CN"/>
              </w:rPr>
            </w:pPr>
            <w:r>
              <w:rPr>
                <w:rFonts w:hint="eastAsia" w:ascii="仿宋_GB2312" w:hAnsi="仿宋_GB2312" w:cs="仿宋_GB2312"/>
                <w:b/>
                <w:bCs/>
                <w:color w:val="000000"/>
                <w:sz w:val="24"/>
                <w:szCs w:val="24"/>
                <w:lang w:val="en-US" w:eastAsia="zh-CN"/>
              </w:rPr>
              <w:t>业绩值</w:t>
            </w:r>
          </w:p>
        </w:tc>
        <w:tc>
          <w:tcPr>
            <w:tcW w:w="336" w:type="pct"/>
            <w:shd w:val="clear" w:color="auto" w:fill="BEBEBE"/>
            <w:vAlign w:val="center"/>
          </w:tcPr>
          <w:p w14:paraId="655E3F83">
            <w:pPr>
              <w:snapToGrid w:val="0"/>
              <w:spacing w:line="400" w:lineRule="exact"/>
              <w:ind w:firstLine="0" w:firstLineChars="0"/>
              <w:jc w:val="center"/>
              <w:rPr>
                <w:rFonts w:hint="eastAsia" w:ascii="仿宋_GB2312" w:hAnsi="仿宋_GB2312" w:eastAsia="仿宋_GB2312" w:cs="仿宋_GB2312"/>
                <w:b/>
                <w:bCs/>
                <w:color w:val="000000"/>
                <w:sz w:val="24"/>
                <w:szCs w:val="24"/>
                <w:lang w:val="en-US" w:eastAsia="zh-CN"/>
              </w:rPr>
            </w:pPr>
            <w:r>
              <w:rPr>
                <w:rFonts w:hint="eastAsia" w:ascii="仿宋_GB2312" w:hAnsi="仿宋_GB2312" w:cs="仿宋_GB2312"/>
                <w:b/>
                <w:bCs/>
                <w:color w:val="000000"/>
                <w:sz w:val="24"/>
                <w:szCs w:val="24"/>
                <w:lang w:val="en-US" w:eastAsia="zh-CN"/>
              </w:rPr>
              <w:t>得分</w:t>
            </w:r>
          </w:p>
        </w:tc>
      </w:tr>
      <w:tr w14:paraId="61807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1" w:hRule="exact"/>
        </w:trPr>
        <w:tc>
          <w:tcPr>
            <w:tcW w:w="464" w:type="pct"/>
            <w:vMerge w:val="restart"/>
            <w:vAlign w:val="center"/>
          </w:tcPr>
          <w:p w14:paraId="4311C4DE">
            <w:pPr>
              <w:snapToGrid w:val="0"/>
              <w:spacing w:line="360" w:lineRule="exact"/>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A决策</w:t>
            </w:r>
          </w:p>
        </w:tc>
        <w:tc>
          <w:tcPr>
            <w:tcW w:w="387" w:type="pct"/>
            <w:vMerge w:val="restart"/>
            <w:vAlign w:val="center"/>
          </w:tcPr>
          <w:p w14:paraId="22B8949E">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20</w:t>
            </w:r>
          </w:p>
        </w:tc>
        <w:tc>
          <w:tcPr>
            <w:tcW w:w="770" w:type="pct"/>
            <w:vMerge w:val="restart"/>
            <w:vAlign w:val="center"/>
          </w:tcPr>
          <w:p w14:paraId="3D1D955C">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color w:val="000000"/>
                <w:sz w:val="21"/>
                <w:szCs w:val="21"/>
              </w:rPr>
              <w:t>A1项目立项</w:t>
            </w:r>
          </w:p>
        </w:tc>
        <w:tc>
          <w:tcPr>
            <w:tcW w:w="384" w:type="pct"/>
            <w:vMerge w:val="restart"/>
            <w:vAlign w:val="center"/>
          </w:tcPr>
          <w:p w14:paraId="673E3FCA">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7</w:t>
            </w:r>
          </w:p>
        </w:tc>
        <w:tc>
          <w:tcPr>
            <w:tcW w:w="1236" w:type="pct"/>
            <w:vAlign w:val="center"/>
          </w:tcPr>
          <w:p w14:paraId="0FF9CBE9">
            <w:pPr>
              <w:spacing w:line="240" w:lineRule="auto"/>
              <w:ind w:firstLine="0" w:firstLineChars="0"/>
              <w:jc w:val="both"/>
              <w:rPr>
                <w:rFonts w:ascii="仿宋_GB2312" w:hAnsi="Calibri" w:eastAsia="仿宋_GB2312"/>
                <w:color w:val="000000"/>
                <w:sz w:val="21"/>
                <w:szCs w:val="21"/>
              </w:rPr>
            </w:pPr>
            <w:r>
              <w:rPr>
                <w:rFonts w:hint="eastAsia" w:ascii="仿宋_GB2312" w:hAnsi="Calibri" w:eastAsia="仿宋_GB2312"/>
                <w:color w:val="000000"/>
                <w:sz w:val="21"/>
                <w:szCs w:val="21"/>
              </w:rPr>
              <w:t>A11立项依据充分性</w:t>
            </w:r>
          </w:p>
        </w:tc>
        <w:tc>
          <w:tcPr>
            <w:tcW w:w="538" w:type="pct"/>
            <w:vAlign w:val="center"/>
          </w:tcPr>
          <w:p w14:paraId="2064F430">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color w:val="000000"/>
                <w:sz w:val="21"/>
                <w:szCs w:val="21"/>
              </w:rPr>
              <w:t>充分</w:t>
            </w:r>
          </w:p>
        </w:tc>
        <w:tc>
          <w:tcPr>
            <w:tcW w:w="386" w:type="pct"/>
            <w:vAlign w:val="center"/>
          </w:tcPr>
          <w:p w14:paraId="43289EA1">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494" w:type="pct"/>
            <w:vAlign w:val="center"/>
          </w:tcPr>
          <w:p w14:paraId="2FC285FE">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rPr>
              <w:t>充分</w:t>
            </w:r>
          </w:p>
        </w:tc>
        <w:tc>
          <w:tcPr>
            <w:tcW w:w="336" w:type="pct"/>
            <w:vAlign w:val="center"/>
          </w:tcPr>
          <w:p w14:paraId="2428378B">
            <w:pPr>
              <w:spacing w:line="240" w:lineRule="auto"/>
              <w:ind w:firstLine="0" w:firstLineChars="0"/>
              <w:jc w:val="center"/>
              <w:rPr>
                <w:rFonts w:hint="eastAsia" w:ascii="Times New Roman" w:hAnsi="Times New Roman" w:eastAsia="仿宋" w:cs="Times New Roman"/>
                <w:color w:val="000000"/>
                <w:sz w:val="24"/>
                <w:szCs w:val="24"/>
              </w:rPr>
            </w:pPr>
            <w:r>
              <w:rPr>
                <w:rFonts w:hint="eastAsia" w:ascii="仿宋_GB2312" w:hAnsi="仿宋_GB2312" w:cs="仿宋_GB2312"/>
                <w:b w:val="0"/>
                <w:bCs w:val="0"/>
                <w:sz w:val="24"/>
                <w:lang w:val="en-US" w:eastAsia="zh-CN"/>
              </w:rPr>
              <w:t>4</w:t>
            </w:r>
          </w:p>
        </w:tc>
      </w:tr>
      <w:tr w14:paraId="3D6D8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exact"/>
        </w:trPr>
        <w:tc>
          <w:tcPr>
            <w:tcW w:w="464" w:type="pct"/>
            <w:vMerge w:val="continue"/>
            <w:vAlign w:val="center"/>
          </w:tcPr>
          <w:p w14:paraId="550CF981">
            <w:pPr>
              <w:snapToGrid w:val="0"/>
              <w:spacing w:line="360" w:lineRule="exact"/>
              <w:ind w:firstLine="0" w:firstLineChars="0"/>
              <w:jc w:val="center"/>
              <w:rPr>
                <w:rFonts w:ascii="仿宋_GB2312" w:hAnsi="仿宋_GB2312" w:eastAsia="仿宋_GB2312" w:cs="仿宋_GB2312"/>
                <w:sz w:val="24"/>
                <w:szCs w:val="24"/>
              </w:rPr>
            </w:pPr>
          </w:p>
        </w:tc>
        <w:tc>
          <w:tcPr>
            <w:tcW w:w="387" w:type="pct"/>
            <w:vMerge w:val="continue"/>
            <w:vAlign w:val="center"/>
          </w:tcPr>
          <w:p w14:paraId="7B2DC0B2">
            <w:pPr>
              <w:snapToGrid w:val="0"/>
              <w:spacing w:line="400" w:lineRule="exact"/>
              <w:ind w:firstLine="0" w:firstLineChars="0"/>
              <w:jc w:val="center"/>
              <w:rPr>
                <w:rFonts w:ascii="Times New Roman" w:hAnsi="Times New Roman" w:eastAsia="仿宋" w:cs="Times New Roman"/>
                <w:color w:val="000000"/>
                <w:sz w:val="24"/>
                <w:szCs w:val="24"/>
              </w:rPr>
            </w:pPr>
          </w:p>
        </w:tc>
        <w:tc>
          <w:tcPr>
            <w:tcW w:w="770" w:type="pct"/>
            <w:vMerge w:val="continue"/>
            <w:vAlign w:val="center"/>
          </w:tcPr>
          <w:p w14:paraId="68BE53A4">
            <w:pPr>
              <w:snapToGrid w:val="0"/>
              <w:spacing w:line="400" w:lineRule="exact"/>
              <w:ind w:firstLine="0" w:firstLineChars="0"/>
              <w:jc w:val="center"/>
              <w:rPr>
                <w:rFonts w:ascii="仿宋_GB2312" w:hAnsi="仿宋_GB2312" w:eastAsia="仿宋_GB2312" w:cs="仿宋_GB2312"/>
                <w:color w:val="000000"/>
                <w:sz w:val="24"/>
                <w:szCs w:val="24"/>
              </w:rPr>
            </w:pPr>
          </w:p>
        </w:tc>
        <w:tc>
          <w:tcPr>
            <w:tcW w:w="384" w:type="pct"/>
            <w:vMerge w:val="continue"/>
            <w:vAlign w:val="center"/>
          </w:tcPr>
          <w:p w14:paraId="1102D904">
            <w:pPr>
              <w:snapToGrid w:val="0"/>
              <w:spacing w:line="400" w:lineRule="exact"/>
              <w:ind w:firstLine="0" w:firstLineChars="0"/>
              <w:jc w:val="center"/>
              <w:rPr>
                <w:rFonts w:ascii="Times New Roman" w:hAnsi="Times New Roman" w:eastAsia="仿宋" w:cs="Times New Roman"/>
                <w:color w:val="000000"/>
                <w:sz w:val="24"/>
                <w:szCs w:val="24"/>
              </w:rPr>
            </w:pPr>
          </w:p>
        </w:tc>
        <w:tc>
          <w:tcPr>
            <w:tcW w:w="1236" w:type="pct"/>
            <w:vAlign w:val="center"/>
          </w:tcPr>
          <w:p w14:paraId="4C55C17C">
            <w:pPr>
              <w:spacing w:line="240" w:lineRule="auto"/>
              <w:ind w:firstLine="0" w:firstLineChars="0"/>
              <w:jc w:val="both"/>
              <w:rPr>
                <w:rFonts w:ascii="仿宋_GB2312" w:hAnsi="Calibri" w:eastAsia="仿宋_GB2312"/>
                <w:color w:val="000000"/>
                <w:sz w:val="21"/>
                <w:szCs w:val="21"/>
              </w:rPr>
            </w:pPr>
            <w:r>
              <w:rPr>
                <w:rFonts w:hint="eastAsia" w:ascii="仿宋_GB2312" w:hAnsi="Calibri" w:eastAsia="仿宋_GB2312"/>
                <w:color w:val="000000"/>
                <w:sz w:val="21"/>
                <w:szCs w:val="21"/>
              </w:rPr>
              <w:t>A12立项程序规范性</w:t>
            </w:r>
          </w:p>
        </w:tc>
        <w:tc>
          <w:tcPr>
            <w:tcW w:w="538" w:type="pct"/>
            <w:vAlign w:val="center"/>
          </w:tcPr>
          <w:p w14:paraId="13687B37">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color w:val="000000"/>
                <w:sz w:val="21"/>
                <w:szCs w:val="21"/>
              </w:rPr>
              <w:t>规范</w:t>
            </w:r>
          </w:p>
        </w:tc>
        <w:tc>
          <w:tcPr>
            <w:tcW w:w="386" w:type="pct"/>
            <w:vAlign w:val="center"/>
          </w:tcPr>
          <w:p w14:paraId="74B58BDA">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3</w:t>
            </w:r>
          </w:p>
        </w:tc>
        <w:tc>
          <w:tcPr>
            <w:tcW w:w="494" w:type="pct"/>
            <w:vAlign w:val="center"/>
          </w:tcPr>
          <w:p w14:paraId="1D8BC34B">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rPr>
              <w:t>较规范</w:t>
            </w:r>
          </w:p>
        </w:tc>
        <w:tc>
          <w:tcPr>
            <w:tcW w:w="336" w:type="pct"/>
            <w:vAlign w:val="center"/>
          </w:tcPr>
          <w:p w14:paraId="077741D7">
            <w:pPr>
              <w:spacing w:line="240" w:lineRule="auto"/>
              <w:ind w:firstLine="0" w:firstLineChars="0"/>
              <w:jc w:val="center"/>
              <w:rPr>
                <w:rFonts w:hint="eastAsia" w:ascii="Times New Roman" w:hAnsi="Times New Roman" w:eastAsia="仿宋" w:cs="Times New Roman"/>
                <w:color w:val="000000"/>
                <w:sz w:val="24"/>
                <w:szCs w:val="24"/>
              </w:rPr>
            </w:pPr>
            <w:r>
              <w:rPr>
                <w:rFonts w:hint="eastAsia" w:ascii="仿宋_GB2312" w:hAnsi="仿宋_GB2312" w:cs="仿宋_GB2312"/>
                <w:b w:val="0"/>
                <w:bCs w:val="0"/>
                <w:sz w:val="24"/>
                <w:lang w:val="en-US" w:eastAsia="zh-CN"/>
              </w:rPr>
              <w:t>3</w:t>
            </w:r>
          </w:p>
        </w:tc>
      </w:tr>
      <w:tr w14:paraId="744CD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4" w:hRule="exact"/>
        </w:trPr>
        <w:tc>
          <w:tcPr>
            <w:tcW w:w="464" w:type="pct"/>
            <w:vMerge w:val="continue"/>
            <w:vAlign w:val="center"/>
          </w:tcPr>
          <w:p w14:paraId="7F5ED9BE">
            <w:pPr>
              <w:snapToGrid w:val="0"/>
              <w:spacing w:line="360" w:lineRule="exact"/>
              <w:ind w:firstLine="0" w:firstLineChars="0"/>
              <w:jc w:val="center"/>
              <w:rPr>
                <w:rFonts w:ascii="仿宋_GB2312" w:hAnsi="仿宋_GB2312" w:eastAsia="仿宋_GB2312" w:cs="仿宋_GB2312"/>
                <w:sz w:val="24"/>
                <w:szCs w:val="24"/>
              </w:rPr>
            </w:pPr>
          </w:p>
        </w:tc>
        <w:tc>
          <w:tcPr>
            <w:tcW w:w="387" w:type="pct"/>
            <w:vMerge w:val="continue"/>
            <w:vAlign w:val="center"/>
          </w:tcPr>
          <w:p w14:paraId="6532A7B0">
            <w:pPr>
              <w:snapToGrid w:val="0"/>
              <w:spacing w:line="400" w:lineRule="exact"/>
              <w:ind w:firstLine="0" w:firstLineChars="0"/>
              <w:jc w:val="center"/>
              <w:rPr>
                <w:rFonts w:ascii="Times New Roman" w:hAnsi="Times New Roman" w:eastAsia="仿宋" w:cs="Times New Roman"/>
                <w:color w:val="000000"/>
                <w:sz w:val="24"/>
                <w:szCs w:val="24"/>
              </w:rPr>
            </w:pPr>
          </w:p>
        </w:tc>
        <w:tc>
          <w:tcPr>
            <w:tcW w:w="770" w:type="pct"/>
            <w:vMerge w:val="restart"/>
            <w:vAlign w:val="center"/>
          </w:tcPr>
          <w:p w14:paraId="374F64EA">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color w:val="000000"/>
                <w:sz w:val="21"/>
                <w:szCs w:val="21"/>
              </w:rPr>
              <w:t>A2绩效目标</w:t>
            </w:r>
          </w:p>
        </w:tc>
        <w:tc>
          <w:tcPr>
            <w:tcW w:w="384" w:type="pct"/>
            <w:vMerge w:val="restart"/>
            <w:vAlign w:val="center"/>
          </w:tcPr>
          <w:p w14:paraId="7122ABB4">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7</w:t>
            </w:r>
          </w:p>
        </w:tc>
        <w:tc>
          <w:tcPr>
            <w:tcW w:w="1236" w:type="pct"/>
            <w:vAlign w:val="center"/>
          </w:tcPr>
          <w:p w14:paraId="0AC101F1">
            <w:pPr>
              <w:spacing w:line="240" w:lineRule="auto"/>
              <w:ind w:firstLine="0" w:firstLineChars="0"/>
              <w:jc w:val="both"/>
              <w:rPr>
                <w:rFonts w:ascii="仿宋_GB2312" w:hAnsi="Calibri" w:eastAsia="仿宋_GB2312"/>
                <w:color w:val="000000"/>
                <w:sz w:val="21"/>
                <w:szCs w:val="21"/>
              </w:rPr>
            </w:pPr>
            <w:r>
              <w:rPr>
                <w:rFonts w:hint="eastAsia" w:ascii="仿宋_GB2312" w:hAnsi="Calibri" w:eastAsia="仿宋_GB2312"/>
                <w:color w:val="000000"/>
                <w:sz w:val="21"/>
                <w:szCs w:val="21"/>
              </w:rPr>
              <w:t>A21绩效目标合理性</w:t>
            </w:r>
          </w:p>
        </w:tc>
        <w:tc>
          <w:tcPr>
            <w:tcW w:w="538" w:type="pct"/>
            <w:vAlign w:val="center"/>
          </w:tcPr>
          <w:p w14:paraId="46736B77">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color w:val="000000"/>
                <w:sz w:val="21"/>
                <w:szCs w:val="21"/>
              </w:rPr>
              <w:t>合理</w:t>
            </w:r>
          </w:p>
        </w:tc>
        <w:tc>
          <w:tcPr>
            <w:tcW w:w="386" w:type="pct"/>
            <w:vAlign w:val="center"/>
          </w:tcPr>
          <w:p w14:paraId="6B86436E">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494" w:type="pct"/>
            <w:vAlign w:val="center"/>
          </w:tcPr>
          <w:p w14:paraId="657F82AF">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rPr>
              <w:t>合理</w:t>
            </w:r>
          </w:p>
        </w:tc>
        <w:tc>
          <w:tcPr>
            <w:tcW w:w="336" w:type="pct"/>
            <w:vAlign w:val="center"/>
          </w:tcPr>
          <w:p w14:paraId="1ACAE519">
            <w:pPr>
              <w:spacing w:line="240" w:lineRule="auto"/>
              <w:ind w:firstLine="0" w:firstLineChars="0"/>
              <w:jc w:val="center"/>
              <w:rPr>
                <w:rFonts w:hint="eastAsia" w:ascii="Times New Roman" w:hAnsi="Times New Roman" w:eastAsia="仿宋" w:cs="Times New Roman"/>
                <w:color w:val="000000"/>
                <w:sz w:val="24"/>
                <w:szCs w:val="24"/>
              </w:rPr>
            </w:pPr>
            <w:r>
              <w:rPr>
                <w:rFonts w:hint="eastAsia" w:ascii="仿宋_GB2312" w:hAnsi="仿宋_GB2312" w:cs="仿宋_GB2312"/>
                <w:b w:val="0"/>
                <w:bCs w:val="0"/>
                <w:sz w:val="24"/>
                <w:lang w:val="en-US" w:eastAsia="zh-CN"/>
              </w:rPr>
              <w:t>4</w:t>
            </w:r>
          </w:p>
        </w:tc>
      </w:tr>
      <w:tr w14:paraId="7F79B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6" w:hRule="exact"/>
        </w:trPr>
        <w:tc>
          <w:tcPr>
            <w:tcW w:w="464" w:type="pct"/>
            <w:vMerge w:val="continue"/>
            <w:vAlign w:val="center"/>
          </w:tcPr>
          <w:p w14:paraId="222360AF">
            <w:pPr>
              <w:snapToGrid w:val="0"/>
              <w:spacing w:line="360" w:lineRule="exact"/>
              <w:ind w:firstLine="0" w:firstLineChars="0"/>
              <w:jc w:val="center"/>
              <w:rPr>
                <w:rFonts w:ascii="仿宋_GB2312" w:hAnsi="仿宋_GB2312" w:eastAsia="仿宋_GB2312" w:cs="仿宋_GB2312"/>
                <w:sz w:val="24"/>
                <w:szCs w:val="24"/>
              </w:rPr>
            </w:pPr>
          </w:p>
        </w:tc>
        <w:tc>
          <w:tcPr>
            <w:tcW w:w="387" w:type="pct"/>
            <w:vMerge w:val="continue"/>
            <w:vAlign w:val="center"/>
          </w:tcPr>
          <w:p w14:paraId="20109484">
            <w:pPr>
              <w:snapToGrid w:val="0"/>
              <w:spacing w:line="400" w:lineRule="exact"/>
              <w:ind w:firstLine="0" w:firstLineChars="0"/>
              <w:jc w:val="center"/>
              <w:rPr>
                <w:rFonts w:ascii="Times New Roman" w:hAnsi="Times New Roman" w:eastAsia="仿宋" w:cs="Times New Roman"/>
                <w:color w:val="000000"/>
                <w:sz w:val="24"/>
                <w:szCs w:val="24"/>
              </w:rPr>
            </w:pPr>
          </w:p>
        </w:tc>
        <w:tc>
          <w:tcPr>
            <w:tcW w:w="770" w:type="pct"/>
            <w:vMerge w:val="continue"/>
            <w:vAlign w:val="center"/>
          </w:tcPr>
          <w:p w14:paraId="06521E2B">
            <w:pPr>
              <w:snapToGrid w:val="0"/>
              <w:spacing w:line="400" w:lineRule="exact"/>
              <w:ind w:firstLine="0" w:firstLineChars="0"/>
              <w:jc w:val="center"/>
              <w:rPr>
                <w:rFonts w:ascii="仿宋_GB2312" w:hAnsi="仿宋_GB2312" w:eastAsia="仿宋_GB2312" w:cs="仿宋_GB2312"/>
                <w:color w:val="000000"/>
                <w:sz w:val="24"/>
                <w:szCs w:val="24"/>
              </w:rPr>
            </w:pPr>
          </w:p>
        </w:tc>
        <w:tc>
          <w:tcPr>
            <w:tcW w:w="384" w:type="pct"/>
            <w:vMerge w:val="continue"/>
            <w:vAlign w:val="center"/>
          </w:tcPr>
          <w:p w14:paraId="2B761440">
            <w:pPr>
              <w:snapToGrid w:val="0"/>
              <w:spacing w:line="400" w:lineRule="exact"/>
              <w:ind w:firstLine="0" w:firstLineChars="0"/>
              <w:jc w:val="center"/>
              <w:rPr>
                <w:rFonts w:ascii="Times New Roman" w:hAnsi="Times New Roman" w:eastAsia="仿宋" w:cs="Times New Roman"/>
                <w:color w:val="000000"/>
                <w:sz w:val="24"/>
                <w:szCs w:val="24"/>
              </w:rPr>
            </w:pPr>
          </w:p>
        </w:tc>
        <w:tc>
          <w:tcPr>
            <w:tcW w:w="1236" w:type="pct"/>
            <w:vAlign w:val="center"/>
          </w:tcPr>
          <w:p w14:paraId="3DA35FBE">
            <w:pPr>
              <w:spacing w:line="240" w:lineRule="auto"/>
              <w:ind w:firstLine="0" w:firstLineChars="0"/>
              <w:jc w:val="both"/>
              <w:rPr>
                <w:rFonts w:ascii="仿宋_GB2312" w:hAnsi="Calibri" w:eastAsia="仿宋_GB2312"/>
                <w:color w:val="000000"/>
                <w:sz w:val="21"/>
                <w:szCs w:val="21"/>
              </w:rPr>
            </w:pPr>
            <w:r>
              <w:rPr>
                <w:rFonts w:hint="eastAsia" w:ascii="仿宋_GB2312" w:hAnsi="Calibri" w:eastAsia="仿宋_GB2312"/>
                <w:color w:val="000000"/>
                <w:sz w:val="21"/>
                <w:szCs w:val="21"/>
              </w:rPr>
              <w:t>A22绩效指标明确性</w:t>
            </w:r>
          </w:p>
        </w:tc>
        <w:tc>
          <w:tcPr>
            <w:tcW w:w="538" w:type="pct"/>
            <w:vAlign w:val="center"/>
          </w:tcPr>
          <w:p w14:paraId="43F7B39C">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color w:val="000000"/>
                <w:sz w:val="21"/>
                <w:szCs w:val="21"/>
              </w:rPr>
              <w:t>明确</w:t>
            </w:r>
          </w:p>
        </w:tc>
        <w:tc>
          <w:tcPr>
            <w:tcW w:w="386" w:type="pct"/>
            <w:vAlign w:val="center"/>
          </w:tcPr>
          <w:p w14:paraId="7A4AD563">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3</w:t>
            </w:r>
          </w:p>
        </w:tc>
        <w:tc>
          <w:tcPr>
            <w:tcW w:w="494" w:type="pct"/>
            <w:vAlign w:val="center"/>
          </w:tcPr>
          <w:p w14:paraId="5A67E235">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lang w:val="en-US" w:eastAsia="zh-CN"/>
              </w:rPr>
              <w:t>不</w:t>
            </w:r>
            <w:r>
              <w:rPr>
                <w:rFonts w:hint="eastAsia" w:ascii="仿宋_GB2312" w:hAnsi="Calibri" w:eastAsia="仿宋_GB2312"/>
                <w:sz w:val="21"/>
                <w:szCs w:val="21"/>
              </w:rPr>
              <w:t>明确</w:t>
            </w:r>
          </w:p>
        </w:tc>
        <w:tc>
          <w:tcPr>
            <w:tcW w:w="336" w:type="pct"/>
            <w:vAlign w:val="center"/>
          </w:tcPr>
          <w:p w14:paraId="67732A21">
            <w:pPr>
              <w:spacing w:line="240" w:lineRule="auto"/>
              <w:ind w:firstLine="0" w:firstLineChars="0"/>
              <w:jc w:val="center"/>
              <w:rPr>
                <w:rFonts w:hint="eastAsia" w:ascii="Times New Roman" w:hAnsi="Times New Roman" w:eastAsia="仿宋" w:cs="Times New Roman"/>
                <w:color w:val="000000"/>
                <w:sz w:val="24"/>
                <w:szCs w:val="24"/>
              </w:rPr>
            </w:pPr>
            <w:r>
              <w:rPr>
                <w:rFonts w:hint="eastAsia" w:ascii="仿宋_GB2312" w:hAnsi="仿宋_GB2312" w:cs="仿宋_GB2312"/>
                <w:b w:val="0"/>
                <w:bCs w:val="0"/>
                <w:sz w:val="24"/>
                <w:lang w:val="en-US" w:eastAsia="zh-CN"/>
              </w:rPr>
              <w:t>1</w:t>
            </w:r>
          </w:p>
        </w:tc>
      </w:tr>
      <w:tr w14:paraId="024B1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exact"/>
        </w:trPr>
        <w:tc>
          <w:tcPr>
            <w:tcW w:w="464" w:type="pct"/>
            <w:vMerge w:val="continue"/>
            <w:vAlign w:val="center"/>
          </w:tcPr>
          <w:p w14:paraId="6A4F9C81">
            <w:pPr>
              <w:snapToGrid w:val="0"/>
              <w:spacing w:line="360" w:lineRule="exact"/>
              <w:ind w:firstLine="0" w:firstLineChars="0"/>
              <w:jc w:val="center"/>
              <w:rPr>
                <w:rFonts w:ascii="仿宋_GB2312" w:hAnsi="仿宋_GB2312" w:eastAsia="仿宋_GB2312" w:cs="仿宋_GB2312"/>
                <w:sz w:val="24"/>
                <w:szCs w:val="24"/>
              </w:rPr>
            </w:pPr>
          </w:p>
        </w:tc>
        <w:tc>
          <w:tcPr>
            <w:tcW w:w="387" w:type="pct"/>
            <w:vMerge w:val="continue"/>
            <w:vAlign w:val="center"/>
          </w:tcPr>
          <w:p w14:paraId="0F1D80B9">
            <w:pPr>
              <w:snapToGrid w:val="0"/>
              <w:spacing w:line="400" w:lineRule="exact"/>
              <w:ind w:firstLine="0" w:firstLineChars="0"/>
              <w:jc w:val="center"/>
              <w:rPr>
                <w:rFonts w:ascii="Times New Roman" w:hAnsi="Times New Roman" w:eastAsia="仿宋" w:cs="Times New Roman"/>
                <w:color w:val="000000"/>
                <w:sz w:val="24"/>
                <w:szCs w:val="24"/>
              </w:rPr>
            </w:pPr>
          </w:p>
        </w:tc>
        <w:tc>
          <w:tcPr>
            <w:tcW w:w="770" w:type="pct"/>
            <w:vMerge w:val="restart"/>
            <w:vAlign w:val="center"/>
          </w:tcPr>
          <w:p w14:paraId="151005DA">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color w:val="000000"/>
                <w:sz w:val="21"/>
                <w:szCs w:val="21"/>
              </w:rPr>
              <w:t>A3资金投入</w:t>
            </w:r>
          </w:p>
        </w:tc>
        <w:tc>
          <w:tcPr>
            <w:tcW w:w="384" w:type="pct"/>
            <w:vMerge w:val="restart"/>
            <w:vAlign w:val="center"/>
          </w:tcPr>
          <w:p w14:paraId="7CB46C12">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6</w:t>
            </w:r>
          </w:p>
        </w:tc>
        <w:tc>
          <w:tcPr>
            <w:tcW w:w="1236" w:type="pct"/>
            <w:vAlign w:val="center"/>
          </w:tcPr>
          <w:p w14:paraId="5925AA29">
            <w:pPr>
              <w:spacing w:line="240" w:lineRule="auto"/>
              <w:ind w:firstLine="0" w:firstLineChars="0"/>
              <w:jc w:val="both"/>
              <w:rPr>
                <w:rFonts w:ascii="仿宋_GB2312" w:hAnsi="Calibri" w:eastAsia="仿宋_GB2312"/>
                <w:color w:val="000000"/>
                <w:sz w:val="21"/>
                <w:szCs w:val="21"/>
              </w:rPr>
            </w:pPr>
            <w:r>
              <w:rPr>
                <w:rFonts w:hint="eastAsia" w:ascii="仿宋_GB2312" w:hAnsi="Calibri" w:eastAsia="仿宋_GB2312"/>
                <w:color w:val="000000"/>
                <w:sz w:val="21"/>
                <w:szCs w:val="21"/>
              </w:rPr>
              <w:t>A31预算编制科学性</w:t>
            </w:r>
          </w:p>
        </w:tc>
        <w:tc>
          <w:tcPr>
            <w:tcW w:w="538" w:type="pct"/>
            <w:vAlign w:val="center"/>
          </w:tcPr>
          <w:p w14:paraId="2EC77502">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color w:val="000000"/>
                <w:sz w:val="21"/>
                <w:szCs w:val="21"/>
              </w:rPr>
              <w:t>科学</w:t>
            </w:r>
          </w:p>
        </w:tc>
        <w:tc>
          <w:tcPr>
            <w:tcW w:w="386" w:type="pct"/>
            <w:vAlign w:val="center"/>
          </w:tcPr>
          <w:p w14:paraId="154AD433">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2</w:t>
            </w:r>
          </w:p>
        </w:tc>
        <w:tc>
          <w:tcPr>
            <w:tcW w:w="494" w:type="pct"/>
            <w:vAlign w:val="center"/>
          </w:tcPr>
          <w:p w14:paraId="5852008F">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rPr>
              <w:t>科学</w:t>
            </w:r>
          </w:p>
        </w:tc>
        <w:tc>
          <w:tcPr>
            <w:tcW w:w="336" w:type="pct"/>
            <w:vAlign w:val="center"/>
          </w:tcPr>
          <w:p w14:paraId="206351A6">
            <w:pPr>
              <w:spacing w:line="240" w:lineRule="auto"/>
              <w:ind w:firstLine="0" w:firstLineChars="0"/>
              <w:jc w:val="center"/>
              <w:rPr>
                <w:rFonts w:hint="eastAsia" w:ascii="Times New Roman" w:hAnsi="Times New Roman" w:eastAsia="仿宋" w:cs="Times New Roman"/>
                <w:color w:val="000000"/>
                <w:sz w:val="24"/>
                <w:szCs w:val="24"/>
              </w:rPr>
            </w:pPr>
            <w:r>
              <w:rPr>
                <w:rFonts w:hint="eastAsia" w:ascii="仿宋_GB2312" w:hAnsi="仿宋_GB2312" w:cs="仿宋_GB2312"/>
                <w:b w:val="0"/>
                <w:bCs w:val="0"/>
                <w:sz w:val="24"/>
                <w:lang w:val="en-US" w:eastAsia="zh-CN"/>
              </w:rPr>
              <w:t>2</w:t>
            </w:r>
          </w:p>
        </w:tc>
      </w:tr>
      <w:tr w14:paraId="7C89C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exact"/>
        </w:trPr>
        <w:tc>
          <w:tcPr>
            <w:tcW w:w="464" w:type="pct"/>
            <w:vMerge w:val="continue"/>
            <w:vAlign w:val="center"/>
          </w:tcPr>
          <w:p w14:paraId="3B54F3B5">
            <w:pPr>
              <w:snapToGrid w:val="0"/>
              <w:spacing w:line="360" w:lineRule="exact"/>
              <w:ind w:firstLine="0" w:firstLineChars="0"/>
              <w:jc w:val="center"/>
              <w:rPr>
                <w:rFonts w:ascii="仿宋_GB2312" w:hAnsi="仿宋_GB2312" w:eastAsia="仿宋_GB2312" w:cs="仿宋_GB2312"/>
                <w:sz w:val="24"/>
                <w:szCs w:val="24"/>
              </w:rPr>
            </w:pPr>
          </w:p>
        </w:tc>
        <w:tc>
          <w:tcPr>
            <w:tcW w:w="387" w:type="pct"/>
            <w:vMerge w:val="continue"/>
            <w:vAlign w:val="center"/>
          </w:tcPr>
          <w:p w14:paraId="1A88EFC5">
            <w:pPr>
              <w:snapToGrid w:val="0"/>
              <w:spacing w:line="400" w:lineRule="exact"/>
              <w:ind w:firstLine="0" w:firstLineChars="0"/>
              <w:jc w:val="center"/>
              <w:rPr>
                <w:rFonts w:ascii="Times New Roman" w:hAnsi="Times New Roman" w:eastAsia="仿宋" w:cs="Times New Roman"/>
                <w:color w:val="000000"/>
                <w:sz w:val="24"/>
                <w:szCs w:val="24"/>
              </w:rPr>
            </w:pPr>
          </w:p>
        </w:tc>
        <w:tc>
          <w:tcPr>
            <w:tcW w:w="770" w:type="pct"/>
            <w:vMerge w:val="continue"/>
            <w:vAlign w:val="center"/>
          </w:tcPr>
          <w:p w14:paraId="7222B7B3">
            <w:pPr>
              <w:snapToGrid w:val="0"/>
              <w:spacing w:line="400" w:lineRule="exact"/>
              <w:ind w:firstLine="0" w:firstLineChars="0"/>
              <w:jc w:val="center"/>
              <w:rPr>
                <w:rFonts w:ascii="仿宋_GB2312" w:hAnsi="仿宋_GB2312" w:eastAsia="仿宋_GB2312" w:cs="仿宋_GB2312"/>
                <w:color w:val="000000"/>
                <w:sz w:val="24"/>
                <w:szCs w:val="24"/>
              </w:rPr>
            </w:pPr>
          </w:p>
        </w:tc>
        <w:tc>
          <w:tcPr>
            <w:tcW w:w="384" w:type="pct"/>
            <w:vMerge w:val="continue"/>
            <w:vAlign w:val="center"/>
          </w:tcPr>
          <w:p w14:paraId="331CECB0">
            <w:pPr>
              <w:snapToGrid w:val="0"/>
              <w:spacing w:line="400" w:lineRule="exact"/>
              <w:ind w:firstLine="0" w:firstLineChars="0"/>
              <w:jc w:val="center"/>
              <w:rPr>
                <w:rFonts w:ascii="Times New Roman" w:hAnsi="Times New Roman" w:eastAsia="仿宋" w:cs="Times New Roman"/>
                <w:color w:val="000000"/>
                <w:sz w:val="24"/>
                <w:szCs w:val="24"/>
              </w:rPr>
            </w:pPr>
          </w:p>
        </w:tc>
        <w:tc>
          <w:tcPr>
            <w:tcW w:w="1236" w:type="pct"/>
            <w:vAlign w:val="center"/>
          </w:tcPr>
          <w:p w14:paraId="2DBFAEBA">
            <w:pPr>
              <w:spacing w:line="240" w:lineRule="auto"/>
              <w:ind w:firstLine="0" w:firstLineChars="0"/>
              <w:jc w:val="both"/>
              <w:rPr>
                <w:rFonts w:ascii="仿宋_GB2312" w:hAnsi="Calibri" w:eastAsia="仿宋_GB2312"/>
                <w:color w:val="000000"/>
                <w:sz w:val="21"/>
                <w:szCs w:val="21"/>
              </w:rPr>
            </w:pPr>
            <w:r>
              <w:rPr>
                <w:rFonts w:hint="eastAsia" w:ascii="仿宋_GB2312" w:hAnsi="Calibri" w:eastAsia="仿宋_GB2312"/>
                <w:color w:val="000000"/>
                <w:sz w:val="21"/>
                <w:szCs w:val="21"/>
              </w:rPr>
              <w:t>A32资金分配合理性</w:t>
            </w:r>
          </w:p>
        </w:tc>
        <w:tc>
          <w:tcPr>
            <w:tcW w:w="538" w:type="pct"/>
            <w:vAlign w:val="center"/>
          </w:tcPr>
          <w:p w14:paraId="19EAF269">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color w:val="000000"/>
                <w:sz w:val="21"/>
                <w:szCs w:val="21"/>
              </w:rPr>
              <w:t>合理</w:t>
            </w:r>
          </w:p>
        </w:tc>
        <w:tc>
          <w:tcPr>
            <w:tcW w:w="386" w:type="pct"/>
            <w:vAlign w:val="center"/>
          </w:tcPr>
          <w:p w14:paraId="06AA7BFF">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494" w:type="pct"/>
            <w:vAlign w:val="center"/>
          </w:tcPr>
          <w:p w14:paraId="50013483">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rPr>
              <w:t>合理</w:t>
            </w:r>
          </w:p>
        </w:tc>
        <w:tc>
          <w:tcPr>
            <w:tcW w:w="336" w:type="pct"/>
            <w:vAlign w:val="center"/>
          </w:tcPr>
          <w:p w14:paraId="0A65DA08">
            <w:pPr>
              <w:spacing w:line="240" w:lineRule="auto"/>
              <w:ind w:firstLine="0" w:firstLineChars="0"/>
              <w:jc w:val="center"/>
              <w:rPr>
                <w:rFonts w:hint="eastAsia" w:ascii="Times New Roman" w:hAnsi="Times New Roman" w:eastAsia="仿宋" w:cs="Times New Roman"/>
                <w:color w:val="000000"/>
                <w:sz w:val="24"/>
                <w:szCs w:val="24"/>
              </w:rPr>
            </w:pPr>
            <w:r>
              <w:rPr>
                <w:rFonts w:hint="eastAsia" w:ascii="仿宋_GB2312" w:hAnsi="仿宋_GB2312" w:cs="仿宋_GB2312"/>
                <w:b w:val="0"/>
                <w:bCs w:val="0"/>
                <w:sz w:val="24"/>
                <w:lang w:val="en-US" w:eastAsia="zh-CN"/>
              </w:rPr>
              <w:t>4</w:t>
            </w:r>
          </w:p>
        </w:tc>
      </w:tr>
      <w:tr w14:paraId="28058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464" w:type="pct"/>
            <w:vMerge w:val="restart"/>
            <w:vAlign w:val="center"/>
          </w:tcPr>
          <w:p w14:paraId="0AC3F1CD">
            <w:pPr>
              <w:snapToGrid w:val="0"/>
              <w:spacing w:line="360" w:lineRule="exact"/>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B过程</w:t>
            </w:r>
          </w:p>
        </w:tc>
        <w:tc>
          <w:tcPr>
            <w:tcW w:w="387" w:type="pct"/>
            <w:vMerge w:val="restart"/>
            <w:vAlign w:val="center"/>
          </w:tcPr>
          <w:p w14:paraId="0125852F">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20</w:t>
            </w:r>
          </w:p>
        </w:tc>
        <w:tc>
          <w:tcPr>
            <w:tcW w:w="770" w:type="pct"/>
            <w:vMerge w:val="restart"/>
            <w:vAlign w:val="center"/>
          </w:tcPr>
          <w:p w14:paraId="267F0695">
            <w:pPr>
              <w:spacing w:line="240" w:lineRule="auto"/>
              <w:ind w:firstLine="0" w:firstLineChars="0"/>
              <w:jc w:val="center"/>
              <w:rPr>
                <w:rFonts w:ascii="仿宋_GB2312" w:hAnsi="Calibri" w:eastAsia="仿宋_GB2312"/>
                <w:sz w:val="21"/>
                <w:szCs w:val="21"/>
              </w:rPr>
            </w:pPr>
            <w:r>
              <w:rPr>
                <w:rFonts w:hint="eastAsia" w:ascii="仿宋_GB2312" w:hAnsi="Calibri" w:eastAsia="仿宋_GB2312"/>
                <w:sz w:val="21"/>
                <w:szCs w:val="21"/>
              </w:rPr>
              <w:t>B1资金管理</w:t>
            </w:r>
          </w:p>
        </w:tc>
        <w:tc>
          <w:tcPr>
            <w:tcW w:w="384" w:type="pct"/>
            <w:vMerge w:val="restart"/>
            <w:vAlign w:val="center"/>
          </w:tcPr>
          <w:p w14:paraId="73AB8E53">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12</w:t>
            </w:r>
          </w:p>
        </w:tc>
        <w:tc>
          <w:tcPr>
            <w:tcW w:w="1236" w:type="pct"/>
            <w:vAlign w:val="center"/>
          </w:tcPr>
          <w:p w14:paraId="52C5F87C">
            <w:pPr>
              <w:spacing w:line="240" w:lineRule="auto"/>
              <w:ind w:firstLine="0" w:firstLineChars="0"/>
              <w:jc w:val="both"/>
              <w:rPr>
                <w:rFonts w:ascii="仿宋_GB2312" w:hAnsi="Calibri" w:eastAsia="仿宋_GB2312"/>
                <w:sz w:val="21"/>
                <w:szCs w:val="21"/>
              </w:rPr>
            </w:pPr>
            <w:r>
              <w:rPr>
                <w:rFonts w:hint="eastAsia" w:ascii="仿宋_GB2312" w:hAnsi="Calibri" w:eastAsia="仿宋_GB2312"/>
                <w:sz w:val="21"/>
                <w:szCs w:val="21"/>
              </w:rPr>
              <w:t>B11资金到位率</w:t>
            </w:r>
          </w:p>
        </w:tc>
        <w:tc>
          <w:tcPr>
            <w:tcW w:w="538" w:type="pct"/>
            <w:vAlign w:val="center"/>
          </w:tcPr>
          <w:p w14:paraId="190A83D2">
            <w:pPr>
              <w:widowControl/>
              <w:spacing w:line="240" w:lineRule="auto"/>
              <w:ind w:firstLine="0" w:firstLineChars="0"/>
              <w:jc w:val="center"/>
              <w:textAlignment w:val="center"/>
              <w:rPr>
                <w:rFonts w:ascii="仿宋_GB2312" w:hAnsi="Calibri" w:eastAsia="仿宋_GB2312"/>
                <w:sz w:val="21"/>
                <w:szCs w:val="21"/>
              </w:rPr>
            </w:pPr>
            <w:r>
              <w:rPr>
                <w:rFonts w:hint="eastAsia" w:ascii="仿宋_GB2312" w:hAnsi="Calibri" w:eastAsia="仿宋_GB2312"/>
                <w:kern w:val="0"/>
                <w:sz w:val="21"/>
                <w:szCs w:val="21"/>
              </w:rPr>
              <w:t>100%</w:t>
            </w:r>
          </w:p>
        </w:tc>
        <w:tc>
          <w:tcPr>
            <w:tcW w:w="386" w:type="pct"/>
            <w:vAlign w:val="center"/>
          </w:tcPr>
          <w:p w14:paraId="2FCAA7EF">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494" w:type="pct"/>
            <w:vAlign w:val="center"/>
          </w:tcPr>
          <w:p w14:paraId="4B932D5C">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rPr>
              <w:t>100%</w:t>
            </w:r>
          </w:p>
        </w:tc>
        <w:tc>
          <w:tcPr>
            <w:tcW w:w="336" w:type="pct"/>
            <w:vAlign w:val="center"/>
          </w:tcPr>
          <w:p w14:paraId="6EA96EBC">
            <w:pPr>
              <w:spacing w:line="240" w:lineRule="auto"/>
              <w:ind w:firstLine="0" w:firstLineChars="0"/>
              <w:jc w:val="center"/>
              <w:rPr>
                <w:rFonts w:hint="eastAsia" w:ascii="Times New Roman" w:hAnsi="Times New Roman" w:eastAsia="仿宋" w:cs="Times New Roman"/>
                <w:color w:val="000000"/>
                <w:sz w:val="24"/>
                <w:szCs w:val="24"/>
              </w:rPr>
            </w:pPr>
            <w:r>
              <w:rPr>
                <w:rFonts w:hint="eastAsia" w:ascii="仿宋_GB2312" w:hAnsi="仿宋_GB2312" w:cs="仿宋_GB2312"/>
                <w:b w:val="0"/>
                <w:bCs w:val="0"/>
                <w:sz w:val="24"/>
                <w:lang w:val="en-US" w:eastAsia="zh-CN"/>
              </w:rPr>
              <w:t>4</w:t>
            </w:r>
          </w:p>
        </w:tc>
      </w:tr>
      <w:tr w14:paraId="6F616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exact"/>
        </w:trPr>
        <w:tc>
          <w:tcPr>
            <w:tcW w:w="464" w:type="pct"/>
            <w:vMerge w:val="continue"/>
            <w:vAlign w:val="center"/>
          </w:tcPr>
          <w:p w14:paraId="1C3448F3">
            <w:pPr>
              <w:snapToGrid w:val="0"/>
              <w:spacing w:line="360" w:lineRule="exact"/>
              <w:ind w:firstLine="0" w:firstLineChars="0"/>
              <w:jc w:val="center"/>
              <w:rPr>
                <w:rFonts w:ascii="仿宋_GB2312" w:hAnsi="仿宋_GB2312" w:eastAsia="仿宋_GB2312" w:cs="仿宋_GB2312"/>
                <w:sz w:val="24"/>
                <w:szCs w:val="24"/>
              </w:rPr>
            </w:pPr>
          </w:p>
        </w:tc>
        <w:tc>
          <w:tcPr>
            <w:tcW w:w="387" w:type="pct"/>
            <w:vMerge w:val="continue"/>
            <w:vAlign w:val="center"/>
          </w:tcPr>
          <w:p w14:paraId="7E2231A7">
            <w:pPr>
              <w:snapToGrid w:val="0"/>
              <w:spacing w:line="400" w:lineRule="exact"/>
              <w:ind w:firstLine="0" w:firstLineChars="0"/>
              <w:jc w:val="center"/>
              <w:rPr>
                <w:rFonts w:ascii="Times New Roman" w:hAnsi="Times New Roman" w:eastAsia="仿宋" w:cs="Times New Roman"/>
                <w:color w:val="000000"/>
                <w:sz w:val="24"/>
                <w:szCs w:val="24"/>
              </w:rPr>
            </w:pPr>
          </w:p>
        </w:tc>
        <w:tc>
          <w:tcPr>
            <w:tcW w:w="770" w:type="pct"/>
            <w:vMerge w:val="continue"/>
            <w:vAlign w:val="center"/>
          </w:tcPr>
          <w:p w14:paraId="289F9FB0">
            <w:pPr>
              <w:snapToGrid w:val="0"/>
              <w:spacing w:line="400" w:lineRule="exact"/>
              <w:ind w:firstLine="0" w:firstLineChars="0"/>
              <w:jc w:val="center"/>
              <w:rPr>
                <w:rFonts w:ascii="仿宋_GB2312" w:hAnsi="仿宋_GB2312" w:eastAsia="仿宋_GB2312" w:cs="仿宋_GB2312"/>
                <w:color w:val="000000"/>
                <w:sz w:val="24"/>
                <w:szCs w:val="24"/>
              </w:rPr>
            </w:pPr>
          </w:p>
        </w:tc>
        <w:tc>
          <w:tcPr>
            <w:tcW w:w="384" w:type="pct"/>
            <w:vMerge w:val="continue"/>
            <w:vAlign w:val="center"/>
          </w:tcPr>
          <w:p w14:paraId="0A0EA763">
            <w:pPr>
              <w:snapToGrid w:val="0"/>
              <w:spacing w:line="400" w:lineRule="exact"/>
              <w:ind w:firstLine="0" w:firstLineChars="0"/>
              <w:jc w:val="center"/>
              <w:rPr>
                <w:rFonts w:ascii="Times New Roman" w:hAnsi="Times New Roman" w:eastAsia="仿宋" w:cs="Times New Roman"/>
                <w:color w:val="000000"/>
                <w:sz w:val="24"/>
                <w:szCs w:val="24"/>
              </w:rPr>
            </w:pPr>
          </w:p>
        </w:tc>
        <w:tc>
          <w:tcPr>
            <w:tcW w:w="1236" w:type="pct"/>
            <w:vAlign w:val="center"/>
          </w:tcPr>
          <w:p w14:paraId="403EA2D4">
            <w:pPr>
              <w:spacing w:line="240" w:lineRule="auto"/>
              <w:ind w:firstLine="0" w:firstLineChars="0"/>
              <w:jc w:val="both"/>
              <w:rPr>
                <w:rFonts w:ascii="仿宋_GB2312" w:hAnsi="Calibri" w:eastAsia="仿宋_GB2312"/>
                <w:sz w:val="21"/>
                <w:szCs w:val="21"/>
              </w:rPr>
            </w:pPr>
            <w:r>
              <w:rPr>
                <w:rFonts w:hint="eastAsia" w:ascii="仿宋_GB2312" w:hAnsi="Calibri" w:eastAsia="仿宋_GB2312"/>
                <w:sz w:val="21"/>
                <w:szCs w:val="21"/>
              </w:rPr>
              <w:t>B12预算执行率</w:t>
            </w:r>
          </w:p>
        </w:tc>
        <w:tc>
          <w:tcPr>
            <w:tcW w:w="538" w:type="pct"/>
            <w:vAlign w:val="center"/>
          </w:tcPr>
          <w:p w14:paraId="3B27B660">
            <w:pPr>
              <w:widowControl/>
              <w:spacing w:line="240" w:lineRule="auto"/>
              <w:ind w:firstLine="0" w:firstLineChars="0"/>
              <w:jc w:val="center"/>
              <w:textAlignment w:val="center"/>
              <w:rPr>
                <w:rFonts w:ascii="仿宋_GB2312" w:hAnsi="Calibri" w:eastAsia="仿宋_GB2312"/>
                <w:sz w:val="21"/>
                <w:szCs w:val="21"/>
              </w:rPr>
            </w:pPr>
            <w:r>
              <w:rPr>
                <w:rFonts w:hint="eastAsia" w:ascii="仿宋_GB2312" w:hAnsi="Calibri" w:eastAsia="仿宋_GB2312"/>
                <w:kern w:val="0"/>
                <w:sz w:val="21"/>
                <w:szCs w:val="21"/>
              </w:rPr>
              <w:t>95%</w:t>
            </w:r>
          </w:p>
        </w:tc>
        <w:tc>
          <w:tcPr>
            <w:tcW w:w="386" w:type="pct"/>
            <w:vAlign w:val="center"/>
          </w:tcPr>
          <w:p w14:paraId="663221BA">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494" w:type="pct"/>
            <w:vAlign w:val="center"/>
          </w:tcPr>
          <w:p w14:paraId="7DD4E50E">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lang w:val="en-US" w:eastAsia="zh-CN"/>
              </w:rPr>
              <w:t>100</w:t>
            </w:r>
            <w:r>
              <w:rPr>
                <w:rFonts w:hint="eastAsia" w:ascii="仿宋_GB2312" w:hAnsi="Calibri" w:eastAsia="仿宋_GB2312"/>
                <w:sz w:val="21"/>
                <w:szCs w:val="21"/>
              </w:rPr>
              <w:t>%</w:t>
            </w:r>
          </w:p>
        </w:tc>
        <w:tc>
          <w:tcPr>
            <w:tcW w:w="336" w:type="pct"/>
            <w:vAlign w:val="center"/>
          </w:tcPr>
          <w:p w14:paraId="2CC868E9">
            <w:pPr>
              <w:spacing w:line="240" w:lineRule="auto"/>
              <w:ind w:firstLine="0" w:firstLineChars="0"/>
              <w:jc w:val="center"/>
              <w:rPr>
                <w:rFonts w:hint="eastAsia" w:ascii="Times New Roman" w:hAnsi="Times New Roman" w:eastAsia="仿宋" w:cs="Times New Roman"/>
                <w:color w:val="000000"/>
                <w:sz w:val="24"/>
                <w:szCs w:val="24"/>
              </w:rPr>
            </w:pPr>
            <w:r>
              <w:rPr>
                <w:rFonts w:hint="eastAsia" w:ascii="仿宋_GB2312" w:hAnsi="仿宋_GB2312" w:cs="仿宋_GB2312"/>
                <w:b w:val="0"/>
                <w:bCs w:val="0"/>
                <w:sz w:val="24"/>
                <w:lang w:val="en-US" w:eastAsia="zh-CN"/>
              </w:rPr>
              <w:t>4</w:t>
            </w:r>
          </w:p>
        </w:tc>
      </w:tr>
      <w:tr w14:paraId="6D8F8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exact"/>
        </w:trPr>
        <w:tc>
          <w:tcPr>
            <w:tcW w:w="464" w:type="pct"/>
            <w:vMerge w:val="continue"/>
            <w:vAlign w:val="center"/>
          </w:tcPr>
          <w:p w14:paraId="22E24BD2">
            <w:pPr>
              <w:snapToGrid w:val="0"/>
              <w:spacing w:line="360" w:lineRule="exact"/>
              <w:ind w:firstLine="0" w:firstLineChars="0"/>
              <w:jc w:val="center"/>
              <w:rPr>
                <w:rFonts w:ascii="仿宋_GB2312" w:hAnsi="仿宋_GB2312" w:eastAsia="仿宋_GB2312" w:cs="仿宋_GB2312"/>
                <w:sz w:val="24"/>
                <w:szCs w:val="24"/>
              </w:rPr>
            </w:pPr>
          </w:p>
        </w:tc>
        <w:tc>
          <w:tcPr>
            <w:tcW w:w="387" w:type="pct"/>
            <w:vMerge w:val="continue"/>
            <w:vAlign w:val="center"/>
          </w:tcPr>
          <w:p w14:paraId="60C6A068">
            <w:pPr>
              <w:snapToGrid w:val="0"/>
              <w:spacing w:line="400" w:lineRule="exact"/>
              <w:ind w:firstLine="0" w:firstLineChars="0"/>
              <w:jc w:val="center"/>
              <w:rPr>
                <w:rFonts w:ascii="Times New Roman" w:hAnsi="Times New Roman" w:eastAsia="仿宋" w:cs="Times New Roman"/>
                <w:color w:val="000000"/>
                <w:sz w:val="24"/>
                <w:szCs w:val="24"/>
              </w:rPr>
            </w:pPr>
          </w:p>
        </w:tc>
        <w:tc>
          <w:tcPr>
            <w:tcW w:w="770" w:type="pct"/>
            <w:vMerge w:val="continue"/>
            <w:vAlign w:val="center"/>
          </w:tcPr>
          <w:p w14:paraId="644692DE">
            <w:pPr>
              <w:snapToGrid w:val="0"/>
              <w:spacing w:line="400" w:lineRule="exact"/>
              <w:ind w:firstLine="0" w:firstLineChars="0"/>
              <w:jc w:val="center"/>
              <w:rPr>
                <w:rFonts w:ascii="仿宋_GB2312" w:hAnsi="仿宋_GB2312" w:eastAsia="仿宋_GB2312" w:cs="仿宋_GB2312"/>
                <w:color w:val="000000"/>
                <w:sz w:val="24"/>
                <w:szCs w:val="24"/>
              </w:rPr>
            </w:pPr>
          </w:p>
        </w:tc>
        <w:tc>
          <w:tcPr>
            <w:tcW w:w="384" w:type="pct"/>
            <w:vMerge w:val="continue"/>
            <w:vAlign w:val="center"/>
          </w:tcPr>
          <w:p w14:paraId="248B42A2">
            <w:pPr>
              <w:snapToGrid w:val="0"/>
              <w:spacing w:line="400" w:lineRule="exact"/>
              <w:ind w:firstLine="0" w:firstLineChars="0"/>
              <w:jc w:val="center"/>
              <w:rPr>
                <w:rFonts w:ascii="Times New Roman" w:hAnsi="Times New Roman" w:eastAsia="仿宋" w:cs="Times New Roman"/>
                <w:color w:val="000000"/>
                <w:sz w:val="24"/>
                <w:szCs w:val="24"/>
              </w:rPr>
            </w:pPr>
          </w:p>
        </w:tc>
        <w:tc>
          <w:tcPr>
            <w:tcW w:w="1236" w:type="pct"/>
            <w:vAlign w:val="center"/>
          </w:tcPr>
          <w:p w14:paraId="2FEF832C">
            <w:pPr>
              <w:spacing w:line="240" w:lineRule="auto"/>
              <w:ind w:firstLine="0" w:firstLineChars="0"/>
              <w:jc w:val="both"/>
              <w:rPr>
                <w:rFonts w:ascii="仿宋_GB2312" w:hAnsi="Calibri" w:eastAsia="仿宋_GB2312"/>
                <w:sz w:val="21"/>
                <w:szCs w:val="21"/>
              </w:rPr>
            </w:pPr>
            <w:r>
              <w:rPr>
                <w:rFonts w:hint="eastAsia" w:ascii="仿宋_GB2312" w:hAnsi="Calibri" w:eastAsia="仿宋_GB2312"/>
                <w:sz w:val="21"/>
                <w:szCs w:val="21"/>
              </w:rPr>
              <w:t>B13资金使用合规性</w:t>
            </w:r>
          </w:p>
        </w:tc>
        <w:tc>
          <w:tcPr>
            <w:tcW w:w="538" w:type="pct"/>
            <w:vAlign w:val="center"/>
          </w:tcPr>
          <w:p w14:paraId="11A721A9">
            <w:pPr>
              <w:widowControl/>
              <w:spacing w:line="240" w:lineRule="auto"/>
              <w:ind w:firstLine="0" w:firstLineChars="0"/>
              <w:jc w:val="center"/>
              <w:textAlignment w:val="center"/>
              <w:rPr>
                <w:rFonts w:ascii="仿宋_GB2312" w:hAnsi="Calibri" w:eastAsia="仿宋_GB2312"/>
                <w:sz w:val="21"/>
                <w:szCs w:val="21"/>
              </w:rPr>
            </w:pPr>
            <w:r>
              <w:rPr>
                <w:rFonts w:hint="eastAsia" w:ascii="仿宋_GB2312" w:hAnsi="Calibri" w:eastAsia="仿宋_GB2312"/>
                <w:kern w:val="0"/>
                <w:sz w:val="21"/>
                <w:szCs w:val="21"/>
              </w:rPr>
              <w:t>合规</w:t>
            </w:r>
          </w:p>
        </w:tc>
        <w:tc>
          <w:tcPr>
            <w:tcW w:w="386" w:type="pct"/>
            <w:vAlign w:val="center"/>
          </w:tcPr>
          <w:p w14:paraId="14FEE608">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494" w:type="pct"/>
            <w:vAlign w:val="center"/>
          </w:tcPr>
          <w:p w14:paraId="13AEA764">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rPr>
              <w:t>合规</w:t>
            </w:r>
          </w:p>
        </w:tc>
        <w:tc>
          <w:tcPr>
            <w:tcW w:w="336" w:type="pct"/>
            <w:vAlign w:val="center"/>
          </w:tcPr>
          <w:p w14:paraId="5819E9DC">
            <w:pPr>
              <w:spacing w:line="240" w:lineRule="auto"/>
              <w:ind w:firstLine="0" w:firstLineChars="0"/>
              <w:jc w:val="center"/>
              <w:rPr>
                <w:rFonts w:hint="eastAsia" w:ascii="Times New Roman" w:hAnsi="Times New Roman" w:eastAsia="仿宋" w:cs="Times New Roman"/>
                <w:color w:val="000000"/>
                <w:sz w:val="24"/>
                <w:szCs w:val="24"/>
              </w:rPr>
            </w:pPr>
            <w:r>
              <w:rPr>
                <w:rFonts w:hint="eastAsia" w:ascii="仿宋_GB2312" w:hAnsi="仿宋_GB2312" w:cs="仿宋_GB2312"/>
                <w:b w:val="0"/>
                <w:bCs w:val="0"/>
                <w:sz w:val="24"/>
                <w:lang w:val="en-US" w:eastAsia="zh-CN"/>
              </w:rPr>
              <w:t>4</w:t>
            </w:r>
          </w:p>
        </w:tc>
      </w:tr>
      <w:tr w14:paraId="32078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2" w:hRule="exact"/>
        </w:trPr>
        <w:tc>
          <w:tcPr>
            <w:tcW w:w="464" w:type="pct"/>
            <w:vMerge w:val="continue"/>
            <w:vAlign w:val="center"/>
          </w:tcPr>
          <w:p w14:paraId="0C8227C6">
            <w:pPr>
              <w:snapToGrid w:val="0"/>
              <w:spacing w:line="360" w:lineRule="exact"/>
              <w:ind w:firstLine="0" w:firstLineChars="0"/>
              <w:jc w:val="center"/>
              <w:rPr>
                <w:rFonts w:ascii="仿宋_GB2312" w:hAnsi="仿宋_GB2312" w:eastAsia="仿宋_GB2312" w:cs="仿宋_GB2312"/>
                <w:sz w:val="24"/>
                <w:szCs w:val="24"/>
              </w:rPr>
            </w:pPr>
          </w:p>
        </w:tc>
        <w:tc>
          <w:tcPr>
            <w:tcW w:w="387" w:type="pct"/>
            <w:vMerge w:val="continue"/>
            <w:vAlign w:val="center"/>
          </w:tcPr>
          <w:p w14:paraId="2362D3DB">
            <w:pPr>
              <w:snapToGrid w:val="0"/>
              <w:spacing w:line="400" w:lineRule="exact"/>
              <w:ind w:firstLine="0" w:firstLineChars="0"/>
              <w:jc w:val="center"/>
              <w:rPr>
                <w:rFonts w:ascii="Times New Roman" w:hAnsi="Times New Roman" w:eastAsia="仿宋" w:cs="Times New Roman"/>
                <w:color w:val="000000"/>
                <w:sz w:val="24"/>
                <w:szCs w:val="24"/>
              </w:rPr>
            </w:pPr>
          </w:p>
        </w:tc>
        <w:tc>
          <w:tcPr>
            <w:tcW w:w="770" w:type="pct"/>
            <w:vMerge w:val="restart"/>
            <w:vAlign w:val="center"/>
          </w:tcPr>
          <w:p w14:paraId="289576F3">
            <w:pPr>
              <w:spacing w:line="240" w:lineRule="auto"/>
              <w:ind w:firstLine="0" w:firstLineChars="0"/>
              <w:jc w:val="center"/>
              <w:rPr>
                <w:rFonts w:ascii="仿宋_GB2312" w:hAnsi="Calibri" w:eastAsia="仿宋_GB2312"/>
                <w:sz w:val="21"/>
                <w:szCs w:val="21"/>
              </w:rPr>
            </w:pPr>
            <w:r>
              <w:rPr>
                <w:rFonts w:hint="eastAsia" w:ascii="仿宋_GB2312" w:hAnsi="Calibri" w:eastAsia="仿宋_GB2312"/>
                <w:sz w:val="21"/>
                <w:szCs w:val="21"/>
              </w:rPr>
              <w:t>B2组织实施</w:t>
            </w:r>
          </w:p>
          <w:p w14:paraId="3C644291">
            <w:pPr>
              <w:spacing w:line="240" w:lineRule="auto"/>
              <w:ind w:firstLine="0" w:firstLineChars="0"/>
              <w:jc w:val="center"/>
              <w:rPr>
                <w:rFonts w:ascii="仿宋_GB2312" w:hAnsi="Calibri" w:eastAsia="仿宋_GB2312"/>
                <w:sz w:val="21"/>
                <w:szCs w:val="21"/>
              </w:rPr>
            </w:pPr>
          </w:p>
        </w:tc>
        <w:tc>
          <w:tcPr>
            <w:tcW w:w="384" w:type="pct"/>
            <w:vMerge w:val="restart"/>
            <w:vAlign w:val="center"/>
          </w:tcPr>
          <w:p w14:paraId="1E6F242E">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8</w:t>
            </w:r>
          </w:p>
        </w:tc>
        <w:tc>
          <w:tcPr>
            <w:tcW w:w="1236" w:type="pct"/>
            <w:vAlign w:val="center"/>
          </w:tcPr>
          <w:p w14:paraId="712C1E69">
            <w:pPr>
              <w:spacing w:line="240" w:lineRule="auto"/>
              <w:ind w:firstLine="0" w:firstLineChars="0"/>
              <w:jc w:val="both"/>
              <w:rPr>
                <w:rFonts w:ascii="仿宋_GB2312" w:hAnsi="Calibri" w:eastAsia="仿宋_GB2312"/>
                <w:sz w:val="21"/>
                <w:szCs w:val="21"/>
              </w:rPr>
            </w:pPr>
            <w:r>
              <w:rPr>
                <w:rFonts w:hint="eastAsia" w:ascii="仿宋_GB2312" w:hAnsi="Calibri" w:eastAsia="仿宋_GB2312"/>
                <w:sz w:val="21"/>
                <w:szCs w:val="21"/>
              </w:rPr>
              <w:t>B21管理制度健全性</w:t>
            </w:r>
          </w:p>
        </w:tc>
        <w:tc>
          <w:tcPr>
            <w:tcW w:w="538" w:type="pct"/>
            <w:vAlign w:val="center"/>
          </w:tcPr>
          <w:p w14:paraId="1B42685E">
            <w:pPr>
              <w:spacing w:line="240" w:lineRule="auto"/>
              <w:ind w:firstLine="0" w:firstLineChars="0"/>
              <w:jc w:val="center"/>
              <w:rPr>
                <w:rFonts w:ascii="仿宋_GB2312" w:hAnsi="Calibri" w:eastAsia="仿宋_GB2312"/>
                <w:sz w:val="21"/>
                <w:szCs w:val="21"/>
              </w:rPr>
            </w:pPr>
            <w:r>
              <w:rPr>
                <w:rFonts w:hint="eastAsia" w:ascii="仿宋_GB2312" w:hAnsi="Calibri" w:eastAsia="仿宋_GB2312"/>
                <w:sz w:val="21"/>
                <w:szCs w:val="21"/>
              </w:rPr>
              <w:t>健全</w:t>
            </w:r>
          </w:p>
        </w:tc>
        <w:tc>
          <w:tcPr>
            <w:tcW w:w="386" w:type="pct"/>
            <w:vAlign w:val="center"/>
          </w:tcPr>
          <w:p w14:paraId="43373B15">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494" w:type="pct"/>
            <w:vAlign w:val="center"/>
          </w:tcPr>
          <w:p w14:paraId="70C81680">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lang w:val="en-US" w:eastAsia="zh-CN"/>
              </w:rPr>
              <w:t>较</w:t>
            </w:r>
            <w:r>
              <w:rPr>
                <w:rFonts w:hint="eastAsia" w:ascii="仿宋_GB2312" w:hAnsi="Calibri" w:eastAsia="仿宋_GB2312"/>
                <w:sz w:val="21"/>
                <w:szCs w:val="21"/>
              </w:rPr>
              <w:t>健全</w:t>
            </w:r>
          </w:p>
        </w:tc>
        <w:tc>
          <w:tcPr>
            <w:tcW w:w="336" w:type="pct"/>
            <w:vAlign w:val="center"/>
          </w:tcPr>
          <w:p w14:paraId="32CAAF2C">
            <w:pPr>
              <w:spacing w:line="240" w:lineRule="auto"/>
              <w:ind w:firstLine="0" w:firstLineChars="0"/>
              <w:jc w:val="center"/>
              <w:rPr>
                <w:rFonts w:hint="eastAsia" w:ascii="Times New Roman" w:hAnsi="Times New Roman" w:eastAsia="仿宋" w:cs="Times New Roman"/>
                <w:color w:val="000000"/>
                <w:sz w:val="24"/>
                <w:szCs w:val="24"/>
              </w:rPr>
            </w:pPr>
            <w:r>
              <w:rPr>
                <w:rFonts w:hint="eastAsia" w:ascii="仿宋_GB2312" w:hAnsi="仿宋_GB2312" w:cs="仿宋_GB2312"/>
                <w:b w:val="0"/>
                <w:bCs w:val="0"/>
                <w:sz w:val="24"/>
                <w:lang w:val="en-US" w:eastAsia="zh-CN"/>
              </w:rPr>
              <w:t>2</w:t>
            </w:r>
          </w:p>
        </w:tc>
      </w:tr>
      <w:tr w14:paraId="06F55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7" w:hRule="exact"/>
        </w:trPr>
        <w:tc>
          <w:tcPr>
            <w:tcW w:w="464" w:type="pct"/>
            <w:vMerge w:val="continue"/>
            <w:vAlign w:val="center"/>
          </w:tcPr>
          <w:p w14:paraId="4F3A8B88">
            <w:pPr>
              <w:snapToGrid w:val="0"/>
              <w:spacing w:line="360" w:lineRule="exact"/>
              <w:ind w:firstLine="0" w:firstLineChars="0"/>
              <w:jc w:val="center"/>
              <w:rPr>
                <w:rFonts w:ascii="仿宋_GB2312" w:hAnsi="仿宋_GB2312" w:eastAsia="仿宋_GB2312" w:cs="仿宋_GB2312"/>
                <w:sz w:val="24"/>
                <w:szCs w:val="24"/>
              </w:rPr>
            </w:pPr>
          </w:p>
        </w:tc>
        <w:tc>
          <w:tcPr>
            <w:tcW w:w="387" w:type="pct"/>
            <w:vMerge w:val="continue"/>
            <w:vAlign w:val="center"/>
          </w:tcPr>
          <w:p w14:paraId="55865E13">
            <w:pPr>
              <w:snapToGrid w:val="0"/>
              <w:spacing w:line="400" w:lineRule="exact"/>
              <w:ind w:firstLine="0" w:firstLineChars="0"/>
              <w:jc w:val="center"/>
              <w:rPr>
                <w:rFonts w:ascii="Times New Roman" w:hAnsi="Times New Roman" w:eastAsia="仿宋" w:cs="Times New Roman"/>
                <w:color w:val="000000"/>
                <w:sz w:val="24"/>
                <w:szCs w:val="24"/>
              </w:rPr>
            </w:pPr>
          </w:p>
        </w:tc>
        <w:tc>
          <w:tcPr>
            <w:tcW w:w="770" w:type="pct"/>
            <w:vMerge w:val="continue"/>
            <w:vAlign w:val="center"/>
          </w:tcPr>
          <w:p w14:paraId="49668C71">
            <w:pPr>
              <w:snapToGrid w:val="0"/>
              <w:spacing w:line="400" w:lineRule="exact"/>
              <w:ind w:firstLine="0" w:firstLineChars="0"/>
              <w:jc w:val="center"/>
              <w:rPr>
                <w:rFonts w:ascii="仿宋_GB2312" w:hAnsi="仿宋_GB2312" w:eastAsia="仿宋_GB2312" w:cs="仿宋_GB2312"/>
                <w:color w:val="000000"/>
                <w:sz w:val="24"/>
                <w:szCs w:val="24"/>
              </w:rPr>
            </w:pPr>
          </w:p>
        </w:tc>
        <w:tc>
          <w:tcPr>
            <w:tcW w:w="384" w:type="pct"/>
            <w:vMerge w:val="continue"/>
            <w:vAlign w:val="center"/>
          </w:tcPr>
          <w:p w14:paraId="0DBE22B7">
            <w:pPr>
              <w:snapToGrid w:val="0"/>
              <w:spacing w:line="400" w:lineRule="exact"/>
              <w:ind w:firstLine="0" w:firstLineChars="0"/>
              <w:jc w:val="center"/>
              <w:rPr>
                <w:rFonts w:ascii="Times New Roman" w:hAnsi="Times New Roman" w:eastAsia="仿宋" w:cs="Times New Roman"/>
                <w:color w:val="000000"/>
                <w:sz w:val="24"/>
                <w:szCs w:val="24"/>
              </w:rPr>
            </w:pPr>
          </w:p>
        </w:tc>
        <w:tc>
          <w:tcPr>
            <w:tcW w:w="1236" w:type="pct"/>
            <w:vAlign w:val="center"/>
          </w:tcPr>
          <w:p w14:paraId="0EA08C80">
            <w:pPr>
              <w:spacing w:line="240" w:lineRule="auto"/>
              <w:ind w:firstLine="0" w:firstLineChars="0"/>
              <w:jc w:val="both"/>
              <w:rPr>
                <w:rFonts w:ascii="仿宋_GB2312" w:hAnsi="Calibri" w:eastAsia="仿宋_GB2312"/>
                <w:sz w:val="21"/>
                <w:szCs w:val="21"/>
              </w:rPr>
            </w:pPr>
            <w:r>
              <w:rPr>
                <w:rFonts w:hint="eastAsia" w:ascii="仿宋_GB2312" w:hAnsi="Calibri" w:eastAsia="仿宋_GB2312"/>
                <w:sz w:val="21"/>
                <w:szCs w:val="21"/>
              </w:rPr>
              <w:t>B22制度执行有效性</w:t>
            </w:r>
          </w:p>
        </w:tc>
        <w:tc>
          <w:tcPr>
            <w:tcW w:w="538" w:type="pct"/>
            <w:vAlign w:val="center"/>
          </w:tcPr>
          <w:p w14:paraId="4DE3C916">
            <w:pPr>
              <w:spacing w:line="240" w:lineRule="auto"/>
              <w:ind w:firstLine="0" w:firstLineChars="0"/>
              <w:jc w:val="center"/>
              <w:rPr>
                <w:rFonts w:ascii="仿宋_GB2312" w:hAnsi="Calibri" w:eastAsia="仿宋_GB2312"/>
                <w:sz w:val="21"/>
                <w:szCs w:val="21"/>
              </w:rPr>
            </w:pPr>
            <w:r>
              <w:rPr>
                <w:rFonts w:hint="eastAsia" w:ascii="仿宋_GB2312" w:hAnsi="Calibri" w:eastAsia="仿宋_GB2312"/>
                <w:sz w:val="21"/>
                <w:szCs w:val="21"/>
              </w:rPr>
              <w:t>有效</w:t>
            </w:r>
          </w:p>
        </w:tc>
        <w:tc>
          <w:tcPr>
            <w:tcW w:w="386" w:type="pct"/>
            <w:vAlign w:val="center"/>
          </w:tcPr>
          <w:p w14:paraId="4E850666">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494" w:type="pct"/>
            <w:vAlign w:val="center"/>
          </w:tcPr>
          <w:p w14:paraId="471A5157">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lang w:val="en-US" w:eastAsia="zh-CN"/>
              </w:rPr>
              <w:t>无</w:t>
            </w:r>
            <w:r>
              <w:rPr>
                <w:rFonts w:hint="eastAsia" w:ascii="仿宋_GB2312" w:hAnsi="Calibri" w:eastAsia="仿宋_GB2312"/>
                <w:sz w:val="21"/>
                <w:szCs w:val="21"/>
              </w:rPr>
              <w:t>效</w:t>
            </w:r>
          </w:p>
        </w:tc>
        <w:tc>
          <w:tcPr>
            <w:tcW w:w="336" w:type="pct"/>
            <w:vAlign w:val="center"/>
          </w:tcPr>
          <w:p w14:paraId="4475E6C8">
            <w:pPr>
              <w:spacing w:line="240" w:lineRule="auto"/>
              <w:ind w:firstLine="0" w:firstLineChars="0"/>
              <w:jc w:val="center"/>
              <w:rPr>
                <w:rFonts w:hint="eastAsia" w:ascii="Times New Roman" w:hAnsi="Times New Roman" w:eastAsia="仿宋" w:cs="Times New Roman"/>
                <w:color w:val="000000"/>
                <w:sz w:val="24"/>
                <w:szCs w:val="24"/>
              </w:rPr>
            </w:pPr>
            <w:r>
              <w:rPr>
                <w:rFonts w:hint="eastAsia" w:ascii="仿宋_GB2312" w:hAnsi="仿宋_GB2312" w:cs="仿宋_GB2312"/>
                <w:b w:val="0"/>
                <w:bCs w:val="0"/>
                <w:sz w:val="24"/>
                <w:lang w:val="en-US" w:eastAsia="zh-CN"/>
              </w:rPr>
              <w:t>0</w:t>
            </w:r>
          </w:p>
        </w:tc>
      </w:tr>
      <w:tr w14:paraId="7B8D2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464" w:type="pct"/>
            <w:vMerge w:val="restart"/>
            <w:vAlign w:val="center"/>
          </w:tcPr>
          <w:p w14:paraId="3906FA1B">
            <w:pPr>
              <w:snapToGrid w:val="0"/>
              <w:spacing w:line="360" w:lineRule="exact"/>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C产出</w:t>
            </w:r>
          </w:p>
        </w:tc>
        <w:tc>
          <w:tcPr>
            <w:tcW w:w="387" w:type="pct"/>
            <w:vMerge w:val="restart"/>
            <w:vAlign w:val="center"/>
          </w:tcPr>
          <w:p w14:paraId="6E03C74E">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30</w:t>
            </w:r>
          </w:p>
        </w:tc>
        <w:tc>
          <w:tcPr>
            <w:tcW w:w="770" w:type="pct"/>
            <w:vMerge w:val="restart"/>
            <w:vAlign w:val="center"/>
          </w:tcPr>
          <w:p w14:paraId="2E85919C">
            <w:pPr>
              <w:spacing w:line="240" w:lineRule="auto"/>
              <w:ind w:firstLine="0" w:firstLineChars="0"/>
              <w:jc w:val="center"/>
              <w:rPr>
                <w:rFonts w:ascii="仿宋_GB2312" w:hAnsi="Calibri" w:eastAsia="仿宋_GB2312"/>
                <w:sz w:val="21"/>
                <w:szCs w:val="21"/>
              </w:rPr>
            </w:pPr>
            <w:r>
              <w:rPr>
                <w:rFonts w:hint="eastAsia" w:ascii="仿宋_GB2312" w:hAnsi="Calibri" w:eastAsia="仿宋_GB2312"/>
                <w:sz w:val="21"/>
                <w:szCs w:val="21"/>
              </w:rPr>
              <w:t>C1产出数量</w:t>
            </w:r>
          </w:p>
        </w:tc>
        <w:tc>
          <w:tcPr>
            <w:tcW w:w="384" w:type="pct"/>
            <w:vMerge w:val="restart"/>
            <w:vAlign w:val="center"/>
          </w:tcPr>
          <w:p w14:paraId="1A20A3EA">
            <w:pPr>
              <w:snapToGrid w:val="0"/>
              <w:spacing w:line="400" w:lineRule="exact"/>
              <w:ind w:firstLine="120" w:firstLineChars="50"/>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8</w:t>
            </w:r>
          </w:p>
        </w:tc>
        <w:tc>
          <w:tcPr>
            <w:tcW w:w="1236" w:type="pct"/>
            <w:vAlign w:val="center"/>
          </w:tcPr>
          <w:p w14:paraId="58E49742">
            <w:pPr>
              <w:spacing w:line="240" w:lineRule="auto"/>
              <w:ind w:firstLine="0" w:firstLineChars="0"/>
              <w:jc w:val="center"/>
              <w:rPr>
                <w:rFonts w:hint="default" w:ascii="仿宋_GB2312" w:hAnsi="Calibri" w:eastAsia="仿宋_GB2312"/>
                <w:color w:val="000000"/>
                <w:sz w:val="21"/>
                <w:szCs w:val="21"/>
                <w:lang w:val="en-US" w:eastAsia="zh-CN"/>
              </w:rPr>
            </w:pPr>
            <w:r>
              <w:rPr>
                <w:rFonts w:hint="eastAsia" w:ascii="仿宋_GB2312" w:hAnsi="Calibri" w:eastAsia="仿宋_GB2312"/>
                <w:sz w:val="21"/>
                <w:szCs w:val="21"/>
              </w:rPr>
              <w:t>C11</w:t>
            </w:r>
            <w:r>
              <w:rPr>
                <w:rFonts w:hint="eastAsia" w:ascii="仿宋_GB2312" w:hAnsi="Calibri" w:eastAsia="仿宋_GB2312"/>
                <w:sz w:val="21"/>
                <w:szCs w:val="21"/>
                <w:lang w:val="en-US" w:eastAsia="zh-CN"/>
              </w:rPr>
              <w:t>综合教学楼建筑面积完成率</w:t>
            </w:r>
          </w:p>
        </w:tc>
        <w:tc>
          <w:tcPr>
            <w:tcW w:w="538" w:type="pct"/>
            <w:vAlign w:val="center"/>
          </w:tcPr>
          <w:p w14:paraId="1AE3833A">
            <w:pPr>
              <w:spacing w:line="240" w:lineRule="auto"/>
              <w:ind w:firstLine="0" w:firstLineChars="0"/>
              <w:jc w:val="center"/>
              <w:rPr>
                <w:rFonts w:ascii="仿宋_GB2312" w:hAnsi="Calibri" w:eastAsia="仿宋_GB2312"/>
                <w:b/>
                <w:bCs/>
                <w:color w:val="000000"/>
                <w:kern w:val="0"/>
                <w:sz w:val="21"/>
                <w:szCs w:val="21"/>
              </w:rPr>
            </w:pPr>
            <w:r>
              <w:rPr>
                <w:rFonts w:hint="eastAsia" w:ascii="仿宋_GB2312" w:hAnsi="Calibri" w:eastAsia="仿宋_GB2312"/>
                <w:sz w:val="21"/>
                <w:szCs w:val="21"/>
              </w:rPr>
              <w:t>100%</w:t>
            </w:r>
          </w:p>
        </w:tc>
        <w:tc>
          <w:tcPr>
            <w:tcW w:w="386" w:type="pct"/>
            <w:vAlign w:val="center"/>
          </w:tcPr>
          <w:p w14:paraId="4D39664F">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494" w:type="pct"/>
            <w:vAlign w:val="center"/>
          </w:tcPr>
          <w:p w14:paraId="58B7CA27">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lang w:val="en-US" w:eastAsia="zh-CN"/>
              </w:rPr>
              <w:t>100%</w:t>
            </w:r>
          </w:p>
        </w:tc>
        <w:tc>
          <w:tcPr>
            <w:tcW w:w="336" w:type="pct"/>
            <w:vAlign w:val="center"/>
          </w:tcPr>
          <w:p w14:paraId="3ABDA8D9">
            <w:pPr>
              <w:spacing w:line="240" w:lineRule="auto"/>
              <w:ind w:firstLine="0" w:firstLineChars="0"/>
              <w:jc w:val="center"/>
              <w:rPr>
                <w:rFonts w:hint="eastAsia" w:ascii="Times New Roman" w:hAnsi="Times New Roman" w:eastAsia="仿宋" w:cs="Times New Roman"/>
                <w:color w:val="000000"/>
                <w:sz w:val="24"/>
                <w:szCs w:val="24"/>
              </w:rPr>
            </w:pPr>
            <w:r>
              <w:rPr>
                <w:rFonts w:hint="eastAsia" w:ascii="仿宋_GB2312" w:hAnsi="仿宋_GB2312" w:cs="仿宋_GB2312"/>
                <w:b w:val="0"/>
                <w:bCs w:val="0"/>
                <w:sz w:val="24"/>
                <w:lang w:val="en-US" w:eastAsia="zh-CN"/>
              </w:rPr>
              <w:t>4</w:t>
            </w:r>
          </w:p>
        </w:tc>
      </w:tr>
      <w:tr w14:paraId="21CD2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464" w:type="pct"/>
            <w:vMerge w:val="continue"/>
            <w:vAlign w:val="center"/>
          </w:tcPr>
          <w:p w14:paraId="7FFFF16B">
            <w:pPr>
              <w:snapToGrid w:val="0"/>
              <w:spacing w:line="360" w:lineRule="exact"/>
              <w:ind w:firstLine="0" w:firstLineChars="0"/>
              <w:jc w:val="center"/>
              <w:rPr>
                <w:rFonts w:ascii="仿宋_GB2312" w:hAnsi="仿宋_GB2312" w:eastAsia="仿宋_GB2312" w:cs="仿宋_GB2312"/>
                <w:sz w:val="24"/>
                <w:szCs w:val="24"/>
              </w:rPr>
            </w:pPr>
          </w:p>
        </w:tc>
        <w:tc>
          <w:tcPr>
            <w:tcW w:w="387" w:type="pct"/>
            <w:vMerge w:val="continue"/>
            <w:vAlign w:val="center"/>
          </w:tcPr>
          <w:p w14:paraId="6D267681">
            <w:pPr>
              <w:snapToGrid w:val="0"/>
              <w:spacing w:line="400" w:lineRule="exact"/>
              <w:ind w:firstLine="0" w:firstLineChars="0"/>
              <w:jc w:val="center"/>
              <w:rPr>
                <w:rFonts w:ascii="Times New Roman" w:hAnsi="Times New Roman" w:eastAsia="仿宋" w:cs="Times New Roman"/>
                <w:color w:val="000000"/>
                <w:sz w:val="24"/>
                <w:szCs w:val="24"/>
              </w:rPr>
            </w:pPr>
          </w:p>
        </w:tc>
        <w:tc>
          <w:tcPr>
            <w:tcW w:w="770" w:type="pct"/>
            <w:vMerge w:val="continue"/>
            <w:vAlign w:val="center"/>
          </w:tcPr>
          <w:p w14:paraId="69F0FA52">
            <w:pPr>
              <w:spacing w:line="240" w:lineRule="auto"/>
              <w:ind w:firstLine="0" w:firstLineChars="0"/>
              <w:jc w:val="center"/>
              <w:rPr>
                <w:rFonts w:ascii="仿宋_GB2312" w:hAnsi="Calibri" w:eastAsia="仿宋_GB2312"/>
                <w:sz w:val="21"/>
                <w:szCs w:val="21"/>
              </w:rPr>
            </w:pPr>
          </w:p>
        </w:tc>
        <w:tc>
          <w:tcPr>
            <w:tcW w:w="384" w:type="pct"/>
            <w:vMerge w:val="continue"/>
            <w:vAlign w:val="center"/>
          </w:tcPr>
          <w:p w14:paraId="21F4E505">
            <w:pPr>
              <w:snapToGrid w:val="0"/>
              <w:spacing w:line="400" w:lineRule="exact"/>
              <w:ind w:firstLine="120" w:firstLineChars="50"/>
              <w:rPr>
                <w:rFonts w:ascii="Times New Roman" w:hAnsi="Times New Roman" w:eastAsia="仿宋" w:cs="Times New Roman"/>
                <w:color w:val="000000"/>
                <w:sz w:val="24"/>
                <w:szCs w:val="24"/>
              </w:rPr>
            </w:pPr>
          </w:p>
        </w:tc>
        <w:tc>
          <w:tcPr>
            <w:tcW w:w="1236" w:type="pct"/>
            <w:vAlign w:val="center"/>
          </w:tcPr>
          <w:p w14:paraId="4611270E">
            <w:pPr>
              <w:spacing w:line="240" w:lineRule="auto"/>
              <w:ind w:firstLine="0" w:firstLineChars="0"/>
              <w:jc w:val="both"/>
              <w:rPr>
                <w:rFonts w:ascii="仿宋_GB2312" w:hAnsi="Calibri" w:eastAsia="仿宋_GB2312"/>
                <w:sz w:val="21"/>
                <w:szCs w:val="21"/>
              </w:rPr>
            </w:pPr>
            <w:r>
              <w:rPr>
                <w:rFonts w:hint="eastAsia" w:ascii="仿宋_GB2312" w:hAnsi="Calibri" w:eastAsia="仿宋_GB2312"/>
                <w:sz w:val="21"/>
                <w:szCs w:val="21"/>
              </w:rPr>
              <w:t>C12</w:t>
            </w:r>
            <w:r>
              <w:rPr>
                <w:rFonts w:hint="eastAsia" w:ascii="仿宋_GB2312" w:hAnsi="Calibri" w:eastAsia="仿宋_GB2312"/>
                <w:sz w:val="21"/>
                <w:szCs w:val="21"/>
                <w:lang w:val="en-US" w:eastAsia="zh-CN"/>
              </w:rPr>
              <w:t>学员人数容纳</w:t>
            </w:r>
            <w:r>
              <w:rPr>
                <w:rFonts w:hint="eastAsia" w:ascii="仿宋_GB2312" w:hAnsi="Calibri" w:eastAsia="仿宋_GB2312"/>
                <w:sz w:val="21"/>
                <w:szCs w:val="21"/>
              </w:rPr>
              <w:t>率</w:t>
            </w:r>
          </w:p>
        </w:tc>
        <w:tc>
          <w:tcPr>
            <w:tcW w:w="538" w:type="pct"/>
            <w:vAlign w:val="center"/>
          </w:tcPr>
          <w:p w14:paraId="077ABD41">
            <w:pPr>
              <w:spacing w:line="240" w:lineRule="auto"/>
              <w:ind w:firstLine="0" w:firstLineChars="0"/>
              <w:jc w:val="center"/>
              <w:rPr>
                <w:rFonts w:ascii="仿宋_GB2312" w:hAnsi="Calibri" w:eastAsia="仿宋_GB2312"/>
                <w:sz w:val="21"/>
                <w:szCs w:val="21"/>
              </w:rPr>
            </w:pPr>
            <w:r>
              <w:rPr>
                <w:rFonts w:hint="eastAsia" w:ascii="仿宋_GB2312" w:hAnsi="Calibri" w:eastAsia="仿宋_GB2312"/>
                <w:sz w:val="21"/>
                <w:szCs w:val="21"/>
              </w:rPr>
              <w:t>100%</w:t>
            </w:r>
          </w:p>
        </w:tc>
        <w:tc>
          <w:tcPr>
            <w:tcW w:w="386" w:type="pct"/>
            <w:vAlign w:val="center"/>
          </w:tcPr>
          <w:p w14:paraId="4CA0549A">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494" w:type="pct"/>
            <w:vAlign w:val="center"/>
          </w:tcPr>
          <w:p w14:paraId="0BD3038E">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lang w:val="en-US" w:eastAsia="zh-CN"/>
              </w:rPr>
              <w:t>100%</w:t>
            </w:r>
          </w:p>
        </w:tc>
        <w:tc>
          <w:tcPr>
            <w:tcW w:w="336" w:type="pct"/>
            <w:vAlign w:val="center"/>
          </w:tcPr>
          <w:p w14:paraId="49142343">
            <w:pPr>
              <w:spacing w:line="240" w:lineRule="auto"/>
              <w:ind w:firstLine="0" w:firstLineChars="0"/>
              <w:jc w:val="center"/>
              <w:rPr>
                <w:rFonts w:hint="eastAsia" w:ascii="Times New Roman" w:hAnsi="Times New Roman" w:eastAsia="仿宋" w:cs="Times New Roman"/>
                <w:color w:val="000000"/>
                <w:sz w:val="24"/>
                <w:szCs w:val="24"/>
              </w:rPr>
            </w:pPr>
            <w:r>
              <w:rPr>
                <w:rFonts w:hint="eastAsia" w:ascii="仿宋_GB2312" w:hAnsi="仿宋_GB2312" w:cs="仿宋_GB2312"/>
                <w:b w:val="0"/>
                <w:bCs w:val="0"/>
                <w:sz w:val="24"/>
                <w:lang w:val="en-US" w:eastAsia="zh-CN"/>
              </w:rPr>
              <w:t>4</w:t>
            </w:r>
          </w:p>
        </w:tc>
      </w:tr>
      <w:tr w14:paraId="1D261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75" w:hRule="exact"/>
        </w:trPr>
        <w:tc>
          <w:tcPr>
            <w:tcW w:w="464" w:type="pct"/>
            <w:vMerge w:val="continue"/>
            <w:vAlign w:val="center"/>
          </w:tcPr>
          <w:p w14:paraId="2FEC75F8">
            <w:pPr>
              <w:snapToGrid w:val="0"/>
              <w:spacing w:line="360" w:lineRule="exact"/>
              <w:ind w:firstLine="0" w:firstLineChars="0"/>
              <w:jc w:val="center"/>
              <w:rPr>
                <w:rFonts w:ascii="仿宋_GB2312" w:hAnsi="仿宋_GB2312" w:eastAsia="仿宋_GB2312" w:cs="仿宋_GB2312"/>
                <w:sz w:val="24"/>
                <w:szCs w:val="24"/>
              </w:rPr>
            </w:pPr>
          </w:p>
        </w:tc>
        <w:tc>
          <w:tcPr>
            <w:tcW w:w="387" w:type="pct"/>
            <w:vMerge w:val="continue"/>
            <w:vAlign w:val="center"/>
          </w:tcPr>
          <w:p w14:paraId="0D1EA214">
            <w:pPr>
              <w:snapToGrid w:val="0"/>
              <w:spacing w:line="400" w:lineRule="exact"/>
              <w:ind w:firstLine="0" w:firstLineChars="0"/>
              <w:jc w:val="center"/>
              <w:rPr>
                <w:rFonts w:ascii="Times New Roman" w:hAnsi="Times New Roman" w:eastAsia="仿宋" w:cs="Times New Roman"/>
                <w:color w:val="000000"/>
                <w:sz w:val="24"/>
                <w:szCs w:val="24"/>
              </w:rPr>
            </w:pPr>
          </w:p>
        </w:tc>
        <w:tc>
          <w:tcPr>
            <w:tcW w:w="770" w:type="pct"/>
            <w:vAlign w:val="center"/>
          </w:tcPr>
          <w:p w14:paraId="1454EED0">
            <w:pPr>
              <w:spacing w:line="240" w:lineRule="auto"/>
              <w:ind w:firstLine="0" w:firstLineChars="0"/>
              <w:jc w:val="center"/>
              <w:rPr>
                <w:rFonts w:ascii="仿宋_GB2312" w:hAnsi="Calibri" w:eastAsia="仿宋_GB2312"/>
                <w:sz w:val="21"/>
                <w:szCs w:val="21"/>
              </w:rPr>
            </w:pPr>
            <w:r>
              <w:rPr>
                <w:rFonts w:hint="eastAsia" w:ascii="仿宋_GB2312" w:hAnsi="Calibri" w:eastAsia="仿宋_GB2312"/>
                <w:sz w:val="21"/>
                <w:szCs w:val="21"/>
              </w:rPr>
              <w:t>C2产出质量</w:t>
            </w:r>
          </w:p>
        </w:tc>
        <w:tc>
          <w:tcPr>
            <w:tcW w:w="384" w:type="pct"/>
            <w:vAlign w:val="center"/>
          </w:tcPr>
          <w:p w14:paraId="13267DD8">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8</w:t>
            </w:r>
          </w:p>
        </w:tc>
        <w:tc>
          <w:tcPr>
            <w:tcW w:w="1236" w:type="pct"/>
            <w:vAlign w:val="center"/>
          </w:tcPr>
          <w:p w14:paraId="1D03A739">
            <w:pPr>
              <w:spacing w:line="240" w:lineRule="auto"/>
              <w:ind w:firstLine="0" w:firstLineChars="0"/>
              <w:jc w:val="both"/>
              <w:rPr>
                <w:rFonts w:ascii="仿宋_GB2312" w:hAnsi="Calibri" w:eastAsia="仿宋_GB2312"/>
                <w:color w:val="000000"/>
                <w:sz w:val="21"/>
                <w:szCs w:val="21"/>
              </w:rPr>
            </w:pPr>
            <w:r>
              <w:rPr>
                <w:rFonts w:hint="eastAsia" w:ascii="仿宋_GB2312" w:hAnsi="Calibri" w:eastAsia="仿宋_GB2312"/>
                <w:sz w:val="21"/>
                <w:szCs w:val="21"/>
              </w:rPr>
              <w:t>C21</w:t>
            </w:r>
            <w:r>
              <w:rPr>
                <w:rFonts w:hint="eastAsia" w:ascii="仿宋_GB2312" w:hAnsi="Calibri" w:eastAsia="仿宋_GB2312"/>
                <w:sz w:val="21"/>
                <w:szCs w:val="21"/>
                <w:lang w:val="en-US" w:eastAsia="zh-CN"/>
              </w:rPr>
              <w:t>质量合格</w:t>
            </w:r>
            <w:r>
              <w:rPr>
                <w:rFonts w:hint="eastAsia" w:ascii="仿宋_GB2312" w:hAnsi="Calibri" w:eastAsia="仿宋_GB2312"/>
                <w:sz w:val="21"/>
                <w:szCs w:val="21"/>
              </w:rPr>
              <w:t>率</w:t>
            </w:r>
          </w:p>
        </w:tc>
        <w:tc>
          <w:tcPr>
            <w:tcW w:w="538" w:type="pct"/>
            <w:vAlign w:val="center"/>
          </w:tcPr>
          <w:p w14:paraId="77B262DD">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sz w:val="21"/>
                <w:szCs w:val="21"/>
              </w:rPr>
              <w:t>100%</w:t>
            </w:r>
          </w:p>
        </w:tc>
        <w:tc>
          <w:tcPr>
            <w:tcW w:w="386" w:type="pct"/>
            <w:vAlign w:val="center"/>
          </w:tcPr>
          <w:p w14:paraId="1AAB2304">
            <w:pPr>
              <w:snapToGrid w:val="0"/>
              <w:spacing w:line="400" w:lineRule="exact"/>
              <w:ind w:firstLine="0" w:firstLineChars="0"/>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lang w:val="en-US" w:eastAsia="zh-CN"/>
              </w:rPr>
              <w:t>8</w:t>
            </w:r>
          </w:p>
        </w:tc>
        <w:tc>
          <w:tcPr>
            <w:tcW w:w="494" w:type="pct"/>
            <w:vAlign w:val="center"/>
          </w:tcPr>
          <w:p w14:paraId="08E616A8">
            <w:pPr>
              <w:spacing w:line="240" w:lineRule="atLeast"/>
              <w:ind w:firstLine="0" w:firstLineChars="0"/>
              <w:jc w:val="center"/>
              <w:rPr>
                <w:rFonts w:hint="eastAsia" w:ascii="仿宋_GB2312" w:hAnsi="Calibri" w:eastAsia="仿宋_GB2312"/>
                <w:sz w:val="21"/>
                <w:szCs w:val="21"/>
                <w:lang w:val="en-US" w:eastAsia="zh-CN"/>
              </w:rPr>
            </w:pPr>
            <w:r>
              <w:rPr>
                <w:rFonts w:hint="eastAsia" w:ascii="仿宋_GB2312" w:hAnsi="Calibri" w:eastAsia="仿宋_GB2312"/>
                <w:sz w:val="21"/>
                <w:szCs w:val="21"/>
                <w:lang w:val="en-US" w:eastAsia="zh-CN"/>
              </w:rPr>
              <w:t>现场勘察100%</w:t>
            </w:r>
          </w:p>
        </w:tc>
        <w:tc>
          <w:tcPr>
            <w:tcW w:w="336" w:type="pct"/>
            <w:vAlign w:val="center"/>
          </w:tcPr>
          <w:p w14:paraId="056B85A0">
            <w:pPr>
              <w:spacing w:line="240" w:lineRule="auto"/>
              <w:ind w:firstLine="0" w:firstLineChars="0"/>
              <w:jc w:val="center"/>
              <w:rPr>
                <w:rFonts w:hint="eastAsia" w:ascii="Times New Roman" w:hAnsi="Times New Roman" w:eastAsia="仿宋" w:cs="Times New Roman"/>
                <w:color w:val="000000"/>
                <w:sz w:val="24"/>
                <w:szCs w:val="24"/>
                <w:lang w:val="en-US" w:eastAsia="zh-CN"/>
              </w:rPr>
            </w:pPr>
            <w:r>
              <w:rPr>
                <w:rFonts w:hint="eastAsia" w:ascii="仿宋_GB2312" w:hAnsi="仿宋_GB2312" w:cs="仿宋_GB2312"/>
                <w:b w:val="0"/>
                <w:bCs w:val="0"/>
                <w:sz w:val="24"/>
                <w:lang w:val="en-US" w:eastAsia="zh-CN"/>
              </w:rPr>
              <w:t>4</w:t>
            </w:r>
          </w:p>
        </w:tc>
      </w:tr>
      <w:tr w14:paraId="3E164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exact"/>
        </w:trPr>
        <w:tc>
          <w:tcPr>
            <w:tcW w:w="464" w:type="pct"/>
            <w:vMerge w:val="continue"/>
            <w:vAlign w:val="center"/>
          </w:tcPr>
          <w:p w14:paraId="168A1D24">
            <w:pPr>
              <w:snapToGrid w:val="0"/>
              <w:spacing w:line="360" w:lineRule="exact"/>
              <w:ind w:firstLine="0" w:firstLineChars="0"/>
              <w:jc w:val="center"/>
              <w:rPr>
                <w:rFonts w:ascii="仿宋_GB2312" w:hAnsi="仿宋_GB2312" w:eastAsia="仿宋_GB2312" w:cs="仿宋_GB2312"/>
                <w:sz w:val="24"/>
                <w:szCs w:val="24"/>
              </w:rPr>
            </w:pPr>
          </w:p>
        </w:tc>
        <w:tc>
          <w:tcPr>
            <w:tcW w:w="387" w:type="pct"/>
            <w:vMerge w:val="continue"/>
            <w:vAlign w:val="center"/>
          </w:tcPr>
          <w:p w14:paraId="15D4E6DF">
            <w:pPr>
              <w:snapToGrid w:val="0"/>
              <w:spacing w:line="400" w:lineRule="exact"/>
              <w:ind w:firstLine="0" w:firstLineChars="0"/>
              <w:jc w:val="center"/>
              <w:rPr>
                <w:rFonts w:ascii="Times New Roman" w:hAnsi="Times New Roman" w:eastAsia="仿宋" w:cs="Times New Roman"/>
                <w:color w:val="000000"/>
                <w:sz w:val="24"/>
                <w:szCs w:val="24"/>
              </w:rPr>
            </w:pPr>
          </w:p>
        </w:tc>
        <w:tc>
          <w:tcPr>
            <w:tcW w:w="770" w:type="pct"/>
            <w:vMerge w:val="restart"/>
            <w:vAlign w:val="center"/>
          </w:tcPr>
          <w:p w14:paraId="48447E78">
            <w:pPr>
              <w:spacing w:line="240" w:lineRule="auto"/>
              <w:ind w:firstLine="0" w:firstLineChars="0"/>
              <w:jc w:val="center"/>
              <w:rPr>
                <w:rFonts w:ascii="仿宋_GB2312" w:hAnsi="Calibri" w:eastAsia="仿宋_GB2312"/>
                <w:sz w:val="21"/>
                <w:szCs w:val="21"/>
              </w:rPr>
            </w:pPr>
            <w:r>
              <w:rPr>
                <w:rFonts w:hint="eastAsia" w:ascii="仿宋_GB2312" w:hAnsi="Calibri" w:eastAsia="仿宋_GB2312"/>
                <w:sz w:val="21"/>
                <w:szCs w:val="21"/>
              </w:rPr>
              <w:t>C3产出时效</w:t>
            </w:r>
          </w:p>
        </w:tc>
        <w:tc>
          <w:tcPr>
            <w:tcW w:w="384" w:type="pct"/>
            <w:vMerge w:val="restart"/>
            <w:vAlign w:val="center"/>
          </w:tcPr>
          <w:p w14:paraId="2F74E967">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8</w:t>
            </w:r>
          </w:p>
        </w:tc>
        <w:tc>
          <w:tcPr>
            <w:tcW w:w="1236" w:type="pct"/>
            <w:vAlign w:val="center"/>
          </w:tcPr>
          <w:p w14:paraId="250EE396">
            <w:pPr>
              <w:spacing w:line="240" w:lineRule="auto"/>
              <w:ind w:firstLine="0" w:firstLineChars="0"/>
              <w:jc w:val="both"/>
              <w:rPr>
                <w:rFonts w:ascii="仿宋_GB2312" w:hAnsi="Calibri" w:eastAsia="仿宋_GB2312"/>
                <w:color w:val="000000"/>
                <w:sz w:val="21"/>
                <w:szCs w:val="21"/>
              </w:rPr>
            </w:pPr>
            <w:r>
              <w:rPr>
                <w:rFonts w:hint="eastAsia" w:ascii="仿宋_GB2312" w:hAnsi="Calibri" w:eastAsia="仿宋_GB2312"/>
                <w:sz w:val="21"/>
                <w:szCs w:val="21"/>
              </w:rPr>
              <w:t>C31</w:t>
            </w:r>
            <w:r>
              <w:rPr>
                <w:rFonts w:hint="eastAsia" w:ascii="仿宋_GB2312" w:hAnsi="Calibri" w:eastAsia="仿宋_GB2312"/>
                <w:sz w:val="21"/>
                <w:szCs w:val="21"/>
                <w:lang w:val="en-US" w:eastAsia="zh-CN"/>
              </w:rPr>
              <w:t>项目完工</w:t>
            </w:r>
            <w:r>
              <w:rPr>
                <w:rFonts w:hint="eastAsia" w:ascii="仿宋_GB2312" w:hAnsi="Calibri" w:eastAsia="仿宋_GB2312"/>
                <w:sz w:val="21"/>
                <w:szCs w:val="21"/>
              </w:rPr>
              <w:t>及时性</w:t>
            </w:r>
          </w:p>
        </w:tc>
        <w:tc>
          <w:tcPr>
            <w:tcW w:w="538" w:type="pct"/>
            <w:vAlign w:val="center"/>
          </w:tcPr>
          <w:p w14:paraId="5A8A739F">
            <w:pPr>
              <w:spacing w:line="240" w:lineRule="auto"/>
              <w:ind w:firstLine="0" w:firstLineChars="0"/>
              <w:jc w:val="center"/>
              <w:rPr>
                <w:rFonts w:ascii="仿宋_GB2312" w:hAnsi="Calibri" w:eastAsia="仿宋_GB2312"/>
                <w:bCs/>
                <w:color w:val="000000"/>
                <w:kern w:val="0"/>
                <w:sz w:val="21"/>
                <w:szCs w:val="21"/>
              </w:rPr>
            </w:pPr>
            <w:r>
              <w:rPr>
                <w:rFonts w:hint="eastAsia" w:ascii="仿宋_GB2312" w:hAnsi="Calibri" w:eastAsia="仿宋_GB2312"/>
                <w:sz w:val="21"/>
                <w:szCs w:val="21"/>
              </w:rPr>
              <w:t>及时</w:t>
            </w:r>
          </w:p>
        </w:tc>
        <w:tc>
          <w:tcPr>
            <w:tcW w:w="386" w:type="pct"/>
            <w:vAlign w:val="center"/>
          </w:tcPr>
          <w:p w14:paraId="0C5EA229">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494" w:type="pct"/>
            <w:vAlign w:val="center"/>
          </w:tcPr>
          <w:p w14:paraId="61E13443">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lang w:val="en-US" w:eastAsia="zh-CN"/>
              </w:rPr>
              <w:t>不及时</w:t>
            </w:r>
          </w:p>
        </w:tc>
        <w:tc>
          <w:tcPr>
            <w:tcW w:w="336" w:type="pct"/>
            <w:vAlign w:val="center"/>
          </w:tcPr>
          <w:p w14:paraId="1EEB1EDC">
            <w:pPr>
              <w:spacing w:line="240" w:lineRule="auto"/>
              <w:ind w:firstLine="0" w:firstLineChars="0"/>
              <w:jc w:val="center"/>
              <w:rPr>
                <w:rFonts w:hint="eastAsia" w:ascii="Times New Roman" w:hAnsi="Times New Roman" w:eastAsia="仿宋" w:cs="Times New Roman"/>
                <w:color w:val="000000"/>
                <w:sz w:val="24"/>
                <w:szCs w:val="24"/>
              </w:rPr>
            </w:pPr>
            <w:r>
              <w:rPr>
                <w:rFonts w:hint="eastAsia" w:ascii="仿宋_GB2312" w:hAnsi="仿宋_GB2312" w:cs="仿宋_GB2312"/>
                <w:b w:val="0"/>
                <w:bCs w:val="0"/>
                <w:sz w:val="24"/>
                <w:lang w:val="en-US" w:eastAsia="zh-CN"/>
              </w:rPr>
              <w:t>0</w:t>
            </w:r>
          </w:p>
        </w:tc>
      </w:tr>
      <w:tr w14:paraId="7C44C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exact"/>
        </w:trPr>
        <w:tc>
          <w:tcPr>
            <w:tcW w:w="464" w:type="pct"/>
            <w:vMerge w:val="continue"/>
            <w:vAlign w:val="center"/>
          </w:tcPr>
          <w:p w14:paraId="0C84232C">
            <w:pPr>
              <w:snapToGrid w:val="0"/>
              <w:spacing w:line="360" w:lineRule="exact"/>
              <w:ind w:firstLine="0" w:firstLineChars="0"/>
              <w:jc w:val="center"/>
              <w:rPr>
                <w:rFonts w:ascii="仿宋_GB2312" w:hAnsi="仿宋_GB2312" w:eastAsia="仿宋_GB2312" w:cs="仿宋_GB2312"/>
                <w:sz w:val="24"/>
                <w:szCs w:val="24"/>
              </w:rPr>
            </w:pPr>
          </w:p>
        </w:tc>
        <w:tc>
          <w:tcPr>
            <w:tcW w:w="387" w:type="pct"/>
            <w:vMerge w:val="continue"/>
            <w:vAlign w:val="center"/>
          </w:tcPr>
          <w:p w14:paraId="3828C5CA">
            <w:pPr>
              <w:snapToGrid w:val="0"/>
              <w:spacing w:line="400" w:lineRule="exact"/>
              <w:ind w:firstLine="0" w:firstLineChars="0"/>
              <w:jc w:val="center"/>
              <w:rPr>
                <w:rFonts w:ascii="Times New Roman" w:hAnsi="Times New Roman" w:eastAsia="仿宋" w:cs="Times New Roman"/>
                <w:color w:val="000000"/>
                <w:sz w:val="24"/>
                <w:szCs w:val="24"/>
              </w:rPr>
            </w:pPr>
          </w:p>
        </w:tc>
        <w:tc>
          <w:tcPr>
            <w:tcW w:w="770" w:type="pct"/>
            <w:vMerge w:val="continue"/>
            <w:vAlign w:val="center"/>
          </w:tcPr>
          <w:p w14:paraId="140D76DD">
            <w:pPr>
              <w:spacing w:line="240" w:lineRule="auto"/>
              <w:ind w:firstLine="0" w:firstLineChars="0"/>
              <w:jc w:val="center"/>
              <w:rPr>
                <w:rFonts w:ascii="仿宋_GB2312" w:hAnsi="Calibri" w:eastAsia="仿宋_GB2312"/>
                <w:sz w:val="21"/>
                <w:szCs w:val="21"/>
              </w:rPr>
            </w:pPr>
          </w:p>
        </w:tc>
        <w:tc>
          <w:tcPr>
            <w:tcW w:w="384" w:type="pct"/>
            <w:vMerge w:val="continue"/>
            <w:vAlign w:val="center"/>
          </w:tcPr>
          <w:p w14:paraId="6C0A0FC5">
            <w:pPr>
              <w:snapToGrid w:val="0"/>
              <w:spacing w:line="400" w:lineRule="exact"/>
              <w:ind w:firstLine="0" w:firstLineChars="0"/>
              <w:jc w:val="center"/>
              <w:rPr>
                <w:rFonts w:ascii="Times New Roman" w:hAnsi="Times New Roman" w:eastAsia="仿宋" w:cs="Times New Roman"/>
                <w:color w:val="000000"/>
                <w:sz w:val="24"/>
                <w:szCs w:val="24"/>
              </w:rPr>
            </w:pPr>
          </w:p>
        </w:tc>
        <w:tc>
          <w:tcPr>
            <w:tcW w:w="1236" w:type="pct"/>
            <w:vAlign w:val="center"/>
          </w:tcPr>
          <w:p w14:paraId="2244574A">
            <w:pPr>
              <w:spacing w:line="240" w:lineRule="auto"/>
              <w:ind w:firstLine="0" w:firstLineChars="0"/>
              <w:jc w:val="both"/>
              <w:rPr>
                <w:rFonts w:ascii="仿宋_GB2312" w:hAnsi="Calibri" w:eastAsia="仿宋_GB2312"/>
                <w:sz w:val="21"/>
                <w:szCs w:val="21"/>
              </w:rPr>
            </w:pPr>
            <w:r>
              <w:rPr>
                <w:rFonts w:hint="eastAsia" w:ascii="仿宋_GB2312" w:hAnsi="Calibri" w:eastAsia="仿宋_GB2312"/>
                <w:sz w:val="21"/>
                <w:szCs w:val="21"/>
              </w:rPr>
              <w:t>C32</w:t>
            </w:r>
            <w:r>
              <w:rPr>
                <w:rFonts w:hint="eastAsia" w:ascii="仿宋_GB2312" w:hAnsi="Calibri" w:eastAsia="仿宋_GB2312"/>
                <w:sz w:val="21"/>
                <w:szCs w:val="21"/>
                <w:lang w:val="en-US" w:eastAsia="zh-CN"/>
              </w:rPr>
              <w:t>项目验收</w:t>
            </w:r>
            <w:r>
              <w:rPr>
                <w:rFonts w:hint="eastAsia" w:ascii="仿宋_GB2312" w:hAnsi="Calibri" w:eastAsia="仿宋_GB2312"/>
                <w:sz w:val="21"/>
                <w:szCs w:val="21"/>
              </w:rPr>
              <w:t>及时性</w:t>
            </w:r>
          </w:p>
        </w:tc>
        <w:tc>
          <w:tcPr>
            <w:tcW w:w="538" w:type="pct"/>
            <w:vAlign w:val="center"/>
          </w:tcPr>
          <w:p w14:paraId="1F506F23">
            <w:pPr>
              <w:spacing w:line="240" w:lineRule="auto"/>
              <w:ind w:firstLine="0" w:firstLineChars="0"/>
              <w:jc w:val="center"/>
              <w:rPr>
                <w:rFonts w:ascii="仿宋_GB2312" w:hAnsi="Calibri" w:eastAsia="仿宋_GB2312"/>
                <w:sz w:val="21"/>
                <w:szCs w:val="21"/>
              </w:rPr>
            </w:pPr>
            <w:r>
              <w:rPr>
                <w:rFonts w:hint="eastAsia" w:ascii="仿宋_GB2312" w:hAnsi="Calibri" w:eastAsia="仿宋_GB2312"/>
                <w:sz w:val="21"/>
                <w:szCs w:val="21"/>
              </w:rPr>
              <w:t>及时</w:t>
            </w:r>
          </w:p>
        </w:tc>
        <w:tc>
          <w:tcPr>
            <w:tcW w:w="386" w:type="pct"/>
            <w:vAlign w:val="center"/>
          </w:tcPr>
          <w:p w14:paraId="1A9F1E79">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494" w:type="pct"/>
            <w:vAlign w:val="center"/>
          </w:tcPr>
          <w:p w14:paraId="613299F4">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lang w:val="en-US" w:eastAsia="zh-CN"/>
              </w:rPr>
              <w:t>不及时</w:t>
            </w:r>
          </w:p>
        </w:tc>
        <w:tc>
          <w:tcPr>
            <w:tcW w:w="336" w:type="pct"/>
            <w:vAlign w:val="center"/>
          </w:tcPr>
          <w:p w14:paraId="0D58CE6F">
            <w:pPr>
              <w:spacing w:line="240" w:lineRule="auto"/>
              <w:ind w:firstLine="0" w:firstLineChars="0"/>
              <w:jc w:val="center"/>
              <w:rPr>
                <w:rFonts w:hint="eastAsia" w:ascii="Times New Roman" w:hAnsi="Times New Roman" w:eastAsia="仿宋" w:cs="Times New Roman"/>
                <w:color w:val="000000"/>
                <w:sz w:val="24"/>
                <w:szCs w:val="24"/>
              </w:rPr>
            </w:pPr>
            <w:r>
              <w:rPr>
                <w:rFonts w:hint="eastAsia" w:ascii="仿宋_GB2312" w:hAnsi="仿宋_GB2312" w:cs="仿宋_GB2312"/>
                <w:b w:val="0"/>
                <w:bCs w:val="0"/>
                <w:sz w:val="24"/>
                <w:lang w:val="en-US" w:eastAsia="zh-CN"/>
              </w:rPr>
              <w:t>0</w:t>
            </w:r>
          </w:p>
        </w:tc>
      </w:tr>
      <w:tr w14:paraId="0886D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exact"/>
        </w:trPr>
        <w:tc>
          <w:tcPr>
            <w:tcW w:w="464" w:type="pct"/>
            <w:vMerge w:val="continue"/>
            <w:vAlign w:val="center"/>
          </w:tcPr>
          <w:p w14:paraId="16EE985B">
            <w:pPr>
              <w:snapToGrid w:val="0"/>
              <w:spacing w:line="360" w:lineRule="exact"/>
              <w:ind w:firstLine="0" w:firstLineChars="0"/>
              <w:jc w:val="center"/>
              <w:rPr>
                <w:rFonts w:ascii="仿宋_GB2312" w:hAnsi="仿宋_GB2312" w:eastAsia="仿宋_GB2312" w:cs="仿宋_GB2312"/>
                <w:sz w:val="24"/>
                <w:szCs w:val="24"/>
              </w:rPr>
            </w:pPr>
          </w:p>
        </w:tc>
        <w:tc>
          <w:tcPr>
            <w:tcW w:w="387" w:type="pct"/>
            <w:vMerge w:val="continue"/>
            <w:vAlign w:val="center"/>
          </w:tcPr>
          <w:p w14:paraId="18C91F74">
            <w:pPr>
              <w:snapToGrid w:val="0"/>
              <w:spacing w:line="400" w:lineRule="exact"/>
              <w:ind w:firstLine="0" w:firstLineChars="0"/>
              <w:jc w:val="center"/>
              <w:rPr>
                <w:rFonts w:ascii="Times New Roman" w:hAnsi="Times New Roman" w:eastAsia="仿宋" w:cs="Times New Roman"/>
                <w:color w:val="000000"/>
                <w:sz w:val="24"/>
                <w:szCs w:val="24"/>
              </w:rPr>
            </w:pPr>
          </w:p>
        </w:tc>
        <w:tc>
          <w:tcPr>
            <w:tcW w:w="770" w:type="pct"/>
            <w:vAlign w:val="center"/>
          </w:tcPr>
          <w:p w14:paraId="6290C874">
            <w:pPr>
              <w:spacing w:line="240" w:lineRule="auto"/>
              <w:ind w:firstLine="0" w:firstLineChars="0"/>
              <w:jc w:val="center"/>
              <w:rPr>
                <w:rFonts w:ascii="仿宋_GB2312" w:hAnsi="Calibri" w:eastAsia="仿宋_GB2312"/>
                <w:sz w:val="21"/>
                <w:szCs w:val="21"/>
              </w:rPr>
            </w:pPr>
            <w:r>
              <w:rPr>
                <w:rFonts w:hint="eastAsia" w:ascii="仿宋_GB2312" w:hAnsi="Calibri" w:eastAsia="仿宋_GB2312"/>
                <w:sz w:val="21"/>
                <w:szCs w:val="21"/>
              </w:rPr>
              <w:t>C4产出成本</w:t>
            </w:r>
          </w:p>
        </w:tc>
        <w:tc>
          <w:tcPr>
            <w:tcW w:w="384" w:type="pct"/>
            <w:vAlign w:val="center"/>
          </w:tcPr>
          <w:p w14:paraId="2B385423">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6</w:t>
            </w:r>
          </w:p>
        </w:tc>
        <w:tc>
          <w:tcPr>
            <w:tcW w:w="1236" w:type="pct"/>
            <w:vAlign w:val="center"/>
          </w:tcPr>
          <w:p w14:paraId="03C7EBB0">
            <w:pPr>
              <w:spacing w:line="240" w:lineRule="auto"/>
              <w:ind w:firstLine="0" w:firstLineChars="0"/>
              <w:jc w:val="both"/>
              <w:rPr>
                <w:rFonts w:ascii="仿宋_GB2312" w:hAnsi="Calibri" w:eastAsia="仿宋_GB2312"/>
                <w:sz w:val="21"/>
                <w:szCs w:val="21"/>
              </w:rPr>
            </w:pPr>
            <w:r>
              <w:rPr>
                <w:rFonts w:hint="eastAsia" w:ascii="仿宋_GB2312" w:hAnsi="Calibri" w:eastAsia="仿宋_GB2312"/>
                <w:sz w:val="21"/>
                <w:szCs w:val="21"/>
              </w:rPr>
              <w:t>C41成本节约率</w:t>
            </w:r>
          </w:p>
        </w:tc>
        <w:tc>
          <w:tcPr>
            <w:tcW w:w="538" w:type="pct"/>
            <w:vAlign w:val="center"/>
          </w:tcPr>
          <w:p w14:paraId="1B8C83DA">
            <w:pPr>
              <w:spacing w:line="240" w:lineRule="auto"/>
              <w:ind w:firstLine="0" w:firstLineChars="0"/>
              <w:jc w:val="center"/>
              <w:rPr>
                <w:rFonts w:ascii="仿宋_GB2312" w:hAnsi="Calibri" w:eastAsia="仿宋_GB2312"/>
                <w:sz w:val="21"/>
                <w:szCs w:val="21"/>
              </w:rPr>
            </w:pPr>
            <w:r>
              <w:rPr>
                <w:rFonts w:hint="eastAsia" w:ascii="仿宋_GB2312" w:hAnsi="Calibri" w:eastAsia="仿宋_GB2312"/>
                <w:sz w:val="21"/>
                <w:szCs w:val="21"/>
              </w:rPr>
              <w:t>≥0</w:t>
            </w:r>
          </w:p>
        </w:tc>
        <w:tc>
          <w:tcPr>
            <w:tcW w:w="386" w:type="pct"/>
            <w:vAlign w:val="center"/>
          </w:tcPr>
          <w:p w14:paraId="3A4D2B0A">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6</w:t>
            </w:r>
          </w:p>
        </w:tc>
        <w:tc>
          <w:tcPr>
            <w:tcW w:w="494" w:type="pct"/>
            <w:vAlign w:val="center"/>
          </w:tcPr>
          <w:p w14:paraId="5CF61FD6">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lang w:val="en-US" w:eastAsia="zh-CN"/>
              </w:rPr>
              <w:t>0%</w:t>
            </w:r>
          </w:p>
        </w:tc>
        <w:tc>
          <w:tcPr>
            <w:tcW w:w="336" w:type="pct"/>
            <w:vAlign w:val="center"/>
          </w:tcPr>
          <w:p w14:paraId="1FC2E593">
            <w:pPr>
              <w:spacing w:line="240" w:lineRule="auto"/>
              <w:ind w:firstLine="0" w:firstLineChars="0"/>
              <w:jc w:val="center"/>
              <w:rPr>
                <w:rFonts w:hint="eastAsia" w:ascii="Times New Roman" w:hAnsi="Times New Roman" w:eastAsia="仿宋" w:cs="Times New Roman"/>
                <w:color w:val="000000"/>
                <w:sz w:val="24"/>
                <w:szCs w:val="24"/>
              </w:rPr>
            </w:pPr>
            <w:r>
              <w:rPr>
                <w:rFonts w:hint="eastAsia" w:ascii="仿宋_GB2312" w:hAnsi="仿宋_GB2312" w:cs="仿宋_GB2312"/>
                <w:b w:val="0"/>
                <w:bCs w:val="0"/>
                <w:sz w:val="24"/>
                <w:lang w:val="en-US" w:eastAsia="zh-CN"/>
              </w:rPr>
              <w:t>6</w:t>
            </w:r>
          </w:p>
        </w:tc>
      </w:tr>
      <w:tr w14:paraId="57CED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464" w:type="pct"/>
            <w:vMerge w:val="restart"/>
            <w:vAlign w:val="center"/>
          </w:tcPr>
          <w:p w14:paraId="73E7B74A">
            <w:pPr>
              <w:snapToGrid w:val="0"/>
              <w:spacing w:line="360" w:lineRule="exact"/>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D效益</w:t>
            </w:r>
          </w:p>
        </w:tc>
        <w:tc>
          <w:tcPr>
            <w:tcW w:w="387" w:type="pct"/>
            <w:vMerge w:val="restart"/>
            <w:vAlign w:val="center"/>
          </w:tcPr>
          <w:p w14:paraId="40F3A332">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30</w:t>
            </w:r>
          </w:p>
        </w:tc>
        <w:tc>
          <w:tcPr>
            <w:tcW w:w="770" w:type="pct"/>
            <w:vAlign w:val="center"/>
          </w:tcPr>
          <w:p w14:paraId="642594A4">
            <w:pPr>
              <w:snapToGrid w:val="0"/>
              <w:spacing w:line="400" w:lineRule="exact"/>
              <w:ind w:firstLine="0" w:firstLineChars="0"/>
              <w:jc w:val="left"/>
              <w:rPr>
                <w:rFonts w:ascii="仿宋_GB2312" w:hAnsi="仿宋_GB2312" w:eastAsia="仿宋_GB2312" w:cs="仿宋_GB2312"/>
                <w:color w:val="000000"/>
                <w:sz w:val="21"/>
                <w:szCs w:val="21"/>
              </w:rPr>
            </w:pPr>
            <w:r>
              <w:rPr>
                <w:rFonts w:hint="eastAsia" w:ascii="仿宋_GB2312" w:hAnsi="Calibri" w:eastAsia="仿宋_GB2312"/>
                <w:sz w:val="21"/>
                <w:szCs w:val="21"/>
              </w:rPr>
              <w:t>D1</w:t>
            </w:r>
            <w:r>
              <w:rPr>
                <w:rFonts w:hint="eastAsia" w:ascii="仿宋_GB2312" w:hAnsi="Calibri" w:eastAsia="仿宋_GB2312"/>
                <w:sz w:val="21"/>
                <w:szCs w:val="21"/>
                <w:lang w:val="en-US" w:eastAsia="zh-CN"/>
              </w:rPr>
              <w:t>社会</w:t>
            </w:r>
            <w:r>
              <w:rPr>
                <w:rFonts w:hint="eastAsia" w:ascii="仿宋_GB2312" w:hAnsi="Calibri" w:eastAsia="仿宋_GB2312"/>
                <w:sz w:val="21"/>
                <w:szCs w:val="21"/>
              </w:rPr>
              <w:t>效益</w:t>
            </w:r>
          </w:p>
        </w:tc>
        <w:tc>
          <w:tcPr>
            <w:tcW w:w="384" w:type="pct"/>
            <w:vAlign w:val="center"/>
          </w:tcPr>
          <w:p w14:paraId="31C936E8">
            <w:pPr>
              <w:snapToGrid w:val="0"/>
              <w:spacing w:line="400" w:lineRule="exact"/>
              <w:ind w:firstLine="0" w:firstLineChars="0"/>
              <w:jc w:val="center"/>
              <w:rPr>
                <w:rFonts w:hint="default" w:ascii="仿宋_GB2312" w:hAnsi="Calibri" w:eastAsia="仿宋_GB2312"/>
                <w:sz w:val="21"/>
                <w:szCs w:val="21"/>
                <w:lang w:val="en-US" w:eastAsia="zh-CN"/>
              </w:rPr>
            </w:pPr>
            <w:r>
              <w:rPr>
                <w:rFonts w:hint="eastAsia" w:ascii="Times New Roman" w:hAnsi="Times New Roman" w:eastAsia="仿宋" w:cs="Times New Roman"/>
                <w:color w:val="000000"/>
                <w:sz w:val="24"/>
                <w:szCs w:val="24"/>
                <w:lang w:val="en-US" w:eastAsia="zh-CN"/>
              </w:rPr>
              <w:t>10</w:t>
            </w:r>
          </w:p>
        </w:tc>
        <w:tc>
          <w:tcPr>
            <w:tcW w:w="1236" w:type="pct"/>
            <w:vAlign w:val="center"/>
          </w:tcPr>
          <w:p w14:paraId="33E6F598">
            <w:pPr>
              <w:spacing w:line="240" w:lineRule="atLeast"/>
              <w:ind w:firstLine="0" w:firstLineChars="0"/>
              <w:jc w:val="left"/>
              <w:rPr>
                <w:rFonts w:hint="default" w:ascii="仿宋_GB2312" w:hAnsi="Calibri" w:eastAsia="仿宋_GB2312"/>
                <w:sz w:val="21"/>
                <w:szCs w:val="21"/>
                <w:lang w:val="en-US" w:eastAsia="zh-CN"/>
              </w:rPr>
            </w:pPr>
            <w:r>
              <w:rPr>
                <w:rFonts w:hint="eastAsia" w:ascii="仿宋_GB2312" w:hAnsi="Calibri" w:eastAsia="仿宋_GB2312"/>
                <w:sz w:val="21"/>
                <w:szCs w:val="21"/>
              </w:rPr>
              <w:t>D</w:t>
            </w:r>
            <w:r>
              <w:rPr>
                <w:rFonts w:hint="eastAsia" w:ascii="仿宋_GB2312" w:hAnsi="Calibri" w:eastAsia="仿宋_GB2312"/>
                <w:sz w:val="21"/>
                <w:szCs w:val="21"/>
                <w:lang w:val="en-US" w:eastAsia="zh-CN"/>
              </w:rPr>
              <w:t>1</w:t>
            </w:r>
            <w:r>
              <w:rPr>
                <w:rFonts w:hint="eastAsia" w:ascii="仿宋_GB2312" w:hAnsi="Calibri" w:eastAsia="仿宋_GB2312"/>
                <w:sz w:val="21"/>
                <w:szCs w:val="21"/>
              </w:rPr>
              <w:t>1</w:t>
            </w:r>
            <w:r>
              <w:rPr>
                <w:rFonts w:hint="eastAsia" w:ascii="仿宋_GB2312" w:hAnsi="Calibri" w:eastAsia="仿宋_GB2312"/>
                <w:sz w:val="21"/>
                <w:szCs w:val="21"/>
                <w:lang w:val="en-US" w:eastAsia="zh-CN"/>
              </w:rPr>
              <w:t>改善工作环境</w:t>
            </w:r>
          </w:p>
        </w:tc>
        <w:tc>
          <w:tcPr>
            <w:tcW w:w="538" w:type="pct"/>
            <w:vAlign w:val="center"/>
          </w:tcPr>
          <w:p w14:paraId="1EBB9241">
            <w:pPr>
              <w:spacing w:line="240" w:lineRule="atLeast"/>
              <w:ind w:firstLine="0" w:firstLineChars="0"/>
              <w:jc w:val="center"/>
              <w:rPr>
                <w:rFonts w:ascii="仿宋_GB2312" w:hAnsi="Calibri" w:eastAsia="仿宋_GB2312"/>
                <w:sz w:val="21"/>
                <w:szCs w:val="21"/>
              </w:rPr>
            </w:pPr>
            <w:r>
              <w:rPr>
                <w:rFonts w:hint="eastAsia" w:ascii="仿宋_GB2312" w:hAnsi="仿宋_GB2312" w:eastAsia="仿宋_GB2312" w:cs="仿宋_GB2312"/>
                <w:sz w:val="21"/>
                <w:szCs w:val="21"/>
                <w:lang w:val="en-US" w:eastAsia="zh-CN"/>
              </w:rPr>
              <w:t>改善</w:t>
            </w:r>
          </w:p>
        </w:tc>
        <w:tc>
          <w:tcPr>
            <w:tcW w:w="386" w:type="pct"/>
            <w:vAlign w:val="center"/>
          </w:tcPr>
          <w:p w14:paraId="64A5BE5D">
            <w:pPr>
              <w:snapToGrid w:val="0"/>
              <w:spacing w:line="400" w:lineRule="exact"/>
              <w:ind w:firstLine="0" w:firstLineChars="0"/>
              <w:jc w:val="center"/>
              <w:rPr>
                <w:rFonts w:hint="default" w:ascii="Times New Roman" w:hAnsi="Times New Roman" w:eastAsia="仿宋" w:cs="Times New Roman"/>
                <w:color w:val="000000"/>
                <w:sz w:val="24"/>
                <w:szCs w:val="24"/>
                <w:lang w:val="en-US" w:eastAsia="zh-CN"/>
              </w:rPr>
            </w:pPr>
            <w:r>
              <w:rPr>
                <w:rFonts w:hint="eastAsia" w:ascii="Times New Roman" w:hAnsi="Times New Roman" w:eastAsia="仿宋" w:cs="Times New Roman"/>
                <w:color w:val="000000"/>
                <w:sz w:val="24"/>
                <w:szCs w:val="24"/>
                <w:lang w:val="en-US" w:eastAsia="zh-CN"/>
              </w:rPr>
              <w:t>10</w:t>
            </w:r>
          </w:p>
        </w:tc>
        <w:tc>
          <w:tcPr>
            <w:tcW w:w="494" w:type="pct"/>
            <w:vAlign w:val="center"/>
          </w:tcPr>
          <w:p w14:paraId="70367155">
            <w:pPr>
              <w:spacing w:line="240" w:lineRule="atLeast"/>
              <w:ind w:firstLine="0" w:firstLineChars="0"/>
              <w:jc w:val="center"/>
              <w:rPr>
                <w:rFonts w:hint="eastAsia" w:ascii="仿宋_GB2312" w:hAnsi="Calibri" w:eastAsia="仿宋_GB2312"/>
                <w:sz w:val="21"/>
                <w:szCs w:val="21"/>
                <w:lang w:val="en-US" w:eastAsia="zh-CN"/>
              </w:rPr>
            </w:pPr>
            <w:r>
              <w:rPr>
                <w:rFonts w:hint="eastAsia" w:ascii="仿宋_GB2312" w:hAnsi="Calibri" w:eastAsia="仿宋_GB2312"/>
                <w:sz w:val="21"/>
                <w:szCs w:val="21"/>
                <w:lang w:val="en-US" w:eastAsia="zh-CN"/>
              </w:rPr>
              <w:t>基本改善</w:t>
            </w:r>
          </w:p>
        </w:tc>
        <w:tc>
          <w:tcPr>
            <w:tcW w:w="336" w:type="pct"/>
            <w:vAlign w:val="center"/>
          </w:tcPr>
          <w:p w14:paraId="2B627BDC">
            <w:pPr>
              <w:widowControl/>
              <w:snapToGrid w:val="0"/>
              <w:spacing w:line="240" w:lineRule="auto"/>
              <w:ind w:firstLine="0" w:firstLineChars="0"/>
              <w:jc w:val="center"/>
              <w:textAlignment w:val="center"/>
              <w:rPr>
                <w:rFonts w:hint="eastAsia" w:ascii="Times New Roman" w:hAnsi="Times New Roman" w:eastAsia="仿宋" w:cs="Times New Roman"/>
                <w:color w:val="000000"/>
                <w:sz w:val="24"/>
                <w:szCs w:val="24"/>
                <w:lang w:val="en-US" w:eastAsia="zh-CN"/>
              </w:rPr>
            </w:pPr>
            <w:r>
              <w:rPr>
                <w:rFonts w:hint="eastAsia"/>
                <w:sz w:val="24"/>
                <w:lang w:val="en-US" w:eastAsia="zh-CN"/>
              </w:rPr>
              <w:t>3</w:t>
            </w:r>
          </w:p>
        </w:tc>
      </w:tr>
      <w:tr w14:paraId="5BE74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trPr>
        <w:tc>
          <w:tcPr>
            <w:tcW w:w="464" w:type="pct"/>
            <w:vMerge w:val="continue"/>
            <w:vAlign w:val="center"/>
          </w:tcPr>
          <w:p w14:paraId="1FB24B53">
            <w:pPr>
              <w:snapToGrid w:val="0"/>
              <w:spacing w:line="360" w:lineRule="exact"/>
              <w:ind w:firstLine="0" w:firstLineChars="0"/>
              <w:jc w:val="center"/>
              <w:rPr>
                <w:rFonts w:ascii="仿宋_GB2312" w:hAnsi="仿宋_GB2312" w:eastAsia="仿宋_GB2312" w:cs="仿宋_GB2312"/>
                <w:sz w:val="24"/>
                <w:szCs w:val="24"/>
              </w:rPr>
            </w:pPr>
          </w:p>
        </w:tc>
        <w:tc>
          <w:tcPr>
            <w:tcW w:w="387" w:type="pct"/>
            <w:vMerge w:val="continue"/>
            <w:vAlign w:val="center"/>
          </w:tcPr>
          <w:p w14:paraId="5825D05A">
            <w:pPr>
              <w:snapToGrid w:val="0"/>
              <w:spacing w:line="400" w:lineRule="exact"/>
              <w:ind w:firstLine="0" w:firstLineChars="0"/>
              <w:jc w:val="center"/>
              <w:rPr>
                <w:rFonts w:ascii="Times New Roman" w:hAnsi="Times New Roman" w:eastAsia="仿宋" w:cs="Times New Roman"/>
                <w:color w:val="000000"/>
                <w:sz w:val="24"/>
                <w:szCs w:val="24"/>
              </w:rPr>
            </w:pPr>
          </w:p>
        </w:tc>
        <w:tc>
          <w:tcPr>
            <w:tcW w:w="770" w:type="pct"/>
            <w:vAlign w:val="center"/>
          </w:tcPr>
          <w:p w14:paraId="7421123E">
            <w:pPr>
              <w:snapToGrid w:val="0"/>
              <w:spacing w:line="400" w:lineRule="exact"/>
              <w:ind w:firstLine="0" w:firstLineChars="0"/>
              <w:jc w:val="left"/>
              <w:rPr>
                <w:rFonts w:ascii="仿宋_GB2312" w:hAnsi="仿宋_GB2312" w:eastAsia="仿宋_GB2312" w:cs="仿宋_GB2312"/>
                <w:sz w:val="21"/>
                <w:szCs w:val="21"/>
              </w:rPr>
            </w:pPr>
            <w:r>
              <w:rPr>
                <w:rFonts w:hint="eastAsia" w:ascii="仿宋_GB2312" w:hAnsi="Calibri" w:eastAsia="仿宋_GB2312"/>
                <w:sz w:val="21"/>
                <w:szCs w:val="21"/>
              </w:rPr>
              <w:t>D</w:t>
            </w:r>
            <w:r>
              <w:rPr>
                <w:rFonts w:hint="eastAsia" w:ascii="仿宋_GB2312" w:hAnsi="Calibri" w:eastAsia="仿宋_GB2312"/>
                <w:sz w:val="21"/>
                <w:szCs w:val="21"/>
                <w:lang w:val="en-US" w:eastAsia="zh-CN"/>
              </w:rPr>
              <w:t>2</w:t>
            </w:r>
            <w:r>
              <w:rPr>
                <w:rFonts w:hint="eastAsia" w:ascii="仿宋_GB2312" w:hAnsi="Calibri" w:eastAsia="仿宋_GB2312"/>
                <w:sz w:val="21"/>
                <w:szCs w:val="21"/>
              </w:rPr>
              <w:t>可持续影响</w:t>
            </w:r>
          </w:p>
        </w:tc>
        <w:tc>
          <w:tcPr>
            <w:tcW w:w="384" w:type="pct"/>
            <w:vAlign w:val="center"/>
          </w:tcPr>
          <w:p w14:paraId="2D7988FE">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10</w:t>
            </w:r>
          </w:p>
        </w:tc>
        <w:tc>
          <w:tcPr>
            <w:tcW w:w="1236" w:type="pct"/>
            <w:vAlign w:val="center"/>
          </w:tcPr>
          <w:p w14:paraId="56AFBF4F">
            <w:pPr>
              <w:spacing w:line="280" w:lineRule="exact"/>
              <w:ind w:firstLine="0" w:firstLineChars="0"/>
              <w:jc w:val="left"/>
              <w:rPr>
                <w:rFonts w:hint="default" w:ascii="仿宋_GB2312" w:hAnsi="仿宋_GB2312" w:eastAsia="仿宋_GB2312" w:cs="仿宋_GB2312"/>
                <w:sz w:val="21"/>
                <w:szCs w:val="21"/>
                <w:lang w:val="en-US" w:eastAsia="zh-CN"/>
              </w:rPr>
            </w:pPr>
            <w:r>
              <w:rPr>
                <w:rFonts w:hint="eastAsia" w:ascii="仿宋_GB2312" w:hAnsi="Calibri" w:eastAsia="仿宋_GB2312"/>
                <w:sz w:val="21"/>
                <w:szCs w:val="21"/>
              </w:rPr>
              <w:t>D</w:t>
            </w:r>
            <w:r>
              <w:rPr>
                <w:rFonts w:hint="eastAsia" w:ascii="仿宋_GB2312" w:hAnsi="Calibri" w:eastAsia="仿宋_GB2312"/>
                <w:sz w:val="21"/>
                <w:szCs w:val="21"/>
                <w:lang w:val="en-US" w:eastAsia="zh-CN"/>
              </w:rPr>
              <w:t>2</w:t>
            </w:r>
            <w:r>
              <w:rPr>
                <w:rFonts w:hint="eastAsia" w:ascii="仿宋_GB2312" w:hAnsi="Calibri" w:eastAsia="仿宋_GB2312"/>
                <w:sz w:val="21"/>
                <w:szCs w:val="21"/>
              </w:rPr>
              <w:t>1</w:t>
            </w:r>
            <w:r>
              <w:rPr>
                <w:rFonts w:hint="eastAsia" w:ascii="仿宋_GB2312" w:hAnsi="仿宋_GB2312" w:eastAsia="仿宋_GB2312" w:cs="仿宋_GB2312"/>
                <w:sz w:val="21"/>
                <w:szCs w:val="21"/>
                <w:lang w:val="en-US" w:eastAsia="zh-CN"/>
              </w:rPr>
              <w:t>有后期维护人员</w:t>
            </w:r>
          </w:p>
        </w:tc>
        <w:tc>
          <w:tcPr>
            <w:tcW w:w="538" w:type="pct"/>
            <w:vAlign w:val="center"/>
          </w:tcPr>
          <w:p w14:paraId="03E82A59">
            <w:pPr>
              <w:spacing w:line="240" w:lineRule="atLeast"/>
              <w:ind w:firstLine="0" w:firstLineChars="0"/>
              <w:jc w:val="center"/>
              <w:rPr>
                <w:rFonts w:ascii="仿宋_GB2312" w:hAnsi="Calibri" w:eastAsia="仿宋_GB2312"/>
                <w:sz w:val="21"/>
                <w:szCs w:val="21"/>
              </w:rPr>
            </w:pPr>
            <w:r>
              <w:rPr>
                <w:rFonts w:hint="eastAsia" w:ascii="仿宋_GB2312" w:hAnsi="Calibri" w:eastAsia="仿宋_GB2312"/>
                <w:sz w:val="21"/>
                <w:szCs w:val="21"/>
              </w:rPr>
              <w:t>可持续</w:t>
            </w:r>
          </w:p>
        </w:tc>
        <w:tc>
          <w:tcPr>
            <w:tcW w:w="386" w:type="pct"/>
            <w:vAlign w:val="center"/>
          </w:tcPr>
          <w:p w14:paraId="0FCFDAA6">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10</w:t>
            </w:r>
          </w:p>
        </w:tc>
        <w:tc>
          <w:tcPr>
            <w:tcW w:w="494" w:type="pct"/>
            <w:vAlign w:val="center"/>
          </w:tcPr>
          <w:p w14:paraId="0EA6FF7E">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lang w:val="en-US" w:eastAsia="zh-CN"/>
              </w:rPr>
              <w:t>可持续</w:t>
            </w:r>
          </w:p>
        </w:tc>
        <w:tc>
          <w:tcPr>
            <w:tcW w:w="336" w:type="pct"/>
            <w:vAlign w:val="center"/>
          </w:tcPr>
          <w:p w14:paraId="769D6265">
            <w:pPr>
              <w:widowControl/>
              <w:snapToGrid w:val="0"/>
              <w:spacing w:line="240" w:lineRule="auto"/>
              <w:ind w:firstLine="0" w:firstLineChars="0"/>
              <w:jc w:val="center"/>
              <w:textAlignment w:val="center"/>
              <w:rPr>
                <w:rFonts w:hint="eastAsia" w:ascii="Times New Roman" w:hAnsi="Times New Roman" w:eastAsia="仿宋" w:cs="Times New Roman"/>
                <w:color w:val="000000"/>
                <w:sz w:val="24"/>
                <w:szCs w:val="24"/>
              </w:rPr>
            </w:pPr>
            <w:r>
              <w:rPr>
                <w:rFonts w:hint="eastAsia"/>
                <w:sz w:val="24"/>
                <w:lang w:val="en-US" w:eastAsia="zh-CN"/>
              </w:rPr>
              <w:t>10</w:t>
            </w:r>
          </w:p>
        </w:tc>
      </w:tr>
      <w:tr w14:paraId="3F347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exact"/>
        </w:trPr>
        <w:tc>
          <w:tcPr>
            <w:tcW w:w="464" w:type="pct"/>
            <w:vMerge w:val="continue"/>
            <w:vAlign w:val="center"/>
          </w:tcPr>
          <w:p w14:paraId="4C6C4D6F">
            <w:pPr>
              <w:snapToGrid w:val="0"/>
              <w:spacing w:line="360" w:lineRule="exact"/>
              <w:ind w:firstLine="0" w:firstLineChars="0"/>
              <w:jc w:val="center"/>
              <w:rPr>
                <w:rFonts w:ascii="仿宋" w:hAnsi="仿宋" w:eastAsia="仿宋" w:cs="仿宋_GB2312"/>
                <w:b/>
                <w:sz w:val="24"/>
                <w:szCs w:val="24"/>
              </w:rPr>
            </w:pPr>
          </w:p>
        </w:tc>
        <w:tc>
          <w:tcPr>
            <w:tcW w:w="387" w:type="pct"/>
            <w:vMerge w:val="continue"/>
            <w:vAlign w:val="center"/>
          </w:tcPr>
          <w:p w14:paraId="3DABF842">
            <w:pPr>
              <w:snapToGrid w:val="0"/>
              <w:spacing w:line="400" w:lineRule="exact"/>
              <w:ind w:firstLine="0" w:firstLineChars="0"/>
              <w:jc w:val="center"/>
              <w:rPr>
                <w:rFonts w:ascii="仿宋" w:hAnsi="仿宋" w:eastAsia="仿宋" w:cs="仿宋_GB2312"/>
                <w:color w:val="000000"/>
                <w:sz w:val="24"/>
                <w:szCs w:val="24"/>
              </w:rPr>
            </w:pPr>
          </w:p>
        </w:tc>
        <w:tc>
          <w:tcPr>
            <w:tcW w:w="770" w:type="pct"/>
            <w:vAlign w:val="center"/>
          </w:tcPr>
          <w:p w14:paraId="37A18419">
            <w:pPr>
              <w:spacing w:line="280" w:lineRule="exact"/>
              <w:ind w:firstLine="0" w:firstLineChars="0"/>
              <w:jc w:val="left"/>
              <w:rPr>
                <w:rFonts w:ascii="仿宋_GB2312" w:hAnsi="仿宋_GB2312" w:eastAsia="仿宋_GB2312" w:cs="仿宋_GB2312"/>
                <w:sz w:val="21"/>
                <w:szCs w:val="21"/>
              </w:rPr>
            </w:pPr>
            <w:r>
              <w:rPr>
                <w:rFonts w:hint="eastAsia" w:ascii="仿宋_GB2312" w:hAnsi="Calibri" w:eastAsia="仿宋_GB2312"/>
                <w:sz w:val="21"/>
                <w:szCs w:val="21"/>
              </w:rPr>
              <w:t>D</w:t>
            </w:r>
            <w:r>
              <w:rPr>
                <w:rFonts w:hint="eastAsia" w:ascii="仿宋_GB2312" w:hAnsi="Calibri" w:eastAsia="仿宋_GB2312"/>
                <w:sz w:val="21"/>
                <w:szCs w:val="21"/>
                <w:lang w:val="en-US" w:eastAsia="zh-CN"/>
              </w:rPr>
              <w:t>3</w:t>
            </w:r>
            <w:r>
              <w:rPr>
                <w:rFonts w:hint="eastAsia" w:ascii="仿宋_GB2312" w:hAnsi="Calibri" w:eastAsia="仿宋_GB2312"/>
                <w:sz w:val="21"/>
                <w:szCs w:val="21"/>
              </w:rPr>
              <w:t>满意度</w:t>
            </w:r>
          </w:p>
        </w:tc>
        <w:tc>
          <w:tcPr>
            <w:tcW w:w="384" w:type="pct"/>
            <w:vAlign w:val="center"/>
          </w:tcPr>
          <w:p w14:paraId="2942FD29">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10</w:t>
            </w:r>
          </w:p>
        </w:tc>
        <w:tc>
          <w:tcPr>
            <w:tcW w:w="1236" w:type="pct"/>
            <w:vAlign w:val="center"/>
          </w:tcPr>
          <w:p w14:paraId="1FDB930E">
            <w:pPr>
              <w:spacing w:line="280" w:lineRule="exact"/>
              <w:ind w:firstLine="0" w:firstLineChars="0"/>
              <w:jc w:val="left"/>
              <w:rPr>
                <w:rFonts w:ascii="仿宋_GB2312" w:hAnsi="仿宋_GB2312" w:eastAsia="仿宋_GB2312" w:cs="仿宋_GB2312"/>
                <w:sz w:val="21"/>
                <w:szCs w:val="21"/>
              </w:rPr>
            </w:pPr>
            <w:r>
              <w:rPr>
                <w:rFonts w:hint="eastAsia" w:ascii="仿宋_GB2312" w:hAnsi="Calibri" w:eastAsia="仿宋_GB2312"/>
                <w:sz w:val="21"/>
                <w:szCs w:val="21"/>
              </w:rPr>
              <w:t>D</w:t>
            </w:r>
            <w:r>
              <w:rPr>
                <w:rFonts w:hint="eastAsia" w:ascii="仿宋_GB2312" w:hAnsi="Calibri" w:eastAsia="仿宋_GB2312"/>
                <w:sz w:val="21"/>
                <w:szCs w:val="21"/>
                <w:lang w:val="en-US" w:eastAsia="zh-CN"/>
              </w:rPr>
              <w:t>3</w:t>
            </w:r>
            <w:r>
              <w:rPr>
                <w:rFonts w:hint="eastAsia" w:ascii="仿宋_GB2312" w:hAnsi="Calibri" w:eastAsia="仿宋_GB2312"/>
                <w:sz w:val="21"/>
                <w:szCs w:val="21"/>
              </w:rPr>
              <w:t>1服务对象满意度</w:t>
            </w:r>
          </w:p>
        </w:tc>
        <w:tc>
          <w:tcPr>
            <w:tcW w:w="538" w:type="pct"/>
            <w:vAlign w:val="center"/>
          </w:tcPr>
          <w:p w14:paraId="18873C48">
            <w:pPr>
              <w:spacing w:line="240" w:lineRule="atLeast"/>
              <w:ind w:firstLine="0" w:firstLineChars="0"/>
              <w:jc w:val="center"/>
              <w:rPr>
                <w:rFonts w:ascii="仿宋_GB2312" w:hAnsi="Calibri" w:eastAsia="仿宋_GB2312"/>
                <w:sz w:val="21"/>
                <w:szCs w:val="21"/>
              </w:rPr>
            </w:pPr>
            <w:r>
              <w:rPr>
                <w:rFonts w:hint="eastAsia" w:ascii="仿宋_GB2312" w:hAnsi="Calibri" w:eastAsia="仿宋_GB2312"/>
                <w:sz w:val="21"/>
                <w:szCs w:val="21"/>
              </w:rPr>
              <w:t>≥95%</w:t>
            </w:r>
          </w:p>
        </w:tc>
        <w:tc>
          <w:tcPr>
            <w:tcW w:w="386" w:type="pct"/>
            <w:vAlign w:val="center"/>
          </w:tcPr>
          <w:p w14:paraId="75DB855C">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10</w:t>
            </w:r>
          </w:p>
        </w:tc>
        <w:tc>
          <w:tcPr>
            <w:tcW w:w="494" w:type="pct"/>
            <w:vAlign w:val="center"/>
          </w:tcPr>
          <w:p w14:paraId="65438D39">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lang w:val="en-US" w:eastAsia="zh-CN"/>
              </w:rPr>
              <w:t>68.69%</w:t>
            </w:r>
          </w:p>
        </w:tc>
        <w:tc>
          <w:tcPr>
            <w:tcW w:w="336" w:type="pct"/>
            <w:vAlign w:val="center"/>
          </w:tcPr>
          <w:p w14:paraId="5119054A">
            <w:pPr>
              <w:widowControl/>
              <w:snapToGrid w:val="0"/>
              <w:spacing w:line="240" w:lineRule="auto"/>
              <w:ind w:firstLine="0" w:firstLineChars="0"/>
              <w:jc w:val="center"/>
              <w:textAlignment w:val="center"/>
              <w:rPr>
                <w:rFonts w:hint="eastAsia" w:ascii="Times New Roman" w:hAnsi="Times New Roman" w:eastAsia="仿宋" w:cs="Times New Roman"/>
                <w:color w:val="000000"/>
                <w:sz w:val="24"/>
                <w:szCs w:val="24"/>
              </w:rPr>
            </w:pPr>
            <w:r>
              <w:rPr>
                <w:rFonts w:hint="eastAsia"/>
                <w:sz w:val="24"/>
                <w:lang w:val="en-US" w:eastAsia="zh-CN"/>
              </w:rPr>
              <w:t>3</w:t>
            </w:r>
          </w:p>
        </w:tc>
      </w:tr>
      <w:tr w14:paraId="03B76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exact"/>
        </w:trPr>
        <w:tc>
          <w:tcPr>
            <w:tcW w:w="464" w:type="pct"/>
            <w:vAlign w:val="center"/>
          </w:tcPr>
          <w:p w14:paraId="610BF6DF">
            <w:pPr>
              <w:snapToGrid w:val="0"/>
              <w:spacing w:line="360" w:lineRule="exact"/>
              <w:ind w:firstLine="0" w:firstLineChars="0"/>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总分</w:t>
            </w:r>
          </w:p>
        </w:tc>
        <w:tc>
          <w:tcPr>
            <w:tcW w:w="387" w:type="pct"/>
            <w:vAlign w:val="center"/>
          </w:tcPr>
          <w:p w14:paraId="44BE1632">
            <w:pPr>
              <w:widowControl/>
              <w:snapToGrid w:val="0"/>
              <w:spacing w:line="400" w:lineRule="exact"/>
              <w:ind w:firstLine="0" w:firstLineChars="0"/>
              <w:jc w:val="center"/>
              <w:textAlignment w:val="center"/>
              <w:rPr>
                <w:rFonts w:ascii="Times New Roman" w:hAnsi="Times New Roman" w:eastAsia="仿宋" w:cs="Times New Roman"/>
                <w:b/>
                <w:color w:val="000000"/>
                <w:sz w:val="24"/>
                <w:szCs w:val="24"/>
              </w:rPr>
            </w:pPr>
            <w:r>
              <w:rPr>
                <w:rFonts w:ascii="Times New Roman" w:hAnsi="Times New Roman" w:eastAsia="仿宋" w:cs="Times New Roman"/>
                <w:b/>
                <w:color w:val="000000"/>
                <w:sz w:val="24"/>
                <w:szCs w:val="24"/>
              </w:rPr>
              <w:fldChar w:fldCharType="begin"/>
            </w:r>
            <w:r>
              <w:rPr>
                <w:rFonts w:ascii="Times New Roman" w:hAnsi="Times New Roman" w:eastAsia="仿宋" w:cs="Times New Roman"/>
                <w:b/>
                <w:color w:val="000000"/>
                <w:sz w:val="24"/>
                <w:szCs w:val="24"/>
              </w:rPr>
              <w:instrText xml:space="preserve"> =SUM(ABOVE) </w:instrText>
            </w:r>
            <w:r>
              <w:rPr>
                <w:rFonts w:ascii="Times New Roman" w:hAnsi="Times New Roman" w:eastAsia="仿宋" w:cs="Times New Roman"/>
                <w:b/>
                <w:color w:val="000000"/>
                <w:sz w:val="24"/>
                <w:szCs w:val="24"/>
              </w:rPr>
              <w:fldChar w:fldCharType="separate"/>
            </w:r>
            <w:r>
              <w:rPr>
                <w:rFonts w:ascii="Times New Roman" w:hAnsi="Times New Roman" w:eastAsia="仿宋" w:cs="Times New Roman"/>
                <w:b/>
                <w:color w:val="000000"/>
                <w:sz w:val="24"/>
                <w:szCs w:val="24"/>
              </w:rPr>
              <w:t>100</w:t>
            </w:r>
            <w:r>
              <w:rPr>
                <w:rFonts w:ascii="Times New Roman" w:hAnsi="Times New Roman" w:eastAsia="仿宋" w:cs="Times New Roman"/>
                <w:b/>
                <w:color w:val="000000"/>
                <w:sz w:val="24"/>
                <w:szCs w:val="24"/>
              </w:rPr>
              <w:fldChar w:fldCharType="end"/>
            </w:r>
          </w:p>
        </w:tc>
        <w:tc>
          <w:tcPr>
            <w:tcW w:w="770" w:type="pct"/>
            <w:vAlign w:val="center"/>
          </w:tcPr>
          <w:p w14:paraId="35354674">
            <w:pPr>
              <w:widowControl/>
              <w:snapToGrid w:val="0"/>
              <w:spacing w:line="400" w:lineRule="exact"/>
              <w:ind w:firstLine="0" w:firstLineChars="0"/>
              <w:jc w:val="center"/>
              <w:textAlignment w:val="center"/>
              <w:rPr>
                <w:rFonts w:ascii="仿宋" w:hAnsi="仿宋" w:eastAsia="仿宋" w:cs="仿宋_GB2312"/>
                <w:b/>
                <w:color w:val="000000"/>
                <w:sz w:val="24"/>
                <w:szCs w:val="24"/>
              </w:rPr>
            </w:pPr>
          </w:p>
        </w:tc>
        <w:tc>
          <w:tcPr>
            <w:tcW w:w="384" w:type="pct"/>
            <w:vAlign w:val="center"/>
          </w:tcPr>
          <w:p w14:paraId="01F3A012">
            <w:pPr>
              <w:widowControl/>
              <w:snapToGrid w:val="0"/>
              <w:spacing w:line="400" w:lineRule="exact"/>
              <w:ind w:firstLine="0" w:firstLineChars="0"/>
              <w:jc w:val="center"/>
              <w:textAlignment w:val="center"/>
              <w:rPr>
                <w:rFonts w:ascii="Times New Roman" w:hAnsi="Times New Roman" w:eastAsia="仿宋" w:cs="Times New Roman"/>
                <w:b/>
                <w:color w:val="000000"/>
                <w:kern w:val="0"/>
                <w:sz w:val="24"/>
                <w:szCs w:val="24"/>
              </w:rPr>
            </w:pPr>
            <w:r>
              <w:rPr>
                <w:rFonts w:ascii="Times New Roman" w:hAnsi="Times New Roman" w:eastAsia="仿宋" w:cs="Times New Roman"/>
                <w:b/>
                <w:color w:val="000000"/>
                <w:kern w:val="0"/>
                <w:sz w:val="24"/>
                <w:szCs w:val="24"/>
              </w:rPr>
              <w:fldChar w:fldCharType="begin"/>
            </w:r>
            <w:r>
              <w:rPr>
                <w:rFonts w:ascii="Times New Roman" w:hAnsi="Times New Roman" w:eastAsia="仿宋" w:cs="Times New Roman"/>
                <w:b/>
                <w:color w:val="000000"/>
                <w:kern w:val="0"/>
                <w:sz w:val="24"/>
                <w:szCs w:val="24"/>
              </w:rPr>
              <w:instrText xml:space="preserve"> =SUM(ABOVE) </w:instrText>
            </w:r>
            <w:r>
              <w:rPr>
                <w:rFonts w:ascii="Times New Roman" w:hAnsi="Times New Roman" w:eastAsia="仿宋" w:cs="Times New Roman"/>
                <w:b/>
                <w:color w:val="000000"/>
                <w:kern w:val="0"/>
                <w:sz w:val="24"/>
                <w:szCs w:val="24"/>
              </w:rPr>
              <w:fldChar w:fldCharType="separate"/>
            </w:r>
            <w:r>
              <w:rPr>
                <w:rFonts w:ascii="Times New Roman" w:hAnsi="Times New Roman" w:eastAsia="仿宋" w:cs="Times New Roman"/>
                <w:b/>
                <w:color w:val="000000"/>
                <w:kern w:val="0"/>
                <w:sz w:val="24"/>
                <w:szCs w:val="24"/>
              </w:rPr>
              <w:t>100</w:t>
            </w:r>
            <w:r>
              <w:rPr>
                <w:rFonts w:ascii="Times New Roman" w:hAnsi="Times New Roman" w:eastAsia="仿宋" w:cs="Times New Roman"/>
                <w:b/>
                <w:color w:val="000000"/>
                <w:kern w:val="0"/>
                <w:sz w:val="24"/>
                <w:szCs w:val="24"/>
              </w:rPr>
              <w:fldChar w:fldCharType="end"/>
            </w:r>
          </w:p>
        </w:tc>
        <w:tc>
          <w:tcPr>
            <w:tcW w:w="1236" w:type="pct"/>
            <w:vAlign w:val="center"/>
          </w:tcPr>
          <w:p w14:paraId="168A70CD">
            <w:pPr>
              <w:widowControl/>
              <w:snapToGrid w:val="0"/>
              <w:spacing w:line="400" w:lineRule="exact"/>
              <w:ind w:firstLine="0" w:firstLineChars="0"/>
              <w:jc w:val="center"/>
              <w:textAlignment w:val="center"/>
              <w:rPr>
                <w:rFonts w:ascii="仿宋" w:hAnsi="仿宋" w:eastAsia="仿宋" w:cs="仿宋_GB2312"/>
                <w:b/>
                <w:sz w:val="24"/>
                <w:szCs w:val="24"/>
              </w:rPr>
            </w:pPr>
          </w:p>
        </w:tc>
        <w:tc>
          <w:tcPr>
            <w:tcW w:w="538" w:type="pct"/>
            <w:vAlign w:val="center"/>
          </w:tcPr>
          <w:p w14:paraId="17943CAF">
            <w:pPr>
              <w:widowControl/>
              <w:snapToGrid w:val="0"/>
              <w:spacing w:line="400" w:lineRule="exact"/>
              <w:ind w:firstLine="0" w:firstLineChars="0"/>
              <w:jc w:val="center"/>
              <w:textAlignment w:val="center"/>
              <w:rPr>
                <w:rFonts w:ascii="Times New Roman" w:hAnsi="Times New Roman" w:eastAsia="仿宋" w:cs="Times New Roman"/>
                <w:b/>
                <w:color w:val="000000"/>
                <w:kern w:val="0"/>
                <w:sz w:val="24"/>
                <w:szCs w:val="24"/>
              </w:rPr>
            </w:pPr>
          </w:p>
        </w:tc>
        <w:tc>
          <w:tcPr>
            <w:tcW w:w="386" w:type="pct"/>
            <w:vAlign w:val="center"/>
          </w:tcPr>
          <w:p w14:paraId="515AA914">
            <w:pPr>
              <w:snapToGrid w:val="0"/>
              <w:spacing w:line="400" w:lineRule="exact"/>
              <w:ind w:firstLine="0" w:firstLineChars="0"/>
              <w:jc w:val="center"/>
              <w:textAlignment w:val="center"/>
              <w:rPr>
                <w:rFonts w:ascii="Times New Roman" w:hAnsi="Times New Roman" w:eastAsia="仿宋" w:cs="Times New Roman"/>
                <w:b/>
                <w:color w:val="000000"/>
                <w:kern w:val="0"/>
                <w:sz w:val="24"/>
                <w:szCs w:val="24"/>
              </w:rPr>
            </w:pPr>
            <w:r>
              <w:rPr>
                <w:rFonts w:ascii="Times New Roman" w:hAnsi="Times New Roman" w:eastAsia="仿宋" w:cs="Times New Roman"/>
                <w:b/>
                <w:color w:val="000000"/>
                <w:kern w:val="0"/>
                <w:sz w:val="24"/>
                <w:szCs w:val="24"/>
              </w:rPr>
              <w:fldChar w:fldCharType="begin"/>
            </w:r>
            <w:r>
              <w:rPr>
                <w:rFonts w:ascii="Times New Roman" w:hAnsi="Times New Roman" w:eastAsia="仿宋" w:cs="Times New Roman"/>
                <w:b/>
                <w:color w:val="000000"/>
                <w:kern w:val="0"/>
                <w:sz w:val="24"/>
                <w:szCs w:val="24"/>
              </w:rPr>
              <w:instrText xml:space="preserve"> =SUM(ABOVE) </w:instrText>
            </w:r>
            <w:r>
              <w:rPr>
                <w:rFonts w:ascii="Times New Roman" w:hAnsi="Times New Roman" w:eastAsia="仿宋" w:cs="Times New Roman"/>
                <w:b/>
                <w:color w:val="000000"/>
                <w:kern w:val="0"/>
                <w:sz w:val="24"/>
                <w:szCs w:val="24"/>
              </w:rPr>
              <w:fldChar w:fldCharType="separate"/>
            </w:r>
            <w:r>
              <w:rPr>
                <w:rFonts w:ascii="Times New Roman" w:hAnsi="Times New Roman" w:eastAsia="仿宋" w:cs="Times New Roman"/>
                <w:b/>
                <w:color w:val="000000"/>
                <w:kern w:val="0"/>
                <w:sz w:val="24"/>
                <w:szCs w:val="24"/>
              </w:rPr>
              <w:t>100</w:t>
            </w:r>
            <w:r>
              <w:rPr>
                <w:rFonts w:ascii="Times New Roman" w:hAnsi="Times New Roman" w:eastAsia="仿宋" w:cs="Times New Roman"/>
                <w:b/>
                <w:color w:val="000000"/>
                <w:kern w:val="0"/>
                <w:sz w:val="24"/>
                <w:szCs w:val="24"/>
              </w:rPr>
              <w:fldChar w:fldCharType="end"/>
            </w:r>
          </w:p>
        </w:tc>
        <w:tc>
          <w:tcPr>
            <w:tcW w:w="494" w:type="pct"/>
            <w:vAlign w:val="center"/>
          </w:tcPr>
          <w:p w14:paraId="7B7A2F83">
            <w:pPr>
              <w:snapToGrid w:val="0"/>
              <w:spacing w:line="400" w:lineRule="exact"/>
              <w:ind w:firstLine="0" w:firstLineChars="0"/>
              <w:jc w:val="center"/>
              <w:textAlignment w:val="center"/>
              <w:rPr>
                <w:rFonts w:ascii="Times New Roman" w:hAnsi="Times New Roman" w:eastAsia="仿宋" w:cs="Times New Roman"/>
                <w:b/>
                <w:color w:val="000000"/>
                <w:kern w:val="0"/>
                <w:sz w:val="24"/>
                <w:szCs w:val="24"/>
              </w:rPr>
            </w:pPr>
          </w:p>
        </w:tc>
        <w:tc>
          <w:tcPr>
            <w:tcW w:w="336" w:type="pct"/>
            <w:vAlign w:val="center"/>
          </w:tcPr>
          <w:p w14:paraId="22047AD6">
            <w:pPr>
              <w:snapToGrid w:val="0"/>
              <w:spacing w:line="400" w:lineRule="exact"/>
              <w:ind w:firstLine="0" w:firstLineChars="0"/>
              <w:jc w:val="center"/>
              <w:textAlignment w:val="center"/>
              <w:rPr>
                <w:rFonts w:hint="default" w:ascii="Times New Roman" w:hAnsi="Times New Roman" w:eastAsia="仿宋" w:cs="Times New Roman"/>
                <w:b/>
                <w:color w:val="000000"/>
                <w:kern w:val="0"/>
                <w:sz w:val="24"/>
                <w:szCs w:val="24"/>
                <w:lang w:val="en-US" w:eastAsia="zh-CN"/>
              </w:rPr>
            </w:pPr>
            <w:r>
              <w:rPr>
                <w:rFonts w:hint="eastAsia" w:eastAsia="仿宋" w:cs="Times New Roman"/>
                <w:b/>
                <w:color w:val="000000"/>
                <w:kern w:val="0"/>
                <w:sz w:val="24"/>
                <w:szCs w:val="24"/>
                <w:lang w:val="en-US" w:eastAsia="zh-CN"/>
              </w:rPr>
              <w:t>66</w:t>
            </w:r>
          </w:p>
        </w:tc>
      </w:tr>
    </w:tbl>
    <w:p w14:paraId="3DFA21C1">
      <w:pPr>
        <w:rPr>
          <w:rFonts w:ascii="黑体" w:hAnsi="黑体"/>
        </w:rPr>
      </w:pPr>
    </w:p>
    <w:p w14:paraId="56E9030C">
      <w:pPr>
        <w:pStyle w:val="2"/>
      </w:pPr>
    </w:p>
    <w:p w14:paraId="08673C03">
      <w:pPr>
        <w:rPr>
          <w:rFonts w:ascii="黑体" w:hAnsi="黑体"/>
        </w:rPr>
      </w:pPr>
    </w:p>
    <w:p w14:paraId="62435113">
      <w:pPr>
        <w:pStyle w:val="7"/>
      </w:pPr>
    </w:p>
    <w:p w14:paraId="55F3F323">
      <w:pPr>
        <w:rPr>
          <w:rFonts w:ascii="黑体" w:hAnsi="黑体"/>
        </w:rPr>
      </w:pPr>
    </w:p>
    <w:p w14:paraId="1B38C526">
      <w:pPr>
        <w:pStyle w:val="7"/>
      </w:pPr>
    </w:p>
    <w:p w14:paraId="108C9947"/>
    <w:p w14:paraId="77126355">
      <w:pPr>
        <w:rPr>
          <w:rFonts w:ascii="黑体" w:hAnsi="黑体"/>
        </w:rPr>
      </w:pPr>
    </w:p>
    <w:p w14:paraId="71D685A7">
      <w:pPr>
        <w:pStyle w:val="2"/>
        <w:rPr>
          <w:rFonts w:ascii="黑体" w:hAnsi="黑体"/>
        </w:rPr>
      </w:pPr>
    </w:p>
    <w:p w14:paraId="4B613A1C">
      <w:pPr>
        <w:rPr>
          <w:rFonts w:ascii="黑体" w:hAnsi="黑体"/>
        </w:rPr>
      </w:pPr>
    </w:p>
    <w:p w14:paraId="390899FB">
      <w:pPr>
        <w:pStyle w:val="2"/>
        <w:sectPr>
          <w:headerReference r:id="rId11" w:type="default"/>
          <w:footerReference r:id="rId12" w:type="default"/>
          <w:pgSz w:w="11906" w:h="16838"/>
          <w:pgMar w:top="1440" w:right="1797" w:bottom="1440" w:left="1797" w:header="851" w:footer="992" w:gutter="0"/>
          <w:pgNumType w:start="1"/>
          <w:cols w:space="425" w:num="1"/>
          <w:docGrid w:type="lines" w:linePitch="312" w:charSpace="0"/>
        </w:sectPr>
      </w:pPr>
    </w:p>
    <w:p w14:paraId="53FFD992">
      <w:pPr>
        <w:pStyle w:val="3"/>
        <w:spacing w:before="120" w:after="120"/>
        <w:ind w:firstLine="0" w:firstLineChars="0"/>
      </w:pPr>
      <w:bookmarkStart w:id="66" w:name="_Toc1475"/>
      <w:r>
        <w:rPr>
          <w:rFonts w:ascii="黑体" w:hAnsi="黑体"/>
        </w:rPr>
        <w:t>附件2</w:t>
      </w:r>
      <w:r>
        <w:rPr>
          <w:rFonts w:hint="eastAsia" w:ascii="黑体" w:hAnsi="黑体"/>
        </w:rPr>
        <w:t xml:space="preserve"> ：项目</w:t>
      </w:r>
      <w:r>
        <w:rPr>
          <w:rFonts w:ascii="黑体" w:hAnsi="黑体"/>
        </w:rPr>
        <w:t>支出绩效评价指标体系</w:t>
      </w:r>
      <w:bookmarkEnd w:id="64"/>
      <w:bookmarkEnd w:id="65"/>
      <w:bookmarkEnd w:id="66"/>
    </w:p>
    <w:tbl>
      <w:tblPr>
        <w:tblStyle w:val="19"/>
        <w:tblW w:w="135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580"/>
        <w:gridCol w:w="724"/>
        <w:gridCol w:w="585"/>
        <w:gridCol w:w="1153"/>
        <w:gridCol w:w="783"/>
        <w:gridCol w:w="3179"/>
        <w:gridCol w:w="4898"/>
        <w:gridCol w:w="1007"/>
      </w:tblGrid>
      <w:tr w14:paraId="4CE0D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blHeader/>
          <w:jc w:val="center"/>
        </w:trPr>
        <w:tc>
          <w:tcPr>
            <w:tcW w:w="683" w:type="dxa"/>
            <w:noWrap/>
            <w:vAlign w:val="center"/>
          </w:tcPr>
          <w:p w14:paraId="33C88484">
            <w:pPr>
              <w:spacing w:line="280" w:lineRule="exact"/>
              <w:ind w:firstLine="0" w:firstLineChars="0"/>
              <w:jc w:val="center"/>
              <w:rPr>
                <w:rFonts w:ascii="Calibri" w:hAnsi="Calibri" w:eastAsia="宋体"/>
                <w:b/>
                <w:sz w:val="21"/>
                <w:szCs w:val="21"/>
              </w:rPr>
            </w:pPr>
            <w:r>
              <w:rPr>
                <w:rFonts w:ascii="Calibri" w:hAnsi="Calibri" w:eastAsia="宋体"/>
                <w:b/>
                <w:sz w:val="21"/>
                <w:szCs w:val="21"/>
              </w:rPr>
              <w:t>一级指标</w:t>
            </w:r>
          </w:p>
        </w:tc>
        <w:tc>
          <w:tcPr>
            <w:tcW w:w="580" w:type="dxa"/>
            <w:noWrap/>
            <w:vAlign w:val="center"/>
          </w:tcPr>
          <w:p w14:paraId="2858590F">
            <w:pPr>
              <w:spacing w:line="280" w:lineRule="exact"/>
              <w:ind w:firstLine="0" w:firstLineChars="0"/>
              <w:jc w:val="center"/>
              <w:rPr>
                <w:rFonts w:ascii="Calibri" w:hAnsi="Calibri" w:eastAsia="宋体"/>
                <w:b/>
                <w:sz w:val="21"/>
                <w:szCs w:val="21"/>
              </w:rPr>
            </w:pPr>
            <w:r>
              <w:rPr>
                <w:rFonts w:ascii="Calibri" w:hAnsi="Calibri" w:eastAsia="宋体"/>
                <w:b/>
                <w:sz w:val="21"/>
                <w:szCs w:val="21"/>
              </w:rPr>
              <w:t>分值</w:t>
            </w:r>
          </w:p>
        </w:tc>
        <w:tc>
          <w:tcPr>
            <w:tcW w:w="724" w:type="dxa"/>
            <w:noWrap/>
            <w:vAlign w:val="center"/>
          </w:tcPr>
          <w:p w14:paraId="69C0E97F">
            <w:pPr>
              <w:spacing w:line="280" w:lineRule="exact"/>
              <w:ind w:firstLine="0" w:firstLineChars="0"/>
              <w:jc w:val="center"/>
              <w:rPr>
                <w:rFonts w:ascii="Calibri" w:hAnsi="Calibri" w:eastAsia="宋体"/>
                <w:b/>
                <w:sz w:val="21"/>
                <w:szCs w:val="21"/>
              </w:rPr>
            </w:pPr>
            <w:r>
              <w:rPr>
                <w:rFonts w:ascii="Calibri" w:hAnsi="Calibri" w:eastAsia="宋体"/>
                <w:b/>
                <w:sz w:val="21"/>
                <w:szCs w:val="21"/>
              </w:rPr>
              <w:t>二级指标</w:t>
            </w:r>
          </w:p>
        </w:tc>
        <w:tc>
          <w:tcPr>
            <w:tcW w:w="585" w:type="dxa"/>
            <w:noWrap/>
            <w:vAlign w:val="center"/>
          </w:tcPr>
          <w:p w14:paraId="6032CB01">
            <w:pPr>
              <w:spacing w:line="280" w:lineRule="exact"/>
              <w:ind w:firstLine="0" w:firstLineChars="0"/>
              <w:jc w:val="center"/>
              <w:rPr>
                <w:rFonts w:ascii="Calibri" w:hAnsi="Calibri" w:eastAsia="宋体"/>
                <w:b/>
                <w:sz w:val="21"/>
                <w:szCs w:val="21"/>
              </w:rPr>
            </w:pPr>
            <w:r>
              <w:rPr>
                <w:rFonts w:ascii="Calibri" w:hAnsi="Calibri" w:eastAsia="宋体"/>
                <w:b/>
                <w:sz w:val="21"/>
                <w:szCs w:val="21"/>
              </w:rPr>
              <w:t>分值</w:t>
            </w:r>
          </w:p>
        </w:tc>
        <w:tc>
          <w:tcPr>
            <w:tcW w:w="1153" w:type="dxa"/>
            <w:noWrap/>
            <w:vAlign w:val="center"/>
          </w:tcPr>
          <w:p w14:paraId="391FB5C3">
            <w:pPr>
              <w:spacing w:line="280" w:lineRule="exact"/>
              <w:ind w:firstLine="0" w:firstLineChars="0"/>
              <w:jc w:val="center"/>
              <w:rPr>
                <w:rFonts w:ascii="Calibri" w:hAnsi="Calibri" w:eastAsia="宋体"/>
                <w:b/>
                <w:sz w:val="21"/>
                <w:szCs w:val="21"/>
              </w:rPr>
            </w:pPr>
            <w:r>
              <w:rPr>
                <w:rFonts w:ascii="Calibri" w:hAnsi="Calibri" w:eastAsia="宋体"/>
                <w:b/>
                <w:sz w:val="21"/>
                <w:szCs w:val="21"/>
              </w:rPr>
              <w:t>三级指标</w:t>
            </w:r>
          </w:p>
        </w:tc>
        <w:tc>
          <w:tcPr>
            <w:tcW w:w="783" w:type="dxa"/>
            <w:noWrap/>
            <w:vAlign w:val="center"/>
          </w:tcPr>
          <w:p w14:paraId="1FD651CE">
            <w:pPr>
              <w:spacing w:line="280" w:lineRule="exact"/>
              <w:ind w:firstLine="0" w:firstLineChars="0"/>
              <w:jc w:val="center"/>
              <w:rPr>
                <w:rFonts w:ascii="Calibri" w:hAnsi="Calibri" w:eastAsia="宋体"/>
                <w:sz w:val="21"/>
                <w:szCs w:val="21"/>
              </w:rPr>
            </w:pPr>
            <w:r>
              <w:rPr>
                <w:rFonts w:ascii="Calibri" w:hAnsi="Calibri" w:eastAsia="宋体"/>
                <w:b/>
                <w:sz w:val="21"/>
                <w:szCs w:val="21"/>
              </w:rPr>
              <w:t>分值</w:t>
            </w:r>
          </w:p>
        </w:tc>
        <w:tc>
          <w:tcPr>
            <w:tcW w:w="3179" w:type="dxa"/>
            <w:noWrap/>
            <w:vAlign w:val="center"/>
          </w:tcPr>
          <w:p w14:paraId="6D060B8C">
            <w:pPr>
              <w:spacing w:line="280" w:lineRule="exact"/>
              <w:ind w:firstLine="0" w:firstLineChars="0"/>
              <w:jc w:val="center"/>
              <w:rPr>
                <w:rFonts w:ascii="Calibri" w:hAnsi="Calibri" w:eastAsia="宋体"/>
                <w:b/>
                <w:sz w:val="21"/>
                <w:szCs w:val="21"/>
              </w:rPr>
            </w:pPr>
            <w:r>
              <w:rPr>
                <w:rFonts w:ascii="Calibri" w:hAnsi="Calibri" w:eastAsia="宋体"/>
                <w:b/>
                <w:sz w:val="21"/>
                <w:szCs w:val="21"/>
              </w:rPr>
              <w:t>指标解释</w:t>
            </w:r>
          </w:p>
        </w:tc>
        <w:tc>
          <w:tcPr>
            <w:tcW w:w="4898" w:type="dxa"/>
            <w:noWrap/>
            <w:vAlign w:val="center"/>
          </w:tcPr>
          <w:p w14:paraId="5AA4BA1C">
            <w:pPr>
              <w:spacing w:line="280" w:lineRule="exact"/>
              <w:ind w:firstLine="0" w:firstLineChars="0"/>
              <w:jc w:val="center"/>
              <w:rPr>
                <w:rFonts w:ascii="Calibri" w:hAnsi="Calibri" w:eastAsia="宋体"/>
                <w:b/>
                <w:sz w:val="21"/>
                <w:szCs w:val="21"/>
              </w:rPr>
            </w:pPr>
            <w:r>
              <w:rPr>
                <w:rFonts w:ascii="Calibri" w:hAnsi="Calibri" w:eastAsia="宋体"/>
                <w:b/>
                <w:sz w:val="21"/>
                <w:szCs w:val="21"/>
              </w:rPr>
              <w:t>评价标准</w:t>
            </w:r>
          </w:p>
        </w:tc>
        <w:tc>
          <w:tcPr>
            <w:tcW w:w="1007" w:type="dxa"/>
            <w:noWrap/>
            <w:vAlign w:val="center"/>
          </w:tcPr>
          <w:p w14:paraId="35C3B843">
            <w:pPr>
              <w:spacing w:line="280" w:lineRule="exact"/>
              <w:ind w:firstLine="0" w:firstLineChars="0"/>
              <w:jc w:val="center"/>
              <w:rPr>
                <w:rFonts w:ascii="Calibri" w:hAnsi="Calibri" w:eastAsia="宋体"/>
                <w:b/>
                <w:sz w:val="21"/>
                <w:szCs w:val="21"/>
              </w:rPr>
            </w:pPr>
            <w:r>
              <w:rPr>
                <w:rFonts w:hint="eastAsia" w:ascii="Calibri" w:hAnsi="Calibri" w:eastAsia="宋体"/>
                <w:b/>
                <w:sz w:val="21"/>
                <w:szCs w:val="21"/>
              </w:rPr>
              <w:t>目标值</w:t>
            </w:r>
          </w:p>
        </w:tc>
      </w:tr>
      <w:tr w14:paraId="4B5A0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3" w:hRule="atLeast"/>
          <w:jc w:val="center"/>
        </w:trPr>
        <w:tc>
          <w:tcPr>
            <w:tcW w:w="683" w:type="dxa"/>
            <w:vMerge w:val="restart"/>
            <w:noWrap/>
            <w:vAlign w:val="center"/>
          </w:tcPr>
          <w:p w14:paraId="03151060">
            <w:pPr>
              <w:spacing w:line="280" w:lineRule="exact"/>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A</w:t>
            </w:r>
            <w:r>
              <w:rPr>
                <w:rFonts w:ascii="仿宋_GB2312" w:hAnsi="仿宋_GB2312" w:eastAsia="仿宋_GB2312" w:cs="仿宋_GB2312"/>
                <w:sz w:val="21"/>
                <w:szCs w:val="21"/>
              </w:rPr>
              <w:t>决策</w:t>
            </w:r>
          </w:p>
        </w:tc>
        <w:tc>
          <w:tcPr>
            <w:tcW w:w="580" w:type="dxa"/>
            <w:vMerge w:val="restart"/>
            <w:noWrap/>
            <w:vAlign w:val="center"/>
          </w:tcPr>
          <w:p w14:paraId="60E647AF">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20</w:t>
            </w:r>
          </w:p>
          <w:p w14:paraId="3FC717C0">
            <w:pPr>
              <w:spacing w:line="280" w:lineRule="exact"/>
              <w:ind w:firstLine="0" w:firstLineChars="0"/>
              <w:jc w:val="center"/>
              <w:rPr>
                <w:rFonts w:ascii="仿宋_GB2312" w:hAnsi="仿宋_GB2312" w:eastAsia="仿宋_GB2312" w:cs="仿宋_GB2312"/>
                <w:sz w:val="21"/>
                <w:szCs w:val="21"/>
              </w:rPr>
            </w:pPr>
          </w:p>
        </w:tc>
        <w:tc>
          <w:tcPr>
            <w:tcW w:w="724" w:type="dxa"/>
            <w:vMerge w:val="restart"/>
            <w:noWrap/>
            <w:vAlign w:val="center"/>
          </w:tcPr>
          <w:p w14:paraId="1DE21612">
            <w:pPr>
              <w:spacing w:line="280" w:lineRule="exact"/>
              <w:ind w:firstLine="0" w:firstLineChars="0"/>
              <w:rPr>
                <w:rFonts w:ascii="仿宋_GB2312" w:hAnsi="仿宋_GB2312" w:eastAsia="仿宋_GB2312" w:cs="仿宋_GB2312"/>
                <w:sz w:val="21"/>
                <w:szCs w:val="21"/>
              </w:rPr>
            </w:pPr>
            <w:r>
              <w:rPr>
                <w:rFonts w:hint="eastAsia" w:ascii="仿宋_GB2312" w:hAnsi="仿宋_GB2312" w:eastAsia="仿宋_GB2312" w:cs="仿宋_GB2312"/>
                <w:sz w:val="21"/>
                <w:szCs w:val="21"/>
              </w:rPr>
              <w:t>A1项目立项</w:t>
            </w:r>
          </w:p>
        </w:tc>
        <w:tc>
          <w:tcPr>
            <w:tcW w:w="585" w:type="dxa"/>
            <w:vMerge w:val="restart"/>
            <w:noWrap/>
            <w:vAlign w:val="center"/>
          </w:tcPr>
          <w:p w14:paraId="6C592FD0">
            <w:pPr>
              <w:snapToGrid w:val="0"/>
              <w:spacing w:line="280" w:lineRule="exact"/>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7</w:t>
            </w:r>
          </w:p>
        </w:tc>
        <w:tc>
          <w:tcPr>
            <w:tcW w:w="1153" w:type="dxa"/>
            <w:noWrap/>
            <w:vAlign w:val="center"/>
          </w:tcPr>
          <w:p w14:paraId="2E012460">
            <w:pPr>
              <w:spacing w:line="280" w:lineRule="exact"/>
              <w:ind w:firstLine="0" w:firstLineChars="0"/>
              <w:rPr>
                <w:rFonts w:ascii="仿宋_GB2312" w:hAnsi="仿宋_GB2312" w:eastAsia="仿宋_GB2312" w:cs="仿宋_GB2312"/>
                <w:sz w:val="21"/>
                <w:szCs w:val="21"/>
              </w:rPr>
            </w:pPr>
            <w:r>
              <w:rPr>
                <w:rFonts w:hint="eastAsia" w:ascii="仿宋_GB2312" w:hAnsi="仿宋_GB2312" w:eastAsia="仿宋_GB2312" w:cs="仿宋_GB2312"/>
                <w:sz w:val="21"/>
                <w:szCs w:val="21"/>
              </w:rPr>
              <w:t>A11立项依据充分性</w:t>
            </w:r>
          </w:p>
        </w:tc>
        <w:tc>
          <w:tcPr>
            <w:tcW w:w="783" w:type="dxa"/>
            <w:noWrap/>
            <w:vAlign w:val="center"/>
          </w:tcPr>
          <w:p w14:paraId="34AAA40B">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4</w:t>
            </w:r>
          </w:p>
        </w:tc>
        <w:tc>
          <w:tcPr>
            <w:tcW w:w="3179" w:type="dxa"/>
            <w:noWrap/>
            <w:vAlign w:val="center"/>
          </w:tcPr>
          <w:p w14:paraId="217AB6C4">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项目立项是否符合法律法规、相关政策、发展规划以及部门职责，用以反映和考核项目立项依据情况。</w:t>
            </w:r>
          </w:p>
        </w:tc>
        <w:tc>
          <w:tcPr>
            <w:tcW w:w="4898" w:type="dxa"/>
            <w:noWrap/>
            <w:vAlign w:val="center"/>
          </w:tcPr>
          <w:p w14:paraId="55FEC683">
            <w:pPr>
              <w:spacing w:line="280" w:lineRule="exact"/>
              <w:ind w:firstLine="0" w:firstLineChars="0"/>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①项目立项符合国家法律法规、国民经济发展规划和相关政策（1分）；</w:t>
            </w:r>
          </w:p>
          <w:p w14:paraId="1C465557">
            <w:pPr>
              <w:spacing w:line="280" w:lineRule="exact"/>
              <w:ind w:firstLine="0" w:firstLineChars="0"/>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②项目立项符合行业发展规划和政策要求（1分）；</w:t>
            </w:r>
          </w:p>
          <w:p w14:paraId="242A8A6F">
            <w:pPr>
              <w:spacing w:line="280" w:lineRule="exact"/>
              <w:ind w:firstLine="0" w:firstLineChars="0"/>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③项目立项与部门职责范围相符，属于部门履职所需（1分）；</w:t>
            </w:r>
          </w:p>
          <w:p w14:paraId="03762AAC">
            <w:pPr>
              <w:spacing w:line="280" w:lineRule="exact"/>
              <w:ind w:firstLine="0" w:firstLineChars="0"/>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④项目属于公共财政支持范围，是否符合中央、地方事权支出责任划分原则（0.5分）；</w:t>
            </w:r>
          </w:p>
          <w:p w14:paraId="4ECA9112">
            <w:pPr>
              <w:spacing w:line="280" w:lineRule="exact"/>
              <w:ind w:firstLine="0" w:firstLineChars="0"/>
              <w:rPr>
                <w:rFonts w:ascii="仿宋_GB2312" w:hAnsi="仿宋_GB2312" w:eastAsia="仿宋_GB2312" w:cs="仿宋_GB2312"/>
                <w:sz w:val="21"/>
                <w:szCs w:val="21"/>
              </w:rPr>
            </w:pPr>
            <w:r>
              <w:rPr>
                <w:rFonts w:hint="eastAsia" w:ascii="仿宋_GB2312" w:hAnsi="仿宋_GB2312" w:eastAsia="仿宋_GB2312" w:cs="仿宋_GB2312"/>
                <w:sz w:val="21"/>
                <w:szCs w:val="21"/>
              </w:rPr>
              <w:t>⑤项目与相关部门同类项目或部门内部相关项目不重复（0.5分）。</w:t>
            </w:r>
          </w:p>
        </w:tc>
        <w:tc>
          <w:tcPr>
            <w:tcW w:w="1007" w:type="dxa"/>
            <w:noWrap/>
            <w:vAlign w:val="center"/>
          </w:tcPr>
          <w:p w14:paraId="26C14394">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color w:val="000000"/>
                <w:sz w:val="21"/>
                <w:szCs w:val="21"/>
              </w:rPr>
              <w:t>充分</w:t>
            </w:r>
          </w:p>
        </w:tc>
      </w:tr>
      <w:tr w14:paraId="35EF4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683" w:type="dxa"/>
            <w:vMerge w:val="continue"/>
            <w:noWrap/>
            <w:vAlign w:val="center"/>
          </w:tcPr>
          <w:p w14:paraId="286E97ED">
            <w:pPr>
              <w:spacing w:line="280" w:lineRule="exact"/>
              <w:ind w:firstLine="0" w:firstLineChars="0"/>
              <w:jc w:val="center"/>
              <w:rPr>
                <w:rFonts w:ascii="仿宋_GB2312" w:hAnsi="仿宋_GB2312" w:eastAsia="仿宋_GB2312" w:cs="仿宋_GB2312"/>
                <w:sz w:val="21"/>
                <w:szCs w:val="21"/>
              </w:rPr>
            </w:pPr>
          </w:p>
        </w:tc>
        <w:tc>
          <w:tcPr>
            <w:tcW w:w="580" w:type="dxa"/>
            <w:vMerge w:val="continue"/>
            <w:noWrap/>
            <w:vAlign w:val="center"/>
          </w:tcPr>
          <w:p w14:paraId="43E9D7DA">
            <w:pPr>
              <w:spacing w:line="280" w:lineRule="exact"/>
              <w:ind w:firstLine="0" w:firstLineChars="0"/>
              <w:jc w:val="center"/>
              <w:rPr>
                <w:rFonts w:ascii="仿宋_GB2312" w:hAnsi="仿宋_GB2312" w:eastAsia="仿宋_GB2312" w:cs="仿宋_GB2312"/>
                <w:sz w:val="21"/>
                <w:szCs w:val="21"/>
              </w:rPr>
            </w:pPr>
          </w:p>
        </w:tc>
        <w:tc>
          <w:tcPr>
            <w:tcW w:w="724" w:type="dxa"/>
            <w:vMerge w:val="continue"/>
            <w:noWrap/>
            <w:vAlign w:val="center"/>
          </w:tcPr>
          <w:p w14:paraId="7BBACB4A">
            <w:pPr>
              <w:spacing w:line="280" w:lineRule="exact"/>
              <w:ind w:firstLine="0" w:firstLineChars="0"/>
              <w:jc w:val="center"/>
              <w:rPr>
                <w:rFonts w:ascii="仿宋_GB2312" w:hAnsi="仿宋_GB2312" w:eastAsia="仿宋_GB2312" w:cs="仿宋_GB2312"/>
                <w:sz w:val="21"/>
                <w:szCs w:val="21"/>
              </w:rPr>
            </w:pPr>
          </w:p>
        </w:tc>
        <w:tc>
          <w:tcPr>
            <w:tcW w:w="585" w:type="dxa"/>
            <w:vMerge w:val="continue"/>
            <w:noWrap/>
            <w:vAlign w:val="center"/>
          </w:tcPr>
          <w:p w14:paraId="1C03F9A4">
            <w:pPr>
              <w:spacing w:line="280" w:lineRule="exact"/>
              <w:ind w:firstLine="0" w:firstLineChars="0"/>
              <w:jc w:val="center"/>
              <w:rPr>
                <w:rFonts w:ascii="仿宋_GB2312" w:hAnsi="仿宋_GB2312" w:eastAsia="仿宋_GB2312" w:cs="仿宋_GB2312"/>
                <w:sz w:val="21"/>
                <w:szCs w:val="21"/>
              </w:rPr>
            </w:pPr>
          </w:p>
        </w:tc>
        <w:tc>
          <w:tcPr>
            <w:tcW w:w="1153" w:type="dxa"/>
            <w:noWrap/>
            <w:vAlign w:val="center"/>
          </w:tcPr>
          <w:p w14:paraId="0DF60B9F">
            <w:pPr>
              <w:spacing w:line="280" w:lineRule="exact"/>
              <w:ind w:firstLine="0" w:firstLineChars="0"/>
              <w:rPr>
                <w:rFonts w:ascii="仿宋_GB2312" w:hAnsi="仿宋_GB2312" w:eastAsia="仿宋_GB2312" w:cs="仿宋_GB2312"/>
                <w:sz w:val="21"/>
                <w:szCs w:val="21"/>
              </w:rPr>
            </w:pPr>
            <w:r>
              <w:rPr>
                <w:rFonts w:hint="eastAsia" w:ascii="仿宋_GB2312" w:hAnsi="仿宋_GB2312" w:eastAsia="仿宋_GB2312" w:cs="仿宋_GB2312"/>
                <w:sz w:val="21"/>
                <w:szCs w:val="21"/>
              </w:rPr>
              <w:t>A12立项程序规范性</w:t>
            </w:r>
          </w:p>
        </w:tc>
        <w:tc>
          <w:tcPr>
            <w:tcW w:w="783" w:type="dxa"/>
            <w:noWrap/>
            <w:vAlign w:val="center"/>
          </w:tcPr>
          <w:p w14:paraId="09AC9A4A">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3</w:t>
            </w:r>
          </w:p>
        </w:tc>
        <w:tc>
          <w:tcPr>
            <w:tcW w:w="3179" w:type="dxa"/>
            <w:noWrap/>
            <w:vAlign w:val="center"/>
          </w:tcPr>
          <w:p w14:paraId="2F46AB63">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项目的申请、设立过程是否符合相关要求，用以反映和考核项目立项的规范情况。</w:t>
            </w:r>
          </w:p>
        </w:tc>
        <w:tc>
          <w:tcPr>
            <w:tcW w:w="4898" w:type="dxa"/>
            <w:noWrap/>
            <w:vAlign w:val="center"/>
          </w:tcPr>
          <w:p w14:paraId="41A215E5">
            <w:pPr>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①项目按照规定的程序申请设立（1分）；</w:t>
            </w:r>
          </w:p>
          <w:p w14:paraId="6A29C30F">
            <w:pPr>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②审批文件、材料符合相关要求（1分）；</w:t>
            </w:r>
          </w:p>
          <w:p w14:paraId="00820B47">
            <w:pPr>
              <w:spacing w:line="280" w:lineRule="exact"/>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③事前经过专题会议（1分）。</w:t>
            </w:r>
          </w:p>
        </w:tc>
        <w:tc>
          <w:tcPr>
            <w:tcW w:w="1007" w:type="dxa"/>
            <w:noWrap/>
            <w:vAlign w:val="center"/>
          </w:tcPr>
          <w:p w14:paraId="458912DE">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color w:val="000000"/>
                <w:sz w:val="21"/>
                <w:szCs w:val="21"/>
              </w:rPr>
              <w:t>规范</w:t>
            </w:r>
          </w:p>
        </w:tc>
      </w:tr>
      <w:tr w14:paraId="7E06A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9" w:hRule="atLeast"/>
          <w:jc w:val="center"/>
        </w:trPr>
        <w:tc>
          <w:tcPr>
            <w:tcW w:w="683" w:type="dxa"/>
            <w:vMerge w:val="continue"/>
            <w:noWrap/>
            <w:vAlign w:val="center"/>
          </w:tcPr>
          <w:p w14:paraId="2C3E59F6">
            <w:pPr>
              <w:spacing w:line="280" w:lineRule="exact"/>
              <w:ind w:firstLine="0" w:firstLineChars="0"/>
              <w:jc w:val="center"/>
              <w:rPr>
                <w:rFonts w:ascii="仿宋_GB2312" w:hAnsi="仿宋_GB2312" w:eastAsia="仿宋_GB2312" w:cs="仿宋_GB2312"/>
                <w:sz w:val="21"/>
                <w:szCs w:val="21"/>
              </w:rPr>
            </w:pPr>
          </w:p>
        </w:tc>
        <w:tc>
          <w:tcPr>
            <w:tcW w:w="580" w:type="dxa"/>
            <w:vMerge w:val="continue"/>
            <w:noWrap/>
            <w:vAlign w:val="center"/>
          </w:tcPr>
          <w:p w14:paraId="6435E224">
            <w:pPr>
              <w:spacing w:line="280" w:lineRule="exact"/>
              <w:ind w:firstLine="0" w:firstLineChars="0"/>
              <w:jc w:val="center"/>
              <w:rPr>
                <w:rFonts w:ascii="仿宋_GB2312" w:hAnsi="仿宋_GB2312" w:eastAsia="仿宋_GB2312" w:cs="仿宋_GB2312"/>
                <w:sz w:val="21"/>
                <w:szCs w:val="21"/>
              </w:rPr>
            </w:pPr>
          </w:p>
        </w:tc>
        <w:tc>
          <w:tcPr>
            <w:tcW w:w="724" w:type="dxa"/>
            <w:vMerge w:val="restart"/>
            <w:noWrap/>
            <w:vAlign w:val="center"/>
          </w:tcPr>
          <w:p w14:paraId="593214B0">
            <w:pPr>
              <w:spacing w:line="240" w:lineRule="auto"/>
              <w:ind w:firstLine="0" w:firstLineChars="0"/>
              <w:jc w:val="left"/>
              <w:rPr>
                <w:rFonts w:ascii="仿宋_GB2312" w:hAnsi="Calibri" w:eastAsia="仿宋_GB2312"/>
                <w:color w:val="000000"/>
                <w:sz w:val="21"/>
                <w:szCs w:val="21"/>
              </w:rPr>
            </w:pPr>
            <w:r>
              <w:rPr>
                <w:rFonts w:hint="eastAsia" w:ascii="仿宋_GB2312" w:hAnsi="Calibri" w:eastAsia="仿宋_GB2312"/>
                <w:color w:val="000000"/>
                <w:sz w:val="21"/>
                <w:szCs w:val="21"/>
              </w:rPr>
              <w:t>A2绩效目标</w:t>
            </w:r>
          </w:p>
        </w:tc>
        <w:tc>
          <w:tcPr>
            <w:tcW w:w="585" w:type="dxa"/>
            <w:vMerge w:val="restart"/>
            <w:noWrap/>
            <w:vAlign w:val="center"/>
          </w:tcPr>
          <w:p w14:paraId="34A5062A">
            <w:pPr>
              <w:snapToGrid w:val="0"/>
              <w:spacing w:line="400" w:lineRule="exact"/>
              <w:ind w:firstLine="0" w:firstLineChars="0"/>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7</w:t>
            </w:r>
          </w:p>
        </w:tc>
        <w:tc>
          <w:tcPr>
            <w:tcW w:w="1153" w:type="dxa"/>
            <w:noWrap/>
            <w:vAlign w:val="center"/>
          </w:tcPr>
          <w:p w14:paraId="21973F47">
            <w:pPr>
              <w:spacing w:line="240" w:lineRule="auto"/>
              <w:ind w:firstLine="0" w:firstLineChars="0"/>
              <w:jc w:val="left"/>
              <w:rPr>
                <w:rFonts w:ascii="仿宋_GB2312" w:hAnsi="Calibri" w:eastAsia="仿宋_GB2312"/>
                <w:color w:val="000000"/>
                <w:sz w:val="21"/>
                <w:szCs w:val="21"/>
              </w:rPr>
            </w:pPr>
            <w:r>
              <w:rPr>
                <w:rFonts w:hint="eastAsia" w:ascii="仿宋_GB2312" w:hAnsi="Calibri" w:eastAsia="仿宋_GB2312"/>
                <w:color w:val="000000"/>
                <w:sz w:val="21"/>
                <w:szCs w:val="21"/>
              </w:rPr>
              <w:t>A21绩效目标合理性</w:t>
            </w:r>
          </w:p>
        </w:tc>
        <w:tc>
          <w:tcPr>
            <w:tcW w:w="783" w:type="dxa"/>
            <w:noWrap/>
            <w:vAlign w:val="center"/>
          </w:tcPr>
          <w:p w14:paraId="42661948">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4</w:t>
            </w:r>
          </w:p>
        </w:tc>
        <w:tc>
          <w:tcPr>
            <w:tcW w:w="3179" w:type="dxa"/>
            <w:noWrap/>
            <w:vAlign w:val="center"/>
          </w:tcPr>
          <w:p w14:paraId="10D38748">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项目所设定的绩效目标是否依据充分，是否符合客观实际，用以反映和考核项目绩效目标与项目实施的相符情况。</w:t>
            </w:r>
          </w:p>
        </w:tc>
        <w:tc>
          <w:tcPr>
            <w:tcW w:w="4898" w:type="dxa"/>
            <w:noWrap/>
            <w:vAlign w:val="center"/>
          </w:tcPr>
          <w:p w14:paraId="4D6335AF">
            <w:pPr>
              <w:spacing w:line="280" w:lineRule="exact"/>
              <w:ind w:firstLine="0" w:firstLineChars="0"/>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①项目有绩效目标</w:t>
            </w:r>
            <w:r>
              <w:rPr>
                <w:rFonts w:ascii="仿宋_GB2312" w:hAnsi="仿宋_GB2312" w:eastAsia="仿宋_GB2312" w:cs="仿宋_GB2312"/>
                <w:sz w:val="21"/>
                <w:szCs w:val="21"/>
              </w:rPr>
              <w:t>（1分）</w:t>
            </w:r>
            <w:r>
              <w:rPr>
                <w:rFonts w:hint="eastAsia" w:ascii="仿宋_GB2312" w:hAnsi="仿宋_GB2312" w:eastAsia="仿宋_GB2312" w:cs="仿宋_GB2312"/>
                <w:sz w:val="21"/>
                <w:szCs w:val="21"/>
              </w:rPr>
              <w:t>；</w:t>
            </w:r>
          </w:p>
          <w:p w14:paraId="048D82A3">
            <w:pPr>
              <w:spacing w:line="280" w:lineRule="exact"/>
              <w:ind w:firstLine="0" w:firstLineChars="0"/>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②项目绩效目标与实际工作内容具有相关性</w:t>
            </w:r>
            <w:r>
              <w:rPr>
                <w:rFonts w:ascii="仿宋_GB2312" w:hAnsi="仿宋_GB2312" w:eastAsia="仿宋_GB2312" w:cs="仿宋_GB2312"/>
                <w:sz w:val="21"/>
                <w:szCs w:val="21"/>
              </w:rPr>
              <w:t>（1分）</w:t>
            </w:r>
            <w:r>
              <w:rPr>
                <w:rFonts w:hint="eastAsia" w:ascii="仿宋_GB2312" w:hAnsi="仿宋_GB2312" w:eastAsia="仿宋_GB2312" w:cs="仿宋_GB2312"/>
                <w:sz w:val="21"/>
                <w:szCs w:val="21"/>
              </w:rPr>
              <w:t>；</w:t>
            </w:r>
          </w:p>
          <w:p w14:paraId="2A183994">
            <w:pPr>
              <w:spacing w:line="280" w:lineRule="exact"/>
              <w:ind w:firstLine="0" w:firstLineChars="0"/>
              <w:rPr>
                <w:rFonts w:ascii="仿宋_GB2312" w:hAnsi="仿宋_GB2312" w:eastAsia="仿宋_GB2312" w:cs="仿宋_GB2312"/>
                <w:sz w:val="21"/>
                <w:szCs w:val="21"/>
              </w:rPr>
            </w:pPr>
            <w:r>
              <w:rPr>
                <w:rFonts w:hint="eastAsia" w:ascii="仿宋_GB2312" w:hAnsi="仿宋_GB2312" w:eastAsia="仿宋_GB2312" w:cs="仿宋_GB2312"/>
                <w:sz w:val="21"/>
                <w:szCs w:val="21"/>
              </w:rPr>
              <w:t>③项目预期产出效益和效果符合正常的业绩水平</w:t>
            </w:r>
            <w:r>
              <w:rPr>
                <w:rFonts w:ascii="仿宋_GB2312" w:hAnsi="仿宋_GB2312" w:eastAsia="仿宋_GB2312" w:cs="仿宋_GB2312"/>
                <w:sz w:val="21"/>
                <w:szCs w:val="21"/>
              </w:rPr>
              <w:t>（1分）</w:t>
            </w:r>
            <w:r>
              <w:rPr>
                <w:rFonts w:hint="eastAsia" w:ascii="仿宋_GB2312" w:hAnsi="仿宋_GB2312" w:eastAsia="仿宋_GB2312" w:cs="仿宋_GB2312"/>
                <w:sz w:val="21"/>
                <w:szCs w:val="21"/>
              </w:rPr>
              <w:t>；</w:t>
            </w:r>
          </w:p>
          <w:p w14:paraId="6D404463">
            <w:pPr>
              <w:spacing w:line="280" w:lineRule="exact"/>
              <w:ind w:firstLine="0" w:firstLineChars="0"/>
              <w:rPr>
                <w:rFonts w:ascii="仿宋_GB2312" w:hAnsi="仿宋_GB2312" w:eastAsia="仿宋_GB2312" w:cs="仿宋_GB2312"/>
                <w:b/>
                <w:sz w:val="21"/>
                <w:szCs w:val="21"/>
              </w:rPr>
            </w:pPr>
            <w:r>
              <w:rPr>
                <w:rFonts w:hint="eastAsia" w:ascii="仿宋_GB2312" w:hAnsi="仿宋_GB2312" w:eastAsia="仿宋_GB2312" w:cs="仿宋_GB2312"/>
                <w:sz w:val="21"/>
                <w:szCs w:val="21"/>
              </w:rPr>
              <w:t>④与预算确定的项目投资额或资金量相匹配</w:t>
            </w:r>
            <w:r>
              <w:rPr>
                <w:rFonts w:ascii="仿宋_GB2312" w:hAnsi="仿宋_GB2312" w:eastAsia="仿宋_GB2312" w:cs="仿宋_GB2312"/>
                <w:sz w:val="21"/>
                <w:szCs w:val="21"/>
              </w:rPr>
              <w:t>（1分）</w:t>
            </w:r>
            <w:r>
              <w:rPr>
                <w:rFonts w:hint="eastAsia" w:ascii="仿宋_GB2312" w:hAnsi="仿宋_GB2312" w:eastAsia="仿宋_GB2312" w:cs="仿宋_GB2312"/>
                <w:sz w:val="21"/>
                <w:szCs w:val="21"/>
              </w:rPr>
              <w:t>。</w:t>
            </w:r>
          </w:p>
        </w:tc>
        <w:tc>
          <w:tcPr>
            <w:tcW w:w="1007" w:type="dxa"/>
            <w:noWrap/>
            <w:vAlign w:val="center"/>
          </w:tcPr>
          <w:p w14:paraId="3FD12F69">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color w:val="000000"/>
                <w:sz w:val="21"/>
                <w:szCs w:val="21"/>
              </w:rPr>
              <w:t>合理</w:t>
            </w:r>
          </w:p>
        </w:tc>
      </w:tr>
      <w:tr w14:paraId="257DB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2" w:hRule="atLeast"/>
          <w:jc w:val="center"/>
        </w:trPr>
        <w:tc>
          <w:tcPr>
            <w:tcW w:w="683" w:type="dxa"/>
            <w:vMerge w:val="continue"/>
            <w:noWrap/>
            <w:vAlign w:val="center"/>
          </w:tcPr>
          <w:p w14:paraId="5881828E">
            <w:pPr>
              <w:spacing w:line="280" w:lineRule="exact"/>
              <w:ind w:firstLine="0" w:firstLineChars="0"/>
              <w:jc w:val="center"/>
              <w:rPr>
                <w:rFonts w:ascii="仿宋_GB2312" w:hAnsi="仿宋_GB2312" w:eastAsia="仿宋_GB2312" w:cs="仿宋_GB2312"/>
                <w:sz w:val="21"/>
                <w:szCs w:val="21"/>
              </w:rPr>
            </w:pPr>
          </w:p>
        </w:tc>
        <w:tc>
          <w:tcPr>
            <w:tcW w:w="580" w:type="dxa"/>
            <w:vMerge w:val="continue"/>
            <w:noWrap/>
            <w:vAlign w:val="center"/>
          </w:tcPr>
          <w:p w14:paraId="0729ECB6">
            <w:pPr>
              <w:spacing w:line="280" w:lineRule="exact"/>
              <w:ind w:firstLine="0" w:firstLineChars="0"/>
              <w:jc w:val="center"/>
              <w:rPr>
                <w:rFonts w:ascii="仿宋_GB2312" w:hAnsi="仿宋_GB2312" w:eastAsia="仿宋_GB2312" w:cs="仿宋_GB2312"/>
                <w:sz w:val="21"/>
                <w:szCs w:val="21"/>
              </w:rPr>
            </w:pPr>
          </w:p>
        </w:tc>
        <w:tc>
          <w:tcPr>
            <w:tcW w:w="724" w:type="dxa"/>
            <w:vMerge w:val="continue"/>
            <w:noWrap/>
            <w:vAlign w:val="center"/>
          </w:tcPr>
          <w:p w14:paraId="35BEB232">
            <w:pPr>
              <w:spacing w:line="280" w:lineRule="exact"/>
              <w:ind w:firstLine="0" w:firstLineChars="0"/>
              <w:jc w:val="left"/>
              <w:rPr>
                <w:rFonts w:ascii="仿宋_GB2312" w:hAnsi="仿宋_GB2312" w:eastAsia="仿宋_GB2312" w:cs="仿宋_GB2312"/>
                <w:sz w:val="21"/>
                <w:szCs w:val="21"/>
              </w:rPr>
            </w:pPr>
          </w:p>
        </w:tc>
        <w:tc>
          <w:tcPr>
            <w:tcW w:w="585" w:type="dxa"/>
            <w:vMerge w:val="continue"/>
            <w:noWrap/>
            <w:vAlign w:val="center"/>
          </w:tcPr>
          <w:p w14:paraId="5CD76A54">
            <w:pPr>
              <w:spacing w:line="280" w:lineRule="exact"/>
              <w:ind w:firstLine="0" w:firstLineChars="0"/>
              <w:jc w:val="left"/>
              <w:rPr>
                <w:rFonts w:ascii="仿宋_GB2312" w:hAnsi="仿宋_GB2312" w:eastAsia="仿宋_GB2312" w:cs="仿宋_GB2312"/>
                <w:sz w:val="21"/>
                <w:szCs w:val="21"/>
              </w:rPr>
            </w:pPr>
          </w:p>
        </w:tc>
        <w:tc>
          <w:tcPr>
            <w:tcW w:w="1153" w:type="dxa"/>
            <w:noWrap/>
            <w:vAlign w:val="center"/>
          </w:tcPr>
          <w:p w14:paraId="4721607C">
            <w:pPr>
              <w:spacing w:line="280" w:lineRule="exact"/>
              <w:ind w:firstLine="0" w:firstLineChars="0"/>
              <w:jc w:val="left"/>
              <w:rPr>
                <w:rFonts w:ascii="仿宋_GB2312" w:hAnsi="仿宋_GB2312" w:eastAsia="仿宋_GB2312" w:cs="仿宋_GB2312"/>
                <w:sz w:val="21"/>
                <w:szCs w:val="21"/>
              </w:rPr>
            </w:pPr>
            <w:r>
              <w:rPr>
                <w:rFonts w:hint="eastAsia" w:ascii="仿宋_GB2312" w:hAnsi="Calibri" w:eastAsia="仿宋_GB2312"/>
                <w:color w:val="000000"/>
                <w:sz w:val="21"/>
                <w:szCs w:val="21"/>
              </w:rPr>
              <w:t>A22绩效指标明确性</w:t>
            </w:r>
          </w:p>
        </w:tc>
        <w:tc>
          <w:tcPr>
            <w:tcW w:w="783" w:type="dxa"/>
            <w:noWrap/>
            <w:vAlign w:val="center"/>
          </w:tcPr>
          <w:p w14:paraId="3A77FBC5">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3</w:t>
            </w:r>
          </w:p>
        </w:tc>
        <w:tc>
          <w:tcPr>
            <w:tcW w:w="3179" w:type="dxa"/>
            <w:noWrap/>
            <w:vAlign w:val="center"/>
          </w:tcPr>
          <w:p w14:paraId="4DF9F5A5">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依据绩效目标设定的绩效指标是否明确、细化、量化等，用以反映和考核项目绩效目标的明细化情况。</w:t>
            </w:r>
          </w:p>
        </w:tc>
        <w:tc>
          <w:tcPr>
            <w:tcW w:w="4898" w:type="dxa"/>
            <w:noWrap/>
            <w:vAlign w:val="center"/>
          </w:tcPr>
          <w:p w14:paraId="3BAA70EE">
            <w:pPr>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①将项目绩效目标细化分解为具体的绩效指标</w:t>
            </w:r>
            <w:r>
              <w:rPr>
                <w:rFonts w:ascii="仿宋_GB2312" w:hAnsi="仿宋_GB2312" w:eastAsia="仿宋_GB2312" w:cs="仿宋_GB2312"/>
                <w:sz w:val="21"/>
                <w:szCs w:val="21"/>
              </w:rPr>
              <w:t>（1分）</w:t>
            </w:r>
            <w:r>
              <w:rPr>
                <w:rFonts w:hint="eastAsia" w:ascii="仿宋_GB2312" w:hAnsi="仿宋_GB2312" w:eastAsia="仿宋_GB2312" w:cs="仿宋_GB2312"/>
                <w:sz w:val="21"/>
                <w:szCs w:val="21"/>
              </w:rPr>
              <w:t>；</w:t>
            </w:r>
          </w:p>
          <w:p w14:paraId="3950D153">
            <w:pPr>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②通过清晰、可衡量的指标值予以体现</w:t>
            </w:r>
            <w:r>
              <w:rPr>
                <w:rFonts w:ascii="仿宋_GB2312" w:hAnsi="仿宋_GB2312" w:eastAsia="仿宋_GB2312" w:cs="仿宋_GB2312"/>
                <w:sz w:val="21"/>
                <w:szCs w:val="21"/>
              </w:rPr>
              <w:t>（1分）</w:t>
            </w:r>
            <w:r>
              <w:rPr>
                <w:rFonts w:hint="eastAsia" w:ascii="仿宋_GB2312" w:hAnsi="仿宋_GB2312" w:eastAsia="仿宋_GB2312" w:cs="仿宋_GB2312"/>
                <w:sz w:val="21"/>
                <w:szCs w:val="21"/>
              </w:rPr>
              <w:t>；</w:t>
            </w:r>
          </w:p>
          <w:p w14:paraId="4D497D6A">
            <w:pPr>
              <w:spacing w:line="280" w:lineRule="exact"/>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③与项目目标任务数或计划数相对应</w:t>
            </w:r>
            <w:r>
              <w:rPr>
                <w:rFonts w:ascii="仿宋_GB2312" w:hAnsi="仿宋_GB2312" w:eastAsia="仿宋_GB2312" w:cs="仿宋_GB2312"/>
                <w:sz w:val="21"/>
                <w:szCs w:val="21"/>
              </w:rPr>
              <w:t>（1分）</w:t>
            </w:r>
            <w:r>
              <w:rPr>
                <w:rFonts w:hint="eastAsia" w:ascii="仿宋_GB2312" w:hAnsi="仿宋_GB2312" w:eastAsia="仿宋_GB2312" w:cs="仿宋_GB2312"/>
                <w:sz w:val="21"/>
                <w:szCs w:val="21"/>
              </w:rPr>
              <w:t>。</w:t>
            </w:r>
          </w:p>
        </w:tc>
        <w:tc>
          <w:tcPr>
            <w:tcW w:w="1007" w:type="dxa"/>
            <w:noWrap/>
            <w:vAlign w:val="center"/>
          </w:tcPr>
          <w:p w14:paraId="1B41DBD0">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color w:val="000000"/>
                <w:sz w:val="21"/>
                <w:szCs w:val="21"/>
              </w:rPr>
              <w:t>明确</w:t>
            </w:r>
          </w:p>
        </w:tc>
      </w:tr>
      <w:tr w14:paraId="7DFF1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atLeast"/>
          <w:jc w:val="center"/>
        </w:trPr>
        <w:tc>
          <w:tcPr>
            <w:tcW w:w="683" w:type="dxa"/>
            <w:vMerge w:val="continue"/>
            <w:noWrap/>
            <w:vAlign w:val="center"/>
          </w:tcPr>
          <w:p w14:paraId="5BB8E1A2">
            <w:pPr>
              <w:spacing w:line="280" w:lineRule="exact"/>
              <w:ind w:firstLine="0" w:firstLineChars="0"/>
              <w:jc w:val="center"/>
              <w:rPr>
                <w:rFonts w:ascii="仿宋_GB2312" w:hAnsi="仿宋_GB2312" w:eastAsia="仿宋_GB2312" w:cs="仿宋_GB2312"/>
                <w:sz w:val="21"/>
                <w:szCs w:val="21"/>
              </w:rPr>
            </w:pPr>
          </w:p>
        </w:tc>
        <w:tc>
          <w:tcPr>
            <w:tcW w:w="580" w:type="dxa"/>
            <w:vMerge w:val="continue"/>
            <w:noWrap/>
            <w:vAlign w:val="center"/>
          </w:tcPr>
          <w:p w14:paraId="5B6C7095">
            <w:pPr>
              <w:spacing w:line="280" w:lineRule="exact"/>
              <w:ind w:firstLine="0" w:firstLineChars="0"/>
              <w:jc w:val="center"/>
              <w:rPr>
                <w:rFonts w:ascii="仿宋_GB2312" w:hAnsi="仿宋_GB2312" w:eastAsia="仿宋_GB2312" w:cs="仿宋_GB2312"/>
                <w:sz w:val="21"/>
                <w:szCs w:val="21"/>
              </w:rPr>
            </w:pPr>
          </w:p>
        </w:tc>
        <w:tc>
          <w:tcPr>
            <w:tcW w:w="724" w:type="dxa"/>
            <w:vMerge w:val="restart"/>
            <w:noWrap/>
            <w:vAlign w:val="center"/>
          </w:tcPr>
          <w:p w14:paraId="00828229">
            <w:pPr>
              <w:spacing w:line="240" w:lineRule="auto"/>
              <w:ind w:firstLine="0" w:firstLineChars="0"/>
              <w:jc w:val="left"/>
              <w:rPr>
                <w:rFonts w:ascii="仿宋_GB2312" w:hAnsi="Calibri" w:eastAsia="仿宋_GB2312"/>
                <w:color w:val="000000"/>
                <w:sz w:val="21"/>
                <w:szCs w:val="21"/>
              </w:rPr>
            </w:pPr>
            <w:r>
              <w:rPr>
                <w:rFonts w:hint="eastAsia" w:ascii="仿宋_GB2312" w:hAnsi="Calibri" w:eastAsia="仿宋_GB2312"/>
                <w:color w:val="000000"/>
                <w:sz w:val="21"/>
                <w:szCs w:val="21"/>
              </w:rPr>
              <w:t>A3资金投入</w:t>
            </w:r>
          </w:p>
        </w:tc>
        <w:tc>
          <w:tcPr>
            <w:tcW w:w="585" w:type="dxa"/>
            <w:vMerge w:val="restart"/>
            <w:noWrap/>
            <w:vAlign w:val="center"/>
          </w:tcPr>
          <w:p w14:paraId="1CAF7414">
            <w:pPr>
              <w:snapToGrid w:val="0"/>
              <w:spacing w:line="400" w:lineRule="exact"/>
              <w:ind w:firstLine="0" w:firstLineChars="0"/>
              <w:jc w:val="left"/>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6</w:t>
            </w:r>
          </w:p>
        </w:tc>
        <w:tc>
          <w:tcPr>
            <w:tcW w:w="1153" w:type="dxa"/>
            <w:noWrap/>
            <w:vAlign w:val="center"/>
          </w:tcPr>
          <w:p w14:paraId="3010DC82">
            <w:pPr>
              <w:spacing w:line="240" w:lineRule="auto"/>
              <w:ind w:firstLine="0" w:firstLineChars="0"/>
              <w:jc w:val="left"/>
              <w:rPr>
                <w:rFonts w:ascii="仿宋_GB2312" w:hAnsi="Calibri" w:eastAsia="仿宋_GB2312"/>
                <w:color w:val="000000"/>
                <w:sz w:val="21"/>
                <w:szCs w:val="21"/>
              </w:rPr>
            </w:pPr>
            <w:r>
              <w:rPr>
                <w:rFonts w:hint="eastAsia" w:ascii="仿宋_GB2312" w:hAnsi="Calibri" w:eastAsia="仿宋_GB2312"/>
                <w:color w:val="000000"/>
                <w:sz w:val="21"/>
                <w:szCs w:val="21"/>
              </w:rPr>
              <w:t>A31预算编制科学性</w:t>
            </w:r>
          </w:p>
        </w:tc>
        <w:tc>
          <w:tcPr>
            <w:tcW w:w="783" w:type="dxa"/>
            <w:noWrap/>
            <w:vAlign w:val="center"/>
          </w:tcPr>
          <w:p w14:paraId="4DF5E463">
            <w:pPr>
              <w:spacing w:line="280" w:lineRule="exact"/>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2</w:t>
            </w:r>
          </w:p>
        </w:tc>
        <w:tc>
          <w:tcPr>
            <w:tcW w:w="3179" w:type="dxa"/>
            <w:noWrap/>
            <w:vAlign w:val="center"/>
          </w:tcPr>
          <w:p w14:paraId="42641C57">
            <w:pPr>
              <w:widowControl/>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项目预算编制是否经过科学论证、有明确标准，资金额度与年度目标是否相适应，用以反映和考核项目预算编制的科学性、合理性情况。</w:t>
            </w:r>
          </w:p>
        </w:tc>
        <w:tc>
          <w:tcPr>
            <w:tcW w:w="4898" w:type="dxa"/>
            <w:noWrap/>
            <w:vAlign w:val="center"/>
          </w:tcPr>
          <w:p w14:paraId="23FB5BC1">
            <w:pPr>
              <w:widowControl/>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①预算编制经过科学论证</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0.5</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w:t>
            </w:r>
          </w:p>
          <w:p w14:paraId="5D398515">
            <w:pPr>
              <w:widowControl/>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②预算内容与项目内容匹配</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0.5</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w:t>
            </w:r>
          </w:p>
          <w:p w14:paraId="6A4870B0">
            <w:pPr>
              <w:widowControl/>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③预算额度测算依据充分，按照标准编制</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0.5</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w:t>
            </w:r>
          </w:p>
          <w:p w14:paraId="635864FF">
            <w:pPr>
              <w:widowControl/>
              <w:spacing w:line="280" w:lineRule="exact"/>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④预算确定的项目投资额或资金量与工作任务相匹配</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0.5</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w:t>
            </w:r>
          </w:p>
        </w:tc>
        <w:tc>
          <w:tcPr>
            <w:tcW w:w="1007" w:type="dxa"/>
            <w:noWrap/>
            <w:vAlign w:val="center"/>
          </w:tcPr>
          <w:p w14:paraId="6C12B41E">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color w:val="000000"/>
                <w:sz w:val="21"/>
                <w:szCs w:val="21"/>
              </w:rPr>
              <w:t>科学</w:t>
            </w:r>
          </w:p>
        </w:tc>
      </w:tr>
      <w:tr w14:paraId="5B8F7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9" w:hRule="atLeast"/>
          <w:jc w:val="center"/>
        </w:trPr>
        <w:tc>
          <w:tcPr>
            <w:tcW w:w="683" w:type="dxa"/>
            <w:vMerge w:val="continue"/>
            <w:noWrap/>
            <w:vAlign w:val="center"/>
          </w:tcPr>
          <w:p w14:paraId="0CBF2B92">
            <w:pPr>
              <w:spacing w:line="280" w:lineRule="exact"/>
              <w:ind w:firstLine="0" w:firstLineChars="0"/>
              <w:jc w:val="center"/>
              <w:rPr>
                <w:rFonts w:ascii="仿宋_GB2312" w:hAnsi="仿宋_GB2312" w:eastAsia="仿宋_GB2312" w:cs="仿宋_GB2312"/>
                <w:sz w:val="21"/>
                <w:szCs w:val="21"/>
              </w:rPr>
            </w:pPr>
          </w:p>
        </w:tc>
        <w:tc>
          <w:tcPr>
            <w:tcW w:w="580" w:type="dxa"/>
            <w:vMerge w:val="continue"/>
            <w:noWrap/>
            <w:vAlign w:val="center"/>
          </w:tcPr>
          <w:p w14:paraId="583E970B">
            <w:pPr>
              <w:spacing w:line="280" w:lineRule="exact"/>
              <w:ind w:firstLine="0" w:firstLineChars="0"/>
              <w:jc w:val="center"/>
              <w:rPr>
                <w:rFonts w:ascii="仿宋_GB2312" w:hAnsi="仿宋_GB2312" w:eastAsia="仿宋_GB2312" w:cs="仿宋_GB2312"/>
                <w:sz w:val="21"/>
                <w:szCs w:val="21"/>
              </w:rPr>
            </w:pPr>
          </w:p>
        </w:tc>
        <w:tc>
          <w:tcPr>
            <w:tcW w:w="724" w:type="dxa"/>
            <w:vMerge w:val="continue"/>
            <w:noWrap/>
            <w:vAlign w:val="center"/>
          </w:tcPr>
          <w:p w14:paraId="584BBF43">
            <w:pPr>
              <w:spacing w:line="280" w:lineRule="exact"/>
              <w:ind w:firstLine="0" w:firstLineChars="0"/>
              <w:jc w:val="left"/>
              <w:rPr>
                <w:rFonts w:ascii="仿宋_GB2312" w:hAnsi="仿宋_GB2312" w:eastAsia="仿宋_GB2312" w:cs="仿宋_GB2312"/>
                <w:sz w:val="21"/>
                <w:szCs w:val="21"/>
              </w:rPr>
            </w:pPr>
          </w:p>
        </w:tc>
        <w:tc>
          <w:tcPr>
            <w:tcW w:w="585" w:type="dxa"/>
            <w:vMerge w:val="continue"/>
            <w:noWrap/>
            <w:vAlign w:val="center"/>
          </w:tcPr>
          <w:p w14:paraId="64256DB1">
            <w:pPr>
              <w:spacing w:line="280" w:lineRule="exact"/>
              <w:ind w:firstLine="0" w:firstLineChars="0"/>
              <w:jc w:val="left"/>
              <w:rPr>
                <w:rFonts w:ascii="仿宋_GB2312" w:hAnsi="仿宋_GB2312" w:eastAsia="仿宋_GB2312" w:cs="仿宋_GB2312"/>
                <w:sz w:val="21"/>
                <w:szCs w:val="21"/>
              </w:rPr>
            </w:pPr>
          </w:p>
        </w:tc>
        <w:tc>
          <w:tcPr>
            <w:tcW w:w="1153" w:type="dxa"/>
            <w:noWrap/>
            <w:vAlign w:val="center"/>
          </w:tcPr>
          <w:p w14:paraId="5B7AF6EE">
            <w:pPr>
              <w:widowControl/>
              <w:spacing w:line="280" w:lineRule="exact"/>
              <w:ind w:firstLine="0" w:firstLineChars="0"/>
              <w:jc w:val="left"/>
              <w:rPr>
                <w:rFonts w:ascii="仿宋_GB2312" w:hAnsi="仿宋_GB2312" w:eastAsia="仿宋_GB2312" w:cs="仿宋_GB2312"/>
                <w:sz w:val="21"/>
                <w:szCs w:val="21"/>
              </w:rPr>
            </w:pPr>
            <w:r>
              <w:rPr>
                <w:rFonts w:hint="eastAsia" w:ascii="仿宋_GB2312" w:hAnsi="Calibri" w:eastAsia="仿宋_GB2312"/>
                <w:color w:val="000000"/>
                <w:sz w:val="21"/>
                <w:szCs w:val="21"/>
              </w:rPr>
              <w:t>A32资金分配合理性</w:t>
            </w:r>
          </w:p>
        </w:tc>
        <w:tc>
          <w:tcPr>
            <w:tcW w:w="783" w:type="dxa"/>
            <w:noWrap/>
            <w:vAlign w:val="center"/>
          </w:tcPr>
          <w:p w14:paraId="55E0FDF6">
            <w:pPr>
              <w:spacing w:line="280" w:lineRule="exact"/>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3179" w:type="dxa"/>
            <w:noWrap/>
            <w:vAlign w:val="center"/>
          </w:tcPr>
          <w:p w14:paraId="4851E0ED">
            <w:pPr>
              <w:widowControl/>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项目预算资金分配是否有测算依据，与补助单位或地方实际是否相适应，用以反映和考核项目预算资金分配的科学性、合理性情况。</w:t>
            </w:r>
          </w:p>
        </w:tc>
        <w:tc>
          <w:tcPr>
            <w:tcW w:w="4898" w:type="dxa"/>
            <w:noWrap/>
            <w:vAlign w:val="center"/>
          </w:tcPr>
          <w:p w14:paraId="4C403BA2">
            <w:pPr>
              <w:widowControl/>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①预算资金分配依据充分</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2</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w:t>
            </w:r>
          </w:p>
          <w:p w14:paraId="5B3CC55B">
            <w:pPr>
              <w:widowControl/>
              <w:spacing w:line="280" w:lineRule="exact"/>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②资金分配额度合理，与项目单位或地方实际相适应</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2</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w:t>
            </w:r>
          </w:p>
        </w:tc>
        <w:tc>
          <w:tcPr>
            <w:tcW w:w="1007" w:type="dxa"/>
            <w:noWrap/>
            <w:vAlign w:val="center"/>
          </w:tcPr>
          <w:p w14:paraId="74D5087F">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color w:val="000000"/>
                <w:sz w:val="21"/>
                <w:szCs w:val="21"/>
              </w:rPr>
              <w:t>合理</w:t>
            </w:r>
          </w:p>
        </w:tc>
      </w:tr>
      <w:tr w14:paraId="70157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683" w:type="dxa"/>
            <w:vMerge w:val="restart"/>
            <w:noWrap/>
            <w:vAlign w:val="center"/>
          </w:tcPr>
          <w:p w14:paraId="672CFB47">
            <w:pPr>
              <w:spacing w:line="280" w:lineRule="exact"/>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B</w:t>
            </w:r>
            <w:r>
              <w:rPr>
                <w:rFonts w:ascii="仿宋_GB2312" w:hAnsi="仿宋_GB2312" w:eastAsia="仿宋_GB2312" w:cs="仿宋_GB2312"/>
                <w:sz w:val="21"/>
                <w:szCs w:val="21"/>
              </w:rPr>
              <w:t>过程</w:t>
            </w:r>
          </w:p>
        </w:tc>
        <w:tc>
          <w:tcPr>
            <w:tcW w:w="580" w:type="dxa"/>
            <w:vMerge w:val="restart"/>
            <w:noWrap/>
            <w:vAlign w:val="center"/>
          </w:tcPr>
          <w:p w14:paraId="1BF50C02">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20</w:t>
            </w:r>
          </w:p>
        </w:tc>
        <w:tc>
          <w:tcPr>
            <w:tcW w:w="724" w:type="dxa"/>
            <w:vMerge w:val="restart"/>
            <w:noWrap/>
            <w:vAlign w:val="center"/>
          </w:tcPr>
          <w:p w14:paraId="0845F941">
            <w:pPr>
              <w:spacing w:line="240" w:lineRule="auto"/>
              <w:ind w:firstLine="0" w:firstLineChars="0"/>
              <w:jc w:val="left"/>
              <w:rPr>
                <w:rFonts w:ascii="仿宋_GB2312" w:hAnsi="Calibri" w:eastAsia="仿宋_GB2312"/>
                <w:sz w:val="21"/>
                <w:szCs w:val="21"/>
              </w:rPr>
            </w:pPr>
            <w:r>
              <w:rPr>
                <w:rFonts w:hint="eastAsia" w:ascii="仿宋_GB2312" w:hAnsi="Calibri" w:eastAsia="仿宋_GB2312"/>
                <w:sz w:val="21"/>
                <w:szCs w:val="21"/>
              </w:rPr>
              <w:t>B1资金管理</w:t>
            </w:r>
          </w:p>
        </w:tc>
        <w:tc>
          <w:tcPr>
            <w:tcW w:w="585" w:type="dxa"/>
            <w:vMerge w:val="restart"/>
            <w:noWrap/>
            <w:vAlign w:val="center"/>
          </w:tcPr>
          <w:p w14:paraId="3A829891">
            <w:pPr>
              <w:snapToGrid w:val="0"/>
              <w:spacing w:line="400" w:lineRule="exact"/>
              <w:ind w:firstLine="0" w:firstLineChars="0"/>
              <w:jc w:val="left"/>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12</w:t>
            </w:r>
          </w:p>
        </w:tc>
        <w:tc>
          <w:tcPr>
            <w:tcW w:w="1153" w:type="dxa"/>
            <w:noWrap/>
            <w:vAlign w:val="center"/>
          </w:tcPr>
          <w:p w14:paraId="1D47A56A">
            <w:pPr>
              <w:spacing w:line="240" w:lineRule="auto"/>
              <w:ind w:firstLine="0" w:firstLineChars="0"/>
              <w:jc w:val="left"/>
              <w:rPr>
                <w:rFonts w:ascii="仿宋_GB2312" w:hAnsi="Calibri" w:eastAsia="仿宋_GB2312"/>
                <w:sz w:val="21"/>
                <w:szCs w:val="21"/>
              </w:rPr>
            </w:pPr>
            <w:r>
              <w:rPr>
                <w:rFonts w:hint="eastAsia" w:ascii="仿宋_GB2312" w:hAnsi="Calibri" w:eastAsia="仿宋_GB2312"/>
                <w:sz w:val="21"/>
                <w:szCs w:val="21"/>
              </w:rPr>
              <w:t>B11资金到位率</w:t>
            </w:r>
          </w:p>
        </w:tc>
        <w:tc>
          <w:tcPr>
            <w:tcW w:w="783" w:type="dxa"/>
            <w:noWrap/>
            <w:vAlign w:val="center"/>
          </w:tcPr>
          <w:p w14:paraId="4E42CDC9">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4</w:t>
            </w:r>
          </w:p>
        </w:tc>
        <w:tc>
          <w:tcPr>
            <w:tcW w:w="3179" w:type="dxa"/>
            <w:noWrap/>
            <w:vAlign w:val="center"/>
          </w:tcPr>
          <w:p w14:paraId="180C07D3">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实际到位资金与预算资金的比率，反映和考核资金落实情况对项目实施进度的总体保障程度。</w:t>
            </w:r>
          </w:p>
        </w:tc>
        <w:tc>
          <w:tcPr>
            <w:tcW w:w="4898" w:type="dxa"/>
            <w:noWrap/>
            <w:vAlign w:val="center"/>
          </w:tcPr>
          <w:p w14:paraId="4DC7BEDE">
            <w:pPr>
              <w:spacing w:line="280" w:lineRule="exact"/>
              <w:ind w:firstLine="0" w:firstLineChars="0"/>
              <w:jc w:val="left"/>
              <w:rPr>
                <w:rFonts w:ascii="仿宋_GB2312" w:hAnsi="仿宋_GB2312" w:eastAsia="仿宋_GB2312" w:cs="仿宋_GB2312"/>
                <w:sz w:val="21"/>
                <w:szCs w:val="21"/>
              </w:rPr>
            </w:pPr>
            <w:r>
              <w:rPr>
                <w:rFonts w:ascii="仿宋_GB2312" w:hAnsi="仿宋_GB2312" w:eastAsia="仿宋_GB2312" w:cs="仿宋_GB2312"/>
                <w:sz w:val="21"/>
                <w:szCs w:val="21"/>
              </w:rPr>
              <w:t>（实际到位资金/预算资金）×100%计算得分（4分），60%至</w:t>
            </w:r>
            <w:r>
              <w:rPr>
                <w:rFonts w:hint="eastAsia" w:ascii="仿宋_GB2312" w:hAnsi="仿宋_GB2312" w:eastAsia="仿宋_GB2312" w:cs="仿宋_GB2312"/>
                <w:sz w:val="21"/>
                <w:szCs w:val="21"/>
              </w:rPr>
              <w:t>10</w:t>
            </w:r>
            <w:r>
              <w:rPr>
                <w:rFonts w:ascii="仿宋_GB2312" w:hAnsi="仿宋_GB2312" w:eastAsia="仿宋_GB2312" w:cs="仿宋_GB2312"/>
                <w:sz w:val="21"/>
                <w:szCs w:val="21"/>
              </w:rPr>
              <w:t>0%按比例得分，到位率低于60%不得分</w:t>
            </w:r>
            <w:r>
              <w:rPr>
                <w:rFonts w:hint="eastAsia" w:ascii="仿宋_GB2312" w:hAnsi="仿宋_GB2312" w:eastAsia="仿宋_GB2312" w:cs="仿宋_GB2312"/>
                <w:sz w:val="21"/>
                <w:szCs w:val="21"/>
              </w:rPr>
              <w:t>，100%-105%（含）得3分，105%-110%（含）得2分</w:t>
            </w:r>
            <w:r>
              <w:rPr>
                <w:rFonts w:ascii="仿宋_GB2312" w:hAnsi="仿宋_GB2312" w:eastAsia="仿宋_GB2312" w:cs="仿宋_GB2312"/>
                <w:sz w:val="21"/>
                <w:szCs w:val="21"/>
              </w:rPr>
              <w:t>。</w:t>
            </w:r>
          </w:p>
        </w:tc>
        <w:tc>
          <w:tcPr>
            <w:tcW w:w="1007" w:type="dxa"/>
            <w:noWrap/>
            <w:vAlign w:val="center"/>
          </w:tcPr>
          <w:p w14:paraId="3B63A3BA">
            <w:pPr>
              <w:widowControl/>
              <w:spacing w:line="240" w:lineRule="auto"/>
              <w:ind w:firstLine="0" w:firstLineChars="0"/>
              <w:jc w:val="center"/>
              <w:textAlignment w:val="center"/>
              <w:rPr>
                <w:rFonts w:ascii="仿宋_GB2312" w:hAnsi="Calibri" w:eastAsia="仿宋_GB2312"/>
                <w:sz w:val="21"/>
                <w:szCs w:val="21"/>
              </w:rPr>
            </w:pPr>
            <w:r>
              <w:rPr>
                <w:rFonts w:hint="eastAsia" w:ascii="仿宋_GB2312" w:hAnsi="Calibri" w:eastAsia="仿宋_GB2312"/>
                <w:kern w:val="0"/>
                <w:sz w:val="21"/>
                <w:szCs w:val="21"/>
              </w:rPr>
              <w:t>100%</w:t>
            </w:r>
          </w:p>
        </w:tc>
      </w:tr>
      <w:tr w14:paraId="334EC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5" w:hRule="atLeast"/>
          <w:jc w:val="center"/>
        </w:trPr>
        <w:tc>
          <w:tcPr>
            <w:tcW w:w="683" w:type="dxa"/>
            <w:vMerge w:val="continue"/>
            <w:noWrap/>
            <w:vAlign w:val="center"/>
          </w:tcPr>
          <w:p w14:paraId="29B01311">
            <w:pPr>
              <w:spacing w:line="280" w:lineRule="exact"/>
              <w:ind w:firstLine="0" w:firstLineChars="0"/>
              <w:jc w:val="center"/>
              <w:rPr>
                <w:rFonts w:ascii="Calibri" w:hAnsi="Calibri" w:eastAsia="宋体"/>
                <w:sz w:val="21"/>
                <w:szCs w:val="21"/>
              </w:rPr>
            </w:pPr>
          </w:p>
        </w:tc>
        <w:tc>
          <w:tcPr>
            <w:tcW w:w="580" w:type="dxa"/>
            <w:vMerge w:val="continue"/>
            <w:noWrap/>
            <w:vAlign w:val="center"/>
          </w:tcPr>
          <w:p w14:paraId="32C9836A">
            <w:pPr>
              <w:spacing w:line="280" w:lineRule="exact"/>
              <w:ind w:firstLine="0" w:firstLineChars="0"/>
              <w:jc w:val="center"/>
              <w:rPr>
                <w:rFonts w:ascii="Calibri" w:hAnsi="Calibri" w:eastAsia="宋体"/>
                <w:sz w:val="21"/>
                <w:szCs w:val="21"/>
              </w:rPr>
            </w:pPr>
          </w:p>
        </w:tc>
        <w:tc>
          <w:tcPr>
            <w:tcW w:w="724" w:type="dxa"/>
            <w:vMerge w:val="continue"/>
            <w:noWrap/>
            <w:vAlign w:val="center"/>
          </w:tcPr>
          <w:p w14:paraId="2805CE06">
            <w:pPr>
              <w:spacing w:line="280" w:lineRule="exact"/>
              <w:ind w:firstLine="0" w:firstLineChars="0"/>
              <w:jc w:val="left"/>
              <w:rPr>
                <w:rFonts w:ascii="Calibri" w:hAnsi="Calibri" w:eastAsia="宋体"/>
                <w:sz w:val="21"/>
                <w:szCs w:val="21"/>
              </w:rPr>
            </w:pPr>
          </w:p>
        </w:tc>
        <w:tc>
          <w:tcPr>
            <w:tcW w:w="585" w:type="dxa"/>
            <w:vMerge w:val="continue"/>
            <w:noWrap/>
            <w:vAlign w:val="center"/>
          </w:tcPr>
          <w:p w14:paraId="0ABE2AA6">
            <w:pPr>
              <w:spacing w:line="280" w:lineRule="exact"/>
              <w:ind w:firstLine="0" w:firstLineChars="0"/>
              <w:jc w:val="left"/>
              <w:rPr>
                <w:rFonts w:ascii="Calibri" w:hAnsi="Calibri" w:eastAsia="宋体"/>
                <w:sz w:val="21"/>
                <w:szCs w:val="21"/>
              </w:rPr>
            </w:pPr>
          </w:p>
        </w:tc>
        <w:tc>
          <w:tcPr>
            <w:tcW w:w="1153" w:type="dxa"/>
            <w:noWrap/>
            <w:vAlign w:val="center"/>
          </w:tcPr>
          <w:p w14:paraId="1BD6CEF4">
            <w:pPr>
              <w:spacing w:line="280" w:lineRule="exact"/>
              <w:ind w:firstLine="0" w:firstLineChars="0"/>
              <w:jc w:val="left"/>
              <w:rPr>
                <w:rFonts w:ascii="仿宋_GB2312" w:hAnsi="仿宋_GB2312" w:eastAsia="仿宋_GB2312" w:cs="仿宋_GB2312"/>
                <w:sz w:val="21"/>
                <w:szCs w:val="21"/>
              </w:rPr>
            </w:pPr>
            <w:r>
              <w:rPr>
                <w:rFonts w:hint="eastAsia" w:ascii="仿宋_GB2312" w:hAnsi="Calibri" w:eastAsia="仿宋_GB2312"/>
                <w:sz w:val="21"/>
                <w:szCs w:val="21"/>
              </w:rPr>
              <w:t>B12预算执行率</w:t>
            </w:r>
          </w:p>
        </w:tc>
        <w:tc>
          <w:tcPr>
            <w:tcW w:w="783" w:type="dxa"/>
            <w:noWrap/>
            <w:vAlign w:val="center"/>
          </w:tcPr>
          <w:p w14:paraId="615D2CD2">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4</w:t>
            </w:r>
          </w:p>
        </w:tc>
        <w:tc>
          <w:tcPr>
            <w:tcW w:w="3179" w:type="dxa"/>
            <w:noWrap/>
            <w:vAlign w:val="center"/>
          </w:tcPr>
          <w:p w14:paraId="3662EA99">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项目预算资金是否按照计划执行，用以反映或考核项目预算执行情况。</w:t>
            </w:r>
          </w:p>
        </w:tc>
        <w:tc>
          <w:tcPr>
            <w:tcW w:w="4898" w:type="dxa"/>
            <w:noWrap/>
            <w:vAlign w:val="center"/>
          </w:tcPr>
          <w:p w14:paraId="5CFEDD44">
            <w:pPr>
              <w:spacing w:line="280" w:lineRule="exact"/>
              <w:ind w:firstLine="0" w:firstLineChars="0"/>
              <w:jc w:val="left"/>
              <w:rPr>
                <w:rFonts w:ascii="仿宋_GB2312" w:hAnsi="仿宋_GB2312" w:eastAsia="仿宋_GB2312" w:cs="仿宋_GB2312"/>
                <w:sz w:val="21"/>
                <w:szCs w:val="21"/>
              </w:rPr>
            </w:pPr>
            <w:r>
              <w:rPr>
                <w:rFonts w:ascii="仿宋_GB2312" w:hAnsi="仿宋_GB2312" w:eastAsia="仿宋_GB2312" w:cs="仿宋_GB2312"/>
                <w:sz w:val="21"/>
                <w:szCs w:val="21"/>
              </w:rPr>
              <w:t>实际支出资金/实际到位资金×100%计算执行率，执行率大于等于9</w:t>
            </w:r>
            <w:r>
              <w:rPr>
                <w:rFonts w:hint="eastAsia" w:ascii="仿宋_GB2312" w:hAnsi="仿宋_GB2312" w:eastAsia="仿宋_GB2312" w:cs="仿宋_GB2312"/>
                <w:sz w:val="21"/>
                <w:szCs w:val="21"/>
              </w:rPr>
              <w:t>5</w:t>
            </w:r>
            <w:r>
              <w:rPr>
                <w:rFonts w:ascii="仿宋_GB2312" w:hAnsi="仿宋_GB2312" w:eastAsia="仿宋_GB2312" w:cs="仿宋_GB2312"/>
                <w:sz w:val="21"/>
                <w:szCs w:val="21"/>
              </w:rPr>
              <w:t>%得4分，</w:t>
            </w:r>
            <w:r>
              <w:rPr>
                <w:rFonts w:hint="eastAsia" w:ascii="仿宋_GB2312" w:hAnsi="仿宋_GB2312" w:eastAsia="仿宋_GB2312" w:cs="仿宋_GB2312"/>
                <w:sz w:val="21"/>
                <w:szCs w:val="21"/>
              </w:rPr>
              <w:t>8</w:t>
            </w:r>
            <w:r>
              <w:rPr>
                <w:rFonts w:ascii="仿宋_GB2312" w:hAnsi="仿宋_GB2312" w:eastAsia="仿宋_GB2312" w:cs="仿宋_GB2312"/>
                <w:sz w:val="21"/>
                <w:szCs w:val="21"/>
              </w:rPr>
              <w:t>0%</w:t>
            </w:r>
            <w:r>
              <w:rPr>
                <w:rFonts w:hint="eastAsia" w:ascii="仿宋_GB2312" w:hAnsi="仿宋_GB2312" w:eastAsia="仿宋_GB2312" w:cs="仿宋_GB2312"/>
                <w:sz w:val="21"/>
                <w:szCs w:val="21"/>
              </w:rPr>
              <w:t>（含）</w:t>
            </w:r>
            <w:r>
              <w:rPr>
                <w:rFonts w:ascii="仿宋_GB2312" w:hAnsi="仿宋_GB2312" w:eastAsia="仿宋_GB2312" w:cs="仿宋_GB2312"/>
                <w:sz w:val="21"/>
                <w:szCs w:val="21"/>
              </w:rPr>
              <w:t>至9</w:t>
            </w:r>
            <w:r>
              <w:rPr>
                <w:rFonts w:hint="eastAsia" w:ascii="仿宋_GB2312" w:hAnsi="仿宋_GB2312" w:eastAsia="仿宋_GB2312" w:cs="仿宋_GB2312"/>
                <w:sz w:val="21"/>
                <w:szCs w:val="21"/>
              </w:rPr>
              <w:t>5</w:t>
            </w:r>
            <w:r>
              <w:rPr>
                <w:rFonts w:ascii="仿宋_GB2312" w:hAnsi="仿宋_GB2312" w:eastAsia="仿宋_GB2312" w:cs="仿宋_GB2312"/>
                <w:sz w:val="21"/>
                <w:szCs w:val="21"/>
              </w:rPr>
              <w:t>%得</w:t>
            </w:r>
            <w:r>
              <w:rPr>
                <w:rFonts w:hint="eastAsia" w:ascii="仿宋_GB2312" w:hAnsi="仿宋_GB2312" w:eastAsia="仿宋_GB2312" w:cs="仿宋_GB2312"/>
                <w:sz w:val="21"/>
                <w:szCs w:val="21"/>
              </w:rPr>
              <w:t>3</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7</w:t>
            </w:r>
            <w:r>
              <w:rPr>
                <w:rFonts w:ascii="仿宋_GB2312" w:hAnsi="仿宋_GB2312" w:eastAsia="仿宋_GB2312" w:cs="仿宋_GB2312"/>
                <w:sz w:val="21"/>
                <w:szCs w:val="21"/>
              </w:rPr>
              <w:t>0%</w:t>
            </w:r>
            <w:r>
              <w:rPr>
                <w:rFonts w:hint="eastAsia" w:ascii="仿宋_GB2312" w:hAnsi="仿宋_GB2312" w:eastAsia="仿宋_GB2312" w:cs="仿宋_GB2312"/>
                <w:sz w:val="21"/>
                <w:szCs w:val="21"/>
              </w:rPr>
              <w:t>（含）</w:t>
            </w:r>
            <w:r>
              <w:rPr>
                <w:rFonts w:ascii="仿宋_GB2312" w:hAnsi="仿宋_GB2312" w:eastAsia="仿宋_GB2312" w:cs="仿宋_GB2312"/>
                <w:sz w:val="21"/>
                <w:szCs w:val="21"/>
              </w:rPr>
              <w:t>至</w:t>
            </w:r>
            <w:r>
              <w:rPr>
                <w:rFonts w:hint="eastAsia" w:ascii="仿宋_GB2312" w:hAnsi="仿宋_GB2312" w:eastAsia="仿宋_GB2312" w:cs="仿宋_GB2312"/>
                <w:sz w:val="21"/>
                <w:szCs w:val="21"/>
              </w:rPr>
              <w:t>8</w:t>
            </w:r>
            <w:r>
              <w:rPr>
                <w:rFonts w:ascii="仿宋_GB2312" w:hAnsi="仿宋_GB2312" w:eastAsia="仿宋_GB2312" w:cs="仿宋_GB2312"/>
                <w:sz w:val="21"/>
                <w:szCs w:val="21"/>
              </w:rPr>
              <w:t>0%得</w:t>
            </w:r>
            <w:r>
              <w:rPr>
                <w:rFonts w:hint="eastAsia" w:ascii="仿宋_GB2312" w:hAnsi="仿宋_GB2312" w:eastAsia="仿宋_GB2312" w:cs="仿宋_GB2312"/>
                <w:sz w:val="21"/>
                <w:szCs w:val="21"/>
              </w:rPr>
              <w:t>2</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6</w:t>
            </w:r>
            <w:r>
              <w:rPr>
                <w:rFonts w:ascii="仿宋_GB2312" w:hAnsi="仿宋_GB2312" w:eastAsia="仿宋_GB2312" w:cs="仿宋_GB2312"/>
                <w:sz w:val="21"/>
                <w:szCs w:val="21"/>
              </w:rPr>
              <w:t>0%</w:t>
            </w:r>
            <w:r>
              <w:rPr>
                <w:rFonts w:hint="eastAsia" w:ascii="仿宋_GB2312" w:hAnsi="仿宋_GB2312" w:eastAsia="仿宋_GB2312" w:cs="仿宋_GB2312"/>
                <w:sz w:val="21"/>
                <w:szCs w:val="21"/>
              </w:rPr>
              <w:t>（含）</w:t>
            </w:r>
            <w:r>
              <w:rPr>
                <w:rFonts w:ascii="仿宋_GB2312" w:hAnsi="仿宋_GB2312" w:eastAsia="仿宋_GB2312" w:cs="仿宋_GB2312"/>
                <w:sz w:val="21"/>
                <w:szCs w:val="21"/>
              </w:rPr>
              <w:t>至</w:t>
            </w:r>
            <w:r>
              <w:rPr>
                <w:rFonts w:hint="eastAsia" w:ascii="仿宋_GB2312" w:hAnsi="仿宋_GB2312" w:eastAsia="仿宋_GB2312" w:cs="仿宋_GB2312"/>
                <w:sz w:val="21"/>
                <w:szCs w:val="21"/>
              </w:rPr>
              <w:t>7</w:t>
            </w:r>
            <w:r>
              <w:rPr>
                <w:rFonts w:ascii="仿宋_GB2312" w:hAnsi="仿宋_GB2312" w:eastAsia="仿宋_GB2312" w:cs="仿宋_GB2312"/>
                <w:sz w:val="21"/>
                <w:szCs w:val="21"/>
              </w:rPr>
              <w:t>0%得</w:t>
            </w:r>
            <w:r>
              <w:rPr>
                <w:rFonts w:hint="eastAsia" w:ascii="仿宋_GB2312" w:hAnsi="仿宋_GB2312" w:eastAsia="仿宋_GB2312" w:cs="仿宋_GB2312"/>
                <w:sz w:val="21"/>
                <w:szCs w:val="21"/>
              </w:rPr>
              <w:t>1</w:t>
            </w:r>
            <w:r>
              <w:rPr>
                <w:rFonts w:ascii="仿宋_GB2312" w:hAnsi="仿宋_GB2312" w:eastAsia="仿宋_GB2312" w:cs="仿宋_GB2312"/>
                <w:sz w:val="21"/>
                <w:szCs w:val="21"/>
              </w:rPr>
              <w:t>分，执行率低于60%不得分。</w:t>
            </w:r>
          </w:p>
        </w:tc>
        <w:tc>
          <w:tcPr>
            <w:tcW w:w="1007" w:type="dxa"/>
            <w:noWrap/>
            <w:vAlign w:val="center"/>
          </w:tcPr>
          <w:p w14:paraId="19D69F21">
            <w:pPr>
              <w:widowControl/>
              <w:spacing w:line="240" w:lineRule="auto"/>
              <w:ind w:firstLine="0" w:firstLineChars="0"/>
              <w:jc w:val="center"/>
              <w:textAlignment w:val="center"/>
              <w:rPr>
                <w:rFonts w:ascii="仿宋_GB2312" w:hAnsi="Calibri" w:eastAsia="仿宋_GB2312"/>
                <w:sz w:val="21"/>
                <w:szCs w:val="21"/>
              </w:rPr>
            </w:pPr>
            <w:r>
              <w:rPr>
                <w:rFonts w:hint="eastAsia" w:ascii="仿宋_GB2312" w:hAnsi="Calibri" w:eastAsia="仿宋_GB2312"/>
                <w:kern w:val="0"/>
                <w:sz w:val="21"/>
                <w:szCs w:val="21"/>
              </w:rPr>
              <w:t>95%</w:t>
            </w:r>
          </w:p>
        </w:tc>
      </w:tr>
      <w:tr w14:paraId="43EFC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jc w:val="center"/>
        </w:trPr>
        <w:tc>
          <w:tcPr>
            <w:tcW w:w="683" w:type="dxa"/>
            <w:vMerge w:val="continue"/>
            <w:noWrap/>
            <w:vAlign w:val="center"/>
          </w:tcPr>
          <w:p w14:paraId="7C1DA913">
            <w:pPr>
              <w:spacing w:line="280" w:lineRule="exact"/>
              <w:ind w:firstLine="0" w:firstLineChars="0"/>
              <w:jc w:val="center"/>
              <w:rPr>
                <w:rFonts w:ascii="Calibri" w:hAnsi="Calibri" w:eastAsia="宋体"/>
                <w:sz w:val="21"/>
                <w:szCs w:val="21"/>
              </w:rPr>
            </w:pPr>
          </w:p>
        </w:tc>
        <w:tc>
          <w:tcPr>
            <w:tcW w:w="580" w:type="dxa"/>
            <w:vMerge w:val="continue"/>
            <w:noWrap/>
            <w:vAlign w:val="center"/>
          </w:tcPr>
          <w:p w14:paraId="6F4A2215">
            <w:pPr>
              <w:spacing w:line="280" w:lineRule="exact"/>
              <w:ind w:firstLine="0" w:firstLineChars="0"/>
              <w:jc w:val="center"/>
              <w:rPr>
                <w:rFonts w:ascii="Calibri" w:hAnsi="Calibri" w:eastAsia="宋体"/>
                <w:sz w:val="21"/>
                <w:szCs w:val="21"/>
              </w:rPr>
            </w:pPr>
          </w:p>
        </w:tc>
        <w:tc>
          <w:tcPr>
            <w:tcW w:w="724" w:type="dxa"/>
            <w:vMerge w:val="continue"/>
            <w:noWrap/>
            <w:vAlign w:val="center"/>
          </w:tcPr>
          <w:p w14:paraId="1D0EE5CF">
            <w:pPr>
              <w:spacing w:line="280" w:lineRule="exact"/>
              <w:ind w:firstLine="0" w:firstLineChars="0"/>
              <w:jc w:val="left"/>
              <w:rPr>
                <w:rFonts w:ascii="Calibri" w:hAnsi="Calibri" w:eastAsia="宋体"/>
                <w:sz w:val="21"/>
                <w:szCs w:val="21"/>
              </w:rPr>
            </w:pPr>
          </w:p>
        </w:tc>
        <w:tc>
          <w:tcPr>
            <w:tcW w:w="585" w:type="dxa"/>
            <w:vMerge w:val="continue"/>
            <w:noWrap/>
            <w:vAlign w:val="center"/>
          </w:tcPr>
          <w:p w14:paraId="3BD37753">
            <w:pPr>
              <w:spacing w:line="280" w:lineRule="exact"/>
              <w:ind w:firstLine="0" w:firstLineChars="0"/>
              <w:jc w:val="left"/>
              <w:rPr>
                <w:rFonts w:ascii="Calibri" w:hAnsi="Calibri" w:eastAsia="宋体"/>
                <w:sz w:val="21"/>
                <w:szCs w:val="21"/>
              </w:rPr>
            </w:pPr>
          </w:p>
        </w:tc>
        <w:tc>
          <w:tcPr>
            <w:tcW w:w="1153" w:type="dxa"/>
            <w:noWrap/>
            <w:vAlign w:val="center"/>
          </w:tcPr>
          <w:p w14:paraId="09ED7589">
            <w:pPr>
              <w:spacing w:line="280" w:lineRule="exact"/>
              <w:ind w:firstLine="0" w:firstLineChars="0"/>
              <w:jc w:val="left"/>
              <w:rPr>
                <w:rFonts w:ascii="仿宋_GB2312" w:hAnsi="仿宋_GB2312" w:eastAsia="仿宋_GB2312" w:cs="仿宋_GB2312"/>
                <w:sz w:val="21"/>
                <w:szCs w:val="21"/>
              </w:rPr>
            </w:pPr>
            <w:r>
              <w:rPr>
                <w:rFonts w:hint="eastAsia" w:ascii="仿宋_GB2312" w:hAnsi="Calibri" w:eastAsia="仿宋_GB2312"/>
                <w:sz w:val="21"/>
                <w:szCs w:val="21"/>
              </w:rPr>
              <w:t>B13资金使用合规性</w:t>
            </w:r>
          </w:p>
        </w:tc>
        <w:tc>
          <w:tcPr>
            <w:tcW w:w="783" w:type="dxa"/>
            <w:noWrap/>
            <w:vAlign w:val="center"/>
          </w:tcPr>
          <w:p w14:paraId="41DFB908">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4</w:t>
            </w:r>
          </w:p>
        </w:tc>
        <w:tc>
          <w:tcPr>
            <w:tcW w:w="3179" w:type="dxa"/>
            <w:noWrap/>
            <w:vAlign w:val="center"/>
          </w:tcPr>
          <w:p w14:paraId="2E18A95F">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项目资金使用是否符合相关的财务管理制度规定，用以反映和考核项目资金的规范运行情况</w:t>
            </w:r>
          </w:p>
        </w:tc>
        <w:tc>
          <w:tcPr>
            <w:tcW w:w="4898" w:type="dxa"/>
            <w:noWrap/>
            <w:vAlign w:val="center"/>
          </w:tcPr>
          <w:p w14:paraId="0531C4D5">
            <w:pPr>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①符合国家财经法规和财务管理制度以及有关专项资金管理办法的规定</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2</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w:t>
            </w:r>
          </w:p>
          <w:p w14:paraId="0E361B93">
            <w:pPr>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②资金的拨付有完整的审批程序和手续</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1</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w:t>
            </w:r>
          </w:p>
          <w:p w14:paraId="24E6E453">
            <w:pPr>
              <w:spacing w:line="280" w:lineRule="exact"/>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③符合项目预算批复或合同规定的用途</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1</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w:t>
            </w:r>
          </w:p>
          <w:p w14:paraId="7FB8C4EA">
            <w:pPr>
              <w:spacing w:line="280" w:lineRule="exact"/>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未发现存在截留、挤占、挪用、虚列支出等情况，（违反此项整体不得分）。</w:t>
            </w:r>
          </w:p>
        </w:tc>
        <w:tc>
          <w:tcPr>
            <w:tcW w:w="1007" w:type="dxa"/>
            <w:noWrap/>
            <w:vAlign w:val="center"/>
          </w:tcPr>
          <w:p w14:paraId="036BF26B">
            <w:pPr>
              <w:widowControl/>
              <w:spacing w:line="240" w:lineRule="auto"/>
              <w:ind w:firstLine="0" w:firstLineChars="0"/>
              <w:jc w:val="center"/>
              <w:textAlignment w:val="center"/>
              <w:rPr>
                <w:rFonts w:ascii="仿宋_GB2312" w:hAnsi="Calibri" w:eastAsia="仿宋_GB2312"/>
                <w:sz w:val="21"/>
                <w:szCs w:val="21"/>
              </w:rPr>
            </w:pPr>
            <w:r>
              <w:rPr>
                <w:rFonts w:hint="eastAsia" w:ascii="仿宋_GB2312" w:hAnsi="Calibri" w:eastAsia="仿宋_GB2312"/>
                <w:kern w:val="0"/>
                <w:sz w:val="21"/>
                <w:szCs w:val="21"/>
              </w:rPr>
              <w:t>合规</w:t>
            </w:r>
          </w:p>
        </w:tc>
      </w:tr>
      <w:tr w14:paraId="52FF0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1" w:hRule="atLeast"/>
          <w:jc w:val="center"/>
        </w:trPr>
        <w:tc>
          <w:tcPr>
            <w:tcW w:w="683" w:type="dxa"/>
            <w:vMerge w:val="continue"/>
            <w:noWrap/>
            <w:vAlign w:val="center"/>
          </w:tcPr>
          <w:p w14:paraId="7DC68AE6">
            <w:pPr>
              <w:spacing w:line="280" w:lineRule="exact"/>
              <w:ind w:firstLine="0" w:firstLineChars="0"/>
              <w:jc w:val="center"/>
              <w:rPr>
                <w:rFonts w:ascii="Calibri" w:hAnsi="Calibri" w:eastAsia="宋体"/>
                <w:sz w:val="21"/>
                <w:szCs w:val="21"/>
              </w:rPr>
            </w:pPr>
          </w:p>
        </w:tc>
        <w:tc>
          <w:tcPr>
            <w:tcW w:w="580" w:type="dxa"/>
            <w:vMerge w:val="continue"/>
            <w:noWrap/>
            <w:vAlign w:val="center"/>
          </w:tcPr>
          <w:p w14:paraId="55A8DA51">
            <w:pPr>
              <w:spacing w:line="280" w:lineRule="exact"/>
              <w:ind w:firstLine="0" w:firstLineChars="0"/>
              <w:jc w:val="center"/>
              <w:rPr>
                <w:rFonts w:ascii="Calibri" w:hAnsi="Calibri" w:eastAsia="宋体"/>
                <w:sz w:val="21"/>
                <w:szCs w:val="21"/>
              </w:rPr>
            </w:pPr>
          </w:p>
        </w:tc>
        <w:tc>
          <w:tcPr>
            <w:tcW w:w="724" w:type="dxa"/>
            <w:vMerge w:val="restart"/>
            <w:noWrap/>
            <w:vAlign w:val="center"/>
          </w:tcPr>
          <w:p w14:paraId="54B41876">
            <w:pPr>
              <w:spacing w:line="240" w:lineRule="auto"/>
              <w:ind w:firstLine="0" w:firstLineChars="0"/>
              <w:jc w:val="left"/>
              <w:rPr>
                <w:rFonts w:ascii="仿宋_GB2312" w:hAnsi="Calibri" w:eastAsia="仿宋_GB2312"/>
                <w:sz w:val="21"/>
                <w:szCs w:val="21"/>
              </w:rPr>
            </w:pPr>
            <w:r>
              <w:rPr>
                <w:rFonts w:hint="eastAsia" w:ascii="仿宋_GB2312" w:hAnsi="Calibri" w:eastAsia="仿宋_GB2312"/>
                <w:sz w:val="21"/>
                <w:szCs w:val="21"/>
              </w:rPr>
              <w:t>B2组织实施</w:t>
            </w:r>
          </w:p>
          <w:p w14:paraId="534EFF66">
            <w:pPr>
              <w:spacing w:line="240" w:lineRule="auto"/>
              <w:ind w:firstLine="0" w:firstLineChars="0"/>
              <w:jc w:val="left"/>
              <w:rPr>
                <w:rFonts w:ascii="仿宋_GB2312" w:hAnsi="Calibri" w:eastAsia="仿宋_GB2312"/>
                <w:sz w:val="21"/>
                <w:szCs w:val="21"/>
              </w:rPr>
            </w:pPr>
          </w:p>
        </w:tc>
        <w:tc>
          <w:tcPr>
            <w:tcW w:w="585" w:type="dxa"/>
            <w:vMerge w:val="restart"/>
            <w:noWrap/>
            <w:vAlign w:val="center"/>
          </w:tcPr>
          <w:p w14:paraId="289BC538">
            <w:pPr>
              <w:snapToGrid w:val="0"/>
              <w:spacing w:line="400" w:lineRule="exact"/>
              <w:ind w:firstLine="0" w:firstLineChars="0"/>
              <w:jc w:val="left"/>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8</w:t>
            </w:r>
          </w:p>
        </w:tc>
        <w:tc>
          <w:tcPr>
            <w:tcW w:w="1153" w:type="dxa"/>
            <w:noWrap/>
            <w:vAlign w:val="center"/>
          </w:tcPr>
          <w:p w14:paraId="1C198EE6">
            <w:pPr>
              <w:spacing w:line="240" w:lineRule="auto"/>
              <w:ind w:firstLine="0" w:firstLineChars="0"/>
              <w:jc w:val="left"/>
              <w:rPr>
                <w:rFonts w:ascii="仿宋_GB2312" w:hAnsi="Calibri" w:eastAsia="仿宋_GB2312"/>
                <w:sz w:val="21"/>
                <w:szCs w:val="21"/>
              </w:rPr>
            </w:pPr>
            <w:r>
              <w:rPr>
                <w:rFonts w:hint="eastAsia" w:ascii="仿宋_GB2312" w:hAnsi="Calibri" w:eastAsia="仿宋_GB2312"/>
                <w:sz w:val="21"/>
                <w:szCs w:val="21"/>
              </w:rPr>
              <w:t>B21管理制度健全性</w:t>
            </w:r>
          </w:p>
        </w:tc>
        <w:tc>
          <w:tcPr>
            <w:tcW w:w="783" w:type="dxa"/>
            <w:noWrap/>
            <w:vAlign w:val="center"/>
          </w:tcPr>
          <w:p w14:paraId="3B10B9AD">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4</w:t>
            </w:r>
          </w:p>
        </w:tc>
        <w:tc>
          <w:tcPr>
            <w:tcW w:w="3179" w:type="dxa"/>
            <w:noWrap/>
            <w:vAlign w:val="center"/>
          </w:tcPr>
          <w:p w14:paraId="1ABF4094">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用以反映和考核财务和业务管理制度对项目顺利实施的保障情况。</w:t>
            </w:r>
          </w:p>
        </w:tc>
        <w:tc>
          <w:tcPr>
            <w:tcW w:w="4898" w:type="dxa"/>
            <w:noWrap/>
            <w:vAlign w:val="center"/>
          </w:tcPr>
          <w:p w14:paraId="6D34800E">
            <w:pPr>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①已制定或具有相应的财务和业务管理制度</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2</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w:t>
            </w:r>
          </w:p>
          <w:p w14:paraId="5787A845">
            <w:pPr>
              <w:spacing w:line="280" w:lineRule="exact"/>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②财务和业务管理制度合法、合规、完整</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2</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w:t>
            </w:r>
          </w:p>
        </w:tc>
        <w:tc>
          <w:tcPr>
            <w:tcW w:w="1007" w:type="dxa"/>
            <w:noWrap/>
            <w:vAlign w:val="center"/>
          </w:tcPr>
          <w:p w14:paraId="4E122A23">
            <w:pPr>
              <w:spacing w:line="240" w:lineRule="auto"/>
              <w:ind w:firstLine="0" w:firstLineChars="0"/>
              <w:jc w:val="center"/>
              <w:rPr>
                <w:rFonts w:ascii="仿宋_GB2312" w:hAnsi="Calibri" w:eastAsia="仿宋_GB2312"/>
                <w:sz w:val="21"/>
                <w:szCs w:val="21"/>
              </w:rPr>
            </w:pPr>
            <w:r>
              <w:rPr>
                <w:rFonts w:hint="eastAsia" w:ascii="仿宋_GB2312" w:hAnsi="Calibri" w:eastAsia="仿宋_GB2312"/>
                <w:sz w:val="21"/>
                <w:szCs w:val="21"/>
              </w:rPr>
              <w:t>健全</w:t>
            </w:r>
          </w:p>
        </w:tc>
      </w:tr>
      <w:tr w14:paraId="75762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2" w:hRule="atLeast"/>
          <w:jc w:val="center"/>
        </w:trPr>
        <w:tc>
          <w:tcPr>
            <w:tcW w:w="683" w:type="dxa"/>
            <w:vMerge w:val="continue"/>
            <w:noWrap/>
            <w:vAlign w:val="center"/>
          </w:tcPr>
          <w:p w14:paraId="7681F8A1">
            <w:pPr>
              <w:spacing w:line="280" w:lineRule="exact"/>
              <w:ind w:firstLine="0" w:firstLineChars="0"/>
              <w:jc w:val="center"/>
              <w:rPr>
                <w:rFonts w:ascii="Calibri" w:hAnsi="Calibri" w:eastAsia="宋体"/>
                <w:sz w:val="21"/>
                <w:szCs w:val="21"/>
              </w:rPr>
            </w:pPr>
          </w:p>
        </w:tc>
        <w:tc>
          <w:tcPr>
            <w:tcW w:w="580" w:type="dxa"/>
            <w:vMerge w:val="continue"/>
            <w:noWrap/>
            <w:vAlign w:val="center"/>
          </w:tcPr>
          <w:p w14:paraId="07344BF8">
            <w:pPr>
              <w:spacing w:line="280" w:lineRule="exact"/>
              <w:ind w:firstLine="0" w:firstLineChars="0"/>
              <w:jc w:val="center"/>
              <w:rPr>
                <w:rFonts w:ascii="Calibri" w:hAnsi="Calibri" w:eastAsia="宋体"/>
                <w:sz w:val="21"/>
                <w:szCs w:val="21"/>
              </w:rPr>
            </w:pPr>
          </w:p>
        </w:tc>
        <w:tc>
          <w:tcPr>
            <w:tcW w:w="724" w:type="dxa"/>
            <w:vMerge w:val="continue"/>
            <w:noWrap/>
            <w:vAlign w:val="center"/>
          </w:tcPr>
          <w:p w14:paraId="3323FE24">
            <w:pPr>
              <w:spacing w:line="280" w:lineRule="exact"/>
              <w:ind w:firstLine="0" w:firstLineChars="0"/>
              <w:jc w:val="left"/>
              <w:rPr>
                <w:rFonts w:ascii="Calibri" w:hAnsi="Calibri" w:eastAsia="宋体"/>
                <w:sz w:val="21"/>
                <w:szCs w:val="21"/>
              </w:rPr>
            </w:pPr>
          </w:p>
        </w:tc>
        <w:tc>
          <w:tcPr>
            <w:tcW w:w="585" w:type="dxa"/>
            <w:vMerge w:val="continue"/>
            <w:noWrap/>
            <w:vAlign w:val="center"/>
          </w:tcPr>
          <w:p w14:paraId="6F11E33C">
            <w:pPr>
              <w:spacing w:line="280" w:lineRule="exact"/>
              <w:ind w:firstLine="0" w:firstLineChars="0"/>
              <w:jc w:val="left"/>
              <w:rPr>
                <w:rFonts w:ascii="Calibri" w:hAnsi="Calibri" w:eastAsia="宋体"/>
                <w:sz w:val="21"/>
                <w:szCs w:val="21"/>
              </w:rPr>
            </w:pPr>
          </w:p>
        </w:tc>
        <w:tc>
          <w:tcPr>
            <w:tcW w:w="1153" w:type="dxa"/>
            <w:noWrap/>
            <w:vAlign w:val="center"/>
          </w:tcPr>
          <w:p w14:paraId="66AA2797">
            <w:pPr>
              <w:spacing w:line="280" w:lineRule="exact"/>
              <w:ind w:firstLine="0" w:firstLineChars="0"/>
              <w:jc w:val="left"/>
              <w:rPr>
                <w:rFonts w:ascii="仿宋_GB2312" w:hAnsi="仿宋_GB2312" w:eastAsia="仿宋_GB2312" w:cs="仿宋_GB2312"/>
                <w:sz w:val="21"/>
                <w:szCs w:val="21"/>
              </w:rPr>
            </w:pPr>
            <w:r>
              <w:rPr>
                <w:rFonts w:hint="eastAsia" w:ascii="仿宋_GB2312" w:hAnsi="Calibri" w:eastAsia="仿宋_GB2312"/>
                <w:sz w:val="21"/>
                <w:szCs w:val="21"/>
              </w:rPr>
              <w:t>B22制度执行有效性</w:t>
            </w:r>
          </w:p>
        </w:tc>
        <w:tc>
          <w:tcPr>
            <w:tcW w:w="783" w:type="dxa"/>
            <w:noWrap/>
            <w:vAlign w:val="center"/>
          </w:tcPr>
          <w:p w14:paraId="359ED1E9">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4</w:t>
            </w:r>
          </w:p>
        </w:tc>
        <w:tc>
          <w:tcPr>
            <w:tcW w:w="3179" w:type="dxa"/>
            <w:noWrap/>
            <w:vAlign w:val="center"/>
          </w:tcPr>
          <w:p w14:paraId="6BC5E313">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项目实施是否符合相关业务管理规定，是否为达到项目质量要求而采取了必需的措施，用以反映和考核相关管理制度的有效执行情况。</w:t>
            </w:r>
          </w:p>
        </w:tc>
        <w:tc>
          <w:tcPr>
            <w:tcW w:w="4898" w:type="dxa"/>
            <w:noWrap/>
            <w:vAlign w:val="center"/>
          </w:tcPr>
          <w:p w14:paraId="160ADABC">
            <w:pPr>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①遵守相关法律法规和相关管理规定</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2</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w:t>
            </w:r>
          </w:p>
          <w:p w14:paraId="029832A1">
            <w:pPr>
              <w:spacing w:line="280" w:lineRule="exact"/>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②项目实施方案、各项制度、财务等资料齐全并及时归档</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2</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w:t>
            </w:r>
          </w:p>
        </w:tc>
        <w:tc>
          <w:tcPr>
            <w:tcW w:w="1007" w:type="dxa"/>
            <w:noWrap/>
            <w:vAlign w:val="center"/>
          </w:tcPr>
          <w:p w14:paraId="7C1F4AD7">
            <w:pPr>
              <w:spacing w:line="240" w:lineRule="auto"/>
              <w:ind w:firstLine="0" w:firstLineChars="0"/>
              <w:jc w:val="center"/>
              <w:rPr>
                <w:rFonts w:ascii="仿宋_GB2312" w:hAnsi="Calibri" w:eastAsia="仿宋_GB2312"/>
                <w:sz w:val="21"/>
                <w:szCs w:val="21"/>
              </w:rPr>
            </w:pPr>
            <w:r>
              <w:rPr>
                <w:rFonts w:hint="eastAsia" w:ascii="仿宋_GB2312" w:hAnsi="Calibri" w:eastAsia="仿宋_GB2312"/>
                <w:sz w:val="21"/>
                <w:szCs w:val="21"/>
              </w:rPr>
              <w:t>有效</w:t>
            </w:r>
          </w:p>
        </w:tc>
      </w:tr>
      <w:tr w14:paraId="1ECBC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jc w:val="center"/>
        </w:trPr>
        <w:tc>
          <w:tcPr>
            <w:tcW w:w="683" w:type="dxa"/>
            <w:vMerge w:val="restart"/>
            <w:noWrap/>
            <w:vAlign w:val="center"/>
          </w:tcPr>
          <w:p w14:paraId="0F037B7B">
            <w:pPr>
              <w:spacing w:line="280" w:lineRule="exact"/>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C</w:t>
            </w:r>
            <w:r>
              <w:rPr>
                <w:rFonts w:ascii="仿宋_GB2312" w:hAnsi="仿宋_GB2312" w:eastAsia="仿宋_GB2312" w:cs="仿宋_GB2312"/>
                <w:sz w:val="21"/>
                <w:szCs w:val="21"/>
              </w:rPr>
              <w:t>产出</w:t>
            </w:r>
          </w:p>
        </w:tc>
        <w:tc>
          <w:tcPr>
            <w:tcW w:w="580" w:type="dxa"/>
            <w:vMerge w:val="restart"/>
            <w:noWrap/>
            <w:vAlign w:val="center"/>
          </w:tcPr>
          <w:p w14:paraId="27100287">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30</w:t>
            </w:r>
          </w:p>
        </w:tc>
        <w:tc>
          <w:tcPr>
            <w:tcW w:w="724" w:type="dxa"/>
            <w:vMerge w:val="restart"/>
            <w:noWrap/>
            <w:vAlign w:val="center"/>
          </w:tcPr>
          <w:p w14:paraId="32A09710">
            <w:pPr>
              <w:spacing w:line="240" w:lineRule="auto"/>
              <w:ind w:firstLine="0" w:firstLineChars="0"/>
              <w:jc w:val="left"/>
              <w:rPr>
                <w:rFonts w:ascii="仿宋_GB2312" w:hAnsi="Calibri" w:eastAsia="仿宋_GB2312"/>
                <w:sz w:val="21"/>
                <w:szCs w:val="21"/>
              </w:rPr>
            </w:pPr>
            <w:r>
              <w:rPr>
                <w:rFonts w:hint="eastAsia" w:ascii="仿宋_GB2312" w:hAnsi="Calibri" w:eastAsia="仿宋_GB2312"/>
                <w:sz w:val="21"/>
                <w:szCs w:val="21"/>
              </w:rPr>
              <w:t>C1产出数量</w:t>
            </w:r>
          </w:p>
        </w:tc>
        <w:tc>
          <w:tcPr>
            <w:tcW w:w="585" w:type="dxa"/>
            <w:vMerge w:val="restart"/>
            <w:noWrap/>
            <w:vAlign w:val="center"/>
          </w:tcPr>
          <w:p w14:paraId="3DD6FCFF">
            <w:pPr>
              <w:snapToGrid w:val="0"/>
              <w:spacing w:line="400" w:lineRule="exact"/>
              <w:ind w:firstLine="120" w:firstLineChars="50"/>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8</w:t>
            </w:r>
          </w:p>
        </w:tc>
        <w:tc>
          <w:tcPr>
            <w:tcW w:w="1153" w:type="dxa"/>
            <w:noWrap/>
            <w:vAlign w:val="center"/>
          </w:tcPr>
          <w:p w14:paraId="4F4D0EBA">
            <w:pPr>
              <w:spacing w:line="240" w:lineRule="auto"/>
              <w:ind w:firstLine="0" w:firstLineChars="0"/>
              <w:jc w:val="both"/>
              <w:rPr>
                <w:rFonts w:ascii="仿宋_GB2312" w:hAnsi="Calibri" w:eastAsia="仿宋_GB2312"/>
                <w:color w:val="000000"/>
                <w:sz w:val="21"/>
                <w:szCs w:val="21"/>
              </w:rPr>
            </w:pPr>
            <w:r>
              <w:rPr>
                <w:rFonts w:hint="eastAsia" w:ascii="仿宋_GB2312" w:hAnsi="Calibri" w:eastAsia="仿宋_GB2312"/>
                <w:sz w:val="21"/>
                <w:szCs w:val="21"/>
              </w:rPr>
              <w:t>C11</w:t>
            </w:r>
            <w:r>
              <w:rPr>
                <w:rFonts w:hint="eastAsia" w:ascii="仿宋_GB2312" w:hAnsi="Calibri" w:eastAsia="仿宋_GB2312"/>
                <w:sz w:val="21"/>
                <w:szCs w:val="21"/>
                <w:lang w:val="en-US" w:eastAsia="zh-CN"/>
              </w:rPr>
              <w:t>综合教学楼建筑面积完成率</w:t>
            </w:r>
          </w:p>
        </w:tc>
        <w:tc>
          <w:tcPr>
            <w:tcW w:w="783" w:type="dxa"/>
            <w:noWrap/>
            <w:vAlign w:val="center"/>
          </w:tcPr>
          <w:p w14:paraId="1FD882E2">
            <w:pPr>
              <w:spacing w:line="280" w:lineRule="exact"/>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3179" w:type="dxa"/>
            <w:noWrap/>
            <w:vAlign w:val="center"/>
          </w:tcPr>
          <w:p w14:paraId="17FEB996">
            <w:pPr>
              <w:spacing w:line="24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反映和考核</w:t>
            </w:r>
            <w:r>
              <w:rPr>
                <w:rFonts w:hint="eastAsia" w:ascii="仿宋_GB2312" w:hAnsi="Calibri" w:eastAsia="仿宋_GB2312"/>
                <w:sz w:val="21"/>
                <w:szCs w:val="21"/>
                <w:lang w:val="en-US" w:eastAsia="zh-CN"/>
              </w:rPr>
              <w:t>综合教学楼建筑面积</w:t>
            </w:r>
            <w:r>
              <w:rPr>
                <w:rFonts w:hint="eastAsia" w:ascii="仿宋_GB2312" w:hAnsi="仿宋_GB2312" w:eastAsia="仿宋_GB2312" w:cs="仿宋_GB2312"/>
                <w:sz w:val="21"/>
                <w:szCs w:val="21"/>
              </w:rPr>
              <w:t>完成</w:t>
            </w:r>
            <w:r>
              <w:rPr>
                <w:rFonts w:ascii="仿宋_GB2312" w:hAnsi="仿宋_GB2312" w:eastAsia="仿宋_GB2312" w:cs="仿宋_GB2312"/>
                <w:sz w:val="21"/>
                <w:szCs w:val="21"/>
              </w:rPr>
              <w:t>情况</w:t>
            </w:r>
          </w:p>
        </w:tc>
        <w:tc>
          <w:tcPr>
            <w:tcW w:w="4898" w:type="dxa"/>
            <w:noWrap/>
            <w:vAlign w:val="center"/>
          </w:tcPr>
          <w:p w14:paraId="673E3B27">
            <w:pPr>
              <w:spacing w:line="280" w:lineRule="exact"/>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完成率=实际</w:t>
            </w:r>
            <w:r>
              <w:rPr>
                <w:rFonts w:hint="eastAsia" w:ascii="仿宋_GB2312" w:hAnsi="仿宋_GB2312" w:eastAsia="仿宋_GB2312" w:cs="仿宋_GB2312"/>
                <w:sz w:val="21"/>
                <w:szCs w:val="21"/>
                <w:lang w:val="en-US" w:eastAsia="zh-CN"/>
              </w:rPr>
              <w:t>完成面积数</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计划</w:t>
            </w:r>
            <w:r>
              <w:rPr>
                <w:rFonts w:hint="eastAsia" w:ascii="仿宋_GB2312" w:hAnsi="仿宋_GB2312" w:eastAsia="仿宋_GB2312" w:cs="仿宋_GB2312"/>
                <w:sz w:val="21"/>
                <w:szCs w:val="21"/>
                <w:lang w:val="en-US" w:eastAsia="zh-CN"/>
              </w:rPr>
              <w:t>完成面积数</w:t>
            </w:r>
            <w:r>
              <w:rPr>
                <w:rFonts w:ascii="仿宋_GB2312" w:hAnsi="仿宋_GB2312" w:eastAsia="仿宋_GB2312" w:cs="仿宋_GB2312"/>
                <w:sz w:val="21"/>
                <w:szCs w:val="21"/>
              </w:rPr>
              <w:t>×100%，</w:t>
            </w:r>
            <w:r>
              <w:rPr>
                <w:rFonts w:hint="eastAsia" w:ascii="仿宋_GB2312" w:hAnsi="仿宋_GB2312" w:eastAsia="仿宋_GB2312" w:cs="仿宋_GB2312"/>
                <w:sz w:val="21"/>
                <w:szCs w:val="21"/>
              </w:rPr>
              <w:t>完成</w:t>
            </w:r>
            <w:r>
              <w:rPr>
                <w:rFonts w:ascii="仿宋_GB2312" w:hAnsi="仿宋_GB2312" w:eastAsia="仿宋_GB2312" w:cs="仿宋_GB2312"/>
                <w:sz w:val="21"/>
                <w:szCs w:val="21"/>
              </w:rPr>
              <w:t>率</w:t>
            </w:r>
            <w:r>
              <w:rPr>
                <w:rFonts w:hint="eastAsia" w:ascii="仿宋_GB2312" w:hAnsi="仿宋_GB2312" w:eastAsia="仿宋_GB2312" w:cs="仿宋_GB2312"/>
                <w:sz w:val="21"/>
                <w:szCs w:val="21"/>
              </w:rPr>
              <w:t>≥100%得满分，低于100%不得分</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4</w:t>
            </w:r>
            <w:r>
              <w:rPr>
                <w:rFonts w:ascii="仿宋_GB2312" w:hAnsi="仿宋_GB2312" w:eastAsia="仿宋_GB2312" w:cs="仿宋_GB2312"/>
                <w:sz w:val="21"/>
                <w:szCs w:val="21"/>
              </w:rPr>
              <w:t>分）。</w:t>
            </w:r>
          </w:p>
        </w:tc>
        <w:tc>
          <w:tcPr>
            <w:tcW w:w="1007" w:type="dxa"/>
            <w:noWrap/>
            <w:vAlign w:val="center"/>
          </w:tcPr>
          <w:p w14:paraId="4BDCCD46">
            <w:pPr>
              <w:spacing w:line="240" w:lineRule="auto"/>
              <w:ind w:firstLine="0" w:firstLineChars="0"/>
              <w:jc w:val="center"/>
              <w:rPr>
                <w:rFonts w:ascii="仿宋_GB2312" w:hAnsi="Calibri" w:eastAsia="仿宋_GB2312"/>
                <w:b/>
                <w:bCs/>
                <w:color w:val="000000"/>
                <w:kern w:val="0"/>
                <w:sz w:val="21"/>
                <w:szCs w:val="21"/>
              </w:rPr>
            </w:pPr>
            <w:r>
              <w:rPr>
                <w:rFonts w:hint="eastAsia" w:ascii="仿宋_GB2312" w:hAnsi="Calibri" w:eastAsia="仿宋_GB2312"/>
                <w:sz w:val="21"/>
                <w:szCs w:val="21"/>
              </w:rPr>
              <w:t>100%</w:t>
            </w:r>
          </w:p>
        </w:tc>
      </w:tr>
      <w:tr w14:paraId="586F8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683" w:type="dxa"/>
            <w:vMerge w:val="continue"/>
            <w:noWrap/>
            <w:vAlign w:val="center"/>
          </w:tcPr>
          <w:p w14:paraId="7E1A1D5F">
            <w:pPr>
              <w:spacing w:line="280" w:lineRule="exact"/>
              <w:ind w:firstLine="0" w:firstLineChars="0"/>
              <w:jc w:val="center"/>
              <w:rPr>
                <w:rFonts w:ascii="仿宋_GB2312" w:hAnsi="仿宋_GB2312" w:eastAsia="仿宋_GB2312" w:cs="仿宋_GB2312"/>
                <w:sz w:val="21"/>
                <w:szCs w:val="21"/>
              </w:rPr>
            </w:pPr>
          </w:p>
        </w:tc>
        <w:tc>
          <w:tcPr>
            <w:tcW w:w="580" w:type="dxa"/>
            <w:vMerge w:val="continue"/>
            <w:noWrap/>
            <w:vAlign w:val="center"/>
          </w:tcPr>
          <w:p w14:paraId="5E13EFE0">
            <w:pPr>
              <w:spacing w:line="280" w:lineRule="exact"/>
              <w:ind w:firstLine="0" w:firstLineChars="0"/>
              <w:jc w:val="center"/>
              <w:rPr>
                <w:rFonts w:ascii="仿宋_GB2312" w:hAnsi="仿宋_GB2312" w:eastAsia="仿宋_GB2312" w:cs="仿宋_GB2312"/>
                <w:sz w:val="21"/>
                <w:szCs w:val="21"/>
              </w:rPr>
            </w:pPr>
          </w:p>
        </w:tc>
        <w:tc>
          <w:tcPr>
            <w:tcW w:w="724" w:type="dxa"/>
            <w:vMerge w:val="continue"/>
            <w:noWrap/>
            <w:vAlign w:val="center"/>
          </w:tcPr>
          <w:p w14:paraId="657DDBBD">
            <w:pPr>
              <w:spacing w:line="280" w:lineRule="exact"/>
              <w:ind w:firstLine="0" w:firstLineChars="0"/>
              <w:jc w:val="left"/>
              <w:rPr>
                <w:rFonts w:ascii="仿宋_GB2312" w:hAnsi="仿宋_GB2312" w:eastAsia="仿宋_GB2312" w:cs="仿宋_GB2312"/>
                <w:sz w:val="21"/>
                <w:szCs w:val="21"/>
              </w:rPr>
            </w:pPr>
          </w:p>
        </w:tc>
        <w:tc>
          <w:tcPr>
            <w:tcW w:w="585" w:type="dxa"/>
            <w:vMerge w:val="continue"/>
            <w:noWrap/>
            <w:vAlign w:val="center"/>
          </w:tcPr>
          <w:p w14:paraId="016AFF05">
            <w:pPr>
              <w:spacing w:line="280" w:lineRule="exact"/>
              <w:ind w:firstLine="0" w:firstLineChars="0"/>
              <w:jc w:val="left"/>
              <w:rPr>
                <w:rFonts w:ascii="仿宋_GB2312" w:hAnsi="仿宋_GB2312" w:eastAsia="仿宋_GB2312" w:cs="仿宋_GB2312"/>
                <w:sz w:val="21"/>
                <w:szCs w:val="21"/>
              </w:rPr>
            </w:pPr>
          </w:p>
        </w:tc>
        <w:tc>
          <w:tcPr>
            <w:tcW w:w="1153" w:type="dxa"/>
            <w:noWrap/>
            <w:vAlign w:val="center"/>
          </w:tcPr>
          <w:p w14:paraId="689AE220">
            <w:pPr>
              <w:spacing w:line="240" w:lineRule="auto"/>
              <w:ind w:firstLine="0" w:firstLineChars="0"/>
              <w:jc w:val="both"/>
              <w:rPr>
                <w:rFonts w:ascii="仿宋_GB2312" w:hAnsi="Calibri" w:eastAsia="仿宋_GB2312"/>
                <w:sz w:val="21"/>
                <w:szCs w:val="21"/>
              </w:rPr>
            </w:pPr>
            <w:r>
              <w:rPr>
                <w:rFonts w:hint="eastAsia" w:ascii="仿宋_GB2312" w:hAnsi="Calibri" w:eastAsia="仿宋_GB2312"/>
                <w:sz w:val="21"/>
                <w:szCs w:val="21"/>
              </w:rPr>
              <w:t>C12</w:t>
            </w:r>
            <w:r>
              <w:rPr>
                <w:rFonts w:hint="eastAsia" w:ascii="仿宋_GB2312" w:hAnsi="Calibri" w:eastAsia="仿宋_GB2312"/>
                <w:sz w:val="21"/>
                <w:szCs w:val="21"/>
                <w:lang w:val="en-US" w:eastAsia="zh-CN"/>
              </w:rPr>
              <w:t>学员人数容纳</w:t>
            </w:r>
            <w:r>
              <w:rPr>
                <w:rFonts w:hint="eastAsia" w:ascii="仿宋_GB2312" w:hAnsi="Calibri" w:eastAsia="仿宋_GB2312"/>
                <w:sz w:val="21"/>
                <w:szCs w:val="21"/>
              </w:rPr>
              <w:t>率</w:t>
            </w:r>
          </w:p>
        </w:tc>
        <w:tc>
          <w:tcPr>
            <w:tcW w:w="783" w:type="dxa"/>
            <w:noWrap/>
            <w:vAlign w:val="center"/>
          </w:tcPr>
          <w:p w14:paraId="458B2EE3">
            <w:pPr>
              <w:spacing w:line="280" w:lineRule="exact"/>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3179" w:type="dxa"/>
            <w:noWrap/>
            <w:vAlign w:val="center"/>
          </w:tcPr>
          <w:p w14:paraId="02B66EC8">
            <w:pPr>
              <w:spacing w:line="24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反映和考核</w:t>
            </w:r>
            <w:r>
              <w:rPr>
                <w:rFonts w:hint="eastAsia" w:ascii="仿宋_GB2312" w:hAnsi="Calibri" w:eastAsia="仿宋_GB2312"/>
                <w:sz w:val="21"/>
                <w:szCs w:val="21"/>
                <w:lang w:val="en-US" w:eastAsia="zh-CN"/>
              </w:rPr>
              <w:t>教学楼容纳学员人数</w:t>
            </w:r>
            <w:r>
              <w:rPr>
                <w:rFonts w:hint="eastAsia" w:ascii="仿宋_GB2312" w:hAnsi="仿宋_GB2312" w:eastAsia="仿宋_GB2312" w:cs="仿宋_GB2312"/>
                <w:sz w:val="21"/>
                <w:szCs w:val="21"/>
              </w:rPr>
              <w:t>情况</w:t>
            </w:r>
          </w:p>
        </w:tc>
        <w:tc>
          <w:tcPr>
            <w:tcW w:w="4898" w:type="dxa"/>
            <w:noWrap/>
            <w:vAlign w:val="center"/>
          </w:tcPr>
          <w:p w14:paraId="34B447EB">
            <w:pPr>
              <w:spacing w:line="280" w:lineRule="exact"/>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容纳</w:t>
            </w:r>
            <w:r>
              <w:rPr>
                <w:rFonts w:hint="eastAsia" w:ascii="仿宋_GB2312" w:hAnsi="仿宋_GB2312" w:eastAsia="仿宋_GB2312" w:cs="仿宋_GB2312"/>
                <w:sz w:val="21"/>
                <w:szCs w:val="21"/>
              </w:rPr>
              <w:t>率=实际</w:t>
            </w:r>
            <w:r>
              <w:rPr>
                <w:rFonts w:hint="eastAsia" w:ascii="仿宋_GB2312" w:hAnsi="仿宋_GB2312" w:eastAsia="仿宋_GB2312" w:cs="仿宋_GB2312"/>
                <w:sz w:val="21"/>
                <w:szCs w:val="21"/>
                <w:lang w:val="en-US" w:eastAsia="zh-CN"/>
              </w:rPr>
              <w:t>容纳人数</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计划</w:t>
            </w:r>
            <w:r>
              <w:rPr>
                <w:rFonts w:hint="eastAsia" w:ascii="仿宋_GB2312" w:hAnsi="仿宋_GB2312" w:eastAsia="仿宋_GB2312" w:cs="仿宋_GB2312"/>
                <w:sz w:val="21"/>
                <w:szCs w:val="21"/>
                <w:lang w:val="en-US" w:eastAsia="zh-CN"/>
              </w:rPr>
              <w:t>容纳人数</w:t>
            </w:r>
            <w:r>
              <w:rPr>
                <w:rFonts w:ascii="仿宋_GB2312" w:hAnsi="仿宋_GB2312" w:eastAsia="仿宋_GB2312" w:cs="仿宋_GB2312"/>
                <w:sz w:val="21"/>
                <w:szCs w:val="21"/>
              </w:rPr>
              <w:t>×100%，</w:t>
            </w:r>
            <w:r>
              <w:rPr>
                <w:rFonts w:hint="eastAsia" w:ascii="仿宋_GB2312" w:hAnsi="仿宋_GB2312" w:eastAsia="仿宋_GB2312" w:cs="仿宋_GB2312"/>
                <w:sz w:val="21"/>
                <w:szCs w:val="21"/>
              </w:rPr>
              <w:t>完成</w:t>
            </w:r>
            <w:r>
              <w:rPr>
                <w:rFonts w:ascii="仿宋_GB2312" w:hAnsi="仿宋_GB2312" w:eastAsia="仿宋_GB2312" w:cs="仿宋_GB2312"/>
                <w:sz w:val="21"/>
                <w:szCs w:val="21"/>
              </w:rPr>
              <w:t>率</w:t>
            </w:r>
            <w:r>
              <w:rPr>
                <w:rFonts w:hint="eastAsia" w:ascii="仿宋_GB2312" w:hAnsi="仿宋_GB2312" w:eastAsia="仿宋_GB2312" w:cs="仿宋_GB2312"/>
                <w:sz w:val="21"/>
                <w:szCs w:val="21"/>
              </w:rPr>
              <w:t>≥100%得满分，低于100%不得分</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4</w:t>
            </w:r>
            <w:r>
              <w:rPr>
                <w:rFonts w:ascii="仿宋_GB2312" w:hAnsi="仿宋_GB2312" w:eastAsia="仿宋_GB2312" w:cs="仿宋_GB2312"/>
                <w:sz w:val="21"/>
                <w:szCs w:val="21"/>
              </w:rPr>
              <w:t>分）。</w:t>
            </w:r>
          </w:p>
        </w:tc>
        <w:tc>
          <w:tcPr>
            <w:tcW w:w="1007" w:type="dxa"/>
            <w:noWrap/>
            <w:vAlign w:val="center"/>
          </w:tcPr>
          <w:p w14:paraId="66DB6B22">
            <w:pPr>
              <w:spacing w:line="240" w:lineRule="auto"/>
              <w:ind w:firstLine="0" w:firstLineChars="0"/>
              <w:jc w:val="center"/>
              <w:rPr>
                <w:rFonts w:ascii="仿宋_GB2312" w:hAnsi="Calibri" w:eastAsia="仿宋_GB2312"/>
                <w:sz w:val="21"/>
                <w:szCs w:val="21"/>
              </w:rPr>
            </w:pPr>
            <w:r>
              <w:rPr>
                <w:rFonts w:hint="eastAsia" w:ascii="仿宋_GB2312" w:hAnsi="Calibri" w:eastAsia="仿宋_GB2312"/>
                <w:sz w:val="21"/>
                <w:szCs w:val="21"/>
              </w:rPr>
              <w:t>100%</w:t>
            </w:r>
          </w:p>
        </w:tc>
      </w:tr>
      <w:tr w14:paraId="07F6A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3" w:type="dxa"/>
            <w:vMerge w:val="continue"/>
            <w:noWrap/>
            <w:vAlign w:val="center"/>
          </w:tcPr>
          <w:p w14:paraId="20891D30">
            <w:pPr>
              <w:spacing w:line="280" w:lineRule="exact"/>
              <w:ind w:firstLine="0" w:firstLineChars="0"/>
              <w:jc w:val="center"/>
              <w:rPr>
                <w:rFonts w:ascii="仿宋_GB2312" w:hAnsi="仿宋_GB2312" w:eastAsia="仿宋_GB2312" w:cs="仿宋_GB2312"/>
                <w:sz w:val="21"/>
                <w:szCs w:val="21"/>
              </w:rPr>
            </w:pPr>
          </w:p>
        </w:tc>
        <w:tc>
          <w:tcPr>
            <w:tcW w:w="580" w:type="dxa"/>
            <w:vMerge w:val="continue"/>
            <w:noWrap/>
            <w:vAlign w:val="center"/>
          </w:tcPr>
          <w:p w14:paraId="37904815">
            <w:pPr>
              <w:spacing w:line="280" w:lineRule="exact"/>
              <w:ind w:firstLine="0" w:firstLineChars="0"/>
              <w:jc w:val="center"/>
              <w:rPr>
                <w:rFonts w:ascii="仿宋_GB2312" w:hAnsi="仿宋_GB2312" w:eastAsia="仿宋_GB2312" w:cs="仿宋_GB2312"/>
                <w:sz w:val="21"/>
                <w:szCs w:val="21"/>
              </w:rPr>
            </w:pPr>
          </w:p>
        </w:tc>
        <w:tc>
          <w:tcPr>
            <w:tcW w:w="724" w:type="dxa"/>
            <w:noWrap/>
            <w:vAlign w:val="center"/>
          </w:tcPr>
          <w:p w14:paraId="0326C30B">
            <w:pPr>
              <w:spacing w:line="240" w:lineRule="auto"/>
              <w:ind w:firstLine="0" w:firstLineChars="0"/>
              <w:jc w:val="left"/>
              <w:rPr>
                <w:rFonts w:ascii="仿宋_GB2312" w:hAnsi="Calibri" w:eastAsia="仿宋_GB2312"/>
                <w:sz w:val="21"/>
                <w:szCs w:val="21"/>
              </w:rPr>
            </w:pPr>
            <w:r>
              <w:rPr>
                <w:rFonts w:hint="eastAsia" w:ascii="仿宋_GB2312" w:hAnsi="Calibri" w:eastAsia="仿宋_GB2312"/>
                <w:sz w:val="21"/>
                <w:szCs w:val="21"/>
              </w:rPr>
              <w:t>C2产出质量</w:t>
            </w:r>
          </w:p>
        </w:tc>
        <w:tc>
          <w:tcPr>
            <w:tcW w:w="585" w:type="dxa"/>
            <w:noWrap/>
            <w:vAlign w:val="center"/>
          </w:tcPr>
          <w:p w14:paraId="17D308C7">
            <w:pPr>
              <w:snapToGrid w:val="0"/>
              <w:spacing w:line="400" w:lineRule="exact"/>
              <w:ind w:firstLine="0" w:firstLineChars="0"/>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8</w:t>
            </w:r>
          </w:p>
        </w:tc>
        <w:tc>
          <w:tcPr>
            <w:tcW w:w="1153" w:type="dxa"/>
            <w:noWrap/>
            <w:vAlign w:val="center"/>
          </w:tcPr>
          <w:p w14:paraId="5A6366E1">
            <w:pPr>
              <w:spacing w:line="240" w:lineRule="auto"/>
              <w:ind w:firstLine="0" w:firstLineChars="0"/>
              <w:jc w:val="both"/>
              <w:rPr>
                <w:rFonts w:ascii="仿宋_GB2312" w:hAnsi="Calibri" w:eastAsia="仿宋_GB2312"/>
                <w:color w:val="000000"/>
                <w:sz w:val="21"/>
                <w:szCs w:val="21"/>
              </w:rPr>
            </w:pPr>
            <w:r>
              <w:rPr>
                <w:rFonts w:hint="eastAsia" w:ascii="仿宋_GB2312" w:hAnsi="Calibri" w:eastAsia="仿宋_GB2312"/>
                <w:sz w:val="21"/>
                <w:szCs w:val="21"/>
              </w:rPr>
              <w:t>C21</w:t>
            </w:r>
            <w:r>
              <w:rPr>
                <w:rFonts w:hint="eastAsia" w:ascii="仿宋_GB2312" w:hAnsi="Calibri" w:eastAsia="仿宋_GB2312"/>
                <w:sz w:val="21"/>
                <w:szCs w:val="21"/>
                <w:lang w:val="en-US" w:eastAsia="zh-CN"/>
              </w:rPr>
              <w:t>质量合格</w:t>
            </w:r>
            <w:r>
              <w:rPr>
                <w:rFonts w:hint="eastAsia" w:ascii="仿宋_GB2312" w:hAnsi="Calibri" w:eastAsia="仿宋_GB2312"/>
                <w:sz w:val="21"/>
                <w:szCs w:val="21"/>
              </w:rPr>
              <w:t>率</w:t>
            </w:r>
          </w:p>
        </w:tc>
        <w:tc>
          <w:tcPr>
            <w:tcW w:w="783" w:type="dxa"/>
            <w:noWrap/>
            <w:vAlign w:val="center"/>
          </w:tcPr>
          <w:p w14:paraId="59475EDE">
            <w:pPr>
              <w:spacing w:line="280" w:lineRule="exact"/>
              <w:ind w:firstLine="0" w:firstLineChars="0"/>
              <w:jc w:val="center"/>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val="en-US" w:eastAsia="zh-CN"/>
              </w:rPr>
              <w:t>8</w:t>
            </w:r>
          </w:p>
        </w:tc>
        <w:tc>
          <w:tcPr>
            <w:tcW w:w="3179" w:type="dxa"/>
            <w:noWrap/>
            <w:vAlign w:val="center"/>
          </w:tcPr>
          <w:p w14:paraId="0F255F02">
            <w:pPr>
              <w:spacing w:line="240" w:lineRule="exact"/>
              <w:ind w:left="-160" w:leftChars="-50"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用以反映和考核项目</w:t>
            </w:r>
            <w:r>
              <w:rPr>
                <w:rFonts w:hint="eastAsia" w:ascii="仿宋_GB2312" w:hAnsi="仿宋_GB2312" w:eastAsia="仿宋_GB2312" w:cs="仿宋_GB2312"/>
                <w:sz w:val="21"/>
                <w:szCs w:val="21"/>
                <w:lang w:val="en-US" w:eastAsia="zh-CN"/>
              </w:rPr>
              <w:t>质量合格</w:t>
            </w:r>
            <w:r>
              <w:rPr>
                <w:rFonts w:hint="eastAsia" w:ascii="仿宋_GB2312" w:hAnsi="仿宋_GB2312" w:eastAsia="仿宋_GB2312" w:cs="仿宋_GB2312"/>
                <w:sz w:val="21"/>
                <w:szCs w:val="21"/>
              </w:rPr>
              <w:t>情况</w:t>
            </w:r>
          </w:p>
        </w:tc>
        <w:tc>
          <w:tcPr>
            <w:tcW w:w="4898" w:type="dxa"/>
            <w:noWrap/>
            <w:vAlign w:val="center"/>
          </w:tcPr>
          <w:p w14:paraId="2731A843">
            <w:pPr>
              <w:spacing w:line="280" w:lineRule="exact"/>
              <w:ind w:firstLine="0" w:firstLineChars="0"/>
              <w:jc w:val="left"/>
              <w:rPr>
                <w:rFonts w:ascii="仿宋_GB2312" w:hAnsi="仿宋_GB2312" w:eastAsia="仿宋_GB2312" w:cs="仿宋_GB2312"/>
                <w:sz w:val="21"/>
                <w:szCs w:val="21"/>
              </w:rPr>
            </w:pPr>
            <w:r>
              <w:rPr>
                <w:rFonts w:hint="eastAsia" w:ascii="仿宋_GB2312" w:hAnsi="Calibri" w:eastAsia="仿宋_GB2312"/>
                <w:sz w:val="21"/>
                <w:szCs w:val="21"/>
                <w:lang w:val="en-US" w:eastAsia="zh-CN"/>
              </w:rPr>
              <w:t>质量合格</w:t>
            </w:r>
            <w:r>
              <w:rPr>
                <w:rFonts w:hint="eastAsia" w:ascii="仿宋_GB2312" w:hAnsi="Calibri" w:eastAsia="仿宋_GB2312"/>
                <w:sz w:val="21"/>
                <w:szCs w:val="21"/>
              </w:rPr>
              <w:t>率</w:t>
            </w:r>
            <w:r>
              <w:rPr>
                <w:rFonts w:hint="eastAsia" w:ascii="仿宋_GB2312" w:hAnsi="仿宋_GB2312" w:eastAsia="仿宋_GB2312" w:cs="仿宋_GB2312"/>
                <w:sz w:val="21"/>
                <w:szCs w:val="21"/>
              </w:rPr>
              <w:t>=</w:t>
            </w:r>
            <w:r>
              <w:rPr>
                <w:rFonts w:hint="eastAsia" w:ascii="仿宋_GB2312" w:hAnsi="仿宋_GB2312" w:eastAsia="仿宋_GB2312" w:cs="仿宋_GB2312"/>
                <w:sz w:val="21"/>
                <w:szCs w:val="21"/>
                <w:lang w:val="en-US" w:eastAsia="zh-CN"/>
              </w:rPr>
              <w:t>实际合格数量</w:t>
            </w:r>
            <w:r>
              <w:rPr>
                <w:rFonts w:ascii="仿宋_GB2312" w:hAnsi="仿宋_GB2312" w:eastAsia="仿宋_GB2312" w:cs="仿宋_GB2312"/>
                <w:sz w:val="21"/>
                <w:szCs w:val="21"/>
              </w:rPr>
              <w:t>/</w:t>
            </w:r>
            <w:r>
              <w:rPr>
                <w:rFonts w:hint="eastAsia" w:ascii="仿宋_GB2312" w:hAnsi="仿宋_GB2312" w:eastAsia="仿宋_GB2312" w:cs="仿宋_GB2312"/>
                <w:sz w:val="21"/>
                <w:szCs w:val="21"/>
                <w:lang w:val="en-US" w:eastAsia="zh-CN"/>
              </w:rPr>
              <w:t>实际完成数量</w:t>
            </w:r>
            <w:r>
              <w:rPr>
                <w:rFonts w:ascii="仿宋_GB2312" w:hAnsi="仿宋_GB2312" w:eastAsia="仿宋_GB2312" w:cs="仿宋_GB2312"/>
                <w:sz w:val="21"/>
                <w:szCs w:val="21"/>
              </w:rPr>
              <w:t>×100%，</w:t>
            </w:r>
            <w:r>
              <w:rPr>
                <w:rFonts w:hint="eastAsia" w:ascii="仿宋_GB2312" w:hAnsi="仿宋_GB2312" w:eastAsia="仿宋_GB2312" w:cs="仿宋_GB2312"/>
                <w:sz w:val="21"/>
                <w:szCs w:val="21"/>
              </w:rPr>
              <w:t>符合</w:t>
            </w:r>
            <w:r>
              <w:rPr>
                <w:rFonts w:ascii="仿宋_GB2312" w:hAnsi="仿宋_GB2312" w:eastAsia="仿宋_GB2312" w:cs="仿宋_GB2312"/>
                <w:sz w:val="21"/>
                <w:szCs w:val="21"/>
              </w:rPr>
              <w:t>率</w:t>
            </w:r>
            <w:r>
              <w:rPr>
                <w:rFonts w:hint="eastAsia" w:ascii="仿宋_GB2312" w:hAnsi="仿宋_GB2312" w:eastAsia="仿宋_GB2312" w:cs="仿宋_GB2312"/>
                <w:sz w:val="21"/>
                <w:szCs w:val="21"/>
              </w:rPr>
              <w:t>为100%得满分，低于100%不得分</w:t>
            </w:r>
            <w:r>
              <w:rPr>
                <w:rFonts w:ascii="仿宋_GB2312" w:hAnsi="仿宋_GB2312" w:eastAsia="仿宋_GB2312" w:cs="仿宋_GB2312"/>
                <w:sz w:val="21"/>
                <w:szCs w:val="21"/>
              </w:rPr>
              <w:t>（</w:t>
            </w:r>
            <w:r>
              <w:rPr>
                <w:rFonts w:hint="eastAsia" w:ascii="仿宋_GB2312" w:hAnsi="仿宋_GB2312" w:eastAsia="仿宋_GB2312" w:cs="仿宋_GB2312"/>
                <w:sz w:val="21"/>
                <w:szCs w:val="21"/>
                <w:lang w:val="en-US" w:eastAsia="zh-CN"/>
              </w:rPr>
              <w:t>8</w:t>
            </w:r>
            <w:r>
              <w:rPr>
                <w:rFonts w:ascii="仿宋_GB2312" w:hAnsi="仿宋_GB2312" w:eastAsia="仿宋_GB2312" w:cs="仿宋_GB2312"/>
                <w:sz w:val="21"/>
                <w:szCs w:val="21"/>
              </w:rPr>
              <w:t>分）。</w:t>
            </w:r>
          </w:p>
        </w:tc>
        <w:tc>
          <w:tcPr>
            <w:tcW w:w="1007" w:type="dxa"/>
            <w:noWrap/>
            <w:vAlign w:val="center"/>
          </w:tcPr>
          <w:p w14:paraId="7EB35D69">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sz w:val="21"/>
                <w:szCs w:val="21"/>
              </w:rPr>
              <w:t>100%</w:t>
            </w:r>
          </w:p>
        </w:tc>
      </w:tr>
      <w:tr w14:paraId="79442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83" w:type="dxa"/>
            <w:vMerge w:val="continue"/>
            <w:noWrap/>
            <w:vAlign w:val="center"/>
          </w:tcPr>
          <w:p w14:paraId="38C8BB7F">
            <w:pPr>
              <w:spacing w:line="280" w:lineRule="exact"/>
              <w:ind w:firstLine="0" w:firstLineChars="0"/>
              <w:jc w:val="center"/>
              <w:rPr>
                <w:rFonts w:ascii="仿宋_GB2312" w:hAnsi="仿宋_GB2312" w:eastAsia="仿宋_GB2312" w:cs="仿宋_GB2312"/>
                <w:sz w:val="21"/>
                <w:szCs w:val="21"/>
              </w:rPr>
            </w:pPr>
          </w:p>
        </w:tc>
        <w:tc>
          <w:tcPr>
            <w:tcW w:w="580" w:type="dxa"/>
            <w:vMerge w:val="continue"/>
            <w:noWrap/>
            <w:vAlign w:val="center"/>
          </w:tcPr>
          <w:p w14:paraId="0E11AA05">
            <w:pPr>
              <w:spacing w:line="280" w:lineRule="exact"/>
              <w:ind w:firstLine="0" w:firstLineChars="0"/>
              <w:jc w:val="center"/>
              <w:rPr>
                <w:rFonts w:ascii="仿宋_GB2312" w:hAnsi="仿宋_GB2312" w:eastAsia="仿宋_GB2312" w:cs="仿宋_GB2312"/>
                <w:sz w:val="21"/>
                <w:szCs w:val="21"/>
              </w:rPr>
            </w:pPr>
          </w:p>
        </w:tc>
        <w:tc>
          <w:tcPr>
            <w:tcW w:w="724" w:type="dxa"/>
            <w:vMerge w:val="restart"/>
            <w:noWrap/>
            <w:vAlign w:val="center"/>
          </w:tcPr>
          <w:p w14:paraId="3C047860">
            <w:pPr>
              <w:spacing w:line="240" w:lineRule="auto"/>
              <w:ind w:firstLine="0" w:firstLineChars="0"/>
              <w:jc w:val="left"/>
              <w:rPr>
                <w:rFonts w:ascii="仿宋_GB2312" w:hAnsi="Calibri" w:eastAsia="仿宋_GB2312"/>
                <w:sz w:val="21"/>
                <w:szCs w:val="21"/>
              </w:rPr>
            </w:pPr>
            <w:r>
              <w:rPr>
                <w:rFonts w:hint="eastAsia" w:ascii="仿宋_GB2312" w:hAnsi="Calibri" w:eastAsia="仿宋_GB2312"/>
                <w:sz w:val="21"/>
                <w:szCs w:val="21"/>
              </w:rPr>
              <w:t>C3产出时效</w:t>
            </w:r>
          </w:p>
        </w:tc>
        <w:tc>
          <w:tcPr>
            <w:tcW w:w="585" w:type="dxa"/>
            <w:vMerge w:val="restart"/>
            <w:noWrap/>
            <w:vAlign w:val="center"/>
          </w:tcPr>
          <w:p w14:paraId="22FAE29F">
            <w:pPr>
              <w:snapToGrid w:val="0"/>
              <w:spacing w:line="400" w:lineRule="exact"/>
              <w:ind w:firstLine="0" w:firstLineChars="0"/>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8</w:t>
            </w:r>
          </w:p>
        </w:tc>
        <w:tc>
          <w:tcPr>
            <w:tcW w:w="1153" w:type="dxa"/>
            <w:noWrap/>
            <w:vAlign w:val="center"/>
          </w:tcPr>
          <w:p w14:paraId="35E2812C">
            <w:pPr>
              <w:spacing w:line="240" w:lineRule="auto"/>
              <w:ind w:firstLine="0" w:firstLineChars="0"/>
              <w:jc w:val="both"/>
              <w:rPr>
                <w:rFonts w:ascii="仿宋_GB2312" w:hAnsi="Calibri" w:eastAsia="仿宋_GB2312"/>
                <w:color w:val="000000"/>
                <w:sz w:val="21"/>
                <w:szCs w:val="21"/>
              </w:rPr>
            </w:pPr>
            <w:r>
              <w:rPr>
                <w:rFonts w:hint="eastAsia" w:ascii="仿宋_GB2312" w:hAnsi="Calibri" w:eastAsia="仿宋_GB2312"/>
                <w:sz w:val="21"/>
                <w:szCs w:val="21"/>
              </w:rPr>
              <w:t>C31</w:t>
            </w:r>
            <w:r>
              <w:rPr>
                <w:rFonts w:hint="eastAsia" w:ascii="仿宋_GB2312" w:hAnsi="Calibri" w:eastAsia="仿宋_GB2312"/>
                <w:sz w:val="21"/>
                <w:szCs w:val="21"/>
                <w:lang w:val="en-US" w:eastAsia="zh-CN"/>
              </w:rPr>
              <w:t>项目完工</w:t>
            </w:r>
            <w:r>
              <w:rPr>
                <w:rFonts w:hint="eastAsia" w:ascii="仿宋_GB2312" w:hAnsi="Calibri" w:eastAsia="仿宋_GB2312"/>
                <w:sz w:val="21"/>
                <w:szCs w:val="21"/>
              </w:rPr>
              <w:t>及时性</w:t>
            </w:r>
          </w:p>
        </w:tc>
        <w:tc>
          <w:tcPr>
            <w:tcW w:w="783" w:type="dxa"/>
            <w:noWrap/>
            <w:vAlign w:val="center"/>
          </w:tcPr>
          <w:p w14:paraId="3349DA5C">
            <w:pPr>
              <w:spacing w:line="280" w:lineRule="exact"/>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3179" w:type="dxa"/>
            <w:noWrap/>
            <w:vAlign w:val="center"/>
          </w:tcPr>
          <w:p w14:paraId="5E7836B1">
            <w:pPr>
              <w:spacing w:line="240" w:lineRule="exact"/>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反映和考核项目</w:t>
            </w:r>
            <w:r>
              <w:rPr>
                <w:rFonts w:hint="eastAsia" w:ascii="仿宋_GB2312" w:hAnsi="仿宋_GB2312" w:eastAsia="仿宋_GB2312" w:cs="仿宋_GB2312"/>
                <w:sz w:val="21"/>
                <w:szCs w:val="21"/>
                <w:lang w:val="en-US" w:eastAsia="zh-CN"/>
              </w:rPr>
              <w:t>完工情况</w:t>
            </w:r>
            <w:r>
              <w:rPr>
                <w:rFonts w:hint="eastAsia" w:ascii="仿宋_GB2312" w:hAnsi="仿宋_GB2312" w:eastAsia="仿宋_GB2312" w:cs="仿宋_GB2312"/>
                <w:sz w:val="21"/>
                <w:szCs w:val="21"/>
              </w:rPr>
              <w:t>。</w:t>
            </w:r>
          </w:p>
        </w:tc>
        <w:tc>
          <w:tcPr>
            <w:tcW w:w="4898" w:type="dxa"/>
            <w:noWrap/>
            <w:vAlign w:val="center"/>
          </w:tcPr>
          <w:p w14:paraId="32E0901B">
            <w:pPr>
              <w:spacing w:line="280" w:lineRule="exact"/>
              <w:ind w:firstLine="0" w:firstLineChars="0"/>
              <w:rPr>
                <w:rFonts w:ascii="仿宋_GB2312" w:hAnsi="仿宋_GB2312" w:eastAsia="仿宋_GB2312" w:cs="仿宋_GB2312"/>
                <w:sz w:val="21"/>
                <w:szCs w:val="21"/>
              </w:rPr>
            </w:pPr>
            <w:r>
              <w:rPr>
                <w:rFonts w:hint="eastAsia" w:ascii="仿宋_GB2312" w:hAnsi="仿宋_GB2312" w:eastAsia="仿宋_GB2312" w:cs="仿宋_GB2312"/>
                <w:sz w:val="21"/>
                <w:szCs w:val="21"/>
              </w:rPr>
              <w:t>根据实施方案，在2021年12月31前</w:t>
            </w:r>
            <w:r>
              <w:rPr>
                <w:rFonts w:hint="eastAsia" w:ascii="仿宋_GB2312" w:hAnsi="仿宋_GB2312" w:eastAsia="仿宋_GB2312" w:cs="仿宋_GB2312"/>
                <w:sz w:val="21"/>
                <w:szCs w:val="21"/>
                <w:lang w:val="en-US" w:eastAsia="zh-CN"/>
              </w:rPr>
              <w:t>完成</w:t>
            </w:r>
            <w:r>
              <w:rPr>
                <w:rFonts w:hint="eastAsia" w:ascii="仿宋_GB2312" w:hAnsi="仿宋_GB2312" w:eastAsia="仿宋_GB2312" w:cs="仿宋_GB2312"/>
                <w:sz w:val="21"/>
                <w:szCs w:val="21"/>
              </w:rPr>
              <w:t>得满分</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4分</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，每</w:t>
            </w:r>
            <w:r>
              <w:rPr>
                <w:rFonts w:ascii="仿宋_GB2312" w:hAnsi="仿宋_GB2312" w:eastAsia="仿宋_GB2312" w:cs="仿宋_GB2312"/>
                <w:sz w:val="21"/>
                <w:szCs w:val="21"/>
              </w:rPr>
              <w:t>延期</w:t>
            </w:r>
            <w:r>
              <w:rPr>
                <w:rFonts w:hint="eastAsia" w:ascii="仿宋_GB2312" w:hAnsi="仿宋_GB2312" w:eastAsia="仿宋_GB2312" w:cs="仿宋_GB2312"/>
                <w:sz w:val="21"/>
                <w:szCs w:val="21"/>
              </w:rPr>
              <w:t>5天扣1分且延期15天以上不得分。</w:t>
            </w:r>
          </w:p>
        </w:tc>
        <w:tc>
          <w:tcPr>
            <w:tcW w:w="1007" w:type="dxa"/>
            <w:noWrap/>
            <w:vAlign w:val="center"/>
          </w:tcPr>
          <w:p w14:paraId="7233EDE8">
            <w:pPr>
              <w:spacing w:line="240" w:lineRule="auto"/>
              <w:ind w:firstLine="0" w:firstLineChars="0"/>
              <w:jc w:val="center"/>
              <w:rPr>
                <w:rFonts w:ascii="仿宋_GB2312" w:hAnsi="Calibri" w:eastAsia="仿宋_GB2312"/>
                <w:bCs/>
                <w:color w:val="000000"/>
                <w:kern w:val="0"/>
                <w:sz w:val="21"/>
                <w:szCs w:val="21"/>
              </w:rPr>
            </w:pPr>
            <w:r>
              <w:rPr>
                <w:rFonts w:hint="eastAsia" w:ascii="仿宋_GB2312" w:hAnsi="Calibri" w:eastAsia="仿宋_GB2312"/>
                <w:sz w:val="21"/>
                <w:szCs w:val="21"/>
              </w:rPr>
              <w:t>及时</w:t>
            </w:r>
          </w:p>
        </w:tc>
      </w:tr>
      <w:tr w14:paraId="32718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6" w:hRule="atLeast"/>
          <w:jc w:val="center"/>
        </w:trPr>
        <w:tc>
          <w:tcPr>
            <w:tcW w:w="683" w:type="dxa"/>
            <w:vMerge w:val="continue"/>
            <w:noWrap/>
            <w:vAlign w:val="center"/>
          </w:tcPr>
          <w:p w14:paraId="15A0DE27">
            <w:pPr>
              <w:spacing w:line="280" w:lineRule="exact"/>
              <w:ind w:firstLine="0" w:firstLineChars="0"/>
              <w:jc w:val="center"/>
              <w:rPr>
                <w:rFonts w:ascii="仿宋_GB2312" w:hAnsi="仿宋_GB2312" w:eastAsia="仿宋_GB2312" w:cs="仿宋_GB2312"/>
                <w:sz w:val="21"/>
                <w:szCs w:val="21"/>
              </w:rPr>
            </w:pPr>
          </w:p>
        </w:tc>
        <w:tc>
          <w:tcPr>
            <w:tcW w:w="580" w:type="dxa"/>
            <w:vMerge w:val="continue"/>
            <w:noWrap/>
            <w:vAlign w:val="center"/>
          </w:tcPr>
          <w:p w14:paraId="7E795C0E">
            <w:pPr>
              <w:spacing w:line="280" w:lineRule="exact"/>
              <w:ind w:firstLine="0" w:firstLineChars="0"/>
              <w:jc w:val="center"/>
              <w:rPr>
                <w:rFonts w:ascii="仿宋_GB2312" w:hAnsi="仿宋_GB2312" w:eastAsia="仿宋_GB2312" w:cs="仿宋_GB2312"/>
                <w:sz w:val="21"/>
                <w:szCs w:val="21"/>
              </w:rPr>
            </w:pPr>
          </w:p>
        </w:tc>
        <w:tc>
          <w:tcPr>
            <w:tcW w:w="724" w:type="dxa"/>
            <w:vMerge w:val="continue"/>
            <w:noWrap/>
            <w:vAlign w:val="center"/>
          </w:tcPr>
          <w:p w14:paraId="306C1643">
            <w:pPr>
              <w:spacing w:line="280" w:lineRule="exact"/>
              <w:ind w:firstLine="0" w:firstLineChars="0"/>
              <w:jc w:val="left"/>
              <w:rPr>
                <w:rFonts w:ascii="仿宋_GB2312" w:hAnsi="仿宋_GB2312" w:eastAsia="仿宋_GB2312" w:cs="仿宋_GB2312"/>
                <w:sz w:val="21"/>
                <w:szCs w:val="21"/>
              </w:rPr>
            </w:pPr>
          </w:p>
        </w:tc>
        <w:tc>
          <w:tcPr>
            <w:tcW w:w="585" w:type="dxa"/>
            <w:vMerge w:val="continue"/>
            <w:noWrap/>
            <w:vAlign w:val="center"/>
          </w:tcPr>
          <w:p w14:paraId="45186E5C">
            <w:pPr>
              <w:spacing w:line="280" w:lineRule="exact"/>
              <w:ind w:firstLine="0" w:firstLineChars="0"/>
              <w:jc w:val="left"/>
              <w:rPr>
                <w:rFonts w:ascii="仿宋_GB2312" w:hAnsi="仿宋_GB2312" w:eastAsia="仿宋_GB2312" w:cs="仿宋_GB2312"/>
                <w:sz w:val="21"/>
                <w:szCs w:val="21"/>
              </w:rPr>
            </w:pPr>
          </w:p>
        </w:tc>
        <w:tc>
          <w:tcPr>
            <w:tcW w:w="1153" w:type="dxa"/>
            <w:noWrap/>
            <w:vAlign w:val="center"/>
          </w:tcPr>
          <w:p w14:paraId="149C13CB">
            <w:pPr>
              <w:spacing w:line="240" w:lineRule="auto"/>
              <w:ind w:firstLine="0" w:firstLineChars="0"/>
              <w:jc w:val="both"/>
              <w:rPr>
                <w:rFonts w:ascii="仿宋_GB2312" w:hAnsi="Calibri" w:eastAsia="仿宋_GB2312"/>
                <w:sz w:val="21"/>
                <w:szCs w:val="21"/>
              </w:rPr>
            </w:pPr>
            <w:r>
              <w:rPr>
                <w:rFonts w:hint="eastAsia" w:ascii="仿宋_GB2312" w:hAnsi="Calibri" w:eastAsia="仿宋_GB2312"/>
                <w:sz w:val="21"/>
                <w:szCs w:val="21"/>
              </w:rPr>
              <w:t>C32</w:t>
            </w:r>
            <w:r>
              <w:rPr>
                <w:rFonts w:hint="eastAsia" w:ascii="仿宋_GB2312" w:hAnsi="Calibri" w:eastAsia="仿宋_GB2312"/>
                <w:sz w:val="21"/>
                <w:szCs w:val="21"/>
                <w:lang w:val="en-US" w:eastAsia="zh-CN"/>
              </w:rPr>
              <w:t>项目验收</w:t>
            </w:r>
            <w:r>
              <w:rPr>
                <w:rFonts w:hint="eastAsia" w:ascii="仿宋_GB2312" w:hAnsi="Calibri" w:eastAsia="仿宋_GB2312"/>
                <w:sz w:val="21"/>
                <w:szCs w:val="21"/>
              </w:rPr>
              <w:t>及时性</w:t>
            </w:r>
          </w:p>
        </w:tc>
        <w:tc>
          <w:tcPr>
            <w:tcW w:w="783" w:type="dxa"/>
            <w:noWrap/>
            <w:vAlign w:val="center"/>
          </w:tcPr>
          <w:p w14:paraId="45789123">
            <w:pPr>
              <w:spacing w:line="280" w:lineRule="exact"/>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3179" w:type="dxa"/>
            <w:noWrap/>
            <w:vAlign w:val="center"/>
          </w:tcPr>
          <w:p w14:paraId="5DB539C2">
            <w:pPr>
              <w:spacing w:line="240" w:lineRule="exact"/>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反映和考核项目</w:t>
            </w:r>
            <w:r>
              <w:rPr>
                <w:rFonts w:hint="eastAsia" w:ascii="仿宋_GB2312" w:hAnsi="仿宋_GB2312" w:eastAsia="仿宋_GB2312" w:cs="仿宋_GB2312"/>
                <w:sz w:val="21"/>
                <w:szCs w:val="21"/>
                <w:lang w:val="en-US" w:eastAsia="zh-CN"/>
              </w:rPr>
              <w:t>验收及时情况</w:t>
            </w:r>
            <w:r>
              <w:rPr>
                <w:rFonts w:hint="eastAsia" w:ascii="仿宋_GB2312" w:hAnsi="仿宋_GB2312" w:eastAsia="仿宋_GB2312" w:cs="仿宋_GB2312"/>
                <w:sz w:val="21"/>
                <w:szCs w:val="21"/>
              </w:rPr>
              <w:t>。</w:t>
            </w:r>
          </w:p>
        </w:tc>
        <w:tc>
          <w:tcPr>
            <w:tcW w:w="4898" w:type="dxa"/>
            <w:noWrap/>
            <w:vAlign w:val="center"/>
          </w:tcPr>
          <w:p w14:paraId="2EEEBC43">
            <w:pPr>
              <w:spacing w:line="280" w:lineRule="exact"/>
              <w:ind w:firstLine="0" w:firstLineChars="0"/>
              <w:rPr>
                <w:rFonts w:ascii="仿宋_GB2312" w:hAnsi="仿宋_GB2312" w:eastAsia="仿宋_GB2312" w:cs="仿宋_GB2312"/>
                <w:sz w:val="21"/>
                <w:szCs w:val="21"/>
              </w:rPr>
            </w:pPr>
            <w:r>
              <w:rPr>
                <w:rFonts w:hint="eastAsia" w:ascii="仿宋_GB2312" w:hAnsi="仿宋_GB2312" w:eastAsia="仿宋_GB2312" w:cs="仿宋_GB2312"/>
                <w:sz w:val="21"/>
                <w:szCs w:val="21"/>
              </w:rPr>
              <w:t>根据实施方案，在2021年12月31前</w:t>
            </w:r>
            <w:r>
              <w:rPr>
                <w:rFonts w:hint="eastAsia" w:ascii="仿宋_GB2312" w:hAnsi="仿宋_GB2312" w:eastAsia="仿宋_GB2312" w:cs="仿宋_GB2312"/>
                <w:sz w:val="21"/>
                <w:szCs w:val="21"/>
                <w:lang w:val="en-US" w:eastAsia="zh-CN"/>
              </w:rPr>
              <w:t>验收</w:t>
            </w:r>
            <w:r>
              <w:rPr>
                <w:rFonts w:hint="eastAsia" w:ascii="仿宋_GB2312" w:hAnsi="仿宋_GB2312" w:eastAsia="仿宋_GB2312" w:cs="仿宋_GB2312"/>
                <w:sz w:val="21"/>
                <w:szCs w:val="21"/>
              </w:rPr>
              <w:t>得满分</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4分</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，每</w:t>
            </w:r>
            <w:r>
              <w:rPr>
                <w:rFonts w:ascii="仿宋_GB2312" w:hAnsi="仿宋_GB2312" w:eastAsia="仿宋_GB2312" w:cs="仿宋_GB2312"/>
                <w:sz w:val="21"/>
                <w:szCs w:val="21"/>
              </w:rPr>
              <w:t>延期</w:t>
            </w:r>
            <w:r>
              <w:rPr>
                <w:rFonts w:hint="eastAsia" w:ascii="仿宋_GB2312" w:hAnsi="仿宋_GB2312" w:eastAsia="仿宋_GB2312" w:cs="仿宋_GB2312"/>
                <w:sz w:val="21"/>
                <w:szCs w:val="21"/>
              </w:rPr>
              <w:t>5天扣1分且延期15天以上不得分。</w:t>
            </w:r>
          </w:p>
        </w:tc>
        <w:tc>
          <w:tcPr>
            <w:tcW w:w="1007" w:type="dxa"/>
            <w:noWrap/>
            <w:vAlign w:val="center"/>
          </w:tcPr>
          <w:p w14:paraId="3F96E56D">
            <w:pPr>
              <w:spacing w:line="240" w:lineRule="auto"/>
              <w:ind w:firstLine="0" w:firstLineChars="0"/>
              <w:jc w:val="center"/>
              <w:rPr>
                <w:rFonts w:ascii="仿宋_GB2312" w:hAnsi="Calibri" w:eastAsia="仿宋_GB2312"/>
                <w:sz w:val="21"/>
                <w:szCs w:val="21"/>
              </w:rPr>
            </w:pPr>
            <w:r>
              <w:rPr>
                <w:rFonts w:hint="eastAsia" w:ascii="仿宋_GB2312" w:hAnsi="Calibri" w:eastAsia="仿宋_GB2312"/>
                <w:sz w:val="21"/>
                <w:szCs w:val="21"/>
              </w:rPr>
              <w:t>及时</w:t>
            </w:r>
          </w:p>
        </w:tc>
      </w:tr>
      <w:tr w14:paraId="6D6D7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jc w:val="center"/>
        </w:trPr>
        <w:tc>
          <w:tcPr>
            <w:tcW w:w="683" w:type="dxa"/>
            <w:vMerge w:val="continue"/>
            <w:noWrap/>
            <w:vAlign w:val="center"/>
          </w:tcPr>
          <w:p w14:paraId="48EA63C8">
            <w:pPr>
              <w:spacing w:line="280" w:lineRule="exact"/>
              <w:ind w:firstLine="0" w:firstLineChars="0"/>
              <w:jc w:val="center"/>
              <w:rPr>
                <w:rFonts w:ascii="仿宋_GB2312" w:hAnsi="仿宋_GB2312" w:eastAsia="仿宋_GB2312" w:cs="仿宋_GB2312"/>
                <w:sz w:val="21"/>
                <w:szCs w:val="21"/>
              </w:rPr>
            </w:pPr>
          </w:p>
        </w:tc>
        <w:tc>
          <w:tcPr>
            <w:tcW w:w="580" w:type="dxa"/>
            <w:vMerge w:val="continue"/>
            <w:noWrap/>
            <w:vAlign w:val="center"/>
          </w:tcPr>
          <w:p w14:paraId="72FF4F42">
            <w:pPr>
              <w:spacing w:line="280" w:lineRule="exact"/>
              <w:ind w:firstLine="0" w:firstLineChars="0"/>
              <w:jc w:val="center"/>
              <w:rPr>
                <w:rFonts w:ascii="仿宋_GB2312" w:hAnsi="仿宋_GB2312" w:eastAsia="仿宋_GB2312" w:cs="仿宋_GB2312"/>
                <w:sz w:val="21"/>
                <w:szCs w:val="21"/>
              </w:rPr>
            </w:pPr>
          </w:p>
        </w:tc>
        <w:tc>
          <w:tcPr>
            <w:tcW w:w="724" w:type="dxa"/>
            <w:noWrap/>
            <w:vAlign w:val="center"/>
          </w:tcPr>
          <w:p w14:paraId="6F0A78C9">
            <w:pPr>
              <w:spacing w:line="240" w:lineRule="auto"/>
              <w:ind w:firstLine="0" w:firstLineChars="0"/>
              <w:jc w:val="left"/>
              <w:rPr>
                <w:rFonts w:ascii="仿宋_GB2312" w:hAnsi="Calibri" w:eastAsia="仿宋_GB2312"/>
                <w:sz w:val="21"/>
                <w:szCs w:val="21"/>
              </w:rPr>
            </w:pPr>
            <w:r>
              <w:rPr>
                <w:rFonts w:hint="eastAsia" w:ascii="仿宋_GB2312" w:hAnsi="Calibri" w:eastAsia="仿宋_GB2312"/>
                <w:sz w:val="21"/>
                <w:szCs w:val="21"/>
              </w:rPr>
              <w:t>C4产出成本</w:t>
            </w:r>
          </w:p>
        </w:tc>
        <w:tc>
          <w:tcPr>
            <w:tcW w:w="585" w:type="dxa"/>
            <w:noWrap/>
            <w:vAlign w:val="center"/>
          </w:tcPr>
          <w:p w14:paraId="3E4E0892">
            <w:pPr>
              <w:snapToGrid w:val="0"/>
              <w:spacing w:line="400" w:lineRule="exact"/>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6</w:t>
            </w:r>
          </w:p>
        </w:tc>
        <w:tc>
          <w:tcPr>
            <w:tcW w:w="1153" w:type="dxa"/>
            <w:noWrap/>
            <w:vAlign w:val="center"/>
          </w:tcPr>
          <w:p w14:paraId="25F05659">
            <w:pPr>
              <w:spacing w:line="240" w:lineRule="auto"/>
              <w:ind w:firstLine="0" w:firstLineChars="0"/>
              <w:jc w:val="left"/>
              <w:rPr>
                <w:rFonts w:ascii="仿宋_GB2312" w:hAnsi="Calibri" w:eastAsia="仿宋_GB2312"/>
                <w:sz w:val="21"/>
                <w:szCs w:val="21"/>
              </w:rPr>
            </w:pPr>
            <w:r>
              <w:rPr>
                <w:rFonts w:hint="eastAsia" w:ascii="仿宋_GB2312" w:hAnsi="Calibri" w:eastAsia="仿宋_GB2312"/>
                <w:sz w:val="21"/>
                <w:szCs w:val="21"/>
              </w:rPr>
              <w:t>C41成本节约率</w:t>
            </w:r>
          </w:p>
        </w:tc>
        <w:tc>
          <w:tcPr>
            <w:tcW w:w="783" w:type="dxa"/>
            <w:noWrap/>
            <w:vAlign w:val="center"/>
          </w:tcPr>
          <w:p w14:paraId="3457A595">
            <w:pPr>
              <w:spacing w:line="280" w:lineRule="exact"/>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6</w:t>
            </w:r>
          </w:p>
        </w:tc>
        <w:tc>
          <w:tcPr>
            <w:tcW w:w="3179" w:type="dxa"/>
            <w:noWrap/>
            <w:vAlign w:val="center"/>
          </w:tcPr>
          <w:p w14:paraId="5AF8840C">
            <w:pPr>
              <w:widowControl/>
              <w:spacing w:line="0" w:lineRule="atLeast"/>
              <w:ind w:firstLine="0" w:firstLineChars="0"/>
              <w:rPr>
                <w:rFonts w:ascii="仿宋_GB2312" w:hAnsi="仿宋_GB2312" w:eastAsia="仿宋_GB2312" w:cs="仿宋_GB2312"/>
                <w:sz w:val="21"/>
                <w:szCs w:val="21"/>
              </w:rPr>
            </w:pPr>
            <w:r>
              <w:rPr>
                <w:rFonts w:hint="eastAsia" w:ascii="仿宋_GB2312" w:hAnsi="仿宋_GB2312" w:eastAsia="仿宋_GB2312" w:cs="仿宋_GB2312"/>
                <w:sz w:val="21"/>
                <w:szCs w:val="21"/>
              </w:rPr>
              <w:t>完成项目计划工作目标的实际节约成本与计划成本的比率，用以反映和考核项目的成本节约程度。</w:t>
            </w:r>
          </w:p>
        </w:tc>
        <w:tc>
          <w:tcPr>
            <w:tcW w:w="4898" w:type="dxa"/>
            <w:noWrap/>
            <w:vAlign w:val="center"/>
          </w:tcPr>
          <w:p w14:paraId="77B10FCE">
            <w:pPr>
              <w:spacing w:line="280" w:lineRule="exact"/>
              <w:ind w:firstLine="0" w:firstLineChars="0"/>
              <w:rPr>
                <w:rFonts w:ascii="仿宋_GB2312" w:hAnsi="仿宋_GB2312" w:eastAsia="仿宋_GB2312" w:cs="仿宋_GB2312"/>
                <w:sz w:val="21"/>
                <w:szCs w:val="21"/>
              </w:rPr>
            </w:pPr>
            <w:r>
              <w:rPr>
                <w:rFonts w:hint="eastAsia" w:ascii="仿宋_GB2312" w:hAnsi="仿宋_GB2312" w:eastAsia="仿宋_GB2312" w:cs="仿宋_GB2312"/>
                <w:sz w:val="21"/>
                <w:szCs w:val="21"/>
              </w:rPr>
              <w:t>成本节约率=[( 计划成本-实际成本)/计划成本]×100%。节约率≥0为6分，超支（节约）5%以内得3分，超支（节约）≥5%得0分。</w:t>
            </w:r>
          </w:p>
        </w:tc>
        <w:tc>
          <w:tcPr>
            <w:tcW w:w="1007" w:type="dxa"/>
            <w:noWrap/>
            <w:vAlign w:val="center"/>
          </w:tcPr>
          <w:p w14:paraId="4E780CBD">
            <w:pPr>
              <w:spacing w:line="240" w:lineRule="auto"/>
              <w:ind w:firstLine="0" w:firstLineChars="0"/>
              <w:jc w:val="center"/>
              <w:rPr>
                <w:rFonts w:ascii="仿宋_GB2312" w:hAnsi="Calibri" w:eastAsia="仿宋_GB2312"/>
                <w:sz w:val="21"/>
                <w:szCs w:val="21"/>
              </w:rPr>
            </w:pPr>
            <w:r>
              <w:rPr>
                <w:rFonts w:hint="eastAsia" w:ascii="仿宋_GB2312" w:hAnsi="Calibri" w:eastAsia="仿宋_GB2312"/>
                <w:sz w:val="21"/>
                <w:szCs w:val="21"/>
              </w:rPr>
              <w:t>≥0</w:t>
            </w:r>
          </w:p>
        </w:tc>
      </w:tr>
      <w:tr w14:paraId="00C08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83" w:type="dxa"/>
            <w:vMerge w:val="restart"/>
            <w:noWrap/>
            <w:vAlign w:val="center"/>
          </w:tcPr>
          <w:p w14:paraId="15A84753">
            <w:pPr>
              <w:spacing w:line="280" w:lineRule="exact"/>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D             </w:t>
            </w:r>
            <w:r>
              <w:rPr>
                <w:rFonts w:ascii="仿宋_GB2312" w:hAnsi="仿宋_GB2312" w:eastAsia="仿宋_GB2312" w:cs="仿宋_GB2312"/>
                <w:sz w:val="21"/>
                <w:szCs w:val="21"/>
              </w:rPr>
              <w:t>效益</w:t>
            </w:r>
          </w:p>
        </w:tc>
        <w:tc>
          <w:tcPr>
            <w:tcW w:w="580" w:type="dxa"/>
            <w:vMerge w:val="restart"/>
            <w:noWrap/>
            <w:vAlign w:val="center"/>
          </w:tcPr>
          <w:p w14:paraId="2E204739">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30</w:t>
            </w:r>
          </w:p>
        </w:tc>
        <w:tc>
          <w:tcPr>
            <w:tcW w:w="724" w:type="dxa"/>
            <w:noWrap/>
            <w:vAlign w:val="center"/>
          </w:tcPr>
          <w:p w14:paraId="20341EDD">
            <w:pPr>
              <w:snapToGrid w:val="0"/>
              <w:spacing w:line="400" w:lineRule="exact"/>
              <w:ind w:firstLine="0" w:firstLineChars="0"/>
              <w:jc w:val="left"/>
              <w:rPr>
                <w:rFonts w:ascii="仿宋_GB2312" w:hAnsi="仿宋_GB2312" w:eastAsia="仿宋_GB2312" w:cs="仿宋_GB2312"/>
                <w:color w:val="000000"/>
                <w:sz w:val="21"/>
                <w:szCs w:val="21"/>
              </w:rPr>
            </w:pPr>
            <w:r>
              <w:rPr>
                <w:rFonts w:hint="eastAsia" w:ascii="仿宋_GB2312" w:hAnsi="Calibri" w:eastAsia="仿宋_GB2312"/>
                <w:sz w:val="21"/>
                <w:szCs w:val="21"/>
              </w:rPr>
              <w:t>D1</w:t>
            </w:r>
            <w:r>
              <w:rPr>
                <w:rFonts w:hint="eastAsia" w:ascii="仿宋_GB2312" w:hAnsi="Calibri" w:eastAsia="仿宋_GB2312"/>
                <w:sz w:val="21"/>
                <w:szCs w:val="21"/>
                <w:lang w:val="en-US" w:eastAsia="zh-CN"/>
              </w:rPr>
              <w:t>社会</w:t>
            </w:r>
            <w:r>
              <w:rPr>
                <w:rFonts w:hint="eastAsia" w:ascii="仿宋_GB2312" w:hAnsi="Calibri" w:eastAsia="仿宋_GB2312"/>
                <w:sz w:val="21"/>
                <w:szCs w:val="21"/>
              </w:rPr>
              <w:t>效益</w:t>
            </w:r>
          </w:p>
        </w:tc>
        <w:tc>
          <w:tcPr>
            <w:tcW w:w="585" w:type="dxa"/>
            <w:noWrap/>
            <w:vAlign w:val="center"/>
          </w:tcPr>
          <w:p w14:paraId="70972171">
            <w:pPr>
              <w:snapToGrid w:val="0"/>
              <w:spacing w:line="400" w:lineRule="exact"/>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1153" w:type="dxa"/>
            <w:noWrap/>
            <w:vAlign w:val="center"/>
          </w:tcPr>
          <w:p w14:paraId="41AA80CB">
            <w:pPr>
              <w:spacing w:line="240" w:lineRule="atLeast"/>
              <w:ind w:firstLine="0" w:firstLineChars="0"/>
              <w:jc w:val="left"/>
              <w:rPr>
                <w:rFonts w:ascii="仿宋_GB2312" w:hAnsi="Calibri" w:eastAsia="仿宋_GB2312"/>
                <w:sz w:val="21"/>
                <w:szCs w:val="21"/>
              </w:rPr>
            </w:pPr>
            <w:r>
              <w:rPr>
                <w:rFonts w:hint="eastAsia" w:ascii="仿宋_GB2312" w:hAnsi="Calibri" w:eastAsia="仿宋_GB2312"/>
                <w:sz w:val="21"/>
                <w:szCs w:val="21"/>
              </w:rPr>
              <w:t>D11</w:t>
            </w:r>
            <w:r>
              <w:rPr>
                <w:rFonts w:hint="eastAsia" w:ascii="仿宋_GB2312" w:hAnsi="Calibri" w:eastAsia="仿宋_GB2312"/>
                <w:sz w:val="21"/>
                <w:szCs w:val="21"/>
                <w:lang w:val="en-US" w:eastAsia="zh-CN"/>
              </w:rPr>
              <w:t>改善工作环境</w:t>
            </w:r>
          </w:p>
        </w:tc>
        <w:tc>
          <w:tcPr>
            <w:tcW w:w="783" w:type="dxa"/>
            <w:noWrap/>
            <w:vAlign w:val="center"/>
          </w:tcPr>
          <w:p w14:paraId="5FD7E6B1">
            <w:pPr>
              <w:spacing w:line="280" w:lineRule="exact"/>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3179" w:type="dxa"/>
            <w:noWrap/>
            <w:vAlign w:val="center"/>
          </w:tcPr>
          <w:p w14:paraId="6BFD598F">
            <w:pPr>
              <w:spacing w:line="280" w:lineRule="exact"/>
              <w:ind w:firstLine="0" w:firstLineChars="0"/>
              <w:rPr>
                <w:rFonts w:ascii="仿宋_GB2312" w:hAnsi="仿宋_GB2312" w:eastAsia="仿宋_GB2312" w:cs="仿宋_GB2312"/>
                <w:sz w:val="21"/>
                <w:szCs w:val="21"/>
              </w:rPr>
            </w:pPr>
            <w:r>
              <w:rPr>
                <w:rFonts w:ascii="仿宋_GB2312" w:hAnsi="仿宋_GB2312" w:eastAsia="仿宋_GB2312" w:cs="仿宋_GB2312"/>
                <w:sz w:val="21"/>
                <w:szCs w:val="21"/>
              </w:rPr>
              <w:t>反映和考核</w:t>
            </w:r>
            <w:r>
              <w:rPr>
                <w:rFonts w:hint="eastAsia" w:ascii="仿宋_GB2312" w:hAnsi="仿宋_GB2312" w:eastAsia="仿宋_GB2312" w:cs="仿宋_GB2312"/>
                <w:sz w:val="21"/>
                <w:szCs w:val="21"/>
              </w:rPr>
              <w:t>项目</w:t>
            </w:r>
            <w:r>
              <w:rPr>
                <w:rFonts w:ascii="仿宋_GB2312" w:hAnsi="仿宋_GB2312" w:eastAsia="仿宋_GB2312" w:cs="仿宋_GB2312"/>
                <w:sz w:val="21"/>
                <w:szCs w:val="21"/>
              </w:rPr>
              <w:t>实施的</w:t>
            </w:r>
            <w:r>
              <w:rPr>
                <w:rFonts w:hint="eastAsia" w:ascii="仿宋_GB2312" w:hAnsi="仿宋_GB2312" w:eastAsia="仿宋_GB2312" w:cs="仿宋_GB2312"/>
                <w:sz w:val="21"/>
                <w:szCs w:val="21"/>
                <w:lang w:val="en-US" w:eastAsia="zh-CN"/>
              </w:rPr>
              <w:t>社会</w:t>
            </w:r>
            <w:r>
              <w:rPr>
                <w:rFonts w:ascii="仿宋_GB2312" w:hAnsi="仿宋_GB2312" w:eastAsia="仿宋_GB2312" w:cs="仿宋_GB2312"/>
                <w:sz w:val="21"/>
                <w:szCs w:val="21"/>
              </w:rPr>
              <w:t>效益情况。</w:t>
            </w:r>
          </w:p>
        </w:tc>
        <w:tc>
          <w:tcPr>
            <w:tcW w:w="4898" w:type="dxa"/>
            <w:noWrap/>
            <w:vAlign w:val="center"/>
          </w:tcPr>
          <w:p w14:paraId="79036771">
            <w:pPr>
              <w:spacing w:line="280" w:lineRule="exact"/>
              <w:ind w:firstLine="0" w:firstLineChars="0"/>
              <w:rPr>
                <w:rFonts w:ascii="仿宋_GB2312" w:hAnsi="仿宋_GB2312" w:eastAsia="仿宋_GB2312" w:cs="仿宋_GB2312"/>
                <w:sz w:val="21"/>
                <w:szCs w:val="21"/>
              </w:rPr>
            </w:pPr>
            <w:r>
              <w:rPr>
                <w:rFonts w:hint="eastAsia" w:ascii="仿宋_GB2312" w:hAnsi="仿宋_GB2312" w:eastAsia="仿宋_GB2312" w:cs="仿宋_GB2312"/>
                <w:sz w:val="21"/>
                <w:szCs w:val="21"/>
              </w:rPr>
              <w:t>①</w:t>
            </w:r>
            <w:r>
              <w:rPr>
                <w:rFonts w:hint="eastAsia" w:ascii="仿宋_GB2312" w:hAnsi="仿宋_GB2312" w:eastAsia="仿宋_GB2312" w:cs="仿宋_GB2312"/>
                <w:sz w:val="21"/>
                <w:szCs w:val="21"/>
                <w:lang w:val="en-US" w:eastAsia="zh-CN"/>
              </w:rPr>
              <w:t>改善党校基础设施</w:t>
            </w:r>
            <w:r>
              <w:rPr>
                <w:rFonts w:hint="eastAsia" w:ascii="仿宋_GB2312" w:hAnsi="仿宋_GB2312" w:eastAsia="仿宋_GB2312" w:cs="仿宋_GB2312"/>
                <w:sz w:val="21"/>
                <w:szCs w:val="21"/>
              </w:rPr>
              <w:t>（2分）；</w:t>
            </w:r>
          </w:p>
          <w:p w14:paraId="1CF7622E">
            <w:pPr>
              <w:spacing w:line="280" w:lineRule="exact"/>
              <w:ind w:firstLine="0" w:firstLineChars="0"/>
              <w:rPr>
                <w:rFonts w:ascii="仿宋_GB2312" w:hAnsi="仿宋_GB2312" w:eastAsia="仿宋_GB2312" w:cs="仿宋_GB2312"/>
                <w:sz w:val="21"/>
                <w:szCs w:val="21"/>
              </w:rPr>
            </w:pPr>
            <w:r>
              <w:rPr>
                <w:rFonts w:hint="eastAsia" w:ascii="仿宋_GB2312" w:hAnsi="仿宋_GB2312" w:eastAsia="仿宋_GB2312" w:cs="仿宋_GB2312"/>
                <w:sz w:val="21"/>
                <w:szCs w:val="21"/>
              </w:rPr>
              <w:t>②</w:t>
            </w:r>
            <w:r>
              <w:rPr>
                <w:rFonts w:hint="eastAsia" w:ascii="仿宋_GB2312" w:hAnsi="仿宋_GB2312" w:eastAsia="仿宋_GB2312" w:cs="仿宋_GB2312"/>
                <w:sz w:val="21"/>
                <w:szCs w:val="21"/>
                <w:lang w:val="en-US" w:eastAsia="zh-CN"/>
              </w:rPr>
              <w:t>新建综合教学楼</w:t>
            </w:r>
            <w:r>
              <w:rPr>
                <w:rFonts w:hint="eastAsia" w:ascii="仿宋_GB2312" w:hAnsi="仿宋_GB2312" w:eastAsia="仿宋_GB2312" w:cs="仿宋_GB2312"/>
                <w:sz w:val="21"/>
                <w:szCs w:val="21"/>
              </w:rPr>
              <w:t>（2分）</w:t>
            </w:r>
            <w:r>
              <w:rPr>
                <w:rFonts w:ascii="仿宋_GB2312" w:hAnsi="仿宋_GB2312" w:eastAsia="仿宋_GB2312" w:cs="仿宋_GB2312"/>
                <w:sz w:val="21"/>
                <w:szCs w:val="21"/>
              </w:rPr>
              <w:t>。</w:t>
            </w:r>
          </w:p>
        </w:tc>
        <w:tc>
          <w:tcPr>
            <w:tcW w:w="1007" w:type="dxa"/>
            <w:tcBorders>
              <w:bottom w:val="single" w:color="000000" w:sz="4" w:space="0"/>
            </w:tcBorders>
            <w:noWrap/>
            <w:vAlign w:val="center"/>
          </w:tcPr>
          <w:p w14:paraId="3F341D16">
            <w:pPr>
              <w:spacing w:line="240" w:lineRule="atLeast"/>
              <w:ind w:firstLine="0" w:firstLineChars="0"/>
              <w:jc w:val="center"/>
              <w:rPr>
                <w:rFonts w:hint="eastAsia" w:ascii="仿宋_GB2312" w:hAnsi="Calibri" w:eastAsia="仿宋_GB2312"/>
                <w:sz w:val="21"/>
                <w:szCs w:val="21"/>
                <w:lang w:eastAsia="zh-CN"/>
              </w:rPr>
            </w:pPr>
            <w:r>
              <w:rPr>
                <w:rFonts w:hint="eastAsia" w:ascii="仿宋_GB2312" w:hAnsi="Calibri" w:eastAsia="仿宋_GB2312"/>
                <w:sz w:val="21"/>
                <w:szCs w:val="21"/>
                <w:lang w:val="en-US" w:eastAsia="zh-CN"/>
              </w:rPr>
              <w:t>改善</w:t>
            </w:r>
          </w:p>
        </w:tc>
      </w:tr>
      <w:tr w14:paraId="73CEE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683" w:type="dxa"/>
            <w:vMerge w:val="continue"/>
            <w:noWrap/>
            <w:vAlign w:val="center"/>
          </w:tcPr>
          <w:p w14:paraId="21EFF1C7">
            <w:pPr>
              <w:spacing w:line="280" w:lineRule="exact"/>
              <w:ind w:firstLine="0" w:firstLineChars="0"/>
              <w:jc w:val="center"/>
              <w:rPr>
                <w:rFonts w:ascii="仿宋_GB2312" w:hAnsi="仿宋_GB2312" w:eastAsia="仿宋_GB2312" w:cs="仿宋_GB2312"/>
                <w:sz w:val="21"/>
                <w:szCs w:val="21"/>
              </w:rPr>
            </w:pPr>
          </w:p>
        </w:tc>
        <w:tc>
          <w:tcPr>
            <w:tcW w:w="580" w:type="dxa"/>
            <w:vMerge w:val="continue"/>
            <w:noWrap/>
            <w:vAlign w:val="center"/>
          </w:tcPr>
          <w:p w14:paraId="6D6E57B4">
            <w:pPr>
              <w:spacing w:line="280" w:lineRule="exact"/>
              <w:ind w:firstLine="0" w:firstLineChars="0"/>
              <w:jc w:val="center"/>
              <w:rPr>
                <w:rFonts w:ascii="仿宋_GB2312" w:hAnsi="仿宋_GB2312" w:eastAsia="仿宋_GB2312" w:cs="仿宋_GB2312"/>
                <w:sz w:val="21"/>
                <w:szCs w:val="21"/>
              </w:rPr>
            </w:pPr>
          </w:p>
        </w:tc>
        <w:tc>
          <w:tcPr>
            <w:tcW w:w="724" w:type="dxa"/>
            <w:noWrap/>
            <w:vAlign w:val="center"/>
          </w:tcPr>
          <w:p w14:paraId="018FE058">
            <w:pPr>
              <w:snapToGrid w:val="0"/>
              <w:spacing w:line="400" w:lineRule="exact"/>
              <w:ind w:firstLine="0" w:firstLineChars="0"/>
              <w:jc w:val="left"/>
              <w:rPr>
                <w:rFonts w:ascii="仿宋_GB2312" w:hAnsi="仿宋_GB2312" w:eastAsia="仿宋_GB2312" w:cs="仿宋_GB2312"/>
                <w:sz w:val="21"/>
                <w:szCs w:val="21"/>
              </w:rPr>
            </w:pPr>
            <w:r>
              <w:rPr>
                <w:rFonts w:hint="eastAsia" w:ascii="仿宋_GB2312" w:hAnsi="Calibri" w:eastAsia="仿宋_GB2312"/>
                <w:sz w:val="21"/>
                <w:szCs w:val="21"/>
              </w:rPr>
              <w:t>D3可持续影响</w:t>
            </w:r>
          </w:p>
        </w:tc>
        <w:tc>
          <w:tcPr>
            <w:tcW w:w="585" w:type="dxa"/>
            <w:noWrap/>
            <w:vAlign w:val="center"/>
          </w:tcPr>
          <w:p w14:paraId="0F3A1D20">
            <w:pPr>
              <w:spacing w:line="280" w:lineRule="exact"/>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1153" w:type="dxa"/>
            <w:noWrap/>
            <w:vAlign w:val="center"/>
          </w:tcPr>
          <w:p w14:paraId="4FB92C01">
            <w:pPr>
              <w:spacing w:line="280" w:lineRule="exact"/>
              <w:ind w:firstLine="0" w:firstLineChars="0"/>
              <w:jc w:val="left"/>
              <w:rPr>
                <w:rFonts w:ascii="仿宋_GB2312" w:hAnsi="仿宋_GB2312" w:eastAsia="仿宋_GB2312" w:cs="仿宋_GB2312"/>
                <w:sz w:val="21"/>
                <w:szCs w:val="21"/>
              </w:rPr>
            </w:pPr>
            <w:r>
              <w:rPr>
                <w:rFonts w:hint="eastAsia" w:ascii="仿宋_GB2312" w:hAnsi="Calibri" w:eastAsia="仿宋_GB2312"/>
                <w:sz w:val="21"/>
                <w:szCs w:val="21"/>
              </w:rPr>
              <w:t>D</w:t>
            </w:r>
            <w:r>
              <w:rPr>
                <w:rFonts w:hint="eastAsia" w:ascii="仿宋_GB2312" w:hAnsi="Calibri" w:eastAsia="仿宋_GB2312"/>
                <w:sz w:val="21"/>
                <w:szCs w:val="21"/>
                <w:lang w:val="en-US" w:eastAsia="zh-CN"/>
              </w:rPr>
              <w:t>2</w:t>
            </w:r>
            <w:r>
              <w:rPr>
                <w:rFonts w:hint="eastAsia" w:ascii="仿宋_GB2312" w:hAnsi="Calibri" w:eastAsia="仿宋_GB2312"/>
                <w:sz w:val="21"/>
                <w:szCs w:val="21"/>
              </w:rPr>
              <w:t>1</w:t>
            </w:r>
            <w:r>
              <w:rPr>
                <w:rFonts w:hint="eastAsia" w:ascii="仿宋_GB2312" w:hAnsi="仿宋_GB2312" w:eastAsia="仿宋_GB2312" w:cs="仿宋_GB2312"/>
                <w:sz w:val="21"/>
                <w:szCs w:val="21"/>
                <w:lang w:val="en-US" w:eastAsia="zh-CN"/>
              </w:rPr>
              <w:t>有后期维护人员</w:t>
            </w:r>
          </w:p>
        </w:tc>
        <w:tc>
          <w:tcPr>
            <w:tcW w:w="783" w:type="dxa"/>
            <w:noWrap/>
            <w:vAlign w:val="center"/>
          </w:tcPr>
          <w:p w14:paraId="02E2595B">
            <w:pPr>
              <w:spacing w:line="280" w:lineRule="exact"/>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3179" w:type="dxa"/>
            <w:noWrap/>
            <w:vAlign w:val="center"/>
          </w:tcPr>
          <w:p w14:paraId="68349F2A">
            <w:pPr>
              <w:spacing w:line="280" w:lineRule="exact"/>
              <w:ind w:firstLine="0" w:firstLineChars="0"/>
              <w:rPr>
                <w:rFonts w:ascii="仿宋_GB2312" w:hAnsi="仿宋_GB2312" w:eastAsia="仿宋_GB2312" w:cs="仿宋_GB2312"/>
                <w:sz w:val="21"/>
                <w:szCs w:val="21"/>
              </w:rPr>
            </w:pPr>
            <w:r>
              <w:rPr>
                <w:rFonts w:ascii="仿宋_GB2312" w:hAnsi="仿宋_GB2312" w:eastAsia="仿宋_GB2312" w:cs="仿宋_GB2312"/>
                <w:sz w:val="21"/>
                <w:szCs w:val="21"/>
              </w:rPr>
              <w:t>项目</w:t>
            </w:r>
            <w:r>
              <w:rPr>
                <w:rFonts w:hint="eastAsia" w:ascii="仿宋_GB2312" w:hAnsi="仿宋_GB2312" w:eastAsia="仿宋_GB2312" w:cs="仿宋_GB2312"/>
                <w:sz w:val="21"/>
                <w:szCs w:val="21"/>
                <w:lang w:val="en-US" w:eastAsia="zh-CN"/>
              </w:rPr>
              <w:t>后期有维护维修人员及经费</w:t>
            </w:r>
            <w:r>
              <w:rPr>
                <w:rFonts w:ascii="仿宋_GB2312" w:hAnsi="仿宋_GB2312" w:eastAsia="仿宋_GB2312" w:cs="仿宋_GB2312"/>
                <w:sz w:val="21"/>
                <w:szCs w:val="21"/>
              </w:rPr>
              <w:t>可持续影响情况。</w:t>
            </w:r>
          </w:p>
        </w:tc>
        <w:tc>
          <w:tcPr>
            <w:tcW w:w="4898" w:type="dxa"/>
            <w:noWrap/>
            <w:vAlign w:val="center"/>
          </w:tcPr>
          <w:p w14:paraId="4D515AE1">
            <w:pPr>
              <w:spacing w:line="280" w:lineRule="exact"/>
              <w:ind w:firstLine="0" w:firstLineChars="0"/>
              <w:rPr>
                <w:rFonts w:ascii="仿宋_GB2312" w:hAnsi="仿宋_GB2312" w:eastAsia="仿宋_GB2312" w:cs="仿宋_GB2312"/>
                <w:sz w:val="21"/>
                <w:szCs w:val="21"/>
              </w:rPr>
            </w:pPr>
            <w:r>
              <w:rPr>
                <w:rFonts w:hint="eastAsia" w:ascii="仿宋_GB2312" w:hAnsi="仿宋_GB2312" w:eastAsia="仿宋_GB2312" w:cs="仿宋_GB2312"/>
                <w:sz w:val="21"/>
                <w:szCs w:val="21"/>
              </w:rPr>
              <w:t>①</w:t>
            </w:r>
            <w:r>
              <w:rPr>
                <w:rFonts w:hint="eastAsia" w:ascii="仿宋_GB2312" w:hAnsi="仿宋_GB2312" w:eastAsia="仿宋_GB2312" w:cs="仿宋_GB2312"/>
                <w:sz w:val="21"/>
                <w:szCs w:val="21"/>
                <w:lang w:val="en-US" w:eastAsia="zh-CN"/>
              </w:rPr>
              <w:t>有后续管理制度</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5分</w:t>
            </w:r>
            <w:r>
              <w:rPr>
                <w:rFonts w:ascii="仿宋_GB2312" w:hAnsi="仿宋_GB2312" w:eastAsia="仿宋_GB2312" w:cs="仿宋_GB2312"/>
                <w:sz w:val="21"/>
                <w:szCs w:val="21"/>
              </w:rPr>
              <w:t>）；</w:t>
            </w:r>
          </w:p>
          <w:p w14:paraId="57AF257C">
            <w:pPr>
              <w:spacing w:line="280" w:lineRule="exact"/>
              <w:ind w:firstLine="0" w:firstLineChars="0"/>
              <w:rPr>
                <w:rFonts w:ascii="仿宋_GB2312" w:hAnsi="仿宋_GB2312" w:eastAsia="仿宋_GB2312" w:cs="仿宋_GB2312"/>
                <w:sz w:val="21"/>
                <w:szCs w:val="21"/>
              </w:rPr>
            </w:pPr>
            <w:r>
              <w:rPr>
                <w:rFonts w:hint="eastAsia" w:ascii="仿宋_GB2312" w:hAnsi="仿宋_GB2312" w:eastAsia="仿宋_GB2312" w:cs="仿宋_GB2312"/>
                <w:sz w:val="21"/>
                <w:szCs w:val="21"/>
              </w:rPr>
              <w:t>②</w:t>
            </w:r>
            <w:r>
              <w:rPr>
                <w:rFonts w:hint="eastAsia" w:ascii="仿宋_GB2312" w:hAnsi="仿宋_GB2312" w:eastAsia="仿宋_GB2312" w:cs="仿宋_GB2312"/>
                <w:sz w:val="21"/>
                <w:szCs w:val="21"/>
                <w:lang w:val="en-US" w:eastAsia="zh-CN"/>
              </w:rPr>
              <w:t>设置管理人员及专项费用</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5</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w:t>
            </w:r>
          </w:p>
        </w:tc>
        <w:tc>
          <w:tcPr>
            <w:tcW w:w="1007" w:type="dxa"/>
            <w:noWrap/>
            <w:vAlign w:val="center"/>
          </w:tcPr>
          <w:p w14:paraId="79CEF8BC">
            <w:pPr>
              <w:spacing w:line="240" w:lineRule="atLeast"/>
              <w:ind w:firstLine="0" w:firstLineChars="0"/>
              <w:jc w:val="center"/>
              <w:rPr>
                <w:rFonts w:ascii="仿宋_GB2312" w:hAnsi="Calibri" w:eastAsia="仿宋_GB2312"/>
                <w:sz w:val="21"/>
                <w:szCs w:val="21"/>
              </w:rPr>
            </w:pPr>
            <w:r>
              <w:rPr>
                <w:rFonts w:hint="eastAsia" w:ascii="仿宋_GB2312" w:hAnsi="Calibri" w:eastAsia="仿宋_GB2312"/>
                <w:sz w:val="21"/>
                <w:szCs w:val="21"/>
              </w:rPr>
              <w:t>可持续</w:t>
            </w:r>
          </w:p>
        </w:tc>
      </w:tr>
      <w:tr w14:paraId="7835A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jc w:val="center"/>
        </w:trPr>
        <w:tc>
          <w:tcPr>
            <w:tcW w:w="683" w:type="dxa"/>
            <w:vMerge w:val="continue"/>
            <w:noWrap/>
            <w:vAlign w:val="center"/>
          </w:tcPr>
          <w:p w14:paraId="0CB2A2DC">
            <w:pPr>
              <w:spacing w:line="280" w:lineRule="exact"/>
              <w:ind w:firstLine="0" w:firstLineChars="0"/>
              <w:jc w:val="center"/>
              <w:rPr>
                <w:rFonts w:ascii="仿宋_GB2312" w:hAnsi="仿宋_GB2312" w:eastAsia="仿宋_GB2312" w:cs="仿宋_GB2312"/>
                <w:sz w:val="21"/>
                <w:szCs w:val="21"/>
              </w:rPr>
            </w:pPr>
          </w:p>
        </w:tc>
        <w:tc>
          <w:tcPr>
            <w:tcW w:w="580" w:type="dxa"/>
            <w:vMerge w:val="continue"/>
            <w:noWrap/>
            <w:vAlign w:val="center"/>
          </w:tcPr>
          <w:p w14:paraId="30F2A648">
            <w:pPr>
              <w:spacing w:line="280" w:lineRule="exact"/>
              <w:ind w:firstLine="0" w:firstLineChars="0"/>
              <w:jc w:val="center"/>
              <w:rPr>
                <w:rFonts w:ascii="仿宋_GB2312" w:hAnsi="仿宋_GB2312" w:eastAsia="仿宋_GB2312" w:cs="仿宋_GB2312"/>
                <w:sz w:val="21"/>
                <w:szCs w:val="21"/>
              </w:rPr>
            </w:pPr>
          </w:p>
        </w:tc>
        <w:tc>
          <w:tcPr>
            <w:tcW w:w="724" w:type="dxa"/>
            <w:noWrap/>
            <w:vAlign w:val="center"/>
          </w:tcPr>
          <w:p w14:paraId="07C9F379">
            <w:pPr>
              <w:spacing w:line="280" w:lineRule="exact"/>
              <w:ind w:firstLine="0" w:firstLineChars="0"/>
              <w:jc w:val="left"/>
              <w:rPr>
                <w:rFonts w:ascii="仿宋_GB2312" w:hAnsi="仿宋_GB2312" w:eastAsia="仿宋_GB2312" w:cs="仿宋_GB2312"/>
                <w:sz w:val="21"/>
                <w:szCs w:val="21"/>
              </w:rPr>
            </w:pPr>
            <w:r>
              <w:rPr>
                <w:rFonts w:hint="eastAsia" w:ascii="仿宋_GB2312" w:hAnsi="Calibri" w:eastAsia="仿宋_GB2312"/>
                <w:sz w:val="21"/>
                <w:szCs w:val="21"/>
              </w:rPr>
              <w:t>D4满意度</w:t>
            </w:r>
          </w:p>
        </w:tc>
        <w:tc>
          <w:tcPr>
            <w:tcW w:w="585" w:type="dxa"/>
            <w:noWrap/>
            <w:vAlign w:val="center"/>
          </w:tcPr>
          <w:p w14:paraId="3133BDF8">
            <w:pPr>
              <w:spacing w:line="280" w:lineRule="exact"/>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1153" w:type="dxa"/>
            <w:noWrap/>
            <w:vAlign w:val="center"/>
          </w:tcPr>
          <w:p w14:paraId="4B659AD9">
            <w:pPr>
              <w:spacing w:line="280" w:lineRule="exact"/>
              <w:ind w:firstLine="0" w:firstLineChars="0"/>
              <w:jc w:val="left"/>
              <w:rPr>
                <w:rFonts w:ascii="仿宋_GB2312" w:hAnsi="仿宋_GB2312" w:eastAsia="仿宋_GB2312" w:cs="仿宋_GB2312"/>
                <w:sz w:val="21"/>
                <w:szCs w:val="21"/>
              </w:rPr>
            </w:pPr>
            <w:r>
              <w:rPr>
                <w:rFonts w:hint="eastAsia" w:ascii="仿宋_GB2312" w:hAnsi="Calibri" w:eastAsia="仿宋_GB2312"/>
                <w:sz w:val="21"/>
                <w:szCs w:val="21"/>
              </w:rPr>
              <w:t>D41服务对象满意度</w:t>
            </w:r>
          </w:p>
        </w:tc>
        <w:tc>
          <w:tcPr>
            <w:tcW w:w="783" w:type="dxa"/>
            <w:noWrap/>
            <w:vAlign w:val="center"/>
          </w:tcPr>
          <w:p w14:paraId="45C7C0F3">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10</w:t>
            </w:r>
          </w:p>
        </w:tc>
        <w:tc>
          <w:tcPr>
            <w:tcW w:w="3179" w:type="dxa"/>
            <w:noWrap/>
            <w:vAlign w:val="center"/>
          </w:tcPr>
          <w:p w14:paraId="3568AD4C">
            <w:pPr>
              <w:spacing w:line="280" w:lineRule="exact"/>
              <w:ind w:firstLine="0" w:firstLineChars="0"/>
              <w:rPr>
                <w:rFonts w:ascii="仿宋_GB2312" w:hAnsi="仿宋_GB2312" w:eastAsia="仿宋_GB2312" w:cs="仿宋_GB2312"/>
                <w:sz w:val="21"/>
                <w:szCs w:val="21"/>
              </w:rPr>
            </w:pPr>
            <w:r>
              <w:rPr>
                <w:rFonts w:ascii="仿宋_GB2312" w:hAnsi="仿宋_GB2312" w:eastAsia="仿宋_GB2312" w:cs="仿宋_GB2312"/>
                <w:sz w:val="21"/>
                <w:szCs w:val="21"/>
              </w:rPr>
              <w:t>项目受益人员对项目实施的满意程度。</w:t>
            </w:r>
          </w:p>
        </w:tc>
        <w:tc>
          <w:tcPr>
            <w:tcW w:w="4898" w:type="dxa"/>
            <w:noWrap/>
            <w:vAlign w:val="center"/>
          </w:tcPr>
          <w:p w14:paraId="028CEC72">
            <w:pPr>
              <w:spacing w:line="280" w:lineRule="exact"/>
              <w:ind w:firstLine="0" w:firstLineChars="0"/>
              <w:rPr>
                <w:rFonts w:ascii="仿宋_GB2312" w:hAnsi="仿宋_GB2312" w:eastAsia="仿宋_GB2312" w:cs="仿宋_GB2312"/>
                <w:sz w:val="21"/>
                <w:szCs w:val="21"/>
              </w:rPr>
            </w:pPr>
            <w:r>
              <w:rPr>
                <w:rFonts w:ascii="仿宋_GB2312" w:hAnsi="仿宋_GB2312" w:eastAsia="仿宋_GB2312" w:cs="仿宋_GB2312"/>
                <w:sz w:val="21"/>
                <w:szCs w:val="21"/>
              </w:rPr>
              <w:t>满意度≥9</w:t>
            </w:r>
            <w:r>
              <w:rPr>
                <w:rFonts w:hint="eastAsia" w:ascii="仿宋_GB2312" w:hAnsi="仿宋_GB2312" w:eastAsia="仿宋_GB2312" w:cs="仿宋_GB2312"/>
                <w:sz w:val="21"/>
                <w:szCs w:val="21"/>
              </w:rPr>
              <w:t>5</w:t>
            </w:r>
            <w:r>
              <w:rPr>
                <w:rFonts w:ascii="仿宋_GB2312" w:hAnsi="仿宋_GB2312" w:eastAsia="仿宋_GB2312" w:cs="仿宋_GB2312"/>
                <w:sz w:val="21"/>
                <w:szCs w:val="21"/>
              </w:rPr>
              <w:t>%得满分</w:t>
            </w:r>
            <w:r>
              <w:rPr>
                <w:rFonts w:hint="eastAsia" w:ascii="仿宋_GB2312" w:hAnsi="仿宋_GB2312" w:eastAsia="仿宋_GB2312" w:cs="仿宋_GB2312"/>
                <w:sz w:val="21"/>
                <w:szCs w:val="21"/>
              </w:rPr>
              <w:t>10分，8</w:t>
            </w:r>
            <w:r>
              <w:rPr>
                <w:rFonts w:ascii="仿宋_GB2312" w:hAnsi="仿宋_GB2312" w:eastAsia="仿宋_GB2312" w:cs="仿宋_GB2312"/>
                <w:sz w:val="21"/>
                <w:szCs w:val="21"/>
              </w:rPr>
              <w:t>0%</w:t>
            </w:r>
            <w:r>
              <w:rPr>
                <w:rFonts w:hint="eastAsia" w:ascii="仿宋_GB2312" w:hAnsi="仿宋_GB2312" w:eastAsia="仿宋_GB2312" w:cs="仿宋_GB2312"/>
                <w:sz w:val="21"/>
                <w:szCs w:val="21"/>
              </w:rPr>
              <w:t>（含）</w:t>
            </w:r>
            <w:r>
              <w:rPr>
                <w:rFonts w:ascii="仿宋_GB2312" w:hAnsi="仿宋_GB2312" w:eastAsia="仿宋_GB2312" w:cs="仿宋_GB2312"/>
                <w:sz w:val="21"/>
                <w:szCs w:val="21"/>
              </w:rPr>
              <w:t>至9</w:t>
            </w:r>
            <w:r>
              <w:rPr>
                <w:rFonts w:hint="eastAsia" w:ascii="仿宋_GB2312" w:hAnsi="仿宋_GB2312" w:eastAsia="仿宋_GB2312" w:cs="仿宋_GB2312"/>
                <w:sz w:val="21"/>
                <w:szCs w:val="21"/>
              </w:rPr>
              <w:t>5</w:t>
            </w:r>
            <w:r>
              <w:rPr>
                <w:rFonts w:ascii="仿宋_GB2312" w:hAnsi="仿宋_GB2312" w:eastAsia="仿宋_GB2312" w:cs="仿宋_GB2312"/>
                <w:sz w:val="21"/>
                <w:szCs w:val="21"/>
              </w:rPr>
              <w:t>%得</w:t>
            </w:r>
            <w:r>
              <w:rPr>
                <w:rFonts w:hint="eastAsia" w:ascii="仿宋_GB2312" w:hAnsi="仿宋_GB2312" w:eastAsia="仿宋_GB2312" w:cs="仿宋_GB2312"/>
                <w:sz w:val="21"/>
                <w:szCs w:val="21"/>
              </w:rPr>
              <w:t>8</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7</w:t>
            </w:r>
            <w:r>
              <w:rPr>
                <w:rFonts w:ascii="仿宋_GB2312" w:hAnsi="仿宋_GB2312" w:eastAsia="仿宋_GB2312" w:cs="仿宋_GB2312"/>
                <w:sz w:val="21"/>
                <w:szCs w:val="21"/>
              </w:rPr>
              <w:t>0%</w:t>
            </w:r>
            <w:r>
              <w:rPr>
                <w:rFonts w:hint="eastAsia" w:ascii="仿宋_GB2312" w:hAnsi="仿宋_GB2312" w:eastAsia="仿宋_GB2312" w:cs="仿宋_GB2312"/>
                <w:sz w:val="21"/>
                <w:szCs w:val="21"/>
              </w:rPr>
              <w:t>（含）</w:t>
            </w:r>
            <w:r>
              <w:rPr>
                <w:rFonts w:ascii="仿宋_GB2312" w:hAnsi="仿宋_GB2312" w:eastAsia="仿宋_GB2312" w:cs="仿宋_GB2312"/>
                <w:sz w:val="21"/>
                <w:szCs w:val="21"/>
              </w:rPr>
              <w:t>至</w:t>
            </w:r>
            <w:r>
              <w:rPr>
                <w:rFonts w:hint="eastAsia" w:ascii="仿宋_GB2312" w:hAnsi="仿宋_GB2312" w:eastAsia="仿宋_GB2312" w:cs="仿宋_GB2312"/>
                <w:sz w:val="21"/>
                <w:szCs w:val="21"/>
              </w:rPr>
              <w:t>8</w:t>
            </w:r>
            <w:r>
              <w:rPr>
                <w:rFonts w:ascii="仿宋_GB2312" w:hAnsi="仿宋_GB2312" w:eastAsia="仿宋_GB2312" w:cs="仿宋_GB2312"/>
                <w:sz w:val="21"/>
                <w:szCs w:val="21"/>
              </w:rPr>
              <w:t>0%得</w:t>
            </w:r>
            <w:r>
              <w:rPr>
                <w:rFonts w:hint="eastAsia" w:ascii="仿宋_GB2312" w:hAnsi="仿宋_GB2312" w:eastAsia="仿宋_GB2312" w:cs="仿宋_GB2312"/>
                <w:sz w:val="21"/>
                <w:szCs w:val="21"/>
              </w:rPr>
              <w:t>5</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6</w:t>
            </w:r>
            <w:r>
              <w:rPr>
                <w:rFonts w:ascii="仿宋_GB2312" w:hAnsi="仿宋_GB2312" w:eastAsia="仿宋_GB2312" w:cs="仿宋_GB2312"/>
                <w:sz w:val="21"/>
                <w:szCs w:val="21"/>
              </w:rPr>
              <w:t>0%</w:t>
            </w:r>
            <w:r>
              <w:rPr>
                <w:rFonts w:hint="eastAsia" w:ascii="仿宋_GB2312" w:hAnsi="仿宋_GB2312" w:eastAsia="仿宋_GB2312" w:cs="仿宋_GB2312"/>
                <w:sz w:val="21"/>
                <w:szCs w:val="21"/>
              </w:rPr>
              <w:t>（含）</w:t>
            </w:r>
            <w:r>
              <w:rPr>
                <w:rFonts w:ascii="仿宋_GB2312" w:hAnsi="仿宋_GB2312" w:eastAsia="仿宋_GB2312" w:cs="仿宋_GB2312"/>
                <w:sz w:val="21"/>
                <w:szCs w:val="21"/>
              </w:rPr>
              <w:t>至</w:t>
            </w:r>
            <w:r>
              <w:rPr>
                <w:rFonts w:hint="eastAsia" w:ascii="仿宋_GB2312" w:hAnsi="仿宋_GB2312" w:eastAsia="仿宋_GB2312" w:cs="仿宋_GB2312"/>
                <w:sz w:val="21"/>
                <w:szCs w:val="21"/>
              </w:rPr>
              <w:t>7</w:t>
            </w:r>
            <w:r>
              <w:rPr>
                <w:rFonts w:ascii="仿宋_GB2312" w:hAnsi="仿宋_GB2312" w:eastAsia="仿宋_GB2312" w:cs="仿宋_GB2312"/>
                <w:sz w:val="21"/>
                <w:szCs w:val="21"/>
              </w:rPr>
              <w:t>0%得</w:t>
            </w:r>
            <w:r>
              <w:rPr>
                <w:rFonts w:hint="eastAsia" w:ascii="仿宋_GB2312" w:hAnsi="仿宋_GB2312" w:eastAsia="仿宋_GB2312" w:cs="仿宋_GB2312"/>
                <w:sz w:val="21"/>
                <w:szCs w:val="21"/>
              </w:rPr>
              <w:t>3</w:t>
            </w:r>
            <w:r>
              <w:rPr>
                <w:rFonts w:ascii="仿宋_GB2312" w:hAnsi="仿宋_GB2312" w:eastAsia="仿宋_GB2312" w:cs="仿宋_GB2312"/>
                <w:sz w:val="21"/>
                <w:szCs w:val="21"/>
              </w:rPr>
              <w:t>分，执行率低于60%不得分。</w:t>
            </w:r>
          </w:p>
        </w:tc>
        <w:tc>
          <w:tcPr>
            <w:tcW w:w="1007" w:type="dxa"/>
            <w:noWrap/>
            <w:vAlign w:val="center"/>
          </w:tcPr>
          <w:p w14:paraId="2A0D01C4">
            <w:pPr>
              <w:spacing w:line="240" w:lineRule="atLeast"/>
              <w:ind w:firstLine="0" w:firstLineChars="0"/>
              <w:jc w:val="center"/>
              <w:rPr>
                <w:rFonts w:ascii="仿宋_GB2312" w:hAnsi="Calibri" w:eastAsia="仿宋_GB2312"/>
                <w:sz w:val="21"/>
                <w:szCs w:val="21"/>
              </w:rPr>
            </w:pPr>
            <w:r>
              <w:rPr>
                <w:rFonts w:hint="eastAsia" w:ascii="仿宋_GB2312" w:hAnsi="Calibri" w:eastAsia="仿宋_GB2312"/>
                <w:sz w:val="21"/>
                <w:szCs w:val="21"/>
              </w:rPr>
              <w:t>≥95%</w:t>
            </w:r>
          </w:p>
        </w:tc>
      </w:tr>
      <w:tr w14:paraId="3E2D5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683" w:type="dxa"/>
            <w:noWrap/>
            <w:vAlign w:val="center"/>
          </w:tcPr>
          <w:p w14:paraId="154FCC20">
            <w:pPr>
              <w:spacing w:line="280" w:lineRule="exact"/>
              <w:ind w:firstLine="0" w:firstLineChars="0"/>
              <w:jc w:val="center"/>
              <w:rPr>
                <w:rFonts w:ascii="Calibri" w:hAnsi="Calibri" w:eastAsia="宋体"/>
                <w:b/>
                <w:sz w:val="21"/>
                <w:szCs w:val="21"/>
              </w:rPr>
            </w:pPr>
            <w:r>
              <w:rPr>
                <w:rFonts w:ascii="Calibri" w:hAnsi="Calibri" w:eastAsia="宋体"/>
                <w:b/>
                <w:sz w:val="21"/>
                <w:szCs w:val="21"/>
              </w:rPr>
              <w:t>总分</w:t>
            </w:r>
          </w:p>
        </w:tc>
        <w:tc>
          <w:tcPr>
            <w:tcW w:w="580" w:type="dxa"/>
            <w:noWrap/>
            <w:vAlign w:val="center"/>
          </w:tcPr>
          <w:p w14:paraId="76DDB65D">
            <w:pPr>
              <w:spacing w:line="280" w:lineRule="exact"/>
              <w:ind w:firstLine="0" w:firstLineChars="0"/>
              <w:jc w:val="center"/>
              <w:rPr>
                <w:rFonts w:ascii="Calibri" w:hAnsi="Calibri" w:eastAsia="宋体"/>
                <w:b/>
                <w:sz w:val="21"/>
                <w:szCs w:val="21"/>
              </w:rPr>
            </w:pPr>
            <w:r>
              <w:rPr>
                <w:rFonts w:ascii="Calibri" w:hAnsi="Calibri" w:eastAsia="宋体"/>
                <w:b/>
                <w:spacing w:val="-6"/>
                <w:sz w:val="21"/>
                <w:szCs w:val="21"/>
              </w:rPr>
              <w:t>100</w:t>
            </w:r>
          </w:p>
        </w:tc>
        <w:tc>
          <w:tcPr>
            <w:tcW w:w="724" w:type="dxa"/>
            <w:noWrap/>
            <w:vAlign w:val="center"/>
          </w:tcPr>
          <w:p w14:paraId="6696C007">
            <w:pPr>
              <w:spacing w:line="280" w:lineRule="exact"/>
              <w:ind w:firstLine="0" w:firstLineChars="0"/>
              <w:jc w:val="center"/>
              <w:rPr>
                <w:rFonts w:ascii="Calibri" w:hAnsi="Calibri" w:eastAsia="宋体"/>
                <w:b/>
                <w:sz w:val="21"/>
                <w:szCs w:val="21"/>
              </w:rPr>
            </w:pPr>
          </w:p>
        </w:tc>
        <w:tc>
          <w:tcPr>
            <w:tcW w:w="585" w:type="dxa"/>
            <w:noWrap/>
            <w:vAlign w:val="center"/>
          </w:tcPr>
          <w:p w14:paraId="27FEB83F">
            <w:pPr>
              <w:spacing w:line="280" w:lineRule="exact"/>
              <w:ind w:firstLine="0" w:firstLineChars="0"/>
              <w:jc w:val="center"/>
              <w:rPr>
                <w:rFonts w:ascii="Calibri" w:hAnsi="Calibri" w:eastAsia="宋体"/>
                <w:b/>
                <w:sz w:val="21"/>
                <w:szCs w:val="21"/>
              </w:rPr>
            </w:pPr>
            <w:r>
              <w:rPr>
                <w:rFonts w:ascii="Calibri" w:hAnsi="Calibri" w:eastAsia="宋体"/>
                <w:b/>
                <w:sz w:val="21"/>
                <w:szCs w:val="21"/>
              </w:rPr>
              <w:fldChar w:fldCharType="begin"/>
            </w:r>
            <w:r>
              <w:rPr>
                <w:rFonts w:ascii="Calibri" w:hAnsi="Calibri" w:eastAsia="宋体"/>
                <w:b/>
                <w:sz w:val="21"/>
                <w:szCs w:val="21"/>
              </w:rPr>
              <w:instrText xml:space="preserve"> =SUM(ABOVE) </w:instrText>
            </w:r>
            <w:r>
              <w:rPr>
                <w:rFonts w:ascii="Calibri" w:hAnsi="Calibri" w:eastAsia="宋体"/>
                <w:b/>
                <w:sz w:val="21"/>
                <w:szCs w:val="21"/>
              </w:rPr>
              <w:fldChar w:fldCharType="separate"/>
            </w:r>
            <w:r>
              <w:rPr>
                <w:rFonts w:ascii="Calibri" w:hAnsi="Calibri" w:eastAsia="宋体"/>
                <w:b/>
                <w:sz w:val="21"/>
                <w:szCs w:val="21"/>
              </w:rPr>
              <w:t>100</w:t>
            </w:r>
            <w:r>
              <w:rPr>
                <w:rFonts w:ascii="Calibri" w:hAnsi="Calibri" w:eastAsia="宋体"/>
                <w:b/>
                <w:sz w:val="21"/>
                <w:szCs w:val="21"/>
              </w:rPr>
              <w:fldChar w:fldCharType="end"/>
            </w:r>
          </w:p>
        </w:tc>
        <w:tc>
          <w:tcPr>
            <w:tcW w:w="1153" w:type="dxa"/>
            <w:noWrap/>
            <w:vAlign w:val="center"/>
          </w:tcPr>
          <w:p w14:paraId="3ADBA282">
            <w:pPr>
              <w:spacing w:line="280" w:lineRule="exact"/>
              <w:ind w:firstLine="0" w:firstLineChars="0"/>
              <w:jc w:val="center"/>
              <w:rPr>
                <w:rFonts w:ascii="Calibri" w:hAnsi="Calibri" w:eastAsia="宋体"/>
                <w:b/>
                <w:sz w:val="21"/>
                <w:szCs w:val="21"/>
              </w:rPr>
            </w:pPr>
          </w:p>
        </w:tc>
        <w:tc>
          <w:tcPr>
            <w:tcW w:w="783" w:type="dxa"/>
            <w:noWrap/>
            <w:vAlign w:val="center"/>
          </w:tcPr>
          <w:p w14:paraId="7243A319">
            <w:pPr>
              <w:spacing w:line="280" w:lineRule="exact"/>
              <w:ind w:firstLine="0" w:firstLineChars="0"/>
              <w:jc w:val="center"/>
              <w:rPr>
                <w:rFonts w:ascii="Calibri" w:hAnsi="Calibri" w:eastAsia="宋体"/>
                <w:sz w:val="21"/>
                <w:szCs w:val="21"/>
              </w:rPr>
            </w:pPr>
            <w:r>
              <w:rPr>
                <w:rFonts w:ascii="Calibri" w:hAnsi="Calibri" w:eastAsia="宋体"/>
                <w:b/>
                <w:spacing w:val="-6"/>
                <w:sz w:val="21"/>
                <w:szCs w:val="21"/>
              </w:rPr>
              <w:fldChar w:fldCharType="begin"/>
            </w:r>
            <w:r>
              <w:rPr>
                <w:rFonts w:ascii="Calibri" w:hAnsi="Calibri" w:eastAsia="宋体"/>
                <w:b/>
                <w:spacing w:val="-6"/>
                <w:sz w:val="21"/>
                <w:szCs w:val="21"/>
              </w:rPr>
              <w:instrText xml:space="preserve"> =SUM(ABOVE) </w:instrText>
            </w:r>
            <w:r>
              <w:rPr>
                <w:rFonts w:ascii="Calibri" w:hAnsi="Calibri" w:eastAsia="宋体"/>
                <w:b/>
                <w:spacing w:val="-6"/>
                <w:sz w:val="21"/>
                <w:szCs w:val="21"/>
              </w:rPr>
              <w:fldChar w:fldCharType="separate"/>
            </w:r>
            <w:r>
              <w:rPr>
                <w:rFonts w:ascii="Calibri" w:hAnsi="Calibri" w:eastAsia="宋体"/>
                <w:b/>
                <w:spacing w:val="-6"/>
                <w:sz w:val="21"/>
                <w:szCs w:val="21"/>
              </w:rPr>
              <w:t>100</w:t>
            </w:r>
            <w:r>
              <w:rPr>
                <w:rFonts w:ascii="Calibri" w:hAnsi="Calibri" w:eastAsia="宋体"/>
                <w:b/>
                <w:spacing w:val="-6"/>
                <w:sz w:val="21"/>
                <w:szCs w:val="21"/>
              </w:rPr>
              <w:fldChar w:fldCharType="end"/>
            </w:r>
          </w:p>
        </w:tc>
        <w:tc>
          <w:tcPr>
            <w:tcW w:w="3179" w:type="dxa"/>
            <w:noWrap/>
            <w:vAlign w:val="center"/>
          </w:tcPr>
          <w:p w14:paraId="53A34A8D">
            <w:pPr>
              <w:spacing w:line="280" w:lineRule="exact"/>
              <w:ind w:firstLine="0" w:firstLineChars="0"/>
              <w:jc w:val="center"/>
              <w:rPr>
                <w:rFonts w:ascii="Calibri" w:hAnsi="Calibri" w:eastAsia="宋体"/>
                <w:b/>
                <w:sz w:val="21"/>
                <w:szCs w:val="21"/>
              </w:rPr>
            </w:pPr>
          </w:p>
        </w:tc>
        <w:tc>
          <w:tcPr>
            <w:tcW w:w="4898" w:type="dxa"/>
            <w:noWrap/>
            <w:vAlign w:val="center"/>
          </w:tcPr>
          <w:p w14:paraId="14E93D42">
            <w:pPr>
              <w:spacing w:line="280" w:lineRule="exact"/>
              <w:ind w:firstLine="0" w:firstLineChars="0"/>
              <w:jc w:val="center"/>
              <w:rPr>
                <w:rFonts w:ascii="Calibri" w:hAnsi="Calibri" w:eastAsia="宋体"/>
                <w:b/>
                <w:sz w:val="21"/>
                <w:szCs w:val="21"/>
              </w:rPr>
            </w:pPr>
          </w:p>
        </w:tc>
        <w:tc>
          <w:tcPr>
            <w:tcW w:w="1007" w:type="dxa"/>
            <w:noWrap/>
            <w:vAlign w:val="center"/>
          </w:tcPr>
          <w:p w14:paraId="4C254BC6">
            <w:pPr>
              <w:spacing w:line="280" w:lineRule="exact"/>
              <w:ind w:firstLine="0" w:firstLineChars="0"/>
              <w:jc w:val="center"/>
              <w:rPr>
                <w:rFonts w:ascii="Calibri" w:hAnsi="Calibri" w:eastAsia="宋体"/>
                <w:b/>
                <w:sz w:val="21"/>
                <w:szCs w:val="21"/>
              </w:rPr>
            </w:pPr>
          </w:p>
        </w:tc>
      </w:tr>
    </w:tbl>
    <w:p w14:paraId="209999E4">
      <w:pPr>
        <w:pStyle w:val="2"/>
        <w:sectPr>
          <w:pgSz w:w="16838" w:h="11906" w:orient="landscape"/>
          <w:pgMar w:top="1800" w:right="1440" w:bottom="1800" w:left="1440" w:header="851" w:footer="992" w:gutter="0"/>
          <w:cols w:space="425" w:num="1"/>
          <w:docGrid w:type="lines" w:linePitch="312" w:charSpace="0"/>
        </w:sectPr>
      </w:pPr>
    </w:p>
    <w:p w14:paraId="672C9050">
      <w:pPr>
        <w:pStyle w:val="3"/>
        <w:spacing w:before="120" w:after="120"/>
        <w:ind w:firstLine="0" w:firstLineChars="0"/>
        <w:rPr>
          <w:rFonts w:ascii="黑体" w:hAnsi="黑体"/>
        </w:rPr>
      </w:pPr>
      <w:bookmarkStart w:id="67" w:name="_Toc30591"/>
      <w:r>
        <w:rPr>
          <w:rFonts w:ascii="黑体" w:hAnsi="黑体"/>
        </w:rPr>
        <w:t>附件3</w:t>
      </w:r>
      <w:bookmarkStart w:id="68" w:name="_Toc16387"/>
      <w:bookmarkStart w:id="69" w:name="_Toc30428"/>
      <w:r>
        <w:rPr>
          <w:rFonts w:hint="eastAsia" w:ascii="黑体" w:hAnsi="黑体"/>
        </w:rPr>
        <w:t xml:space="preserve"> ：满意度</w:t>
      </w:r>
      <w:r>
        <w:rPr>
          <w:rFonts w:ascii="黑体" w:hAnsi="黑体"/>
        </w:rPr>
        <w:t>调查</w:t>
      </w:r>
      <w:bookmarkEnd w:id="68"/>
      <w:bookmarkEnd w:id="69"/>
      <w:r>
        <w:rPr>
          <w:rFonts w:hint="eastAsia" w:ascii="黑体" w:hAnsi="黑体"/>
        </w:rPr>
        <w:t>报告</w:t>
      </w:r>
      <w:bookmarkEnd w:id="67"/>
    </w:p>
    <w:p w14:paraId="55390A2F">
      <w:pPr>
        <w:pStyle w:val="33"/>
        <w:spacing w:line="600" w:lineRule="exact"/>
        <w:ind w:firstLine="643"/>
        <w:rPr>
          <w:rFonts w:ascii="Times New Roman" w:hAnsi="Times New Roman"/>
          <w:b/>
          <w:bCs/>
          <w:szCs w:val="32"/>
        </w:rPr>
      </w:pPr>
      <w:r>
        <w:rPr>
          <w:rFonts w:ascii="Times New Roman" w:hAnsi="Times New Roman"/>
          <w:b/>
          <w:bCs/>
          <w:szCs w:val="32"/>
        </w:rPr>
        <w:t>一、调查背景</w:t>
      </w:r>
    </w:p>
    <w:p w14:paraId="0E41A9DC">
      <w:pPr>
        <w:ind w:firstLine="640"/>
        <w:rPr>
          <w:rFonts w:hint="eastAsia" w:ascii="仿宋_GB2312"/>
        </w:rPr>
      </w:pPr>
      <w:r>
        <w:rPr>
          <w:rFonts w:hint="eastAsia" w:ascii="仿宋_GB2312"/>
        </w:rPr>
        <w:t>经过问卷调查，我们将根据问卷调查结果通过具体细致的数据分析，深层次剖析项目建设单位的实际发展情况以及存在的问题，最后经过统计确定服务对象满意度分值。</w:t>
      </w:r>
    </w:p>
    <w:p w14:paraId="4F391885">
      <w:pPr>
        <w:pStyle w:val="33"/>
        <w:spacing w:line="600" w:lineRule="exact"/>
        <w:ind w:firstLine="643"/>
        <w:rPr>
          <w:rFonts w:ascii="Times New Roman" w:hAnsi="Times New Roman"/>
          <w:b/>
          <w:bCs/>
          <w:szCs w:val="32"/>
        </w:rPr>
      </w:pPr>
      <w:r>
        <w:rPr>
          <w:rFonts w:ascii="Times New Roman" w:hAnsi="Times New Roman"/>
          <w:b/>
          <w:bCs/>
          <w:szCs w:val="32"/>
        </w:rPr>
        <w:t>二、调查目的</w:t>
      </w:r>
    </w:p>
    <w:p w14:paraId="7428598E">
      <w:pPr>
        <w:ind w:firstLine="640"/>
        <w:rPr>
          <w:rFonts w:ascii="仿宋_GB2312"/>
        </w:rPr>
      </w:pPr>
      <w:r>
        <w:rPr>
          <w:rFonts w:hint="eastAsia" w:ascii="仿宋_GB2312"/>
        </w:rPr>
        <w:t>经过问卷调查，我们将根据问卷调查结果通过具体细致的数据分析，深层次剖析项目建设单位的实际发展情况以及存在的问题，最后经过统计确定服务对象满意度分值。</w:t>
      </w:r>
    </w:p>
    <w:p w14:paraId="5492EAC6">
      <w:pPr>
        <w:pStyle w:val="33"/>
        <w:spacing w:line="600" w:lineRule="exact"/>
        <w:ind w:firstLine="643"/>
        <w:rPr>
          <w:rFonts w:ascii="仿宋_GB2312" w:hAnsi="Times New Roman"/>
          <w:b/>
          <w:bCs/>
          <w:szCs w:val="32"/>
        </w:rPr>
      </w:pPr>
      <w:r>
        <w:rPr>
          <w:rFonts w:hint="eastAsia" w:ascii="仿宋_GB2312" w:hAnsi="Times New Roman"/>
          <w:b/>
          <w:bCs/>
          <w:szCs w:val="32"/>
        </w:rPr>
        <w:t>三、调查对象和范围</w:t>
      </w:r>
    </w:p>
    <w:p w14:paraId="6AA47A66">
      <w:pPr>
        <w:ind w:firstLine="640"/>
        <w:rPr>
          <w:rFonts w:hint="eastAsia" w:ascii="仿宋_GB2312"/>
        </w:rPr>
      </w:pPr>
      <w:r>
        <w:rPr>
          <w:rFonts w:hint="eastAsia" w:ascii="仿宋_GB2312"/>
        </w:rPr>
        <w:t>调查对象为</w:t>
      </w:r>
      <w:r>
        <w:rPr>
          <w:rFonts w:hint="eastAsia" w:ascii="仿宋_GB2312"/>
          <w:lang w:val="en-US" w:eastAsia="zh-CN"/>
        </w:rPr>
        <w:t>党校工作人员</w:t>
      </w:r>
      <w:r>
        <w:rPr>
          <w:rFonts w:hint="eastAsia" w:ascii="仿宋_GB2312"/>
        </w:rPr>
        <w:t>，范围为</w:t>
      </w:r>
      <w:r>
        <w:rPr>
          <w:rFonts w:hint="eastAsia" w:ascii="仿宋_GB2312"/>
          <w:lang w:val="en-US" w:eastAsia="zh-CN"/>
        </w:rPr>
        <w:t>古县县委党校</w:t>
      </w:r>
      <w:r>
        <w:rPr>
          <w:rFonts w:hint="eastAsia" w:ascii="仿宋_GB2312"/>
        </w:rPr>
        <w:t>。</w:t>
      </w:r>
    </w:p>
    <w:p w14:paraId="7BCF4B15">
      <w:pPr>
        <w:spacing w:line="600" w:lineRule="exact"/>
        <w:ind w:firstLine="643"/>
        <w:rPr>
          <w:rFonts w:ascii="仿宋_GB2312"/>
          <w:b/>
          <w:bCs/>
          <w:szCs w:val="32"/>
        </w:rPr>
      </w:pPr>
      <w:r>
        <w:rPr>
          <w:rFonts w:hint="eastAsia" w:ascii="仿宋_GB2312"/>
          <w:b/>
          <w:bCs/>
          <w:szCs w:val="32"/>
        </w:rPr>
        <w:t>四、样本数量</w:t>
      </w:r>
    </w:p>
    <w:p w14:paraId="5E22F5CA">
      <w:pPr>
        <w:ind w:firstLine="640"/>
        <w:rPr>
          <w:rFonts w:ascii="仿宋_GB2312"/>
        </w:rPr>
      </w:pPr>
      <w:r>
        <w:rPr>
          <w:rFonts w:hint="eastAsia" w:ascii="仿宋_GB2312"/>
          <w:lang w:val="en-US" w:eastAsia="zh-CN"/>
        </w:rPr>
        <w:t>党校工作人员</w:t>
      </w:r>
      <w:r>
        <w:rPr>
          <w:rFonts w:hint="eastAsia" w:ascii="仿宋_GB2312"/>
        </w:rPr>
        <w:t>调查问卷</w:t>
      </w:r>
      <w:r>
        <w:rPr>
          <w:rFonts w:hint="eastAsia" w:ascii="仿宋_GB2312"/>
          <w:lang w:val="en-US" w:eastAsia="zh-CN"/>
        </w:rPr>
        <w:t>计划发放35人</w:t>
      </w:r>
      <w:r>
        <w:rPr>
          <w:rFonts w:hint="eastAsia" w:ascii="仿宋_GB2312"/>
        </w:rPr>
        <w:t>。</w:t>
      </w:r>
    </w:p>
    <w:p w14:paraId="1AD25792">
      <w:pPr>
        <w:spacing w:line="600" w:lineRule="exact"/>
        <w:ind w:firstLine="643"/>
        <w:rPr>
          <w:rFonts w:ascii="仿宋_GB2312"/>
          <w:b/>
          <w:bCs/>
          <w:szCs w:val="32"/>
        </w:rPr>
      </w:pPr>
      <w:r>
        <w:rPr>
          <w:rFonts w:hint="eastAsia" w:ascii="仿宋_GB2312"/>
          <w:b/>
          <w:bCs/>
          <w:szCs w:val="32"/>
        </w:rPr>
        <w:t>五、调查方式</w:t>
      </w:r>
    </w:p>
    <w:p w14:paraId="2513C363">
      <w:pPr>
        <w:ind w:firstLine="640"/>
        <w:rPr>
          <w:rFonts w:ascii="仿宋_GB2312"/>
        </w:rPr>
      </w:pPr>
      <w:r>
        <w:rPr>
          <w:rFonts w:hint="eastAsia" w:ascii="仿宋_GB2312"/>
        </w:rPr>
        <w:t>结合项目实际情况，本次问卷调查采用</w:t>
      </w:r>
      <w:r>
        <w:rPr>
          <w:rFonts w:hint="eastAsia" w:ascii="仿宋_GB2312"/>
          <w:lang w:val="en-US" w:eastAsia="zh-CN"/>
        </w:rPr>
        <w:t>现场</w:t>
      </w:r>
      <w:r>
        <w:rPr>
          <w:rFonts w:hint="eastAsia" w:ascii="仿宋_GB2312"/>
        </w:rPr>
        <w:t>访问式。</w:t>
      </w:r>
    </w:p>
    <w:p w14:paraId="6610FDD7">
      <w:pPr>
        <w:pStyle w:val="33"/>
        <w:spacing w:line="600" w:lineRule="exact"/>
        <w:ind w:firstLine="643"/>
        <w:rPr>
          <w:rFonts w:ascii="仿宋_GB2312" w:hAnsi="Times New Roman"/>
          <w:b/>
          <w:bCs/>
          <w:szCs w:val="32"/>
        </w:rPr>
      </w:pPr>
      <w:r>
        <w:rPr>
          <w:rFonts w:hint="eastAsia" w:ascii="仿宋_GB2312" w:hAnsi="Times New Roman"/>
          <w:b/>
          <w:bCs/>
          <w:szCs w:val="32"/>
        </w:rPr>
        <w:t>六、调查样本选取方案</w:t>
      </w:r>
    </w:p>
    <w:p w14:paraId="1DC14EB6">
      <w:pPr>
        <w:ind w:firstLine="640"/>
        <w:rPr>
          <w:rFonts w:ascii="仿宋_GB2312"/>
        </w:rPr>
      </w:pPr>
      <w:r>
        <w:rPr>
          <w:rFonts w:hint="eastAsia" w:ascii="仿宋_GB2312"/>
        </w:rPr>
        <w:t>为客观反映</w:t>
      </w:r>
      <w:r>
        <w:rPr>
          <w:rFonts w:hint="eastAsia" w:ascii="仿宋_GB2312"/>
          <w:lang w:val="en-US" w:eastAsia="zh-CN"/>
        </w:rPr>
        <w:t>古县县委党校改扩建项目</w:t>
      </w:r>
      <w:r>
        <w:rPr>
          <w:rFonts w:hint="eastAsia" w:ascii="仿宋_GB2312"/>
        </w:rPr>
        <w:t>支出资金的使用效果，</w:t>
      </w:r>
      <w:r>
        <w:rPr>
          <w:rFonts w:hint="eastAsia" w:ascii="仿宋_GB2312"/>
          <w:lang w:val="en-US" w:eastAsia="zh-CN"/>
        </w:rPr>
        <w:t>根据党校工作人员，随机抽取35人进行现场问卷调查</w:t>
      </w:r>
      <w:r>
        <w:rPr>
          <w:rFonts w:hint="eastAsia" w:ascii="仿宋_GB2312"/>
        </w:rPr>
        <w:t>。</w:t>
      </w:r>
    </w:p>
    <w:p w14:paraId="1F9C24A1">
      <w:pPr>
        <w:pStyle w:val="33"/>
        <w:spacing w:line="600" w:lineRule="exact"/>
        <w:ind w:firstLine="643"/>
        <w:rPr>
          <w:rFonts w:ascii="仿宋_GB2312" w:hAnsi="Times New Roman"/>
          <w:b/>
          <w:bCs/>
          <w:szCs w:val="32"/>
        </w:rPr>
      </w:pPr>
      <w:r>
        <w:rPr>
          <w:rFonts w:hint="eastAsia" w:ascii="仿宋_GB2312" w:hAnsi="Times New Roman"/>
          <w:b/>
          <w:bCs/>
          <w:szCs w:val="32"/>
        </w:rPr>
        <w:t>七、调查方法</w:t>
      </w:r>
    </w:p>
    <w:p w14:paraId="5D8B18B0">
      <w:pPr>
        <w:spacing w:line="600" w:lineRule="exact"/>
        <w:ind w:firstLine="640"/>
        <w:rPr>
          <w:rFonts w:ascii="仿宋_GB2312"/>
        </w:rPr>
      </w:pPr>
      <w:r>
        <w:rPr>
          <w:rFonts w:hint="eastAsia" w:ascii="仿宋_GB2312"/>
        </w:rPr>
        <w:t>调查采取现场发放问卷方式对</w:t>
      </w:r>
      <w:r>
        <w:rPr>
          <w:rFonts w:hint="eastAsia" w:ascii="仿宋_GB2312"/>
          <w:lang w:val="en-US" w:eastAsia="zh-CN"/>
        </w:rPr>
        <w:t>党校工作人员随机</w:t>
      </w:r>
      <w:r>
        <w:rPr>
          <w:rFonts w:hint="eastAsia" w:ascii="仿宋_GB2312"/>
        </w:rPr>
        <w:t>抽查</w:t>
      </w:r>
      <w:r>
        <w:rPr>
          <w:rFonts w:hint="eastAsia" w:ascii="仿宋_GB2312"/>
          <w:lang w:val="en-US" w:eastAsia="zh-CN"/>
        </w:rPr>
        <w:t>35</w:t>
      </w:r>
      <w:r>
        <w:rPr>
          <w:rFonts w:hint="eastAsia" w:ascii="仿宋_GB2312"/>
        </w:rPr>
        <w:t>人进行调查。每题下设“非常满意”、“基本满意”、“一般满意”、“不满意”、“非常不满意”，每题分值权重为“非常满意”占1、“基本满意”0.8、“一般满意”0.6、“不满意”0、“非常不满意”-1，扣分项扣完本题分值为止。问卷调查总分值按实际得分值平均计算。</w:t>
      </w:r>
    </w:p>
    <w:p w14:paraId="2300D1D9">
      <w:pPr>
        <w:spacing w:line="600" w:lineRule="exact"/>
        <w:ind w:firstLine="627"/>
        <w:rPr>
          <w:rFonts w:ascii="仿宋_GB2312"/>
          <w:b/>
          <w:bCs/>
          <w:spacing w:val="-4"/>
          <w:kern w:val="0"/>
          <w:szCs w:val="32"/>
        </w:rPr>
      </w:pPr>
      <w:r>
        <w:rPr>
          <w:rFonts w:hint="eastAsia" w:ascii="仿宋_GB2312"/>
          <w:b/>
          <w:bCs/>
          <w:spacing w:val="-4"/>
          <w:kern w:val="0"/>
          <w:szCs w:val="32"/>
        </w:rPr>
        <w:t>八、问卷发放回收情况</w:t>
      </w:r>
    </w:p>
    <w:p w14:paraId="5863618E">
      <w:pPr>
        <w:ind w:firstLine="640"/>
        <w:rPr>
          <w:rFonts w:hint="default" w:ascii="仿宋_GB2312" w:eastAsia="仿宋_GB2312"/>
          <w:lang w:val="en-US" w:eastAsia="zh-CN"/>
        </w:rPr>
      </w:pPr>
      <w:r>
        <w:rPr>
          <w:rFonts w:hint="eastAsia" w:ascii="仿宋_GB2312"/>
        </w:rPr>
        <w:t>本次评价共发</w:t>
      </w:r>
      <w:r>
        <w:rPr>
          <w:rFonts w:hint="eastAsia" w:ascii="仿宋_GB2312"/>
          <w:lang w:val="en-US" w:eastAsia="zh-CN"/>
        </w:rPr>
        <w:t>党校工作人员</w:t>
      </w:r>
      <w:r>
        <w:rPr>
          <w:rFonts w:hint="eastAsia" w:ascii="仿宋_GB2312"/>
        </w:rPr>
        <w:t>问卷</w:t>
      </w:r>
      <w:r>
        <w:rPr>
          <w:rFonts w:hint="eastAsia" w:ascii="仿宋_GB2312"/>
          <w:lang w:val="en-US" w:eastAsia="zh-CN"/>
        </w:rPr>
        <w:t>35</w:t>
      </w:r>
      <w:r>
        <w:rPr>
          <w:rFonts w:hint="eastAsia" w:ascii="仿宋_GB2312"/>
        </w:rPr>
        <w:t>份，实际收回有效调查问卷</w:t>
      </w:r>
      <w:r>
        <w:rPr>
          <w:rFonts w:hint="eastAsia" w:ascii="仿宋_GB2312"/>
          <w:highlight w:val="none"/>
          <w:lang w:val="en-US" w:eastAsia="zh-CN"/>
        </w:rPr>
        <w:t>35</w:t>
      </w:r>
      <w:r>
        <w:rPr>
          <w:rFonts w:hint="eastAsia" w:ascii="仿宋_GB2312"/>
        </w:rPr>
        <w:t>份</w:t>
      </w:r>
      <w:r>
        <w:rPr>
          <w:rFonts w:hint="eastAsia" w:ascii="仿宋_GB2312"/>
          <w:lang w:val="en-US" w:eastAsia="zh-CN"/>
        </w:rPr>
        <w:t>。</w:t>
      </w:r>
    </w:p>
    <w:p w14:paraId="4F730509">
      <w:pPr>
        <w:ind w:firstLine="640"/>
        <w:rPr>
          <w:rFonts w:ascii="仿宋_GB2312"/>
        </w:rPr>
      </w:pPr>
      <w:r>
        <w:rPr>
          <w:rFonts w:hint="eastAsia" w:ascii="仿宋_GB2312"/>
        </w:rPr>
        <w:t>收回问卷的有效性主要从三个方面考虑：</w:t>
      </w:r>
    </w:p>
    <w:p w14:paraId="53F2B34A">
      <w:pPr>
        <w:ind w:firstLine="640"/>
        <w:rPr>
          <w:rFonts w:ascii="仿宋_GB2312"/>
        </w:rPr>
      </w:pPr>
      <w:r>
        <w:rPr>
          <w:rFonts w:hint="eastAsia" w:ascii="仿宋_GB2312"/>
        </w:rPr>
        <w:t>1.问卷设计的有效性：本次问卷设置的问题紧密围绕该项目实施情况和效果；</w:t>
      </w:r>
    </w:p>
    <w:p w14:paraId="091E46D4">
      <w:pPr>
        <w:ind w:firstLine="640"/>
        <w:rPr>
          <w:rFonts w:ascii="仿宋_GB2312"/>
        </w:rPr>
      </w:pPr>
      <w:r>
        <w:rPr>
          <w:rFonts w:hint="eastAsia" w:ascii="仿宋_GB2312"/>
        </w:rPr>
        <w:t>2.问卷调查方式的有效性：本项目问卷调查采取</w:t>
      </w:r>
      <w:r>
        <w:rPr>
          <w:rFonts w:hint="eastAsia" w:ascii="仿宋_GB2312"/>
          <w:lang w:val="en-US" w:eastAsia="zh-CN"/>
        </w:rPr>
        <w:t>现场访谈</w:t>
      </w:r>
      <w:r>
        <w:rPr>
          <w:rFonts w:hint="eastAsia" w:ascii="仿宋_GB2312"/>
        </w:rPr>
        <w:t>方式进行，能</w:t>
      </w:r>
      <w:r>
        <w:rPr>
          <w:rFonts w:hint="eastAsia" w:ascii="仿宋_GB2312"/>
          <w:lang w:val="en-US" w:eastAsia="zh-CN"/>
        </w:rPr>
        <w:t>正确理解问题并完成问卷</w:t>
      </w:r>
      <w:r>
        <w:rPr>
          <w:rFonts w:hint="eastAsia" w:ascii="仿宋_GB2312"/>
        </w:rPr>
        <w:t>，且</w:t>
      </w:r>
      <w:r>
        <w:rPr>
          <w:rFonts w:hint="eastAsia" w:ascii="仿宋_GB2312"/>
          <w:lang w:val="en-US" w:eastAsia="zh-CN"/>
        </w:rPr>
        <w:t>对所涉选项</w:t>
      </w:r>
      <w:r>
        <w:rPr>
          <w:rFonts w:hint="eastAsia" w:ascii="仿宋_GB2312"/>
        </w:rPr>
        <w:t>调查员未出现暗示</w:t>
      </w:r>
      <w:r>
        <w:rPr>
          <w:rFonts w:hint="eastAsia" w:ascii="仿宋_GB2312"/>
          <w:lang w:val="en-US" w:eastAsia="zh-CN"/>
        </w:rPr>
        <w:t>引导</w:t>
      </w:r>
      <w:r>
        <w:rPr>
          <w:rFonts w:hint="eastAsia" w:ascii="仿宋_GB2312"/>
        </w:rPr>
        <w:t>；</w:t>
      </w:r>
    </w:p>
    <w:p w14:paraId="59104CD1">
      <w:pPr>
        <w:ind w:firstLine="640"/>
        <w:rPr>
          <w:rFonts w:ascii="仿宋_GB2312"/>
        </w:rPr>
      </w:pPr>
      <w:r>
        <w:rPr>
          <w:rFonts w:hint="eastAsia" w:ascii="仿宋_GB2312"/>
        </w:rPr>
        <w:t>3.数据整理的有效性：被调研人员不带有功利性，问卷填答能客观真实反映项目实际情况；同时收回的问卷填答完整，不存在缺失情况。</w:t>
      </w:r>
    </w:p>
    <w:p w14:paraId="1CFA7A7B">
      <w:pPr>
        <w:ind w:firstLine="640"/>
        <w:rPr>
          <w:highlight w:val="none"/>
        </w:rPr>
        <w:sectPr>
          <w:pgSz w:w="11906" w:h="16838"/>
          <w:pgMar w:top="1440" w:right="1800" w:bottom="1440" w:left="1800" w:header="851" w:footer="992" w:gutter="0"/>
          <w:cols w:space="425" w:num="1"/>
          <w:docGrid w:type="lines" w:linePitch="312" w:charSpace="0"/>
        </w:sectPr>
      </w:pPr>
      <w:r>
        <w:rPr>
          <w:rFonts w:hint="eastAsia" w:ascii="仿宋_GB2312"/>
        </w:rPr>
        <w:t>因此，本项目问卷共收</w:t>
      </w:r>
      <w:r>
        <w:rPr>
          <w:rFonts w:hint="eastAsia" w:ascii="仿宋_GB2312"/>
          <w:highlight w:val="none"/>
        </w:rPr>
        <w:t>回</w:t>
      </w:r>
      <w:r>
        <w:rPr>
          <w:rFonts w:hint="eastAsia" w:ascii="仿宋_GB2312"/>
          <w:highlight w:val="none"/>
          <w:lang w:val="en-US" w:eastAsia="zh-CN"/>
        </w:rPr>
        <w:t>35</w:t>
      </w:r>
      <w:r>
        <w:rPr>
          <w:rFonts w:hint="eastAsia" w:ascii="仿宋_GB2312"/>
          <w:highlight w:val="none"/>
        </w:rPr>
        <w:t>份，</w:t>
      </w:r>
      <w:r>
        <w:rPr>
          <w:rFonts w:hint="eastAsia" w:ascii="仿宋_GB2312"/>
          <w:highlight w:val="none"/>
          <w:lang w:val="en-US" w:eastAsia="zh-CN"/>
        </w:rPr>
        <w:t>35</w:t>
      </w:r>
      <w:r>
        <w:rPr>
          <w:rFonts w:hint="eastAsia" w:ascii="仿宋_GB2312"/>
          <w:highlight w:val="none"/>
        </w:rPr>
        <w:t>份有效。</w:t>
      </w:r>
    </w:p>
    <w:p w14:paraId="2424CDB9">
      <w:pPr>
        <w:keepNext w:val="0"/>
        <w:keepLines w:val="0"/>
        <w:pageBreakBefore w:val="0"/>
        <w:widowControl/>
        <w:kinsoku/>
        <w:wordWrap/>
        <w:overflowPunct/>
        <w:topLinePunct w:val="0"/>
        <w:autoSpaceDE/>
        <w:autoSpaceDN/>
        <w:bidi w:val="0"/>
        <w:adjustRightInd/>
        <w:snapToGrid/>
        <w:spacing w:before="63" w:beforeLines="20" w:after="63" w:afterLines="20"/>
        <w:ind w:firstLine="0" w:firstLineChars="0"/>
        <w:jc w:val="center"/>
        <w:textAlignment w:val="auto"/>
        <w:rPr>
          <w:rFonts w:ascii="方正小标宋简体" w:eastAsia="方正小标宋简体"/>
          <w:bCs/>
          <w:kern w:val="0"/>
          <w:sz w:val="40"/>
          <w:szCs w:val="40"/>
        </w:rPr>
      </w:pPr>
      <w:r>
        <w:rPr>
          <w:rFonts w:hint="eastAsia" w:ascii="方正小标宋简体" w:eastAsia="方正小标宋简体"/>
          <w:bCs/>
          <w:kern w:val="0"/>
          <w:sz w:val="40"/>
          <w:szCs w:val="40"/>
          <w:lang w:val="en-US" w:eastAsia="zh-CN"/>
        </w:rPr>
        <w:t>工作人员</w:t>
      </w:r>
      <w:r>
        <w:rPr>
          <w:rFonts w:hint="eastAsia" w:ascii="方正小标宋简体" w:eastAsia="方正小标宋简体"/>
          <w:bCs/>
          <w:kern w:val="0"/>
          <w:sz w:val="40"/>
          <w:szCs w:val="40"/>
        </w:rPr>
        <w:t>满意度调查问卷统计表</w:t>
      </w:r>
    </w:p>
    <w:tbl>
      <w:tblPr>
        <w:tblStyle w:val="19"/>
        <w:tblW w:w="506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98"/>
        <w:gridCol w:w="825"/>
        <w:gridCol w:w="988"/>
        <w:gridCol w:w="959"/>
        <w:gridCol w:w="974"/>
        <w:gridCol w:w="779"/>
        <w:gridCol w:w="878"/>
        <w:gridCol w:w="1047"/>
        <w:gridCol w:w="944"/>
        <w:gridCol w:w="1004"/>
        <w:gridCol w:w="824"/>
        <w:gridCol w:w="769"/>
        <w:gridCol w:w="958"/>
      </w:tblGrid>
      <w:tr w14:paraId="71FD3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184" w:type="pct"/>
            <w:vMerge w:val="restart"/>
            <w:shd w:val="clear" w:color="auto" w:fill="auto"/>
            <w:noWrap/>
            <w:vAlign w:val="center"/>
          </w:tcPr>
          <w:p w14:paraId="52499246">
            <w:pPr>
              <w:spacing w:line="360" w:lineRule="exact"/>
              <w:ind w:firstLine="360"/>
              <w:jc w:val="center"/>
              <w:rPr>
                <w:rFonts w:eastAsia="宋体"/>
                <w:color w:val="000000"/>
                <w:sz w:val="18"/>
                <w:szCs w:val="18"/>
              </w:rPr>
            </w:pPr>
          </w:p>
        </w:tc>
        <w:tc>
          <w:tcPr>
            <w:tcW w:w="287" w:type="pct"/>
            <w:vMerge w:val="restart"/>
            <w:shd w:val="clear" w:color="auto" w:fill="auto"/>
            <w:noWrap/>
            <w:vAlign w:val="center"/>
          </w:tcPr>
          <w:p w14:paraId="7A42B67E">
            <w:pPr>
              <w:widowControl/>
              <w:spacing w:line="360" w:lineRule="exact"/>
              <w:ind w:firstLine="0" w:firstLineChars="0"/>
              <w:jc w:val="center"/>
              <w:textAlignment w:val="center"/>
              <w:rPr>
                <w:rFonts w:eastAsia="宋体"/>
                <w:color w:val="000000"/>
                <w:sz w:val="18"/>
                <w:szCs w:val="18"/>
              </w:rPr>
            </w:pPr>
            <w:r>
              <w:rPr>
                <w:rFonts w:eastAsia="宋体"/>
                <w:color w:val="000000"/>
                <w:kern w:val="0"/>
                <w:sz w:val="18"/>
                <w:szCs w:val="18"/>
              </w:rPr>
              <w:t>总数</w:t>
            </w:r>
          </w:p>
        </w:tc>
        <w:tc>
          <w:tcPr>
            <w:tcW w:w="1595" w:type="pct"/>
            <w:gridSpan w:val="5"/>
            <w:shd w:val="clear" w:color="auto" w:fill="auto"/>
            <w:noWrap/>
            <w:vAlign w:val="center"/>
          </w:tcPr>
          <w:p w14:paraId="226B5B38">
            <w:pPr>
              <w:widowControl/>
              <w:spacing w:line="360" w:lineRule="exact"/>
              <w:ind w:firstLine="0" w:firstLineChars="0"/>
              <w:jc w:val="center"/>
              <w:textAlignment w:val="center"/>
              <w:rPr>
                <w:rFonts w:ascii="仿宋_GB2312" w:hAnsi="宋体" w:cs="仿宋_GB2312"/>
                <w:color w:val="000000"/>
                <w:sz w:val="21"/>
                <w:szCs w:val="21"/>
              </w:rPr>
            </w:pPr>
            <w:r>
              <w:rPr>
                <w:rFonts w:hint="eastAsia" w:ascii="仿宋_GB2312" w:hAnsi="宋体" w:cs="仿宋_GB2312"/>
                <w:color w:val="000000"/>
                <w:kern w:val="0"/>
                <w:sz w:val="21"/>
                <w:szCs w:val="21"/>
              </w:rPr>
              <w:t>份数</w:t>
            </w:r>
          </w:p>
        </w:tc>
        <w:tc>
          <w:tcPr>
            <w:tcW w:w="1598" w:type="pct"/>
            <w:gridSpan w:val="5"/>
            <w:shd w:val="clear" w:color="auto" w:fill="auto"/>
            <w:noWrap/>
            <w:vAlign w:val="center"/>
          </w:tcPr>
          <w:p w14:paraId="49D82062">
            <w:pPr>
              <w:widowControl/>
              <w:spacing w:line="360" w:lineRule="exact"/>
              <w:ind w:firstLine="0" w:firstLineChars="0"/>
              <w:jc w:val="center"/>
              <w:textAlignment w:val="center"/>
              <w:rPr>
                <w:rFonts w:ascii="仿宋_GB2312" w:hAnsi="宋体" w:cs="仿宋_GB2312"/>
                <w:color w:val="000000"/>
                <w:sz w:val="21"/>
                <w:szCs w:val="21"/>
              </w:rPr>
            </w:pPr>
            <w:r>
              <w:rPr>
                <w:rFonts w:hint="eastAsia" w:ascii="仿宋_GB2312" w:hAnsi="宋体" w:cs="仿宋_GB2312"/>
                <w:color w:val="000000"/>
                <w:kern w:val="0"/>
                <w:sz w:val="21"/>
                <w:szCs w:val="21"/>
              </w:rPr>
              <w:t>权重</w:t>
            </w:r>
          </w:p>
        </w:tc>
        <w:tc>
          <w:tcPr>
            <w:tcW w:w="333" w:type="pct"/>
            <w:vMerge w:val="restart"/>
            <w:shd w:val="clear" w:color="auto" w:fill="auto"/>
            <w:noWrap/>
            <w:vAlign w:val="center"/>
          </w:tcPr>
          <w:p w14:paraId="258F40E4">
            <w:pPr>
              <w:widowControl/>
              <w:spacing w:line="360" w:lineRule="exact"/>
              <w:ind w:firstLine="0" w:firstLineChars="0"/>
              <w:jc w:val="center"/>
              <w:textAlignment w:val="center"/>
              <w:rPr>
                <w:rFonts w:eastAsia="宋体"/>
                <w:color w:val="000000"/>
                <w:sz w:val="18"/>
                <w:szCs w:val="18"/>
              </w:rPr>
            </w:pPr>
            <w:r>
              <w:rPr>
                <w:rFonts w:eastAsia="宋体"/>
                <w:color w:val="000000"/>
                <w:kern w:val="0"/>
                <w:sz w:val="18"/>
                <w:szCs w:val="18"/>
              </w:rPr>
              <w:t>满意度</w:t>
            </w:r>
          </w:p>
        </w:tc>
      </w:tr>
      <w:tr w14:paraId="24AB7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184" w:type="pct"/>
            <w:vMerge w:val="continue"/>
            <w:shd w:val="clear" w:color="auto" w:fill="auto"/>
            <w:noWrap/>
            <w:vAlign w:val="center"/>
          </w:tcPr>
          <w:p w14:paraId="725A5789">
            <w:pPr>
              <w:spacing w:line="360" w:lineRule="exact"/>
              <w:ind w:firstLine="360"/>
              <w:jc w:val="center"/>
              <w:rPr>
                <w:rFonts w:eastAsia="宋体"/>
                <w:color w:val="000000"/>
                <w:sz w:val="18"/>
                <w:szCs w:val="18"/>
              </w:rPr>
            </w:pPr>
          </w:p>
        </w:tc>
        <w:tc>
          <w:tcPr>
            <w:tcW w:w="287" w:type="pct"/>
            <w:vMerge w:val="continue"/>
            <w:shd w:val="clear" w:color="auto" w:fill="auto"/>
            <w:noWrap/>
            <w:vAlign w:val="center"/>
          </w:tcPr>
          <w:p w14:paraId="5190DFE3">
            <w:pPr>
              <w:spacing w:line="360" w:lineRule="exact"/>
              <w:ind w:firstLine="360"/>
              <w:jc w:val="center"/>
              <w:rPr>
                <w:rFonts w:eastAsia="宋体"/>
                <w:color w:val="000000"/>
                <w:sz w:val="18"/>
                <w:szCs w:val="18"/>
              </w:rPr>
            </w:pPr>
          </w:p>
        </w:tc>
        <w:tc>
          <w:tcPr>
            <w:tcW w:w="344" w:type="pct"/>
            <w:shd w:val="clear" w:color="auto" w:fill="auto"/>
            <w:noWrap/>
            <w:vAlign w:val="center"/>
          </w:tcPr>
          <w:p w14:paraId="42E2C1E2">
            <w:pPr>
              <w:widowControl/>
              <w:spacing w:line="360" w:lineRule="exact"/>
              <w:ind w:firstLine="0" w:firstLineChars="0"/>
              <w:jc w:val="center"/>
              <w:textAlignment w:val="center"/>
              <w:rPr>
                <w:rFonts w:eastAsia="宋体"/>
                <w:color w:val="000000"/>
                <w:sz w:val="18"/>
                <w:szCs w:val="18"/>
              </w:rPr>
            </w:pPr>
            <w:r>
              <w:rPr>
                <w:rFonts w:eastAsia="宋体"/>
                <w:color w:val="000000"/>
                <w:kern w:val="0"/>
                <w:sz w:val="18"/>
                <w:szCs w:val="18"/>
              </w:rPr>
              <w:t>非常满意</w:t>
            </w:r>
          </w:p>
        </w:tc>
        <w:tc>
          <w:tcPr>
            <w:tcW w:w="334" w:type="pct"/>
            <w:shd w:val="clear" w:color="auto" w:fill="auto"/>
            <w:noWrap/>
            <w:vAlign w:val="center"/>
          </w:tcPr>
          <w:p w14:paraId="18C38B10">
            <w:pPr>
              <w:widowControl/>
              <w:spacing w:line="36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基本满意</w:t>
            </w:r>
          </w:p>
        </w:tc>
        <w:tc>
          <w:tcPr>
            <w:tcW w:w="339" w:type="pct"/>
            <w:shd w:val="clear" w:color="auto" w:fill="auto"/>
            <w:noWrap/>
            <w:vAlign w:val="center"/>
          </w:tcPr>
          <w:p w14:paraId="22495634">
            <w:pPr>
              <w:widowControl/>
              <w:spacing w:line="36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一般满意</w:t>
            </w:r>
          </w:p>
        </w:tc>
        <w:tc>
          <w:tcPr>
            <w:tcW w:w="271" w:type="pct"/>
            <w:shd w:val="clear" w:color="auto" w:fill="auto"/>
            <w:noWrap/>
            <w:vAlign w:val="center"/>
          </w:tcPr>
          <w:p w14:paraId="33062C34">
            <w:pPr>
              <w:widowControl/>
              <w:spacing w:line="360" w:lineRule="exact"/>
              <w:ind w:firstLine="0" w:firstLineChars="0"/>
              <w:jc w:val="center"/>
              <w:textAlignment w:val="center"/>
              <w:rPr>
                <w:rFonts w:eastAsia="宋体"/>
                <w:color w:val="000000"/>
                <w:sz w:val="18"/>
                <w:szCs w:val="18"/>
              </w:rPr>
            </w:pPr>
            <w:r>
              <w:rPr>
                <w:rFonts w:eastAsia="宋体"/>
                <w:color w:val="000000"/>
                <w:kern w:val="0"/>
                <w:sz w:val="18"/>
                <w:szCs w:val="18"/>
              </w:rPr>
              <w:t>不满意</w:t>
            </w:r>
          </w:p>
        </w:tc>
        <w:tc>
          <w:tcPr>
            <w:tcW w:w="305" w:type="pct"/>
            <w:shd w:val="clear" w:color="auto" w:fill="auto"/>
            <w:noWrap/>
            <w:vAlign w:val="center"/>
          </w:tcPr>
          <w:p w14:paraId="3B8997B5">
            <w:pPr>
              <w:widowControl/>
              <w:spacing w:line="360" w:lineRule="exact"/>
              <w:ind w:firstLine="0" w:firstLineChars="0"/>
              <w:jc w:val="center"/>
              <w:textAlignment w:val="center"/>
              <w:rPr>
                <w:rFonts w:eastAsia="宋体"/>
                <w:color w:val="000000"/>
                <w:sz w:val="18"/>
                <w:szCs w:val="18"/>
              </w:rPr>
            </w:pPr>
            <w:r>
              <w:rPr>
                <w:rFonts w:eastAsia="宋体"/>
                <w:color w:val="000000"/>
                <w:kern w:val="0"/>
                <w:sz w:val="18"/>
                <w:szCs w:val="18"/>
              </w:rPr>
              <w:t>非常不满意</w:t>
            </w:r>
          </w:p>
        </w:tc>
        <w:tc>
          <w:tcPr>
            <w:tcW w:w="364" w:type="pct"/>
            <w:shd w:val="clear" w:color="auto" w:fill="auto"/>
            <w:noWrap/>
            <w:vAlign w:val="center"/>
          </w:tcPr>
          <w:p w14:paraId="1356CC3C">
            <w:pPr>
              <w:widowControl/>
              <w:spacing w:line="360" w:lineRule="exact"/>
              <w:ind w:firstLine="0" w:firstLineChars="0"/>
              <w:jc w:val="center"/>
              <w:textAlignment w:val="center"/>
              <w:rPr>
                <w:rFonts w:eastAsia="宋体"/>
                <w:color w:val="000000"/>
                <w:kern w:val="0"/>
                <w:sz w:val="18"/>
                <w:szCs w:val="18"/>
              </w:rPr>
            </w:pPr>
            <w:r>
              <w:rPr>
                <w:rFonts w:eastAsia="宋体"/>
                <w:color w:val="000000"/>
                <w:kern w:val="0"/>
                <w:sz w:val="18"/>
                <w:szCs w:val="18"/>
              </w:rPr>
              <w:t>非常满意</w:t>
            </w:r>
          </w:p>
        </w:tc>
        <w:tc>
          <w:tcPr>
            <w:tcW w:w="328" w:type="pct"/>
            <w:shd w:val="clear" w:color="auto" w:fill="auto"/>
            <w:noWrap/>
            <w:vAlign w:val="center"/>
          </w:tcPr>
          <w:p w14:paraId="7FE848F3">
            <w:pPr>
              <w:widowControl/>
              <w:spacing w:line="360" w:lineRule="exact"/>
              <w:ind w:firstLine="0" w:firstLineChars="0"/>
              <w:jc w:val="center"/>
              <w:textAlignment w:val="center"/>
              <w:rPr>
                <w:rFonts w:eastAsia="宋体"/>
                <w:color w:val="000000"/>
                <w:kern w:val="0"/>
                <w:sz w:val="18"/>
                <w:szCs w:val="18"/>
              </w:rPr>
            </w:pPr>
            <w:r>
              <w:rPr>
                <w:rFonts w:hint="eastAsia" w:eastAsia="宋体"/>
                <w:color w:val="000000"/>
                <w:kern w:val="0"/>
                <w:sz w:val="18"/>
                <w:szCs w:val="18"/>
                <w:lang w:val="en-US" w:eastAsia="zh-CN"/>
              </w:rPr>
              <w:t>基本</w:t>
            </w:r>
            <w:r>
              <w:rPr>
                <w:rFonts w:eastAsia="宋体"/>
                <w:color w:val="000000"/>
                <w:kern w:val="0"/>
                <w:sz w:val="18"/>
                <w:szCs w:val="18"/>
              </w:rPr>
              <w:t>满意</w:t>
            </w:r>
          </w:p>
        </w:tc>
        <w:tc>
          <w:tcPr>
            <w:tcW w:w="349" w:type="pct"/>
            <w:shd w:val="clear" w:color="auto" w:fill="auto"/>
            <w:noWrap/>
            <w:vAlign w:val="center"/>
          </w:tcPr>
          <w:p w14:paraId="4565C3FB">
            <w:pPr>
              <w:widowControl/>
              <w:spacing w:line="360" w:lineRule="exact"/>
              <w:ind w:firstLine="0" w:firstLineChars="0"/>
              <w:jc w:val="center"/>
              <w:textAlignment w:val="center"/>
              <w:rPr>
                <w:rFonts w:eastAsia="宋体"/>
                <w:color w:val="000000"/>
                <w:kern w:val="0"/>
                <w:sz w:val="18"/>
                <w:szCs w:val="18"/>
              </w:rPr>
            </w:pPr>
            <w:r>
              <w:rPr>
                <w:rFonts w:hint="eastAsia" w:eastAsia="宋体"/>
                <w:color w:val="000000"/>
                <w:kern w:val="0"/>
                <w:sz w:val="18"/>
                <w:szCs w:val="18"/>
                <w:lang w:val="en-US" w:eastAsia="zh-CN"/>
              </w:rPr>
              <w:t>一般</w:t>
            </w:r>
            <w:r>
              <w:rPr>
                <w:rFonts w:eastAsia="宋体"/>
                <w:color w:val="000000"/>
                <w:kern w:val="0"/>
                <w:sz w:val="18"/>
                <w:szCs w:val="18"/>
              </w:rPr>
              <w:t>满意</w:t>
            </w:r>
          </w:p>
        </w:tc>
        <w:tc>
          <w:tcPr>
            <w:tcW w:w="287" w:type="pct"/>
            <w:shd w:val="clear" w:color="auto" w:fill="auto"/>
            <w:noWrap/>
            <w:vAlign w:val="center"/>
          </w:tcPr>
          <w:p w14:paraId="2DC2CA7D">
            <w:pPr>
              <w:widowControl/>
              <w:spacing w:line="360" w:lineRule="exact"/>
              <w:ind w:firstLine="0" w:firstLineChars="0"/>
              <w:jc w:val="center"/>
              <w:textAlignment w:val="center"/>
              <w:rPr>
                <w:rFonts w:eastAsia="宋体"/>
                <w:color w:val="000000"/>
                <w:kern w:val="0"/>
                <w:sz w:val="18"/>
                <w:szCs w:val="18"/>
              </w:rPr>
            </w:pPr>
            <w:r>
              <w:rPr>
                <w:rFonts w:eastAsia="宋体"/>
                <w:color w:val="000000"/>
                <w:kern w:val="0"/>
                <w:sz w:val="18"/>
                <w:szCs w:val="18"/>
              </w:rPr>
              <w:t>不满意</w:t>
            </w:r>
          </w:p>
        </w:tc>
        <w:tc>
          <w:tcPr>
            <w:tcW w:w="268" w:type="pct"/>
            <w:shd w:val="clear" w:color="auto" w:fill="auto"/>
            <w:noWrap/>
            <w:vAlign w:val="center"/>
          </w:tcPr>
          <w:p w14:paraId="05A31928">
            <w:pPr>
              <w:widowControl/>
              <w:spacing w:line="360" w:lineRule="exact"/>
              <w:ind w:firstLine="0" w:firstLineChars="0"/>
              <w:jc w:val="center"/>
              <w:textAlignment w:val="center"/>
              <w:rPr>
                <w:rFonts w:eastAsia="宋体"/>
                <w:color w:val="000000"/>
                <w:kern w:val="0"/>
                <w:sz w:val="18"/>
                <w:szCs w:val="18"/>
              </w:rPr>
            </w:pPr>
            <w:r>
              <w:rPr>
                <w:rFonts w:eastAsia="宋体"/>
                <w:color w:val="000000"/>
                <w:kern w:val="0"/>
                <w:sz w:val="18"/>
                <w:szCs w:val="18"/>
              </w:rPr>
              <w:t>非常不满意</w:t>
            </w:r>
          </w:p>
        </w:tc>
        <w:tc>
          <w:tcPr>
            <w:tcW w:w="333" w:type="pct"/>
            <w:vMerge w:val="continue"/>
            <w:shd w:val="clear" w:color="auto" w:fill="auto"/>
            <w:noWrap/>
            <w:vAlign w:val="center"/>
          </w:tcPr>
          <w:p w14:paraId="2B3DAC0E">
            <w:pPr>
              <w:spacing w:line="360" w:lineRule="exact"/>
              <w:ind w:firstLine="360"/>
              <w:jc w:val="center"/>
              <w:rPr>
                <w:rFonts w:eastAsia="宋体"/>
                <w:color w:val="000000"/>
                <w:sz w:val="18"/>
                <w:szCs w:val="18"/>
              </w:rPr>
            </w:pPr>
          </w:p>
        </w:tc>
      </w:tr>
      <w:tr w14:paraId="0559B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84" w:type="pct"/>
            <w:shd w:val="clear" w:color="auto" w:fill="auto"/>
            <w:noWrap/>
            <w:vAlign w:val="center"/>
          </w:tcPr>
          <w:p w14:paraId="72EAD360">
            <w:pPr>
              <w:widowControl/>
              <w:spacing w:line="360" w:lineRule="exact"/>
              <w:ind w:firstLine="0" w:firstLineChars="0"/>
              <w:jc w:val="left"/>
              <w:textAlignment w:val="center"/>
              <w:rPr>
                <w:rFonts w:hint="eastAsia" w:eastAsia="宋体"/>
                <w:color w:val="000000"/>
                <w:kern w:val="0"/>
                <w:sz w:val="18"/>
                <w:szCs w:val="18"/>
                <w:lang w:val="en-US" w:eastAsia="zh-CN"/>
              </w:rPr>
            </w:pPr>
            <w:r>
              <w:rPr>
                <w:rFonts w:hint="eastAsia" w:eastAsia="宋体"/>
                <w:color w:val="000000"/>
                <w:kern w:val="0"/>
                <w:sz w:val="18"/>
                <w:szCs w:val="18"/>
                <w:lang w:val="en-US" w:eastAsia="zh-CN"/>
              </w:rPr>
              <w:t>您对古县县委党校改扩建项目的工程进度是否满意？</w:t>
            </w:r>
          </w:p>
        </w:tc>
        <w:tc>
          <w:tcPr>
            <w:tcW w:w="825" w:type="dxa"/>
            <w:shd w:val="clear" w:color="auto" w:fill="auto"/>
            <w:noWrap/>
            <w:vAlign w:val="center"/>
          </w:tcPr>
          <w:p w14:paraId="28BED8D7">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35</w:t>
            </w:r>
          </w:p>
        </w:tc>
        <w:tc>
          <w:tcPr>
            <w:tcW w:w="988" w:type="dxa"/>
            <w:shd w:val="clear" w:color="auto" w:fill="auto"/>
            <w:noWrap/>
            <w:vAlign w:val="center"/>
          </w:tcPr>
          <w:p w14:paraId="4FDF0F9D">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0</w:t>
            </w:r>
          </w:p>
        </w:tc>
        <w:tc>
          <w:tcPr>
            <w:tcW w:w="959" w:type="dxa"/>
            <w:shd w:val="clear" w:color="auto" w:fill="auto"/>
            <w:noWrap/>
            <w:vAlign w:val="center"/>
          </w:tcPr>
          <w:p w14:paraId="6A84E4DF">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19</w:t>
            </w:r>
          </w:p>
        </w:tc>
        <w:tc>
          <w:tcPr>
            <w:tcW w:w="974" w:type="dxa"/>
            <w:shd w:val="clear" w:color="auto" w:fill="auto"/>
            <w:noWrap/>
            <w:vAlign w:val="center"/>
          </w:tcPr>
          <w:p w14:paraId="716E00DC">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6</w:t>
            </w:r>
          </w:p>
        </w:tc>
        <w:tc>
          <w:tcPr>
            <w:tcW w:w="271" w:type="pct"/>
            <w:shd w:val="clear" w:color="auto" w:fill="auto"/>
            <w:noWrap/>
            <w:vAlign w:val="center"/>
          </w:tcPr>
          <w:p w14:paraId="2AD4F2C1">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305" w:type="pct"/>
            <w:shd w:val="clear" w:color="auto" w:fill="auto"/>
            <w:noWrap/>
            <w:vAlign w:val="center"/>
          </w:tcPr>
          <w:p w14:paraId="12408097">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0</w:t>
            </w:r>
          </w:p>
        </w:tc>
        <w:tc>
          <w:tcPr>
            <w:tcW w:w="364" w:type="pct"/>
            <w:shd w:val="clear" w:color="auto" w:fill="auto"/>
            <w:noWrap/>
            <w:vAlign w:val="center"/>
          </w:tcPr>
          <w:p w14:paraId="4E429F91">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328" w:type="pct"/>
            <w:shd w:val="clear" w:color="auto" w:fill="auto"/>
            <w:noWrap/>
            <w:vAlign w:val="center"/>
          </w:tcPr>
          <w:p w14:paraId="14012534">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0.8</w:t>
            </w:r>
          </w:p>
        </w:tc>
        <w:tc>
          <w:tcPr>
            <w:tcW w:w="349" w:type="pct"/>
            <w:shd w:val="clear" w:color="auto" w:fill="auto"/>
            <w:noWrap/>
            <w:vAlign w:val="center"/>
          </w:tcPr>
          <w:p w14:paraId="5F90D811">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0.6</w:t>
            </w:r>
          </w:p>
        </w:tc>
        <w:tc>
          <w:tcPr>
            <w:tcW w:w="287" w:type="pct"/>
            <w:shd w:val="clear" w:color="auto" w:fill="auto"/>
            <w:noWrap/>
            <w:vAlign w:val="center"/>
          </w:tcPr>
          <w:p w14:paraId="41CF9523">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268" w:type="pct"/>
            <w:shd w:val="clear" w:color="auto" w:fill="auto"/>
            <w:noWrap/>
            <w:vAlign w:val="center"/>
          </w:tcPr>
          <w:p w14:paraId="1AF659EE">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958" w:type="dxa"/>
            <w:shd w:val="clear" w:color="auto" w:fill="auto"/>
            <w:noWrap/>
            <w:vAlign w:val="center"/>
          </w:tcPr>
          <w:p w14:paraId="43BD9556">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53.71%</w:t>
            </w:r>
          </w:p>
        </w:tc>
      </w:tr>
      <w:tr w14:paraId="17DC4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184" w:type="pct"/>
            <w:shd w:val="clear" w:color="auto" w:fill="auto"/>
            <w:noWrap/>
            <w:vAlign w:val="center"/>
          </w:tcPr>
          <w:p w14:paraId="02E1A7FF">
            <w:pPr>
              <w:widowControl/>
              <w:spacing w:line="360" w:lineRule="exact"/>
              <w:ind w:firstLine="0" w:firstLineChars="0"/>
              <w:jc w:val="left"/>
              <w:textAlignment w:val="center"/>
              <w:rPr>
                <w:rFonts w:hint="eastAsia" w:eastAsia="宋体"/>
                <w:color w:val="000000"/>
                <w:kern w:val="0"/>
                <w:sz w:val="18"/>
                <w:szCs w:val="18"/>
                <w:lang w:val="en-US" w:eastAsia="zh-CN"/>
              </w:rPr>
            </w:pPr>
            <w:r>
              <w:rPr>
                <w:rFonts w:hint="eastAsia" w:eastAsia="宋体"/>
                <w:color w:val="000000"/>
                <w:kern w:val="0"/>
                <w:sz w:val="18"/>
                <w:szCs w:val="18"/>
                <w:lang w:val="en-US" w:eastAsia="zh-CN"/>
              </w:rPr>
              <w:t>您对古县县委党校改扩建项目的工程质量是否满意？</w:t>
            </w:r>
          </w:p>
        </w:tc>
        <w:tc>
          <w:tcPr>
            <w:tcW w:w="825" w:type="dxa"/>
            <w:shd w:val="clear" w:color="auto" w:fill="auto"/>
            <w:noWrap/>
            <w:vAlign w:val="center"/>
          </w:tcPr>
          <w:p w14:paraId="7D9CF3F5">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35</w:t>
            </w:r>
          </w:p>
        </w:tc>
        <w:tc>
          <w:tcPr>
            <w:tcW w:w="988" w:type="dxa"/>
            <w:shd w:val="clear" w:color="auto" w:fill="auto"/>
            <w:noWrap/>
            <w:vAlign w:val="center"/>
          </w:tcPr>
          <w:p w14:paraId="4E62FB5F">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0</w:t>
            </w:r>
          </w:p>
        </w:tc>
        <w:tc>
          <w:tcPr>
            <w:tcW w:w="959" w:type="dxa"/>
            <w:shd w:val="clear" w:color="auto" w:fill="auto"/>
            <w:noWrap/>
            <w:vAlign w:val="center"/>
          </w:tcPr>
          <w:p w14:paraId="20D6DB99">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20</w:t>
            </w:r>
          </w:p>
        </w:tc>
        <w:tc>
          <w:tcPr>
            <w:tcW w:w="974" w:type="dxa"/>
            <w:shd w:val="clear" w:color="auto" w:fill="auto"/>
            <w:noWrap/>
            <w:vAlign w:val="center"/>
          </w:tcPr>
          <w:p w14:paraId="3FDD3BC2">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15</w:t>
            </w:r>
          </w:p>
        </w:tc>
        <w:tc>
          <w:tcPr>
            <w:tcW w:w="271" w:type="pct"/>
            <w:shd w:val="clear" w:color="auto" w:fill="auto"/>
            <w:noWrap/>
            <w:vAlign w:val="center"/>
          </w:tcPr>
          <w:p w14:paraId="680AD7E7">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305" w:type="pct"/>
            <w:shd w:val="clear" w:color="auto" w:fill="auto"/>
            <w:noWrap/>
            <w:vAlign w:val="center"/>
          </w:tcPr>
          <w:p w14:paraId="1EA2655D">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364" w:type="pct"/>
            <w:shd w:val="clear" w:color="auto" w:fill="auto"/>
            <w:noWrap/>
            <w:vAlign w:val="center"/>
          </w:tcPr>
          <w:p w14:paraId="5F446587">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328" w:type="pct"/>
            <w:shd w:val="clear" w:color="auto" w:fill="auto"/>
            <w:noWrap/>
            <w:vAlign w:val="center"/>
          </w:tcPr>
          <w:p w14:paraId="54FC4179">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0.8</w:t>
            </w:r>
          </w:p>
        </w:tc>
        <w:tc>
          <w:tcPr>
            <w:tcW w:w="349" w:type="pct"/>
            <w:shd w:val="clear" w:color="auto" w:fill="auto"/>
            <w:noWrap/>
            <w:vAlign w:val="center"/>
          </w:tcPr>
          <w:p w14:paraId="56576700">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0.6</w:t>
            </w:r>
          </w:p>
        </w:tc>
        <w:tc>
          <w:tcPr>
            <w:tcW w:w="287" w:type="pct"/>
            <w:shd w:val="clear" w:color="auto" w:fill="auto"/>
            <w:noWrap/>
            <w:vAlign w:val="center"/>
          </w:tcPr>
          <w:p w14:paraId="0214374A">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268" w:type="pct"/>
            <w:shd w:val="clear" w:color="auto" w:fill="auto"/>
            <w:noWrap/>
            <w:vAlign w:val="center"/>
          </w:tcPr>
          <w:p w14:paraId="2E5A6C4A">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958" w:type="dxa"/>
            <w:shd w:val="clear" w:color="auto" w:fill="auto"/>
            <w:noWrap/>
            <w:vAlign w:val="center"/>
          </w:tcPr>
          <w:p w14:paraId="3ACCF32E">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71.43%</w:t>
            </w:r>
          </w:p>
        </w:tc>
      </w:tr>
      <w:tr w14:paraId="7E64E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84" w:type="pct"/>
            <w:shd w:val="clear" w:color="auto" w:fill="auto"/>
            <w:noWrap/>
            <w:vAlign w:val="center"/>
          </w:tcPr>
          <w:p w14:paraId="4C8CF09C">
            <w:pPr>
              <w:widowControl/>
              <w:spacing w:line="360" w:lineRule="exact"/>
              <w:ind w:firstLine="0" w:firstLineChars="0"/>
              <w:jc w:val="left"/>
              <w:textAlignment w:val="center"/>
              <w:rPr>
                <w:rFonts w:hint="eastAsia" w:eastAsia="宋体"/>
                <w:color w:val="000000"/>
                <w:kern w:val="0"/>
                <w:sz w:val="18"/>
                <w:szCs w:val="18"/>
                <w:lang w:val="en-US" w:eastAsia="zh-CN"/>
              </w:rPr>
            </w:pPr>
            <w:r>
              <w:rPr>
                <w:rFonts w:hint="eastAsia" w:eastAsia="宋体"/>
                <w:color w:val="000000"/>
                <w:kern w:val="0"/>
                <w:sz w:val="18"/>
                <w:szCs w:val="18"/>
                <w:lang w:val="en-US" w:eastAsia="zh-CN"/>
              </w:rPr>
              <w:t>本项目对您的工作环境的改善是否满意？</w:t>
            </w:r>
          </w:p>
        </w:tc>
        <w:tc>
          <w:tcPr>
            <w:tcW w:w="825" w:type="dxa"/>
            <w:shd w:val="clear" w:color="auto" w:fill="auto"/>
            <w:noWrap/>
            <w:vAlign w:val="center"/>
          </w:tcPr>
          <w:p w14:paraId="3E08366C">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35</w:t>
            </w:r>
          </w:p>
        </w:tc>
        <w:tc>
          <w:tcPr>
            <w:tcW w:w="988" w:type="dxa"/>
            <w:shd w:val="clear" w:color="auto" w:fill="auto"/>
            <w:noWrap/>
            <w:vAlign w:val="center"/>
          </w:tcPr>
          <w:p w14:paraId="60E2E2CD">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3</w:t>
            </w:r>
          </w:p>
        </w:tc>
        <w:tc>
          <w:tcPr>
            <w:tcW w:w="959" w:type="dxa"/>
            <w:shd w:val="clear" w:color="auto" w:fill="auto"/>
            <w:noWrap/>
            <w:vAlign w:val="center"/>
          </w:tcPr>
          <w:p w14:paraId="0AA2E274">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6</w:t>
            </w:r>
          </w:p>
        </w:tc>
        <w:tc>
          <w:tcPr>
            <w:tcW w:w="974" w:type="dxa"/>
            <w:shd w:val="clear" w:color="auto" w:fill="auto"/>
            <w:noWrap/>
            <w:vAlign w:val="center"/>
          </w:tcPr>
          <w:p w14:paraId="6AE137F7">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26</w:t>
            </w:r>
          </w:p>
        </w:tc>
        <w:tc>
          <w:tcPr>
            <w:tcW w:w="271" w:type="pct"/>
            <w:shd w:val="clear" w:color="auto" w:fill="auto"/>
            <w:noWrap/>
            <w:vAlign w:val="center"/>
          </w:tcPr>
          <w:p w14:paraId="0FF7A49C">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eastAsia="宋体" w:cs="Times New Roman"/>
                <w:i w:val="0"/>
                <w:iCs w:val="0"/>
                <w:color w:val="000000"/>
                <w:kern w:val="0"/>
                <w:sz w:val="18"/>
                <w:szCs w:val="18"/>
                <w:u w:val="none"/>
                <w:lang w:val="en-US" w:eastAsia="zh-CN" w:bidi="ar"/>
              </w:rPr>
              <w:t>0</w:t>
            </w:r>
          </w:p>
        </w:tc>
        <w:tc>
          <w:tcPr>
            <w:tcW w:w="305" w:type="pct"/>
            <w:shd w:val="clear" w:color="auto" w:fill="auto"/>
            <w:noWrap/>
            <w:vAlign w:val="center"/>
          </w:tcPr>
          <w:p w14:paraId="53F8BE83">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364" w:type="pct"/>
            <w:shd w:val="clear" w:color="auto" w:fill="auto"/>
            <w:noWrap/>
            <w:vAlign w:val="center"/>
          </w:tcPr>
          <w:p w14:paraId="145201CF">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328" w:type="pct"/>
            <w:shd w:val="clear" w:color="auto" w:fill="auto"/>
            <w:noWrap/>
            <w:vAlign w:val="center"/>
          </w:tcPr>
          <w:p w14:paraId="46D712CB">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0.8</w:t>
            </w:r>
          </w:p>
        </w:tc>
        <w:tc>
          <w:tcPr>
            <w:tcW w:w="349" w:type="pct"/>
            <w:shd w:val="clear" w:color="auto" w:fill="auto"/>
            <w:noWrap/>
            <w:vAlign w:val="center"/>
          </w:tcPr>
          <w:p w14:paraId="2DFD564D">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0.6</w:t>
            </w:r>
          </w:p>
        </w:tc>
        <w:tc>
          <w:tcPr>
            <w:tcW w:w="287" w:type="pct"/>
            <w:shd w:val="clear" w:color="auto" w:fill="auto"/>
            <w:noWrap/>
            <w:vAlign w:val="center"/>
          </w:tcPr>
          <w:p w14:paraId="24ED3C43">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268" w:type="pct"/>
            <w:shd w:val="clear" w:color="auto" w:fill="auto"/>
            <w:noWrap/>
            <w:vAlign w:val="center"/>
          </w:tcPr>
          <w:p w14:paraId="1EBE3AD8">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958" w:type="dxa"/>
            <w:shd w:val="clear" w:color="auto" w:fill="auto"/>
            <w:noWrap/>
            <w:vAlign w:val="center"/>
          </w:tcPr>
          <w:p w14:paraId="36B8CB8C">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66.86%</w:t>
            </w:r>
          </w:p>
        </w:tc>
      </w:tr>
      <w:tr w14:paraId="2C9DF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84" w:type="pct"/>
            <w:shd w:val="clear" w:color="auto" w:fill="auto"/>
            <w:noWrap/>
            <w:vAlign w:val="center"/>
          </w:tcPr>
          <w:p w14:paraId="08D26C93">
            <w:pPr>
              <w:widowControl/>
              <w:spacing w:line="360" w:lineRule="exact"/>
              <w:ind w:firstLine="0" w:firstLineChars="0"/>
              <w:jc w:val="left"/>
              <w:textAlignment w:val="center"/>
              <w:rPr>
                <w:rFonts w:hint="eastAsia" w:eastAsia="宋体"/>
                <w:color w:val="000000"/>
                <w:kern w:val="0"/>
                <w:sz w:val="18"/>
                <w:szCs w:val="18"/>
                <w:lang w:val="en-US" w:eastAsia="zh-CN"/>
              </w:rPr>
            </w:pPr>
            <w:r>
              <w:rPr>
                <w:rFonts w:hint="eastAsia" w:eastAsia="宋体"/>
                <w:color w:val="000000"/>
                <w:kern w:val="0"/>
                <w:sz w:val="18"/>
                <w:szCs w:val="18"/>
                <w:lang w:val="en-US" w:eastAsia="zh-CN"/>
              </w:rPr>
              <w:t>本项目实施对教学质量的提高是否满意？</w:t>
            </w:r>
          </w:p>
        </w:tc>
        <w:tc>
          <w:tcPr>
            <w:tcW w:w="825" w:type="dxa"/>
            <w:shd w:val="clear" w:color="auto" w:fill="auto"/>
            <w:noWrap/>
            <w:vAlign w:val="center"/>
          </w:tcPr>
          <w:p w14:paraId="74293380">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35</w:t>
            </w:r>
          </w:p>
        </w:tc>
        <w:tc>
          <w:tcPr>
            <w:tcW w:w="988" w:type="dxa"/>
            <w:shd w:val="clear" w:color="auto" w:fill="auto"/>
            <w:noWrap/>
            <w:vAlign w:val="center"/>
          </w:tcPr>
          <w:p w14:paraId="3C54FD34">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12</w:t>
            </w:r>
          </w:p>
        </w:tc>
        <w:tc>
          <w:tcPr>
            <w:tcW w:w="959" w:type="dxa"/>
            <w:shd w:val="clear" w:color="auto" w:fill="auto"/>
            <w:noWrap/>
            <w:vAlign w:val="center"/>
          </w:tcPr>
          <w:p w14:paraId="1B75B139">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14</w:t>
            </w:r>
          </w:p>
        </w:tc>
        <w:tc>
          <w:tcPr>
            <w:tcW w:w="974" w:type="dxa"/>
            <w:shd w:val="clear" w:color="auto" w:fill="auto"/>
            <w:noWrap/>
            <w:vAlign w:val="center"/>
          </w:tcPr>
          <w:p w14:paraId="28348E66">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9</w:t>
            </w:r>
          </w:p>
        </w:tc>
        <w:tc>
          <w:tcPr>
            <w:tcW w:w="271" w:type="pct"/>
            <w:shd w:val="clear" w:color="auto" w:fill="auto"/>
            <w:noWrap/>
            <w:vAlign w:val="center"/>
          </w:tcPr>
          <w:p w14:paraId="5F50C35E">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eastAsia="宋体" w:cs="Times New Roman"/>
                <w:i w:val="0"/>
                <w:iCs w:val="0"/>
                <w:color w:val="000000"/>
                <w:kern w:val="0"/>
                <w:sz w:val="18"/>
                <w:szCs w:val="18"/>
                <w:u w:val="none"/>
                <w:lang w:val="en-US" w:eastAsia="zh-CN" w:bidi="ar"/>
              </w:rPr>
              <w:t>0</w:t>
            </w:r>
          </w:p>
        </w:tc>
        <w:tc>
          <w:tcPr>
            <w:tcW w:w="305" w:type="pct"/>
            <w:shd w:val="clear" w:color="auto" w:fill="auto"/>
            <w:noWrap/>
            <w:vAlign w:val="center"/>
          </w:tcPr>
          <w:p w14:paraId="3B3ED882">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364" w:type="pct"/>
            <w:shd w:val="clear" w:color="auto" w:fill="auto"/>
            <w:noWrap/>
            <w:vAlign w:val="center"/>
          </w:tcPr>
          <w:p w14:paraId="71B5F997">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328" w:type="pct"/>
            <w:shd w:val="clear" w:color="auto" w:fill="auto"/>
            <w:noWrap/>
            <w:vAlign w:val="center"/>
          </w:tcPr>
          <w:p w14:paraId="383F709D">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0.8</w:t>
            </w:r>
          </w:p>
        </w:tc>
        <w:tc>
          <w:tcPr>
            <w:tcW w:w="349" w:type="pct"/>
            <w:shd w:val="clear" w:color="auto" w:fill="auto"/>
            <w:noWrap/>
            <w:vAlign w:val="center"/>
          </w:tcPr>
          <w:p w14:paraId="4B735666">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0.6</w:t>
            </w:r>
          </w:p>
        </w:tc>
        <w:tc>
          <w:tcPr>
            <w:tcW w:w="287" w:type="pct"/>
            <w:shd w:val="clear" w:color="auto" w:fill="auto"/>
            <w:noWrap/>
            <w:vAlign w:val="center"/>
          </w:tcPr>
          <w:p w14:paraId="4F7B495A">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268" w:type="pct"/>
            <w:shd w:val="clear" w:color="auto" w:fill="auto"/>
            <w:noWrap/>
            <w:vAlign w:val="center"/>
          </w:tcPr>
          <w:p w14:paraId="5EFDFDE3">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958" w:type="dxa"/>
            <w:shd w:val="clear" w:color="auto" w:fill="auto"/>
            <w:noWrap/>
            <w:vAlign w:val="center"/>
          </w:tcPr>
          <w:p w14:paraId="5D481331">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81.71%</w:t>
            </w:r>
          </w:p>
        </w:tc>
      </w:tr>
      <w:tr w14:paraId="1174D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84" w:type="pct"/>
            <w:shd w:val="clear" w:color="auto" w:fill="auto"/>
            <w:noWrap/>
            <w:vAlign w:val="center"/>
          </w:tcPr>
          <w:p w14:paraId="68E62633">
            <w:pPr>
              <w:widowControl/>
              <w:spacing w:line="360" w:lineRule="exact"/>
              <w:ind w:firstLine="0" w:firstLineChars="0"/>
              <w:jc w:val="left"/>
              <w:textAlignment w:val="center"/>
              <w:rPr>
                <w:rFonts w:hint="eastAsia" w:eastAsia="宋体"/>
                <w:color w:val="000000"/>
                <w:kern w:val="0"/>
                <w:sz w:val="18"/>
                <w:szCs w:val="18"/>
                <w:lang w:val="en-US" w:eastAsia="zh-CN"/>
              </w:rPr>
            </w:pPr>
            <w:r>
              <w:rPr>
                <w:rFonts w:hint="eastAsia" w:eastAsia="宋体"/>
                <w:color w:val="000000"/>
                <w:kern w:val="0"/>
                <w:sz w:val="18"/>
                <w:szCs w:val="18"/>
                <w:lang w:val="en-US" w:eastAsia="zh-CN"/>
              </w:rPr>
              <w:t>您对本项目的实施过程是否满意？</w:t>
            </w:r>
          </w:p>
        </w:tc>
        <w:tc>
          <w:tcPr>
            <w:tcW w:w="825" w:type="dxa"/>
            <w:shd w:val="clear" w:color="auto" w:fill="auto"/>
            <w:noWrap/>
            <w:vAlign w:val="center"/>
          </w:tcPr>
          <w:p w14:paraId="15A9D6F0">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35</w:t>
            </w:r>
          </w:p>
        </w:tc>
        <w:tc>
          <w:tcPr>
            <w:tcW w:w="988" w:type="dxa"/>
            <w:shd w:val="clear" w:color="auto" w:fill="auto"/>
            <w:noWrap/>
            <w:vAlign w:val="center"/>
          </w:tcPr>
          <w:p w14:paraId="09A78EDF">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0</w:t>
            </w:r>
          </w:p>
        </w:tc>
        <w:tc>
          <w:tcPr>
            <w:tcW w:w="959" w:type="dxa"/>
            <w:shd w:val="clear" w:color="auto" w:fill="auto"/>
            <w:noWrap/>
            <w:vAlign w:val="center"/>
          </w:tcPr>
          <w:p w14:paraId="02F86EF3">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17</w:t>
            </w:r>
          </w:p>
        </w:tc>
        <w:tc>
          <w:tcPr>
            <w:tcW w:w="974" w:type="dxa"/>
            <w:shd w:val="clear" w:color="auto" w:fill="auto"/>
            <w:noWrap/>
            <w:vAlign w:val="center"/>
          </w:tcPr>
          <w:p w14:paraId="2949DC2C">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18</w:t>
            </w:r>
          </w:p>
        </w:tc>
        <w:tc>
          <w:tcPr>
            <w:tcW w:w="271" w:type="pct"/>
            <w:shd w:val="clear" w:color="auto" w:fill="auto"/>
            <w:noWrap/>
            <w:vAlign w:val="center"/>
          </w:tcPr>
          <w:p w14:paraId="0C1F4492">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305" w:type="pct"/>
            <w:shd w:val="clear" w:color="auto" w:fill="auto"/>
            <w:noWrap/>
            <w:vAlign w:val="center"/>
          </w:tcPr>
          <w:p w14:paraId="3C2A80B8">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364" w:type="pct"/>
            <w:shd w:val="clear" w:color="auto" w:fill="auto"/>
            <w:noWrap/>
            <w:vAlign w:val="center"/>
          </w:tcPr>
          <w:p w14:paraId="182835E0">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328" w:type="pct"/>
            <w:shd w:val="clear" w:color="auto" w:fill="auto"/>
            <w:noWrap/>
            <w:vAlign w:val="center"/>
          </w:tcPr>
          <w:p w14:paraId="5EE7C9A0">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0.8</w:t>
            </w:r>
          </w:p>
        </w:tc>
        <w:tc>
          <w:tcPr>
            <w:tcW w:w="349" w:type="pct"/>
            <w:shd w:val="clear" w:color="auto" w:fill="auto"/>
            <w:noWrap/>
            <w:vAlign w:val="center"/>
          </w:tcPr>
          <w:p w14:paraId="5ADBA77D">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0.6</w:t>
            </w:r>
          </w:p>
        </w:tc>
        <w:tc>
          <w:tcPr>
            <w:tcW w:w="287" w:type="pct"/>
            <w:shd w:val="clear" w:color="auto" w:fill="auto"/>
            <w:noWrap/>
            <w:vAlign w:val="center"/>
          </w:tcPr>
          <w:p w14:paraId="21889646">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268" w:type="pct"/>
            <w:shd w:val="clear" w:color="auto" w:fill="auto"/>
            <w:noWrap/>
            <w:vAlign w:val="center"/>
          </w:tcPr>
          <w:p w14:paraId="123CC7E3">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958" w:type="dxa"/>
            <w:shd w:val="clear" w:color="auto" w:fill="auto"/>
            <w:noWrap/>
            <w:vAlign w:val="center"/>
          </w:tcPr>
          <w:p w14:paraId="69899456">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69.71%</w:t>
            </w:r>
          </w:p>
        </w:tc>
      </w:tr>
      <w:tr w14:paraId="0010E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84" w:type="pct"/>
            <w:shd w:val="clear" w:color="auto" w:fill="auto"/>
            <w:noWrap/>
            <w:vAlign w:val="center"/>
          </w:tcPr>
          <w:p w14:paraId="66D4FB09">
            <w:pPr>
              <w:widowControl/>
              <w:spacing w:line="360" w:lineRule="exact"/>
              <w:ind w:firstLine="0" w:firstLineChars="0"/>
              <w:jc w:val="center"/>
              <w:textAlignment w:val="center"/>
              <w:rPr>
                <w:rFonts w:eastAsia="宋体"/>
                <w:color w:val="000000"/>
                <w:kern w:val="0"/>
                <w:sz w:val="18"/>
                <w:szCs w:val="18"/>
              </w:rPr>
            </w:pPr>
            <w:r>
              <w:rPr>
                <w:rFonts w:eastAsia="宋体"/>
                <w:color w:val="000000"/>
                <w:kern w:val="0"/>
                <w:sz w:val="18"/>
                <w:szCs w:val="18"/>
              </w:rPr>
              <w:t>综合满意度</w:t>
            </w:r>
          </w:p>
        </w:tc>
        <w:tc>
          <w:tcPr>
            <w:tcW w:w="287" w:type="pct"/>
            <w:shd w:val="clear" w:color="auto" w:fill="auto"/>
            <w:noWrap/>
            <w:vAlign w:val="center"/>
          </w:tcPr>
          <w:p w14:paraId="51FC81A3">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44" w:type="pct"/>
            <w:shd w:val="clear" w:color="auto" w:fill="auto"/>
            <w:noWrap/>
            <w:vAlign w:val="center"/>
          </w:tcPr>
          <w:p w14:paraId="52E009CC">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34" w:type="pct"/>
            <w:shd w:val="clear" w:color="auto" w:fill="auto"/>
            <w:noWrap/>
            <w:vAlign w:val="center"/>
          </w:tcPr>
          <w:p w14:paraId="3EE4F858">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39" w:type="pct"/>
            <w:shd w:val="clear" w:color="auto" w:fill="auto"/>
            <w:noWrap/>
            <w:vAlign w:val="center"/>
          </w:tcPr>
          <w:p w14:paraId="70CB7EBA">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271" w:type="pct"/>
            <w:shd w:val="clear" w:color="auto" w:fill="auto"/>
            <w:noWrap/>
            <w:vAlign w:val="center"/>
          </w:tcPr>
          <w:p w14:paraId="5CEC4E8E">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05" w:type="pct"/>
            <w:shd w:val="clear" w:color="auto" w:fill="auto"/>
            <w:noWrap/>
            <w:vAlign w:val="center"/>
          </w:tcPr>
          <w:p w14:paraId="4BC70CCA">
            <w:pPr>
              <w:keepNext w:val="0"/>
              <w:keepLines w:val="0"/>
              <w:widowControl/>
              <w:suppressLineNumbers w:val="0"/>
              <w:ind w:left="0" w:leftChars="0" w:firstLine="0" w:firstLineChars="0"/>
              <w:jc w:val="center"/>
              <w:textAlignment w:val="center"/>
              <w:rPr>
                <w:rFonts w:hint="eastAsia" w:ascii="Times New Roman" w:hAnsi="Times New Roman" w:eastAsia="宋体" w:cs="Times New Roman"/>
                <w:i w:val="0"/>
                <w:iCs w:val="0"/>
                <w:color w:val="000000"/>
                <w:kern w:val="0"/>
                <w:sz w:val="18"/>
                <w:szCs w:val="18"/>
                <w:u w:val="none"/>
                <w:lang w:val="en-US" w:eastAsia="zh-CN" w:bidi="ar"/>
              </w:rPr>
            </w:pPr>
          </w:p>
        </w:tc>
        <w:tc>
          <w:tcPr>
            <w:tcW w:w="364" w:type="pct"/>
            <w:shd w:val="clear" w:color="auto" w:fill="auto"/>
            <w:noWrap/>
            <w:vAlign w:val="center"/>
          </w:tcPr>
          <w:p w14:paraId="744A7ABA">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28" w:type="pct"/>
            <w:shd w:val="clear" w:color="auto" w:fill="auto"/>
            <w:noWrap/>
            <w:vAlign w:val="center"/>
          </w:tcPr>
          <w:p w14:paraId="3E1B450A">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49" w:type="pct"/>
            <w:shd w:val="clear" w:color="auto" w:fill="auto"/>
            <w:noWrap/>
            <w:vAlign w:val="center"/>
          </w:tcPr>
          <w:p w14:paraId="160D2704">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287" w:type="pct"/>
            <w:shd w:val="clear" w:color="auto" w:fill="auto"/>
            <w:noWrap/>
            <w:vAlign w:val="center"/>
          </w:tcPr>
          <w:p w14:paraId="0C396C4B">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268" w:type="pct"/>
            <w:shd w:val="clear" w:color="auto" w:fill="auto"/>
            <w:noWrap/>
            <w:vAlign w:val="center"/>
          </w:tcPr>
          <w:p w14:paraId="24B3557F">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33" w:type="pct"/>
            <w:shd w:val="clear" w:color="auto" w:fill="auto"/>
            <w:noWrap/>
            <w:vAlign w:val="center"/>
          </w:tcPr>
          <w:p w14:paraId="48B844C5">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eastAsia="宋体" w:cs="Times New Roman"/>
                <w:i w:val="0"/>
                <w:iCs w:val="0"/>
                <w:color w:val="000000"/>
                <w:kern w:val="0"/>
                <w:sz w:val="18"/>
                <w:szCs w:val="18"/>
                <w:u w:val="none"/>
                <w:lang w:val="en-US" w:eastAsia="zh-CN" w:bidi="ar"/>
              </w:rPr>
              <w:t>68.69</w:t>
            </w:r>
            <w:r>
              <w:rPr>
                <w:rFonts w:hint="default" w:ascii="Times New Roman" w:hAnsi="Times New Roman" w:eastAsia="宋体" w:cs="Times New Roman"/>
                <w:i w:val="0"/>
                <w:iCs w:val="0"/>
                <w:color w:val="000000"/>
                <w:kern w:val="0"/>
                <w:sz w:val="18"/>
                <w:szCs w:val="18"/>
                <w:u w:val="none"/>
                <w:lang w:val="en-US" w:eastAsia="zh-CN" w:bidi="ar"/>
              </w:rPr>
              <w:t>%</w:t>
            </w:r>
          </w:p>
        </w:tc>
      </w:tr>
    </w:tbl>
    <w:p w14:paraId="7ECD8D46">
      <w:pPr>
        <w:ind w:firstLine="0" w:firstLineChars="0"/>
        <w:sectPr>
          <w:pgSz w:w="16838" w:h="11906" w:orient="landscape"/>
          <w:pgMar w:top="1800" w:right="1440" w:bottom="1800" w:left="1440" w:header="851" w:footer="992" w:gutter="0"/>
          <w:cols w:space="425" w:num="1"/>
          <w:docGrid w:type="lines" w:linePitch="312" w:charSpace="0"/>
        </w:sectPr>
      </w:pPr>
    </w:p>
    <w:p w14:paraId="42E0319A">
      <w:pPr>
        <w:pStyle w:val="3"/>
        <w:spacing w:before="120" w:after="120"/>
        <w:ind w:firstLine="0" w:firstLineChars="0"/>
        <w:rPr>
          <w:rFonts w:ascii="黑体" w:hAnsi="黑体"/>
        </w:rPr>
      </w:pPr>
      <w:bookmarkStart w:id="70" w:name="_Toc10495"/>
      <w:r>
        <w:rPr>
          <w:rFonts w:ascii="黑体" w:hAnsi="黑体"/>
        </w:rPr>
        <w:t>附件</w:t>
      </w:r>
      <w:bookmarkStart w:id="71" w:name="_Toc11104"/>
      <w:r>
        <w:rPr>
          <w:rFonts w:hint="eastAsia" w:ascii="黑体" w:hAnsi="黑体"/>
        </w:rPr>
        <w:t>4 ：</w:t>
      </w:r>
      <w:r>
        <w:rPr>
          <w:rFonts w:ascii="黑体" w:hAnsi="黑体"/>
        </w:rPr>
        <w:t>访谈</w:t>
      </w:r>
      <w:bookmarkEnd w:id="71"/>
      <w:r>
        <w:rPr>
          <w:rFonts w:hint="eastAsia" w:ascii="黑体" w:hAnsi="黑体"/>
        </w:rPr>
        <w:t>报告</w:t>
      </w:r>
      <w:bookmarkEnd w:id="70"/>
    </w:p>
    <w:p w14:paraId="4405C6EA">
      <w:pPr>
        <w:ind w:firstLine="0" w:firstLineChars="0"/>
        <w:jc w:val="center"/>
        <w:rPr>
          <w:rFonts w:hint="eastAsia" w:ascii="仿宋_GB2312" w:hAnsi="仿宋_GB2312" w:eastAsia="仿宋_GB2312" w:cs="仿宋_GB2312"/>
          <w:b/>
          <w:bCs/>
          <w:kern w:val="0"/>
          <w:sz w:val="32"/>
          <w:szCs w:val="32"/>
          <w:lang w:val="en-US" w:eastAsia="zh-CN"/>
        </w:rPr>
      </w:pPr>
      <w:r>
        <w:rPr>
          <w:rFonts w:hint="eastAsia" w:ascii="方正小标宋简体" w:eastAsia="方正小标宋简体"/>
          <w:kern w:val="0"/>
          <w:sz w:val="44"/>
          <w:szCs w:val="44"/>
        </w:rPr>
        <w:t xml:space="preserve"> </w:t>
      </w:r>
      <w:r>
        <w:rPr>
          <w:rFonts w:hint="eastAsia" w:ascii="仿宋_GB2312" w:hAnsi="仿宋_GB2312" w:eastAsia="仿宋_GB2312" w:cs="仿宋_GB2312"/>
          <w:b/>
          <w:bCs/>
          <w:kern w:val="0"/>
          <w:sz w:val="32"/>
          <w:szCs w:val="32"/>
        </w:rPr>
        <w:t xml:space="preserve"> </w:t>
      </w:r>
      <w:r>
        <w:rPr>
          <w:rFonts w:hint="eastAsia" w:ascii="仿宋_GB2312" w:hAnsi="仿宋_GB2312" w:cs="仿宋_GB2312"/>
          <w:b/>
          <w:bCs/>
          <w:kern w:val="0"/>
          <w:sz w:val="32"/>
          <w:szCs w:val="32"/>
          <w:lang w:val="en-US" w:eastAsia="zh-CN"/>
        </w:rPr>
        <w:t>古县县委党校改扩建</w:t>
      </w:r>
    </w:p>
    <w:p w14:paraId="07D6CAD6">
      <w:pPr>
        <w:ind w:firstLine="0" w:firstLineChars="0"/>
        <w:jc w:val="center"/>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项目访谈报告</w:t>
      </w:r>
    </w:p>
    <w:p w14:paraId="3F23BA33">
      <w:pPr>
        <w:ind w:firstLine="640"/>
        <w:rPr>
          <w:rFonts w:ascii="仿宋_GB2312"/>
        </w:rPr>
      </w:pPr>
      <w:r>
        <w:rPr>
          <w:rFonts w:hint="eastAsia" w:ascii="仿宋_GB2312"/>
        </w:rPr>
        <w:t>访谈日期：2022年</w:t>
      </w:r>
      <w:r>
        <w:rPr>
          <w:rFonts w:hint="eastAsia" w:ascii="仿宋_GB2312"/>
          <w:lang w:val="en-US" w:eastAsia="zh-CN"/>
        </w:rPr>
        <w:t>8</w:t>
      </w:r>
      <w:r>
        <w:rPr>
          <w:rFonts w:hint="eastAsia" w:ascii="仿宋_GB2312"/>
        </w:rPr>
        <w:t>月</w:t>
      </w:r>
      <w:r>
        <w:rPr>
          <w:rFonts w:hint="eastAsia" w:ascii="仿宋_GB2312"/>
          <w:lang w:val="en-US" w:eastAsia="zh-CN"/>
        </w:rPr>
        <w:t>30</w:t>
      </w:r>
      <w:r>
        <w:rPr>
          <w:rFonts w:hint="eastAsia" w:ascii="仿宋_GB2312"/>
        </w:rPr>
        <w:t>日</w:t>
      </w:r>
    </w:p>
    <w:p w14:paraId="182DE7F2">
      <w:pPr>
        <w:ind w:firstLine="640"/>
        <w:rPr>
          <w:rFonts w:hint="eastAsia" w:ascii="仿宋_GB2312"/>
          <w:lang w:val="en-US" w:eastAsia="zh-CN"/>
        </w:rPr>
      </w:pPr>
      <w:r>
        <w:rPr>
          <w:rFonts w:hint="eastAsia" w:ascii="仿宋_GB2312"/>
        </w:rPr>
        <w:t>访谈地点：</w:t>
      </w:r>
      <w:r>
        <w:rPr>
          <w:rFonts w:hint="eastAsia" w:ascii="仿宋_GB2312"/>
          <w:lang w:eastAsia="zh-CN"/>
        </w:rPr>
        <w:t>中国共产党古县委员会</w:t>
      </w:r>
    </w:p>
    <w:p w14:paraId="58E55FEA">
      <w:pPr>
        <w:ind w:firstLine="640"/>
        <w:rPr>
          <w:rFonts w:hint="eastAsia" w:ascii="仿宋_GB2312"/>
          <w:highlight w:val="yellow"/>
          <w:lang w:val="en-US" w:eastAsia="zh-CN"/>
        </w:rPr>
      </w:pPr>
      <w:r>
        <w:rPr>
          <w:rFonts w:hint="eastAsia" w:ascii="仿宋_GB2312"/>
        </w:rPr>
        <w:t>评价组人员：</w:t>
      </w:r>
      <w:r>
        <w:rPr>
          <w:rFonts w:hint="eastAsia" w:ascii="仿宋_GB2312"/>
          <w:lang w:val="en-US" w:eastAsia="zh-CN"/>
        </w:rPr>
        <w:t>郭天娇</w:t>
      </w:r>
    </w:p>
    <w:p w14:paraId="37EBB8B7">
      <w:pPr>
        <w:ind w:firstLine="640"/>
        <w:rPr>
          <w:rFonts w:hint="default" w:ascii="仿宋_GB2312" w:hAnsi="仿宋"/>
          <w:kern w:val="0"/>
          <w:szCs w:val="28"/>
          <w:highlight w:val="none"/>
          <w:lang w:val="en-US" w:eastAsia="zh-CN"/>
        </w:rPr>
      </w:pPr>
      <w:r>
        <w:rPr>
          <w:rFonts w:hint="eastAsia" w:ascii="仿宋_GB2312"/>
        </w:rPr>
        <w:t>访谈对象</w:t>
      </w:r>
      <w:r>
        <w:rPr>
          <w:rFonts w:hint="eastAsia" w:ascii="仿宋_GB2312"/>
          <w:highlight w:val="none"/>
        </w:rPr>
        <w:t>：</w:t>
      </w:r>
      <w:r>
        <w:rPr>
          <w:rFonts w:hint="eastAsia" w:ascii="仿宋_GB2312"/>
          <w:lang w:val="en-US" w:eastAsia="zh-CN"/>
        </w:rPr>
        <w:t>财务科长</w:t>
      </w:r>
    </w:p>
    <w:p w14:paraId="709102A6">
      <w:pPr>
        <w:ind w:firstLine="640"/>
        <w:rPr>
          <w:rFonts w:ascii="仿宋_GB2312"/>
        </w:rPr>
      </w:pPr>
      <w:r>
        <w:rPr>
          <w:rFonts w:hint="eastAsia" w:ascii="仿宋_GB2312"/>
        </w:rPr>
        <w:t>1.</w:t>
      </w:r>
      <w:r>
        <w:rPr>
          <w:rFonts w:ascii="仿宋_GB2312"/>
        </w:rPr>
        <w:t>请您简单介绍项目概况</w:t>
      </w:r>
      <w:r>
        <w:rPr>
          <w:rFonts w:hint="eastAsia" w:ascii="仿宋_GB2312"/>
          <w:lang w:val="en-US" w:eastAsia="zh-CN"/>
        </w:rPr>
        <w:t>的主要内容</w:t>
      </w:r>
      <w:r>
        <w:rPr>
          <w:rFonts w:hint="eastAsia" w:ascii="仿宋_GB2312"/>
        </w:rPr>
        <w:t>。</w:t>
      </w:r>
    </w:p>
    <w:p w14:paraId="46AEEFC4">
      <w:pPr>
        <w:ind w:firstLine="640"/>
        <w:rPr>
          <w:rFonts w:hint="eastAsia" w:ascii="仿宋_GB2312"/>
          <w:lang w:val="en-US" w:eastAsia="zh-CN"/>
        </w:rPr>
      </w:pPr>
      <w:r>
        <w:rPr>
          <w:rFonts w:hint="eastAsia" w:ascii="仿宋_GB2312"/>
          <w:lang w:val="en-US" w:eastAsia="zh-CN"/>
        </w:rPr>
        <w:t>答：建设内容：</w:t>
      </w:r>
    </w:p>
    <w:p w14:paraId="550656BC">
      <w:pPr>
        <w:ind w:firstLine="640"/>
        <w:rPr>
          <w:rFonts w:hint="eastAsia" w:ascii="仿宋_GB2312"/>
          <w:lang w:val="en-US" w:eastAsia="zh-CN"/>
        </w:rPr>
      </w:pPr>
      <w:r>
        <w:rPr>
          <w:rFonts w:hint="eastAsia" w:ascii="仿宋_GB2312"/>
          <w:lang w:val="en-US" w:eastAsia="zh-CN"/>
        </w:rPr>
        <w:t>1.拆除工程</w:t>
      </w:r>
    </w:p>
    <w:p w14:paraId="3E52A4E2">
      <w:pPr>
        <w:ind w:firstLine="640"/>
        <w:rPr>
          <w:rFonts w:hint="eastAsia" w:ascii="仿宋_GB2312"/>
          <w:lang w:val="en-US" w:eastAsia="zh-CN"/>
        </w:rPr>
      </w:pPr>
      <w:r>
        <w:rPr>
          <w:rFonts w:hint="eastAsia" w:ascii="仿宋_GB2312"/>
          <w:lang w:val="en-US" w:eastAsia="zh-CN"/>
        </w:rPr>
        <w:t>将党校内北侧二楼拆除，拆除面积402.87平方米，紧邻党校的四户居民住宅拆除。</w:t>
      </w:r>
    </w:p>
    <w:p w14:paraId="71D39A8E">
      <w:pPr>
        <w:ind w:firstLine="640"/>
        <w:rPr>
          <w:rFonts w:hint="eastAsia" w:ascii="仿宋_GB2312"/>
          <w:lang w:val="en-US" w:eastAsia="zh-CN"/>
        </w:rPr>
      </w:pPr>
      <w:r>
        <w:rPr>
          <w:rFonts w:hint="eastAsia" w:ascii="仿宋_GB2312"/>
          <w:lang w:val="en-US" w:eastAsia="zh-CN"/>
        </w:rPr>
        <w:t>2.新建工程：</w:t>
      </w:r>
    </w:p>
    <w:p w14:paraId="0E48CAF3">
      <w:pPr>
        <w:ind w:firstLine="640"/>
        <w:rPr>
          <w:rFonts w:hint="eastAsia" w:ascii="仿宋_GB2312"/>
          <w:lang w:val="en-US" w:eastAsia="zh-CN"/>
        </w:rPr>
      </w:pPr>
      <w:r>
        <w:rPr>
          <w:rFonts w:hint="eastAsia" w:ascii="仿宋_GB2312"/>
          <w:lang w:val="en-US" w:eastAsia="zh-CN"/>
        </w:rPr>
        <w:t>综合教学楼:拆除北侧二层楼及四户居民住宅后，原址新建综合教学楼一栋，建筑面积3624平方米，六层，框架结构。其中:一层功能主要为多功能厅、文体室、档案室;二层功能主要为多功能厅、报告厅、图书室、阅览室;三至五层主要功能为教学辅助用房;六层主要功能为容纳200人的大会议室。</w:t>
      </w:r>
    </w:p>
    <w:p w14:paraId="48952B85">
      <w:pPr>
        <w:ind w:firstLine="640"/>
        <w:rPr>
          <w:rFonts w:hint="eastAsia" w:ascii="仿宋_GB2312"/>
          <w:lang w:val="en-US" w:eastAsia="zh-CN"/>
        </w:rPr>
      </w:pPr>
      <w:r>
        <w:rPr>
          <w:rFonts w:hint="eastAsia" w:ascii="仿宋_GB2312"/>
          <w:lang w:val="en-US" w:eastAsia="zh-CN"/>
        </w:rPr>
        <w:t>大门:大门位于党校北侧，紧临龙泉街，为成品自动伸缩门，东、西两侧均设门卫室。</w:t>
      </w:r>
    </w:p>
    <w:p w14:paraId="139F0FD9">
      <w:pPr>
        <w:ind w:firstLine="640"/>
        <w:rPr>
          <w:rFonts w:hint="eastAsia" w:ascii="仿宋_GB2312"/>
          <w:lang w:val="en-US" w:eastAsia="zh-CN"/>
        </w:rPr>
      </w:pPr>
      <w:r>
        <w:rPr>
          <w:rFonts w:hint="eastAsia" w:ascii="仿宋_GB2312"/>
          <w:lang w:val="en-US" w:eastAsia="zh-CN"/>
        </w:rPr>
        <w:t>3.改建工程</w:t>
      </w:r>
    </w:p>
    <w:p w14:paraId="294B3D7E">
      <w:pPr>
        <w:ind w:firstLine="640"/>
        <w:rPr>
          <w:rFonts w:hint="eastAsia" w:ascii="仿宋_GB2312"/>
          <w:lang w:val="en-US" w:eastAsia="zh-CN"/>
        </w:rPr>
      </w:pPr>
      <w:r>
        <w:rPr>
          <w:rFonts w:hint="eastAsia" w:ascii="仿宋_GB2312"/>
          <w:lang w:val="en-US" w:eastAsia="zh-CN"/>
        </w:rPr>
        <w:t>综合办公楼:建筑面积2053.96平方米，四层。经检测、加固后进行屋顶、外墙改造，并将室内外重新装修。</w:t>
      </w:r>
    </w:p>
    <w:p w14:paraId="4118A2A0">
      <w:pPr>
        <w:ind w:firstLine="640"/>
        <w:rPr>
          <w:rFonts w:hint="eastAsia" w:ascii="仿宋_GB2312"/>
          <w:lang w:val="en-US" w:eastAsia="zh-CN"/>
        </w:rPr>
      </w:pPr>
      <w:r>
        <w:rPr>
          <w:rFonts w:hint="eastAsia" w:ascii="仿宋_GB2312"/>
          <w:lang w:val="en-US" w:eastAsia="zh-CN"/>
        </w:rPr>
        <w:t>学员宿舍(原二中学生宿舍楼):建筑面积3303平方米，五层。经检测、加固后进行屋顶、外墙改造，开间内设独立卫生间，并将室内外重新装修。</w:t>
      </w:r>
    </w:p>
    <w:p w14:paraId="3B46568C">
      <w:pPr>
        <w:ind w:firstLine="640"/>
        <w:rPr>
          <w:rFonts w:hint="eastAsia" w:ascii="仿宋_GB2312"/>
          <w:lang w:val="en-US" w:eastAsia="zh-CN"/>
        </w:rPr>
      </w:pPr>
      <w:r>
        <w:rPr>
          <w:rFonts w:hint="eastAsia" w:ascii="仿宋_GB2312"/>
          <w:lang w:val="en-US" w:eastAsia="zh-CN"/>
        </w:rPr>
        <w:t>阶梯教室及食堂:建筑面积分别为277.17平方米、1312平方米，均为一层，根据检测结果，视需要进行改造、装修。</w:t>
      </w:r>
    </w:p>
    <w:p w14:paraId="22A1851E">
      <w:pPr>
        <w:ind w:firstLine="640"/>
        <w:rPr>
          <w:rFonts w:hint="eastAsia" w:ascii="仿宋_GB2312"/>
          <w:lang w:val="en-US" w:eastAsia="zh-CN"/>
        </w:rPr>
      </w:pPr>
      <w:r>
        <w:rPr>
          <w:rFonts w:hint="eastAsia" w:ascii="仿宋_GB2312"/>
          <w:lang w:val="en-US" w:eastAsia="zh-CN"/>
        </w:rPr>
        <w:t xml:space="preserve">4.附属工程 </w:t>
      </w:r>
    </w:p>
    <w:p w14:paraId="7678D68A">
      <w:pPr>
        <w:ind w:firstLine="640"/>
        <w:rPr>
          <w:rFonts w:hint="eastAsia" w:ascii="仿宋_GB2312"/>
          <w:lang w:val="en-US" w:eastAsia="zh-CN"/>
        </w:rPr>
      </w:pPr>
      <w:r>
        <w:rPr>
          <w:rFonts w:hint="eastAsia" w:ascii="仿宋_GB2312"/>
          <w:lang w:val="en-US" w:eastAsia="zh-CN"/>
        </w:rPr>
        <w:t>道路、绿化、停车位以及室外公用配套等工程的建设。党校经改扩建后，占地20亩，校内综合教学楼、办公楼、学员宿舍、食堂及阶梯教室五个单体建筑可满足200人的干部教育封闭教学使用。</w:t>
      </w:r>
    </w:p>
    <w:p w14:paraId="174A511C">
      <w:pPr>
        <w:ind w:firstLine="640"/>
        <w:rPr>
          <w:rFonts w:ascii="仿宋_GB2312"/>
        </w:rPr>
      </w:pPr>
      <w:r>
        <w:rPr>
          <w:rFonts w:hint="eastAsia" w:ascii="仿宋_GB2312"/>
          <w:lang w:val="en-US" w:eastAsia="zh-CN"/>
        </w:rPr>
        <w:t>2</w:t>
      </w:r>
      <w:r>
        <w:rPr>
          <w:rFonts w:hint="eastAsia" w:ascii="仿宋_GB2312"/>
        </w:rPr>
        <w:t xml:space="preserve">. </w:t>
      </w:r>
      <w:r>
        <w:rPr>
          <w:rFonts w:ascii="仿宋_GB2312"/>
        </w:rPr>
        <w:t>请您简要谈谈</w:t>
      </w:r>
      <w:r>
        <w:rPr>
          <w:rFonts w:hint="eastAsia" w:ascii="仿宋_GB2312"/>
        </w:rPr>
        <w:t>完成情况及实施效益。</w:t>
      </w:r>
    </w:p>
    <w:p w14:paraId="6FBDC736">
      <w:pPr>
        <w:ind w:firstLine="640"/>
        <w:rPr>
          <w:rFonts w:hint="eastAsia" w:ascii="仿宋_GB2312"/>
          <w:lang w:val="en-US" w:eastAsia="zh-CN"/>
        </w:rPr>
      </w:pPr>
      <w:r>
        <w:rPr>
          <w:rFonts w:hint="eastAsia" w:ascii="仿宋_GB2312"/>
        </w:rPr>
        <w:t>答：</w:t>
      </w:r>
      <w:r>
        <w:rPr>
          <w:rFonts w:hint="eastAsia" w:ascii="仿宋_GB2312"/>
          <w:lang w:val="en-US" w:eastAsia="zh-CN"/>
        </w:rPr>
        <w:t>项目于评价基准日2021年12月31日新建综合教学楼室内装饰装修完成、屋面工程完成、电梯工程完成、外墙真石漆完成，外墙干挂石材完成80%、玻璃幕墙完成60%；宿舍楼室内装饰装修完成、屋面工程完成、外墙真石漆完成；东楼室内装饰装修完成、屋面工程完成、外墙真石漆完成；室外管网完成80%、道路基层完成50%。</w:t>
      </w:r>
    </w:p>
    <w:p w14:paraId="06E31D23">
      <w:pPr>
        <w:ind w:firstLine="640"/>
        <w:rPr>
          <w:rFonts w:hint="default" w:ascii="仿宋_GB2312"/>
          <w:lang w:val="en-US"/>
        </w:rPr>
      </w:pPr>
      <w:r>
        <w:rPr>
          <w:rFonts w:hint="eastAsia" w:ascii="仿宋_GB2312"/>
          <w:lang w:val="en-US" w:eastAsia="zh-CN"/>
        </w:rPr>
        <w:t>截止绩效评价日已全部完工，但尚未验收。</w:t>
      </w:r>
    </w:p>
    <w:p w14:paraId="79919C16">
      <w:pPr>
        <w:widowControl/>
        <w:ind w:firstLine="640"/>
        <w:jc w:val="left"/>
        <w:rPr>
          <w:rFonts w:ascii="仿宋_GB2312"/>
        </w:rPr>
      </w:pPr>
      <w:r>
        <w:rPr>
          <w:rFonts w:hint="eastAsia" w:ascii="仿宋_GB2312"/>
          <w:lang w:val="en-US" w:eastAsia="zh-CN"/>
        </w:rPr>
        <w:t>3</w:t>
      </w:r>
      <w:r>
        <w:rPr>
          <w:rFonts w:hint="eastAsia" w:ascii="仿宋_GB2312"/>
        </w:rPr>
        <w:t>.</w:t>
      </w:r>
      <w:r>
        <w:rPr>
          <w:rFonts w:ascii="仿宋_GB2312"/>
        </w:rPr>
        <w:t>请您简要谈谈本项目</w:t>
      </w:r>
      <w:r>
        <w:rPr>
          <w:rFonts w:hint="eastAsia" w:ascii="仿宋_GB2312"/>
          <w:lang w:val="en-US" w:eastAsia="zh-CN"/>
        </w:rPr>
        <w:t>实施方式</w:t>
      </w:r>
      <w:r>
        <w:rPr>
          <w:rFonts w:hint="eastAsia" w:ascii="仿宋_GB2312"/>
        </w:rPr>
        <w:t>。</w:t>
      </w:r>
    </w:p>
    <w:p w14:paraId="0A9A7FE9">
      <w:pPr>
        <w:widowControl/>
        <w:numPr>
          <w:ilvl w:val="0"/>
          <w:numId w:val="0"/>
        </w:numPr>
        <w:ind w:firstLine="640" w:firstLineChars="200"/>
        <w:jc w:val="left"/>
        <w:rPr>
          <w:rFonts w:hint="eastAsia" w:ascii="仿宋_GB2312" w:hAnsi="仿宋_GB2312" w:cs="仿宋_GB2312"/>
          <w:kern w:val="2"/>
          <w:sz w:val="32"/>
          <w:szCs w:val="24"/>
          <w:lang w:val="en-US" w:eastAsia="zh-CN" w:bidi="ar-SA"/>
        </w:rPr>
      </w:pPr>
      <w:r>
        <w:rPr>
          <w:rFonts w:hint="eastAsia" w:ascii="仿宋_GB2312" w:hAnsi="仿宋_GB2312" w:cs="仿宋_GB2312"/>
          <w:kern w:val="2"/>
          <w:sz w:val="32"/>
          <w:szCs w:val="24"/>
          <w:lang w:val="en-US" w:eastAsia="zh-CN" w:bidi="ar-SA"/>
        </w:rPr>
        <w:t>答：为保证项目有效实施，成立建设领导小组，负责全面的协调工作。领导组下设具体办事机构 ，负责具体事项的运作。保障措施如下;</w:t>
      </w:r>
    </w:p>
    <w:p w14:paraId="76E56391">
      <w:pPr>
        <w:widowControl/>
        <w:numPr>
          <w:ilvl w:val="0"/>
          <w:numId w:val="0"/>
        </w:numPr>
        <w:ind w:firstLine="640" w:firstLineChars="200"/>
        <w:jc w:val="left"/>
        <w:rPr>
          <w:rFonts w:hint="eastAsia" w:ascii="仿宋_GB2312" w:hAnsi="仿宋_GB2312" w:cs="仿宋_GB2312"/>
          <w:kern w:val="2"/>
          <w:sz w:val="32"/>
          <w:szCs w:val="24"/>
          <w:lang w:val="en-US" w:eastAsia="zh-CN" w:bidi="ar-SA"/>
        </w:rPr>
      </w:pPr>
      <w:r>
        <w:rPr>
          <w:rFonts w:hint="eastAsia" w:ascii="仿宋_GB2312" w:hAnsi="仿宋_GB2312" w:cs="仿宋_GB2312"/>
          <w:kern w:val="2"/>
          <w:sz w:val="32"/>
          <w:szCs w:val="24"/>
          <w:lang w:val="en-US" w:eastAsia="zh-CN" w:bidi="ar-SA"/>
        </w:rPr>
        <w:t>1.建设单位应严格按照国家对工程项目建设管理的有关规定和程序，开展施工建设。严格执行“四大制度”，即:项目法人制、合同制、招投标制和工程监理制，确保工程质量和进度。</w:t>
      </w:r>
    </w:p>
    <w:p w14:paraId="710DB690">
      <w:pPr>
        <w:widowControl/>
        <w:numPr>
          <w:ilvl w:val="0"/>
          <w:numId w:val="0"/>
        </w:numPr>
        <w:ind w:firstLine="640" w:firstLineChars="200"/>
        <w:jc w:val="left"/>
        <w:rPr>
          <w:rFonts w:hint="eastAsia" w:ascii="仿宋_GB2312" w:hAnsi="仿宋_GB2312" w:cs="仿宋_GB2312"/>
          <w:kern w:val="2"/>
          <w:sz w:val="32"/>
          <w:szCs w:val="24"/>
          <w:lang w:val="en-US" w:eastAsia="zh-CN" w:bidi="ar-SA"/>
        </w:rPr>
      </w:pPr>
      <w:r>
        <w:rPr>
          <w:rFonts w:hint="eastAsia" w:ascii="仿宋_GB2312" w:hAnsi="仿宋_GB2312" w:cs="仿宋_GB2312"/>
          <w:kern w:val="2"/>
          <w:sz w:val="32"/>
          <w:szCs w:val="24"/>
          <w:lang w:val="en-US" w:eastAsia="zh-CN" w:bidi="ar-SA"/>
        </w:rPr>
        <w:t>(1)实行项目法人责任制。项目法人对项目的前期准备、实施过程的管理工作负全部责任。</w:t>
      </w:r>
    </w:p>
    <w:p w14:paraId="44DE4EBE">
      <w:pPr>
        <w:widowControl/>
        <w:numPr>
          <w:ilvl w:val="0"/>
          <w:numId w:val="0"/>
        </w:numPr>
        <w:ind w:firstLine="640" w:firstLineChars="200"/>
        <w:jc w:val="left"/>
        <w:rPr>
          <w:rFonts w:hint="eastAsia" w:ascii="仿宋_GB2312" w:hAnsi="仿宋_GB2312" w:cs="仿宋_GB2312"/>
          <w:kern w:val="2"/>
          <w:sz w:val="32"/>
          <w:szCs w:val="24"/>
          <w:lang w:val="en-US" w:eastAsia="zh-CN" w:bidi="ar-SA"/>
        </w:rPr>
      </w:pPr>
      <w:r>
        <w:rPr>
          <w:rFonts w:hint="eastAsia" w:ascii="仿宋_GB2312" w:hAnsi="仿宋_GB2312" w:cs="仿宋_GB2312"/>
          <w:kern w:val="2"/>
          <w:sz w:val="32"/>
          <w:szCs w:val="24"/>
          <w:lang w:val="en-US" w:eastAsia="zh-CN" w:bidi="ar-SA"/>
        </w:rPr>
        <w:t>(2)实行合同制。项目单位应当强化对参建单位的合同管理，明确违约条款和处罚措施，并通过行政和司法渠道保证参建单位严格履行合同约定。</w:t>
      </w:r>
    </w:p>
    <w:p w14:paraId="366C616F">
      <w:pPr>
        <w:widowControl/>
        <w:numPr>
          <w:ilvl w:val="0"/>
          <w:numId w:val="0"/>
        </w:numPr>
        <w:ind w:firstLine="640" w:firstLineChars="200"/>
        <w:jc w:val="left"/>
        <w:rPr>
          <w:rFonts w:hint="eastAsia" w:ascii="仿宋_GB2312" w:hAnsi="仿宋_GB2312" w:cs="仿宋_GB2312"/>
          <w:kern w:val="2"/>
          <w:sz w:val="32"/>
          <w:szCs w:val="24"/>
          <w:lang w:val="en-US" w:eastAsia="zh-CN" w:bidi="ar-SA"/>
        </w:rPr>
      </w:pPr>
      <w:r>
        <w:rPr>
          <w:rFonts w:hint="eastAsia" w:ascii="仿宋_GB2312" w:hAnsi="仿宋_GB2312" w:cs="仿宋_GB2312"/>
          <w:kern w:val="2"/>
          <w:sz w:val="32"/>
          <w:szCs w:val="24"/>
          <w:lang w:val="en-US" w:eastAsia="zh-CN" w:bidi="ar-SA"/>
        </w:rPr>
        <w:t>(3)实行招投标制。由项目单位负责组织公开招标，确定参建单位或者项目管理单位。</w:t>
      </w:r>
    </w:p>
    <w:p w14:paraId="461A148B">
      <w:pPr>
        <w:widowControl/>
        <w:numPr>
          <w:ilvl w:val="0"/>
          <w:numId w:val="0"/>
        </w:numPr>
        <w:ind w:firstLine="640" w:firstLineChars="200"/>
        <w:jc w:val="left"/>
        <w:rPr>
          <w:rFonts w:hint="eastAsia" w:ascii="仿宋_GB2312" w:hAnsi="仿宋_GB2312" w:cs="仿宋_GB2312"/>
          <w:kern w:val="2"/>
          <w:sz w:val="32"/>
          <w:szCs w:val="24"/>
          <w:lang w:val="en-US" w:eastAsia="zh-CN" w:bidi="ar-SA"/>
        </w:rPr>
      </w:pPr>
      <w:r>
        <w:rPr>
          <w:rFonts w:hint="eastAsia" w:ascii="仿宋_GB2312" w:hAnsi="仿宋_GB2312" w:cs="仿宋_GB2312"/>
          <w:kern w:val="2"/>
          <w:sz w:val="32"/>
          <w:szCs w:val="24"/>
          <w:lang w:val="en-US" w:eastAsia="zh-CN" w:bidi="ar-SA"/>
        </w:rPr>
        <w:t>(4)实行工程监理制。项目单位委托具有相应监理资质的监理单位，对工程建设的进度、质量、投资实施全过程的控制。</w:t>
      </w:r>
    </w:p>
    <w:p w14:paraId="71B3051F">
      <w:pPr>
        <w:widowControl/>
        <w:numPr>
          <w:ilvl w:val="0"/>
          <w:numId w:val="0"/>
        </w:numPr>
        <w:ind w:firstLine="640" w:firstLineChars="200"/>
        <w:jc w:val="left"/>
        <w:rPr>
          <w:rFonts w:hint="eastAsia" w:ascii="仿宋_GB2312" w:hAnsi="仿宋_GB2312" w:cs="仿宋_GB2312"/>
          <w:kern w:val="2"/>
          <w:sz w:val="32"/>
          <w:szCs w:val="24"/>
          <w:lang w:val="en-US" w:eastAsia="zh-CN" w:bidi="ar-SA"/>
        </w:rPr>
      </w:pPr>
      <w:r>
        <w:rPr>
          <w:rFonts w:hint="eastAsia" w:ascii="仿宋_GB2312" w:hAnsi="仿宋_GB2312" w:cs="仿宋_GB2312"/>
          <w:kern w:val="2"/>
          <w:sz w:val="32"/>
          <w:szCs w:val="24"/>
          <w:lang w:val="en-US" w:eastAsia="zh-CN" w:bidi="ar-SA"/>
        </w:rPr>
        <w:t>2.在项目实施全过程中，建设单位应积极配合有关部门。单位抓好工程质量、生产安全和各项监督、检查工作，确保工程顺利进行。</w:t>
      </w:r>
    </w:p>
    <w:p w14:paraId="5F5C7F7E">
      <w:pPr>
        <w:widowControl/>
        <w:numPr>
          <w:ilvl w:val="0"/>
          <w:numId w:val="0"/>
        </w:numPr>
        <w:ind w:firstLine="640" w:firstLineChars="200"/>
        <w:jc w:val="left"/>
        <w:rPr>
          <w:rFonts w:hint="eastAsia" w:ascii="仿宋_GB2312" w:hAnsi="仿宋_GB2312" w:cs="仿宋_GB2312"/>
          <w:kern w:val="2"/>
          <w:sz w:val="32"/>
          <w:szCs w:val="24"/>
          <w:lang w:val="en-US" w:eastAsia="zh-CN" w:bidi="ar-SA"/>
        </w:rPr>
      </w:pPr>
      <w:r>
        <w:rPr>
          <w:rFonts w:hint="eastAsia" w:ascii="仿宋_GB2312" w:hAnsi="仿宋_GB2312" w:cs="仿宋_GB2312"/>
          <w:kern w:val="2"/>
          <w:sz w:val="32"/>
          <w:szCs w:val="24"/>
          <w:lang w:val="en-US" w:eastAsia="zh-CN" w:bidi="ar-SA"/>
        </w:rPr>
        <w:t>3.严格执行国家有关项目建设资金的管理办法，确定专人负责，设立专户，实行专款专用管理，严格执行财务管理制度，确保管好用好各项建设资金。</w:t>
      </w:r>
    </w:p>
    <w:p w14:paraId="074B2212">
      <w:pPr>
        <w:widowControl/>
        <w:numPr>
          <w:ilvl w:val="0"/>
          <w:numId w:val="0"/>
        </w:numPr>
        <w:ind w:firstLine="640" w:firstLineChars="200"/>
        <w:jc w:val="left"/>
        <w:rPr>
          <w:rFonts w:hint="eastAsia" w:ascii="仿宋_GB2312" w:hAnsi="仿宋_GB2312" w:cs="仿宋_GB2312"/>
          <w:kern w:val="2"/>
          <w:sz w:val="32"/>
          <w:szCs w:val="24"/>
          <w:lang w:val="en-US" w:eastAsia="zh-CN" w:bidi="ar-SA"/>
        </w:rPr>
      </w:pPr>
      <w:r>
        <w:rPr>
          <w:rFonts w:hint="eastAsia" w:ascii="仿宋_GB2312" w:hAnsi="仿宋_GB2312" w:cs="仿宋_GB2312"/>
          <w:kern w:val="2"/>
          <w:sz w:val="32"/>
          <w:szCs w:val="24"/>
          <w:lang w:val="en-US" w:eastAsia="zh-CN" w:bidi="ar-SA"/>
        </w:rPr>
        <w:t>4.建设单位项目负责人、勘察单位项目负责人、设计单位项目负责人、施工单位项目经理、监理单位总监理工程师，在工程设计使用年限内，承担相应的质量终身责任。</w:t>
      </w:r>
    </w:p>
    <w:p w14:paraId="1FBC62F8">
      <w:pPr>
        <w:widowControl/>
        <w:numPr>
          <w:ilvl w:val="0"/>
          <w:numId w:val="0"/>
        </w:numPr>
        <w:ind w:firstLine="640" w:firstLineChars="200"/>
        <w:jc w:val="left"/>
        <w:rPr>
          <w:rFonts w:hint="eastAsia" w:ascii="仿宋_GB2312" w:hAnsi="仿宋_GB2312" w:cs="仿宋_GB2312"/>
          <w:kern w:val="2"/>
          <w:sz w:val="32"/>
          <w:szCs w:val="24"/>
          <w:lang w:val="en-US" w:eastAsia="zh-CN" w:bidi="ar-SA"/>
        </w:rPr>
      </w:pPr>
      <w:r>
        <w:rPr>
          <w:rFonts w:hint="eastAsia" w:ascii="仿宋_GB2312" w:hAnsi="仿宋_GB2312" w:cs="仿宋_GB2312"/>
          <w:kern w:val="2"/>
          <w:sz w:val="32"/>
          <w:szCs w:val="24"/>
          <w:lang w:val="en-US" w:eastAsia="zh-CN" w:bidi="ar-SA"/>
        </w:rPr>
        <w:t>5.做好竣工验收工作。</w:t>
      </w:r>
    </w:p>
    <w:p w14:paraId="5378450C">
      <w:pPr>
        <w:widowControl/>
        <w:numPr>
          <w:ilvl w:val="0"/>
          <w:numId w:val="0"/>
        </w:numPr>
        <w:ind w:firstLine="640" w:firstLineChars="200"/>
        <w:jc w:val="left"/>
        <w:rPr>
          <w:rFonts w:hint="default" w:ascii="仿宋_GB2312" w:hAnsi="仿宋_GB2312" w:cs="仿宋_GB2312"/>
          <w:kern w:val="2"/>
          <w:sz w:val="32"/>
          <w:szCs w:val="24"/>
          <w:lang w:val="en-US" w:eastAsia="zh-CN" w:bidi="ar-SA"/>
        </w:rPr>
      </w:pPr>
      <w:r>
        <w:rPr>
          <w:rFonts w:hint="eastAsia" w:ascii="仿宋_GB2312" w:hAnsi="仿宋_GB2312" w:cs="仿宋_GB2312"/>
          <w:kern w:val="2"/>
          <w:sz w:val="32"/>
          <w:szCs w:val="24"/>
          <w:lang w:val="en-US" w:eastAsia="zh-CN" w:bidi="ar-SA"/>
        </w:rPr>
        <w:t>6.认真建立项目档案，健全项目档案管理制度。</w:t>
      </w:r>
    </w:p>
    <w:p w14:paraId="1F84F3AD">
      <w:pPr>
        <w:widowControl/>
        <w:numPr>
          <w:ilvl w:val="0"/>
          <w:numId w:val="0"/>
        </w:numPr>
        <w:ind w:firstLine="640" w:firstLineChars="200"/>
        <w:jc w:val="left"/>
        <w:rPr>
          <w:rFonts w:hint="eastAsia" w:ascii="仿宋_GB2312" w:hAnsi="仿宋_GB2312" w:eastAsia="仿宋_GB2312" w:cs="仿宋_GB2312"/>
          <w:kern w:val="2"/>
          <w:sz w:val="32"/>
          <w:szCs w:val="24"/>
          <w:lang w:val="en-US" w:eastAsia="zh-CN" w:bidi="ar-SA"/>
        </w:rPr>
      </w:pPr>
      <w:r>
        <w:rPr>
          <w:rFonts w:hint="eastAsia" w:ascii="仿宋_GB2312" w:hAnsi="仿宋_GB2312" w:cs="仿宋_GB2312"/>
          <w:kern w:val="2"/>
          <w:sz w:val="32"/>
          <w:szCs w:val="24"/>
          <w:lang w:val="en-US" w:eastAsia="zh-CN" w:bidi="ar-SA"/>
        </w:rPr>
        <w:t>4.</w:t>
      </w:r>
      <w:r>
        <w:rPr>
          <w:rFonts w:hint="eastAsia" w:ascii="仿宋_GB2312" w:hAnsi="仿宋_GB2312" w:eastAsia="仿宋_GB2312" w:cs="仿宋_GB2312"/>
          <w:kern w:val="2"/>
          <w:sz w:val="32"/>
          <w:szCs w:val="24"/>
          <w:lang w:val="en-US" w:eastAsia="zh-CN" w:bidi="ar-SA"/>
        </w:rPr>
        <w:t>请您简要谈谈本项目下一步的工作计划。</w:t>
      </w:r>
    </w:p>
    <w:p w14:paraId="2F7C612E">
      <w:pPr>
        <w:widowControl/>
        <w:numPr>
          <w:ilvl w:val="0"/>
          <w:numId w:val="0"/>
        </w:numPr>
        <w:ind w:firstLine="640" w:firstLineChars="200"/>
        <w:jc w:val="left"/>
        <w:rPr>
          <w:rFonts w:hint="eastAsia" w:ascii="仿宋_GB2312" w:hAnsi="仿宋_GB2312" w:eastAsia="仿宋_GB2312" w:cs="仿宋_GB2312"/>
          <w:kern w:val="2"/>
          <w:sz w:val="32"/>
          <w:szCs w:val="24"/>
          <w:lang w:val="en-US" w:eastAsia="zh-CN" w:bidi="ar-SA"/>
        </w:rPr>
      </w:pPr>
      <w:r>
        <w:rPr>
          <w:rFonts w:hint="eastAsia" w:ascii="仿宋_GB2312" w:hAnsi="仿宋_GB2312" w:cs="仿宋_GB2312"/>
          <w:kern w:val="2"/>
          <w:sz w:val="32"/>
          <w:szCs w:val="24"/>
          <w:lang w:val="en-US" w:eastAsia="zh-CN" w:bidi="ar-SA"/>
        </w:rPr>
        <w:t>答：</w:t>
      </w:r>
      <w:r>
        <w:rPr>
          <w:rFonts w:hint="eastAsia" w:ascii="仿宋_GB2312" w:hAnsi="仿宋_GB2312" w:eastAsia="仿宋_GB2312" w:cs="仿宋_GB2312"/>
          <w:kern w:val="2"/>
          <w:sz w:val="32"/>
          <w:szCs w:val="24"/>
          <w:lang w:val="en-US" w:eastAsia="zh-CN" w:bidi="ar-SA"/>
        </w:rPr>
        <w:t>本项目下一步就是</w:t>
      </w:r>
      <w:r>
        <w:rPr>
          <w:rFonts w:hint="eastAsia" w:ascii="仿宋_GB2312" w:hAnsi="仿宋_GB2312" w:cs="仿宋_GB2312"/>
          <w:kern w:val="2"/>
          <w:sz w:val="32"/>
          <w:szCs w:val="24"/>
          <w:lang w:val="en-US" w:eastAsia="zh-CN" w:bidi="ar-SA"/>
        </w:rPr>
        <w:t>加强制度措施</w:t>
      </w:r>
      <w:r>
        <w:rPr>
          <w:rFonts w:hint="eastAsia" w:ascii="仿宋_GB2312" w:hAnsi="仿宋_GB2312" w:eastAsia="仿宋_GB2312" w:cs="仿宋_GB2312"/>
          <w:kern w:val="2"/>
          <w:sz w:val="32"/>
          <w:szCs w:val="24"/>
          <w:lang w:val="en-US" w:eastAsia="zh-CN" w:bidi="ar-SA"/>
        </w:rPr>
        <w:t>，</w:t>
      </w:r>
      <w:r>
        <w:rPr>
          <w:rFonts w:hint="eastAsia" w:ascii="仿宋_GB2312" w:hAnsi="仿宋_GB2312" w:cs="仿宋_GB2312"/>
          <w:kern w:val="2"/>
          <w:sz w:val="32"/>
          <w:szCs w:val="24"/>
          <w:lang w:val="en-US" w:eastAsia="zh-CN" w:bidi="ar-SA"/>
        </w:rPr>
        <w:t>对于问题及时整改，做好管理和维护，切实保障实施效益。</w:t>
      </w:r>
      <w:r>
        <w:rPr>
          <w:rFonts w:hint="eastAsia" w:ascii="仿宋_GB2312" w:hAnsi="仿宋_GB2312" w:eastAsia="仿宋_GB2312" w:cs="仿宋_GB2312"/>
          <w:kern w:val="2"/>
          <w:sz w:val="32"/>
          <w:szCs w:val="24"/>
          <w:lang w:val="en-US" w:eastAsia="zh-CN" w:bidi="ar-SA"/>
        </w:rPr>
        <w:br w:type="page"/>
      </w:r>
    </w:p>
    <w:p w14:paraId="30B0B2EB">
      <w:pPr>
        <w:pStyle w:val="3"/>
        <w:spacing w:before="120" w:after="120"/>
        <w:ind w:firstLine="0" w:firstLineChars="0"/>
        <w:rPr>
          <w:rFonts w:ascii="黑体" w:hAnsi="黑体"/>
        </w:rPr>
      </w:pPr>
      <w:bookmarkStart w:id="72" w:name="_Toc78440933"/>
      <w:bookmarkStart w:id="73" w:name="_Toc32598"/>
      <w:r>
        <w:rPr>
          <w:rFonts w:hint="eastAsia" w:ascii="黑体" w:hAnsi="黑体"/>
        </w:rPr>
        <w:t>附件5 ：合规性检查报告</w:t>
      </w:r>
      <w:bookmarkEnd w:id="72"/>
      <w:bookmarkEnd w:id="73"/>
    </w:p>
    <w:p w14:paraId="0F750E29">
      <w:pPr>
        <w:spacing w:line="600" w:lineRule="exact"/>
        <w:ind w:firstLine="0" w:firstLineChars="0"/>
        <w:jc w:val="center"/>
        <w:rPr>
          <w:rFonts w:hint="default" w:ascii="仿宋_GB2312" w:hAnsi="仿宋_GB2312" w:eastAsia="仿宋_GB2312" w:cs="仿宋_GB2312"/>
          <w:b/>
          <w:bCs w:val="0"/>
          <w:w w:val="95"/>
          <w:kern w:val="0"/>
          <w:sz w:val="32"/>
          <w:szCs w:val="32"/>
          <w:lang w:val="en-US" w:eastAsia="zh-CN"/>
        </w:rPr>
      </w:pPr>
      <w:r>
        <w:rPr>
          <w:rFonts w:hint="eastAsia" w:ascii="仿宋_GB2312" w:hAnsi="仿宋_GB2312" w:cs="仿宋_GB2312"/>
          <w:b/>
          <w:bCs w:val="0"/>
          <w:w w:val="95"/>
          <w:kern w:val="0"/>
          <w:sz w:val="32"/>
          <w:szCs w:val="32"/>
          <w:lang w:val="en-US" w:eastAsia="zh-CN"/>
        </w:rPr>
        <w:t>古县县委党校改扩建</w:t>
      </w:r>
    </w:p>
    <w:p w14:paraId="4CB3B460">
      <w:pPr>
        <w:spacing w:line="600" w:lineRule="exact"/>
        <w:ind w:firstLine="0" w:firstLineChars="0"/>
        <w:jc w:val="center"/>
        <w:rPr>
          <w:rFonts w:hint="eastAsia" w:ascii="仿宋_GB2312" w:hAnsi="仿宋_GB2312" w:eastAsia="仿宋_GB2312" w:cs="仿宋_GB2312"/>
          <w:b/>
          <w:bCs w:val="0"/>
          <w:w w:val="95"/>
          <w:sz w:val="32"/>
          <w:szCs w:val="32"/>
        </w:rPr>
      </w:pPr>
      <w:r>
        <w:rPr>
          <w:rFonts w:hint="eastAsia" w:ascii="仿宋_GB2312" w:hAnsi="仿宋_GB2312" w:eastAsia="仿宋_GB2312" w:cs="仿宋_GB2312"/>
          <w:b/>
          <w:bCs w:val="0"/>
          <w:w w:val="95"/>
          <w:kern w:val="0"/>
          <w:sz w:val="32"/>
          <w:szCs w:val="32"/>
        </w:rPr>
        <w:t>项目合规性检查报告</w:t>
      </w:r>
    </w:p>
    <w:p w14:paraId="2B67EA6F">
      <w:pPr>
        <w:ind w:firstLine="640"/>
        <w:rPr>
          <w:rFonts w:ascii="仿宋_GB2312"/>
        </w:rPr>
      </w:pPr>
      <w:r>
        <w:rPr>
          <w:rFonts w:hint="eastAsia" w:ascii="仿宋_GB2312"/>
        </w:rPr>
        <w:t>为保证</w:t>
      </w:r>
      <w:r>
        <w:rPr>
          <w:rFonts w:hint="eastAsia" w:ascii="仿宋_GB2312"/>
          <w:lang w:eastAsia="zh-CN"/>
        </w:rPr>
        <w:t>古县县委党校改扩建项目</w:t>
      </w:r>
      <w:r>
        <w:rPr>
          <w:rFonts w:hint="eastAsia" w:ascii="仿宋_GB2312"/>
        </w:rPr>
        <w:t>在资金拨付、资金支出、财务管理等方面的规范性，评价组对</w:t>
      </w:r>
      <w:r>
        <w:rPr>
          <w:rFonts w:hint="eastAsia" w:ascii="仿宋_GB2312"/>
          <w:lang w:eastAsia="zh-CN"/>
        </w:rPr>
        <w:t>古县县委党校改扩建项目</w:t>
      </w:r>
      <w:r>
        <w:rPr>
          <w:rFonts w:hint="eastAsia" w:ascii="仿宋_GB2312"/>
        </w:rPr>
        <w:t>财政支出资金使用及实施管理展开合规性检查。</w:t>
      </w:r>
    </w:p>
    <w:p w14:paraId="7BF78D44">
      <w:pPr>
        <w:ind w:firstLine="640"/>
        <w:rPr>
          <w:rFonts w:ascii="仿宋_GB2312"/>
        </w:rPr>
      </w:pPr>
      <w:r>
        <w:rPr>
          <w:rFonts w:hint="eastAsia" w:ascii="仿宋_GB2312"/>
        </w:rPr>
        <w:t>一、合规性检查对象</w:t>
      </w:r>
    </w:p>
    <w:p w14:paraId="117F7D87">
      <w:pPr>
        <w:ind w:firstLine="640"/>
        <w:rPr>
          <w:rFonts w:ascii="仿宋_GB2312"/>
        </w:rPr>
      </w:pPr>
      <w:r>
        <w:rPr>
          <w:rFonts w:hint="eastAsia" w:ascii="仿宋_GB2312"/>
        </w:rPr>
        <w:t>本次检查对象为</w:t>
      </w:r>
      <w:r>
        <w:rPr>
          <w:rFonts w:hint="eastAsia" w:ascii="仿宋_GB2312"/>
          <w:lang w:eastAsia="zh-CN"/>
        </w:rPr>
        <w:t>古县县委党校改扩建项目</w:t>
      </w:r>
      <w:r>
        <w:rPr>
          <w:rFonts w:hint="eastAsia" w:ascii="仿宋_GB2312"/>
        </w:rPr>
        <w:t>财政支出资金，共计资金数额</w:t>
      </w:r>
      <w:r>
        <w:rPr>
          <w:rFonts w:hint="eastAsia" w:ascii="仿宋_GB2312"/>
          <w:lang w:val="en-US" w:eastAsia="zh-CN"/>
        </w:rPr>
        <w:t>1000</w:t>
      </w:r>
      <w:r>
        <w:rPr>
          <w:rFonts w:hint="eastAsia" w:ascii="仿宋_GB2312"/>
        </w:rPr>
        <w:t>万元。</w:t>
      </w:r>
    </w:p>
    <w:p w14:paraId="2F02A55A">
      <w:pPr>
        <w:ind w:firstLine="640"/>
        <w:rPr>
          <w:rFonts w:ascii="仿宋_GB2312"/>
        </w:rPr>
      </w:pPr>
      <w:r>
        <w:rPr>
          <w:rFonts w:hint="eastAsia" w:ascii="仿宋_GB2312"/>
        </w:rPr>
        <w:t xml:space="preserve">二、合规性检查内容 </w:t>
      </w:r>
    </w:p>
    <w:p w14:paraId="635FC023">
      <w:pPr>
        <w:ind w:firstLine="640"/>
        <w:rPr>
          <w:rFonts w:ascii="仿宋_GB2312"/>
        </w:rPr>
      </w:pPr>
      <w:r>
        <w:rPr>
          <w:rFonts w:hint="eastAsia" w:ascii="仿宋_GB2312"/>
        </w:rPr>
        <w:t>本次合规性检查内容包括资金拨付、资金支出、财务管理等，目的在于深入了解项目资金使用是否符合相关法律法规、制度和规定，用以发现配套资金在资金使用的规范性和安全性上存在的问题。</w:t>
      </w:r>
    </w:p>
    <w:p w14:paraId="162FFCDC">
      <w:pPr>
        <w:ind w:firstLine="640"/>
        <w:rPr>
          <w:rFonts w:ascii="仿宋_GB2312"/>
        </w:rPr>
      </w:pPr>
      <w:r>
        <w:rPr>
          <w:rFonts w:hint="eastAsia" w:ascii="仿宋_GB2312"/>
        </w:rPr>
        <w:t>三.合规性检查方法</w:t>
      </w:r>
    </w:p>
    <w:p w14:paraId="6BB86AC0">
      <w:pPr>
        <w:ind w:firstLine="640"/>
        <w:rPr>
          <w:rFonts w:ascii="仿宋_GB2312"/>
        </w:rPr>
      </w:pPr>
      <w:r>
        <w:rPr>
          <w:rFonts w:hint="eastAsia" w:ascii="仿宋_GB2312"/>
        </w:rPr>
        <w:t>本次合规性检查通过现场核查的方式开展，</w:t>
      </w:r>
      <w:r>
        <w:rPr>
          <w:rFonts w:hint="eastAsia" w:ascii="仿宋_GB2312"/>
          <w:lang w:val="en-US" w:eastAsia="zh-CN"/>
        </w:rPr>
        <w:t>按照工作方案中的抽样结果，评价组对教育科技局开展实地调研，对于资金收支情况，按照不少于总资金30%进行抽查</w:t>
      </w:r>
      <w:r>
        <w:rPr>
          <w:rFonts w:hint="eastAsia" w:ascii="仿宋_GB2312"/>
        </w:rPr>
        <w:t>。</w:t>
      </w:r>
    </w:p>
    <w:p w14:paraId="58FD5C4F">
      <w:pPr>
        <w:ind w:firstLine="640"/>
        <w:rPr>
          <w:rFonts w:ascii="仿宋_GB2312"/>
        </w:rPr>
      </w:pPr>
      <w:r>
        <w:rPr>
          <w:rFonts w:hint="eastAsia" w:ascii="仿宋_GB2312"/>
        </w:rPr>
        <w:t>四、合规性检查情况</w:t>
      </w:r>
    </w:p>
    <w:p w14:paraId="39F2B58C">
      <w:pPr>
        <w:ind w:firstLine="640"/>
        <w:rPr>
          <w:rFonts w:ascii="仿宋_GB2312"/>
        </w:rPr>
      </w:pPr>
      <w:r>
        <w:rPr>
          <w:rFonts w:hint="eastAsia" w:ascii="仿宋_GB2312"/>
        </w:rPr>
        <w:t>（一）资金拨付、支出情况</w:t>
      </w:r>
    </w:p>
    <w:p w14:paraId="0797F33A">
      <w:pPr>
        <w:ind w:firstLine="640"/>
        <w:rPr>
          <w:rFonts w:ascii="仿宋_GB2312"/>
        </w:rPr>
      </w:pPr>
      <w:r>
        <w:rPr>
          <w:rFonts w:hint="eastAsia" w:ascii="仿宋_GB2312"/>
        </w:rPr>
        <w:t>1.资金拨付</w:t>
      </w:r>
    </w:p>
    <w:p w14:paraId="0F1EFFFE">
      <w:pPr>
        <w:ind w:firstLine="640"/>
        <w:rPr>
          <w:rFonts w:ascii="仿宋_GB2312"/>
        </w:rPr>
      </w:pPr>
      <w:r>
        <w:rPr>
          <w:rFonts w:hint="eastAsia" w:ascii="仿宋_GB2312"/>
          <w:lang w:eastAsia="zh-CN"/>
        </w:rPr>
        <w:t>古县财政局</w:t>
      </w:r>
      <w:r>
        <w:rPr>
          <w:rFonts w:hint="eastAsia" w:ascii="仿宋_GB2312"/>
          <w:lang w:val="en-US" w:eastAsia="zh-CN"/>
        </w:rPr>
        <w:t>古</w:t>
      </w:r>
      <w:r>
        <w:rPr>
          <w:rFonts w:hint="eastAsia" w:ascii="仿宋_GB2312"/>
          <w:lang w:eastAsia="zh-CN"/>
        </w:rPr>
        <w:t>财</w:t>
      </w:r>
      <w:r>
        <w:rPr>
          <w:rFonts w:hint="eastAsia" w:ascii="仿宋_GB2312"/>
          <w:lang w:val="en-US" w:eastAsia="zh-CN"/>
        </w:rPr>
        <w:t>预</w:t>
      </w:r>
      <w:r>
        <w:rPr>
          <w:rFonts w:hint="eastAsia" w:ascii="仿宋_GB2312"/>
          <w:lang w:eastAsia="zh-CN"/>
        </w:rPr>
        <w:t>〔2021〕</w:t>
      </w:r>
      <w:r>
        <w:rPr>
          <w:rFonts w:hint="eastAsia" w:ascii="仿宋_GB2312"/>
          <w:lang w:val="en-US" w:eastAsia="zh-CN"/>
        </w:rPr>
        <w:t>2</w:t>
      </w:r>
      <w:r>
        <w:rPr>
          <w:rFonts w:hint="eastAsia" w:ascii="仿宋_GB2312"/>
          <w:lang w:eastAsia="zh-CN"/>
        </w:rPr>
        <w:t>号、</w:t>
      </w:r>
      <w:r>
        <w:rPr>
          <w:rFonts w:hint="eastAsia" w:ascii="仿宋_GB2312" w:eastAsia="仿宋_GB2312"/>
          <w:szCs w:val="21"/>
          <w:lang w:val="en-US" w:eastAsia="zh-CN"/>
        </w:rPr>
        <w:t>古</w:t>
      </w:r>
      <w:r>
        <w:rPr>
          <w:rFonts w:hint="eastAsia" w:ascii="仿宋_GB2312" w:eastAsia="仿宋_GB2312"/>
          <w:szCs w:val="21"/>
        </w:rPr>
        <w:t>财</w:t>
      </w:r>
      <w:r>
        <w:rPr>
          <w:rFonts w:hint="eastAsia" w:ascii="仿宋_GB2312" w:eastAsia="仿宋_GB2312"/>
          <w:szCs w:val="21"/>
          <w:lang w:val="en-US" w:eastAsia="zh-CN"/>
        </w:rPr>
        <w:t>预</w:t>
      </w:r>
      <w:r>
        <w:rPr>
          <w:rFonts w:hint="eastAsia" w:ascii="仿宋_GB2312" w:eastAsia="仿宋_GB2312"/>
          <w:szCs w:val="21"/>
        </w:rPr>
        <w:t>〔2021〕</w:t>
      </w:r>
      <w:r>
        <w:rPr>
          <w:rFonts w:hint="eastAsia" w:ascii="仿宋_GB2312" w:eastAsia="仿宋_GB2312"/>
          <w:szCs w:val="21"/>
          <w:lang w:val="en-US" w:eastAsia="zh-CN"/>
        </w:rPr>
        <w:t>307</w:t>
      </w:r>
      <w:r>
        <w:rPr>
          <w:rFonts w:hint="eastAsia" w:ascii="仿宋_GB2312" w:eastAsia="仿宋_GB2312"/>
          <w:szCs w:val="21"/>
        </w:rPr>
        <w:t>号</w:t>
      </w:r>
      <w:r>
        <w:rPr>
          <w:rFonts w:hint="eastAsia" w:ascii="仿宋_GB2312"/>
        </w:rPr>
        <w:t>共下达</w:t>
      </w:r>
      <w:r>
        <w:rPr>
          <w:rFonts w:hint="eastAsia" w:ascii="仿宋_GB2312"/>
          <w:lang w:val="en-US" w:eastAsia="zh-CN"/>
        </w:rPr>
        <w:t>中央</w:t>
      </w:r>
      <w:r>
        <w:rPr>
          <w:rFonts w:hint="eastAsia" w:ascii="仿宋_GB2312"/>
        </w:rPr>
        <w:t>资金</w:t>
      </w:r>
      <w:r>
        <w:rPr>
          <w:rFonts w:hint="eastAsia" w:ascii="仿宋_GB2312"/>
          <w:lang w:val="en-US" w:eastAsia="zh-CN"/>
        </w:rPr>
        <w:t>1000</w:t>
      </w:r>
      <w:r>
        <w:rPr>
          <w:rFonts w:hint="eastAsia" w:ascii="仿宋_GB2312"/>
        </w:rPr>
        <w:t>万元。</w:t>
      </w:r>
    </w:p>
    <w:p w14:paraId="0D75CE50">
      <w:pPr>
        <w:ind w:firstLine="640"/>
        <w:rPr>
          <w:rFonts w:ascii="仿宋_GB2312"/>
        </w:rPr>
      </w:pPr>
      <w:r>
        <w:rPr>
          <w:rFonts w:hint="eastAsia" w:ascii="仿宋_GB2312"/>
        </w:rPr>
        <w:t>2.项目支出</w:t>
      </w:r>
    </w:p>
    <w:p w14:paraId="7B3DE363">
      <w:pPr>
        <w:ind w:firstLine="640"/>
        <w:rPr>
          <w:rFonts w:hint="eastAsia" w:ascii="仿宋_GB2312"/>
          <w:lang w:val="en-US" w:eastAsia="zh-CN"/>
        </w:rPr>
      </w:pPr>
      <w:r>
        <w:rPr>
          <w:rFonts w:hint="eastAsia" w:ascii="仿宋_GB2312"/>
          <w:lang w:val="en-US" w:eastAsia="zh-CN"/>
        </w:rPr>
        <w:t>本项目资金由财政直接支付，支付流程：由项目施工方向实施单位申请支付，实施单位向市财政局申请拨付，申请批复后资金由财政局拨付到实施单位，支付由实施单位通过国库支付中心直接支付，本项目申请资金1000万元，下达资金1000万元，实际支付金额为1000万元。</w:t>
      </w:r>
    </w:p>
    <w:p w14:paraId="1B780402">
      <w:pPr>
        <w:ind w:firstLine="640"/>
        <w:rPr>
          <w:rFonts w:ascii="仿宋_GB2312"/>
        </w:rPr>
      </w:pPr>
      <w:r>
        <w:rPr>
          <w:rFonts w:hint="eastAsia" w:ascii="仿宋_GB2312"/>
        </w:rPr>
        <w:t>（二）财务管理</w:t>
      </w:r>
    </w:p>
    <w:p w14:paraId="5E39047F">
      <w:pPr>
        <w:ind w:firstLine="640"/>
        <w:rPr>
          <w:rFonts w:ascii="仿宋_GB2312"/>
        </w:rPr>
      </w:pPr>
      <w:r>
        <w:rPr>
          <w:rFonts w:hint="eastAsia" w:ascii="仿宋_GB2312"/>
        </w:rPr>
        <w:t>经过实地调查，相关情况反映如下：</w:t>
      </w:r>
    </w:p>
    <w:p w14:paraId="660A5861">
      <w:pPr>
        <w:ind w:firstLine="640"/>
        <w:rPr>
          <w:rFonts w:ascii="仿宋_GB2312"/>
        </w:rPr>
      </w:pPr>
      <w:r>
        <w:rPr>
          <w:rFonts w:hint="eastAsia" w:ascii="仿宋_GB2312"/>
          <w:lang w:eastAsia="zh-CN"/>
        </w:rPr>
        <w:t>中国共产党古县委员会</w:t>
      </w:r>
      <w:r>
        <w:rPr>
          <w:rFonts w:hint="eastAsia" w:ascii="仿宋_GB2312"/>
        </w:rPr>
        <w:t>财务科各岗位不兼容，记账，报审、审批各司其职；资金支出有</w:t>
      </w:r>
      <w:r>
        <w:rPr>
          <w:rFonts w:hint="eastAsia" w:ascii="仿宋_GB2312"/>
          <w:lang w:val="en-US" w:eastAsia="zh-CN"/>
        </w:rPr>
        <w:t>主管</w:t>
      </w:r>
      <w:r>
        <w:rPr>
          <w:rFonts w:hint="eastAsia" w:ascii="仿宋_GB2312"/>
        </w:rPr>
        <w:t>单位项目负责人和财务负责人审核签字。</w:t>
      </w:r>
    </w:p>
    <w:p w14:paraId="12389680">
      <w:pPr>
        <w:ind w:firstLine="640"/>
        <w:rPr>
          <w:rFonts w:ascii="仿宋_GB2312"/>
        </w:rPr>
      </w:pPr>
      <w:r>
        <w:rPr>
          <w:rFonts w:hint="eastAsia" w:ascii="仿宋_GB2312"/>
        </w:rPr>
        <w:t>五、检查结论</w:t>
      </w:r>
    </w:p>
    <w:p w14:paraId="2B34CBCC">
      <w:pPr>
        <w:ind w:firstLine="640"/>
        <w:rPr>
          <w:rFonts w:hint="eastAsia" w:eastAsia="仿宋_GB2312"/>
          <w:lang w:eastAsia="zh-CN"/>
        </w:rPr>
      </w:pPr>
      <w:r>
        <w:rPr>
          <w:rFonts w:hint="eastAsia" w:ascii="仿宋_GB2312"/>
          <w:lang w:eastAsia="zh-CN"/>
        </w:rPr>
        <w:t>古县县委党校改扩建项目</w:t>
      </w:r>
      <w:r>
        <w:rPr>
          <w:rFonts w:hint="eastAsia" w:ascii="仿宋_GB2312"/>
        </w:rPr>
        <w:t>财政拨付</w:t>
      </w:r>
      <w:r>
        <w:rPr>
          <w:rFonts w:hint="eastAsia" w:ascii="仿宋_GB2312"/>
          <w:lang w:val="en-US" w:eastAsia="zh-CN"/>
        </w:rPr>
        <w:t>1000</w:t>
      </w:r>
      <w:r>
        <w:rPr>
          <w:rFonts w:hint="eastAsia" w:ascii="仿宋_GB2312"/>
        </w:rPr>
        <w:t>万元，</w:t>
      </w:r>
      <w:r>
        <w:rPr>
          <w:rFonts w:hint="eastAsia" w:ascii="仿宋_GB2312"/>
          <w:lang w:val="en-US" w:eastAsia="zh-CN"/>
        </w:rPr>
        <w:t>全部为市级</w:t>
      </w:r>
      <w:r>
        <w:rPr>
          <w:rFonts w:hint="eastAsia" w:ascii="仿宋_GB2312"/>
        </w:rPr>
        <w:t>资金，截止评价基准日（2021年12月31日），实际支出金额为</w:t>
      </w:r>
      <w:r>
        <w:rPr>
          <w:rFonts w:hint="eastAsia" w:ascii="仿宋_GB2312"/>
          <w:lang w:val="en-US" w:eastAsia="zh-CN"/>
        </w:rPr>
        <w:t>1000</w:t>
      </w:r>
      <w:r>
        <w:rPr>
          <w:rFonts w:hint="eastAsia" w:ascii="仿宋_GB2312"/>
        </w:rPr>
        <w:t>万元</w:t>
      </w:r>
      <w:r>
        <w:rPr>
          <w:rFonts w:hint="eastAsia" w:ascii="仿宋_GB2312"/>
          <w:lang w:eastAsia="zh-CN"/>
        </w:rPr>
        <w:t>。</w:t>
      </w:r>
    </w:p>
    <w:p w14:paraId="416AB11E">
      <w:pPr>
        <w:ind w:firstLine="0" w:firstLineChars="0"/>
        <w:rPr>
          <w:bCs/>
          <w:szCs w:val="32"/>
        </w:rPr>
        <w:sectPr>
          <w:pgSz w:w="11906" w:h="16838"/>
          <w:pgMar w:top="1440" w:right="1800" w:bottom="1440" w:left="1800" w:header="851" w:footer="992" w:gutter="0"/>
          <w:cols w:space="425" w:num="1"/>
          <w:docGrid w:type="lines" w:linePitch="312" w:charSpace="0"/>
        </w:sectPr>
      </w:pPr>
    </w:p>
    <w:p w14:paraId="4206097B">
      <w:pPr>
        <w:pStyle w:val="2"/>
        <w:spacing w:beforeLines="100" w:afterLines="100"/>
        <w:ind w:firstLine="0" w:firstLineChars="0"/>
        <w:jc w:val="center"/>
        <w:rPr>
          <w:rFonts w:ascii="方正小标宋简体" w:eastAsia="方正小标宋简体"/>
          <w:bCs/>
          <w:sz w:val="36"/>
          <w:szCs w:val="36"/>
        </w:rPr>
      </w:pPr>
      <w:r>
        <w:rPr>
          <w:rFonts w:hint="eastAsia" w:ascii="方正小标宋简体" w:eastAsia="方正小标宋简体"/>
          <w:bCs/>
          <w:sz w:val="36"/>
          <w:szCs w:val="36"/>
        </w:rPr>
        <w:t>合规性检查表</w:t>
      </w:r>
    </w:p>
    <w:tbl>
      <w:tblPr>
        <w:tblStyle w:val="19"/>
        <w:tblW w:w="4997"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821"/>
        <w:gridCol w:w="4302"/>
        <w:gridCol w:w="1956"/>
        <w:gridCol w:w="1438"/>
      </w:tblGrid>
      <w:tr w14:paraId="66D928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blHeader/>
          <w:jc w:val="center"/>
        </w:trPr>
        <w:tc>
          <w:tcPr>
            <w:tcW w:w="482" w:type="pct"/>
            <w:shd w:val="clear" w:color="auto" w:fill="FFFFFF" w:themeFill="background1"/>
            <w:vAlign w:val="center"/>
          </w:tcPr>
          <w:p w14:paraId="1DA3DA48">
            <w:pPr>
              <w:widowControl/>
              <w:snapToGrid w:val="0"/>
              <w:spacing w:line="240" w:lineRule="auto"/>
              <w:ind w:firstLine="0" w:firstLineChars="0"/>
              <w:jc w:val="center"/>
              <w:rPr>
                <w:rFonts w:ascii="仿宋_GB2312"/>
                <w:b/>
                <w:bCs/>
                <w:kern w:val="0"/>
                <w:sz w:val="24"/>
              </w:rPr>
            </w:pPr>
            <w:r>
              <w:rPr>
                <w:rFonts w:hint="eastAsia" w:ascii="仿宋_GB2312"/>
                <w:b/>
                <w:bCs/>
                <w:kern w:val="0"/>
                <w:sz w:val="24"/>
              </w:rPr>
              <w:t>项目</w:t>
            </w:r>
          </w:p>
        </w:tc>
        <w:tc>
          <w:tcPr>
            <w:tcW w:w="2525" w:type="pct"/>
            <w:shd w:val="clear" w:color="auto" w:fill="FFFFFF" w:themeFill="background1"/>
            <w:vAlign w:val="center"/>
          </w:tcPr>
          <w:p w14:paraId="04CCC36E">
            <w:pPr>
              <w:widowControl/>
              <w:snapToGrid w:val="0"/>
              <w:spacing w:line="240" w:lineRule="auto"/>
              <w:ind w:firstLine="0" w:firstLineChars="0"/>
              <w:jc w:val="center"/>
              <w:rPr>
                <w:rFonts w:ascii="仿宋_GB2312"/>
                <w:b/>
                <w:bCs/>
                <w:kern w:val="0"/>
                <w:sz w:val="24"/>
              </w:rPr>
            </w:pPr>
            <w:r>
              <w:rPr>
                <w:rFonts w:hint="eastAsia" w:ascii="仿宋_GB2312"/>
                <w:b/>
                <w:bCs/>
                <w:kern w:val="0"/>
                <w:sz w:val="24"/>
              </w:rPr>
              <w:t>需提供资料</w:t>
            </w:r>
          </w:p>
        </w:tc>
        <w:tc>
          <w:tcPr>
            <w:tcW w:w="1148" w:type="pct"/>
            <w:shd w:val="clear" w:color="auto" w:fill="FFFFFF" w:themeFill="background1"/>
            <w:vAlign w:val="center"/>
          </w:tcPr>
          <w:p w14:paraId="1221EE06">
            <w:pPr>
              <w:widowControl/>
              <w:snapToGrid w:val="0"/>
              <w:spacing w:line="240" w:lineRule="auto"/>
              <w:ind w:firstLine="0" w:firstLineChars="0"/>
              <w:jc w:val="center"/>
              <w:rPr>
                <w:rFonts w:ascii="仿宋_GB2312"/>
                <w:b/>
                <w:bCs/>
                <w:kern w:val="0"/>
                <w:sz w:val="24"/>
              </w:rPr>
            </w:pPr>
            <w:r>
              <w:rPr>
                <w:rFonts w:hint="eastAsia" w:ascii="仿宋_GB2312"/>
                <w:b/>
                <w:bCs/>
                <w:kern w:val="0"/>
                <w:sz w:val="24"/>
              </w:rPr>
              <w:t>检查内容</w:t>
            </w:r>
          </w:p>
        </w:tc>
        <w:tc>
          <w:tcPr>
            <w:tcW w:w="844" w:type="pct"/>
            <w:shd w:val="clear" w:color="auto" w:fill="FFFFFF" w:themeFill="background1"/>
            <w:vAlign w:val="center"/>
          </w:tcPr>
          <w:p w14:paraId="4DE8D67F">
            <w:pPr>
              <w:widowControl/>
              <w:snapToGrid w:val="0"/>
              <w:spacing w:line="240" w:lineRule="auto"/>
              <w:ind w:firstLine="0" w:firstLineChars="0"/>
              <w:jc w:val="center"/>
              <w:rPr>
                <w:rFonts w:ascii="仿宋_GB2312"/>
                <w:b/>
                <w:bCs/>
                <w:kern w:val="0"/>
                <w:sz w:val="24"/>
              </w:rPr>
            </w:pPr>
            <w:r>
              <w:rPr>
                <w:rFonts w:hint="eastAsia" w:ascii="仿宋_GB2312"/>
                <w:b/>
                <w:bCs/>
                <w:kern w:val="0"/>
                <w:sz w:val="24"/>
              </w:rPr>
              <w:t>是否提供有效原件（√/×）</w:t>
            </w:r>
          </w:p>
        </w:tc>
      </w:tr>
      <w:tr w14:paraId="28C1EF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482" w:type="pct"/>
            <w:vMerge w:val="restart"/>
            <w:shd w:val="clear" w:color="auto" w:fill="auto"/>
            <w:vAlign w:val="center"/>
          </w:tcPr>
          <w:p w14:paraId="48CA3FCD">
            <w:pPr>
              <w:widowControl/>
              <w:snapToGrid w:val="0"/>
              <w:spacing w:line="240" w:lineRule="auto"/>
              <w:ind w:firstLine="0" w:firstLineChars="0"/>
              <w:jc w:val="center"/>
              <w:rPr>
                <w:rFonts w:ascii="仿宋_GB2312"/>
                <w:kern w:val="0"/>
                <w:sz w:val="24"/>
              </w:rPr>
            </w:pPr>
            <w:r>
              <w:rPr>
                <w:rFonts w:hint="eastAsia" w:ascii="仿宋_GB2312"/>
                <w:kern w:val="0"/>
                <w:sz w:val="24"/>
              </w:rPr>
              <w:t>资金拨付</w:t>
            </w:r>
          </w:p>
        </w:tc>
        <w:tc>
          <w:tcPr>
            <w:tcW w:w="2525" w:type="pct"/>
            <w:shd w:val="clear" w:color="auto" w:fill="auto"/>
            <w:vAlign w:val="center"/>
          </w:tcPr>
          <w:p w14:paraId="14AB0C25">
            <w:pPr>
              <w:widowControl/>
              <w:snapToGrid w:val="0"/>
              <w:spacing w:line="240" w:lineRule="auto"/>
              <w:ind w:firstLine="0" w:firstLineChars="0"/>
              <w:jc w:val="left"/>
              <w:rPr>
                <w:rFonts w:ascii="仿宋_GB2312"/>
                <w:kern w:val="0"/>
                <w:sz w:val="24"/>
              </w:rPr>
            </w:pPr>
            <w:r>
              <w:rPr>
                <w:rFonts w:hint="eastAsia" w:ascii="仿宋_GB2312"/>
                <w:kern w:val="0"/>
                <w:sz w:val="24"/>
              </w:rPr>
              <w:t>项目资金的申请资料（项目经费调整申请及批复）</w:t>
            </w:r>
          </w:p>
        </w:tc>
        <w:tc>
          <w:tcPr>
            <w:tcW w:w="1148" w:type="pct"/>
            <w:shd w:val="clear" w:color="auto" w:fill="auto"/>
            <w:vAlign w:val="center"/>
          </w:tcPr>
          <w:p w14:paraId="61B93666">
            <w:pPr>
              <w:widowControl/>
              <w:snapToGrid w:val="0"/>
              <w:spacing w:line="240" w:lineRule="auto"/>
              <w:ind w:firstLine="0" w:firstLineChars="0"/>
              <w:jc w:val="left"/>
              <w:rPr>
                <w:rFonts w:ascii="仿宋_GB2312"/>
                <w:kern w:val="0"/>
                <w:sz w:val="24"/>
              </w:rPr>
            </w:pPr>
            <w:r>
              <w:rPr>
                <w:rFonts w:hint="eastAsia" w:ascii="仿宋_GB2312"/>
                <w:kern w:val="0"/>
                <w:sz w:val="24"/>
              </w:rPr>
              <w:t>是否有资金申请报告、</w:t>
            </w:r>
          </w:p>
          <w:p w14:paraId="2AF0D960">
            <w:pPr>
              <w:widowControl/>
              <w:snapToGrid w:val="0"/>
              <w:spacing w:line="240" w:lineRule="auto"/>
              <w:ind w:firstLine="0" w:firstLineChars="0"/>
              <w:jc w:val="left"/>
              <w:rPr>
                <w:rFonts w:ascii="仿宋_GB2312"/>
                <w:kern w:val="0"/>
                <w:sz w:val="24"/>
              </w:rPr>
            </w:pPr>
            <w:r>
              <w:rPr>
                <w:rFonts w:hint="eastAsia" w:ascii="仿宋_GB2312"/>
                <w:kern w:val="0"/>
                <w:sz w:val="24"/>
              </w:rPr>
              <w:t>资金调整情况</w:t>
            </w:r>
          </w:p>
        </w:tc>
        <w:tc>
          <w:tcPr>
            <w:tcW w:w="844" w:type="pct"/>
            <w:shd w:val="clear" w:color="auto" w:fill="auto"/>
            <w:vAlign w:val="center"/>
          </w:tcPr>
          <w:p w14:paraId="6667FAB8">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r w14:paraId="1D7178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2" w:hRule="atLeast"/>
          <w:jc w:val="center"/>
        </w:trPr>
        <w:tc>
          <w:tcPr>
            <w:tcW w:w="482" w:type="pct"/>
            <w:vMerge w:val="continue"/>
            <w:shd w:val="clear" w:color="auto" w:fill="auto"/>
            <w:vAlign w:val="center"/>
          </w:tcPr>
          <w:p w14:paraId="7286D087">
            <w:pPr>
              <w:widowControl/>
              <w:snapToGrid w:val="0"/>
              <w:spacing w:line="240" w:lineRule="auto"/>
              <w:ind w:firstLine="0" w:firstLineChars="0"/>
              <w:jc w:val="center"/>
              <w:rPr>
                <w:rFonts w:ascii="仿宋_GB2312"/>
                <w:kern w:val="0"/>
                <w:sz w:val="24"/>
              </w:rPr>
            </w:pPr>
          </w:p>
        </w:tc>
        <w:tc>
          <w:tcPr>
            <w:tcW w:w="2525" w:type="pct"/>
            <w:shd w:val="clear" w:color="auto" w:fill="auto"/>
            <w:vAlign w:val="center"/>
          </w:tcPr>
          <w:p w14:paraId="52AAE393">
            <w:pPr>
              <w:widowControl/>
              <w:snapToGrid w:val="0"/>
              <w:spacing w:line="240" w:lineRule="auto"/>
              <w:ind w:firstLine="0" w:firstLineChars="0"/>
              <w:jc w:val="left"/>
              <w:rPr>
                <w:rFonts w:ascii="仿宋_GB2312"/>
                <w:kern w:val="0"/>
                <w:sz w:val="24"/>
              </w:rPr>
            </w:pPr>
            <w:r>
              <w:rPr>
                <w:rFonts w:hint="eastAsia" w:ascii="仿宋_GB2312"/>
                <w:kern w:val="0"/>
                <w:sz w:val="24"/>
              </w:rPr>
              <w:t>财政资金下达通知及相关文件</w:t>
            </w:r>
          </w:p>
        </w:tc>
        <w:tc>
          <w:tcPr>
            <w:tcW w:w="1148" w:type="pct"/>
            <w:shd w:val="clear" w:color="auto" w:fill="auto"/>
            <w:vAlign w:val="center"/>
          </w:tcPr>
          <w:p w14:paraId="5FA2F736">
            <w:pPr>
              <w:widowControl/>
              <w:snapToGrid w:val="0"/>
              <w:spacing w:line="240" w:lineRule="auto"/>
              <w:ind w:firstLine="0" w:firstLineChars="0"/>
              <w:jc w:val="left"/>
              <w:rPr>
                <w:rFonts w:ascii="仿宋_GB2312"/>
                <w:kern w:val="0"/>
                <w:sz w:val="24"/>
              </w:rPr>
            </w:pPr>
            <w:r>
              <w:rPr>
                <w:rFonts w:hint="eastAsia" w:ascii="仿宋_GB2312"/>
                <w:kern w:val="0"/>
                <w:sz w:val="24"/>
              </w:rPr>
              <w:t>资金拨付是否合规</w:t>
            </w:r>
          </w:p>
        </w:tc>
        <w:tc>
          <w:tcPr>
            <w:tcW w:w="844" w:type="pct"/>
            <w:shd w:val="clear" w:color="auto" w:fill="auto"/>
            <w:vAlign w:val="center"/>
          </w:tcPr>
          <w:p w14:paraId="59D80695">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r w14:paraId="3688BD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3" w:hRule="atLeast"/>
          <w:jc w:val="center"/>
        </w:trPr>
        <w:tc>
          <w:tcPr>
            <w:tcW w:w="482" w:type="pct"/>
            <w:vMerge w:val="continue"/>
            <w:shd w:val="clear" w:color="auto" w:fill="auto"/>
            <w:vAlign w:val="center"/>
          </w:tcPr>
          <w:p w14:paraId="7C76B5ED">
            <w:pPr>
              <w:widowControl/>
              <w:snapToGrid w:val="0"/>
              <w:spacing w:line="240" w:lineRule="auto"/>
              <w:ind w:firstLine="0" w:firstLineChars="0"/>
              <w:jc w:val="center"/>
              <w:rPr>
                <w:rFonts w:ascii="仿宋_GB2312"/>
                <w:kern w:val="0"/>
                <w:sz w:val="24"/>
              </w:rPr>
            </w:pPr>
          </w:p>
        </w:tc>
        <w:tc>
          <w:tcPr>
            <w:tcW w:w="2525" w:type="pct"/>
            <w:shd w:val="clear" w:color="auto" w:fill="auto"/>
            <w:vAlign w:val="center"/>
          </w:tcPr>
          <w:p w14:paraId="76983115">
            <w:pPr>
              <w:widowControl/>
              <w:snapToGrid w:val="0"/>
              <w:spacing w:line="240" w:lineRule="auto"/>
              <w:ind w:firstLine="0" w:firstLineChars="0"/>
              <w:jc w:val="left"/>
              <w:rPr>
                <w:rFonts w:ascii="仿宋_GB2312"/>
                <w:kern w:val="0"/>
                <w:sz w:val="24"/>
              </w:rPr>
            </w:pPr>
            <w:r>
              <w:rPr>
                <w:rFonts w:hint="eastAsia" w:ascii="仿宋_GB2312"/>
                <w:kern w:val="0"/>
                <w:sz w:val="24"/>
              </w:rPr>
              <w:t>资金到账的会计账页、记账凭证及附件</w:t>
            </w:r>
          </w:p>
        </w:tc>
        <w:tc>
          <w:tcPr>
            <w:tcW w:w="1148" w:type="pct"/>
            <w:shd w:val="clear" w:color="auto" w:fill="auto"/>
            <w:vAlign w:val="center"/>
          </w:tcPr>
          <w:p w14:paraId="0D6C648A">
            <w:pPr>
              <w:widowControl/>
              <w:snapToGrid w:val="0"/>
              <w:spacing w:line="240" w:lineRule="auto"/>
              <w:ind w:firstLine="0" w:firstLineChars="0"/>
              <w:jc w:val="left"/>
              <w:rPr>
                <w:rFonts w:ascii="仿宋_GB2312"/>
                <w:kern w:val="0"/>
                <w:sz w:val="24"/>
              </w:rPr>
            </w:pPr>
            <w:r>
              <w:rPr>
                <w:rFonts w:hint="eastAsia" w:ascii="仿宋_GB2312"/>
                <w:kern w:val="0"/>
                <w:sz w:val="24"/>
              </w:rPr>
              <w:t>资金拨付明细</w:t>
            </w:r>
          </w:p>
        </w:tc>
        <w:tc>
          <w:tcPr>
            <w:tcW w:w="844" w:type="pct"/>
            <w:shd w:val="clear" w:color="auto" w:fill="auto"/>
            <w:vAlign w:val="center"/>
          </w:tcPr>
          <w:p w14:paraId="6B68AC63">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r w14:paraId="55254A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482" w:type="pct"/>
            <w:shd w:val="clear" w:color="auto" w:fill="auto"/>
            <w:vAlign w:val="center"/>
          </w:tcPr>
          <w:p w14:paraId="17082EBB">
            <w:pPr>
              <w:widowControl/>
              <w:snapToGrid w:val="0"/>
              <w:spacing w:line="240" w:lineRule="auto"/>
              <w:ind w:firstLine="0" w:firstLineChars="0"/>
              <w:jc w:val="center"/>
              <w:rPr>
                <w:rFonts w:ascii="仿宋_GB2312"/>
                <w:kern w:val="0"/>
                <w:sz w:val="24"/>
              </w:rPr>
            </w:pPr>
            <w:r>
              <w:rPr>
                <w:rFonts w:hint="eastAsia" w:ascii="仿宋_GB2312"/>
                <w:kern w:val="0"/>
                <w:sz w:val="24"/>
              </w:rPr>
              <w:t>资金支出</w:t>
            </w:r>
          </w:p>
        </w:tc>
        <w:tc>
          <w:tcPr>
            <w:tcW w:w="2525" w:type="pct"/>
            <w:shd w:val="clear" w:color="auto" w:fill="auto"/>
            <w:vAlign w:val="center"/>
          </w:tcPr>
          <w:p w14:paraId="3B4D0F7B">
            <w:pPr>
              <w:widowControl/>
              <w:snapToGrid w:val="0"/>
              <w:spacing w:line="240" w:lineRule="auto"/>
              <w:ind w:firstLine="0" w:firstLineChars="0"/>
              <w:jc w:val="left"/>
              <w:rPr>
                <w:rFonts w:ascii="仿宋_GB2312"/>
                <w:kern w:val="0"/>
                <w:sz w:val="24"/>
              </w:rPr>
            </w:pPr>
            <w:r>
              <w:rPr>
                <w:rFonts w:hint="eastAsia" w:ascii="仿宋_GB2312"/>
                <w:kern w:val="0"/>
                <w:sz w:val="24"/>
              </w:rPr>
              <w:t>专项资金核算科目的会计账页、支付凭证、资金支出明细、重大项目开支的审批资料</w:t>
            </w:r>
          </w:p>
        </w:tc>
        <w:tc>
          <w:tcPr>
            <w:tcW w:w="1148" w:type="pct"/>
            <w:shd w:val="clear" w:color="auto" w:fill="auto"/>
            <w:vAlign w:val="center"/>
          </w:tcPr>
          <w:p w14:paraId="529189F1">
            <w:pPr>
              <w:widowControl/>
              <w:snapToGrid w:val="0"/>
              <w:spacing w:line="240" w:lineRule="auto"/>
              <w:ind w:firstLine="0" w:firstLineChars="0"/>
              <w:jc w:val="left"/>
              <w:rPr>
                <w:rFonts w:ascii="仿宋_GB2312"/>
                <w:kern w:val="0"/>
                <w:sz w:val="24"/>
              </w:rPr>
            </w:pPr>
            <w:r>
              <w:rPr>
                <w:rFonts w:hint="eastAsia" w:ascii="仿宋_GB2312"/>
                <w:kern w:val="0"/>
                <w:sz w:val="24"/>
              </w:rPr>
              <w:t>资金使用是否合规</w:t>
            </w:r>
          </w:p>
        </w:tc>
        <w:tc>
          <w:tcPr>
            <w:tcW w:w="844" w:type="pct"/>
            <w:shd w:val="clear" w:color="auto" w:fill="auto"/>
            <w:vAlign w:val="center"/>
          </w:tcPr>
          <w:p w14:paraId="60413F90">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r w14:paraId="286AC5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4" w:hRule="atLeast"/>
          <w:jc w:val="center"/>
        </w:trPr>
        <w:tc>
          <w:tcPr>
            <w:tcW w:w="482" w:type="pct"/>
            <w:vMerge w:val="restart"/>
            <w:shd w:val="clear" w:color="auto" w:fill="auto"/>
            <w:vAlign w:val="center"/>
          </w:tcPr>
          <w:p w14:paraId="2B97D95A">
            <w:pPr>
              <w:widowControl/>
              <w:snapToGrid w:val="0"/>
              <w:spacing w:line="240" w:lineRule="auto"/>
              <w:ind w:firstLine="0" w:firstLineChars="0"/>
              <w:jc w:val="center"/>
              <w:rPr>
                <w:rFonts w:ascii="仿宋_GB2312"/>
                <w:kern w:val="0"/>
                <w:sz w:val="24"/>
              </w:rPr>
            </w:pPr>
            <w:r>
              <w:rPr>
                <w:rFonts w:hint="eastAsia" w:ascii="仿宋_GB2312"/>
                <w:kern w:val="0"/>
                <w:sz w:val="24"/>
              </w:rPr>
              <w:t>财务管理</w:t>
            </w:r>
          </w:p>
        </w:tc>
        <w:tc>
          <w:tcPr>
            <w:tcW w:w="2525" w:type="pct"/>
            <w:shd w:val="clear" w:color="auto" w:fill="auto"/>
            <w:vAlign w:val="center"/>
          </w:tcPr>
          <w:p w14:paraId="69B029BF">
            <w:pPr>
              <w:widowControl/>
              <w:snapToGrid w:val="0"/>
              <w:spacing w:line="240" w:lineRule="auto"/>
              <w:ind w:firstLine="0" w:firstLineChars="0"/>
              <w:jc w:val="left"/>
              <w:rPr>
                <w:rFonts w:ascii="仿宋_GB2312"/>
                <w:kern w:val="0"/>
                <w:sz w:val="24"/>
              </w:rPr>
            </w:pPr>
            <w:r>
              <w:rPr>
                <w:rFonts w:hint="eastAsia" w:ascii="仿宋_GB2312"/>
                <w:kern w:val="0"/>
                <w:sz w:val="24"/>
              </w:rPr>
              <w:t>专项资金管理制度或相关财务管理办法等</w:t>
            </w:r>
          </w:p>
        </w:tc>
        <w:tc>
          <w:tcPr>
            <w:tcW w:w="1148" w:type="pct"/>
            <w:shd w:val="clear" w:color="auto" w:fill="auto"/>
            <w:vAlign w:val="center"/>
          </w:tcPr>
          <w:p w14:paraId="6C7D832B">
            <w:pPr>
              <w:widowControl/>
              <w:snapToGrid w:val="0"/>
              <w:spacing w:line="240" w:lineRule="auto"/>
              <w:ind w:firstLine="0" w:firstLineChars="0"/>
              <w:jc w:val="left"/>
              <w:rPr>
                <w:rFonts w:ascii="仿宋_GB2312"/>
                <w:kern w:val="0"/>
                <w:sz w:val="24"/>
              </w:rPr>
            </w:pPr>
            <w:r>
              <w:rPr>
                <w:rFonts w:hint="eastAsia" w:ascii="仿宋_GB2312"/>
                <w:kern w:val="0"/>
                <w:sz w:val="24"/>
              </w:rPr>
              <w:t>财务管理制度是否健全</w:t>
            </w:r>
          </w:p>
        </w:tc>
        <w:tc>
          <w:tcPr>
            <w:tcW w:w="844" w:type="pct"/>
            <w:shd w:val="clear" w:color="auto" w:fill="auto"/>
            <w:vAlign w:val="center"/>
          </w:tcPr>
          <w:p w14:paraId="6669D339">
            <w:pPr>
              <w:widowControl/>
              <w:snapToGrid w:val="0"/>
              <w:spacing w:line="240" w:lineRule="auto"/>
              <w:ind w:firstLine="0" w:firstLineChars="0"/>
              <w:jc w:val="center"/>
              <w:rPr>
                <w:rFonts w:hint="eastAsia" w:ascii="仿宋_GB2312" w:eastAsia="仿宋_GB2312"/>
                <w:kern w:val="0"/>
                <w:sz w:val="24"/>
                <w:lang w:eastAsia="zh-CN"/>
              </w:rPr>
            </w:pPr>
            <w:r>
              <w:rPr>
                <w:rFonts w:hint="eastAsia" w:ascii="仿宋_GB2312"/>
                <w:b/>
                <w:bCs/>
                <w:kern w:val="0"/>
                <w:sz w:val="24"/>
                <w:lang w:val="en-US" w:eastAsia="zh-CN"/>
              </w:rPr>
              <w:t>×</w:t>
            </w:r>
          </w:p>
        </w:tc>
      </w:tr>
      <w:tr w14:paraId="2CCAE2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8" w:hRule="atLeast"/>
          <w:jc w:val="center"/>
        </w:trPr>
        <w:tc>
          <w:tcPr>
            <w:tcW w:w="482" w:type="pct"/>
            <w:vMerge w:val="continue"/>
            <w:shd w:val="clear" w:color="auto" w:fill="auto"/>
            <w:vAlign w:val="center"/>
          </w:tcPr>
          <w:p w14:paraId="5E17F58F">
            <w:pPr>
              <w:widowControl/>
              <w:snapToGrid w:val="0"/>
              <w:spacing w:line="240" w:lineRule="auto"/>
              <w:ind w:firstLine="0" w:firstLineChars="0"/>
              <w:jc w:val="left"/>
              <w:rPr>
                <w:rFonts w:ascii="仿宋_GB2312"/>
                <w:kern w:val="0"/>
                <w:sz w:val="24"/>
              </w:rPr>
            </w:pPr>
          </w:p>
        </w:tc>
        <w:tc>
          <w:tcPr>
            <w:tcW w:w="2525" w:type="pct"/>
            <w:shd w:val="clear" w:color="auto" w:fill="auto"/>
            <w:vAlign w:val="center"/>
          </w:tcPr>
          <w:p w14:paraId="1D7DFD27">
            <w:pPr>
              <w:widowControl/>
              <w:snapToGrid w:val="0"/>
              <w:spacing w:line="240" w:lineRule="auto"/>
              <w:ind w:firstLine="0" w:firstLineChars="0"/>
              <w:jc w:val="left"/>
              <w:rPr>
                <w:rFonts w:ascii="仿宋_GB2312"/>
                <w:kern w:val="0"/>
                <w:sz w:val="24"/>
              </w:rPr>
            </w:pPr>
            <w:r>
              <w:rPr>
                <w:rFonts w:hint="eastAsia" w:ascii="仿宋_GB2312"/>
                <w:kern w:val="0"/>
                <w:sz w:val="24"/>
              </w:rPr>
              <w:t>资金监控制度（措施）、记录或文件（专项审计报告）</w:t>
            </w:r>
          </w:p>
        </w:tc>
        <w:tc>
          <w:tcPr>
            <w:tcW w:w="1148" w:type="pct"/>
            <w:shd w:val="clear" w:color="auto" w:fill="auto"/>
            <w:vAlign w:val="center"/>
          </w:tcPr>
          <w:p w14:paraId="0B516CF2">
            <w:pPr>
              <w:widowControl/>
              <w:snapToGrid w:val="0"/>
              <w:spacing w:line="240" w:lineRule="auto"/>
              <w:ind w:firstLine="0" w:firstLineChars="0"/>
              <w:jc w:val="left"/>
              <w:rPr>
                <w:rFonts w:ascii="仿宋_GB2312"/>
                <w:kern w:val="0"/>
                <w:sz w:val="24"/>
              </w:rPr>
            </w:pPr>
            <w:r>
              <w:rPr>
                <w:rFonts w:hint="eastAsia" w:ascii="仿宋_GB2312"/>
                <w:kern w:val="0"/>
                <w:sz w:val="24"/>
              </w:rPr>
              <w:t>资金监管情况</w:t>
            </w:r>
          </w:p>
        </w:tc>
        <w:tc>
          <w:tcPr>
            <w:tcW w:w="844" w:type="pct"/>
            <w:shd w:val="clear" w:color="auto" w:fill="auto"/>
            <w:vAlign w:val="center"/>
          </w:tcPr>
          <w:p w14:paraId="68762456">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r w14:paraId="1BA281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4" w:hRule="atLeast"/>
          <w:jc w:val="center"/>
        </w:trPr>
        <w:tc>
          <w:tcPr>
            <w:tcW w:w="482" w:type="pct"/>
            <w:vMerge w:val="restart"/>
            <w:shd w:val="clear" w:color="auto" w:fill="auto"/>
            <w:vAlign w:val="center"/>
          </w:tcPr>
          <w:p w14:paraId="59BC7FE3">
            <w:pPr>
              <w:snapToGrid w:val="0"/>
              <w:spacing w:line="240" w:lineRule="auto"/>
              <w:ind w:firstLine="0" w:firstLineChars="0"/>
              <w:jc w:val="center"/>
              <w:rPr>
                <w:rFonts w:ascii="仿宋_GB2312"/>
                <w:kern w:val="0"/>
                <w:sz w:val="24"/>
              </w:rPr>
            </w:pPr>
            <w:r>
              <w:rPr>
                <w:rFonts w:hint="eastAsia" w:ascii="仿宋_GB2312"/>
                <w:kern w:val="0"/>
                <w:sz w:val="24"/>
              </w:rPr>
              <w:t>项目管理</w:t>
            </w:r>
          </w:p>
        </w:tc>
        <w:tc>
          <w:tcPr>
            <w:tcW w:w="2525" w:type="pct"/>
            <w:shd w:val="clear" w:color="auto" w:fill="auto"/>
            <w:vAlign w:val="center"/>
          </w:tcPr>
          <w:p w14:paraId="3D8FA6C4">
            <w:pPr>
              <w:widowControl/>
              <w:snapToGrid w:val="0"/>
              <w:spacing w:line="240" w:lineRule="auto"/>
              <w:ind w:firstLine="0" w:firstLineChars="0"/>
              <w:jc w:val="left"/>
              <w:rPr>
                <w:rFonts w:ascii="仿宋_GB2312"/>
                <w:kern w:val="0"/>
                <w:sz w:val="24"/>
              </w:rPr>
            </w:pPr>
            <w:r>
              <w:rPr>
                <w:rFonts w:hint="eastAsia" w:ascii="仿宋_GB2312"/>
                <w:kern w:val="0"/>
                <w:sz w:val="24"/>
              </w:rPr>
              <w:t>立项背景、依据文件、申请及批复</w:t>
            </w:r>
          </w:p>
        </w:tc>
        <w:tc>
          <w:tcPr>
            <w:tcW w:w="1148" w:type="pct"/>
            <w:shd w:val="clear" w:color="auto" w:fill="auto"/>
            <w:vAlign w:val="center"/>
          </w:tcPr>
          <w:p w14:paraId="4AD4F68A">
            <w:pPr>
              <w:widowControl/>
              <w:snapToGrid w:val="0"/>
              <w:spacing w:line="240" w:lineRule="auto"/>
              <w:ind w:firstLine="0" w:firstLineChars="0"/>
              <w:jc w:val="left"/>
              <w:rPr>
                <w:rFonts w:ascii="仿宋_GB2312"/>
                <w:kern w:val="0"/>
                <w:sz w:val="24"/>
              </w:rPr>
            </w:pPr>
            <w:r>
              <w:rPr>
                <w:rFonts w:hint="eastAsia" w:ascii="仿宋_GB2312"/>
                <w:kern w:val="0"/>
                <w:sz w:val="24"/>
              </w:rPr>
              <w:t>项目立项的规范性</w:t>
            </w:r>
          </w:p>
        </w:tc>
        <w:tc>
          <w:tcPr>
            <w:tcW w:w="844" w:type="pct"/>
            <w:shd w:val="clear" w:color="auto" w:fill="auto"/>
            <w:vAlign w:val="center"/>
          </w:tcPr>
          <w:p w14:paraId="05DA092F">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r w14:paraId="5C9FBE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482" w:type="pct"/>
            <w:vMerge w:val="continue"/>
            <w:shd w:val="clear" w:color="auto" w:fill="auto"/>
            <w:vAlign w:val="center"/>
          </w:tcPr>
          <w:p w14:paraId="4694D4AB">
            <w:pPr>
              <w:snapToGrid w:val="0"/>
              <w:spacing w:line="240" w:lineRule="auto"/>
              <w:ind w:firstLine="0" w:firstLineChars="0"/>
              <w:jc w:val="center"/>
              <w:rPr>
                <w:rFonts w:ascii="仿宋_GB2312"/>
                <w:kern w:val="0"/>
                <w:sz w:val="24"/>
              </w:rPr>
            </w:pPr>
          </w:p>
        </w:tc>
        <w:tc>
          <w:tcPr>
            <w:tcW w:w="2525" w:type="pct"/>
            <w:shd w:val="clear" w:color="auto" w:fill="auto"/>
            <w:vAlign w:val="center"/>
          </w:tcPr>
          <w:p w14:paraId="16820026">
            <w:pPr>
              <w:widowControl/>
              <w:snapToGrid w:val="0"/>
              <w:spacing w:line="240" w:lineRule="auto"/>
              <w:ind w:firstLine="0" w:firstLineChars="0"/>
              <w:jc w:val="left"/>
              <w:rPr>
                <w:rFonts w:ascii="仿宋_GB2312"/>
                <w:kern w:val="0"/>
                <w:sz w:val="24"/>
              </w:rPr>
            </w:pPr>
            <w:r>
              <w:rPr>
                <w:rFonts w:hint="eastAsia" w:ascii="仿宋_GB2312"/>
                <w:kern w:val="0"/>
                <w:sz w:val="24"/>
              </w:rPr>
              <w:t>项目管理机构成立证明资料、项目实施方案、部门沟通、协商机制（各自职责、协作制度等）</w:t>
            </w:r>
          </w:p>
        </w:tc>
        <w:tc>
          <w:tcPr>
            <w:tcW w:w="1148" w:type="pct"/>
            <w:shd w:val="clear" w:color="auto" w:fill="auto"/>
            <w:vAlign w:val="center"/>
          </w:tcPr>
          <w:p w14:paraId="72373E07">
            <w:pPr>
              <w:widowControl/>
              <w:snapToGrid w:val="0"/>
              <w:spacing w:line="240" w:lineRule="auto"/>
              <w:ind w:firstLine="0" w:firstLineChars="0"/>
              <w:jc w:val="left"/>
              <w:rPr>
                <w:rFonts w:ascii="仿宋_GB2312"/>
                <w:kern w:val="0"/>
                <w:sz w:val="24"/>
              </w:rPr>
            </w:pPr>
            <w:r>
              <w:rPr>
                <w:rFonts w:hint="eastAsia" w:ascii="仿宋_GB2312"/>
                <w:kern w:val="0"/>
                <w:sz w:val="24"/>
              </w:rPr>
              <w:t>保障项目实施的相关管理机构和制度</w:t>
            </w:r>
          </w:p>
        </w:tc>
        <w:tc>
          <w:tcPr>
            <w:tcW w:w="844" w:type="pct"/>
            <w:shd w:val="clear" w:color="auto" w:fill="auto"/>
            <w:vAlign w:val="center"/>
          </w:tcPr>
          <w:p w14:paraId="191F0FF4">
            <w:pPr>
              <w:widowControl/>
              <w:snapToGrid w:val="0"/>
              <w:spacing w:line="240" w:lineRule="auto"/>
              <w:ind w:firstLine="0" w:firstLineChars="0"/>
              <w:jc w:val="center"/>
              <w:rPr>
                <w:rFonts w:hint="default" w:ascii="仿宋_GB2312" w:eastAsia="仿宋_GB2312"/>
                <w:kern w:val="0"/>
                <w:sz w:val="24"/>
                <w:lang w:val="en-US" w:eastAsia="zh-CN"/>
              </w:rPr>
            </w:pPr>
            <w:r>
              <w:rPr>
                <w:rFonts w:hint="eastAsia" w:ascii="仿宋_GB2312"/>
                <w:b/>
                <w:bCs/>
                <w:kern w:val="0"/>
                <w:sz w:val="24"/>
                <w:lang w:val="en-US" w:eastAsia="zh-CN"/>
              </w:rPr>
              <w:t>×</w:t>
            </w:r>
          </w:p>
        </w:tc>
      </w:tr>
      <w:tr w14:paraId="1D856E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6" w:hRule="atLeast"/>
          <w:jc w:val="center"/>
        </w:trPr>
        <w:tc>
          <w:tcPr>
            <w:tcW w:w="482" w:type="pct"/>
            <w:vMerge w:val="continue"/>
            <w:shd w:val="clear" w:color="auto" w:fill="auto"/>
            <w:vAlign w:val="center"/>
          </w:tcPr>
          <w:p w14:paraId="22D62FB0">
            <w:pPr>
              <w:widowControl/>
              <w:snapToGrid w:val="0"/>
              <w:spacing w:line="240" w:lineRule="auto"/>
              <w:ind w:firstLine="0" w:firstLineChars="0"/>
              <w:jc w:val="center"/>
              <w:rPr>
                <w:rFonts w:ascii="仿宋_GB2312"/>
                <w:kern w:val="0"/>
                <w:sz w:val="24"/>
              </w:rPr>
            </w:pPr>
          </w:p>
        </w:tc>
        <w:tc>
          <w:tcPr>
            <w:tcW w:w="2525" w:type="pct"/>
            <w:shd w:val="clear" w:color="auto" w:fill="auto"/>
            <w:vAlign w:val="center"/>
          </w:tcPr>
          <w:p w14:paraId="27FF8FB8">
            <w:pPr>
              <w:widowControl/>
              <w:snapToGrid w:val="0"/>
              <w:spacing w:line="240" w:lineRule="auto"/>
              <w:ind w:firstLine="0" w:firstLineChars="0"/>
              <w:jc w:val="left"/>
              <w:rPr>
                <w:rFonts w:ascii="仿宋_GB2312"/>
                <w:kern w:val="0"/>
                <w:sz w:val="24"/>
              </w:rPr>
            </w:pPr>
            <w:r>
              <w:rPr>
                <w:rFonts w:hint="eastAsia" w:ascii="仿宋_GB2312"/>
                <w:kern w:val="0"/>
                <w:sz w:val="24"/>
              </w:rPr>
              <w:t>项目管理制度文件（项目管理制度或相关管理办法等）</w:t>
            </w:r>
          </w:p>
        </w:tc>
        <w:tc>
          <w:tcPr>
            <w:tcW w:w="1148" w:type="pct"/>
            <w:shd w:val="clear" w:color="auto" w:fill="auto"/>
            <w:vAlign w:val="center"/>
          </w:tcPr>
          <w:p w14:paraId="6EA0F413">
            <w:pPr>
              <w:widowControl/>
              <w:snapToGrid w:val="0"/>
              <w:spacing w:line="240" w:lineRule="auto"/>
              <w:ind w:firstLine="0" w:firstLineChars="0"/>
              <w:jc w:val="left"/>
              <w:rPr>
                <w:rFonts w:ascii="仿宋_GB2312"/>
                <w:kern w:val="0"/>
                <w:sz w:val="24"/>
              </w:rPr>
            </w:pPr>
            <w:r>
              <w:rPr>
                <w:rFonts w:hint="eastAsia" w:ascii="仿宋_GB2312"/>
                <w:kern w:val="0"/>
                <w:sz w:val="24"/>
              </w:rPr>
              <w:t>项目管理是否规范</w:t>
            </w:r>
          </w:p>
        </w:tc>
        <w:tc>
          <w:tcPr>
            <w:tcW w:w="844" w:type="pct"/>
            <w:shd w:val="clear" w:color="auto" w:fill="auto"/>
            <w:vAlign w:val="center"/>
          </w:tcPr>
          <w:p w14:paraId="36A44613">
            <w:pPr>
              <w:widowControl/>
              <w:snapToGrid w:val="0"/>
              <w:spacing w:line="240" w:lineRule="auto"/>
              <w:ind w:firstLine="0" w:firstLineChars="0"/>
              <w:jc w:val="center"/>
              <w:rPr>
                <w:rFonts w:hint="eastAsia" w:ascii="仿宋_GB2312" w:eastAsia="仿宋_GB2312"/>
                <w:kern w:val="0"/>
                <w:sz w:val="24"/>
                <w:lang w:eastAsia="zh-CN"/>
              </w:rPr>
            </w:pPr>
            <w:r>
              <w:rPr>
                <w:rFonts w:hint="eastAsia" w:ascii="仿宋_GB2312"/>
                <w:b/>
                <w:bCs/>
                <w:kern w:val="0"/>
                <w:sz w:val="24"/>
                <w:lang w:val="en-US" w:eastAsia="zh-CN"/>
              </w:rPr>
              <w:t>×</w:t>
            </w:r>
          </w:p>
        </w:tc>
      </w:tr>
      <w:tr w14:paraId="75022A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4" w:hRule="atLeast"/>
          <w:jc w:val="center"/>
        </w:trPr>
        <w:tc>
          <w:tcPr>
            <w:tcW w:w="482" w:type="pct"/>
            <w:vMerge w:val="continue"/>
            <w:shd w:val="clear" w:color="auto" w:fill="auto"/>
            <w:vAlign w:val="center"/>
          </w:tcPr>
          <w:p w14:paraId="6400316F">
            <w:pPr>
              <w:widowControl/>
              <w:snapToGrid w:val="0"/>
              <w:spacing w:line="240" w:lineRule="auto"/>
              <w:ind w:firstLine="0" w:firstLineChars="0"/>
              <w:jc w:val="left"/>
              <w:rPr>
                <w:rFonts w:ascii="仿宋_GB2312"/>
                <w:kern w:val="0"/>
                <w:sz w:val="24"/>
              </w:rPr>
            </w:pPr>
          </w:p>
        </w:tc>
        <w:tc>
          <w:tcPr>
            <w:tcW w:w="2525" w:type="pct"/>
            <w:shd w:val="clear" w:color="auto" w:fill="auto"/>
            <w:vAlign w:val="center"/>
          </w:tcPr>
          <w:p w14:paraId="4E320D8D">
            <w:pPr>
              <w:widowControl/>
              <w:snapToGrid w:val="0"/>
              <w:spacing w:line="240" w:lineRule="auto"/>
              <w:ind w:firstLine="0" w:firstLineChars="0"/>
              <w:jc w:val="left"/>
              <w:rPr>
                <w:rFonts w:ascii="仿宋_GB2312"/>
                <w:kern w:val="0"/>
                <w:sz w:val="24"/>
              </w:rPr>
            </w:pPr>
            <w:r>
              <w:rPr>
                <w:rFonts w:hint="eastAsia" w:ascii="仿宋_GB2312"/>
                <w:kern w:val="0"/>
                <w:sz w:val="24"/>
              </w:rPr>
              <w:t>项目资料归档的相关资料</w:t>
            </w:r>
          </w:p>
        </w:tc>
        <w:tc>
          <w:tcPr>
            <w:tcW w:w="1148" w:type="pct"/>
            <w:shd w:val="clear" w:color="auto" w:fill="auto"/>
            <w:vAlign w:val="center"/>
          </w:tcPr>
          <w:p w14:paraId="04EA9BDC">
            <w:pPr>
              <w:widowControl/>
              <w:snapToGrid w:val="0"/>
              <w:spacing w:line="240" w:lineRule="auto"/>
              <w:ind w:firstLine="0" w:firstLineChars="0"/>
              <w:jc w:val="left"/>
              <w:rPr>
                <w:rFonts w:ascii="仿宋_GB2312"/>
                <w:kern w:val="0"/>
                <w:sz w:val="24"/>
              </w:rPr>
            </w:pPr>
            <w:r>
              <w:rPr>
                <w:rFonts w:hint="eastAsia" w:ascii="仿宋_GB2312"/>
                <w:kern w:val="0"/>
                <w:sz w:val="24"/>
              </w:rPr>
              <w:t>项目档案管理情况</w:t>
            </w:r>
          </w:p>
        </w:tc>
        <w:tc>
          <w:tcPr>
            <w:tcW w:w="844" w:type="pct"/>
            <w:shd w:val="clear" w:color="auto" w:fill="auto"/>
            <w:vAlign w:val="center"/>
          </w:tcPr>
          <w:p w14:paraId="4C68212D">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r w14:paraId="670DA1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4" w:hRule="atLeast"/>
          <w:jc w:val="center"/>
        </w:trPr>
        <w:tc>
          <w:tcPr>
            <w:tcW w:w="482" w:type="pct"/>
            <w:vMerge w:val="continue"/>
            <w:shd w:val="clear" w:color="auto" w:fill="auto"/>
            <w:vAlign w:val="center"/>
          </w:tcPr>
          <w:p w14:paraId="14792890">
            <w:pPr>
              <w:widowControl/>
              <w:snapToGrid w:val="0"/>
              <w:spacing w:line="240" w:lineRule="auto"/>
              <w:ind w:firstLine="0" w:firstLineChars="0"/>
              <w:jc w:val="left"/>
              <w:rPr>
                <w:rFonts w:ascii="仿宋_GB2312"/>
                <w:kern w:val="0"/>
                <w:sz w:val="24"/>
              </w:rPr>
            </w:pPr>
          </w:p>
        </w:tc>
        <w:tc>
          <w:tcPr>
            <w:tcW w:w="2525" w:type="pct"/>
            <w:shd w:val="clear" w:color="auto" w:fill="auto"/>
            <w:vAlign w:val="center"/>
          </w:tcPr>
          <w:p w14:paraId="31FBE51F">
            <w:pPr>
              <w:widowControl/>
              <w:snapToGrid w:val="0"/>
              <w:spacing w:line="240" w:lineRule="auto"/>
              <w:ind w:firstLine="0" w:firstLineChars="0"/>
              <w:jc w:val="left"/>
              <w:rPr>
                <w:rFonts w:ascii="仿宋_GB2312"/>
                <w:kern w:val="0"/>
                <w:sz w:val="24"/>
              </w:rPr>
            </w:pPr>
            <w:r>
              <w:rPr>
                <w:rFonts w:hint="eastAsia" w:ascii="仿宋_GB2312"/>
                <w:kern w:val="0"/>
                <w:sz w:val="24"/>
              </w:rPr>
              <w:t>项目监督制度、记录或文件、项目检查验收报告</w:t>
            </w:r>
          </w:p>
        </w:tc>
        <w:tc>
          <w:tcPr>
            <w:tcW w:w="1148" w:type="pct"/>
            <w:shd w:val="clear" w:color="auto" w:fill="auto"/>
            <w:vAlign w:val="center"/>
          </w:tcPr>
          <w:p w14:paraId="21F93135">
            <w:pPr>
              <w:widowControl/>
              <w:snapToGrid w:val="0"/>
              <w:spacing w:line="240" w:lineRule="auto"/>
              <w:ind w:firstLine="0" w:firstLineChars="0"/>
              <w:jc w:val="left"/>
              <w:rPr>
                <w:rFonts w:ascii="仿宋_GB2312"/>
                <w:kern w:val="0"/>
                <w:sz w:val="24"/>
              </w:rPr>
            </w:pPr>
            <w:r>
              <w:rPr>
                <w:rFonts w:hint="eastAsia" w:ascii="仿宋_GB2312"/>
                <w:kern w:val="0"/>
                <w:sz w:val="24"/>
              </w:rPr>
              <w:t>项目监管情况</w:t>
            </w:r>
          </w:p>
        </w:tc>
        <w:tc>
          <w:tcPr>
            <w:tcW w:w="844" w:type="pct"/>
            <w:shd w:val="clear" w:color="auto" w:fill="auto"/>
            <w:vAlign w:val="center"/>
          </w:tcPr>
          <w:p w14:paraId="4C9F3172">
            <w:pPr>
              <w:widowControl/>
              <w:snapToGrid w:val="0"/>
              <w:spacing w:line="240" w:lineRule="auto"/>
              <w:ind w:firstLine="0" w:firstLineChars="0"/>
              <w:jc w:val="center"/>
              <w:rPr>
                <w:rFonts w:hint="eastAsia" w:ascii="仿宋_GB2312" w:eastAsia="仿宋_GB2312"/>
                <w:kern w:val="0"/>
                <w:sz w:val="24"/>
                <w:lang w:eastAsia="zh-CN"/>
              </w:rPr>
            </w:pPr>
            <w:r>
              <w:rPr>
                <w:rFonts w:hint="eastAsia" w:ascii="仿宋_GB2312"/>
                <w:b/>
                <w:bCs/>
                <w:kern w:val="0"/>
                <w:sz w:val="24"/>
                <w:lang w:val="en-US" w:eastAsia="zh-CN"/>
              </w:rPr>
              <w:t>×</w:t>
            </w:r>
          </w:p>
        </w:tc>
      </w:tr>
      <w:tr w14:paraId="2855C6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8" w:hRule="atLeast"/>
          <w:jc w:val="center"/>
        </w:trPr>
        <w:tc>
          <w:tcPr>
            <w:tcW w:w="482" w:type="pct"/>
            <w:vMerge w:val="continue"/>
            <w:shd w:val="clear" w:color="auto" w:fill="auto"/>
            <w:vAlign w:val="center"/>
          </w:tcPr>
          <w:p w14:paraId="397AF3B9">
            <w:pPr>
              <w:widowControl/>
              <w:snapToGrid w:val="0"/>
              <w:spacing w:line="240" w:lineRule="auto"/>
              <w:ind w:firstLine="0" w:firstLineChars="0"/>
              <w:jc w:val="left"/>
              <w:rPr>
                <w:rFonts w:ascii="仿宋_GB2312"/>
                <w:kern w:val="0"/>
                <w:sz w:val="24"/>
              </w:rPr>
            </w:pPr>
          </w:p>
        </w:tc>
        <w:tc>
          <w:tcPr>
            <w:tcW w:w="2525" w:type="pct"/>
            <w:shd w:val="clear" w:color="auto" w:fill="auto"/>
            <w:vAlign w:val="center"/>
          </w:tcPr>
          <w:p w14:paraId="05F30BF8">
            <w:pPr>
              <w:widowControl/>
              <w:snapToGrid w:val="0"/>
              <w:spacing w:line="240" w:lineRule="auto"/>
              <w:ind w:firstLine="0" w:firstLineChars="0"/>
              <w:jc w:val="left"/>
              <w:rPr>
                <w:rFonts w:ascii="仿宋_GB2312"/>
                <w:kern w:val="0"/>
                <w:sz w:val="24"/>
              </w:rPr>
            </w:pPr>
            <w:r>
              <w:rPr>
                <w:rFonts w:hint="eastAsia" w:ascii="仿宋_GB2312"/>
                <w:kern w:val="0"/>
                <w:sz w:val="24"/>
              </w:rPr>
              <w:t>工作总结</w:t>
            </w:r>
          </w:p>
        </w:tc>
        <w:tc>
          <w:tcPr>
            <w:tcW w:w="1148" w:type="pct"/>
            <w:shd w:val="clear" w:color="auto" w:fill="auto"/>
            <w:vAlign w:val="center"/>
          </w:tcPr>
          <w:p w14:paraId="075B4903">
            <w:pPr>
              <w:widowControl/>
              <w:snapToGrid w:val="0"/>
              <w:spacing w:line="240" w:lineRule="auto"/>
              <w:ind w:firstLine="0" w:firstLineChars="0"/>
              <w:jc w:val="left"/>
              <w:rPr>
                <w:rFonts w:ascii="仿宋_GB2312"/>
                <w:kern w:val="0"/>
                <w:sz w:val="24"/>
              </w:rPr>
            </w:pPr>
            <w:r>
              <w:rPr>
                <w:rFonts w:hint="eastAsia" w:ascii="仿宋_GB2312"/>
                <w:kern w:val="0"/>
                <w:sz w:val="24"/>
              </w:rPr>
              <w:t>项目绩效目标完成情况</w:t>
            </w:r>
          </w:p>
        </w:tc>
        <w:tc>
          <w:tcPr>
            <w:tcW w:w="844" w:type="pct"/>
            <w:shd w:val="clear" w:color="auto" w:fill="auto"/>
            <w:vAlign w:val="center"/>
          </w:tcPr>
          <w:p w14:paraId="2A76209E">
            <w:pPr>
              <w:widowControl/>
              <w:snapToGrid w:val="0"/>
              <w:spacing w:line="240" w:lineRule="auto"/>
              <w:ind w:firstLine="0" w:firstLineChars="0"/>
              <w:jc w:val="center"/>
              <w:rPr>
                <w:rFonts w:hint="eastAsia" w:ascii="仿宋_GB2312" w:eastAsia="仿宋_GB2312"/>
                <w:kern w:val="0"/>
                <w:sz w:val="24"/>
                <w:lang w:eastAsia="zh-CN"/>
              </w:rPr>
            </w:pPr>
            <w:r>
              <w:rPr>
                <w:rFonts w:hint="eastAsia" w:ascii="仿宋_GB2312"/>
                <w:b/>
                <w:bCs/>
                <w:kern w:val="0"/>
                <w:sz w:val="24"/>
                <w:lang w:val="en-US" w:eastAsia="zh-CN"/>
              </w:rPr>
              <w:t>×</w:t>
            </w:r>
          </w:p>
        </w:tc>
      </w:tr>
      <w:tr w14:paraId="271F91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8" w:hRule="atLeast"/>
          <w:jc w:val="center"/>
        </w:trPr>
        <w:tc>
          <w:tcPr>
            <w:tcW w:w="482" w:type="pct"/>
            <w:vMerge w:val="continue"/>
            <w:shd w:val="clear" w:color="auto" w:fill="auto"/>
            <w:vAlign w:val="center"/>
          </w:tcPr>
          <w:p w14:paraId="2C108931">
            <w:pPr>
              <w:widowControl/>
              <w:snapToGrid w:val="0"/>
              <w:spacing w:line="240" w:lineRule="auto"/>
              <w:ind w:firstLine="0" w:firstLineChars="0"/>
              <w:jc w:val="left"/>
              <w:rPr>
                <w:rFonts w:ascii="仿宋_GB2312"/>
                <w:kern w:val="0"/>
                <w:sz w:val="24"/>
              </w:rPr>
            </w:pPr>
          </w:p>
        </w:tc>
        <w:tc>
          <w:tcPr>
            <w:tcW w:w="2525" w:type="pct"/>
            <w:shd w:val="clear" w:color="auto" w:fill="auto"/>
            <w:vAlign w:val="center"/>
          </w:tcPr>
          <w:p w14:paraId="1D086180">
            <w:pPr>
              <w:widowControl/>
              <w:snapToGrid w:val="0"/>
              <w:spacing w:line="240" w:lineRule="auto"/>
              <w:ind w:firstLine="0" w:firstLineChars="0"/>
              <w:jc w:val="left"/>
              <w:rPr>
                <w:rFonts w:ascii="仿宋_GB2312"/>
                <w:kern w:val="0"/>
                <w:sz w:val="24"/>
              </w:rPr>
            </w:pPr>
            <w:r>
              <w:rPr>
                <w:rFonts w:hint="eastAsia" w:ascii="仿宋_GB2312"/>
                <w:kern w:val="0"/>
                <w:sz w:val="24"/>
              </w:rPr>
              <w:t>自评报告</w:t>
            </w:r>
          </w:p>
        </w:tc>
        <w:tc>
          <w:tcPr>
            <w:tcW w:w="1148" w:type="pct"/>
            <w:shd w:val="clear" w:color="auto" w:fill="auto"/>
            <w:vAlign w:val="center"/>
          </w:tcPr>
          <w:p w14:paraId="6F407AD4">
            <w:pPr>
              <w:widowControl/>
              <w:snapToGrid w:val="0"/>
              <w:spacing w:line="240" w:lineRule="auto"/>
              <w:ind w:firstLine="0" w:firstLineChars="0"/>
              <w:jc w:val="left"/>
              <w:rPr>
                <w:rFonts w:ascii="仿宋_GB2312"/>
                <w:kern w:val="0"/>
                <w:sz w:val="24"/>
              </w:rPr>
            </w:pPr>
            <w:r>
              <w:rPr>
                <w:rFonts w:hint="eastAsia" w:ascii="仿宋_GB2312"/>
                <w:kern w:val="0"/>
                <w:sz w:val="24"/>
              </w:rPr>
              <w:t>项目绩效目标完成情况</w:t>
            </w:r>
          </w:p>
        </w:tc>
        <w:tc>
          <w:tcPr>
            <w:tcW w:w="844" w:type="pct"/>
            <w:shd w:val="clear" w:color="auto" w:fill="auto"/>
            <w:vAlign w:val="center"/>
          </w:tcPr>
          <w:p w14:paraId="0D3F7853">
            <w:pPr>
              <w:widowControl/>
              <w:snapToGrid w:val="0"/>
              <w:spacing w:line="240" w:lineRule="auto"/>
              <w:ind w:firstLine="0" w:firstLineChars="0"/>
              <w:jc w:val="center"/>
              <w:rPr>
                <w:rFonts w:hint="eastAsia" w:ascii="仿宋_GB2312" w:eastAsia="仿宋_GB2312"/>
                <w:b/>
                <w:bCs/>
                <w:kern w:val="0"/>
                <w:sz w:val="24"/>
                <w:lang w:eastAsia="zh-CN"/>
              </w:rPr>
            </w:pPr>
            <w:r>
              <w:rPr>
                <w:rFonts w:hint="eastAsia" w:ascii="仿宋_GB2312"/>
                <w:b/>
                <w:bCs/>
                <w:kern w:val="0"/>
                <w:sz w:val="24"/>
                <w:lang w:val="en-US" w:eastAsia="zh-CN"/>
              </w:rPr>
              <w:t>√</w:t>
            </w:r>
          </w:p>
        </w:tc>
      </w:tr>
    </w:tbl>
    <w:p w14:paraId="770A99E3">
      <w:pPr>
        <w:rPr>
          <w:rFonts w:hint="eastAsia" w:ascii="黑体" w:hAnsi="黑体"/>
          <w:b w:val="0"/>
          <w:bCs w:val="0"/>
          <w:lang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Lucida Console">
    <w:panose1 w:val="020B0609040504020204"/>
    <w:charset w:val="00"/>
    <w:family w:val="modern"/>
    <w:pitch w:val="default"/>
    <w:sig w:usb0="8000028F" w:usb1="00001800" w:usb2="00000000" w:usb3="00000000" w:csb0="0000001F" w:csb1="D7D70000"/>
  </w:font>
  <w:font w:name="仿宋">
    <w:panose1 w:val="02010609060101010101"/>
    <w:charset w:val="86"/>
    <w:family w:val="auto"/>
    <w:pitch w:val="default"/>
    <w:sig w:usb0="800002BF" w:usb1="38CF7CFA" w:usb2="00000016" w:usb3="00000000" w:csb0="00040001" w:csb1="00000000"/>
  </w:font>
  <w:font w:name="Times New Roman Regular">
    <w:altName w:val="Times New Roman"/>
    <w:panose1 w:val="00000000000000000000"/>
    <w:charset w:val="00"/>
    <w:family w:val="auto"/>
    <w:pitch w:val="default"/>
    <w:sig w:usb0="00000000" w:usb1="00000000" w:usb2="00000001" w:usb3="00000000" w:csb0="400001BF" w:csb1="DFF7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021881">
    <w:pPr>
      <w:pStyle w:val="12"/>
      <w:spacing w:line="240" w:lineRule="auto"/>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167860">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6B73B8">
    <w:pPr>
      <w:pStyle w:val="12"/>
      <w:ind w:firstLine="360"/>
    </w:pPr>
    <w:r>
      <w:rPr>
        <w:rFonts w:hint="eastAsia"/>
      </w:rPr>
      <w:t>山西正达信会计师事务所有限公司</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7075813"/>
    </w:sdtPr>
    <w:sdtContent>
      <w:p w14:paraId="0DAB3BDF">
        <w:pPr>
          <w:pStyle w:val="12"/>
          <w:ind w:firstLine="360"/>
          <w:jc w:val="center"/>
        </w:pPr>
        <w:r>
          <w:fldChar w:fldCharType="begin"/>
        </w:r>
        <w:r>
          <w:instrText xml:space="preserve"> PAGE   \* MERGEFORMAT </w:instrText>
        </w:r>
        <w:r>
          <w:fldChar w:fldCharType="separate"/>
        </w:r>
        <w:r>
          <w:t>62</w:t>
        </w:r>
        <w:r>
          <w:rPr>
            <w:lang w:val="zh-C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7814D">
    <w:pPr>
      <w:pStyle w:val="13"/>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E4E898">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13D4DA">
    <w:pPr>
      <w:pStyle w:val="13"/>
      <w:pBdr>
        <w:bottom w:val="single" w:color="auto" w:sz="4" w:space="1"/>
      </w:pBdr>
      <w:tabs>
        <w:tab w:val="clear" w:pos="4153"/>
      </w:tabs>
      <w:ind w:firstLine="360"/>
      <w:jc w:val="right"/>
    </w:pPr>
    <w:r>
      <w:rPr>
        <w:rFonts w:hint="eastAsia"/>
      </w:rPr>
      <w:t>医疗服务能力建设（卫生健康人才培养培训）补助项目支出绩效评价报告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DE8B19">
    <w:pPr>
      <w:pStyle w:val="13"/>
      <w:pBdr>
        <w:bottom w:val="single" w:color="auto" w:sz="4" w:space="1"/>
      </w:pBdr>
      <w:tabs>
        <w:tab w:val="clear" w:pos="4153"/>
      </w:tabs>
      <w:spacing w:line="240" w:lineRule="auto"/>
      <w:ind w:firstLine="0" w:firstLineChars="0"/>
      <w:jc w:val="right"/>
      <w:rPr>
        <w:rFonts w:eastAsia="仿宋"/>
        <w:i/>
      </w:rPr>
    </w:pPr>
    <w:r>
      <w:rPr>
        <w:rFonts w:hint="eastAsia" w:eastAsia="仿宋"/>
        <w:i/>
        <w:sz w:val="20"/>
      </w:rPr>
      <w:t xml:space="preserve"> </w:t>
    </w:r>
    <w:r>
      <w:rPr>
        <w:rFonts w:hint="eastAsia" w:eastAsia="仿宋"/>
        <w:i w:val="0"/>
        <w:iCs/>
        <w:sz w:val="20"/>
      </w:rPr>
      <w:t xml:space="preserve"> </w:t>
    </w:r>
    <w:r>
      <w:rPr>
        <w:rFonts w:hint="eastAsia" w:eastAsia="仿宋"/>
        <w:i w:val="0"/>
        <w:iCs/>
        <w:sz w:val="20"/>
        <w:lang w:val="en-US" w:eastAsia="zh-CN"/>
      </w:rPr>
      <w:t>古县县委党校改扩建</w:t>
    </w:r>
    <w:r>
      <w:rPr>
        <w:rFonts w:hint="eastAsia" w:eastAsia="仿宋"/>
        <w:i w:val="0"/>
        <w:iCs/>
        <w:sz w:val="20"/>
      </w:rPr>
      <w:t>项目支出绩效评价</w:t>
    </w:r>
    <w:r>
      <w:rPr>
        <w:rFonts w:hint="eastAsia" w:eastAsia="仿宋"/>
        <w:i w:val="0"/>
        <w:iCs/>
        <w:sz w:val="20"/>
        <w:lang w:val="en-US" w:eastAsia="zh-CN"/>
      </w:rPr>
      <w:t>工作</w:t>
    </w:r>
    <w:r>
      <w:rPr>
        <w:rFonts w:hint="eastAsia" w:eastAsia="仿宋"/>
        <w:i w:val="0"/>
        <w:iCs/>
        <w:sz w:val="20"/>
      </w:rPr>
      <w:t>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4B12D4"/>
    <w:multiLevelType w:val="singleLevel"/>
    <w:tmpl w:val="FD4B12D4"/>
    <w:lvl w:ilvl="0" w:tentative="0">
      <w:start w:val="1"/>
      <w:numFmt w:val="decimal"/>
      <w:suff w:val="nothing"/>
      <w:lvlText w:val="（%1）"/>
      <w:lvlJc w:val="left"/>
    </w:lvl>
  </w:abstractNum>
  <w:abstractNum w:abstractNumId="1">
    <w:nsid w:val="563CFA66"/>
    <w:multiLevelType w:val="singleLevel"/>
    <w:tmpl w:val="563CFA66"/>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3NzkxYWMxOWZhNmNmMTIyODdkZmE2Y2IzOTg1MzkifQ=="/>
  </w:docVars>
  <w:rsids>
    <w:rsidRoot w:val="37A670C2"/>
    <w:rsid w:val="000022DB"/>
    <w:rsid w:val="00006226"/>
    <w:rsid w:val="00013429"/>
    <w:rsid w:val="000245E4"/>
    <w:rsid w:val="00026136"/>
    <w:rsid w:val="000266C3"/>
    <w:rsid w:val="00040485"/>
    <w:rsid w:val="00041582"/>
    <w:rsid w:val="00041A10"/>
    <w:rsid w:val="00045171"/>
    <w:rsid w:val="00046AC5"/>
    <w:rsid w:val="0004734A"/>
    <w:rsid w:val="00050765"/>
    <w:rsid w:val="00052C5E"/>
    <w:rsid w:val="00060C5C"/>
    <w:rsid w:val="000631C8"/>
    <w:rsid w:val="00063744"/>
    <w:rsid w:val="000710BE"/>
    <w:rsid w:val="00071D54"/>
    <w:rsid w:val="000723F3"/>
    <w:rsid w:val="000725DE"/>
    <w:rsid w:val="00076F0B"/>
    <w:rsid w:val="00077C6A"/>
    <w:rsid w:val="0008206A"/>
    <w:rsid w:val="00086127"/>
    <w:rsid w:val="000A5844"/>
    <w:rsid w:val="000A772A"/>
    <w:rsid w:val="000B33BD"/>
    <w:rsid w:val="000B5AF2"/>
    <w:rsid w:val="000C060F"/>
    <w:rsid w:val="000C2D31"/>
    <w:rsid w:val="000C576B"/>
    <w:rsid w:val="000C598A"/>
    <w:rsid w:val="000C7FF0"/>
    <w:rsid w:val="000D160A"/>
    <w:rsid w:val="000D5878"/>
    <w:rsid w:val="000D7D2A"/>
    <w:rsid w:val="000E1379"/>
    <w:rsid w:val="000E166C"/>
    <w:rsid w:val="000F760C"/>
    <w:rsid w:val="00101687"/>
    <w:rsid w:val="001246B2"/>
    <w:rsid w:val="0012716D"/>
    <w:rsid w:val="00127B7C"/>
    <w:rsid w:val="001301F9"/>
    <w:rsid w:val="001371C1"/>
    <w:rsid w:val="0014231A"/>
    <w:rsid w:val="00143082"/>
    <w:rsid w:val="001463B5"/>
    <w:rsid w:val="00146BB2"/>
    <w:rsid w:val="0014725F"/>
    <w:rsid w:val="0016171B"/>
    <w:rsid w:val="001658F8"/>
    <w:rsid w:val="00171192"/>
    <w:rsid w:val="00171D5A"/>
    <w:rsid w:val="00172961"/>
    <w:rsid w:val="00174674"/>
    <w:rsid w:val="00175097"/>
    <w:rsid w:val="00185F79"/>
    <w:rsid w:val="00186A2E"/>
    <w:rsid w:val="00192768"/>
    <w:rsid w:val="001A177A"/>
    <w:rsid w:val="001B3576"/>
    <w:rsid w:val="001B35FE"/>
    <w:rsid w:val="001B3C64"/>
    <w:rsid w:val="001B482A"/>
    <w:rsid w:val="001B5682"/>
    <w:rsid w:val="001B6F05"/>
    <w:rsid w:val="001C4131"/>
    <w:rsid w:val="001C5F95"/>
    <w:rsid w:val="001C7E22"/>
    <w:rsid w:val="001D1D3A"/>
    <w:rsid w:val="001D3221"/>
    <w:rsid w:val="001D460F"/>
    <w:rsid w:val="001D57E4"/>
    <w:rsid w:val="001D7D9B"/>
    <w:rsid w:val="001E237C"/>
    <w:rsid w:val="001E269E"/>
    <w:rsid w:val="001E6135"/>
    <w:rsid w:val="001F02A6"/>
    <w:rsid w:val="001F510C"/>
    <w:rsid w:val="001F7B89"/>
    <w:rsid w:val="00203E72"/>
    <w:rsid w:val="00222381"/>
    <w:rsid w:val="00223C2E"/>
    <w:rsid w:val="00226119"/>
    <w:rsid w:val="002373B6"/>
    <w:rsid w:val="00242414"/>
    <w:rsid w:val="0024606D"/>
    <w:rsid w:val="002537FD"/>
    <w:rsid w:val="0025602A"/>
    <w:rsid w:val="00256ADB"/>
    <w:rsid w:val="00256B1E"/>
    <w:rsid w:val="0026040C"/>
    <w:rsid w:val="00264C26"/>
    <w:rsid w:val="002716D4"/>
    <w:rsid w:val="00272C04"/>
    <w:rsid w:val="00272CB0"/>
    <w:rsid w:val="002738BB"/>
    <w:rsid w:val="00281ABC"/>
    <w:rsid w:val="00284F2D"/>
    <w:rsid w:val="00285E62"/>
    <w:rsid w:val="0028661E"/>
    <w:rsid w:val="00290086"/>
    <w:rsid w:val="00290B7F"/>
    <w:rsid w:val="002A5880"/>
    <w:rsid w:val="002A6959"/>
    <w:rsid w:val="002A7410"/>
    <w:rsid w:val="002B1108"/>
    <w:rsid w:val="002B11F2"/>
    <w:rsid w:val="002B1D5A"/>
    <w:rsid w:val="002C02C0"/>
    <w:rsid w:val="002C104C"/>
    <w:rsid w:val="002C6518"/>
    <w:rsid w:val="002D0E39"/>
    <w:rsid w:val="002D72DA"/>
    <w:rsid w:val="002D79E1"/>
    <w:rsid w:val="002E1F6F"/>
    <w:rsid w:val="002E7C2F"/>
    <w:rsid w:val="002F24D8"/>
    <w:rsid w:val="002F43F7"/>
    <w:rsid w:val="002F480E"/>
    <w:rsid w:val="002F76BC"/>
    <w:rsid w:val="00301BBB"/>
    <w:rsid w:val="0030231D"/>
    <w:rsid w:val="003027BC"/>
    <w:rsid w:val="00307660"/>
    <w:rsid w:val="003143AA"/>
    <w:rsid w:val="00324EBE"/>
    <w:rsid w:val="0032728D"/>
    <w:rsid w:val="00330A16"/>
    <w:rsid w:val="00331114"/>
    <w:rsid w:val="0033131B"/>
    <w:rsid w:val="003326C3"/>
    <w:rsid w:val="00340CAF"/>
    <w:rsid w:val="00342580"/>
    <w:rsid w:val="003426F8"/>
    <w:rsid w:val="00342AE0"/>
    <w:rsid w:val="00342F9E"/>
    <w:rsid w:val="0034629B"/>
    <w:rsid w:val="003467B7"/>
    <w:rsid w:val="00346B1D"/>
    <w:rsid w:val="00351025"/>
    <w:rsid w:val="003550E2"/>
    <w:rsid w:val="00355853"/>
    <w:rsid w:val="003570FF"/>
    <w:rsid w:val="0036437A"/>
    <w:rsid w:val="00366CE8"/>
    <w:rsid w:val="00367B42"/>
    <w:rsid w:val="003705A1"/>
    <w:rsid w:val="00375C13"/>
    <w:rsid w:val="00375CD8"/>
    <w:rsid w:val="00377158"/>
    <w:rsid w:val="003776A9"/>
    <w:rsid w:val="003777A3"/>
    <w:rsid w:val="0037785A"/>
    <w:rsid w:val="00382103"/>
    <w:rsid w:val="00391D35"/>
    <w:rsid w:val="003A28D4"/>
    <w:rsid w:val="003B03D0"/>
    <w:rsid w:val="003B1225"/>
    <w:rsid w:val="003B5779"/>
    <w:rsid w:val="003C5229"/>
    <w:rsid w:val="003C639D"/>
    <w:rsid w:val="003D40DD"/>
    <w:rsid w:val="003D6CF1"/>
    <w:rsid w:val="003F2CDC"/>
    <w:rsid w:val="003F314F"/>
    <w:rsid w:val="003F390F"/>
    <w:rsid w:val="003F4804"/>
    <w:rsid w:val="003F5B7D"/>
    <w:rsid w:val="003F75C8"/>
    <w:rsid w:val="003F7E2E"/>
    <w:rsid w:val="00404A0F"/>
    <w:rsid w:val="004055D6"/>
    <w:rsid w:val="00413E7D"/>
    <w:rsid w:val="00414DD2"/>
    <w:rsid w:val="0041505B"/>
    <w:rsid w:val="00415FA0"/>
    <w:rsid w:val="004175F7"/>
    <w:rsid w:val="0043299F"/>
    <w:rsid w:val="00432B8D"/>
    <w:rsid w:val="00433FE0"/>
    <w:rsid w:val="004363E5"/>
    <w:rsid w:val="0044192E"/>
    <w:rsid w:val="00454943"/>
    <w:rsid w:val="00456C27"/>
    <w:rsid w:val="00460F63"/>
    <w:rsid w:val="00466821"/>
    <w:rsid w:val="0047207B"/>
    <w:rsid w:val="0047397C"/>
    <w:rsid w:val="0049347D"/>
    <w:rsid w:val="004946F4"/>
    <w:rsid w:val="00494EA1"/>
    <w:rsid w:val="004A451E"/>
    <w:rsid w:val="004B2525"/>
    <w:rsid w:val="004B6B56"/>
    <w:rsid w:val="004C261F"/>
    <w:rsid w:val="004C3218"/>
    <w:rsid w:val="004C5390"/>
    <w:rsid w:val="004D01C4"/>
    <w:rsid w:val="004D6732"/>
    <w:rsid w:val="004E02C3"/>
    <w:rsid w:val="004E2CFD"/>
    <w:rsid w:val="004E45F3"/>
    <w:rsid w:val="004E4AD7"/>
    <w:rsid w:val="004E781D"/>
    <w:rsid w:val="004F0112"/>
    <w:rsid w:val="004F4266"/>
    <w:rsid w:val="00502506"/>
    <w:rsid w:val="00502BD9"/>
    <w:rsid w:val="00502C13"/>
    <w:rsid w:val="00504B51"/>
    <w:rsid w:val="0050579F"/>
    <w:rsid w:val="00506769"/>
    <w:rsid w:val="0051297A"/>
    <w:rsid w:val="00512F0F"/>
    <w:rsid w:val="005224BC"/>
    <w:rsid w:val="00524AC1"/>
    <w:rsid w:val="00533732"/>
    <w:rsid w:val="00536891"/>
    <w:rsid w:val="00540D7B"/>
    <w:rsid w:val="0054188A"/>
    <w:rsid w:val="00543479"/>
    <w:rsid w:val="00545C71"/>
    <w:rsid w:val="0054656B"/>
    <w:rsid w:val="00547446"/>
    <w:rsid w:val="00554414"/>
    <w:rsid w:val="00560637"/>
    <w:rsid w:val="005732CB"/>
    <w:rsid w:val="00573DC4"/>
    <w:rsid w:val="005753AD"/>
    <w:rsid w:val="00583627"/>
    <w:rsid w:val="00584795"/>
    <w:rsid w:val="005860D5"/>
    <w:rsid w:val="00592FE2"/>
    <w:rsid w:val="005A135A"/>
    <w:rsid w:val="005A415C"/>
    <w:rsid w:val="005A7D5F"/>
    <w:rsid w:val="005A7DB3"/>
    <w:rsid w:val="005B075B"/>
    <w:rsid w:val="005B521A"/>
    <w:rsid w:val="005B61B1"/>
    <w:rsid w:val="005B707F"/>
    <w:rsid w:val="005C35DE"/>
    <w:rsid w:val="005C3D2E"/>
    <w:rsid w:val="005C3DBD"/>
    <w:rsid w:val="005C7C6F"/>
    <w:rsid w:val="005C7EB5"/>
    <w:rsid w:val="005E0260"/>
    <w:rsid w:val="005E0970"/>
    <w:rsid w:val="005E1134"/>
    <w:rsid w:val="005E13F5"/>
    <w:rsid w:val="005E2711"/>
    <w:rsid w:val="005E3A54"/>
    <w:rsid w:val="005E6A9F"/>
    <w:rsid w:val="005F0589"/>
    <w:rsid w:val="005F0EEB"/>
    <w:rsid w:val="005F388D"/>
    <w:rsid w:val="005F499B"/>
    <w:rsid w:val="005F6837"/>
    <w:rsid w:val="0060108C"/>
    <w:rsid w:val="00605048"/>
    <w:rsid w:val="00605478"/>
    <w:rsid w:val="0060591B"/>
    <w:rsid w:val="0060689A"/>
    <w:rsid w:val="00606F3A"/>
    <w:rsid w:val="0060725C"/>
    <w:rsid w:val="00607317"/>
    <w:rsid w:val="00610A14"/>
    <w:rsid w:val="0061239C"/>
    <w:rsid w:val="006124C0"/>
    <w:rsid w:val="006152B2"/>
    <w:rsid w:val="00616041"/>
    <w:rsid w:val="00616DAA"/>
    <w:rsid w:val="00620972"/>
    <w:rsid w:val="00627506"/>
    <w:rsid w:val="00635125"/>
    <w:rsid w:val="00635C79"/>
    <w:rsid w:val="00640E5A"/>
    <w:rsid w:val="006426BE"/>
    <w:rsid w:val="00655B82"/>
    <w:rsid w:val="00656A0F"/>
    <w:rsid w:val="00657B7A"/>
    <w:rsid w:val="006702A9"/>
    <w:rsid w:val="0067099B"/>
    <w:rsid w:val="00672115"/>
    <w:rsid w:val="00673BD1"/>
    <w:rsid w:val="006830B2"/>
    <w:rsid w:val="006911F9"/>
    <w:rsid w:val="00696C48"/>
    <w:rsid w:val="006A2231"/>
    <w:rsid w:val="006A4A1E"/>
    <w:rsid w:val="006B2DBC"/>
    <w:rsid w:val="006B6B00"/>
    <w:rsid w:val="006B7B72"/>
    <w:rsid w:val="006D0DCF"/>
    <w:rsid w:val="006D14F6"/>
    <w:rsid w:val="006D2E7D"/>
    <w:rsid w:val="006D3A4C"/>
    <w:rsid w:val="006E5A46"/>
    <w:rsid w:val="007113DB"/>
    <w:rsid w:val="00712C70"/>
    <w:rsid w:val="00713DEE"/>
    <w:rsid w:val="00721C1E"/>
    <w:rsid w:val="0072266C"/>
    <w:rsid w:val="00724E86"/>
    <w:rsid w:val="0072505D"/>
    <w:rsid w:val="00725265"/>
    <w:rsid w:val="00725E27"/>
    <w:rsid w:val="00734F6D"/>
    <w:rsid w:val="00735148"/>
    <w:rsid w:val="00741F1F"/>
    <w:rsid w:val="007505F3"/>
    <w:rsid w:val="00753726"/>
    <w:rsid w:val="00756ABD"/>
    <w:rsid w:val="00757D96"/>
    <w:rsid w:val="00765CBD"/>
    <w:rsid w:val="00767323"/>
    <w:rsid w:val="00771631"/>
    <w:rsid w:val="0077259D"/>
    <w:rsid w:val="00772C5C"/>
    <w:rsid w:val="0077484F"/>
    <w:rsid w:val="00775946"/>
    <w:rsid w:val="00776B04"/>
    <w:rsid w:val="00782971"/>
    <w:rsid w:val="00784AD4"/>
    <w:rsid w:val="007903EE"/>
    <w:rsid w:val="00792F8B"/>
    <w:rsid w:val="007957FB"/>
    <w:rsid w:val="00797C65"/>
    <w:rsid w:val="007A0AEF"/>
    <w:rsid w:val="007A3683"/>
    <w:rsid w:val="007A6313"/>
    <w:rsid w:val="007A7E06"/>
    <w:rsid w:val="007B1BFC"/>
    <w:rsid w:val="007B410E"/>
    <w:rsid w:val="007B55D2"/>
    <w:rsid w:val="007C177C"/>
    <w:rsid w:val="007C43F0"/>
    <w:rsid w:val="007C49E4"/>
    <w:rsid w:val="007D29A9"/>
    <w:rsid w:val="007D79B7"/>
    <w:rsid w:val="007F0A20"/>
    <w:rsid w:val="007F226D"/>
    <w:rsid w:val="007F7161"/>
    <w:rsid w:val="008047A0"/>
    <w:rsid w:val="00804CFE"/>
    <w:rsid w:val="00806819"/>
    <w:rsid w:val="00811350"/>
    <w:rsid w:val="00814F88"/>
    <w:rsid w:val="00826990"/>
    <w:rsid w:val="00826C01"/>
    <w:rsid w:val="008300A3"/>
    <w:rsid w:val="008301B3"/>
    <w:rsid w:val="00842D5A"/>
    <w:rsid w:val="008448DA"/>
    <w:rsid w:val="0084734B"/>
    <w:rsid w:val="00851B24"/>
    <w:rsid w:val="008534A9"/>
    <w:rsid w:val="00853D58"/>
    <w:rsid w:val="0086071F"/>
    <w:rsid w:val="0086085A"/>
    <w:rsid w:val="00861E4E"/>
    <w:rsid w:val="00867D3E"/>
    <w:rsid w:val="00871C98"/>
    <w:rsid w:val="00874515"/>
    <w:rsid w:val="00880FD1"/>
    <w:rsid w:val="00892533"/>
    <w:rsid w:val="008A0B20"/>
    <w:rsid w:val="008B07AC"/>
    <w:rsid w:val="008C146B"/>
    <w:rsid w:val="008C1494"/>
    <w:rsid w:val="008D41A2"/>
    <w:rsid w:val="008E1DCE"/>
    <w:rsid w:val="008E2F8D"/>
    <w:rsid w:val="008E7685"/>
    <w:rsid w:val="008F04F0"/>
    <w:rsid w:val="008F1EF7"/>
    <w:rsid w:val="008F287F"/>
    <w:rsid w:val="008F577A"/>
    <w:rsid w:val="008F6142"/>
    <w:rsid w:val="008F7133"/>
    <w:rsid w:val="00902247"/>
    <w:rsid w:val="00902F98"/>
    <w:rsid w:val="00925D40"/>
    <w:rsid w:val="00940CC1"/>
    <w:rsid w:val="009521EB"/>
    <w:rsid w:val="00952899"/>
    <w:rsid w:val="00952C73"/>
    <w:rsid w:val="009653D9"/>
    <w:rsid w:val="0097071A"/>
    <w:rsid w:val="00975D66"/>
    <w:rsid w:val="00981605"/>
    <w:rsid w:val="00985247"/>
    <w:rsid w:val="009931C0"/>
    <w:rsid w:val="00994981"/>
    <w:rsid w:val="00995ACE"/>
    <w:rsid w:val="0099799E"/>
    <w:rsid w:val="009A0B3A"/>
    <w:rsid w:val="009A36C4"/>
    <w:rsid w:val="009B04D6"/>
    <w:rsid w:val="009B1FED"/>
    <w:rsid w:val="009B3409"/>
    <w:rsid w:val="009B7794"/>
    <w:rsid w:val="009D1316"/>
    <w:rsid w:val="009E0739"/>
    <w:rsid w:val="009E2E40"/>
    <w:rsid w:val="009E6CBD"/>
    <w:rsid w:val="009F197D"/>
    <w:rsid w:val="009F459E"/>
    <w:rsid w:val="009F52AE"/>
    <w:rsid w:val="00A05928"/>
    <w:rsid w:val="00A12195"/>
    <w:rsid w:val="00A143E7"/>
    <w:rsid w:val="00A14B63"/>
    <w:rsid w:val="00A22014"/>
    <w:rsid w:val="00A23E7B"/>
    <w:rsid w:val="00A260CD"/>
    <w:rsid w:val="00A26713"/>
    <w:rsid w:val="00A31B5E"/>
    <w:rsid w:val="00A3440C"/>
    <w:rsid w:val="00A47366"/>
    <w:rsid w:val="00A474B4"/>
    <w:rsid w:val="00A50F8C"/>
    <w:rsid w:val="00A534D6"/>
    <w:rsid w:val="00A55179"/>
    <w:rsid w:val="00A56D3C"/>
    <w:rsid w:val="00A63931"/>
    <w:rsid w:val="00A729E5"/>
    <w:rsid w:val="00A7797D"/>
    <w:rsid w:val="00A842D9"/>
    <w:rsid w:val="00A8674F"/>
    <w:rsid w:val="00A87E34"/>
    <w:rsid w:val="00A9008F"/>
    <w:rsid w:val="00A91689"/>
    <w:rsid w:val="00A91E90"/>
    <w:rsid w:val="00A93AA6"/>
    <w:rsid w:val="00A973EA"/>
    <w:rsid w:val="00A97839"/>
    <w:rsid w:val="00AA3C79"/>
    <w:rsid w:val="00AA43F2"/>
    <w:rsid w:val="00AA566D"/>
    <w:rsid w:val="00AB0E60"/>
    <w:rsid w:val="00AB1677"/>
    <w:rsid w:val="00AB26FD"/>
    <w:rsid w:val="00AB272D"/>
    <w:rsid w:val="00AC75A9"/>
    <w:rsid w:val="00AD283C"/>
    <w:rsid w:val="00AD33EC"/>
    <w:rsid w:val="00AD4589"/>
    <w:rsid w:val="00AE123D"/>
    <w:rsid w:val="00AE12DE"/>
    <w:rsid w:val="00AE16F9"/>
    <w:rsid w:val="00AE547D"/>
    <w:rsid w:val="00AE649F"/>
    <w:rsid w:val="00AE667A"/>
    <w:rsid w:val="00AE6EB0"/>
    <w:rsid w:val="00AF136C"/>
    <w:rsid w:val="00AF7B8B"/>
    <w:rsid w:val="00B04B70"/>
    <w:rsid w:val="00B16A31"/>
    <w:rsid w:val="00B17A78"/>
    <w:rsid w:val="00B22562"/>
    <w:rsid w:val="00B26B0A"/>
    <w:rsid w:val="00B2794D"/>
    <w:rsid w:val="00B27FF7"/>
    <w:rsid w:val="00B30043"/>
    <w:rsid w:val="00B33884"/>
    <w:rsid w:val="00B41F26"/>
    <w:rsid w:val="00B43197"/>
    <w:rsid w:val="00B436F8"/>
    <w:rsid w:val="00B45FF6"/>
    <w:rsid w:val="00B47937"/>
    <w:rsid w:val="00B50DD3"/>
    <w:rsid w:val="00B51F6C"/>
    <w:rsid w:val="00B53AE7"/>
    <w:rsid w:val="00B646DA"/>
    <w:rsid w:val="00B762F7"/>
    <w:rsid w:val="00B8204D"/>
    <w:rsid w:val="00B85EEC"/>
    <w:rsid w:val="00B92A4B"/>
    <w:rsid w:val="00B94B03"/>
    <w:rsid w:val="00B95A75"/>
    <w:rsid w:val="00BA10E0"/>
    <w:rsid w:val="00BB259E"/>
    <w:rsid w:val="00BB3424"/>
    <w:rsid w:val="00BB741A"/>
    <w:rsid w:val="00BC17DD"/>
    <w:rsid w:val="00BD04F1"/>
    <w:rsid w:val="00BD45D2"/>
    <w:rsid w:val="00BD47C1"/>
    <w:rsid w:val="00BD67BB"/>
    <w:rsid w:val="00BE23D2"/>
    <w:rsid w:val="00BE53F4"/>
    <w:rsid w:val="00BF18FD"/>
    <w:rsid w:val="00BF1EE5"/>
    <w:rsid w:val="00BF2505"/>
    <w:rsid w:val="00BF47FA"/>
    <w:rsid w:val="00BF64E5"/>
    <w:rsid w:val="00C000FB"/>
    <w:rsid w:val="00C034BD"/>
    <w:rsid w:val="00C0408C"/>
    <w:rsid w:val="00C109AF"/>
    <w:rsid w:val="00C144D2"/>
    <w:rsid w:val="00C15FEB"/>
    <w:rsid w:val="00C26A41"/>
    <w:rsid w:val="00C30909"/>
    <w:rsid w:val="00C3143E"/>
    <w:rsid w:val="00C317EB"/>
    <w:rsid w:val="00C31B48"/>
    <w:rsid w:val="00C33722"/>
    <w:rsid w:val="00C34463"/>
    <w:rsid w:val="00C3574F"/>
    <w:rsid w:val="00C35D9B"/>
    <w:rsid w:val="00C40944"/>
    <w:rsid w:val="00C410B3"/>
    <w:rsid w:val="00C53249"/>
    <w:rsid w:val="00C60FF9"/>
    <w:rsid w:val="00C63423"/>
    <w:rsid w:val="00C718B8"/>
    <w:rsid w:val="00C732AB"/>
    <w:rsid w:val="00C738BA"/>
    <w:rsid w:val="00C76809"/>
    <w:rsid w:val="00C769C6"/>
    <w:rsid w:val="00C77A5A"/>
    <w:rsid w:val="00C8000D"/>
    <w:rsid w:val="00C85CE1"/>
    <w:rsid w:val="00C93913"/>
    <w:rsid w:val="00C94D31"/>
    <w:rsid w:val="00CA0215"/>
    <w:rsid w:val="00CA2874"/>
    <w:rsid w:val="00CA2F54"/>
    <w:rsid w:val="00CA3A6E"/>
    <w:rsid w:val="00CA6F0A"/>
    <w:rsid w:val="00CB1AB3"/>
    <w:rsid w:val="00CB1EB4"/>
    <w:rsid w:val="00CB6F82"/>
    <w:rsid w:val="00CB71B2"/>
    <w:rsid w:val="00CC2BC1"/>
    <w:rsid w:val="00CC6A6A"/>
    <w:rsid w:val="00CD1402"/>
    <w:rsid w:val="00CD790F"/>
    <w:rsid w:val="00CE1802"/>
    <w:rsid w:val="00CE1A64"/>
    <w:rsid w:val="00CE407E"/>
    <w:rsid w:val="00CE4A99"/>
    <w:rsid w:val="00CF5714"/>
    <w:rsid w:val="00D057BA"/>
    <w:rsid w:val="00D45D11"/>
    <w:rsid w:val="00D50F00"/>
    <w:rsid w:val="00D549CB"/>
    <w:rsid w:val="00D54C3F"/>
    <w:rsid w:val="00D61548"/>
    <w:rsid w:val="00D672CF"/>
    <w:rsid w:val="00D67FF0"/>
    <w:rsid w:val="00D7122A"/>
    <w:rsid w:val="00D7573B"/>
    <w:rsid w:val="00D814EE"/>
    <w:rsid w:val="00D825E2"/>
    <w:rsid w:val="00D83597"/>
    <w:rsid w:val="00D85210"/>
    <w:rsid w:val="00D90243"/>
    <w:rsid w:val="00D92D38"/>
    <w:rsid w:val="00D947A6"/>
    <w:rsid w:val="00D94813"/>
    <w:rsid w:val="00DA323B"/>
    <w:rsid w:val="00DA5196"/>
    <w:rsid w:val="00DA6FD8"/>
    <w:rsid w:val="00DB35EE"/>
    <w:rsid w:val="00DB3F30"/>
    <w:rsid w:val="00DB40DD"/>
    <w:rsid w:val="00DB7963"/>
    <w:rsid w:val="00DC3D79"/>
    <w:rsid w:val="00DC4F58"/>
    <w:rsid w:val="00DC584F"/>
    <w:rsid w:val="00DC7AE5"/>
    <w:rsid w:val="00DD1639"/>
    <w:rsid w:val="00DD59F9"/>
    <w:rsid w:val="00DD5DEA"/>
    <w:rsid w:val="00DF42B7"/>
    <w:rsid w:val="00E00B21"/>
    <w:rsid w:val="00E01919"/>
    <w:rsid w:val="00E03651"/>
    <w:rsid w:val="00E04719"/>
    <w:rsid w:val="00E050F6"/>
    <w:rsid w:val="00E16043"/>
    <w:rsid w:val="00E24AC2"/>
    <w:rsid w:val="00E35C49"/>
    <w:rsid w:val="00E476D8"/>
    <w:rsid w:val="00E51252"/>
    <w:rsid w:val="00E57396"/>
    <w:rsid w:val="00E62385"/>
    <w:rsid w:val="00E630EF"/>
    <w:rsid w:val="00E63B0E"/>
    <w:rsid w:val="00E64A6B"/>
    <w:rsid w:val="00E719D5"/>
    <w:rsid w:val="00E72E4E"/>
    <w:rsid w:val="00E73753"/>
    <w:rsid w:val="00E74F92"/>
    <w:rsid w:val="00E76AD7"/>
    <w:rsid w:val="00E8172C"/>
    <w:rsid w:val="00E8463D"/>
    <w:rsid w:val="00E8555F"/>
    <w:rsid w:val="00E9182D"/>
    <w:rsid w:val="00E92673"/>
    <w:rsid w:val="00E9405E"/>
    <w:rsid w:val="00E95480"/>
    <w:rsid w:val="00EA233A"/>
    <w:rsid w:val="00EA5AAE"/>
    <w:rsid w:val="00EA7CB1"/>
    <w:rsid w:val="00EB05CB"/>
    <w:rsid w:val="00EB6FD3"/>
    <w:rsid w:val="00EB7251"/>
    <w:rsid w:val="00EC3563"/>
    <w:rsid w:val="00EC37CE"/>
    <w:rsid w:val="00EC4EE5"/>
    <w:rsid w:val="00EC733D"/>
    <w:rsid w:val="00ED1A9B"/>
    <w:rsid w:val="00ED3431"/>
    <w:rsid w:val="00ED4DD3"/>
    <w:rsid w:val="00EE2604"/>
    <w:rsid w:val="00EE5C08"/>
    <w:rsid w:val="00EF54E0"/>
    <w:rsid w:val="00EF566A"/>
    <w:rsid w:val="00EF57B6"/>
    <w:rsid w:val="00F019C8"/>
    <w:rsid w:val="00F07309"/>
    <w:rsid w:val="00F11AF8"/>
    <w:rsid w:val="00F13899"/>
    <w:rsid w:val="00F23ADC"/>
    <w:rsid w:val="00F3276B"/>
    <w:rsid w:val="00F37B54"/>
    <w:rsid w:val="00F41C85"/>
    <w:rsid w:val="00F4252E"/>
    <w:rsid w:val="00F50DD5"/>
    <w:rsid w:val="00F52077"/>
    <w:rsid w:val="00F52958"/>
    <w:rsid w:val="00F65D47"/>
    <w:rsid w:val="00F77CDB"/>
    <w:rsid w:val="00F846B2"/>
    <w:rsid w:val="00F85DBA"/>
    <w:rsid w:val="00F878A0"/>
    <w:rsid w:val="00F90D4C"/>
    <w:rsid w:val="00FA3224"/>
    <w:rsid w:val="00FA720B"/>
    <w:rsid w:val="00FB23B5"/>
    <w:rsid w:val="00FC79BD"/>
    <w:rsid w:val="00FD1AFB"/>
    <w:rsid w:val="00FD3BD5"/>
    <w:rsid w:val="00FD3FCA"/>
    <w:rsid w:val="00FD4058"/>
    <w:rsid w:val="00FE6F8E"/>
    <w:rsid w:val="00FE7A41"/>
    <w:rsid w:val="00FF137F"/>
    <w:rsid w:val="00FF204E"/>
    <w:rsid w:val="00FF420D"/>
    <w:rsid w:val="01033216"/>
    <w:rsid w:val="011C1269"/>
    <w:rsid w:val="012B4116"/>
    <w:rsid w:val="015049A5"/>
    <w:rsid w:val="0158287F"/>
    <w:rsid w:val="01596A29"/>
    <w:rsid w:val="016F6D1D"/>
    <w:rsid w:val="01721FEB"/>
    <w:rsid w:val="017A0F48"/>
    <w:rsid w:val="019822BC"/>
    <w:rsid w:val="01B92AE4"/>
    <w:rsid w:val="01CD2573"/>
    <w:rsid w:val="01D1540B"/>
    <w:rsid w:val="01DA61FD"/>
    <w:rsid w:val="020F5C11"/>
    <w:rsid w:val="021E603F"/>
    <w:rsid w:val="022B0E5C"/>
    <w:rsid w:val="022D7F60"/>
    <w:rsid w:val="022F4905"/>
    <w:rsid w:val="02307B7C"/>
    <w:rsid w:val="02426D4A"/>
    <w:rsid w:val="02467AD0"/>
    <w:rsid w:val="024D00BB"/>
    <w:rsid w:val="0256439B"/>
    <w:rsid w:val="02573029"/>
    <w:rsid w:val="025D3183"/>
    <w:rsid w:val="026C49C3"/>
    <w:rsid w:val="027D14AE"/>
    <w:rsid w:val="02867454"/>
    <w:rsid w:val="028E3199"/>
    <w:rsid w:val="029B42B1"/>
    <w:rsid w:val="029F53A6"/>
    <w:rsid w:val="02A627A3"/>
    <w:rsid w:val="02A91117"/>
    <w:rsid w:val="02B349AE"/>
    <w:rsid w:val="02BA21E0"/>
    <w:rsid w:val="02BE15ED"/>
    <w:rsid w:val="02C95F7F"/>
    <w:rsid w:val="02D44776"/>
    <w:rsid w:val="02D52C06"/>
    <w:rsid w:val="02D61B4E"/>
    <w:rsid w:val="02D84414"/>
    <w:rsid w:val="02F0687C"/>
    <w:rsid w:val="02F37E1D"/>
    <w:rsid w:val="02F525AC"/>
    <w:rsid w:val="02F94AB6"/>
    <w:rsid w:val="03184B51"/>
    <w:rsid w:val="0328714A"/>
    <w:rsid w:val="032E70E2"/>
    <w:rsid w:val="03324E4D"/>
    <w:rsid w:val="0336604D"/>
    <w:rsid w:val="03375829"/>
    <w:rsid w:val="03391357"/>
    <w:rsid w:val="034662B1"/>
    <w:rsid w:val="034C19CE"/>
    <w:rsid w:val="034D095E"/>
    <w:rsid w:val="035E558D"/>
    <w:rsid w:val="035E6E02"/>
    <w:rsid w:val="037E11AF"/>
    <w:rsid w:val="038B11AF"/>
    <w:rsid w:val="038C71E9"/>
    <w:rsid w:val="038E5D6A"/>
    <w:rsid w:val="03931E1C"/>
    <w:rsid w:val="039A3A76"/>
    <w:rsid w:val="03CC5320"/>
    <w:rsid w:val="03E16707"/>
    <w:rsid w:val="03E5296F"/>
    <w:rsid w:val="03E87404"/>
    <w:rsid w:val="03EA00F6"/>
    <w:rsid w:val="03F26C5B"/>
    <w:rsid w:val="03F70746"/>
    <w:rsid w:val="03FE60A2"/>
    <w:rsid w:val="04025933"/>
    <w:rsid w:val="040A30FF"/>
    <w:rsid w:val="04163446"/>
    <w:rsid w:val="041E7F45"/>
    <w:rsid w:val="042754C9"/>
    <w:rsid w:val="043D11AF"/>
    <w:rsid w:val="04423FEE"/>
    <w:rsid w:val="044259F2"/>
    <w:rsid w:val="04501CFA"/>
    <w:rsid w:val="04621481"/>
    <w:rsid w:val="046779E2"/>
    <w:rsid w:val="047756AA"/>
    <w:rsid w:val="047C6C01"/>
    <w:rsid w:val="047D0EEE"/>
    <w:rsid w:val="048C2F16"/>
    <w:rsid w:val="04945D79"/>
    <w:rsid w:val="04991A17"/>
    <w:rsid w:val="049A7BD3"/>
    <w:rsid w:val="049E1946"/>
    <w:rsid w:val="04A102EE"/>
    <w:rsid w:val="04A74291"/>
    <w:rsid w:val="04B6492C"/>
    <w:rsid w:val="04C052B4"/>
    <w:rsid w:val="04CB4231"/>
    <w:rsid w:val="04D035F5"/>
    <w:rsid w:val="04D57255"/>
    <w:rsid w:val="04DE0C8C"/>
    <w:rsid w:val="04EA6DAD"/>
    <w:rsid w:val="04EE66F0"/>
    <w:rsid w:val="04FD4265"/>
    <w:rsid w:val="050F7286"/>
    <w:rsid w:val="05297AD2"/>
    <w:rsid w:val="052A7145"/>
    <w:rsid w:val="053022E6"/>
    <w:rsid w:val="05410354"/>
    <w:rsid w:val="05467D5B"/>
    <w:rsid w:val="054951FC"/>
    <w:rsid w:val="055378D7"/>
    <w:rsid w:val="056C26B7"/>
    <w:rsid w:val="056F002C"/>
    <w:rsid w:val="057117E7"/>
    <w:rsid w:val="058039F7"/>
    <w:rsid w:val="05826BC9"/>
    <w:rsid w:val="058A5E9A"/>
    <w:rsid w:val="058A64DF"/>
    <w:rsid w:val="05AD3936"/>
    <w:rsid w:val="05AD7137"/>
    <w:rsid w:val="05C27DED"/>
    <w:rsid w:val="05C61644"/>
    <w:rsid w:val="05D63B8E"/>
    <w:rsid w:val="05EB5BC2"/>
    <w:rsid w:val="0602214A"/>
    <w:rsid w:val="062F259D"/>
    <w:rsid w:val="06587362"/>
    <w:rsid w:val="066A3BC7"/>
    <w:rsid w:val="066C387A"/>
    <w:rsid w:val="067129C0"/>
    <w:rsid w:val="06864F2E"/>
    <w:rsid w:val="06AB256C"/>
    <w:rsid w:val="06AC2E9C"/>
    <w:rsid w:val="06BE1033"/>
    <w:rsid w:val="06BF003E"/>
    <w:rsid w:val="06C731F3"/>
    <w:rsid w:val="06D12A8C"/>
    <w:rsid w:val="06DA6BA9"/>
    <w:rsid w:val="06E53116"/>
    <w:rsid w:val="06EE0AFE"/>
    <w:rsid w:val="06EF3062"/>
    <w:rsid w:val="06F37C7A"/>
    <w:rsid w:val="06F636DD"/>
    <w:rsid w:val="06FA51A4"/>
    <w:rsid w:val="06FB0A7E"/>
    <w:rsid w:val="071870F9"/>
    <w:rsid w:val="071C2734"/>
    <w:rsid w:val="072E33E1"/>
    <w:rsid w:val="073577AD"/>
    <w:rsid w:val="07487DBA"/>
    <w:rsid w:val="0756080C"/>
    <w:rsid w:val="075720A0"/>
    <w:rsid w:val="076736BF"/>
    <w:rsid w:val="07684F71"/>
    <w:rsid w:val="076A0252"/>
    <w:rsid w:val="077010BF"/>
    <w:rsid w:val="077077CC"/>
    <w:rsid w:val="07795598"/>
    <w:rsid w:val="07803B5E"/>
    <w:rsid w:val="07911328"/>
    <w:rsid w:val="07953AB0"/>
    <w:rsid w:val="07BA241D"/>
    <w:rsid w:val="07CA6A21"/>
    <w:rsid w:val="07CC07AC"/>
    <w:rsid w:val="07D27820"/>
    <w:rsid w:val="07D84991"/>
    <w:rsid w:val="07DB2FA0"/>
    <w:rsid w:val="07FE6EBD"/>
    <w:rsid w:val="08040662"/>
    <w:rsid w:val="080D6D26"/>
    <w:rsid w:val="081658FD"/>
    <w:rsid w:val="081A30E0"/>
    <w:rsid w:val="0833705A"/>
    <w:rsid w:val="083E2F6B"/>
    <w:rsid w:val="086329D2"/>
    <w:rsid w:val="0885106A"/>
    <w:rsid w:val="08962DA7"/>
    <w:rsid w:val="0898600B"/>
    <w:rsid w:val="08987534"/>
    <w:rsid w:val="08A37121"/>
    <w:rsid w:val="08A71E03"/>
    <w:rsid w:val="08A76082"/>
    <w:rsid w:val="08AA55B4"/>
    <w:rsid w:val="08AD080E"/>
    <w:rsid w:val="08B84ACC"/>
    <w:rsid w:val="08C72F61"/>
    <w:rsid w:val="08CF562D"/>
    <w:rsid w:val="08D00067"/>
    <w:rsid w:val="08D4742C"/>
    <w:rsid w:val="08D62316"/>
    <w:rsid w:val="08EF695D"/>
    <w:rsid w:val="09091795"/>
    <w:rsid w:val="090E5E04"/>
    <w:rsid w:val="090F2459"/>
    <w:rsid w:val="09280489"/>
    <w:rsid w:val="09304090"/>
    <w:rsid w:val="0948360B"/>
    <w:rsid w:val="09670F9D"/>
    <w:rsid w:val="096C0F48"/>
    <w:rsid w:val="098A1380"/>
    <w:rsid w:val="098A5267"/>
    <w:rsid w:val="09A22E34"/>
    <w:rsid w:val="09AD29F2"/>
    <w:rsid w:val="09B5434C"/>
    <w:rsid w:val="09C8190F"/>
    <w:rsid w:val="09C91940"/>
    <w:rsid w:val="09D14D0A"/>
    <w:rsid w:val="09DB7F9E"/>
    <w:rsid w:val="09E17B6C"/>
    <w:rsid w:val="09F91301"/>
    <w:rsid w:val="0A1A0500"/>
    <w:rsid w:val="0A1C10E1"/>
    <w:rsid w:val="0A1F5CD0"/>
    <w:rsid w:val="0A394EB0"/>
    <w:rsid w:val="0A546815"/>
    <w:rsid w:val="0A5945ED"/>
    <w:rsid w:val="0A5B3BC6"/>
    <w:rsid w:val="0A5C5249"/>
    <w:rsid w:val="0A6476B9"/>
    <w:rsid w:val="0A84198F"/>
    <w:rsid w:val="0A8C0076"/>
    <w:rsid w:val="0A962343"/>
    <w:rsid w:val="0A9E5CCD"/>
    <w:rsid w:val="0AB00EF3"/>
    <w:rsid w:val="0AB95B62"/>
    <w:rsid w:val="0AC81AAF"/>
    <w:rsid w:val="0ACC050F"/>
    <w:rsid w:val="0AD3515C"/>
    <w:rsid w:val="0AD44E8F"/>
    <w:rsid w:val="0AD45556"/>
    <w:rsid w:val="0B015A39"/>
    <w:rsid w:val="0B03580B"/>
    <w:rsid w:val="0B0B2C6B"/>
    <w:rsid w:val="0B116715"/>
    <w:rsid w:val="0B1852A7"/>
    <w:rsid w:val="0B475E86"/>
    <w:rsid w:val="0B4E2FDE"/>
    <w:rsid w:val="0B5E2357"/>
    <w:rsid w:val="0B6C7DF0"/>
    <w:rsid w:val="0B7101DF"/>
    <w:rsid w:val="0B7F0877"/>
    <w:rsid w:val="0B9111F1"/>
    <w:rsid w:val="0B927149"/>
    <w:rsid w:val="0B9A3357"/>
    <w:rsid w:val="0B9A76C5"/>
    <w:rsid w:val="0B9F503A"/>
    <w:rsid w:val="0BA15CEB"/>
    <w:rsid w:val="0BBF5277"/>
    <w:rsid w:val="0BC469FD"/>
    <w:rsid w:val="0BD14B7B"/>
    <w:rsid w:val="0BD20381"/>
    <w:rsid w:val="0BD267BD"/>
    <w:rsid w:val="0BE86847"/>
    <w:rsid w:val="0BFA3FA2"/>
    <w:rsid w:val="0C0F1E38"/>
    <w:rsid w:val="0C141EEC"/>
    <w:rsid w:val="0C264442"/>
    <w:rsid w:val="0C2B72AE"/>
    <w:rsid w:val="0C3502B7"/>
    <w:rsid w:val="0C3556CA"/>
    <w:rsid w:val="0C3C2151"/>
    <w:rsid w:val="0C406E86"/>
    <w:rsid w:val="0C4A6383"/>
    <w:rsid w:val="0C4D6484"/>
    <w:rsid w:val="0C7C3A04"/>
    <w:rsid w:val="0C9526E6"/>
    <w:rsid w:val="0CB2647F"/>
    <w:rsid w:val="0CC575D3"/>
    <w:rsid w:val="0CFE158D"/>
    <w:rsid w:val="0D0B7155"/>
    <w:rsid w:val="0D315567"/>
    <w:rsid w:val="0D351EC2"/>
    <w:rsid w:val="0D371926"/>
    <w:rsid w:val="0D377721"/>
    <w:rsid w:val="0D3A66CB"/>
    <w:rsid w:val="0D3B1C03"/>
    <w:rsid w:val="0D4A729A"/>
    <w:rsid w:val="0D5A59A3"/>
    <w:rsid w:val="0D5A6441"/>
    <w:rsid w:val="0D6654DB"/>
    <w:rsid w:val="0D671F0D"/>
    <w:rsid w:val="0D6E1011"/>
    <w:rsid w:val="0D7D62E4"/>
    <w:rsid w:val="0D8348B0"/>
    <w:rsid w:val="0D842387"/>
    <w:rsid w:val="0D850FE3"/>
    <w:rsid w:val="0D883A97"/>
    <w:rsid w:val="0D9A709D"/>
    <w:rsid w:val="0DB36279"/>
    <w:rsid w:val="0DBA2331"/>
    <w:rsid w:val="0DD0096B"/>
    <w:rsid w:val="0DD61ACC"/>
    <w:rsid w:val="0DD65420"/>
    <w:rsid w:val="0DDF2AFB"/>
    <w:rsid w:val="0DE63443"/>
    <w:rsid w:val="0DF7383C"/>
    <w:rsid w:val="0E0072C5"/>
    <w:rsid w:val="0E061558"/>
    <w:rsid w:val="0E0F5231"/>
    <w:rsid w:val="0E2042FF"/>
    <w:rsid w:val="0E4E7E80"/>
    <w:rsid w:val="0E4F3164"/>
    <w:rsid w:val="0E61690A"/>
    <w:rsid w:val="0E732A36"/>
    <w:rsid w:val="0E7E6F16"/>
    <w:rsid w:val="0E9947CE"/>
    <w:rsid w:val="0EA4779F"/>
    <w:rsid w:val="0EB83E0F"/>
    <w:rsid w:val="0EC26AF9"/>
    <w:rsid w:val="0ED53729"/>
    <w:rsid w:val="0EEF7C6C"/>
    <w:rsid w:val="0F0547E3"/>
    <w:rsid w:val="0F1349A1"/>
    <w:rsid w:val="0F21215E"/>
    <w:rsid w:val="0F2335A3"/>
    <w:rsid w:val="0F2604F1"/>
    <w:rsid w:val="0F2638CF"/>
    <w:rsid w:val="0F2E6AE0"/>
    <w:rsid w:val="0F2F5E3E"/>
    <w:rsid w:val="0F536376"/>
    <w:rsid w:val="0F645E7C"/>
    <w:rsid w:val="0F715D97"/>
    <w:rsid w:val="0FBA741E"/>
    <w:rsid w:val="0FBE48AF"/>
    <w:rsid w:val="0FCE7E93"/>
    <w:rsid w:val="0FD9162E"/>
    <w:rsid w:val="0FDF0D55"/>
    <w:rsid w:val="0FDF5034"/>
    <w:rsid w:val="0FF37BDE"/>
    <w:rsid w:val="10010571"/>
    <w:rsid w:val="100A2A8D"/>
    <w:rsid w:val="100B237C"/>
    <w:rsid w:val="101744CC"/>
    <w:rsid w:val="101F69DB"/>
    <w:rsid w:val="10253F04"/>
    <w:rsid w:val="102A2753"/>
    <w:rsid w:val="104004B1"/>
    <w:rsid w:val="10442A2A"/>
    <w:rsid w:val="10451F19"/>
    <w:rsid w:val="106A47DF"/>
    <w:rsid w:val="10741088"/>
    <w:rsid w:val="10A02A15"/>
    <w:rsid w:val="10AA7BAC"/>
    <w:rsid w:val="10AB2957"/>
    <w:rsid w:val="10AF0EAA"/>
    <w:rsid w:val="10B97633"/>
    <w:rsid w:val="10BA5042"/>
    <w:rsid w:val="10C66FC7"/>
    <w:rsid w:val="10D53D8F"/>
    <w:rsid w:val="10D764EC"/>
    <w:rsid w:val="10DD651F"/>
    <w:rsid w:val="11123798"/>
    <w:rsid w:val="11143962"/>
    <w:rsid w:val="111C5B00"/>
    <w:rsid w:val="113A4BDA"/>
    <w:rsid w:val="11427ACA"/>
    <w:rsid w:val="11814977"/>
    <w:rsid w:val="1189720F"/>
    <w:rsid w:val="11A6398C"/>
    <w:rsid w:val="11B031DE"/>
    <w:rsid w:val="11B72CCA"/>
    <w:rsid w:val="11BC3E24"/>
    <w:rsid w:val="11C93525"/>
    <w:rsid w:val="11CE2B7F"/>
    <w:rsid w:val="11F362DF"/>
    <w:rsid w:val="11FD46CD"/>
    <w:rsid w:val="11FD7B6C"/>
    <w:rsid w:val="12035076"/>
    <w:rsid w:val="1206759C"/>
    <w:rsid w:val="12227CBE"/>
    <w:rsid w:val="12246927"/>
    <w:rsid w:val="12300067"/>
    <w:rsid w:val="12314157"/>
    <w:rsid w:val="12561381"/>
    <w:rsid w:val="125A2941"/>
    <w:rsid w:val="127952CC"/>
    <w:rsid w:val="1288550F"/>
    <w:rsid w:val="1292638E"/>
    <w:rsid w:val="129C24AC"/>
    <w:rsid w:val="129E2F84"/>
    <w:rsid w:val="12B46304"/>
    <w:rsid w:val="12C46775"/>
    <w:rsid w:val="12CF03E2"/>
    <w:rsid w:val="12DB084A"/>
    <w:rsid w:val="12DD07C5"/>
    <w:rsid w:val="13041600"/>
    <w:rsid w:val="13095362"/>
    <w:rsid w:val="131258AF"/>
    <w:rsid w:val="13187C6B"/>
    <w:rsid w:val="132415BA"/>
    <w:rsid w:val="13335337"/>
    <w:rsid w:val="133921D0"/>
    <w:rsid w:val="133E464B"/>
    <w:rsid w:val="13453400"/>
    <w:rsid w:val="134C7653"/>
    <w:rsid w:val="13585F74"/>
    <w:rsid w:val="136D3B05"/>
    <w:rsid w:val="13712A9F"/>
    <w:rsid w:val="137E4505"/>
    <w:rsid w:val="138634A6"/>
    <w:rsid w:val="13AE3878"/>
    <w:rsid w:val="13BB2916"/>
    <w:rsid w:val="13D901E5"/>
    <w:rsid w:val="13E374CE"/>
    <w:rsid w:val="13F96B6D"/>
    <w:rsid w:val="14192BB7"/>
    <w:rsid w:val="142676D5"/>
    <w:rsid w:val="143F42F3"/>
    <w:rsid w:val="144051B2"/>
    <w:rsid w:val="14434391"/>
    <w:rsid w:val="14634202"/>
    <w:rsid w:val="14693FA2"/>
    <w:rsid w:val="146A3D04"/>
    <w:rsid w:val="146C185C"/>
    <w:rsid w:val="1474631C"/>
    <w:rsid w:val="14765F59"/>
    <w:rsid w:val="14810A3E"/>
    <w:rsid w:val="148166BA"/>
    <w:rsid w:val="149F2FE4"/>
    <w:rsid w:val="14B20F69"/>
    <w:rsid w:val="14B45A88"/>
    <w:rsid w:val="14BD4C81"/>
    <w:rsid w:val="14E84721"/>
    <w:rsid w:val="14F4543A"/>
    <w:rsid w:val="150558D1"/>
    <w:rsid w:val="15130A9A"/>
    <w:rsid w:val="15332BC0"/>
    <w:rsid w:val="153601C5"/>
    <w:rsid w:val="154843B8"/>
    <w:rsid w:val="154E7926"/>
    <w:rsid w:val="155A142E"/>
    <w:rsid w:val="156D04E1"/>
    <w:rsid w:val="156E44ED"/>
    <w:rsid w:val="157A496E"/>
    <w:rsid w:val="15EA26F3"/>
    <w:rsid w:val="15EE4223"/>
    <w:rsid w:val="15EF066C"/>
    <w:rsid w:val="15F230E6"/>
    <w:rsid w:val="15F52A30"/>
    <w:rsid w:val="15FC4008"/>
    <w:rsid w:val="15FD7FC2"/>
    <w:rsid w:val="160F7CF5"/>
    <w:rsid w:val="162B467B"/>
    <w:rsid w:val="162F4021"/>
    <w:rsid w:val="163D2640"/>
    <w:rsid w:val="163E2ACB"/>
    <w:rsid w:val="163F70AC"/>
    <w:rsid w:val="165404E6"/>
    <w:rsid w:val="165B60C9"/>
    <w:rsid w:val="165D25DE"/>
    <w:rsid w:val="165D57D6"/>
    <w:rsid w:val="16751EB4"/>
    <w:rsid w:val="167F2D2C"/>
    <w:rsid w:val="16893D6C"/>
    <w:rsid w:val="16AB1250"/>
    <w:rsid w:val="16AD495D"/>
    <w:rsid w:val="16BE0494"/>
    <w:rsid w:val="16E878B7"/>
    <w:rsid w:val="170061F6"/>
    <w:rsid w:val="170212C1"/>
    <w:rsid w:val="17156B45"/>
    <w:rsid w:val="171D2728"/>
    <w:rsid w:val="17250BC5"/>
    <w:rsid w:val="17261EF4"/>
    <w:rsid w:val="173956DC"/>
    <w:rsid w:val="174B1EB0"/>
    <w:rsid w:val="176C53E7"/>
    <w:rsid w:val="177B50F7"/>
    <w:rsid w:val="178F4347"/>
    <w:rsid w:val="17A91654"/>
    <w:rsid w:val="17AA1097"/>
    <w:rsid w:val="17B669ED"/>
    <w:rsid w:val="17BF5B59"/>
    <w:rsid w:val="17C4348D"/>
    <w:rsid w:val="17D83750"/>
    <w:rsid w:val="17D90B36"/>
    <w:rsid w:val="17DD038D"/>
    <w:rsid w:val="17DD62FD"/>
    <w:rsid w:val="17E9134C"/>
    <w:rsid w:val="17EA65DF"/>
    <w:rsid w:val="1807337A"/>
    <w:rsid w:val="180C273E"/>
    <w:rsid w:val="181B2107"/>
    <w:rsid w:val="183D3E8E"/>
    <w:rsid w:val="184B5FC0"/>
    <w:rsid w:val="184E0FA9"/>
    <w:rsid w:val="184E65D2"/>
    <w:rsid w:val="18545176"/>
    <w:rsid w:val="1872677E"/>
    <w:rsid w:val="187B2350"/>
    <w:rsid w:val="18961EEC"/>
    <w:rsid w:val="1898073E"/>
    <w:rsid w:val="18BD2382"/>
    <w:rsid w:val="18CF24A6"/>
    <w:rsid w:val="18D81BCE"/>
    <w:rsid w:val="18E71B98"/>
    <w:rsid w:val="18FA7BB9"/>
    <w:rsid w:val="190C6CAC"/>
    <w:rsid w:val="190F00C5"/>
    <w:rsid w:val="19122936"/>
    <w:rsid w:val="19145CCA"/>
    <w:rsid w:val="191579B2"/>
    <w:rsid w:val="19297089"/>
    <w:rsid w:val="192F409F"/>
    <w:rsid w:val="193D5E7E"/>
    <w:rsid w:val="193F5818"/>
    <w:rsid w:val="194257E6"/>
    <w:rsid w:val="194B0B02"/>
    <w:rsid w:val="196478F1"/>
    <w:rsid w:val="196E2A72"/>
    <w:rsid w:val="19781FA4"/>
    <w:rsid w:val="197A2092"/>
    <w:rsid w:val="198202C0"/>
    <w:rsid w:val="19A10C24"/>
    <w:rsid w:val="19A65F73"/>
    <w:rsid w:val="19AA220F"/>
    <w:rsid w:val="19C53A0F"/>
    <w:rsid w:val="19D87C85"/>
    <w:rsid w:val="19E2543C"/>
    <w:rsid w:val="19F57D72"/>
    <w:rsid w:val="1A09580F"/>
    <w:rsid w:val="1A0C5445"/>
    <w:rsid w:val="1A0D5626"/>
    <w:rsid w:val="1A1766E8"/>
    <w:rsid w:val="1A1D7DF4"/>
    <w:rsid w:val="1A204319"/>
    <w:rsid w:val="1A2B7304"/>
    <w:rsid w:val="1A2D3F78"/>
    <w:rsid w:val="1A367F46"/>
    <w:rsid w:val="1A476C4E"/>
    <w:rsid w:val="1A534654"/>
    <w:rsid w:val="1A585199"/>
    <w:rsid w:val="1A5B19D6"/>
    <w:rsid w:val="1A5B52A5"/>
    <w:rsid w:val="1A6C4333"/>
    <w:rsid w:val="1A795743"/>
    <w:rsid w:val="1A814A54"/>
    <w:rsid w:val="1A8B79A2"/>
    <w:rsid w:val="1AB71087"/>
    <w:rsid w:val="1ABA1FC8"/>
    <w:rsid w:val="1AC9700C"/>
    <w:rsid w:val="1AE34C66"/>
    <w:rsid w:val="1B085B54"/>
    <w:rsid w:val="1B0B4F2F"/>
    <w:rsid w:val="1B1D6673"/>
    <w:rsid w:val="1B1E197E"/>
    <w:rsid w:val="1B291F8A"/>
    <w:rsid w:val="1B356D7B"/>
    <w:rsid w:val="1B3E52A3"/>
    <w:rsid w:val="1B42549A"/>
    <w:rsid w:val="1B440A6E"/>
    <w:rsid w:val="1B501CBD"/>
    <w:rsid w:val="1B5D1B42"/>
    <w:rsid w:val="1B684D7F"/>
    <w:rsid w:val="1B6B3848"/>
    <w:rsid w:val="1B79633D"/>
    <w:rsid w:val="1B892AB1"/>
    <w:rsid w:val="1BAC3477"/>
    <w:rsid w:val="1BB4552B"/>
    <w:rsid w:val="1BB6108E"/>
    <w:rsid w:val="1BD37832"/>
    <w:rsid w:val="1BD8637E"/>
    <w:rsid w:val="1BDC7AD6"/>
    <w:rsid w:val="1BE536CE"/>
    <w:rsid w:val="1BEC0B03"/>
    <w:rsid w:val="1C1A06AB"/>
    <w:rsid w:val="1C2C1EA2"/>
    <w:rsid w:val="1C5446B4"/>
    <w:rsid w:val="1C644C84"/>
    <w:rsid w:val="1C9C5A5F"/>
    <w:rsid w:val="1C9E5F8D"/>
    <w:rsid w:val="1CA02BDA"/>
    <w:rsid w:val="1CA107E3"/>
    <w:rsid w:val="1CAB69CA"/>
    <w:rsid w:val="1CAC44F0"/>
    <w:rsid w:val="1CAD4FBF"/>
    <w:rsid w:val="1CB12502"/>
    <w:rsid w:val="1CBF4493"/>
    <w:rsid w:val="1CC26A61"/>
    <w:rsid w:val="1CC44688"/>
    <w:rsid w:val="1CCE263D"/>
    <w:rsid w:val="1CDF0421"/>
    <w:rsid w:val="1CE00C35"/>
    <w:rsid w:val="1CE63A5F"/>
    <w:rsid w:val="1CF245F9"/>
    <w:rsid w:val="1D0654F6"/>
    <w:rsid w:val="1D29096B"/>
    <w:rsid w:val="1D303D0C"/>
    <w:rsid w:val="1D7163E2"/>
    <w:rsid w:val="1D81772B"/>
    <w:rsid w:val="1D966D4B"/>
    <w:rsid w:val="1D976424"/>
    <w:rsid w:val="1D9B1C8A"/>
    <w:rsid w:val="1DA9073E"/>
    <w:rsid w:val="1DAA3471"/>
    <w:rsid w:val="1DB279C1"/>
    <w:rsid w:val="1DE77925"/>
    <w:rsid w:val="1DE858DD"/>
    <w:rsid w:val="1E1F05E8"/>
    <w:rsid w:val="1E2C710D"/>
    <w:rsid w:val="1E2F6D4A"/>
    <w:rsid w:val="1E4D4DDF"/>
    <w:rsid w:val="1E4E0423"/>
    <w:rsid w:val="1E552F6B"/>
    <w:rsid w:val="1E630C85"/>
    <w:rsid w:val="1E6E5B19"/>
    <w:rsid w:val="1E7828DC"/>
    <w:rsid w:val="1E7A2AF8"/>
    <w:rsid w:val="1E880F6F"/>
    <w:rsid w:val="1E883B31"/>
    <w:rsid w:val="1E935967"/>
    <w:rsid w:val="1EB02200"/>
    <w:rsid w:val="1EB542DA"/>
    <w:rsid w:val="1EC1671B"/>
    <w:rsid w:val="1EC27F9B"/>
    <w:rsid w:val="1ECB1107"/>
    <w:rsid w:val="1ED37FC3"/>
    <w:rsid w:val="1ED41446"/>
    <w:rsid w:val="1ED478D1"/>
    <w:rsid w:val="1EE1293A"/>
    <w:rsid w:val="1EF60275"/>
    <w:rsid w:val="1EFC62AD"/>
    <w:rsid w:val="1F0D7A53"/>
    <w:rsid w:val="1F1F369F"/>
    <w:rsid w:val="1F3C03A4"/>
    <w:rsid w:val="1F406E16"/>
    <w:rsid w:val="1F58466C"/>
    <w:rsid w:val="1F7107B2"/>
    <w:rsid w:val="1F7407E6"/>
    <w:rsid w:val="1F8B509A"/>
    <w:rsid w:val="1F8F0AF0"/>
    <w:rsid w:val="1F9B513F"/>
    <w:rsid w:val="1FB23C6B"/>
    <w:rsid w:val="1FC3293E"/>
    <w:rsid w:val="1FC86021"/>
    <w:rsid w:val="1FCE66E7"/>
    <w:rsid w:val="1FD3056E"/>
    <w:rsid w:val="1FD44B72"/>
    <w:rsid w:val="1FD6128A"/>
    <w:rsid w:val="1FE01650"/>
    <w:rsid w:val="1FE27D00"/>
    <w:rsid w:val="20021E18"/>
    <w:rsid w:val="200A3535"/>
    <w:rsid w:val="200F54C2"/>
    <w:rsid w:val="20123698"/>
    <w:rsid w:val="20150574"/>
    <w:rsid w:val="201A79C2"/>
    <w:rsid w:val="202D2BC1"/>
    <w:rsid w:val="204A1E47"/>
    <w:rsid w:val="20517769"/>
    <w:rsid w:val="20633456"/>
    <w:rsid w:val="20741C3E"/>
    <w:rsid w:val="20814E6D"/>
    <w:rsid w:val="20863300"/>
    <w:rsid w:val="20940315"/>
    <w:rsid w:val="20962FE6"/>
    <w:rsid w:val="20A04CD4"/>
    <w:rsid w:val="20AA1A6E"/>
    <w:rsid w:val="20BB5EEC"/>
    <w:rsid w:val="20BD0621"/>
    <w:rsid w:val="20BE3D75"/>
    <w:rsid w:val="20C01177"/>
    <w:rsid w:val="20E757FA"/>
    <w:rsid w:val="20F55CDD"/>
    <w:rsid w:val="20FA701E"/>
    <w:rsid w:val="211A3333"/>
    <w:rsid w:val="211F415A"/>
    <w:rsid w:val="21582D4C"/>
    <w:rsid w:val="215D6AB8"/>
    <w:rsid w:val="21932C88"/>
    <w:rsid w:val="21955EC7"/>
    <w:rsid w:val="21A108CB"/>
    <w:rsid w:val="21BD6A53"/>
    <w:rsid w:val="21C52FD6"/>
    <w:rsid w:val="21D36874"/>
    <w:rsid w:val="21DD63A5"/>
    <w:rsid w:val="21DE6167"/>
    <w:rsid w:val="21DF2C72"/>
    <w:rsid w:val="21E359DD"/>
    <w:rsid w:val="21F52495"/>
    <w:rsid w:val="21F8120C"/>
    <w:rsid w:val="21FD1119"/>
    <w:rsid w:val="22062302"/>
    <w:rsid w:val="221A6E7F"/>
    <w:rsid w:val="222D7E81"/>
    <w:rsid w:val="22473857"/>
    <w:rsid w:val="22483116"/>
    <w:rsid w:val="22493107"/>
    <w:rsid w:val="224D112D"/>
    <w:rsid w:val="226151FC"/>
    <w:rsid w:val="226338A3"/>
    <w:rsid w:val="227E02EC"/>
    <w:rsid w:val="22A42456"/>
    <w:rsid w:val="22AF2ACB"/>
    <w:rsid w:val="22BD1159"/>
    <w:rsid w:val="22BF4D31"/>
    <w:rsid w:val="22D7711D"/>
    <w:rsid w:val="22D94EC6"/>
    <w:rsid w:val="22DD3DAD"/>
    <w:rsid w:val="22E43E3E"/>
    <w:rsid w:val="22E70030"/>
    <w:rsid w:val="23077BC0"/>
    <w:rsid w:val="230A7B0B"/>
    <w:rsid w:val="23234FC3"/>
    <w:rsid w:val="232C069B"/>
    <w:rsid w:val="23394EF3"/>
    <w:rsid w:val="2352031A"/>
    <w:rsid w:val="236C6787"/>
    <w:rsid w:val="23731D93"/>
    <w:rsid w:val="237F1F21"/>
    <w:rsid w:val="239F3FFD"/>
    <w:rsid w:val="23B35594"/>
    <w:rsid w:val="23B553DE"/>
    <w:rsid w:val="23E34A76"/>
    <w:rsid w:val="23F944BF"/>
    <w:rsid w:val="23FD7C9D"/>
    <w:rsid w:val="24157712"/>
    <w:rsid w:val="241F78EC"/>
    <w:rsid w:val="24281606"/>
    <w:rsid w:val="24304C40"/>
    <w:rsid w:val="24377449"/>
    <w:rsid w:val="244A1131"/>
    <w:rsid w:val="244E07EA"/>
    <w:rsid w:val="247363AC"/>
    <w:rsid w:val="24736D00"/>
    <w:rsid w:val="2478640D"/>
    <w:rsid w:val="247E2C16"/>
    <w:rsid w:val="248D0F3D"/>
    <w:rsid w:val="249415ED"/>
    <w:rsid w:val="24975A86"/>
    <w:rsid w:val="24A2179D"/>
    <w:rsid w:val="24A74770"/>
    <w:rsid w:val="24AF1CE3"/>
    <w:rsid w:val="24B00072"/>
    <w:rsid w:val="24BD2AB6"/>
    <w:rsid w:val="24CF521F"/>
    <w:rsid w:val="24E22FF5"/>
    <w:rsid w:val="24E3027B"/>
    <w:rsid w:val="24E72569"/>
    <w:rsid w:val="24E74BF1"/>
    <w:rsid w:val="24F502CB"/>
    <w:rsid w:val="24FE6010"/>
    <w:rsid w:val="25050C41"/>
    <w:rsid w:val="250C3DCF"/>
    <w:rsid w:val="250F1AC0"/>
    <w:rsid w:val="25127931"/>
    <w:rsid w:val="251E5F1F"/>
    <w:rsid w:val="252500EC"/>
    <w:rsid w:val="25316CAC"/>
    <w:rsid w:val="2534190D"/>
    <w:rsid w:val="253E444F"/>
    <w:rsid w:val="253E611B"/>
    <w:rsid w:val="25455653"/>
    <w:rsid w:val="254C1312"/>
    <w:rsid w:val="254F25A0"/>
    <w:rsid w:val="2573122E"/>
    <w:rsid w:val="25753B62"/>
    <w:rsid w:val="257E039C"/>
    <w:rsid w:val="25801AF2"/>
    <w:rsid w:val="25A02AF0"/>
    <w:rsid w:val="25C23C69"/>
    <w:rsid w:val="25CD62F9"/>
    <w:rsid w:val="25D54AB7"/>
    <w:rsid w:val="2605722B"/>
    <w:rsid w:val="260E4E76"/>
    <w:rsid w:val="26215C3B"/>
    <w:rsid w:val="26263565"/>
    <w:rsid w:val="26282E39"/>
    <w:rsid w:val="262C374E"/>
    <w:rsid w:val="263B5A87"/>
    <w:rsid w:val="263C4B36"/>
    <w:rsid w:val="263C6D6D"/>
    <w:rsid w:val="264138D4"/>
    <w:rsid w:val="26824745"/>
    <w:rsid w:val="26832E3C"/>
    <w:rsid w:val="26925E39"/>
    <w:rsid w:val="2695285E"/>
    <w:rsid w:val="269739E8"/>
    <w:rsid w:val="269E1AEB"/>
    <w:rsid w:val="26A11355"/>
    <w:rsid w:val="26AF1A4D"/>
    <w:rsid w:val="26CC2FFF"/>
    <w:rsid w:val="26CD258B"/>
    <w:rsid w:val="26D65A75"/>
    <w:rsid w:val="26E42A05"/>
    <w:rsid w:val="26EE51AA"/>
    <w:rsid w:val="270839E3"/>
    <w:rsid w:val="27247AA4"/>
    <w:rsid w:val="27265811"/>
    <w:rsid w:val="27280E23"/>
    <w:rsid w:val="272F27C8"/>
    <w:rsid w:val="27335CC4"/>
    <w:rsid w:val="275339CD"/>
    <w:rsid w:val="277017FF"/>
    <w:rsid w:val="2776582A"/>
    <w:rsid w:val="277976C4"/>
    <w:rsid w:val="277C473C"/>
    <w:rsid w:val="27856069"/>
    <w:rsid w:val="27906EE8"/>
    <w:rsid w:val="27932534"/>
    <w:rsid w:val="279B3ADF"/>
    <w:rsid w:val="27AD767B"/>
    <w:rsid w:val="27C04F0D"/>
    <w:rsid w:val="27D7507C"/>
    <w:rsid w:val="27DF1C1D"/>
    <w:rsid w:val="27E401CA"/>
    <w:rsid w:val="27F80C31"/>
    <w:rsid w:val="27FA3169"/>
    <w:rsid w:val="27FF34BF"/>
    <w:rsid w:val="281F201A"/>
    <w:rsid w:val="2822092D"/>
    <w:rsid w:val="282877AB"/>
    <w:rsid w:val="28296293"/>
    <w:rsid w:val="2848123F"/>
    <w:rsid w:val="28567364"/>
    <w:rsid w:val="285D2B42"/>
    <w:rsid w:val="285F21E7"/>
    <w:rsid w:val="28695261"/>
    <w:rsid w:val="286B6916"/>
    <w:rsid w:val="287074CA"/>
    <w:rsid w:val="28786F8D"/>
    <w:rsid w:val="28812F43"/>
    <w:rsid w:val="289F6654"/>
    <w:rsid w:val="28B12578"/>
    <w:rsid w:val="28B801A7"/>
    <w:rsid w:val="28BD4B57"/>
    <w:rsid w:val="28D643D5"/>
    <w:rsid w:val="28D805BD"/>
    <w:rsid w:val="28E25E42"/>
    <w:rsid w:val="28F214DC"/>
    <w:rsid w:val="28F7681D"/>
    <w:rsid w:val="2922671A"/>
    <w:rsid w:val="292938D1"/>
    <w:rsid w:val="292A360C"/>
    <w:rsid w:val="293B2CEA"/>
    <w:rsid w:val="295F6A41"/>
    <w:rsid w:val="296D746F"/>
    <w:rsid w:val="29722EAC"/>
    <w:rsid w:val="29896CCB"/>
    <w:rsid w:val="299A22A0"/>
    <w:rsid w:val="29B14754"/>
    <w:rsid w:val="29B95DAE"/>
    <w:rsid w:val="29C66AFA"/>
    <w:rsid w:val="29CB06AB"/>
    <w:rsid w:val="29D17C77"/>
    <w:rsid w:val="29D578D4"/>
    <w:rsid w:val="29EE0062"/>
    <w:rsid w:val="29F86FC6"/>
    <w:rsid w:val="2A0140CD"/>
    <w:rsid w:val="2A107DF7"/>
    <w:rsid w:val="2A132E42"/>
    <w:rsid w:val="2A2B62B5"/>
    <w:rsid w:val="2A573918"/>
    <w:rsid w:val="2A6641C2"/>
    <w:rsid w:val="2A6C1A0D"/>
    <w:rsid w:val="2A736D61"/>
    <w:rsid w:val="2A930540"/>
    <w:rsid w:val="2A9B56E6"/>
    <w:rsid w:val="2AAA20C2"/>
    <w:rsid w:val="2ABB36A7"/>
    <w:rsid w:val="2ACA2711"/>
    <w:rsid w:val="2ADC3CFB"/>
    <w:rsid w:val="2AEC0CD7"/>
    <w:rsid w:val="2AF56CDC"/>
    <w:rsid w:val="2B067E60"/>
    <w:rsid w:val="2B102B37"/>
    <w:rsid w:val="2B14398C"/>
    <w:rsid w:val="2B287437"/>
    <w:rsid w:val="2B2C5F47"/>
    <w:rsid w:val="2B312B28"/>
    <w:rsid w:val="2B3163C1"/>
    <w:rsid w:val="2B395AE8"/>
    <w:rsid w:val="2B5620E3"/>
    <w:rsid w:val="2B57140A"/>
    <w:rsid w:val="2B5E1DE1"/>
    <w:rsid w:val="2B6A5CA2"/>
    <w:rsid w:val="2B77216D"/>
    <w:rsid w:val="2B816B0E"/>
    <w:rsid w:val="2BB85FA6"/>
    <w:rsid w:val="2BF437BD"/>
    <w:rsid w:val="2BF94E30"/>
    <w:rsid w:val="2C006A2E"/>
    <w:rsid w:val="2C1F5E0E"/>
    <w:rsid w:val="2C215C14"/>
    <w:rsid w:val="2C38751E"/>
    <w:rsid w:val="2C3B17CC"/>
    <w:rsid w:val="2C45574A"/>
    <w:rsid w:val="2C4A2114"/>
    <w:rsid w:val="2C5640C1"/>
    <w:rsid w:val="2C5A23B0"/>
    <w:rsid w:val="2C857869"/>
    <w:rsid w:val="2C8A6266"/>
    <w:rsid w:val="2CAE2A6A"/>
    <w:rsid w:val="2CB1017E"/>
    <w:rsid w:val="2CD16667"/>
    <w:rsid w:val="2CF46965"/>
    <w:rsid w:val="2CF52589"/>
    <w:rsid w:val="2D0143E4"/>
    <w:rsid w:val="2D0A3299"/>
    <w:rsid w:val="2D140993"/>
    <w:rsid w:val="2D2F5CF7"/>
    <w:rsid w:val="2D316F91"/>
    <w:rsid w:val="2D3D7935"/>
    <w:rsid w:val="2D401D7D"/>
    <w:rsid w:val="2D6B5B8B"/>
    <w:rsid w:val="2DA1343D"/>
    <w:rsid w:val="2DA51C69"/>
    <w:rsid w:val="2DA7239E"/>
    <w:rsid w:val="2DAC3027"/>
    <w:rsid w:val="2DC33F22"/>
    <w:rsid w:val="2DC85AC2"/>
    <w:rsid w:val="2DD0413C"/>
    <w:rsid w:val="2DD5604D"/>
    <w:rsid w:val="2DEC700C"/>
    <w:rsid w:val="2E0F130F"/>
    <w:rsid w:val="2E0F3743"/>
    <w:rsid w:val="2E2C37BC"/>
    <w:rsid w:val="2E2E6A86"/>
    <w:rsid w:val="2E356854"/>
    <w:rsid w:val="2E3750BD"/>
    <w:rsid w:val="2E3A2A1B"/>
    <w:rsid w:val="2E445DAC"/>
    <w:rsid w:val="2E4C0B19"/>
    <w:rsid w:val="2E616B36"/>
    <w:rsid w:val="2E7E32C8"/>
    <w:rsid w:val="2E89452C"/>
    <w:rsid w:val="2E8B11D0"/>
    <w:rsid w:val="2E8C3533"/>
    <w:rsid w:val="2E9541CC"/>
    <w:rsid w:val="2E9F3EB4"/>
    <w:rsid w:val="2EAA152E"/>
    <w:rsid w:val="2EB274C4"/>
    <w:rsid w:val="2EB52D1C"/>
    <w:rsid w:val="2EC50704"/>
    <w:rsid w:val="2ED32F80"/>
    <w:rsid w:val="2EE0579A"/>
    <w:rsid w:val="2EE66344"/>
    <w:rsid w:val="2EED1496"/>
    <w:rsid w:val="2EF312C6"/>
    <w:rsid w:val="2EF678A9"/>
    <w:rsid w:val="2F014D6D"/>
    <w:rsid w:val="2F0D52C2"/>
    <w:rsid w:val="2F11723D"/>
    <w:rsid w:val="2F183560"/>
    <w:rsid w:val="2F191AB1"/>
    <w:rsid w:val="2F225391"/>
    <w:rsid w:val="2F2458A7"/>
    <w:rsid w:val="2F270358"/>
    <w:rsid w:val="2F334919"/>
    <w:rsid w:val="2F394E6F"/>
    <w:rsid w:val="2F4D58A9"/>
    <w:rsid w:val="2F5300F5"/>
    <w:rsid w:val="2F57478F"/>
    <w:rsid w:val="2F624378"/>
    <w:rsid w:val="2F636B3A"/>
    <w:rsid w:val="2F652FB2"/>
    <w:rsid w:val="2F664949"/>
    <w:rsid w:val="2F6A621D"/>
    <w:rsid w:val="2F6D12A6"/>
    <w:rsid w:val="2F6D297D"/>
    <w:rsid w:val="2F701931"/>
    <w:rsid w:val="2F7075FF"/>
    <w:rsid w:val="2F976BB0"/>
    <w:rsid w:val="2FA86552"/>
    <w:rsid w:val="2FBB2A05"/>
    <w:rsid w:val="2FBE7AFB"/>
    <w:rsid w:val="2FCA31B3"/>
    <w:rsid w:val="2FCE5A81"/>
    <w:rsid w:val="2FD77832"/>
    <w:rsid w:val="2FDD3677"/>
    <w:rsid w:val="2FE909E4"/>
    <w:rsid w:val="2FEF2A3D"/>
    <w:rsid w:val="2FF511E7"/>
    <w:rsid w:val="2FF60AE0"/>
    <w:rsid w:val="2FFB15BE"/>
    <w:rsid w:val="300C73F8"/>
    <w:rsid w:val="30122BD3"/>
    <w:rsid w:val="301F2B6C"/>
    <w:rsid w:val="302208F9"/>
    <w:rsid w:val="30275F10"/>
    <w:rsid w:val="30336FAA"/>
    <w:rsid w:val="30481C22"/>
    <w:rsid w:val="304D0758"/>
    <w:rsid w:val="304E7E8A"/>
    <w:rsid w:val="3059008F"/>
    <w:rsid w:val="306550D4"/>
    <w:rsid w:val="3071362F"/>
    <w:rsid w:val="308D56F1"/>
    <w:rsid w:val="308F410B"/>
    <w:rsid w:val="3092204D"/>
    <w:rsid w:val="30981AA5"/>
    <w:rsid w:val="30AC2ACA"/>
    <w:rsid w:val="30B36080"/>
    <w:rsid w:val="30F6248A"/>
    <w:rsid w:val="30FE1366"/>
    <w:rsid w:val="30FF351C"/>
    <w:rsid w:val="311741DE"/>
    <w:rsid w:val="31365CBC"/>
    <w:rsid w:val="31405EEE"/>
    <w:rsid w:val="31450E22"/>
    <w:rsid w:val="31505EEF"/>
    <w:rsid w:val="315A3F60"/>
    <w:rsid w:val="31741628"/>
    <w:rsid w:val="317E2B57"/>
    <w:rsid w:val="318140D7"/>
    <w:rsid w:val="31833929"/>
    <w:rsid w:val="31986C26"/>
    <w:rsid w:val="31A569B0"/>
    <w:rsid w:val="31A91F5E"/>
    <w:rsid w:val="31B534BB"/>
    <w:rsid w:val="31B770FA"/>
    <w:rsid w:val="31D15234"/>
    <w:rsid w:val="31D62A53"/>
    <w:rsid w:val="32007F01"/>
    <w:rsid w:val="32134E13"/>
    <w:rsid w:val="32252923"/>
    <w:rsid w:val="322F37A1"/>
    <w:rsid w:val="324120A5"/>
    <w:rsid w:val="32417253"/>
    <w:rsid w:val="32576126"/>
    <w:rsid w:val="327E1384"/>
    <w:rsid w:val="328674B4"/>
    <w:rsid w:val="328E66F6"/>
    <w:rsid w:val="32921A5B"/>
    <w:rsid w:val="32962A0F"/>
    <w:rsid w:val="32A15AE4"/>
    <w:rsid w:val="32A324A7"/>
    <w:rsid w:val="32A425D7"/>
    <w:rsid w:val="32C72AC4"/>
    <w:rsid w:val="32CF75AE"/>
    <w:rsid w:val="32E455C2"/>
    <w:rsid w:val="32E4664F"/>
    <w:rsid w:val="32E50688"/>
    <w:rsid w:val="33000B8E"/>
    <w:rsid w:val="33017D1E"/>
    <w:rsid w:val="330561E8"/>
    <w:rsid w:val="33056836"/>
    <w:rsid w:val="33060118"/>
    <w:rsid w:val="333D3D6D"/>
    <w:rsid w:val="335401AA"/>
    <w:rsid w:val="33577B5E"/>
    <w:rsid w:val="336472BC"/>
    <w:rsid w:val="338D7281"/>
    <w:rsid w:val="338E4750"/>
    <w:rsid w:val="3395537D"/>
    <w:rsid w:val="339B3BB5"/>
    <w:rsid w:val="33A02354"/>
    <w:rsid w:val="33A47CBE"/>
    <w:rsid w:val="33AD2BD0"/>
    <w:rsid w:val="33B60F22"/>
    <w:rsid w:val="33BD4C84"/>
    <w:rsid w:val="33C106AA"/>
    <w:rsid w:val="33C7264F"/>
    <w:rsid w:val="33D4015C"/>
    <w:rsid w:val="33DE3752"/>
    <w:rsid w:val="33F4306A"/>
    <w:rsid w:val="34116EF0"/>
    <w:rsid w:val="341669C7"/>
    <w:rsid w:val="341D008A"/>
    <w:rsid w:val="34337CD5"/>
    <w:rsid w:val="343A1A3F"/>
    <w:rsid w:val="34423502"/>
    <w:rsid w:val="344A7EC6"/>
    <w:rsid w:val="344E0800"/>
    <w:rsid w:val="344F6ECA"/>
    <w:rsid w:val="34500455"/>
    <w:rsid w:val="345D0CE3"/>
    <w:rsid w:val="345E47EA"/>
    <w:rsid w:val="346040E6"/>
    <w:rsid w:val="34637732"/>
    <w:rsid w:val="346C1D10"/>
    <w:rsid w:val="346F532C"/>
    <w:rsid w:val="3471226A"/>
    <w:rsid w:val="347F51CF"/>
    <w:rsid w:val="348F0527"/>
    <w:rsid w:val="34962473"/>
    <w:rsid w:val="34973DAC"/>
    <w:rsid w:val="34C3533D"/>
    <w:rsid w:val="34C957E7"/>
    <w:rsid w:val="34CB23BD"/>
    <w:rsid w:val="34E22D4D"/>
    <w:rsid w:val="34E87CF6"/>
    <w:rsid w:val="34EE7BB1"/>
    <w:rsid w:val="34F3647D"/>
    <w:rsid w:val="35026503"/>
    <w:rsid w:val="35092088"/>
    <w:rsid w:val="3509733E"/>
    <w:rsid w:val="350B476C"/>
    <w:rsid w:val="35112AB2"/>
    <w:rsid w:val="351A4FD4"/>
    <w:rsid w:val="351F4BDB"/>
    <w:rsid w:val="35390A5C"/>
    <w:rsid w:val="35661288"/>
    <w:rsid w:val="35821FE9"/>
    <w:rsid w:val="35870A1D"/>
    <w:rsid w:val="35887EFA"/>
    <w:rsid w:val="35894BB0"/>
    <w:rsid w:val="35A44DDA"/>
    <w:rsid w:val="35B504E8"/>
    <w:rsid w:val="35C14902"/>
    <w:rsid w:val="35C73224"/>
    <w:rsid w:val="35CF29B4"/>
    <w:rsid w:val="360F1719"/>
    <w:rsid w:val="36232E67"/>
    <w:rsid w:val="3626734A"/>
    <w:rsid w:val="36321AB2"/>
    <w:rsid w:val="36462E68"/>
    <w:rsid w:val="364B5F61"/>
    <w:rsid w:val="36533F02"/>
    <w:rsid w:val="36541A28"/>
    <w:rsid w:val="36565775"/>
    <w:rsid w:val="36637A36"/>
    <w:rsid w:val="367A3030"/>
    <w:rsid w:val="36880509"/>
    <w:rsid w:val="368A0733"/>
    <w:rsid w:val="368B1D19"/>
    <w:rsid w:val="368E4832"/>
    <w:rsid w:val="369816E6"/>
    <w:rsid w:val="36A66282"/>
    <w:rsid w:val="36CC15BF"/>
    <w:rsid w:val="36D26A73"/>
    <w:rsid w:val="36F21665"/>
    <w:rsid w:val="36F25C99"/>
    <w:rsid w:val="36F40B16"/>
    <w:rsid w:val="370A1A81"/>
    <w:rsid w:val="370A2E1C"/>
    <w:rsid w:val="371C4403"/>
    <w:rsid w:val="37227D0E"/>
    <w:rsid w:val="37261827"/>
    <w:rsid w:val="372B4B9D"/>
    <w:rsid w:val="373130D1"/>
    <w:rsid w:val="37376C4C"/>
    <w:rsid w:val="37402D47"/>
    <w:rsid w:val="37595639"/>
    <w:rsid w:val="375D571E"/>
    <w:rsid w:val="3763345A"/>
    <w:rsid w:val="37860639"/>
    <w:rsid w:val="37987709"/>
    <w:rsid w:val="37A670C2"/>
    <w:rsid w:val="37B0547B"/>
    <w:rsid w:val="37C93D50"/>
    <w:rsid w:val="37D27A66"/>
    <w:rsid w:val="37D3017F"/>
    <w:rsid w:val="37E658C2"/>
    <w:rsid w:val="38117BEB"/>
    <w:rsid w:val="381D3358"/>
    <w:rsid w:val="386A6A93"/>
    <w:rsid w:val="386F48F8"/>
    <w:rsid w:val="38831CA2"/>
    <w:rsid w:val="38B74873"/>
    <w:rsid w:val="38BC19DF"/>
    <w:rsid w:val="38CA3328"/>
    <w:rsid w:val="38D417F7"/>
    <w:rsid w:val="38D52552"/>
    <w:rsid w:val="38D70E11"/>
    <w:rsid w:val="38D97B5E"/>
    <w:rsid w:val="38E2156D"/>
    <w:rsid w:val="38F82E5F"/>
    <w:rsid w:val="39030B43"/>
    <w:rsid w:val="391E6E5C"/>
    <w:rsid w:val="3924663E"/>
    <w:rsid w:val="39265461"/>
    <w:rsid w:val="39286129"/>
    <w:rsid w:val="39360D73"/>
    <w:rsid w:val="39365636"/>
    <w:rsid w:val="394C22B5"/>
    <w:rsid w:val="396027F6"/>
    <w:rsid w:val="396F3BB8"/>
    <w:rsid w:val="397C551E"/>
    <w:rsid w:val="397D5EB4"/>
    <w:rsid w:val="398377B4"/>
    <w:rsid w:val="39A05C69"/>
    <w:rsid w:val="39AF772E"/>
    <w:rsid w:val="39B36A66"/>
    <w:rsid w:val="39BA6FC4"/>
    <w:rsid w:val="39C5093C"/>
    <w:rsid w:val="39DC55E0"/>
    <w:rsid w:val="39DF447A"/>
    <w:rsid w:val="3A085004"/>
    <w:rsid w:val="3A1621E7"/>
    <w:rsid w:val="3A22463F"/>
    <w:rsid w:val="3A316DD9"/>
    <w:rsid w:val="3A3728D1"/>
    <w:rsid w:val="3A4D3791"/>
    <w:rsid w:val="3A5F18E7"/>
    <w:rsid w:val="3A647D60"/>
    <w:rsid w:val="3A6F5083"/>
    <w:rsid w:val="3A7B425D"/>
    <w:rsid w:val="3A92702B"/>
    <w:rsid w:val="3A9A30C2"/>
    <w:rsid w:val="3AC505EE"/>
    <w:rsid w:val="3AC7394B"/>
    <w:rsid w:val="3AF048AF"/>
    <w:rsid w:val="3AF25543"/>
    <w:rsid w:val="3B0529E1"/>
    <w:rsid w:val="3B0C6285"/>
    <w:rsid w:val="3B2D469D"/>
    <w:rsid w:val="3B304DB4"/>
    <w:rsid w:val="3B441834"/>
    <w:rsid w:val="3B4756B8"/>
    <w:rsid w:val="3B5B1567"/>
    <w:rsid w:val="3B5F037D"/>
    <w:rsid w:val="3B7316F7"/>
    <w:rsid w:val="3B793720"/>
    <w:rsid w:val="3B85186F"/>
    <w:rsid w:val="3B8A379C"/>
    <w:rsid w:val="3B8D4D19"/>
    <w:rsid w:val="3B9B06A4"/>
    <w:rsid w:val="3B9F005B"/>
    <w:rsid w:val="3BC00D24"/>
    <w:rsid w:val="3BCB633B"/>
    <w:rsid w:val="3BD525A0"/>
    <w:rsid w:val="3BDC3C0A"/>
    <w:rsid w:val="3BF33A92"/>
    <w:rsid w:val="3BF82E56"/>
    <w:rsid w:val="3C051818"/>
    <w:rsid w:val="3C09416F"/>
    <w:rsid w:val="3C140E94"/>
    <w:rsid w:val="3C1F05B3"/>
    <w:rsid w:val="3C233668"/>
    <w:rsid w:val="3C2F0FA5"/>
    <w:rsid w:val="3C3C6A20"/>
    <w:rsid w:val="3C4254F8"/>
    <w:rsid w:val="3C47049B"/>
    <w:rsid w:val="3C4D31A2"/>
    <w:rsid w:val="3C576E06"/>
    <w:rsid w:val="3C582C3F"/>
    <w:rsid w:val="3C5F6A31"/>
    <w:rsid w:val="3C814B93"/>
    <w:rsid w:val="3C8A17BF"/>
    <w:rsid w:val="3C9D417B"/>
    <w:rsid w:val="3CB52EE3"/>
    <w:rsid w:val="3CC25377"/>
    <w:rsid w:val="3CCD283D"/>
    <w:rsid w:val="3CCF164F"/>
    <w:rsid w:val="3CD32666"/>
    <w:rsid w:val="3CE96AE1"/>
    <w:rsid w:val="3CEE34DA"/>
    <w:rsid w:val="3CFB762D"/>
    <w:rsid w:val="3D07231F"/>
    <w:rsid w:val="3D130D8C"/>
    <w:rsid w:val="3D173F9D"/>
    <w:rsid w:val="3D1D7C65"/>
    <w:rsid w:val="3D5323E2"/>
    <w:rsid w:val="3D5517FF"/>
    <w:rsid w:val="3D59220C"/>
    <w:rsid w:val="3D6055D1"/>
    <w:rsid w:val="3D620A9F"/>
    <w:rsid w:val="3D680A02"/>
    <w:rsid w:val="3D6A1B31"/>
    <w:rsid w:val="3D717F20"/>
    <w:rsid w:val="3D850719"/>
    <w:rsid w:val="3D932E36"/>
    <w:rsid w:val="3D9B4E0F"/>
    <w:rsid w:val="3DAE1A1E"/>
    <w:rsid w:val="3DC70D32"/>
    <w:rsid w:val="3DCC6348"/>
    <w:rsid w:val="3DDB16E6"/>
    <w:rsid w:val="3DEA5515"/>
    <w:rsid w:val="3DEC2546"/>
    <w:rsid w:val="3DF71617"/>
    <w:rsid w:val="3E0C10AA"/>
    <w:rsid w:val="3E1F2D15"/>
    <w:rsid w:val="3E204FCF"/>
    <w:rsid w:val="3E3A28C0"/>
    <w:rsid w:val="3E3F1321"/>
    <w:rsid w:val="3E43552F"/>
    <w:rsid w:val="3E5308F1"/>
    <w:rsid w:val="3E5A1BA6"/>
    <w:rsid w:val="3E606B89"/>
    <w:rsid w:val="3E6A003B"/>
    <w:rsid w:val="3E7964D0"/>
    <w:rsid w:val="3E7B0328"/>
    <w:rsid w:val="3E806081"/>
    <w:rsid w:val="3E8170CA"/>
    <w:rsid w:val="3E9171EE"/>
    <w:rsid w:val="3E956BD6"/>
    <w:rsid w:val="3EDC080D"/>
    <w:rsid w:val="3EE75E9F"/>
    <w:rsid w:val="3F005501"/>
    <w:rsid w:val="3F0D4805"/>
    <w:rsid w:val="3F156C0C"/>
    <w:rsid w:val="3F23220E"/>
    <w:rsid w:val="3F447863"/>
    <w:rsid w:val="3F496BB7"/>
    <w:rsid w:val="3F5F7EC2"/>
    <w:rsid w:val="3F6C7184"/>
    <w:rsid w:val="3F7F7B16"/>
    <w:rsid w:val="3F8764FC"/>
    <w:rsid w:val="3FD31FE5"/>
    <w:rsid w:val="3FEE2BF1"/>
    <w:rsid w:val="3FEE6A4A"/>
    <w:rsid w:val="3FF71E31"/>
    <w:rsid w:val="3FF92FD3"/>
    <w:rsid w:val="3FFE3A57"/>
    <w:rsid w:val="40145ADD"/>
    <w:rsid w:val="40286E5D"/>
    <w:rsid w:val="40317906"/>
    <w:rsid w:val="403501D5"/>
    <w:rsid w:val="403A1FC0"/>
    <w:rsid w:val="403A57EB"/>
    <w:rsid w:val="404C67A7"/>
    <w:rsid w:val="40504C81"/>
    <w:rsid w:val="406E212F"/>
    <w:rsid w:val="40802FE2"/>
    <w:rsid w:val="40834096"/>
    <w:rsid w:val="409D24C0"/>
    <w:rsid w:val="409F7F05"/>
    <w:rsid w:val="40BF3BCA"/>
    <w:rsid w:val="40DD7AF9"/>
    <w:rsid w:val="40FC1D22"/>
    <w:rsid w:val="4108321F"/>
    <w:rsid w:val="41135886"/>
    <w:rsid w:val="411461C7"/>
    <w:rsid w:val="411C6B90"/>
    <w:rsid w:val="41354774"/>
    <w:rsid w:val="4138643D"/>
    <w:rsid w:val="413F4FC2"/>
    <w:rsid w:val="415811CE"/>
    <w:rsid w:val="41635BFC"/>
    <w:rsid w:val="416E1F3E"/>
    <w:rsid w:val="416F7716"/>
    <w:rsid w:val="417B4E16"/>
    <w:rsid w:val="41801AFE"/>
    <w:rsid w:val="41887598"/>
    <w:rsid w:val="418F3691"/>
    <w:rsid w:val="41924FA5"/>
    <w:rsid w:val="41A75102"/>
    <w:rsid w:val="41A93A7D"/>
    <w:rsid w:val="41BF4559"/>
    <w:rsid w:val="41C83DB4"/>
    <w:rsid w:val="41CC461A"/>
    <w:rsid w:val="41D1217F"/>
    <w:rsid w:val="41FA3BE5"/>
    <w:rsid w:val="41FB4C97"/>
    <w:rsid w:val="42032FD0"/>
    <w:rsid w:val="420D7482"/>
    <w:rsid w:val="421263E4"/>
    <w:rsid w:val="422A7852"/>
    <w:rsid w:val="424448C1"/>
    <w:rsid w:val="424F56D9"/>
    <w:rsid w:val="42511FD0"/>
    <w:rsid w:val="42644DA1"/>
    <w:rsid w:val="42734A5B"/>
    <w:rsid w:val="42771EF3"/>
    <w:rsid w:val="42810B1F"/>
    <w:rsid w:val="428D254A"/>
    <w:rsid w:val="429C0647"/>
    <w:rsid w:val="42A02EFF"/>
    <w:rsid w:val="42BB1594"/>
    <w:rsid w:val="43116DF1"/>
    <w:rsid w:val="431951CE"/>
    <w:rsid w:val="431F6C99"/>
    <w:rsid w:val="432F47B6"/>
    <w:rsid w:val="43421586"/>
    <w:rsid w:val="434248CF"/>
    <w:rsid w:val="43486FC5"/>
    <w:rsid w:val="434A214F"/>
    <w:rsid w:val="43640812"/>
    <w:rsid w:val="436408E2"/>
    <w:rsid w:val="43714B16"/>
    <w:rsid w:val="43714D57"/>
    <w:rsid w:val="43773E93"/>
    <w:rsid w:val="437A0F68"/>
    <w:rsid w:val="437D25BE"/>
    <w:rsid w:val="437D50B7"/>
    <w:rsid w:val="43801F1D"/>
    <w:rsid w:val="43AB5F64"/>
    <w:rsid w:val="43AD4752"/>
    <w:rsid w:val="43B00140"/>
    <w:rsid w:val="43C53926"/>
    <w:rsid w:val="43E3697B"/>
    <w:rsid w:val="43F25B19"/>
    <w:rsid w:val="43F46C70"/>
    <w:rsid w:val="43FE1C96"/>
    <w:rsid w:val="43FF1225"/>
    <w:rsid w:val="44010594"/>
    <w:rsid w:val="44185B0F"/>
    <w:rsid w:val="44193CE6"/>
    <w:rsid w:val="442245A2"/>
    <w:rsid w:val="4439440B"/>
    <w:rsid w:val="443E0A40"/>
    <w:rsid w:val="445552E9"/>
    <w:rsid w:val="446308D0"/>
    <w:rsid w:val="44635CDA"/>
    <w:rsid w:val="44765407"/>
    <w:rsid w:val="4484172B"/>
    <w:rsid w:val="448A000F"/>
    <w:rsid w:val="44951B02"/>
    <w:rsid w:val="449536D3"/>
    <w:rsid w:val="449776B0"/>
    <w:rsid w:val="44B666E0"/>
    <w:rsid w:val="44D00A48"/>
    <w:rsid w:val="44D01C39"/>
    <w:rsid w:val="44D97282"/>
    <w:rsid w:val="44DE781E"/>
    <w:rsid w:val="44F5597B"/>
    <w:rsid w:val="44F93920"/>
    <w:rsid w:val="44FB282C"/>
    <w:rsid w:val="4503059E"/>
    <w:rsid w:val="4521341D"/>
    <w:rsid w:val="452B5ACA"/>
    <w:rsid w:val="45315556"/>
    <w:rsid w:val="45372164"/>
    <w:rsid w:val="455E3D2A"/>
    <w:rsid w:val="45665A51"/>
    <w:rsid w:val="457B25DF"/>
    <w:rsid w:val="459B4F7E"/>
    <w:rsid w:val="45A41A0E"/>
    <w:rsid w:val="45AA03F8"/>
    <w:rsid w:val="45BA35BE"/>
    <w:rsid w:val="45C718D7"/>
    <w:rsid w:val="45D40F17"/>
    <w:rsid w:val="45E75247"/>
    <w:rsid w:val="45E83F3B"/>
    <w:rsid w:val="45E94BA4"/>
    <w:rsid w:val="45F15959"/>
    <w:rsid w:val="45F35012"/>
    <w:rsid w:val="46006555"/>
    <w:rsid w:val="46144D30"/>
    <w:rsid w:val="46216A87"/>
    <w:rsid w:val="462D6FDD"/>
    <w:rsid w:val="46492C2C"/>
    <w:rsid w:val="46595450"/>
    <w:rsid w:val="466F06E1"/>
    <w:rsid w:val="4671046B"/>
    <w:rsid w:val="467526A6"/>
    <w:rsid w:val="46837300"/>
    <w:rsid w:val="46981EA3"/>
    <w:rsid w:val="469A1867"/>
    <w:rsid w:val="46B57334"/>
    <w:rsid w:val="46BD2CD2"/>
    <w:rsid w:val="46C26354"/>
    <w:rsid w:val="46C43305"/>
    <w:rsid w:val="46D9592A"/>
    <w:rsid w:val="46F00118"/>
    <w:rsid w:val="46F95C69"/>
    <w:rsid w:val="47005886"/>
    <w:rsid w:val="471F644F"/>
    <w:rsid w:val="47413903"/>
    <w:rsid w:val="475A49C5"/>
    <w:rsid w:val="475E77F3"/>
    <w:rsid w:val="476A44D6"/>
    <w:rsid w:val="476E6C15"/>
    <w:rsid w:val="47770862"/>
    <w:rsid w:val="477B566E"/>
    <w:rsid w:val="477F7C51"/>
    <w:rsid w:val="47880CB9"/>
    <w:rsid w:val="47953C4F"/>
    <w:rsid w:val="47A44A24"/>
    <w:rsid w:val="47A65B65"/>
    <w:rsid w:val="47AC6F41"/>
    <w:rsid w:val="47B06FAC"/>
    <w:rsid w:val="47B533F6"/>
    <w:rsid w:val="47E0077F"/>
    <w:rsid w:val="483671E0"/>
    <w:rsid w:val="48421C41"/>
    <w:rsid w:val="4851401A"/>
    <w:rsid w:val="48580F04"/>
    <w:rsid w:val="485E7E2D"/>
    <w:rsid w:val="48677399"/>
    <w:rsid w:val="48755A4D"/>
    <w:rsid w:val="487B5843"/>
    <w:rsid w:val="48852B14"/>
    <w:rsid w:val="488C0196"/>
    <w:rsid w:val="489A776F"/>
    <w:rsid w:val="48A5351C"/>
    <w:rsid w:val="48AC1147"/>
    <w:rsid w:val="48D4628E"/>
    <w:rsid w:val="48F57F75"/>
    <w:rsid w:val="49311755"/>
    <w:rsid w:val="4932741B"/>
    <w:rsid w:val="49654D82"/>
    <w:rsid w:val="49684FE2"/>
    <w:rsid w:val="497037B4"/>
    <w:rsid w:val="497109CC"/>
    <w:rsid w:val="498161FA"/>
    <w:rsid w:val="49887640"/>
    <w:rsid w:val="498B5309"/>
    <w:rsid w:val="49927651"/>
    <w:rsid w:val="499D2C5E"/>
    <w:rsid w:val="49B04890"/>
    <w:rsid w:val="49B81710"/>
    <w:rsid w:val="49B83B27"/>
    <w:rsid w:val="49D2321B"/>
    <w:rsid w:val="49D547D7"/>
    <w:rsid w:val="49DE2C8C"/>
    <w:rsid w:val="49EE688D"/>
    <w:rsid w:val="49FE34CF"/>
    <w:rsid w:val="49FE52CC"/>
    <w:rsid w:val="49FE753E"/>
    <w:rsid w:val="4A0B240F"/>
    <w:rsid w:val="4A271AD5"/>
    <w:rsid w:val="4A3E5A40"/>
    <w:rsid w:val="4A3E6EFF"/>
    <w:rsid w:val="4A443111"/>
    <w:rsid w:val="4A5971B6"/>
    <w:rsid w:val="4A621AA2"/>
    <w:rsid w:val="4A6D679F"/>
    <w:rsid w:val="4A7575E6"/>
    <w:rsid w:val="4A7B12C4"/>
    <w:rsid w:val="4ADB406F"/>
    <w:rsid w:val="4ADD32B8"/>
    <w:rsid w:val="4AE07549"/>
    <w:rsid w:val="4AE37C72"/>
    <w:rsid w:val="4AEB68E6"/>
    <w:rsid w:val="4AF82D8E"/>
    <w:rsid w:val="4B370241"/>
    <w:rsid w:val="4B490AD1"/>
    <w:rsid w:val="4B542888"/>
    <w:rsid w:val="4B663938"/>
    <w:rsid w:val="4B685902"/>
    <w:rsid w:val="4B6B0F4E"/>
    <w:rsid w:val="4B751199"/>
    <w:rsid w:val="4B9A69ED"/>
    <w:rsid w:val="4BA643C9"/>
    <w:rsid w:val="4BA7756F"/>
    <w:rsid w:val="4BAA0B73"/>
    <w:rsid w:val="4BB203E5"/>
    <w:rsid w:val="4BBB5579"/>
    <w:rsid w:val="4BBD036D"/>
    <w:rsid w:val="4BBE3026"/>
    <w:rsid w:val="4BD50134"/>
    <w:rsid w:val="4BDF7A46"/>
    <w:rsid w:val="4BFD7259"/>
    <w:rsid w:val="4C0B141A"/>
    <w:rsid w:val="4C15535E"/>
    <w:rsid w:val="4C1566DB"/>
    <w:rsid w:val="4C254B96"/>
    <w:rsid w:val="4C2D26A8"/>
    <w:rsid w:val="4C2F6CB0"/>
    <w:rsid w:val="4C427832"/>
    <w:rsid w:val="4C432015"/>
    <w:rsid w:val="4C581541"/>
    <w:rsid w:val="4C660013"/>
    <w:rsid w:val="4C7211F5"/>
    <w:rsid w:val="4C870FFF"/>
    <w:rsid w:val="4C8E2D43"/>
    <w:rsid w:val="4C9A43B9"/>
    <w:rsid w:val="4CAA218A"/>
    <w:rsid w:val="4CAD70C9"/>
    <w:rsid w:val="4CBF3B46"/>
    <w:rsid w:val="4CC0189C"/>
    <w:rsid w:val="4CC30517"/>
    <w:rsid w:val="4CE56545"/>
    <w:rsid w:val="4CE5696C"/>
    <w:rsid w:val="4CF23A0D"/>
    <w:rsid w:val="4D0A709D"/>
    <w:rsid w:val="4D0B1C51"/>
    <w:rsid w:val="4D0D7ED3"/>
    <w:rsid w:val="4D106251"/>
    <w:rsid w:val="4D120FFB"/>
    <w:rsid w:val="4D216B5E"/>
    <w:rsid w:val="4D271778"/>
    <w:rsid w:val="4D434255"/>
    <w:rsid w:val="4D4E6CE8"/>
    <w:rsid w:val="4D5213B5"/>
    <w:rsid w:val="4D614593"/>
    <w:rsid w:val="4D653938"/>
    <w:rsid w:val="4D68012B"/>
    <w:rsid w:val="4D694534"/>
    <w:rsid w:val="4D720CBA"/>
    <w:rsid w:val="4D981DA3"/>
    <w:rsid w:val="4D9C7CE9"/>
    <w:rsid w:val="4DAE1C18"/>
    <w:rsid w:val="4DB20382"/>
    <w:rsid w:val="4DC47D2A"/>
    <w:rsid w:val="4DCF1C27"/>
    <w:rsid w:val="4DDA6459"/>
    <w:rsid w:val="4DDF57B2"/>
    <w:rsid w:val="4DF03B9B"/>
    <w:rsid w:val="4DF24111"/>
    <w:rsid w:val="4DF66654"/>
    <w:rsid w:val="4E00249F"/>
    <w:rsid w:val="4E00332E"/>
    <w:rsid w:val="4E0E05AC"/>
    <w:rsid w:val="4E102B99"/>
    <w:rsid w:val="4E233B70"/>
    <w:rsid w:val="4E255D2C"/>
    <w:rsid w:val="4E2C00AD"/>
    <w:rsid w:val="4E3471FF"/>
    <w:rsid w:val="4E4C3C0C"/>
    <w:rsid w:val="4E4E215E"/>
    <w:rsid w:val="4E4F1146"/>
    <w:rsid w:val="4E617524"/>
    <w:rsid w:val="4E6529EE"/>
    <w:rsid w:val="4E7E3E00"/>
    <w:rsid w:val="4E816CDB"/>
    <w:rsid w:val="4E9B3045"/>
    <w:rsid w:val="4EAA6215"/>
    <w:rsid w:val="4EAA7FE0"/>
    <w:rsid w:val="4ED46303"/>
    <w:rsid w:val="4ED67D09"/>
    <w:rsid w:val="4EDA4302"/>
    <w:rsid w:val="4EDE5EDB"/>
    <w:rsid w:val="4EEA63EB"/>
    <w:rsid w:val="4EEC6F81"/>
    <w:rsid w:val="4EF32681"/>
    <w:rsid w:val="4EF5400C"/>
    <w:rsid w:val="4EF57BA2"/>
    <w:rsid w:val="4EF72982"/>
    <w:rsid w:val="4EFC6F9D"/>
    <w:rsid w:val="4F0D7A56"/>
    <w:rsid w:val="4F172DF9"/>
    <w:rsid w:val="4F20425A"/>
    <w:rsid w:val="4F2A2ECF"/>
    <w:rsid w:val="4F490341"/>
    <w:rsid w:val="4F4D57B1"/>
    <w:rsid w:val="4F5060BC"/>
    <w:rsid w:val="4F532425"/>
    <w:rsid w:val="4F585C8E"/>
    <w:rsid w:val="4F5B577E"/>
    <w:rsid w:val="4F610A1F"/>
    <w:rsid w:val="4F622668"/>
    <w:rsid w:val="4F6E03EE"/>
    <w:rsid w:val="4FA80426"/>
    <w:rsid w:val="4FAE7745"/>
    <w:rsid w:val="4FAF4384"/>
    <w:rsid w:val="4FB708B1"/>
    <w:rsid w:val="4FB85258"/>
    <w:rsid w:val="4FD13BB2"/>
    <w:rsid w:val="4FD601FF"/>
    <w:rsid w:val="4FDA6E22"/>
    <w:rsid w:val="4FF15468"/>
    <w:rsid w:val="4FF37764"/>
    <w:rsid w:val="4FFB3506"/>
    <w:rsid w:val="500152DB"/>
    <w:rsid w:val="50153B7F"/>
    <w:rsid w:val="502A7469"/>
    <w:rsid w:val="502D7D64"/>
    <w:rsid w:val="502F56C3"/>
    <w:rsid w:val="50375244"/>
    <w:rsid w:val="503D3845"/>
    <w:rsid w:val="503D7FC4"/>
    <w:rsid w:val="504900A3"/>
    <w:rsid w:val="505A3CA1"/>
    <w:rsid w:val="50650662"/>
    <w:rsid w:val="506955AD"/>
    <w:rsid w:val="507E55FA"/>
    <w:rsid w:val="50D15DDA"/>
    <w:rsid w:val="50E0690B"/>
    <w:rsid w:val="50F14A63"/>
    <w:rsid w:val="50FD7A3B"/>
    <w:rsid w:val="50FF3BEC"/>
    <w:rsid w:val="51046633"/>
    <w:rsid w:val="511B129A"/>
    <w:rsid w:val="51281690"/>
    <w:rsid w:val="51286AE7"/>
    <w:rsid w:val="512B36A4"/>
    <w:rsid w:val="512F6EC2"/>
    <w:rsid w:val="51374884"/>
    <w:rsid w:val="51482E30"/>
    <w:rsid w:val="51576B34"/>
    <w:rsid w:val="51657456"/>
    <w:rsid w:val="516D68F2"/>
    <w:rsid w:val="51897905"/>
    <w:rsid w:val="51900341"/>
    <w:rsid w:val="51986E86"/>
    <w:rsid w:val="51BF499A"/>
    <w:rsid w:val="51D414AC"/>
    <w:rsid w:val="51E57A85"/>
    <w:rsid w:val="51F72E2E"/>
    <w:rsid w:val="520E5250"/>
    <w:rsid w:val="52171B12"/>
    <w:rsid w:val="521D4876"/>
    <w:rsid w:val="5250366B"/>
    <w:rsid w:val="52731534"/>
    <w:rsid w:val="52787C06"/>
    <w:rsid w:val="52A557D1"/>
    <w:rsid w:val="52D4686F"/>
    <w:rsid w:val="52DD1244"/>
    <w:rsid w:val="52F924B3"/>
    <w:rsid w:val="53134CF9"/>
    <w:rsid w:val="531613D5"/>
    <w:rsid w:val="532F4F57"/>
    <w:rsid w:val="533B56AA"/>
    <w:rsid w:val="53514ECE"/>
    <w:rsid w:val="535B057E"/>
    <w:rsid w:val="536A1E82"/>
    <w:rsid w:val="53777F05"/>
    <w:rsid w:val="537C11D4"/>
    <w:rsid w:val="537D46A4"/>
    <w:rsid w:val="537F5ABB"/>
    <w:rsid w:val="53947468"/>
    <w:rsid w:val="539A5E09"/>
    <w:rsid w:val="53AA12C7"/>
    <w:rsid w:val="53AC384D"/>
    <w:rsid w:val="53C23628"/>
    <w:rsid w:val="53E144A4"/>
    <w:rsid w:val="53E854B8"/>
    <w:rsid w:val="53EC0808"/>
    <w:rsid w:val="53F8359B"/>
    <w:rsid w:val="54291572"/>
    <w:rsid w:val="542B7A31"/>
    <w:rsid w:val="542D7C06"/>
    <w:rsid w:val="54312743"/>
    <w:rsid w:val="5444780B"/>
    <w:rsid w:val="54560B60"/>
    <w:rsid w:val="545D5F28"/>
    <w:rsid w:val="545D78A2"/>
    <w:rsid w:val="54687819"/>
    <w:rsid w:val="546D3F89"/>
    <w:rsid w:val="548E1158"/>
    <w:rsid w:val="54925E5C"/>
    <w:rsid w:val="549E5F97"/>
    <w:rsid w:val="54B36650"/>
    <w:rsid w:val="54D50BBE"/>
    <w:rsid w:val="54D92E01"/>
    <w:rsid w:val="54ED50CA"/>
    <w:rsid w:val="550E5655"/>
    <w:rsid w:val="553F5747"/>
    <w:rsid w:val="554B4D06"/>
    <w:rsid w:val="555068A2"/>
    <w:rsid w:val="557E23C5"/>
    <w:rsid w:val="559B0682"/>
    <w:rsid w:val="55A320DC"/>
    <w:rsid w:val="55A71AA8"/>
    <w:rsid w:val="55B17F8E"/>
    <w:rsid w:val="55B328AE"/>
    <w:rsid w:val="55B833CE"/>
    <w:rsid w:val="55E17BFA"/>
    <w:rsid w:val="55F970C4"/>
    <w:rsid w:val="56012D34"/>
    <w:rsid w:val="560A33EF"/>
    <w:rsid w:val="5616227A"/>
    <w:rsid w:val="561974A7"/>
    <w:rsid w:val="56206DD9"/>
    <w:rsid w:val="56262642"/>
    <w:rsid w:val="562C49E4"/>
    <w:rsid w:val="563A4B7A"/>
    <w:rsid w:val="56436809"/>
    <w:rsid w:val="56471AF1"/>
    <w:rsid w:val="564D4072"/>
    <w:rsid w:val="56541DC8"/>
    <w:rsid w:val="56591083"/>
    <w:rsid w:val="566E2C92"/>
    <w:rsid w:val="56766F43"/>
    <w:rsid w:val="568F6FE4"/>
    <w:rsid w:val="56B0015D"/>
    <w:rsid w:val="56BD31BD"/>
    <w:rsid w:val="56C96A5F"/>
    <w:rsid w:val="56D4628A"/>
    <w:rsid w:val="56E147BB"/>
    <w:rsid w:val="56FD7FDC"/>
    <w:rsid w:val="570E57E2"/>
    <w:rsid w:val="57164709"/>
    <w:rsid w:val="57262AED"/>
    <w:rsid w:val="57377FBC"/>
    <w:rsid w:val="573E7698"/>
    <w:rsid w:val="57504CE9"/>
    <w:rsid w:val="5770609A"/>
    <w:rsid w:val="577600B5"/>
    <w:rsid w:val="578A4D0C"/>
    <w:rsid w:val="57971108"/>
    <w:rsid w:val="579B2E5F"/>
    <w:rsid w:val="579D0170"/>
    <w:rsid w:val="57A94B38"/>
    <w:rsid w:val="57B978AC"/>
    <w:rsid w:val="57D604CD"/>
    <w:rsid w:val="57DB730E"/>
    <w:rsid w:val="57DC3EA6"/>
    <w:rsid w:val="57E37C81"/>
    <w:rsid w:val="58022C3B"/>
    <w:rsid w:val="581F3088"/>
    <w:rsid w:val="58286000"/>
    <w:rsid w:val="58360C59"/>
    <w:rsid w:val="583E2BB6"/>
    <w:rsid w:val="58492617"/>
    <w:rsid w:val="586050CC"/>
    <w:rsid w:val="5866766D"/>
    <w:rsid w:val="588A455F"/>
    <w:rsid w:val="589F4707"/>
    <w:rsid w:val="589F6B18"/>
    <w:rsid w:val="58A255C2"/>
    <w:rsid w:val="58AF45E4"/>
    <w:rsid w:val="58BA70F2"/>
    <w:rsid w:val="58C033C5"/>
    <w:rsid w:val="58C53FC4"/>
    <w:rsid w:val="58C8623C"/>
    <w:rsid w:val="58F00CE5"/>
    <w:rsid w:val="590D20C8"/>
    <w:rsid w:val="59137AE9"/>
    <w:rsid w:val="592C7727"/>
    <w:rsid w:val="593B28A8"/>
    <w:rsid w:val="59434B17"/>
    <w:rsid w:val="5945074B"/>
    <w:rsid w:val="595C18A3"/>
    <w:rsid w:val="596E14B1"/>
    <w:rsid w:val="596F5E5F"/>
    <w:rsid w:val="597D2A8D"/>
    <w:rsid w:val="597F00E2"/>
    <w:rsid w:val="5980012F"/>
    <w:rsid w:val="59807E7D"/>
    <w:rsid w:val="598D72CE"/>
    <w:rsid w:val="59A85BFF"/>
    <w:rsid w:val="59B63CDD"/>
    <w:rsid w:val="59B95E61"/>
    <w:rsid w:val="59CC05A8"/>
    <w:rsid w:val="59E34752"/>
    <w:rsid w:val="59E64851"/>
    <w:rsid w:val="59ED3C37"/>
    <w:rsid w:val="59F6624E"/>
    <w:rsid w:val="59F73519"/>
    <w:rsid w:val="59FF4361"/>
    <w:rsid w:val="5A00484C"/>
    <w:rsid w:val="5A010C64"/>
    <w:rsid w:val="5A012EA9"/>
    <w:rsid w:val="5A03064C"/>
    <w:rsid w:val="5A0413DD"/>
    <w:rsid w:val="5A1A7829"/>
    <w:rsid w:val="5A1D56F3"/>
    <w:rsid w:val="5A1E1882"/>
    <w:rsid w:val="5A2436E6"/>
    <w:rsid w:val="5A327F24"/>
    <w:rsid w:val="5A3840F9"/>
    <w:rsid w:val="5A41722B"/>
    <w:rsid w:val="5A4C38AD"/>
    <w:rsid w:val="5A62240D"/>
    <w:rsid w:val="5A6E5C08"/>
    <w:rsid w:val="5A723EE7"/>
    <w:rsid w:val="5A737D1E"/>
    <w:rsid w:val="5A772364"/>
    <w:rsid w:val="5A90452E"/>
    <w:rsid w:val="5ABF12B7"/>
    <w:rsid w:val="5AC0096B"/>
    <w:rsid w:val="5ACD6BD0"/>
    <w:rsid w:val="5AD16223"/>
    <w:rsid w:val="5AD5219E"/>
    <w:rsid w:val="5AE004FB"/>
    <w:rsid w:val="5AE6303A"/>
    <w:rsid w:val="5AEA13DF"/>
    <w:rsid w:val="5AFD7BB7"/>
    <w:rsid w:val="5AFE7FD6"/>
    <w:rsid w:val="5B001A43"/>
    <w:rsid w:val="5B0B3659"/>
    <w:rsid w:val="5B0D3606"/>
    <w:rsid w:val="5B136F0D"/>
    <w:rsid w:val="5B2B4256"/>
    <w:rsid w:val="5B390F16"/>
    <w:rsid w:val="5B440F3A"/>
    <w:rsid w:val="5B5A37BF"/>
    <w:rsid w:val="5B5D35BD"/>
    <w:rsid w:val="5B6B02CB"/>
    <w:rsid w:val="5B860DDB"/>
    <w:rsid w:val="5B866962"/>
    <w:rsid w:val="5B8E12DF"/>
    <w:rsid w:val="5BB861F6"/>
    <w:rsid w:val="5BBE70A2"/>
    <w:rsid w:val="5BC30933"/>
    <w:rsid w:val="5BE2525D"/>
    <w:rsid w:val="5BE54300"/>
    <w:rsid w:val="5BEC7E8A"/>
    <w:rsid w:val="5BEE14A4"/>
    <w:rsid w:val="5BF77C19"/>
    <w:rsid w:val="5BFA6CF7"/>
    <w:rsid w:val="5C0A0310"/>
    <w:rsid w:val="5C121E06"/>
    <w:rsid w:val="5C273940"/>
    <w:rsid w:val="5C5F1B6A"/>
    <w:rsid w:val="5C6673EE"/>
    <w:rsid w:val="5C7165E1"/>
    <w:rsid w:val="5C814A76"/>
    <w:rsid w:val="5C995388"/>
    <w:rsid w:val="5C9E6630"/>
    <w:rsid w:val="5CA81EF7"/>
    <w:rsid w:val="5CC14937"/>
    <w:rsid w:val="5CD20A76"/>
    <w:rsid w:val="5CE1296B"/>
    <w:rsid w:val="5CF07506"/>
    <w:rsid w:val="5D0059D2"/>
    <w:rsid w:val="5D201C08"/>
    <w:rsid w:val="5D252E4C"/>
    <w:rsid w:val="5D4654C6"/>
    <w:rsid w:val="5D5D0F2F"/>
    <w:rsid w:val="5D651ED3"/>
    <w:rsid w:val="5D7376D0"/>
    <w:rsid w:val="5D804255"/>
    <w:rsid w:val="5D8A5BC0"/>
    <w:rsid w:val="5D9E6041"/>
    <w:rsid w:val="5D9F419F"/>
    <w:rsid w:val="5DAF72F9"/>
    <w:rsid w:val="5DBE2C17"/>
    <w:rsid w:val="5DC13BB9"/>
    <w:rsid w:val="5DC32E2B"/>
    <w:rsid w:val="5DCA41FA"/>
    <w:rsid w:val="5DCD5767"/>
    <w:rsid w:val="5DD7449D"/>
    <w:rsid w:val="5DE556A8"/>
    <w:rsid w:val="5E363C12"/>
    <w:rsid w:val="5E57681C"/>
    <w:rsid w:val="5E625491"/>
    <w:rsid w:val="5E6A06A6"/>
    <w:rsid w:val="5E7B3F23"/>
    <w:rsid w:val="5E820631"/>
    <w:rsid w:val="5E8C6BA4"/>
    <w:rsid w:val="5E9924AF"/>
    <w:rsid w:val="5E992890"/>
    <w:rsid w:val="5E996B4B"/>
    <w:rsid w:val="5E9B5FC4"/>
    <w:rsid w:val="5E9E42D1"/>
    <w:rsid w:val="5EA115A8"/>
    <w:rsid w:val="5EC411D7"/>
    <w:rsid w:val="5EC66783"/>
    <w:rsid w:val="5ED22C04"/>
    <w:rsid w:val="5EE15D0F"/>
    <w:rsid w:val="5EFF6126"/>
    <w:rsid w:val="5F01005D"/>
    <w:rsid w:val="5F0B466C"/>
    <w:rsid w:val="5F113629"/>
    <w:rsid w:val="5F176E10"/>
    <w:rsid w:val="5F1A05B4"/>
    <w:rsid w:val="5F1B13EE"/>
    <w:rsid w:val="5F210B49"/>
    <w:rsid w:val="5F4804FF"/>
    <w:rsid w:val="5F944AC0"/>
    <w:rsid w:val="5F98583A"/>
    <w:rsid w:val="5FA04663"/>
    <w:rsid w:val="5FA10F8B"/>
    <w:rsid w:val="5FAE59A4"/>
    <w:rsid w:val="5FAF1D4F"/>
    <w:rsid w:val="5FB44474"/>
    <w:rsid w:val="5FC609F2"/>
    <w:rsid w:val="5FDC5EDE"/>
    <w:rsid w:val="5FDC7263"/>
    <w:rsid w:val="5FE84E12"/>
    <w:rsid w:val="5FEE1067"/>
    <w:rsid w:val="5FEF0257"/>
    <w:rsid w:val="6006344F"/>
    <w:rsid w:val="601104E8"/>
    <w:rsid w:val="60251C80"/>
    <w:rsid w:val="602539D5"/>
    <w:rsid w:val="602A4E59"/>
    <w:rsid w:val="602A71D2"/>
    <w:rsid w:val="603360FC"/>
    <w:rsid w:val="60355C9A"/>
    <w:rsid w:val="6047758B"/>
    <w:rsid w:val="604B1350"/>
    <w:rsid w:val="604C400D"/>
    <w:rsid w:val="60641DBE"/>
    <w:rsid w:val="60644289"/>
    <w:rsid w:val="60671FEB"/>
    <w:rsid w:val="606C0A29"/>
    <w:rsid w:val="607B01F0"/>
    <w:rsid w:val="60842148"/>
    <w:rsid w:val="6085265B"/>
    <w:rsid w:val="60941BC9"/>
    <w:rsid w:val="60950584"/>
    <w:rsid w:val="60C153B2"/>
    <w:rsid w:val="60D01B6D"/>
    <w:rsid w:val="60D45E64"/>
    <w:rsid w:val="60EB6608"/>
    <w:rsid w:val="60F105A6"/>
    <w:rsid w:val="6114779E"/>
    <w:rsid w:val="613115D8"/>
    <w:rsid w:val="6136780A"/>
    <w:rsid w:val="613C0967"/>
    <w:rsid w:val="61412B4B"/>
    <w:rsid w:val="615D6F10"/>
    <w:rsid w:val="615E4424"/>
    <w:rsid w:val="61764157"/>
    <w:rsid w:val="618B1E0E"/>
    <w:rsid w:val="618E37A4"/>
    <w:rsid w:val="618F2E3D"/>
    <w:rsid w:val="619C34EB"/>
    <w:rsid w:val="61A668C9"/>
    <w:rsid w:val="61C71334"/>
    <w:rsid w:val="61DD4BC4"/>
    <w:rsid w:val="61DE64C6"/>
    <w:rsid w:val="62112CFA"/>
    <w:rsid w:val="62192165"/>
    <w:rsid w:val="62366611"/>
    <w:rsid w:val="624F56BB"/>
    <w:rsid w:val="62504FBF"/>
    <w:rsid w:val="625858D7"/>
    <w:rsid w:val="626C45B7"/>
    <w:rsid w:val="627A55C2"/>
    <w:rsid w:val="627C18C8"/>
    <w:rsid w:val="627C3369"/>
    <w:rsid w:val="6287652A"/>
    <w:rsid w:val="62962567"/>
    <w:rsid w:val="62974CEE"/>
    <w:rsid w:val="629E17B2"/>
    <w:rsid w:val="62C32BB4"/>
    <w:rsid w:val="62CA591E"/>
    <w:rsid w:val="62E24549"/>
    <w:rsid w:val="630322F6"/>
    <w:rsid w:val="630E22A3"/>
    <w:rsid w:val="63160203"/>
    <w:rsid w:val="631E7C6D"/>
    <w:rsid w:val="63223E6A"/>
    <w:rsid w:val="632443AD"/>
    <w:rsid w:val="63272ED7"/>
    <w:rsid w:val="632A59DF"/>
    <w:rsid w:val="6334591F"/>
    <w:rsid w:val="635F3637"/>
    <w:rsid w:val="63635124"/>
    <w:rsid w:val="636407E6"/>
    <w:rsid w:val="63701BA4"/>
    <w:rsid w:val="6370722E"/>
    <w:rsid w:val="637209A4"/>
    <w:rsid w:val="6373282E"/>
    <w:rsid w:val="637B214B"/>
    <w:rsid w:val="637E2C22"/>
    <w:rsid w:val="63970EAE"/>
    <w:rsid w:val="639E35F2"/>
    <w:rsid w:val="63A63014"/>
    <w:rsid w:val="63BA5AFD"/>
    <w:rsid w:val="63BF40D6"/>
    <w:rsid w:val="63D7141F"/>
    <w:rsid w:val="63F75327"/>
    <w:rsid w:val="640262AE"/>
    <w:rsid w:val="64034EC5"/>
    <w:rsid w:val="6422492C"/>
    <w:rsid w:val="64233AC2"/>
    <w:rsid w:val="6427771B"/>
    <w:rsid w:val="642A684F"/>
    <w:rsid w:val="64340C30"/>
    <w:rsid w:val="643A375C"/>
    <w:rsid w:val="64446453"/>
    <w:rsid w:val="64590086"/>
    <w:rsid w:val="64591E34"/>
    <w:rsid w:val="646D3B32"/>
    <w:rsid w:val="6470717E"/>
    <w:rsid w:val="64740A1C"/>
    <w:rsid w:val="64836EB1"/>
    <w:rsid w:val="64857C12"/>
    <w:rsid w:val="64857E22"/>
    <w:rsid w:val="64870218"/>
    <w:rsid w:val="64920E2E"/>
    <w:rsid w:val="64985953"/>
    <w:rsid w:val="64E37015"/>
    <w:rsid w:val="64E50B47"/>
    <w:rsid w:val="64FF06CE"/>
    <w:rsid w:val="650824E8"/>
    <w:rsid w:val="651B2A8F"/>
    <w:rsid w:val="65202F90"/>
    <w:rsid w:val="65292BD7"/>
    <w:rsid w:val="653623BE"/>
    <w:rsid w:val="653B1DB1"/>
    <w:rsid w:val="65491A0C"/>
    <w:rsid w:val="654F4E2D"/>
    <w:rsid w:val="656308DE"/>
    <w:rsid w:val="656A0213"/>
    <w:rsid w:val="656E74B0"/>
    <w:rsid w:val="656F7435"/>
    <w:rsid w:val="657119CF"/>
    <w:rsid w:val="65A610A9"/>
    <w:rsid w:val="65B425C1"/>
    <w:rsid w:val="65B573D7"/>
    <w:rsid w:val="65E62C03"/>
    <w:rsid w:val="6604701D"/>
    <w:rsid w:val="66115A7A"/>
    <w:rsid w:val="661E1452"/>
    <w:rsid w:val="66384575"/>
    <w:rsid w:val="6655487D"/>
    <w:rsid w:val="66704E8B"/>
    <w:rsid w:val="668802B4"/>
    <w:rsid w:val="66A22C4E"/>
    <w:rsid w:val="66A478C3"/>
    <w:rsid w:val="66AE4055"/>
    <w:rsid w:val="66B2768F"/>
    <w:rsid w:val="66DB239B"/>
    <w:rsid w:val="66DE475F"/>
    <w:rsid w:val="66FA2274"/>
    <w:rsid w:val="670544F5"/>
    <w:rsid w:val="670818F0"/>
    <w:rsid w:val="6711623A"/>
    <w:rsid w:val="671504C1"/>
    <w:rsid w:val="671B20AA"/>
    <w:rsid w:val="673C3FA4"/>
    <w:rsid w:val="67515B84"/>
    <w:rsid w:val="6752338C"/>
    <w:rsid w:val="67674868"/>
    <w:rsid w:val="676B1ECE"/>
    <w:rsid w:val="677A1765"/>
    <w:rsid w:val="677F6056"/>
    <w:rsid w:val="67905989"/>
    <w:rsid w:val="67926018"/>
    <w:rsid w:val="67A509AC"/>
    <w:rsid w:val="67AD0BCB"/>
    <w:rsid w:val="67C82155"/>
    <w:rsid w:val="67C95523"/>
    <w:rsid w:val="67CD035E"/>
    <w:rsid w:val="67D30FBF"/>
    <w:rsid w:val="67D94EAC"/>
    <w:rsid w:val="67FC681E"/>
    <w:rsid w:val="681661D3"/>
    <w:rsid w:val="682149A9"/>
    <w:rsid w:val="68266AE1"/>
    <w:rsid w:val="68292C25"/>
    <w:rsid w:val="683B0161"/>
    <w:rsid w:val="683F448D"/>
    <w:rsid w:val="68541290"/>
    <w:rsid w:val="68D2558C"/>
    <w:rsid w:val="68EC4153"/>
    <w:rsid w:val="69020CEC"/>
    <w:rsid w:val="6902742B"/>
    <w:rsid w:val="690842C0"/>
    <w:rsid w:val="690D3E3E"/>
    <w:rsid w:val="69384ECC"/>
    <w:rsid w:val="694F3806"/>
    <w:rsid w:val="69626E44"/>
    <w:rsid w:val="6968600A"/>
    <w:rsid w:val="6969736B"/>
    <w:rsid w:val="696B542F"/>
    <w:rsid w:val="697667CB"/>
    <w:rsid w:val="69786D29"/>
    <w:rsid w:val="697D41E8"/>
    <w:rsid w:val="69872A13"/>
    <w:rsid w:val="699163F6"/>
    <w:rsid w:val="69A329F2"/>
    <w:rsid w:val="69AF7CDC"/>
    <w:rsid w:val="69B46F62"/>
    <w:rsid w:val="69BF37A2"/>
    <w:rsid w:val="69C55ED2"/>
    <w:rsid w:val="69D21E3B"/>
    <w:rsid w:val="69DF1E13"/>
    <w:rsid w:val="69E43625"/>
    <w:rsid w:val="69FA70FA"/>
    <w:rsid w:val="6A0B1E23"/>
    <w:rsid w:val="6A135FE4"/>
    <w:rsid w:val="6A216272"/>
    <w:rsid w:val="6A303637"/>
    <w:rsid w:val="6A365A0B"/>
    <w:rsid w:val="6A4C30BB"/>
    <w:rsid w:val="6A4E53F5"/>
    <w:rsid w:val="6A4F2FD4"/>
    <w:rsid w:val="6A622FBB"/>
    <w:rsid w:val="6A6F648C"/>
    <w:rsid w:val="6A8D3715"/>
    <w:rsid w:val="6A99303B"/>
    <w:rsid w:val="6A9B606D"/>
    <w:rsid w:val="6AAA6D5E"/>
    <w:rsid w:val="6AB516E1"/>
    <w:rsid w:val="6AC92AC4"/>
    <w:rsid w:val="6ACD0A6E"/>
    <w:rsid w:val="6AD4320D"/>
    <w:rsid w:val="6AD55F8D"/>
    <w:rsid w:val="6AEF086C"/>
    <w:rsid w:val="6AEF34F2"/>
    <w:rsid w:val="6AF759CF"/>
    <w:rsid w:val="6AFD7867"/>
    <w:rsid w:val="6AFE04BE"/>
    <w:rsid w:val="6B03163B"/>
    <w:rsid w:val="6B06582F"/>
    <w:rsid w:val="6B114EDE"/>
    <w:rsid w:val="6B1761E6"/>
    <w:rsid w:val="6B2D7B77"/>
    <w:rsid w:val="6B3E158C"/>
    <w:rsid w:val="6B4335C7"/>
    <w:rsid w:val="6B5C3EFA"/>
    <w:rsid w:val="6B621707"/>
    <w:rsid w:val="6B6D2635"/>
    <w:rsid w:val="6B7522A0"/>
    <w:rsid w:val="6B94591F"/>
    <w:rsid w:val="6BAB5037"/>
    <w:rsid w:val="6BB02E29"/>
    <w:rsid w:val="6BB05477"/>
    <w:rsid w:val="6BB162A4"/>
    <w:rsid w:val="6BB27D88"/>
    <w:rsid w:val="6BBB5183"/>
    <w:rsid w:val="6BC01791"/>
    <w:rsid w:val="6BDC307A"/>
    <w:rsid w:val="6BE744F4"/>
    <w:rsid w:val="6BE873C3"/>
    <w:rsid w:val="6BEA1902"/>
    <w:rsid w:val="6BEC358E"/>
    <w:rsid w:val="6BEF29DD"/>
    <w:rsid w:val="6BF009E6"/>
    <w:rsid w:val="6BF14FCE"/>
    <w:rsid w:val="6C18274B"/>
    <w:rsid w:val="6C183117"/>
    <w:rsid w:val="6C1D18F6"/>
    <w:rsid w:val="6C1E7006"/>
    <w:rsid w:val="6C3017C6"/>
    <w:rsid w:val="6C333991"/>
    <w:rsid w:val="6C3B314E"/>
    <w:rsid w:val="6C3D278A"/>
    <w:rsid w:val="6C3F5DB4"/>
    <w:rsid w:val="6C4C7FA8"/>
    <w:rsid w:val="6C5C4A0C"/>
    <w:rsid w:val="6C660AC1"/>
    <w:rsid w:val="6C722099"/>
    <w:rsid w:val="6C790502"/>
    <w:rsid w:val="6C8C6748"/>
    <w:rsid w:val="6C90548F"/>
    <w:rsid w:val="6C9A2312"/>
    <w:rsid w:val="6C9D4410"/>
    <w:rsid w:val="6C9E26DD"/>
    <w:rsid w:val="6C9E316C"/>
    <w:rsid w:val="6CBB16AE"/>
    <w:rsid w:val="6CBF32F2"/>
    <w:rsid w:val="6CD41A2E"/>
    <w:rsid w:val="6CFC3CF9"/>
    <w:rsid w:val="6CFD1345"/>
    <w:rsid w:val="6CFF615C"/>
    <w:rsid w:val="6D0522AB"/>
    <w:rsid w:val="6D053BFA"/>
    <w:rsid w:val="6D1A7E50"/>
    <w:rsid w:val="6D1C1AFD"/>
    <w:rsid w:val="6D211737"/>
    <w:rsid w:val="6D2C54D3"/>
    <w:rsid w:val="6D2F0AEF"/>
    <w:rsid w:val="6D372F2F"/>
    <w:rsid w:val="6D3D2DB9"/>
    <w:rsid w:val="6D3D613F"/>
    <w:rsid w:val="6D3E1A72"/>
    <w:rsid w:val="6D3F3B91"/>
    <w:rsid w:val="6D68655D"/>
    <w:rsid w:val="6D796141"/>
    <w:rsid w:val="6D814D9A"/>
    <w:rsid w:val="6D8639CB"/>
    <w:rsid w:val="6D8F7637"/>
    <w:rsid w:val="6DA07AAE"/>
    <w:rsid w:val="6DC43908"/>
    <w:rsid w:val="6DD31CAE"/>
    <w:rsid w:val="6DDF1572"/>
    <w:rsid w:val="6DEC773A"/>
    <w:rsid w:val="6DEE1E64"/>
    <w:rsid w:val="6DF04A06"/>
    <w:rsid w:val="6DF37782"/>
    <w:rsid w:val="6DFB5D0A"/>
    <w:rsid w:val="6DFD3BAC"/>
    <w:rsid w:val="6E0E4FAA"/>
    <w:rsid w:val="6E1075AF"/>
    <w:rsid w:val="6E187C3C"/>
    <w:rsid w:val="6E2060D9"/>
    <w:rsid w:val="6E254499"/>
    <w:rsid w:val="6E337B9A"/>
    <w:rsid w:val="6E371794"/>
    <w:rsid w:val="6E691212"/>
    <w:rsid w:val="6E6B2E90"/>
    <w:rsid w:val="6E6F2CD2"/>
    <w:rsid w:val="6E736AD6"/>
    <w:rsid w:val="6E87506C"/>
    <w:rsid w:val="6E895A0C"/>
    <w:rsid w:val="6E8C750D"/>
    <w:rsid w:val="6E932152"/>
    <w:rsid w:val="6E957F0D"/>
    <w:rsid w:val="6EAC464C"/>
    <w:rsid w:val="6EAE2EB7"/>
    <w:rsid w:val="6EB61E47"/>
    <w:rsid w:val="6EC557F7"/>
    <w:rsid w:val="6ED44ED9"/>
    <w:rsid w:val="6EE66AF0"/>
    <w:rsid w:val="6EF76642"/>
    <w:rsid w:val="6EF81753"/>
    <w:rsid w:val="6F011A46"/>
    <w:rsid w:val="6F1150A1"/>
    <w:rsid w:val="6F193770"/>
    <w:rsid w:val="6F2319BD"/>
    <w:rsid w:val="6F280AFB"/>
    <w:rsid w:val="6F327A6A"/>
    <w:rsid w:val="6F375468"/>
    <w:rsid w:val="6F3F50D9"/>
    <w:rsid w:val="6F522C74"/>
    <w:rsid w:val="6F533822"/>
    <w:rsid w:val="6F6124E5"/>
    <w:rsid w:val="6F6A7401"/>
    <w:rsid w:val="6F967DAB"/>
    <w:rsid w:val="6F9A6769"/>
    <w:rsid w:val="6FAF6120"/>
    <w:rsid w:val="6FB2556F"/>
    <w:rsid w:val="6FCC3262"/>
    <w:rsid w:val="6FD432D1"/>
    <w:rsid w:val="6FEA0E5F"/>
    <w:rsid w:val="6FF95618"/>
    <w:rsid w:val="6FFD55EA"/>
    <w:rsid w:val="70006982"/>
    <w:rsid w:val="700755C1"/>
    <w:rsid w:val="700E36D8"/>
    <w:rsid w:val="701C12CD"/>
    <w:rsid w:val="7040659E"/>
    <w:rsid w:val="7062789C"/>
    <w:rsid w:val="7067284D"/>
    <w:rsid w:val="7095123F"/>
    <w:rsid w:val="709A001B"/>
    <w:rsid w:val="70A62062"/>
    <w:rsid w:val="70CD7FBF"/>
    <w:rsid w:val="70DC7772"/>
    <w:rsid w:val="70E70CA0"/>
    <w:rsid w:val="70EA18D2"/>
    <w:rsid w:val="70F11172"/>
    <w:rsid w:val="70F405BA"/>
    <w:rsid w:val="70FC727E"/>
    <w:rsid w:val="71023D91"/>
    <w:rsid w:val="713811B4"/>
    <w:rsid w:val="7149355C"/>
    <w:rsid w:val="716C6D69"/>
    <w:rsid w:val="71731AFC"/>
    <w:rsid w:val="717F3A70"/>
    <w:rsid w:val="719646C8"/>
    <w:rsid w:val="71A44AE2"/>
    <w:rsid w:val="71C11019"/>
    <w:rsid w:val="71CC00E9"/>
    <w:rsid w:val="71CD6690"/>
    <w:rsid w:val="71D60F71"/>
    <w:rsid w:val="71D7606A"/>
    <w:rsid w:val="71E8430A"/>
    <w:rsid w:val="71F81348"/>
    <w:rsid w:val="71FF4C8C"/>
    <w:rsid w:val="72042563"/>
    <w:rsid w:val="72062C59"/>
    <w:rsid w:val="724203AC"/>
    <w:rsid w:val="72494BC7"/>
    <w:rsid w:val="72527473"/>
    <w:rsid w:val="72592E43"/>
    <w:rsid w:val="72622478"/>
    <w:rsid w:val="72843BB7"/>
    <w:rsid w:val="72914710"/>
    <w:rsid w:val="72A73F87"/>
    <w:rsid w:val="72AE6B26"/>
    <w:rsid w:val="72BC4E8A"/>
    <w:rsid w:val="72D06F66"/>
    <w:rsid w:val="72D26A2D"/>
    <w:rsid w:val="72E96A79"/>
    <w:rsid w:val="72F71196"/>
    <w:rsid w:val="72FB3DFA"/>
    <w:rsid w:val="730900D5"/>
    <w:rsid w:val="731755C1"/>
    <w:rsid w:val="732644C8"/>
    <w:rsid w:val="73267A6F"/>
    <w:rsid w:val="733A28D8"/>
    <w:rsid w:val="733F2B3D"/>
    <w:rsid w:val="7361513E"/>
    <w:rsid w:val="73683291"/>
    <w:rsid w:val="73707370"/>
    <w:rsid w:val="73751ACC"/>
    <w:rsid w:val="73816D8C"/>
    <w:rsid w:val="738B2457"/>
    <w:rsid w:val="738E70E5"/>
    <w:rsid w:val="73992AEA"/>
    <w:rsid w:val="73A21510"/>
    <w:rsid w:val="73A85A0B"/>
    <w:rsid w:val="73AF3858"/>
    <w:rsid w:val="73B01C95"/>
    <w:rsid w:val="73B94EFD"/>
    <w:rsid w:val="73C97B11"/>
    <w:rsid w:val="73DC038C"/>
    <w:rsid w:val="73DC09EB"/>
    <w:rsid w:val="73E151BE"/>
    <w:rsid w:val="73FB4CB6"/>
    <w:rsid w:val="74011577"/>
    <w:rsid w:val="74021984"/>
    <w:rsid w:val="740C5B2D"/>
    <w:rsid w:val="741F125A"/>
    <w:rsid w:val="742F46E0"/>
    <w:rsid w:val="743106D8"/>
    <w:rsid w:val="7453472A"/>
    <w:rsid w:val="745A0DE2"/>
    <w:rsid w:val="74766F01"/>
    <w:rsid w:val="747C46F8"/>
    <w:rsid w:val="747D56CB"/>
    <w:rsid w:val="74940C67"/>
    <w:rsid w:val="74A91A02"/>
    <w:rsid w:val="74AE1BAF"/>
    <w:rsid w:val="74B47D78"/>
    <w:rsid w:val="74CE56B6"/>
    <w:rsid w:val="74D85420"/>
    <w:rsid w:val="74D95E99"/>
    <w:rsid w:val="74EB4BD7"/>
    <w:rsid w:val="74FC2934"/>
    <w:rsid w:val="75042370"/>
    <w:rsid w:val="751B4F72"/>
    <w:rsid w:val="751C79E2"/>
    <w:rsid w:val="751D29D0"/>
    <w:rsid w:val="754543C0"/>
    <w:rsid w:val="755A0776"/>
    <w:rsid w:val="75637282"/>
    <w:rsid w:val="75735A9C"/>
    <w:rsid w:val="757C5983"/>
    <w:rsid w:val="758E5275"/>
    <w:rsid w:val="759425EF"/>
    <w:rsid w:val="75B4121E"/>
    <w:rsid w:val="75B72DB3"/>
    <w:rsid w:val="75C32559"/>
    <w:rsid w:val="75CA4B1B"/>
    <w:rsid w:val="75ED04B3"/>
    <w:rsid w:val="75F4087F"/>
    <w:rsid w:val="75F511A7"/>
    <w:rsid w:val="75FB7844"/>
    <w:rsid w:val="76025A09"/>
    <w:rsid w:val="76127015"/>
    <w:rsid w:val="761C1742"/>
    <w:rsid w:val="7625601A"/>
    <w:rsid w:val="762A1882"/>
    <w:rsid w:val="76351F42"/>
    <w:rsid w:val="763617C0"/>
    <w:rsid w:val="763D65A7"/>
    <w:rsid w:val="76533495"/>
    <w:rsid w:val="766111DA"/>
    <w:rsid w:val="76621AC4"/>
    <w:rsid w:val="76832A08"/>
    <w:rsid w:val="769A36EB"/>
    <w:rsid w:val="76AA6BE1"/>
    <w:rsid w:val="76AE5B98"/>
    <w:rsid w:val="76BA1405"/>
    <w:rsid w:val="76E35C36"/>
    <w:rsid w:val="76E4464B"/>
    <w:rsid w:val="76FC150A"/>
    <w:rsid w:val="77037355"/>
    <w:rsid w:val="77316A3F"/>
    <w:rsid w:val="77403975"/>
    <w:rsid w:val="774571D5"/>
    <w:rsid w:val="77505B17"/>
    <w:rsid w:val="77550B81"/>
    <w:rsid w:val="775A7DCC"/>
    <w:rsid w:val="777642E4"/>
    <w:rsid w:val="777B5DA6"/>
    <w:rsid w:val="778A5F66"/>
    <w:rsid w:val="778E4093"/>
    <w:rsid w:val="779F7282"/>
    <w:rsid w:val="77C22DD4"/>
    <w:rsid w:val="77D63978"/>
    <w:rsid w:val="77DD6C56"/>
    <w:rsid w:val="77E01C7B"/>
    <w:rsid w:val="77E240DA"/>
    <w:rsid w:val="77E3786C"/>
    <w:rsid w:val="77F65F1E"/>
    <w:rsid w:val="77F97358"/>
    <w:rsid w:val="780316C2"/>
    <w:rsid w:val="781078B2"/>
    <w:rsid w:val="782E1CC6"/>
    <w:rsid w:val="78347E7C"/>
    <w:rsid w:val="78352240"/>
    <w:rsid w:val="784D3606"/>
    <w:rsid w:val="78525476"/>
    <w:rsid w:val="78553C6A"/>
    <w:rsid w:val="78574EEE"/>
    <w:rsid w:val="78596A84"/>
    <w:rsid w:val="785C01A9"/>
    <w:rsid w:val="785D68A5"/>
    <w:rsid w:val="78682678"/>
    <w:rsid w:val="787957D2"/>
    <w:rsid w:val="7893191B"/>
    <w:rsid w:val="789D2A68"/>
    <w:rsid w:val="78A87692"/>
    <w:rsid w:val="78AE39AF"/>
    <w:rsid w:val="78C653AD"/>
    <w:rsid w:val="78CC47C3"/>
    <w:rsid w:val="78D035B3"/>
    <w:rsid w:val="78D0786C"/>
    <w:rsid w:val="78E43441"/>
    <w:rsid w:val="78F35090"/>
    <w:rsid w:val="7909440F"/>
    <w:rsid w:val="790E548B"/>
    <w:rsid w:val="7914356B"/>
    <w:rsid w:val="79282069"/>
    <w:rsid w:val="79292E6A"/>
    <w:rsid w:val="792D3305"/>
    <w:rsid w:val="793B2D9E"/>
    <w:rsid w:val="795B4ABD"/>
    <w:rsid w:val="796706F8"/>
    <w:rsid w:val="79744F86"/>
    <w:rsid w:val="79974FF9"/>
    <w:rsid w:val="79C93160"/>
    <w:rsid w:val="79CC4944"/>
    <w:rsid w:val="79DE4E5E"/>
    <w:rsid w:val="79EB757B"/>
    <w:rsid w:val="79EC5FCD"/>
    <w:rsid w:val="79F83492"/>
    <w:rsid w:val="79F87DCD"/>
    <w:rsid w:val="79FB4905"/>
    <w:rsid w:val="7A0643B5"/>
    <w:rsid w:val="7A0B3DF8"/>
    <w:rsid w:val="7A184992"/>
    <w:rsid w:val="7A273CE5"/>
    <w:rsid w:val="7A280EAC"/>
    <w:rsid w:val="7A2E67B7"/>
    <w:rsid w:val="7A3A30BA"/>
    <w:rsid w:val="7A3E4008"/>
    <w:rsid w:val="7A505D0D"/>
    <w:rsid w:val="7A67304B"/>
    <w:rsid w:val="7A6B2829"/>
    <w:rsid w:val="7A7326F5"/>
    <w:rsid w:val="7A7C6425"/>
    <w:rsid w:val="7A7E7C12"/>
    <w:rsid w:val="7A871863"/>
    <w:rsid w:val="7A8A7066"/>
    <w:rsid w:val="7A9419C0"/>
    <w:rsid w:val="7A9674E6"/>
    <w:rsid w:val="7ABB4B5F"/>
    <w:rsid w:val="7AC1224F"/>
    <w:rsid w:val="7ACE6956"/>
    <w:rsid w:val="7AD661B8"/>
    <w:rsid w:val="7AE16B8E"/>
    <w:rsid w:val="7AE2097E"/>
    <w:rsid w:val="7AE32FFF"/>
    <w:rsid w:val="7AE90B6A"/>
    <w:rsid w:val="7AEB03DA"/>
    <w:rsid w:val="7AF16E13"/>
    <w:rsid w:val="7B1D0615"/>
    <w:rsid w:val="7B2366ED"/>
    <w:rsid w:val="7B2C4615"/>
    <w:rsid w:val="7B2E0BFB"/>
    <w:rsid w:val="7B2F0461"/>
    <w:rsid w:val="7B5F5B2A"/>
    <w:rsid w:val="7B6A0E94"/>
    <w:rsid w:val="7B7056D4"/>
    <w:rsid w:val="7B89704B"/>
    <w:rsid w:val="7B9616AE"/>
    <w:rsid w:val="7BA54158"/>
    <w:rsid w:val="7BA66E47"/>
    <w:rsid w:val="7BAA0935"/>
    <w:rsid w:val="7BBF183E"/>
    <w:rsid w:val="7BC82AD2"/>
    <w:rsid w:val="7BCA7521"/>
    <w:rsid w:val="7BD10297"/>
    <w:rsid w:val="7BF158FB"/>
    <w:rsid w:val="7BF50902"/>
    <w:rsid w:val="7BF73FB5"/>
    <w:rsid w:val="7BF7591E"/>
    <w:rsid w:val="7C183E77"/>
    <w:rsid w:val="7C221254"/>
    <w:rsid w:val="7C23124E"/>
    <w:rsid w:val="7C30282C"/>
    <w:rsid w:val="7C374CF9"/>
    <w:rsid w:val="7C482A62"/>
    <w:rsid w:val="7C4F0E28"/>
    <w:rsid w:val="7C563840"/>
    <w:rsid w:val="7C8C3E26"/>
    <w:rsid w:val="7C975B14"/>
    <w:rsid w:val="7C9944BA"/>
    <w:rsid w:val="7CA13F21"/>
    <w:rsid w:val="7CA77B0E"/>
    <w:rsid w:val="7CAA42C8"/>
    <w:rsid w:val="7CC21EEA"/>
    <w:rsid w:val="7CC22F46"/>
    <w:rsid w:val="7CD11CE8"/>
    <w:rsid w:val="7CE053CC"/>
    <w:rsid w:val="7CEB1069"/>
    <w:rsid w:val="7D272826"/>
    <w:rsid w:val="7D285712"/>
    <w:rsid w:val="7D2E701F"/>
    <w:rsid w:val="7D363104"/>
    <w:rsid w:val="7D555B4F"/>
    <w:rsid w:val="7D5B4A17"/>
    <w:rsid w:val="7D6A1A4B"/>
    <w:rsid w:val="7D764A86"/>
    <w:rsid w:val="7D804BCF"/>
    <w:rsid w:val="7D8072EF"/>
    <w:rsid w:val="7D8418EC"/>
    <w:rsid w:val="7D926220"/>
    <w:rsid w:val="7DB13FB5"/>
    <w:rsid w:val="7DB3054C"/>
    <w:rsid w:val="7DB94104"/>
    <w:rsid w:val="7DD270EF"/>
    <w:rsid w:val="7DD500A0"/>
    <w:rsid w:val="7DD621A2"/>
    <w:rsid w:val="7DDE1326"/>
    <w:rsid w:val="7DEF4DB6"/>
    <w:rsid w:val="7DF62157"/>
    <w:rsid w:val="7DFA0129"/>
    <w:rsid w:val="7E33329E"/>
    <w:rsid w:val="7E424CF3"/>
    <w:rsid w:val="7E431C8A"/>
    <w:rsid w:val="7E4F0C6B"/>
    <w:rsid w:val="7E6C784D"/>
    <w:rsid w:val="7E724F5D"/>
    <w:rsid w:val="7E755665"/>
    <w:rsid w:val="7E8B529E"/>
    <w:rsid w:val="7E8F5828"/>
    <w:rsid w:val="7E9055C2"/>
    <w:rsid w:val="7E9D2F6B"/>
    <w:rsid w:val="7EA83C8C"/>
    <w:rsid w:val="7EB3736F"/>
    <w:rsid w:val="7ED259BC"/>
    <w:rsid w:val="7EE8419B"/>
    <w:rsid w:val="7EEC2797"/>
    <w:rsid w:val="7EF26CB5"/>
    <w:rsid w:val="7EF412B5"/>
    <w:rsid w:val="7EFA4F61"/>
    <w:rsid w:val="7EFB473A"/>
    <w:rsid w:val="7F0013D2"/>
    <w:rsid w:val="7F2B44F2"/>
    <w:rsid w:val="7F2F0A65"/>
    <w:rsid w:val="7F4F02C3"/>
    <w:rsid w:val="7F520134"/>
    <w:rsid w:val="7F5522F4"/>
    <w:rsid w:val="7F6060C4"/>
    <w:rsid w:val="7F6F6558"/>
    <w:rsid w:val="7FAA3B2B"/>
    <w:rsid w:val="7FB80B53"/>
    <w:rsid w:val="7FEE183F"/>
    <w:rsid w:val="7FEE25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qFormat="1"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qFormat="1"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40" w:lineRule="exact"/>
      <w:ind w:firstLine="200" w:firstLineChars="20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qFormat/>
    <w:uiPriority w:val="0"/>
    <w:pPr>
      <w:keepNext/>
      <w:keepLines/>
      <w:spacing w:before="340" w:after="340"/>
      <w:outlineLvl w:val="0"/>
    </w:pPr>
    <w:rPr>
      <w:rFonts w:eastAsia="黑体"/>
      <w:kern w:val="44"/>
    </w:rPr>
  </w:style>
  <w:style w:type="paragraph" w:styleId="4">
    <w:name w:val="heading 2"/>
    <w:basedOn w:val="1"/>
    <w:next w:val="1"/>
    <w:unhideWhenUsed/>
    <w:qFormat/>
    <w:uiPriority w:val="0"/>
    <w:pPr>
      <w:keepNext/>
      <w:keepLines/>
      <w:spacing w:before="200" w:after="200"/>
      <w:outlineLvl w:val="1"/>
    </w:pPr>
    <w:rPr>
      <w:rFonts w:ascii="Arial" w:hAnsi="Arial" w:eastAsia="楷体_GB231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unhideWhenUsed/>
    <w:qFormat/>
    <w:uiPriority w:val="99"/>
    <w:rPr>
      <w:rFonts w:ascii="Arial" w:hAnsi="Arial"/>
      <w:sz w:val="24"/>
    </w:rPr>
  </w:style>
  <w:style w:type="paragraph" w:styleId="5">
    <w:name w:val="Normal Indent"/>
    <w:basedOn w:val="1"/>
    <w:qFormat/>
    <w:uiPriority w:val="0"/>
    <w:pPr>
      <w:ind w:firstLine="420"/>
    </w:pPr>
    <w:rPr>
      <w:sz w:val="21"/>
    </w:rPr>
  </w:style>
  <w:style w:type="paragraph" w:styleId="6">
    <w:name w:val="Document Map"/>
    <w:basedOn w:val="1"/>
    <w:link w:val="57"/>
    <w:qFormat/>
    <w:uiPriority w:val="0"/>
    <w:rPr>
      <w:rFonts w:ascii="宋体" w:eastAsia="宋体"/>
      <w:sz w:val="18"/>
      <w:szCs w:val="18"/>
    </w:rPr>
  </w:style>
  <w:style w:type="paragraph" w:styleId="7">
    <w:name w:val="Body Text"/>
    <w:basedOn w:val="1"/>
    <w:next w:val="1"/>
    <w:qFormat/>
    <w:uiPriority w:val="99"/>
    <w:pPr>
      <w:ind w:left="206"/>
      <w:jc w:val="left"/>
    </w:pPr>
    <w:rPr>
      <w:rFonts w:ascii="宋体" w:hAnsi="宋体" w:eastAsia="宋体" w:cs="Times New Roman"/>
      <w:kern w:val="0"/>
      <w:sz w:val="18"/>
      <w:szCs w:val="18"/>
      <w:lang w:eastAsia="en-US"/>
    </w:rPr>
  </w:style>
  <w:style w:type="paragraph" w:styleId="8">
    <w:name w:val="Body Text Indent"/>
    <w:basedOn w:val="1"/>
    <w:qFormat/>
    <w:uiPriority w:val="0"/>
    <w:pPr>
      <w:spacing w:after="120"/>
      <w:ind w:left="420" w:leftChars="200"/>
    </w:pPr>
  </w:style>
  <w:style w:type="paragraph" w:styleId="9">
    <w:name w:val="Block Text"/>
    <w:basedOn w:val="1"/>
    <w:qFormat/>
    <w:uiPriority w:val="0"/>
    <w:pPr>
      <w:spacing w:before="100" w:beforeAutospacing="1"/>
      <w:ind w:left="700" w:leftChars="700" w:right="700" w:rightChars="700"/>
    </w:pPr>
  </w:style>
  <w:style w:type="paragraph" w:styleId="10">
    <w:name w:val="toc 3"/>
    <w:basedOn w:val="1"/>
    <w:next w:val="1"/>
    <w:qFormat/>
    <w:uiPriority w:val="0"/>
    <w:pPr>
      <w:ind w:left="840" w:leftChars="400"/>
    </w:pPr>
  </w:style>
  <w:style w:type="paragraph" w:styleId="11">
    <w:name w:val="Balloon Text"/>
    <w:basedOn w:val="1"/>
    <w:link w:val="34"/>
    <w:qFormat/>
    <w:uiPriority w:val="0"/>
    <w:pPr>
      <w:spacing w:line="240" w:lineRule="auto"/>
    </w:pPr>
    <w:rPr>
      <w:sz w:val="18"/>
      <w:szCs w:val="18"/>
    </w:rPr>
  </w:style>
  <w:style w:type="paragraph" w:styleId="12">
    <w:name w:val="footer"/>
    <w:basedOn w:val="1"/>
    <w:link w:val="50"/>
    <w:qFormat/>
    <w:uiPriority w:val="99"/>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39"/>
    <w:pPr>
      <w:tabs>
        <w:tab w:val="right" w:leader="dot" w:pos="8296"/>
      </w:tabs>
      <w:ind w:firstLine="0" w:firstLineChars="0"/>
      <w:jc w:val="center"/>
    </w:pPr>
    <w:rPr>
      <w:rFonts w:ascii="宋体" w:hAnsi="宋体"/>
      <w:b/>
      <w:kern w:val="0"/>
      <w:sz w:val="28"/>
      <w:szCs w:val="36"/>
    </w:rPr>
  </w:style>
  <w:style w:type="paragraph" w:styleId="15">
    <w:name w:val="toc 2"/>
    <w:basedOn w:val="1"/>
    <w:next w:val="1"/>
    <w:qFormat/>
    <w:uiPriority w:val="39"/>
    <w:pPr>
      <w:ind w:left="420" w:leftChars="200" w:firstLine="0" w:firstLineChars="0"/>
    </w:pPr>
    <w:rPr>
      <w:sz w:val="28"/>
    </w:rPr>
  </w:style>
  <w:style w:type="paragraph" w:styleId="16">
    <w:name w:val="Normal (Web)"/>
    <w:basedOn w:val="1"/>
    <w:next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17">
    <w:name w:val="Title"/>
    <w:basedOn w:val="1"/>
    <w:next w:val="1"/>
    <w:link w:val="58"/>
    <w:qFormat/>
    <w:uiPriority w:val="0"/>
    <w:pPr>
      <w:spacing w:before="240" w:after="60"/>
      <w:jc w:val="center"/>
      <w:outlineLvl w:val="0"/>
    </w:pPr>
    <w:rPr>
      <w:rFonts w:eastAsia="宋体" w:asciiTheme="majorHAnsi" w:hAnsiTheme="majorHAnsi" w:cstheme="majorBidi"/>
      <w:b/>
      <w:bCs/>
      <w:szCs w:val="32"/>
    </w:rPr>
  </w:style>
  <w:style w:type="paragraph" w:styleId="18">
    <w:name w:val="Body Text First Indent 2"/>
    <w:basedOn w:val="8"/>
    <w:qFormat/>
    <w:uiPriority w:val="0"/>
    <w:pPr>
      <w:ind w:firstLine="42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basedOn w:val="21"/>
    <w:qFormat/>
    <w:uiPriority w:val="0"/>
    <w:rPr>
      <w:b/>
    </w:rPr>
  </w:style>
  <w:style w:type="character" w:styleId="23">
    <w:name w:val="FollowedHyperlink"/>
    <w:basedOn w:val="21"/>
    <w:qFormat/>
    <w:uiPriority w:val="0"/>
    <w:rPr>
      <w:color w:val="000000"/>
      <w:u w:val="none"/>
    </w:rPr>
  </w:style>
  <w:style w:type="character" w:styleId="24">
    <w:name w:val="Emphasis"/>
    <w:basedOn w:val="21"/>
    <w:qFormat/>
    <w:uiPriority w:val="0"/>
    <w:rPr>
      <w:sz w:val="21"/>
      <w:szCs w:val="21"/>
    </w:rPr>
  </w:style>
  <w:style w:type="character" w:styleId="25">
    <w:name w:val="HTML Definition"/>
    <w:basedOn w:val="21"/>
    <w:qFormat/>
    <w:uiPriority w:val="0"/>
    <w:rPr>
      <w:b/>
      <w:i/>
    </w:rPr>
  </w:style>
  <w:style w:type="character" w:styleId="26">
    <w:name w:val="HTML Typewriter"/>
    <w:basedOn w:val="21"/>
    <w:qFormat/>
    <w:uiPriority w:val="0"/>
    <w:rPr>
      <w:rFonts w:hint="default" w:ascii="Lucida Console" w:hAnsi="Lucida Console" w:eastAsia="Lucida Console" w:cs="Lucida Console"/>
      <w:sz w:val="21"/>
      <w:szCs w:val="21"/>
    </w:rPr>
  </w:style>
  <w:style w:type="character" w:styleId="27">
    <w:name w:val="HTML Acronym"/>
    <w:basedOn w:val="21"/>
    <w:qFormat/>
    <w:uiPriority w:val="0"/>
  </w:style>
  <w:style w:type="character" w:styleId="28">
    <w:name w:val="Hyperlink"/>
    <w:basedOn w:val="21"/>
    <w:qFormat/>
    <w:uiPriority w:val="99"/>
    <w:rPr>
      <w:color w:val="000000"/>
      <w:u w:val="none"/>
    </w:rPr>
  </w:style>
  <w:style w:type="character" w:styleId="29">
    <w:name w:val="HTML Code"/>
    <w:basedOn w:val="21"/>
    <w:qFormat/>
    <w:uiPriority w:val="0"/>
    <w:rPr>
      <w:rFonts w:ascii="Lucida Console" w:hAnsi="Lucida Console" w:eastAsia="Lucida Console" w:cs="Lucida Console"/>
      <w:sz w:val="21"/>
      <w:szCs w:val="21"/>
    </w:rPr>
  </w:style>
  <w:style w:type="table" w:customStyle="1" w:styleId="30">
    <w:name w:val="网格型4"/>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31">
    <w:name w:val="网格型5"/>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32">
    <w:name w:val="闻政正文"/>
    <w:basedOn w:val="1"/>
    <w:link w:val="49"/>
    <w:qFormat/>
    <w:uiPriority w:val="0"/>
    <w:pPr>
      <w:spacing w:line="500" w:lineRule="exact"/>
      <w:ind w:firstLine="560"/>
    </w:pPr>
    <w:rPr>
      <w:kern w:val="0"/>
      <w:sz w:val="28"/>
      <w:szCs w:val="28"/>
    </w:rPr>
  </w:style>
  <w:style w:type="paragraph" w:customStyle="1" w:styleId="33">
    <w:name w:val="列出段落1"/>
    <w:basedOn w:val="1"/>
    <w:qFormat/>
    <w:uiPriority w:val="0"/>
    <w:pPr>
      <w:ind w:firstLine="420"/>
    </w:pPr>
    <w:rPr>
      <w:rFonts w:ascii="Calibri" w:hAnsi="Calibri"/>
      <w:szCs w:val="22"/>
    </w:rPr>
  </w:style>
  <w:style w:type="character" w:customStyle="1" w:styleId="34">
    <w:name w:val="批注框文本 Char"/>
    <w:basedOn w:val="21"/>
    <w:link w:val="11"/>
    <w:qFormat/>
    <w:uiPriority w:val="0"/>
    <w:rPr>
      <w:rFonts w:eastAsia="仿宋_GB2312"/>
      <w:kern w:val="2"/>
      <w:sz w:val="18"/>
      <w:szCs w:val="18"/>
    </w:rPr>
  </w:style>
  <w:style w:type="character" w:customStyle="1" w:styleId="35">
    <w:name w:val="layui-layer-tabnow"/>
    <w:basedOn w:val="21"/>
    <w:qFormat/>
    <w:uiPriority w:val="0"/>
    <w:rPr>
      <w:bdr w:val="single" w:color="CCCCCC" w:sz="6" w:space="0"/>
      <w:shd w:val="clear" w:color="auto" w:fill="FFFFFF"/>
    </w:rPr>
  </w:style>
  <w:style w:type="character" w:customStyle="1" w:styleId="36">
    <w:name w:val="first-child"/>
    <w:basedOn w:val="21"/>
    <w:qFormat/>
    <w:uiPriority w:val="0"/>
  </w:style>
  <w:style w:type="character" w:customStyle="1" w:styleId="37">
    <w:name w:val="hover21"/>
    <w:basedOn w:val="21"/>
    <w:qFormat/>
    <w:uiPriority w:val="0"/>
  </w:style>
  <w:style w:type="character" w:customStyle="1" w:styleId="38">
    <w:name w:val="hover22"/>
    <w:basedOn w:val="21"/>
    <w:qFormat/>
    <w:uiPriority w:val="0"/>
  </w:style>
  <w:style w:type="character" w:customStyle="1" w:styleId="39">
    <w:name w:val="hover23"/>
    <w:basedOn w:val="21"/>
    <w:qFormat/>
    <w:uiPriority w:val="0"/>
  </w:style>
  <w:style w:type="character" w:customStyle="1" w:styleId="40">
    <w:name w:val="hover24"/>
    <w:basedOn w:val="21"/>
    <w:qFormat/>
    <w:uiPriority w:val="0"/>
    <w:rPr>
      <w:color w:val="F85659"/>
    </w:rPr>
  </w:style>
  <w:style w:type="paragraph" w:customStyle="1" w:styleId="41">
    <w:name w:val="列出段落2"/>
    <w:basedOn w:val="1"/>
    <w:qFormat/>
    <w:uiPriority w:val="0"/>
    <w:pPr>
      <w:ind w:firstLine="420"/>
    </w:pPr>
    <w:rPr>
      <w:rFonts w:ascii="Calibri" w:hAnsi="Calibri"/>
      <w:szCs w:val="22"/>
    </w:rPr>
  </w:style>
  <w:style w:type="character" w:customStyle="1" w:styleId="42">
    <w:name w:val="列出段落 Char"/>
    <w:link w:val="43"/>
    <w:qFormat/>
    <w:uiPriority w:val="34"/>
    <w:rPr>
      <w:rFonts w:ascii="Calibri" w:hAnsi="Calibri"/>
    </w:rPr>
  </w:style>
  <w:style w:type="paragraph" w:styleId="43">
    <w:name w:val="List Paragraph"/>
    <w:basedOn w:val="1"/>
    <w:link w:val="42"/>
    <w:qFormat/>
    <w:uiPriority w:val="34"/>
    <w:pPr>
      <w:spacing w:line="240" w:lineRule="auto"/>
      <w:ind w:firstLine="420"/>
    </w:pPr>
    <w:rPr>
      <w:rFonts w:ascii="Calibri" w:hAnsi="Calibri" w:eastAsia="宋体"/>
      <w:kern w:val="0"/>
      <w:sz w:val="20"/>
      <w:szCs w:val="20"/>
    </w:rPr>
  </w:style>
  <w:style w:type="table" w:customStyle="1" w:styleId="44">
    <w:name w:val="网格型1"/>
    <w:basedOn w:val="1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5">
    <w:name w:val="网格型2"/>
    <w:basedOn w:val="1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6">
    <w:name w:val="网格型3"/>
    <w:basedOn w:val="1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7">
    <w:name w:val="网格型6"/>
    <w:basedOn w:val="1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48">
    <w:name w:val="List Paragraph1"/>
    <w:basedOn w:val="1"/>
    <w:qFormat/>
    <w:uiPriority w:val="0"/>
    <w:pPr>
      <w:spacing w:line="240" w:lineRule="auto"/>
      <w:ind w:firstLine="420"/>
    </w:pPr>
    <w:rPr>
      <w:rFonts w:ascii="Calibri" w:hAnsi="Calibri" w:eastAsia="宋体"/>
      <w:sz w:val="21"/>
      <w:szCs w:val="22"/>
    </w:rPr>
  </w:style>
  <w:style w:type="character" w:customStyle="1" w:styleId="49">
    <w:name w:val="闻政正文 Char"/>
    <w:link w:val="32"/>
    <w:qFormat/>
    <w:uiPriority w:val="0"/>
    <w:rPr>
      <w:rFonts w:eastAsia="仿宋_GB2312"/>
      <w:sz w:val="28"/>
      <w:szCs w:val="28"/>
    </w:rPr>
  </w:style>
  <w:style w:type="character" w:customStyle="1" w:styleId="50">
    <w:name w:val="页脚 Char"/>
    <w:basedOn w:val="21"/>
    <w:link w:val="12"/>
    <w:qFormat/>
    <w:uiPriority w:val="99"/>
    <w:rPr>
      <w:rFonts w:eastAsia="仿宋_GB2312"/>
      <w:kern w:val="2"/>
      <w:sz w:val="18"/>
      <w:szCs w:val="18"/>
    </w:rPr>
  </w:style>
  <w:style w:type="table" w:customStyle="1" w:styleId="51">
    <w:name w:val="网格型31"/>
    <w:basedOn w:val="19"/>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52">
    <w:name w:val="No Spacing_ad81b47b-6779-4c76-b471-79375858c8cb"/>
    <w:basedOn w:val="1"/>
    <w:qFormat/>
    <w:uiPriority w:val="0"/>
    <w:rPr>
      <w:rFonts w:eastAsia="宋体"/>
    </w:rPr>
  </w:style>
  <w:style w:type="character" w:customStyle="1" w:styleId="53">
    <w:name w:val="font21"/>
    <w:basedOn w:val="21"/>
    <w:qFormat/>
    <w:uiPriority w:val="0"/>
    <w:rPr>
      <w:rFonts w:hint="eastAsia" w:ascii="仿宋_GB2312" w:eastAsia="仿宋_GB2312" w:cs="仿宋_GB2312"/>
      <w:color w:val="000000"/>
      <w:sz w:val="18"/>
      <w:szCs w:val="18"/>
      <w:u w:val="none"/>
    </w:rPr>
  </w:style>
  <w:style w:type="character" w:customStyle="1" w:styleId="54">
    <w:name w:val="font11"/>
    <w:basedOn w:val="21"/>
    <w:qFormat/>
    <w:uiPriority w:val="0"/>
    <w:rPr>
      <w:rFonts w:hint="default" w:ascii="Times New Roman" w:hAnsi="Times New Roman" w:cs="Times New Roman"/>
      <w:color w:val="000000"/>
      <w:sz w:val="18"/>
      <w:szCs w:val="18"/>
      <w:u w:val="none"/>
    </w:rPr>
  </w:style>
  <w:style w:type="character" w:customStyle="1" w:styleId="55">
    <w:name w:val="font31"/>
    <w:basedOn w:val="21"/>
    <w:qFormat/>
    <w:uiPriority w:val="0"/>
    <w:rPr>
      <w:rFonts w:hint="eastAsia" w:ascii="仿宋_GB2312" w:eastAsia="仿宋_GB2312" w:cs="仿宋_GB2312"/>
      <w:color w:val="000000"/>
      <w:sz w:val="22"/>
      <w:szCs w:val="22"/>
      <w:u w:val="none"/>
    </w:rPr>
  </w:style>
  <w:style w:type="character" w:customStyle="1" w:styleId="56">
    <w:name w:val="font51"/>
    <w:basedOn w:val="21"/>
    <w:qFormat/>
    <w:uiPriority w:val="0"/>
    <w:rPr>
      <w:rFonts w:hint="eastAsia" w:ascii="仿宋_GB2312" w:eastAsia="仿宋_GB2312" w:cs="仿宋_GB2312"/>
      <w:color w:val="000000"/>
      <w:sz w:val="22"/>
      <w:szCs w:val="22"/>
      <w:u w:val="none"/>
    </w:rPr>
  </w:style>
  <w:style w:type="character" w:customStyle="1" w:styleId="57">
    <w:name w:val="文档结构图 Char"/>
    <w:basedOn w:val="21"/>
    <w:link w:val="6"/>
    <w:qFormat/>
    <w:uiPriority w:val="0"/>
    <w:rPr>
      <w:rFonts w:ascii="宋体"/>
      <w:kern w:val="2"/>
      <w:sz w:val="18"/>
      <w:szCs w:val="18"/>
    </w:rPr>
  </w:style>
  <w:style w:type="character" w:customStyle="1" w:styleId="58">
    <w:name w:val="标题 Char"/>
    <w:basedOn w:val="21"/>
    <w:link w:val="17"/>
    <w:qFormat/>
    <w:uiPriority w:val="0"/>
    <w:rPr>
      <w:rFonts w:asciiTheme="majorHAnsi" w:hAnsiTheme="majorHAnsi" w:cstheme="majorBidi"/>
      <w:b/>
      <w:bCs/>
      <w:kern w:val="2"/>
      <w:sz w:val="32"/>
      <w:szCs w:val="32"/>
    </w:rPr>
  </w:style>
  <w:style w:type="paragraph" w:customStyle="1" w:styleId="59">
    <w:name w:val="正文首行缩进 21"/>
    <w:basedOn w:val="60"/>
    <w:next w:val="16"/>
    <w:qFormat/>
    <w:uiPriority w:val="99"/>
    <w:pPr>
      <w:ind w:firstLine="200" w:firstLineChars="200"/>
    </w:pPr>
  </w:style>
  <w:style w:type="paragraph" w:customStyle="1" w:styleId="60">
    <w:name w:val="正文文本缩进1"/>
    <w:basedOn w:val="1"/>
    <w:qFormat/>
    <w:uiPriority w:val="99"/>
    <w:pPr>
      <w:ind w:left="200" w:left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extobjs>
    <extobj name="ECB019B1-382A-4266-B25C-5B523AA43C14-1">
      <extobjdata type="ECB019B1-382A-4266-B25C-5B523AA43C14" data="ewoJIkZpbGVJZCIgOiAiMTk5NDI0NDI3Nzg4IiwKCSJHcm91cElkIiA6ICIxOTQyMTY1OTIwIiwKCSJJbWFnZSIgOiAiaVZCT1J3MEtHZ29BQUFBTlNVaEVVZ0FBQWpBQUFBRXNDQVlBQUFEZERZa1NBQUFBQ1hCSVdYTUFBQXNUQUFBTEV3RUFtcHdZQUFBZ0FFbEVRVlI0bk8zZGUzd1RWZm8vOE0vSnBla0ZTbHNLYlZHa0NCYWs5SkpVUVZTK0NBb3JGMWNVUVJIV3U2ajdXM2RWRnRZTHJLdUNpb3FycnJMS0NpcmVFUkVVUlpIaXdzb2lLaTJVbHR0eXFXMkJGa3B2YVp1bVRlYjgvaWlKU1p2MEFtMG1hVDd2MTR1WHlaa3pNMDlpKy9TWk0yZG1BQ0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"/>
    </extobj>
  </extobj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F5770F-79C2-4F8B-98CC-EF7B29F9AF59}">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66</Pages>
  <Words>9049</Words>
  <Characters>9599</Characters>
  <Lines>218</Lines>
  <Paragraphs>61</Paragraphs>
  <TotalTime>1</TotalTime>
  <ScaleCrop>false</ScaleCrop>
  <LinksUpToDate>false</LinksUpToDate>
  <CharactersWithSpaces>9747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2020-12-08T10:32:00Z</dcterms:created>
  <dc:creator>Administrator</dc:creator>
  <cp:lastModifiedBy>喵小咪创意吧（张薛瑞）</cp:lastModifiedBy>
  <cp:lastPrinted>2021-08-03T07:14:00Z</cp:lastPrinted>
  <dcterms:modified xsi:type="dcterms:W3CDTF">2025-05-21T08:52:08Z</dcterms:modified>
  <cp:revision>476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A804D869F08E403782E7E06F4BF92E7F</vt:lpwstr>
  </property>
  <property fmtid="{D5CDD505-2E9C-101B-9397-08002B2CF9AE}" pid="4" name="KSOTemplateDocerSaveRecord">
    <vt:lpwstr>eyJoZGlkIjoiZjQ2YTZiNmZmYTRiNDhlNjZkYjE3MWViZGYyNTUxMzYiLCJ1c2VySWQiOiI0MzQ4NzMwNTcifQ==</vt:lpwstr>
  </property>
</Properties>
</file>