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cs="仿宋"/>
          <w:b/>
          <w:bCs/>
          <w:spacing w:val="20"/>
          <w:sz w:val="48"/>
          <w:szCs w:val="48"/>
        </w:rPr>
      </w:pPr>
      <w:bookmarkStart w:id="0" w:name="_Toc514537326"/>
      <w:bookmarkStart w:id="1" w:name="_Toc514537328"/>
    </w:p>
    <w:p>
      <w:pPr>
        <w:jc w:val="both"/>
        <w:rPr>
          <w:rFonts w:ascii="黑体" w:eastAsia="黑体" w:cs="仿宋"/>
          <w:b/>
          <w:bCs/>
          <w:spacing w:val="20"/>
          <w:sz w:val="48"/>
          <w:szCs w:val="48"/>
        </w:rPr>
      </w:pPr>
    </w:p>
    <w:p>
      <w:pPr>
        <w:spacing w:before="158" w:beforeLines="50" w:after="158" w:afterLines="50" w:line="574" w:lineRule="exact"/>
        <w:jc w:val="center"/>
        <w:rPr>
          <w:rFonts w:ascii="Times New Roman" w:hAnsi="Times New Roman" w:eastAsia="仿宋" w:cs="Times New Roman"/>
          <w:b/>
          <w:bCs w:val="0"/>
          <w:kern w:val="0"/>
          <w:sz w:val="44"/>
          <w:szCs w:val="44"/>
          <w:lang w:eastAsia="zh-CN"/>
        </w:rPr>
      </w:pPr>
      <w:r>
        <w:rPr>
          <w:rFonts w:hint="eastAsia" w:ascii="Times New Roman" w:hAnsi="Times New Roman" w:eastAsia="仿宋" w:cs="Times New Roman"/>
          <w:b/>
          <w:bCs w:val="0"/>
          <w:kern w:val="0"/>
          <w:sz w:val="44"/>
          <w:szCs w:val="44"/>
          <w:lang w:val="en-US" w:eastAsia="zh-CN"/>
        </w:rPr>
        <w:t>城市中心公园建设项目</w:t>
      </w:r>
      <w:r>
        <w:rPr>
          <w:rFonts w:ascii="Times New Roman" w:hAnsi="Times New Roman" w:eastAsia="仿宋" w:cs="Times New Roman"/>
          <w:b/>
          <w:bCs w:val="0"/>
          <w:kern w:val="0"/>
          <w:sz w:val="44"/>
          <w:szCs w:val="44"/>
          <w:lang w:val="en-US" w:eastAsia="zh-CN"/>
        </w:rPr>
        <w:t>支出</w:t>
      </w:r>
      <w:r>
        <w:rPr>
          <w:rFonts w:ascii="Times New Roman" w:hAnsi="Times New Roman" w:eastAsia="仿宋" w:cs="Times New Roman"/>
          <w:b/>
          <w:bCs w:val="0"/>
          <w:kern w:val="0"/>
          <w:sz w:val="44"/>
          <w:szCs w:val="44"/>
          <w:lang w:eastAsia="zh-CN"/>
        </w:rPr>
        <w:t>绩效评价</w:t>
      </w:r>
    </w:p>
    <w:p>
      <w:pPr>
        <w:spacing w:before="158" w:beforeLines="50" w:after="158" w:afterLines="50" w:line="574" w:lineRule="exact"/>
        <w:jc w:val="center"/>
        <w:rPr>
          <w:rFonts w:ascii="Times New Roman" w:hAnsi="Times New Roman" w:eastAsia="黑体"/>
          <w:b/>
          <w:sz w:val="44"/>
          <w:szCs w:val="44"/>
        </w:rPr>
      </w:pPr>
      <w:r>
        <w:rPr>
          <w:rFonts w:ascii="Times New Roman" w:hAnsi="Times New Roman" w:eastAsia="仿宋" w:cs="Times New Roman"/>
          <w:b/>
          <w:bCs w:val="0"/>
          <w:kern w:val="0"/>
          <w:sz w:val="44"/>
          <w:szCs w:val="44"/>
          <w:lang w:eastAsia="zh-CN"/>
        </w:rPr>
        <w:t>报告</w:t>
      </w:r>
    </w:p>
    <w:p>
      <w:pPr>
        <w:jc w:val="center"/>
        <w:rPr>
          <w:rFonts w:ascii="仿宋" w:eastAsia="仿宋" w:cs="仿宋"/>
          <w:b/>
          <w:bCs/>
          <w:sz w:val="48"/>
          <w:szCs w:val="48"/>
          <w:highlight w:val="yellow"/>
        </w:rPr>
      </w:pPr>
    </w:p>
    <w:p>
      <w:pPr>
        <w:jc w:val="center"/>
        <w:rPr>
          <w:rFonts w:ascii="仿宋" w:eastAsia="仿宋" w:cs="仿宋"/>
          <w:b/>
          <w:bCs/>
          <w:sz w:val="48"/>
          <w:szCs w:val="48"/>
          <w:highlight w:val="yellow"/>
        </w:rPr>
      </w:pPr>
    </w:p>
    <w:p>
      <w:pPr>
        <w:rPr>
          <w:rFonts w:ascii="仿宋" w:eastAsia="仿宋" w:cs="仿宋"/>
          <w:b/>
          <w:bCs/>
          <w:sz w:val="48"/>
          <w:szCs w:val="48"/>
          <w:highlight w:val="yellow"/>
        </w:rPr>
      </w:pPr>
    </w:p>
    <w:p>
      <w:pPr>
        <w:rPr>
          <w:rFonts w:ascii="仿宋" w:eastAsia="仿宋" w:cs="仿宋"/>
          <w:b/>
          <w:bCs/>
          <w:sz w:val="48"/>
          <w:szCs w:val="48"/>
          <w:highlight w:val="yellow"/>
        </w:rPr>
      </w:pPr>
    </w:p>
    <w:p>
      <w:pPr>
        <w:rPr>
          <w:rFonts w:ascii="仿宋" w:eastAsia="仿宋" w:cs="仿宋"/>
          <w:b/>
          <w:bCs/>
          <w:sz w:val="48"/>
          <w:szCs w:val="48"/>
          <w:highlight w:val="yellow"/>
        </w:rPr>
      </w:pPr>
    </w:p>
    <w:p>
      <w:pPr>
        <w:ind w:right="-168" w:rightChars="-80"/>
        <w:rPr>
          <w:rFonts w:ascii="仿宋" w:eastAsia="仿宋" w:cs="仿宋"/>
          <w:b/>
          <w:bCs/>
          <w:sz w:val="48"/>
          <w:szCs w:val="48"/>
          <w:highlight w:val="yellow"/>
        </w:rPr>
      </w:pPr>
    </w:p>
    <w:p>
      <w:pPr>
        <w:rPr>
          <w:rFonts w:ascii="仿宋" w:eastAsia="仿宋" w:cs="仿宋"/>
          <w:b/>
          <w:bCs/>
          <w:sz w:val="48"/>
          <w:szCs w:val="48"/>
          <w:highlight w:val="yellow"/>
        </w:rPr>
      </w:pPr>
    </w:p>
    <w:p>
      <w:pPr>
        <w:rPr>
          <w:rFonts w:ascii="仿宋" w:eastAsia="仿宋" w:cs="仿宋"/>
          <w:b/>
          <w:bCs/>
          <w:sz w:val="48"/>
          <w:szCs w:val="48"/>
          <w:highlight w:val="yellow"/>
        </w:rPr>
      </w:pPr>
    </w:p>
    <w:p>
      <w:pPr>
        <w:pStyle w:val="2"/>
        <w:rPr>
          <w:rFonts w:ascii="仿宋" w:eastAsia="仿宋" w:cs="仿宋"/>
          <w:b/>
          <w:bCs/>
          <w:sz w:val="48"/>
          <w:szCs w:val="48"/>
          <w:highlight w:val="yellow"/>
        </w:rPr>
      </w:pPr>
    </w:p>
    <w:p>
      <w:pPr>
        <w:rPr>
          <w:rFonts w:ascii="仿宋" w:eastAsia="仿宋" w:cs="仿宋"/>
          <w:b/>
          <w:bCs/>
          <w:sz w:val="48"/>
          <w:szCs w:val="48"/>
          <w:highlight w:val="yellow"/>
        </w:rPr>
      </w:pPr>
    </w:p>
    <w:p>
      <w:pPr>
        <w:autoSpaceDE w:val="0"/>
        <w:autoSpaceDN w:val="0"/>
        <w:adjustRightInd w:val="0"/>
        <w:spacing w:line="520" w:lineRule="exact"/>
        <w:ind w:firstLine="1405" w:firstLineChars="500"/>
        <w:jc w:val="left"/>
        <w:rPr>
          <w:rFonts w:hint="eastAsia" w:ascii="仿宋" w:eastAsia="仿宋" w:cs="仿宋"/>
          <w:b/>
          <w:bCs/>
          <w:kern w:val="0"/>
          <w:sz w:val="28"/>
          <w:szCs w:val="28"/>
          <w:lang w:val="en-US" w:eastAsia="zh-CN"/>
        </w:rPr>
      </w:pPr>
      <w:r>
        <w:rPr>
          <w:rFonts w:hint="eastAsia" w:ascii="仿宋" w:eastAsia="仿宋" w:cs="仿宋"/>
          <w:b/>
          <w:bCs/>
          <w:kern w:val="0"/>
          <w:sz w:val="28"/>
          <w:szCs w:val="28"/>
        </w:rPr>
        <w:t>主管单位：</w:t>
      </w:r>
      <w:r>
        <w:rPr>
          <w:rFonts w:hint="eastAsia" w:ascii="仿宋" w:eastAsia="仿宋" w:cs="仿宋"/>
          <w:b/>
          <w:bCs/>
          <w:kern w:val="0"/>
          <w:sz w:val="28"/>
          <w:szCs w:val="28"/>
          <w:lang w:val="en-US" w:eastAsia="zh-CN"/>
        </w:rPr>
        <w:t>古县直属机关事务服务中心</w:t>
      </w:r>
    </w:p>
    <w:p>
      <w:pPr>
        <w:autoSpaceDE w:val="0"/>
        <w:autoSpaceDN w:val="0"/>
        <w:adjustRightInd w:val="0"/>
        <w:spacing w:line="520" w:lineRule="exact"/>
        <w:ind w:firstLine="1405" w:firstLineChars="500"/>
        <w:rPr>
          <w:rFonts w:hint="eastAsia" w:ascii="仿宋" w:eastAsia="仿宋" w:cs="仿宋"/>
          <w:b/>
          <w:bCs/>
          <w:kern w:val="0"/>
          <w:sz w:val="28"/>
          <w:szCs w:val="28"/>
          <w:lang w:val="en-US" w:eastAsia="zh-CN"/>
        </w:rPr>
      </w:pPr>
      <w:r>
        <w:rPr>
          <w:rFonts w:hint="eastAsia" w:ascii="仿宋" w:eastAsia="仿宋" w:cs="仿宋"/>
          <w:b/>
          <w:bCs/>
          <w:kern w:val="0"/>
          <w:sz w:val="28"/>
          <w:szCs w:val="28"/>
        </w:rPr>
        <w:t>实施单位：</w:t>
      </w:r>
      <w:r>
        <w:rPr>
          <w:rFonts w:hint="eastAsia" w:ascii="仿宋" w:eastAsia="仿宋" w:cs="仿宋"/>
          <w:b/>
          <w:bCs/>
          <w:kern w:val="0"/>
          <w:sz w:val="28"/>
          <w:szCs w:val="28"/>
          <w:lang w:val="en-US" w:eastAsia="zh-CN"/>
        </w:rPr>
        <w:t>古县直属机关事务服务中心</w:t>
      </w:r>
    </w:p>
    <w:p>
      <w:pPr>
        <w:autoSpaceDE w:val="0"/>
        <w:autoSpaceDN w:val="0"/>
        <w:adjustRightInd w:val="0"/>
        <w:spacing w:line="520" w:lineRule="exact"/>
        <w:ind w:firstLine="1405" w:firstLineChars="500"/>
        <w:rPr>
          <w:rFonts w:ascii="仿宋" w:eastAsia="仿宋" w:cs="仿宋"/>
          <w:b/>
          <w:bCs/>
          <w:kern w:val="0"/>
          <w:sz w:val="28"/>
          <w:szCs w:val="28"/>
          <w:lang w:val="en-US" w:eastAsia="zh-CN"/>
        </w:rPr>
      </w:pPr>
      <w:r>
        <w:rPr>
          <w:rFonts w:hint="eastAsia" w:ascii="仿宋" w:eastAsia="仿宋" w:cs="仿宋"/>
          <w:b/>
          <w:bCs/>
          <w:kern w:val="0"/>
          <w:sz w:val="28"/>
          <w:szCs w:val="28"/>
        </w:rPr>
        <w:t>委托单位：</w:t>
      </w:r>
      <w:r>
        <w:rPr>
          <w:rFonts w:hint="eastAsia" w:ascii="仿宋" w:eastAsia="仿宋" w:cs="仿宋"/>
          <w:b/>
          <w:bCs/>
          <w:kern w:val="0"/>
          <w:sz w:val="28"/>
          <w:szCs w:val="28"/>
          <w:lang w:eastAsia="zh-CN"/>
        </w:rPr>
        <w:t>古县财政局</w:t>
      </w:r>
    </w:p>
    <w:p>
      <w:pPr>
        <w:autoSpaceDE w:val="0"/>
        <w:autoSpaceDN w:val="0"/>
        <w:adjustRightInd w:val="0"/>
        <w:spacing w:line="520" w:lineRule="exact"/>
        <w:ind w:firstLine="1405" w:firstLineChars="500"/>
        <w:jc w:val="left"/>
        <w:rPr>
          <w:rFonts w:ascii="黑体" w:eastAsia="黑体" w:cs="仿宋"/>
          <w:b/>
          <w:bCs/>
          <w:sz w:val="32"/>
          <w:szCs w:val="32"/>
        </w:rPr>
        <w:sectPr>
          <w:headerReference r:id="rId3" w:type="default"/>
          <w:footerReference r:id="rId4" w:type="default"/>
          <w:pgSz w:w="23757" w:h="16783" w:orient="landscape"/>
          <w:pgMar w:top="1440" w:right="1331" w:bottom="1440" w:left="13606" w:header="851" w:footer="992" w:gutter="0"/>
          <w:pgNumType w:start="1"/>
          <w:cols w:space="720" w:num="1"/>
          <w:rtlGutter w:val="1"/>
          <w:docGrid w:type="lines" w:linePitch="315" w:charSpace="0"/>
        </w:sectPr>
      </w:pPr>
      <w:r>
        <w:rPr>
          <w:rFonts w:hint="eastAsia" w:ascii="仿宋" w:eastAsia="仿宋" w:cs="仿宋"/>
          <w:b/>
          <w:bCs/>
          <w:kern w:val="0"/>
          <w:sz w:val="28"/>
          <w:szCs w:val="28"/>
        </w:rPr>
        <w:t>评价机构：</w:t>
      </w:r>
      <w:r>
        <w:rPr>
          <w:rFonts w:hint="eastAsia" w:ascii="仿宋" w:eastAsia="仿宋" w:cs="仿宋"/>
          <w:b/>
          <w:bCs/>
          <w:kern w:val="0"/>
          <w:sz w:val="28"/>
          <w:szCs w:val="28"/>
          <w:lang w:eastAsia="zh-CN"/>
        </w:rPr>
        <w:t>山西</w:t>
      </w:r>
      <w:r>
        <w:rPr>
          <w:rFonts w:hint="eastAsia" w:ascii="仿宋" w:eastAsia="仿宋" w:cs="仿宋"/>
          <w:b/>
          <w:bCs/>
          <w:kern w:val="0"/>
          <w:sz w:val="28"/>
          <w:szCs w:val="28"/>
          <w:lang w:val="en-US" w:eastAsia="zh-CN"/>
        </w:rPr>
        <w:t>恒略</w:t>
      </w:r>
      <w:r>
        <w:rPr>
          <w:rFonts w:hint="eastAsia" w:ascii="仿宋" w:eastAsia="仿宋" w:cs="仿宋"/>
          <w:b/>
          <w:bCs/>
          <w:kern w:val="0"/>
          <w:sz w:val="28"/>
          <w:szCs w:val="28"/>
          <w:lang w:eastAsia="zh-CN"/>
        </w:rPr>
        <w:t>绩效管理咨询有限公司</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eastAsia="仿宋" w:cs="仿宋"/>
          <w:sz w:val="24"/>
          <w:szCs w:val="24"/>
        </w:rPr>
      </w:pPr>
      <w:r>
        <w:rPr>
          <w:rFonts w:hint="eastAsia" w:ascii="仿宋" w:eastAsia="仿宋" w:cs="仿宋"/>
          <w:b/>
          <w:bCs/>
          <w:sz w:val="24"/>
          <w:szCs w:val="24"/>
        </w:rPr>
        <w:t>目</w:t>
      </w:r>
      <w:r>
        <w:rPr>
          <w:rFonts w:hint="eastAsia" w:ascii="仿宋" w:eastAsia="仿宋" w:cs="仿宋"/>
          <w:b/>
          <w:bCs/>
          <w:sz w:val="24"/>
          <w:szCs w:val="24"/>
          <w:lang w:val="en-US" w:eastAsia="zh-CN"/>
        </w:rPr>
        <w:t xml:space="preserve"> </w:t>
      </w:r>
      <w:r>
        <w:rPr>
          <w:rFonts w:hint="eastAsia" w:ascii="仿宋" w:eastAsia="仿宋" w:cs="仿宋"/>
          <w:b/>
          <w:bCs/>
          <w:sz w:val="24"/>
          <w:szCs w:val="24"/>
        </w:rPr>
        <w:t>录</w:t>
      </w:r>
    </w:p>
    <w:p>
      <w:pPr>
        <w:pStyle w:val="14"/>
        <w:keepNext w:val="0"/>
        <w:keepLines w:val="0"/>
        <w:pageBreakBefore w:val="0"/>
        <w:widowControl/>
        <w:tabs>
          <w:tab w:val="right" w:leader="dot" w:pos="8296"/>
        </w:tabs>
        <w:kinsoku/>
        <w:wordWrap/>
        <w:overflowPunct/>
        <w:topLinePunct w:val="0"/>
        <w:autoSpaceDE/>
        <w:autoSpaceDN/>
        <w:bidi w:val="0"/>
        <w:adjustRightInd/>
        <w:snapToGrid/>
        <w:spacing w:after="0" w:line="520" w:lineRule="exact"/>
        <w:textAlignment w:val="auto"/>
        <w:rPr>
          <w:rFonts w:hint="eastAsia" w:ascii="仿宋" w:eastAsia="仿宋" w:cs="仿宋"/>
          <w:sz w:val="24"/>
          <w:szCs w:val="24"/>
          <w:highlight w:val="yellow"/>
        </w:rPr>
      </w:pPr>
    </w:p>
    <w:p>
      <w:pPr>
        <w:pStyle w:val="14"/>
        <w:tabs>
          <w:tab w:val="right" w:leader="dot" w:pos="8306"/>
        </w:tabs>
        <w:rPr>
          <w:rFonts w:hint="eastAsia" w:ascii="仿宋" w:eastAsia="仿宋" w:cs="仿宋"/>
          <w:b/>
          <w:bCs/>
          <w:sz w:val="24"/>
          <w:szCs w:val="24"/>
        </w:rPr>
      </w:pPr>
      <w:r>
        <w:rPr>
          <w:rFonts w:hint="eastAsia" w:ascii="仿宋" w:eastAsia="仿宋" w:cs="仿宋"/>
          <w:b w:val="0"/>
          <w:bCs w:val="0"/>
          <w:sz w:val="24"/>
          <w:szCs w:val="24"/>
          <w:highlight w:val="yellow"/>
        </w:rPr>
        <w:fldChar w:fldCharType="begin"/>
      </w:r>
      <w:r>
        <w:rPr>
          <w:rFonts w:hint="eastAsia" w:ascii="仿宋" w:eastAsia="仿宋" w:cs="仿宋"/>
          <w:b w:val="0"/>
          <w:bCs w:val="0"/>
          <w:sz w:val="24"/>
          <w:szCs w:val="24"/>
          <w:highlight w:val="yellow"/>
        </w:rPr>
        <w:instrText xml:space="preserve"> TOC \o "1-3" \h \z \u </w:instrText>
      </w:r>
      <w:r>
        <w:rPr>
          <w:rFonts w:hint="eastAsia" w:ascii="仿宋" w:eastAsia="仿宋" w:cs="仿宋"/>
          <w:b w:val="0"/>
          <w:bCs w:val="0"/>
          <w:sz w:val="24"/>
          <w:szCs w:val="24"/>
          <w:highlight w:val="yellow"/>
        </w:rPr>
        <w:fldChar w:fldCharType="separate"/>
      </w: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_Toc3630 </w:instrText>
      </w:r>
      <w:r>
        <w:rPr>
          <w:rFonts w:hint="eastAsia" w:ascii="仿宋" w:eastAsia="仿宋" w:cs="仿宋"/>
          <w:b/>
          <w:bCs/>
          <w:sz w:val="24"/>
          <w:szCs w:val="24"/>
          <w:highlight w:val="yellow"/>
        </w:rPr>
        <w:fldChar w:fldCharType="separate"/>
      </w:r>
      <w:r>
        <w:rPr>
          <w:rFonts w:hint="eastAsia" w:ascii="仿宋" w:eastAsia="仿宋" w:cs="仿宋"/>
          <w:b/>
          <w:bCs/>
          <w:kern w:val="2"/>
          <w:sz w:val="24"/>
          <w:szCs w:val="24"/>
        </w:rPr>
        <w:t>报告摘要</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_Toc3630 \h </w:instrText>
      </w:r>
      <w:r>
        <w:rPr>
          <w:rFonts w:hint="eastAsia" w:ascii="仿宋" w:eastAsia="仿宋" w:cs="仿宋"/>
          <w:b/>
          <w:bCs/>
          <w:sz w:val="24"/>
          <w:szCs w:val="24"/>
        </w:rPr>
        <w:fldChar w:fldCharType="separate"/>
      </w:r>
      <w:r>
        <w:rPr>
          <w:rFonts w:hint="eastAsia" w:ascii="仿宋" w:eastAsia="仿宋" w:cs="仿宋"/>
          <w:b/>
          <w:bCs/>
          <w:sz w:val="24"/>
          <w:szCs w:val="24"/>
        </w:rPr>
        <w:t>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_Toc2950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一、项目基本情况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_Toc2950 \h </w:instrText>
      </w:r>
      <w:r>
        <w:rPr>
          <w:rFonts w:hint="eastAsia" w:ascii="仿宋" w:eastAsia="仿宋" w:cs="仿宋"/>
          <w:b/>
          <w:bCs/>
          <w:sz w:val="24"/>
          <w:szCs w:val="24"/>
        </w:rPr>
        <w:fldChar w:fldCharType="separate"/>
      </w:r>
      <w:r>
        <w:rPr>
          <w:rFonts w:hint="eastAsia" w:ascii="仿宋" w:eastAsia="仿宋" w:cs="仿宋"/>
          <w:b/>
          <w:bCs/>
          <w:sz w:val="24"/>
          <w:szCs w:val="24"/>
        </w:rPr>
        <w:t>7</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_Toc22839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（一）项目背景及概况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_Toc22839 \h </w:instrText>
      </w:r>
      <w:r>
        <w:rPr>
          <w:rFonts w:hint="eastAsia" w:ascii="仿宋" w:eastAsia="仿宋" w:cs="仿宋"/>
          <w:sz w:val="24"/>
          <w:szCs w:val="24"/>
        </w:rPr>
        <w:fldChar w:fldCharType="separate"/>
      </w:r>
      <w:r>
        <w:rPr>
          <w:rFonts w:hint="eastAsia" w:ascii="仿宋" w:eastAsia="仿宋" w:cs="仿宋"/>
          <w:sz w:val="24"/>
          <w:szCs w:val="24"/>
        </w:rPr>
        <w:t>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_Toc9637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（二）预算资金来源与资金使用</w:t>
      </w:r>
      <w:r>
        <w:rPr>
          <w:rFonts w:hint="eastAsia" w:ascii="仿宋" w:eastAsia="仿宋" w:cs="仿宋"/>
          <w:bCs/>
          <w:sz w:val="24"/>
          <w:szCs w:val="24"/>
          <w:lang w:val="en-US" w:eastAsia="zh-CN"/>
        </w:rPr>
        <w:t>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_Toc9637 \h </w:instrText>
      </w:r>
      <w:r>
        <w:rPr>
          <w:rFonts w:hint="eastAsia" w:ascii="仿宋" w:eastAsia="仿宋" w:cs="仿宋"/>
          <w:sz w:val="24"/>
          <w:szCs w:val="24"/>
        </w:rPr>
        <w:fldChar w:fldCharType="separate"/>
      </w:r>
      <w:r>
        <w:rPr>
          <w:rFonts w:hint="eastAsia" w:ascii="仿宋" w:eastAsia="仿宋" w:cs="仿宋"/>
          <w:sz w:val="24"/>
          <w:szCs w:val="24"/>
        </w:rPr>
        <w:t>9</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_Toc29577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三</w:t>
      </w:r>
      <w:r>
        <w:rPr>
          <w:rFonts w:hint="eastAsia" w:ascii="仿宋" w:eastAsia="仿宋" w:cs="仿宋"/>
          <w:bCs/>
          <w:sz w:val="24"/>
          <w:szCs w:val="24"/>
          <w:lang w:eastAsia="zh-CN"/>
        </w:rPr>
        <w:t>）</w:t>
      </w:r>
      <w:r>
        <w:rPr>
          <w:rFonts w:hint="eastAsia" w:ascii="仿宋" w:eastAsia="仿宋" w:cs="仿宋"/>
          <w:bCs/>
          <w:sz w:val="24"/>
          <w:szCs w:val="24"/>
          <w:lang w:val="en-US" w:eastAsia="zh-CN"/>
        </w:rPr>
        <w:t>项目立项依据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_Toc29577 \h </w:instrText>
      </w:r>
      <w:r>
        <w:rPr>
          <w:rFonts w:hint="eastAsia" w:ascii="仿宋" w:eastAsia="仿宋" w:cs="仿宋"/>
          <w:sz w:val="24"/>
          <w:szCs w:val="24"/>
        </w:rPr>
        <w:fldChar w:fldCharType="separate"/>
      </w:r>
      <w:r>
        <w:rPr>
          <w:rFonts w:hint="eastAsia" w:ascii="仿宋" w:eastAsia="仿宋" w:cs="仿宋"/>
          <w:sz w:val="24"/>
          <w:szCs w:val="24"/>
        </w:rPr>
        <w:t>9</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_Toc13640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四</w:t>
      </w:r>
      <w:r>
        <w:rPr>
          <w:rFonts w:hint="eastAsia" w:ascii="仿宋" w:eastAsia="仿宋" w:cs="仿宋"/>
          <w:bCs/>
          <w:sz w:val="24"/>
          <w:szCs w:val="24"/>
          <w:lang w:eastAsia="zh-CN"/>
        </w:rPr>
        <w:t>）项目绩效目标</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_Toc13640 \h </w:instrText>
      </w:r>
      <w:r>
        <w:rPr>
          <w:rFonts w:hint="eastAsia" w:ascii="仿宋" w:eastAsia="仿宋" w:cs="仿宋"/>
          <w:sz w:val="24"/>
          <w:szCs w:val="24"/>
        </w:rPr>
        <w:fldChar w:fldCharType="separate"/>
      </w:r>
      <w:r>
        <w:rPr>
          <w:rFonts w:hint="eastAsia" w:ascii="仿宋" w:eastAsia="仿宋" w:cs="仿宋"/>
          <w:sz w:val="24"/>
          <w:szCs w:val="24"/>
        </w:rPr>
        <w:t>11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_Toc24315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二、项目组织实施情况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_Toc24315 \h </w:instrText>
      </w:r>
      <w:r>
        <w:rPr>
          <w:rFonts w:hint="eastAsia" w:ascii="仿宋" w:eastAsia="仿宋" w:cs="仿宋"/>
          <w:b/>
          <w:bCs/>
          <w:sz w:val="24"/>
          <w:szCs w:val="24"/>
        </w:rPr>
        <w:fldChar w:fldCharType="separate"/>
      </w:r>
      <w:r>
        <w:rPr>
          <w:rFonts w:hint="eastAsia" w:ascii="仿宋" w:eastAsia="仿宋" w:cs="仿宋"/>
          <w:b/>
          <w:bCs/>
          <w:sz w:val="24"/>
          <w:szCs w:val="24"/>
        </w:rPr>
        <w:t>11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_Toc383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（一）项目组织情况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_Toc383 \h </w:instrText>
      </w:r>
      <w:r>
        <w:rPr>
          <w:rFonts w:hint="eastAsia" w:ascii="仿宋" w:eastAsia="仿宋" w:cs="仿宋"/>
          <w:sz w:val="24"/>
          <w:szCs w:val="24"/>
        </w:rPr>
        <w:fldChar w:fldCharType="separate"/>
      </w:r>
      <w:r>
        <w:rPr>
          <w:rFonts w:hint="eastAsia" w:ascii="仿宋" w:eastAsia="仿宋" w:cs="仿宋"/>
          <w:sz w:val="24"/>
          <w:szCs w:val="24"/>
        </w:rPr>
        <w:t>11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_Toc13766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（二）项目实施</w:t>
      </w:r>
      <w:r>
        <w:rPr>
          <w:rFonts w:hint="eastAsia" w:ascii="仿宋" w:eastAsia="仿宋" w:cs="仿宋"/>
          <w:bCs/>
          <w:sz w:val="24"/>
          <w:szCs w:val="24"/>
          <w:lang w:val="en-US" w:eastAsia="zh-CN"/>
        </w:rPr>
        <w:t>内容与完成</w:t>
      </w:r>
      <w:r>
        <w:rPr>
          <w:rFonts w:hint="eastAsia" w:ascii="仿宋" w:eastAsia="仿宋" w:cs="仿宋"/>
          <w:bCs/>
          <w:sz w:val="24"/>
          <w:szCs w:val="24"/>
        </w:rPr>
        <w:t>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_Toc13766 \h </w:instrText>
      </w:r>
      <w:r>
        <w:rPr>
          <w:rFonts w:hint="eastAsia" w:ascii="仿宋" w:eastAsia="仿宋" w:cs="仿宋"/>
          <w:sz w:val="24"/>
          <w:szCs w:val="24"/>
        </w:rPr>
        <w:fldChar w:fldCharType="separate"/>
      </w:r>
      <w:r>
        <w:rPr>
          <w:rFonts w:hint="eastAsia" w:ascii="仿宋" w:eastAsia="仿宋" w:cs="仿宋"/>
          <w:sz w:val="24"/>
          <w:szCs w:val="24"/>
        </w:rPr>
        <w:t>11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_Toc5479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三、绩效评价工作情况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_Toc5479 \h </w:instrText>
      </w:r>
      <w:r>
        <w:rPr>
          <w:rFonts w:hint="eastAsia" w:ascii="仿宋" w:eastAsia="仿宋" w:cs="仿宋"/>
          <w:b/>
          <w:bCs/>
          <w:sz w:val="24"/>
          <w:szCs w:val="24"/>
        </w:rPr>
        <w:fldChar w:fldCharType="separate"/>
      </w:r>
      <w:r>
        <w:rPr>
          <w:rFonts w:hint="eastAsia" w:ascii="仿宋" w:eastAsia="仿宋" w:cs="仿宋"/>
          <w:b/>
          <w:bCs/>
          <w:sz w:val="24"/>
          <w:szCs w:val="24"/>
        </w:rPr>
        <w:t>15</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_Toc20818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（一）绩效评价的目的</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_Toc20818 \h </w:instrText>
      </w:r>
      <w:r>
        <w:rPr>
          <w:rFonts w:hint="eastAsia" w:ascii="仿宋" w:eastAsia="仿宋" w:cs="仿宋"/>
          <w:sz w:val="24"/>
          <w:szCs w:val="24"/>
        </w:rPr>
        <w:fldChar w:fldCharType="separate"/>
      </w:r>
      <w:r>
        <w:rPr>
          <w:rFonts w:hint="eastAsia" w:ascii="仿宋" w:eastAsia="仿宋" w:cs="仿宋"/>
          <w:sz w:val="24"/>
          <w:szCs w:val="24"/>
        </w:rPr>
        <w:t>15</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_Toc23706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（二）绩效评价的依据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_Toc23706 \h </w:instrText>
      </w:r>
      <w:r>
        <w:rPr>
          <w:rFonts w:hint="eastAsia" w:ascii="仿宋" w:eastAsia="仿宋" w:cs="仿宋"/>
          <w:sz w:val="24"/>
          <w:szCs w:val="24"/>
        </w:rPr>
        <w:fldChar w:fldCharType="separate"/>
      </w:r>
      <w:r>
        <w:rPr>
          <w:rFonts w:hint="eastAsia" w:ascii="仿宋" w:eastAsia="仿宋" w:cs="仿宋"/>
          <w:sz w:val="24"/>
          <w:szCs w:val="24"/>
        </w:rPr>
        <w:t>16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_Toc19392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（三）评价对象和范围</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_Toc19392 \h </w:instrText>
      </w:r>
      <w:r>
        <w:rPr>
          <w:rFonts w:hint="eastAsia" w:ascii="仿宋" w:eastAsia="仿宋" w:cs="仿宋"/>
          <w:sz w:val="24"/>
          <w:szCs w:val="24"/>
        </w:rPr>
        <w:fldChar w:fldCharType="separate"/>
      </w:r>
      <w:r>
        <w:rPr>
          <w:rFonts w:hint="eastAsia" w:ascii="仿宋" w:eastAsia="仿宋" w:cs="仿宋"/>
          <w:sz w:val="24"/>
          <w:szCs w:val="24"/>
        </w:rPr>
        <w:t>17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_Toc21419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（四）绩效评价基准日</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_Toc21419 \h </w:instrText>
      </w:r>
      <w:r>
        <w:rPr>
          <w:rFonts w:hint="eastAsia" w:ascii="仿宋" w:eastAsia="仿宋" w:cs="仿宋"/>
          <w:sz w:val="24"/>
          <w:szCs w:val="24"/>
        </w:rPr>
        <w:fldChar w:fldCharType="separate"/>
      </w:r>
      <w:r>
        <w:rPr>
          <w:rFonts w:hint="eastAsia" w:ascii="仿宋" w:eastAsia="仿宋" w:cs="仿宋"/>
          <w:sz w:val="24"/>
          <w:szCs w:val="24"/>
        </w:rPr>
        <w:t>17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_Toc28943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（五）绩效评价的原则</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_Toc28943 \h </w:instrText>
      </w:r>
      <w:r>
        <w:rPr>
          <w:rFonts w:hint="eastAsia" w:ascii="仿宋" w:eastAsia="仿宋" w:cs="仿宋"/>
          <w:sz w:val="24"/>
          <w:szCs w:val="24"/>
        </w:rPr>
        <w:fldChar w:fldCharType="separate"/>
      </w:r>
      <w:r>
        <w:rPr>
          <w:rFonts w:hint="eastAsia" w:ascii="仿宋" w:eastAsia="仿宋" w:cs="仿宋"/>
          <w:sz w:val="24"/>
          <w:szCs w:val="24"/>
        </w:rPr>
        <w:t>17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_Toc27356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（六）绩效评价的方法</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_Toc27356 \h </w:instrText>
      </w:r>
      <w:r>
        <w:rPr>
          <w:rFonts w:hint="eastAsia" w:ascii="仿宋" w:eastAsia="仿宋" w:cs="仿宋"/>
          <w:sz w:val="24"/>
          <w:szCs w:val="24"/>
        </w:rPr>
        <w:fldChar w:fldCharType="separate"/>
      </w:r>
      <w:r>
        <w:rPr>
          <w:rFonts w:hint="eastAsia" w:ascii="仿宋" w:eastAsia="仿宋" w:cs="仿宋"/>
          <w:sz w:val="24"/>
          <w:szCs w:val="24"/>
        </w:rPr>
        <w:t>18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_Toc18733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（七）评价指标体系</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_Toc18733 \h </w:instrText>
      </w:r>
      <w:r>
        <w:rPr>
          <w:rFonts w:hint="eastAsia" w:ascii="仿宋" w:eastAsia="仿宋" w:cs="仿宋"/>
          <w:sz w:val="24"/>
          <w:szCs w:val="24"/>
        </w:rPr>
        <w:fldChar w:fldCharType="separate"/>
      </w:r>
      <w:r>
        <w:rPr>
          <w:rFonts w:hint="eastAsia" w:ascii="仿宋" w:eastAsia="仿宋" w:cs="仿宋"/>
          <w:sz w:val="24"/>
          <w:szCs w:val="24"/>
        </w:rPr>
        <w:t>18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_Toc25086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（八）绩效评价工作组织</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_Toc25086 \h </w:instrText>
      </w:r>
      <w:r>
        <w:rPr>
          <w:rFonts w:hint="eastAsia" w:ascii="仿宋" w:eastAsia="仿宋" w:cs="仿宋"/>
          <w:sz w:val="24"/>
          <w:szCs w:val="24"/>
        </w:rPr>
        <w:fldChar w:fldCharType="separate"/>
      </w:r>
      <w:r>
        <w:rPr>
          <w:rFonts w:hint="eastAsia" w:ascii="仿宋" w:eastAsia="仿宋" w:cs="仿宋"/>
          <w:sz w:val="24"/>
          <w:szCs w:val="24"/>
        </w:rPr>
        <w:t>20</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_Toc30571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九</w:t>
      </w:r>
      <w:r>
        <w:rPr>
          <w:rFonts w:hint="eastAsia" w:ascii="仿宋" w:eastAsia="仿宋" w:cs="仿宋"/>
          <w:bCs/>
          <w:sz w:val="24"/>
          <w:szCs w:val="24"/>
          <w:lang w:eastAsia="zh-CN"/>
        </w:rPr>
        <w:t>）</w:t>
      </w:r>
      <w:r>
        <w:rPr>
          <w:rFonts w:hint="eastAsia" w:ascii="仿宋" w:eastAsia="仿宋" w:cs="仿宋"/>
          <w:bCs/>
          <w:sz w:val="24"/>
          <w:szCs w:val="24"/>
          <w:lang w:val="en-US" w:eastAsia="zh-CN"/>
        </w:rPr>
        <w:t>评价工作安排</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_Toc30571 \h </w:instrText>
      </w:r>
      <w:r>
        <w:rPr>
          <w:rFonts w:hint="eastAsia" w:ascii="仿宋" w:eastAsia="仿宋" w:cs="仿宋"/>
          <w:sz w:val="24"/>
          <w:szCs w:val="24"/>
        </w:rPr>
        <w:fldChar w:fldCharType="separate"/>
      </w:r>
      <w:r>
        <w:rPr>
          <w:rFonts w:hint="eastAsia" w:ascii="仿宋" w:eastAsia="仿宋" w:cs="仿宋"/>
          <w:sz w:val="24"/>
          <w:szCs w:val="24"/>
        </w:rPr>
        <w:t>20</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_Toc26099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val="en-US" w:eastAsia="zh-CN"/>
        </w:rPr>
        <w:t>（十）评价等级</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_Toc26099 \h </w:instrText>
      </w:r>
      <w:r>
        <w:rPr>
          <w:rFonts w:hint="eastAsia" w:ascii="仿宋" w:eastAsia="仿宋" w:cs="仿宋"/>
          <w:sz w:val="24"/>
          <w:szCs w:val="24"/>
        </w:rPr>
        <w:fldChar w:fldCharType="separate"/>
      </w:r>
      <w:r>
        <w:rPr>
          <w:rFonts w:hint="eastAsia" w:ascii="仿宋" w:eastAsia="仿宋" w:cs="仿宋"/>
          <w:sz w:val="24"/>
          <w:szCs w:val="24"/>
        </w:rPr>
        <w:t>21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_Toc25252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四、绩效评价指标分析情况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_Toc25252 \h </w:instrText>
      </w:r>
      <w:r>
        <w:rPr>
          <w:rFonts w:hint="eastAsia" w:ascii="仿宋" w:eastAsia="仿宋" w:cs="仿宋"/>
          <w:b/>
          <w:bCs/>
          <w:sz w:val="24"/>
          <w:szCs w:val="24"/>
        </w:rPr>
        <w:fldChar w:fldCharType="separate"/>
      </w:r>
      <w:r>
        <w:rPr>
          <w:rFonts w:hint="eastAsia" w:ascii="仿宋" w:eastAsia="仿宋" w:cs="仿宋"/>
          <w:b/>
          <w:bCs/>
          <w:sz w:val="24"/>
          <w:szCs w:val="24"/>
        </w:rPr>
        <w:t>22</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_Toc21930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（一）分项分析与汇总</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_Toc21930 \h </w:instrText>
      </w:r>
      <w:r>
        <w:rPr>
          <w:rFonts w:hint="eastAsia" w:ascii="仿宋" w:eastAsia="仿宋" w:cs="仿宋"/>
          <w:sz w:val="24"/>
          <w:szCs w:val="24"/>
        </w:rPr>
        <w:fldChar w:fldCharType="separate"/>
      </w:r>
      <w:r>
        <w:rPr>
          <w:rFonts w:hint="eastAsia" w:ascii="仿宋" w:eastAsia="仿宋" w:cs="仿宋"/>
          <w:sz w:val="24"/>
          <w:szCs w:val="24"/>
        </w:rPr>
        <w:t>22</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_Toc3081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（二）总体得分情况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_Toc3081 \h </w:instrText>
      </w:r>
      <w:r>
        <w:rPr>
          <w:rFonts w:hint="eastAsia" w:ascii="仿宋" w:eastAsia="仿宋" w:cs="仿宋"/>
          <w:sz w:val="24"/>
          <w:szCs w:val="24"/>
        </w:rPr>
        <w:fldChar w:fldCharType="separate"/>
      </w:r>
      <w:r>
        <w:rPr>
          <w:rFonts w:hint="eastAsia" w:ascii="仿宋" w:eastAsia="仿宋" w:cs="仿宋"/>
          <w:sz w:val="24"/>
          <w:szCs w:val="24"/>
        </w:rPr>
        <w:t>29</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_Toc31376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五、综合评价情况</w:t>
      </w:r>
      <w:r>
        <w:rPr>
          <w:rFonts w:hint="eastAsia" w:ascii="仿宋" w:eastAsia="仿宋" w:cs="仿宋"/>
          <w:b/>
          <w:bCs/>
          <w:kern w:val="44"/>
          <w:sz w:val="24"/>
          <w:szCs w:val="24"/>
          <w:lang w:val="en-US" w:eastAsia="zh-CN"/>
        </w:rPr>
        <w:t>及结论</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_Toc31376 \h </w:instrText>
      </w:r>
      <w:r>
        <w:rPr>
          <w:rFonts w:hint="eastAsia" w:ascii="仿宋" w:eastAsia="仿宋" w:cs="仿宋"/>
          <w:b/>
          <w:bCs/>
          <w:sz w:val="24"/>
          <w:szCs w:val="24"/>
        </w:rPr>
        <w:fldChar w:fldCharType="separate"/>
      </w:r>
      <w:r>
        <w:rPr>
          <w:rFonts w:hint="eastAsia" w:ascii="仿宋" w:eastAsia="仿宋" w:cs="仿宋"/>
          <w:b/>
          <w:bCs/>
          <w:sz w:val="24"/>
          <w:szCs w:val="24"/>
        </w:rPr>
        <w:t>29</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_Toc20790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（一）评分结果</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_Toc20790 \h </w:instrText>
      </w:r>
      <w:r>
        <w:rPr>
          <w:rFonts w:hint="eastAsia" w:ascii="仿宋" w:eastAsia="仿宋" w:cs="仿宋"/>
          <w:sz w:val="24"/>
          <w:szCs w:val="24"/>
        </w:rPr>
        <w:fldChar w:fldCharType="separate"/>
      </w:r>
      <w:r>
        <w:rPr>
          <w:rFonts w:hint="eastAsia" w:ascii="仿宋" w:eastAsia="仿宋" w:cs="仿宋"/>
          <w:sz w:val="24"/>
          <w:szCs w:val="24"/>
        </w:rPr>
        <w:t>29</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_Toc22846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（二）主要结论</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_Toc22846 \h </w:instrText>
      </w:r>
      <w:r>
        <w:rPr>
          <w:rFonts w:hint="eastAsia" w:ascii="仿宋" w:eastAsia="仿宋" w:cs="仿宋"/>
          <w:sz w:val="24"/>
          <w:szCs w:val="24"/>
        </w:rPr>
        <w:fldChar w:fldCharType="separate"/>
      </w:r>
      <w:r>
        <w:rPr>
          <w:rFonts w:hint="eastAsia" w:ascii="仿宋" w:eastAsia="仿宋" w:cs="仿宋"/>
          <w:sz w:val="24"/>
          <w:szCs w:val="24"/>
        </w:rPr>
        <w:t>29</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_Toc1323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lang w:val="en-US" w:eastAsia="zh-CN"/>
        </w:rPr>
        <w:t>六</w:t>
      </w:r>
      <w:r>
        <w:rPr>
          <w:rFonts w:hint="eastAsia" w:ascii="仿宋" w:eastAsia="仿宋" w:cs="仿宋"/>
          <w:b/>
          <w:bCs/>
          <w:kern w:val="44"/>
          <w:sz w:val="24"/>
          <w:szCs w:val="24"/>
        </w:rPr>
        <w:t>、存在的问题和改进建议</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_Toc1323 \h </w:instrText>
      </w:r>
      <w:r>
        <w:rPr>
          <w:rFonts w:hint="eastAsia" w:ascii="仿宋" w:eastAsia="仿宋" w:cs="仿宋"/>
          <w:b/>
          <w:bCs/>
          <w:sz w:val="24"/>
          <w:szCs w:val="24"/>
        </w:rPr>
        <w:fldChar w:fldCharType="separate"/>
      </w:r>
      <w:r>
        <w:rPr>
          <w:rFonts w:hint="eastAsia" w:ascii="仿宋" w:eastAsia="仿宋" w:cs="仿宋"/>
          <w:b/>
          <w:bCs/>
          <w:sz w:val="24"/>
          <w:szCs w:val="24"/>
        </w:rPr>
        <w:t>30</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_Toc15751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（一）存在的问题</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_Toc15751 \h </w:instrText>
      </w:r>
      <w:r>
        <w:rPr>
          <w:rFonts w:hint="eastAsia" w:ascii="仿宋" w:eastAsia="仿宋" w:cs="仿宋"/>
          <w:sz w:val="24"/>
          <w:szCs w:val="24"/>
        </w:rPr>
        <w:fldChar w:fldCharType="separate"/>
      </w:r>
      <w:r>
        <w:rPr>
          <w:rFonts w:hint="eastAsia" w:ascii="仿宋" w:eastAsia="仿宋" w:cs="仿宋"/>
          <w:sz w:val="24"/>
          <w:szCs w:val="24"/>
        </w:rPr>
        <w:t>30</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_Toc1914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（二）改进建议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_Toc1914 \h </w:instrText>
      </w:r>
      <w:r>
        <w:rPr>
          <w:rFonts w:hint="eastAsia" w:ascii="仿宋" w:eastAsia="仿宋" w:cs="仿宋"/>
          <w:sz w:val="24"/>
          <w:szCs w:val="24"/>
        </w:rPr>
        <w:fldChar w:fldCharType="separate"/>
      </w:r>
      <w:r>
        <w:rPr>
          <w:rFonts w:hint="eastAsia" w:ascii="仿宋" w:eastAsia="仿宋" w:cs="仿宋"/>
          <w:sz w:val="24"/>
          <w:szCs w:val="24"/>
        </w:rPr>
        <w:t>31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_Toc6717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lang w:val="en-US" w:eastAsia="zh-CN"/>
        </w:rPr>
        <w:t>七、绩效评价结果应用建议</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_Toc6717 \h </w:instrText>
      </w:r>
      <w:r>
        <w:rPr>
          <w:rFonts w:hint="eastAsia" w:ascii="仿宋" w:eastAsia="仿宋" w:cs="仿宋"/>
          <w:b/>
          <w:bCs/>
          <w:sz w:val="24"/>
          <w:szCs w:val="24"/>
        </w:rPr>
        <w:fldChar w:fldCharType="separate"/>
      </w:r>
      <w:r>
        <w:rPr>
          <w:rFonts w:hint="eastAsia" w:ascii="仿宋" w:eastAsia="仿宋" w:cs="仿宋"/>
          <w:b/>
          <w:bCs/>
          <w:sz w:val="24"/>
          <w:szCs w:val="24"/>
        </w:rPr>
        <w:t>32</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_Toc3887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rPr>
        <w:t>附件1：评价指标体系</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_Toc3887 \h </w:instrText>
      </w:r>
      <w:r>
        <w:rPr>
          <w:rFonts w:hint="eastAsia" w:ascii="仿宋" w:eastAsia="仿宋" w:cs="仿宋"/>
          <w:b/>
          <w:bCs/>
          <w:sz w:val="24"/>
          <w:szCs w:val="24"/>
        </w:rPr>
        <w:fldChar w:fldCharType="separate"/>
      </w:r>
      <w:r>
        <w:rPr>
          <w:rFonts w:hint="eastAsia" w:ascii="仿宋" w:eastAsia="仿宋" w:cs="仿宋"/>
          <w:b/>
          <w:bCs/>
          <w:sz w:val="24"/>
          <w:szCs w:val="24"/>
        </w:rPr>
        <w:t>33</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_Toc11022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rPr>
        <w:t>附件2：问卷调查报告</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_Toc11022 \h </w:instrText>
      </w:r>
      <w:r>
        <w:rPr>
          <w:rFonts w:hint="eastAsia" w:ascii="仿宋" w:eastAsia="仿宋" w:cs="仿宋"/>
          <w:b/>
          <w:bCs/>
          <w:sz w:val="24"/>
          <w:szCs w:val="24"/>
        </w:rPr>
        <w:fldChar w:fldCharType="separate"/>
      </w:r>
      <w:r>
        <w:rPr>
          <w:rFonts w:hint="eastAsia" w:ascii="仿宋" w:eastAsia="仿宋" w:cs="仿宋"/>
          <w:b/>
          <w:bCs/>
          <w:sz w:val="24"/>
          <w:szCs w:val="24"/>
        </w:rPr>
        <w:t>39</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_Toc30992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lang w:val="en-US" w:eastAsia="zh-CN"/>
        </w:rPr>
        <w:t>附件3：访谈报告</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_Toc30992 \h </w:instrText>
      </w:r>
      <w:r>
        <w:rPr>
          <w:rFonts w:hint="eastAsia" w:ascii="仿宋" w:eastAsia="仿宋" w:cs="仿宋"/>
          <w:b/>
          <w:bCs/>
          <w:sz w:val="24"/>
          <w:szCs w:val="24"/>
        </w:rPr>
        <w:fldChar w:fldCharType="separate"/>
      </w:r>
      <w:r>
        <w:rPr>
          <w:rFonts w:hint="eastAsia" w:ascii="仿宋" w:eastAsia="仿宋" w:cs="仿宋"/>
          <w:b/>
          <w:bCs/>
          <w:sz w:val="24"/>
          <w:szCs w:val="24"/>
        </w:rPr>
        <w:t>42</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_Toc92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lang w:val="en-US" w:eastAsia="zh-CN"/>
        </w:rPr>
        <w:t>附件4：合规性审查</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_Toc92 \h </w:instrText>
      </w:r>
      <w:r>
        <w:rPr>
          <w:rFonts w:hint="eastAsia" w:ascii="仿宋" w:eastAsia="仿宋" w:cs="仿宋"/>
          <w:b/>
          <w:bCs/>
          <w:sz w:val="24"/>
          <w:szCs w:val="24"/>
        </w:rPr>
        <w:fldChar w:fldCharType="separate"/>
      </w:r>
      <w:r>
        <w:rPr>
          <w:rFonts w:hint="eastAsia" w:ascii="仿宋" w:eastAsia="仿宋" w:cs="仿宋"/>
          <w:b/>
          <w:bCs/>
          <w:sz w:val="24"/>
          <w:szCs w:val="24"/>
        </w:rPr>
        <w:t>45</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keepNext w:val="0"/>
        <w:keepLines w:val="0"/>
        <w:pageBreakBefore w:val="0"/>
        <w:widowControl/>
        <w:tabs>
          <w:tab w:val="right" w:leader="dot" w:pos="8306"/>
        </w:tabs>
        <w:kinsoku/>
        <w:wordWrap/>
        <w:overflowPunct/>
        <w:topLinePunct w:val="0"/>
        <w:autoSpaceDE/>
        <w:autoSpaceDN/>
        <w:bidi w:val="0"/>
        <w:adjustRightInd/>
        <w:snapToGrid/>
        <w:spacing w:after="0" w:line="520" w:lineRule="exact"/>
        <w:textAlignment w:val="auto"/>
        <w:rPr>
          <w:rFonts w:ascii="Arial Narrow" w:hAnsi="Arial Narrow" w:eastAsia="仿宋_GB2312"/>
          <w:b w:val="0"/>
          <w:bCs w:val="0"/>
          <w:snapToGrid w:val="0"/>
          <w:sz w:val="30"/>
          <w:szCs w:val="30"/>
          <w:highlight w:val="yellow"/>
        </w:rPr>
        <w:sectPr>
          <w:headerReference r:id="rId5" w:type="default"/>
          <w:footerReference r:id="rId6" w:type="default"/>
          <w:type w:val="continuous"/>
          <w:pgSz w:w="11906" w:h="16838"/>
          <w:pgMar w:top="1440" w:right="1800" w:bottom="1440" w:left="1800" w:header="851" w:footer="992" w:gutter="0"/>
          <w:cols w:space="720" w:num="1"/>
          <w:docGrid w:type="lines" w:linePitch="312" w:charSpace="0"/>
        </w:sectPr>
      </w:pPr>
      <w:r>
        <w:rPr>
          <w:rFonts w:hint="eastAsia" w:ascii="仿宋" w:eastAsia="仿宋" w:cs="仿宋"/>
          <w:bCs w:val="0"/>
          <w:sz w:val="24"/>
          <w:szCs w:val="24"/>
          <w:highlight w:val="yellow"/>
        </w:rPr>
        <w:fldChar w:fldCharType="end"/>
      </w:r>
      <w:bookmarkStart w:id="2" w:name="_Toc516554764"/>
      <w:bookmarkStart w:id="3" w:name="_Toc515811929"/>
      <w:bookmarkStart w:id="4" w:name="_Toc515810984"/>
      <w:bookmarkStart w:id="5" w:name="_Toc516473299"/>
    </w:p>
    <w:bookmarkEnd w:id="2"/>
    <w:bookmarkEnd w:id="3"/>
    <w:bookmarkEnd w:id="4"/>
    <w:bookmarkEnd w:id="5"/>
    <w:p>
      <w:pPr>
        <w:pStyle w:val="17"/>
        <w:jc w:val="center"/>
        <w:rPr>
          <w:rFonts w:ascii="仿宋_GB2312" w:eastAsia="仿宋_GB2312"/>
          <w:snapToGrid w:val="0"/>
          <w:sz w:val="32"/>
          <w:szCs w:val="32"/>
        </w:rPr>
      </w:pPr>
      <w:bookmarkStart w:id="6" w:name="_Toc8704"/>
      <w:bookmarkStart w:id="7" w:name="_Toc528603037"/>
      <w:bookmarkStart w:id="8" w:name="_Toc3630"/>
      <w:r>
        <w:rPr>
          <w:rFonts w:hint="eastAsia" w:ascii="黑体" w:cs="黑体"/>
          <w:b/>
          <w:bCs w:val="0"/>
          <w:kern w:val="2"/>
          <w:sz w:val="44"/>
          <w:szCs w:val="44"/>
        </w:rPr>
        <w:t>报告摘要</w:t>
      </w:r>
      <w:bookmarkEnd w:id="0"/>
      <w:bookmarkEnd w:id="6"/>
      <w:bookmarkEnd w:id="7"/>
      <w:bookmarkEnd w:id="8"/>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一、项目概况</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9"/>
        <w:rPr>
          <w:rFonts w:hint="eastAsia" w:ascii="仿宋" w:eastAsia="仿宋" w:cs="Times New Roman"/>
          <w:b/>
          <w:bCs/>
          <w:sz w:val="32"/>
          <w:szCs w:val="32"/>
          <w:lang w:val="zh-TW"/>
        </w:rPr>
      </w:pPr>
      <w:r>
        <w:rPr>
          <w:rFonts w:hint="eastAsia" w:ascii="仿宋" w:eastAsia="仿宋" w:cs="Times New Roman"/>
          <w:b/>
          <w:bCs/>
          <w:sz w:val="32"/>
          <w:szCs w:val="32"/>
          <w:lang w:val="zh-TW" w:eastAsia="zh-CN"/>
        </w:rPr>
        <w:t>（</w:t>
      </w:r>
      <w:r>
        <w:rPr>
          <w:rFonts w:hint="eastAsia" w:ascii="仿宋" w:eastAsia="仿宋" w:cs="Times New Roman"/>
          <w:b/>
          <w:bCs/>
          <w:sz w:val="32"/>
          <w:szCs w:val="32"/>
          <w:lang w:val="en-US" w:eastAsia="zh-CN"/>
        </w:rPr>
        <w:t>一</w:t>
      </w:r>
      <w:r>
        <w:rPr>
          <w:rFonts w:hint="eastAsia" w:ascii="仿宋" w:eastAsia="仿宋" w:cs="Times New Roman"/>
          <w:b/>
          <w:bCs/>
          <w:sz w:val="32"/>
          <w:szCs w:val="32"/>
          <w:lang w:val="zh-TW" w:eastAsia="zh-CN"/>
        </w:rPr>
        <w:t>）</w:t>
      </w:r>
      <w:r>
        <w:rPr>
          <w:rFonts w:hint="eastAsia" w:ascii="仿宋" w:eastAsia="仿宋" w:cs="Times New Roman"/>
          <w:b/>
          <w:bCs/>
          <w:sz w:val="32"/>
          <w:szCs w:val="32"/>
          <w:lang w:val="zh-TW"/>
        </w:rPr>
        <w:t>立项背景</w:t>
      </w:r>
    </w:p>
    <w:p>
      <w:pPr>
        <w:spacing w:line="500" w:lineRule="exact"/>
        <w:ind w:firstLine="560" w:firstLineChars="200"/>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生态兴则文明兴。党的十八大以来，以习近平同志为核心的党中央以前所未有的力度抓生态文明建设，美丽中国建设迈出重大步伐。在赴各地考察调研时，在一次次重要会议上，总书记多次勉励各级各部门：“绿水青山就是金山银山，改善生态环境就是发展生产力”、“只要贯彻新发展理念，绿水青山就可以成为金山银山”、“积极发展生态环保、可持续的产业”、“努力做到低消耗、低排放、高效益”，贯彻落实习近平生态文明思想，实现绿色发展、可持续发展，在绿水青山越来越美的同时，金山银山也越做越大。</w:t>
      </w:r>
    </w:p>
    <w:p>
      <w:pPr>
        <w:spacing w:line="500" w:lineRule="exact"/>
        <w:ind w:firstLine="560" w:firstLineChars="200"/>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党的十九大提出：中国特色社会主义进入新时代，社会主要矛盾已经转化为人民日益增长的美好生活需要和不平衡不充分发展之间的矛盾。我国的城市发展也已经开始由高速扩张向高质量发展转变。住建部在2019年全国住房城乡建设工作会上也明确提出：“以贯彻新发展理念为引领，努力建设没有‘城市病’的城市”“以集中力量解决群众关注的民生实事为着力点，提升城市品质”。山西省委省政府在经济工作会上强调：“必须在城市规划、建设、管理中，走以质取胜的路子”“狠抓城市品质提升，带动区域协调发展”。</w:t>
      </w:r>
    </w:p>
    <w:p>
      <w:pPr>
        <w:spacing w:line="500" w:lineRule="exact"/>
        <w:ind w:firstLine="560" w:firstLineChars="200"/>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习近平总书记在山西省考察调研时，多次谈及绿色发展的重要性，指出山西“是拱卫京津冀和黄河生态安全的重要屏障”，“要抓好‘两山七河一流域’生态修复治理，扎实实施黄河流域生态保护和高质量发展国家战略”，“推动山西沿黄地区在保护中开发、开发中保护”。</w:t>
      </w:r>
    </w:p>
    <w:p>
      <w:pPr>
        <w:spacing w:line="500" w:lineRule="exact"/>
        <w:ind w:firstLine="560" w:firstLineChars="200"/>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十八大以来的非凡十年，山西省牢记习近平总书记嘱托，统筹山水林田湖草沙系统治理，表里山河绘就出生态新画卷。</w:t>
      </w:r>
    </w:p>
    <w:p>
      <w:pPr>
        <w:spacing w:line="500" w:lineRule="exact"/>
        <w:ind w:firstLine="560" w:firstLineChars="200"/>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为贯彻落实习近平总书记在山西省考察时的讲话精神，按照住建部关于提升城市品质和山西省“以质取胜”、“以特取胜”推进城市发展的要求，2019年9月6日，《山西省人民政府办公厅关于印发&lt;山西省城市品质提升行动方案（2019-2022年）&gt;的通知》（晋政办发〔2019〕75号）出台，《行动方案》提出：以习近平新时代中国特色社会主义思想为指导，牢固树立和贯彻落实新发展理念，坚持以人民为中心，以生态优先、绿色发展为导向，着力转变城市发展方式，实施六大工程、十九项行动，补短板、强基础、提品质、惠民生，使城市风貌得到有序管控，城市特色更加鲜明，城市管理水平大幅提高，城市人居环境明显改善，建设和谐宜居、富有活力、具有鲜明特色特质特点的现代化魅力城市和宜居宜业宜游公园城市，全面增强城市的辐射力、竞争力和带动力，为我省资源型地区转型发展提供有力支撑。</w:t>
      </w:r>
    </w:p>
    <w:p>
      <w:pPr>
        <w:spacing w:line="500" w:lineRule="exact"/>
        <w:ind w:firstLine="560" w:firstLineChars="200"/>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城市公园是一个城市的精神文化载体，是凸显城市特色的形象工程。公园建设承载着城市文化的发展，关系到百姓休闲生活的质量，是城市景观体系的亮点和城市生活的交流空间。</w:t>
      </w:r>
    </w:p>
    <w:p>
      <w:pPr>
        <w:spacing w:line="500" w:lineRule="exact"/>
        <w:ind w:firstLine="560" w:firstLineChars="200"/>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近年来，古县社会经济迅速发展，城镇化水平越来越高，然而与之相应的生态文化建设比较滞后。在经济社会发展的过程中，必须处理好经济建设和生态文化建设的关系。通过加快城市公共绿地、生态绿地建设，开展路旁补绿、城市插绿、立体挂绿等工作，增加城区绿地面积，进一步保护生态环境，建设绿色低碳古县。以人为本，通过多方面展示古县城市文化和三晋文化为主体，打造一个集文化传承教育、市民休闲娱乐、生态恢复于一体的绿色低碳公园，对古县城市文化和三晋文化的传承和树立古县良好生态环境的形象具有极强的时代意义。</w:t>
      </w:r>
    </w:p>
    <w:p>
      <w:pPr>
        <w:spacing w:line="574" w:lineRule="exact"/>
        <w:ind w:firstLine="560" w:firstLineChars="200"/>
        <w:rPr>
          <w:rFonts w:hint="eastAsia" w:ascii="黑体" w:eastAsia="黑体"/>
          <w:snapToGrid w:val="0"/>
          <w:sz w:val="32"/>
          <w:szCs w:val="32"/>
        </w:rPr>
      </w:pPr>
      <w:r>
        <w:rPr>
          <w:rFonts w:ascii="Times New Roman" w:hAnsi="Times New Roman" w:eastAsia="仿宋" w:cs="Times New Roman"/>
          <w:kern w:val="0"/>
          <w:sz w:val="28"/>
          <w:szCs w:val="28"/>
          <w:shd w:val="clear" w:color="auto" w:fill="FFFFFF"/>
        </w:rPr>
        <w:t>城市中心公园建设项目，位于古县丹凤路与岳秀街东北角，属于古县城市总体规划范畴。通过本项目的实施，将提升项目区域的环境质量和承载能力，提升古县的人文形象，促进区域经济加快发展</w:t>
      </w:r>
      <w:r>
        <w:rPr>
          <w:rFonts w:hint="eastAsia" w:ascii="Times New Roman" w:hAnsi="Times New Roman" w:eastAsia="仿宋"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9"/>
        <w:rPr>
          <w:rFonts w:hint="eastAsia" w:ascii="仿宋" w:eastAsia="仿宋" w:cs="Times New Roman"/>
          <w:b/>
          <w:bCs/>
          <w:sz w:val="32"/>
          <w:szCs w:val="32"/>
          <w:lang w:val="zh-TW" w:eastAsia="zh-CN"/>
        </w:rPr>
      </w:pPr>
      <w:r>
        <w:rPr>
          <w:rFonts w:hint="eastAsia" w:ascii="仿宋" w:eastAsia="仿宋" w:cs="Times New Roman"/>
          <w:b/>
          <w:bCs/>
          <w:sz w:val="32"/>
          <w:szCs w:val="32"/>
          <w:lang w:val="zh-TW" w:eastAsia="zh-CN"/>
        </w:rPr>
        <w:t>（</w:t>
      </w:r>
      <w:r>
        <w:rPr>
          <w:rFonts w:hint="eastAsia" w:ascii="仿宋" w:eastAsia="仿宋" w:cs="Times New Roman"/>
          <w:b/>
          <w:bCs/>
          <w:sz w:val="32"/>
          <w:szCs w:val="32"/>
          <w:lang w:val="en-US" w:eastAsia="zh-CN"/>
        </w:rPr>
        <w:t>二</w:t>
      </w:r>
      <w:r>
        <w:rPr>
          <w:rFonts w:hint="eastAsia" w:ascii="仿宋" w:eastAsia="仿宋" w:cs="Times New Roman"/>
          <w:b/>
          <w:bCs/>
          <w:sz w:val="32"/>
          <w:szCs w:val="32"/>
          <w:lang w:val="zh-TW" w:eastAsia="zh-CN"/>
        </w:rPr>
        <w:t>）预算资金内容</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2019年11月25日，古县发展和改革局《关于古县直属机关事务服务中心古县中心公园建设项目初步设计的批复》（古发改审批〔2019〕24号）文件批复的项目总概算及资金来源：本项目经概算总投资681.37万元，其中：建筑安装设备费：571.79万元；工程建设其他费用71.01万元，工程预备费38.57万元，所需资金来源由古县财政解决。</w:t>
      </w:r>
    </w:p>
    <w:p>
      <w:pPr>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该项目报审预算金额5746121.04元，经财政评审后的预算审定金额为4648308.35元。</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9"/>
        <w:rPr>
          <w:rFonts w:hint="eastAsia" w:ascii="仿宋" w:eastAsia="仿宋" w:cs="Times New Roman"/>
          <w:b/>
          <w:bCs/>
          <w:sz w:val="32"/>
          <w:szCs w:val="32"/>
          <w:lang w:eastAsia="zh-CN"/>
        </w:rPr>
      </w:pP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三</w:t>
      </w:r>
      <w:r>
        <w:rPr>
          <w:rFonts w:hint="eastAsia" w:ascii="仿宋" w:eastAsia="仿宋" w:cs="Times New Roman"/>
          <w:b/>
          <w:bCs/>
          <w:sz w:val="32"/>
          <w:szCs w:val="32"/>
          <w:lang w:eastAsia="zh-CN"/>
        </w:rPr>
        <w:t>）项目绩效目标</w:t>
      </w:r>
    </w:p>
    <w:p>
      <w:pPr>
        <w:spacing w:line="500" w:lineRule="exact"/>
        <w:ind w:firstLine="562" w:firstLineChars="200"/>
        <w:rPr>
          <w:rFonts w:hint="eastAsia" w:ascii="仿宋" w:eastAsia="仿宋" w:cs="仿宋"/>
          <w:b/>
          <w:bCs/>
          <w:color w:val="000000"/>
          <w:kern w:val="0"/>
          <w:sz w:val="28"/>
          <w:szCs w:val="24"/>
          <w:lang w:val="en-US" w:eastAsia="zh-CN"/>
        </w:rPr>
      </w:pPr>
      <w:r>
        <w:rPr>
          <w:rFonts w:hint="eastAsia" w:ascii="仿宋" w:eastAsia="仿宋" w:cs="仿宋"/>
          <w:b/>
          <w:bCs/>
          <w:color w:val="000000"/>
          <w:kern w:val="0"/>
          <w:sz w:val="28"/>
          <w:szCs w:val="24"/>
          <w:lang w:val="en-US" w:eastAsia="zh-CN"/>
        </w:rPr>
        <w:t>1、项目总体目标：</w:t>
      </w:r>
    </w:p>
    <w:p>
      <w:pPr>
        <w:spacing w:line="500" w:lineRule="exact"/>
        <w:ind w:firstLine="560" w:firstLineChars="200"/>
        <w:rPr>
          <w:rFonts w:hint="eastAsia" w:ascii="仿宋" w:eastAsia="仿宋" w:cs="仿宋"/>
          <w:color w:val="000000"/>
          <w:kern w:val="0"/>
          <w:sz w:val="28"/>
          <w:szCs w:val="24"/>
          <w:highlight w:val="none"/>
          <w:lang w:val="en-US" w:eastAsia="zh-CN"/>
        </w:rPr>
      </w:pPr>
      <w:r>
        <w:rPr>
          <w:rFonts w:hint="eastAsia" w:ascii="Times New Roman" w:hAnsi="Times New Roman" w:eastAsia="仿宋" w:cs="Times New Roman"/>
          <w:kern w:val="0"/>
          <w:sz w:val="28"/>
          <w:szCs w:val="28"/>
          <w:shd w:val="clear" w:color="auto" w:fill="FFFFFF"/>
          <w:lang w:val="en-US" w:eastAsia="zh-CN"/>
        </w:rPr>
        <w:t>以人为本、全面践行绿色发展理念，深入转变发展方式，进一步完善古县城区基础设施的需要，以营造生态环境，构建和谐社会，提供人性场所为目的，在统筹规划区域文化资源、优化发展环境的同时，实现塑造城市形象、改善城市环境、满足人们多层次活动需要的三大功能</w:t>
      </w:r>
      <w:r>
        <w:rPr>
          <w:rFonts w:hint="eastAsia" w:ascii="仿宋" w:eastAsia="仿宋" w:cs="仿宋"/>
          <w:color w:val="000000"/>
          <w:kern w:val="0"/>
          <w:sz w:val="28"/>
          <w:szCs w:val="24"/>
          <w:lang w:val="en-US" w:eastAsia="zh-CN"/>
        </w:rPr>
        <w:t>。</w:t>
      </w:r>
    </w:p>
    <w:p>
      <w:pPr>
        <w:spacing w:line="500" w:lineRule="exact"/>
        <w:ind w:firstLine="562" w:firstLineChars="200"/>
        <w:rPr>
          <w:rFonts w:hint="eastAsia" w:ascii="Times New Roman" w:hAnsi="Times New Roman" w:eastAsia="仿宋" w:cs="Times New Roman"/>
          <w:b/>
          <w:bCs/>
          <w:color w:val="000000"/>
          <w:kern w:val="0"/>
          <w:sz w:val="28"/>
          <w:szCs w:val="24"/>
          <w:lang w:val="en-US" w:eastAsia="zh-CN"/>
        </w:rPr>
      </w:pPr>
      <w:r>
        <w:rPr>
          <w:rFonts w:hint="eastAsia" w:ascii="Times New Roman" w:hAnsi="Times New Roman" w:eastAsia="仿宋" w:cs="Times New Roman"/>
          <w:b/>
          <w:bCs/>
          <w:color w:val="000000"/>
          <w:kern w:val="0"/>
          <w:sz w:val="28"/>
          <w:szCs w:val="24"/>
          <w:lang w:val="en-US" w:eastAsia="zh-CN"/>
        </w:rPr>
        <w:t>2、项目阶段性目标：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产出目标：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建设内容完成率：100.00%；</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验收合格情况：100%，出具《验收报告》，验收合格；</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完成及时性：根据合同约定及时完成建设，及时验收；</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成本控制率：不高于招标合同价；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效益目标：项目实施后，有助于提升城市品质，增强公园功能，提升城市形象；同时给县城居民提供一个休闲娱乐的好场所，服务人民日益增长的文化生活需要，改善居民人居环境；</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可持续影响：项目后续管理体制机制健全，管理责任落实；</w:t>
      </w:r>
    </w:p>
    <w:p>
      <w:pPr>
        <w:spacing w:line="574" w:lineRule="exact"/>
        <w:ind w:firstLine="560" w:firstLineChars="200"/>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服务对象满意度：≥90%</w:t>
      </w:r>
      <w:r>
        <w:rPr>
          <w:rFonts w:hint="eastAsia" w:ascii="Times New Roman" w:hAnsi="Times New Roman" w:eastAsia="仿宋" w:cs="Times New Roman"/>
          <w:b w:val="0"/>
          <w:bCs w:val="0"/>
          <w:sz w:val="28"/>
          <w:szCs w:val="24"/>
          <w:lang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二、评价结论</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依据项目基础信息统计，结合现场核查结果，按照评价小组制定并由专家组论证的评价指标体系，城市中心公园建设项目支出绩效评价综合得分76.37分，评价等级为“中”。</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项目决策方面，项目按照规定的程序申请设立，城市中心公园建设项目落实了党的十九大报告指出的绿色发展理念，项目依据充分，立项程序规范，绩效目标合理，绩效指标明确，资金分配合理、预算编制科学。</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项目过程方面，预算资金到位率59.36%，资金使用合规，财务管理制度健全，预算执行率达标，但项目实施管理有待加强。</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项目产出方面，城市中心公园建设项目内容完成及时，验收不及时，成本控制不到位。</w:t>
      </w:r>
    </w:p>
    <w:p>
      <w:pPr>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bCs w:val="0"/>
          <w:kern w:val="2"/>
          <w:sz w:val="28"/>
          <w:szCs w:val="28"/>
          <w:lang w:val="en-US" w:eastAsia="zh-CN" w:bidi="ar-SA"/>
        </w:rPr>
        <w:t>项目效益方面，项目社会效益良好，项目具备可持续性，受益对象满意度较高</w:t>
      </w:r>
      <w:r>
        <w:rPr>
          <w:rFonts w:hint="eastAsia" w:ascii="仿宋" w:eastAsia="仿宋" w:cs="仿宋"/>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三、存在问题</w:t>
      </w:r>
    </w:p>
    <w:p>
      <w:pPr>
        <w:spacing w:line="574" w:lineRule="exact"/>
        <w:ind w:firstLine="562" w:firstLineChars="200"/>
        <w:rPr>
          <w:rFonts w:ascii="仿宋" w:eastAsia="仿宋" w:cs="仿宋"/>
          <w:b/>
          <w:bCs w:val="0"/>
          <w:snapToGrid w:val="0"/>
          <w:sz w:val="28"/>
          <w:szCs w:val="28"/>
          <w:lang w:val="en-US" w:eastAsia="zh-CN"/>
        </w:rPr>
      </w:pPr>
      <w:r>
        <w:rPr>
          <w:rFonts w:hint="eastAsia" w:ascii="仿宋" w:eastAsia="仿宋" w:cs="仿宋"/>
          <w:b/>
          <w:bCs w:val="0"/>
          <w:snapToGrid w:val="0"/>
          <w:sz w:val="28"/>
          <w:szCs w:val="28"/>
          <w:lang w:val="en-US" w:eastAsia="zh-CN"/>
        </w:rPr>
        <w:t>1、项目实施管理有待加强。</w:t>
      </w:r>
    </w:p>
    <w:p>
      <w:pPr>
        <w:spacing w:line="574" w:lineRule="exact"/>
        <w:ind w:firstLine="560" w:firstLineChars="200"/>
        <w:rPr>
          <w:rFonts w:ascii="仿宋" w:eastAsia="仿宋" w:cs="仿宋"/>
          <w:b/>
          <w:bCs w:val="0"/>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1）2021年12月20日，古县直属机关事务服务中心向古县人民政府提交《关于中心公园项目结算评审的申请》（古直中心呈〔2021〕8号）：工程预算价为574.61万元，经财政评审预算审定为463.83万元；实际项目经财政评审预算审定为464.83万元（4648308.35元）；（2）项目已结算评审结束，但项目《竣工验收报告尚未出具》；（3）项目实施资料虽然简单装订，但项目按进度进行资金支付印证资料及其他项目相关财务资料等均未与项目实施资料统一装订，不利于梳理项目全过程管理情况。</w:t>
      </w:r>
    </w:p>
    <w:p>
      <w:pPr>
        <w:spacing w:line="574" w:lineRule="exact"/>
        <w:ind w:left="0" w:firstLine="562" w:firstLineChars="200"/>
        <w:rPr>
          <w:rFonts w:hint="eastAsia"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2、已完工项目尚未验收，影响项目整体进度。</w:t>
      </w:r>
    </w:p>
    <w:p>
      <w:pPr>
        <w:spacing w:line="574" w:lineRule="exact"/>
        <w:ind w:left="0"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城市中心公园建设项目计划开竣工时间为2020年4月7日至2021年1月31日，评价组现场调研了解到，项目完工及时；截止2021年12月31日，项目仍未出具《竣工验收报告》，项目验收不及时。</w:t>
      </w:r>
    </w:p>
    <w:p>
      <w:pPr>
        <w:spacing w:line="574" w:lineRule="exact"/>
        <w:ind w:left="0" w:firstLine="562" w:firstLineChars="200"/>
        <w:rPr>
          <w:rFonts w:hint="eastAsia" w:ascii="Times New Roman" w:hAnsi="Times New Roman" w:eastAsia="仿宋" w:cs="Times New Roman"/>
          <w:b/>
          <w:bCs/>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3、项目成本控制不到位。</w:t>
      </w:r>
    </w:p>
    <w:p>
      <w:pPr>
        <w:spacing w:line="574" w:lineRule="exact"/>
        <w:ind w:firstLine="560" w:firstLineChars="200"/>
        <w:rPr>
          <w:rFonts w:hint="eastAsia" w:ascii="仿宋" w:eastAsia="仿宋" w:cs="仿宋"/>
          <w:b w:val="0"/>
          <w:bCs/>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评价组现场调研和查阅相关资料了解到，城市中心公园建设项目合同价463.92万元，</w:t>
      </w:r>
      <w:r>
        <w:rPr>
          <w:rFonts w:hint="eastAsia" w:ascii="Times New Roman" w:hAnsi="Times New Roman" w:eastAsia="仿宋" w:cs="Times New Roman"/>
          <w:kern w:val="0"/>
          <w:sz w:val="28"/>
          <w:szCs w:val="28"/>
          <w:shd w:val="clear" w:color="auto" w:fill="FFFFFF"/>
          <w:lang w:val="en-US" w:eastAsia="zh-CN"/>
        </w:rPr>
        <w:t>工程结算报价510.12万元；2022年3月10日，古县财政局委托山西翔鸿工程项目管理有限公司出具《古县中心公园建设项目竣工结算审核书》（山西翔鸿审字〔2022〕042号），审定结算金额505.42万元；审定结算金额超合同价的比例为（505.42-463.92）/463.92*100%=8.95%，项目成本控制不到位</w:t>
      </w:r>
      <w:r>
        <w:rPr>
          <w:rFonts w:hint="eastAsia" w:ascii="仿宋" w:eastAsia="仿宋" w:cs="仿宋"/>
          <w:b w:val="0"/>
          <w:bCs/>
          <w:snapToGrid w:val="0"/>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四、改进措施</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sectPr>
          <w:footerReference r:id="rId7" w:type="default"/>
          <w:pgSz w:w="11906" w:h="16838"/>
          <w:pgMar w:top="1440" w:right="1800" w:bottom="1440" w:left="1800" w:header="851" w:footer="992" w:gutter="0"/>
          <w:pgNumType w:start="1"/>
          <w:cols w:space="720" w:num="1"/>
          <w:docGrid w:type="lines" w:linePitch="312" w:charSpace="0"/>
        </w:sectPr>
      </w:pPr>
      <w:bookmarkStart w:id="9" w:name="_Toc514537327"/>
      <w:bookmarkStart w:id="10" w:name="_Toc515810986"/>
      <w:bookmarkStart w:id="11" w:name="_Toc516473301"/>
      <w:bookmarkStart w:id="12" w:name="_Toc516237635"/>
      <w:bookmarkStart w:id="13" w:name="_Toc515811931"/>
      <w:bookmarkStart w:id="14" w:name="_Toc516554766"/>
    </w:p>
    <w:bookmarkEnd w:id="9"/>
    <w:bookmarkEnd w:id="10"/>
    <w:bookmarkEnd w:id="11"/>
    <w:bookmarkEnd w:id="12"/>
    <w:bookmarkEnd w:id="13"/>
    <w:bookmarkEnd w:id="14"/>
    <w:p>
      <w:pPr>
        <w:spacing w:line="574" w:lineRule="exact"/>
        <w:ind w:firstLine="562" w:firstLineChars="200"/>
        <w:rPr>
          <w:rFonts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lang w:val="en-US" w:eastAsia="zh-CN"/>
        </w:rPr>
        <w:t>1、加强项目管理制度执行，加强项目档案管理。</w:t>
      </w:r>
    </w:p>
    <w:p>
      <w:pPr>
        <w:spacing w:line="574" w:lineRule="exact"/>
        <w:ind w:firstLine="560" w:firstLineChars="200"/>
        <w:rPr>
          <w:rFonts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直属机关事务服务中心加强项目实施管理，向相关部门、上级单位提交的资料严格审核，避免数字等关键信息错误；加强项目档案管理，项目实施完成后，项目按进度进行资金支付印证资料及其他项目相关财务资料等与项目实施资料统一装订，方便查阅及梳理项目全流程实施及管理情况。</w:t>
      </w:r>
    </w:p>
    <w:p>
      <w:pPr>
        <w:spacing w:line="574" w:lineRule="exact"/>
        <w:ind w:firstLine="562" w:firstLineChars="200"/>
        <w:rPr>
          <w:rFonts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2、已完工项目及时组织验收，确保项目整体质量达标。</w:t>
      </w:r>
    </w:p>
    <w:p>
      <w:pPr>
        <w:spacing w:line="574" w:lineRule="exact"/>
        <w:ind w:firstLine="560" w:firstLineChars="200"/>
        <w:rPr>
          <w:rFonts w:ascii="仿宋" w:eastAsia="仿宋" w:cs="仿宋"/>
          <w:b/>
          <w:bCs/>
          <w:snapToGrid w:val="0"/>
          <w:sz w:val="28"/>
          <w:szCs w:val="28"/>
          <w:lang w:val="en-US" w:eastAsia="zh-CN"/>
        </w:rPr>
      </w:pPr>
      <w:r>
        <w:rPr>
          <w:rFonts w:hint="eastAsia" w:ascii="仿宋" w:eastAsia="仿宋" w:cs="仿宋"/>
          <w:b w:val="0"/>
          <w:bCs w:val="0"/>
          <w:snapToGrid w:val="0"/>
          <w:sz w:val="28"/>
          <w:szCs w:val="28"/>
          <w:lang w:val="en-US" w:eastAsia="zh-CN"/>
        </w:rPr>
        <w:t>建议古县直属机关事务服务中心在项目完工后，及时组织施工单位、监理单位组织验收，对验收过程中发现的问题，及时要求施工方进行整改，确保项目整体质量达标。</w:t>
      </w:r>
    </w:p>
    <w:p>
      <w:pPr>
        <w:spacing w:line="574" w:lineRule="exact"/>
        <w:ind w:firstLine="562" w:firstLineChars="200"/>
        <w:rPr>
          <w:rFonts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3、加强项目成本控制，避免结算金额超过合同价情况。</w:t>
      </w:r>
    </w:p>
    <w:p>
      <w:pPr>
        <w:spacing w:line="574"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建议古县直属机关事务服务中心在项目实施前充分测算项目工程量，避免漏项；项目实施过程中，加强项目成本控制，避免结算金额超过合同价情况。</w:t>
      </w:r>
    </w:p>
    <w:p>
      <w:pPr>
        <w:spacing w:line="574" w:lineRule="exact"/>
        <w:ind w:firstLine="560" w:firstLineChars="200"/>
        <w:rPr>
          <w:rFonts w:hint="eastAsia" w:ascii="Times New Roman" w:hAnsi="Times New Roman" w:eastAsia="仿宋"/>
          <w:b w:val="0"/>
          <w:bCs/>
          <w:snapToGrid w:val="0"/>
          <w:sz w:val="28"/>
          <w:szCs w:val="32"/>
          <w:lang w:val="en-US" w:eastAsia="zh-CN"/>
        </w:rPr>
        <w:sectPr>
          <w:type w:val="continuous"/>
          <w:pgSz w:w="11906" w:h="16838"/>
          <w:pgMar w:top="1440" w:right="1800" w:bottom="1440" w:left="1800" w:header="851" w:footer="992" w:gutter="0"/>
          <w:cols w:space="720" w:num="1"/>
          <w:docGrid w:type="lines" w:linePitch="312" w:charSpace="0"/>
        </w:sectPr>
      </w:pPr>
    </w:p>
    <w:p>
      <w:pPr>
        <w:pStyle w:val="1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cs="黑体"/>
          <w:b/>
          <w:bCs w:val="0"/>
          <w:kern w:val="2"/>
          <w:sz w:val="44"/>
          <w:szCs w:val="44"/>
        </w:rPr>
      </w:pPr>
      <w:bookmarkStart w:id="15" w:name="_Toc4940"/>
      <w:bookmarkStart w:id="16" w:name="_Toc12847"/>
      <w:bookmarkStart w:id="17" w:name="_Toc23604"/>
      <w:bookmarkStart w:id="18" w:name="_Toc4007"/>
      <w:bookmarkStart w:id="19" w:name="_Toc10211"/>
      <w:bookmarkStart w:id="20" w:name="_Toc4980"/>
      <w:bookmarkStart w:id="21" w:name="_Toc13723"/>
      <w:r>
        <w:rPr>
          <w:rFonts w:hint="eastAsia" w:ascii="黑体" w:cs="黑体"/>
          <w:b/>
          <w:bCs w:val="0"/>
          <w:kern w:val="2"/>
          <w:sz w:val="44"/>
          <w:szCs w:val="44"/>
          <w:lang w:eastAsia="zh-CN"/>
        </w:rPr>
        <w:t>城市中心公园建设项目</w:t>
      </w:r>
      <w:r>
        <w:rPr>
          <w:rFonts w:hint="eastAsia" w:ascii="黑体" w:cs="黑体"/>
          <w:b/>
          <w:bCs w:val="0"/>
          <w:kern w:val="2"/>
          <w:sz w:val="44"/>
          <w:szCs w:val="44"/>
        </w:rPr>
        <w:t>支出绩效评价</w:t>
      </w:r>
    </w:p>
    <w:p>
      <w:pPr>
        <w:pStyle w:val="17"/>
        <w:keepNext w:val="0"/>
        <w:keepLines w:val="0"/>
        <w:pageBreakBefore w:val="0"/>
        <w:widowControl w:val="0"/>
        <w:kinsoku/>
        <w:wordWrap/>
        <w:overflowPunct/>
        <w:topLinePunct w:val="0"/>
        <w:autoSpaceDE/>
        <w:autoSpaceDN/>
        <w:bidi w:val="0"/>
        <w:adjustRightInd/>
        <w:snapToGrid/>
        <w:jc w:val="center"/>
        <w:textAlignment w:val="auto"/>
        <w:outlineLvl w:val="9"/>
      </w:pPr>
      <w:r>
        <w:rPr>
          <w:rFonts w:hint="eastAsia" w:ascii="黑体" w:cs="黑体"/>
          <w:b/>
          <w:bCs w:val="0"/>
          <w:kern w:val="2"/>
          <w:sz w:val="44"/>
          <w:szCs w:val="44"/>
        </w:rPr>
        <w:t>报告</w:t>
      </w:r>
      <w:bookmarkEnd w:id="15"/>
      <w:bookmarkEnd w:id="16"/>
      <w:bookmarkEnd w:id="17"/>
      <w:bookmarkEnd w:id="18"/>
      <w:bookmarkEnd w:id="19"/>
      <w:bookmarkEnd w:id="20"/>
      <w:bookmarkEnd w:id="21"/>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受古县财政局委托，山西恒略绩效管理咨询有限公司承担对城市中心公园建设项目绩效评价工作。根据《中华人民共和国预算法》、《财政部关于印发&lt;项目支出绩效评价管理办法&gt;的通知》（财预〔2020〕10号）、《中共中央国务院关于全面实施预算绩效管理的意见》(中发〔2018〕34号)、《中共山西省委 山西省人民政府关于全面实施预算绩效管理的实施意见》（晋发〔2018〕39号）、《古县财政局关于印发&lt;2022年度财政重点绩效评价实施方案&gt;的通知》（古财字〔2022〕27号）等文件精神的要求，我们按照财政支出绩效评价的评价标准、评价方法和依据本项目特点制定的评价指标，对评价对象的绩效情况进行全面的分析和综合评价，形成了本报告。</w:t>
      </w:r>
    </w:p>
    <w:p>
      <w:pPr>
        <w:spacing w:line="500" w:lineRule="exact"/>
        <w:ind w:firstLine="560" w:firstLineChars="200"/>
        <w:rPr>
          <w:rFonts w:ascii="Times New Roman" w:hAnsi="Times New Roman" w:eastAsia="仿宋" w:cs="Times New Roman"/>
          <w:snapToGrid w:val="0"/>
          <w:sz w:val="28"/>
          <w:szCs w:val="28"/>
        </w:rPr>
      </w:pPr>
      <w:r>
        <w:rPr>
          <w:rFonts w:hint="eastAsia" w:ascii="Times New Roman" w:hAnsi="Times New Roman" w:eastAsia="仿宋" w:cs="Times New Roman"/>
          <w:sz w:val="28"/>
          <w:szCs w:val="24"/>
          <w:lang w:val="en-US" w:eastAsia="zh-CN"/>
        </w:rPr>
        <w:t>本次绩效评价工作反映了城市中心公园建设项目在决策、过程、产出和效益四个方面的情况，并对项目实施中存在的问题提出改进建议，以期在今后的工作中进一步完善工作流程，提高资金绩效水平。现将绩效评价情况及评价结果报告如下</w:t>
      </w:r>
      <w:r>
        <w:rPr>
          <w:rFonts w:ascii="Times New Roman" w:hAnsi="Times New Roman" w:eastAsia="仿宋" w:cs="Times New Roman"/>
          <w:snapToGrid w:val="0"/>
          <w:sz w:val="28"/>
          <w:szCs w:val="28"/>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ascii="Times New Roman" w:hAnsi="Times New Roman" w:eastAsia="黑体" w:cs="Times New Roman"/>
          <w:bCs/>
          <w:kern w:val="44"/>
          <w:sz w:val="32"/>
          <w:szCs w:val="32"/>
        </w:rPr>
      </w:pPr>
      <w:bookmarkStart w:id="22" w:name="_Toc2950"/>
      <w:r>
        <w:rPr>
          <w:rFonts w:hint="eastAsia" w:ascii="Times New Roman" w:hAnsi="Times New Roman" w:eastAsia="黑体" w:cs="Times New Roman"/>
          <w:bCs/>
          <w:kern w:val="44"/>
          <w:sz w:val="32"/>
          <w:szCs w:val="32"/>
        </w:rPr>
        <w:t>一、项目基本情况</w:t>
      </w:r>
      <w:bookmarkEnd w:id="1"/>
      <w:bookmarkEnd w:id="22"/>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ascii="仿宋" w:eastAsia="仿宋" w:cs="Times New Roman"/>
          <w:b/>
          <w:bCs/>
          <w:sz w:val="32"/>
          <w:szCs w:val="32"/>
        </w:rPr>
      </w:pPr>
      <w:bookmarkStart w:id="23" w:name="_Toc514537329"/>
      <w:bookmarkStart w:id="24" w:name="_Toc22839"/>
      <w:r>
        <w:rPr>
          <w:rFonts w:hint="eastAsia" w:ascii="仿宋" w:eastAsia="仿宋" w:cs="Times New Roman"/>
          <w:b/>
          <w:bCs/>
          <w:sz w:val="32"/>
          <w:szCs w:val="32"/>
        </w:rPr>
        <w:t>（一）项目</w:t>
      </w:r>
      <w:bookmarkEnd w:id="23"/>
      <w:r>
        <w:rPr>
          <w:rFonts w:hint="eastAsia" w:ascii="仿宋" w:eastAsia="仿宋" w:cs="Times New Roman"/>
          <w:b/>
          <w:bCs/>
          <w:sz w:val="32"/>
          <w:szCs w:val="32"/>
        </w:rPr>
        <w:t>背景及概况</w:t>
      </w:r>
      <w:bookmarkEnd w:id="24"/>
    </w:p>
    <w:p>
      <w:pPr>
        <w:spacing w:line="500" w:lineRule="exact"/>
        <w:ind w:firstLine="560" w:firstLineChars="200"/>
        <w:rPr>
          <w:rFonts w:ascii="Times New Roman" w:hAnsi="Times New Roman" w:eastAsia="仿宋" w:cs="Times New Roman"/>
          <w:kern w:val="0"/>
          <w:sz w:val="28"/>
          <w:szCs w:val="28"/>
          <w:shd w:val="clear" w:color="auto" w:fill="FFFFFF"/>
        </w:rPr>
      </w:pPr>
      <w:bookmarkStart w:id="25" w:name="_Toc514537330"/>
      <w:r>
        <w:rPr>
          <w:rFonts w:ascii="Times New Roman" w:hAnsi="Times New Roman" w:eastAsia="仿宋" w:cs="Times New Roman"/>
          <w:kern w:val="0"/>
          <w:sz w:val="28"/>
          <w:szCs w:val="28"/>
          <w:shd w:val="clear" w:color="auto" w:fill="FFFFFF"/>
        </w:rPr>
        <w:t>生态兴则文明兴。党的十八大以来，以习近平同志为核心的党中央以前所未有的力度抓生态文明建设，美丽中国建设迈出重大步伐。在赴各地考察调研时，在一次次重要会议上，总书记多次勉励各级各部门：“绿水青山就是金山银山，改善生态环境就是发展生产力”、“只要贯彻新发展理念，绿水青山就可以成为金山银山”、“积极发展生态环保、可持续的产业”、“努力做到低消耗、低排放、高效益”，贯彻落实习近平生态文明思想，实现绿色发展、可持续发展，在绿水青山越来越美的同时，金山银山也越做越大。</w:t>
      </w:r>
    </w:p>
    <w:p>
      <w:pPr>
        <w:spacing w:line="500" w:lineRule="exact"/>
        <w:ind w:firstLine="560" w:firstLineChars="200"/>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党的十九大提出：中国特色社会主义进入新时代，社会主要矛盾已经转化为人民日益增长的美好生活需要和不平衡不充分发展之间的矛盾。我国的城市发展也已经开始由高速扩张向高质量发展转变。住建部在2019年全国住房城乡建设工作会上也明确提出：“以贯彻新发展理念为引领，努力建设没有‘城市病’的城市”“以集中力量解决群众关注的民生实事为着力点，提升城市品质”。山西省委省政府在经济工作会上强调：“必须在城市规划、建设、管理中，走以质取胜的路子”“狠抓城市品质提升，带动区域协调发展”。</w:t>
      </w:r>
    </w:p>
    <w:p>
      <w:pPr>
        <w:spacing w:line="500" w:lineRule="exact"/>
        <w:ind w:firstLine="560" w:firstLineChars="200"/>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习近平总书记在山西省考察调研时，多次谈及绿色发展的重要性，指出山西“是拱卫京津冀和黄河生态安全的重要屏障”，“要抓好‘两山七河一流域’生态修复治理，扎实实施黄河流域生态保护和高质量发展国家战略”，“推动山西沿黄地区在保护中开发、开发中保护”。</w:t>
      </w:r>
    </w:p>
    <w:p>
      <w:pPr>
        <w:spacing w:line="500" w:lineRule="exact"/>
        <w:ind w:firstLine="560" w:firstLineChars="200"/>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十八大以来的非凡十年，山西省牢记习近平总书记嘱托，统筹山水林田湖草沙系统治理，表里山河绘就出生态新画卷。</w:t>
      </w:r>
    </w:p>
    <w:p>
      <w:pPr>
        <w:spacing w:line="500" w:lineRule="exact"/>
        <w:ind w:firstLine="560" w:firstLineChars="200"/>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为贯彻落实习近平总书记在山西省考察时的讲话精神，按照住建部关于提升城市品质和山西省“以质取胜”、“以特取胜”推进城市发展的要求，2019年9月6日，《山西省人民政府办公厅关于印发&lt;山西省城市品质提升行动方案（2019-2022年）&gt;的通知》（晋政办发〔2019〕75号）出台，《行动方案》提出：以习近平新时代中国特色社会主义思想为指导，牢固树立和贯彻落实新发展理念，坚持以人民为中心，以生态优先、绿色发展为导向，着力转变城市发展方式，实施六大工程、十九项行动，补短板、强基础、提品质、惠民生，使城市风貌得到有序管控，城市特色更加鲜明，城市管理水平大幅提高，城市人居环境明显改善，建设和谐宜居、富有活力、具有鲜明特色特质特点的现代化魅力城市和宜居宜业宜游公园城市，全面增强城市的辐射力、竞争力和带动力，为我省资源型地区转型发展提供有力支撑。</w:t>
      </w:r>
    </w:p>
    <w:p>
      <w:pPr>
        <w:spacing w:line="500" w:lineRule="exact"/>
        <w:ind w:firstLine="560" w:firstLineChars="200"/>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城市公园是一个城市的精神文化载体，是凸显城市特色的形象工程。公园建设承载着城市文化的发展，关系到百姓休闲生活的质量，是城市景观体系的亮点和城市生活的交流空间。</w:t>
      </w:r>
    </w:p>
    <w:p>
      <w:pPr>
        <w:spacing w:line="500" w:lineRule="exact"/>
        <w:ind w:firstLine="560" w:firstLineChars="200"/>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近年来，古县社会经济迅速发展，城镇化水平越来越高，然而与之相应的生态文化建设比较滞后。在经济社会发展的过程中，必须处理好经济建设和生态文化建设的关系。通过加快城市公共绿地、生态绿地建设，开展路旁补绿、城市插绿、立体挂绿等工作，增加城区绿地面积，进一步保护生态环境，建设绿色低碳古县。以人为本，通过多方面展示古县城市文化和三晋文化为主体，打造一个集文化传承教育、市民休闲娱乐、生态恢复于一体的绿色低碳公园，对古县城市文化和三晋文化的传承和树立古县良好生态环境的形象具有极强的时代意义。</w:t>
      </w:r>
    </w:p>
    <w:p>
      <w:pPr>
        <w:spacing w:line="500" w:lineRule="exact"/>
        <w:ind w:firstLine="560" w:firstLineChars="200"/>
        <w:rPr>
          <w:rFonts w:ascii="Times New Roman" w:hAnsi="Times New Roman" w:eastAsia="仿宋" w:cs="Times New Roman"/>
          <w:sz w:val="28"/>
          <w:szCs w:val="24"/>
          <w:lang w:val="en-US" w:eastAsia="zh-CN"/>
        </w:rPr>
      </w:pPr>
      <w:r>
        <w:rPr>
          <w:rFonts w:ascii="Times New Roman" w:hAnsi="Times New Roman" w:eastAsia="仿宋" w:cs="Times New Roman"/>
          <w:kern w:val="0"/>
          <w:sz w:val="28"/>
          <w:szCs w:val="28"/>
          <w:shd w:val="clear" w:color="auto" w:fill="FFFFFF"/>
        </w:rPr>
        <w:t>城市中心公园建设项目，位于古县丹凤路与岳秀街东北角，属于古县城市总体规划范畴。通过本项目的实施，将提升项目区域的环境质量和承载能力，提升古县的人文形象，促进区域经济加快发展</w:t>
      </w:r>
      <w:r>
        <w:rPr>
          <w:rFonts w:hint="eastAsia" w:ascii="Times New Roman" w:hAnsi="Times New Roman" w:eastAsia="仿宋"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26" w:name="_Toc9637"/>
      <w:r>
        <w:rPr>
          <w:rFonts w:hint="eastAsia" w:ascii="仿宋" w:eastAsia="仿宋" w:cs="Times New Roman"/>
          <w:b/>
          <w:bCs/>
          <w:sz w:val="32"/>
          <w:szCs w:val="32"/>
        </w:rPr>
        <w:t>（二）预算资金来源与资金使用</w:t>
      </w:r>
      <w:bookmarkEnd w:id="25"/>
      <w:r>
        <w:rPr>
          <w:rFonts w:hint="eastAsia" w:ascii="仿宋" w:eastAsia="仿宋" w:cs="Times New Roman"/>
          <w:b/>
          <w:bCs/>
          <w:sz w:val="32"/>
          <w:szCs w:val="32"/>
          <w:lang w:val="en-US" w:eastAsia="zh-CN"/>
        </w:rPr>
        <w:t>情况</w:t>
      </w:r>
      <w:bookmarkEnd w:id="26"/>
    </w:p>
    <w:p>
      <w:pPr>
        <w:spacing w:line="500" w:lineRule="exact"/>
        <w:ind w:firstLine="562" w:firstLineChars="200"/>
        <w:rPr>
          <w:rFonts w:ascii="Times New Roman" w:hAnsi="Times New Roman" w:eastAsia="仿宋" w:cs="Times New Roman"/>
          <w:b/>
          <w:sz w:val="28"/>
          <w:szCs w:val="24"/>
          <w:lang w:val="en-US" w:eastAsia="zh-CN"/>
        </w:rPr>
      </w:pPr>
      <w:bookmarkStart w:id="27" w:name="_Toc29577"/>
      <w:r>
        <w:rPr>
          <w:rFonts w:hint="eastAsia" w:ascii="Times New Roman" w:hAnsi="Times New Roman" w:eastAsia="仿宋" w:cs="Times New Roman"/>
          <w:b/>
          <w:sz w:val="28"/>
          <w:szCs w:val="24"/>
          <w:lang w:val="en-US" w:eastAsia="zh-CN"/>
        </w:rPr>
        <w:t>1、</w:t>
      </w:r>
      <w:r>
        <w:rPr>
          <w:rFonts w:hint="eastAsia" w:ascii="Times New Roman" w:hAnsi="Times New Roman" w:eastAsia="仿宋" w:cs="Times New Roman"/>
          <w:b/>
          <w:sz w:val="28"/>
          <w:szCs w:val="24"/>
        </w:rPr>
        <w:t>项目</w:t>
      </w:r>
      <w:r>
        <w:rPr>
          <w:rFonts w:hint="eastAsia" w:ascii="Times New Roman" w:hAnsi="Times New Roman" w:eastAsia="仿宋" w:cs="Times New Roman"/>
          <w:b/>
          <w:sz w:val="28"/>
          <w:szCs w:val="24"/>
          <w:lang w:val="en-US" w:eastAsia="zh-CN"/>
        </w:rPr>
        <w:t>预算及资金来源</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2019年11月25日，古县发展和改革局《关于古县直属机关事务服务中心古县中心公园建设项目初步设计的批复》（古发改审批〔2019〕24号）文件批复的项目总概算及资金来源：本项目经概算总投资681.37万元，其中：建筑安装设备费：571.79万元；工程建设其他费用71.01万元，工程预备费38.57万元，所需资金来源由古县财政解决。</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该项目报审预算金额5746121.04元，经财政评审后的预算审定金额为4648308.35元。</w:t>
      </w:r>
    </w:p>
    <w:p>
      <w:pPr>
        <w:spacing w:line="500" w:lineRule="exact"/>
        <w:ind w:firstLine="562" w:firstLineChars="200"/>
        <w:rPr>
          <w:rFonts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w:t>
      </w:r>
      <w:r>
        <w:rPr>
          <w:rFonts w:hint="eastAsia" w:ascii="Times New Roman" w:hAnsi="Times New Roman" w:eastAsia="仿宋" w:cs="Times New Roman"/>
          <w:b/>
          <w:sz w:val="28"/>
          <w:szCs w:val="24"/>
        </w:rPr>
        <w:t>资金</w:t>
      </w:r>
      <w:r>
        <w:rPr>
          <w:rFonts w:hint="eastAsia" w:ascii="Times New Roman" w:hAnsi="Times New Roman" w:eastAsia="仿宋" w:cs="Times New Roman"/>
          <w:b/>
          <w:sz w:val="28"/>
          <w:szCs w:val="24"/>
          <w:lang w:val="en-US" w:eastAsia="zh-CN"/>
        </w:rPr>
        <w:t>使用情况</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截止2022年9月30日，项目共计到位资金300.00万元，其中2020年到位资金50.00万元，2021年到位资金200.00万元，2022年到位资金50.00万元。</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截止2022年9月30日，城市中心公园建设项目共计支出资金300.00万元。</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城市中心公园建设项目资金使用情况见下表1-1。</w:t>
      </w:r>
    </w:p>
    <w:p>
      <w:pPr>
        <w:spacing w:line="500" w:lineRule="exact"/>
        <w:ind w:firstLine="481" w:firstLineChars="200"/>
        <w:jc w:val="center"/>
        <w:rPr>
          <w:rFonts w:hint="eastAsia"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表1-1 项目资金使用情况明细表</w:t>
      </w:r>
    </w:p>
    <w:tbl>
      <w:tblPr>
        <w:tblStyle w:val="19"/>
        <w:tblW w:w="8424"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348"/>
        <w:gridCol w:w="1692"/>
        <w:gridCol w:w="1692"/>
        <w:gridCol w:w="1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3348"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支付单位</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left"/>
              <w:rPr>
                <w:rFonts w:ascii="Times New Roman" w:hAnsi="Times New Roman" w:eastAsia="仿宋" w:cs="Times New Roman"/>
                <w:kern w:val="0"/>
                <w:sz w:val="24"/>
                <w:szCs w:val="32"/>
                <w:lang w:val="en-US"/>
              </w:rPr>
            </w:pPr>
            <w:r>
              <w:rPr>
                <w:rFonts w:hint="eastAsia" w:ascii="Times New Roman" w:hAnsi="Times New Roman" w:eastAsia="仿宋" w:cs="Times New Roman"/>
                <w:kern w:val="0"/>
                <w:sz w:val="24"/>
                <w:szCs w:val="32"/>
                <w:lang w:val="en-US" w:eastAsia="zh-CN"/>
              </w:rPr>
              <w:t>支出金额（元）</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支出时间</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348"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临汾亨茂园林绿化有限公司</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 xml:space="preserve">500000.00 </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2020/6/12</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348"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临汾亨茂园林绿化有限公司</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 xml:space="preserve">600000.00 </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2021-02-08</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348"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临汾亨茂园林绿化有限公司</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 xml:space="preserve">600000.00 </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2021-02-08</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348"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临汾亨茂园林绿化有限公司</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 xml:space="preserve">300000.00 </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2021-02-08</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348"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临汾亨茂园林绿化有限公司</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 xml:space="preserve">500000.00 </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2021-02-09</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348"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临汾亨茂园林绿化有限公司</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 xml:space="preserve">500000.00 </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rPr>
            </w:pPr>
            <w:r>
              <w:rPr>
                <w:rFonts w:hint="eastAsia" w:ascii="Times New Roman" w:hAnsi="Times New Roman" w:eastAsia="仿宋" w:cs="Times New Roman"/>
                <w:kern w:val="0"/>
                <w:sz w:val="24"/>
                <w:szCs w:val="32"/>
                <w:lang w:val="en-US" w:eastAsia="zh-CN"/>
              </w:rPr>
              <w:t>2022/9/5</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3348"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合计</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3000000.00</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c>
          <w:tcPr>
            <w:tcW w:w="1692" w:type="dxa"/>
            <w:tcBorders>
              <w:top w:val="single" w:color="auto" w:sz="4" w:space="0"/>
              <w:left w:val="single" w:color="auto" w:sz="4" w:space="0"/>
              <w:bottom w:val="single" w:color="auto" w:sz="4" w:space="0"/>
              <w:right w:val="single" w:color="auto" w:sz="4" w:space="0"/>
            </w:tcBorders>
            <w:shd w:val="clear" w:color="auto" w:fill="auto"/>
            <w:noWrap/>
            <w:vAlign w:val="bottom"/>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r>
    </w:tbl>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ascii="仿宋" w:eastAsia="仿宋" w:cs="Times New Roman"/>
          <w:b/>
          <w:bCs/>
          <w:sz w:val="32"/>
          <w:szCs w:val="32"/>
          <w:lang w:val="en-US" w:eastAsia="zh-CN"/>
        </w:rPr>
      </w:pP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三</w:t>
      </w: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项目立项依据</w:t>
      </w:r>
      <w:bookmarkEnd w:id="27"/>
    </w:p>
    <w:p>
      <w:pPr>
        <w:spacing w:line="574" w:lineRule="exact"/>
        <w:ind w:firstLine="560" w:firstLineChars="200"/>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本项目的立项依据包括但不限于：</w:t>
      </w:r>
    </w:p>
    <w:p>
      <w:pPr>
        <w:spacing w:line="574" w:lineRule="exact"/>
        <w:ind w:firstLine="560" w:firstLineChars="200"/>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1、习近平生态文明思想；</w:t>
      </w:r>
    </w:p>
    <w:p>
      <w:pPr>
        <w:spacing w:line="574" w:lineRule="exact"/>
        <w:ind w:firstLine="560" w:firstLineChars="200"/>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2、《中华人民共和国城乡规划法》；</w:t>
      </w:r>
    </w:p>
    <w:p>
      <w:pPr>
        <w:spacing w:line="574" w:lineRule="exact"/>
        <w:ind w:firstLine="560" w:firstLineChars="200"/>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3、《中华人民共和国环境保护法》（主席令第9号、2014年修订）；</w:t>
      </w:r>
    </w:p>
    <w:p>
      <w:pPr>
        <w:spacing w:line="574" w:lineRule="exact"/>
        <w:ind w:firstLine="560" w:firstLineChars="200"/>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4、住建部在2019年全国住房城乡建设工作会上提出的关于提升城市品质和山、西省“以质取胜”、“以特取胜”推进城市发展的要求；</w:t>
      </w:r>
    </w:p>
    <w:p>
      <w:pPr>
        <w:spacing w:line="574" w:lineRule="exact"/>
        <w:ind w:firstLine="560" w:firstLineChars="200"/>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5、《山西省人民政府办公厅关于印发&lt;山西省城市品质提升行动方案（2019-2022年）&gt;的通知》（晋政办发〔2019〕75号）；</w:t>
      </w:r>
    </w:p>
    <w:p>
      <w:pPr>
        <w:spacing w:line="574" w:lineRule="exact"/>
        <w:ind w:firstLine="560" w:firstLineChars="200"/>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6、《中华人民共和国国民经济和社会发展第十四个五年规划和2035年远景目标纲要》；</w:t>
      </w:r>
    </w:p>
    <w:p>
      <w:pPr>
        <w:spacing w:line="574" w:lineRule="exact"/>
        <w:ind w:firstLine="560" w:firstLineChars="200"/>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7、《临汾市总体规划（2017-2035年）》；</w:t>
      </w:r>
    </w:p>
    <w:p>
      <w:pPr>
        <w:spacing w:line="574" w:lineRule="exact"/>
        <w:ind w:firstLine="560" w:firstLineChars="200"/>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8、《古县国民经济和社会发展第十四个五年规划和2035年远景目标纲要》；</w:t>
      </w:r>
    </w:p>
    <w:p>
      <w:pPr>
        <w:spacing w:line="574" w:lineRule="exact"/>
        <w:ind w:firstLine="560" w:firstLineChars="200"/>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9、古县发展和改革局《关于古县直属机关事务服务中心古县中心公园建设项目可行性研究报告（代项目建议书）的批复》（古发改审批发〔2019〕20号）；</w:t>
      </w:r>
    </w:p>
    <w:p>
      <w:pPr>
        <w:spacing w:line="574" w:lineRule="exact"/>
        <w:ind w:firstLine="560" w:firstLineChars="200"/>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10、古县直属机关事务服务中心《关于古县中心公园建设项目初步设计审批的请示》（古直中心〔2019〕15号）；</w:t>
      </w:r>
    </w:p>
    <w:p>
      <w:pPr>
        <w:spacing w:line="574" w:lineRule="exact"/>
        <w:ind w:firstLine="560" w:firstLineChars="200"/>
        <w:rPr>
          <w:rFonts w:ascii="仿宋_GB2312" w:eastAsia="仿宋_GB2312"/>
          <w:snapToGrid w:val="0"/>
          <w:sz w:val="32"/>
          <w:szCs w:val="32"/>
          <w:lang w:val="en-US" w:eastAsia="zh-CN"/>
        </w:rPr>
      </w:pPr>
      <w:r>
        <w:rPr>
          <w:rFonts w:ascii="Times New Roman" w:hAnsi="Times New Roman" w:eastAsia="仿宋" w:cs="Times New Roman"/>
          <w:kern w:val="0"/>
          <w:sz w:val="28"/>
          <w:szCs w:val="28"/>
          <w:shd w:val="clear" w:color="auto" w:fill="FFFFFF"/>
          <w:lang w:val="en-US" w:eastAsia="zh-CN"/>
        </w:rPr>
        <w:t>11、古县发展和改革局《关于古县直属机关事务服务中心古县中心公园建设项目初步设计的批复》（古发改审批〔2019〕24号）</w:t>
      </w:r>
      <w:r>
        <w:rPr>
          <w:rFonts w:hint="eastAsia" w:ascii="仿宋_GB2312" w:eastAsia="仿宋_GB2312"/>
          <w:snapToGrid w:val="0"/>
          <w:sz w:val="32"/>
          <w:szCs w:val="32"/>
          <w:lang w:val="en-US"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28" w:name="_Toc24315"/>
      <w:bookmarkStart w:id="29" w:name="_Toc514537332"/>
      <w:r>
        <w:rPr>
          <w:rFonts w:hint="eastAsia" w:ascii="Times New Roman" w:hAnsi="Times New Roman" w:eastAsia="黑体" w:cs="Times New Roman"/>
          <w:bCs/>
          <w:kern w:val="44"/>
          <w:sz w:val="32"/>
          <w:szCs w:val="32"/>
        </w:rPr>
        <w:t>二、项目组织实施情况</w:t>
      </w:r>
      <w:bookmarkEnd w:id="28"/>
      <w:bookmarkEnd w:id="29"/>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30" w:name="_Toc383"/>
      <w:bookmarkStart w:id="31" w:name="_Toc514537333"/>
      <w:r>
        <w:rPr>
          <w:rFonts w:hint="eastAsia" w:ascii="仿宋" w:eastAsia="仿宋" w:cs="Times New Roman"/>
          <w:b/>
          <w:bCs/>
          <w:sz w:val="32"/>
          <w:szCs w:val="32"/>
        </w:rPr>
        <w:t>（一）项目组织情况</w:t>
      </w:r>
      <w:bookmarkEnd w:id="30"/>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古县财政局：负责财政资金的管理，对资金的分配、下拨、使用等全过程进行规范化管理，对项目设立国库集中支付账户，实行分项核算，确保专款专用，组织开展绩效评价工作等。</w:t>
      </w:r>
    </w:p>
    <w:p>
      <w:pPr>
        <w:spacing w:line="574"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kern w:val="0"/>
          <w:sz w:val="28"/>
          <w:szCs w:val="28"/>
          <w:shd w:val="clear" w:color="auto" w:fill="FFFFFF"/>
          <w:lang w:val="en-US" w:eastAsia="zh-CN"/>
        </w:rPr>
        <w:t>古县直属机关事务服务中心：作为本项目主管单位和实施单位，监督项目实施范围和资金管理情况，做到事前、事中、事后全程监控，并会同财政部门确定资金的支持方向、使用范围等，调研发展资金使用方向。制定各项规章制度，保证项目质量，与其它单位协作配合，保证项目顺利实施。同时将所核查的数据收集、汇总、上报、存档等</w:t>
      </w:r>
      <w:r>
        <w:rPr>
          <w:rFonts w:hint="eastAsia" w:ascii="Times New Roman" w:hAnsi="Times New Roman" w:eastAsia="仿宋" w:cs="Times New Roman"/>
          <w:sz w:val="28"/>
          <w:szCs w:val="24"/>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32" w:name="_Toc13640"/>
      <w:bookmarkStart w:id="33" w:name="_Toc514537331"/>
      <w:bookmarkStart w:id="34" w:name="_Toc13766"/>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四</w:t>
      </w:r>
      <w:r>
        <w:rPr>
          <w:rFonts w:hint="eastAsia" w:ascii="仿宋" w:eastAsia="仿宋" w:cs="Times New Roman"/>
          <w:b/>
          <w:bCs/>
          <w:sz w:val="32"/>
          <w:szCs w:val="32"/>
          <w:lang w:eastAsia="zh-CN"/>
        </w:rPr>
        <w:t>）项目绩效目标</w:t>
      </w:r>
      <w:bookmarkEnd w:id="32"/>
      <w:bookmarkEnd w:id="33"/>
    </w:p>
    <w:p>
      <w:pPr>
        <w:spacing w:line="500" w:lineRule="exact"/>
        <w:ind w:firstLine="562" w:firstLineChars="200"/>
        <w:rPr>
          <w:rFonts w:hint="eastAsia" w:ascii="仿宋" w:eastAsia="仿宋" w:cs="仿宋"/>
          <w:b/>
          <w:bCs/>
          <w:color w:val="000000"/>
          <w:kern w:val="0"/>
          <w:sz w:val="28"/>
          <w:szCs w:val="24"/>
          <w:lang w:val="en-US" w:eastAsia="zh-CN"/>
        </w:rPr>
      </w:pPr>
      <w:r>
        <w:rPr>
          <w:rFonts w:hint="eastAsia" w:ascii="仿宋" w:eastAsia="仿宋" w:cs="仿宋"/>
          <w:b/>
          <w:bCs/>
          <w:color w:val="000000"/>
          <w:kern w:val="0"/>
          <w:sz w:val="28"/>
          <w:szCs w:val="24"/>
          <w:lang w:val="en-US" w:eastAsia="zh-CN"/>
        </w:rPr>
        <w:t>1、项目总体目标：</w:t>
      </w:r>
    </w:p>
    <w:p>
      <w:pPr>
        <w:spacing w:line="500" w:lineRule="exact"/>
        <w:ind w:firstLine="560" w:firstLineChars="200"/>
        <w:rPr>
          <w:rFonts w:hint="eastAsia" w:ascii="仿宋" w:eastAsia="仿宋" w:cs="仿宋"/>
          <w:color w:val="000000"/>
          <w:kern w:val="0"/>
          <w:sz w:val="28"/>
          <w:szCs w:val="24"/>
          <w:highlight w:val="none"/>
          <w:lang w:val="en-US" w:eastAsia="zh-CN"/>
        </w:rPr>
      </w:pPr>
      <w:r>
        <w:rPr>
          <w:rFonts w:hint="eastAsia" w:ascii="Times New Roman" w:hAnsi="Times New Roman" w:eastAsia="仿宋" w:cs="Times New Roman"/>
          <w:kern w:val="0"/>
          <w:sz w:val="28"/>
          <w:szCs w:val="28"/>
          <w:shd w:val="clear" w:color="auto" w:fill="FFFFFF"/>
          <w:lang w:val="en-US" w:eastAsia="zh-CN"/>
        </w:rPr>
        <w:t>以人为本、全面践行绿色发展理念，深入转变发展方式，进一步完善古县城区基础设施的需要，以营造生态环境，构建和谐社会，提供人性场所为目的，在统筹规划区域文化资源、优化发展环境的同时，实现塑造城市形象、改善城市环境、满足人们多层次活动需要的三大功能</w:t>
      </w:r>
      <w:r>
        <w:rPr>
          <w:rFonts w:hint="eastAsia" w:ascii="仿宋" w:eastAsia="仿宋" w:cs="仿宋"/>
          <w:color w:val="000000"/>
          <w:kern w:val="0"/>
          <w:sz w:val="28"/>
          <w:szCs w:val="24"/>
          <w:lang w:val="en-US" w:eastAsia="zh-CN"/>
        </w:rPr>
        <w:t>。</w:t>
      </w:r>
    </w:p>
    <w:p>
      <w:pPr>
        <w:spacing w:line="500" w:lineRule="exact"/>
        <w:ind w:firstLine="562" w:firstLineChars="200"/>
        <w:rPr>
          <w:rFonts w:hint="eastAsia" w:ascii="Times New Roman" w:hAnsi="Times New Roman" w:eastAsia="仿宋" w:cs="Times New Roman"/>
          <w:b/>
          <w:bCs/>
          <w:color w:val="000000"/>
          <w:kern w:val="0"/>
          <w:sz w:val="28"/>
          <w:szCs w:val="24"/>
          <w:lang w:val="en-US" w:eastAsia="zh-CN"/>
        </w:rPr>
      </w:pPr>
      <w:r>
        <w:rPr>
          <w:rFonts w:hint="eastAsia" w:ascii="Times New Roman" w:hAnsi="Times New Roman" w:eastAsia="仿宋" w:cs="Times New Roman"/>
          <w:b/>
          <w:bCs/>
          <w:color w:val="000000"/>
          <w:kern w:val="0"/>
          <w:sz w:val="28"/>
          <w:szCs w:val="24"/>
          <w:lang w:val="en-US" w:eastAsia="zh-CN"/>
        </w:rPr>
        <w:t>2、项目阶段性目标：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产出目标：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建设内容完成率：100.00%；</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验收合格情况：100%，出具《验收报告》，验收合格；</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完成及时性：根据合同约定及时完成建设，及时验收；</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成本控制率：不高于招标合同价；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效益目标：项目实施后，有助于提升城市品质，增强公园功能，提升城市形象；同时给县城居民提供一个休闲娱乐的好场所，服务人民日益增长的文化生活需要，改善居民人居环境；</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可持续影响：项目后续管理体制机制健全，管理责任落实；</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Times New Roman" w:hAnsi="Times New Roman" w:eastAsia="仿宋" w:cs="Times New Roman"/>
          <w:b w:val="0"/>
          <w:bCs/>
          <w:color w:val="FF0000"/>
          <w:sz w:val="28"/>
          <w:szCs w:val="28"/>
          <w:highlight w:val="yellow"/>
        </w:rPr>
      </w:pPr>
      <w:r>
        <w:rPr>
          <w:rFonts w:hint="eastAsia" w:ascii="Times New Roman" w:hAnsi="Times New Roman" w:eastAsia="仿宋" w:cs="Times New Roman"/>
          <w:kern w:val="0"/>
          <w:sz w:val="28"/>
          <w:szCs w:val="28"/>
          <w:shd w:val="clear" w:color="auto" w:fill="FFFFFF"/>
          <w:lang w:val="en-US" w:eastAsia="zh-CN"/>
        </w:rPr>
        <w:t>服务对象满意度：≥90%</w:t>
      </w:r>
      <w:r>
        <w:rPr>
          <w:rFonts w:ascii="Times New Roman" w:hAnsi="Times New Roman" w:eastAsia="仿宋" w:cs="Times New Roman"/>
          <w:b w:val="0"/>
          <w:bCs/>
          <w:color w:val="auto"/>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r>
        <w:rPr>
          <w:rFonts w:hint="eastAsia" w:ascii="仿宋" w:eastAsia="仿宋" w:cs="Times New Roman"/>
          <w:b/>
          <w:bCs/>
          <w:sz w:val="32"/>
          <w:szCs w:val="32"/>
        </w:rPr>
        <w:t>（二）项目实施</w:t>
      </w:r>
      <w:bookmarkEnd w:id="31"/>
      <w:r>
        <w:rPr>
          <w:rFonts w:hint="eastAsia" w:ascii="仿宋" w:eastAsia="仿宋" w:cs="Times New Roman"/>
          <w:b/>
          <w:bCs/>
          <w:sz w:val="32"/>
          <w:szCs w:val="32"/>
          <w:lang w:val="en-US" w:eastAsia="zh-CN"/>
        </w:rPr>
        <w:t>内容与完成</w:t>
      </w:r>
      <w:r>
        <w:rPr>
          <w:rFonts w:hint="eastAsia" w:ascii="仿宋" w:eastAsia="仿宋" w:cs="Times New Roman"/>
          <w:b/>
          <w:bCs/>
          <w:sz w:val="32"/>
          <w:szCs w:val="32"/>
        </w:rPr>
        <w:t>情况</w:t>
      </w:r>
      <w:bookmarkEnd w:id="34"/>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bookmarkStart w:id="35" w:name="_Toc514537334"/>
      <w:r>
        <w:rPr>
          <w:rFonts w:hint="eastAsia" w:ascii="Times New Roman" w:hAnsi="Times New Roman" w:eastAsia="仿宋" w:cs="Times New Roman"/>
          <w:b/>
          <w:bCs/>
          <w:kern w:val="0"/>
          <w:sz w:val="28"/>
          <w:szCs w:val="28"/>
          <w:shd w:val="clear" w:color="auto" w:fill="FFFFFF"/>
          <w:lang w:val="en-US" w:eastAsia="zh-CN"/>
        </w:rPr>
        <w:t>1、项目计划实施内容</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2019年10月21日，古县发展和改革局《关于古县直属机关事务服务中心古县中心公园建设项目可行性研究报告（代项目建议书）的批复》（古发改审批发〔2019〕20号）文件批复同意项目立项：①建设规模及主要内容：规划总占地9906.41㎡，其中外围修复面积1464.67㎡，景观设计面积8441.74㎡。硬化铺装工程3921.01㎡，绿化工程4226.75㎡，镜面水景1项，景观亭1座，景观廊架1座，文化景墙1座，景观石5个，景观水井1座，景观树池25个，及其配套的附属设施工程；②项目总投资及资金来源：项目总投资681.86万元，其中：建设工程费574.9万元，工程建设其他费用56.45万元，预备费50.51万元；③建设工期：10个月。</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2019年11月20日，古县直属机关事务服务中心向古县发展和改革局提交《关于古县中心公园建设项目初步设计审批的请示》（古直中心〔2019〕15号）：①项目建设的内容及规模：项目规划总用地面积为9906.41㎡，其中外围修复面积1464.67㎡，景观设计面8441.74㎡；②主要建设内容包括：硬质铺装1909.87㎡；停车场2305.12㎡；绿化面积4226.75㎡：包括乔木、灌木、地被、草本栽植等；景观工程包括：镜面水景1项、景观亭1座、景观廊架1座、文化景墙1座、景观石5个、景观水井1座、景观树池1个；及其排水、电气照明和弱电等附属设施工程；③项目总投资及资金来源：本项目经概算总投资681.37万元，其中：建筑安装设备费：571.79万元；工程建设其他费用71.01万元，工程预备费38.57万元，所需资金来源由古县财政解决；④项目建设工期项目实施周期为10个月，从2019年10月至2020年7月。</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2019年11月25日，古县发展和改革局《关于古县直属机关事务服务中心古县中心公园建设项目初步设计的批复》（古发改审批〔2019〕24号）文件批复同意项目经审查后修改编制的初步设计及概算，①项目建设的内容及规模：项目规划总用地面积为9906.41㎡，其中外围修复面积1464.67㎡，景观设计面8441.74㎡；②主要建设内容包括：硬质铺装1909.87㎡；停车场2305.12㎡；绿化面积4226.75㎡：包括乔木、灌木、地被、草本栽植等；景观工程包括：镜面水景1项、景观亭1座、景观廊架1座、文化景墙1座、景观石5个、景观水井1座、景观树池1个；及其排水、电气照明和弱电等附属设施工程；③项目总概算及资金来源：本项目经概算总投资681.37万元，其中：建筑安装设备费：571.79万元；工程建设其他费用71.01万元，工程预备费38.57万元，所需资金来源由古县财政解决。</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2019年11月26日，项目取得《建设项目选址意见书》（村镇选字第141025201901002号）。</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2019年11月28日，项目取得《建设用地规划许可证》（镇地字第141025201902004号）。</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2019年12月4日，项目取得《建设工程规划许可证》（镇建字第141025201903004号），项目建设规模为硬质铺装1909.87㎡，停车场2305.12㎡，绿化面积4226.75㎡，景观工程及附属设施工程等。</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2020年6月17日，项目取得《建筑工程施工许可证》（编号04240020200002）。</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2、项目实施完成情况</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2019年10月30日，古县财政局委托山西坤和元工程造价咨询有限公司出具《古县中心公园工程预算审核书》（KHY-ZB-9166），项目预算审定金额4648308.35元。</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2020年3月25日，项目经政府采购确定临汾亨茂园林绿化有限公司为中标单位，中标金额463.92万元，工期300日历天。</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2020年4月1日，古县直属机关事务服务中心与临汾亨茂园林绿化有限公司签订《施工合同》：①工程内容：景观工程、绿化工程、给排水、电气照明、弱电等附属工程；②计划开竣工时间为2020年4月7日至2021年1月31日；③工程款支付进度：土方工程完工，苗木开始进场付合同总价的30%；基础工程完工，石材开始进场再付合同总价的30%；全部完工，初步验收合格后再付合同总价的30%；第一年保修期到后付合同总价的5%；第二年保修期到后，正式交付甲方后付尾款5%。</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2020年4月6日，建设单位古县直属机关事务服务中心、监理单位临汾亚泰工程监理有限公司、施工单位临汾亨茂园林绿化有限公司联合出具《开工报告》：计划开竣工时间为2020年4月7日至2021年1月31日，实际开工时间为2020年4月7日；本项目规划总用地面积为9906.41㎡，其中：外围修复面积1464.67㎡，景观设计面积8441.74㎡；硬质铺装1909.87㎡，停车场2305.12㎡，绿化面积4226.75㎡，包括乔木、灌木、地被、草本栽植等，景观工程包括：镜面水景1项、景观亭1座、景观廊架1座、文化景墙1座、景观石5个、景观水井1座、景观树池1个，及其排水、电气照明和弱电等附属设施工程。</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2021年12月2日，古县自然资源局出具《施工规划认可书》（认字第2021-0004号）。</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12月20日，古县直属机关事务服务中心向古县人民政府提交《关于中心公园项目结算评审的申请》（古直中心呈〔2021〕8号）：工程预算价为574.61万元，经财政评审预算审定为463.83万元，招标合同价为463.92万元，工程结算报价510.12万元。</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2022年3月10日，古县财政局委托山西翔鸿工程项目管理有限公司出具《古县中心公园建设项目竣工结算审核书》（山西翔鸿审字〔2022〕042号）：项目报审结算金额5101294.59元，审定金额5054208.65元。</w:t>
      </w:r>
    </w:p>
    <w:p>
      <w:pPr>
        <w:spacing w:line="500" w:lineRule="exact"/>
        <w:ind w:firstLine="560" w:firstLineChars="200"/>
        <w:rPr>
          <w:rFonts w:hint="eastAsia" w:ascii="Times New Roman" w:hAnsi="Times New Roman" w:eastAsia="仿宋_GB2312" w:cs="Times New Roman"/>
          <w:b/>
          <w:bCs/>
          <w:sz w:val="21"/>
          <w:szCs w:val="21"/>
          <w:lang w:val="en-US" w:eastAsia="zh-CN"/>
        </w:rPr>
      </w:pPr>
      <w:r>
        <w:rPr>
          <w:rFonts w:hint="eastAsia" w:ascii="Times New Roman" w:hAnsi="Times New Roman" w:eastAsia="仿宋" w:cs="Times New Roman"/>
          <w:kern w:val="0"/>
          <w:sz w:val="28"/>
          <w:szCs w:val="28"/>
          <w:shd w:val="clear" w:color="auto" w:fill="FFFFFF"/>
          <w:lang w:val="en-US" w:eastAsia="zh-CN"/>
        </w:rPr>
        <w:t>截止2021年12月31日，该项目已完工，但尚未出具《竣工验收报告》</w:t>
      </w:r>
      <w:r>
        <w:rPr>
          <w:rFonts w:hint="eastAsia" w:ascii="Times New Roman" w:hAnsi="Times New Roman" w:eastAsia="仿宋" w:cs="Times New Roman"/>
          <w:sz w:val="28"/>
          <w:szCs w:val="24"/>
          <w:lang w:val="en-US" w:eastAsia="zh-CN"/>
        </w:rPr>
        <w:t>。</w:t>
      </w:r>
    </w:p>
    <w:bookmarkEnd w:id="35"/>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36" w:name="_Toc514537336"/>
      <w:bookmarkStart w:id="37" w:name="_Toc5479"/>
      <w:r>
        <w:rPr>
          <w:rFonts w:hint="eastAsia" w:ascii="Times New Roman" w:hAnsi="Times New Roman" w:eastAsia="黑体" w:cs="Times New Roman"/>
          <w:bCs/>
          <w:kern w:val="44"/>
          <w:sz w:val="32"/>
          <w:szCs w:val="32"/>
        </w:rPr>
        <w:t>三、绩效评价工作情况</w:t>
      </w:r>
      <w:bookmarkEnd w:id="36"/>
      <w:bookmarkEnd w:id="37"/>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38" w:name="_Toc20818"/>
      <w:bookmarkStart w:id="39" w:name="_Toc514537337"/>
      <w:r>
        <w:rPr>
          <w:rFonts w:hint="eastAsia" w:ascii="仿宋" w:eastAsia="仿宋" w:cs="Times New Roman"/>
          <w:b/>
          <w:bCs/>
          <w:sz w:val="32"/>
          <w:szCs w:val="32"/>
        </w:rPr>
        <w:t>（一）绩效评价的目的</w:t>
      </w:r>
      <w:bookmarkEnd w:id="38"/>
      <w:bookmarkEnd w:id="39"/>
    </w:p>
    <w:p>
      <w:pPr>
        <w:spacing w:line="500" w:lineRule="exact"/>
        <w:ind w:firstLine="560" w:firstLineChars="200"/>
        <w:rPr>
          <w:rFonts w:hint="eastAsia" w:ascii="Times New Roman" w:hAnsi="Times New Roman" w:eastAsia="仿宋" w:cs="Times New Roman"/>
          <w:sz w:val="28"/>
          <w:szCs w:val="24"/>
          <w:lang w:val="en-US" w:eastAsia="zh-CN"/>
        </w:rPr>
      </w:pPr>
      <w:bookmarkStart w:id="40" w:name="_Toc514537338"/>
      <w:r>
        <w:rPr>
          <w:rFonts w:hint="eastAsia" w:ascii="Times New Roman" w:hAnsi="Times New Roman" w:eastAsia="仿宋" w:cs="Times New Roman"/>
          <w:sz w:val="28"/>
          <w:szCs w:val="24"/>
          <w:lang w:val="en-US" w:eastAsia="zh-CN"/>
        </w:rPr>
        <w:t>财政支出绩效评价旨在通过评价改善预算部门的财政支出管理，优化资源配置，提高公共服务水平。本次绩效评价遵循《预算法》、财政部《项目支出绩效评价管理办法》（财预〔2020〕10号）的有关规定，客观、全面、公正地评价城市中心公园建设项目。</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1、通过绩效评价，深入了解城市中心公园建设项目的决策、过程、产出和绩效方面的详细情况，从而发现问题，并提出改进意见，进一步提高资金使用效率，为政府决策和财政预算管理提供依据。</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2、督促、指导资金使用单位，严格按照政策规定用途使用资金，建立健全资金分配、管理制度，确保资金运行安全。</w:t>
      </w:r>
    </w:p>
    <w:p>
      <w:pPr>
        <w:spacing w:line="500" w:lineRule="exact"/>
        <w:ind w:firstLine="560" w:firstLineChars="200"/>
        <w:rPr>
          <w:rFonts w:ascii="仿宋_GB2312" w:eastAsia="仿宋_GB2312"/>
          <w:snapToGrid w:val="0"/>
          <w:sz w:val="32"/>
          <w:szCs w:val="32"/>
        </w:rPr>
      </w:pPr>
      <w:r>
        <w:rPr>
          <w:rFonts w:hint="eastAsia" w:ascii="Times New Roman" w:hAnsi="Times New Roman" w:eastAsia="仿宋" w:cs="Times New Roman"/>
          <w:sz w:val="28"/>
          <w:szCs w:val="24"/>
          <w:lang w:val="en-US" w:eastAsia="zh-CN"/>
        </w:rPr>
        <w:t>3、从绩效的角度发现该项目在决策、实施和管理过程中存在的问题，寻求解决方案，为进一步深化项目管理工作提供依据，提高各职能部门管理水平，加强规范化、制度化建设，建立健全目标化管理制度，推进预算绩效管理</w:t>
      </w:r>
      <w:r>
        <w:rPr>
          <w:rFonts w:hint="eastAsia" w:asci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41" w:name="_Toc23706"/>
      <w:r>
        <w:rPr>
          <w:rFonts w:hint="eastAsia" w:ascii="仿宋" w:eastAsia="仿宋" w:cs="Times New Roman"/>
          <w:b/>
          <w:bCs/>
          <w:sz w:val="32"/>
          <w:szCs w:val="32"/>
        </w:rPr>
        <w:t>（二）绩效评价的依据</w:t>
      </w:r>
      <w:bookmarkEnd w:id="40"/>
      <w:bookmarkEnd w:id="41"/>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bookmarkStart w:id="42" w:name="_Toc5073"/>
      <w:bookmarkStart w:id="43" w:name="_Toc21230"/>
      <w:bookmarkStart w:id="44" w:name="_Toc22158"/>
      <w:bookmarkStart w:id="45" w:name="_Toc28792"/>
      <w:bookmarkStart w:id="46" w:name="_Toc18935"/>
      <w:bookmarkStart w:id="47" w:name="_Toc528684135"/>
      <w:bookmarkStart w:id="48" w:name="_Toc528603069"/>
      <w:bookmarkStart w:id="49" w:name="_Toc29596"/>
      <w:bookmarkStart w:id="50" w:name="_Toc13471"/>
      <w:bookmarkStart w:id="51" w:name="_Toc28002"/>
      <w:bookmarkStart w:id="52" w:name="_Toc18611"/>
      <w:bookmarkStart w:id="53" w:name="_Toc528680460"/>
      <w:r>
        <w:rPr>
          <w:rFonts w:hint="eastAsia" w:ascii="Times New Roman" w:hAnsi="Times New Roman" w:eastAsia="仿宋" w:cs="Times New Roman"/>
          <w:kern w:val="0"/>
          <w:sz w:val="28"/>
          <w:szCs w:val="28"/>
          <w:shd w:val="clear" w:color="auto" w:fill="FFFFFF"/>
          <w:lang w:val="en-US" w:eastAsia="zh-CN"/>
        </w:rPr>
        <w:t>1、《中华人民共和国预算法》（2018年12月29日第十三届全国人民代表大会常务委员会第七次会议通过第十三届全国人民代表大会常务委员会第七次会议决定:对《中华人民共和国预算法》作出修改）；</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2、《中华人民共和国预算法实施条例》（中华人民共和国国务院令第729号，自2020年10月1日起施行）；</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3、财政部《关于贯彻落实&lt;中共中央国务院关于全面实施预算绩效管理的意见&gt;的通知》（财预〔2018〕167号）；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4、财政部关于印发《项目支出绩效评价管理办法》的通知（财预〔2020〕10号）；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5、《中共中央国务院关于全面实施预算绩效管理的意见》(中发〔2018〕34号)；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6、《中共山西省委山西省人民政府关于全面实施预算绩效管理的实施意见》（晋发〔2018〕39号）；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7、山西省财政厅关于贯彻落实《中共山西省委山西省人民政府关于全面实施预算绩效管理的实施意见》的通知（晋财绩〔2019〕12号）；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8、《古县财政局关于印发&lt;2022年度财政重点绩效评价实施方案&gt;的通知》（古财字〔2022〕27号）；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9、其他有关的法律、法规、规章和规范性文件；</w:t>
      </w:r>
    </w:p>
    <w:p>
      <w:pPr>
        <w:spacing w:line="500" w:lineRule="exact"/>
        <w:ind w:firstLine="560" w:firstLineChars="200"/>
        <w:rPr>
          <w:rFonts w:ascii="仿宋_GB2312" w:eastAsia="仿宋_GB2312" w:cs="仿宋_GB2312"/>
          <w:shd w:val="clear" w:color="auto" w:fill="FFFFFF"/>
        </w:rPr>
      </w:pPr>
      <w:r>
        <w:rPr>
          <w:rFonts w:hint="eastAsia" w:ascii="Times New Roman" w:hAnsi="Times New Roman" w:eastAsia="仿宋" w:cs="Times New Roman"/>
          <w:kern w:val="0"/>
          <w:sz w:val="28"/>
          <w:szCs w:val="28"/>
          <w:shd w:val="clear" w:color="auto" w:fill="FFFFFF"/>
          <w:lang w:val="en-US" w:eastAsia="zh-CN"/>
        </w:rPr>
        <w:t>10、与绩效评价相关的其他资料</w:t>
      </w:r>
      <w:r>
        <w:rPr>
          <w:rFonts w:ascii="Times New Roman" w:hAnsi="Times New Roman" w:eastAsia="仿宋" w:cs="Times New Roman"/>
          <w:sz w:val="28"/>
          <w:szCs w:val="28"/>
          <w:shd w:val="clear" w:color="auto" w:fill="FFFFFF"/>
        </w:rPr>
        <w:t>。</w:t>
      </w:r>
      <w:bookmarkEnd w:id="42"/>
      <w:bookmarkEnd w:id="43"/>
      <w:bookmarkEnd w:id="44"/>
      <w:bookmarkEnd w:id="45"/>
      <w:bookmarkEnd w:id="46"/>
      <w:bookmarkEnd w:id="47"/>
      <w:bookmarkEnd w:id="48"/>
      <w:bookmarkEnd w:id="49"/>
      <w:bookmarkEnd w:id="50"/>
      <w:bookmarkEnd w:id="51"/>
      <w:bookmarkEnd w:id="52"/>
      <w:bookmarkEnd w:id="53"/>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54" w:name="_Toc522961240"/>
      <w:bookmarkStart w:id="55" w:name="_Toc19392"/>
      <w:r>
        <w:rPr>
          <w:rFonts w:hint="eastAsia" w:ascii="仿宋" w:eastAsia="仿宋" w:cs="Times New Roman"/>
          <w:b/>
          <w:bCs/>
          <w:sz w:val="32"/>
          <w:szCs w:val="32"/>
        </w:rPr>
        <w:t>（三）评价对象和范围</w:t>
      </w:r>
      <w:bookmarkEnd w:id="54"/>
      <w:bookmarkEnd w:id="55"/>
    </w:p>
    <w:p>
      <w:pPr>
        <w:pStyle w:val="16"/>
        <w:shd w:val="clear" w:color="auto" w:fill="auto"/>
        <w:spacing w:line="574" w:lineRule="exact"/>
        <w:ind w:firstLine="562" w:firstLineChars="200"/>
        <w:jc w:val="both"/>
        <w:rPr>
          <w:rFonts w:hint="eastAsia" w:ascii="仿宋" w:eastAsia="仿宋" w:cs="仿宋"/>
          <w:b/>
          <w:bCs w:val="0"/>
          <w:sz w:val="28"/>
          <w:szCs w:val="28"/>
        </w:rPr>
      </w:pPr>
      <w:bookmarkStart w:id="56" w:name="_Toc450549936"/>
      <w:bookmarkStart w:id="57" w:name="_Toc469065888"/>
      <w:bookmarkStart w:id="58" w:name="_Toc469065546"/>
      <w:bookmarkStart w:id="59" w:name="_Toc469065636"/>
      <w:r>
        <w:rPr>
          <w:rFonts w:hint="eastAsia" w:ascii="仿宋" w:eastAsia="仿宋" w:cs="仿宋"/>
          <w:b/>
          <w:bCs w:val="0"/>
          <w:sz w:val="28"/>
          <w:szCs w:val="28"/>
        </w:rPr>
        <w:t>1、评价对象</w:t>
      </w:r>
    </w:p>
    <w:p>
      <w:pPr>
        <w:spacing w:line="500" w:lineRule="exact"/>
        <w:ind w:firstLine="560" w:firstLineChars="200"/>
        <w:rPr>
          <w:rFonts w:hint="eastAsia" w:ascii="仿宋" w:eastAsia="仿宋" w:cs="仿宋"/>
          <w:b w:val="0"/>
          <w:bCs/>
          <w:sz w:val="28"/>
          <w:szCs w:val="28"/>
        </w:rPr>
      </w:pPr>
      <w:r>
        <w:rPr>
          <w:rFonts w:hint="eastAsia" w:ascii="Times New Roman" w:hAnsi="Times New Roman" w:eastAsia="仿宋" w:cs="Times New Roman"/>
          <w:sz w:val="28"/>
          <w:szCs w:val="28"/>
        </w:rPr>
        <w:t>本次绩效评价对象为“</w:t>
      </w:r>
      <w:r>
        <w:rPr>
          <w:rFonts w:hint="eastAsia" w:ascii="Times New Roman" w:hAnsi="Times New Roman" w:eastAsia="仿宋" w:cs="Times New Roman"/>
          <w:sz w:val="28"/>
          <w:szCs w:val="28"/>
          <w:lang w:eastAsia="zh-CN"/>
        </w:rPr>
        <w:t>城市中心公园建设项目</w:t>
      </w:r>
      <w:r>
        <w:rPr>
          <w:rFonts w:hint="eastAsia" w:ascii="Times New Roman" w:hAnsi="Times New Roman" w:eastAsia="仿宋" w:cs="Times New Roman"/>
          <w:sz w:val="28"/>
          <w:szCs w:val="24"/>
          <w:lang w:val="en-US" w:eastAsia="zh-CN"/>
        </w:rPr>
        <w:t>资金505.42万元</w:t>
      </w:r>
      <w:r>
        <w:rPr>
          <w:rFonts w:hint="eastAsia" w:ascii="Times New Roman" w:hAnsi="Times New Roman" w:eastAsia="仿宋" w:cs="Times New Roman"/>
          <w:sz w:val="28"/>
          <w:szCs w:val="28"/>
        </w:rPr>
        <w:t>”</w:t>
      </w:r>
      <w:r>
        <w:rPr>
          <w:rFonts w:hint="eastAsia" w:ascii="仿宋" w:eastAsia="仿宋" w:cs="仿宋"/>
          <w:b w:val="0"/>
          <w:bCs/>
          <w:sz w:val="28"/>
          <w:szCs w:val="28"/>
        </w:rPr>
        <w:t>。</w:t>
      </w:r>
    </w:p>
    <w:p>
      <w:pPr>
        <w:pStyle w:val="16"/>
        <w:shd w:val="clear" w:color="auto" w:fill="auto"/>
        <w:spacing w:line="574" w:lineRule="exact"/>
        <w:ind w:firstLine="562" w:firstLineChars="200"/>
        <w:jc w:val="both"/>
        <w:rPr>
          <w:rFonts w:hint="eastAsia" w:ascii="仿宋" w:eastAsia="仿宋" w:cs="仿宋"/>
          <w:b/>
          <w:bCs w:val="0"/>
          <w:sz w:val="28"/>
          <w:szCs w:val="28"/>
        </w:rPr>
      </w:pPr>
      <w:r>
        <w:rPr>
          <w:rFonts w:hint="eastAsia" w:ascii="仿宋" w:eastAsia="仿宋" w:cs="仿宋"/>
          <w:b/>
          <w:bCs w:val="0"/>
          <w:sz w:val="28"/>
          <w:szCs w:val="28"/>
        </w:rPr>
        <w:t>2、评价范围</w:t>
      </w:r>
    </w:p>
    <w:p>
      <w:pPr>
        <w:pStyle w:val="16"/>
        <w:shd w:val="clear" w:color="auto" w:fill="auto"/>
        <w:spacing w:line="574" w:lineRule="exact"/>
        <w:ind w:firstLine="560" w:firstLineChars="200"/>
        <w:jc w:val="both"/>
        <w:rPr>
          <w:rFonts w:hint="eastAsia" w:ascii="Times New Roman" w:hAnsi="Times New Roman" w:eastAsia="仿宋" w:cs="Times New Roman"/>
          <w:b w:val="0"/>
          <w:bCs/>
          <w:kern w:val="0"/>
          <w:sz w:val="28"/>
          <w:szCs w:val="28"/>
          <w:lang w:val="en-US" w:eastAsia="zh-CN" w:bidi="ar-SA"/>
        </w:rPr>
      </w:pPr>
      <w:r>
        <w:rPr>
          <w:rFonts w:hint="eastAsia" w:ascii="Times New Roman" w:hAnsi="Times New Roman" w:eastAsia="仿宋" w:cs="Times New Roman"/>
          <w:kern w:val="2"/>
          <w:sz w:val="28"/>
          <w:szCs w:val="28"/>
          <w:lang w:val="en-US" w:eastAsia="zh-CN" w:bidi="ar-SA"/>
        </w:rPr>
        <w:t>本次评价的范围是城市中心公园建设项目。评价其绩效目标设定情况，资金投入和使用情况，为实现设定的绩效目标所制定的制度、采取的措施等，以及绩效目标最终的实现程度及效果</w:t>
      </w:r>
      <w:r>
        <w:rPr>
          <w:rFonts w:hint="eastAsia" w:ascii="仿宋" w:eastAsia="仿宋" w:cs="仿宋"/>
          <w:b w:val="0"/>
          <w:bCs/>
          <w:kern w:val="0"/>
          <w:sz w:val="28"/>
          <w:szCs w:val="28"/>
          <w:lang w:val="en-US" w:eastAsia="zh-CN" w:bidi="ar-SA"/>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60" w:name="_Toc479102135"/>
      <w:bookmarkStart w:id="61" w:name="_Toc21419"/>
      <w:bookmarkStart w:id="62" w:name="_Toc522961241"/>
      <w:r>
        <w:rPr>
          <w:rFonts w:hint="eastAsia" w:ascii="仿宋" w:eastAsia="仿宋" w:cs="Times New Roman"/>
          <w:b/>
          <w:bCs/>
          <w:sz w:val="32"/>
          <w:szCs w:val="32"/>
        </w:rPr>
        <w:t>（四）</w:t>
      </w:r>
      <w:bookmarkEnd w:id="56"/>
      <w:bookmarkEnd w:id="57"/>
      <w:bookmarkEnd w:id="58"/>
      <w:bookmarkEnd w:id="59"/>
      <w:bookmarkEnd w:id="60"/>
      <w:r>
        <w:rPr>
          <w:rFonts w:hint="eastAsia" w:ascii="仿宋" w:eastAsia="仿宋" w:cs="Times New Roman"/>
          <w:b/>
          <w:bCs/>
          <w:sz w:val="32"/>
          <w:szCs w:val="32"/>
        </w:rPr>
        <w:t>绩效评价基准日</w:t>
      </w:r>
      <w:bookmarkEnd w:id="61"/>
      <w:bookmarkEnd w:id="62"/>
    </w:p>
    <w:p>
      <w:pPr>
        <w:pStyle w:val="17"/>
        <w:spacing w:line="574" w:lineRule="exact"/>
        <w:ind w:firstLine="560" w:firstLineChars="200"/>
        <w:outlineLvl w:val="9"/>
        <w:rPr>
          <w:rFonts w:hint="eastAsia" w:ascii="Times New Roman" w:hAnsi="Times New Roman" w:eastAsia="仿宋" w:cs="Times New Roman"/>
          <w:bCs/>
          <w:kern w:val="0"/>
          <w:sz w:val="28"/>
          <w:szCs w:val="28"/>
          <w:lang w:val="en-US" w:eastAsia="zh-CN" w:bidi="ar-SA"/>
        </w:rPr>
      </w:pPr>
      <w:bookmarkStart w:id="63" w:name="_Toc14966"/>
      <w:bookmarkStart w:id="64" w:name="_Toc11974"/>
      <w:bookmarkStart w:id="65" w:name="_Toc1333"/>
      <w:bookmarkStart w:id="66" w:name="_Toc16028"/>
      <w:bookmarkStart w:id="67" w:name="_Toc6328"/>
      <w:r>
        <w:rPr>
          <w:rFonts w:hint="eastAsia" w:ascii="Times New Roman" w:hAnsi="Times New Roman" w:eastAsia="仿宋" w:cs="Times New Roman"/>
          <w:bCs w:val="0"/>
          <w:kern w:val="2"/>
          <w:sz w:val="28"/>
          <w:szCs w:val="24"/>
          <w:lang w:val="en-US" w:eastAsia="zh-CN" w:bidi="ar-SA"/>
        </w:rPr>
        <w:t>依据科学规范、公平公正、分级分类和绩效相关四项原则，从决策、过程、产出、效益四方面对项目进行评价。评价基准日为</w:t>
      </w:r>
      <w:r>
        <w:rPr>
          <w:rFonts w:hint="eastAsia" w:eastAsia="仿宋" w:cs="Times New Roman"/>
          <w:bCs w:val="0"/>
          <w:kern w:val="2"/>
          <w:sz w:val="28"/>
          <w:szCs w:val="24"/>
          <w:lang w:val="en-US" w:eastAsia="zh-CN" w:bidi="ar-SA"/>
        </w:rPr>
        <w:t>2021</w:t>
      </w:r>
      <w:r>
        <w:rPr>
          <w:rFonts w:hint="eastAsia" w:ascii="Times New Roman" w:hAnsi="Times New Roman" w:eastAsia="仿宋" w:cs="Times New Roman"/>
          <w:bCs w:val="0"/>
          <w:kern w:val="2"/>
          <w:sz w:val="28"/>
          <w:szCs w:val="24"/>
          <w:lang w:val="en-US" w:eastAsia="zh-CN" w:bidi="ar-SA"/>
        </w:rPr>
        <w:t>年12月31日</w:t>
      </w:r>
      <w:r>
        <w:rPr>
          <w:rFonts w:hint="eastAsia" w:ascii="Times New Roman" w:hAnsi="Times New Roman" w:eastAsia="仿宋" w:cs="Times New Roman"/>
          <w:bCs/>
          <w:kern w:val="0"/>
          <w:sz w:val="28"/>
          <w:szCs w:val="28"/>
          <w:lang w:val="en-US" w:eastAsia="zh-CN" w:bidi="ar-SA"/>
        </w:rPr>
        <w:t>。</w:t>
      </w:r>
      <w:bookmarkEnd w:id="63"/>
      <w:bookmarkEnd w:id="64"/>
      <w:bookmarkEnd w:id="65"/>
      <w:bookmarkEnd w:id="66"/>
      <w:bookmarkEnd w:id="67"/>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68" w:name="_Toc514537339"/>
      <w:bookmarkStart w:id="69" w:name="_Toc28943"/>
      <w:bookmarkStart w:id="70" w:name="_Toc519354505"/>
      <w:r>
        <w:rPr>
          <w:rFonts w:hint="eastAsia" w:ascii="仿宋" w:eastAsia="仿宋" w:cs="Times New Roman"/>
          <w:b/>
          <w:bCs/>
          <w:sz w:val="32"/>
          <w:szCs w:val="32"/>
        </w:rPr>
        <w:t>（五）</w:t>
      </w:r>
      <w:bookmarkEnd w:id="68"/>
      <w:r>
        <w:rPr>
          <w:rFonts w:hint="eastAsia" w:ascii="仿宋" w:eastAsia="仿宋" w:cs="Times New Roman"/>
          <w:b/>
          <w:bCs/>
          <w:sz w:val="32"/>
          <w:szCs w:val="32"/>
        </w:rPr>
        <w:t>绩效评价的原则</w:t>
      </w:r>
      <w:bookmarkEnd w:id="69"/>
      <w:bookmarkEnd w:id="70"/>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项目评价过程中，我机构严格按照《财政部关于印发&lt;第三方机构预算绩效评价业务监督管理暂行办法&gt;的通知》（财监〔2021〕4号）要求，遵循以下基本原则：</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（1）独立原则。在委托方和被评价对象提供工作便利条件和相关资料情况下独立完成委托事项。</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（2）客观原则。按照与委托方签订的协议（合同）约定事项客观公正、实事求是地开展预算绩效评价，不得出具不实预算绩效评价报告。</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（3）规范原则。履行必要评价程序，合理选取具有代表性的样本，对原始资料进行必要的核查验证，形成结论并出具预算绩效评价报告。</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71" w:name="_Toc27356"/>
      <w:bookmarkStart w:id="72" w:name="_Toc519354506"/>
      <w:r>
        <w:rPr>
          <w:rFonts w:hint="eastAsia" w:ascii="仿宋" w:eastAsia="仿宋" w:cs="Times New Roman"/>
          <w:b/>
          <w:bCs/>
          <w:sz w:val="32"/>
          <w:szCs w:val="32"/>
        </w:rPr>
        <w:t>（六）绩效评价的方法</w:t>
      </w:r>
      <w:bookmarkEnd w:id="71"/>
      <w:bookmarkEnd w:id="72"/>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本次绩效评价主要运用比较法、因素分析法、成本效益分析法、公众评判法等方法，本着科学价值导向、客观公正、综合分析、群众满意、绩效相关评价原则，按照从决策、过程、产出和效果的绩效逻辑路径，结合本项目的实际开展情况，通过指标设计和量化分析检验项目资金的效果和效益。从决策、过程、产出、效益等方面，综合考察项目的完成情况、取得的成绩及效益，运用定量和定性分析相结合的方法，总结经验做法，反思项目实施和管理中的问题，以切实提升财政资金管理的科学化、规范化和精细化水平。</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1、成本效益分析法：是指将城市中心公园建设项目的决策与产出、效益进行关联性分析，考察项目预算编制、资金分配对产出、效益的影响。</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比较法：是指通过对绩效目标与实施效果的比较，综合分析绩效目标的实现程度。本次评价工作，通过城市中心公园建设项目实际产出与计划产出之间的比较，资金实际绩效与目标绩效之间的比较，资金使用状况与设定评价标准之间的比较等，对资金进行综合评价。</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3、因素分析法：是指通过综合分析影响绩效目标实现、实施效果的内外因素，评价绩效目标实现程度。城市中心公园建设项目绩效评价，主要从决策、过程、产出、效益四个层面的因素展开分析评价。</w:t>
      </w:r>
    </w:p>
    <w:p>
      <w:pPr>
        <w:spacing w:line="500" w:lineRule="exact"/>
        <w:ind w:firstLine="560" w:firstLineChars="200"/>
        <w:rPr>
          <w:rFonts w:ascii="仿宋_GB2312" w:eastAsia="仿宋_GB2312"/>
          <w:snapToGrid w:val="0"/>
          <w:sz w:val="32"/>
          <w:szCs w:val="32"/>
          <w:highlight w:val="yellow"/>
        </w:rPr>
      </w:pPr>
      <w:r>
        <w:rPr>
          <w:rFonts w:hint="eastAsia" w:ascii="Times New Roman" w:hAnsi="Times New Roman" w:eastAsia="仿宋" w:cs="Times New Roman"/>
          <w:bCs w:val="0"/>
          <w:kern w:val="2"/>
          <w:sz w:val="28"/>
          <w:szCs w:val="28"/>
          <w:lang w:val="en-US" w:eastAsia="zh-CN" w:bidi="ar-SA"/>
        </w:rPr>
        <w:t>4、公众评判法：是指通过专家评估、访谈及调查问卷等对项目效果进行评判，评价绩效目标实现程度。本次评价所涉及满意度调查对象为城市中心公园建设项目受益群体，通过发放调查问卷的形式了解调查对象满意度，反映财政支出的效果</w:t>
      </w:r>
      <w:r>
        <w:rPr>
          <w:rFonts w:hint="eastAsia" w:ascii="仿宋_GB2312" w:eastAsia="仿宋_GB2312"/>
          <w:snapToGrid w:val="0"/>
          <w:sz w:val="32"/>
          <w:szCs w:val="32"/>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73" w:name="_Toc514537340"/>
      <w:bookmarkStart w:id="74" w:name="_Toc18733"/>
      <w:bookmarkStart w:id="75" w:name="_Toc519354507"/>
      <w:r>
        <w:rPr>
          <w:rFonts w:hint="eastAsia" w:ascii="仿宋" w:eastAsia="仿宋" w:cs="Times New Roman"/>
          <w:b/>
          <w:bCs/>
          <w:sz w:val="32"/>
          <w:szCs w:val="32"/>
        </w:rPr>
        <w:t>（七）评价指标体系</w:t>
      </w:r>
      <w:bookmarkEnd w:id="73"/>
      <w:bookmarkEnd w:id="74"/>
      <w:bookmarkEnd w:id="75"/>
    </w:p>
    <w:p>
      <w:pPr>
        <w:spacing w:line="500" w:lineRule="exact"/>
        <w:ind w:firstLine="560" w:firstLineChars="200"/>
        <w:rPr>
          <w:rFonts w:ascii="Times New Roman" w:hAnsi="Times New Roman" w:eastAsia="仿宋" w:cs="Times New Roman"/>
          <w:bCs w:val="0"/>
          <w:kern w:val="2"/>
          <w:sz w:val="28"/>
          <w:szCs w:val="28"/>
          <w:lang w:val="en-US" w:eastAsia="zh-CN" w:bidi="ar-SA"/>
        </w:rPr>
      </w:pPr>
      <w:bookmarkStart w:id="76" w:name="_Toc469065895"/>
      <w:bookmarkStart w:id="77" w:name="_Toc469065553"/>
      <w:bookmarkStart w:id="78" w:name="_Toc450549943"/>
      <w:bookmarkStart w:id="79" w:name="_Toc469065643"/>
      <w:r>
        <w:rPr>
          <w:rFonts w:hint="eastAsia" w:ascii="Times New Roman" w:hAnsi="Times New Roman" w:eastAsia="仿宋" w:cs="Times New Roman"/>
          <w:bCs w:val="0"/>
          <w:kern w:val="2"/>
          <w:sz w:val="28"/>
          <w:szCs w:val="28"/>
          <w:lang w:val="en-US" w:eastAsia="zh-CN" w:bidi="ar-SA"/>
        </w:rPr>
        <w:t>参考财政部《项目支出绩效评价管理办法》（财预〔2020〕10号）等文件要求，本次评价从城市中心公园建设项目支出着手，根据绩效评价的基本原理、原则和项目特点，综合考虑项目背景、绩效目标、预算资金的投入与使用情况等内容，评价小组按照逻辑分析法，从科学性、客观性与可执行性角度出发，设计项目的绩效评价指标体系。指标体系从决策、过程、产出与效益四个方面进行考核</w:t>
      </w:r>
      <w:r>
        <w:rPr>
          <w:rFonts w:ascii="Times New Roman" w:hAnsi="Times New Roman" w:eastAsia="仿宋" w:cs="Times New Roman"/>
          <w:bCs w:val="0"/>
          <w:kern w:val="2"/>
          <w:sz w:val="28"/>
          <w:szCs w:val="28"/>
          <w:lang w:val="en-US" w:eastAsia="zh-CN" w:bidi="ar-SA"/>
        </w:rPr>
        <w:t>。</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城市中心公园建设项目资金绩效评价体系主要包括4项一级指标、12项二级指标、19项三级指标。主要内容为：</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1、决策指标：主要考核项目立项是否规范，设立的绩效目标是否合理，绩效指标是否明确，预算编制是否科学，资金分配是否合理。包括3个二级指标，6个三级指标（根据项目特点进行细化）。</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2、过程指标：主要考核项目单位资金是否按计划到位，预算执行是否按照计划执行，资金使用是否合规，是否建立健全管理制度，财务制度是否健全，制度执行是否有效。包括2个二级指标，5个三级指标。</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3、产出指标：主要考核项目是否按计划要求完成，实施进度是否与计划一致，质量达标情况，项目完工及时性，资金是否存在超支。包括4个二级指标，5个三级指标。</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kern w:val="0"/>
          <w:sz w:val="28"/>
          <w:szCs w:val="28"/>
          <w:shd w:val="clear" w:color="auto" w:fill="FFFFFF"/>
          <w:lang w:val="en-US" w:eastAsia="zh-CN"/>
        </w:rPr>
        <w:t>4、效益指标：主要从社会效益、可持续影响、服务对象满意度三方面来评价项目效益。具体考核社会效益、可持续影响、服务对象满意度。包括3个二级指标，3个三级指标</w:t>
      </w:r>
      <w:r>
        <w:rPr>
          <w:rFonts w:hint="eastAsia" w:ascii="Times New Roman" w:hAnsi="Times New Roman" w:eastAsia="仿宋" w:cs="Times New Roman"/>
          <w:bCs w:val="0"/>
          <w:kern w:val="2"/>
          <w:sz w:val="28"/>
          <w:szCs w:val="28"/>
          <w:lang w:val="en-US" w:eastAsia="zh-CN" w:bidi="ar-SA"/>
        </w:rPr>
        <w:t>。</w:t>
      </w:r>
    </w:p>
    <w:p>
      <w:pPr>
        <w:spacing w:line="500" w:lineRule="exact"/>
        <w:ind w:firstLine="560" w:firstLineChars="200"/>
        <w:rPr>
          <w:rFonts w:hint="eastAsia" w:ascii="仿宋" w:eastAsia="仿宋" w:cs="仿宋"/>
          <w:snapToGrid w:val="0"/>
          <w:sz w:val="28"/>
          <w:szCs w:val="28"/>
          <w:lang w:eastAsia="zh-CN"/>
        </w:rPr>
      </w:pPr>
      <w:r>
        <w:rPr>
          <w:rFonts w:hint="eastAsia" w:ascii="Times New Roman" w:hAnsi="Times New Roman" w:eastAsia="仿宋" w:cs="Times New Roman"/>
          <w:bCs w:val="0"/>
          <w:kern w:val="2"/>
          <w:sz w:val="28"/>
          <w:szCs w:val="28"/>
          <w:lang w:val="en-US" w:eastAsia="zh-CN" w:bidi="ar-SA"/>
        </w:rPr>
        <w:t>本次绩效评价项目根据财政部关于印发《项目支出绩效评价管理办法》的通知（财预〔2020〕10号）要求，及以往项目支出绩效评价指标体系权重的工作经验对评价指标所代表的价值进行判断，重点考核项目产出和效益，最终确定决策类指标权重占比20%，过程类指标权重占比20%，产出类指标权重占比30%，效益类指标权重占比30%。并根据二、三级指标与绩效目标的匹配性、在指标中的重要性</w:t>
      </w:r>
      <w:bookmarkStart w:id="184" w:name="_GoBack"/>
      <w:bookmarkEnd w:id="184"/>
      <w:r>
        <w:rPr>
          <w:rFonts w:hint="eastAsia" w:ascii="Times New Roman" w:hAnsi="Times New Roman" w:eastAsia="仿宋" w:cs="Times New Roman"/>
          <w:bCs w:val="0"/>
          <w:kern w:val="2"/>
          <w:sz w:val="28"/>
          <w:szCs w:val="28"/>
          <w:lang w:val="en-US" w:eastAsia="zh-CN" w:bidi="ar-SA"/>
        </w:rPr>
        <w:t>以及对一级指标的影响程度来合理确定评价指标的权重比例结构</w:t>
      </w:r>
      <w:r>
        <w:rPr>
          <w:rFonts w:hint="eastAsia" w:ascii="仿宋" w:eastAsia="仿宋" w:cs="仿宋"/>
          <w:snapToGrid w:val="0"/>
          <w:sz w:val="28"/>
          <w:szCs w:val="28"/>
          <w:lang w:eastAsia="zh-CN"/>
        </w:rPr>
        <w:t>。</w:t>
      </w:r>
    </w:p>
    <w:bookmarkEnd w:id="76"/>
    <w:bookmarkEnd w:id="77"/>
    <w:bookmarkEnd w:id="78"/>
    <w:bookmarkEnd w:id="79"/>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仿宋"/>
          <w:b/>
          <w:snapToGrid w:val="0"/>
          <w:sz w:val="28"/>
          <w:szCs w:val="28"/>
        </w:rPr>
      </w:pPr>
      <w:bookmarkStart w:id="80" w:name="_Toc519354508"/>
      <w:bookmarkStart w:id="81" w:name="_Toc25086"/>
      <w:bookmarkStart w:id="82" w:name="_Toc514537341"/>
      <w:r>
        <w:rPr>
          <w:rFonts w:hint="eastAsia" w:ascii="仿宋" w:eastAsia="仿宋" w:cs="Times New Roman"/>
          <w:b/>
          <w:bCs/>
          <w:sz w:val="32"/>
          <w:szCs w:val="32"/>
        </w:rPr>
        <w:t>（八）绩效评价工作组织</w:t>
      </w:r>
      <w:bookmarkEnd w:id="80"/>
      <w:bookmarkEnd w:id="81"/>
      <w:bookmarkEnd w:id="82"/>
    </w:p>
    <w:p>
      <w:pPr>
        <w:spacing w:line="500" w:lineRule="exact"/>
        <w:ind w:firstLine="562" w:firstLineChars="200"/>
        <w:rPr>
          <w:rFonts w:hint="eastAsia" w:ascii="Times New Roman" w:hAnsi="Times New Roman" w:eastAsia="仿宋" w:cs="Times New Roman"/>
          <w:b/>
          <w:bCs/>
          <w:kern w:val="2"/>
          <w:sz w:val="28"/>
          <w:szCs w:val="28"/>
          <w:lang w:val="en-US" w:eastAsia="zh-CN" w:bidi="ar-SA"/>
        </w:rPr>
      </w:pPr>
      <w:bookmarkStart w:id="83" w:name="_Toc479102151"/>
      <w:bookmarkStart w:id="84" w:name="_Toc5559623"/>
      <w:bookmarkStart w:id="85" w:name="_Toc469065900"/>
      <w:bookmarkStart w:id="86" w:name="_Toc469065648"/>
      <w:bookmarkStart w:id="87" w:name="_Toc19406"/>
      <w:bookmarkStart w:id="88" w:name="_Toc469065558"/>
      <w:r>
        <w:rPr>
          <w:rFonts w:hint="eastAsia" w:ascii="Times New Roman" w:hAnsi="Times New Roman" w:eastAsia="仿宋" w:cs="Times New Roman"/>
          <w:b/>
          <w:bCs/>
          <w:kern w:val="2"/>
          <w:sz w:val="28"/>
          <w:szCs w:val="28"/>
          <w:lang w:val="en-US" w:eastAsia="zh-CN" w:bidi="ar-SA"/>
        </w:rPr>
        <w:t>1、组织框架</w:t>
      </w:r>
      <w:bookmarkEnd w:id="83"/>
      <w:bookmarkEnd w:id="84"/>
      <w:bookmarkEnd w:id="85"/>
      <w:bookmarkEnd w:id="86"/>
      <w:bookmarkEnd w:id="87"/>
      <w:bookmarkEnd w:id="88"/>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为使绩效评价工作顺利开展，成立绩效评价项目评价组，评价组主要负责现场勘察，包括查阅收集相关的制度文件、财务资料等，开展问卷调查，撰写绩效评价方案和绩效评价报告等工作。具体人员及分工如表3-1所示。</w:t>
      </w:r>
    </w:p>
    <w:p>
      <w:pPr>
        <w:autoSpaceDE w:val="0"/>
        <w:autoSpaceDN w:val="0"/>
        <w:adjustRightInd w:val="0"/>
        <w:spacing w:line="500" w:lineRule="exact"/>
        <w:jc w:val="center"/>
        <w:rPr>
          <w:rFonts w:ascii="Times New Roman" w:hAnsi="Times New Roman" w:eastAsia="仿宋" w:cs="Times New Roman"/>
          <w:b/>
          <w:color w:val="000000"/>
          <w:sz w:val="28"/>
          <w:szCs w:val="28"/>
        </w:rPr>
      </w:pPr>
      <w:r>
        <w:rPr>
          <w:rFonts w:ascii="Times New Roman" w:hAnsi="Times New Roman" w:eastAsia="仿宋" w:cs="Times New Roman"/>
          <w:b/>
          <w:bCs/>
          <w:color w:val="000000"/>
          <w:kern w:val="0"/>
          <w:sz w:val="24"/>
          <w:szCs w:val="28"/>
        </w:rPr>
        <w:t>表</w:t>
      </w:r>
      <w:r>
        <w:rPr>
          <w:rFonts w:hint="eastAsia" w:ascii="Times New Roman" w:hAnsi="Times New Roman" w:eastAsia="仿宋" w:cs="Times New Roman"/>
          <w:b/>
          <w:bCs/>
          <w:color w:val="000000"/>
          <w:kern w:val="0"/>
          <w:sz w:val="24"/>
          <w:szCs w:val="28"/>
          <w:lang w:val="en-US" w:eastAsia="zh-CN"/>
        </w:rPr>
        <w:t>3</w:t>
      </w:r>
      <w:r>
        <w:rPr>
          <w:rFonts w:ascii="Times New Roman" w:hAnsi="Times New Roman" w:eastAsia="仿宋" w:cs="Times New Roman"/>
          <w:b/>
          <w:bCs/>
          <w:color w:val="000000"/>
          <w:kern w:val="0"/>
          <w:sz w:val="24"/>
          <w:szCs w:val="28"/>
        </w:rPr>
        <w:t>-1</w:t>
      </w:r>
      <w:r>
        <w:rPr>
          <w:rFonts w:hint="eastAsia" w:ascii="Times New Roman" w:hAnsi="Times New Roman" w:eastAsia="仿宋" w:cs="Times New Roman"/>
          <w:b/>
          <w:bCs/>
          <w:color w:val="000000"/>
          <w:kern w:val="0"/>
          <w:sz w:val="24"/>
          <w:szCs w:val="28"/>
        </w:rPr>
        <w:t xml:space="preserve">  评价</w:t>
      </w:r>
      <w:r>
        <w:rPr>
          <w:rFonts w:hint="eastAsia" w:ascii="Times New Roman" w:hAnsi="Times New Roman" w:eastAsia="仿宋" w:cs="Times New Roman"/>
          <w:b/>
          <w:bCs/>
          <w:color w:val="000000"/>
          <w:kern w:val="0"/>
          <w:sz w:val="24"/>
          <w:szCs w:val="28"/>
          <w:lang w:val="en-US" w:eastAsia="zh-CN" w:bidi="ar-SA"/>
        </w:rPr>
        <w:t>工作组</w:t>
      </w:r>
      <w:r>
        <w:rPr>
          <w:rFonts w:hint="eastAsia" w:ascii="Times New Roman" w:hAnsi="Times New Roman" w:eastAsia="仿宋" w:cs="Times New Roman"/>
          <w:b/>
          <w:bCs/>
          <w:color w:val="000000"/>
          <w:kern w:val="0"/>
          <w:sz w:val="24"/>
          <w:szCs w:val="28"/>
        </w:rPr>
        <w:t>及人员分工</w:t>
      </w:r>
    </w:p>
    <w:tbl>
      <w:tblPr>
        <w:tblStyle w:val="19"/>
        <w:tblpPr w:leftFromText="180" w:rightFromText="180" w:vertAnchor="text" w:tblpXSpec="left" w:tblpY="1"/>
        <w:tblOverlap w:val="never"/>
        <w:tblW w:w="0" w:type="auto"/>
        <w:tblInd w:w="0"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autofit"/>
        <w:tblCellMar>
          <w:top w:w="0" w:type="dxa"/>
          <w:left w:w="108" w:type="dxa"/>
          <w:bottom w:w="0" w:type="dxa"/>
          <w:right w:w="108" w:type="dxa"/>
        </w:tblCellMar>
      </w:tblPr>
      <w:tblGrid>
        <w:gridCol w:w="1809"/>
        <w:gridCol w:w="1843"/>
        <w:gridCol w:w="4678"/>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shd w:val="clear" w:color="auto" w:fill="BEBEBE"/>
            <w:noWrap/>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tcBorders>
              <w:top w:val="single" w:color="auto" w:sz="4" w:space="0"/>
              <w:left w:val="single" w:color="auto" w:sz="4" w:space="0"/>
              <w:bottom w:val="single" w:color="auto" w:sz="4" w:space="0"/>
              <w:right w:val="single" w:color="auto" w:sz="4" w:space="0"/>
            </w:tcBorders>
            <w:shd w:val="clear" w:color="auto" w:fill="BEBEBE"/>
            <w:noWrap/>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tcBorders>
              <w:top w:val="single" w:color="auto" w:sz="4" w:space="0"/>
              <w:left w:val="single" w:color="auto" w:sz="4" w:space="0"/>
              <w:bottom w:val="single" w:color="auto" w:sz="4" w:space="0"/>
              <w:right w:val="single" w:color="auto" w:sz="4" w:space="0"/>
            </w:tcBorders>
            <w:shd w:val="clear" w:color="auto" w:fill="BEBEBE"/>
            <w:noWrap/>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89" w:name="_Toc30571"/>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九</w:t>
      </w: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评价工作安排</w:t>
      </w:r>
      <w:bookmarkEnd w:id="89"/>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1、前期准备阶段（2022年5月上旬至5月中旬）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（1）成立绩效评价工作组，确定评价指标，制定评价工作底稿、评价报告内容；</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（2）根据文件规定时间，制定评价实施方案，确定现场评价时间；</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（3）确定被评单位需要配合的事项；</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（4）完成评价人员的培训；</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（5）收集整理被评价单位的相关资料。</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2、现场实施阶段（2022年5月下旬至6月上旬）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（1）与项目单位进行沟通，确定评价工作组现场工作安排；</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（2）评价工作组对上报的相关资料进行审查、复核和测评；</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（3）评价工作组到现场，按照评价标准和规范，对各项指标进行计算和打分；</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3、报告撰写和提交阶段（2022年6月中旬-8月中旬）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（1）评价工作组根据有关规定，整理、综合分析项目相关信息，撰写被评单位的绩效评价报告；与被评价单位就绩效评价报告进行充分沟通并交换意见；</w:t>
      </w:r>
    </w:p>
    <w:p>
      <w:pPr>
        <w:spacing w:line="500" w:lineRule="exact"/>
        <w:ind w:firstLine="560" w:firstLineChars="200"/>
        <w:rPr>
          <w:rFonts w:ascii="Times New Roman" w:hAnsi="Times New Roman" w:eastAsia="仿宋" w:cs="Times New Roman"/>
          <w:b w:val="0"/>
          <w:bCs/>
          <w:sz w:val="28"/>
          <w:szCs w:val="28"/>
        </w:rPr>
      </w:pPr>
      <w:r>
        <w:rPr>
          <w:rFonts w:hint="eastAsia" w:ascii="Times New Roman" w:hAnsi="Times New Roman" w:eastAsia="仿宋" w:cs="Times New Roman"/>
          <w:kern w:val="0"/>
          <w:sz w:val="28"/>
          <w:szCs w:val="28"/>
          <w:shd w:val="clear" w:color="auto" w:fill="FFFFFF"/>
          <w:lang w:val="en-US" w:eastAsia="zh-CN"/>
        </w:rPr>
        <w:t>（2）评价工作组出具报告报送古县财政局，由古县财政局对报告进行评审，评价机构根据古县财政局意见修改评价报告，于8月15日前提交正式评价报告</w:t>
      </w:r>
      <w:r>
        <w:rPr>
          <w:rFonts w:hint="eastAsia" w:ascii="Times New Roman" w:hAnsi="Times New Roman" w:eastAsia="仿宋" w:cs="Times New Roman"/>
          <w:bCs w:val="0"/>
          <w:kern w:val="2"/>
          <w:sz w:val="28"/>
          <w:szCs w:val="28"/>
          <w:lang w:val="en-US" w:eastAsia="zh-CN" w:bidi="ar-SA"/>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val="en-US" w:eastAsia="zh-CN"/>
        </w:rPr>
      </w:pPr>
      <w:bookmarkStart w:id="90" w:name="_Toc26099"/>
      <w:r>
        <w:rPr>
          <w:rFonts w:hint="eastAsia" w:ascii="仿宋" w:eastAsia="仿宋" w:cs="Times New Roman"/>
          <w:b/>
          <w:bCs/>
          <w:sz w:val="32"/>
          <w:szCs w:val="32"/>
          <w:lang w:val="en-US" w:eastAsia="zh-CN"/>
        </w:rPr>
        <w:t>（十）评价等级</w:t>
      </w:r>
      <w:bookmarkEnd w:id="90"/>
    </w:p>
    <w:p>
      <w:pPr>
        <w:spacing w:line="500" w:lineRule="exact"/>
        <w:ind w:firstLine="560" w:firstLineChars="200"/>
        <w:rPr>
          <w:rFonts w:ascii="Times New Roman" w:hAnsi="Times New Roman" w:eastAsia="仿宋" w:cs="Times New Roman"/>
          <w:b w:val="0"/>
          <w:bCs w:val="0"/>
          <w:color w:val="000000"/>
          <w:sz w:val="28"/>
          <w:szCs w:val="28"/>
          <w:lang w:val="en-US" w:eastAsia="zh-CN"/>
        </w:rPr>
      </w:pPr>
      <w:r>
        <w:rPr>
          <w:rFonts w:ascii="Times New Roman" w:hAnsi="Times New Roman" w:eastAsia="仿宋" w:cs="Times New Roman"/>
          <w:b w:val="0"/>
          <w:bCs w:val="0"/>
          <w:color w:val="000000"/>
          <w:sz w:val="28"/>
          <w:szCs w:val="28"/>
        </w:rPr>
        <w:t>根据《项目支出绩效评价管理办法》（财预〔2020〕10号）要求，绩效评价结果采取评分和评级相结合的方式。评价实行百分制，按照综合评分分级。本次绩效评价结果等级划分标准</w:t>
      </w:r>
      <w:r>
        <w:rPr>
          <w:rFonts w:ascii="Times New Roman" w:hAnsi="Times New Roman" w:eastAsia="仿宋" w:cs="Times New Roman"/>
          <w:b w:val="0"/>
          <w:bCs w:val="0"/>
          <w:color w:val="000000"/>
          <w:sz w:val="28"/>
          <w:szCs w:val="28"/>
          <w:lang w:val="en-US" w:eastAsia="zh-CN"/>
        </w:rPr>
        <w:t>如表3-</w:t>
      </w:r>
      <w:r>
        <w:rPr>
          <w:rFonts w:hint="eastAsia" w:ascii="Times New Roman" w:hAnsi="Times New Roman" w:eastAsia="仿宋" w:cs="Times New Roman"/>
          <w:b w:val="0"/>
          <w:bCs w:val="0"/>
          <w:color w:val="000000"/>
          <w:sz w:val="28"/>
          <w:szCs w:val="28"/>
          <w:lang w:val="en-US" w:eastAsia="zh-CN"/>
        </w:rPr>
        <w:t>2</w:t>
      </w:r>
      <w:r>
        <w:rPr>
          <w:rFonts w:ascii="Times New Roman" w:hAnsi="Times New Roman" w:eastAsia="仿宋" w:cs="Times New Roman"/>
          <w:b w:val="0"/>
          <w:bCs w:val="0"/>
          <w:color w:val="000000"/>
          <w:sz w:val="28"/>
          <w:szCs w:val="28"/>
          <w:lang w:val="en-US" w:eastAsia="zh-CN"/>
        </w:rPr>
        <w:t>。</w:t>
      </w:r>
    </w:p>
    <w:p>
      <w:pPr>
        <w:tabs>
          <w:tab w:val="left" w:pos="1276"/>
        </w:tabs>
        <w:spacing w:line="360" w:lineRule="auto"/>
        <w:contextualSpacing/>
        <w:jc w:val="center"/>
        <w:rPr>
          <w:rFonts w:hint="eastAsia" w:ascii="Times New Roman" w:hAnsi="Times New Roman" w:eastAsia="方正仿宋_GBK"/>
          <w:b/>
          <w:bCs/>
          <w:sz w:val="28"/>
        </w:rPr>
      </w:pPr>
      <w:r>
        <w:rPr>
          <w:rFonts w:hint="eastAsia" w:ascii="Times New Roman" w:hAnsi="Times New Roman" w:eastAsia="仿宋" w:cs="Times New Roman"/>
          <w:b/>
          <w:sz w:val="24"/>
          <w:szCs w:val="24"/>
          <w:lang w:val="en-US" w:eastAsia="zh-CN"/>
        </w:rPr>
        <w:t>表3-2 评价结果等级划分标准</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61"/>
        <w:gridCol w:w="4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trPr>
        <w:tc>
          <w:tcPr>
            <w:tcW w:w="4261" w:type="dxa"/>
            <w:tcBorders>
              <w:top w:val="single" w:color="auto" w:sz="12" w:space="0"/>
              <w:left w:val="single" w:color="auto" w:sz="12" w:space="0"/>
              <w:bottom w:val="single" w:color="auto" w:sz="12" w:space="0"/>
              <w:right w:val="single" w:color="auto" w:sz="12" w:space="0"/>
            </w:tcBorders>
            <w:shd w:val="clear" w:color="000000" w:fill="auto"/>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分值范围</w:t>
            </w:r>
          </w:p>
        </w:tc>
        <w:tc>
          <w:tcPr>
            <w:tcW w:w="4261" w:type="dxa"/>
            <w:tcBorders>
              <w:top w:val="single" w:color="auto" w:sz="12" w:space="0"/>
              <w:left w:val="single" w:color="auto" w:sz="12" w:space="0"/>
              <w:bottom w:val="single" w:color="auto" w:sz="12" w:space="0"/>
              <w:right w:val="single" w:color="auto" w:sz="12" w:space="0"/>
            </w:tcBorders>
            <w:shd w:val="clear" w:color="000000" w:fill="auto"/>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结果等级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100≥X≥90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90＞X≥80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80＞X≥60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X＜60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差</w:t>
            </w:r>
          </w:p>
        </w:tc>
      </w:tr>
    </w:tbl>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91" w:name="_Toc519354509"/>
      <w:bookmarkStart w:id="92" w:name="_Toc25252"/>
      <w:bookmarkStart w:id="93" w:name="_Toc514537342"/>
      <w:r>
        <w:rPr>
          <w:rFonts w:hint="eastAsia" w:ascii="Times New Roman" w:hAnsi="Times New Roman" w:eastAsia="黑体" w:cs="Times New Roman"/>
          <w:bCs/>
          <w:kern w:val="44"/>
          <w:sz w:val="32"/>
          <w:szCs w:val="32"/>
        </w:rPr>
        <w:t>四、绩效评价指标分析情况</w:t>
      </w:r>
      <w:bookmarkEnd w:id="91"/>
      <w:bookmarkEnd w:id="92"/>
      <w:bookmarkEnd w:id="93"/>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94" w:name="_Toc21930"/>
      <w:bookmarkStart w:id="95" w:name="_Toc514537343"/>
      <w:r>
        <w:rPr>
          <w:rFonts w:hint="eastAsia" w:ascii="仿宋" w:eastAsia="仿宋" w:cs="Times New Roman"/>
          <w:b/>
          <w:bCs/>
          <w:sz w:val="32"/>
          <w:szCs w:val="32"/>
          <w:lang w:eastAsia="zh-CN"/>
        </w:rPr>
        <w:t>（一）分项分析与汇总</w:t>
      </w:r>
      <w:bookmarkEnd w:id="94"/>
      <w:bookmarkEnd w:id="95"/>
    </w:p>
    <w:p>
      <w:pPr>
        <w:spacing w:line="500" w:lineRule="exact"/>
        <w:ind w:firstLine="562" w:firstLineChars="200"/>
        <w:rPr>
          <w:rFonts w:hint="eastAsia" w:ascii="Times New Roman" w:hAnsi="Times New Roman" w:eastAsia="仿宋" w:cs="Times New Roman"/>
          <w:b/>
          <w:bCs/>
          <w:kern w:val="2"/>
          <w:sz w:val="28"/>
          <w:szCs w:val="28"/>
          <w:lang w:val="en-US" w:eastAsia="zh-CN" w:bidi="ar-SA"/>
        </w:rPr>
      </w:pPr>
      <w:bookmarkStart w:id="96" w:name="_Toc26264"/>
      <w:bookmarkStart w:id="97" w:name="_Toc15599"/>
      <w:bookmarkStart w:id="98" w:name="_Toc22892"/>
      <w:bookmarkStart w:id="99" w:name="_Toc27419"/>
      <w:bookmarkStart w:id="100" w:name="_Toc5485"/>
      <w:bookmarkStart w:id="101" w:name="_Toc12732"/>
      <w:bookmarkStart w:id="102" w:name="_Toc528680466"/>
      <w:bookmarkStart w:id="103" w:name="_Toc15229"/>
      <w:bookmarkStart w:id="104" w:name="_Toc23016"/>
      <w:bookmarkStart w:id="105" w:name="_Toc528684141"/>
      <w:bookmarkStart w:id="106" w:name="_Toc17362"/>
      <w:r>
        <w:rPr>
          <w:rFonts w:hint="eastAsia" w:ascii="Times New Roman" w:hAnsi="Times New Roman" w:eastAsia="仿宋" w:cs="Times New Roman"/>
          <w:b/>
          <w:bCs/>
          <w:kern w:val="2"/>
          <w:sz w:val="28"/>
          <w:szCs w:val="28"/>
          <w:lang w:val="en-US" w:eastAsia="zh-CN" w:bidi="ar-SA"/>
        </w:rPr>
        <w:t>1、决策分析</w:t>
      </w:r>
      <w:bookmarkEnd w:id="96"/>
      <w:bookmarkEnd w:id="97"/>
      <w:bookmarkEnd w:id="98"/>
      <w:bookmarkEnd w:id="99"/>
      <w:bookmarkEnd w:id="100"/>
      <w:bookmarkEnd w:id="101"/>
      <w:bookmarkEnd w:id="102"/>
      <w:bookmarkEnd w:id="103"/>
      <w:bookmarkEnd w:id="104"/>
      <w:bookmarkEnd w:id="105"/>
      <w:bookmarkEnd w:id="106"/>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决策类指标主要从立项依据充分性、立项程序规范性、绩效目标合理性、绩效指标明确性、预算编制科学性、资金分配合理性6个指标考察该项目立项、绩效目标、资金投入情况。决策类指标权重分20.00分，实际得分为20.00分。指标得分情况表如下：</w:t>
      </w:r>
    </w:p>
    <w:p>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 xml:space="preserve">表4-1 </w:t>
      </w:r>
      <w:r>
        <w:rPr>
          <w:rFonts w:hint="eastAsia" w:ascii="Times New Roman" w:hAnsi="Times New Roman" w:eastAsia="仿宋" w:cs="Times New Roman"/>
          <w:b/>
          <w:bCs/>
          <w:color w:val="000000"/>
          <w:kern w:val="0"/>
          <w:sz w:val="24"/>
          <w:szCs w:val="28"/>
          <w:lang w:val="en-US" w:eastAsia="zh-CN"/>
        </w:rPr>
        <w:t>决策</w:t>
      </w:r>
      <w:r>
        <w:rPr>
          <w:rFonts w:hint="eastAsia" w:ascii="Times New Roman" w:hAnsi="Times New Roman" w:eastAsia="仿宋" w:cs="Times New Roman"/>
          <w:b/>
          <w:bCs/>
          <w:color w:val="000000"/>
          <w:kern w:val="0"/>
          <w:sz w:val="24"/>
          <w:szCs w:val="28"/>
        </w:rPr>
        <w:t>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306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96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96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541"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A1项目立项</w:t>
            </w: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rPr>
              <w:t>A11</w:t>
            </w:r>
            <w:r>
              <w:rPr>
                <w:rFonts w:hint="eastAsia" w:ascii="仿宋" w:eastAsia="仿宋" w:cs="仿宋"/>
                <w:color w:val="000000"/>
                <w:kern w:val="0"/>
                <w:sz w:val="24"/>
                <w:szCs w:val="24"/>
                <w:lang w:val="en-US" w:eastAsia="zh-CN"/>
              </w:rPr>
              <w:t>立项依据充分性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A12立项程序规范性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A2绩效目标</w:t>
            </w: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21</w:t>
            </w:r>
            <w:r>
              <w:rPr>
                <w:rFonts w:hint="eastAsia" w:ascii="仿宋" w:eastAsia="仿宋" w:cs="仿宋"/>
                <w:color w:val="000000"/>
                <w:kern w:val="0"/>
                <w:sz w:val="24"/>
                <w:szCs w:val="24"/>
              </w:rPr>
              <w:t>绩效目标合理性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22</w:t>
            </w:r>
            <w:r>
              <w:rPr>
                <w:rFonts w:hint="eastAsia" w:ascii="仿宋" w:eastAsia="仿宋" w:cs="仿宋"/>
                <w:color w:val="000000"/>
                <w:kern w:val="0"/>
                <w:sz w:val="24"/>
                <w:szCs w:val="24"/>
              </w:rPr>
              <w:t>绩效指标明确性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A</w:t>
            </w:r>
            <w:r>
              <w:rPr>
                <w:rFonts w:hint="eastAsia" w:ascii="仿宋" w:eastAsia="仿宋" w:cs="仿宋"/>
                <w:b w:val="0"/>
                <w:bCs w:val="0"/>
                <w:color w:val="000000"/>
                <w:kern w:val="0"/>
                <w:sz w:val="24"/>
                <w:szCs w:val="24"/>
                <w:lang w:val="en-US" w:eastAsia="zh-CN"/>
              </w:rPr>
              <w:t>3</w:t>
            </w:r>
            <w:r>
              <w:rPr>
                <w:rFonts w:hint="eastAsia" w:ascii="仿宋" w:eastAsia="仿宋" w:cs="仿宋"/>
                <w:b w:val="0"/>
                <w:bCs w:val="0"/>
                <w:color w:val="000000"/>
                <w:kern w:val="0"/>
                <w:sz w:val="24"/>
                <w:szCs w:val="24"/>
              </w:rPr>
              <w:t>资金</w:t>
            </w:r>
            <w:r>
              <w:rPr>
                <w:rFonts w:hint="eastAsia" w:ascii="仿宋" w:eastAsia="仿宋" w:cs="仿宋"/>
                <w:b w:val="0"/>
                <w:bCs w:val="0"/>
                <w:color w:val="000000"/>
                <w:kern w:val="0"/>
                <w:sz w:val="24"/>
                <w:szCs w:val="24"/>
                <w:lang w:val="en-US" w:eastAsia="zh-CN"/>
              </w:rPr>
              <w:t>投入</w:t>
            </w: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A31</w:t>
            </w:r>
            <w:r>
              <w:rPr>
                <w:rFonts w:hint="eastAsia" w:ascii="仿宋" w:eastAsia="仿宋" w:cs="仿宋"/>
                <w:color w:val="000000"/>
                <w:kern w:val="0"/>
                <w:sz w:val="24"/>
                <w:szCs w:val="24"/>
              </w:rPr>
              <w:t>预算</w:t>
            </w:r>
            <w:r>
              <w:rPr>
                <w:rFonts w:hint="eastAsia" w:ascii="仿宋" w:eastAsia="仿宋" w:cs="仿宋"/>
                <w:color w:val="000000"/>
                <w:kern w:val="0"/>
                <w:sz w:val="24"/>
                <w:szCs w:val="24"/>
                <w:lang w:val="en-US" w:eastAsia="zh-CN"/>
              </w:rPr>
              <w:t>编制科学性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A32</w:t>
            </w:r>
            <w:r>
              <w:rPr>
                <w:rFonts w:hint="eastAsia" w:ascii="仿宋" w:eastAsia="仿宋" w:cs="仿宋"/>
                <w:color w:val="000000"/>
                <w:kern w:val="0"/>
                <w:sz w:val="24"/>
                <w:szCs w:val="24"/>
              </w:rPr>
              <w:t>资金分配合理性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049" w:type="dxa"/>
            <w:gridSpan w:val="2"/>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合计</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bl>
    <w:p>
      <w:pPr>
        <w:widowControl/>
        <w:spacing w:line="574" w:lineRule="exact"/>
        <w:ind w:firstLine="560" w:firstLineChars="200"/>
        <w:outlineLvl w:val="3"/>
        <w:rPr>
          <w:rFonts w:hint="eastAsia" w:ascii="仿宋" w:eastAsia="仿宋" w:cs="仿宋"/>
          <w:snapToGrid w:val="0"/>
          <w:sz w:val="28"/>
          <w:szCs w:val="28"/>
        </w:rPr>
      </w:pPr>
      <w:r>
        <w:rPr>
          <w:rFonts w:hint="eastAsia" w:ascii="仿宋" w:eastAsia="仿宋" w:cs="仿宋"/>
          <w:snapToGrid w:val="0"/>
          <w:sz w:val="28"/>
          <w:szCs w:val="28"/>
        </w:rPr>
        <w:t>（1）项目立项</w:t>
      </w:r>
    </w:p>
    <w:p>
      <w:pPr>
        <w:spacing w:line="500"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eastAsia="仿宋" w:cs="仿宋"/>
          <w:b/>
          <w:snapToGrid w:val="0"/>
          <w:sz w:val="28"/>
          <w:szCs w:val="28"/>
        </w:rPr>
        <w:t>A11</w:t>
      </w:r>
      <w:r>
        <w:rPr>
          <w:rFonts w:hint="eastAsia" w:ascii="仿宋" w:eastAsia="仿宋" w:cs="仿宋"/>
          <w:b/>
          <w:snapToGrid w:val="0"/>
          <w:sz w:val="28"/>
          <w:szCs w:val="28"/>
          <w:lang w:val="en-US" w:eastAsia="zh-CN"/>
        </w:rPr>
        <w:t>立项依据充分性</w:t>
      </w:r>
      <w:r>
        <w:rPr>
          <w:rFonts w:hint="eastAsia" w:ascii="仿宋" w:eastAsia="仿宋" w:cs="仿宋"/>
          <w:b/>
          <w:snapToGrid w:val="0"/>
          <w:sz w:val="28"/>
          <w:szCs w:val="28"/>
        </w:rPr>
        <w:t>：</w:t>
      </w:r>
      <w:r>
        <w:rPr>
          <w:rFonts w:hint="eastAsia" w:ascii="Times New Roman" w:hAnsi="Times New Roman" w:eastAsia="仿宋" w:cs="Times New Roman"/>
          <w:bCs w:val="0"/>
          <w:kern w:val="2"/>
          <w:sz w:val="28"/>
          <w:szCs w:val="28"/>
          <w:lang w:val="en-US" w:eastAsia="zh-CN" w:bidi="ar-SA"/>
        </w:rPr>
        <w:t>满分3.00分，得分3.00分。项目以习近平生态文明思想、《中华人民共和国城乡规划法》、《中华人民共和国环境保护法》（主席令第9号、2014年修订）、住建部在2019年全国住房城乡建设工作会上提出的关于提升城市品质和山、西省“以质取胜”、“以特取胜”推进城市发展的要求、《山西省人民政府办公厅关于印发&lt;山西省城市品质提升行动方案（2019-2022年）&gt;的通知》（晋政办发〔2019〕75号）、《中华人民共和国国民经济和社会发展第十四个五年规划和2035年远景目标纲要》、《临汾市总体规划（2017-2035年）》、《古县国民经济和社会发展第十四个五年规划和2035年远景目标纲要》、古县发展和改革局《关于古县直属机关事务服务中心古县中心公园建设项目可行性研究报告（代项目建议书）的批复》（古发改审批发〔2019〕20号）、古县直属机关事务服务中心《关于古县中心公园建设项目初步设计审批的请示》（古直中心〔2019〕15号）、古县发展和改革局《关于古县直属机关事务服务中心古县中心公园建设项目初步设计的批复》（古发改审批〔2019〕24号）等文件作为依据，项目申报、审核、批复资料齐全、准确、符合相关要求，立项依据充分。根据评分标准，该项得满分。</w:t>
      </w:r>
    </w:p>
    <w:p>
      <w:pPr>
        <w:widowControl/>
        <w:spacing w:line="574" w:lineRule="exact"/>
        <w:ind w:firstLine="562" w:firstLineChars="200"/>
        <w:rPr>
          <w:rFonts w:ascii="仿宋" w:eastAsia="仿宋" w:cs="仿宋"/>
          <w:bCs/>
          <w:snapToGrid w:val="0"/>
          <w:sz w:val="28"/>
          <w:szCs w:val="28"/>
          <w:lang w:val="en-US" w:eastAsia="zh-CN"/>
        </w:rPr>
      </w:pPr>
      <w:r>
        <w:rPr>
          <w:rFonts w:hint="eastAsia" w:ascii="仿宋" w:eastAsia="仿宋" w:cs="仿宋"/>
          <w:b/>
          <w:snapToGrid w:val="0"/>
          <w:sz w:val="28"/>
          <w:szCs w:val="28"/>
          <w:lang w:val="en-US" w:eastAsia="zh-CN"/>
        </w:rPr>
        <w:t>A12立项程序规范性：</w:t>
      </w:r>
      <w:r>
        <w:rPr>
          <w:rFonts w:hint="eastAsia" w:ascii="Times New Roman" w:hAnsi="Times New Roman" w:eastAsia="仿宋" w:cs="Times New Roman"/>
          <w:bCs w:val="0"/>
          <w:kern w:val="2"/>
          <w:sz w:val="28"/>
          <w:szCs w:val="28"/>
          <w:lang w:val="en-US" w:eastAsia="zh-CN" w:bidi="ar-SA"/>
        </w:rPr>
        <w:t>满分3.00分，得分3.00分。项目按照规定的程序申请设立，城市中心公园建设项目落实了党的十九大报告指出的绿色发展理念，古县直属机关事务服务中心关于项目的申请及批复等审批文件、材料完整，符合相关要求；项目实施单位提交的项目前期资料符合相关文件要求，事前已经过必要的集体决策程序。根据评分标准，该项得满分。</w:t>
      </w:r>
    </w:p>
    <w:p>
      <w:pPr>
        <w:widowControl/>
        <w:spacing w:line="574" w:lineRule="exact"/>
        <w:ind w:firstLine="560" w:firstLineChars="200"/>
        <w:rPr>
          <w:rFonts w:hint="eastAsia" w:ascii="仿宋" w:eastAsia="仿宋" w:cs="仿宋"/>
          <w:snapToGrid w:val="0"/>
          <w:sz w:val="28"/>
          <w:szCs w:val="28"/>
        </w:rPr>
      </w:pPr>
      <w:r>
        <w:rPr>
          <w:rFonts w:hint="eastAsia" w:ascii="仿宋" w:eastAsia="仿宋" w:cs="仿宋"/>
          <w:bCs/>
          <w:snapToGrid w:val="0"/>
          <w:sz w:val="28"/>
          <w:szCs w:val="28"/>
          <w:lang w:eastAsia="zh-CN"/>
        </w:rPr>
        <w:t>（</w:t>
      </w:r>
      <w:r>
        <w:rPr>
          <w:rFonts w:hint="eastAsia" w:ascii="仿宋" w:eastAsia="仿宋" w:cs="仿宋"/>
          <w:bCs/>
          <w:snapToGrid w:val="0"/>
          <w:sz w:val="28"/>
          <w:szCs w:val="28"/>
          <w:lang w:val="en-US" w:eastAsia="zh-CN"/>
        </w:rPr>
        <w:t>2</w:t>
      </w:r>
      <w:r>
        <w:rPr>
          <w:rFonts w:hint="eastAsia" w:ascii="仿宋" w:eastAsia="仿宋" w:cs="仿宋"/>
          <w:bCs/>
          <w:snapToGrid w:val="0"/>
          <w:sz w:val="28"/>
          <w:szCs w:val="28"/>
          <w:lang w:eastAsia="zh-CN"/>
        </w:rPr>
        <w:t>）</w:t>
      </w:r>
      <w:r>
        <w:rPr>
          <w:rFonts w:hint="eastAsia" w:ascii="仿宋" w:eastAsia="仿宋" w:cs="仿宋"/>
          <w:bCs/>
          <w:snapToGrid w:val="0"/>
          <w:sz w:val="28"/>
          <w:szCs w:val="28"/>
          <w:lang w:val="en-US" w:eastAsia="zh-CN"/>
        </w:rPr>
        <w:t>绩效目标</w:t>
      </w:r>
    </w:p>
    <w:p>
      <w:pPr>
        <w:spacing w:line="574" w:lineRule="exact"/>
        <w:ind w:firstLine="562" w:firstLineChars="200"/>
        <w:rPr>
          <w:rFonts w:hint="eastAsia" w:ascii="仿宋" w:eastAsia="仿宋" w:cs="仿宋"/>
          <w:snapToGrid w:val="0"/>
          <w:sz w:val="28"/>
          <w:szCs w:val="28"/>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21</w:t>
      </w:r>
      <w:r>
        <w:rPr>
          <w:rFonts w:hint="eastAsia" w:ascii="仿宋" w:eastAsia="仿宋" w:cs="仿宋"/>
          <w:b/>
          <w:snapToGrid w:val="0"/>
          <w:sz w:val="28"/>
          <w:szCs w:val="28"/>
        </w:rPr>
        <w:t>绩效目标合理性：</w:t>
      </w:r>
      <w:r>
        <w:rPr>
          <w:rFonts w:hint="eastAsia" w:ascii="Times New Roman" w:hAnsi="Times New Roman" w:eastAsia="仿宋" w:cs="Times New Roman"/>
          <w:bCs w:val="0"/>
          <w:kern w:val="2"/>
          <w:sz w:val="28"/>
          <w:szCs w:val="28"/>
          <w:lang w:val="en-US" w:eastAsia="zh-CN" w:bidi="ar-SA"/>
        </w:rPr>
        <w:t>满分4.00分，得分4.00分。城市中心公园建设项目绩效目标为：以人为本、全面践行绿色发展理念，深入转变发展方式，进一步完善古县城区基础设施的需要，以营造生态环境，构建和谐社会，提供人性场所为目的，在统筹规划区域文化资源、优化发展环境的同时，实现塑造城市形象、改善城市环境、满足人们多层次活动需要的三大功能。项目有绩效目标，项目绩效目标与实际工作内容具有相关性，项目预期产出效益和效果符合正常的业绩水平，与预算确定的项目资金量相匹配。根据评分标准，该项得满分</w:t>
      </w:r>
      <w:r>
        <w:rPr>
          <w:rFonts w:hint="eastAsia" w:ascii="仿宋" w:eastAsia="仿宋" w:cs="仿宋"/>
          <w:snapToGrid w:val="0"/>
          <w:sz w:val="28"/>
          <w:szCs w:val="28"/>
        </w:rPr>
        <w:t>。</w:t>
      </w:r>
    </w:p>
    <w:p>
      <w:pPr>
        <w:widowControl/>
        <w:spacing w:line="574" w:lineRule="exact"/>
        <w:ind w:firstLine="562" w:firstLineChars="200"/>
        <w:rPr>
          <w:rFonts w:hint="eastAsia" w:ascii="仿宋" w:eastAsia="仿宋" w:cs="仿宋"/>
          <w:snapToGrid w:val="0"/>
          <w:sz w:val="28"/>
          <w:szCs w:val="28"/>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22</w:t>
      </w:r>
      <w:r>
        <w:rPr>
          <w:rFonts w:hint="eastAsia" w:ascii="仿宋" w:eastAsia="仿宋" w:cs="仿宋"/>
          <w:b/>
          <w:snapToGrid w:val="0"/>
          <w:sz w:val="28"/>
          <w:szCs w:val="28"/>
        </w:rPr>
        <w:t>绩效指标明确性：</w:t>
      </w:r>
      <w:r>
        <w:rPr>
          <w:rFonts w:hint="eastAsia" w:ascii="Times New Roman" w:hAnsi="Times New Roman" w:eastAsia="仿宋" w:cs="Times New Roman"/>
          <w:bCs w:val="0"/>
          <w:kern w:val="2"/>
          <w:sz w:val="28"/>
          <w:szCs w:val="28"/>
          <w:lang w:val="en-US" w:eastAsia="zh-CN" w:bidi="ar-SA"/>
        </w:rPr>
        <w:t>满分4.00分，得4.00分。项目立项时古县直属机关事务服务中心设定了相关产出、效益目标，并按照财政资金预算绩效管理的要求根据项目内容进行绩效目标申报，项目绩效目标根据总体绩效目标细化、量化为具体的绩效指标。根据评分标准，该项得满分</w:t>
      </w:r>
      <w:r>
        <w:rPr>
          <w:rFonts w:hint="eastAsia" w:ascii="仿宋" w:eastAsia="仿宋" w:cs="仿宋"/>
          <w:snapToGrid w:val="0"/>
          <w:sz w:val="28"/>
          <w:szCs w:val="28"/>
        </w:rPr>
        <w:t>。</w:t>
      </w:r>
    </w:p>
    <w:p>
      <w:pPr>
        <w:widowControl/>
        <w:spacing w:line="574" w:lineRule="exact"/>
        <w:ind w:firstLine="560" w:firstLineChars="200"/>
        <w:outlineLvl w:val="3"/>
        <w:rPr>
          <w:rFonts w:hint="eastAsia" w:ascii="仿宋" w:eastAsia="仿宋" w:cs="仿宋"/>
          <w:snapToGrid w:val="0"/>
          <w:sz w:val="28"/>
          <w:szCs w:val="28"/>
          <w:lang w:eastAsia="zh-CN"/>
        </w:rPr>
      </w:pPr>
      <w:r>
        <w:rPr>
          <w:rFonts w:hint="eastAsia" w:ascii="仿宋" w:eastAsia="仿宋" w:cs="仿宋"/>
          <w:snapToGrid w:val="0"/>
          <w:sz w:val="28"/>
          <w:szCs w:val="28"/>
        </w:rPr>
        <w:t>（</w:t>
      </w:r>
      <w:r>
        <w:rPr>
          <w:rFonts w:hint="eastAsia" w:ascii="仿宋" w:eastAsia="仿宋" w:cs="仿宋"/>
          <w:snapToGrid w:val="0"/>
          <w:sz w:val="28"/>
          <w:szCs w:val="28"/>
          <w:lang w:val="en-US" w:eastAsia="zh-CN"/>
        </w:rPr>
        <w:t>3</w:t>
      </w:r>
      <w:r>
        <w:rPr>
          <w:rFonts w:hint="eastAsia" w:ascii="仿宋" w:eastAsia="仿宋" w:cs="仿宋"/>
          <w:snapToGrid w:val="0"/>
          <w:sz w:val="28"/>
          <w:szCs w:val="28"/>
        </w:rPr>
        <w:t>）资金</w:t>
      </w:r>
      <w:r>
        <w:rPr>
          <w:rFonts w:hint="eastAsia" w:ascii="仿宋" w:eastAsia="仿宋" w:cs="仿宋"/>
          <w:snapToGrid w:val="0"/>
          <w:sz w:val="28"/>
          <w:szCs w:val="28"/>
          <w:lang w:val="en-US" w:eastAsia="zh-CN"/>
        </w:rPr>
        <w:t>投入</w:t>
      </w:r>
    </w:p>
    <w:p>
      <w:pPr>
        <w:ind w:firstLine="562" w:firstLineChars="200"/>
        <w:rPr>
          <w:rFonts w:hint="eastAsia" w:ascii="仿宋" w:eastAsia="仿宋" w:cs="仿宋"/>
          <w:snapToGrid w:val="0"/>
          <w:sz w:val="28"/>
          <w:szCs w:val="28"/>
          <w:lang w:val="en-US" w:eastAsia="zh-CN"/>
        </w:rPr>
      </w:pPr>
      <w:r>
        <w:rPr>
          <w:rFonts w:hint="eastAsia" w:ascii="仿宋" w:eastAsia="仿宋" w:cs="仿宋"/>
          <w:b/>
          <w:snapToGrid w:val="0"/>
          <w:sz w:val="28"/>
          <w:szCs w:val="28"/>
          <w:lang w:val="en-US" w:eastAsia="zh-CN"/>
        </w:rPr>
        <w:t>A31预算编制科学性：</w:t>
      </w:r>
      <w:r>
        <w:rPr>
          <w:rFonts w:hint="eastAsia" w:ascii="Times New Roman" w:hAnsi="Times New Roman" w:eastAsia="仿宋" w:cs="Times New Roman"/>
          <w:bCs w:val="0"/>
          <w:kern w:val="2"/>
          <w:sz w:val="28"/>
          <w:szCs w:val="28"/>
          <w:lang w:val="en-US" w:eastAsia="zh-CN" w:bidi="ar-SA"/>
        </w:rPr>
        <w:t>满分3.00分，得分3.00分。城市中心公园建设项目资金505.42万</w:t>
      </w:r>
      <w:r>
        <w:rPr>
          <w:rFonts w:hint="eastAsia" w:ascii="Times New Roman" w:hAnsi="Times New Roman" w:eastAsia="仿宋" w:cs="Times New Roman"/>
          <w:kern w:val="0"/>
          <w:sz w:val="28"/>
          <w:szCs w:val="28"/>
          <w:shd w:val="clear" w:color="auto" w:fill="FFFFFF"/>
          <w:lang w:val="en-US" w:eastAsia="zh-CN"/>
        </w:rPr>
        <w:t>元</w:t>
      </w:r>
      <w:r>
        <w:rPr>
          <w:rFonts w:hint="eastAsia" w:ascii="Times New Roman" w:hAnsi="Times New Roman" w:eastAsia="仿宋" w:cs="Times New Roman"/>
          <w:bCs w:val="0"/>
          <w:kern w:val="2"/>
          <w:sz w:val="28"/>
          <w:szCs w:val="28"/>
          <w:lang w:val="en-US" w:eastAsia="zh-CN" w:bidi="ar-SA"/>
        </w:rPr>
        <w:t>，该项资金是根据工作量综合确定，建设项目预算额度测算有相关依据，预算确定的项目投资额与工作任务相匹配，投资额涵盖本次项目涉及的所有内容。根据评分标准，该项得满分</w:t>
      </w:r>
      <w:r>
        <w:rPr>
          <w:rFonts w:hint="eastAsia" w:ascii="仿宋" w:eastAsia="仿宋" w:cs="仿宋"/>
          <w:snapToGrid w:val="0"/>
          <w:sz w:val="28"/>
          <w:szCs w:val="28"/>
          <w:lang w:val="en-US" w:eastAsia="zh-CN"/>
        </w:rPr>
        <w:t>。</w:t>
      </w:r>
    </w:p>
    <w:p>
      <w:pPr>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32资金分配合理性</w:t>
      </w:r>
      <w:r>
        <w:rPr>
          <w:rFonts w:hint="eastAsia" w:ascii="仿宋" w:eastAsia="仿宋" w:cs="仿宋"/>
          <w:b/>
          <w:snapToGrid w:val="0"/>
          <w:sz w:val="28"/>
          <w:szCs w:val="28"/>
        </w:rPr>
        <w:t>：</w:t>
      </w:r>
      <w:r>
        <w:rPr>
          <w:rFonts w:hint="eastAsia" w:ascii="Times New Roman" w:hAnsi="Times New Roman" w:eastAsia="仿宋" w:cs="Times New Roman"/>
          <w:bCs w:val="0"/>
          <w:kern w:val="2"/>
          <w:sz w:val="28"/>
          <w:szCs w:val="28"/>
          <w:lang w:val="en-US" w:eastAsia="zh-CN" w:bidi="ar-SA"/>
        </w:rPr>
        <w:t>满分3.00分，得分3.00分。项目预算资金分配依据充分，预算资金依据项目实际情况进行安排，有明确依据。项目资金分配额度合理，与项目单位实际工作任务及古县地方实际相适应。本次绩效评价项目资金专项用于城市中心公园建设项目，实际执行过程中，资金分配符合文件要求。根据评分标准，该项得满分。</w:t>
      </w:r>
      <w:bookmarkStart w:id="107" w:name="_Toc528684142"/>
      <w:bookmarkStart w:id="108" w:name="_Toc528680467"/>
      <w:bookmarkStart w:id="109" w:name="_Toc19896"/>
      <w:bookmarkStart w:id="110" w:name="_Toc18414"/>
      <w:bookmarkStart w:id="111" w:name="_Toc8610"/>
    </w:p>
    <w:p>
      <w:pPr>
        <w:ind w:firstLine="562" w:firstLineChars="200"/>
        <w:rPr>
          <w:rFonts w:hint="eastAsia" w:ascii="仿宋" w:eastAsia="仿宋" w:cs="仿宋"/>
          <w:b/>
          <w:snapToGrid w:val="0"/>
          <w:sz w:val="28"/>
          <w:szCs w:val="28"/>
        </w:rPr>
      </w:pPr>
      <w:r>
        <w:rPr>
          <w:rFonts w:hint="eastAsia" w:ascii="仿宋" w:eastAsia="仿宋" w:cs="仿宋"/>
          <w:b/>
          <w:snapToGrid w:val="0"/>
          <w:sz w:val="28"/>
          <w:szCs w:val="28"/>
        </w:rPr>
        <w:t>2</w:t>
      </w:r>
      <w:r>
        <w:rPr>
          <w:rFonts w:hint="eastAsia" w:ascii="仿宋" w:eastAsia="仿宋" w:cs="仿宋"/>
          <w:b/>
          <w:snapToGrid w:val="0"/>
          <w:sz w:val="28"/>
          <w:szCs w:val="28"/>
          <w:lang w:eastAsia="zh-CN"/>
        </w:rPr>
        <w:t>、</w:t>
      </w:r>
      <w:r>
        <w:rPr>
          <w:rFonts w:hint="eastAsia" w:ascii="仿宋" w:eastAsia="仿宋" w:cs="仿宋"/>
          <w:b/>
          <w:snapToGrid w:val="0"/>
          <w:sz w:val="28"/>
          <w:szCs w:val="28"/>
        </w:rPr>
        <w:t>过程分析</w:t>
      </w:r>
      <w:bookmarkEnd w:id="107"/>
      <w:bookmarkEnd w:id="108"/>
      <w:bookmarkEnd w:id="109"/>
      <w:bookmarkEnd w:id="110"/>
      <w:bookmarkEnd w:id="111"/>
    </w:p>
    <w:p>
      <w:pPr>
        <w:widowControl/>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过程类指标主要从资金到位率</w:t>
      </w:r>
      <w:r>
        <w:rPr>
          <w:rFonts w:hint="eastAsia" w:ascii="仿宋" w:eastAsia="仿宋" w:cs="仿宋"/>
          <w:snapToGrid w:val="0"/>
          <w:sz w:val="28"/>
          <w:szCs w:val="28"/>
          <w:lang w:eastAsia="zh-CN"/>
        </w:rPr>
        <w:t>、</w:t>
      </w:r>
      <w:r>
        <w:rPr>
          <w:rFonts w:hint="eastAsia" w:ascii="仿宋" w:eastAsia="仿宋" w:cs="仿宋"/>
          <w:snapToGrid w:val="0"/>
          <w:sz w:val="28"/>
          <w:szCs w:val="28"/>
        </w:rPr>
        <w:t>预算执行率</w:t>
      </w:r>
      <w:r>
        <w:rPr>
          <w:rFonts w:hint="eastAsia" w:ascii="仿宋" w:eastAsia="仿宋" w:cs="仿宋"/>
          <w:snapToGrid w:val="0"/>
          <w:sz w:val="28"/>
          <w:szCs w:val="28"/>
          <w:lang w:eastAsia="zh-CN"/>
        </w:rPr>
        <w:t>、</w:t>
      </w:r>
      <w:r>
        <w:rPr>
          <w:rFonts w:hint="eastAsia" w:ascii="仿宋" w:eastAsia="仿宋" w:cs="仿宋"/>
          <w:snapToGrid w:val="0"/>
          <w:sz w:val="28"/>
          <w:szCs w:val="28"/>
        </w:rPr>
        <w:t>资金使用合规性</w:t>
      </w:r>
      <w:r>
        <w:rPr>
          <w:rFonts w:hint="eastAsia" w:ascii="仿宋" w:eastAsia="仿宋" w:cs="仿宋"/>
          <w:snapToGrid w:val="0"/>
          <w:sz w:val="28"/>
          <w:szCs w:val="28"/>
          <w:lang w:eastAsia="zh-CN"/>
        </w:rPr>
        <w:t>、</w:t>
      </w:r>
      <w:r>
        <w:rPr>
          <w:rFonts w:hint="eastAsia" w:ascii="仿宋" w:eastAsia="仿宋" w:cs="仿宋"/>
          <w:snapToGrid w:val="0"/>
          <w:sz w:val="28"/>
          <w:szCs w:val="28"/>
        </w:rPr>
        <w:t>管理制度健全性</w:t>
      </w:r>
      <w:r>
        <w:rPr>
          <w:rFonts w:hint="eastAsia" w:ascii="仿宋" w:eastAsia="仿宋" w:cs="仿宋"/>
          <w:snapToGrid w:val="0"/>
          <w:sz w:val="28"/>
          <w:szCs w:val="28"/>
          <w:lang w:eastAsia="zh-CN"/>
        </w:rPr>
        <w:t>、</w:t>
      </w:r>
      <w:r>
        <w:rPr>
          <w:rFonts w:hint="eastAsia" w:ascii="仿宋" w:eastAsia="仿宋" w:cs="仿宋"/>
          <w:snapToGrid w:val="0"/>
          <w:sz w:val="28"/>
          <w:szCs w:val="28"/>
        </w:rPr>
        <w:t>制度执行有效性</w:t>
      </w:r>
      <w:r>
        <w:rPr>
          <w:rFonts w:hint="eastAsia" w:ascii="仿宋" w:eastAsia="仿宋" w:cs="仿宋"/>
          <w:snapToGrid w:val="0"/>
          <w:sz w:val="28"/>
          <w:szCs w:val="28"/>
          <w:lang w:val="en-US" w:eastAsia="zh-CN"/>
        </w:rPr>
        <w:t>5</w:t>
      </w:r>
      <w:r>
        <w:rPr>
          <w:rFonts w:hint="eastAsia" w:ascii="仿宋" w:eastAsia="仿宋" w:cs="仿宋"/>
          <w:snapToGrid w:val="0"/>
          <w:sz w:val="28"/>
          <w:szCs w:val="28"/>
        </w:rPr>
        <w:t>个指标考核该项目</w:t>
      </w:r>
      <w:r>
        <w:rPr>
          <w:rFonts w:hint="eastAsia" w:ascii="仿宋" w:eastAsia="仿宋" w:cs="仿宋"/>
          <w:snapToGrid w:val="0"/>
          <w:sz w:val="28"/>
          <w:szCs w:val="28"/>
          <w:lang w:val="en-US" w:eastAsia="zh-CN"/>
        </w:rPr>
        <w:t>资金</w:t>
      </w:r>
      <w:r>
        <w:rPr>
          <w:rFonts w:hint="eastAsia" w:ascii="仿宋" w:eastAsia="仿宋" w:cs="仿宋"/>
          <w:snapToGrid w:val="0"/>
          <w:sz w:val="28"/>
          <w:szCs w:val="28"/>
        </w:rPr>
        <w:t>管理及</w:t>
      </w:r>
      <w:r>
        <w:rPr>
          <w:rFonts w:hint="eastAsia" w:ascii="仿宋" w:eastAsia="仿宋" w:cs="仿宋"/>
          <w:snapToGrid w:val="0"/>
          <w:sz w:val="28"/>
          <w:szCs w:val="28"/>
          <w:lang w:val="en-US" w:eastAsia="zh-CN"/>
        </w:rPr>
        <w:t>组织实施</w:t>
      </w:r>
      <w:r>
        <w:rPr>
          <w:rFonts w:hint="eastAsia" w:ascii="仿宋" w:eastAsia="仿宋" w:cs="仿宋"/>
          <w:snapToGrid w:val="0"/>
          <w:sz w:val="28"/>
          <w:szCs w:val="28"/>
        </w:rPr>
        <w:t>情况，</w:t>
      </w:r>
      <w:r>
        <w:rPr>
          <w:rFonts w:hint="eastAsia" w:ascii="仿宋" w:eastAsia="仿宋" w:cs="仿宋"/>
          <w:snapToGrid w:val="0"/>
          <w:color w:val="auto"/>
          <w:sz w:val="28"/>
          <w:szCs w:val="28"/>
        </w:rPr>
        <w:t>过程类指标权重20</w:t>
      </w:r>
      <w:r>
        <w:rPr>
          <w:rFonts w:hint="eastAsia" w:ascii="仿宋" w:eastAsia="仿宋" w:cs="仿宋"/>
          <w:snapToGrid w:val="0"/>
          <w:color w:val="auto"/>
          <w:sz w:val="28"/>
          <w:szCs w:val="28"/>
          <w:lang w:val="en-US" w:eastAsia="zh-CN"/>
        </w:rPr>
        <w:t>.00</w:t>
      </w:r>
      <w:r>
        <w:rPr>
          <w:rFonts w:hint="eastAsia" w:ascii="仿宋" w:eastAsia="仿宋" w:cs="仿宋"/>
          <w:snapToGrid w:val="0"/>
          <w:color w:val="auto"/>
          <w:sz w:val="28"/>
          <w:szCs w:val="28"/>
        </w:rPr>
        <w:t>分，实际得分</w:t>
      </w:r>
      <w:r>
        <w:rPr>
          <w:rFonts w:hint="eastAsia" w:ascii="仿宋" w:eastAsia="仿宋" w:cs="仿宋"/>
          <w:snapToGrid w:val="0"/>
          <w:color w:val="auto"/>
          <w:sz w:val="28"/>
          <w:szCs w:val="28"/>
          <w:lang w:val="en-US" w:eastAsia="zh-CN"/>
        </w:rPr>
        <w:t>14.37</w:t>
      </w:r>
      <w:r>
        <w:rPr>
          <w:rFonts w:hint="eastAsia" w:ascii="仿宋" w:eastAsia="仿宋" w:cs="仿宋"/>
          <w:snapToGrid w:val="0"/>
          <w:color w:val="auto"/>
          <w:sz w:val="28"/>
          <w:szCs w:val="28"/>
        </w:rPr>
        <w:t>分。指标得分情况如表4-2所示：</w:t>
      </w:r>
    </w:p>
    <w:p>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表4-2 过程类指标得分情况</w:t>
      </w:r>
    </w:p>
    <w:tbl>
      <w:tblPr>
        <w:tblStyle w:val="19"/>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2847"/>
        <w:gridCol w:w="1464"/>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2847"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1464"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949"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428"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w:t>
            </w:r>
            <w:r>
              <w:rPr>
                <w:rFonts w:hint="eastAsia" w:ascii="仿宋" w:eastAsia="仿宋" w:cs="仿宋"/>
                <w:b w:val="0"/>
                <w:bCs w:val="0"/>
                <w:color w:val="000000"/>
                <w:kern w:val="0"/>
                <w:sz w:val="24"/>
                <w:szCs w:val="24"/>
                <w:lang w:val="en-US" w:eastAsia="zh-CN"/>
              </w:rPr>
              <w:t>资金</w:t>
            </w:r>
            <w:r>
              <w:rPr>
                <w:rFonts w:hint="eastAsia" w:ascii="仿宋" w:eastAsia="仿宋" w:cs="仿宋"/>
                <w:b w:val="0"/>
                <w:bCs w:val="0"/>
                <w:color w:val="000000"/>
                <w:kern w:val="0"/>
                <w:sz w:val="24"/>
                <w:szCs w:val="24"/>
              </w:rPr>
              <w:t>管理</w:t>
            </w: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B11</w:t>
            </w:r>
            <w:r>
              <w:rPr>
                <w:rFonts w:hint="eastAsia" w:ascii="仿宋" w:eastAsia="仿宋" w:cs="仿宋"/>
                <w:b w:val="0"/>
                <w:bCs w:val="0"/>
                <w:color w:val="000000"/>
                <w:kern w:val="0"/>
                <w:sz w:val="24"/>
                <w:szCs w:val="24"/>
                <w:lang w:val="en-US" w:eastAsia="zh-CN"/>
              </w:rPr>
              <w:t>资金到位率</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2.37</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59.36%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B12</w:t>
            </w:r>
            <w:r>
              <w:rPr>
                <w:rFonts w:hint="eastAsia" w:ascii="仿宋" w:eastAsia="仿宋" w:cs="仿宋"/>
                <w:b w:val="0"/>
                <w:bCs w:val="0"/>
                <w:color w:val="000000"/>
                <w:kern w:val="0"/>
                <w:sz w:val="24"/>
                <w:szCs w:val="24"/>
                <w:lang w:val="en-US" w:eastAsia="zh-CN"/>
              </w:rPr>
              <w:t>预算执行率</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90" w:hRule="atLeast"/>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w:t>
            </w:r>
            <w:r>
              <w:rPr>
                <w:rFonts w:hint="eastAsia" w:ascii="仿宋" w:eastAsia="仿宋" w:cs="仿宋"/>
                <w:b w:val="0"/>
                <w:bCs w:val="0"/>
                <w:color w:val="000000"/>
                <w:kern w:val="0"/>
                <w:sz w:val="24"/>
                <w:szCs w:val="24"/>
                <w:lang w:val="en-US" w:eastAsia="zh-CN"/>
              </w:rPr>
              <w:t>3资金使用合规性</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eastAsia="zh-CN"/>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eastAsia="zh-CN"/>
              </w:rPr>
            </w:pPr>
            <w:r>
              <w:rPr>
                <w:rFonts w:hint="eastAsia" w:ascii="仿宋" w:eastAsia="仿宋" w:cs="仿宋"/>
                <w:b w:val="0"/>
                <w:bCs w:val="0"/>
                <w:color w:val="000000"/>
                <w:kern w:val="0"/>
                <w:sz w:val="24"/>
                <w:szCs w:val="24"/>
              </w:rPr>
              <w:t>B2</w:t>
            </w:r>
            <w:r>
              <w:rPr>
                <w:rFonts w:hint="eastAsia" w:ascii="仿宋" w:eastAsia="仿宋" w:cs="仿宋"/>
                <w:b w:val="0"/>
                <w:bCs w:val="0"/>
                <w:color w:val="000000"/>
                <w:kern w:val="0"/>
                <w:sz w:val="24"/>
                <w:szCs w:val="24"/>
                <w:lang w:val="en-US" w:eastAsia="zh-CN"/>
              </w:rPr>
              <w:t>组织实施</w:t>
            </w: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B21管理制度健全性</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2.00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2.00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B22</w:t>
            </w:r>
            <w:r>
              <w:rPr>
                <w:rFonts w:hint="eastAsia" w:ascii="仿宋" w:eastAsia="仿宋" w:cs="仿宋"/>
                <w:b w:val="0"/>
                <w:bCs w:val="0"/>
                <w:color w:val="000000"/>
                <w:kern w:val="0"/>
                <w:sz w:val="24"/>
                <w:szCs w:val="24"/>
                <w:lang w:val="en-US" w:eastAsia="zh-CN"/>
              </w:rPr>
              <w:t>制度执行有效</w:t>
            </w:r>
            <w:r>
              <w:rPr>
                <w:rFonts w:hint="eastAsia" w:ascii="仿宋" w:eastAsia="仿宋" w:cs="仿宋"/>
                <w:b w:val="0"/>
                <w:bCs w:val="0"/>
                <w:color w:val="000000"/>
                <w:kern w:val="0"/>
                <w:sz w:val="24"/>
                <w:szCs w:val="24"/>
              </w:rPr>
              <w:t>性</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rPr>
            </w:pPr>
            <w:r>
              <w:rPr>
                <w:rFonts w:hint="eastAsia" w:ascii="仿宋" w:eastAsia="仿宋" w:cs="仿宋"/>
                <w:b w:val="0"/>
                <w:bCs w:val="0"/>
                <w:color w:val="000000"/>
                <w:kern w:val="0"/>
                <w:sz w:val="24"/>
                <w:szCs w:val="24"/>
                <w:lang w:val="en-US" w:eastAsia="zh-CN"/>
              </w:rPr>
              <w:t>6.00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2.00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33.33%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4681" w:type="dxa"/>
            <w:gridSpan w:val="2"/>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合计</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20.00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14.37</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71.85%</w:t>
            </w:r>
          </w:p>
        </w:tc>
      </w:tr>
    </w:tbl>
    <w:p>
      <w:pPr>
        <w:widowControl/>
        <w:spacing w:line="574" w:lineRule="exact"/>
        <w:ind w:firstLine="560" w:firstLineChars="200"/>
        <w:outlineLvl w:val="3"/>
        <w:rPr>
          <w:rFonts w:hint="eastAsia" w:ascii="仿宋" w:eastAsia="仿宋" w:cs="仿宋"/>
          <w:snapToGrid w:val="0"/>
          <w:sz w:val="28"/>
          <w:szCs w:val="28"/>
        </w:rPr>
      </w:pPr>
      <w:r>
        <w:rPr>
          <w:rFonts w:hint="eastAsia" w:ascii="仿宋" w:eastAsia="仿宋" w:cs="仿宋"/>
          <w:snapToGrid w:val="0"/>
          <w:sz w:val="28"/>
          <w:szCs w:val="28"/>
        </w:rPr>
        <w:t>（1）</w:t>
      </w:r>
      <w:r>
        <w:rPr>
          <w:rFonts w:hint="eastAsia" w:ascii="仿宋" w:eastAsia="仿宋" w:cs="仿宋"/>
          <w:snapToGrid w:val="0"/>
          <w:sz w:val="28"/>
          <w:szCs w:val="28"/>
          <w:lang w:val="en-US" w:eastAsia="zh-CN"/>
        </w:rPr>
        <w:t>资金</w:t>
      </w:r>
      <w:r>
        <w:rPr>
          <w:rFonts w:hint="eastAsia" w:ascii="仿宋" w:eastAsia="仿宋" w:cs="仿宋"/>
          <w:snapToGrid w:val="0"/>
          <w:sz w:val="28"/>
          <w:szCs w:val="28"/>
        </w:rPr>
        <w:t>管理</w:t>
      </w:r>
    </w:p>
    <w:p>
      <w:pPr>
        <w:widowControl/>
        <w:spacing w:line="574" w:lineRule="exact"/>
        <w:ind w:firstLine="562" w:firstLineChars="200"/>
        <w:rPr>
          <w:rFonts w:hint="eastAsia" w:ascii="仿宋" w:eastAsia="仿宋" w:cs="仿宋"/>
          <w:b/>
          <w:snapToGrid w:val="0"/>
          <w:sz w:val="28"/>
          <w:szCs w:val="28"/>
        </w:rPr>
      </w:pPr>
      <w:r>
        <w:rPr>
          <w:rFonts w:hint="eastAsia" w:ascii="仿宋" w:eastAsia="仿宋" w:cs="仿宋"/>
          <w:b/>
          <w:snapToGrid w:val="0"/>
          <w:sz w:val="28"/>
          <w:szCs w:val="28"/>
          <w:lang w:val="en-US" w:eastAsia="zh-CN"/>
        </w:rPr>
        <w:t>B11</w:t>
      </w:r>
      <w:r>
        <w:rPr>
          <w:rFonts w:hint="eastAsia" w:ascii="仿宋" w:eastAsia="仿宋" w:cs="仿宋"/>
          <w:b/>
          <w:snapToGrid w:val="0"/>
          <w:sz w:val="28"/>
          <w:szCs w:val="28"/>
        </w:rPr>
        <w:t>资金到位率：</w:t>
      </w:r>
      <w:r>
        <w:rPr>
          <w:rFonts w:hint="eastAsia" w:ascii="Times New Roman" w:hAnsi="Times New Roman" w:eastAsia="仿宋" w:cs="Times New Roman"/>
          <w:bCs w:val="0"/>
          <w:kern w:val="2"/>
          <w:sz w:val="28"/>
          <w:szCs w:val="28"/>
          <w:lang w:val="en-US" w:eastAsia="zh-CN" w:bidi="ar-SA"/>
        </w:rPr>
        <w:t>满分4.00分，得分4.00分。该指标主要分析评价项目资金是否根据文件、计划要求足额拨付到位，资金到位率=（实际到位资金/计划到位资金）×100%。根据资金下达文件、入账凭证，城市中心公园建设项目结算审定金额为505.42万元；实际到位资金300.00万元，资金到位率59.36%。根据评分标准，该项得满分</w:t>
      </w:r>
      <w:r>
        <w:rPr>
          <w:rFonts w:hint="eastAsia" w:ascii="仿宋" w:eastAsia="仿宋" w:cs="仿宋"/>
          <w:b w:val="0"/>
          <w:bCs/>
          <w:snapToGrid w:val="0"/>
          <w:sz w:val="28"/>
          <w:szCs w:val="28"/>
        </w:rPr>
        <w:t>。</w:t>
      </w:r>
    </w:p>
    <w:p>
      <w:pPr>
        <w:widowControl/>
        <w:spacing w:line="574" w:lineRule="exact"/>
        <w:ind w:firstLine="562" w:firstLineChars="200"/>
        <w:rPr>
          <w:rFonts w:hint="eastAsia" w:ascii="仿宋" w:eastAsia="仿宋" w:cs="仿宋"/>
          <w:b w:val="0"/>
          <w:bCs/>
          <w:snapToGrid w:val="0"/>
          <w:sz w:val="28"/>
          <w:szCs w:val="28"/>
        </w:rPr>
      </w:pPr>
      <w:r>
        <w:rPr>
          <w:rFonts w:hint="eastAsia" w:ascii="仿宋" w:eastAsia="仿宋" w:cs="仿宋"/>
          <w:b/>
          <w:snapToGrid w:val="0"/>
          <w:sz w:val="28"/>
          <w:szCs w:val="28"/>
          <w:lang w:val="en-US" w:eastAsia="zh-CN"/>
        </w:rPr>
        <w:t>B12预算</w:t>
      </w:r>
      <w:r>
        <w:rPr>
          <w:rFonts w:hint="eastAsia" w:ascii="仿宋" w:eastAsia="仿宋" w:cs="仿宋"/>
          <w:b/>
          <w:snapToGrid w:val="0"/>
          <w:sz w:val="28"/>
          <w:szCs w:val="28"/>
        </w:rPr>
        <w:t>执行率：</w:t>
      </w:r>
      <w:r>
        <w:rPr>
          <w:rFonts w:hint="eastAsia" w:ascii="Times New Roman" w:hAnsi="Times New Roman" w:eastAsia="仿宋" w:cs="Times New Roman"/>
          <w:bCs w:val="0"/>
          <w:kern w:val="2"/>
          <w:sz w:val="28"/>
          <w:szCs w:val="28"/>
          <w:lang w:val="en-US" w:eastAsia="zh-CN" w:bidi="ar-SA"/>
        </w:rPr>
        <w:t>满分4.00分，得分2.37分。根据古县直属机关事务服务中心提供的资料，截止2022年9月30日，项目共计到位资金300.00万元，其中2020年到位资金50.00万元，2021年到位资金200.00万元，2022年到位资金50.00万元。截止2022年9月30日，城市中心公园建设项目共计支出资金300.00万元。到位资金执行率100.00%。根据评分标准，该项得2.37分</w:t>
      </w:r>
      <w:r>
        <w:rPr>
          <w:rFonts w:hint="eastAsia" w:ascii="仿宋" w:eastAsia="仿宋" w:cs="仿宋"/>
          <w:b w:val="0"/>
          <w:bCs/>
          <w:snapToGrid w:val="0"/>
          <w:sz w:val="28"/>
          <w:szCs w:val="28"/>
        </w:rPr>
        <w:t>。</w:t>
      </w:r>
    </w:p>
    <w:p>
      <w:pPr>
        <w:widowControl/>
        <w:spacing w:line="574" w:lineRule="exact"/>
        <w:ind w:firstLine="562" w:firstLineChars="200"/>
        <w:rPr>
          <w:rFonts w:hint="eastAsia" w:ascii="仿宋" w:eastAsia="仿宋" w:cs="仿宋"/>
          <w:snapToGrid w:val="0"/>
          <w:sz w:val="28"/>
          <w:szCs w:val="28"/>
        </w:rPr>
      </w:pPr>
      <w:r>
        <w:rPr>
          <w:rFonts w:hint="eastAsia" w:ascii="仿宋" w:eastAsia="仿宋" w:cs="仿宋"/>
          <w:b/>
          <w:snapToGrid w:val="0"/>
          <w:sz w:val="28"/>
          <w:szCs w:val="28"/>
          <w:lang w:val="en-US" w:eastAsia="zh-CN"/>
        </w:rPr>
        <w:t>B13</w:t>
      </w:r>
      <w:r>
        <w:rPr>
          <w:rFonts w:hint="eastAsia" w:ascii="仿宋" w:eastAsia="仿宋" w:cs="仿宋"/>
          <w:b/>
          <w:snapToGrid w:val="0"/>
          <w:sz w:val="28"/>
          <w:szCs w:val="28"/>
        </w:rPr>
        <w:t>资金使用合规性：</w:t>
      </w:r>
      <w:r>
        <w:rPr>
          <w:rFonts w:hint="eastAsia" w:ascii="Times New Roman" w:hAnsi="Times New Roman" w:eastAsia="仿宋" w:cs="Times New Roman"/>
          <w:bCs w:val="0"/>
          <w:kern w:val="2"/>
          <w:sz w:val="28"/>
          <w:szCs w:val="28"/>
          <w:lang w:val="en-US" w:eastAsia="zh-CN" w:bidi="ar-SA"/>
        </w:rPr>
        <w:t>满分4.00分，得分4.00分。通过对项目财务资料的现场核实，城市中心公园建设项目经费使用符合国家财经法规和相关政策的规定，有完整的审批程序和手续，资金使用符合项目合同等文件要求的用途，未发现截留、挤占、挪用、虚列支出等情况。根据评分标准，该项得满分</w:t>
      </w:r>
      <w:r>
        <w:rPr>
          <w:rFonts w:hint="eastAsia" w:ascii="仿宋" w:eastAsia="仿宋" w:cs="仿宋"/>
          <w:snapToGrid w:val="0"/>
          <w:sz w:val="28"/>
          <w:szCs w:val="28"/>
        </w:rPr>
        <w:t>。</w:t>
      </w:r>
    </w:p>
    <w:p>
      <w:pPr>
        <w:widowControl/>
        <w:spacing w:line="574" w:lineRule="exact"/>
        <w:ind w:firstLine="560" w:firstLineChars="200"/>
        <w:outlineLvl w:val="3"/>
        <w:rPr>
          <w:rFonts w:hint="eastAsia" w:ascii="仿宋" w:eastAsia="仿宋" w:cs="仿宋"/>
          <w:snapToGrid w:val="0"/>
          <w:sz w:val="28"/>
          <w:szCs w:val="28"/>
          <w:lang w:val="en-US" w:eastAsia="zh-CN"/>
        </w:rPr>
      </w:pPr>
      <w:r>
        <w:rPr>
          <w:rFonts w:hint="eastAsia" w:ascii="仿宋" w:eastAsia="仿宋" w:cs="仿宋"/>
          <w:snapToGrid w:val="0"/>
          <w:sz w:val="28"/>
          <w:szCs w:val="28"/>
          <w:lang w:val="en-US" w:eastAsia="zh-CN"/>
        </w:rPr>
        <w:t>（2）组织实施</w:t>
      </w:r>
    </w:p>
    <w:p>
      <w:pPr>
        <w:widowControl/>
        <w:spacing w:line="574" w:lineRule="exact"/>
        <w:ind w:firstLine="562" w:firstLineChars="200"/>
        <w:rPr>
          <w:rFonts w:hint="eastAsia" w:ascii="仿宋" w:eastAsia="仿宋" w:cs="仿宋"/>
          <w:snapToGrid w:val="0"/>
          <w:sz w:val="28"/>
          <w:szCs w:val="28"/>
          <w:highlight w:val="yellow"/>
        </w:rPr>
      </w:pPr>
      <w:r>
        <w:rPr>
          <w:rFonts w:hint="eastAsia" w:ascii="仿宋" w:eastAsia="仿宋" w:cs="仿宋"/>
          <w:b/>
          <w:snapToGrid w:val="0"/>
          <w:sz w:val="28"/>
          <w:szCs w:val="28"/>
        </w:rPr>
        <w:t>B</w:t>
      </w:r>
      <w:r>
        <w:rPr>
          <w:rFonts w:hint="eastAsia" w:ascii="仿宋" w:eastAsia="仿宋" w:cs="仿宋"/>
          <w:b/>
          <w:snapToGrid w:val="0"/>
          <w:sz w:val="28"/>
          <w:szCs w:val="28"/>
          <w:lang w:val="en-US" w:eastAsia="zh-CN"/>
        </w:rPr>
        <w:t>21</w:t>
      </w:r>
      <w:r>
        <w:rPr>
          <w:rFonts w:hint="eastAsia" w:ascii="仿宋" w:eastAsia="仿宋" w:cs="仿宋"/>
          <w:b/>
          <w:snapToGrid w:val="0"/>
          <w:sz w:val="28"/>
          <w:szCs w:val="28"/>
        </w:rPr>
        <w:t>管理制度健全性：</w:t>
      </w:r>
      <w:r>
        <w:rPr>
          <w:rFonts w:hint="eastAsia" w:ascii="Times New Roman" w:hAnsi="Times New Roman" w:eastAsia="仿宋" w:cs="Times New Roman"/>
          <w:bCs w:val="0"/>
          <w:kern w:val="2"/>
          <w:sz w:val="28"/>
          <w:szCs w:val="28"/>
          <w:lang w:val="en-US" w:eastAsia="zh-CN" w:bidi="ar-SA"/>
        </w:rPr>
        <w:t>满分2.00分，得分2.00分。评价组通过查阅资料和现场调研了解到，古县直属机关事务服务中心在具体执行项目过程中，具有相应的业务、财务管理制度，相关业务、财务管理制度合法、合规、完整。根据评分标准，该项得满分</w:t>
      </w:r>
      <w:r>
        <w:rPr>
          <w:rFonts w:hint="eastAsia" w:ascii="仿宋" w:eastAsia="仿宋" w:cs="仿宋"/>
          <w:snapToGrid w:val="0"/>
          <w:sz w:val="28"/>
          <w:szCs w:val="28"/>
        </w:rPr>
        <w:t>。</w:t>
      </w:r>
    </w:p>
    <w:p>
      <w:pPr>
        <w:widowControl/>
        <w:spacing w:line="574" w:lineRule="exact"/>
        <w:ind w:firstLine="562" w:firstLineChars="200"/>
        <w:rPr>
          <w:rFonts w:ascii="仿宋" w:eastAsia="仿宋" w:cs="仿宋"/>
          <w:snapToGrid w:val="0"/>
          <w:sz w:val="28"/>
          <w:szCs w:val="28"/>
          <w:lang w:val="en-US" w:eastAsia="zh-CN"/>
        </w:rPr>
      </w:pPr>
      <w:r>
        <w:rPr>
          <w:rFonts w:hint="eastAsia" w:ascii="仿宋" w:eastAsia="仿宋" w:cs="仿宋"/>
          <w:b/>
          <w:snapToGrid w:val="0"/>
          <w:sz w:val="28"/>
          <w:szCs w:val="28"/>
        </w:rPr>
        <w:t>B</w:t>
      </w:r>
      <w:r>
        <w:rPr>
          <w:rFonts w:hint="eastAsia" w:ascii="仿宋" w:eastAsia="仿宋" w:cs="仿宋"/>
          <w:b/>
          <w:snapToGrid w:val="0"/>
          <w:sz w:val="28"/>
          <w:szCs w:val="28"/>
          <w:lang w:val="en-US" w:eastAsia="zh-CN"/>
        </w:rPr>
        <w:t>22</w:t>
      </w:r>
      <w:r>
        <w:rPr>
          <w:rFonts w:hint="eastAsia" w:ascii="仿宋" w:eastAsia="仿宋" w:cs="仿宋"/>
          <w:b/>
          <w:snapToGrid w:val="0"/>
          <w:sz w:val="28"/>
          <w:szCs w:val="28"/>
        </w:rPr>
        <w:t>制度执行有效性：</w:t>
      </w:r>
      <w:r>
        <w:rPr>
          <w:rFonts w:hint="eastAsia" w:ascii="Times New Roman" w:hAnsi="Times New Roman" w:eastAsia="仿宋" w:cs="Times New Roman"/>
          <w:bCs w:val="0"/>
          <w:kern w:val="2"/>
          <w:sz w:val="28"/>
          <w:szCs w:val="28"/>
          <w:lang w:val="en-US" w:eastAsia="zh-CN" w:bidi="ar-SA"/>
        </w:rPr>
        <w:t>满分6.00分，得分2.00分。该指标分析评价项目实施是否符合相关项目管理规定，是否为达到项目质量要求而采取了必需的措施，用以反映和考核项目管理有效性。根据古县直属机关事务服务中心提供的资料，评价组发现，项目实施管理不到位：（1）2021年12月20日，古县直属机关事务服务中心向古县人民政府提交《关于中心公园项目结算评审的申请》（古直中心呈〔2021〕8号）：工程预算价为574.61万元，经财政评审预算审定为463.83万元；实际项目经财政评审预算审定为464.83万元（4648308.35元）；（2）项目已结算评审结束，但项目《竣工验收报告尚未出具》；（3）项目实施资料虽然简单装订，但项目按进度进行资金支付印证资料及其他项目相关财务资料等均未与项目实施资料统一装订，不利于梳理项目全过程管理情况。根据评分标准，该项得2.00分</w:t>
      </w:r>
      <w:r>
        <w:rPr>
          <w:rFonts w:hint="eastAsia" w:ascii="仿宋" w:eastAsia="仿宋" w:cs="仿宋"/>
          <w:snapToGrid w:val="0"/>
          <w:sz w:val="28"/>
          <w:szCs w:val="28"/>
        </w:rPr>
        <w:t>。</w:t>
      </w:r>
    </w:p>
    <w:p>
      <w:pPr>
        <w:widowControl/>
        <w:spacing w:line="574" w:lineRule="exact"/>
        <w:ind w:firstLine="562" w:firstLineChars="200"/>
        <w:outlineLvl w:val="2"/>
        <w:rPr>
          <w:rFonts w:hint="eastAsia" w:ascii="仿宋" w:eastAsia="仿宋" w:cs="仿宋"/>
          <w:b/>
          <w:snapToGrid w:val="0"/>
          <w:sz w:val="28"/>
          <w:szCs w:val="28"/>
        </w:rPr>
      </w:pPr>
      <w:bookmarkStart w:id="112" w:name="_Toc30848"/>
      <w:bookmarkStart w:id="113" w:name="_Toc30077"/>
      <w:bookmarkStart w:id="114" w:name="_Toc23505"/>
      <w:bookmarkStart w:id="115" w:name="_Toc29696"/>
      <w:bookmarkStart w:id="116" w:name="_Toc16432"/>
      <w:bookmarkStart w:id="117" w:name="_Toc18832"/>
      <w:bookmarkStart w:id="118" w:name="_Toc27638"/>
      <w:bookmarkStart w:id="119" w:name="_Toc11431"/>
      <w:bookmarkStart w:id="120" w:name="_Toc528684143"/>
      <w:bookmarkStart w:id="121" w:name="_Toc7873"/>
      <w:bookmarkStart w:id="122" w:name="_Toc528680468"/>
      <w:r>
        <w:rPr>
          <w:rFonts w:hint="eastAsia" w:ascii="仿宋" w:eastAsia="仿宋" w:cs="仿宋"/>
          <w:b/>
          <w:snapToGrid w:val="0"/>
          <w:sz w:val="28"/>
          <w:szCs w:val="28"/>
        </w:rPr>
        <w:t>3</w:t>
      </w:r>
      <w:r>
        <w:rPr>
          <w:rFonts w:hint="eastAsia" w:ascii="仿宋" w:eastAsia="仿宋" w:cs="仿宋"/>
          <w:b/>
          <w:snapToGrid w:val="0"/>
          <w:sz w:val="28"/>
          <w:szCs w:val="28"/>
          <w:lang w:eastAsia="zh-CN"/>
        </w:rPr>
        <w:t>、</w:t>
      </w:r>
      <w:r>
        <w:rPr>
          <w:rFonts w:hint="eastAsia" w:ascii="仿宋" w:eastAsia="仿宋" w:cs="仿宋"/>
          <w:b/>
          <w:snapToGrid w:val="0"/>
          <w:sz w:val="28"/>
          <w:szCs w:val="28"/>
        </w:rPr>
        <w:t>产出分析</w:t>
      </w:r>
      <w:bookmarkEnd w:id="112"/>
      <w:bookmarkEnd w:id="113"/>
      <w:bookmarkEnd w:id="114"/>
      <w:bookmarkEnd w:id="115"/>
      <w:bookmarkEnd w:id="116"/>
      <w:bookmarkEnd w:id="117"/>
      <w:bookmarkEnd w:id="118"/>
      <w:bookmarkEnd w:id="119"/>
      <w:bookmarkEnd w:id="120"/>
      <w:bookmarkEnd w:id="121"/>
      <w:bookmarkEnd w:id="122"/>
    </w:p>
    <w:p>
      <w:pPr>
        <w:widowControl/>
        <w:spacing w:line="574" w:lineRule="exact"/>
        <w:ind w:firstLine="560" w:firstLineChars="200"/>
        <w:rPr>
          <w:rFonts w:hint="eastAsia" w:ascii="仿宋" w:eastAsia="仿宋" w:cs="仿宋"/>
          <w:snapToGrid w:val="0"/>
          <w:sz w:val="28"/>
          <w:szCs w:val="28"/>
        </w:rPr>
      </w:pPr>
      <w:r>
        <w:rPr>
          <w:rFonts w:hint="eastAsia" w:ascii="Times New Roman" w:hAnsi="Times New Roman" w:eastAsia="仿宋" w:cs="Times New Roman"/>
          <w:bCs w:val="0"/>
          <w:kern w:val="2"/>
          <w:sz w:val="28"/>
          <w:szCs w:val="28"/>
          <w:lang w:val="en-US" w:eastAsia="zh-CN" w:bidi="ar-SA"/>
        </w:rPr>
        <w:t>产出类指标主要从项目完成情况、工程质量达标情况、项目完工及时性、项目验收及时性、成本节约率5个指标考察该项目产出数量、产出质量、产出时效、产出成本。产出类指标权重30.00分，实际得分12.00分。指标得分情况如表4-3所示</w:t>
      </w:r>
      <w:r>
        <w:rPr>
          <w:rFonts w:hint="eastAsia" w:ascii="仿宋" w:eastAsia="仿宋" w:cs="仿宋"/>
          <w:snapToGrid w:val="0"/>
          <w:sz w:val="28"/>
          <w:szCs w:val="28"/>
        </w:rPr>
        <w:t>：</w:t>
      </w:r>
    </w:p>
    <w:p>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表4-3 产出类指标得分情况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02"/>
        <w:gridCol w:w="3953"/>
        <w:gridCol w:w="919"/>
        <w:gridCol w:w="863"/>
        <w:gridCol w:w="11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3953"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919"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863"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185"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ascii="仿宋" w:eastAsia="仿宋" w:cs="仿宋"/>
                <w:b w:val="0"/>
                <w:bCs w:val="0"/>
                <w:color w:val="000000"/>
                <w:kern w:val="0"/>
                <w:sz w:val="24"/>
                <w:szCs w:val="24"/>
                <w:lang w:val="en-US" w:eastAsia="zh-CN"/>
              </w:rPr>
            </w:pPr>
            <w:r>
              <w:rPr>
                <w:rFonts w:hint="eastAsia" w:ascii="Times New Roman" w:hAnsi="Times New Roman" w:eastAsia="仿宋" w:cs="Times New Roman"/>
                <w:sz w:val="24"/>
                <w:szCs w:val="24"/>
                <w:lang w:val="en-US" w:eastAsia="zh-CN"/>
              </w:rPr>
              <w:t>C1产出数量</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C11项目完成情况</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C2产出质量</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C21工程质量达标情况</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602" w:type="dxa"/>
            <w:vMerge w:val="restart"/>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C3产出时效</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C31项目完工及时性</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C32项目验收及时性</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C4产出成本</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C41成本节约率</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6.00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55" w:type="dxa"/>
            <w:gridSpan w:val="2"/>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合 计</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30</w:t>
            </w:r>
            <w:r>
              <w:rPr>
                <w:rFonts w:hint="eastAsia" w:ascii="仿宋" w:eastAsia="仿宋" w:cs="仿宋"/>
                <w:b w:val="0"/>
                <w:bCs w:val="0"/>
                <w:color w:val="000000"/>
                <w:kern w:val="0"/>
                <w:sz w:val="24"/>
                <w:szCs w:val="24"/>
                <w:lang w:val="en-US" w:eastAsia="zh-CN"/>
              </w:rPr>
              <w:t>.00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12.00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40.00%</w:t>
            </w:r>
          </w:p>
        </w:tc>
      </w:tr>
    </w:tbl>
    <w:p>
      <w:pPr>
        <w:widowControl/>
        <w:spacing w:line="574" w:lineRule="exact"/>
        <w:ind w:firstLine="560" w:firstLineChars="200"/>
        <w:outlineLvl w:val="3"/>
        <w:rPr>
          <w:rFonts w:hint="eastAsia" w:ascii="仿宋" w:eastAsia="仿宋" w:cs="仿宋"/>
          <w:snapToGrid w:val="0"/>
          <w:sz w:val="28"/>
          <w:szCs w:val="28"/>
          <w:lang w:eastAsia="zh-CN"/>
        </w:rPr>
      </w:pPr>
      <w:r>
        <w:rPr>
          <w:rFonts w:hint="eastAsia" w:ascii="仿宋" w:eastAsia="仿宋" w:cs="仿宋"/>
          <w:snapToGrid w:val="0"/>
          <w:sz w:val="28"/>
          <w:szCs w:val="28"/>
        </w:rPr>
        <w:t>（1）</w:t>
      </w:r>
      <w:r>
        <w:rPr>
          <w:rFonts w:hint="eastAsia" w:ascii="仿宋" w:eastAsia="仿宋" w:cs="仿宋"/>
          <w:snapToGrid w:val="0"/>
          <w:sz w:val="28"/>
          <w:szCs w:val="28"/>
          <w:lang w:val="en-US" w:eastAsia="zh-CN"/>
        </w:rPr>
        <w:t>产出数量</w:t>
      </w:r>
    </w:p>
    <w:p>
      <w:pPr>
        <w:widowControl/>
        <w:spacing w:line="574" w:lineRule="exact"/>
        <w:ind w:firstLine="562" w:firstLineChars="200"/>
        <w:rPr>
          <w:rFonts w:hint="eastAsia" w:ascii="仿宋" w:eastAsia="仿宋" w:cs="仿宋"/>
          <w:b/>
          <w:snapToGrid w:val="0"/>
          <w:sz w:val="28"/>
          <w:szCs w:val="28"/>
          <w:lang w:eastAsia="zh-CN"/>
        </w:rPr>
      </w:pPr>
      <w:r>
        <w:rPr>
          <w:rFonts w:hint="eastAsia" w:ascii="仿宋" w:eastAsia="仿宋" w:cs="仿宋"/>
          <w:b/>
          <w:snapToGrid w:val="0"/>
          <w:sz w:val="28"/>
          <w:szCs w:val="28"/>
          <w:lang w:val="en-US" w:eastAsia="zh-CN"/>
        </w:rPr>
        <w:t>C11项目完成情况</w:t>
      </w:r>
      <w:r>
        <w:rPr>
          <w:rFonts w:hint="eastAsia" w:ascii="仿宋" w:eastAsia="仿宋" w:cs="仿宋"/>
          <w:b/>
          <w:snapToGrid w:val="0"/>
          <w:sz w:val="28"/>
          <w:szCs w:val="28"/>
          <w:lang w:eastAsia="zh-CN"/>
        </w:rPr>
        <w:t>：</w:t>
      </w:r>
      <w:r>
        <w:rPr>
          <w:rFonts w:hint="eastAsia" w:ascii="Times New Roman" w:hAnsi="Times New Roman" w:eastAsia="仿宋" w:cs="Times New Roman"/>
          <w:bCs w:val="0"/>
          <w:kern w:val="2"/>
          <w:sz w:val="28"/>
          <w:szCs w:val="28"/>
          <w:lang w:val="en-US" w:eastAsia="zh-CN" w:bidi="ar-SA"/>
        </w:rPr>
        <w:t>满分8.00分，得分8.00分。评价组现场调研了解到，</w:t>
      </w:r>
      <w:r>
        <w:rPr>
          <w:rFonts w:hint="eastAsia" w:ascii="Times New Roman" w:hAnsi="Times New Roman" w:eastAsia="仿宋" w:cs="Times New Roman"/>
          <w:kern w:val="0"/>
          <w:sz w:val="28"/>
          <w:szCs w:val="28"/>
          <w:shd w:val="clear" w:color="auto" w:fill="FFFFFF"/>
          <w:lang w:val="en-US" w:eastAsia="zh-CN"/>
        </w:rPr>
        <w:t>2020年4月1日，古县直属机关事务服务中心与临汾亨茂园林绿化有限公司签订《施工合同》，工程内容：景观工程、绿化工程、给排水、电气照明、弱电等附属工程；项目工程内容全部完成。</w:t>
      </w:r>
      <w:r>
        <w:rPr>
          <w:rFonts w:hint="eastAsia" w:ascii="Times New Roman" w:hAnsi="Times New Roman" w:eastAsia="仿宋" w:cs="Times New Roman"/>
          <w:bCs w:val="0"/>
          <w:kern w:val="2"/>
          <w:sz w:val="28"/>
          <w:szCs w:val="28"/>
          <w:lang w:val="en-US" w:eastAsia="zh-CN" w:bidi="ar-SA"/>
        </w:rPr>
        <w:t>根据评分标准，该项得满分</w:t>
      </w:r>
      <w:r>
        <w:rPr>
          <w:rFonts w:hint="eastAsia" w:ascii="仿宋" w:eastAsia="仿宋" w:cs="仿宋"/>
          <w:b w:val="0"/>
          <w:bCs/>
          <w:snapToGrid w:val="0"/>
          <w:sz w:val="28"/>
          <w:szCs w:val="28"/>
          <w:lang w:val="en-US" w:eastAsia="zh-CN"/>
        </w:rPr>
        <w:t>。</w:t>
      </w:r>
    </w:p>
    <w:p>
      <w:pPr>
        <w:spacing w:line="574" w:lineRule="exact"/>
        <w:ind w:firstLine="560" w:firstLineChars="200"/>
        <w:rPr>
          <w:rFonts w:hint="eastAsia" w:ascii="仿宋" w:eastAsia="仿宋" w:cs="仿宋"/>
          <w:b/>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2</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产出质量</w:t>
      </w:r>
    </w:p>
    <w:p>
      <w:pPr>
        <w:spacing w:line="574" w:lineRule="exact"/>
        <w:ind w:firstLine="562" w:firstLineChars="200"/>
        <w:rPr>
          <w:rFonts w:hint="eastAsia" w:ascii="仿宋" w:eastAsia="仿宋" w:cs="仿宋"/>
          <w:b w:val="0"/>
          <w:bCs/>
          <w:snapToGrid w:val="0"/>
          <w:sz w:val="28"/>
          <w:szCs w:val="28"/>
          <w:lang w:val="en-US" w:eastAsia="zh-CN"/>
        </w:rPr>
      </w:pPr>
      <w:r>
        <w:rPr>
          <w:rFonts w:hint="eastAsia" w:ascii="仿宋" w:eastAsia="仿宋" w:cs="仿宋"/>
          <w:b/>
          <w:bCs/>
          <w:snapToGrid w:val="0"/>
          <w:sz w:val="28"/>
          <w:szCs w:val="28"/>
          <w:lang w:eastAsia="zh-CN"/>
        </w:rPr>
        <w:t>C21</w:t>
      </w:r>
      <w:r>
        <w:rPr>
          <w:rFonts w:hint="eastAsia" w:ascii="仿宋" w:eastAsia="仿宋" w:cs="仿宋"/>
          <w:b/>
          <w:bCs/>
          <w:snapToGrid w:val="0"/>
          <w:sz w:val="28"/>
          <w:szCs w:val="28"/>
          <w:lang w:val="en-US" w:eastAsia="zh-CN"/>
        </w:rPr>
        <w:t>工程质量达标情况</w:t>
      </w:r>
      <w:r>
        <w:rPr>
          <w:rFonts w:hint="eastAsia" w:ascii="仿宋" w:eastAsia="仿宋" w:cs="仿宋"/>
          <w:b/>
          <w:bCs/>
          <w:snapToGrid w:val="0"/>
          <w:sz w:val="28"/>
          <w:szCs w:val="28"/>
          <w:lang w:eastAsia="zh-CN"/>
        </w:rPr>
        <w:t>：</w:t>
      </w:r>
      <w:r>
        <w:rPr>
          <w:rFonts w:hint="eastAsia" w:ascii="Times New Roman" w:hAnsi="Times New Roman" w:eastAsia="仿宋" w:cs="Times New Roman"/>
          <w:bCs w:val="0"/>
          <w:kern w:val="2"/>
          <w:sz w:val="28"/>
          <w:szCs w:val="28"/>
          <w:lang w:val="en-US" w:eastAsia="zh-CN" w:bidi="ar-SA"/>
        </w:rPr>
        <w:t>满分8.00分，得分0.00分。截止2021年12月31日，该项目已完工，但尚未出具《竣工验收报告》，工程质量达标情况支撑依据不足。根据评分标准，该项得0.00分</w:t>
      </w:r>
      <w:r>
        <w:rPr>
          <w:rFonts w:hint="eastAsia" w:ascii="仿宋" w:eastAsia="仿宋" w:cs="仿宋"/>
          <w:b w:val="0"/>
          <w:bCs/>
          <w:snapToGrid w:val="0"/>
          <w:sz w:val="28"/>
          <w:szCs w:val="28"/>
          <w:lang w:val="en-US" w:eastAsia="zh-CN"/>
        </w:rPr>
        <w:t>。</w:t>
      </w:r>
    </w:p>
    <w:p>
      <w:pPr>
        <w:spacing w:line="574" w:lineRule="exact"/>
        <w:ind w:firstLine="560" w:firstLineChars="200"/>
        <w:rPr>
          <w:rFonts w:ascii="仿宋" w:eastAsia="仿宋" w:cs="仿宋"/>
          <w:b w:val="0"/>
          <w:bCs/>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3</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产出时效</w:t>
      </w:r>
    </w:p>
    <w:p>
      <w:pPr>
        <w:widowControl/>
        <w:spacing w:line="574"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C31项目完工及时性：</w:t>
      </w:r>
      <w:r>
        <w:rPr>
          <w:rFonts w:hint="eastAsia" w:ascii="Times New Roman" w:hAnsi="Times New Roman" w:eastAsia="仿宋" w:cs="Times New Roman"/>
          <w:bCs w:val="0"/>
          <w:kern w:val="2"/>
          <w:sz w:val="28"/>
          <w:szCs w:val="28"/>
          <w:lang w:val="en-US" w:eastAsia="zh-CN" w:bidi="ar-SA"/>
        </w:rPr>
        <w:t>满分4.00分，得分4.00分。城市中心公园建设项目计划开竣工时间为2020年4月7日至2021年1月31日，评价组现场调研了解到，项目完工及时，项目实际开完工时间为2020年4月7日至2021年1月31日。根据评分标准，该项得满分。</w:t>
      </w:r>
    </w:p>
    <w:p>
      <w:pPr>
        <w:spacing w:line="574"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eastAsia="仿宋" w:cs="仿宋"/>
          <w:b/>
          <w:bCs/>
          <w:snapToGrid w:val="0"/>
          <w:sz w:val="28"/>
          <w:szCs w:val="28"/>
          <w:lang w:eastAsia="zh-CN"/>
        </w:rPr>
        <w:t>C3</w:t>
      </w:r>
      <w:r>
        <w:rPr>
          <w:rFonts w:hint="eastAsia" w:ascii="仿宋" w:eastAsia="仿宋" w:cs="仿宋"/>
          <w:b/>
          <w:bCs/>
          <w:snapToGrid w:val="0"/>
          <w:sz w:val="28"/>
          <w:szCs w:val="28"/>
          <w:lang w:val="en-US" w:eastAsia="zh-CN"/>
        </w:rPr>
        <w:t>2</w:t>
      </w:r>
      <w:r>
        <w:rPr>
          <w:rFonts w:hint="eastAsia" w:ascii="仿宋" w:eastAsia="仿宋" w:cs="仿宋"/>
          <w:b/>
          <w:bCs/>
          <w:snapToGrid w:val="0"/>
          <w:sz w:val="28"/>
          <w:szCs w:val="28"/>
          <w:lang w:eastAsia="zh-CN"/>
        </w:rPr>
        <w:t>项目</w:t>
      </w:r>
      <w:r>
        <w:rPr>
          <w:rFonts w:hint="eastAsia" w:ascii="仿宋" w:eastAsia="仿宋" w:cs="仿宋"/>
          <w:b/>
          <w:bCs/>
          <w:snapToGrid w:val="0"/>
          <w:sz w:val="28"/>
          <w:szCs w:val="28"/>
          <w:lang w:val="en-US" w:eastAsia="zh-CN"/>
        </w:rPr>
        <w:t>验收</w:t>
      </w:r>
      <w:r>
        <w:rPr>
          <w:rFonts w:hint="eastAsia" w:ascii="仿宋" w:eastAsia="仿宋" w:cs="仿宋"/>
          <w:b/>
          <w:bCs/>
          <w:snapToGrid w:val="0"/>
          <w:sz w:val="28"/>
          <w:szCs w:val="28"/>
          <w:lang w:eastAsia="zh-CN"/>
        </w:rPr>
        <w:t>及时性：</w:t>
      </w:r>
      <w:r>
        <w:rPr>
          <w:rFonts w:hint="eastAsia" w:ascii="Times New Roman" w:hAnsi="Times New Roman" w:eastAsia="仿宋" w:cs="Times New Roman"/>
          <w:bCs w:val="0"/>
          <w:kern w:val="2"/>
          <w:sz w:val="28"/>
          <w:szCs w:val="28"/>
          <w:lang w:val="en-US" w:eastAsia="zh-CN" w:bidi="ar-SA"/>
        </w:rPr>
        <w:t>满分4.00分，得分0.00分。城市中心公园建设项目完工后，截止2021年12月31日，项目仍未出具《竣工验收报告》，项目验收不及时。根据评分标准，该项得0.00分。</w:t>
      </w:r>
    </w:p>
    <w:p>
      <w:pPr>
        <w:pStyle w:val="2"/>
        <w:ind w:left="0" w:firstLine="560" w:firstLineChars="200"/>
        <w:rPr>
          <w:rFonts w:hint="eastAsia" w:ascii="仿宋" w:eastAsia="仿宋" w:cs="仿宋"/>
          <w:b w:val="0"/>
          <w:bCs/>
          <w:snapToGrid w:val="0"/>
          <w:sz w:val="28"/>
          <w:szCs w:val="28"/>
          <w:lang w:val="en-US" w:eastAsia="zh-CN"/>
        </w:rPr>
      </w:pPr>
      <w:r>
        <w:rPr>
          <w:rFonts w:hint="eastAsia" w:ascii="仿宋" w:eastAsia="仿宋" w:cs="仿宋"/>
          <w:b w:val="0"/>
          <w:bCs/>
          <w:snapToGrid w:val="0"/>
          <w:sz w:val="28"/>
          <w:szCs w:val="28"/>
          <w:lang w:val="en-US" w:eastAsia="zh-CN"/>
        </w:rPr>
        <w:t>（4）产出成本</w:t>
      </w:r>
    </w:p>
    <w:p>
      <w:pPr>
        <w:pStyle w:val="2"/>
        <w:ind w:left="0" w:firstLine="562" w:firstLineChars="200"/>
        <w:rPr>
          <w:rFonts w:ascii="Times New Roman" w:hAnsi="Times New Roman" w:eastAsia="仿宋" w:cs="Times New Roman"/>
          <w:bCs w:val="0"/>
          <w:kern w:val="2"/>
          <w:sz w:val="28"/>
          <w:szCs w:val="28"/>
          <w:lang w:val="en-US" w:eastAsia="zh-CN" w:bidi="ar-SA"/>
        </w:rPr>
      </w:pPr>
      <w:r>
        <w:rPr>
          <w:rFonts w:hint="eastAsia" w:ascii="仿宋" w:eastAsia="仿宋" w:cs="仿宋"/>
          <w:b/>
          <w:bCs w:val="0"/>
          <w:snapToGrid w:val="0"/>
          <w:sz w:val="28"/>
          <w:szCs w:val="28"/>
          <w:lang w:val="en-US" w:eastAsia="zh-CN"/>
        </w:rPr>
        <w:t>C41成本控制：</w:t>
      </w:r>
      <w:r>
        <w:rPr>
          <w:rFonts w:hint="eastAsia" w:ascii="Times New Roman" w:hAnsi="Times New Roman" w:eastAsia="仿宋" w:cs="Times New Roman"/>
          <w:bCs w:val="0"/>
          <w:kern w:val="2"/>
          <w:sz w:val="28"/>
          <w:szCs w:val="28"/>
          <w:lang w:val="en-US" w:eastAsia="zh-CN" w:bidi="ar-SA"/>
        </w:rPr>
        <w:t>满分6.00分，得分0.00分。评价组现场调研和查阅相关资料了解到，城市中心公园建设项目合同价463.92万元，</w:t>
      </w:r>
      <w:r>
        <w:rPr>
          <w:rFonts w:hint="eastAsia" w:ascii="Times New Roman" w:hAnsi="Times New Roman" w:eastAsia="仿宋" w:cs="Times New Roman"/>
          <w:kern w:val="0"/>
          <w:sz w:val="28"/>
          <w:szCs w:val="28"/>
          <w:shd w:val="clear" w:color="auto" w:fill="FFFFFF"/>
          <w:lang w:val="en-US" w:eastAsia="zh-CN"/>
        </w:rPr>
        <w:t>工程结算报价510.12万元；2022年3月10日，古县财政局委托山西翔鸿工程项目管理有限公司出具《古县中心公园建设项目竣工结算审核书》（山西翔鸿审字〔2022〕042号），审定结算金额505.42万元；审定结算金额超合同价的比例为（505.42-463.92）/463.92*100%=8.95%，项目成本控制不到位。</w:t>
      </w:r>
      <w:r>
        <w:rPr>
          <w:rFonts w:hint="eastAsia" w:ascii="Times New Roman" w:hAnsi="Times New Roman" w:eastAsia="仿宋" w:cs="Times New Roman"/>
          <w:bCs w:val="0"/>
          <w:kern w:val="2"/>
          <w:sz w:val="28"/>
          <w:szCs w:val="28"/>
          <w:lang w:val="en-US" w:eastAsia="zh-CN" w:bidi="ar-SA"/>
        </w:rPr>
        <w:t>根据评分标准，该项得0.00分。</w:t>
      </w:r>
    </w:p>
    <w:p>
      <w:pPr>
        <w:spacing w:line="574" w:lineRule="exact"/>
        <w:ind w:firstLine="562" w:firstLineChars="200"/>
        <w:outlineLvl w:val="2"/>
        <w:rPr>
          <w:rFonts w:hint="eastAsia" w:ascii="仿宋" w:eastAsia="仿宋" w:cs="仿宋"/>
          <w:b/>
          <w:snapToGrid w:val="0"/>
          <w:sz w:val="28"/>
          <w:szCs w:val="28"/>
        </w:rPr>
      </w:pPr>
      <w:bookmarkStart w:id="123" w:name="_Toc28371"/>
      <w:bookmarkStart w:id="124" w:name="_Toc29718"/>
      <w:bookmarkStart w:id="125" w:name="_Toc528684144"/>
      <w:bookmarkStart w:id="126" w:name="_Toc528680469"/>
      <w:bookmarkStart w:id="127" w:name="_Toc19098"/>
      <w:bookmarkStart w:id="128" w:name="_Toc32468"/>
      <w:bookmarkStart w:id="129" w:name="_Toc31873"/>
      <w:bookmarkStart w:id="130" w:name="_Toc8932"/>
      <w:bookmarkStart w:id="131" w:name="_Toc3853"/>
      <w:bookmarkStart w:id="132" w:name="_Toc617"/>
      <w:bookmarkStart w:id="133" w:name="_Toc22268"/>
      <w:r>
        <w:rPr>
          <w:rFonts w:hint="eastAsia" w:ascii="仿宋" w:eastAsia="仿宋" w:cs="仿宋"/>
          <w:b/>
          <w:snapToGrid w:val="0"/>
          <w:sz w:val="28"/>
          <w:szCs w:val="28"/>
        </w:rPr>
        <w:t>4</w:t>
      </w:r>
      <w:r>
        <w:rPr>
          <w:rFonts w:hint="eastAsia" w:ascii="仿宋" w:eastAsia="仿宋" w:cs="仿宋"/>
          <w:b/>
          <w:snapToGrid w:val="0"/>
          <w:sz w:val="28"/>
          <w:szCs w:val="28"/>
          <w:lang w:eastAsia="zh-CN"/>
        </w:rPr>
        <w:t>、</w:t>
      </w:r>
      <w:r>
        <w:rPr>
          <w:rFonts w:hint="eastAsia" w:ascii="仿宋" w:eastAsia="仿宋" w:cs="仿宋"/>
          <w:b/>
          <w:snapToGrid w:val="0"/>
          <w:sz w:val="28"/>
          <w:szCs w:val="28"/>
        </w:rPr>
        <w:t>效益分析</w:t>
      </w:r>
      <w:bookmarkEnd w:id="123"/>
      <w:bookmarkEnd w:id="124"/>
      <w:bookmarkEnd w:id="125"/>
      <w:bookmarkEnd w:id="126"/>
      <w:bookmarkEnd w:id="127"/>
      <w:bookmarkEnd w:id="128"/>
      <w:bookmarkEnd w:id="129"/>
      <w:bookmarkEnd w:id="130"/>
      <w:bookmarkEnd w:id="131"/>
      <w:bookmarkEnd w:id="132"/>
      <w:bookmarkEnd w:id="133"/>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kern w:val="0"/>
          <w:sz w:val="28"/>
          <w:szCs w:val="24"/>
          <w:lang w:val="en-US" w:eastAsia="zh-CN" w:bidi="ar-SA"/>
        </w:rPr>
        <w:t>效益类指标主要社会效益、可持续影响、受益对象满意度3个指标考察社会效益、可持续影响和满意度情况。效益类指标权重30.00分，实际得分30.00分。指标得分情况如表4-4所示</w:t>
      </w:r>
      <w:r>
        <w:rPr>
          <w:rFonts w:hint="eastAsia" w:ascii="仿宋" w:eastAsia="仿宋" w:cs="仿宋"/>
          <w:snapToGrid w:val="0"/>
          <w:sz w:val="28"/>
          <w:szCs w:val="28"/>
        </w:rPr>
        <w:t>：</w:t>
      </w:r>
    </w:p>
    <w:p>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w:t>
      </w:r>
      <w:r>
        <w:rPr>
          <w:rFonts w:hint="eastAsia" w:ascii="Times New Roman" w:hAnsi="Times New Roman" w:eastAsia="仿宋" w:cs="Times New Roman"/>
          <w:b/>
          <w:bCs/>
          <w:color w:val="000000"/>
          <w:kern w:val="0"/>
          <w:sz w:val="24"/>
          <w:szCs w:val="28"/>
          <w:lang w:val="en-US" w:eastAsia="zh-CN"/>
        </w:rPr>
        <w:t>4</w:t>
      </w:r>
      <w:r>
        <w:rPr>
          <w:rFonts w:hint="eastAsia" w:ascii="Times New Roman" w:hAnsi="Times New Roman" w:eastAsia="仿宋" w:cs="Times New Roman"/>
          <w:b/>
          <w:bCs/>
          <w:color w:val="000000"/>
          <w:kern w:val="0"/>
          <w:sz w:val="24"/>
          <w:szCs w:val="28"/>
        </w:rPr>
        <w:t>效益类指标得分情况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854"/>
        <w:gridCol w:w="3109"/>
        <w:gridCol w:w="842"/>
        <w:gridCol w:w="1561"/>
        <w:gridCol w:w="11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4" w:hRule="atLeast"/>
        </w:trPr>
        <w:tc>
          <w:tcPr>
            <w:tcW w:w="1854"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二级指标</w:t>
            </w:r>
          </w:p>
        </w:tc>
        <w:tc>
          <w:tcPr>
            <w:tcW w:w="3109"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三级指标</w:t>
            </w:r>
          </w:p>
        </w:tc>
        <w:tc>
          <w:tcPr>
            <w:tcW w:w="842"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权重</w:t>
            </w:r>
          </w:p>
        </w:tc>
        <w:tc>
          <w:tcPr>
            <w:tcW w:w="1561"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得分</w:t>
            </w:r>
          </w:p>
        </w:tc>
        <w:tc>
          <w:tcPr>
            <w:tcW w:w="1156"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D1社会效益</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hint="eastAsia" w:ascii="仿宋" w:eastAsia="仿宋" w:cs="仿宋"/>
                <w:b w:val="0"/>
                <w:bCs w:val="0"/>
                <w:color w:val="000000"/>
                <w:kern w:val="0"/>
                <w:sz w:val="24"/>
                <w:szCs w:val="24"/>
                <w:lang w:val="en-US" w:eastAsia="zh-CN"/>
              </w:rPr>
            </w:pPr>
            <w:r>
              <w:rPr>
                <w:rFonts w:ascii="Times New Roman" w:hAnsi="Times New Roman" w:eastAsia="仿宋" w:cs="Times New Roman"/>
                <w:sz w:val="24"/>
                <w:szCs w:val="24"/>
                <w:highlight w:val="none"/>
              </w:rPr>
              <w:t>D1</w:t>
            </w:r>
            <w:r>
              <w:rPr>
                <w:rFonts w:hint="eastAsia" w:ascii="Times New Roman" w:hAnsi="Times New Roman" w:eastAsia="仿宋" w:cs="Times New Roman"/>
                <w:sz w:val="24"/>
                <w:szCs w:val="24"/>
                <w:highlight w:val="none"/>
              </w:rPr>
              <w:t>1</w:t>
            </w:r>
            <w:r>
              <w:rPr>
                <w:rFonts w:hint="eastAsia" w:ascii="Times New Roman" w:hAnsi="Times New Roman" w:eastAsia="仿宋" w:cs="Times New Roman"/>
                <w:sz w:val="24"/>
                <w:szCs w:val="24"/>
                <w:highlight w:val="none"/>
                <w:lang w:val="en-US" w:eastAsia="zh-CN"/>
              </w:rPr>
              <w:t>社会效益</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85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D2可持续影响</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hint="eastAsia" w:ascii="仿宋" w:eastAsia="仿宋" w:cs="仿宋"/>
                <w:b w:val="0"/>
                <w:bCs w:val="0"/>
                <w:color w:val="000000"/>
                <w:kern w:val="0"/>
                <w:sz w:val="24"/>
                <w:szCs w:val="24"/>
                <w:lang w:val="en-US" w:eastAsia="zh-CN"/>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2</w:t>
            </w:r>
            <w:r>
              <w:rPr>
                <w:rFonts w:hint="eastAsia" w:ascii="Times New Roman" w:hAnsi="Times New Roman" w:eastAsia="仿宋" w:cs="Times New Roman"/>
                <w:color w:val="000000"/>
                <w:sz w:val="24"/>
                <w:szCs w:val="24"/>
                <w:highlight w:val="none"/>
              </w:rPr>
              <w:t>1可持续</w:t>
            </w:r>
            <w:r>
              <w:rPr>
                <w:rFonts w:hint="eastAsia" w:ascii="Times New Roman" w:hAnsi="Times New Roman" w:eastAsia="仿宋" w:cs="Times New Roman"/>
                <w:color w:val="000000"/>
                <w:sz w:val="24"/>
                <w:szCs w:val="24"/>
                <w:highlight w:val="none"/>
                <w:lang w:val="en-US" w:eastAsia="zh-CN"/>
              </w:rPr>
              <w:t>影响</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85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D3满意度</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hint="eastAsia" w:ascii="仿宋" w:eastAsia="仿宋" w:cs="仿宋"/>
                <w:b w:val="0"/>
                <w:bCs w:val="0"/>
                <w:color w:val="000000"/>
                <w:kern w:val="0"/>
                <w:sz w:val="24"/>
                <w:szCs w:val="24"/>
                <w:lang w:val="en-US" w:eastAsia="zh-CN"/>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3</w:t>
            </w:r>
            <w:r>
              <w:rPr>
                <w:rFonts w:hint="eastAsia" w:ascii="Times New Roman" w:hAnsi="Times New Roman" w:eastAsia="仿宋" w:cs="Times New Roman"/>
                <w:color w:val="000000"/>
                <w:sz w:val="24"/>
                <w:szCs w:val="24"/>
                <w:highlight w:val="none"/>
              </w:rPr>
              <w:t>1受益对象满意度</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12.00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12.00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963" w:type="dxa"/>
            <w:gridSpan w:val="2"/>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合 计</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30.00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30.00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bl>
    <w:p>
      <w:pPr>
        <w:widowControl/>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lang w:val="en-US" w:eastAsia="zh-CN"/>
        </w:rPr>
        <w:t>（1）社会</w:t>
      </w:r>
      <w:r>
        <w:rPr>
          <w:rFonts w:hint="eastAsia" w:ascii="仿宋" w:eastAsia="仿宋" w:cs="仿宋"/>
          <w:snapToGrid w:val="0"/>
          <w:sz w:val="28"/>
          <w:szCs w:val="28"/>
        </w:rPr>
        <w:t>效益</w:t>
      </w:r>
    </w:p>
    <w:p>
      <w:pPr>
        <w:widowControl/>
        <w:spacing w:line="574" w:lineRule="exact"/>
        <w:ind w:firstLine="562" w:firstLineChars="200"/>
        <w:rPr>
          <w:rFonts w:hint="eastAsia" w:ascii="仿宋" w:eastAsia="仿宋" w:cs="仿宋"/>
          <w:snapToGrid w:val="0"/>
          <w:sz w:val="28"/>
          <w:szCs w:val="28"/>
          <w:lang w:eastAsia="zh-CN"/>
        </w:rPr>
      </w:pPr>
      <w:r>
        <w:rPr>
          <w:rFonts w:hint="eastAsia" w:ascii="仿宋" w:eastAsia="仿宋" w:cs="仿宋"/>
          <w:b/>
          <w:bCs w:val="0"/>
          <w:snapToGrid w:val="0"/>
          <w:sz w:val="28"/>
          <w:szCs w:val="28"/>
        </w:rPr>
        <w:t>D11</w:t>
      </w:r>
      <w:r>
        <w:rPr>
          <w:rFonts w:hint="eastAsia" w:ascii="仿宋" w:eastAsia="仿宋" w:cs="仿宋"/>
          <w:b/>
          <w:bCs w:val="0"/>
          <w:snapToGrid w:val="0"/>
          <w:sz w:val="28"/>
          <w:szCs w:val="28"/>
          <w:lang w:val="en-US" w:eastAsia="zh-CN"/>
        </w:rPr>
        <w:t>社会效益</w:t>
      </w:r>
      <w:r>
        <w:rPr>
          <w:rFonts w:hint="eastAsia" w:asci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10.00分，得分10.00分。项目实施后，有助于提升城市品质，增强公园功能，提升城市形象；同时给县城居民提供一个休闲娱乐的好场所，服务人民日益增长的文化生活需要，改善居民人居环境。根据评分标准，该项得满分</w:t>
      </w:r>
      <w:r>
        <w:rPr>
          <w:rFonts w:hint="eastAsia" w:ascii="仿宋" w:eastAsia="仿宋" w:cs="仿宋"/>
          <w:snapToGrid w:val="0"/>
          <w:sz w:val="28"/>
          <w:szCs w:val="28"/>
          <w:lang w:eastAsia="zh-CN"/>
        </w:rPr>
        <w:t>。</w:t>
      </w:r>
    </w:p>
    <w:p>
      <w:pPr>
        <w:widowControl/>
        <w:spacing w:line="574" w:lineRule="exact"/>
        <w:ind w:firstLine="560" w:firstLineChars="200"/>
        <w:rPr>
          <w:rFonts w:ascii="仿宋" w:eastAsia="仿宋" w:cs="仿宋"/>
          <w:b w:val="0"/>
          <w:bCs/>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2</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可持续影响</w:t>
      </w:r>
    </w:p>
    <w:p>
      <w:pPr>
        <w:widowControl/>
        <w:spacing w:line="574" w:lineRule="exact"/>
        <w:ind w:firstLine="562" w:firstLineChars="200"/>
        <w:rPr>
          <w:rFonts w:ascii="仿宋" w:eastAsia="仿宋" w:cs="仿宋"/>
          <w:b w:val="0"/>
          <w:bCs/>
          <w:snapToGrid w:val="0"/>
          <w:sz w:val="28"/>
          <w:szCs w:val="28"/>
          <w:lang w:val="en-US" w:eastAsia="zh-CN"/>
        </w:rPr>
      </w:pPr>
      <w:r>
        <w:rPr>
          <w:rFonts w:hint="eastAsia" w:ascii="仿宋" w:eastAsia="仿宋" w:cs="仿宋"/>
          <w:b/>
          <w:bCs w:val="0"/>
          <w:snapToGrid w:val="0"/>
          <w:sz w:val="28"/>
          <w:szCs w:val="28"/>
        </w:rPr>
        <w:t>D</w:t>
      </w:r>
      <w:r>
        <w:rPr>
          <w:rFonts w:hint="eastAsia" w:ascii="仿宋" w:eastAsia="仿宋" w:cs="仿宋"/>
          <w:b/>
          <w:bCs w:val="0"/>
          <w:snapToGrid w:val="0"/>
          <w:sz w:val="28"/>
          <w:szCs w:val="28"/>
          <w:lang w:val="en-US" w:eastAsia="zh-CN"/>
        </w:rPr>
        <w:t>2</w:t>
      </w:r>
      <w:r>
        <w:rPr>
          <w:rFonts w:hint="eastAsia" w:ascii="仿宋" w:eastAsia="仿宋" w:cs="仿宋"/>
          <w:b/>
          <w:bCs w:val="0"/>
          <w:snapToGrid w:val="0"/>
          <w:sz w:val="28"/>
          <w:szCs w:val="28"/>
        </w:rPr>
        <w:t>1项目可持续性</w:t>
      </w:r>
      <w:r>
        <w:rPr>
          <w:rFonts w:hint="eastAsia" w:asci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满分8.00分，得分8.00分。古县直属机关事务服务中心根据古县人民政府生态环境治理要求持续推进生态治理，项目具备可持续性；项目单位后续管护责任落实。根据评分标准，该项得满分</w:t>
      </w:r>
      <w:r>
        <w:rPr>
          <w:rFonts w:hint="eastAsia" w:ascii="仿宋" w:eastAsia="仿宋" w:cs="仿宋"/>
          <w:snapToGrid w:val="0"/>
          <w:sz w:val="28"/>
          <w:szCs w:val="28"/>
          <w:lang w:eastAsia="zh-CN"/>
        </w:rPr>
        <w:t>。</w:t>
      </w:r>
    </w:p>
    <w:p>
      <w:pPr>
        <w:widowControl/>
        <w:spacing w:line="574" w:lineRule="exact"/>
        <w:ind w:firstLine="560" w:firstLineChars="200"/>
        <w:rPr>
          <w:rFonts w:ascii="仿宋" w:eastAsia="仿宋" w:cs="仿宋"/>
          <w:b w:val="0"/>
          <w:bCs/>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3</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满意度</w:t>
      </w:r>
    </w:p>
    <w:p>
      <w:pPr>
        <w:widowControl/>
        <w:spacing w:line="574" w:lineRule="exact"/>
        <w:ind w:firstLine="562" w:firstLineChars="200"/>
        <w:rPr>
          <w:rFonts w:hint="eastAsia" w:ascii="Times New Roman" w:hAnsi="Times New Roman" w:eastAsia="仿宋" w:cs="Times New Roman"/>
          <w:color w:val="000000"/>
          <w:sz w:val="28"/>
          <w:szCs w:val="28"/>
        </w:rPr>
      </w:pPr>
      <w:r>
        <w:rPr>
          <w:rFonts w:hint="eastAsia" w:ascii="仿宋" w:eastAsia="仿宋" w:cs="仿宋"/>
          <w:b/>
          <w:bCs w:val="0"/>
          <w:snapToGrid w:val="0"/>
          <w:sz w:val="28"/>
          <w:szCs w:val="28"/>
        </w:rPr>
        <w:t>D</w:t>
      </w:r>
      <w:r>
        <w:rPr>
          <w:rFonts w:hint="eastAsia" w:ascii="仿宋" w:eastAsia="仿宋" w:cs="仿宋"/>
          <w:b/>
          <w:bCs w:val="0"/>
          <w:snapToGrid w:val="0"/>
          <w:sz w:val="28"/>
          <w:szCs w:val="28"/>
          <w:lang w:val="en-US" w:eastAsia="zh-CN"/>
        </w:rPr>
        <w:t>3</w:t>
      </w:r>
      <w:r>
        <w:rPr>
          <w:rFonts w:hint="eastAsia" w:ascii="仿宋" w:eastAsia="仿宋" w:cs="仿宋"/>
          <w:b/>
          <w:bCs w:val="0"/>
          <w:snapToGrid w:val="0"/>
          <w:sz w:val="28"/>
          <w:szCs w:val="28"/>
        </w:rPr>
        <w:t>1受益对象满意度：</w:t>
      </w:r>
      <w:r>
        <w:rPr>
          <w:rFonts w:hint="eastAsia" w:ascii="Times New Roman" w:hAnsi="Times New Roman" w:eastAsia="仿宋" w:cs="Times New Roman"/>
          <w:kern w:val="0"/>
          <w:sz w:val="28"/>
          <w:szCs w:val="24"/>
          <w:lang w:val="en-US" w:eastAsia="zh-CN" w:bidi="ar-SA"/>
        </w:rPr>
        <w:t>满分12.00分，得分12.00分。城市中心公园建设项目的受益对象满意度分别为：94.50%、94.50%、95.80%。整体满意度为94.93%。根据评分标准，该项得满分</w:t>
      </w:r>
      <w:r>
        <w:rPr>
          <w:rFonts w:hint="eastAsia" w:ascii="仿宋" w:eastAsia="仿宋" w:cs="仿宋"/>
          <w:b w:val="0"/>
          <w:bCs/>
          <w:snapToGrid w:val="0"/>
          <w:color w:val="000000"/>
          <w:sz w:val="28"/>
          <w:szCs w:val="28"/>
          <w:lang w:eastAsia="zh-CN"/>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134" w:name="_Toc514537344"/>
      <w:bookmarkStart w:id="135" w:name="_Toc3081"/>
      <w:r>
        <w:rPr>
          <w:rFonts w:hint="eastAsia" w:ascii="仿宋" w:eastAsia="仿宋" w:cs="Times New Roman"/>
          <w:b/>
          <w:bCs/>
          <w:sz w:val="32"/>
          <w:szCs w:val="32"/>
          <w:lang w:eastAsia="zh-CN"/>
        </w:rPr>
        <w:t>（二）总体得分情况</w:t>
      </w:r>
      <w:bookmarkEnd w:id="134"/>
      <w:bookmarkEnd w:id="135"/>
    </w:p>
    <w:p>
      <w:pPr>
        <w:widowControl/>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根据上述三级指标分析得分情况，经汇总计算，本次评价涉及四项一级指标总得分情况如下：</w:t>
      </w:r>
    </w:p>
    <w:p>
      <w:pPr>
        <w:widowControl/>
        <w:spacing w:line="574" w:lineRule="exact"/>
        <w:jc w:val="center"/>
        <w:rPr>
          <w:rFonts w:ascii="宋体" w:eastAsia="宋体"/>
          <w:b/>
          <w:snapToGrid w:val="0"/>
          <w:sz w:val="24"/>
        </w:rPr>
      </w:pPr>
      <w:bookmarkStart w:id="136" w:name="_Toc528603080"/>
      <w:bookmarkStart w:id="137" w:name="_Toc514537345"/>
      <w:r>
        <w:rPr>
          <w:rFonts w:hint="eastAsia" w:ascii="Times New Roman" w:hAnsi="Times New Roman" w:eastAsia="仿宋" w:cs="Times New Roman"/>
          <w:b/>
          <w:bCs/>
          <w:color w:val="000000"/>
          <w:kern w:val="0"/>
          <w:sz w:val="24"/>
          <w:szCs w:val="28"/>
        </w:rPr>
        <w:t>表4-5 一级指标得分情况</w:t>
      </w:r>
      <w:bookmarkEnd w:id="136"/>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一级指标</w:t>
            </w:r>
          </w:p>
        </w:tc>
        <w:tc>
          <w:tcPr>
            <w:tcW w:w="184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184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2374"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27" w:hRule="atLeast"/>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eastAsia="zh-CN"/>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决策</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20.00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B过程</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20.00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rPr>
            </w:pPr>
            <w:r>
              <w:rPr>
                <w:rFonts w:hint="eastAsia" w:ascii="仿宋" w:eastAsia="仿宋" w:cs="仿宋"/>
                <w:b w:val="0"/>
                <w:bCs w:val="0"/>
                <w:color w:val="000000"/>
                <w:kern w:val="0"/>
                <w:sz w:val="24"/>
                <w:szCs w:val="24"/>
                <w:lang w:val="en-US" w:eastAsia="zh-CN"/>
              </w:rPr>
              <w:t>14.37</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71.85%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68" w:hRule="atLeast"/>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C产出</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rPr>
              <w:t>30</w:t>
            </w:r>
            <w:r>
              <w:rPr>
                <w:rFonts w:hint="eastAsia" w:ascii="仿宋" w:eastAsia="仿宋" w:cs="仿宋"/>
                <w:b w:val="0"/>
                <w:bCs w:val="0"/>
                <w:color w:val="000000"/>
                <w:kern w:val="0"/>
                <w:sz w:val="24"/>
                <w:szCs w:val="24"/>
                <w:lang w:val="en-US" w:eastAsia="zh-CN"/>
              </w:rPr>
              <w:t>.00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rPr>
            </w:pPr>
            <w:r>
              <w:rPr>
                <w:rFonts w:hint="eastAsia" w:ascii="仿宋" w:eastAsia="仿宋" w:cs="仿宋"/>
                <w:b w:val="0"/>
                <w:bCs w:val="0"/>
                <w:color w:val="000000"/>
                <w:kern w:val="0"/>
                <w:sz w:val="24"/>
                <w:szCs w:val="24"/>
                <w:lang w:val="en-US" w:eastAsia="zh-CN"/>
              </w:rPr>
              <w:t>12.00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40.00%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D效益</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30.00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b w:val="0"/>
                <w:bCs w:val="0"/>
                <w:color w:val="000000"/>
                <w:kern w:val="0"/>
                <w:sz w:val="24"/>
                <w:szCs w:val="24"/>
                <w:lang w:val="en-US" w:eastAsia="zh-CN"/>
              </w:rPr>
              <w:t>30.00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合计</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 xml:space="preserve">100.00 </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76.37</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76.37%</w:t>
            </w:r>
          </w:p>
        </w:tc>
      </w:tr>
    </w:tbl>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ascii="Times New Roman" w:hAnsi="Times New Roman" w:eastAsia="黑体" w:cs="Times New Roman"/>
          <w:bCs/>
          <w:kern w:val="44"/>
          <w:sz w:val="32"/>
          <w:szCs w:val="32"/>
          <w:lang w:val="en-US" w:eastAsia="zh-CN"/>
        </w:rPr>
      </w:pPr>
      <w:bookmarkStart w:id="138" w:name="_Toc31376"/>
      <w:r>
        <w:rPr>
          <w:rFonts w:hint="eastAsia" w:ascii="Times New Roman" w:hAnsi="Times New Roman" w:eastAsia="黑体" w:cs="Times New Roman"/>
          <w:bCs/>
          <w:kern w:val="44"/>
          <w:sz w:val="32"/>
          <w:szCs w:val="32"/>
        </w:rPr>
        <w:t>五、综合评价情况</w:t>
      </w:r>
      <w:bookmarkEnd w:id="137"/>
      <w:r>
        <w:rPr>
          <w:rFonts w:hint="eastAsia" w:ascii="Times New Roman" w:hAnsi="Times New Roman" w:eastAsia="黑体" w:cs="Times New Roman"/>
          <w:bCs/>
          <w:kern w:val="44"/>
          <w:sz w:val="32"/>
          <w:szCs w:val="32"/>
          <w:lang w:val="en-US" w:eastAsia="zh-CN"/>
        </w:rPr>
        <w:t>及结论</w:t>
      </w:r>
      <w:bookmarkEnd w:id="138"/>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139" w:name="_Toc514537346"/>
      <w:bookmarkStart w:id="140" w:name="_Toc20790"/>
      <w:r>
        <w:rPr>
          <w:rFonts w:hint="eastAsia" w:ascii="仿宋" w:eastAsia="仿宋" w:cs="Times New Roman"/>
          <w:b/>
          <w:bCs/>
          <w:sz w:val="32"/>
          <w:szCs w:val="32"/>
          <w:lang w:eastAsia="zh-CN"/>
        </w:rPr>
        <w:t>（一）评分结果</w:t>
      </w:r>
      <w:bookmarkEnd w:id="139"/>
      <w:bookmarkEnd w:id="140"/>
    </w:p>
    <w:p>
      <w:pPr>
        <w:widowControl/>
        <w:spacing w:line="574" w:lineRule="exact"/>
        <w:ind w:firstLine="560" w:firstLineChars="200"/>
        <w:rPr>
          <w:rFonts w:hint="eastAsia" w:ascii="仿宋" w:eastAsia="仿宋" w:cs="仿宋"/>
          <w:snapToGrid w:val="0"/>
          <w:sz w:val="28"/>
          <w:szCs w:val="28"/>
        </w:rPr>
      </w:pPr>
      <w:r>
        <w:rPr>
          <w:rFonts w:hint="eastAsia" w:ascii="Times New Roman" w:hAnsi="Times New Roman" w:eastAsia="仿宋" w:cs="Times New Roman"/>
          <w:color w:val="auto"/>
          <w:kern w:val="0"/>
          <w:sz w:val="28"/>
          <w:szCs w:val="24"/>
          <w:lang w:val="en-US" w:eastAsia="zh-CN" w:bidi="ar-SA"/>
        </w:rPr>
        <w:t>依据项目基础信息统计，结合现场核查结果，按照评价小组制定并由专家组论证的评价指标体系，城市中心公园建设项目支出绩效评价综合得分76.37分，评价等级为“中”</w:t>
      </w:r>
      <w:r>
        <w:rPr>
          <w:rFonts w:hint="eastAsia" w:asci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141" w:name="_Toc514537347"/>
      <w:bookmarkStart w:id="142" w:name="_Toc22846"/>
      <w:r>
        <w:rPr>
          <w:rFonts w:hint="eastAsia" w:ascii="仿宋" w:eastAsia="仿宋" w:cs="Times New Roman"/>
          <w:b/>
          <w:bCs/>
          <w:sz w:val="32"/>
          <w:szCs w:val="32"/>
          <w:lang w:eastAsia="zh-CN"/>
        </w:rPr>
        <w:t>（二）主要结论</w:t>
      </w:r>
      <w:bookmarkEnd w:id="141"/>
      <w:bookmarkEnd w:id="142"/>
    </w:p>
    <w:p>
      <w:pPr>
        <w:widowControl/>
        <w:spacing w:line="574" w:lineRule="exact"/>
        <w:ind w:firstLine="560" w:firstLineChars="200"/>
        <w:rPr>
          <w:rFonts w:ascii="Times New Roman" w:hAnsi="Times New Roman" w:eastAsia="仿宋" w:cs="Times New Roman"/>
          <w:kern w:val="0"/>
          <w:sz w:val="28"/>
          <w:szCs w:val="24"/>
          <w:lang w:val="en-US" w:eastAsia="zh-CN" w:bidi="ar-SA"/>
        </w:rPr>
      </w:pPr>
      <w:bookmarkStart w:id="143" w:name="_Toc514537348"/>
      <w:r>
        <w:rPr>
          <w:rFonts w:hint="eastAsia" w:ascii="Times New Roman" w:hAnsi="Times New Roman" w:eastAsia="仿宋" w:cs="Times New Roman"/>
          <w:kern w:val="0"/>
          <w:sz w:val="28"/>
          <w:szCs w:val="24"/>
          <w:lang w:val="en-US" w:eastAsia="zh-CN" w:bidi="ar-SA"/>
        </w:rPr>
        <w:t>项目决策方面，</w:t>
      </w:r>
      <w:r>
        <w:rPr>
          <w:rFonts w:hint="eastAsia" w:ascii="Times New Roman" w:hAnsi="Times New Roman" w:eastAsia="仿宋" w:cs="Times New Roman"/>
          <w:bCs w:val="0"/>
          <w:kern w:val="2"/>
          <w:sz w:val="28"/>
          <w:szCs w:val="28"/>
          <w:lang w:val="en-US" w:eastAsia="zh-CN" w:bidi="ar-SA"/>
        </w:rPr>
        <w:t>项目按照规定的程序申请设立，城市中心公园建设项目落实了党的十九大报告指出的绿色发展理念</w:t>
      </w:r>
      <w:r>
        <w:rPr>
          <w:rFonts w:hint="eastAsia" w:ascii="Times New Roman" w:hAnsi="Times New Roman" w:eastAsia="仿宋" w:cs="Times New Roman"/>
          <w:kern w:val="0"/>
          <w:sz w:val="28"/>
          <w:szCs w:val="24"/>
          <w:lang w:val="en-US" w:eastAsia="zh-CN" w:bidi="ar-SA"/>
        </w:rPr>
        <w:t>，项目依据充分，立项程序规范，绩效目标合理，绩效指标明确，资金分配合理、预算编制科学。</w:t>
      </w:r>
    </w:p>
    <w:p>
      <w:pPr>
        <w:widowControl/>
        <w:spacing w:line="574" w:lineRule="exact"/>
        <w:ind w:firstLine="560" w:firstLineChars="200"/>
        <w:rPr>
          <w:rFonts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项目过程方面，预算资金到位率59.36%，资金使用合规，财务管理制度健全，预算执行率达标，但项目实施管理有待加强。</w:t>
      </w:r>
    </w:p>
    <w:p>
      <w:pPr>
        <w:widowControl/>
        <w:spacing w:line="574" w:lineRule="exact"/>
        <w:ind w:firstLine="560" w:firstLineChars="200"/>
        <w:rPr>
          <w:rFonts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项目产出方面，城市中心公园建设项目内容完成及时，验收不及时，成本控制不到位。</w:t>
      </w:r>
    </w:p>
    <w:p>
      <w:pPr>
        <w:widowControl/>
        <w:spacing w:line="574" w:lineRule="exact"/>
        <w:ind w:firstLine="560" w:firstLineChars="200"/>
        <w:rPr>
          <w:rFonts w:ascii="仿宋" w:eastAsia="仿宋" w:cs="仿宋"/>
          <w:snapToGrid w:val="0"/>
          <w:sz w:val="28"/>
          <w:szCs w:val="28"/>
          <w:lang w:val="en-US" w:eastAsia="zh-CN"/>
        </w:rPr>
      </w:pPr>
      <w:r>
        <w:rPr>
          <w:rFonts w:hint="eastAsia" w:ascii="Times New Roman" w:hAnsi="Times New Roman" w:eastAsia="仿宋" w:cs="Times New Roman"/>
          <w:kern w:val="0"/>
          <w:sz w:val="28"/>
          <w:szCs w:val="24"/>
          <w:lang w:val="en-US" w:eastAsia="zh-CN" w:bidi="ar-SA"/>
        </w:rPr>
        <w:t>项目效益方面，项目社会效益良好，项目具备可持续性，受益对象满意度较高</w:t>
      </w:r>
      <w:r>
        <w:rPr>
          <w:rFonts w:hint="eastAsia" w:ascii="仿宋" w:eastAsia="仿宋" w:cs="仿宋"/>
          <w:snapToGrid w:val="0"/>
          <w:sz w:val="28"/>
          <w:szCs w:val="28"/>
          <w:lang w:val="en-US" w:eastAsia="zh-CN"/>
        </w:rPr>
        <w:t>。</w:t>
      </w:r>
    </w:p>
    <w:bookmarkEnd w:id="143"/>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144" w:name="_Toc1323"/>
      <w:bookmarkStart w:id="145" w:name="_Toc514537349"/>
      <w:r>
        <w:rPr>
          <w:rFonts w:hint="eastAsia" w:ascii="Times New Roman" w:hAnsi="Times New Roman" w:eastAsia="黑体" w:cs="Times New Roman"/>
          <w:bCs/>
          <w:kern w:val="44"/>
          <w:sz w:val="32"/>
          <w:szCs w:val="32"/>
          <w:lang w:val="en-US" w:eastAsia="zh-CN"/>
        </w:rPr>
        <w:t>六</w:t>
      </w:r>
      <w:r>
        <w:rPr>
          <w:rFonts w:hint="eastAsia" w:ascii="Times New Roman" w:hAnsi="Times New Roman" w:eastAsia="黑体" w:cs="Times New Roman"/>
          <w:bCs/>
          <w:kern w:val="44"/>
          <w:sz w:val="32"/>
          <w:szCs w:val="32"/>
        </w:rPr>
        <w:t>、存在的问题和改进建议</w:t>
      </w:r>
      <w:bookmarkEnd w:id="144"/>
      <w:bookmarkEnd w:id="145"/>
    </w:p>
    <w:p>
      <w:pPr>
        <w:widowControl/>
        <w:spacing w:line="574" w:lineRule="exact"/>
        <w:ind w:firstLine="560" w:firstLineChars="200"/>
        <w:rPr>
          <w:rFonts w:hint="eastAsia" w:ascii="仿宋" w:eastAsia="仿宋" w:cs="仿宋"/>
          <w:snapToGrid w:val="0"/>
          <w:sz w:val="28"/>
          <w:szCs w:val="28"/>
        </w:rPr>
      </w:pPr>
      <w:r>
        <w:rPr>
          <w:rFonts w:hint="eastAsia" w:ascii="Times New Roman" w:hAnsi="Times New Roman" w:eastAsia="仿宋" w:cs="Times New Roman"/>
          <w:kern w:val="0"/>
          <w:sz w:val="28"/>
          <w:szCs w:val="24"/>
          <w:lang w:val="en-US" w:eastAsia="zh-CN" w:bidi="ar-SA"/>
        </w:rPr>
        <w:t>评价小组在详细查阅项目资料的基础上，结合现场实地勘察，对本次项目建设过程中存在的问题进行总结与分析，并针对问题提出了对应建议</w:t>
      </w:r>
      <w:r>
        <w:rPr>
          <w:rFonts w:hint="eastAsia" w:asci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562" w:firstLineChars="200"/>
        <w:textAlignment w:val="auto"/>
        <w:outlineLvl w:val="1"/>
        <w:rPr>
          <w:rFonts w:hint="eastAsia" w:ascii="仿宋" w:eastAsia="仿宋" w:cs="仿宋"/>
          <w:b/>
          <w:bCs/>
          <w:sz w:val="28"/>
          <w:szCs w:val="28"/>
          <w:lang w:eastAsia="zh-CN"/>
        </w:rPr>
      </w:pPr>
      <w:bookmarkStart w:id="146" w:name="_Toc514537350"/>
      <w:bookmarkStart w:id="147" w:name="_Toc15751"/>
      <w:bookmarkStart w:id="148" w:name="_Toc528680328"/>
      <w:bookmarkStart w:id="149" w:name="_Toc528684154"/>
      <w:bookmarkStart w:id="150" w:name="_Toc528603086"/>
      <w:bookmarkStart w:id="151" w:name="_Toc528680479"/>
      <w:r>
        <w:rPr>
          <w:rFonts w:hint="eastAsia" w:ascii="仿宋" w:eastAsia="仿宋" w:cs="仿宋"/>
          <w:b/>
          <w:bCs/>
          <w:sz w:val="28"/>
          <w:szCs w:val="28"/>
          <w:lang w:eastAsia="zh-CN"/>
        </w:rPr>
        <w:t>（一）存在的问题</w:t>
      </w:r>
      <w:bookmarkEnd w:id="146"/>
      <w:bookmarkEnd w:id="147"/>
      <w:bookmarkEnd w:id="148"/>
      <w:bookmarkEnd w:id="149"/>
      <w:bookmarkEnd w:id="150"/>
      <w:bookmarkEnd w:id="151"/>
    </w:p>
    <w:p>
      <w:pPr>
        <w:spacing w:line="574" w:lineRule="exact"/>
        <w:ind w:firstLine="562" w:firstLineChars="200"/>
        <w:rPr>
          <w:rFonts w:ascii="仿宋" w:eastAsia="仿宋" w:cs="仿宋"/>
          <w:b/>
          <w:bCs w:val="0"/>
          <w:snapToGrid w:val="0"/>
          <w:sz w:val="28"/>
          <w:szCs w:val="28"/>
          <w:lang w:val="en-US" w:eastAsia="zh-CN"/>
        </w:rPr>
      </w:pPr>
      <w:bookmarkStart w:id="152" w:name="_Toc528603089"/>
      <w:bookmarkStart w:id="153" w:name="_Toc514537351"/>
      <w:r>
        <w:rPr>
          <w:rFonts w:hint="eastAsia" w:ascii="仿宋" w:eastAsia="仿宋" w:cs="仿宋"/>
          <w:b/>
          <w:bCs w:val="0"/>
          <w:snapToGrid w:val="0"/>
          <w:sz w:val="28"/>
          <w:szCs w:val="28"/>
          <w:lang w:val="en-US" w:eastAsia="zh-CN"/>
        </w:rPr>
        <w:t>1、项目实施管理有待加强。</w:t>
      </w:r>
    </w:p>
    <w:p>
      <w:pPr>
        <w:spacing w:line="574" w:lineRule="exact"/>
        <w:ind w:firstLine="560" w:firstLineChars="200"/>
        <w:rPr>
          <w:rFonts w:ascii="仿宋" w:eastAsia="仿宋" w:cs="仿宋"/>
          <w:b/>
          <w:bCs w:val="0"/>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1）2021年12月20日，古县直属机关事务服务中心向古县人民政府提交《关于中心公园项目结算评审的申请》（古直中心呈〔2021〕8号）：工程预算价为574.61万元，经财政评审预算审定为463.83万元；实际项目经财政评审预算审定为464.83万元（4648308.35元）；（2）项目已结算评审结束，但项目《竣工验收报告尚未出具》；（3）项目实施资料虽然简单装订，但项目按进度进行资金支付印证资料及其他项目相关财务资料等均未与项目实施资料统一装订，不利于梳理项目全过程管理情况。</w:t>
      </w:r>
    </w:p>
    <w:p>
      <w:pPr>
        <w:spacing w:line="574" w:lineRule="exact"/>
        <w:ind w:left="0" w:firstLine="562" w:firstLineChars="200"/>
        <w:rPr>
          <w:rFonts w:hint="eastAsia"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2、已完工项目尚未验收，影响项目整体进度。</w:t>
      </w:r>
    </w:p>
    <w:p>
      <w:pPr>
        <w:spacing w:line="574" w:lineRule="exact"/>
        <w:ind w:left="0"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城市中心公园建设项目计划开竣工时间为2020年4月7日至2021年1月31日，评价组现场调研了解到，项目完工及时；截止2021年12月31日，项目仍未出具《竣工验收报告》，项目验收不及时。</w:t>
      </w:r>
    </w:p>
    <w:p>
      <w:pPr>
        <w:spacing w:line="574" w:lineRule="exact"/>
        <w:ind w:left="0" w:firstLine="562" w:firstLineChars="200"/>
        <w:rPr>
          <w:rFonts w:hint="eastAsia" w:ascii="Times New Roman" w:hAnsi="Times New Roman" w:eastAsia="仿宋" w:cs="Times New Roman"/>
          <w:b/>
          <w:bCs/>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3、项目成本控制不到位。</w:t>
      </w:r>
    </w:p>
    <w:p>
      <w:pPr>
        <w:spacing w:line="574" w:lineRule="exact"/>
        <w:ind w:left="0" w:firstLine="560" w:firstLineChars="200"/>
        <w:rPr>
          <w:rFonts w:ascii="仿宋" w:eastAsia="仿宋" w:cs="仿宋"/>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评价组现场调研和查阅相关资料了解到，城市中心公园建设项目合同价463.92万元，</w:t>
      </w:r>
      <w:r>
        <w:rPr>
          <w:rFonts w:hint="eastAsia" w:ascii="Times New Roman" w:hAnsi="Times New Roman" w:eastAsia="仿宋" w:cs="Times New Roman"/>
          <w:kern w:val="0"/>
          <w:sz w:val="28"/>
          <w:szCs w:val="28"/>
          <w:shd w:val="clear" w:color="auto" w:fill="FFFFFF"/>
          <w:lang w:val="en-US" w:eastAsia="zh-CN"/>
        </w:rPr>
        <w:t>工程结算报价510.12万元；2022年3月10日，古县财政局委托山西翔鸿工程项目管理有限公司出具《古县中心公园建设项目竣工结算审核书》（山西翔鸿审字〔2022〕042号），审定结算金额505.42万元；审定结算金额超合同价的比例为（505.42-463.92）/463.92*100%=8.95%，项目成本控制不到位。</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562" w:firstLineChars="200"/>
        <w:textAlignment w:val="auto"/>
        <w:outlineLvl w:val="1"/>
        <w:rPr>
          <w:rFonts w:hint="eastAsia" w:ascii="仿宋" w:eastAsia="仿宋" w:cs="仿宋"/>
          <w:b/>
          <w:bCs/>
          <w:sz w:val="28"/>
          <w:szCs w:val="28"/>
          <w:lang w:eastAsia="zh-CN"/>
        </w:rPr>
      </w:pPr>
      <w:bookmarkStart w:id="154" w:name="_Toc528680480"/>
      <w:bookmarkStart w:id="155" w:name="_Toc528680329"/>
      <w:bookmarkStart w:id="156" w:name="_Toc1914"/>
      <w:bookmarkStart w:id="157" w:name="_Toc528684155"/>
      <w:r>
        <w:rPr>
          <w:rFonts w:hint="eastAsia" w:ascii="仿宋" w:eastAsia="仿宋" w:cs="仿宋"/>
          <w:b/>
          <w:bCs/>
          <w:sz w:val="28"/>
          <w:szCs w:val="28"/>
          <w:lang w:eastAsia="zh-CN"/>
        </w:rPr>
        <w:t>（二）改进建议</w:t>
      </w:r>
      <w:bookmarkEnd w:id="152"/>
      <w:bookmarkEnd w:id="153"/>
      <w:bookmarkEnd w:id="154"/>
      <w:bookmarkEnd w:id="155"/>
      <w:bookmarkEnd w:id="156"/>
      <w:bookmarkEnd w:id="157"/>
    </w:p>
    <w:p>
      <w:pPr>
        <w:spacing w:line="574" w:lineRule="exact"/>
        <w:ind w:firstLine="562" w:firstLineChars="200"/>
        <w:rPr>
          <w:rFonts w:ascii="Times New Roman" w:hAnsi="Times New Roman" w:eastAsia="仿宋"/>
          <w:b w:val="0"/>
          <w:bCs/>
          <w:snapToGrid w:val="0"/>
          <w:sz w:val="28"/>
          <w:szCs w:val="32"/>
          <w:lang w:val="en-US" w:eastAsia="zh-CN"/>
        </w:rPr>
      </w:pPr>
      <w:bookmarkStart w:id="158" w:name="_Toc514537353"/>
      <w:r>
        <w:rPr>
          <w:rFonts w:hint="eastAsia" w:ascii="Times New Roman" w:hAnsi="Times New Roman" w:eastAsia="仿宋"/>
          <w:b/>
          <w:bCs w:val="0"/>
          <w:snapToGrid w:val="0"/>
          <w:sz w:val="28"/>
          <w:szCs w:val="32"/>
          <w:lang w:val="en-US" w:eastAsia="zh-CN"/>
        </w:rPr>
        <w:t>1、加强项目管理制度执行，加强项目档案管理。</w:t>
      </w:r>
    </w:p>
    <w:p>
      <w:pPr>
        <w:spacing w:line="574" w:lineRule="exact"/>
        <w:ind w:firstLine="560" w:firstLineChars="200"/>
        <w:rPr>
          <w:rFonts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直属机关事务服务中心加强项目实施管理，向相关部门、上级单位提交的资料严格审核，避免数字等关键信息错误；加强项目档案管理，项目实施完成后，项目按进度进行资金支付印证资料及其他项目相关财务资料等与项目实施资料统一装订，方便查阅及梳理项目全流程实施及管理情况。</w:t>
      </w:r>
    </w:p>
    <w:p>
      <w:pPr>
        <w:spacing w:line="574" w:lineRule="exact"/>
        <w:ind w:firstLine="562" w:firstLineChars="200"/>
        <w:rPr>
          <w:rFonts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2、已完工项目及时组织验收，确保项目整体质量达标。</w:t>
      </w:r>
    </w:p>
    <w:p>
      <w:pPr>
        <w:spacing w:line="574" w:lineRule="exact"/>
        <w:ind w:firstLine="560" w:firstLineChars="200"/>
        <w:rPr>
          <w:rFonts w:ascii="仿宋" w:eastAsia="仿宋" w:cs="仿宋"/>
          <w:b/>
          <w:bCs/>
          <w:snapToGrid w:val="0"/>
          <w:sz w:val="28"/>
          <w:szCs w:val="28"/>
          <w:lang w:val="en-US" w:eastAsia="zh-CN"/>
        </w:rPr>
      </w:pPr>
      <w:r>
        <w:rPr>
          <w:rFonts w:hint="eastAsia" w:ascii="仿宋" w:eastAsia="仿宋" w:cs="仿宋"/>
          <w:b w:val="0"/>
          <w:bCs w:val="0"/>
          <w:snapToGrid w:val="0"/>
          <w:sz w:val="28"/>
          <w:szCs w:val="28"/>
          <w:lang w:val="en-US" w:eastAsia="zh-CN"/>
        </w:rPr>
        <w:t>建议古县直属机关事务服务中心在项目完工后，及时组织施工单位、监理单位组织验收，对验收过程中发现的问题，及时要求施工方进行整改，确保项目整体质量达标。</w:t>
      </w:r>
    </w:p>
    <w:p>
      <w:pPr>
        <w:spacing w:line="574" w:lineRule="exact"/>
        <w:ind w:firstLine="562" w:firstLineChars="200"/>
        <w:rPr>
          <w:rFonts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3、加强项目成本控制，避免结算金额超过合同价情况。</w:t>
      </w:r>
    </w:p>
    <w:p>
      <w:pPr>
        <w:spacing w:line="574" w:lineRule="exact"/>
        <w:ind w:firstLine="560" w:firstLineChars="200"/>
        <w:rPr>
          <w:rFonts w:ascii="仿宋" w:eastAsia="仿宋" w:cs="仿宋"/>
          <w:b w:val="0"/>
          <w:bCs w:val="0"/>
          <w:snapToGrid w:val="0"/>
          <w:sz w:val="28"/>
          <w:szCs w:val="28"/>
          <w:lang w:val="en-US" w:eastAsia="zh-CN"/>
        </w:rPr>
      </w:pPr>
      <w:r>
        <w:rPr>
          <w:rFonts w:hint="eastAsia" w:ascii="仿宋" w:eastAsia="仿宋" w:cs="仿宋"/>
          <w:b w:val="0"/>
          <w:bCs w:val="0"/>
          <w:snapToGrid w:val="0"/>
          <w:sz w:val="28"/>
          <w:szCs w:val="28"/>
          <w:lang w:val="en-US" w:eastAsia="zh-CN"/>
        </w:rPr>
        <w:t>建议古县直属机关事务服务中心在项目实施前充分测算项目工程量，避免漏项；项目实施过程中，加强项目成本控制，避免结算金额超过合同价情况。</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outlineLvl w:val="0"/>
        <w:rPr>
          <w:rFonts w:hint="eastAsia" w:ascii="Times New Roman" w:hAnsi="Times New Roman" w:eastAsia="黑体" w:cs="Times New Roman"/>
          <w:bCs/>
          <w:kern w:val="44"/>
          <w:sz w:val="32"/>
          <w:szCs w:val="32"/>
          <w:lang w:val="en-US" w:eastAsia="zh-CN"/>
        </w:rPr>
      </w:pPr>
      <w:bookmarkStart w:id="159" w:name="_Toc6717"/>
      <w:r>
        <w:rPr>
          <w:rFonts w:hint="eastAsia" w:ascii="Times New Roman" w:hAnsi="Times New Roman" w:eastAsia="黑体" w:cs="Times New Roman"/>
          <w:bCs/>
          <w:kern w:val="44"/>
          <w:sz w:val="32"/>
          <w:szCs w:val="32"/>
          <w:lang w:val="en-US" w:eastAsia="zh-CN"/>
        </w:rPr>
        <w:t>七、绩效评价结果应用建议</w:t>
      </w:r>
      <w:bookmarkEnd w:id="158"/>
      <w:bookmarkEnd w:id="159"/>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建议。</w:t>
      </w:r>
    </w:p>
    <w:p>
      <w:pPr>
        <w:spacing w:line="574" w:lineRule="exact"/>
        <w:ind w:firstLine="562" w:firstLineChars="200"/>
        <w:rPr>
          <w:rFonts w:hint="eastAsia" w:ascii="Times New Roman" w:hAnsi="Times New Roman" w:eastAsia="仿宋" w:cs="Times New Roman"/>
          <w:b/>
          <w:bCs/>
          <w:kern w:val="2"/>
          <w:sz w:val="28"/>
          <w:szCs w:val="28"/>
          <w:lang w:val="en-US" w:eastAsia="zh-CN" w:bidi="ar-SA"/>
        </w:rPr>
      </w:pPr>
      <w:bookmarkStart w:id="160" w:name="_Toc521418325"/>
      <w:bookmarkStart w:id="161" w:name="_Toc29457"/>
      <w:r>
        <w:rPr>
          <w:rFonts w:hint="eastAsia" w:ascii="Times New Roman" w:hAnsi="Times New Roman" w:eastAsia="仿宋" w:cs="Times New Roman"/>
          <w:b/>
          <w:bCs/>
          <w:kern w:val="2"/>
          <w:sz w:val="28"/>
          <w:szCs w:val="28"/>
          <w:lang w:val="en-US" w:eastAsia="zh-CN" w:bidi="ar-SA"/>
        </w:rPr>
        <w:t>（一）</w:t>
      </w:r>
      <w:bookmarkEnd w:id="160"/>
      <w:bookmarkEnd w:id="161"/>
      <w:r>
        <w:rPr>
          <w:rFonts w:hint="eastAsia" w:ascii="Times New Roman" w:hAnsi="Times New Roman" w:eastAsia="仿宋" w:cs="Times New Roman"/>
          <w:b/>
          <w:bCs/>
          <w:kern w:val="2"/>
          <w:sz w:val="28"/>
          <w:szCs w:val="28"/>
          <w:lang w:val="en-US" w:eastAsia="zh-CN" w:bidi="ar-SA"/>
        </w:rPr>
        <w:t>以绩效评价促进项目规范管理。</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根据绩效评价反馈的问题，委托方应进一步加强项目预算管理，并强化对项目实施过程的监督检查力度，督促有关部门加强对项目及绩效情况的追踪管理，促使项目达到既定的绩效目标，并将达标情况作为下一年度专项资金安排的重要依据。</w:t>
      </w:r>
    </w:p>
    <w:p>
      <w:pPr>
        <w:spacing w:line="574" w:lineRule="exact"/>
        <w:ind w:firstLine="562" w:firstLineChars="200"/>
        <w:rPr>
          <w:rFonts w:hint="eastAsia" w:ascii="Times New Roman" w:hAnsi="Times New Roman" w:eastAsia="仿宋" w:cs="Times New Roman"/>
          <w:b/>
          <w:bCs/>
          <w:kern w:val="2"/>
          <w:sz w:val="28"/>
          <w:szCs w:val="28"/>
          <w:lang w:val="en-US" w:eastAsia="zh-CN" w:bidi="ar-SA"/>
        </w:rPr>
      </w:pPr>
      <w:bookmarkStart w:id="162" w:name="_Toc517532006"/>
      <w:bookmarkStart w:id="163" w:name="_Toc521418326"/>
      <w:bookmarkStart w:id="164" w:name="_Toc19568"/>
      <w:r>
        <w:rPr>
          <w:rFonts w:hint="eastAsia" w:ascii="Times New Roman" w:hAnsi="Times New Roman" w:eastAsia="仿宋" w:cs="Times New Roman"/>
          <w:b/>
          <w:bCs/>
          <w:kern w:val="2"/>
          <w:sz w:val="28"/>
          <w:szCs w:val="28"/>
          <w:lang w:val="en-US" w:eastAsia="zh-CN" w:bidi="ar-SA"/>
        </w:rPr>
        <w:t>（二）充分利用绩效结果，</w:t>
      </w:r>
      <w:bookmarkEnd w:id="162"/>
      <w:bookmarkEnd w:id="163"/>
      <w:r>
        <w:rPr>
          <w:rFonts w:hint="eastAsia" w:ascii="Times New Roman" w:hAnsi="Times New Roman" w:eastAsia="仿宋" w:cs="Times New Roman"/>
          <w:b/>
          <w:bCs/>
          <w:kern w:val="2"/>
          <w:sz w:val="28"/>
          <w:szCs w:val="28"/>
          <w:lang w:val="en-US" w:eastAsia="zh-CN" w:bidi="ar-SA"/>
        </w:rPr>
        <w:t>落实问题整改机制。</w:t>
      </w:r>
      <w:bookmarkEnd w:id="164"/>
    </w:p>
    <w:p>
      <w:pPr>
        <w:spacing w:line="574" w:lineRule="exact"/>
        <w:ind w:firstLine="560" w:firstLineChars="200"/>
        <w:rPr>
          <w:rFonts w:ascii="黑体" w:eastAsia="黑体"/>
          <w:snapToGrid w:val="0"/>
          <w:sz w:val="32"/>
          <w:szCs w:val="32"/>
        </w:rPr>
        <w:sectPr>
          <w:pgSz w:w="11906" w:h="16838"/>
          <w:pgMar w:top="1440" w:right="1800" w:bottom="1440" w:left="1800" w:header="851" w:footer="992" w:gutter="0"/>
          <w:cols w:space="720" w:num="1"/>
          <w:docGrid w:type="lines" w:linePitch="312" w:charSpace="0"/>
        </w:sectPr>
      </w:pPr>
      <w:r>
        <w:rPr>
          <w:rFonts w:hint="eastAsia" w:ascii="Times New Roman" w:hAnsi="Times New Roman" w:eastAsia="仿宋" w:cs="Times New Roman"/>
          <w:bCs w:val="0"/>
          <w:kern w:val="2"/>
          <w:sz w:val="28"/>
          <w:szCs w:val="28"/>
          <w:lang w:val="en-US" w:eastAsia="zh-CN" w:bidi="ar-SA"/>
        </w:rPr>
        <w:t>古县财政局应将项目在实施过程中的经验及存在问题以文件形式反馈到相关单位，对于绩效评价中存在的问题提出整改要求。被评价单位要根据具体问题制定整改方案，并将整改结果反馈政府、财政部门</w:t>
      </w:r>
      <w:bookmarkStart w:id="165" w:name="_Toc514537354"/>
      <w:r>
        <w:rPr>
          <w:rFonts w:hint="eastAsia" w:ascii="Times New Roman" w:hAnsi="Times New Roman" w:eastAsia="仿宋" w:cs="Times New Roman"/>
          <w:bCs w:val="0"/>
          <w:kern w:val="2"/>
          <w:sz w:val="28"/>
          <w:szCs w:val="28"/>
          <w:lang w:val="en-US" w:eastAsia="zh-CN" w:bidi="ar-SA"/>
        </w:rPr>
        <w:t>。</w:t>
      </w:r>
      <w:r>
        <w:rPr>
          <w:rFonts w:hint="eastAsia" w:ascii="仿宋_GB2312" w:eastAsia="仿宋_GB2312" w:cs="仿宋_GB2312"/>
          <w:b/>
          <w:sz w:val="32"/>
          <w:szCs w:val="32"/>
        </w:rPr>
        <w:t xml:space="preserve">    </w:t>
      </w:r>
    </w:p>
    <w:p>
      <w:pPr>
        <w:widowControl/>
        <w:spacing w:line="574" w:lineRule="exact"/>
        <w:jc w:val="left"/>
        <w:outlineLvl w:val="0"/>
        <w:rPr>
          <w:rFonts w:ascii="黑体" w:eastAsia="黑体"/>
          <w:snapToGrid w:val="0"/>
          <w:sz w:val="32"/>
          <w:szCs w:val="32"/>
        </w:rPr>
      </w:pPr>
      <w:bookmarkStart w:id="166" w:name="_Toc3887"/>
      <w:r>
        <w:rPr>
          <w:rFonts w:ascii="黑体" w:eastAsia="黑体"/>
          <w:snapToGrid w:val="0"/>
          <w:sz w:val="32"/>
          <w:szCs w:val="32"/>
        </w:rPr>
        <w:t>附件</w:t>
      </w:r>
      <w:r>
        <w:rPr>
          <w:rFonts w:hint="eastAsia" w:ascii="黑体" w:eastAsia="黑体"/>
          <w:snapToGrid w:val="0"/>
          <w:sz w:val="32"/>
          <w:szCs w:val="32"/>
        </w:rPr>
        <w:t>1：评价指标体系</w:t>
      </w:r>
      <w:bookmarkEnd w:id="166"/>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358"/>
        <w:gridCol w:w="633"/>
        <w:gridCol w:w="534"/>
        <w:gridCol w:w="133"/>
        <w:gridCol w:w="168"/>
        <w:gridCol w:w="6081"/>
        <w:gridCol w:w="6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 w:hRule="atLeast"/>
          <w:tblHeader/>
        </w:trPr>
        <w:tc>
          <w:tcPr>
            <w:tcW w:w="5000" w:type="pct"/>
            <w:gridSpan w:val="7"/>
            <w:tcBorders>
              <w:top w:val="single" w:color="auto" w:sz="4" w:space="0"/>
              <w:left w:val="single" w:color="auto" w:sz="4" w:space="0"/>
              <w:bottom w:val="single" w:color="auto" w:sz="4" w:space="0"/>
              <w:right w:val="single" w:color="auto" w:sz="4" w:space="0"/>
            </w:tcBorders>
            <w:shd w:val="clear" w:color="auto" w:fill="auto"/>
            <w:noWrap/>
          </w:tcPr>
          <w:p>
            <w:pPr>
              <w:widowControl/>
              <w:spacing w:before="94" w:beforeLines="30" w:after="94" w:afterLines="30" w:line="400" w:lineRule="exact"/>
              <w:jc w:val="center"/>
              <w:textAlignment w:val="center"/>
              <w:rPr>
                <w:rFonts w:ascii="Times New Roman" w:hAnsi="Times New Roman" w:eastAsia="仿宋" w:cs="Times New Roman"/>
                <w:b/>
                <w:color w:val="000000"/>
                <w:sz w:val="24"/>
                <w:szCs w:val="24"/>
                <w:highlight w:val="none"/>
              </w:rPr>
            </w:pPr>
            <w:bookmarkStart w:id="167" w:name="RANGE!A1:F24"/>
            <w:r>
              <w:rPr>
                <w:rFonts w:hint="eastAsia" w:ascii="Times New Roman" w:hAnsi="Times New Roman" w:eastAsia="仿宋" w:cs="Times New Roman"/>
                <w:b/>
                <w:bCs/>
                <w:color w:val="000000"/>
                <w:kern w:val="0"/>
                <w:sz w:val="32"/>
                <w:szCs w:val="21"/>
                <w:highlight w:val="none"/>
                <w:lang w:eastAsia="zh-CN"/>
              </w:rPr>
              <w:t>项目</w:t>
            </w:r>
            <w:r>
              <w:rPr>
                <w:rFonts w:ascii="Times New Roman" w:hAnsi="Times New Roman" w:eastAsia="仿宋" w:cs="Times New Roman"/>
                <w:b/>
                <w:bCs/>
                <w:color w:val="000000"/>
                <w:kern w:val="0"/>
                <w:sz w:val="32"/>
                <w:szCs w:val="21"/>
                <w:highlight w:val="none"/>
              </w:rPr>
              <w:t>支出绩效评价指标体系</w:t>
            </w:r>
            <w:bookmarkEnd w:id="16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05" w:hRule="atLeast"/>
          <w:tblHeader/>
        </w:trPr>
        <w:tc>
          <w:tcPr>
            <w:tcW w:w="42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kern w:val="0"/>
                <w:sz w:val="24"/>
                <w:szCs w:val="24"/>
                <w:highlight w:val="none"/>
              </w:rPr>
            </w:pPr>
            <w:r>
              <w:rPr>
                <w:rFonts w:ascii="Times New Roman" w:hAnsi="Times New Roman" w:eastAsia="仿宋" w:cs="Times New Roman"/>
                <w:b/>
                <w:color w:val="000000"/>
                <w:kern w:val="0"/>
                <w:sz w:val="24"/>
                <w:szCs w:val="24"/>
                <w:highlight w:val="none"/>
              </w:rPr>
              <w:t>一级指标</w:t>
            </w: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kern w:val="0"/>
                <w:sz w:val="24"/>
                <w:szCs w:val="24"/>
                <w:highlight w:val="none"/>
              </w:rPr>
            </w:pPr>
            <w:r>
              <w:rPr>
                <w:rFonts w:ascii="Times New Roman" w:hAnsi="Times New Roman" w:eastAsia="仿宋" w:cs="Times New Roman"/>
                <w:b/>
                <w:color w:val="000000"/>
                <w:kern w:val="0"/>
                <w:sz w:val="24"/>
                <w:szCs w:val="24"/>
                <w:highlight w:val="none"/>
              </w:rPr>
              <w:t>二级指标</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三级指标</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权重</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目标值</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指标解释</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决策（20）</w:t>
            </w: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A1项目立项（6）</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A11项目立项充分性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充分</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项目立项是否符合法律法规、相关政策、发展规划以及部门职责，用以反映和考核项目立项依据情况。</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与其中任何一项不符，扣1分，扣完为止</w:t>
            </w:r>
            <w:r>
              <w:rPr>
                <w:rFonts w:ascii="Times New Roman" w:hAnsi="Times New Roman" w:eastAsia="仿宋" w:cs="Times New Roman"/>
                <w:color w:val="000000"/>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A12立项依据规范性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规范</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项目申请、设立过程是否符合相关要求，用以反映和考核项目立项的规范情况。</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①项目是否按照规定的程序申请设立；②审批文件、材料是否符合相关要求；③事前是否已经过必要的可行性研究、专家论证、风险评估、绩效评估、集体决策</w:t>
            </w:r>
            <w:r>
              <w:rPr>
                <w:rFonts w:hint="eastAsia" w:ascii="宋体" w:eastAsia="宋体" w:cs="宋体"/>
                <w:color w:val="000000"/>
                <w:kern w:val="0"/>
                <w:sz w:val="24"/>
                <w:szCs w:val="24"/>
                <w:highlight w:val="none"/>
              </w:rPr>
              <w:t>。</w:t>
            </w:r>
            <w:r>
              <w:rPr>
                <w:rFonts w:hint="eastAsia" w:ascii="Times New Roman" w:hAnsi="Times New Roman" w:eastAsia="仿宋" w:cs="Times New Roman"/>
                <w:color w:val="000000"/>
                <w:kern w:val="0"/>
                <w:sz w:val="24"/>
                <w:szCs w:val="24"/>
                <w:highlight w:val="none"/>
              </w:rPr>
              <w:t>每满足一项得1分；反之每缺少一项扣1分。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A2绩效目标（8）</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21</w:t>
            </w:r>
            <w:r>
              <w:rPr>
                <w:rFonts w:ascii="Times New Roman" w:hAnsi="Times New Roman" w:eastAsia="仿宋" w:cs="Times New Roman"/>
                <w:color w:val="000000"/>
                <w:kern w:val="0"/>
                <w:sz w:val="24"/>
                <w:szCs w:val="24"/>
                <w:highlight w:val="none"/>
              </w:rPr>
              <w:t>绩效目标设置合理性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sz w:val="24"/>
                <w:szCs w:val="24"/>
                <w:highlight w:val="none"/>
              </w:rPr>
              <w:t>4.00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kern w:val="0"/>
                <w:sz w:val="24"/>
                <w:szCs w:val="24"/>
                <w:highlight w:val="none"/>
              </w:rPr>
              <w:t>合理</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项目所设定的绩效目标是否依据充分，是否符合客观实际，用以反映和考核项目绩效目标与项目实施的相符情况。</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bCs/>
                <w:color w:val="000000"/>
                <w:kern w:val="0"/>
                <w:sz w:val="24"/>
                <w:szCs w:val="24"/>
                <w:highlight w:val="none"/>
              </w:rPr>
              <w:t>①项目是否有绩效目标；②项目绩效目标与实际工作内容是否具有相关性；③项目预期产出效益和效果是否符合正常的业绩水平；④是否与预算确定的项目投资额或资金量相匹配。</w:t>
            </w:r>
            <w:r>
              <w:rPr>
                <w:rFonts w:ascii="Times New Roman" w:hAnsi="Times New Roman" w:eastAsia="仿宋" w:cs="Times New Roman"/>
                <w:bCs/>
                <w:color w:val="000000"/>
                <w:kern w:val="0"/>
                <w:sz w:val="24"/>
                <w:szCs w:val="24"/>
                <w:highlight w:val="none"/>
              </w:rPr>
              <w:t>每满足一项得1分；反之每缺少一项扣1分。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22</w:t>
            </w:r>
            <w:r>
              <w:rPr>
                <w:rFonts w:ascii="Times New Roman" w:hAnsi="Times New Roman" w:eastAsia="仿宋" w:cs="Times New Roman"/>
                <w:color w:val="000000"/>
                <w:kern w:val="0"/>
                <w:sz w:val="24"/>
                <w:szCs w:val="24"/>
                <w:highlight w:val="none"/>
              </w:rPr>
              <w:t>绩效</w:t>
            </w:r>
            <w:r>
              <w:rPr>
                <w:rFonts w:hint="eastAsia" w:ascii="Times New Roman" w:hAnsi="Times New Roman" w:eastAsia="仿宋" w:cs="Times New Roman"/>
                <w:color w:val="000000"/>
                <w:kern w:val="0"/>
                <w:sz w:val="24"/>
                <w:szCs w:val="24"/>
                <w:highlight w:val="none"/>
              </w:rPr>
              <w:t>指标</w:t>
            </w:r>
            <w:r>
              <w:rPr>
                <w:rFonts w:ascii="Times New Roman" w:hAnsi="Times New Roman" w:eastAsia="仿宋" w:cs="Times New Roman"/>
                <w:color w:val="000000"/>
                <w:kern w:val="0"/>
                <w:sz w:val="24"/>
                <w:szCs w:val="24"/>
                <w:highlight w:val="none"/>
              </w:rPr>
              <w:t>明确性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4.00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明确</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bCs/>
                <w:color w:val="000000"/>
                <w:kern w:val="0"/>
                <w:sz w:val="24"/>
                <w:szCs w:val="24"/>
                <w:highlight w:val="none"/>
              </w:rPr>
            </w:pPr>
            <w:r>
              <w:rPr>
                <w:rFonts w:hint="eastAsia" w:ascii="Times New Roman" w:hAnsi="Times New Roman" w:eastAsia="仿宋" w:cs="Times New Roman"/>
                <w:color w:val="000000"/>
                <w:sz w:val="24"/>
                <w:szCs w:val="24"/>
                <w:highlight w:val="none"/>
              </w:rPr>
              <w:t>依据绩效目标设定的绩效指标是否清晰、细化、可衡等，用以反映和考核项目绩效目标的明细化情况。</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bCs/>
                <w:color w:val="000000"/>
                <w:kern w:val="0"/>
                <w:sz w:val="24"/>
                <w:szCs w:val="24"/>
                <w:highlight w:val="none"/>
              </w:rPr>
            </w:pPr>
            <w:r>
              <w:rPr>
                <w:rFonts w:hint="eastAsia" w:ascii="Times New Roman" w:hAnsi="Times New Roman" w:eastAsia="仿宋" w:cs="Times New Roman"/>
                <w:color w:val="000000"/>
                <w:kern w:val="0"/>
                <w:sz w:val="24"/>
                <w:szCs w:val="24"/>
                <w:highlight w:val="none"/>
              </w:rPr>
              <w:t>①是否将项目绩效目标细化分解为具体的绩效指标；②是否通过清晰、可衡量的指标值予以体现；③是否与项目目标任务数或计划数相对应。符合所有条件得满分；一项不符合，扣33.33%比例的分数。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A3资金投入（6）</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3</w:t>
            </w:r>
            <w:r>
              <w:rPr>
                <w:rFonts w:ascii="Times New Roman" w:hAnsi="Times New Roman" w:eastAsia="仿宋" w:cs="Times New Roman"/>
                <w:color w:val="000000"/>
                <w:kern w:val="0"/>
                <w:sz w:val="24"/>
                <w:szCs w:val="24"/>
                <w:highlight w:val="none"/>
              </w:rPr>
              <w:t>1</w:t>
            </w:r>
            <w:r>
              <w:rPr>
                <w:rFonts w:hint="eastAsia" w:ascii="Times New Roman" w:hAnsi="Times New Roman" w:eastAsia="仿宋" w:cs="Times New Roman"/>
                <w:color w:val="000000"/>
                <w:kern w:val="0"/>
                <w:sz w:val="24"/>
                <w:szCs w:val="24"/>
                <w:highlight w:val="none"/>
              </w:rPr>
              <w:t>预算编制科学性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科学</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项目预算编制是否经过科学论证、有明确标准，资金额度与年度目标是否相适应，用以反映和考核项目预算编制的科学性、合理性情况。</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预算编制是否经过科学论证；②预算内容与项目内容是否匹配；③预算额度测算依据是否充分，是否按照标准编制；④预算确定的项目投资额或资金量是否与工作任务相匹配。符合所有条件得满分；一项不符合，扣25%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3</w:t>
            </w:r>
            <w:r>
              <w:rPr>
                <w:rFonts w:ascii="Times New Roman" w:hAnsi="Times New Roman" w:eastAsia="仿宋" w:cs="Times New Roman"/>
                <w:color w:val="000000"/>
                <w:kern w:val="0"/>
                <w:sz w:val="24"/>
                <w:szCs w:val="24"/>
                <w:highlight w:val="none"/>
              </w:rPr>
              <w:t>2</w:t>
            </w:r>
            <w:r>
              <w:rPr>
                <w:rFonts w:hint="eastAsia" w:ascii="Times New Roman" w:hAnsi="Times New Roman" w:eastAsia="仿宋" w:cs="Times New Roman"/>
                <w:color w:val="000000"/>
                <w:kern w:val="0"/>
                <w:sz w:val="24"/>
                <w:szCs w:val="24"/>
                <w:highlight w:val="none"/>
              </w:rPr>
              <w:t>资金分配合理性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3.00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合理</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项目预算资金分配是否有测算依据，与补助单位或地方实际是否相适应，用以反映和考核项目预算资金分配的科学性、合理性情况。</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①预算资金分配依据是否充分；②资金分配额度是否合理，与项目单位或地方实际是否相适应。符合所有条件得满分；一项不符合，扣50%比例的分数。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B过程（20分）</w:t>
            </w: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B1资金管理（12分）</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B11资金到位率</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4</w:t>
            </w:r>
            <w:r>
              <w:rPr>
                <w:rFonts w:ascii="Times New Roman" w:hAnsi="Times New Roman" w:eastAsia="仿宋" w:cs="Times New Roman"/>
                <w:color w:val="000000"/>
                <w:kern w:val="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100%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w:t>
            </w:r>
            <w:r>
              <w:rPr>
                <w:rFonts w:ascii="Times New Roman" w:hAnsi="Times New Roman" w:eastAsia="仿宋" w:cs="Times New Roman"/>
                <w:color w:val="000000"/>
                <w:kern w:val="0"/>
                <w:sz w:val="24"/>
                <w:szCs w:val="24"/>
                <w:highlight w:val="none"/>
              </w:rPr>
              <w:t>财政预算资金及时到位资金与应到位资金的比率，用以反映和考核资金落实情况对项目实施的总体保障程度。</w:t>
            </w:r>
            <w:r>
              <w:rPr>
                <w:rFonts w:hint="eastAsia" w:ascii="Times New Roman" w:hAnsi="Times New Roman" w:eastAsia="仿宋" w:cs="Times New Roman"/>
                <w:color w:val="000000"/>
                <w:kern w:val="0"/>
                <w:sz w:val="24"/>
                <w:szCs w:val="24"/>
                <w:highlight w:val="none"/>
              </w:rPr>
              <w:t>②资金到位率=（实际到位资金/预算资金）×100%；③实际到位资金：一定时期（本年度或项目期）内实际落实到具体项目的资金；④预算资金：一定时期（本年度或项目期内预算安排到具体项目的资金。</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color w:val="000000"/>
                <w:kern w:val="0"/>
                <w:sz w:val="24"/>
                <w:szCs w:val="24"/>
                <w:highlight w:val="none"/>
              </w:rPr>
              <w:t>资金到位率等于100%，得满分；&lt;60%，不得分；60%-100%之间按比例得分。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B12</w:t>
            </w:r>
            <w:r>
              <w:rPr>
                <w:rFonts w:hint="eastAsia" w:ascii="Times New Roman" w:hAnsi="Times New Roman" w:eastAsia="仿宋" w:cs="Times New Roman"/>
                <w:color w:val="000000"/>
                <w:kern w:val="0"/>
                <w:sz w:val="24"/>
                <w:szCs w:val="24"/>
                <w:highlight w:val="none"/>
              </w:rPr>
              <w:t>预算执行率</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4</w:t>
            </w:r>
            <w:r>
              <w:rPr>
                <w:rFonts w:ascii="Times New Roman" w:hAnsi="Times New Roman" w:eastAsia="仿宋" w:cs="Times New Roman"/>
                <w:color w:val="000000"/>
                <w:kern w:val="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≥90%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①项目预算资金是否按照计划执行，用以反映或考核项目预算执行情况。②预算执行率=（实际支出资金/实际到位资金）×100%；③实际支出资金：一定时期（本年度或项目期）内项目实际拨付的资金。</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预算执行率大于等于90%，得满分；&lt;60%，不得分；60%-90%之间按比例得分。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B13</w:t>
            </w:r>
            <w:r>
              <w:rPr>
                <w:rFonts w:ascii="Times New Roman" w:hAnsi="Times New Roman" w:eastAsia="仿宋" w:cs="Times New Roman"/>
                <w:color w:val="000000"/>
                <w:kern w:val="0"/>
                <w:sz w:val="24"/>
                <w:szCs w:val="24"/>
                <w:highlight w:val="none"/>
              </w:rPr>
              <w:t>资金使用合规性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sz w:val="24"/>
                <w:szCs w:val="24"/>
                <w:highlight w:val="none"/>
              </w:rPr>
              <w:t>4</w:t>
            </w:r>
            <w:r>
              <w:rPr>
                <w:rFonts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合规</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项目资金使用是否符合相关的财务管理制度规定，用以反映和考核项目资金的规范运行情况。</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宋体" w:eastAsia="宋体" w:cs="宋体"/>
                <w:color w:val="000000"/>
                <w:kern w:val="0"/>
                <w:sz w:val="24"/>
                <w:szCs w:val="24"/>
                <w:highlight w:val="none"/>
              </w:rPr>
              <w:t>①</w:t>
            </w:r>
            <w:r>
              <w:rPr>
                <w:rFonts w:ascii="Times New Roman" w:hAnsi="Times New Roman" w:eastAsia="仿宋" w:cs="Times New Roman"/>
                <w:color w:val="000000"/>
                <w:kern w:val="0"/>
                <w:sz w:val="24"/>
                <w:szCs w:val="24"/>
                <w:highlight w:val="none"/>
              </w:rPr>
              <w:t>是否符合国家财经法规和财务管理制度以及有关专项资金管理办法的规定；</w:t>
            </w:r>
            <w:r>
              <w:rPr>
                <w:rFonts w:hint="eastAsia" w:ascii="宋体" w:eastAsia="宋体" w:cs="宋体"/>
                <w:color w:val="000000"/>
                <w:kern w:val="0"/>
                <w:sz w:val="24"/>
                <w:szCs w:val="24"/>
                <w:highlight w:val="none"/>
              </w:rPr>
              <w:t>②</w:t>
            </w:r>
            <w:r>
              <w:rPr>
                <w:rFonts w:ascii="Times New Roman" w:hAnsi="Times New Roman" w:eastAsia="仿宋" w:cs="Times New Roman"/>
                <w:color w:val="000000"/>
                <w:kern w:val="0"/>
                <w:sz w:val="24"/>
                <w:szCs w:val="24"/>
                <w:highlight w:val="none"/>
              </w:rPr>
              <w:t>资金的拨付是否有完整的审批程序和手续；</w:t>
            </w:r>
            <w:r>
              <w:rPr>
                <w:rFonts w:hint="eastAsia" w:ascii="宋体" w:eastAsia="宋体" w:cs="宋体"/>
                <w:color w:val="000000"/>
                <w:kern w:val="0"/>
                <w:sz w:val="24"/>
                <w:szCs w:val="24"/>
                <w:highlight w:val="none"/>
              </w:rPr>
              <w:t>③</w:t>
            </w:r>
            <w:r>
              <w:rPr>
                <w:rFonts w:ascii="Times New Roman" w:hAnsi="Times New Roman" w:eastAsia="仿宋" w:cs="Times New Roman"/>
                <w:color w:val="000000"/>
                <w:kern w:val="0"/>
                <w:sz w:val="24"/>
                <w:szCs w:val="24"/>
                <w:highlight w:val="none"/>
              </w:rPr>
              <w:t>是否符合项目预算批复或文件规定的用途；</w:t>
            </w:r>
            <w:r>
              <w:rPr>
                <w:rFonts w:hint="eastAsia" w:ascii="宋体" w:eastAsia="宋体" w:cs="宋体"/>
                <w:color w:val="000000"/>
                <w:kern w:val="0"/>
                <w:sz w:val="24"/>
                <w:szCs w:val="24"/>
                <w:highlight w:val="none"/>
              </w:rPr>
              <w:t>④</w:t>
            </w:r>
            <w:r>
              <w:rPr>
                <w:rFonts w:ascii="Times New Roman" w:hAnsi="Times New Roman" w:eastAsia="仿宋" w:cs="Times New Roman"/>
                <w:color w:val="000000"/>
                <w:kern w:val="0"/>
                <w:sz w:val="24"/>
                <w:szCs w:val="24"/>
                <w:highlight w:val="none"/>
              </w:rPr>
              <w:t>是否存在截留、挤占、挪用、虚列支出等情况</w:t>
            </w:r>
            <w:r>
              <w:rPr>
                <w:rFonts w:hint="eastAsia" w:ascii="Times New Roman" w:hAnsi="Times New Roman" w:eastAsia="仿宋" w:cs="Times New Roman"/>
                <w:color w:val="000000"/>
                <w:kern w:val="0"/>
                <w:sz w:val="24"/>
                <w:szCs w:val="24"/>
                <w:highlight w:val="none"/>
              </w:rPr>
              <w:t>。</w:t>
            </w:r>
            <w:r>
              <w:rPr>
                <w:rFonts w:ascii="Times New Roman" w:hAnsi="Times New Roman" w:eastAsia="仿宋" w:cs="Times New Roman"/>
                <w:color w:val="000000"/>
                <w:kern w:val="0"/>
                <w:sz w:val="24"/>
                <w:szCs w:val="24"/>
                <w:highlight w:val="none"/>
              </w:rPr>
              <w:t>出现任一违规现象不得分。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B2组织实施（8）</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B21管理制度健全性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lang w:val="en-US" w:eastAsia="zh-CN"/>
              </w:rPr>
              <w:t>2</w:t>
            </w:r>
            <w:r>
              <w:rPr>
                <w:rFonts w:ascii="Times New Roman" w:hAnsi="Times New Roman" w:eastAsia="仿宋" w:cs="Times New Roman"/>
                <w:color w:val="000000"/>
                <w:kern w:val="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健全</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项目实施单位的财务和业务管理制度是否健全，用以反映和考核财务和业务管理制度对项目顺利实施的保障情况。</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①是否已制定或具有相应的财务和业务管理制度；②财务和业务管理制度是否合法、合规、完整。符合所有条件得满分；一项不符合，扣50%比例的分数。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B22制度执行有效性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lang w:val="en-US" w:eastAsia="zh-CN"/>
              </w:rPr>
              <w:t>6</w:t>
            </w:r>
            <w:r>
              <w:rPr>
                <w:rFonts w:ascii="Times New Roman" w:hAnsi="Times New Roman" w:eastAsia="仿宋" w:cs="Times New Roman"/>
                <w:color w:val="000000"/>
                <w:kern w:val="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有效</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项目实施是否符合相关管理规定，用以反映和考核相关管理制度的有效执行情况。</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①是否遵守相关法律法规和相关管理规定；②项目调整及支出调整手续是否完备；③项目合同书、验收报告、技术鉴定等资料是否齐全并及时归档；④项目实施的人员条件、场地设备、信息支撑等是否落实到位。</w:t>
            </w:r>
            <w:r>
              <w:rPr>
                <w:rFonts w:ascii="Times New Roman" w:hAnsi="Times New Roman" w:eastAsia="仿宋" w:cs="Times New Roman"/>
                <w:color w:val="000000"/>
                <w:kern w:val="0"/>
                <w:sz w:val="24"/>
                <w:szCs w:val="24"/>
                <w:highlight w:val="none"/>
              </w:rPr>
              <w:t>存在一项未按规定执行的，扣权重分的</w:t>
            </w:r>
            <w:r>
              <w:rPr>
                <w:rFonts w:hint="eastAsia" w:ascii="Times New Roman" w:hAnsi="Times New Roman" w:eastAsia="仿宋" w:cs="Times New Roman"/>
                <w:color w:val="000000"/>
                <w:kern w:val="0"/>
                <w:sz w:val="24"/>
                <w:szCs w:val="24"/>
                <w:highlight w:val="none"/>
              </w:rPr>
              <w:t>25</w:t>
            </w:r>
            <w:r>
              <w:rPr>
                <w:rFonts w:ascii="Times New Roman" w:hAnsi="Times New Roman" w:eastAsia="仿宋" w:cs="Times New Roman"/>
                <w:color w:val="000000"/>
                <w:kern w:val="0"/>
                <w:sz w:val="24"/>
                <w:szCs w:val="24"/>
                <w:highlight w:val="none"/>
              </w:rPr>
              <w:t>%，扣完为止。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C产出（30）</w:t>
            </w: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C1产出数量（</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C11</w:t>
            </w:r>
            <w:r>
              <w:rPr>
                <w:rFonts w:hint="eastAsia" w:ascii="Times New Roman" w:hAnsi="Times New Roman" w:eastAsia="仿宋" w:cs="Times New Roman"/>
                <w:color w:val="000000"/>
                <w:sz w:val="24"/>
                <w:szCs w:val="24"/>
                <w:highlight w:val="none"/>
                <w:lang w:val="en-US" w:eastAsia="zh-CN"/>
              </w:rPr>
              <w:t>项目完成情况</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完成</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评价项目完成目标的实现程度，是否符合项目计划和文件规定中的预期总目标。</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子项目全部完成，得满分；出现1个子项目未完成未建成扣20%权重分，扣完为止</w:t>
            </w:r>
            <w:r>
              <w:rPr>
                <w:rFonts w:hint="eastAsia" w:ascii="Times New Roman" w:hAnsi="Times New Roman" w:eastAsia="仿宋" w:cs="Times New Roman"/>
                <w:color w:val="00000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C2产出质量（</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C2</w:t>
            </w:r>
            <w:r>
              <w:rPr>
                <w:rFonts w:hint="eastAsia" w:ascii="Times New Roman" w:hAnsi="Times New Roman" w:eastAsia="仿宋" w:cs="Times New Roman"/>
                <w:color w:val="000000"/>
                <w:sz w:val="24"/>
                <w:szCs w:val="24"/>
                <w:highlight w:val="none"/>
              </w:rPr>
              <w:t>1</w:t>
            </w:r>
            <w:r>
              <w:rPr>
                <w:rFonts w:ascii="Times New Roman" w:hAnsi="Times New Roman" w:eastAsia="仿宋" w:cs="Times New Roman"/>
                <w:color w:val="000000"/>
                <w:sz w:val="24"/>
                <w:szCs w:val="24"/>
                <w:highlight w:val="none"/>
              </w:rPr>
              <w:t>质量达标情况</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合格</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kern w:val="0"/>
                <w:sz w:val="24"/>
                <w:szCs w:val="24"/>
                <w:highlight w:val="none"/>
              </w:rPr>
              <w:t>考核项目的质量是否达到国家、省市级</w:t>
            </w:r>
            <w:r>
              <w:rPr>
                <w:rFonts w:hint="eastAsia" w:ascii="Times New Roman" w:hAnsi="Times New Roman" w:eastAsia="仿宋" w:cs="Times New Roman"/>
                <w:color w:val="000000"/>
                <w:kern w:val="0"/>
                <w:sz w:val="24"/>
                <w:szCs w:val="24"/>
                <w:highlight w:val="none"/>
                <w:lang w:val="en-US" w:eastAsia="zh-CN"/>
              </w:rPr>
              <w:t>要求</w:t>
            </w:r>
            <w:r>
              <w:rPr>
                <w:rFonts w:ascii="Times New Roman" w:hAnsi="Times New Roman" w:eastAsia="仿宋" w:cs="Times New Roman"/>
                <w:color w:val="000000"/>
                <w:kern w:val="0"/>
                <w:sz w:val="24"/>
                <w:szCs w:val="24"/>
                <w:highlight w:val="none"/>
              </w:rPr>
              <w:t>、</w:t>
            </w:r>
            <w:r>
              <w:rPr>
                <w:rFonts w:hint="eastAsia" w:ascii="Times New Roman" w:hAnsi="Times New Roman" w:eastAsia="仿宋" w:cs="Times New Roman"/>
                <w:color w:val="000000"/>
                <w:kern w:val="0"/>
                <w:sz w:val="24"/>
                <w:szCs w:val="24"/>
                <w:highlight w:val="none"/>
                <w:lang w:val="en-US" w:eastAsia="zh-CN"/>
              </w:rPr>
              <w:t>是否符合</w:t>
            </w:r>
            <w:r>
              <w:rPr>
                <w:rFonts w:ascii="Times New Roman" w:hAnsi="Times New Roman" w:eastAsia="仿宋" w:cs="Times New Roman"/>
                <w:color w:val="000000"/>
                <w:kern w:val="0"/>
                <w:sz w:val="24"/>
                <w:szCs w:val="24"/>
                <w:highlight w:val="none"/>
              </w:rPr>
              <w:t>合同规定</w:t>
            </w:r>
            <w:r>
              <w:rPr>
                <w:rFonts w:hint="eastAsia" w:ascii="Times New Roman" w:hAnsi="Times New Roman" w:eastAsia="仿宋" w:cs="Times New Roman"/>
                <w:color w:val="000000"/>
                <w:kern w:val="0"/>
                <w:sz w:val="24"/>
                <w:szCs w:val="24"/>
                <w:highlight w:val="none"/>
              </w:rPr>
              <w:t>。</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宋体" w:hAnsi="宋体" w:eastAsia="仿宋" w:cs="宋体"/>
                <w:color w:val="000000"/>
                <w:kern w:val="0"/>
                <w:sz w:val="24"/>
                <w:szCs w:val="24"/>
                <w:highlight w:val="none"/>
              </w:rPr>
            </w:pPr>
            <w:r>
              <w:rPr>
                <w:rFonts w:hint="eastAsia" w:ascii="Times New Roman" w:hAnsi="Times New Roman" w:eastAsia="仿宋" w:cs="Times New Roman"/>
                <w:color w:val="000000"/>
                <w:kern w:val="0"/>
                <w:sz w:val="24"/>
                <w:szCs w:val="24"/>
                <w:highlight w:val="none"/>
              </w:rPr>
              <w:t>①</w:t>
            </w:r>
            <w:r>
              <w:rPr>
                <w:rFonts w:ascii="Times New Roman" w:hAnsi="Times New Roman" w:eastAsia="仿宋" w:cs="Times New Roman"/>
                <w:color w:val="000000"/>
                <w:kern w:val="0"/>
                <w:sz w:val="24"/>
                <w:szCs w:val="24"/>
                <w:highlight w:val="none"/>
              </w:rPr>
              <w:t>项目全部验收质量达标得满分；</w:t>
            </w:r>
            <w:r>
              <w:rPr>
                <w:rFonts w:hint="eastAsia" w:ascii="宋体" w:eastAsia="宋体" w:cs="宋体"/>
                <w:color w:val="000000"/>
                <w:kern w:val="0"/>
                <w:sz w:val="24"/>
                <w:szCs w:val="24"/>
                <w:highlight w:val="none"/>
              </w:rPr>
              <w:t>②</w:t>
            </w:r>
            <w:r>
              <w:rPr>
                <w:rFonts w:hint="eastAsia" w:ascii="Times New Roman" w:hAnsi="Times New Roman" w:eastAsia="仿宋" w:cs="Times New Roman"/>
                <w:color w:val="000000"/>
                <w:kern w:val="0"/>
                <w:sz w:val="24"/>
                <w:szCs w:val="24"/>
                <w:highlight w:val="none"/>
                <w:lang w:val="en-US" w:eastAsia="zh-CN"/>
              </w:rPr>
              <w:t>出现一项质量不合格或者未验收的扣2分</w:t>
            </w:r>
            <w:r>
              <w:rPr>
                <w:rFonts w:hint="eastAsia" w:ascii="Times New Roman" w:hAnsi="Times New Roman" w:eastAsia="仿宋" w:cs="Times New Roman"/>
                <w:color w:val="000000"/>
                <w:sz w:val="24"/>
                <w:szCs w:val="24"/>
                <w:highlight w:val="none"/>
                <w:lang w:eastAsia="zh-CN"/>
              </w:rPr>
              <w:t>，</w:t>
            </w:r>
            <w:r>
              <w:rPr>
                <w:rFonts w:hint="eastAsia" w:ascii="Times New Roman" w:hAnsi="Times New Roman" w:eastAsia="仿宋" w:cs="Times New Roman"/>
                <w:color w:val="000000"/>
                <w:sz w:val="24"/>
                <w:szCs w:val="24"/>
                <w:highlight w:val="none"/>
                <w:lang w:val="en-US" w:eastAsia="zh-CN"/>
              </w:rPr>
              <w:t>扣完为止</w:t>
            </w:r>
            <w:r>
              <w:rPr>
                <w:rFonts w:hint="eastAsia" w:ascii="Times New Roman" w:hAnsi="Times New Roman" w:eastAsia="仿宋" w:cs="Times New Roman"/>
                <w:color w:val="000000"/>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C3产出时效（</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C31</w:t>
            </w:r>
            <w:r>
              <w:rPr>
                <w:rFonts w:ascii="Times New Roman" w:hAnsi="Times New Roman" w:eastAsia="仿宋" w:cs="Times New Roman"/>
                <w:color w:val="000000"/>
                <w:sz w:val="24"/>
                <w:szCs w:val="24"/>
                <w:highlight w:val="none"/>
              </w:rPr>
              <w:t>项目完工及时性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4</w:t>
            </w:r>
            <w:r>
              <w:rPr>
                <w:rFonts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100%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kern w:val="0"/>
                <w:sz w:val="24"/>
                <w:szCs w:val="24"/>
                <w:highlight w:val="none"/>
              </w:rPr>
              <w:t>反映和考核项目完成是否按项目计划要求时限及时完成，项目完成及时率=计划工期/实际工期*100%</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kern w:val="0"/>
                <w:sz w:val="24"/>
                <w:szCs w:val="24"/>
                <w:highlight w:val="none"/>
              </w:rPr>
              <w:t>项目完成及时率=（计划工期/实际工期）*100%；当完成及时率≥100%时得满分，低于60%时得0分，其余情况的实际得分=完成及时率*</w:t>
            </w:r>
            <w:r>
              <w:rPr>
                <w:rFonts w:hint="eastAsia" w:ascii="Times New Roman" w:hAnsi="Times New Roman" w:eastAsia="仿宋" w:cs="Times New Roman"/>
                <w:kern w:val="0"/>
                <w:sz w:val="24"/>
                <w:szCs w:val="24"/>
                <w:highlight w:val="none"/>
                <w:lang w:val="en-US" w:eastAsia="zh-CN"/>
              </w:rPr>
              <w:t>4</w:t>
            </w:r>
            <w:r>
              <w:rPr>
                <w:rFonts w:ascii="Times New Roman" w:hAnsi="Times New Roman" w:eastAsia="仿宋" w:cs="Times New Roman"/>
                <w:kern w:val="0"/>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C32项目验收及时性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4</w:t>
            </w:r>
            <w:r>
              <w:rPr>
                <w:rFonts w:hint="eastAsia"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及时</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kern w:val="0"/>
                <w:sz w:val="24"/>
                <w:szCs w:val="24"/>
                <w:highlight w:val="none"/>
              </w:rPr>
            </w:pPr>
            <w:r>
              <w:rPr>
                <w:rFonts w:ascii="Times New Roman" w:hAnsi="Times New Roman" w:eastAsia="仿宋" w:cs="Times New Roman"/>
                <w:color w:val="000000"/>
                <w:kern w:val="0"/>
                <w:sz w:val="24"/>
                <w:szCs w:val="24"/>
                <w:highlight w:val="none"/>
              </w:rPr>
              <w:t>分析评价项目验收是否及时。</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kern w:val="0"/>
                <w:sz w:val="24"/>
                <w:szCs w:val="24"/>
                <w:highlight w:val="none"/>
              </w:rPr>
            </w:pPr>
            <w:r>
              <w:rPr>
                <w:rFonts w:hint="eastAsia" w:ascii="宋体" w:eastAsia="宋体" w:cs="宋体"/>
                <w:color w:val="000000"/>
                <w:kern w:val="0"/>
                <w:sz w:val="24"/>
                <w:szCs w:val="24"/>
                <w:highlight w:val="none"/>
              </w:rPr>
              <w:t>①</w:t>
            </w:r>
            <w:r>
              <w:rPr>
                <w:rFonts w:ascii="Times New Roman" w:hAnsi="Times New Roman" w:eastAsia="仿宋" w:cs="Times New Roman"/>
                <w:color w:val="000000"/>
                <w:kern w:val="0"/>
                <w:sz w:val="24"/>
                <w:szCs w:val="24"/>
                <w:highlight w:val="none"/>
              </w:rPr>
              <w:t>项目在规定时间内及时验收得</w:t>
            </w:r>
            <w:r>
              <w:rPr>
                <w:rFonts w:hint="eastAsia" w:ascii="Times New Roman" w:hAnsi="Times New Roman" w:eastAsia="仿宋" w:cs="Times New Roman"/>
                <w:color w:val="000000"/>
                <w:kern w:val="0"/>
                <w:sz w:val="24"/>
                <w:szCs w:val="24"/>
                <w:highlight w:val="none"/>
                <w:lang w:val="en-US" w:eastAsia="zh-CN"/>
              </w:rPr>
              <w:t>2</w:t>
            </w:r>
            <w:r>
              <w:rPr>
                <w:rFonts w:ascii="Times New Roman" w:hAnsi="Times New Roman" w:eastAsia="仿宋" w:cs="Times New Roman"/>
                <w:color w:val="000000"/>
                <w:kern w:val="0"/>
                <w:sz w:val="24"/>
                <w:szCs w:val="24"/>
                <w:highlight w:val="none"/>
              </w:rPr>
              <w:t>分；</w:t>
            </w:r>
            <w:r>
              <w:rPr>
                <w:rFonts w:hint="eastAsia" w:ascii="宋体" w:eastAsia="宋体" w:cs="宋体"/>
                <w:color w:val="000000"/>
                <w:kern w:val="0"/>
                <w:sz w:val="24"/>
                <w:szCs w:val="24"/>
                <w:highlight w:val="none"/>
              </w:rPr>
              <w:t>②</w:t>
            </w:r>
            <w:r>
              <w:rPr>
                <w:rFonts w:ascii="Times New Roman" w:hAnsi="Times New Roman" w:eastAsia="仿宋" w:cs="Times New Roman"/>
                <w:color w:val="000000"/>
                <w:kern w:val="0"/>
                <w:sz w:val="24"/>
                <w:szCs w:val="24"/>
                <w:highlight w:val="none"/>
              </w:rPr>
              <w:t>不影响项目的资金拨付进度得</w:t>
            </w:r>
            <w:r>
              <w:rPr>
                <w:rFonts w:hint="eastAsia" w:ascii="Times New Roman" w:hAnsi="Times New Roman" w:eastAsia="仿宋" w:cs="Times New Roman"/>
                <w:color w:val="000000"/>
                <w:kern w:val="0"/>
                <w:sz w:val="24"/>
                <w:szCs w:val="24"/>
                <w:highlight w:val="none"/>
                <w:lang w:val="en-US" w:eastAsia="zh-CN"/>
              </w:rPr>
              <w:t>2</w:t>
            </w:r>
            <w:r>
              <w:rPr>
                <w:rFonts w:ascii="Times New Roman" w:hAnsi="Times New Roman" w:eastAsia="仿宋" w:cs="Times New Roman"/>
                <w:color w:val="000000"/>
                <w:kern w:val="0"/>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rPr>
              <w:t>C4产出成本（</w:t>
            </w:r>
            <w:r>
              <w:rPr>
                <w:rFonts w:hint="eastAsia" w:ascii="Times New Roman" w:hAnsi="Times New Roman" w:eastAsia="仿宋" w:cs="Times New Roman"/>
                <w:color w:val="auto"/>
                <w:sz w:val="24"/>
                <w:szCs w:val="24"/>
                <w:highlight w:val="none"/>
                <w:lang w:val="en-US" w:eastAsia="zh-CN"/>
              </w:rPr>
              <w:t>6</w:t>
            </w:r>
            <w:r>
              <w:rPr>
                <w:rFonts w:hint="eastAsia" w:ascii="Times New Roman" w:hAnsi="Times New Roman" w:eastAsia="仿宋" w:cs="Times New Roman"/>
                <w:color w:val="auto"/>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rPr>
              <w:t>C41成本</w:t>
            </w:r>
            <w:r>
              <w:rPr>
                <w:rFonts w:hint="eastAsia" w:ascii="Times New Roman" w:hAnsi="Times New Roman" w:eastAsia="仿宋" w:cs="Times New Roman"/>
                <w:color w:val="000000"/>
                <w:sz w:val="24"/>
                <w:szCs w:val="24"/>
                <w:highlight w:val="none"/>
                <w:lang w:val="en-US" w:eastAsia="zh-CN"/>
              </w:rPr>
              <w:t>控制</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6</w:t>
            </w:r>
            <w:r>
              <w:rPr>
                <w:rFonts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分析评价项目的成本是否控制在预算内，成本节约率=（总费用预算支出额-费用实际支出额）/总费用预算支出额*100%。</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成本控制在预算内，成本节约率大于0%，得满分，否则，</w:t>
            </w:r>
            <w:r>
              <w:rPr>
                <w:rFonts w:hint="eastAsia" w:ascii="Times New Roman" w:hAnsi="Times New Roman" w:eastAsia="仿宋" w:cs="Times New Roman"/>
                <w:color w:val="000000"/>
                <w:sz w:val="24"/>
                <w:szCs w:val="24"/>
                <w:highlight w:val="none"/>
              </w:rPr>
              <w:t>每增加1%，扣0.5分，扣完为止。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效益（30）</w:t>
            </w: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rPr>
              <w:t>D1社会效益（</w:t>
            </w:r>
            <w:r>
              <w:rPr>
                <w:rFonts w:hint="eastAsia" w:ascii="Times New Roman" w:hAnsi="Times New Roman" w:eastAsia="仿宋" w:cs="Times New Roman"/>
                <w:color w:val="auto"/>
                <w:sz w:val="24"/>
                <w:szCs w:val="24"/>
                <w:highlight w:val="none"/>
                <w:lang w:val="en-US" w:eastAsia="zh-CN"/>
              </w:rPr>
              <w:t>10</w:t>
            </w:r>
            <w:r>
              <w:rPr>
                <w:rFonts w:hint="eastAsia" w:ascii="Times New Roman" w:hAnsi="Times New Roman" w:eastAsia="仿宋" w:cs="Times New Roman"/>
                <w:color w:val="auto"/>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ascii="Times New Roman" w:hAnsi="Times New Roman" w:eastAsia="仿宋" w:cs="Times New Roman"/>
                <w:sz w:val="24"/>
                <w:szCs w:val="24"/>
                <w:highlight w:val="none"/>
              </w:rPr>
              <w:t>D1</w:t>
            </w:r>
            <w:r>
              <w:rPr>
                <w:rFonts w:hint="eastAsia" w:ascii="Times New Roman" w:hAnsi="Times New Roman" w:eastAsia="仿宋" w:cs="Times New Roman"/>
                <w:sz w:val="24"/>
                <w:szCs w:val="24"/>
                <w:highlight w:val="none"/>
              </w:rPr>
              <w:t>1</w:t>
            </w:r>
            <w:r>
              <w:rPr>
                <w:rFonts w:hint="eastAsia" w:ascii="Times New Roman" w:hAnsi="Times New Roman" w:eastAsia="仿宋" w:cs="Times New Roman"/>
                <w:sz w:val="24"/>
                <w:szCs w:val="24"/>
                <w:highlight w:val="none"/>
                <w:lang w:val="en-US" w:eastAsia="zh-CN"/>
              </w:rPr>
              <w:t>社会效益</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sz w:val="24"/>
                <w:szCs w:val="24"/>
                <w:highlight w:val="none"/>
                <w:lang w:val="en-US" w:eastAsia="zh-CN"/>
              </w:rPr>
              <w:t>10</w:t>
            </w:r>
            <w:r>
              <w:rPr>
                <w:rFonts w:ascii="Times New Roman" w:hAnsi="Times New Roman" w:eastAsia="仿宋" w:cs="Times New Roman"/>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lang w:val="en-US" w:eastAsia="zh-CN"/>
              </w:rPr>
              <w:t>提升</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评价项目的</w:t>
            </w:r>
            <w:r>
              <w:rPr>
                <w:rFonts w:hint="eastAsia" w:ascii="Times New Roman" w:hAnsi="Times New Roman" w:eastAsia="仿宋" w:cs="Times New Roman"/>
                <w:color w:val="000000"/>
                <w:sz w:val="24"/>
                <w:szCs w:val="24"/>
                <w:highlight w:val="none"/>
                <w:lang w:val="en-US" w:eastAsia="zh-CN"/>
              </w:rPr>
              <w:t>社会效益</w:t>
            </w:r>
            <w:r>
              <w:rPr>
                <w:rFonts w:hint="eastAsia" w:ascii="Times New Roman" w:hAnsi="Times New Roman" w:eastAsia="仿宋" w:cs="Times New Roman"/>
                <w:color w:val="000000"/>
                <w:sz w:val="24"/>
                <w:szCs w:val="24"/>
                <w:highlight w:val="none"/>
              </w:rPr>
              <w:t>。</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lang w:val="en-US" w:eastAsia="zh-CN"/>
              </w:rPr>
              <w:t>社会效益较好，得100%权重分；社会效益一般，得50%权重分；社会效益较差，不得分。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2</w:t>
            </w:r>
            <w:r>
              <w:rPr>
                <w:rFonts w:hint="eastAsia" w:ascii="Times New Roman" w:hAnsi="Times New Roman" w:eastAsia="仿宋" w:cs="Times New Roman"/>
                <w:bCs/>
                <w:sz w:val="28"/>
                <w:szCs w:val="28"/>
                <w:highlight w:val="none"/>
              </w:rPr>
              <w:t>可持续</w:t>
            </w:r>
            <w:r>
              <w:rPr>
                <w:rFonts w:ascii="Times New Roman" w:hAnsi="Times New Roman" w:eastAsia="仿宋" w:cs="Times New Roman"/>
                <w:bCs/>
                <w:sz w:val="28"/>
                <w:szCs w:val="28"/>
                <w:highlight w:val="none"/>
              </w:rPr>
              <w:t>影响</w:t>
            </w:r>
            <w:r>
              <w:rPr>
                <w:rFonts w:hint="eastAsia" w:ascii="Times New Roman" w:hAnsi="Times New Roman" w:eastAsia="仿宋" w:cs="Times New Roman"/>
                <w:color w:val="000000"/>
                <w:sz w:val="24"/>
                <w:szCs w:val="24"/>
                <w:highlight w:val="none"/>
              </w:rPr>
              <w:t>（</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2</w:t>
            </w:r>
            <w:r>
              <w:rPr>
                <w:rFonts w:hint="eastAsia" w:ascii="Times New Roman" w:hAnsi="Times New Roman" w:eastAsia="仿宋" w:cs="Times New Roman"/>
                <w:color w:val="000000"/>
                <w:sz w:val="24"/>
                <w:szCs w:val="24"/>
                <w:highlight w:val="none"/>
              </w:rPr>
              <w:t>1可持续</w:t>
            </w:r>
            <w:r>
              <w:rPr>
                <w:rFonts w:hint="eastAsia" w:ascii="Times New Roman" w:hAnsi="Times New Roman" w:eastAsia="仿宋" w:cs="Times New Roman"/>
                <w:color w:val="000000"/>
                <w:sz w:val="24"/>
                <w:szCs w:val="24"/>
                <w:highlight w:val="none"/>
                <w:lang w:val="en-US" w:eastAsia="zh-CN"/>
              </w:rPr>
              <w:t>影响</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lang w:val="en-US" w:eastAsia="zh-CN"/>
              </w:rPr>
              <w:t>8</w:t>
            </w:r>
            <w:r>
              <w:rPr>
                <w:rFonts w:hint="eastAsia" w:ascii="Times New Roman" w:hAnsi="Times New Roman" w:eastAsia="仿宋" w:cs="Times New Roman"/>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sz w:val="24"/>
                <w:szCs w:val="24"/>
                <w:highlight w:val="none"/>
                <w:lang w:eastAsia="zh-CN"/>
              </w:rPr>
            </w:pPr>
            <w:r>
              <w:rPr>
                <w:rFonts w:hint="eastAsia" w:ascii="Times New Roman" w:hAnsi="Times New Roman" w:eastAsia="仿宋" w:cs="Times New Roman"/>
                <w:sz w:val="24"/>
                <w:szCs w:val="24"/>
                <w:highlight w:val="none"/>
                <w:lang w:val="en-US" w:eastAsia="zh-CN"/>
              </w:rPr>
              <w:t>可持续</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仿宋" w:eastAsia="仿宋" w:cs="宋体"/>
                <w:sz w:val="24"/>
                <w:szCs w:val="24"/>
                <w:highlight w:val="none"/>
              </w:rPr>
              <w:t>评价项目完成后可持续提供服务的保障情况。</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sz w:val="24"/>
                <w:szCs w:val="24"/>
                <w:highlight w:val="none"/>
                <w:lang w:eastAsia="zh-CN"/>
              </w:rPr>
            </w:pPr>
            <w:r>
              <w:rPr>
                <w:rFonts w:hint="eastAsia" w:ascii="Times New Roman" w:hAnsi="Times New Roman" w:eastAsia="仿宋" w:cs="Times New Roman"/>
                <w:sz w:val="24"/>
                <w:szCs w:val="24"/>
                <w:highlight w:val="none"/>
                <w:lang w:val="en-US" w:eastAsia="zh-CN"/>
              </w:rPr>
              <w:t>①项目单位后续管护制度健全</w:t>
            </w:r>
            <w:r>
              <w:rPr>
                <w:rFonts w:hint="eastAsia" w:ascii="Times New Roman" w:hAnsi="Times New Roman" w:eastAsia="仿宋" w:cs="Times New Roman"/>
                <w:sz w:val="24"/>
                <w:szCs w:val="24"/>
                <w:highlight w:val="none"/>
              </w:rPr>
              <w:t>，得</w:t>
            </w:r>
            <w:r>
              <w:rPr>
                <w:rFonts w:hint="eastAsia" w:ascii="Times New Roman" w:hAnsi="Times New Roman" w:eastAsia="仿宋" w:cs="Times New Roman"/>
                <w:sz w:val="24"/>
                <w:szCs w:val="24"/>
                <w:highlight w:val="none"/>
                <w:lang w:val="en-US" w:eastAsia="zh-CN"/>
              </w:rPr>
              <w:t>50</w:t>
            </w:r>
            <w:r>
              <w:rPr>
                <w:rFonts w:hint="eastAsia" w:ascii="Times New Roman" w:hAnsi="Times New Roman" w:eastAsia="仿宋" w:cs="Times New Roman"/>
                <w:sz w:val="24"/>
                <w:szCs w:val="24"/>
                <w:highlight w:val="none"/>
              </w:rPr>
              <w:t>%权重分，否则不得分</w:t>
            </w:r>
            <w:r>
              <w:rPr>
                <w:rFonts w:hint="eastAsia" w:ascii="Times New Roman" w:hAnsi="Times New Roman" w:eastAsia="仿宋" w:cs="Times New Roman"/>
                <w:sz w:val="24"/>
                <w:szCs w:val="24"/>
                <w:highlight w:val="none"/>
                <w:lang w:eastAsia="zh-CN"/>
              </w:rPr>
              <w:t>；</w:t>
            </w:r>
          </w:p>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sz w:val="24"/>
                <w:szCs w:val="24"/>
                <w:highlight w:val="none"/>
                <w:lang w:val="en-US" w:eastAsia="zh-CN"/>
              </w:rPr>
              <w:t>②项目单位后续管护责任落实，</w:t>
            </w:r>
            <w:r>
              <w:rPr>
                <w:rFonts w:hint="eastAsia" w:ascii="Times New Roman" w:hAnsi="Times New Roman" w:eastAsia="仿宋" w:cs="Times New Roman"/>
                <w:sz w:val="24"/>
                <w:szCs w:val="24"/>
                <w:highlight w:val="none"/>
              </w:rPr>
              <w:t>得</w:t>
            </w:r>
            <w:r>
              <w:rPr>
                <w:rFonts w:hint="eastAsia" w:ascii="Times New Roman" w:hAnsi="Times New Roman" w:eastAsia="仿宋" w:cs="Times New Roman"/>
                <w:sz w:val="24"/>
                <w:szCs w:val="24"/>
                <w:highlight w:val="none"/>
                <w:lang w:val="en-US" w:eastAsia="zh-CN"/>
              </w:rPr>
              <w:t>50</w:t>
            </w:r>
            <w:r>
              <w:rPr>
                <w:rFonts w:hint="eastAsia" w:ascii="Times New Roman" w:hAnsi="Times New Roman" w:eastAsia="仿宋" w:cs="Times New Roman"/>
                <w:sz w:val="24"/>
                <w:szCs w:val="24"/>
                <w:highlight w:val="none"/>
              </w:rPr>
              <w:t>%权重分，否则不得分。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3</w:t>
            </w:r>
            <w:r>
              <w:rPr>
                <w:rFonts w:ascii="Times New Roman" w:hAnsi="Times New Roman" w:eastAsia="仿宋" w:cs="Times New Roman"/>
                <w:bCs/>
                <w:sz w:val="28"/>
                <w:szCs w:val="28"/>
                <w:highlight w:val="none"/>
              </w:rPr>
              <w:t>服务对象满意度</w:t>
            </w:r>
            <w:r>
              <w:rPr>
                <w:rFonts w:hint="eastAsia" w:ascii="Times New Roman" w:hAnsi="Times New Roman" w:eastAsia="仿宋" w:cs="Times New Roman"/>
                <w:bCs/>
                <w:sz w:val="28"/>
                <w:szCs w:val="28"/>
                <w:highlight w:val="none"/>
              </w:rPr>
              <w:t>（</w:t>
            </w:r>
            <w:r>
              <w:rPr>
                <w:rFonts w:hint="eastAsia" w:ascii="Times New Roman" w:hAnsi="Times New Roman" w:eastAsia="仿宋" w:cs="Times New Roman"/>
                <w:bCs/>
                <w:sz w:val="28"/>
                <w:szCs w:val="28"/>
                <w:highlight w:val="none"/>
                <w:lang w:val="en-US" w:eastAsia="zh-CN"/>
              </w:rPr>
              <w:t>12</w:t>
            </w:r>
            <w:r>
              <w:rPr>
                <w:rFonts w:hint="eastAsia" w:ascii="Times New Roman" w:hAnsi="Times New Roman" w:eastAsia="仿宋" w:cs="Times New Roman"/>
                <w:bCs/>
                <w:sz w:val="28"/>
                <w:szCs w:val="28"/>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3</w:t>
            </w:r>
            <w:r>
              <w:rPr>
                <w:rFonts w:hint="eastAsia" w:ascii="Times New Roman" w:hAnsi="Times New Roman" w:eastAsia="仿宋" w:cs="Times New Roman"/>
                <w:color w:val="000000"/>
                <w:sz w:val="24"/>
                <w:szCs w:val="24"/>
                <w:highlight w:val="none"/>
              </w:rPr>
              <w:t>1受益对象满意度</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lang w:val="en-US" w:eastAsia="zh-CN"/>
              </w:rPr>
              <w:t>12</w:t>
            </w:r>
            <w:r>
              <w:rPr>
                <w:rFonts w:hint="eastAsia" w:ascii="Times New Roman" w:hAnsi="Times New Roman" w:eastAsia="仿宋" w:cs="Times New Roman"/>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w:t>
            </w:r>
            <w:r>
              <w:rPr>
                <w:rFonts w:ascii="Times New Roman" w:hAnsi="Times New Roman" w:eastAsia="仿宋" w:cs="Times New Roman"/>
                <w:sz w:val="24"/>
                <w:szCs w:val="24"/>
                <w:highlight w:val="none"/>
              </w:rPr>
              <w:t>90%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仿宋" w:eastAsia="仿宋"/>
                <w:sz w:val="24"/>
                <w:highlight w:val="none"/>
              </w:rPr>
              <w:t>评价受益对象对项目满意度的情况。</w:t>
            </w:r>
          </w:p>
        </w:tc>
        <w:tc>
          <w:tcPr>
            <w:tcW w:w="175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大于等于90%得满分，&lt;60%，不得分；60%（含）-90%之间按比例得分。</w:t>
            </w:r>
          </w:p>
        </w:tc>
      </w:tr>
    </w:tbl>
    <w:p>
      <w:pPr>
        <w:widowControl/>
        <w:spacing w:line="574" w:lineRule="exact"/>
        <w:jc w:val="left"/>
        <w:outlineLvl w:val="0"/>
        <w:rPr>
          <w:rFonts w:ascii="黑体" w:eastAsia="黑体"/>
          <w:snapToGrid w:val="0"/>
          <w:sz w:val="32"/>
          <w:szCs w:val="32"/>
        </w:rPr>
        <w:sectPr>
          <w:headerReference r:id="rId8" w:type="default"/>
          <w:pgSz w:w="16838" w:h="11906" w:orient="landscape"/>
          <w:pgMar w:top="1797" w:right="1440" w:bottom="1797" w:left="1440" w:header="851" w:footer="992" w:gutter="0"/>
          <w:cols w:space="720" w:num="1"/>
          <w:docGrid w:type="lines" w:linePitch="312" w:charSpace="0"/>
        </w:sectPr>
      </w:pPr>
    </w:p>
    <w:p>
      <w:pPr>
        <w:widowControl/>
        <w:spacing w:line="574" w:lineRule="exact"/>
        <w:jc w:val="left"/>
        <w:outlineLvl w:val="0"/>
        <w:rPr>
          <w:rFonts w:ascii="黑体" w:eastAsia="黑体"/>
          <w:snapToGrid w:val="0"/>
          <w:sz w:val="32"/>
          <w:szCs w:val="32"/>
        </w:rPr>
      </w:pPr>
      <w:bookmarkStart w:id="168" w:name="_Toc11022"/>
      <w:r>
        <w:rPr>
          <w:rFonts w:hint="eastAsia" w:ascii="黑体" w:eastAsia="黑体"/>
          <w:snapToGrid w:val="0"/>
          <w:sz w:val="32"/>
          <w:szCs w:val="32"/>
        </w:rPr>
        <w:t>附件2：问卷调查报告</w:t>
      </w:r>
      <w:bookmarkEnd w:id="165"/>
      <w:bookmarkEnd w:id="168"/>
      <w:bookmarkStart w:id="169" w:name="_Toc515811967"/>
      <w:bookmarkStart w:id="170" w:name="_Toc517361502"/>
      <w:bookmarkStart w:id="171" w:name="_Toc528680333"/>
      <w:bookmarkStart w:id="172" w:name="_Toc516554801"/>
      <w:bookmarkStart w:id="173" w:name="_Toc528603095"/>
      <w:bookmarkStart w:id="174" w:name="_Toc516473336"/>
      <w:bookmarkStart w:id="175" w:name="_Toc515811021"/>
      <w:bookmarkStart w:id="176" w:name="_Toc528680487"/>
    </w:p>
    <w:bookmarkEnd w:id="169"/>
    <w:bookmarkEnd w:id="170"/>
    <w:bookmarkEnd w:id="171"/>
    <w:bookmarkEnd w:id="172"/>
    <w:bookmarkEnd w:id="173"/>
    <w:bookmarkEnd w:id="174"/>
    <w:bookmarkEnd w:id="175"/>
    <w:bookmarkEnd w:id="176"/>
    <w:p>
      <w:pPr>
        <w:spacing w:line="574" w:lineRule="exact"/>
        <w:jc w:val="center"/>
        <w:rPr>
          <w:rFonts w:ascii="Times New Roman" w:hAnsi="Times New Roman"/>
          <w:b/>
          <w:snapToGrid w:val="0"/>
          <w:sz w:val="44"/>
          <w:szCs w:val="44"/>
        </w:rPr>
      </w:pPr>
      <w:r>
        <w:rPr>
          <w:rFonts w:hint="eastAsia" w:ascii="仿宋" w:eastAsia="仿宋" w:cs="仿宋"/>
          <w:b/>
          <w:bCs/>
          <w:snapToGrid w:val="0"/>
          <w:sz w:val="32"/>
          <w:szCs w:val="32"/>
          <w:lang w:eastAsia="zh-CN"/>
        </w:rPr>
        <w:t>城市中心公园建设项目经费</w:t>
      </w:r>
      <w:r>
        <w:rPr>
          <w:rFonts w:hint="eastAsia" w:ascii="仿宋" w:eastAsia="仿宋" w:cs="仿宋"/>
          <w:b/>
          <w:bCs/>
          <w:snapToGrid w:val="0"/>
          <w:sz w:val="32"/>
          <w:szCs w:val="32"/>
        </w:rPr>
        <w:t>绩效评价满意度调查报告</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rPr>
        <w:t>一、调查目的</w:t>
      </w:r>
    </w:p>
    <w:p>
      <w:pPr>
        <w:spacing w:line="574" w:lineRule="exact"/>
        <w:ind w:firstLine="560" w:firstLineChars="200"/>
        <w:rPr>
          <w:rFonts w:hint="eastAsia" w:ascii="仿宋" w:eastAsia="仿宋" w:cs="仿宋"/>
          <w:sz w:val="28"/>
          <w:szCs w:val="28"/>
        </w:rPr>
      </w:pPr>
      <w:bookmarkStart w:id="177" w:name="_Hlk28700570"/>
      <w:r>
        <w:rPr>
          <w:rFonts w:hint="eastAsia" w:ascii="仿宋" w:eastAsia="仿宋" w:cs="仿宋"/>
          <w:sz w:val="28"/>
          <w:szCs w:val="28"/>
        </w:rPr>
        <w:t>相关方满意度调查作为绩效评价中非常重要的环节，为了解</w:t>
      </w:r>
      <w:r>
        <w:rPr>
          <w:rFonts w:hint="eastAsia" w:ascii="仿宋" w:eastAsia="仿宋" w:cs="仿宋"/>
          <w:sz w:val="28"/>
          <w:szCs w:val="28"/>
          <w:lang w:eastAsia="zh-CN"/>
        </w:rPr>
        <w:t>城市中心公园建设项目经费</w:t>
      </w:r>
      <w:r>
        <w:rPr>
          <w:rFonts w:hint="eastAsia" w:ascii="仿宋" w:eastAsia="仿宋" w:cs="仿宋"/>
          <w:sz w:val="28"/>
          <w:szCs w:val="28"/>
        </w:rPr>
        <w:t>的使用管理情况和项目实施情况，准确掌握满意度数据，通过向</w:t>
      </w:r>
      <w:r>
        <w:rPr>
          <w:rFonts w:hint="eastAsia" w:ascii="仿宋" w:eastAsia="仿宋" w:cs="仿宋"/>
          <w:sz w:val="28"/>
          <w:szCs w:val="28"/>
          <w:lang w:val="en-US" w:eastAsia="zh-CN"/>
        </w:rPr>
        <w:t>管理方相关人员、</w:t>
      </w:r>
      <w:r>
        <w:rPr>
          <w:rFonts w:hint="eastAsia" w:ascii="仿宋" w:eastAsia="仿宋" w:cs="仿宋"/>
          <w:sz w:val="28"/>
          <w:szCs w:val="28"/>
        </w:rPr>
        <w:t>受益</w:t>
      </w:r>
      <w:r>
        <w:rPr>
          <w:rFonts w:hint="eastAsia" w:ascii="仿宋" w:eastAsia="仿宋" w:cs="仿宋"/>
          <w:sz w:val="28"/>
          <w:szCs w:val="28"/>
          <w:lang w:val="en-US" w:eastAsia="zh-CN"/>
        </w:rPr>
        <w:t>人员</w:t>
      </w:r>
      <w:r>
        <w:rPr>
          <w:rFonts w:hint="eastAsia" w:ascii="仿宋" w:eastAsia="仿宋" w:cs="仿宋"/>
          <w:sz w:val="28"/>
          <w:szCs w:val="28"/>
        </w:rPr>
        <w:t>发放满意度调查问卷，了解受益</w:t>
      </w:r>
      <w:r>
        <w:rPr>
          <w:rFonts w:hint="eastAsia" w:ascii="仿宋" w:eastAsia="仿宋" w:cs="仿宋"/>
          <w:sz w:val="28"/>
          <w:szCs w:val="28"/>
          <w:lang w:val="en-US" w:eastAsia="zh-CN"/>
        </w:rPr>
        <w:t>群体</w:t>
      </w:r>
      <w:r>
        <w:rPr>
          <w:rFonts w:hint="eastAsia" w:ascii="仿宋" w:eastAsia="仿宋" w:cs="仿宋"/>
          <w:sz w:val="28"/>
          <w:szCs w:val="28"/>
        </w:rPr>
        <w:t>对</w:t>
      </w:r>
      <w:r>
        <w:rPr>
          <w:rFonts w:hint="eastAsia" w:ascii="仿宋" w:eastAsia="仿宋" w:cs="仿宋"/>
          <w:sz w:val="28"/>
          <w:szCs w:val="28"/>
          <w:lang w:val="en-US" w:eastAsia="zh-CN"/>
        </w:rPr>
        <w:t>项目的整体</w:t>
      </w:r>
      <w:r>
        <w:rPr>
          <w:rFonts w:hint="eastAsia" w:ascii="仿宋" w:eastAsia="仿宋" w:cs="仿宋"/>
          <w:sz w:val="28"/>
          <w:szCs w:val="28"/>
        </w:rPr>
        <w:t>满意程度，为绩效评价工作满意度调查提供数据参考。</w:t>
      </w:r>
    </w:p>
    <w:bookmarkEnd w:id="177"/>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二、调查对象</w:t>
      </w:r>
    </w:p>
    <w:p>
      <w:pPr>
        <w:tabs>
          <w:tab w:val="left" w:pos="630"/>
        </w:tabs>
        <w:spacing w:line="574" w:lineRule="exact"/>
        <w:ind w:firstLine="560" w:firstLineChars="200"/>
        <w:rPr>
          <w:rFonts w:hint="eastAsia" w:ascii="仿宋" w:eastAsia="仿宋" w:cs="仿宋"/>
          <w:sz w:val="28"/>
          <w:szCs w:val="28"/>
        </w:rPr>
      </w:pPr>
      <w:bookmarkStart w:id="178" w:name="_Hlk28700584"/>
      <w:r>
        <w:rPr>
          <w:rFonts w:hint="eastAsia" w:ascii="仿宋" w:eastAsia="仿宋" w:cs="仿宋"/>
          <w:sz w:val="28"/>
          <w:szCs w:val="28"/>
        </w:rPr>
        <w:t>本次调查的对象为</w:t>
      </w:r>
      <w:r>
        <w:rPr>
          <w:rFonts w:hint="eastAsia" w:ascii="仿宋" w:eastAsia="仿宋" w:cs="仿宋"/>
          <w:sz w:val="28"/>
          <w:szCs w:val="28"/>
          <w:lang w:val="en-US" w:eastAsia="zh-CN"/>
        </w:rPr>
        <w:t>管理方相关人员和受益人员</w:t>
      </w:r>
      <w:r>
        <w:rPr>
          <w:rFonts w:hint="eastAsia" w:ascii="仿宋" w:eastAsia="仿宋" w:cs="仿宋"/>
          <w:sz w:val="28"/>
          <w:szCs w:val="28"/>
        </w:rPr>
        <w:t>。</w:t>
      </w:r>
    </w:p>
    <w:bookmarkEnd w:id="178"/>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三、调查时间</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lang w:val="en-US" w:eastAsia="zh-CN"/>
        </w:rPr>
        <w:t>2022年6月</w:t>
      </w:r>
      <w:r>
        <w:rPr>
          <w:rFonts w:hint="eastAsia" w:ascii="仿宋" w:eastAsia="仿宋" w:cs="仿宋"/>
          <w:sz w:val="28"/>
          <w:szCs w:val="28"/>
        </w:rPr>
        <w:t>。</w:t>
      </w: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四、调查内容</w:t>
      </w:r>
    </w:p>
    <w:p>
      <w:pPr>
        <w:spacing w:line="574" w:lineRule="exact"/>
        <w:ind w:firstLine="560" w:firstLineChars="200"/>
        <w:rPr>
          <w:rFonts w:hint="eastAsia" w:ascii="仿宋" w:eastAsia="仿宋" w:cs="仿宋"/>
          <w:sz w:val="28"/>
          <w:szCs w:val="28"/>
        </w:rPr>
      </w:pPr>
      <w:bookmarkStart w:id="179" w:name="_Hlk28700703"/>
      <w:r>
        <w:rPr>
          <w:rFonts w:hint="eastAsia" w:ascii="仿宋" w:eastAsia="仿宋" w:cs="仿宋"/>
          <w:sz w:val="28"/>
          <w:szCs w:val="28"/>
          <w:lang w:val="en-US" w:eastAsia="zh-CN"/>
        </w:rPr>
        <w:t>您对城市中心公园建设项目实施进度的满意程度、您对城市中心公园建设项目建设质量的满意程度、您对城市中心公园建设项目建成后产生的效益情况的满意程度</w:t>
      </w:r>
      <w:r>
        <w:rPr>
          <w:rFonts w:hint="eastAsia" w:ascii="仿宋" w:eastAsia="仿宋" w:cs="仿宋"/>
          <w:sz w:val="28"/>
          <w:szCs w:val="28"/>
        </w:rPr>
        <w:t>。</w:t>
      </w:r>
    </w:p>
    <w:bookmarkEnd w:id="179"/>
    <w:p>
      <w:pPr>
        <w:spacing w:line="574" w:lineRule="exact"/>
        <w:ind w:firstLine="560" w:firstLineChars="200"/>
        <w:rPr>
          <w:rFonts w:hint="eastAsia" w:ascii="仿宋" w:eastAsia="仿宋" w:cs="仿宋"/>
          <w:sz w:val="28"/>
          <w:szCs w:val="28"/>
        </w:rPr>
      </w:pPr>
      <w:r>
        <w:rPr>
          <w:rFonts w:hint="eastAsia" w:ascii="仿宋" w:eastAsia="仿宋" w:cs="仿宋"/>
          <w:sz w:val="28"/>
          <w:szCs w:val="28"/>
        </w:rPr>
        <w:t>五、问卷发放与回收</w:t>
      </w:r>
    </w:p>
    <w:p>
      <w:pPr>
        <w:spacing w:line="574" w:lineRule="exact"/>
        <w:ind w:firstLine="560" w:firstLineChars="200"/>
        <w:rPr>
          <w:rFonts w:ascii="仿宋" w:eastAsia="仿宋" w:cs="仿宋"/>
          <w:sz w:val="28"/>
          <w:szCs w:val="28"/>
          <w:lang w:val="en-US" w:eastAsia="zh-CN"/>
        </w:rPr>
      </w:pPr>
      <w:r>
        <w:rPr>
          <w:rFonts w:hint="eastAsia" w:ascii="仿宋" w:eastAsia="仿宋" w:cs="仿宋"/>
          <w:sz w:val="28"/>
          <w:szCs w:val="28"/>
        </w:rPr>
        <w:t>本次计划发放问卷</w:t>
      </w:r>
      <w:r>
        <w:rPr>
          <w:rFonts w:hint="eastAsia" w:ascii="仿宋" w:eastAsia="仿宋" w:cs="仿宋"/>
          <w:sz w:val="28"/>
          <w:szCs w:val="28"/>
          <w:lang w:val="en-US" w:eastAsia="zh-CN"/>
        </w:rPr>
        <w:t>200</w:t>
      </w:r>
      <w:r>
        <w:rPr>
          <w:rFonts w:hint="eastAsia" w:ascii="仿宋" w:eastAsia="仿宋" w:cs="仿宋"/>
          <w:sz w:val="28"/>
          <w:szCs w:val="28"/>
        </w:rPr>
        <w:t>份</w:t>
      </w:r>
      <w:r>
        <w:rPr>
          <w:rFonts w:hint="eastAsia" w:ascii="仿宋" w:eastAsia="仿宋" w:cs="仿宋"/>
          <w:sz w:val="28"/>
          <w:szCs w:val="28"/>
          <w:lang w:eastAsia="zh-CN"/>
        </w:rPr>
        <w:t>，</w:t>
      </w:r>
      <w:r>
        <w:rPr>
          <w:rFonts w:hint="eastAsia" w:ascii="仿宋" w:eastAsia="仿宋" w:cs="仿宋"/>
          <w:sz w:val="28"/>
          <w:szCs w:val="28"/>
          <w:lang w:val="en-US" w:eastAsia="zh-CN"/>
        </w:rPr>
        <w:t>回收问卷200</w:t>
      </w:r>
      <w:r>
        <w:rPr>
          <w:rFonts w:hint="eastAsia" w:ascii="仿宋" w:eastAsia="仿宋" w:cs="仿宋"/>
          <w:sz w:val="28"/>
          <w:szCs w:val="28"/>
        </w:rPr>
        <w:t>份</w:t>
      </w:r>
      <w:r>
        <w:rPr>
          <w:rFonts w:hint="eastAsia" w:ascii="仿宋" w:eastAsia="仿宋" w:cs="仿宋"/>
          <w:sz w:val="28"/>
          <w:szCs w:val="28"/>
          <w:lang w:val="en-US" w:eastAsia="zh-CN"/>
        </w:rPr>
        <w:t>。</w:t>
      </w: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六、调查结果</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rPr>
        <w:t>（一）满意度调查</w:t>
      </w:r>
    </w:p>
    <w:p>
      <w:pPr>
        <w:spacing w:line="574" w:lineRule="exact"/>
        <w:ind w:firstLine="562" w:firstLineChars="200"/>
        <w:rPr>
          <w:rFonts w:hint="eastAsia" w:ascii="仿宋" w:eastAsia="仿宋" w:cs="仿宋"/>
          <w:b/>
          <w:bCs/>
          <w:sz w:val="28"/>
          <w:szCs w:val="28"/>
        </w:rPr>
      </w:pPr>
      <w:r>
        <w:rPr>
          <w:rFonts w:hint="eastAsia" w:ascii="仿宋" w:eastAsia="仿宋" w:cs="仿宋"/>
          <w:b/>
          <w:bCs/>
          <w:sz w:val="28"/>
          <w:szCs w:val="28"/>
        </w:rPr>
        <w:t>1.基础信息调查结果</w:t>
      </w:r>
    </w:p>
    <w:p>
      <w:pPr>
        <w:spacing w:line="574" w:lineRule="exact"/>
        <w:ind w:firstLine="560" w:firstLineChars="200"/>
        <w:rPr>
          <w:rFonts w:hint="eastAsia" w:ascii="仿宋" w:eastAsia="仿宋" w:cs="仿宋"/>
          <w:sz w:val="28"/>
          <w:szCs w:val="28"/>
        </w:rPr>
      </w:pPr>
      <w:bookmarkStart w:id="180" w:name="_Hlk43218755"/>
      <w:r>
        <w:rPr>
          <w:rFonts w:hint="eastAsia" w:ascii="仿宋" w:eastAsia="仿宋" w:cs="仿宋"/>
          <w:sz w:val="28"/>
          <w:szCs w:val="28"/>
        </w:rPr>
        <w:t>（1）您对</w:t>
      </w:r>
      <w:r>
        <w:rPr>
          <w:rFonts w:hint="eastAsia" w:ascii="仿宋" w:eastAsia="仿宋" w:cs="仿宋"/>
          <w:sz w:val="28"/>
          <w:szCs w:val="28"/>
          <w:lang w:eastAsia="zh-CN"/>
        </w:rPr>
        <w:t>城市中心公园建设项目</w:t>
      </w:r>
      <w:r>
        <w:rPr>
          <w:rFonts w:hint="eastAsia" w:ascii="仿宋" w:eastAsia="仿宋" w:cs="仿宋"/>
          <w:sz w:val="28"/>
          <w:szCs w:val="28"/>
        </w:rPr>
        <w:t>是否了解？</w:t>
      </w: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从数据分析可知，了解</w:t>
      </w:r>
      <w:r>
        <w:rPr>
          <w:rFonts w:hint="eastAsia" w:ascii="仿宋" w:eastAsia="仿宋" w:cs="仿宋"/>
          <w:sz w:val="28"/>
          <w:szCs w:val="28"/>
          <w:lang w:val="en-US" w:eastAsia="zh-CN"/>
        </w:rPr>
        <w:t>项目</w:t>
      </w:r>
      <w:r>
        <w:rPr>
          <w:rFonts w:hint="eastAsia" w:ascii="仿宋" w:eastAsia="仿宋" w:cs="仿宋"/>
          <w:sz w:val="28"/>
          <w:szCs w:val="28"/>
        </w:rPr>
        <w:t>的占比</w:t>
      </w:r>
      <w:r>
        <w:rPr>
          <w:rFonts w:hint="eastAsia" w:ascii="仿宋" w:eastAsia="仿宋" w:cs="仿宋"/>
          <w:sz w:val="28"/>
          <w:szCs w:val="28"/>
          <w:lang w:val="en-US" w:eastAsia="zh-CN"/>
        </w:rPr>
        <w:t>92.50%</w:t>
      </w:r>
      <w:r>
        <w:rPr>
          <w:rFonts w:hint="eastAsia" w:ascii="仿宋" w:eastAsia="仿宋" w:cs="仿宋"/>
          <w:sz w:val="28"/>
          <w:szCs w:val="28"/>
        </w:rPr>
        <w:t>。</w:t>
      </w:r>
    </w:p>
    <w:bookmarkEnd w:id="180"/>
    <w:p>
      <w:pPr>
        <w:spacing w:line="574" w:lineRule="exact"/>
        <w:ind w:firstLine="562" w:firstLineChars="200"/>
        <w:rPr>
          <w:rFonts w:hint="eastAsia" w:ascii="仿宋" w:eastAsia="仿宋" w:cs="仿宋"/>
          <w:b/>
          <w:bCs/>
          <w:sz w:val="28"/>
          <w:szCs w:val="28"/>
        </w:rPr>
        <w:sectPr>
          <w:footerReference r:id="rId9" w:type="default"/>
          <w:pgSz w:w="11906" w:h="16838"/>
          <w:pgMar w:top="1440" w:right="1797" w:bottom="1440" w:left="1797" w:header="851" w:footer="992" w:gutter="0"/>
          <w:cols w:space="720" w:num="1"/>
          <w:docGrid w:type="lines" w:linePitch="312" w:charSpace="0"/>
        </w:sectPr>
      </w:pPr>
      <w:r>
        <w:rPr>
          <w:rFonts w:hint="eastAsia" w:ascii="仿宋" w:eastAsia="仿宋" w:cs="仿宋"/>
          <w:b/>
          <w:bCs/>
          <w:sz w:val="28"/>
          <w:szCs w:val="28"/>
        </w:rPr>
        <w:t>2.满意度调查结果</w:t>
      </w:r>
    </w:p>
    <w:tbl>
      <w:tblPr>
        <w:tblStyle w:val="19"/>
        <w:tblW w:w="139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872"/>
        <w:gridCol w:w="872"/>
        <w:gridCol w:w="872"/>
        <w:gridCol w:w="872"/>
        <w:gridCol w:w="874"/>
        <w:gridCol w:w="872"/>
        <w:gridCol w:w="872"/>
        <w:gridCol w:w="872"/>
        <w:gridCol w:w="874"/>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问卷问题</w:t>
            </w:r>
          </w:p>
        </w:tc>
        <w:tc>
          <w:tcPr>
            <w:tcW w:w="87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总数</w:t>
            </w:r>
          </w:p>
        </w:tc>
        <w:tc>
          <w:tcPr>
            <w:tcW w:w="3490" w:type="dxa"/>
            <w:gridSpan w:val="4"/>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ascii="仿宋" w:eastAsia="仿宋" w:cs="仿宋"/>
                <w:b/>
                <w:bCs/>
                <w:color w:val="auto"/>
                <w:sz w:val="20"/>
                <w:szCs w:val="21"/>
                <w:highlight w:val="none"/>
                <w:lang w:val="en-US" w:eastAsia="zh-CN"/>
              </w:rPr>
            </w:pPr>
            <w:r>
              <w:rPr>
                <w:rFonts w:hint="eastAsia" w:ascii="仿宋" w:eastAsia="仿宋" w:cs="仿宋"/>
                <w:b/>
                <w:bCs/>
                <w:color w:val="auto"/>
                <w:sz w:val="20"/>
                <w:szCs w:val="21"/>
                <w:highlight w:val="none"/>
                <w:lang w:val="en-US" w:eastAsia="zh-CN"/>
              </w:rPr>
              <w:t>人数</w:t>
            </w:r>
          </w:p>
        </w:tc>
        <w:tc>
          <w:tcPr>
            <w:tcW w:w="3490" w:type="dxa"/>
            <w:gridSpan w:val="4"/>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lang w:val="en-US" w:eastAsia="zh-CN"/>
              </w:rPr>
            </w:pPr>
            <w:r>
              <w:rPr>
                <w:rFonts w:hint="eastAsia" w:ascii="仿宋" w:eastAsia="仿宋" w:cs="仿宋"/>
                <w:b/>
                <w:bCs/>
                <w:color w:val="auto"/>
                <w:sz w:val="20"/>
                <w:szCs w:val="21"/>
                <w:highlight w:val="none"/>
                <w:lang w:val="en-US" w:eastAsia="zh-CN"/>
              </w:rPr>
              <w:t>满意度系数</w:t>
            </w:r>
          </w:p>
        </w:tc>
        <w:tc>
          <w:tcPr>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493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87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非常满意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lang w:val="en-US" w:eastAsia="zh-CN"/>
              </w:rPr>
              <w:t>一般</w:t>
            </w:r>
          </w:p>
        </w:tc>
        <w:tc>
          <w:tcPr>
            <w:tcW w:w="874"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不满意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lang w:eastAsia="zh-CN"/>
              </w:rPr>
            </w:pPr>
            <w:r>
              <w:rPr>
                <w:rFonts w:hint="eastAsia" w:ascii="仿宋" w:eastAsia="仿宋" w:cs="仿宋"/>
                <w:b/>
                <w:bCs/>
                <w:color w:val="auto"/>
                <w:sz w:val="20"/>
                <w:szCs w:val="21"/>
                <w:highlight w:val="none"/>
              </w:rPr>
              <w:t>非常满意</w:t>
            </w:r>
            <w:r>
              <w:rPr>
                <w:rFonts w:hint="eastAsia" w:ascii="仿宋" w:eastAsia="仿宋" w:cs="仿宋"/>
                <w:b/>
                <w:bCs/>
                <w:color w:val="auto"/>
                <w:sz w:val="20"/>
                <w:szCs w:val="21"/>
                <w:highlight w:val="none"/>
                <w:lang w:eastAsia="zh-CN"/>
              </w:rPr>
              <w:t>（</w:t>
            </w:r>
            <w:r>
              <w:rPr>
                <w:rFonts w:hint="eastAsia" w:ascii="仿宋" w:eastAsia="仿宋" w:cs="仿宋"/>
                <w:b/>
                <w:bCs/>
                <w:color w:val="auto"/>
                <w:sz w:val="20"/>
                <w:szCs w:val="21"/>
                <w:highlight w:val="none"/>
                <w:lang w:val="en-US" w:eastAsia="zh-CN"/>
              </w:rPr>
              <w:t>系数</w:t>
            </w:r>
            <w:r>
              <w:rPr>
                <w:rFonts w:hint="eastAsia" w:ascii="仿宋" w:eastAsia="仿宋" w:cs="仿宋"/>
                <w:b/>
                <w:bCs/>
                <w:color w:val="auto"/>
                <w:sz w:val="20"/>
                <w:szCs w:val="21"/>
                <w:highlight w:val="none"/>
                <w:lang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lang w:val="en-US" w:eastAsia="zh-CN"/>
              </w:rPr>
              <w:t>一般</w:t>
            </w:r>
          </w:p>
        </w:tc>
        <w:tc>
          <w:tcPr>
            <w:tcW w:w="874"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不满意</w:t>
            </w:r>
          </w:p>
        </w:tc>
        <w:tc>
          <w:tcPr>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left"/>
              <w:rPr>
                <w:rFonts w:hint="eastAsia" w:ascii="仿宋" w:eastAsia="仿宋" w:cs="仿宋"/>
                <w:color w:val="auto"/>
                <w:sz w:val="20"/>
                <w:szCs w:val="21"/>
                <w:highlight w:val="none"/>
              </w:rPr>
            </w:pPr>
            <w:r>
              <w:rPr>
                <w:rFonts w:hint="eastAsia" w:ascii="仿宋" w:eastAsia="仿宋" w:cs="仿宋"/>
                <w:color w:val="auto"/>
                <w:sz w:val="20"/>
                <w:szCs w:val="21"/>
              </w:rPr>
              <w:t>您对</w:t>
            </w:r>
            <w:r>
              <w:rPr>
                <w:rFonts w:hint="eastAsia" w:ascii="仿宋" w:eastAsia="仿宋" w:cs="仿宋"/>
                <w:color w:val="auto"/>
                <w:sz w:val="20"/>
                <w:szCs w:val="21"/>
                <w:lang w:val="en-US" w:eastAsia="zh-CN"/>
              </w:rPr>
              <w:t>城市中心公园建设项目实施进度的满意程度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仿宋" w:eastAsia="仿宋" w:cs="仿宋"/>
                <w:color w:val="auto"/>
                <w:sz w:val="20"/>
                <w:szCs w:val="21"/>
                <w:highlight w:val="none"/>
                <w:lang w:val="en-US" w:eastAsia="zh-CN"/>
              </w:rPr>
            </w:pPr>
            <w:r>
              <w:rPr>
                <w:rFonts w:hint="eastAsia" w:ascii="仿宋" w:eastAsia="仿宋" w:cs="仿宋"/>
                <w:i w:val="0"/>
                <w:iCs w:val="0"/>
                <w:color w:val="000000"/>
                <w:kern w:val="0"/>
                <w:sz w:val="20"/>
                <w:szCs w:val="20"/>
                <w:u w:val="none"/>
                <w:lang w:val="en-US" w:eastAsia="zh-CN"/>
              </w:rPr>
              <w:t>200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176</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11</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5</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94.50%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both"/>
              <w:rPr>
                <w:rFonts w:hint="eastAsia" w:ascii="仿宋" w:eastAsia="仿宋" w:cs="仿宋"/>
                <w:color w:val="auto"/>
                <w:sz w:val="20"/>
                <w:szCs w:val="21"/>
                <w:highlight w:val="none"/>
              </w:rPr>
            </w:pPr>
            <w:r>
              <w:rPr>
                <w:rFonts w:hint="eastAsia" w:ascii="仿宋" w:eastAsia="仿宋" w:cs="仿宋"/>
                <w:color w:val="auto"/>
                <w:sz w:val="20"/>
                <w:szCs w:val="21"/>
              </w:rPr>
              <w:t>您对</w:t>
            </w:r>
            <w:r>
              <w:rPr>
                <w:rFonts w:hint="eastAsia" w:ascii="仿宋" w:eastAsia="仿宋" w:cs="仿宋"/>
                <w:color w:val="auto"/>
                <w:sz w:val="20"/>
                <w:szCs w:val="21"/>
                <w:lang w:val="en-US" w:eastAsia="zh-CN"/>
              </w:rPr>
              <w:t>城市中心公园建设项目建设质量的满意程度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200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164</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26</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7</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3</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94.50%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rPr>
                <w:rFonts w:hint="eastAsia" w:ascii="仿宋" w:eastAsia="仿宋" w:cs="仿宋"/>
                <w:color w:val="auto"/>
                <w:sz w:val="20"/>
                <w:szCs w:val="21"/>
                <w:highlight w:val="none"/>
              </w:rPr>
            </w:pPr>
            <w:r>
              <w:rPr>
                <w:rFonts w:hint="eastAsia" w:ascii="仿宋" w:eastAsia="仿宋" w:cs="仿宋"/>
                <w:color w:val="auto"/>
                <w:sz w:val="20"/>
                <w:szCs w:val="21"/>
              </w:rPr>
              <w:t>您对</w:t>
            </w:r>
            <w:r>
              <w:rPr>
                <w:rFonts w:hint="eastAsia" w:ascii="仿宋" w:eastAsia="仿宋" w:cs="仿宋"/>
                <w:color w:val="auto"/>
                <w:sz w:val="20"/>
                <w:szCs w:val="21"/>
                <w:lang w:val="en-US" w:eastAsia="zh-CN"/>
              </w:rPr>
              <w:t>城市中心公园建设项目建成后产生的效益情况</w:t>
            </w:r>
            <w:r>
              <w:rPr>
                <w:rFonts w:hint="eastAsia" w:ascii="仿宋" w:eastAsia="仿宋" w:cs="仿宋"/>
                <w:color w:val="auto"/>
                <w:sz w:val="20"/>
                <w:szCs w:val="21"/>
              </w:rPr>
              <w:t>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200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183</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4</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9</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4</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95.80%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总体满意度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94.93%</w:t>
            </w:r>
          </w:p>
        </w:tc>
      </w:tr>
    </w:tbl>
    <w:p>
      <w:pPr>
        <w:pStyle w:val="2"/>
        <w:rPr>
          <w:rFonts w:hint="eastAsia"/>
        </w:rPr>
        <w:sectPr>
          <w:pgSz w:w="16838" w:h="11906" w:orient="landscape"/>
          <w:pgMar w:top="1797" w:right="1440" w:bottom="1797" w:left="1440" w:header="851" w:footer="992" w:gutter="0"/>
          <w:cols w:space="720" w:num="1"/>
          <w:docGrid w:type="lines" w:linePitch="312" w:charSpace="0"/>
        </w:sectPr>
      </w:pPr>
    </w:p>
    <w:p>
      <w:pPr>
        <w:pStyle w:val="2"/>
        <w:rPr>
          <w:rFonts w:hint="eastAsia"/>
        </w:rPr>
      </w:pP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lang w:eastAsia="zh-CN"/>
        </w:rPr>
        <w:t>（</w:t>
      </w:r>
      <w:r>
        <w:rPr>
          <w:rFonts w:hint="eastAsia" w:ascii="仿宋" w:eastAsia="仿宋" w:cs="仿宋"/>
          <w:sz w:val="28"/>
          <w:szCs w:val="28"/>
          <w:lang w:val="en-US" w:eastAsia="zh-CN"/>
        </w:rPr>
        <w:t>三</w:t>
      </w:r>
      <w:r>
        <w:rPr>
          <w:rFonts w:hint="eastAsia" w:ascii="仿宋" w:eastAsia="仿宋" w:cs="仿宋"/>
          <w:sz w:val="28"/>
          <w:szCs w:val="28"/>
          <w:lang w:eastAsia="zh-CN"/>
        </w:rPr>
        <w:t>）</w:t>
      </w:r>
      <w:r>
        <w:rPr>
          <w:rFonts w:hint="eastAsia" w:ascii="仿宋" w:eastAsia="仿宋" w:cs="仿宋"/>
          <w:sz w:val="28"/>
          <w:szCs w:val="28"/>
        </w:rPr>
        <w:t>总结</w:t>
      </w:r>
    </w:p>
    <w:p>
      <w:pPr>
        <w:tabs>
          <w:tab w:val="left" w:pos="630"/>
        </w:tabs>
        <w:spacing w:line="574" w:lineRule="exact"/>
        <w:ind w:firstLine="560" w:firstLineChars="200"/>
        <w:rPr>
          <w:rFonts w:ascii="仿宋" w:eastAsia="仿宋" w:cs="仿宋"/>
          <w:sz w:val="28"/>
          <w:szCs w:val="28"/>
          <w:lang w:val="en-US" w:eastAsia="zh-CN"/>
        </w:rPr>
      </w:pPr>
      <w:r>
        <w:rPr>
          <w:rFonts w:hint="eastAsia" w:ascii="仿宋" w:eastAsia="仿宋" w:cs="仿宋"/>
          <w:sz w:val="28"/>
          <w:szCs w:val="28"/>
          <w:lang w:val="en-US" w:eastAsia="zh-CN"/>
        </w:rPr>
        <w:t>受益对象满意度分别为：94.50%、94.50%、95.80%。整体满意度为94.93%。</w:t>
      </w:r>
    </w:p>
    <w:p>
      <w:pPr>
        <w:rPr>
          <w:rFonts w:hint="eastAsia" w:ascii="黑体" w:eastAsia="黑体"/>
          <w:snapToGrid w:val="0"/>
          <w:sz w:val="32"/>
          <w:szCs w:val="32"/>
          <w:lang w:val="en-US" w:eastAsia="zh-CN"/>
        </w:rPr>
      </w:pPr>
      <w:r>
        <w:rPr>
          <w:rFonts w:hint="eastAsia" w:ascii="黑体" w:eastAsia="黑体"/>
          <w:snapToGrid w:val="0"/>
          <w:sz w:val="32"/>
          <w:szCs w:val="32"/>
          <w:lang w:val="en-US" w:eastAsia="zh-CN"/>
        </w:rPr>
        <w:br w:type="page"/>
      </w:r>
    </w:p>
    <w:p>
      <w:pPr>
        <w:keepNext w:val="0"/>
        <w:keepLines w:val="0"/>
        <w:pageBreakBefore w:val="0"/>
        <w:widowControl w:val="0"/>
        <w:tabs>
          <w:tab w:val="left" w:pos="3495"/>
        </w:tabs>
        <w:kinsoku/>
        <w:wordWrap/>
        <w:overflowPunct/>
        <w:topLinePunct w:val="0"/>
        <w:autoSpaceDE/>
        <w:autoSpaceDN/>
        <w:bidi w:val="0"/>
        <w:adjustRightInd/>
        <w:snapToGrid/>
        <w:jc w:val="left"/>
        <w:textAlignment w:val="auto"/>
        <w:outlineLvl w:val="0"/>
        <w:rPr>
          <w:rFonts w:ascii="黑体" w:eastAsia="黑体"/>
          <w:b/>
          <w:bCs/>
          <w:snapToGrid w:val="0"/>
          <w:sz w:val="32"/>
          <w:szCs w:val="32"/>
          <w:lang w:val="en-US" w:eastAsia="zh-CN"/>
        </w:rPr>
      </w:pPr>
      <w:bookmarkStart w:id="181" w:name="_Toc30992"/>
      <w:r>
        <w:rPr>
          <w:rFonts w:hint="eastAsia" w:ascii="黑体" w:eastAsia="黑体"/>
          <w:snapToGrid w:val="0"/>
          <w:sz w:val="32"/>
          <w:szCs w:val="32"/>
          <w:lang w:val="en-US" w:eastAsia="zh-CN"/>
        </w:rPr>
        <w:t>附件3：访谈报告</w:t>
      </w:r>
      <w:bookmarkEnd w:id="181"/>
    </w:p>
    <w:p>
      <w:pPr>
        <w:spacing w:line="520" w:lineRule="exact"/>
        <w:ind w:firstLine="562" w:firstLineChars="200"/>
        <w:rPr>
          <w:rFonts w:ascii="仿宋" w:eastAsia="仿宋" w:cs="仿宋"/>
          <w:b/>
          <w:bCs/>
          <w:kern w:val="0"/>
          <w:sz w:val="28"/>
          <w:szCs w:val="32"/>
          <w:lang w:val="en-US" w:eastAsia="zh-CN"/>
        </w:rPr>
      </w:pPr>
      <w:r>
        <w:rPr>
          <w:rFonts w:hint="eastAsia" w:ascii="仿宋" w:eastAsia="仿宋" w:cs="仿宋"/>
          <w:b/>
          <w:bCs/>
          <w:kern w:val="0"/>
          <w:sz w:val="28"/>
          <w:szCs w:val="32"/>
          <w:lang w:val="en-US" w:eastAsia="zh-CN"/>
        </w:rPr>
        <w:t>一、项目相关负责人访谈</w:t>
      </w:r>
    </w:p>
    <w:p>
      <w:pPr>
        <w:spacing w:line="520" w:lineRule="exact"/>
        <w:ind w:firstLine="560" w:firstLineChars="200"/>
        <w:rPr>
          <w:rFonts w:hint="eastAsia" w:ascii="仿宋" w:eastAsia="仿宋" w:cs="仿宋"/>
          <w:kern w:val="0"/>
          <w:sz w:val="28"/>
          <w:szCs w:val="32"/>
        </w:rPr>
      </w:pPr>
      <w:r>
        <w:rPr>
          <w:rFonts w:hint="eastAsia" w:ascii="仿宋" w:eastAsia="仿宋" w:cs="仿宋"/>
          <w:kern w:val="0"/>
          <w:sz w:val="28"/>
          <w:szCs w:val="32"/>
        </w:rPr>
        <w:t>为了全面了解项目整体情况和绩效情况，客观公正的评价该项财政资金的绩效，从而提高资金的使用效率和管理水平，我们需要向您咨询以下问题：</w:t>
      </w:r>
    </w:p>
    <w:p>
      <w:pPr>
        <w:spacing w:line="500" w:lineRule="exact"/>
        <w:ind w:firstLine="562" w:firstLineChars="200"/>
        <w:rPr>
          <w:rFonts w:hint="eastAsia" w:ascii="仿宋" w:eastAsia="仿宋" w:cs="仿宋"/>
          <w:b/>
          <w:bCs/>
          <w:kern w:val="0"/>
          <w:sz w:val="28"/>
          <w:szCs w:val="32"/>
        </w:rPr>
      </w:pPr>
      <w:r>
        <w:rPr>
          <w:rFonts w:hint="eastAsia" w:ascii="仿宋" w:eastAsia="仿宋" w:cs="仿宋"/>
          <w:b/>
          <w:bCs/>
          <w:kern w:val="0"/>
          <w:sz w:val="28"/>
          <w:szCs w:val="32"/>
        </w:rPr>
        <w:t>1、请您简要介绍项目的概况</w:t>
      </w:r>
      <w:r>
        <w:rPr>
          <w:rFonts w:hint="eastAsia" w:ascii="仿宋" w:eastAsia="仿宋" w:cs="仿宋"/>
          <w:b/>
          <w:bCs/>
          <w:kern w:val="0"/>
          <w:sz w:val="28"/>
          <w:szCs w:val="32"/>
          <w:lang w:val="en-US" w:eastAsia="zh-CN"/>
        </w:rPr>
        <w:t>及资金情况</w:t>
      </w:r>
      <w:r>
        <w:rPr>
          <w:rFonts w:hint="eastAsia" w:ascii="仿宋" w:eastAsia="仿宋" w:cs="仿宋"/>
          <w:b/>
          <w:bCs/>
          <w:kern w:val="0"/>
          <w:sz w:val="28"/>
          <w:szCs w:val="32"/>
        </w:rPr>
        <w:t>。</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2019年11月25日，古县发展和改革局《关于古县直属机关事务服务中心古县中心公园建设项目初步设计的批复》（古发改审批〔2019〕24号）文件批复同意项目经审查后修改编制的初步设计及概算，①项目建设的内容及规模：项目规划总用地面积为9906.41㎡，其中外围修复面积1464.67㎡，景观设计面8441.74㎡；②主要建设内容包括：硬质铺装1909.87㎡；停车场2305.12㎡；绿化面积4226.75㎡：包括乔木、灌木、地被、草本栽植等；景观工程包括：镜面水景1项、景观亭1座、景观廊架1座、文化景墙1座、景观石5个、景观水井1座、景观树池1个；及其排水、电气照明和弱电等附属设施工程；③项目总概算及资金来源：本项目经概算总投资681.37万元，其中：建筑安装设备费：571.79万元；工程建设其他费用71.01万元，工程预备费38.57万元，所需资金来源由古县财政解决。</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2019年10月30日，古县财政局委托山西坤和元工程造价咨询有限公司出具《古县中心公园工程预算审核书》（KHY-ZB-9166），项目预算审定金额4648308.35元。</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2020年3月25日，项目经政府采购确定临汾亨茂园林绿化有限公司为中标单位，中标金额463.92万元，工期300日历天。</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2020年4月1日，古县直属机关事务服务中心与临汾亨茂园林绿化有限公司签订《施工合同》：①工程内容：景观工程、绿化工程、给排水、电气照明、弱电等附属工程；②计划开竣工时间为2020年4月7日至2021年1月31日；③工程款支付进度：土方工程完工，苗木开始进场付合同总价的30%；基础工程完工，石材开始进场再付合同总价的30%；全部完工，初步验收合格后再付合同总价的30%；第一年保修期到后付合同总价的5%；第二年保修期到后，正式交付甲方后付尾款5%。</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2020年4月6日，建设单位古县直属机关事务服务中心、监理单位临汾亚泰工程监理有限公司、施工单位临汾亨茂园林绿化有限公司联合出具《开工报告》：计划开竣工时间为2020年4月7日至2021年1月31日，实际开工时间为2020年4月7日；本项目规划总用地面积为9906.41㎡，其中：外围修复面积1464.67㎡，景观设计面积8441.74㎡；硬质铺装1909.87㎡，停车场2305.12㎡，绿化面积4226.75㎡，包括乔木、灌木、地被、草本栽植等，景观工程包括：镜面水景1项、景观亭1座、景观廊架1座、文化景墙1座、景观石5个、景观水井1座、景观树池1个，及其排水、电气照明和弱电等附属设施工程。</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2021年12月2日，古县自然资源局出具《施工规划认可书》（认字第2021-0004号）。</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12月20日，古县直属机关事务服务中心向古县人民政府提交《关于中心公园项目结算评审的申请》（古直中心呈〔2021〕8号）：工程预算价为574.61万元，经财政评审预算审定为463.83万元，招标合同价为463.92万元，工程结算报价510.12万元。</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2022年3月10日，古县财政局委托山西翔鸿工程项目管理有限公司出具《古县中心公园建设项目竣工结算审核书》（山西翔鸿审字〔2022〕042号）：项目报审结算金额5101294.59元，审定金额5054208.65元。</w:t>
      </w:r>
    </w:p>
    <w:p>
      <w:pPr>
        <w:spacing w:line="500" w:lineRule="exact"/>
        <w:ind w:firstLine="560" w:firstLineChars="200"/>
        <w:rPr>
          <w:rFonts w:hint="eastAsia" w:ascii="仿宋" w:eastAsia="仿宋" w:cs="仿宋"/>
          <w:kern w:val="0"/>
          <w:sz w:val="28"/>
          <w:szCs w:val="32"/>
          <w:lang w:eastAsia="zh-CN"/>
        </w:rPr>
      </w:pPr>
      <w:r>
        <w:rPr>
          <w:rFonts w:hint="eastAsia" w:ascii="Times New Roman" w:hAnsi="Times New Roman" w:eastAsia="仿宋" w:cs="Times New Roman"/>
          <w:kern w:val="0"/>
          <w:sz w:val="28"/>
          <w:szCs w:val="28"/>
          <w:shd w:val="clear" w:color="auto" w:fill="FFFFFF"/>
          <w:lang w:val="en-US" w:eastAsia="zh-CN"/>
        </w:rPr>
        <w:t>截止2021年12月31日，该项目已完工，但尚未出具《竣工验收报告》</w:t>
      </w:r>
      <w:r>
        <w:rPr>
          <w:rFonts w:hint="eastAsia" w:ascii="仿宋" w:eastAsia="仿宋" w:cs="仿宋"/>
          <w:kern w:val="0"/>
          <w:sz w:val="28"/>
          <w:szCs w:val="32"/>
          <w:lang w:eastAsia="zh-CN"/>
        </w:rPr>
        <w:t>。</w:t>
      </w:r>
    </w:p>
    <w:p>
      <w:pPr>
        <w:spacing w:line="500" w:lineRule="exact"/>
        <w:ind w:firstLine="562" w:firstLineChars="200"/>
        <w:rPr>
          <w:rFonts w:hint="eastAsia" w:ascii="仿宋" w:eastAsia="仿宋" w:cs="仿宋"/>
          <w:b/>
          <w:bCs/>
          <w:kern w:val="0"/>
          <w:sz w:val="28"/>
          <w:szCs w:val="32"/>
        </w:rPr>
      </w:pPr>
      <w:r>
        <w:rPr>
          <w:rFonts w:hint="eastAsia" w:ascii="仿宋" w:eastAsia="仿宋" w:cs="仿宋"/>
          <w:b/>
          <w:bCs/>
          <w:kern w:val="0"/>
          <w:sz w:val="28"/>
          <w:szCs w:val="32"/>
        </w:rPr>
        <w:t>2、请您简要介绍项目预期目标及实际完成情况。</w:t>
      </w:r>
    </w:p>
    <w:p>
      <w:pPr>
        <w:spacing w:line="500" w:lineRule="exact"/>
        <w:ind w:firstLine="560" w:firstLineChars="200"/>
        <w:rPr>
          <w:rFonts w:ascii="仿宋" w:eastAsia="仿宋" w:cs="仿宋"/>
          <w:kern w:val="0"/>
          <w:sz w:val="28"/>
          <w:szCs w:val="32"/>
          <w:lang w:val="en-US"/>
        </w:rPr>
      </w:pPr>
      <w:r>
        <w:rPr>
          <w:rFonts w:hint="eastAsia" w:ascii="Times New Roman" w:hAnsi="Times New Roman" w:eastAsia="仿宋" w:cs="Times New Roman"/>
          <w:kern w:val="0"/>
          <w:sz w:val="28"/>
          <w:szCs w:val="28"/>
          <w:shd w:val="clear" w:color="auto" w:fill="FFFFFF"/>
          <w:lang w:val="en-US" w:eastAsia="zh-CN"/>
        </w:rPr>
        <w:t>2020年4月1日，古县直属机关事务服务中心与临汾亨茂园林绿化有限公司签订《施工合同》，工程内容：景观工程、绿化工程、给排水、电气照明、弱电等附属工程；项目工程内容全部完成。</w:t>
      </w:r>
    </w:p>
    <w:p>
      <w:pPr>
        <w:spacing w:line="500" w:lineRule="exact"/>
        <w:ind w:firstLine="562" w:firstLineChars="200"/>
        <w:rPr>
          <w:rFonts w:hint="eastAsia" w:ascii="仿宋" w:eastAsia="仿宋" w:cs="仿宋"/>
          <w:b/>
          <w:bCs/>
          <w:kern w:val="0"/>
          <w:sz w:val="28"/>
          <w:szCs w:val="32"/>
        </w:rPr>
      </w:pPr>
      <w:r>
        <w:rPr>
          <w:rFonts w:hint="eastAsia" w:ascii="仿宋" w:eastAsia="仿宋" w:cs="仿宋"/>
          <w:b/>
          <w:bCs/>
          <w:kern w:val="0"/>
          <w:sz w:val="28"/>
          <w:szCs w:val="32"/>
          <w:lang w:val="en-US" w:eastAsia="zh-CN"/>
        </w:rPr>
        <w:t>3</w:t>
      </w:r>
      <w:r>
        <w:rPr>
          <w:rFonts w:hint="eastAsia" w:ascii="仿宋" w:eastAsia="仿宋" w:cs="仿宋"/>
          <w:b/>
          <w:bCs/>
          <w:kern w:val="0"/>
          <w:sz w:val="28"/>
          <w:szCs w:val="32"/>
        </w:rPr>
        <w:t>、请您简要介绍资金使用情况。</w:t>
      </w:r>
    </w:p>
    <w:p>
      <w:pPr>
        <w:spacing w:line="500" w:lineRule="exact"/>
        <w:ind w:firstLine="560" w:firstLineChars="200"/>
        <w:rPr>
          <w:rFonts w:hint="eastAsia" w:ascii="仿宋" w:eastAsia="仿宋" w:cs="仿宋"/>
          <w:kern w:val="0"/>
          <w:sz w:val="28"/>
          <w:szCs w:val="32"/>
          <w:lang w:eastAsia="zh-CN"/>
        </w:rPr>
      </w:pPr>
      <w:r>
        <w:rPr>
          <w:rFonts w:hint="eastAsia" w:ascii="仿宋" w:eastAsia="仿宋" w:cs="仿宋"/>
          <w:kern w:val="0"/>
          <w:sz w:val="28"/>
          <w:szCs w:val="32"/>
          <w:lang w:eastAsia="zh-CN"/>
        </w:rPr>
        <w:t>截止2022年9月30日，项目共计到位资金300.00万元，其中2020年到位资金50.00万元，2021年到位资金200.00万元，2022年到位资金50.00万元。</w:t>
      </w:r>
    </w:p>
    <w:p>
      <w:pPr>
        <w:spacing w:line="500" w:lineRule="exact"/>
        <w:ind w:firstLine="560" w:firstLineChars="200"/>
        <w:rPr>
          <w:rFonts w:hint="eastAsia" w:ascii="仿宋" w:eastAsia="仿宋" w:cs="仿宋"/>
          <w:kern w:val="0"/>
          <w:sz w:val="28"/>
          <w:szCs w:val="32"/>
          <w:lang w:eastAsia="zh-CN"/>
        </w:rPr>
      </w:pPr>
      <w:r>
        <w:rPr>
          <w:rFonts w:hint="eastAsia" w:ascii="仿宋" w:eastAsia="仿宋" w:cs="仿宋"/>
          <w:kern w:val="0"/>
          <w:sz w:val="28"/>
          <w:szCs w:val="32"/>
          <w:lang w:eastAsia="zh-CN"/>
        </w:rPr>
        <w:t>截止2022年9月30日，城市中心公园建设项目共计支出资金300.00万元</w:t>
      </w:r>
      <w:r>
        <w:rPr>
          <w:rFonts w:hint="eastAsia" w:ascii="仿宋" w:eastAsia="仿宋" w:cs="仿宋"/>
          <w:color w:val="auto"/>
          <w:kern w:val="0"/>
          <w:sz w:val="28"/>
          <w:szCs w:val="32"/>
          <w:lang w:eastAsia="zh-CN"/>
        </w:rPr>
        <w:t>。</w:t>
      </w:r>
    </w:p>
    <w:p>
      <w:pPr>
        <w:spacing w:line="500" w:lineRule="exact"/>
        <w:ind w:firstLine="562" w:firstLineChars="200"/>
        <w:rPr>
          <w:rFonts w:hint="eastAsia" w:ascii="仿宋" w:eastAsia="仿宋" w:cs="仿宋"/>
          <w:kern w:val="0"/>
          <w:sz w:val="28"/>
          <w:szCs w:val="32"/>
        </w:rPr>
      </w:pPr>
      <w:r>
        <w:rPr>
          <w:rFonts w:hint="eastAsia" w:ascii="仿宋" w:eastAsia="仿宋" w:cs="仿宋"/>
          <w:b/>
          <w:bCs/>
          <w:kern w:val="0"/>
          <w:sz w:val="28"/>
          <w:szCs w:val="32"/>
          <w:lang w:val="en-US" w:eastAsia="zh-CN"/>
        </w:rPr>
        <w:t>4</w:t>
      </w:r>
      <w:r>
        <w:rPr>
          <w:rFonts w:hint="eastAsia" w:ascii="仿宋" w:eastAsia="仿宋" w:cs="仿宋"/>
          <w:b/>
          <w:bCs/>
          <w:kern w:val="0"/>
          <w:sz w:val="28"/>
          <w:szCs w:val="32"/>
        </w:rPr>
        <w:t>、请您简要介绍为保障项目的顺利实施所制定的制度、措施有哪些？</w:t>
      </w:r>
    </w:p>
    <w:p>
      <w:pPr>
        <w:spacing w:line="500" w:lineRule="exact"/>
        <w:ind w:firstLine="560" w:firstLineChars="200"/>
        <w:rPr>
          <w:rFonts w:hint="eastAsia" w:ascii="仿宋" w:eastAsia="仿宋" w:cs="仿宋"/>
          <w:snapToGrid w:val="0"/>
          <w:sz w:val="28"/>
          <w:szCs w:val="28"/>
          <w:lang w:val="en-US" w:eastAsia="zh-CN"/>
        </w:rPr>
      </w:pPr>
      <w:r>
        <w:rPr>
          <w:rFonts w:hint="eastAsia" w:ascii="仿宋" w:eastAsia="仿宋" w:cs="仿宋"/>
          <w:kern w:val="0"/>
          <w:sz w:val="28"/>
          <w:szCs w:val="32"/>
          <w:lang w:val="en-US" w:eastAsia="zh-CN"/>
        </w:rPr>
        <w:t>我单位在项目实施过程中严格把关，制定了相关业务、财务管理制度</w:t>
      </w:r>
      <w:r>
        <w:rPr>
          <w:rFonts w:hint="eastAsia" w:ascii="仿宋" w:eastAsia="仿宋" w:cs="仿宋"/>
          <w:snapToGrid w:val="0"/>
          <w:sz w:val="28"/>
          <w:szCs w:val="28"/>
          <w:lang w:val="en-US" w:eastAsia="zh-CN"/>
        </w:rPr>
        <w:t>。</w:t>
      </w:r>
    </w:p>
    <w:p>
      <w:pPr>
        <w:rPr>
          <w:rFonts w:hint="eastAsia" w:ascii="仿宋" w:eastAsia="仿宋" w:cs="仿宋"/>
          <w:snapToGrid w:val="0"/>
          <w:sz w:val="28"/>
          <w:szCs w:val="28"/>
          <w:lang w:val="en-US" w:eastAsia="zh-CN"/>
        </w:rPr>
      </w:pPr>
      <w:r>
        <w:rPr>
          <w:rFonts w:hint="eastAsia" w:ascii="仿宋" w:eastAsia="仿宋" w:cs="仿宋"/>
          <w:snapToGrid w:val="0"/>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0"/>
        <w:rPr>
          <w:rFonts w:ascii="黑体" w:eastAsia="黑体"/>
          <w:snapToGrid w:val="0"/>
          <w:sz w:val="32"/>
          <w:szCs w:val="32"/>
          <w:lang w:val="en-US" w:eastAsia="zh-CN"/>
        </w:rPr>
      </w:pPr>
      <w:bookmarkStart w:id="182" w:name="_Toc92"/>
      <w:bookmarkStart w:id="183" w:name="_Toc21093"/>
      <w:r>
        <w:rPr>
          <w:rFonts w:hint="eastAsia" w:ascii="黑体" w:eastAsia="黑体"/>
          <w:snapToGrid w:val="0"/>
          <w:sz w:val="32"/>
          <w:szCs w:val="32"/>
          <w:lang w:val="en-US" w:eastAsia="zh-CN"/>
        </w:rPr>
        <w:t>附件4：合规性审查</w:t>
      </w:r>
      <w:bookmarkEnd w:id="182"/>
      <w:bookmarkEnd w:id="183"/>
    </w:p>
    <w:p>
      <w:pPr>
        <w:spacing w:line="500" w:lineRule="exact"/>
        <w:ind w:firstLine="560" w:firstLineChars="200"/>
        <w:rPr>
          <w:rFonts w:hint="eastAsia" w:ascii="仿宋" w:eastAsia="仿宋" w:cs="仿宋"/>
          <w:kern w:val="0"/>
          <w:sz w:val="28"/>
          <w:szCs w:val="32"/>
        </w:rPr>
      </w:pPr>
      <w:r>
        <w:rPr>
          <w:rFonts w:hint="eastAsia" w:ascii="仿宋" w:eastAsia="仿宋" w:cs="仿宋"/>
          <w:kern w:val="0"/>
          <w:sz w:val="28"/>
          <w:szCs w:val="32"/>
        </w:rPr>
        <w:t>为保证</w:t>
      </w:r>
      <w:r>
        <w:rPr>
          <w:rFonts w:hint="eastAsia" w:ascii="仿宋" w:eastAsia="仿宋" w:cs="仿宋"/>
          <w:kern w:val="0"/>
          <w:sz w:val="28"/>
          <w:szCs w:val="32"/>
          <w:lang w:val="en-US" w:eastAsia="zh-CN"/>
        </w:rPr>
        <w:t>城市中心公园建设项目资金</w:t>
      </w:r>
      <w:r>
        <w:rPr>
          <w:rFonts w:hint="eastAsia" w:ascii="仿宋" w:eastAsia="仿宋" w:cs="仿宋"/>
          <w:kern w:val="0"/>
          <w:sz w:val="28"/>
          <w:szCs w:val="32"/>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 w:eastAsia="仿宋" w:cs="仿宋"/>
          <w:b/>
          <w:kern w:val="0"/>
          <w:sz w:val="28"/>
          <w:szCs w:val="32"/>
        </w:rPr>
      </w:pPr>
      <w:r>
        <w:rPr>
          <w:rFonts w:hint="eastAsia" w:ascii="仿宋" w:eastAsia="仿宋" w:cs="仿宋"/>
          <w:b/>
          <w:kern w:val="0"/>
          <w:sz w:val="28"/>
          <w:szCs w:val="32"/>
        </w:rPr>
        <w:t>1、合规性检查对象</w:t>
      </w:r>
    </w:p>
    <w:p>
      <w:pPr>
        <w:spacing w:line="500" w:lineRule="exact"/>
        <w:ind w:firstLine="560" w:firstLineChars="200"/>
        <w:jc w:val="left"/>
        <w:rPr>
          <w:rFonts w:hint="eastAsia" w:ascii="仿宋" w:eastAsia="仿宋" w:cs="仿宋"/>
          <w:kern w:val="0"/>
          <w:sz w:val="28"/>
          <w:szCs w:val="32"/>
        </w:rPr>
      </w:pPr>
      <w:r>
        <w:rPr>
          <w:rFonts w:hint="eastAsia" w:ascii="仿宋" w:eastAsia="仿宋" w:cs="仿宋"/>
          <w:kern w:val="0"/>
          <w:sz w:val="28"/>
          <w:szCs w:val="32"/>
        </w:rPr>
        <w:t>本次检查对象为</w:t>
      </w:r>
      <w:r>
        <w:rPr>
          <w:rFonts w:hint="eastAsia" w:ascii="仿宋" w:eastAsia="仿宋" w:cs="仿宋"/>
          <w:kern w:val="0"/>
          <w:sz w:val="28"/>
          <w:szCs w:val="32"/>
          <w:lang w:eastAsia="zh-CN"/>
        </w:rPr>
        <w:t>城市中心公园建设项目资金</w:t>
      </w:r>
      <w:r>
        <w:rPr>
          <w:rFonts w:hint="eastAsia" w:ascii="仿宋" w:eastAsia="仿宋" w:cs="仿宋"/>
          <w:kern w:val="0"/>
          <w:sz w:val="28"/>
          <w:szCs w:val="32"/>
        </w:rPr>
        <w:t>。</w:t>
      </w:r>
    </w:p>
    <w:p>
      <w:pPr>
        <w:spacing w:line="500" w:lineRule="exact"/>
        <w:ind w:firstLine="562" w:firstLineChars="200"/>
        <w:jc w:val="left"/>
        <w:rPr>
          <w:rFonts w:hint="eastAsia" w:ascii="仿宋" w:eastAsia="仿宋" w:cs="仿宋"/>
          <w:b/>
          <w:kern w:val="0"/>
          <w:sz w:val="28"/>
          <w:szCs w:val="32"/>
        </w:rPr>
      </w:pPr>
      <w:r>
        <w:rPr>
          <w:rFonts w:hint="eastAsia" w:ascii="仿宋" w:eastAsia="仿宋" w:cs="仿宋"/>
          <w:b/>
          <w:kern w:val="0"/>
          <w:sz w:val="28"/>
          <w:szCs w:val="32"/>
        </w:rPr>
        <w:t>2、合规性检查内容</w:t>
      </w:r>
    </w:p>
    <w:p>
      <w:pPr>
        <w:spacing w:line="500" w:lineRule="exact"/>
        <w:ind w:firstLine="560" w:firstLineChars="200"/>
        <w:jc w:val="left"/>
        <w:rPr>
          <w:rFonts w:hint="eastAsia" w:ascii="仿宋" w:eastAsia="仿宋" w:cs="仿宋"/>
          <w:kern w:val="0"/>
          <w:sz w:val="28"/>
          <w:szCs w:val="32"/>
        </w:rPr>
      </w:pPr>
      <w:r>
        <w:rPr>
          <w:rFonts w:hint="eastAsia" w:ascii="仿宋" w:eastAsia="仿宋" w:cs="仿宋"/>
          <w:kern w:val="0"/>
          <w:sz w:val="28"/>
          <w:szCs w:val="32"/>
        </w:rPr>
        <w:t>本次合规性检查内容包括资金拨付、资金支出、财务管理等，目的在于深入了解项目资金使用是否符合相关法律法规、制度和规定，用以发现配套资金在资金使用的规范性和安全性上存在的问题。内容如下表：</w:t>
      </w:r>
    </w:p>
    <w:p>
      <w:pPr>
        <w:spacing w:line="500" w:lineRule="exact"/>
        <w:ind w:firstLine="481" w:firstLineChars="200"/>
        <w:jc w:val="center"/>
        <w:rPr>
          <w:rFonts w:hint="eastAsia" w:ascii="仿宋" w:eastAsia="仿宋" w:cs="仿宋"/>
          <w:b/>
          <w:kern w:val="0"/>
          <w:sz w:val="24"/>
          <w:szCs w:val="28"/>
        </w:rPr>
      </w:pPr>
      <w:r>
        <w:rPr>
          <w:rFonts w:hint="eastAsia" w:ascii="仿宋" w:eastAsia="仿宋" w:cs="仿宋"/>
          <w:b/>
          <w:kern w:val="0"/>
          <w:sz w:val="24"/>
          <w:szCs w:val="28"/>
        </w:rPr>
        <w:t>附表4-1  合规性审查内容框架</w:t>
      </w:r>
    </w:p>
    <w:tbl>
      <w:tblPr>
        <w:tblStyle w:val="19"/>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snapToGrid w:val="0"/>
              <w:jc w:val="center"/>
              <w:rPr>
                <w:rFonts w:hint="eastAsia" w:ascii="仿宋" w:eastAsia="仿宋" w:cs="仿宋"/>
                <w:b/>
                <w:kern w:val="0"/>
                <w:sz w:val="24"/>
                <w:szCs w:val="32"/>
              </w:rPr>
            </w:pPr>
            <w:r>
              <w:rPr>
                <w:rFonts w:hint="eastAsia" w:ascii="仿宋" w:eastAsia="仿宋" w:cs="仿宋"/>
                <w:b/>
                <w:kern w:val="0"/>
                <w:sz w:val="24"/>
                <w:szCs w:val="32"/>
              </w:rPr>
              <w:t>序号</w:t>
            </w:r>
          </w:p>
        </w:tc>
        <w:tc>
          <w:tcPr>
            <w:tcW w:w="1313"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snapToGrid w:val="0"/>
              <w:jc w:val="center"/>
              <w:rPr>
                <w:rFonts w:hint="eastAsia" w:ascii="仿宋" w:eastAsia="仿宋" w:cs="仿宋"/>
                <w:b/>
                <w:kern w:val="0"/>
                <w:sz w:val="24"/>
                <w:szCs w:val="32"/>
              </w:rPr>
            </w:pPr>
            <w:r>
              <w:rPr>
                <w:rFonts w:hint="eastAsia" w:ascii="仿宋" w:eastAsia="仿宋" w:cs="仿宋"/>
                <w:b/>
                <w:kern w:val="0"/>
                <w:sz w:val="24"/>
                <w:szCs w:val="32"/>
              </w:rPr>
              <w:t>项目</w:t>
            </w:r>
          </w:p>
        </w:tc>
        <w:tc>
          <w:tcPr>
            <w:tcW w:w="6727"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snapToGrid w:val="0"/>
              <w:jc w:val="center"/>
              <w:rPr>
                <w:rFonts w:hint="eastAsia" w:ascii="仿宋" w:eastAsia="仿宋" w:cs="仿宋"/>
                <w:b/>
                <w:kern w:val="0"/>
                <w:sz w:val="24"/>
                <w:szCs w:val="32"/>
              </w:rPr>
            </w:pPr>
            <w:r>
              <w:rPr>
                <w:rFonts w:hint="eastAsia" w:ascii="仿宋" w:eastAsia="仿宋" w:cs="仿宋"/>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32"/>
              </w:rPr>
              <w:t>1</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资金管理</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32"/>
              </w:rPr>
              <w:t>2</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资金使用</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资金的拨付有完整的审批程序和手续及符合项目预算批复或合同规定的用途；</w:t>
            </w:r>
            <w:r>
              <w:rPr>
                <w:rFonts w:hint="eastAsia" w:ascii="仿宋" w:eastAsia="仿宋" w:cs="仿宋"/>
                <w:kern w:val="0"/>
                <w:sz w:val="24"/>
                <w:szCs w:val="28"/>
                <w:lang w:val="en-US" w:eastAsia="zh-CN"/>
              </w:rPr>
              <w:t>不</w:t>
            </w:r>
            <w:r>
              <w:rPr>
                <w:rFonts w:hint="eastAsia" w:ascii="仿宋" w:eastAsia="仿宋" w:cs="仿宋"/>
                <w:kern w:val="0"/>
                <w:sz w:val="24"/>
                <w:szCs w:val="28"/>
              </w:rPr>
              <w:t>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3</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财务监控</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4</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项目管理</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5</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项目执行</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遵守相关法律法规和业务管理规定，项目调整及支出调整手续完备。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6</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项目质量</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已制定或其有相应的项目质量要求或标准，采取了相应的项目质量检查、验收等必需的控制措施或手段。</w:t>
            </w:r>
          </w:p>
        </w:tc>
      </w:tr>
    </w:tbl>
    <w:p>
      <w:pPr>
        <w:spacing w:line="500" w:lineRule="exact"/>
        <w:ind w:firstLine="562" w:firstLineChars="200"/>
        <w:jc w:val="left"/>
        <w:rPr>
          <w:rFonts w:hint="eastAsia" w:ascii="仿宋" w:eastAsia="仿宋" w:cs="仿宋"/>
          <w:b/>
          <w:kern w:val="0"/>
          <w:sz w:val="28"/>
          <w:szCs w:val="32"/>
        </w:rPr>
      </w:pPr>
      <w:r>
        <w:rPr>
          <w:rFonts w:hint="eastAsia" w:ascii="仿宋" w:eastAsia="仿宋" w:cs="仿宋"/>
          <w:b/>
          <w:kern w:val="0"/>
          <w:sz w:val="28"/>
          <w:szCs w:val="32"/>
        </w:rPr>
        <w:t>3、合规性检查方法</w:t>
      </w:r>
    </w:p>
    <w:p>
      <w:pPr>
        <w:spacing w:line="500" w:lineRule="exact"/>
        <w:ind w:firstLine="560" w:firstLineChars="200"/>
        <w:rPr>
          <w:rFonts w:hint="eastAsia" w:ascii="仿宋" w:eastAsia="仿宋" w:cs="仿宋"/>
          <w:kern w:val="0"/>
          <w:sz w:val="28"/>
          <w:szCs w:val="32"/>
        </w:rPr>
      </w:pPr>
      <w:r>
        <w:rPr>
          <w:rFonts w:hint="eastAsia" w:ascii="仿宋" w:eastAsia="仿宋" w:cs="仿宋"/>
          <w:kern w:val="0"/>
          <w:sz w:val="28"/>
          <w:szCs w:val="32"/>
        </w:rPr>
        <w:t>本次合规性检查通过现场核查的方式开展，现场核实核查对象提供的资料。</w:t>
      </w:r>
    </w:p>
    <w:p>
      <w:pPr>
        <w:keepNext w:val="0"/>
        <w:keepLines w:val="0"/>
        <w:pageBreakBefore w:val="0"/>
        <w:widowControl w:val="0"/>
        <w:tabs>
          <w:tab w:val="left" w:pos="3495"/>
        </w:tabs>
        <w:kinsoku/>
        <w:wordWrap/>
        <w:overflowPunct/>
        <w:topLinePunct w:val="0"/>
        <w:autoSpaceDE/>
        <w:autoSpaceDN/>
        <w:bidi w:val="0"/>
        <w:adjustRightInd/>
        <w:snapToGrid/>
        <w:ind w:firstLine="560" w:firstLineChars="200"/>
        <w:jc w:val="left"/>
        <w:textAlignment w:val="auto"/>
        <w:outlineLvl w:val="9"/>
        <w:rPr>
          <w:rFonts w:hint="eastAsia" w:ascii="仿宋" w:eastAsia="仿宋" w:cs="仿宋"/>
          <w:kern w:val="0"/>
          <w:sz w:val="28"/>
          <w:szCs w:val="32"/>
          <w:lang w:eastAsia="zh-CN"/>
        </w:rPr>
        <w:sectPr>
          <w:pgSz w:w="11906" w:h="16838"/>
          <w:pgMar w:top="1440" w:right="1797" w:bottom="1440" w:left="1797" w:header="851" w:footer="992" w:gutter="0"/>
          <w:cols w:space="720" w:num="1"/>
          <w:docGrid w:type="lines" w:linePitch="312" w:charSpace="0"/>
        </w:sectPr>
      </w:pPr>
      <w:r>
        <w:rPr>
          <w:rFonts w:hint="eastAsia" w:ascii="仿宋" w:eastAsia="仿宋" w:cs="仿宋"/>
          <w:kern w:val="0"/>
          <w:sz w:val="28"/>
          <w:szCs w:val="32"/>
        </w:rPr>
        <w:t>合规性具体检查内容见附表4-2所示</w:t>
      </w:r>
      <w:r>
        <w:rPr>
          <w:rFonts w:hint="eastAsia" w:ascii="仿宋" w:eastAsia="仿宋" w:cs="仿宋"/>
          <w:kern w:val="0"/>
          <w:sz w:val="28"/>
          <w:szCs w:val="32"/>
          <w:lang w:eastAsia="zh-CN"/>
        </w:rPr>
        <w:t>。</w:t>
      </w:r>
    </w:p>
    <w:p>
      <w:pPr>
        <w:spacing w:before="156" w:beforeLines="50" w:after="156" w:afterLines="50" w:line="50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附表</w:t>
      </w:r>
      <w:r>
        <w:rPr>
          <w:rFonts w:hint="eastAsia" w:ascii="Times New Roman" w:hAnsi="Times New Roman" w:eastAsia="仿宋" w:cs="Times New Roman"/>
          <w:b/>
          <w:sz w:val="28"/>
          <w:szCs w:val="28"/>
        </w:rPr>
        <w:t>4</w:t>
      </w:r>
      <w:r>
        <w:rPr>
          <w:rFonts w:ascii="Times New Roman" w:hAnsi="Times New Roman" w:eastAsia="仿宋" w:cs="Times New Roman"/>
          <w:b/>
          <w:sz w:val="28"/>
          <w:szCs w:val="28"/>
        </w:rPr>
        <w:t xml:space="preserve">-2  </w:t>
      </w:r>
      <w:r>
        <w:rPr>
          <w:rFonts w:hint="eastAsia" w:ascii="Times New Roman" w:hAnsi="Times New Roman" w:eastAsia="仿宋" w:cs="Times New Roman"/>
          <w:b/>
          <w:sz w:val="28"/>
          <w:szCs w:val="28"/>
        </w:rPr>
        <w:t>项目</w:t>
      </w:r>
      <w:r>
        <w:rPr>
          <w:rFonts w:ascii="Times New Roman" w:hAnsi="Times New Roman" w:eastAsia="仿宋" w:cs="Times New Roman"/>
          <w:b/>
          <w:sz w:val="28"/>
          <w:szCs w:val="28"/>
        </w:rPr>
        <w:t>资金绩效评价合规性检查表</w:t>
      </w:r>
    </w:p>
    <w:tbl>
      <w:tblPr>
        <w:tblStyle w:val="19"/>
        <w:tblW w:w="1197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2"/>
        <w:gridCol w:w="5182"/>
        <w:gridCol w:w="2529"/>
        <w:gridCol w:w="1740"/>
        <w:gridCol w:w="12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tblHeader/>
          <w:jc w:val="center"/>
        </w:trPr>
        <w:tc>
          <w:tcPr>
            <w:tcW w:w="1262"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5182"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529"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740"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1264"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项目资金的申请资料（项目经费调整申请及批复）</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是否有资金申请报告、资金调整情况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资金核算科目的会计账页、支付凭证、资金支出明细、重大项目开支的审批资料</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资金管理制度或相关财务管理办法等</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62"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5"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0"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未提供自评报告</w:t>
            </w:r>
          </w:p>
        </w:tc>
      </w:tr>
    </w:tbl>
    <w:p>
      <w:pPr>
        <w:pStyle w:val="2"/>
        <w:rPr>
          <w:lang w:val="en-US" w:eastAsia="zh-CN"/>
        </w:rPr>
      </w:pPr>
    </w:p>
    <w:sectPr>
      <w:footerReference r:id="rId10" w:type="default"/>
      <w:pgSz w:w="16838" w:h="11906" w:orient="landscape"/>
      <w:pgMar w:top="1797" w:right="1440" w:bottom="1797"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DejaVu Sans"/>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DejaVu Sans"/>
    <w:panose1 w:val="020B0606020202030204"/>
    <w:charset w:val="00"/>
    <w:family w:val="swiss"/>
    <w:pitch w:val="default"/>
    <w:sig w:usb0="00000000"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3665" distR="113665" simplePos="0" relativeHeight="1024" behindDoc="0" locked="0" layoutInCell="1" allowOverlap="1">
              <wp:simplePos x="0" y="0"/>
              <wp:positionH relativeFrom="margin">
                <wp:align>center</wp:align>
              </wp:positionH>
              <wp:positionV relativeFrom="paragraph">
                <wp:posOffset>0</wp:posOffset>
              </wp:positionV>
              <wp:extent cx="57150" cy="131445"/>
              <wp:effectExtent l="0" t="0" r="0" b="0"/>
              <wp:wrapNone/>
              <wp:docPr id="1" name="文本框 3"/>
              <wp:cNvGraphicFramePr/>
              <a:graphic xmlns:a="http://schemas.openxmlformats.org/drawingml/2006/main">
                <a:graphicData uri="http://schemas.microsoft.com/office/word/2010/wordprocessingShape">
                  <wps:wsp>
                    <wps:cNvSpPr/>
                    <wps:spPr>
                      <a:xfrm>
                        <a:off x="0" y="0"/>
                        <a:ext cx="57150" cy="131559"/>
                      </a:xfrm>
                      <a:prstGeom prst="rect">
                        <a:avLst/>
                      </a:prstGeom>
                      <a:noFill/>
                      <a:ln w="6350" cap="flat" cmpd="sng">
                        <a:noFill/>
                        <a:prstDash val="solid"/>
                        <a:round/>
                      </a:ln>
                    </wps:spPr>
                    <wps:txbx>
                      <w:txbxContent>
                        <w:p>
                          <w:pPr>
                            <w:pStyle w:val="12"/>
                          </w:pPr>
                          <w:r>
                            <w:fldChar w:fldCharType="begin"/>
                          </w:r>
                          <w:r>
                            <w:instrText xml:space="preserve"> PAGE  \* MERGEFORMAT </w:instrText>
                          </w:r>
                          <w:r>
                            <w:fldChar w:fldCharType="separate"/>
                          </w:r>
                          <w:r>
                            <w:t>1</w:t>
                          </w:r>
                          <w:r>
                            <w:fldChar w:fldCharType="end"/>
                          </w:r>
                        </w:p>
                      </w:txbxContent>
                    </wps:txbx>
                    <wps:bodyPr vert="horz" wrap="none" lIns="0" tIns="0" rIns="0" bIns="0" anchor="t" anchorCtr="false" upright="false">
                      <a:spAutoFit/>
                    </wps:bodyPr>
                  </wps:wsp>
                </a:graphicData>
              </a:graphic>
            </wp:anchor>
          </w:drawing>
        </mc:Choice>
        <mc:Fallback>
          <w:pict>
            <v:rect id="文本框 3" o:spid="_x0000_s1026" o:spt="1" style="position:absolute;left:0pt;margin-top:0pt;height:10.35pt;width:4.5pt;mso-position-horizontal:center;mso-position-horizontal-relative:margin;mso-wrap-style:none;z-index:1024;mso-width-relative:page;mso-height-relative:page;" filled="f" stroked="f" coordsize="21600,21600" o:gfxdata="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Iypi/PVAAAAAgEAAA8AAAAAAAAAAQAgAAAAOAAAAGRycy9kb3ducmV2&#10;LnhtbFBLAQIUABQAAAAIAIdO4kCrgPNJ6QEAAK0DAAAOAAAAAAAAAAEAIAAAADoBAABkcnMvZTJv&#10;RG9jLnhtbFBLBQYAAAAABgAGAFkBAACVBQAAAAA=&#10;">
              <v:fill on="f" focussize="0,0"/>
              <v:stroke on="f" weight="0.5pt" joinstyle="round"/>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rect>
          </w:pict>
        </mc:Fallback>
      </mc:AlternateContent>
    </w:r>
  </w:p>
  <w:p>
    <w:pPr>
      <w:pStyle w:val="12"/>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3665" distR="113665" simplePos="0" relativeHeight="1024" behindDoc="0" locked="0" layoutInCell="1" allowOverlap="1">
              <wp:simplePos x="0" y="0"/>
              <wp:positionH relativeFrom="margin">
                <wp:align>center</wp:align>
              </wp:positionH>
              <wp:positionV relativeFrom="paragraph">
                <wp:posOffset>0</wp:posOffset>
              </wp:positionV>
              <wp:extent cx="114300" cy="131445"/>
              <wp:effectExtent l="0" t="0" r="0" b="0"/>
              <wp:wrapNone/>
              <wp:docPr id="4" name="文本框 4"/>
              <wp:cNvGraphicFramePr/>
              <a:graphic xmlns:a="http://schemas.openxmlformats.org/drawingml/2006/main">
                <a:graphicData uri="http://schemas.microsoft.com/office/word/2010/wordprocessingShape">
                  <wps:wsp>
                    <wps:cNvSpPr/>
                    <wps:spPr>
                      <a:xfrm>
                        <a:off x="0" y="0"/>
                        <a:ext cx="114300" cy="131559"/>
                      </a:xfrm>
                      <a:prstGeom prst="rect">
                        <a:avLst/>
                      </a:prstGeom>
                      <a:noFill/>
                      <a:ln w="6350" cap="flat" cmpd="sng">
                        <a:noFill/>
                        <a:prstDash val="solid"/>
                        <a:round/>
                      </a:ln>
                    </wps:spPr>
                    <wps:txbx>
                      <w:txbxContent>
                        <w:p>
                          <w:pPr>
                            <w:pStyle w:val="12"/>
                          </w:pPr>
                          <w:r>
                            <w:fldChar w:fldCharType="begin"/>
                          </w:r>
                          <w:r>
                            <w:instrText xml:space="preserve"> PAGE  \* MERGEFORMAT </w:instrText>
                          </w:r>
                          <w:r>
                            <w:fldChar w:fldCharType="separate"/>
                          </w:r>
                          <w:r>
                            <w:t>39</w:t>
                          </w:r>
                          <w:r>
                            <w:fldChar w:fldCharType="end"/>
                          </w:r>
                        </w:p>
                      </w:txbxContent>
                    </wps:txbx>
                    <wps:bodyPr vert="horz" wrap="none" lIns="0" tIns="0" rIns="0" bIns="0" anchor="t" anchorCtr="false" upright="false">
                      <a:spAutoFit/>
                    </wps:bodyPr>
                  </wps:wsp>
                </a:graphicData>
              </a:graphic>
            </wp:anchor>
          </w:drawing>
        </mc:Choice>
        <mc:Fallback>
          <w:pict>
            <v:rect id="文本框 4" o:spid="_x0000_s1026" o:spt="1" style="position:absolute;left:0pt;margin-top:0pt;height:10.35pt;width:9pt;mso-position-horizontal:center;mso-position-horizontal-relative:margin;mso-wrap-style:none;z-index:1024;mso-width-relative:page;mso-height-relative:page;" filled="f" stroked="f" coordsize="21600,21600" o:gfxdata="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F0UlydUAAAADAQAADwAAAAAAAAABACAAAAA4AAAAZHJzL2Rvd25y&#10;ZXYueG1sUEsBAhQAFAAAAAgAh07iQOqVs33rAQAArgMAAA4AAAAAAAAAAQAgAAAAOgEAAGRycy9l&#10;Mm9Eb2MueG1sUEsFBgAAAAAGAAYAWQEAAJcFAAAAAA==&#10;">
              <v:fill on="f" focussize="0,0"/>
              <v:stroke on="f" weight="0.5pt" joinstyle="round"/>
              <v:imagedata o:title=""/>
              <o:lock v:ext="edit" aspectratio="f"/>
              <v:textbox inset="0mm,0mm,0mm,0mm" style="mso-fit-shape-to-text:t;">
                <w:txbxContent>
                  <w:p>
                    <w:pPr>
                      <w:pStyle w:val="12"/>
                    </w:pPr>
                    <w:r>
                      <w:fldChar w:fldCharType="begin"/>
                    </w:r>
                    <w:r>
                      <w:instrText xml:space="preserve"> PAGE  \* MERGEFORMAT </w:instrText>
                    </w:r>
                    <w:r>
                      <w:fldChar w:fldCharType="separate"/>
                    </w:r>
                    <w:r>
                      <w:t>39</w:t>
                    </w:r>
                    <w:r>
                      <w:fldChar w:fldCharType="end"/>
                    </w:r>
                  </w:p>
                </w:txbxContent>
              </v:textbox>
            </v:rect>
          </w:pict>
        </mc:Fallback>
      </mc:AlternateContent>
    </w:r>
  </w:p>
  <w:p>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3665" distR="113665" simplePos="0" relativeHeight="1024" behindDoc="0" locked="0" layoutInCell="1" allowOverlap="1">
              <wp:simplePos x="0" y="0"/>
              <wp:positionH relativeFrom="margin">
                <wp:align>center</wp:align>
              </wp:positionH>
              <wp:positionV relativeFrom="paragraph">
                <wp:posOffset>0</wp:posOffset>
              </wp:positionV>
              <wp:extent cx="114300" cy="131445"/>
              <wp:effectExtent l="0" t="0" r="0" b="0"/>
              <wp:wrapNone/>
              <wp:docPr id="7" name="文本框 5"/>
              <wp:cNvGraphicFramePr/>
              <a:graphic xmlns:a="http://schemas.openxmlformats.org/drawingml/2006/main">
                <a:graphicData uri="http://schemas.microsoft.com/office/word/2010/wordprocessingShape">
                  <wps:wsp>
                    <wps:cNvSpPr/>
                    <wps:spPr>
                      <a:xfrm>
                        <a:off x="0" y="0"/>
                        <a:ext cx="114300" cy="131559"/>
                      </a:xfrm>
                      <a:prstGeom prst="rect">
                        <a:avLst/>
                      </a:prstGeom>
                      <a:noFill/>
                      <a:ln w="6350" cap="flat" cmpd="sng">
                        <a:noFill/>
                        <a:prstDash val="solid"/>
                        <a:round/>
                      </a:ln>
                    </wps:spPr>
                    <wps:txbx>
                      <w:txbxContent>
                        <w:p>
                          <w:pPr>
                            <w:pStyle w:val="12"/>
                          </w:pPr>
                          <w:r>
                            <w:fldChar w:fldCharType="begin"/>
                          </w:r>
                          <w:r>
                            <w:instrText xml:space="preserve"> PAGE  \* MERGEFORMAT </w:instrText>
                          </w:r>
                          <w:r>
                            <w:fldChar w:fldCharType="separate"/>
                          </w:r>
                          <w:r>
                            <w:t>46</w:t>
                          </w:r>
                          <w:r>
                            <w:fldChar w:fldCharType="end"/>
                          </w:r>
                        </w:p>
                      </w:txbxContent>
                    </wps:txbx>
                    <wps:bodyPr vert="horz" wrap="none" lIns="0" tIns="0" rIns="0" bIns="0" anchor="t" anchorCtr="false" upright="false">
                      <a:spAutoFit/>
                    </wps:bodyPr>
                  </wps:wsp>
                </a:graphicData>
              </a:graphic>
            </wp:anchor>
          </w:drawing>
        </mc:Choice>
        <mc:Fallback>
          <w:pict>
            <v:rect id="文本框 5" o:spid="_x0000_s1026" o:spt="1" style="position:absolute;left:0pt;margin-top:0pt;height:10.35pt;width:9pt;mso-position-horizontal:center;mso-position-horizontal-relative:margin;mso-wrap-style:none;z-index:1024;mso-width-relative:page;mso-height-relative:page;" filled="f" stroked="f" coordsize="21600,21600" o:gfxdata="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F0UlydUAAAADAQAADwAAAAAAAAABACAAAAA4AAAAZHJzL2Rvd25y&#10;ZXYueG1sUEsBAhQAFAAAAAgAh07iQE8MuFXrAQAArgMAAA4AAAAAAAAAAQAgAAAAOgEAAGRycy9l&#10;Mm9Eb2MueG1sUEsFBgAAAAAGAAYAWQEAAJcFAAAAAA==&#10;">
              <v:fill on="f" focussize="0,0"/>
              <v:stroke on="f" weight="0.5pt" joinstyle="round"/>
              <v:imagedata o:title=""/>
              <o:lock v:ext="edit" aspectratio="f"/>
              <v:textbox inset="0mm,0mm,0mm,0mm" style="mso-fit-shape-to-text:t;">
                <w:txbxContent>
                  <w:p>
                    <w:pPr>
                      <w:pStyle w:val="12"/>
                    </w:pPr>
                    <w:r>
                      <w:fldChar w:fldCharType="begin"/>
                    </w:r>
                    <w:r>
                      <w:instrText xml:space="preserve"> PAGE  \* MERGEFORMAT </w:instrText>
                    </w:r>
                    <w:r>
                      <w:fldChar w:fldCharType="separate"/>
                    </w:r>
                    <w:r>
                      <w:t>46</w:t>
                    </w:r>
                    <w:r>
                      <w:fldChar w:fldCharType="end"/>
                    </w:r>
                  </w:p>
                </w:txbxContent>
              </v:textbox>
            </v:rect>
          </w:pict>
        </mc:Fallback>
      </mc:AlternateContent>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rPr>
        <w:rFonts w:ascii="仿宋_GB2312"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12" w:space="0"/>
      </w:pBdr>
      <w:jc w:val="center"/>
      <w:rPr>
        <w:rFonts w:hint="eastAsia" w:ascii="仿宋" w:eastAsia="仿宋" w:cs="仿宋"/>
        <w:b w:val="0"/>
        <w:bCs/>
      </w:rPr>
    </w:pPr>
    <w:r>
      <w:rPr>
        <w:rFonts w:hint="eastAsia" w:ascii="仿宋" w:eastAsia="仿宋" w:cs="仿宋"/>
        <w:b w:val="0"/>
        <w:bCs/>
        <w:szCs w:val="18"/>
        <w:lang w:eastAsia="zh-CN"/>
      </w:rPr>
      <w:t>城市中心公园建设项目</w:t>
    </w:r>
    <w:r>
      <w:rPr>
        <w:rFonts w:hint="eastAsia" w:ascii="仿宋" w:eastAsia="仿宋" w:cs="仿宋"/>
        <w:b w:val="0"/>
        <w:bCs/>
        <w:lang w:eastAsia="zh-CN"/>
      </w:rPr>
      <w:t>支出绩效评价</w:t>
    </w:r>
    <w:r>
      <w:rPr>
        <w:rFonts w:hint="eastAsia" w:ascii="仿宋" w:eastAsia="仿宋" w:cs="仿宋"/>
        <w:b w:val="0"/>
        <w:bCs/>
      </w:rPr>
      <w:t>报告</w:t>
    </w:r>
  </w:p>
  <w:p>
    <w:pPr>
      <w:pStyle w:val="13"/>
      <w:pBdr>
        <w:bottom w:val="none" w:color="auto" w:sz="0" w:space="0"/>
      </w:pBdr>
      <w:rPr>
        <w:rFonts w:ascii="仿宋_GB2312" w:eastAsia="仿宋_GB23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12" w:space="0"/>
      </w:pBdr>
      <w:jc w:val="center"/>
      <w:rPr>
        <w:rFonts w:ascii="仿宋_GB2312" w:eastAsia="仿宋_GB2312"/>
      </w:rPr>
    </w:pPr>
    <w:r>
      <w:rPr>
        <w:rFonts w:hint="eastAsia" w:ascii="仿宋_GB2312" w:eastAsia="仿宋_GB2312"/>
        <w:lang w:eastAsia="zh-CN"/>
      </w:rPr>
      <w:t>城市中心公园建设项目经费支出绩效评价</w:t>
    </w:r>
    <w:r>
      <w:rPr>
        <w:rFonts w:hint="eastAsia" w:ascii="仿宋_GB2312" w:eastAsia="仿宋_GB2312"/>
      </w:rPr>
      <w:t>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dit="readOnly" w:enforcement="0"/>
  <w:defaultTabStop w:val="420"/>
  <w:drawingGridHorizontalSpacing w:val="105"/>
  <w:drawingGridVerticalSpacing w:val="158"/>
  <w:displayHorizontalDrawingGridEvery w:val="1"/>
  <w:displayVerticalDrawingGridEvery w:val="2"/>
  <w:noPunctuationKerning w:val="true"/>
  <w:characterSpacingControl w:val="compressPunctuation"/>
  <w:noLineBreaksAfter w:lang="zh-CN" w:val="$([{£¥·‘“〈《「『【〔〖〝﹙﹛﹝＄（．［｛￡￥"/>
  <w:noLineBreaksBefore w:lang="zh-CN" w:val="!%),.:;&gt;?]}¢¨°·ˇˉ―‖’”…‰′″›℃∶、。〃〉》」』】〕〗〞︶︺︾﹀﹄﹚﹜﹞！＂％＇），．：；？］｀｜｝～￠"/>
  <w:compat>
    <w:spaceForUL/>
    <w:balanceSingleByteDoubleByteWidth/>
    <w:ulTrailSpace/>
    <w:doNotExpandShiftReturn/>
    <w:adjustLineHeightInTable/>
    <w:useFELayout/>
    <w:compatSetting w:name="compatibilityMode" w:uri="http://schemas.microsoft.com/office/word" w:val="14"/>
  </w:compat>
  <w:docVars>
    <w:docVar w:name="commondata" w:val="eyJoZGlkIjoiNmQwYzlhYmVjYmUyMjYzYTI1ZjVhMWE5OTYzZmVlMmIifQ=="/>
  </w:docVars>
  <w:rsids>
    <w:rsidRoot w:val="00000000"/>
    <w:rsid w:val="FFDB04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widowControl w:val="0"/>
      <w:spacing w:before="340" w:after="330" w:line="578" w:lineRule="auto"/>
      <w:outlineLvl w:val="0"/>
    </w:pPr>
    <w:rPr>
      <w:b/>
      <w:bCs/>
      <w:kern w:val="44"/>
      <w:sz w:val="44"/>
      <w:szCs w:val="44"/>
    </w:rPr>
  </w:style>
  <w:style w:type="paragraph" w:styleId="4">
    <w:name w:val="heading 2"/>
    <w:basedOn w:val="1"/>
    <w:next w:val="1"/>
    <w:qFormat/>
    <w:uiPriority w:val="0"/>
    <w:pPr>
      <w:keepNext/>
      <w:keepLines/>
      <w:widowControl w:val="0"/>
      <w:spacing w:before="260" w:after="260" w:line="415" w:lineRule="auto"/>
      <w:outlineLvl w:val="1"/>
    </w:pPr>
    <w:rPr>
      <w:rFonts w:ascii="Cambria" w:hAnsi="Cambria"/>
      <w:b/>
      <w:bCs/>
      <w:sz w:val="32"/>
      <w:szCs w:val="32"/>
    </w:rPr>
  </w:style>
  <w:style w:type="paragraph" w:styleId="5">
    <w:name w:val="heading 3"/>
    <w:basedOn w:val="1"/>
    <w:next w:val="1"/>
    <w:qFormat/>
    <w:uiPriority w:val="0"/>
    <w:pPr>
      <w:keepNext/>
      <w:keepLines/>
      <w:widowControl w:val="0"/>
      <w:spacing w:before="260" w:after="260" w:line="415" w:lineRule="auto"/>
      <w:outlineLvl w:val="2"/>
    </w:pPr>
    <w:rPr>
      <w:rFonts w:ascii="Times New Roman" w:hAnsi="Times New Roman"/>
      <w:b/>
      <w:bCs/>
      <w:kern w:val="0"/>
      <w:sz w:val="32"/>
      <w:szCs w:val="32"/>
    </w:rPr>
  </w:style>
  <w:style w:type="character" w:default="1" w:styleId="20">
    <w:name w:val="Default Paragraph Font"/>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206"/>
      <w:jc w:val="left"/>
    </w:pPr>
    <w:rPr>
      <w:rFonts w:ascii="宋体"/>
      <w:kern w:val="0"/>
      <w:sz w:val="18"/>
      <w:szCs w:val="18"/>
    </w:rPr>
  </w:style>
  <w:style w:type="paragraph" w:styleId="6">
    <w:name w:val="Document Map"/>
    <w:basedOn w:val="1"/>
    <w:qFormat/>
    <w:uiPriority w:val="0"/>
    <w:rPr>
      <w:rFonts w:ascii="宋体"/>
      <w:sz w:val="18"/>
      <w:szCs w:val="18"/>
    </w:rPr>
  </w:style>
  <w:style w:type="paragraph" w:styleId="7">
    <w:name w:val="annotation text"/>
    <w:basedOn w:val="1"/>
    <w:qFormat/>
    <w:uiPriority w:val="0"/>
    <w:pPr>
      <w:jc w:val="left"/>
    </w:pPr>
    <w:rPr>
      <w:kern w:val="0"/>
      <w:sz w:val="24"/>
    </w:rPr>
  </w:style>
  <w:style w:type="paragraph" w:styleId="8">
    <w:name w:val="toc 3"/>
    <w:basedOn w:val="1"/>
    <w:next w:val="1"/>
    <w:qFormat/>
    <w:uiPriority w:val="0"/>
    <w:pPr>
      <w:widowControl/>
      <w:spacing w:after="100" w:line="276" w:lineRule="auto"/>
      <w:ind w:left="440"/>
      <w:jc w:val="left"/>
    </w:pPr>
    <w:rPr>
      <w:kern w:val="0"/>
      <w:sz w:val="22"/>
      <w:szCs w:val="22"/>
    </w:rPr>
  </w:style>
  <w:style w:type="paragraph" w:styleId="9">
    <w:name w:val="Plain Text"/>
    <w:basedOn w:val="1"/>
    <w:qFormat/>
    <w:uiPriority w:val="0"/>
    <w:rPr>
      <w:rFonts w:ascii="宋体"/>
      <w:kern w:val="0"/>
      <w:szCs w:val="21"/>
    </w:rPr>
  </w:style>
  <w:style w:type="paragraph" w:styleId="10">
    <w:name w:val="Date"/>
    <w:basedOn w:val="1"/>
    <w:next w:val="1"/>
    <w:qFormat/>
    <w:uiPriority w:val="0"/>
    <w:pPr>
      <w:ind w:left="2500" w:leftChars="2500"/>
    </w:pPr>
    <w:rPr>
      <w:szCs w:val="22"/>
    </w:rPr>
  </w:style>
  <w:style w:type="paragraph" w:styleId="11">
    <w:name w:val="Balloon Text"/>
    <w:basedOn w:val="1"/>
    <w:qFormat/>
    <w:uiPriority w:val="0"/>
    <w:rPr>
      <w:kern w:val="0"/>
      <w:sz w:val="18"/>
      <w:szCs w:val="18"/>
    </w:rPr>
  </w:style>
  <w:style w:type="paragraph" w:styleId="12">
    <w:name w:val="footer"/>
    <w:basedOn w:val="1"/>
    <w:qFormat/>
    <w:uiPriority w:val="0"/>
    <w:pPr>
      <w:tabs>
        <w:tab w:val="center" w:pos="4153"/>
        <w:tab w:val="right" w:pos="8306"/>
      </w:tabs>
      <w:snapToGrid w:val="0"/>
      <w:jc w:val="left"/>
    </w:pPr>
    <w:rPr>
      <w:kern w:val="0"/>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14">
    <w:name w:val="toc 1"/>
    <w:basedOn w:val="1"/>
    <w:next w:val="1"/>
    <w:qFormat/>
    <w:uiPriority w:val="0"/>
    <w:pPr>
      <w:widowControl/>
      <w:spacing w:after="100" w:line="276" w:lineRule="auto"/>
      <w:jc w:val="left"/>
    </w:pPr>
    <w:rPr>
      <w:kern w:val="0"/>
      <w:sz w:val="22"/>
      <w:szCs w:val="22"/>
    </w:rPr>
  </w:style>
  <w:style w:type="paragraph" w:styleId="15">
    <w:name w:val="toc 2"/>
    <w:basedOn w:val="1"/>
    <w:next w:val="1"/>
    <w:qFormat/>
    <w:uiPriority w:val="0"/>
    <w:pPr>
      <w:widowControl/>
      <w:spacing w:after="100" w:line="276" w:lineRule="auto"/>
      <w:ind w:left="220"/>
      <w:jc w:val="left"/>
    </w:pPr>
    <w:rPr>
      <w:kern w:val="0"/>
      <w:sz w:val="22"/>
      <w:szCs w:val="22"/>
    </w:rPr>
  </w:style>
  <w:style w:type="paragraph" w:styleId="16">
    <w:name w:val="Normal (Web)"/>
    <w:basedOn w:val="1"/>
    <w:qFormat/>
    <w:uiPriority w:val="0"/>
    <w:pPr>
      <w:jc w:val="left"/>
    </w:pPr>
    <w:rPr>
      <w:kern w:val="0"/>
      <w:sz w:val="24"/>
      <w:szCs w:val="22"/>
    </w:rPr>
  </w:style>
  <w:style w:type="paragraph" w:styleId="17">
    <w:name w:val="Title"/>
    <w:basedOn w:val="1"/>
    <w:next w:val="1"/>
    <w:qFormat/>
    <w:uiPriority w:val="0"/>
    <w:pPr>
      <w:spacing w:line="360" w:lineRule="auto"/>
      <w:outlineLvl w:val="0"/>
    </w:pPr>
    <w:rPr>
      <w:rFonts w:ascii="Times New Roman" w:hAnsi="Times New Roman" w:eastAsia="黑体"/>
      <w:bCs/>
      <w:kern w:val="0"/>
      <w:sz w:val="32"/>
      <w:szCs w:val="32"/>
    </w:rPr>
  </w:style>
  <w:style w:type="paragraph" w:styleId="18">
    <w:name w:val="annotation subject"/>
    <w:basedOn w:val="7"/>
    <w:next w:val="7"/>
    <w:qFormat/>
    <w:uiPriority w:val="0"/>
    <w:rPr>
      <w:b/>
      <w:bCs/>
    </w:rPr>
  </w:style>
  <w:style w:type="character" w:styleId="21">
    <w:name w:val="Hyperlink"/>
    <w:qFormat/>
    <w:uiPriority w:val="0"/>
    <w:rPr>
      <w:rFonts w:cs="Times New Roman"/>
      <w:color w:val="0000FF"/>
      <w:u w:val="single"/>
    </w:rPr>
  </w:style>
  <w:style w:type="character" w:styleId="22">
    <w:name w:val="annotation reference"/>
    <w:qFormat/>
    <w:uiPriority w:val="0"/>
    <w:rPr>
      <w:rFonts w:cs="Times New Roman"/>
      <w:sz w:val="21"/>
      <w:szCs w:val="21"/>
    </w:rPr>
  </w:style>
  <w:style w:type="character" w:customStyle="1" w:styleId="23">
    <w:name w:val="标题 Char"/>
    <w:qFormat/>
    <w:uiPriority w:val="0"/>
    <w:rPr>
      <w:rFonts w:ascii="Cambria" w:hAnsi="Cambria" w:eastAsia="宋体" w:cs="Times New Roman"/>
      <w:b/>
      <w:bCs/>
      <w:sz w:val="32"/>
      <w:szCs w:val="32"/>
    </w:rPr>
  </w:style>
  <w:style w:type="paragraph" w:customStyle="1" w:styleId="24">
    <w:name w:val="列出段落1"/>
    <w:basedOn w:val="1"/>
    <w:qFormat/>
    <w:uiPriority w:val="0"/>
    <w:pPr>
      <w:widowControl/>
      <w:spacing w:after="200" w:line="276" w:lineRule="auto"/>
      <w:ind w:firstLine="200" w:firstLineChars="200"/>
      <w:jc w:val="left"/>
    </w:pPr>
    <w:rPr>
      <w:rFonts w:ascii="Times New Roman" w:hAnsi="Times New Roman"/>
      <w:kern w:val="0"/>
      <w:sz w:val="28"/>
      <w:szCs w:val="22"/>
    </w:rPr>
  </w:style>
  <w:style w:type="character" w:customStyle="1" w:styleId="25">
    <w:name w:val="font01"/>
    <w:qFormat/>
    <w:uiPriority w:val="0"/>
    <w:rPr>
      <w:rFonts w:ascii="Symbol" w:hAnsi="Symbol" w:cs="Times New Roman"/>
      <w:color w:val="000000"/>
      <w:sz w:val="24"/>
      <w:szCs w:val="24"/>
      <w:u w:val="none"/>
    </w:rPr>
  </w:style>
  <w:style w:type="character" w:customStyle="1" w:styleId="26">
    <w:name w:val="font11"/>
    <w:qFormat/>
    <w:uiPriority w:val="0"/>
    <w:rPr>
      <w:rFonts w:ascii="仿宋" w:eastAsia="仿宋" w:cs="Times New Roman"/>
      <w:color w:val="000000"/>
      <w:sz w:val="24"/>
      <w:szCs w:val="24"/>
      <w:u w:val="none"/>
    </w:rPr>
  </w:style>
  <w:style w:type="character" w:customStyle="1" w:styleId="27">
    <w:name w:val="font31"/>
    <w:qFormat/>
    <w:uiPriority w:val="0"/>
    <w:rPr>
      <w:rFonts w:ascii="宋体" w:eastAsia="宋体" w:cs="Times New Roman"/>
      <w:color w:val="000000"/>
      <w:sz w:val="24"/>
      <w:szCs w:val="24"/>
      <w:u w:val="none"/>
    </w:rPr>
  </w:style>
  <w:style w:type="paragraph" w:customStyle="1" w:styleId="28">
    <w:name w:val="TOC 标题1"/>
    <w:basedOn w:val="3"/>
    <w:next w:val="1"/>
    <w:qFormat/>
    <w:uiPriority w:val="0"/>
    <w:pPr>
      <w:keepNext/>
      <w:keepLines/>
      <w:widowControl/>
      <w:spacing w:before="480" w:after="0" w:line="276" w:lineRule="auto"/>
      <w:jc w:val="left"/>
      <w:outlineLvl w:val="9"/>
    </w:pPr>
    <w:rPr>
      <w:rFonts w:ascii="Cambria" w:hAnsi="Cambria"/>
      <w:color w:val="365F91"/>
      <w:kern w:val="0"/>
      <w:sz w:val="28"/>
      <w:szCs w:val="28"/>
    </w:rPr>
  </w:style>
  <w:style w:type="paragraph" w:customStyle="1" w:styleId="29">
    <w:name w:val="正文1"/>
    <w:basedOn w:val="1"/>
    <w:qFormat/>
    <w:uiPriority w:val="0"/>
    <w:pPr>
      <w:widowControl/>
      <w:spacing w:after="200" w:line="480" w:lineRule="auto"/>
      <w:ind w:firstLine="200" w:firstLineChars="200"/>
      <w:jc w:val="left"/>
    </w:pPr>
    <w:rPr>
      <w:rFonts w:ascii="Times New Roman" w:hAnsi="Times New Roman" w:eastAsia="仿宋"/>
      <w:kern w:val="0"/>
      <w:sz w:val="28"/>
      <w:szCs w:val="22"/>
      <w:lang w:bidi="en-US"/>
    </w:rPr>
  </w:style>
  <w:style w:type="paragraph" w:customStyle="1" w:styleId="30">
    <w:name w:val="修订1"/>
    <w:qFormat/>
    <w:uiPriority w:val="0"/>
    <w:rPr>
      <w:rFonts w:ascii="Calibri" w:hAnsi="Calibri" w:eastAsia="宋体" w:cs="Times New Roman"/>
      <w:kern w:val="2"/>
      <w:sz w:val="21"/>
      <w:szCs w:val="24"/>
      <w:lang w:val="en-US" w:eastAsia="zh-CN" w:bidi="ar-SA"/>
    </w:rPr>
  </w:style>
  <w:style w:type="character" w:customStyle="1" w:styleId="31">
    <w:name w:val="font21"/>
    <w:basedOn w:val="20"/>
    <w:qFormat/>
    <w:uiPriority w:val="0"/>
    <w:rPr>
      <w:rFonts w:ascii="Arial Narrow" w:hAnsi="Arial Narrow"/>
      <w:color w:val="000000"/>
      <w:sz w:val="20"/>
      <w:szCs w:val="20"/>
      <w:u w:val="none"/>
    </w:rPr>
  </w:style>
  <w:style w:type="character" w:customStyle="1" w:styleId="32">
    <w:name w:val="font61"/>
    <w:basedOn w:val="20"/>
    <w:qFormat/>
    <w:uiPriority w:val="0"/>
    <w:rPr>
      <w:color w:val="000000"/>
      <w:sz w:val="20"/>
      <w:szCs w:val="20"/>
      <w:u w:val="none"/>
    </w:rPr>
  </w:style>
  <w:style w:type="paragraph" w:customStyle="1" w:styleId="33">
    <w:name w:val="样式1"/>
    <w:basedOn w:val="1"/>
    <w:qFormat/>
    <w:uiPriority w:val="0"/>
    <w:pPr>
      <w:tabs>
        <w:tab w:val="left" w:pos="630"/>
      </w:tabs>
      <w:ind w:firstLine="200" w:firstLineChars="200"/>
    </w:pPr>
    <w:rPr>
      <w:rFonts w:ascii="仿宋_GB2312" w:eastAsia="仿宋_GB2312" w:cs="黑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50</Pages>
  <Words>23421</Words>
  <Characters>26074</Characters>
  <Lines>1517</Lines>
  <Paragraphs>835</Paragraphs>
  <TotalTime>0</TotalTime>
  <ScaleCrop>false</ScaleCrop>
  <LinksUpToDate>false</LinksUpToDate>
  <CharactersWithSpaces>26126</CharactersWithSpaces>
  <Application>WPS Office_11.8.2.10195_F1E327BC-269C-435d-A152-05C5408002CA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2018-09-21T17:55:00Z</dcterms:created>
  <dc:creator>许志敏</dc:creator>
  <cp:lastModifiedBy>greatwall</cp:lastModifiedBy>
  <cp:lastPrinted>2021-03-13T20:09:00Z</cp:lastPrinted>
  <dcterms:modified xsi:type="dcterms:W3CDTF">2024-11-13T16:35:44Z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KSOSaveFontToCloudKey">
    <vt:lpwstr>447626480_btnclosed</vt:lpwstr>
  </property>
  <property fmtid="{D5CDD505-2E9C-101B-9397-08002B2CF9AE}" pid="4" name="ICV">
    <vt:lpwstr>399F92F62248495BA89C2F113E39F921</vt:lpwstr>
  </property>
</Properties>
</file>