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仿宋"/>
          <w:b/>
          <w:bCs/>
          <w:spacing w:val="20"/>
          <w:sz w:val="48"/>
          <w:szCs w:val="48"/>
        </w:rPr>
      </w:pPr>
      <w:bookmarkStart w:id="0" w:name="_Toc514537326"/>
      <w:bookmarkStart w:id="1" w:name="_Toc514537328"/>
    </w:p>
    <w:p>
      <w:pPr>
        <w:jc w:val="both"/>
        <w:rPr>
          <w:rFonts w:ascii="黑体" w:hAnsi="黑体" w:eastAsia="黑体" w:cs="仿宋"/>
          <w:b/>
          <w:bCs/>
          <w:spacing w:val="20"/>
          <w:sz w:val="48"/>
          <w:szCs w:val="48"/>
        </w:rPr>
      </w:pPr>
    </w:p>
    <w:p>
      <w:pPr>
        <w:spacing w:before="156" w:beforeLines="50" w:after="156" w:afterLines="50" w:line="574" w:lineRule="exact"/>
        <w:jc w:val="center"/>
        <w:rPr>
          <w:rFonts w:hint="default" w:ascii="Times New Roman" w:hAnsi="Times New Roman" w:eastAsia="仿宋" w:cs="Times New Roman"/>
          <w:b/>
          <w:bCs w:val="0"/>
          <w:kern w:val="0"/>
          <w:sz w:val="44"/>
          <w:szCs w:val="44"/>
          <w:lang w:eastAsia="zh-CN"/>
        </w:rPr>
      </w:pPr>
      <w:r>
        <w:rPr>
          <w:rFonts w:hint="eastAsia" w:ascii="Times New Roman" w:hAnsi="Times New Roman" w:eastAsia="仿宋" w:cs="Times New Roman"/>
          <w:b/>
          <w:bCs w:val="0"/>
          <w:kern w:val="0"/>
          <w:sz w:val="44"/>
          <w:szCs w:val="44"/>
          <w:lang w:val="en-US" w:eastAsia="zh-CN"/>
        </w:rPr>
        <w:t>采煤沉陷区旧房拆除和土地复垦项目</w:t>
      </w:r>
      <w:r>
        <w:rPr>
          <w:rFonts w:hint="default" w:ascii="Times New Roman" w:hAnsi="Times New Roman" w:eastAsia="仿宋" w:cs="Times New Roman"/>
          <w:b/>
          <w:bCs w:val="0"/>
          <w:kern w:val="0"/>
          <w:sz w:val="44"/>
          <w:szCs w:val="44"/>
          <w:lang w:val="en-US" w:eastAsia="zh-CN"/>
        </w:rPr>
        <w:t>支出</w:t>
      </w:r>
      <w:r>
        <w:rPr>
          <w:rFonts w:hint="default" w:ascii="Times New Roman" w:hAnsi="Times New Roman" w:eastAsia="仿宋" w:cs="Times New Roman"/>
          <w:b/>
          <w:bCs w:val="0"/>
          <w:kern w:val="0"/>
          <w:sz w:val="44"/>
          <w:szCs w:val="44"/>
          <w:lang w:eastAsia="zh-CN"/>
        </w:rPr>
        <w:t>绩效评价</w:t>
      </w:r>
    </w:p>
    <w:p>
      <w:pPr>
        <w:spacing w:before="156" w:beforeLines="50" w:after="156" w:afterLines="50" w:line="574" w:lineRule="exact"/>
        <w:jc w:val="center"/>
        <w:rPr>
          <w:rFonts w:ascii="Times New Roman" w:hAnsi="Times New Roman" w:eastAsia="黑体"/>
          <w:b/>
          <w:sz w:val="44"/>
          <w:szCs w:val="44"/>
        </w:rPr>
      </w:pPr>
      <w:r>
        <w:rPr>
          <w:rFonts w:hint="default" w:ascii="Times New Roman" w:hAnsi="Times New Roman" w:eastAsia="仿宋" w:cs="Times New Roman"/>
          <w:b/>
          <w:bCs w:val="0"/>
          <w:kern w:val="0"/>
          <w:sz w:val="44"/>
          <w:szCs w:val="44"/>
          <w:lang w:eastAsia="zh-CN"/>
        </w:rPr>
        <w:t>报告</w:t>
      </w:r>
    </w:p>
    <w:p>
      <w:pPr>
        <w:jc w:val="center"/>
        <w:rPr>
          <w:rFonts w:ascii="仿宋" w:hAnsi="仿宋" w:eastAsia="仿宋" w:cs="仿宋"/>
          <w:b/>
          <w:bCs/>
          <w:sz w:val="48"/>
          <w:szCs w:val="48"/>
          <w:highlight w:val="yellow"/>
        </w:rPr>
      </w:pPr>
    </w:p>
    <w:p>
      <w:pPr>
        <w:jc w:val="cente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ind w:right="-168" w:rightChars="-80"/>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pStyle w:val="2"/>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autoSpaceDE w:val="0"/>
        <w:autoSpaceDN w:val="0"/>
        <w:adjustRightInd w:val="0"/>
        <w:spacing w:line="520" w:lineRule="exact"/>
        <w:ind w:firstLine="1405" w:firstLineChars="500"/>
        <w:jc w:val="left"/>
        <w:rPr>
          <w:rFonts w:hint="eastAsia" w:ascii="仿宋" w:hAnsi="仿宋" w:eastAsia="仿宋" w:cs="仿宋"/>
          <w:b/>
          <w:bCs/>
          <w:kern w:val="0"/>
          <w:sz w:val="28"/>
          <w:szCs w:val="28"/>
          <w:lang w:val="en-US" w:eastAsia="zh-CN"/>
        </w:rPr>
      </w:pPr>
      <w:r>
        <w:rPr>
          <w:rFonts w:hint="eastAsia" w:ascii="仿宋" w:hAnsi="仿宋" w:eastAsia="仿宋" w:cs="仿宋"/>
          <w:b/>
          <w:bCs/>
          <w:kern w:val="0"/>
          <w:sz w:val="28"/>
          <w:szCs w:val="28"/>
        </w:rPr>
        <w:t>主管单位：</w:t>
      </w:r>
      <w:r>
        <w:rPr>
          <w:rFonts w:hint="eastAsia" w:ascii="仿宋" w:hAnsi="仿宋" w:eastAsia="仿宋" w:cs="仿宋"/>
          <w:b/>
          <w:bCs/>
          <w:kern w:val="0"/>
          <w:sz w:val="28"/>
          <w:szCs w:val="28"/>
          <w:lang w:val="en-US" w:eastAsia="zh-CN"/>
        </w:rPr>
        <w:t>古县自然资源局</w:t>
      </w:r>
    </w:p>
    <w:p>
      <w:pPr>
        <w:autoSpaceDE w:val="0"/>
        <w:autoSpaceDN w:val="0"/>
        <w:adjustRightInd w:val="0"/>
        <w:spacing w:line="520" w:lineRule="exact"/>
        <w:ind w:firstLine="1405" w:firstLineChars="500"/>
        <w:rPr>
          <w:rFonts w:hint="eastAsia" w:ascii="仿宋" w:hAnsi="仿宋" w:eastAsia="仿宋" w:cs="仿宋"/>
          <w:b/>
          <w:bCs/>
          <w:kern w:val="0"/>
          <w:sz w:val="28"/>
          <w:szCs w:val="28"/>
          <w:lang w:val="en-US" w:eastAsia="zh-CN"/>
        </w:rPr>
      </w:pPr>
      <w:r>
        <w:rPr>
          <w:rFonts w:hint="eastAsia" w:ascii="仿宋" w:hAnsi="仿宋" w:eastAsia="仿宋" w:cs="仿宋"/>
          <w:b/>
          <w:bCs/>
          <w:kern w:val="0"/>
          <w:sz w:val="28"/>
          <w:szCs w:val="28"/>
        </w:rPr>
        <w:t>实施单位：</w:t>
      </w:r>
      <w:r>
        <w:rPr>
          <w:rFonts w:hint="eastAsia" w:ascii="仿宋" w:hAnsi="仿宋" w:eastAsia="仿宋" w:cs="仿宋"/>
          <w:b/>
          <w:bCs/>
          <w:kern w:val="0"/>
          <w:sz w:val="28"/>
          <w:szCs w:val="28"/>
          <w:lang w:val="en-US" w:eastAsia="zh-CN"/>
        </w:rPr>
        <w:t>古县自然资源局</w:t>
      </w:r>
    </w:p>
    <w:p>
      <w:pPr>
        <w:autoSpaceDE w:val="0"/>
        <w:autoSpaceDN w:val="0"/>
        <w:adjustRightInd w:val="0"/>
        <w:spacing w:line="520" w:lineRule="exact"/>
        <w:ind w:firstLine="1405" w:firstLineChars="500"/>
        <w:rPr>
          <w:rFonts w:hint="default" w:ascii="仿宋" w:hAnsi="仿宋" w:eastAsia="仿宋" w:cs="仿宋"/>
          <w:b/>
          <w:bCs/>
          <w:kern w:val="0"/>
          <w:sz w:val="28"/>
          <w:szCs w:val="28"/>
          <w:lang w:val="en-US" w:eastAsia="zh-CN"/>
        </w:rPr>
      </w:pPr>
      <w:r>
        <w:rPr>
          <w:rFonts w:hint="eastAsia" w:ascii="仿宋" w:hAnsi="仿宋" w:eastAsia="仿宋" w:cs="仿宋"/>
          <w:b/>
          <w:bCs/>
          <w:kern w:val="0"/>
          <w:sz w:val="28"/>
          <w:szCs w:val="28"/>
        </w:rPr>
        <w:t>委托单位：</w:t>
      </w:r>
      <w:r>
        <w:rPr>
          <w:rFonts w:hint="eastAsia" w:ascii="仿宋" w:hAnsi="仿宋" w:eastAsia="仿宋" w:cs="仿宋"/>
          <w:b/>
          <w:bCs/>
          <w:kern w:val="0"/>
          <w:sz w:val="28"/>
          <w:szCs w:val="28"/>
          <w:lang w:eastAsia="zh-CN"/>
        </w:rPr>
        <w:t>古县财政局</w:t>
      </w:r>
    </w:p>
    <w:p>
      <w:pPr>
        <w:autoSpaceDE w:val="0"/>
        <w:autoSpaceDN w:val="0"/>
        <w:adjustRightInd w:val="0"/>
        <w:spacing w:line="520" w:lineRule="exact"/>
        <w:ind w:firstLine="1405" w:firstLineChars="500"/>
        <w:jc w:val="left"/>
        <w:rPr>
          <w:rFonts w:ascii="黑体" w:hAnsi="黑体" w:eastAsia="黑体" w:cs="仿宋"/>
          <w:b/>
          <w:bCs/>
          <w:sz w:val="32"/>
          <w:szCs w:val="32"/>
        </w:rPr>
        <w:sectPr>
          <w:headerReference r:id="rId3" w:type="default"/>
          <w:footerReference r:id="rId4" w:type="default"/>
          <w:pgSz w:w="23757" w:h="16783" w:orient="landscape"/>
          <w:pgMar w:top="1440" w:right="1331" w:bottom="1440" w:left="13606" w:header="851" w:footer="992" w:gutter="0"/>
          <w:pgNumType w:start="1"/>
          <w:cols w:space="0" w:num="1"/>
          <w:rtlGutter w:val="0"/>
          <w:docGrid w:type="lines" w:linePitch="315" w:charSpace="0"/>
        </w:sectPr>
      </w:pPr>
      <w:r>
        <w:rPr>
          <w:rFonts w:hint="eastAsia" w:ascii="仿宋" w:hAnsi="仿宋" w:eastAsia="仿宋" w:cs="仿宋"/>
          <w:b/>
          <w:bCs/>
          <w:kern w:val="0"/>
          <w:sz w:val="28"/>
          <w:szCs w:val="28"/>
        </w:rPr>
        <w:t>评价机构：</w:t>
      </w:r>
      <w:r>
        <w:rPr>
          <w:rFonts w:hint="eastAsia" w:ascii="仿宋" w:hAnsi="仿宋" w:eastAsia="仿宋" w:cs="仿宋"/>
          <w:b/>
          <w:bCs/>
          <w:kern w:val="0"/>
          <w:sz w:val="28"/>
          <w:szCs w:val="28"/>
          <w:lang w:eastAsia="zh-CN"/>
        </w:rPr>
        <w:t>山西</w:t>
      </w:r>
      <w:r>
        <w:rPr>
          <w:rFonts w:hint="eastAsia" w:ascii="仿宋" w:hAnsi="仿宋" w:eastAsia="仿宋" w:cs="仿宋"/>
          <w:b/>
          <w:bCs/>
          <w:kern w:val="0"/>
          <w:sz w:val="28"/>
          <w:szCs w:val="28"/>
          <w:lang w:val="en-US" w:eastAsia="zh-CN"/>
        </w:rPr>
        <w:t>恒略</w:t>
      </w:r>
      <w:r>
        <w:rPr>
          <w:rFonts w:hint="eastAsia" w:ascii="仿宋" w:hAnsi="仿宋" w:eastAsia="仿宋" w:cs="仿宋"/>
          <w:b/>
          <w:bCs/>
          <w:kern w:val="0"/>
          <w:sz w:val="28"/>
          <w:szCs w:val="28"/>
          <w:lang w:eastAsia="zh-CN"/>
        </w:rPr>
        <w:t>绩效管理咨询有限公司</w:t>
      </w:r>
    </w:p>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r>
        <w:rPr>
          <w:rFonts w:hint="eastAsia" w:ascii="仿宋" w:hAnsi="仿宋" w:eastAsia="仿宋" w:cs="仿宋"/>
          <w:b/>
          <w:bCs/>
          <w:sz w:val="24"/>
          <w:szCs w:val="24"/>
        </w:rPr>
        <w:t>目</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录</w:t>
      </w:r>
    </w:p>
    <w:p>
      <w:pPr>
        <w:pStyle w:val="14"/>
        <w:keepNext w:val="0"/>
        <w:keepLines w:val="0"/>
        <w:pageBreakBefore w:val="0"/>
        <w:widowControl/>
        <w:tabs>
          <w:tab w:val="right" w:leader="dot" w:pos="8296"/>
        </w:tabs>
        <w:kinsoku/>
        <w:wordWrap/>
        <w:overflowPunct/>
        <w:topLinePunct w:val="0"/>
        <w:autoSpaceDE/>
        <w:autoSpaceDN/>
        <w:bidi w:val="0"/>
        <w:adjustRightInd/>
        <w:snapToGrid/>
        <w:spacing w:after="0" w:line="520" w:lineRule="exact"/>
        <w:textAlignment w:val="auto"/>
        <w:rPr>
          <w:rFonts w:hint="eastAsia" w:ascii="仿宋" w:hAnsi="仿宋" w:eastAsia="仿宋" w:cs="仿宋"/>
          <w:sz w:val="24"/>
          <w:szCs w:val="24"/>
          <w:highlight w:val="yellow"/>
        </w:rPr>
      </w:pPr>
    </w:p>
    <w:p>
      <w:pPr>
        <w:pStyle w:val="14"/>
        <w:tabs>
          <w:tab w:val="right" w:leader="dot" w:pos="8306"/>
        </w:tabs>
        <w:rPr>
          <w:rFonts w:hint="eastAsia" w:ascii="仿宋" w:hAnsi="仿宋" w:eastAsia="仿宋" w:cs="仿宋"/>
          <w:b/>
          <w:bCs/>
        </w:rPr>
      </w:pPr>
      <w:r>
        <w:rPr>
          <w:rFonts w:hint="eastAsia" w:ascii="仿宋" w:hAnsi="仿宋" w:eastAsia="仿宋" w:cs="仿宋"/>
          <w:b w:val="0"/>
          <w:bCs w:val="0"/>
          <w:sz w:val="24"/>
          <w:szCs w:val="24"/>
          <w:highlight w:val="yellow"/>
        </w:rPr>
        <w:fldChar w:fldCharType="begin"/>
      </w:r>
      <w:r>
        <w:rPr>
          <w:rFonts w:hint="eastAsia" w:ascii="仿宋" w:hAnsi="仿宋" w:eastAsia="仿宋" w:cs="仿宋"/>
          <w:b w:val="0"/>
          <w:bCs w:val="0"/>
          <w:sz w:val="24"/>
          <w:szCs w:val="24"/>
          <w:highlight w:val="yellow"/>
        </w:rPr>
        <w:instrText xml:space="preserve"> TOC \o "1-3" \h \z \u </w:instrText>
      </w:r>
      <w:r>
        <w:rPr>
          <w:rFonts w:hint="eastAsia" w:ascii="仿宋" w:hAnsi="仿宋" w:eastAsia="仿宋" w:cs="仿宋"/>
          <w:b w:val="0"/>
          <w:bCs w:val="0"/>
          <w:sz w:val="24"/>
          <w:szCs w:val="24"/>
          <w:highlight w:val="yellow"/>
        </w:rPr>
        <w:fldChar w:fldCharType="separate"/>
      </w: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_Toc195 </w:instrText>
      </w:r>
      <w:r>
        <w:rPr>
          <w:rFonts w:hint="eastAsia" w:ascii="仿宋" w:hAnsi="仿宋" w:eastAsia="仿宋" w:cs="仿宋"/>
          <w:b/>
          <w:bCs/>
          <w:szCs w:val="24"/>
          <w:highlight w:val="yellow"/>
        </w:rPr>
        <w:fldChar w:fldCharType="separate"/>
      </w:r>
      <w:r>
        <w:rPr>
          <w:rFonts w:hint="eastAsia" w:ascii="仿宋" w:hAnsi="仿宋" w:eastAsia="仿宋" w:cs="仿宋"/>
          <w:b/>
          <w:bCs/>
          <w:kern w:val="2"/>
          <w:szCs w:val="44"/>
        </w:rPr>
        <w:t>报告摘要</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_Toc195 \h </w:instrText>
      </w:r>
      <w:r>
        <w:rPr>
          <w:rFonts w:hint="eastAsia" w:ascii="仿宋" w:hAnsi="仿宋" w:eastAsia="仿宋" w:cs="仿宋"/>
          <w:b/>
          <w:bCs/>
        </w:rPr>
        <w:fldChar w:fldCharType="separate"/>
      </w:r>
      <w:r>
        <w:rPr>
          <w:rFonts w:hint="eastAsia" w:ascii="仿宋" w:hAnsi="仿宋" w:eastAsia="仿宋" w:cs="仿宋"/>
          <w:b/>
          <w:bCs/>
        </w:rPr>
        <w:t>1</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4"/>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_Toc29253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rPr>
        <w:t>一、项目基本情况</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_Toc29253 \h </w:instrText>
      </w:r>
      <w:r>
        <w:rPr>
          <w:rFonts w:hint="eastAsia" w:ascii="仿宋" w:hAnsi="仿宋" w:eastAsia="仿宋" w:cs="仿宋"/>
          <w:b/>
          <w:bCs/>
        </w:rPr>
        <w:fldChar w:fldCharType="separate"/>
      </w:r>
      <w:r>
        <w:rPr>
          <w:rFonts w:hint="eastAsia" w:ascii="仿宋" w:hAnsi="仿宋" w:eastAsia="仿宋" w:cs="仿宋"/>
          <w:b/>
          <w:bCs/>
        </w:rPr>
        <w:t>6</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_Toc2057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（一）项目背景及概况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_Toc2057 \h </w:instrText>
      </w:r>
      <w:r>
        <w:rPr>
          <w:rFonts w:hint="eastAsia" w:ascii="仿宋" w:hAnsi="仿宋" w:eastAsia="仿宋" w:cs="仿宋"/>
        </w:rPr>
        <w:fldChar w:fldCharType="separate"/>
      </w:r>
      <w:r>
        <w:rPr>
          <w:rFonts w:hint="eastAsia" w:ascii="仿宋" w:hAnsi="仿宋" w:eastAsia="仿宋" w:cs="仿宋"/>
        </w:rPr>
        <w:t>6</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_Toc2912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（二）预算资金来源与资金使用</w:t>
      </w:r>
      <w:r>
        <w:rPr>
          <w:rFonts w:hint="eastAsia" w:ascii="仿宋" w:hAnsi="仿宋" w:eastAsia="仿宋" w:cs="仿宋"/>
          <w:bCs/>
          <w:szCs w:val="32"/>
          <w:lang w:val="en-US" w:eastAsia="zh-CN"/>
        </w:rPr>
        <w:t>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_Toc2912 \h </w:instrText>
      </w:r>
      <w:r>
        <w:rPr>
          <w:rFonts w:hint="eastAsia" w:ascii="仿宋" w:hAnsi="仿宋" w:eastAsia="仿宋" w:cs="仿宋"/>
        </w:rPr>
        <w:fldChar w:fldCharType="separate"/>
      </w:r>
      <w:r>
        <w:rPr>
          <w:rFonts w:hint="eastAsia" w:ascii="仿宋" w:hAnsi="仿宋" w:eastAsia="仿宋" w:cs="仿宋"/>
        </w:rPr>
        <w:t>7</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_Toc6561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w:t>
      </w:r>
      <w:r>
        <w:rPr>
          <w:rFonts w:hint="eastAsia" w:ascii="仿宋" w:hAnsi="仿宋" w:eastAsia="仿宋" w:cs="仿宋"/>
          <w:bCs/>
          <w:szCs w:val="32"/>
          <w:lang w:val="en-US" w:eastAsia="zh-CN"/>
        </w:rPr>
        <w:t>三</w:t>
      </w:r>
      <w:r>
        <w:rPr>
          <w:rFonts w:hint="eastAsia" w:ascii="仿宋" w:hAnsi="仿宋" w:eastAsia="仿宋" w:cs="仿宋"/>
          <w:bCs/>
          <w:szCs w:val="32"/>
          <w:lang w:eastAsia="zh-CN"/>
        </w:rPr>
        <w:t>）</w:t>
      </w:r>
      <w:r>
        <w:rPr>
          <w:rFonts w:hint="eastAsia" w:ascii="仿宋" w:hAnsi="仿宋" w:eastAsia="仿宋" w:cs="仿宋"/>
          <w:bCs/>
          <w:szCs w:val="32"/>
          <w:lang w:val="en-US" w:eastAsia="zh-CN"/>
        </w:rPr>
        <w:t>项目立项依据</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_Toc6561 \h </w:instrText>
      </w:r>
      <w:r>
        <w:rPr>
          <w:rFonts w:hint="eastAsia" w:ascii="仿宋" w:hAnsi="仿宋" w:eastAsia="仿宋" w:cs="仿宋"/>
        </w:rPr>
        <w:fldChar w:fldCharType="separate"/>
      </w:r>
      <w:r>
        <w:rPr>
          <w:rFonts w:hint="eastAsia" w:ascii="仿宋" w:hAnsi="仿宋" w:eastAsia="仿宋" w:cs="仿宋"/>
        </w:rPr>
        <w:t>8</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_Toc13185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w:t>
      </w:r>
      <w:r>
        <w:rPr>
          <w:rFonts w:hint="eastAsia" w:ascii="仿宋" w:hAnsi="仿宋" w:eastAsia="仿宋" w:cs="仿宋"/>
          <w:bCs/>
          <w:szCs w:val="32"/>
          <w:lang w:val="en-US" w:eastAsia="zh-CN"/>
        </w:rPr>
        <w:t>四</w:t>
      </w:r>
      <w:r>
        <w:rPr>
          <w:rFonts w:hint="eastAsia" w:ascii="仿宋" w:hAnsi="仿宋" w:eastAsia="仿宋" w:cs="仿宋"/>
          <w:bCs/>
          <w:szCs w:val="32"/>
          <w:lang w:eastAsia="zh-CN"/>
        </w:rPr>
        <w:t>）项目绩效目标</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_Toc13185 \h </w:instrText>
      </w:r>
      <w:r>
        <w:rPr>
          <w:rFonts w:hint="eastAsia" w:ascii="仿宋" w:hAnsi="仿宋" w:eastAsia="仿宋" w:cs="仿宋"/>
        </w:rPr>
        <w:fldChar w:fldCharType="separate"/>
      </w:r>
      <w:r>
        <w:rPr>
          <w:rFonts w:hint="eastAsia" w:ascii="仿宋" w:hAnsi="仿宋" w:eastAsia="仿宋" w:cs="仿宋"/>
        </w:rPr>
        <w:t>9</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4"/>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_Toc12201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rPr>
        <w:t>二、项目组织实施情况</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_Toc12201 \h </w:instrText>
      </w:r>
      <w:r>
        <w:rPr>
          <w:rFonts w:hint="eastAsia" w:ascii="仿宋" w:hAnsi="仿宋" w:eastAsia="仿宋" w:cs="仿宋"/>
          <w:b/>
          <w:bCs/>
        </w:rPr>
        <w:fldChar w:fldCharType="separate"/>
      </w:r>
      <w:r>
        <w:rPr>
          <w:rFonts w:hint="eastAsia" w:ascii="仿宋" w:hAnsi="仿宋" w:eastAsia="仿宋" w:cs="仿宋"/>
          <w:b/>
          <w:bCs/>
        </w:rPr>
        <w:t>10</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_Toc22213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（一）项目组织情况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_Toc22213 \h </w:instrText>
      </w:r>
      <w:r>
        <w:rPr>
          <w:rFonts w:hint="eastAsia" w:ascii="仿宋" w:hAnsi="仿宋" w:eastAsia="仿宋" w:cs="仿宋"/>
        </w:rPr>
        <w:fldChar w:fldCharType="separate"/>
      </w:r>
      <w:r>
        <w:rPr>
          <w:rFonts w:hint="eastAsia" w:ascii="仿宋" w:hAnsi="仿宋" w:eastAsia="仿宋" w:cs="仿宋"/>
        </w:rPr>
        <w:t>10</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_Toc25574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（二）项目实施</w:t>
      </w:r>
      <w:r>
        <w:rPr>
          <w:rFonts w:hint="eastAsia" w:ascii="仿宋" w:hAnsi="仿宋" w:eastAsia="仿宋" w:cs="仿宋"/>
          <w:bCs/>
          <w:szCs w:val="32"/>
          <w:lang w:val="en-US" w:eastAsia="zh-CN"/>
        </w:rPr>
        <w:t>内容与完成</w:t>
      </w:r>
      <w:r>
        <w:rPr>
          <w:rFonts w:hint="eastAsia" w:ascii="仿宋" w:hAnsi="仿宋" w:eastAsia="仿宋" w:cs="仿宋"/>
          <w:bCs/>
          <w:szCs w:val="32"/>
        </w:rPr>
        <w:t>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_Toc25574 \h </w:instrText>
      </w:r>
      <w:r>
        <w:rPr>
          <w:rFonts w:hint="eastAsia" w:ascii="仿宋" w:hAnsi="仿宋" w:eastAsia="仿宋" w:cs="仿宋"/>
        </w:rPr>
        <w:fldChar w:fldCharType="separate"/>
      </w:r>
      <w:r>
        <w:rPr>
          <w:rFonts w:hint="eastAsia" w:ascii="仿宋" w:hAnsi="仿宋" w:eastAsia="仿宋" w:cs="仿宋"/>
        </w:rPr>
        <w:t>11</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4"/>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_Toc30098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rPr>
        <w:t>三、绩效评价工作情况</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_Toc30098 \h </w:instrText>
      </w:r>
      <w:r>
        <w:rPr>
          <w:rFonts w:hint="eastAsia" w:ascii="仿宋" w:hAnsi="仿宋" w:eastAsia="仿宋" w:cs="仿宋"/>
          <w:b/>
          <w:bCs/>
        </w:rPr>
        <w:fldChar w:fldCharType="separate"/>
      </w:r>
      <w:r>
        <w:rPr>
          <w:rFonts w:hint="eastAsia" w:ascii="仿宋" w:hAnsi="仿宋" w:eastAsia="仿宋" w:cs="仿宋"/>
          <w:b/>
          <w:bCs/>
        </w:rPr>
        <w:t>12</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_Toc5135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（一）绩效评价的目的</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_Toc5135 \h </w:instrText>
      </w:r>
      <w:r>
        <w:rPr>
          <w:rFonts w:hint="eastAsia" w:ascii="仿宋" w:hAnsi="仿宋" w:eastAsia="仿宋" w:cs="仿宋"/>
        </w:rPr>
        <w:fldChar w:fldCharType="separate"/>
      </w:r>
      <w:r>
        <w:rPr>
          <w:rFonts w:hint="eastAsia" w:ascii="仿宋" w:hAnsi="仿宋" w:eastAsia="仿宋" w:cs="仿宋"/>
        </w:rPr>
        <w:t>12</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_Toc522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（二）绩效评价的依据</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_Toc522 \h </w:instrText>
      </w:r>
      <w:r>
        <w:rPr>
          <w:rFonts w:hint="eastAsia" w:ascii="仿宋" w:hAnsi="仿宋" w:eastAsia="仿宋" w:cs="仿宋"/>
        </w:rPr>
        <w:fldChar w:fldCharType="separate"/>
      </w:r>
      <w:r>
        <w:rPr>
          <w:rFonts w:hint="eastAsia" w:ascii="仿宋" w:hAnsi="仿宋" w:eastAsia="仿宋" w:cs="仿宋"/>
        </w:rPr>
        <w:t>13</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_Toc20475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（三）评价对象和范围</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_Toc20475 \h </w:instrText>
      </w:r>
      <w:r>
        <w:rPr>
          <w:rFonts w:hint="eastAsia" w:ascii="仿宋" w:hAnsi="仿宋" w:eastAsia="仿宋" w:cs="仿宋"/>
        </w:rPr>
        <w:fldChar w:fldCharType="separate"/>
      </w:r>
      <w:r>
        <w:rPr>
          <w:rFonts w:hint="eastAsia" w:ascii="仿宋" w:hAnsi="仿宋" w:eastAsia="仿宋" w:cs="仿宋"/>
        </w:rPr>
        <w:t>14</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_Toc497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（四）绩效评价基准日</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_Toc497 \h </w:instrText>
      </w:r>
      <w:r>
        <w:rPr>
          <w:rFonts w:hint="eastAsia" w:ascii="仿宋" w:hAnsi="仿宋" w:eastAsia="仿宋" w:cs="仿宋"/>
        </w:rPr>
        <w:fldChar w:fldCharType="separate"/>
      </w:r>
      <w:r>
        <w:rPr>
          <w:rFonts w:hint="eastAsia" w:ascii="仿宋" w:hAnsi="仿宋" w:eastAsia="仿宋" w:cs="仿宋"/>
        </w:rPr>
        <w:t>14</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_Toc24839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（五）绩效评价的原则</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_Toc24839 \h </w:instrText>
      </w:r>
      <w:r>
        <w:rPr>
          <w:rFonts w:hint="eastAsia" w:ascii="仿宋" w:hAnsi="仿宋" w:eastAsia="仿宋" w:cs="仿宋"/>
        </w:rPr>
        <w:fldChar w:fldCharType="separate"/>
      </w:r>
      <w:r>
        <w:rPr>
          <w:rFonts w:hint="eastAsia" w:ascii="仿宋" w:hAnsi="仿宋" w:eastAsia="仿宋" w:cs="仿宋"/>
        </w:rPr>
        <w:t>14</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_Toc25698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（六）绩效评价的方法</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_Toc25698 \h </w:instrText>
      </w:r>
      <w:r>
        <w:rPr>
          <w:rFonts w:hint="eastAsia" w:ascii="仿宋" w:hAnsi="仿宋" w:eastAsia="仿宋" w:cs="仿宋"/>
        </w:rPr>
        <w:fldChar w:fldCharType="separate"/>
      </w:r>
      <w:r>
        <w:rPr>
          <w:rFonts w:hint="eastAsia" w:ascii="仿宋" w:hAnsi="仿宋" w:eastAsia="仿宋" w:cs="仿宋"/>
        </w:rPr>
        <w:t>15</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_Toc32480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（七）评价指标体系</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_Toc32480 \h </w:instrText>
      </w:r>
      <w:r>
        <w:rPr>
          <w:rFonts w:hint="eastAsia" w:ascii="仿宋" w:hAnsi="仿宋" w:eastAsia="仿宋" w:cs="仿宋"/>
        </w:rPr>
        <w:fldChar w:fldCharType="separate"/>
      </w:r>
      <w:r>
        <w:rPr>
          <w:rFonts w:hint="eastAsia" w:ascii="仿宋" w:hAnsi="仿宋" w:eastAsia="仿宋" w:cs="仿宋"/>
        </w:rPr>
        <w:t>16</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_Toc7784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（八）绩效评价工作组织</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_Toc7784 \h </w:instrText>
      </w:r>
      <w:r>
        <w:rPr>
          <w:rFonts w:hint="eastAsia" w:ascii="仿宋" w:hAnsi="仿宋" w:eastAsia="仿宋" w:cs="仿宋"/>
        </w:rPr>
        <w:fldChar w:fldCharType="separate"/>
      </w:r>
      <w:r>
        <w:rPr>
          <w:rFonts w:hint="eastAsia" w:ascii="仿宋" w:hAnsi="仿宋" w:eastAsia="仿宋" w:cs="仿宋"/>
        </w:rPr>
        <w:t>17</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_Toc7355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w:t>
      </w:r>
      <w:r>
        <w:rPr>
          <w:rFonts w:hint="eastAsia" w:ascii="仿宋" w:hAnsi="仿宋" w:eastAsia="仿宋" w:cs="仿宋"/>
          <w:bCs/>
          <w:szCs w:val="32"/>
          <w:lang w:val="en-US" w:eastAsia="zh-CN"/>
        </w:rPr>
        <w:t>九</w:t>
      </w:r>
      <w:r>
        <w:rPr>
          <w:rFonts w:hint="eastAsia" w:ascii="仿宋" w:hAnsi="仿宋" w:eastAsia="仿宋" w:cs="仿宋"/>
          <w:bCs/>
          <w:szCs w:val="32"/>
          <w:lang w:eastAsia="zh-CN"/>
        </w:rPr>
        <w:t>）</w:t>
      </w:r>
      <w:r>
        <w:rPr>
          <w:rFonts w:hint="eastAsia" w:ascii="仿宋" w:hAnsi="仿宋" w:eastAsia="仿宋" w:cs="仿宋"/>
          <w:bCs/>
          <w:szCs w:val="32"/>
          <w:lang w:val="en-US" w:eastAsia="zh-CN"/>
        </w:rPr>
        <w:t>评价工作安排</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_Toc7355 \h </w:instrText>
      </w:r>
      <w:r>
        <w:rPr>
          <w:rFonts w:hint="eastAsia" w:ascii="仿宋" w:hAnsi="仿宋" w:eastAsia="仿宋" w:cs="仿宋"/>
        </w:rPr>
        <w:fldChar w:fldCharType="separate"/>
      </w:r>
      <w:r>
        <w:rPr>
          <w:rFonts w:hint="eastAsia" w:ascii="仿宋" w:hAnsi="仿宋" w:eastAsia="仿宋" w:cs="仿宋"/>
        </w:rPr>
        <w:t>18</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_Toc19760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val="en-US" w:eastAsia="zh-CN"/>
        </w:rPr>
        <w:t>（十）评价等级</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_Toc19760 \h </w:instrText>
      </w:r>
      <w:r>
        <w:rPr>
          <w:rFonts w:hint="eastAsia" w:ascii="仿宋" w:hAnsi="仿宋" w:eastAsia="仿宋" w:cs="仿宋"/>
        </w:rPr>
        <w:fldChar w:fldCharType="separate"/>
      </w:r>
      <w:r>
        <w:rPr>
          <w:rFonts w:hint="eastAsia" w:ascii="仿宋" w:hAnsi="仿宋" w:eastAsia="仿宋" w:cs="仿宋"/>
        </w:rPr>
        <w:t>18</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4"/>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_Toc13042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rPr>
        <w:t>四、绩效评价指标分析情况</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_Toc13042 \h </w:instrText>
      </w:r>
      <w:r>
        <w:rPr>
          <w:rFonts w:hint="eastAsia" w:ascii="仿宋" w:hAnsi="仿宋" w:eastAsia="仿宋" w:cs="仿宋"/>
          <w:b/>
          <w:bCs/>
        </w:rPr>
        <w:fldChar w:fldCharType="separate"/>
      </w:r>
      <w:r>
        <w:rPr>
          <w:rFonts w:hint="eastAsia" w:ascii="仿宋" w:hAnsi="仿宋" w:eastAsia="仿宋" w:cs="仿宋"/>
          <w:b/>
          <w:bCs/>
        </w:rPr>
        <w:t>19</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_Toc28665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（一）分项分析与汇总</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_Toc28665 \h </w:instrText>
      </w:r>
      <w:r>
        <w:rPr>
          <w:rFonts w:hint="eastAsia" w:ascii="仿宋" w:hAnsi="仿宋" w:eastAsia="仿宋" w:cs="仿宋"/>
        </w:rPr>
        <w:fldChar w:fldCharType="separate"/>
      </w:r>
      <w:r>
        <w:rPr>
          <w:rFonts w:hint="eastAsia" w:ascii="仿宋" w:hAnsi="仿宋" w:eastAsia="仿宋" w:cs="仿宋"/>
        </w:rPr>
        <w:t>19</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_Toc8653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（二）总体得分情况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_Toc8653 \h </w:instrText>
      </w:r>
      <w:r>
        <w:rPr>
          <w:rFonts w:hint="eastAsia" w:ascii="仿宋" w:hAnsi="仿宋" w:eastAsia="仿宋" w:cs="仿宋"/>
        </w:rPr>
        <w:fldChar w:fldCharType="separate"/>
      </w:r>
      <w:r>
        <w:rPr>
          <w:rFonts w:hint="eastAsia" w:ascii="仿宋" w:hAnsi="仿宋" w:eastAsia="仿宋" w:cs="仿宋"/>
        </w:rPr>
        <w:t>26</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4"/>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_Toc21684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rPr>
        <w:t>五、综合评价情况</w:t>
      </w:r>
      <w:r>
        <w:rPr>
          <w:rFonts w:hint="eastAsia" w:ascii="仿宋" w:hAnsi="仿宋" w:eastAsia="仿宋" w:cs="仿宋"/>
          <w:b/>
          <w:bCs/>
          <w:kern w:val="44"/>
          <w:szCs w:val="32"/>
          <w:lang w:val="en-US" w:eastAsia="zh-CN"/>
        </w:rPr>
        <w:t>及结论</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_Toc21684 \h </w:instrText>
      </w:r>
      <w:r>
        <w:rPr>
          <w:rFonts w:hint="eastAsia" w:ascii="仿宋" w:hAnsi="仿宋" w:eastAsia="仿宋" w:cs="仿宋"/>
          <w:b/>
          <w:bCs/>
        </w:rPr>
        <w:fldChar w:fldCharType="separate"/>
      </w:r>
      <w:r>
        <w:rPr>
          <w:rFonts w:hint="eastAsia" w:ascii="仿宋" w:hAnsi="仿宋" w:eastAsia="仿宋" w:cs="仿宋"/>
          <w:b/>
          <w:bCs/>
        </w:rPr>
        <w:t>26</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_Toc6422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（一）评分结果</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_Toc6422 \h </w:instrText>
      </w:r>
      <w:r>
        <w:rPr>
          <w:rFonts w:hint="eastAsia" w:ascii="仿宋" w:hAnsi="仿宋" w:eastAsia="仿宋" w:cs="仿宋"/>
        </w:rPr>
        <w:fldChar w:fldCharType="separate"/>
      </w:r>
      <w:r>
        <w:rPr>
          <w:rFonts w:hint="eastAsia" w:ascii="仿宋" w:hAnsi="仿宋" w:eastAsia="仿宋" w:cs="仿宋"/>
        </w:rPr>
        <w:t>26</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_Toc1246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（二）主要结论</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_Toc1246 \h </w:instrText>
      </w:r>
      <w:r>
        <w:rPr>
          <w:rFonts w:hint="eastAsia" w:ascii="仿宋" w:hAnsi="仿宋" w:eastAsia="仿宋" w:cs="仿宋"/>
        </w:rPr>
        <w:fldChar w:fldCharType="separate"/>
      </w:r>
      <w:r>
        <w:rPr>
          <w:rFonts w:hint="eastAsia" w:ascii="仿宋" w:hAnsi="仿宋" w:eastAsia="仿宋" w:cs="仿宋"/>
        </w:rPr>
        <w:t>26</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4"/>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_Toc26159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六</w:t>
      </w:r>
      <w:r>
        <w:rPr>
          <w:rFonts w:hint="eastAsia" w:ascii="仿宋" w:hAnsi="仿宋" w:eastAsia="仿宋" w:cs="仿宋"/>
          <w:b/>
          <w:bCs/>
          <w:kern w:val="44"/>
          <w:szCs w:val="32"/>
        </w:rPr>
        <w:t>、存在的问题和改进建议</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_Toc26159 \h </w:instrText>
      </w:r>
      <w:r>
        <w:rPr>
          <w:rFonts w:hint="eastAsia" w:ascii="仿宋" w:hAnsi="仿宋" w:eastAsia="仿宋" w:cs="仿宋"/>
          <w:b/>
          <w:bCs/>
        </w:rPr>
        <w:fldChar w:fldCharType="separate"/>
      </w:r>
      <w:r>
        <w:rPr>
          <w:rFonts w:hint="eastAsia" w:ascii="仿宋" w:hAnsi="仿宋" w:eastAsia="仿宋" w:cs="仿宋"/>
          <w:b/>
          <w:bCs/>
        </w:rPr>
        <w:t>27</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_Toc9714 </w:instrText>
      </w:r>
      <w:r>
        <w:rPr>
          <w:rFonts w:hint="eastAsia" w:ascii="仿宋" w:hAnsi="仿宋" w:eastAsia="仿宋" w:cs="仿宋"/>
          <w:bCs w:val="0"/>
          <w:szCs w:val="24"/>
          <w:highlight w:val="yellow"/>
        </w:rPr>
        <w:fldChar w:fldCharType="separate"/>
      </w:r>
      <w:r>
        <w:rPr>
          <w:rFonts w:hint="eastAsia" w:ascii="仿宋" w:hAnsi="仿宋" w:eastAsia="仿宋" w:cs="仿宋"/>
          <w:bCs/>
          <w:szCs w:val="28"/>
          <w:lang w:eastAsia="zh-CN"/>
        </w:rPr>
        <w:t>（一）存在的问题</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_Toc9714 \h </w:instrText>
      </w:r>
      <w:r>
        <w:rPr>
          <w:rFonts w:hint="eastAsia" w:ascii="仿宋" w:hAnsi="仿宋" w:eastAsia="仿宋" w:cs="仿宋"/>
        </w:rPr>
        <w:fldChar w:fldCharType="separate"/>
      </w:r>
      <w:r>
        <w:rPr>
          <w:rFonts w:hint="eastAsia" w:ascii="仿宋" w:hAnsi="仿宋" w:eastAsia="仿宋" w:cs="仿宋"/>
        </w:rPr>
        <w:t>27</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_Toc1656 </w:instrText>
      </w:r>
      <w:r>
        <w:rPr>
          <w:rFonts w:hint="eastAsia" w:ascii="仿宋" w:hAnsi="仿宋" w:eastAsia="仿宋" w:cs="仿宋"/>
          <w:bCs w:val="0"/>
          <w:szCs w:val="24"/>
          <w:highlight w:val="yellow"/>
        </w:rPr>
        <w:fldChar w:fldCharType="separate"/>
      </w:r>
      <w:r>
        <w:rPr>
          <w:rFonts w:hint="eastAsia" w:ascii="仿宋" w:hAnsi="仿宋" w:eastAsia="仿宋" w:cs="仿宋"/>
          <w:bCs/>
          <w:szCs w:val="28"/>
          <w:lang w:eastAsia="zh-CN"/>
        </w:rPr>
        <w:t>（二）改进建议</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_Toc1656 \h </w:instrText>
      </w:r>
      <w:r>
        <w:rPr>
          <w:rFonts w:hint="eastAsia" w:ascii="仿宋" w:hAnsi="仿宋" w:eastAsia="仿宋" w:cs="仿宋"/>
        </w:rPr>
        <w:fldChar w:fldCharType="separate"/>
      </w:r>
      <w:r>
        <w:rPr>
          <w:rFonts w:hint="eastAsia" w:ascii="仿宋" w:hAnsi="仿宋" w:eastAsia="仿宋" w:cs="仿宋"/>
        </w:rPr>
        <w:t>28</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4"/>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_Toc25771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七、绩效评价结果应用建议</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_Toc25771 \h </w:instrText>
      </w:r>
      <w:r>
        <w:rPr>
          <w:rFonts w:hint="eastAsia" w:ascii="仿宋" w:hAnsi="仿宋" w:eastAsia="仿宋" w:cs="仿宋"/>
          <w:b/>
          <w:bCs/>
        </w:rPr>
        <w:fldChar w:fldCharType="separate"/>
      </w:r>
      <w:r>
        <w:rPr>
          <w:rFonts w:hint="eastAsia" w:ascii="仿宋" w:hAnsi="仿宋" w:eastAsia="仿宋" w:cs="仿宋"/>
          <w:b/>
          <w:bCs/>
        </w:rPr>
        <w:t>28</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4"/>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_Toc27951 </w:instrText>
      </w:r>
      <w:r>
        <w:rPr>
          <w:rFonts w:hint="eastAsia" w:ascii="仿宋" w:hAnsi="仿宋" w:eastAsia="仿宋" w:cs="仿宋"/>
          <w:b/>
          <w:bCs/>
          <w:szCs w:val="24"/>
          <w:highlight w:val="yellow"/>
        </w:rPr>
        <w:fldChar w:fldCharType="separate"/>
      </w:r>
      <w:r>
        <w:rPr>
          <w:rFonts w:hint="eastAsia" w:ascii="仿宋" w:hAnsi="仿宋" w:eastAsia="仿宋" w:cs="仿宋"/>
          <w:b/>
          <w:bCs/>
          <w:snapToGrid w:val="0"/>
          <w:szCs w:val="32"/>
        </w:rPr>
        <w:t>附件1：评价指标体系</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_Toc27951 \h </w:instrText>
      </w:r>
      <w:r>
        <w:rPr>
          <w:rFonts w:hint="eastAsia" w:ascii="仿宋" w:hAnsi="仿宋" w:eastAsia="仿宋" w:cs="仿宋"/>
          <w:b/>
          <w:bCs/>
        </w:rPr>
        <w:fldChar w:fldCharType="separate"/>
      </w:r>
      <w:r>
        <w:rPr>
          <w:rFonts w:hint="eastAsia" w:ascii="仿宋" w:hAnsi="仿宋" w:eastAsia="仿宋" w:cs="仿宋"/>
          <w:b/>
          <w:bCs/>
        </w:rPr>
        <w:t>30</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4"/>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_Toc17144 </w:instrText>
      </w:r>
      <w:r>
        <w:rPr>
          <w:rFonts w:hint="eastAsia" w:ascii="仿宋" w:hAnsi="仿宋" w:eastAsia="仿宋" w:cs="仿宋"/>
          <w:b/>
          <w:bCs/>
          <w:szCs w:val="24"/>
          <w:highlight w:val="yellow"/>
        </w:rPr>
        <w:fldChar w:fldCharType="separate"/>
      </w:r>
      <w:r>
        <w:rPr>
          <w:rFonts w:hint="eastAsia" w:ascii="仿宋" w:hAnsi="仿宋" w:eastAsia="仿宋" w:cs="仿宋"/>
          <w:b/>
          <w:bCs/>
          <w:snapToGrid w:val="0"/>
          <w:szCs w:val="32"/>
        </w:rPr>
        <w:t>附件2：问卷调查报告</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_Toc17144 \h </w:instrText>
      </w:r>
      <w:r>
        <w:rPr>
          <w:rFonts w:hint="eastAsia" w:ascii="仿宋" w:hAnsi="仿宋" w:eastAsia="仿宋" w:cs="仿宋"/>
          <w:b/>
          <w:bCs/>
        </w:rPr>
        <w:fldChar w:fldCharType="separate"/>
      </w:r>
      <w:r>
        <w:rPr>
          <w:rFonts w:hint="eastAsia" w:ascii="仿宋" w:hAnsi="仿宋" w:eastAsia="仿宋" w:cs="仿宋"/>
          <w:b/>
          <w:bCs/>
        </w:rPr>
        <w:t>37</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4"/>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_Toc10639 </w:instrText>
      </w:r>
      <w:r>
        <w:rPr>
          <w:rFonts w:hint="eastAsia" w:ascii="仿宋" w:hAnsi="仿宋" w:eastAsia="仿宋" w:cs="仿宋"/>
          <w:b/>
          <w:bCs/>
          <w:szCs w:val="24"/>
          <w:highlight w:val="yellow"/>
        </w:rPr>
        <w:fldChar w:fldCharType="separate"/>
      </w:r>
      <w:r>
        <w:rPr>
          <w:rFonts w:hint="eastAsia" w:ascii="仿宋" w:hAnsi="仿宋" w:eastAsia="仿宋" w:cs="仿宋"/>
          <w:b/>
          <w:bCs/>
          <w:snapToGrid w:val="0"/>
          <w:szCs w:val="32"/>
          <w:lang w:val="en-US" w:eastAsia="zh-CN"/>
        </w:rPr>
        <w:t>附件3：访谈报告</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_Toc10639 \h </w:instrText>
      </w:r>
      <w:r>
        <w:rPr>
          <w:rFonts w:hint="eastAsia" w:ascii="仿宋" w:hAnsi="仿宋" w:eastAsia="仿宋" w:cs="仿宋"/>
          <w:b/>
          <w:bCs/>
        </w:rPr>
        <w:fldChar w:fldCharType="separate"/>
      </w:r>
      <w:r>
        <w:rPr>
          <w:rFonts w:hint="eastAsia" w:ascii="仿宋" w:hAnsi="仿宋" w:eastAsia="仿宋" w:cs="仿宋"/>
          <w:b/>
          <w:bCs/>
        </w:rPr>
        <w:t>41</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4"/>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_Toc23588 </w:instrText>
      </w:r>
      <w:r>
        <w:rPr>
          <w:rFonts w:hint="eastAsia" w:ascii="仿宋" w:hAnsi="仿宋" w:eastAsia="仿宋" w:cs="仿宋"/>
          <w:b/>
          <w:bCs/>
          <w:szCs w:val="24"/>
          <w:highlight w:val="yellow"/>
        </w:rPr>
        <w:fldChar w:fldCharType="separate"/>
      </w:r>
      <w:r>
        <w:rPr>
          <w:rFonts w:hint="eastAsia" w:ascii="仿宋" w:hAnsi="仿宋" w:eastAsia="仿宋" w:cs="仿宋"/>
          <w:b/>
          <w:bCs/>
          <w:snapToGrid w:val="0"/>
          <w:szCs w:val="32"/>
          <w:lang w:val="en-US" w:eastAsia="zh-CN"/>
        </w:rPr>
        <w:t>附件4：合规性审查</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_Toc23588 \h </w:instrText>
      </w:r>
      <w:r>
        <w:rPr>
          <w:rFonts w:hint="eastAsia" w:ascii="仿宋" w:hAnsi="仿宋" w:eastAsia="仿宋" w:cs="仿宋"/>
          <w:b/>
          <w:bCs/>
        </w:rPr>
        <w:fldChar w:fldCharType="separate"/>
      </w:r>
      <w:r>
        <w:rPr>
          <w:rFonts w:hint="eastAsia" w:ascii="仿宋" w:hAnsi="仿宋" w:eastAsia="仿宋" w:cs="仿宋"/>
          <w:b/>
          <w:bCs/>
        </w:rPr>
        <w:t>44</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4"/>
        <w:keepNext w:val="0"/>
        <w:keepLines w:val="0"/>
        <w:pageBreakBefore w:val="0"/>
        <w:widowControl/>
        <w:tabs>
          <w:tab w:val="right" w:leader="dot" w:pos="8306"/>
        </w:tabs>
        <w:kinsoku/>
        <w:wordWrap/>
        <w:overflowPunct/>
        <w:topLinePunct w:val="0"/>
        <w:autoSpaceDE/>
        <w:autoSpaceDN/>
        <w:bidi w:val="0"/>
        <w:adjustRightInd/>
        <w:snapToGrid/>
        <w:spacing w:after="0" w:line="520" w:lineRule="exact"/>
        <w:textAlignment w:val="auto"/>
        <w:rPr>
          <w:rFonts w:ascii="Arial Narrow" w:hAnsi="Arial Narrow" w:eastAsia="仿宋_GB2312"/>
          <w:b w:val="0"/>
          <w:bCs w:val="0"/>
          <w:snapToGrid w:val="0"/>
          <w:sz w:val="30"/>
          <w:szCs w:val="30"/>
          <w:highlight w:val="yellow"/>
        </w:rPr>
        <w:sectPr>
          <w:headerReference r:id="rId5" w:type="default"/>
          <w:footerReference r:id="rId6" w:type="default"/>
          <w:type w:val="continuous"/>
          <w:pgSz w:w="11906" w:h="16838"/>
          <w:pgMar w:top="1440" w:right="1800" w:bottom="1440" w:left="1800" w:header="851" w:footer="992" w:gutter="0"/>
          <w:cols w:space="425" w:num="1"/>
          <w:docGrid w:type="lines" w:linePitch="312" w:charSpace="0"/>
        </w:sectPr>
      </w:pPr>
      <w:r>
        <w:rPr>
          <w:rFonts w:hint="eastAsia" w:ascii="仿宋" w:hAnsi="仿宋" w:eastAsia="仿宋" w:cs="仿宋"/>
          <w:bCs w:val="0"/>
          <w:szCs w:val="24"/>
          <w:highlight w:val="yellow"/>
        </w:rPr>
        <w:fldChar w:fldCharType="end"/>
      </w:r>
      <w:bookmarkStart w:id="2" w:name="_Toc515810984"/>
      <w:bookmarkStart w:id="3" w:name="_Toc516554764"/>
      <w:bookmarkStart w:id="4" w:name="_Toc516473299"/>
      <w:bookmarkStart w:id="5" w:name="_Toc515811929"/>
    </w:p>
    <w:bookmarkEnd w:id="2"/>
    <w:bookmarkEnd w:id="3"/>
    <w:bookmarkEnd w:id="4"/>
    <w:bookmarkEnd w:id="5"/>
    <w:p>
      <w:pPr>
        <w:pStyle w:val="17"/>
        <w:jc w:val="center"/>
        <w:rPr>
          <w:rFonts w:ascii="仿宋_GB2312" w:eastAsia="仿宋_GB2312"/>
          <w:snapToGrid w:val="0"/>
          <w:sz w:val="32"/>
          <w:szCs w:val="32"/>
        </w:rPr>
      </w:pPr>
      <w:bookmarkStart w:id="6" w:name="_Toc528603037"/>
      <w:bookmarkStart w:id="7" w:name="_Toc8704"/>
      <w:bookmarkStart w:id="8" w:name="_Toc195"/>
      <w:r>
        <w:rPr>
          <w:rFonts w:hint="eastAsia" w:ascii="黑体" w:hAnsi="黑体" w:cs="黑体"/>
          <w:b/>
          <w:bCs w:val="0"/>
          <w:kern w:val="2"/>
          <w:sz w:val="44"/>
          <w:szCs w:val="44"/>
        </w:rPr>
        <w:t>报告摘要</w:t>
      </w:r>
      <w:bookmarkEnd w:id="0"/>
      <w:bookmarkEnd w:id="6"/>
      <w:bookmarkEnd w:id="7"/>
      <w:bookmarkEnd w:id="8"/>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default"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一、项目概况</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9"/>
        <w:rPr>
          <w:rFonts w:hint="eastAsia" w:ascii="仿宋" w:hAnsi="仿宋" w:eastAsia="仿宋" w:cs="Times New Roman"/>
          <w:b/>
          <w:bCs/>
          <w:sz w:val="32"/>
          <w:szCs w:val="32"/>
          <w:lang w:val="zh-TW"/>
        </w:rPr>
      </w:pPr>
      <w:r>
        <w:rPr>
          <w:rFonts w:hint="eastAsia" w:ascii="仿宋" w:hAnsi="仿宋" w:eastAsia="仿宋" w:cs="Times New Roman"/>
          <w:b/>
          <w:bCs/>
          <w:sz w:val="32"/>
          <w:szCs w:val="32"/>
          <w:lang w:val="zh-TW" w:eastAsia="zh-CN"/>
        </w:rPr>
        <w:t>（</w:t>
      </w:r>
      <w:r>
        <w:rPr>
          <w:rFonts w:hint="eastAsia" w:ascii="仿宋" w:hAnsi="仿宋" w:eastAsia="仿宋" w:cs="Times New Roman"/>
          <w:b/>
          <w:bCs/>
          <w:sz w:val="32"/>
          <w:szCs w:val="32"/>
          <w:lang w:val="en-US" w:eastAsia="zh-CN"/>
        </w:rPr>
        <w:t>一</w:t>
      </w:r>
      <w:r>
        <w:rPr>
          <w:rFonts w:hint="eastAsia" w:ascii="仿宋" w:hAnsi="仿宋" w:eastAsia="仿宋" w:cs="Times New Roman"/>
          <w:b/>
          <w:bCs/>
          <w:sz w:val="32"/>
          <w:szCs w:val="32"/>
          <w:lang w:val="zh-TW" w:eastAsia="zh-CN"/>
        </w:rPr>
        <w:t>）</w:t>
      </w:r>
      <w:r>
        <w:rPr>
          <w:rFonts w:hint="eastAsia" w:ascii="仿宋" w:hAnsi="仿宋" w:eastAsia="仿宋" w:cs="Times New Roman"/>
          <w:b/>
          <w:bCs/>
          <w:sz w:val="32"/>
          <w:szCs w:val="32"/>
          <w:lang w:val="zh-TW"/>
        </w:rPr>
        <w:t>立项背景</w:t>
      </w:r>
    </w:p>
    <w:p>
      <w:pPr>
        <w:spacing w:line="500" w:lineRule="exact"/>
        <w:ind w:firstLine="560" w:firstLineChars="200"/>
        <w:rPr>
          <w:rFonts w:hint="default" w:ascii="Times New Roman" w:hAnsi="Times New Roman" w:eastAsia="仿宋" w:cs="Times New Roman"/>
          <w:kern w:val="0"/>
          <w:sz w:val="28"/>
          <w:szCs w:val="28"/>
          <w:shd w:val="clear" w:color="auto" w:fill="FFFFFF"/>
        </w:rPr>
      </w:pPr>
      <w:r>
        <w:rPr>
          <w:rFonts w:hint="default" w:ascii="Times New Roman" w:hAnsi="Times New Roman" w:eastAsia="仿宋" w:cs="Times New Roman"/>
          <w:kern w:val="0"/>
          <w:sz w:val="28"/>
          <w:szCs w:val="28"/>
          <w:shd w:val="clear" w:color="auto" w:fill="FFFFFF"/>
        </w:rPr>
        <w:t>采煤沉陷区综合治理是山西省委、省政府部署的煤炭供给侧结构性改革、全面建成小康社会中一项重要的德政工程、民生工程、民心工程。</w:t>
      </w:r>
    </w:p>
    <w:p>
      <w:pPr>
        <w:spacing w:line="500" w:lineRule="exact"/>
        <w:ind w:firstLine="560" w:firstLineChars="200"/>
        <w:rPr>
          <w:rFonts w:hint="default" w:ascii="Times New Roman" w:hAnsi="Times New Roman" w:eastAsia="仿宋" w:cs="Times New Roman"/>
          <w:kern w:val="0"/>
          <w:sz w:val="28"/>
          <w:szCs w:val="28"/>
          <w:shd w:val="clear" w:color="auto" w:fill="FFFFFF"/>
        </w:rPr>
      </w:pPr>
      <w:r>
        <w:rPr>
          <w:rFonts w:hint="default" w:ascii="Times New Roman" w:hAnsi="Times New Roman" w:eastAsia="仿宋" w:cs="Times New Roman"/>
          <w:kern w:val="0"/>
          <w:sz w:val="28"/>
          <w:szCs w:val="28"/>
          <w:shd w:val="clear" w:color="auto" w:fill="FFFFFF"/>
        </w:rPr>
        <w:t>为了进一步做好采煤沉陷区综合治理工作，切实改善人民群众的居住生活环境，提高采煤沉陷区土地质量、恢复矿山生态环境，使三晋大地呈现安居乐业的好景象、重现山清水秀的好风光，结合山西省实际，2016年6月21日山西省人民政府发出《关于印发山西省采煤沉陷区综合治理工作方案（2016-2018年）的通知》（晋政发〔2016〕31号）。按照《省发展改革委、财政厅、自然资源厅、生态环境厅关于加快采煤沉陷区综合治理工作的通知》（晋发改地区发〔2019〕514号）、《省财政厅关于提前下达2020年中央资源枯竭城市转移支付的通知》（晋财预〔2019〕70号）的具体要求，山西省自然资源厅《关于加快推进采煤沉陷区综合治理旧房拆除及土地复垦专项工作的通知》（晋自然资发〔2020〕21号）。</w:t>
      </w:r>
    </w:p>
    <w:p>
      <w:pPr>
        <w:spacing w:line="500" w:lineRule="exact"/>
        <w:ind w:firstLine="560" w:firstLineChars="200"/>
        <w:rPr>
          <w:rFonts w:hint="default" w:ascii="Times New Roman" w:hAnsi="Times New Roman" w:eastAsia="仿宋" w:cs="Times New Roman"/>
          <w:kern w:val="0"/>
          <w:sz w:val="28"/>
          <w:szCs w:val="28"/>
          <w:shd w:val="clear" w:color="auto" w:fill="FFFFFF"/>
        </w:rPr>
      </w:pPr>
      <w:r>
        <w:rPr>
          <w:rFonts w:hint="default" w:ascii="Times New Roman" w:hAnsi="Times New Roman" w:eastAsia="仿宋" w:cs="Times New Roman"/>
          <w:kern w:val="0"/>
          <w:sz w:val="28"/>
          <w:szCs w:val="28"/>
          <w:shd w:val="clear" w:color="auto" w:fill="FFFFFF"/>
        </w:rPr>
        <w:t>为全面贯彻上级精神，为社会经济发展及人民生产、生活提供土地保障，进一步改善生态环境，根据国家、省、市主管部门的具体要求，贯彻落实“十分珍惜、合理利用土地和切实保护耕地”的基本国策，从人民群众的根本利益出发，立足当地实际，古县开展了采煤沉陷区土地复垦工作。</w:t>
      </w:r>
    </w:p>
    <w:p>
      <w:pPr>
        <w:spacing w:line="574" w:lineRule="exact"/>
        <w:ind w:firstLine="560" w:firstLineChars="200"/>
        <w:rPr>
          <w:rFonts w:hint="eastAsia" w:ascii="黑体" w:hAnsi="黑体" w:eastAsia="黑体"/>
          <w:snapToGrid w:val="0"/>
          <w:sz w:val="32"/>
          <w:szCs w:val="32"/>
        </w:rPr>
      </w:pPr>
      <w:r>
        <w:rPr>
          <w:rFonts w:hint="default" w:ascii="Times New Roman" w:hAnsi="Times New Roman" w:eastAsia="仿宋" w:cs="Times New Roman"/>
          <w:kern w:val="0"/>
          <w:sz w:val="28"/>
          <w:szCs w:val="28"/>
          <w:shd w:val="clear" w:color="auto" w:fill="FFFFFF"/>
        </w:rPr>
        <w:t>古县采煤沉陷区旧房拆除和土地复垦项目涉及5个标段。按照《土地复垦条例》、《土地复垦条例实施办法》等土地复垦有关规定，古县自然资源局委托山西蓝德凯尔土地规划设计咨询有限公司编制了《临汾市古县古阳镇杏家庄村采煤沉陷区旧房拆除及土地复垦设计》</w:t>
      </w:r>
      <w:r>
        <w:rPr>
          <w:rFonts w:hint="eastAsia" w:ascii="Times New Roman" w:hAnsi="Times New Roman" w:eastAsia="仿宋" w:cs="Times New Roman"/>
          <w:sz w:val="28"/>
          <w:szCs w:val="24"/>
          <w:lang w:val="en-US" w:eastAsia="zh-CN"/>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9"/>
        <w:rPr>
          <w:rFonts w:hint="eastAsia" w:ascii="仿宋" w:hAnsi="仿宋" w:eastAsia="仿宋" w:cs="Times New Roman"/>
          <w:b/>
          <w:bCs/>
          <w:sz w:val="32"/>
          <w:szCs w:val="32"/>
          <w:lang w:val="zh-TW" w:eastAsia="zh-CN"/>
        </w:rPr>
      </w:pPr>
      <w:r>
        <w:rPr>
          <w:rFonts w:hint="eastAsia" w:ascii="仿宋" w:hAnsi="仿宋" w:eastAsia="仿宋" w:cs="Times New Roman"/>
          <w:b/>
          <w:bCs/>
          <w:sz w:val="32"/>
          <w:szCs w:val="32"/>
          <w:lang w:val="zh-TW" w:eastAsia="zh-CN"/>
        </w:rPr>
        <w:t>（</w:t>
      </w:r>
      <w:r>
        <w:rPr>
          <w:rFonts w:hint="eastAsia" w:ascii="仿宋" w:hAnsi="仿宋" w:eastAsia="仿宋" w:cs="Times New Roman"/>
          <w:b/>
          <w:bCs/>
          <w:sz w:val="32"/>
          <w:szCs w:val="32"/>
          <w:lang w:val="en-US" w:eastAsia="zh-CN"/>
        </w:rPr>
        <w:t>二</w:t>
      </w:r>
      <w:r>
        <w:rPr>
          <w:rFonts w:hint="eastAsia" w:ascii="仿宋" w:hAnsi="仿宋" w:eastAsia="仿宋" w:cs="Times New Roman"/>
          <w:b/>
          <w:bCs/>
          <w:sz w:val="32"/>
          <w:szCs w:val="32"/>
          <w:lang w:val="zh-TW" w:eastAsia="zh-CN"/>
        </w:rPr>
        <w:t>）预算资金内容</w:t>
      </w:r>
    </w:p>
    <w:p>
      <w:pPr>
        <w:pageBreakBefore w:val="0"/>
        <w:kinsoku/>
        <w:wordWrap/>
        <w:overflowPunct/>
        <w:topLinePunct w:val="0"/>
        <w:autoSpaceDE/>
        <w:autoSpaceDN/>
        <w:bidi w:val="0"/>
        <w:adjustRightInd/>
        <w:snapToGrid/>
        <w:spacing w:line="574" w:lineRule="exact"/>
        <w:ind w:firstLine="560" w:firstLineChars="200"/>
        <w:textAlignment w:val="auto"/>
        <w:outlineLvl w:val="9"/>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kern w:val="0"/>
          <w:sz w:val="28"/>
          <w:szCs w:val="28"/>
          <w:shd w:val="clear" w:color="auto" w:fill="FFFFFF"/>
          <w:lang w:val="en-US" w:eastAsia="zh-CN"/>
        </w:rPr>
        <w:t>采煤沉陷区旧房拆除和土地复垦项目涉及5个标段，5个标段及设计、监理中标总价为875.90万元。</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9"/>
        <w:rPr>
          <w:rFonts w:hint="eastAsia" w:ascii="仿宋" w:hAnsi="仿宋" w:eastAsia="仿宋" w:cs="Times New Roman"/>
          <w:b/>
          <w:bCs/>
          <w:sz w:val="32"/>
          <w:szCs w:val="32"/>
          <w:lang w:eastAsia="zh-CN"/>
        </w:rPr>
      </w:pPr>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三</w:t>
      </w:r>
      <w:r>
        <w:rPr>
          <w:rFonts w:hint="eastAsia" w:ascii="仿宋" w:hAnsi="仿宋" w:eastAsia="仿宋" w:cs="Times New Roman"/>
          <w:b/>
          <w:bCs/>
          <w:sz w:val="32"/>
          <w:szCs w:val="32"/>
          <w:lang w:eastAsia="zh-CN"/>
        </w:rPr>
        <w:t>）项目绩效目标</w:t>
      </w:r>
    </w:p>
    <w:p>
      <w:pPr>
        <w:spacing w:line="500" w:lineRule="exact"/>
        <w:ind w:firstLine="562" w:firstLineChars="200"/>
        <w:rPr>
          <w:rFonts w:hint="eastAsia" w:ascii="仿宋" w:hAnsi="仿宋" w:eastAsia="仿宋" w:cs="仿宋"/>
          <w:b/>
          <w:bCs/>
          <w:color w:val="000000"/>
          <w:kern w:val="0"/>
          <w:sz w:val="28"/>
          <w:szCs w:val="24"/>
          <w:lang w:val="en-US" w:eastAsia="zh-CN"/>
        </w:rPr>
      </w:pPr>
      <w:r>
        <w:rPr>
          <w:rFonts w:hint="eastAsia" w:ascii="仿宋" w:hAnsi="仿宋" w:eastAsia="仿宋" w:cs="仿宋"/>
          <w:b/>
          <w:bCs/>
          <w:color w:val="000000"/>
          <w:kern w:val="0"/>
          <w:sz w:val="28"/>
          <w:szCs w:val="24"/>
          <w:lang w:val="en-US" w:eastAsia="zh-CN"/>
        </w:rPr>
        <w:t>1、项目总体目标：</w:t>
      </w:r>
    </w:p>
    <w:p>
      <w:pPr>
        <w:spacing w:line="500" w:lineRule="exact"/>
        <w:ind w:firstLine="560" w:firstLineChars="200"/>
        <w:rPr>
          <w:rFonts w:hint="eastAsia" w:ascii="仿宋" w:hAnsi="仿宋" w:eastAsia="仿宋" w:cs="仿宋"/>
          <w:color w:val="000000"/>
          <w:kern w:val="0"/>
          <w:sz w:val="28"/>
          <w:szCs w:val="24"/>
          <w:highlight w:val="none"/>
          <w:lang w:val="en-US" w:eastAsia="zh-CN"/>
        </w:rPr>
      </w:pPr>
      <w:r>
        <w:rPr>
          <w:rFonts w:hint="eastAsia" w:ascii="Times New Roman" w:hAnsi="Times New Roman" w:eastAsia="仿宋" w:cs="Times New Roman"/>
          <w:kern w:val="0"/>
          <w:sz w:val="28"/>
          <w:szCs w:val="28"/>
          <w:shd w:val="clear" w:color="auto" w:fill="FFFFFF"/>
          <w:lang w:val="en-US" w:eastAsia="zh-CN"/>
        </w:rPr>
        <w:t>通过土地复垦，新增耕地面积，改善农业生产条件，实现农业产业升级；同时，使集体建设用地在布局和利用结构上实现优化和调整</w:t>
      </w:r>
      <w:r>
        <w:rPr>
          <w:rFonts w:hint="eastAsia" w:ascii="仿宋" w:hAnsi="仿宋" w:eastAsia="仿宋" w:cs="仿宋"/>
          <w:color w:val="000000"/>
          <w:kern w:val="0"/>
          <w:sz w:val="28"/>
          <w:szCs w:val="24"/>
          <w:lang w:val="en-US" w:eastAsia="zh-CN"/>
        </w:rPr>
        <w:t>。</w:t>
      </w:r>
    </w:p>
    <w:p>
      <w:pPr>
        <w:spacing w:line="500" w:lineRule="exact"/>
        <w:ind w:firstLine="562" w:firstLineChars="200"/>
        <w:rPr>
          <w:rFonts w:hint="eastAsia" w:ascii="Times New Roman" w:hAnsi="Times New Roman" w:eastAsia="仿宋" w:cs="Times New Roman"/>
          <w:b/>
          <w:bCs/>
          <w:color w:val="000000"/>
          <w:kern w:val="0"/>
          <w:sz w:val="28"/>
          <w:szCs w:val="24"/>
          <w:lang w:val="en-US" w:eastAsia="zh-CN"/>
        </w:rPr>
      </w:pPr>
      <w:r>
        <w:rPr>
          <w:rFonts w:hint="eastAsia" w:ascii="Times New Roman" w:hAnsi="Times New Roman" w:eastAsia="仿宋" w:cs="Times New Roman"/>
          <w:b/>
          <w:bCs/>
          <w:color w:val="000000"/>
          <w:kern w:val="0"/>
          <w:sz w:val="28"/>
          <w:szCs w:val="24"/>
          <w:lang w:val="en-US" w:eastAsia="zh-CN"/>
        </w:rPr>
        <w:t>2、项目阶段性目标：</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产出目标：</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建设内容完成率：100.00%；</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验收合格情况：100%，出具《验收报告》，验收合格；</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完成及时性：根据合同约定及时完成建设，及时验收；</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成本控制率：≥0.00%；</w:t>
      </w:r>
    </w:p>
    <w:p>
      <w:pPr>
        <w:spacing w:line="500" w:lineRule="exact"/>
        <w:ind w:firstLine="560" w:firstLineChars="200"/>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年纯收益提升：项目实施后，农田基础设施将会更加完备，耕地的生产力将会逐步提高，有利于农民应用先进的生产技术，改善农业生产结构，来提高产量和改善农产品种植结构，发展多种经营，降低生产成本和风险，从而增加农民收入，改善农民生活条件，促进农村经济的持续发展。项目完成后，可新增耕地4.1012Km，按照种植玉米产量600公斤/亩计算，单价2.2元/公斤，每亩毛收益1320元，亩均成本300元，每亩净收益可达1020元，新增耕地年净收益可达6.27万元。</w:t>
      </w:r>
    </w:p>
    <w:p>
      <w:pPr>
        <w:spacing w:line="500" w:lineRule="exact"/>
        <w:ind w:firstLine="560" w:firstLineChars="200"/>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新增耕地面积：≥4.1012公顷。</w:t>
      </w:r>
    </w:p>
    <w:p>
      <w:pPr>
        <w:spacing w:line="500" w:lineRule="exact"/>
        <w:ind w:firstLine="560" w:firstLineChars="200"/>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农业生产条件改善：改善农业生产条件，提高耕地质量，增加耕地产出率。本项目实施以后，项目区农业生产状况得到改善，耕地质量全面提高，从而增加耕地产出率。</w:t>
      </w:r>
    </w:p>
    <w:p>
      <w:pPr>
        <w:spacing w:line="500" w:lineRule="exact"/>
        <w:ind w:firstLine="560" w:firstLineChars="200"/>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水土保持：本项目通过工程措施，增施有机肥和土壤改良剂，土壤理化性状得到改善，提高土壤肥力水平，改善农作物生长环境，促进生态系统稳定和土地生产力的提高，同时恢复和新增林草地，增加林草植被覆盖，防治水土流失等。</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可持续影响：农业综合生产能力进一步得到提高，为建立现代农业奠定了良好的生态环境基础。有利于改善农业生产条件，耕地质量将得到全面改善，耕地产出效率将有所提高，促进土地资源的可持续利用；</w:t>
      </w:r>
    </w:p>
    <w:p>
      <w:pPr>
        <w:spacing w:line="574" w:lineRule="exact"/>
        <w:ind w:firstLine="560" w:firstLineChars="200"/>
        <w:rPr>
          <w:rFonts w:hint="eastAsia" w:ascii="Times New Roman" w:hAnsi="Times New Roman" w:eastAsia="仿宋" w:cs="Times New Roman"/>
          <w:b w:val="0"/>
          <w:bCs w:val="0"/>
          <w:sz w:val="28"/>
          <w:szCs w:val="24"/>
          <w:lang w:val="en-US" w:eastAsia="zh-CN"/>
        </w:rPr>
      </w:pPr>
      <w:r>
        <w:rPr>
          <w:rFonts w:hint="eastAsia" w:ascii="Times New Roman" w:hAnsi="Times New Roman" w:eastAsia="仿宋" w:cs="Times New Roman"/>
          <w:kern w:val="0"/>
          <w:sz w:val="28"/>
          <w:szCs w:val="28"/>
          <w:shd w:val="clear" w:color="auto" w:fill="FFFFFF"/>
          <w:lang w:val="en-US" w:eastAsia="zh-CN"/>
        </w:rPr>
        <w:t>服务对象满意度：≥90%</w:t>
      </w:r>
      <w:r>
        <w:rPr>
          <w:rFonts w:hint="eastAsia" w:ascii="Times New Roman" w:hAnsi="Times New Roman" w:eastAsia="仿宋" w:cs="Times New Roman"/>
          <w:b w:val="0"/>
          <w:bCs w:val="0"/>
          <w:sz w:val="28"/>
          <w:szCs w:val="24"/>
          <w:lang w:eastAsia="zh-CN"/>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二、评价结论</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依据项目基础信息统计，结合现场核查结果，按照评价小组制定并由专家组论证的评价指标体系，采煤沉陷区旧房拆除和土地复垦项目支出绩效评价综合得分74.00分，评价等级为“中”。</w:t>
      </w:r>
    </w:p>
    <w:p>
      <w:pPr>
        <w:widowControl/>
        <w:spacing w:line="574" w:lineRule="exact"/>
        <w:ind w:firstLine="560" w:firstLineChars="200"/>
        <w:rPr>
          <w:rFonts w:hint="default"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项目决策方面，</w:t>
      </w:r>
      <w:r>
        <w:rPr>
          <w:rFonts w:hint="eastAsia" w:ascii="Times New Roman" w:hAnsi="Times New Roman" w:eastAsia="仿宋" w:cs="Times New Roman"/>
          <w:bCs w:val="0"/>
          <w:kern w:val="2"/>
          <w:sz w:val="28"/>
          <w:szCs w:val="28"/>
          <w:lang w:val="en-US" w:eastAsia="zh-CN" w:bidi="ar-SA"/>
        </w:rPr>
        <w:t>项目按照规定的程序申请设立，采煤沉陷区旧房拆除和土地复垦项目落实了省委、省政府采煤沉陷区综合治理工作思路</w:t>
      </w:r>
      <w:r>
        <w:rPr>
          <w:rFonts w:hint="eastAsia" w:ascii="Times New Roman" w:hAnsi="Times New Roman" w:eastAsia="仿宋" w:cs="Times New Roman"/>
          <w:kern w:val="0"/>
          <w:sz w:val="28"/>
          <w:szCs w:val="24"/>
          <w:lang w:val="en-US" w:eastAsia="zh-CN" w:bidi="ar-SA"/>
        </w:rPr>
        <w:t>，项目依据充分，立项程序规范，绩效目标合理，绩效指标明确，资金分配合理、预算编制科学。</w:t>
      </w:r>
    </w:p>
    <w:p>
      <w:pPr>
        <w:widowControl/>
        <w:spacing w:line="574" w:lineRule="exact"/>
        <w:ind w:firstLine="560" w:firstLineChars="200"/>
        <w:rPr>
          <w:rFonts w:hint="default"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项目过程方面，预算资金到位率100.00%，资金使用合规，财务管理制度健全，预算执行率达标，但项目实施管理有待加强。</w:t>
      </w:r>
    </w:p>
    <w:p>
      <w:pPr>
        <w:widowControl/>
        <w:spacing w:line="574" w:lineRule="exact"/>
        <w:ind w:firstLine="560" w:firstLineChars="200"/>
        <w:rPr>
          <w:rFonts w:hint="default"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项目产出方面，采煤沉陷区旧房拆除和土地复垦项目内容尚未实施完成，项目尚未验收。</w:t>
      </w:r>
    </w:p>
    <w:p>
      <w:pPr>
        <w:spacing w:line="574" w:lineRule="exact"/>
        <w:ind w:firstLine="560" w:firstLineChars="200"/>
        <w:rPr>
          <w:rFonts w:ascii="仿宋_GB2312" w:eastAsia="仿宋_GB2312"/>
          <w:snapToGrid w:val="0"/>
          <w:sz w:val="32"/>
          <w:szCs w:val="32"/>
        </w:rPr>
      </w:pPr>
      <w:r>
        <w:rPr>
          <w:rFonts w:hint="eastAsia" w:ascii="Times New Roman" w:hAnsi="Times New Roman" w:eastAsia="仿宋" w:cs="Times New Roman"/>
          <w:kern w:val="0"/>
          <w:sz w:val="28"/>
          <w:szCs w:val="24"/>
          <w:lang w:val="en-US" w:eastAsia="zh-CN" w:bidi="ar-SA"/>
        </w:rPr>
        <w:t>项目效益方面，项目预期经济效益良好，预期社会效益良好，预期生态效益良好，项目具备可持续性，受益对象满意度较高</w:t>
      </w:r>
      <w:r>
        <w:rPr>
          <w:rFonts w:hint="eastAsia" w:ascii="仿宋" w:hAnsi="仿宋" w:eastAsia="仿宋" w:cs="仿宋"/>
          <w:sz w:val="28"/>
          <w:szCs w:val="28"/>
          <w:lang w:val="en-US" w:eastAsia="zh-CN"/>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三、存在问题</w:t>
      </w:r>
    </w:p>
    <w:p>
      <w:pPr>
        <w:spacing w:line="574" w:lineRule="exact"/>
        <w:ind w:firstLine="562" w:firstLineChars="200"/>
        <w:rPr>
          <w:rFonts w:hint="default" w:ascii="仿宋" w:hAnsi="仿宋" w:eastAsia="仿宋" w:cs="仿宋"/>
          <w:b/>
          <w:bCs w:val="0"/>
          <w:snapToGrid w:val="0"/>
          <w:sz w:val="28"/>
          <w:szCs w:val="28"/>
          <w:lang w:val="en-US" w:eastAsia="zh-CN"/>
        </w:rPr>
      </w:pPr>
      <w:r>
        <w:rPr>
          <w:rFonts w:hint="eastAsia" w:ascii="仿宋" w:hAnsi="仿宋" w:eastAsia="仿宋" w:cs="仿宋"/>
          <w:b/>
          <w:bCs w:val="0"/>
          <w:snapToGrid w:val="0"/>
          <w:sz w:val="28"/>
          <w:szCs w:val="28"/>
          <w:lang w:val="en-US" w:eastAsia="zh-CN"/>
        </w:rPr>
        <w:t>1、实施单位项目进度管理不到位，项目资金未按合同约定支付。</w:t>
      </w:r>
    </w:p>
    <w:p>
      <w:pPr>
        <w:spacing w:line="574" w:lineRule="exact"/>
        <w:ind w:firstLine="560" w:firstLineChars="200"/>
        <w:rPr>
          <w:rFonts w:hint="default" w:ascii="仿宋" w:hAnsi="仿宋" w:eastAsia="仿宋" w:cs="仿宋"/>
          <w:b/>
          <w:bCs w:val="0"/>
          <w:snapToGrid w:val="0"/>
          <w:sz w:val="28"/>
          <w:szCs w:val="28"/>
          <w:lang w:val="en-US" w:eastAsia="zh-CN"/>
        </w:rPr>
      </w:pPr>
      <w:r>
        <w:rPr>
          <w:rFonts w:hint="eastAsia" w:ascii="Times New Roman" w:hAnsi="Times New Roman" w:eastAsia="仿宋" w:cs="Times New Roman"/>
          <w:bCs w:val="0"/>
          <w:kern w:val="2"/>
          <w:sz w:val="28"/>
          <w:szCs w:val="28"/>
          <w:lang w:val="en-US" w:eastAsia="zh-CN" w:bidi="ar-SA"/>
        </w:rPr>
        <w:t>（1）项目涉及的5个子项目均未按期完成，未见古县自然资源局督促、协调施工方加快实施项目相关印证资料；（2）项目资金支付未按照合同约定的支付比例执行，5个标段合同约定的支付方式：预付款30%，工程完成后支付总价的50%；通过验收后支付总价的15%，通过验收后满一年支付总价的5%；实际5个标段已资金支付比例分别为69.91%、70.69%、70.18%、70.23%、70.18%；项目未完工，按照合同约定只能支付30%预付款。</w:t>
      </w:r>
    </w:p>
    <w:p>
      <w:pPr>
        <w:numPr>
          <w:ilvl w:val="0"/>
          <w:numId w:val="0"/>
        </w:numPr>
        <w:spacing w:line="574" w:lineRule="exact"/>
        <w:ind w:firstLine="562" w:firstLineChars="200"/>
        <w:rPr>
          <w:rFonts w:hint="eastAsia" w:ascii="仿宋" w:hAnsi="仿宋" w:eastAsia="仿宋" w:cs="仿宋"/>
          <w:b/>
          <w:bCs/>
          <w:snapToGrid w:val="0"/>
          <w:sz w:val="28"/>
          <w:szCs w:val="28"/>
          <w:lang w:val="en-US" w:eastAsia="zh-CN"/>
        </w:rPr>
      </w:pPr>
      <w:r>
        <w:rPr>
          <w:rFonts w:hint="eastAsia" w:ascii="仿宋" w:hAnsi="仿宋" w:eastAsia="仿宋" w:cs="仿宋"/>
          <w:b/>
          <w:bCs/>
          <w:snapToGrid w:val="0"/>
          <w:sz w:val="28"/>
          <w:szCs w:val="28"/>
          <w:lang w:val="en-US" w:eastAsia="zh-CN"/>
        </w:rPr>
        <w:t>2、项目延期时间较长。</w:t>
      </w:r>
    </w:p>
    <w:p>
      <w:pPr>
        <w:spacing w:line="574" w:lineRule="exact"/>
        <w:ind w:firstLine="560" w:firstLineChars="200"/>
        <w:rPr>
          <w:rFonts w:hint="eastAsia" w:ascii="仿宋" w:hAnsi="仿宋" w:eastAsia="仿宋" w:cs="仿宋"/>
          <w:b w:val="0"/>
          <w:bCs/>
          <w:snapToGrid w:val="0"/>
          <w:sz w:val="28"/>
          <w:szCs w:val="28"/>
          <w:lang w:val="en-US" w:eastAsia="zh-CN"/>
        </w:rPr>
      </w:pPr>
      <w:r>
        <w:rPr>
          <w:rFonts w:hint="eastAsia" w:ascii="Times New Roman" w:hAnsi="Times New Roman" w:eastAsia="仿宋" w:cs="Times New Roman"/>
          <w:bCs w:val="0"/>
          <w:kern w:val="2"/>
          <w:sz w:val="28"/>
          <w:szCs w:val="28"/>
          <w:lang w:val="en-US" w:eastAsia="zh-CN" w:bidi="ar-SA"/>
        </w:rPr>
        <w:t>采煤沉陷区旧房拆除和土地复垦项目涉及的5个标段计划开竣工时间均为2021年12月20日至2022年2月18日，5个标段项目均未及时完工，项目延期时间较长</w:t>
      </w:r>
      <w:r>
        <w:rPr>
          <w:rFonts w:hint="eastAsia" w:ascii="仿宋" w:hAnsi="仿宋" w:eastAsia="仿宋" w:cs="仿宋"/>
          <w:b w:val="0"/>
          <w:bCs/>
          <w:snapToGrid w:val="0"/>
          <w:sz w:val="28"/>
          <w:szCs w:val="28"/>
          <w:lang w:val="en-US" w:eastAsia="zh-CN"/>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四、改进措施</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lang w:val="en-US" w:eastAsia="zh-CN"/>
        </w:rPr>
        <w:sectPr>
          <w:footerReference r:id="rId7" w:type="default"/>
          <w:pgSz w:w="11906" w:h="16838"/>
          <w:pgMar w:top="1440" w:right="1800" w:bottom="1440" w:left="1800" w:header="851" w:footer="992" w:gutter="0"/>
          <w:pgNumType w:fmt="decimal" w:start="1"/>
          <w:cols w:space="425" w:num="1"/>
          <w:docGrid w:type="lines" w:linePitch="312" w:charSpace="0"/>
        </w:sectPr>
      </w:pPr>
      <w:bookmarkStart w:id="9" w:name="_Toc515810986"/>
      <w:bookmarkStart w:id="10" w:name="_Toc514537327"/>
      <w:bookmarkStart w:id="11" w:name="_Toc516554766"/>
      <w:bookmarkStart w:id="12" w:name="_Toc515811931"/>
      <w:bookmarkStart w:id="13" w:name="_Toc516237635"/>
      <w:bookmarkStart w:id="14" w:name="_Toc516473301"/>
    </w:p>
    <w:bookmarkEnd w:id="9"/>
    <w:bookmarkEnd w:id="10"/>
    <w:bookmarkEnd w:id="11"/>
    <w:bookmarkEnd w:id="12"/>
    <w:bookmarkEnd w:id="13"/>
    <w:bookmarkEnd w:id="14"/>
    <w:p>
      <w:pPr>
        <w:spacing w:line="574" w:lineRule="exact"/>
        <w:ind w:firstLine="562" w:firstLineChars="200"/>
        <w:rPr>
          <w:rFonts w:hint="default" w:ascii="Times New Roman" w:hAnsi="Times New Roman" w:eastAsia="仿宋"/>
          <w:b w:val="0"/>
          <w:bCs/>
          <w:snapToGrid w:val="0"/>
          <w:sz w:val="28"/>
          <w:szCs w:val="32"/>
          <w:lang w:val="en-US" w:eastAsia="zh-CN"/>
        </w:rPr>
      </w:pPr>
      <w:r>
        <w:rPr>
          <w:rFonts w:hint="eastAsia" w:ascii="Times New Roman" w:hAnsi="Times New Roman" w:eastAsia="仿宋"/>
          <w:b/>
          <w:bCs w:val="0"/>
          <w:snapToGrid w:val="0"/>
          <w:sz w:val="28"/>
          <w:szCs w:val="32"/>
          <w:lang w:val="en-US" w:eastAsia="zh-CN"/>
        </w:rPr>
        <w:t>1、加强项目监督，及时督促施工方按期履约。</w:t>
      </w:r>
    </w:p>
    <w:p>
      <w:pPr>
        <w:spacing w:line="574" w:lineRule="exact"/>
        <w:ind w:firstLine="560" w:firstLineChars="200"/>
        <w:rPr>
          <w:rFonts w:hint="default" w:ascii="Times New Roman" w:hAnsi="Times New Roman" w:eastAsia="仿宋"/>
          <w:b w:val="0"/>
          <w:bCs/>
          <w:snapToGrid w:val="0"/>
          <w:sz w:val="28"/>
          <w:szCs w:val="32"/>
          <w:lang w:val="en-US" w:eastAsia="zh-CN"/>
        </w:rPr>
      </w:pPr>
      <w:r>
        <w:rPr>
          <w:rFonts w:hint="eastAsia" w:ascii="Times New Roman" w:hAnsi="Times New Roman" w:eastAsia="仿宋"/>
          <w:b w:val="0"/>
          <w:bCs/>
          <w:snapToGrid w:val="0"/>
          <w:sz w:val="28"/>
          <w:szCs w:val="32"/>
          <w:lang w:val="en-US" w:eastAsia="zh-CN"/>
        </w:rPr>
        <w:t>建议古县自然资源局加强项目监督，加强项目进度管理，及时督促施工方按期履约；同时，明确违约处罚条款，对于施工方延期时间过长的情况，采用扣减施工费用等惩戒措施，倒逼施工方加快项目进度。</w:t>
      </w:r>
    </w:p>
    <w:p>
      <w:pPr>
        <w:spacing w:line="574" w:lineRule="exact"/>
        <w:ind w:firstLine="562" w:firstLineChars="200"/>
        <w:rPr>
          <w:rFonts w:hint="default" w:ascii="仿宋" w:hAnsi="仿宋" w:eastAsia="仿宋" w:cs="仿宋"/>
          <w:b/>
          <w:bCs/>
          <w:snapToGrid w:val="0"/>
          <w:sz w:val="28"/>
          <w:szCs w:val="28"/>
          <w:lang w:val="en-US" w:eastAsia="zh-CN"/>
        </w:rPr>
      </w:pPr>
      <w:r>
        <w:rPr>
          <w:rFonts w:hint="eastAsia" w:ascii="仿宋" w:hAnsi="仿宋" w:eastAsia="仿宋" w:cs="仿宋"/>
          <w:b/>
          <w:bCs/>
          <w:snapToGrid w:val="0"/>
          <w:sz w:val="28"/>
          <w:szCs w:val="28"/>
          <w:lang w:val="en-US" w:eastAsia="zh-CN"/>
        </w:rPr>
        <w:t>2、严格执行项目合同约定，避免财政资金使用风险。</w:t>
      </w:r>
    </w:p>
    <w:p>
      <w:pPr>
        <w:spacing w:line="574" w:lineRule="exact"/>
        <w:ind w:firstLine="560" w:firstLineChars="200"/>
        <w:rPr>
          <w:rFonts w:hint="eastAsia" w:ascii="Times New Roman" w:hAnsi="Times New Roman" w:eastAsia="仿宋"/>
          <w:b w:val="0"/>
          <w:bCs/>
          <w:snapToGrid w:val="0"/>
          <w:sz w:val="28"/>
          <w:szCs w:val="32"/>
          <w:lang w:val="en-US" w:eastAsia="zh-CN"/>
        </w:rPr>
      </w:pPr>
      <w:r>
        <w:rPr>
          <w:rFonts w:hint="eastAsia" w:ascii="仿宋" w:hAnsi="仿宋" w:eastAsia="仿宋" w:cs="仿宋"/>
          <w:b w:val="0"/>
          <w:bCs w:val="0"/>
          <w:snapToGrid w:val="0"/>
          <w:sz w:val="28"/>
          <w:szCs w:val="28"/>
          <w:lang w:val="en-US" w:eastAsia="zh-CN"/>
        </w:rPr>
        <w:t>建议古县自然资源局严格履行合同约定的资金支付比例，预付款30%，工程完成后支付总价的50%；通过验收后支付总价的15%，通过验收后满一年支付总价的5%；避免资金支付与合同约定不一致造成的财政资金使用风险</w:t>
      </w:r>
      <w:r>
        <w:rPr>
          <w:rFonts w:hint="eastAsia" w:ascii="Times New Roman" w:hAnsi="Times New Roman" w:eastAsia="仿宋"/>
          <w:b w:val="0"/>
          <w:bCs/>
          <w:snapToGrid w:val="0"/>
          <w:sz w:val="28"/>
          <w:szCs w:val="32"/>
          <w:lang w:val="en-US" w:eastAsia="zh-CN"/>
        </w:rPr>
        <w:t>。</w:t>
      </w:r>
    </w:p>
    <w:p>
      <w:pPr>
        <w:spacing w:line="574" w:lineRule="exact"/>
        <w:ind w:firstLine="560" w:firstLineChars="200"/>
        <w:rPr>
          <w:rFonts w:hint="eastAsia" w:ascii="Times New Roman" w:hAnsi="Times New Roman" w:eastAsia="仿宋"/>
          <w:b w:val="0"/>
          <w:bCs/>
          <w:snapToGrid w:val="0"/>
          <w:sz w:val="28"/>
          <w:szCs w:val="32"/>
          <w:lang w:val="en-US" w:eastAsia="zh-CN"/>
        </w:rPr>
        <w:sectPr>
          <w:type w:val="continuous"/>
          <w:pgSz w:w="11906" w:h="16838"/>
          <w:pgMar w:top="1440" w:right="1800" w:bottom="1440" w:left="1800" w:header="851" w:footer="992" w:gutter="0"/>
          <w:pgNumType w:fmt="decimal"/>
          <w:cols w:space="425" w:num="1"/>
          <w:docGrid w:type="lines" w:linePitch="312" w:charSpace="0"/>
        </w:sectPr>
      </w:pPr>
    </w:p>
    <w:p>
      <w:pPr>
        <w:pStyle w:val="17"/>
        <w:keepNext w:val="0"/>
        <w:keepLines w:val="0"/>
        <w:pageBreakBefore w:val="0"/>
        <w:widowControl w:val="0"/>
        <w:kinsoku/>
        <w:wordWrap/>
        <w:overflowPunct/>
        <w:topLinePunct w:val="0"/>
        <w:autoSpaceDE/>
        <w:autoSpaceDN/>
        <w:bidi w:val="0"/>
        <w:adjustRightInd/>
        <w:snapToGrid/>
        <w:jc w:val="center"/>
        <w:textAlignment w:val="auto"/>
        <w:outlineLvl w:val="9"/>
      </w:pPr>
      <w:bookmarkStart w:id="15" w:name="_Toc24930"/>
      <w:bookmarkStart w:id="16" w:name="_Toc13723"/>
      <w:bookmarkStart w:id="17" w:name="_Toc4007"/>
      <w:bookmarkStart w:id="18" w:name="_Toc4980"/>
      <w:bookmarkStart w:id="19" w:name="_Toc23604"/>
      <w:bookmarkStart w:id="20" w:name="_Toc4940"/>
      <w:bookmarkStart w:id="21" w:name="_Toc10211"/>
      <w:bookmarkStart w:id="22" w:name="_Toc12847"/>
      <w:r>
        <w:rPr>
          <w:rFonts w:hint="eastAsia" w:ascii="黑体" w:hAnsi="黑体" w:cs="黑体"/>
          <w:b/>
          <w:bCs w:val="0"/>
          <w:kern w:val="2"/>
          <w:sz w:val="44"/>
          <w:szCs w:val="44"/>
          <w:lang w:eastAsia="zh-CN"/>
        </w:rPr>
        <w:t>采煤沉陷区旧房拆除和土地复垦项目</w:t>
      </w:r>
      <w:r>
        <w:rPr>
          <w:rFonts w:hint="eastAsia" w:ascii="黑体" w:hAnsi="黑体" w:cs="黑体"/>
          <w:b/>
          <w:bCs w:val="0"/>
          <w:kern w:val="2"/>
          <w:sz w:val="44"/>
          <w:szCs w:val="44"/>
        </w:rPr>
        <w:t>支出绩效评价报告</w:t>
      </w:r>
      <w:bookmarkEnd w:id="15"/>
      <w:bookmarkEnd w:id="16"/>
      <w:bookmarkEnd w:id="17"/>
      <w:bookmarkEnd w:id="18"/>
      <w:bookmarkEnd w:id="19"/>
      <w:bookmarkEnd w:id="20"/>
      <w:bookmarkEnd w:id="21"/>
      <w:bookmarkEnd w:id="22"/>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受古县财政局委托，山西恒略绩效管理咨询有限公司承担对采煤沉陷区旧房拆除和土地复垦项目绩效评价工作。根据《中华人民共和国预算法》、《财政部关于印发&lt;项目支出绩效评价管理办法&gt;的通知》（财预〔2020〕10号）、《中共中央国务院关于全面实施预算绩效管理的意见》(中发〔2018〕34号)、《中共山西省委 山西省人民政府关于全面实施预算绩效管理的实施意见》（晋发〔2018〕39号）、《古县财政局关于印发&lt;2022年度财政重点绩效评价实施方案&gt;的通知》（古财字〔2022〕27号）等文件精神的要求，我们按照财政支出绩效评价的评价标准、评价方法和依据本项目特点制定的评价指标，对评价对象的绩效情况进行全面的分析和综合评价，形成了本报告。</w:t>
      </w:r>
    </w:p>
    <w:p>
      <w:pPr>
        <w:spacing w:line="500" w:lineRule="exact"/>
        <w:ind w:firstLine="560" w:firstLineChars="200"/>
        <w:rPr>
          <w:rFonts w:hint="default" w:ascii="Times New Roman" w:hAnsi="Times New Roman" w:eastAsia="仿宋" w:cs="Times New Roman"/>
          <w:snapToGrid w:val="0"/>
          <w:sz w:val="28"/>
          <w:szCs w:val="28"/>
        </w:rPr>
      </w:pPr>
      <w:r>
        <w:rPr>
          <w:rFonts w:hint="eastAsia" w:ascii="Times New Roman" w:hAnsi="Times New Roman" w:eastAsia="仿宋" w:cs="Times New Roman"/>
          <w:sz w:val="28"/>
          <w:szCs w:val="24"/>
          <w:lang w:val="en-US" w:eastAsia="zh-CN"/>
        </w:rPr>
        <w:t>本次绩效评价工作反映了采煤沉陷区旧房拆除和土地复垦项目在决策、过程、产出和效益四个方面的情况，并对项目实施中存在的问题提出改进建议，以期在今后的工作中进一步完善工作流程，提高资金绩效水平。现将绩效评价情况及评价结果报告如下</w:t>
      </w:r>
      <w:r>
        <w:rPr>
          <w:rFonts w:hint="default" w:ascii="Times New Roman" w:hAnsi="Times New Roman" w:eastAsia="仿宋" w:cs="Times New Roman"/>
          <w:snapToGrid w:val="0"/>
          <w:sz w:val="28"/>
          <w:szCs w:val="28"/>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ascii="Times New Roman" w:hAnsi="Times New Roman" w:eastAsia="黑体" w:cs="Times New Roman"/>
          <w:bCs/>
          <w:kern w:val="44"/>
          <w:sz w:val="32"/>
          <w:szCs w:val="32"/>
        </w:rPr>
      </w:pPr>
      <w:bookmarkStart w:id="23" w:name="_Toc29253"/>
      <w:r>
        <w:rPr>
          <w:rFonts w:hint="eastAsia" w:ascii="Times New Roman" w:hAnsi="Times New Roman" w:eastAsia="黑体" w:cs="Times New Roman"/>
          <w:bCs/>
          <w:kern w:val="44"/>
          <w:sz w:val="32"/>
          <w:szCs w:val="32"/>
        </w:rPr>
        <w:t>一、项目基本情况</w:t>
      </w:r>
      <w:bookmarkEnd w:id="1"/>
      <w:bookmarkEnd w:id="23"/>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ascii="仿宋" w:hAnsi="仿宋" w:eastAsia="仿宋" w:cs="Times New Roman"/>
          <w:b/>
          <w:bCs/>
          <w:sz w:val="32"/>
          <w:szCs w:val="32"/>
        </w:rPr>
      </w:pPr>
      <w:bookmarkStart w:id="24" w:name="_Toc514537329"/>
      <w:bookmarkStart w:id="25" w:name="_Toc2057"/>
      <w:r>
        <w:rPr>
          <w:rFonts w:hint="eastAsia" w:ascii="仿宋" w:hAnsi="仿宋" w:eastAsia="仿宋" w:cs="Times New Roman"/>
          <w:b/>
          <w:bCs/>
          <w:sz w:val="32"/>
          <w:szCs w:val="32"/>
        </w:rPr>
        <w:t>（一）项目</w:t>
      </w:r>
      <w:bookmarkEnd w:id="24"/>
      <w:r>
        <w:rPr>
          <w:rFonts w:hint="eastAsia" w:ascii="仿宋" w:hAnsi="仿宋" w:eastAsia="仿宋" w:cs="Times New Roman"/>
          <w:b/>
          <w:bCs/>
          <w:sz w:val="32"/>
          <w:szCs w:val="32"/>
        </w:rPr>
        <w:t>背景及概况</w:t>
      </w:r>
      <w:bookmarkEnd w:id="25"/>
    </w:p>
    <w:p>
      <w:pPr>
        <w:spacing w:line="500" w:lineRule="exact"/>
        <w:ind w:firstLine="560" w:firstLineChars="200"/>
        <w:rPr>
          <w:rFonts w:hint="default" w:ascii="Times New Roman" w:hAnsi="Times New Roman" w:eastAsia="仿宋" w:cs="Times New Roman"/>
          <w:kern w:val="0"/>
          <w:sz w:val="28"/>
          <w:szCs w:val="28"/>
          <w:shd w:val="clear" w:color="auto" w:fill="FFFFFF"/>
        </w:rPr>
      </w:pPr>
      <w:bookmarkStart w:id="26" w:name="_Toc514537330"/>
      <w:r>
        <w:rPr>
          <w:rFonts w:hint="default" w:ascii="Times New Roman" w:hAnsi="Times New Roman" w:eastAsia="仿宋" w:cs="Times New Roman"/>
          <w:kern w:val="0"/>
          <w:sz w:val="28"/>
          <w:szCs w:val="28"/>
          <w:shd w:val="clear" w:color="auto" w:fill="FFFFFF"/>
        </w:rPr>
        <w:t>采煤沉陷区综合治理是山西省委、省政府部署的煤炭供给侧结构性改革、全面建成小康社会中一项重要的德政工程、民生工程、民心工程。</w:t>
      </w:r>
    </w:p>
    <w:p>
      <w:pPr>
        <w:spacing w:line="500" w:lineRule="exact"/>
        <w:ind w:firstLine="560" w:firstLineChars="200"/>
        <w:rPr>
          <w:rFonts w:hint="default" w:ascii="Times New Roman" w:hAnsi="Times New Roman" w:eastAsia="仿宋" w:cs="Times New Roman"/>
          <w:kern w:val="0"/>
          <w:sz w:val="28"/>
          <w:szCs w:val="28"/>
          <w:shd w:val="clear" w:color="auto" w:fill="FFFFFF"/>
        </w:rPr>
      </w:pPr>
      <w:r>
        <w:rPr>
          <w:rFonts w:hint="default" w:ascii="Times New Roman" w:hAnsi="Times New Roman" w:eastAsia="仿宋" w:cs="Times New Roman"/>
          <w:kern w:val="0"/>
          <w:sz w:val="28"/>
          <w:szCs w:val="28"/>
          <w:shd w:val="clear" w:color="auto" w:fill="FFFFFF"/>
        </w:rPr>
        <w:t>为了进一步做好采煤沉陷区综合治理工作，切实改善人民群众的居住生活环境，提高采煤沉陷区土地质量、恢复矿山生态环境，使三晋大地呈现安居乐业的好景象、重现山清水秀的好风光，结合山西省实际，2016年6月21日山西省人民政府发出《关于印发山西省采煤沉陷区综合治理工作方案（2016-2018年）的通知》（晋政发〔2016〕31号）。按照《省发展改革委、财政厅、自然资源厅、生态环境厅关于加快采煤沉陷区综合治理工作的通知》（晋发改地区发〔2019〕514号）、《省财政厅关于提前下达2020年中央资源枯竭城市转移支付的通知》（晋财预〔2019〕70号）的具体要求，山西省自然资源厅《关于加快推进采煤沉陷区综合治理旧房拆除及土地复垦专项工作的通知》（晋自然资发〔2020〕21号）。</w:t>
      </w:r>
    </w:p>
    <w:p>
      <w:pPr>
        <w:spacing w:line="500" w:lineRule="exact"/>
        <w:ind w:firstLine="560" w:firstLineChars="200"/>
        <w:rPr>
          <w:rFonts w:hint="default" w:ascii="Times New Roman" w:hAnsi="Times New Roman" w:eastAsia="仿宋" w:cs="Times New Roman"/>
          <w:kern w:val="0"/>
          <w:sz w:val="28"/>
          <w:szCs w:val="28"/>
          <w:shd w:val="clear" w:color="auto" w:fill="FFFFFF"/>
        </w:rPr>
      </w:pPr>
      <w:r>
        <w:rPr>
          <w:rFonts w:hint="default" w:ascii="Times New Roman" w:hAnsi="Times New Roman" w:eastAsia="仿宋" w:cs="Times New Roman"/>
          <w:kern w:val="0"/>
          <w:sz w:val="28"/>
          <w:szCs w:val="28"/>
          <w:shd w:val="clear" w:color="auto" w:fill="FFFFFF"/>
        </w:rPr>
        <w:t>为全面贯彻上级精神，为社会经济发展及人民生产、生活提供土地保障，进一步改善生态环境，根据国家、省、市主管部门的具体要求，贯彻落实“十分珍惜、合理利用土地和切实保护耕地”的基本国策，从人民群众的根本利益出发，立足当地实际，古县开展了采煤沉陷区土地复垦工作。</w:t>
      </w:r>
    </w:p>
    <w:p>
      <w:pPr>
        <w:spacing w:line="500" w:lineRule="exact"/>
        <w:ind w:firstLine="560" w:firstLineChars="200"/>
        <w:rPr>
          <w:rFonts w:hint="default" w:ascii="Times New Roman" w:hAnsi="Times New Roman" w:eastAsia="仿宋" w:cs="Times New Roman"/>
          <w:sz w:val="28"/>
          <w:szCs w:val="24"/>
          <w:lang w:val="en-US" w:eastAsia="zh-CN"/>
        </w:rPr>
      </w:pPr>
      <w:r>
        <w:rPr>
          <w:rFonts w:hint="default" w:ascii="Times New Roman" w:hAnsi="Times New Roman" w:eastAsia="仿宋" w:cs="Times New Roman"/>
          <w:kern w:val="0"/>
          <w:sz w:val="28"/>
          <w:szCs w:val="28"/>
          <w:shd w:val="clear" w:color="auto" w:fill="FFFFFF"/>
        </w:rPr>
        <w:t>古县采煤沉陷区旧房拆除和土地复垦项目涉及5个标段。按照《土地复垦条例》、《土地复垦条例实施办法》等土地复垦有关规定，古县自然资源局委托山西蓝德凯尔土地规划设计咨询有限公司编制了《临汾市古县古阳镇杏家庄村采煤沉陷区旧房拆除及土地复垦设计》</w:t>
      </w:r>
      <w:r>
        <w:rPr>
          <w:rFonts w:hint="eastAsia" w:ascii="Times New Roman" w:hAnsi="Times New Roman" w:eastAsia="仿宋" w:cs="Times New Roman"/>
          <w:sz w:val="28"/>
          <w:szCs w:val="24"/>
          <w:lang w:val="en-US" w:eastAsia="zh-CN"/>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27" w:name="_Toc2912"/>
      <w:r>
        <w:rPr>
          <w:rFonts w:hint="eastAsia" w:ascii="仿宋" w:hAnsi="仿宋" w:eastAsia="仿宋" w:cs="Times New Roman"/>
          <w:b/>
          <w:bCs/>
          <w:sz w:val="32"/>
          <w:szCs w:val="32"/>
        </w:rPr>
        <w:t>（二）预算资金来源与资金使用</w:t>
      </w:r>
      <w:bookmarkEnd w:id="26"/>
      <w:r>
        <w:rPr>
          <w:rFonts w:hint="eastAsia" w:ascii="仿宋" w:hAnsi="仿宋" w:eastAsia="仿宋" w:cs="Times New Roman"/>
          <w:b/>
          <w:bCs/>
          <w:sz w:val="32"/>
          <w:szCs w:val="32"/>
          <w:lang w:val="en-US" w:eastAsia="zh-CN"/>
        </w:rPr>
        <w:t>情况</w:t>
      </w:r>
      <w:bookmarkEnd w:id="27"/>
    </w:p>
    <w:p>
      <w:pPr>
        <w:spacing w:line="500" w:lineRule="exact"/>
        <w:ind w:firstLine="562" w:firstLineChars="200"/>
        <w:rPr>
          <w:rFonts w:hint="default" w:ascii="Times New Roman" w:hAnsi="Times New Roman" w:eastAsia="仿宋" w:cs="Times New Roman"/>
          <w:b/>
          <w:sz w:val="28"/>
          <w:szCs w:val="24"/>
          <w:lang w:val="en-US" w:eastAsia="zh-CN"/>
        </w:rPr>
      </w:pPr>
      <w:r>
        <w:rPr>
          <w:rFonts w:hint="eastAsia" w:ascii="Times New Roman" w:hAnsi="Times New Roman" w:eastAsia="仿宋" w:cs="Times New Roman"/>
          <w:b/>
          <w:sz w:val="28"/>
          <w:szCs w:val="24"/>
          <w:lang w:val="en-US" w:eastAsia="zh-CN"/>
        </w:rPr>
        <w:t>1、</w:t>
      </w:r>
      <w:r>
        <w:rPr>
          <w:rFonts w:hint="eastAsia" w:ascii="Times New Roman" w:hAnsi="Times New Roman" w:eastAsia="仿宋" w:cs="Times New Roman"/>
          <w:b/>
          <w:sz w:val="28"/>
          <w:szCs w:val="24"/>
        </w:rPr>
        <w:t>项目</w:t>
      </w:r>
      <w:r>
        <w:rPr>
          <w:rFonts w:hint="eastAsia" w:ascii="Times New Roman" w:hAnsi="Times New Roman" w:eastAsia="仿宋" w:cs="Times New Roman"/>
          <w:b/>
          <w:sz w:val="28"/>
          <w:szCs w:val="24"/>
          <w:lang w:val="en-US" w:eastAsia="zh-CN"/>
        </w:rPr>
        <w:t>预算及资金来源</w:t>
      </w:r>
    </w:p>
    <w:p>
      <w:pPr>
        <w:pageBreakBefore w:val="0"/>
        <w:widowControl w:val="0"/>
        <w:kinsoku/>
        <w:wordWrap/>
        <w:overflowPunct/>
        <w:topLinePunct w:val="0"/>
        <w:bidi w:val="0"/>
        <w:spacing w:line="500" w:lineRule="exact"/>
        <w:ind w:firstLine="560" w:firstLineChars="200"/>
        <w:textAlignment w:val="auto"/>
        <w:outlineLvl w:val="9"/>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采煤沉陷区旧房拆除和土地复垦项目涉及5个标段，5个标段及设计、监理中标总价为875.90万元。5个项目中标合同总价见下表1-1。</w:t>
      </w:r>
    </w:p>
    <w:p>
      <w:pPr>
        <w:spacing w:line="500" w:lineRule="exact"/>
        <w:ind w:firstLine="481" w:firstLineChars="200"/>
        <w:jc w:val="center"/>
        <w:rPr>
          <w:rFonts w:hint="default" w:ascii="Times New Roman" w:hAnsi="Times New Roman" w:eastAsia="仿宋" w:cs="Times New Roman"/>
          <w:b/>
          <w:kern w:val="0"/>
          <w:sz w:val="24"/>
          <w:szCs w:val="28"/>
          <w:lang w:val="en-US" w:eastAsia="zh-CN"/>
        </w:rPr>
      </w:pPr>
      <w:r>
        <w:rPr>
          <w:rFonts w:hint="eastAsia" w:ascii="Times New Roman" w:hAnsi="Times New Roman" w:eastAsia="仿宋" w:cs="Times New Roman"/>
          <w:b/>
          <w:kern w:val="0"/>
          <w:sz w:val="24"/>
          <w:szCs w:val="28"/>
          <w:lang w:val="en-US" w:eastAsia="zh-CN"/>
        </w:rPr>
        <w:t>表1-1 项目中标合同总价</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8"/>
        <w:gridCol w:w="3322"/>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dxa"/>
            <w:vAlign w:val="center"/>
          </w:tcPr>
          <w:p>
            <w:pPr>
              <w:snapToGrid w:val="0"/>
              <w:jc w:val="center"/>
              <w:rPr>
                <w:rFonts w:hint="default"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标段</w:t>
            </w:r>
          </w:p>
        </w:tc>
        <w:tc>
          <w:tcPr>
            <w:tcW w:w="3322" w:type="dxa"/>
            <w:vAlign w:val="center"/>
          </w:tcPr>
          <w:p>
            <w:pPr>
              <w:snapToGrid w:val="0"/>
              <w:jc w:val="center"/>
              <w:rPr>
                <w:rFonts w:hint="default"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项目名称</w:t>
            </w:r>
          </w:p>
        </w:tc>
        <w:tc>
          <w:tcPr>
            <w:tcW w:w="2131" w:type="dxa"/>
            <w:vAlign w:val="center"/>
          </w:tcPr>
          <w:p>
            <w:pPr>
              <w:snapToGrid w:val="0"/>
              <w:jc w:val="center"/>
              <w:rPr>
                <w:rFonts w:hint="default"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中标施工方</w:t>
            </w:r>
          </w:p>
        </w:tc>
        <w:tc>
          <w:tcPr>
            <w:tcW w:w="2131" w:type="dxa"/>
            <w:vAlign w:val="center"/>
          </w:tcPr>
          <w:p>
            <w:pPr>
              <w:snapToGrid w:val="0"/>
              <w:jc w:val="center"/>
              <w:rPr>
                <w:rFonts w:hint="default"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合同价（元）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一</w:t>
            </w:r>
          </w:p>
        </w:tc>
        <w:tc>
          <w:tcPr>
            <w:tcW w:w="3322"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古县古阳镇杏家庄村采煤沉陷区</w:t>
            </w:r>
            <w:r>
              <w:rPr>
                <w:rFonts w:hint="default" w:ascii="Times New Roman" w:hAnsi="Times New Roman" w:eastAsia="仿宋" w:cs="Times New Roman"/>
                <w:kern w:val="0"/>
                <w:sz w:val="24"/>
                <w:szCs w:val="32"/>
                <w:lang w:val="en-US" w:eastAsia="zh-CN"/>
              </w:rPr>
              <w:t>旧房拆除和土地复垦项目</w:t>
            </w:r>
          </w:p>
        </w:tc>
        <w:tc>
          <w:tcPr>
            <w:tcW w:w="2131"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山西欧瀚建筑工程有限公司</w:t>
            </w:r>
          </w:p>
        </w:tc>
        <w:tc>
          <w:tcPr>
            <w:tcW w:w="2131"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1902503.92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二</w:t>
            </w:r>
          </w:p>
        </w:tc>
        <w:tc>
          <w:tcPr>
            <w:tcW w:w="3322"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古县古阳镇下辛佛村采煤沉陷区</w:t>
            </w:r>
            <w:r>
              <w:rPr>
                <w:rFonts w:hint="default" w:ascii="Times New Roman" w:hAnsi="Times New Roman" w:eastAsia="仿宋" w:cs="Times New Roman"/>
                <w:kern w:val="0"/>
                <w:sz w:val="24"/>
                <w:szCs w:val="32"/>
                <w:lang w:val="en-US" w:eastAsia="zh-CN"/>
              </w:rPr>
              <w:t>旧房拆除和土地复垦项目</w:t>
            </w:r>
          </w:p>
        </w:tc>
        <w:tc>
          <w:tcPr>
            <w:tcW w:w="2131"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山西华工建筑安装工程有限公司</w:t>
            </w:r>
          </w:p>
        </w:tc>
        <w:tc>
          <w:tcPr>
            <w:tcW w:w="2131"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1253511.58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8"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三</w:t>
            </w:r>
          </w:p>
        </w:tc>
        <w:tc>
          <w:tcPr>
            <w:tcW w:w="3322"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古县古阳镇乔家山村采煤沉陷区</w:t>
            </w:r>
            <w:r>
              <w:rPr>
                <w:rFonts w:hint="default" w:ascii="Times New Roman" w:hAnsi="Times New Roman" w:eastAsia="仿宋" w:cs="Times New Roman"/>
                <w:kern w:val="0"/>
                <w:sz w:val="24"/>
                <w:szCs w:val="32"/>
                <w:lang w:val="en-US" w:eastAsia="zh-CN"/>
              </w:rPr>
              <w:t>旧房拆除和土地复垦项目</w:t>
            </w:r>
          </w:p>
        </w:tc>
        <w:tc>
          <w:tcPr>
            <w:tcW w:w="2131"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山西博翌弘建筑工程有限公司</w:t>
            </w:r>
          </w:p>
        </w:tc>
        <w:tc>
          <w:tcPr>
            <w:tcW w:w="2131"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1169866.31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四</w:t>
            </w:r>
          </w:p>
        </w:tc>
        <w:tc>
          <w:tcPr>
            <w:tcW w:w="3322"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古县岳阳镇南坡村采煤沉陷区</w:t>
            </w:r>
            <w:r>
              <w:rPr>
                <w:rFonts w:hint="default" w:ascii="Times New Roman" w:hAnsi="Times New Roman" w:eastAsia="仿宋" w:cs="Times New Roman"/>
                <w:kern w:val="0"/>
                <w:sz w:val="24"/>
                <w:szCs w:val="32"/>
                <w:lang w:val="en-US" w:eastAsia="zh-CN"/>
              </w:rPr>
              <w:t>旧房拆除和土地复垦项目</w:t>
            </w:r>
          </w:p>
        </w:tc>
        <w:tc>
          <w:tcPr>
            <w:tcW w:w="2131"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华泰伟业建设发展有限公司</w:t>
            </w:r>
          </w:p>
        </w:tc>
        <w:tc>
          <w:tcPr>
            <w:tcW w:w="2131"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2137748.18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五</w:t>
            </w:r>
          </w:p>
        </w:tc>
        <w:tc>
          <w:tcPr>
            <w:tcW w:w="3322"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古县岳阳镇韩母村采煤沉陷区</w:t>
            </w:r>
            <w:r>
              <w:rPr>
                <w:rFonts w:hint="default" w:ascii="Times New Roman" w:hAnsi="Times New Roman" w:eastAsia="仿宋" w:cs="Times New Roman"/>
                <w:kern w:val="0"/>
                <w:sz w:val="24"/>
                <w:szCs w:val="32"/>
                <w:lang w:val="en-US" w:eastAsia="zh-CN"/>
              </w:rPr>
              <w:t>旧房拆除和土地复垦项目</w:t>
            </w:r>
          </w:p>
        </w:tc>
        <w:tc>
          <w:tcPr>
            <w:tcW w:w="2131"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国淏建设有限公司</w:t>
            </w:r>
          </w:p>
        </w:tc>
        <w:tc>
          <w:tcPr>
            <w:tcW w:w="2131"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1692412.87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dxa"/>
            <w:vAlign w:val="center"/>
          </w:tcPr>
          <w:p>
            <w:pPr>
              <w:snapToGrid w:val="0"/>
              <w:jc w:val="center"/>
              <w:rPr>
                <w:rFonts w:hint="eastAsia" w:ascii="Times New Roman" w:hAnsi="Times New Roman" w:eastAsia="仿宋" w:cs="Times New Roman"/>
                <w:kern w:val="0"/>
                <w:sz w:val="24"/>
                <w:szCs w:val="32"/>
                <w:lang w:val="en-US" w:eastAsia="zh-CN"/>
              </w:rPr>
            </w:pPr>
          </w:p>
        </w:tc>
        <w:tc>
          <w:tcPr>
            <w:tcW w:w="3322"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测量、初步设计及预算</w:t>
            </w:r>
          </w:p>
        </w:tc>
        <w:tc>
          <w:tcPr>
            <w:tcW w:w="2131"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山西蓝德凯尔土地规划设计咨询有限公司</w:t>
            </w:r>
          </w:p>
        </w:tc>
        <w:tc>
          <w:tcPr>
            <w:tcW w:w="2131"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515000.00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8" w:type="dxa"/>
            <w:vAlign w:val="center"/>
          </w:tcPr>
          <w:p>
            <w:pPr>
              <w:snapToGrid w:val="0"/>
              <w:jc w:val="center"/>
              <w:rPr>
                <w:rFonts w:hint="eastAsia" w:ascii="Times New Roman" w:hAnsi="Times New Roman" w:eastAsia="仿宋" w:cs="Times New Roman"/>
                <w:kern w:val="0"/>
                <w:sz w:val="24"/>
                <w:szCs w:val="32"/>
                <w:lang w:val="en-US" w:eastAsia="zh-CN"/>
              </w:rPr>
            </w:pPr>
          </w:p>
        </w:tc>
        <w:tc>
          <w:tcPr>
            <w:tcW w:w="3322"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监理</w:t>
            </w:r>
          </w:p>
        </w:tc>
        <w:tc>
          <w:tcPr>
            <w:tcW w:w="2131" w:type="dxa"/>
            <w:vAlign w:val="center"/>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山西开天建设监理有限公司</w:t>
            </w:r>
          </w:p>
        </w:tc>
        <w:tc>
          <w:tcPr>
            <w:tcW w:w="2131" w:type="dxa"/>
            <w:vAlign w:val="center"/>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88000.00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8" w:type="dxa"/>
            <w:vAlign w:val="center"/>
          </w:tcPr>
          <w:p>
            <w:pPr>
              <w:snapToGrid w:val="0"/>
              <w:jc w:val="center"/>
              <w:rPr>
                <w:rFonts w:hint="default"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合计</w:t>
            </w:r>
          </w:p>
        </w:tc>
        <w:tc>
          <w:tcPr>
            <w:tcW w:w="3322" w:type="dxa"/>
            <w:vAlign w:val="center"/>
          </w:tcPr>
          <w:p>
            <w:pPr>
              <w:snapToGrid w:val="0"/>
              <w:jc w:val="center"/>
              <w:rPr>
                <w:rFonts w:hint="default"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w:t>
            </w:r>
          </w:p>
        </w:tc>
        <w:tc>
          <w:tcPr>
            <w:tcW w:w="2131" w:type="dxa"/>
            <w:vAlign w:val="center"/>
          </w:tcPr>
          <w:p>
            <w:pPr>
              <w:snapToGrid w:val="0"/>
              <w:jc w:val="center"/>
              <w:rPr>
                <w:rFonts w:hint="default"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w:t>
            </w:r>
          </w:p>
        </w:tc>
        <w:tc>
          <w:tcPr>
            <w:tcW w:w="2131" w:type="dxa"/>
            <w:vAlign w:val="center"/>
          </w:tcPr>
          <w:p>
            <w:pPr>
              <w:snapToGrid w:val="0"/>
              <w:jc w:val="center"/>
              <w:rPr>
                <w:rFonts w:hint="default"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8759042.86</w:t>
            </w:r>
          </w:p>
        </w:tc>
      </w:tr>
    </w:tbl>
    <w:p>
      <w:pPr>
        <w:spacing w:line="500" w:lineRule="exact"/>
        <w:ind w:firstLine="562" w:firstLineChars="200"/>
        <w:rPr>
          <w:rFonts w:hint="default" w:ascii="Times New Roman" w:hAnsi="Times New Roman" w:eastAsia="仿宋" w:cs="Times New Roman"/>
          <w:b/>
          <w:sz w:val="28"/>
          <w:szCs w:val="24"/>
          <w:lang w:val="en-US" w:eastAsia="zh-CN"/>
        </w:rPr>
      </w:pPr>
      <w:r>
        <w:rPr>
          <w:rFonts w:hint="eastAsia" w:ascii="Times New Roman" w:hAnsi="Times New Roman" w:eastAsia="仿宋" w:cs="Times New Roman"/>
          <w:b/>
          <w:sz w:val="28"/>
          <w:szCs w:val="24"/>
          <w:lang w:val="en-US" w:eastAsia="zh-CN"/>
        </w:rPr>
        <w:t>2、</w:t>
      </w:r>
      <w:r>
        <w:rPr>
          <w:rFonts w:hint="eastAsia" w:ascii="Times New Roman" w:hAnsi="Times New Roman" w:eastAsia="仿宋" w:cs="Times New Roman"/>
          <w:b/>
          <w:sz w:val="28"/>
          <w:szCs w:val="24"/>
        </w:rPr>
        <w:t>资金</w:t>
      </w:r>
      <w:r>
        <w:rPr>
          <w:rFonts w:hint="eastAsia" w:ascii="Times New Roman" w:hAnsi="Times New Roman" w:eastAsia="仿宋" w:cs="Times New Roman"/>
          <w:b/>
          <w:sz w:val="28"/>
          <w:szCs w:val="24"/>
          <w:lang w:val="en-US" w:eastAsia="zh-CN"/>
        </w:rPr>
        <w:t>使用情况</w:t>
      </w:r>
    </w:p>
    <w:p>
      <w:pPr>
        <w:pageBreakBefore w:val="0"/>
        <w:widowControl w:val="0"/>
        <w:kinsoku/>
        <w:wordWrap/>
        <w:overflowPunct/>
        <w:topLinePunct w:val="0"/>
        <w:bidi w:val="0"/>
        <w:spacing w:line="500" w:lineRule="exact"/>
        <w:ind w:firstLine="560" w:firstLineChars="200"/>
        <w:textAlignment w:val="auto"/>
        <w:outlineLvl w:val="9"/>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截止2022年8月15日，项目共计到位资金613.06万元。</w:t>
      </w:r>
    </w:p>
    <w:p>
      <w:pPr>
        <w:pageBreakBefore w:val="0"/>
        <w:widowControl w:val="0"/>
        <w:kinsoku/>
        <w:wordWrap/>
        <w:overflowPunct/>
        <w:topLinePunct w:val="0"/>
        <w:bidi w:val="0"/>
        <w:spacing w:line="500" w:lineRule="exact"/>
        <w:ind w:firstLine="560" w:firstLineChars="200"/>
        <w:textAlignment w:val="auto"/>
        <w:outlineLvl w:val="9"/>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截止2022年8月15日，采煤沉陷区旧房拆除和土地复垦项目共计支出资金613.06万元。</w:t>
      </w:r>
    </w:p>
    <w:p>
      <w:pPr>
        <w:pageBreakBefore w:val="0"/>
        <w:widowControl w:val="0"/>
        <w:kinsoku/>
        <w:wordWrap/>
        <w:overflowPunct/>
        <w:topLinePunct w:val="0"/>
        <w:bidi w:val="0"/>
        <w:spacing w:line="500" w:lineRule="exact"/>
        <w:ind w:firstLine="560" w:firstLineChars="200"/>
        <w:textAlignment w:val="auto"/>
        <w:outlineLvl w:val="9"/>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采煤沉陷区旧房拆除和土地复垦项目资金使用情况见下表1-1。</w:t>
      </w:r>
    </w:p>
    <w:p>
      <w:pPr>
        <w:spacing w:line="500" w:lineRule="exact"/>
        <w:ind w:firstLine="481" w:firstLineChars="200"/>
        <w:jc w:val="center"/>
        <w:rPr>
          <w:rFonts w:hint="eastAsia" w:ascii="Times New Roman" w:hAnsi="Times New Roman" w:eastAsia="仿宋" w:cs="Times New Roman"/>
          <w:b/>
          <w:kern w:val="0"/>
          <w:sz w:val="24"/>
          <w:szCs w:val="28"/>
          <w:lang w:val="en-US" w:eastAsia="zh-CN"/>
        </w:rPr>
      </w:pPr>
      <w:r>
        <w:rPr>
          <w:rFonts w:hint="eastAsia" w:ascii="Times New Roman" w:hAnsi="Times New Roman" w:eastAsia="仿宋" w:cs="Times New Roman"/>
          <w:b/>
          <w:kern w:val="0"/>
          <w:sz w:val="24"/>
          <w:szCs w:val="28"/>
          <w:lang w:val="en-US" w:eastAsia="zh-CN"/>
        </w:rPr>
        <w:t>表1-1 项目资金使用情况明细表</w:t>
      </w:r>
    </w:p>
    <w:tbl>
      <w:tblPr>
        <w:tblStyle w:val="19"/>
        <w:tblW w:w="8139"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3192"/>
        <w:gridCol w:w="1649"/>
        <w:gridCol w:w="1649"/>
        <w:gridCol w:w="1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3192"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支出对象</w:t>
            </w:r>
          </w:p>
        </w:tc>
        <w:tc>
          <w:tcPr>
            <w:tcW w:w="1649"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2020年支出金额（元）</w:t>
            </w:r>
          </w:p>
        </w:tc>
        <w:tc>
          <w:tcPr>
            <w:tcW w:w="1649"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bidi="ar-SA"/>
              </w:rPr>
            </w:pPr>
            <w:r>
              <w:rPr>
                <w:rFonts w:hint="eastAsia" w:ascii="Times New Roman" w:hAnsi="Times New Roman" w:eastAsia="仿宋" w:cs="Times New Roman"/>
                <w:kern w:val="0"/>
                <w:sz w:val="24"/>
                <w:szCs w:val="32"/>
                <w:lang w:val="en-US" w:eastAsia="zh-CN"/>
              </w:rPr>
              <w:t>2021年支出金额（元）</w:t>
            </w:r>
          </w:p>
        </w:tc>
        <w:tc>
          <w:tcPr>
            <w:tcW w:w="1649"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bidi="ar-SA"/>
              </w:rPr>
            </w:pPr>
            <w:r>
              <w:rPr>
                <w:rFonts w:hint="eastAsia" w:ascii="Times New Roman" w:hAnsi="Times New Roman" w:eastAsia="仿宋" w:cs="Times New Roman"/>
                <w:kern w:val="0"/>
                <w:sz w:val="24"/>
                <w:szCs w:val="32"/>
                <w:lang w:val="en-US" w:eastAsia="zh-CN"/>
              </w:rPr>
              <w:t>2022年支出金额（元）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192"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山西欧瀚建筑工程有限公司</w:t>
            </w:r>
          </w:p>
        </w:tc>
        <w:tc>
          <w:tcPr>
            <w:tcW w:w="1649"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rPr>
            </w:pPr>
          </w:p>
        </w:tc>
        <w:tc>
          <w:tcPr>
            <w:tcW w:w="1649"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bidi="ar-SA"/>
              </w:rPr>
            </w:pPr>
            <w:r>
              <w:rPr>
                <w:rFonts w:hint="eastAsia" w:ascii="Times New Roman" w:hAnsi="Times New Roman" w:eastAsia="仿宋" w:cs="Times New Roman"/>
                <w:kern w:val="0"/>
                <w:sz w:val="24"/>
                <w:szCs w:val="32"/>
                <w:lang w:val="en-US" w:eastAsia="zh-CN"/>
              </w:rPr>
              <w:t>570000</w:t>
            </w:r>
          </w:p>
        </w:tc>
        <w:tc>
          <w:tcPr>
            <w:tcW w:w="1649"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bidi="ar-SA"/>
              </w:rPr>
            </w:pPr>
            <w:r>
              <w:rPr>
                <w:rFonts w:hint="eastAsia" w:ascii="Times New Roman" w:hAnsi="Times New Roman" w:eastAsia="仿宋" w:cs="Times New Roman"/>
                <w:kern w:val="0"/>
                <w:sz w:val="24"/>
                <w:szCs w:val="32"/>
                <w:lang w:val="en-US" w:eastAsia="zh-CN" w:bidi="ar-SA"/>
              </w:rPr>
              <w:t>760000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192"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山西华工建筑安装工程有限公司</w:t>
            </w:r>
          </w:p>
        </w:tc>
        <w:tc>
          <w:tcPr>
            <w:tcW w:w="1649"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rPr>
            </w:pPr>
          </w:p>
        </w:tc>
        <w:tc>
          <w:tcPr>
            <w:tcW w:w="1649"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bidi="ar-SA"/>
              </w:rPr>
            </w:pPr>
            <w:r>
              <w:rPr>
                <w:rFonts w:hint="eastAsia" w:ascii="Times New Roman" w:hAnsi="Times New Roman" w:eastAsia="仿宋" w:cs="Times New Roman"/>
                <w:kern w:val="0"/>
                <w:sz w:val="24"/>
                <w:szCs w:val="32"/>
                <w:lang w:val="en-US" w:eastAsia="zh-CN"/>
              </w:rPr>
              <w:t>376053</w:t>
            </w:r>
          </w:p>
        </w:tc>
        <w:tc>
          <w:tcPr>
            <w:tcW w:w="1649"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bidi="ar-SA"/>
              </w:rPr>
            </w:pPr>
            <w:r>
              <w:rPr>
                <w:rFonts w:hint="eastAsia" w:ascii="Times New Roman" w:hAnsi="Times New Roman" w:eastAsia="仿宋" w:cs="Times New Roman"/>
                <w:kern w:val="0"/>
                <w:sz w:val="24"/>
                <w:szCs w:val="32"/>
                <w:lang w:val="en-US" w:eastAsia="zh-CN" w:bidi="ar-SA"/>
              </w:rPr>
              <w:t>510000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192"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山西博翌弘建筑工程有限公司</w:t>
            </w:r>
          </w:p>
        </w:tc>
        <w:tc>
          <w:tcPr>
            <w:tcW w:w="1649"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rPr>
            </w:pPr>
          </w:p>
        </w:tc>
        <w:tc>
          <w:tcPr>
            <w:tcW w:w="1649"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bidi="ar-SA"/>
              </w:rPr>
            </w:pPr>
            <w:r>
              <w:rPr>
                <w:rFonts w:hint="eastAsia" w:ascii="Times New Roman" w:hAnsi="Times New Roman" w:eastAsia="仿宋" w:cs="Times New Roman"/>
                <w:kern w:val="0"/>
                <w:sz w:val="24"/>
                <w:szCs w:val="32"/>
                <w:lang w:val="en-US" w:eastAsia="zh-CN"/>
              </w:rPr>
              <w:t>350959</w:t>
            </w:r>
          </w:p>
        </w:tc>
        <w:tc>
          <w:tcPr>
            <w:tcW w:w="1649"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bidi="ar-SA"/>
              </w:rPr>
            </w:pPr>
            <w:r>
              <w:rPr>
                <w:rFonts w:hint="eastAsia" w:ascii="Times New Roman" w:hAnsi="Times New Roman" w:eastAsia="仿宋" w:cs="Times New Roman"/>
                <w:kern w:val="0"/>
                <w:sz w:val="24"/>
                <w:szCs w:val="32"/>
                <w:lang w:val="en-US" w:eastAsia="zh-CN" w:bidi="ar-SA"/>
              </w:rPr>
              <w:t>470000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192"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华泰伟业建设发展有限公司</w:t>
            </w:r>
          </w:p>
        </w:tc>
        <w:tc>
          <w:tcPr>
            <w:tcW w:w="1649"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rPr>
            </w:pPr>
          </w:p>
        </w:tc>
        <w:tc>
          <w:tcPr>
            <w:tcW w:w="1649"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bidi="ar-SA"/>
              </w:rPr>
            </w:pPr>
            <w:r>
              <w:rPr>
                <w:rFonts w:hint="eastAsia" w:ascii="Times New Roman" w:hAnsi="Times New Roman" w:eastAsia="仿宋" w:cs="Times New Roman"/>
                <w:kern w:val="0"/>
                <w:sz w:val="24"/>
                <w:szCs w:val="32"/>
                <w:lang w:val="en-US" w:eastAsia="zh-CN"/>
              </w:rPr>
              <w:t>641324</w:t>
            </w:r>
          </w:p>
        </w:tc>
        <w:tc>
          <w:tcPr>
            <w:tcW w:w="1649"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bidi="ar-SA"/>
              </w:rPr>
            </w:pPr>
            <w:r>
              <w:rPr>
                <w:rFonts w:hint="eastAsia" w:ascii="Times New Roman" w:hAnsi="Times New Roman" w:eastAsia="仿宋" w:cs="Times New Roman"/>
                <w:kern w:val="0"/>
                <w:sz w:val="24"/>
                <w:szCs w:val="32"/>
                <w:lang w:val="en-US" w:eastAsia="zh-CN" w:bidi="ar-SA"/>
              </w:rPr>
              <w:t>860000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3192"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国淏建设有限公司</w:t>
            </w:r>
          </w:p>
        </w:tc>
        <w:tc>
          <w:tcPr>
            <w:tcW w:w="1649"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rPr>
            </w:pPr>
          </w:p>
        </w:tc>
        <w:tc>
          <w:tcPr>
            <w:tcW w:w="1649"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bidi="ar-SA"/>
              </w:rPr>
            </w:pPr>
            <w:r>
              <w:rPr>
                <w:rFonts w:hint="eastAsia" w:ascii="Times New Roman" w:hAnsi="Times New Roman" w:eastAsia="仿宋" w:cs="Times New Roman"/>
                <w:kern w:val="0"/>
                <w:sz w:val="24"/>
                <w:szCs w:val="32"/>
                <w:lang w:val="en-US" w:eastAsia="zh-CN"/>
              </w:rPr>
              <w:t>507723</w:t>
            </w:r>
          </w:p>
        </w:tc>
        <w:tc>
          <w:tcPr>
            <w:tcW w:w="1649"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bidi="ar-SA"/>
              </w:rPr>
            </w:pPr>
            <w:r>
              <w:rPr>
                <w:rFonts w:hint="eastAsia" w:ascii="Times New Roman" w:hAnsi="Times New Roman" w:eastAsia="仿宋" w:cs="Times New Roman"/>
                <w:kern w:val="0"/>
                <w:sz w:val="24"/>
                <w:szCs w:val="32"/>
                <w:lang w:val="en-US" w:eastAsia="zh-CN" w:bidi="ar-SA"/>
              </w:rPr>
              <w:t>680000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192"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山西蓝德凯尔土地规划设计咨询有限公司</w:t>
            </w:r>
          </w:p>
        </w:tc>
        <w:tc>
          <w:tcPr>
            <w:tcW w:w="1649"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360500</w:t>
            </w:r>
          </w:p>
        </w:tc>
        <w:tc>
          <w:tcPr>
            <w:tcW w:w="1649"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p>
        </w:tc>
        <w:tc>
          <w:tcPr>
            <w:tcW w:w="1649"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192"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山西开天建设监理有限公司</w:t>
            </w:r>
          </w:p>
        </w:tc>
        <w:tc>
          <w:tcPr>
            <w:tcW w:w="1649"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p>
        </w:tc>
        <w:tc>
          <w:tcPr>
            <w:tcW w:w="1649"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44000</w:t>
            </w:r>
          </w:p>
        </w:tc>
        <w:tc>
          <w:tcPr>
            <w:tcW w:w="1649" w:type="dxa"/>
            <w:shd w:val="clear" w:color="auto" w:fill="auto"/>
            <w:noWrap/>
            <w:vAlign w:val="bottom"/>
          </w:tcPr>
          <w:p>
            <w:pPr>
              <w:snapToGrid w:val="0"/>
              <w:jc w:val="center"/>
              <w:rPr>
                <w:rFonts w:hint="eastAsia" w:ascii="Times New Roman" w:hAnsi="Times New Roman" w:eastAsia="仿宋" w:cs="Times New Roman"/>
                <w:kern w:val="0"/>
                <w:sz w:val="24"/>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192"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合计</w:t>
            </w:r>
          </w:p>
        </w:tc>
        <w:tc>
          <w:tcPr>
            <w:tcW w:w="1649"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360500</w:t>
            </w:r>
          </w:p>
        </w:tc>
        <w:tc>
          <w:tcPr>
            <w:tcW w:w="1649"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2490059</w:t>
            </w:r>
          </w:p>
        </w:tc>
        <w:tc>
          <w:tcPr>
            <w:tcW w:w="1649"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3280000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192" w:type="dxa"/>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总计</w:t>
            </w:r>
          </w:p>
        </w:tc>
        <w:tc>
          <w:tcPr>
            <w:tcW w:w="4947" w:type="dxa"/>
            <w:gridSpan w:val="3"/>
            <w:shd w:val="clear" w:color="auto" w:fill="auto"/>
            <w:noWrap/>
            <w:vAlign w:val="bottom"/>
          </w:tcPr>
          <w:p>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6130559</w:t>
            </w:r>
          </w:p>
        </w:tc>
      </w:tr>
    </w:tbl>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28" w:name="_Toc6561"/>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三</w:t>
      </w:r>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项目立项依据</w:t>
      </w:r>
      <w:bookmarkEnd w:id="28"/>
    </w:p>
    <w:p>
      <w:pPr>
        <w:pageBreakBefore w:val="0"/>
        <w:widowControl w:val="0"/>
        <w:kinsoku/>
        <w:wordWrap/>
        <w:overflowPunct/>
        <w:topLinePunct w:val="0"/>
        <w:bidi w:val="0"/>
        <w:spacing w:line="500" w:lineRule="exact"/>
        <w:ind w:firstLine="560" w:firstLineChars="200"/>
        <w:textAlignment w:val="auto"/>
        <w:outlineLvl w:val="9"/>
        <w:rPr>
          <w:rFonts w:hint="default" w:ascii="Times New Roman" w:hAnsi="Times New Roman" w:eastAsia="仿宋" w:cs="Times New Roman"/>
          <w:kern w:val="0"/>
          <w:sz w:val="28"/>
          <w:szCs w:val="28"/>
          <w:shd w:val="clear" w:color="auto" w:fill="FFFFFF"/>
          <w:lang w:val="en-US" w:eastAsia="zh-CN"/>
        </w:rPr>
      </w:pPr>
      <w:r>
        <w:rPr>
          <w:rFonts w:hint="default" w:ascii="Times New Roman" w:hAnsi="Times New Roman" w:eastAsia="仿宋" w:cs="Times New Roman"/>
          <w:kern w:val="0"/>
          <w:sz w:val="28"/>
          <w:szCs w:val="28"/>
          <w:shd w:val="clear" w:color="auto" w:fill="FFFFFF"/>
          <w:lang w:val="en-US" w:eastAsia="zh-CN"/>
        </w:rPr>
        <w:t>本项目的立项依据包括但不限于：</w:t>
      </w:r>
    </w:p>
    <w:p>
      <w:pPr>
        <w:pageBreakBefore w:val="0"/>
        <w:widowControl w:val="0"/>
        <w:kinsoku/>
        <w:wordWrap/>
        <w:overflowPunct/>
        <w:topLinePunct w:val="0"/>
        <w:bidi w:val="0"/>
        <w:spacing w:line="500" w:lineRule="exact"/>
        <w:ind w:firstLine="560" w:firstLineChars="200"/>
        <w:textAlignment w:val="auto"/>
        <w:outlineLvl w:val="9"/>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w:t>
      </w:r>
      <w:r>
        <w:rPr>
          <w:rFonts w:hint="default" w:ascii="Times New Roman" w:hAnsi="Times New Roman" w:eastAsia="仿宋" w:cs="Times New Roman"/>
          <w:kern w:val="0"/>
          <w:sz w:val="28"/>
          <w:szCs w:val="28"/>
          <w:shd w:val="clear" w:color="auto" w:fill="FFFFFF"/>
          <w:lang w:val="en-US" w:eastAsia="zh-CN"/>
        </w:rPr>
        <w:t>《土地复垦条例》；</w:t>
      </w:r>
    </w:p>
    <w:p>
      <w:pPr>
        <w:pageBreakBefore w:val="0"/>
        <w:widowControl w:val="0"/>
        <w:kinsoku/>
        <w:wordWrap/>
        <w:overflowPunct/>
        <w:topLinePunct w:val="0"/>
        <w:bidi w:val="0"/>
        <w:spacing w:line="500" w:lineRule="exact"/>
        <w:ind w:firstLine="560" w:firstLineChars="200"/>
        <w:textAlignment w:val="auto"/>
        <w:outlineLvl w:val="9"/>
        <w:rPr>
          <w:rFonts w:hint="default" w:ascii="Times New Roman" w:hAnsi="Times New Roman" w:eastAsia="仿宋" w:cs="Times New Roman"/>
          <w:kern w:val="0"/>
          <w:sz w:val="28"/>
          <w:szCs w:val="28"/>
          <w:shd w:val="clear" w:color="auto" w:fill="FFFFFF"/>
          <w:lang w:val="en-US" w:eastAsia="zh-CN"/>
        </w:rPr>
      </w:pPr>
      <w:r>
        <w:rPr>
          <w:rFonts w:hint="default" w:ascii="Times New Roman" w:hAnsi="Times New Roman" w:eastAsia="仿宋" w:cs="Times New Roman"/>
          <w:kern w:val="0"/>
          <w:sz w:val="28"/>
          <w:szCs w:val="28"/>
          <w:shd w:val="clear" w:color="auto" w:fill="FFFFFF"/>
          <w:lang w:val="en-US" w:eastAsia="zh-CN"/>
        </w:rPr>
        <w:t>2、《关于印发山西省采煤沉陷区综合治理工作方案（2016-2018年）的通知》（晋政发〔2016〕31号）</w:t>
      </w:r>
      <w:r>
        <w:rPr>
          <w:rFonts w:hint="eastAsia" w:ascii="Times New Roman" w:hAnsi="Times New Roman" w:eastAsia="仿宋" w:cs="Times New Roman"/>
          <w:kern w:val="0"/>
          <w:sz w:val="28"/>
          <w:szCs w:val="28"/>
          <w:shd w:val="clear" w:color="auto" w:fill="FFFFFF"/>
          <w:lang w:val="en-US" w:eastAsia="zh-CN"/>
        </w:rPr>
        <w:t>；</w:t>
      </w:r>
    </w:p>
    <w:p>
      <w:pPr>
        <w:pageBreakBefore w:val="0"/>
        <w:widowControl w:val="0"/>
        <w:kinsoku/>
        <w:wordWrap/>
        <w:overflowPunct/>
        <w:topLinePunct w:val="0"/>
        <w:bidi w:val="0"/>
        <w:spacing w:line="500" w:lineRule="exact"/>
        <w:ind w:firstLine="560" w:firstLineChars="200"/>
        <w:textAlignment w:val="auto"/>
        <w:outlineLvl w:val="9"/>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w:t>
      </w:r>
      <w:r>
        <w:rPr>
          <w:rFonts w:hint="default" w:ascii="Times New Roman" w:hAnsi="Times New Roman" w:eastAsia="仿宋" w:cs="Times New Roman"/>
          <w:kern w:val="0"/>
          <w:sz w:val="28"/>
          <w:szCs w:val="28"/>
          <w:shd w:val="clear" w:color="auto" w:fill="FFFFFF"/>
          <w:lang w:val="en-US" w:eastAsia="zh-CN"/>
        </w:rPr>
        <w:t>《省发展改革委、财政厅、自然资源厅、生态环境厅关于加快采煤沉陷区综合治理工作的通知》（晋发改地区发〔2019〕514号）</w:t>
      </w:r>
      <w:r>
        <w:rPr>
          <w:rFonts w:hint="eastAsia" w:ascii="Times New Roman" w:hAnsi="Times New Roman" w:eastAsia="仿宋" w:cs="Times New Roman"/>
          <w:kern w:val="0"/>
          <w:sz w:val="28"/>
          <w:szCs w:val="28"/>
          <w:shd w:val="clear" w:color="auto" w:fill="FFFFFF"/>
          <w:lang w:val="en-US" w:eastAsia="zh-CN"/>
        </w:rPr>
        <w:t>；</w:t>
      </w:r>
    </w:p>
    <w:p>
      <w:pPr>
        <w:pageBreakBefore w:val="0"/>
        <w:widowControl w:val="0"/>
        <w:kinsoku/>
        <w:wordWrap/>
        <w:overflowPunct/>
        <w:topLinePunct w:val="0"/>
        <w:bidi w:val="0"/>
        <w:spacing w:line="500" w:lineRule="exact"/>
        <w:ind w:firstLine="560" w:firstLineChars="200"/>
        <w:textAlignment w:val="auto"/>
        <w:outlineLvl w:val="9"/>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4、</w:t>
      </w:r>
      <w:r>
        <w:rPr>
          <w:rFonts w:hint="default" w:ascii="Times New Roman" w:hAnsi="Times New Roman" w:eastAsia="仿宋" w:cs="Times New Roman"/>
          <w:kern w:val="0"/>
          <w:sz w:val="28"/>
          <w:szCs w:val="28"/>
          <w:shd w:val="clear" w:color="auto" w:fill="FFFFFF"/>
          <w:lang w:val="en-US" w:eastAsia="zh-CN"/>
        </w:rPr>
        <w:t>《省财政厅关于提前下达2020年中央资源枯竭城市转移支付的通知》（晋财预〔2019〕70号）</w:t>
      </w:r>
      <w:r>
        <w:rPr>
          <w:rFonts w:hint="eastAsia" w:ascii="Times New Roman" w:hAnsi="Times New Roman" w:eastAsia="仿宋" w:cs="Times New Roman"/>
          <w:kern w:val="0"/>
          <w:sz w:val="28"/>
          <w:szCs w:val="28"/>
          <w:shd w:val="clear" w:color="auto" w:fill="FFFFFF"/>
          <w:lang w:val="en-US" w:eastAsia="zh-CN"/>
        </w:rPr>
        <w:t>；</w:t>
      </w:r>
    </w:p>
    <w:p>
      <w:pPr>
        <w:spacing w:line="574" w:lineRule="exact"/>
        <w:ind w:firstLine="560" w:firstLineChars="200"/>
        <w:rPr>
          <w:rFonts w:hint="default" w:ascii="仿宋_GB2312" w:eastAsia="仿宋_GB2312"/>
          <w:snapToGrid w:val="0"/>
          <w:sz w:val="32"/>
          <w:szCs w:val="32"/>
          <w:lang w:val="en-US" w:eastAsia="zh-CN"/>
        </w:rPr>
      </w:pPr>
      <w:r>
        <w:rPr>
          <w:rFonts w:hint="eastAsia" w:ascii="Times New Roman" w:hAnsi="Times New Roman" w:eastAsia="仿宋" w:cs="Times New Roman"/>
          <w:kern w:val="0"/>
          <w:sz w:val="28"/>
          <w:szCs w:val="28"/>
          <w:shd w:val="clear" w:color="auto" w:fill="FFFFFF"/>
          <w:lang w:val="en-US" w:eastAsia="zh-CN"/>
        </w:rPr>
        <w:t>5、</w:t>
      </w:r>
      <w:r>
        <w:rPr>
          <w:rFonts w:hint="default" w:ascii="Times New Roman" w:hAnsi="Times New Roman" w:eastAsia="仿宋" w:cs="Times New Roman"/>
          <w:kern w:val="0"/>
          <w:sz w:val="28"/>
          <w:szCs w:val="28"/>
          <w:shd w:val="clear" w:color="auto" w:fill="FFFFFF"/>
          <w:lang w:val="en-US" w:eastAsia="zh-CN"/>
        </w:rPr>
        <w:t>山西省自然资源厅《关于加快推进采煤沉陷区综合治理旧房拆除及土地复垦专项工作的通知》（晋自然资发〔2020〕21号）</w:t>
      </w:r>
      <w:r>
        <w:rPr>
          <w:rFonts w:hint="eastAsia" w:ascii="仿宋_GB2312" w:eastAsia="仿宋_GB2312"/>
          <w:snapToGrid w:val="0"/>
          <w:sz w:val="32"/>
          <w:szCs w:val="32"/>
          <w:lang w:val="en-US" w:eastAsia="zh-CN"/>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29" w:name="_Toc13185"/>
      <w:bookmarkStart w:id="30" w:name="_Toc514537331"/>
      <w:bookmarkStart w:id="31" w:name="_Toc514537332"/>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四</w:t>
      </w:r>
      <w:r>
        <w:rPr>
          <w:rFonts w:hint="eastAsia" w:ascii="仿宋" w:hAnsi="仿宋" w:eastAsia="仿宋" w:cs="Times New Roman"/>
          <w:b/>
          <w:bCs/>
          <w:sz w:val="32"/>
          <w:szCs w:val="32"/>
          <w:lang w:eastAsia="zh-CN"/>
        </w:rPr>
        <w:t>）项目绩效目标</w:t>
      </w:r>
      <w:bookmarkEnd w:id="29"/>
      <w:bookmarkEnd w:id="30"/>
    </w:p>
    <w:p>
      <w:pPr>
        <w:spacing w:line="500" w:lineRule="exact"/>
        <w:ind w:firstLine="562" w:firstLineChars="200"/>
        <w:rPr>
          <w:rFonts w:hint="eastAsia" w:ascii="仿宋" w:hAnsi="仿宋" w:eastAsia="仿宋" w:cs="仿宋"/>
          <w:b/>
          <w:bCs/>
          <w:color w:val="000000"/>
          <w:kern w:val="0"/>
          <w:sz w:val="28"/>
          <w:szCs w:val="24"/>
          <w:lang w:val="en-US" w:eastAsia="zh-CN"/>
        </w:rPr>
      </w:pPr>
      <w:r>
        <w:rPr>
          <w:rFonts w:hint="eastAsia" w:ascii="仿宋" w:hAnsi="仿宋" w:eastAsia="仿宋" w:cs="仿宋"/>
          <w:b/>
          <w:bCs/>
          <w:color w:val="000000"/>
          <w:kern w:val="0"/>
          <w:sz w:val="28"/>
          <w:szCs w:val="24"/>
          <w:lang w:val="en-US" w:eastAsia="zh-CN"/>
        </w:rPr>
        <w:t>1、项目总体目标：</w:t>
      </w:r>
    </w:p>
    <w:p>
      <w:pPr>
        <w:spacing w:line="500" w:lineRule="exact"/>
        <w:ind w:firstLine="560" w:firstLineChars="200"/>
        <w:rPr>
          <w:rFonts w:hint="eastAsia" w:ascii="仿宋" w:hAnsi="仿宋" w:eastAsia="仿宋" w:cs="仿宋"/>
          <w:color w:val="000000"/>
          <w:kern w:val="0"/>
          <w:sz w:val="28"/>
          <w:szCs w:val="24"/>
          <w:highlight w:val="none"/>
          <w:lang w:val="en-US" w:eastAsia="zh-CN"/>
        </w:rPr>
      </w:pPr>
      <w:r>
        <w:rPr>
          <w:rFonts w:hint="eastAsia" w:ascii="Times New Roman" w:hAnsi="Times New Roman" w:eastAsia="仿宋" w:cs="Times New Roman"/>
          <w:kern w:val="0"/>
          <w:sz w:val="28"/>
          <w:szCs w:val="28"/>
          <w:shd w:val="clear" w:color="auto" w:fill="FFFFFF"/>
          <w:lang w:val="en-US" w:eastAsia="zh-CN"/>
        </w:rPr>
        <w:t>通过土地复垦，新增耕地面积，改善农业生产条件，实现农业产业升级；同时，使集体建设用地在布局和利用结构上实现优化和调整</w:t>
      </w:r>
      <w:r>
        <w:rPr>
          <w:rFonts w:hint="eastAsia" w:ascii="仿宋" w:hAnsi="仿宋" w:eastAsia="仿宋" w:cs="仿宋"/>
          <w:color w:val="000000"/>
          <w:kern w:val="0"/>
          <w:sz w:val="28"/>
          <w:szCs w:val="24"/>
          <w:lang w:val="en-US" w:eastAsia="zh-CN"/>
        </w:rPr>
        <w:t>。</w:t>
      </w:r>
    </w:p>
    <w:p>
      <w:pPr>
        <w:spacing w:line="500" w:lineRule="exact"/>
        <w:ind w:firstLine="562" w:firstLineChars="200"/>
        <w:rPr>
          <w:rFonts w:hint="eastAsia" w:ascii="Times New Roman" w:hAnsi="Times New Roman" w:eastAsia="仿宋" w:cs="Times New Roman"/>
          <w:b/>
          <w:bCs/>
          <w:color w:val="000000"/>
          <w:kern w:val="0"/>
          <w:sz w:val="28"/>
          <w:szCs w:val="24"/>
          <w:lang w:val="en-US" w:eastAsia="zh-CN"/>
        </w:rPr>
      </w:pPr>
      <w:r>
        <w:rPr>
          <w:rFonts w:hint="eastAsia" w:ascii="Times New Roman" w:hAnsi="Times New Roman" w:eastAsia="仿宋" w:cs="Times New Roman"/>
          <w:b/>
          <w:bCs/>
          <w:color w:val="000000"/>
          <w:kern w:val="0"/>
          <w:sz w:val="28"/>
          <w:szCs w:val="24"/>
          <w:lang w:val="en-US" w:eastAsia="zh-CN"/>
        </w:rPr>
        <w:t>2、项目阶段性目标：</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产出目标：</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建设内容完成率：100.00%；</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验收合格情况：100%，出具《验收报告》，验收合格；</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完成及时性：根据合同约定及时完成建设，及时验收；</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成本控制率：≥0.00%；</w:t>
      </w:r>
    </w:p>
    <w:p>
      <w:pPr>
        <w:spacing w:line="500" w:lineRule="exact"/>
        <w:ind w:firstLine="560" w:firstLineChars="200"/>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年纯收益提升：项目实施后，农田基础设施将会更加完备，耕地的生产力将会逐步提高，有利于农民应用先进的生产技术，改善农业生产结构，来提高产量和改善农产品种植结构，发展多种经营，降低生产成本和风险，从而增加农民收入，改善农民生活条件，促进农村经济的持续发展。项目完成后，可新增耕地4.1012Km，按照种植玉米产量600公斤/亩计算，单价2.2元/公斤，每亩毛收益1320元，亩均成本300元，每亩净收益可达1020元，新增耕地年净收益可达6.27万元。</w:t>
      </w:r>
    </w:p>
    <w:p>
      <w:pPr>
        <w:spacing w:line="500" w:lineRule="exact"/>
        <w:ind w:firstLine="560" w:firstLineChars="200"/>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新增耕地面积：≥4.1012公顷。</w:t>
      </w:r>
    </w:p>
    <w:p>
      <w:pPr>
        <w:spacing w:line="500" w:lineRule="exact"/>
        <w:ind w:firstLine="560" w:firstLineChars="200"/>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农业生产条件改善：改善农业生产条件，提高耕地质量，增加耕地产出率。本项目实施以后，项目区农业生产状况得到改善，耕地质量全面提高，从而增加耕地产出率。</w:t>
      </w:r>
    </w:p>
    <w:p>
      <w:pPr>
        <w:spacing w:line="500" w:lineRule="exact"/>
        <w:ind w:firstLine="560" w:firstLineChars="200"/>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水土保持：本项目通过工程措施，增施有机肥和土壤改良剂，土壤理化性状得到改善，提高土壤肥力水平，改善农作物生长环境，促进生态系统稳定和土地生产力的提高，同时恢复和新增林草地，增加林草植被覆盖，防治水土流失等。</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可持续影响：农业综合生产能力进一步得到提高，为建立现代农业奠定了良好的生态环境基础。有利于改善农业生产条件，耕地质量将得到全面改善，耕地产出效率将有所提高，促进土地资源的可持续利用；</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default" w:ascii="Times New Roman" w:hAnsi="Times New Roman" w:eastAsia="仿宋" w:cs="Times New Roman"/>
          <w:b w:val="0"/>
          <w:bCs/>
          <w:color w:val="FF0000"/>
          <w:sz w:val="28"/>
          <w:szCs w:val="28"/>
          <w:highlight w:val="yellow"/>
        </w:rPr>
      </w:pPr>
      <w:r>
        <w:rPr>
          <w:rFonts w:hint="eastAsia" w:ascii="Times New Roman" w:hAnsi="Times New Roman" w:eastAsia="仿宋" w:cs="Times New Roman"/>
          <w:kern w:val="0"/>
          <w:sz w:val="28"/>
          <w:szCs w:val="28"/>
          <w:shd w:val="clear" w:color="auto" w:fill="FFFFFF"/>
          <w:lang w:val="en-US" w:eastAsia="zh-CN"/>
        </w:rPr>
        <w:t>服务对象满意度：≥90%</w:t>
      </w:r>
      <w:r>
        <w:rPr>
          <w:rFonts w:hint="default" w:ascii="Times New Roman" w:hAnsi="Times New Roman" w:eastAsia="仿宋" w:cs="Times New Roman"/>
          <w:b w:val="0"/>
          <w:bCs/>
          <w:color w:val="auto"/>
          <w:sz w:val="28"/>
          <w:szCs w:val="28"/>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rPr>
      </w:pPr>
      <w:bookmarkStart w:id="32" w:name="_Toc12201"/>
      <w:r>
        <w:rPr>
          <w:rFonts w:hint="eastAsia" w:ascii="Times New Roman" w:hAnsi="Times New Roman" w:eastAsia="黑体" w:cs="Times New Roman"/>
          <w:bCs/>
          <w:kern w:val="44"/>
          <w:sz w:val="32"/>
          <w:szCs w:val="32"/>
        </w:rPr>
        <w:t>二、项目组织实施情况</w:t>
      </w:r>
      <w:bookmarkEnd w:id="31"/>
      <w:bookmarkEnd w:id="32"/>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33" w:name="_Toc22213"/>
      <w:bookmarkStart w:id="34" w:name="_Toc514537333"/>
      <w:r>
        <w:rPr>
          <w:rFonts w:hint="eastAsia" w:ascii="仿宋" w:hAnsi="仿宋" w:eastAsia="仿宋" w:cs="Times New Roman"/>
          <w:b/>
          <w:bCs/>
          <w:sz w:val="32"/>
          <w:szCs w:val="32"/>
        </w:rPr>
        <w:t>（一）项目组织情况</w:t>
      </w:r>
      <w:bookmarkEnd w:id="33"/>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古县财政局：负责财政资金的管理，对资金的分配、下拨、使用等全过程进行规范化管理，对项目设立国库集中支付账户，实行分项核算，确保专款专用，组织开展绩效评价工作等。</w:t>
      </w:r>
    </w:p>
    <w:p>
      <w:pPr>
        <w:spacing w:line="574"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kern w:val="0"/>
          <w:sz w:val="28"/>
          <w:szCs w:val="28"/>
          <w:shd w:val="clear" w:color="auto" w:fill="FFFFFF"/>
          <w:lang w:val="en-US" w:eastAsia="zh-CN"/>
        </w:rPr>
        <w:t>古县自然资源局：作为本项目主管单位和实施单位，监督项目实施范围和资金管理情况，做到事前、事中、事后全程监控，并会同财政部门确定资金的支持方向、使用范围等，调研发展资金使用方向。制定各项规章制度，保证项目质量，与其它单位协作配合，保证项目顺利实施。同时将所核查的数据收集、汇总、上报、存档等</w:t>
      </w:r>
      <w:r>
        <w:rPr>
          <w:rFonts w:hint="eastAsia" w:ascii="Times New Roman" w:hAnsi="Times New Roman" w:eastAsia="仿宋" w:cs="Times New Roman"/>
          <w:sz w:val="28"/>
          <w:szCs w:val="24"/>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35" w:name="_Toc25574"/>
      <w:r>
        <w:rPr>
          <w:rFonts w:hint="eastAsia" w:ascii="仿宋" w:hAnsi="仿宋" w:eastAsia="仿宋" w:cs="Times New Roman"/>
          <w:b/>
          <w:bCs/>
          <w:sz w:val="32"/>
          <w:szCs w:val="32"/>
        </w:rPr>
        <w:t>（二）项目实施</w:t>
      </w:r>
      <w:bookmarkEnd w:id="34"/>
      <w:r>
        <w:rPr>
          <w:rFonts w:hint="eastAsia" w:ascii="仿宋" w:hAnsi="仿宋" w:eastAsia="仿宋" w:cs="Times New Roman"/>
          <w:b/>
          <w:bCs/>
          <w:sz w:val="32"/>
          <w:szCs w:val="32"/>
          <w:lang w:val="en-US" w:eastAsia="zh-CN"/>
        </w:rPr>
        <w:t>内容与完成</w:t>
      </w:r>
      <w:r>
        <w:rPr>
          <w:rFonts w:hint="eastAsia" w:ascii="仿宋" w:hAnsi="仿宋" w:eastAsia="仿宋" w:cs="Times New Roman"/>
          <w:b/>
          <w:bCs/>
          <w:sz w:val="32"/>
          <w:szCs w:val="32"/>
        </w:rPr>
        <w:t>情况</w:t>
      </w:r>
      <w:bookmarkEnd w:id="35"/>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hint="default" w:ascii="Times New Roman" w:hAnsi="Times New Roman" w:eastAsia="仿宋" w:cs="Times New Roman"/>
          <w:b/>
          <w:bCs/>
          <w:kern w:val="0"/>
          <w:sz w:val="28"/>
          <w:szCs w:val="28"/>
          <w:shd w:val="clear" w:color="auto" w:fill="FFFFFF"/>
          <w:lang w:val="en-US" w:eastAsia="zh-CN"/>
        </w:rPr>
      </w:pPr>
      <w:bookmarkStart w:id="36" w:name="_Toc514537334"/>
      <w:r>
        <w:rPr>
          <w:rFonts w:hint="eastAsia" w:ascii="Times New Roman" w:hAnsi="Times New Roman" w:eastAsia="仿宋" w:cs="Times New Roman"/>
          <w:b/>
          <w:bCs/>
          <w:kern w:val="0"/>
          <w:sz w:val="28"/>
          <w:szCs w:val="28"/>
          <w:shd w:val="clear" w:color="auto" w:fill="FFFFFF"/>
          <w:lang w:val="en-US" w:eastAsia="zh-CN"/>
        </w:rPr>
        <w:t>1、项目计划实施内容</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default" w:ascii="Times New Roman" w:hAnsi="Times New Roman" w:eastAsia="仿宋" w:cs="Times New Roman"/>
          <w:kern w:val="0"/>
          <w:sz w:val="28"/>
          <w:szCs w:val="28"/>
          <w:shd w:val="clear" w:color="auto" w:fill="FFFFFF"/>
        </w:rPr>
        <w:t>采煤沉陷区旧房拆除和土地复垦项目</w:t>
      </w:r>
      <w:r>
        <w:rPr>
          <w:rFonts w:hint="eastAsia" w:ascii="Times New Roman" w:hAnsi="Times New Roman" w:eastAsia="仿宋" w:cs="Times New Roman"/>
          <w:kern w:val="0"/>
          <w:sz w:val="28"/>
          <w:szCs w:val="28"/>
          <w:shd w:val="clear" w:color="auto" w:fill="FFFFFF"/>
          <w:lang w:val="en-US" w:eastAsia="zh-CN"/>
        </w:rPr>
        <w:t>涉及5个标段。</w:t>
      </w:r>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hint="default" w:ascii="Times New Roman" w:hAnsi="Times New Roman" w:eastAsia="仿宋" w:cs="Times New Roman"/>
          <w:b/>
          <w:bCs/>
          <w:kern w:val="0"/>
          <w:sz w:val="28"/>
          <w:szCs w:val="28"/>
          <w:shd w:val="clear" w:color="auto" w:fill="FFFFFF"/>
          <w:lang w:val="en-US" w:eastAsia="zh-CN"/>
        </w:rPr>
      </w:pPr>
      <w:r>
        <w:rPr>
          <w:rFonts w:hint="eastAsia" w:ascii="Times New Roman" w:hAnsi="Times New Roman" w:eastAsia="仿宋" w:cs="Times New Roman"/>
          <w:b/>
          <w:bCs/>
          <w:kern w:val="0"/>
          <w:sz w:val="28"/>
          <w:szCs w:val="28"/>
          <w:shd w:val="clear" w:color="auto" w:fill="FFFFFF"/>
          <w:lang w:val="en-US" w:eastAsia="zh-CN"/>
        </w:rPr>
        <w:t>①一标段-古县古阳镇杏家庄村采煤沉陷区</w:t>
      </w:r>
      <w:r>
        <w:rPr>
          <w:rFonts w:hint="default" w:ascii="Times New Roman" w:hAnsi="Times New Roman" w:eastAsia="仿宋" w:cs="Times New Roman"/>
          <w:b/>
          <w:bCs/>
          <w:kern w:val="0"/>
          <w:sz w:val="28"/>
          <w:szCs w:val="28"/>
          <w:shd w:val="clear" w:color="auto" w:fill="FFFFFF"/>
        </w:rPr>
        <w:t>旧房拆除和土地复垦项目</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计划开竣工时间：2021年12月20日至2022年2月18日</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复垦区总规模9.8869h㎡，新增耕地面积为7.1331h㎡。项目涉及241户，其中7户保留用作农具储存等，其余234户已拆除，即复垦区。</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合同价：1902503.92元；支付方式：预付款30%，工程完成后支付总价的50%；通过验收后支付总价的15%，通过验收后满一年支付总价的5%。</w:t>
      </w:r>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b/>
          <w:bCs/>
          <w:kern w:val="0"/>
          <w:sz w:val="28"/>
          <w:szCs w:val="28"/>
          <w:shd w:val="clear" w:color="auto" w:fill="FFFFFF"/>
          <w:lang w:val="en-US" w:eastAsia="zh-CN"/>
        </w:rPr>
        <w:t>②二标段-古县古阳镇下辛佛村采煤沉陷区</w:t>
      </w:r>
      <w:r>
        <w:rPr>
          <w:rFonts w:hint="default" w:ascii="Times New Roman" w:hAnsi="Times New Roman" w:eastAsia="仿宋" w:cs="Times New Roman"/>
          <w:b/>
          <w:bCs/>
          <w:kern w:val="0"/>
          <w:sz w:val="28"/>
          <w:szCs w:val="28"/>
          <w:shd w:val="clear" w:color="auto" w:fill="FFFFFF"/>
        </w:rPr>
        <w:t>旧房拆除和土地复垦项目</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计划开竣工时间：2021年12月20日至2022年2月18日</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复垦区总规模7.6121h㎡，新增耕地面积为5.1864h㎡。项目涉及193户。</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合同价：1253511.58元；支付方式：预付款30%，工程完成后支付总价的50%；通过验收后支付总价的15%，通过验收后满一年支付总价的5%。</w:t>
      </w:r>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hint="default" w:ascii="Times New Roman" w:hAnsi="Times New Roman" w:eastAsia="仿宋" w:cs="Times New Roman"/>
          <w:b/>
          <w:bCs/>
          <w:kern w:val="0"/>
          <w:sz w:val="28"/>
          <w:szCs w:val="28"/>
          <w:shd w:val="clear" w:color="auto" w:fill="FFFFFF"/>
          <w:lang w:val="en-US" w:eastAsia="zh-CN"/>
        </w:rPr>
      </w:pPr>
      <w:r>
        <w:rPr>
          <w:rFonts w:hint="eastAsia" w:ascii="Times New Roman" w:hAnsi="Times New Roman" w:eastAsia="仿宋" w:cs="Times New Roman"/>
          <w:b/>
          <w:bCs/>
          <w:kern w:val="0"/>
          <w:sz w:val="28"/>
          <w:szCs w:val="28"/>
          <w:shd w:val="clear" w:color="auto" w:fill="FFFFFF"/>
          <w:lang w:val="en-US" w:eastAsia="zh-CN"/>
        </w:rPr>
        <w:t>③古县古阳镇乔家山村采煤沉陷区</w:t>
      </w:r>
      <w:r>
        <w:rPr>
          <w:rFonts w:hint="default" w:ascii="Times New Roman" w:hAnsi="Times New Roman" w:eastAsia="仿宋" w:cs="Times New Roman"/>
          <w:b/>
          <w:bCs/>
          <w:kern w:val="0"/>
          <w:sz w:val="28"/>
          <w:szCs w:val="28"/>
          <w:shd w:val="clear" w:color="auto" w:fill="FFFFFF"/>
        </w:rPr>
        <w:t>旧房拆除和土地复垦项目</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计划开竣工时间：2021年12月20日至2022年2月18日</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复垦区总规模6.7312h㎡，新增耕地面积为6.7312h㎡。项目涉及176户。</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合同价：1169866.31元；支付方式：预付款30%，工程完成后支付总价的50%；通过验收后支付总价的15%，通过验收后满一年支付总价的5%。</w:t>
      </w:r>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hint="default" w:ascii="Times New Roman" w:hAnsi="Times New Roman" w:eastAsia="仿宋" w:cs="Times New Roman"/>
          <w:b/>
          <w:bCs/>
          <w:kern w:val="0"/>
          <w:sz w:val="28"/>
          <w:szCs w:val="28"/>
          <w:shd w:val="clear" w:color="auto" w:fill="FFFFFF"/>
          <w:lang w:val="en-US" w:eastAsia="zh-CN"/>
        </w:rPr>
      </w:pPr>
      <w:r>
        <w:rPr>
          <w:rFonts w:hint="eastAsia" w:ascii="Times New Roman" w:hAnsi="Times New Roman" w:eastAsia="仿宋" w:cs="Times New Roman"/>
          <w:b/>
          <w:bCs/>
          <w:kern w:val="0"/>
          <w:sz w:val="28"/>
          <w:szCs w:val="28"/>
          <w:shd w:val="clear" w:color="auto" w:fill="FFFFFF"/>
          <w:lang w:val="en-US" w:eastAsia="zh-CN"/>
        </w:rPr>
        <w:t>④古县岳阳镇南坡村采煤沉陷区</w:t>
      </w:r>
      <w:r>
        <w:rPr>
          <w:rFonts w:hint="default" w:ascii="Times New Roman" w:hAnsi="Times New Roman" w:eastAsia="仿宋" w:cs="Times New Roman"/>
          <w:b/>
          <w:bCs/>
          <w:kern w:val="0"/>
          <w:sz w:val="28"/>
          <w:szCs w:val="28"/>
          <w:shd w:val="clear" w:color="auto" w:fill="FFFFFF"/>
        </w:rPr>
        <w:t>旧房拆除和土地复垦项目</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计划开竣工时间：2021年12月20日至2022年2月18日</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复垦区总规模10.2097h㎡，新增耕地面积为6.3144h㎡。项目涉及176户。旧房拆除涉及313户，保留8户房屋用作农具储存及1处养猪场（涉及18户）共计26户，其余287户全部复垦。</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合同价：2137748.18元；支付方式：预付款30%，工程完成后支付总价的50%；通过验收后支付总价的15%，通过验收后满一年支付总价的5%。</w:t>
      </w:r>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hint="default" w:ascii="Times New Roman" w:hAnsi="Times New Roman" w:eastAsia="仿宋" w:cs="Times New Roman"/>
          <w:b/>
          <w:bCs/>
          <w:kern w:val="0"/>
          <w:sz w:val="28"/>
          <w:szCs w:val="28"/>
          <w:shd w:val="clear" w:color="auto" w:fill="FFFFFF"/>
          <w:lang w:val="en-US" w:eastAsia="zh-CN"/>
        </w:rPr>
      </w:pPr>
      <w:r>
        <w:rPr>
          <w:rFonts w:hint="eastAsia" w:ascii="Times New Roman" w:hAnsi="Times New Roman" w:eastAsia="仿宋" w:cs="Times New Roman"/>
          <w:b/>
          <w:bCs/>
          <w:kern w:val="0"/>
          <w:sz w:val="28"/>
          <w:szCs w:val="28"/>
          <w:shd w:val="clear" w:color="auto" w:fill="FFFFFF"/>
          <w:lang w:val="en-US" w:eastAsia="zh-CN"/>
        </w:rPr>
        <w:t>⑤古县岳阳镇韩母村采煤沉陷区</w:t>
      </w:r>
      <w:r>
        <w:rPr>
          <w:rFonts w:hint="default" w:ascii="Times New Roman" w:hAnsi="Times New Roman" w:eastAsia="仿宋" w:cs="Times New Roman"/>
          <w:b/>
          <w:bCs/>
          <w:kern w:val="0"/>
          <w:sz w:val="28"/>
          <w:szCs w:val="28"/>
          <w:shd w:val="clear" w:color="auto" w:fill="FFFFFF"/>
        </w:rPr>
        <w:t>旧房拆除和土地复垦项目</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计划开竣工时间：2021年12月20日至2022年2月18日</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复垦区总规模8.7269h㎡，新增耕地面积为4.1012h㎡。项目涉及183户。</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合同价：1692412.87元；支付方式：预付款30%，工程完成后支付总价的50%；通过验收后支付总价的15%，通过验收后满一年支付总价的5%。</w:t>
      </w:r>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hint="default" w:ascii="Times New Roman" w:hAnsi="Times New Roman" w:eastAsia="仿宋" w:cs="Times New Roman"/>
          <w:b/>
          <w:bCs/>
          <w:kern w:val="0"/>
          <w:sz w:val="28"/>
          <w:szCs w:val="28"/>
          <w:shd w:val="clear" w:color="auto" w:fill="FFFFFF"/>
          <w:lang w:val="en-US" w:eastAsia="zh-CN"/>
        </w:rPr>
      </w:pPr>
      <w:r>
        <w:rPr>
          <w:rFonts w:hint="eastAsia" w:ascii="Times New Roman" w:hAnsi="Times New Roman" w:eastAsia="仿宋" w:cs="Times New Roman"/>
          <w:b/>
          <w:bCs/>
          <w:kern w:val="0"/>
          <w:sz w:val="28"/>
          <w:szCs w:val="28"/>
          <w:shd w:val="clear" w:color="auto" w:fill="FFFFFF"/>
          <w:lang w:val="en-US" w:eastAsia="zh-CN"/>
        </w:rPr>
        <w:t>2、项目实施完成情况</w:t>
      </w:r>
    </w:p>
    <w:p>
      <w:pPr>
        <w:spacing w:line="500" w:lineRule="exact"/>
        <w:ind w:firstLine="560" w:firstLineChars="200"/>
        <w:rPr>
          <w:rFonts w:hint="eastAsia" w:ascii="Times New Roman" w:hAnsi="Times New Roman" w:eastAsia="仿宋_GB2312" w:cs="Times New Roman"/>
          <w:b/>
          <w:bCs/>
          <w:sz w:val="21"/>
          <w:szCs w:val="21"/>
          <w:lang w:val="en-US" w:eastAsia="zh-CN"/>
        </w:rPr>
      </w:pPr>
      <w:r>
        <w:rPr>
          <w:rFonts w:hint="eastAsia" w:ascii="Times New Roman" w:hAnsi="Times New Roman" w:eastAsia="仿宋" w:cs="Times New Roman"/>
          <w:kern w:val="0"/>
          <w:sz w:val="28"/>
          <w:szCs w:val="28"/>
          <w:shd w:val="clear" w:color="auto" w:fill="FFFFFF"/>
          <w:lang w:val="en-US" w:eastAsia="zh-CN"/>
        </w:rPr>
        <w:t>截止2022年8月15日，采煤沉陷区旧房拆除和土地复垦项目尚未完工、尚未验收</w:t>
      </w:r>
      <w:r>
        <w:rPr>
          <w:rFonts w:hint="eastAsia" w:ascii="Times New Roman" w:hAnsi="Times New Roman" w:eastAsia="仿宋" w:cs="Times New Roman"/>
          <w:sz w:val="28"/>
          <w:szCs w:val="24"/>
          <w:lang w:val="en-US" w:eastAsia="zh-CN"/>
        </w:rPr>
        <w:t>。</w:t>
      </w:r>
    </w:p>
    <w:bookmarkEnd w:id="36"/>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rPr>
      </w:pPr>
      <w:bookmarkStart w:id="37" w:name="_Toc30098"/>
      <w:bookmarkStart w:id="38" w:name="_Toc514537336"/>
      <w:r>
        <w:rPr>
          <w:rFonts w:hint="eastAsia" w:ascii="Times New Roman" w:hAnsi="Times New Roman" w:eastAsia="黑体" w:cs="Times New Roman"/>
          <w:bCs/>
          <w:kern w:val="44"/>
          <w:sz w:val="32"/>
          <w:szCs w:val="32"/>
        </w:rPr>
        <w:t>三、绩效评价工作情况</w:t>
      </w:r>
      <w:bookmarkEnd w:id="37"/>
      <w:bookmarkEnd w:id="38"/>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39" w:name="_Toc5135"/>
      <w:bookmarkStart w:id="40" w:name="_Toc514537337"/>
      <w:r>
        <w:rPr>
          <w:rFonts w:hint="eastAsia" w:ascii="仿宋" w:hAnsi="仿宋" w:eastAsia="仿宋" w:cs="Times New Roman"/>
          <w:b/>
          <w:bCs/>
          <w:sz w:val="32"/>
          <w:szCs w:val="32"/>
        </w:rPr>
        <w:t>（一）绩效评价的目的</w:t>
      </w:r>
      <w:bookmarkEnd w:id="39"/>
      <w:bookmarkEnd w:id="40"/>
    </w:p>
    <w:p>
      <w:pPr>
        <w:spacing w:line="500" w:lineRule="exact"/>
        <w:ind w:firstLine="560" w:firstLineChars="200"/>
        <w:rPr>
          <w:rFonts w:hint="eastAsia" w:ascii="Times New Roman" w:hAnsi="Times New Roman" w:eastAsia="仿宋" w:cs="Times New Roman"/>
          <w:sz w:val="28"/>
          <w:szCs w:val="24"/>
          <w:lang w:val="en-US" w:eastAsia="zh-CN"/>
        </w:rPr>
      </w:pPr>
      <w:bookmarkStart w:id="41" w:name="_Toc514537338"/>
      <w:r>
        <w:rPr>
          <w:rFonts w:hint="eastAsia" w:ascii="Times New Roman" w:hAnsi="Times New Roman" w:eastAsia="仿宋" w:cs="Times New Roman"/>
          <w:sz w:val="28"/>
          <w:szCs w:val="24"/>
          <w:lang w:val="en-US" w:eastAsia="zh-CN"/>
        </w:rPr>
        <w:t>财政支出绩效评价旨在通过评价改善预算部门的财政支出管理，优化资源配置，提高公共服务水平。本次绩效评价遵循《预算法》、财政部《项目支出绩效评价管理办法》（财预〔2020〕10号）的有关规定，客观、全面、公正地评价采煤沉陷区旧房拆除和土地复垦项目。</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1、通过绩效评价，深入了解采煤沉陷区旧房拆除和土地复垦项目的决策、过程、产出和绩效方面的详细情况，从而发现问题，并提出改进意见，进一步提高资金使用效率，为政府决策和财政预算管理提供依据。</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2、督促、指导资金使用单位，严格按照政策规定用途使用资金，建立健全资金分配、管理制度，确保资金运行安全。</w:t>
      </w:r>
    </w:p>
    <w:p>
      <w:pPr>
        <w:spacing w:line="500" w:lineRule="exact"/>
        <w:ind w:firstLine="560" w:firstLineChars="200"/>
        <w:rPr>
          <w:rFonts w:ascii="仿宋_GB2312" w:eastAsia="仿宋_GB2312"/>
          <w:snapToGrid w:val="0"/>
          <w:sz w:val="32"/>
          <w:szCs w:val="32"/>
        </w:rPr>
      </w:pPr>
      <w:r>
        <w:rPr>
          <w:rFonts w:hint="eastAsia" w:ascii="Times New Roman" w:hAnsi="Times New Roman" w:eastAsia="仿宋" w:cs="Times New Roman"/>
          <w:sz w:val="28"/>
          <w:szCs w:val="24"/>
          <w:lang w:val="en-US" w:eastAsia="zh-CN"/>
        </w:rPr>
        <w:t>3、从绩效的角度发现该项目在决策、实施和管理过程中存在的问题，寻求解决方案，为进一步深化项目管理工作提供依据，提高各职能部门管理水平，加强规范化、制度化建设，建立健全目标化管理制度，推进预算绩效管理</w:t>
      </w:r>
      <w:r>
        <w:rPr>
          <w:rFonts w:hint="eastAsia" w:ascii="仿宋" w:hAnsi="仿宋" w:eastAsia="仿宋" w:cs="仿宋"/>
          <w:snapToGrid w:val="0"/>
          <w:sz w:val="28"/>
          <w:szCs w:val="28"/>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42" w:name="_Toc522"/>
      <w:r>
        <w:rPr>
          <w:rFonts w:hint="eastAsia" w:ascii="仿宋" w:hAnsi="仿宋" w:eastAsia="仿宋" w:cs="Times New Roman"/>
          <w:b/>
          <w:bCs/>
          <w:sz w:val="32"/>
          <w:szCs w:val="32"/>
        </w:rPr>
        <w:t>（二）绩效评价的依据</w:t>
      </w:r>
      <w:bookmarkEnd w:id="41"/>
      <w:bookmarkEnd w:id="42"/>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bookmarkStart w:id="43" w:name="_Toc18611"/>
      <w:bookmarkStart w:id="44" w:name="_Toc528680460"/>
      <w:bookmarkStart w:id="45" w:name="_Toc5073"/>
      <w:bookmarkStart w:id="46" w:name="_Toc528684135"/>
      <w:bookmarkStart w:id="47" w:name="_Toc13471"/>
      <w:bookmarkStart w:id="48" w:name="_Toc29596"/>
      <w:bookmarkStart w:id="49" w:name="_Toc28792"/>
      <w:bookmarkStart w:id="50" w:name="_Toc28002"/>
      <w:bookmarkStart w:id="51" w:name="_Toc21230"/>
      <w:bookmarkStart w:id="52" w:name="_Toc18935"/>
      <w:bookmarkStart w:id="53" w:name="_Toc528603069"/>
      <w:bookmarkStart w:id="54" w:name="_Toc22158"/>
      <w:r>
        <w:rPr>
          <w:rFonts w:hint="eastAsia" w:ascii="Times New Roman" w:hAnsi="Times New Roman" w:eastAsia="仿宋" w:cs="Times New Roman"/>
          <w:kern w:val="0"/>
          <w:sz w:val="28"/>
          <w:szCs w:val="28"/>
          <w:shd w:val="clear" w:color="auto" w:fill="FFFFFF"/>
          <w:lang w:val="en-US" w:eastAsia="zh-CN"/>
        </w:rPr>
        <w:t>1、《中华人民共和国预算法》（2018年12月29日第十三届全国人民代表大会常务委员会第七次会议通过第十三届全国人民代表大会常务委员会第七次会议决定:对《中华人民共和国预算法》作出修改）；</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2、《中华人民共和国预算法实施条例》（中华人民共和国国务院令第729号，自2020年10月1日起施行）；</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3、财政部《关于贯彻落实&lt;中共中央国务院关于全面实施预算绩效管理的意见&gt;的通知》（财预〔2018〕167号）；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4、财政部关于印发《项目支出绩效评价管理办法》的通知（财预〔2020〕10号）；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5、《中共中央国务院关于全面实施预算绩效管理的意见》(中发〔2018〕34号)；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6、《中共山西省委山西省人民政府关于全面实施预算绩效管理的实施意见》（晋发〔2018〕39号）；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7、山西省财政厅关于贯彻落实《中共山西省委山西省人民政府关于全面实施预算绩效管理的实施意见》的通知（晋财绩〔2019〕12号）；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8、《古县财政局关于印发&lt;2022年度财政重点绩效评价实施方案&gt;的通知》（古财字〔2022〕27号）；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9、其他有关的法律、法规、规章和规范性文件；</w:t>
      </w:r>
    </w:p>
    <w:p>
      <w:pPr>
        <w:spacing w:line="500" w:lineRule="exact"/>
        <w:ind w:firstLine="560" w:firstLineChars="200"/>
        <w:rPr>
          <w:rFonts w:ascii="仿宋_GB2312" w:hAnsi="仿宋" w:eastAsia="仿宋_GB2312" w:cs="仿宋_GB2312"/>
          <w:shd w:val="clear" w:color="auto" w:fill="FFFFFF"/>
        </w:rPr>
      </w:pPr>
      <w:r>
        <w:rPr>
          <w:rFonts w:hint="eastAsia" w:ascii="Times New Roman" w:hAnsi="Times New Roman" w:eastAsia="仿宋" w:cs="Times New Roman"/>
          <w:kern w:val="0"/>
          <w:sz w:val="28"/>
          <w:szCs w:val="28"/>
          <w:shd w:val="clear" w:color="auto" w:fill="FFFFFF"/>
          <w:lang w:val="en-US" w:eastAsia="zh-CN"/>
        </w:rPr>
        <w:t>10、与绩效评价相关的其他资料</w:t>
      </w:r>
      <w:r>
        <w:rPr>
          <w:rFonts w:hint="default" w:ascii="Times New Roman" w:hAnsi="Times New Roman" w:eastAsia="仿宋" w:cs="Times New Roman"/>
          <w:sz w:val="28"/>
          <w:szCs w:val="28"/>
          <w:shd w:val="clear" w:color="auto" w:fill="FFFFFF"/>
        </w:rPr>
        <w:t>。</w:t>
      </w:r>
      <w:bookmarkEnd w:id="43"/>
      <w:bookmarkEnd w:id="44"/>
      <w:bookmarkEnd w:id="45"/>
      <w:bookmarkEnd w:id="46"/>
      <w:bookmarkEnd w:id="47"/>
      <w:bookmarkEnd w:id="48"/>
      <w:bookmarkEnd w:id="49"/>
      <w:bookmarkEnd w:id="50"/>
      <w:bookmarkEnd w:id="51"/>
      <w:bookmarkEnd w:id="52"/>
      <w:bookmarkEnd w:id="53"/>
      <w:bookmarkEnd w:id="54"/>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55" w:name="_Toc20475"/>
      <w:bookmarkStart w:id="56" w:name="_Toc522961240"/>
      <w:r>
        <w:rPr>
          <w:rFonts w:hint="eastAsia" w:ascii="仿宋" w:hAnsi="仿宋" w:eastAsia="仿宋" w:cs="Times New Roman"/>
          <w:b/>
          <w:bCs/>
          <w:sz w:val="32"/>
          <w:szCs w:val="32"/>
        </w:rPr>
        <w:t>（三）评价对象和范围</w:t>
      </w:r>
      <w:bookmarkEnd w:id="55"/>
      <w:bookmarkEnd w:id="56"/>
    </w:p>
    <w:p>
      <w:pPr>
        <w:pStyle w:val="16"/>
        <w:shd w:val="clear" w:color="auto"/>
        <w:spacing w:line="574" w:lineRule="exact"/>
        <w:ind w:firstLine="562" w:firstLineChars="200"/>
        <w:jc w:val="both"/>
        <w:rPr>
          <w:rFonts w:hint="eastAsia" w:ascii="仿宋" w:hAnsi="仿宋" w:eastAsia="仿宋" w:cs="仿宋"/>
          <w:b/>
          <w:bCs w:val="0"/>
          <w:sz w:val="28"/>
          <w:szCs w:val="28"/>
        </w:rPr>
      </w:pPr>
      <w:bookmarkStart w:id="57" w:name="_Toc469065888"/>
      <w:bookmarkStart w:id="58" w:name="_Toc450549936"/>
      <w:bookmarkStart w:id="59" w:name="_Toc469065546"/>
      <w:bookmarkStart w:id="60" w:name="_Toc469065636"/>
      <w:r>
        <w:rPr>
          <w:rFonts w:hint="eastAsia" w:ascii="仿宋" w:hAnsi="仿宋" w:eastAsia="仿宋" w:cs="仿宋"/>
          <w:b/>
          <w:bCs w:val="0"/>
          <w:sz w:val="28"/>
          <w:szCs w:val="28"/>
        </w:rPr>
        <w:t>1、评价对象</w:t>
      </w:r>
    </w:p>
    <w:p>
      <w:pPr>
        <w:spacing w:line="500" w:lineRule="exact"/>
        <w:ind w:firstLine="560" w:firstLineChars="200"/>
        <w:rPr>
          <w:rFonts w:hint="eastAsia" w:ascii="仿宋" w:hAnsi="仿宋" w:eastAsia="仿宋" w:cs="仿宋"/>
          <w:b w:val="0"/>
          <w:bCs/>
          <w:sz w:val="28"/>
          <w:szCs w:val="28"/>
        </w:rPr>
      </w:pPr>
      <w:r>
        <w:rPr>
          <w:rFonts w:hint="eastAsia" w:ascii="Times New Roman" w:hAnsi="Times New Roman" w:eastAsia="仿宋" w:cs="Times New Roman"/>
          <w:sz w:val="28"/>
          <w:szCs w:val="28"/>
        </w:rPr>
        <w:t>本次绩效评价对象为“</w:t>
      </w:r>
      <w:r>
        <w:rPr>
          <w:rFonts w:hint="eastAsia" w:ascii="Times New Roman" w:hAnsi="Times New Roman" w:eastAsia="仿宋" w:cs="Times New Roman"/>
          <w:sz w:val="28"/>
          <w:szCs w:val="28"/>
          <w:lang w:eastAsia="zh-CN"/>
        </w:rPr>
        <w:t>采煤沉陷区旧房拆除和土地复垦项目</w:t>
      </w:r>
      <w:r>
        <w:rPr>
          <w:rFonts w:hint="eastAsia" w:ascii="Times New Roman" w:hAnsi="Times New Roman" w:eastAsia="仿宋" w:cs="Times New Roman"/>
          <w:sz w:val="28"/>
          <w:szCs w:val="24"/>
          <w:lang w:val="en-US" w:eastAsia="zh-CN"/>
        </w:rPr>
        <w:t>资金</w:t>
      </w:r>
      <w:r>
        <w:rPr>
          <w:rFonts w:hint="eastAsia" w:ascii="Times New Roman" w:hAnsi="Times New Roman" w:eastAsia="仿宋" w:cs="Times New Roman"/>
          <w:kern w:val="0"/>
          <w:sz w:val="28"/>
          <w:szCs w:val="28"/>
          <w:shd w:val="clear" w:color="auto" w:fill="FFFFFF"/>
          <w:lang w:val="en-US" w:eastAsia="zh-CN"/>
        </w:rPr>
        <w:t>613.06万元</w:t>
      </w:r>
      <w:r>
        <w:rPr>
          <w:rFonts w:hint="eastAsia" w:ascii="Times New Roman" w:hAnsi="Times New Roman" w:eastAsia="仿宋" w:cs="Times New Roman"/>
          <w:sz w:val="28"/>
          <w:szCs w:val="28"/>
        </w:rPr>
        <w:t>”</w:t>
      </w:r>
      <w:r>
        <w:rPr>
          <w:rFonts w:hint="eastAsia" w:ascii="仿宋" w:hAnsi="仿宋" w:eastAsia="仿宋" w:cs="仿宋"/>
          <w:b w:val="0"/>
          <w:bCs/>
          <w:sz w:val="28"/>
          <w:szCs w:val="28"/>
        </w:rPr>
        <w:t>。</w:t>
      </w:r>
    </w:p>
    <w:p>
      <w:pPr>
        <w:pStyle w:val="16"/>
        <w:shd w:val="clear" w:color="auto"/>
        <w:spacing w:line="574" w:lineRule="exact"/>
        <w:ind w:firstLine="562" w:firstLineChars="200"/>
        <w:jc w:val="both"/>
        <w:rPr>
          <w:rFonts w:hint="eastAsia" w:ascii="仿宋" w:hAnsi="仿宋" w:eastAsia="仿宋" w:cs="仿宋"/>
          <w:b/>
          <w:bCs w:val="0"/>
          <w:sz w:val="28"/>
          <w:szCs w:val="28"/>
        </w:rPr>
      </w:pPr>
      <w:r>
        <w:rPr>
          <w:rFonts w:hint="eastAsia" w:ascii="仿宋" w:hAnsi="仿宋" w:eastAsia="仿宋" w:cs="仿宋"/>
          <w:b/>
          <w:bCs w:val="0"/>
          <w:sz w:val="28"/>
          <w:szCs w:val="28"/>
        </w:rPr>
        <w:t>2、评价范围</w:t>
      </w:r>
    </w:p>
    <w:p>
      <w:pPr>
        <w:pStyle w:val="16"/>
        <w:shd w:val="clear" w:color="auto"/>
        <w:spacing w:line="574" w:lineRule="exact"/>
        <w:ind w:firstLine="560" w:firstLineChars="200"/>
        <w:jc w:val="both"/>
        <w:rPr>
          <w:rFonts w:hint="eastAsia" w:ascii="Times New Roman" w:hAnsi="Times New Roman" w:eastAsia="仿宋" w:cs="Times New Roman"/>
          <w:b w:val="0"/>
          <w:bCs/>
          <w:kern w:val="0"/>
          <w:sz w:val="28"/>
          <w:szCs w:val="28"/>
          <w:lang w:val="en-US" w:eastAsia="zh-CN" w:bidi="ar-SA"/>
        </w:rPr>
      </w:pPr>
      <w:r>
        <w:rPr>
          <w:rFonts w:hint="eastAsia" w:ascii="Times New Roman" w:hAnsi="Times New Roman" w:eastAsia="仿宋" w:cs="Times New Roman"/>
          <w:kern w:val="2"/>
          <w:sz w:val="28"/>
          <w:szCs w:val="28"/>
          <w:lang w:val="en-US" w:eastAsia="zh-CN" w:bidi="ar-SA"/>
        </w:rPr>
        <w:t>本次评价的范围是采煤沉陷区旧房拆除和土地复垦项目。评价其绩效目标设定情况，资金投入和使用情况，为实现设定的绩效目标所制定的制度、采取的措施等，以及绩效目标最终的实现程度及效果</w:t>
      </w:r>
      <w:r>
        <w:rPr>
          <w:rFonts w:hint="eastAsia" w:ascii="仿宋" w:hAnsi="仿宋" w:eastAsia="仿宋" w:cs="仿宋"/>
          <w:b w:val="0"/>
          <w:bCs/>
          <w:kern w:val="0"/>
          <w:sz w:val="28"/>
          <w:szCs w:val="28"/>
          <w:lang w:val="en-US" w:eastAsia="zh-CN" w:bidi="ar-SA"/>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61" w:name="_Toc479102135"/>
      <w:bookmarkStart w:id="62" w:name="_Toc522961241"/>
      <w:bookmarkStart w:id="63" w:name="_Toc497"/>
      <w:r>
        <w:rPr>
          <w:rFonts w:hint="eastAsia" w:ascii="仿宋" w:hAnsi="仿宋" w:eastAsia="仿宋" w:cs="Times New Roman"/>
          <w:b/>
          <w:bCs/>
          <w:sz w:val="32"/>
          <w:szCs w:val="32"/>
        </w:rPr>
        <w:t>（四）</w:t>
      </w:r>
      <w:bookmarkEnd w:id="57"/>
      <w:bookmarkEnd w:id="58"/>
      <w:bookmarkEnd w:id="59"/>
      <w:bookmarkEnd w:id="60"/>
      <w:bookmarkEnd w:id="61"/>
      <w:r>
        <w:rPr>
          <w:rFonts w:hint="eastAsia" w:ascii="仿宋" w:hAnsi="仿宋" w:eastAsia="仿宋" w:cs="Times New Roman"/>
          <w:b/>
          <w:bCs/>
          <w:sz w:val="32"/>
          <w:szCs w:val="32"/>
        </w:rPr>
        <w:t>绩效评价基准日</w:t>
      </w:r>
      <w:bookmarkEnd w:id="62"/>
      <w:bookmarkEnd w:id="63"/>
    </w:p>
    <w:p>
      <w:pPr>
        <w:pStyle w:val="17"/>
        <w:spacing w:line="574" w:lineRule="exact"/>
        <w:ind w:firstLine="560" w:firstLineChars="200"/>
        <w:outlineLvl w:val="9"/>
        <w:rPr>
          <w:rFonts w:hint="eastAsia" w:ascii="Times New Roman" w:hAnsi="Times New Roman" w:eastAsia="仿宋" w:cs="Times New Roman"/>
          <w:bCs/>
          <w:kern w:val="0"/>
          <w:sz w:val="28"/>
          <w:szCs w:val="28"/>
          <w:lang w:val="en-US" w:eastAsia="zh-CN" w:bidi="ar-SA"/>
        </w:rPr>
      </w:pPr>
      <w:bookmarkStart w:id="64" w:name="_Toc6328"/>
      <w:bookmarkStart w:id="65" w:name="_Toc16028"/>
      <w:bookmarkStart w:id="66" w:name="_Toc1333"/>
      <w:bookmarkStart w:id="67" w:name="_Toc11873"/>
      <w:bookmarkStart w:id="68" w:name="_Toc14966"/>
      <w:bookmarkStart w:id="69" w:name="_Toc11974"/>
      <w:r>
        <w:rPr>
          <w:rFonts w:hint="eastAsia" w:ascii="Times New Roman" w:hAnsi="Times New Roman" w:eastAsia="仿宋" w:cs="Times New Roman"/>
          <w:bCs w:val="0"/>
          <w:kern w:val="2"/>
          <w:sz w:val="28"/>
          <w:szCs w:val="24"/>
          <w:lang w:val="en-US" w:eastAsia="zh-CN" w:bidi="ar-SA"/>
        </w:rPr>
        <w:t>依据科学规范、公平公正、分级分类和绩效相关四项原则，从决策、过程、产出、效益四方面对项目进行评价。评价基准日为</w:t>
      </w:r>
      <w:r>
        <w:rPr>
          <w:rFonts w:hint="eastAsia" w:eastAsia="仿宋" w:cs="Times New Roman"/>
          <w:bCs w:val="0"/>
          <w:kern w:val="2"/>
          <w:sz w:val="28"/>
          <w:szCs w:val="24"/>
          <w:lang w:val="en-US" w:eastAsia="zh-CN" w:bidi="ar-SA"/>
        </w:rPr>
        <w:t>2022年8月15日</w:t>
      </w:r>
      <w:r>
        <w:rPr>
          <w:rFonts w:hint="eastAsia" w:ascii="Times New Roman" w:hAnsi="Times New Roman" w:eastAsia="仿宋" w:cs="Times New Roman"/>
          <w:bCs/>
          <w:kern w:val="0"/>
          <w:sz w:val="28"/>
          <w:szCs w:val="28"/>
          <w:lang w:val="en-US" w:eastAsia="zh-CN" w:bidi="ar-SA"/>
        </w:rPr>
        <w:t>。</w:t>
      </w:r>
      <w:bookmarkEnd w:id="64"/>
      <w:bookmarkEnd w:id="65"/>
      <w:bookmarkEnd w:id="66"/>
      <w:bookmarkEnd w:id="67"/>
      <w:bookmarkEnd w:id="68"/>
      <w:bookmarkEnd w:id="69"/>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70" w:name="_Toc514537339"/>
      <w:bookmarkStart w:id="71" w:name="_Toc24839"/>
      <w:bookmarkStart w:id="72" w:name="_Toc519354505"/>
      <w:r>
        <w:rPr>
          <w:rFonts w:hint="eastAsia" w:ascii="仿宋" w:hAnsi="仿宋" w:eastAsia="仿宋" w:cs="Times New Roman"/>
          <w:b/>
          <w:bCs/>
          <w:sz w:val="32"/>
          <w:szCs w:val="32"/>
        </w:rPr>
        <w:t>（五）</w:t>
      </w:r>
      <w:bookmarkEnd w:id="70"/>
      <w:r>
        <w:rPr>
          <w:rFonts w:hint="eastAsia" w:ascii="仿宋" w:hAnsi="仿宋" w:eastAsia="仿宋" w:cs="Times New Roman"/>
          <w:b/>
          <w:bCs/>
          <w:sz w:val="32"/>
          <w:szCs w:val="32"/>
        </w:rPr>
        <w:t>绩效评价的原则</w:t>
      </w:r>
      <w:bookmarkEnd w:id="71"/>
      <w:bookmarkEnd w:id="72"/>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项目评价过程中，我机构严格按照《财政部关于印发&lt;第三方机构预算绩效评价业务监督管理暂行办法&gt;的通知》（财监〔2021〕4号）要求，遵循以下基本原则：</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（1）独立原则。在委托方和被评价对象提供工作便利条件和相关资料情况下独立完成委托事项。</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（2）客观原则。按照与委托方签订的协议（合同）约定事项客观公正、实事求是地开展预算绩效评价，不得出具不实预算绩效评价报告。</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（3）规范原则。履行必要评价程序，合理选取具有代表性的样本，对原始资料进行必要的核查验证，形成结论并出具预算绩效评价报告。</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73" w:name="_Toc519354506"/>
      <w:bookmarkStart w:id="74" w:name="_Toc25698"/>
      <w:r>
        <w:rPr>
          <w:rFonts w:hint="eastAsia" w:ascii="仿宋" w:hAnsi="仿宋" w:eastAsia="仿宋" w:cs="Times New Roman"/>
          <w:b/>
          <w:bCs/>
          <w:sz w:val="32"/>
          <w:szCs w:val="32"/>
        </w:rPr>
        <w:t>（六）绩效评价的方法</w:t>
      </w:r>
      <w:bookmarkEnd w:id="73"/>
      <w:bookmarkEnd w:id="74"/>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本次绩效评价主要运用比较法、因素分析法、成本效益分析法、公众评判法等方法，本着科学价值导向、客观公正、综合分析、群众满意、绩效相关评价原则，按照从决策、过程、产出和效果的绩效逻辑路径，结合本项目的实际开展情况，通过指标设计和量化分析检验项目资金的效果和效益。从决策、过程、产出、效益等方面，综合考察项目的完成情况、取得的成绩及效益，运用定量和定性分析相结合的方法，总结经验做法，反思项目实施和管理中的问题，以切实提升财政资金管理的科学化、规范化和精细化水平。</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1、成本效益分析法：是指将采煤沉陷区旧房拆除和土地复垦项目的决策与产出、效益进行关联性分析，考察项目预算编制、资金分配对产出、效益的影响。</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2、比较法：是指通过对绩效目标与实施效果的比较，综合分析绩效目标的实现程度。本次评价工作，通过采煤沉陷区旧房拆除和土地复垦项目实际产出与计划产出之间的比较，资金实际绩效与目标绩效之间的比较，资金使用状况与设定评价标准之间的比较等，对资金进行综合评价。</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3、因素分析法：是指通过综合分析影响绩效目标实现、实施效果的内外因素，评价绩效目标实现程度。采煤沉陷区旧房拆除和土地复垦项目绩效评价，主要从决策、过程、产出、效益四个层面的因素展开分析评价。</w:t>
      </w:r>
    </w:p>
    <w:p>
      <w:pPr>
        <w:spacing w:line="500" w:lineRule="exact"/>
        <w:ind w:firstLine="560" w:firstLineChars="200"/>
        <w:rPr>
          <w:rFonts w:ascii="仿宋_GB2312" w:eastAsia="仿宋_GB2312"/>
          <w:snapToGrid w:val="0"/>
          <w:sz w:val="32"/>
          <w:szCs w:val="32"/>
          <w:highlight w:val="yellow"/>
        </w:rPr>
      </w:pPr>
      <w:r>
        <w:rPr>
          <w:rFonts w:hint="eastAsia" w:ascii="Times New Roman" w:hAnsi="Times New Roman" w:eastAsia="仿宋" w:cs="Times New Roman"/>
          <w:bCs w:val="0"/>
          <w:kern w:val="2"/>
          <w:sz w:val="28"/>
          <w:szCs w:val="28"/>
          <w:lang w:val="en-US" w:eastAsia="zh-CN" w:bidi="ar-SA"/>
        </w:rPr>
        <w:t>4、公众评判法：是指通过专家评估、访谈及调查问卷等对项目效果进行评判，评价绩效目标实现程度。本次评价所涉及满意度调查对象为采煤沉陷区旧房拆除和土地复垦项目受益群体，通过发放调查问卷的形式了解调查对象满意度，反映财政支出的效果</w:t>
      </w:r>
      <w:r>
        <w:rPr>
          <w:rFonts w:hint="eastAsia" w:ascii="仿宋_GB2312" w:eastAsia="仿宋_GB2312"/>
          <w:snapToGrid w:val="0"/>
          <w:sz w:val="32"/>
          <w:szCs w:val="32"/>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75" w:name="_Toc514537340"/>
      <w:bookmarkStart w:id="76" w:name="_Toc32480"/>
      <w:bookmarkStart w:id="77" w:name="_Toc519354507"/>
      <w:r>
        <w:rPr>
          <w:rFonts w:hint="eastAsia" w:ascii="仿宋" w:hAnsi="仿宋" w:eastAsia="仿宋" w:cs="Times New Roman"/>
          <w:b/>
          <w:bCs/>
          <w:sz w:val="32"/>
          <w:szCs w:val="32"/>
        </w:rPr>
        <w:t>（七）评价指标体系</w:t>
      </w:r>
      <w:bookmarkEnd w:id="75"/>
      <w:bookmarkEnd w:id="76"/>
      <w:bookmarkEnd w:id="77"/>
    </w:p>
    <w:p>
      <w:pPr>
        <w:spacing w:line="500" w:lineRule="exact"/>
        <w:ind w:firstLine="560" w:firstLineChars="200"/>
        <w:rPr>
          <w:rFonts w:hint="default" w:ascii="Times New Roman" w:hAnsi="Times New Roman" w:eastAsia="仿宋" w:cs="Times New Roman"/>
          <w:bCs w:val="0"/>
          <w:kern w:val="2"/>
          <w:sz w:val="28"/>
          <w:szCs w:val="28"/>
          <w:lang w:val="en-US" w:eastAsia="zh-CN" w:bidi="ar-SA"/>
        </w:rPr>
      </w:pPr>
      <w:bookmarkStart w:id="78" w:name="_Toc469065643"/>
      <w:bookmarkStart w:id="79" w:name="_Toc450549943"/>
      <w:bookmarkStart w:id="80" w:name="_Toc469065553"/>
      <w:bookmarkStart w:id="81" w:name="_Toc469065895"/>
      <w:r>
        <w:rPr>
          <w:rFonts w:hint="eastAsia" w:ascii="Times New Roman" w:hAnsi="Times New Roman" w:eastAsia="仿宋" w:cs="Times New Roman"/>
          <w:bCs w:val="0"/>
          <w:kern w:val="2"/>
          <w:sz w:val="28"/>
          <w:szCs w:val="28"/>
          <w:lang w:val="en-US" w:eastAsia="zh-CN" w:bidi="ar-SA"/>
        </w:rPr>
        <w:t>参考财政部《项目支出绩效评价管理办法》（财预〔2020〕10号）等文件要求，本次评价从采煤沉陷区旧房拆除和土地复垦项目支出着手，根据绩效评价的基本原理、原则和项目特点，综合考虑项目背景、绩效目标、预算资金的投入与使用情况等内容，评价小组按照逻辑分析法，从科学性、客观性与可执行性角度出发，设计项目的绩效评价指标体系。指标体系从决策、过程、产出与效益四个方面进行考核</w:t>
      </w:r>
      <w:r>
        <w:rPr>
          <w:rFonts w:hint="default" w:ascii="Times New Roman" w:hAnsi="Times New Roman" w:eastAsia="仿宋" w:cs="Times New Roman"/>
          <w:bCs w:val="0"/>
          <w:kern w:val="2"/>
          <w:sz w:val="28"/>
          <w:szCs w:val="28"/>
          <w:lang w:val="en-US" w:eastAsia="zh-CN" w:bidi="ar-SA"/>
        </w:rPr>
        <w:t>。</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采煤沉陷区旧房拆除和土地复垦项目资金绩效评价体系主要包括4项一级指标、14项二级指标、22项三级指标。主要内容为：</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1、决策指标：主要考核项目立项是否规范，设立的绩效目标是否合理，绩效指标是否明确，预算编制是否科学，资金分配是否合理。包括3个二级指标，6个三级指标（根据项目特点进行细化）。</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2、过程指标：主要考核项目单位资金是否按计划到位，预算执行是否按照计划执行，资金使用是否合规，是否建立健全管理制度，财务制度是否健全，制度执行是否有效。包括2个二级指标，5个三级指标。</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3、产出指标：主要考核项目是否按计划要求完成，实施进度是否与计划一致，质量达标情况，项目完工及时性，资金是否存在超支。包括4个二级指标，5个三级指标。</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kern w:val="0"/>
          <w:sz w:val="28"/>
          <w:szCs w:val="28"/>
          <w:shd w:val="clear" w:color="auto" w:fill="FFFFFF"/>
          <w:lang w:val="en-US" w:eastAsia="zh-CN"/>
        </w:rPr>
        <w:t>4、效益指标：主要从经济效益、社会效益、生态效益、可持续影响、服务对象满意度五方面来评价项目效益。具体考核社会效益、可持续影响、服务对象满意度。包括5个二级指标，6个三级指标</w:t>
      </w:r>
      <w:r>
        <w:rPr>
          <w:rFonts w:hint="eastAsia" w:ascii="Times New Roman" w:hAnsi="Times New Roman" w:eastAsia="仿宋" w:cs="Times New Roman"/>
          <w:bCs w:val="0"/>
          <w:kern w:val="2"/>
          <w:sz w:val="28"/>
          <w:szCs w:val="28"/>
          <w:lang w:val="en-US" w:eastAsia="zh-CN" w:bidi="ar-SA"/>
        </w:rPr>
        <w:t>。</w:t>
      </w:r>
    </w:p>
    <w:p>
      <w:pPr>
        <w:spacing w:line="500" w:lineRule="exact"/>
        <w:ind w:firstLine="560" w:firstLineChars="200"/>
        <w:rPr>
          <w:rFonts w:hint="eastAsia" w:ascii="仿宋" w:hAnsi="仿宋" w:eastAsia="仿宋" w:cs="仿宋"/>
          <w:snapToGrid w:val="0"/>
          <w:sz w:val="28"/>
          <w:szCs w:val="28"/>
          <w:lang w:eastAsia="zh-CN"/>
        </w:rPr>
      </w:pPr>
      <w:r>
        <w:rPr>
          <w:rFonts w:hint="eastAsia" w:ascii="Times New Roman" w:hAnsi="Times New Roman" w:eastAsia="仿宋" w:cs="Times New Roman"/>
          <w:bCs w:val="0"/>
          <w:kern w:val="2"/>
          <w:sz w:val="28"/>
          <w:szCs w:val="28"/>
          <w:lang w:val="en-US" w:eastAsia="zh-CN" w:bidi="ar-SA"/>
        </w:rPr>
        <w:t>本次绩效评价项目根据财政部关于印发《项目支出绩效评价管理办法》的通知（财预〔2020〕10号）要求，及以往项目支出绩效评价指标体系权重的工作经验对评价指标所代表的价值进行判断，重点考核项目产出和效益，最终确定决策类指标权重占比20%，过程类指标权重占比20%，产出类指标权重占比30%，效益类指标权重占比30%。并根据二、三级指标与绩效目标的匹配性、在指标中的重要性</w:t>
      </w:r>
      <w:bookmarkStart w:id="188" w:name="_GoBack"/>
      <w:bookmarkEnd w:id="188"/>
      <w:r>
        <w:rPr>
          <w:rFonts w:hint="eastAsia" w:ascii="Times New Roman" w:hAnsi="Times New Roman" w:eastAsia="仿宋" w:cs="Times New Roman"/>
          <w:bCs w:val="0"/>
          <w:kern w:val="2"/>
          <w:sz w:val="28"/>
          <w:szCs w:val="28"/>
          <w:lang w:val="en-US" w:eastAsia="zh-CN" w:bidi="ar-SA"/>
        </w:rPr>
        <w:t>以及对一级指标的影响程度来合理确定评价指标的权重比例结构</w:t>
      </w:r>
      <w:r>
        <w:rPr>
          <w:rFonts w:hint="eastAsia" w:ascii="仿宋" w:hAnsi="仿宋" w:eastAsia="仿宋" w:cs="仿宋"/>
          <w:snapToGrid w:val="0"/>
          <w:sz w:val="28"/>
          <w:szCs w:val="28"/>
          <w:lang w:eastAsia="zh-CN"/>
        </w:rPr>
        <w:t>。</w:t>
      </w:r>
    </w:p>
    <w:bookmarkEnd w:id="78"/>
    <w:bookmarkEnd w:id="79"/>
    <w:bookmarkEnd w:id="80"/>
    <w:bookmarkEnd w:id="81"/>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仿宋"/>
          <w:b/>
          <w:snapToGrid w:val="0"/>
          <w:sz w:val="28"/>
          <w:szCs w:val="28"/>
        </w:rPr>
      </w:pPr>
      <w:bookmarkStart w:id="82" w:name="_Toc514537341"/>
      <w:bookmarkStart w:id="83" w:name="_Toc7784"/>
      <w:bookmarkStart w:id="84" w:name="_Toc519354508"/>
      <w:r>
        <w:rPr>
          <w:rFonts w:hint="eastAsia" w:ascii="仿宋" w:hAnsi="仿宋" w:eastAsia="仿宋" w:cs="Times New Roman"/>
          <w:b/>
          <w:bCs/>
          <w:sz w:val="32"/>
          <w:szCs w:val="32"/>
        </w:rPr>
        <w:t>（八）绩效评价工作组织</w:t>
      </w:r>
      <w:bookmarkEnd w:id="82"/>
      <w:bookmarkEnd w:id="83"/>
      <w:bookmarkEnd w:id="84"/>
    </w:p>
    <w:p>
      <w:pPr>
        <w:spacing w:line="500" w:lineRule="exact"/>
        <w:ind w:firstLine="562" w:firstLineChars="200"/>
        <w:rPr>
          <w:rFonts w:hint="eastAsia" w:ascii="Times New Roman" w:hAnsi="Times New Roman" w:eastAsia="仿宋" w:cs="Times New Roman"/>
          <w:b/>
          <w:bCs/>
          <w:kern w:val="2"/>
          <w:sz w:val="28"/>
          <w:szCs w:val="28"/>
          <w:lang w:val="en-US" w:eastAsia="zh-CN" w:bidi="ar-SA"/>
        </w:rPr>
      </w:pPr>
      <w:bookmarkStart w:id="85" w:name="_Toc469065558"/>
      <w:bookmarkStart w:id="86" w:name="_Toc469065648"/>
      <w:bookmarkStart w:id="87" w:name="_Toc469065900"/>
      <w:bookmarkStart w:id="88" w:name="_Toc479102151"/>
      <w:bookmarkStart w:id="89" w:name="_Toc5559623"/>
      <w:bookmarkStart w:id="90" w:name="_Toc19406"/>
      <w:r>
        <w:rPr>
          <w:rFonts w:hint="eastAsia" w:ascii="Times New Roman" w:hAnsi="Times New Roman" w:eastAsia="仿宋" w:cs="Times New Roman"/>
          <w:b/>
          <w:bCs/>
          <w:kern w:val="2"/>
          <w:sz w:val="28"/>
          <w:szCs w:val="28"/>
          <w:lang w:val="en-US" w:eastAsia="zh-CN" w:bidi="ar-SA"/>
        </w:rPr>
        <w:t>1、组织框架</w:t>
      </w:r>
      <w:bookmarkEnd w:id="85"/>
      <w:bookmarkEnd w:id="86"/>
      <w:bookmarkEnd w:id="87"/>
      <w:bookmarkEnd w:id="88"/>
      <w:bookmarkEnd w:id="89"/>
      <w:bookmarkEnd w:id="90"/>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为使绩效评价工作顺利开展，成立绩效评价项目评价组，评价组主要负责现场勘察，包括查阅收集相关的制度文件、财务资料等，开展问卷调查，撰写绩效评价方案和绩效评价报告等工作。具体人员及分工如表3-1所示。</w:t>
      </w:r>
    </w:p>
    <w:p>
      <w:pPr>
        <w:autoSpaceDE w:val="0"/>
        <w:autoSpaceDN w:val="0"/>
        <w:adjustRightInd w:val="0"/>
        <w:spacing w:line="500" w:lineRule="exact"/>
        <w:jc w:val="center"/>
        <w:rPr>
          <w:rFonts w:ascii="Times New Roman" w:hAnsi="Times New Roman" w:eastAsia="仿宋" w:cs="Times New Roman"/>
          <w:b/>
          <w:color w:val="000000"/>
          <w:sz w:val="28"/>
          <w:szCs w:val="28"/>
        </w:rPr>
      </w:pPr>
      <w:r>
        <w:rPr>
          <w:rFonts w:ascii="Times New Roman" w:hAnsi="Times New Roman" w:eastAsia="仿宋" w:cs="Times New Roman"/>
          <w:b/>
          <w:bCs/>
          <w:color w:val="000000"/>
          <w:kern w:val="0"/>
          <w:sz w:val="24"/>
          <w:szCs w:val="28"/>
        </w:rPr>
        <w:t>表</w:t>
      </w:r>
      <w:r>
        <w:rPr>
          <w:rFonts w:hint="eastAsia" w:ascii="Times New Roman" w:hAnsi="Times New Roman" w:eastAsia="仿宋" w:cs="Times New Roman"/>
          <w:b/>
          <w:bCs/>
          <w:color w:val="000000"/>
          <w:kern w:val="0"/>
          <w:sz w:val="24"/>
          <w:szCs w:val="28"/>
          <w:lang w:val="en-US" w:eastAsia="zh-CN"/>
        </w:rPr>
        <w:t>3</w:t>
      </w:r>
      <w:r>
        <w:rPr>
          <w:rFonts w:ascii="Times New Roman" w:hAnsi="Times New Roman" w:eastAsia="仿宋" w:cs="Times New Roman"/>
          <w:b/>
          <w:bCs/>
          <w:color w:val="000000"/>
          <w:kern w:val="0"/>
          <w:sz w:val="24"/>
          <w:szCs w:val="28"/>
        </w:rPr>
        <w:t>-1</w:t>
      </w:r>
      <w:r>
        <w:rPr>
          <w:rFonts w:hint="eastAsia" w:ascii="Times New Roman" w:hAnsi="Times New Roman" w:eastAsia="仿宋" w:cs="Times New Roman"/>
          <w:b/>
          <w:bCs/>
          <w:color w:val="000000"/>
          <w:kern w:val="0"/>
          <w:sz w:val="24"/>
          <w:szCs w:val="28"/>
        </w:rPr>
        <w:t xml:space="preserve">  评价</w:t>
      </w:r>
      <w:r>
        <w:rPr>
          <w:rFonts w:hint="eastAsia" w:ascii="Times New Roman" w:hAnsi="Times New Roman" w:eastAsia="仿宋" w:cs="Times New Roman"/>
          <w:b/>
          <w:bCs/>
          <w:color w:val="000000"/>
          <w:kern w:val="0"/>
          <w:sz w:val="24"/>
          <w:szCs w:val="28"/>
          <w:lang w:val="en-US" w:eastAsia="zh-CN" w:bidi="ar-SA"/>
        </w:rPr>
        <w:t>工作组</w:t>
      </w:r>
      <w:r>
        <w:rPr>
          <w:rFonts w:hint="eastAsia" w:ascii="Times New Roman" w:hAnsi="Times New Roman" w:eastAsia="仿宋" w:cs="Times New Roman"/>
          <w:b/>
          <w:bCs/>
          <w:color w:val="000000"/>
          <w:kern w:val="0"/>
          <w:sz w:val="24"/>
          <w:szCs w:val="28"/>
        </w:rPr>
        <w:t>及人员分工</w:t>
      </w:r>
    </w:p>
    <w:tbl>
      <w:tblPr>
        <w:tblStyle w:val="20"/>
        <w:tblpPr w:leftFromText="180" w:rightFromText="180" w:vertAnchor="text"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1843"/>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shd w:val="clear" w:color="auto" w:fill="BEBEBE" w:themeFill="background1" w:themeFillShade="BF"/>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姓名</w:t>
            </w:r>
          </w:p>
        </w:tc>
        <w:tc>
          <w:tcPr>
            <w:tcW w:w="1843" w:type="dxa"/>
            <w:shd w:val="clear" w:color="auto" w:fill="BEBEBE" w:themeFill="background1" w:themeFillShade="BF"/>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职务</w:t>
            </w:r>
          </w:p>
        </w:tc>
        <w:tc>
          <w:tcPr>
            <w:tcW w:w="4678" w:type="dxa"/>
            <w:shd w:val="clear" w:color="auto" w:fill="BEBEBE" w:themeFill="background1" w:themeFillShade="BF"/>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张文英</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项目负责人</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全面负责本次绩效评价工作，统筹协调，人员培训，绩效评价方案、报告审核等。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许慧敏</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组长</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韩俊</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副组长</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负责协助组长设计指标体系、撰写实施方案、访谈方案、评价报告等。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韩金秀</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刘玲玲</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杨帆</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李阳</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樊荣荣</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常洪强</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李金文</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任帅</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马鹏飞</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bl>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91" w:name="_Toc7355"/>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九</w:t>
      </w:r>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评价工作安排</w:t>
      </w:r>
      <w:bookmarkEnd w:id="91"/>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1、前期准备阶段（2022年5月上旬至5月中旬）</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（1）成立绩效评价工作组，确定评价指标，制定评价工作底稿、评价报告内容；</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（2）根据文件规定时间，制定评价实施方案，确定现场评价时间；</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（3）确定被评单位需要配合的事项；</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（4）完成评价人员的培训；</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（5）收集整理被评价单位的相关资料。</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2、现场实施阶段（2022年5月下旬至6月上旬）</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（1）与项目单位进行沟通，确定评价工作组现场工作安排；</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（2）评价工作组对上报的相关资料进行审查、复核和测评；</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（3）评价工作组到现场，按照评价标准和规范，对各项指标进行计算和打分；</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3、报告撰写和提交阶段（2022年6月中旬-8月中旬）</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（1）评价工作组根据有关规定，整理、综合分析项目相关信息，撰写被评单位的绩效评价报告；与被评价单位就绩效评价报告进行充分沟通并交换意见；</w:t>
      </w:r>
    </w:p>
    <w:p>
      <w:pPr>
        <w:spacing w:line="500" w:lineRule="exact"/>
        <w:ind w:firstLine="560" w:firstLineChars="200"/>
        <w:rPr>
          <w:rFonts w:hint="default" w:ascii="Times New Roman" w:hAnsi="Times New Roman" w:eastAsia="仿宋" w:cs="Times New Roman"/>
          <w:b w:val="0"/>
          <w:bCs/>
          <w:sz w:val="28"/>
          <w:szCs w:val="28"/>
        </w:rPr>
      </w:pPr>
      <w:r>
        <w:rPr>
          <w:rFonts w:hint="eastAsia" w:ascii="Times New Roman" w:hAnsi="Times New Roman" w:eastAsia="仿宋" w:cs="Times New Roman"/>
          <w:kern w:val="0"/>
          <w:sz w:val="28"/>
          <w:szCs w:val="28"/>
          <w:shd w:val="clear" w:color="auto" w:fill="FFFFFF"/>
          <w:lang w:val="en-US" w:eastAsia="zh-CN"/>
        </w:rPr>
        <w:t>（2）评价工作组出具报告报送古县财政局，由古县财政局对报告进行评审，评价机构根据古县财政局意见修改评价报告，于8月15日前提交正式评价报告</w:t>
      </w:r>
      <w:r>
        <w:rPr>
          <w:rFonts w:hint="eastAsia" w:ascii="Times New Roman" w:hAnsi="Times New Roman" w:eastAsia="仿宋" w:cs="Times New Roman"/>
          <w:bCs w:val="0"/>
          <w:kern w:val="2"/>
          <w:sz w:val="28"/>
          <w:szCs w:val="28"/>
          <w:lang w:val="en-US" w:eastAsia="zh-CN" w:bidi="ar-SA"/>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val="en-US" w:eastAsia="zh-CN"/>
        </w:rPr>
      </w:pPr>
      <w:bookmarkStart w:id="92" w:name="_Toc19760"/>
      <w:r>
        <w:rPr>
          <w:rFonts w:hint="eastAsia" w:ascii="仿宋" w:hAnsi="仿宋" w:eastAsia="仿宋" w:cs="Times New Roman"/>
          <w:b/>
          <w:bCs/>
          <w:sz w:val="32"/>
          <w:szCs w:val="32"/>
          <w:lang w:val="en-US" w:eastAsia="zh-CN"/>
        </w:rPr>
        <w:t>（十）评价等级</w:t>
      </w:r>
      <w:bookmarkEnd w:id="92"/>
    </w:p>
    <w:p>
      <w:pPr>
        <w:spacing w:line="500" w:lineRule="exact"/>
        <w:ind w:firstLine="560" w:firstLineChars="200"/>
        <w:rPr>
          <w:rFonts w:hint="default" w:ascii="Times New Roman" w:hAnsi="Times New Roman" w:eastAsia="仿宋"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8"/>
          <w:szCs w:val="28"/>
          <w14:textFill>
            <w14:solidFill>
              <w14:schemeClr w14:val="tx1"/>
            </w14:solidFill>
          </w14:textFill>
        </w:rPr>
        <w:t>根据《项目支出绩效评价管理办法》（财预〔2020〕10号）要求，绩效评价结果采取评分和评级相结合的方式。评价实行百分制，按照综合评分分级。本次绩效评价结果等级划分标准</w:t>
      </w:r>
      <w:r>
        <w:rPr>
          <w:rFonts w:hint="default" w:ascii="Times New Roman" w:hAnsi="Times New Roman" w:eastAsia="仿宋" w:cs="Times New Roman"/>
          <w:b w:val="0"/>
          <w:bCs w:val="0"/>
          <w:color w:val="000000" w:themeColor="text1"/>
          <w:sz w:val="28"/>
          <w:szCs w:val="28"/>
          <w:lang w:val="en-US" w:eastAsia="zh-CN"/>
          <w14:textFill>
            <w14:solidFill>
              <w14:schemeClr w14:val="tx1"/>
            </w14:solidFill>
          </w14:textFill>
        </w:rPr>
        <w:t>如表3-</w:t>
      </w:r>
      <w:r>
        <w:rPr>
          <w:rFonts w:hint="eastAsia" w:ascii="Times New Roman" w:hAnsi="Times New Roman" w:eastAsia="仿宋" w:cs="Times New Roman"/>
          <w:b w:val="0"/>
          <w:bCs w:val="0"/>
          <w:color w:val="000000" w:themeColor="text1"/>
          <w:sz w:val="28"/>
          <w:szCs w:val="28"/>
          <w:lang w:val="en-US" w:eastAsia="zh-CN"/>
          <w14:textFill>
            <w14:solidFill>
              <w14:schemeClr w14:val="tx1"/>
            </w14:solidFill>
          </w14:textFill>
        </w:rPr>
        <w:t>2</w:t>
      </w:r>
      <w:r>
        <w:rPr>
          <w:rFonts w:hint="default" w:ascii="Times New Roman" w:hAnsi="Times New Roman" w:eastAsia="仿宋" w:cs="Times New Roman"/>
          <w:b w:val="0"/>
          <w:bCs w:val="0"/>
          <w:color w:val="000000" w:themeColor="text1"/>
          <w:sz w:val="28"/>
          <w:szCs w:val="28"/>
          <w:lang w:val="en-US" w:eastAsia="zh-CN"/>
          <w14:textFill>
            <w14:solidFill>
              <w14:schemeClr w14:val="tx1"/>
            </w14:solidFill>
          </w14:textFill>
        </w:rPr>
        <w:t>。</w:t>
      </w:r>
    </w:p>
    <w:p>
      <w:pPr>
        <w:tabs>
          <w:tab w:val="left" w:pos="1276"/>
        </w:tabs>
        <w:spacing w:line="360" w:lineRule="auto"/>
        <w:contextualSpacing/>
        <w:jc w:val="center"/>
        <w:rPr>
          <w:rFonts w:hint="eastAsia" w:ascii="Times New Roman" w:hAnsi="Times New Roman" w:eastAsia="方正仿宋_GBK"/>
          <w:b/>
          <w:bCs/>
          <w:sz w:val="28"/>
        </w:rPr>
      </w:pPr>
      <w:r>
        <w:rPr>
          <w:rFonts w:hint="eastAsia" w:ascii="Times New Roman" w:hAnsi="Times New Roman" w:eastAsia="仿宋" w:cs="Times New Roman"/>
          <w:b/>
          <w:sz w:val="24"/>
          <w:szCs w:val="24"/>
          <w:lang w:val="en-US" w:eastAsia="zh-CN"/>
        </w:rPr>
        <w:t>表3-2 评价结果等级划分标准</w:t>
      </w:r>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261"/>
        <w:gridCol w:w="4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blHeader/>
        </w:trPr>
        <w:tc>
          <w:tcPr>
            <w:tcW w:w="4261" w:type="dxa"/>
            <w:shd w:val="clear" w:color="000000" w:fill="auto"/>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分值范围</w:t>
            </w:r>
          </w:p>
        </w:tc>
        <w:tc>
          <w:tcPr>
            <w:tcW w:w="4261" w:type="dxa"/>
            <w:shd w:val="clear" w:color="000000" w:fill="auto"/>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结果等级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100≥X≥90</w:t>
            </w:r>
          </w:p>
        </w:tc>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90＞X≥80</w:t>
            </w:r>
          </w:p>
        </w:tc>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80＞X≥60</w:t>
            </w:r>
          </w:p>
        </w:tc>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X＜60</w:t>
            </w:r>
          </w:p>
        </w:tc>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差</w:t>
            </w:r>
          </w:p>
        </w:tc>
      </w:tr>
    </w:tbl>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rPr>
      </w:pPr>
      <w:bookmarkStart w:id="93" w:name="_Toc519354509"/>
      <w:bookmarkStart w:id="94" w:name="_Toc514537342"/>
      <w:bookmarkStart w:id="95" w:name="_Toc13042"/>
      <w:r>
        <w:rPr>
          <w:rFonts w:hint="eastAsia" w:ascii="Times New Roman" w:hAnsi="Times New Roman" w:eastAsia="黑体" w:cs="Times New Roman"/>
          <w:bCs/>
          <w:kern w:val="44"/>
          <w:sz w:val="32"/>
          <w:szCs w:val="32"/>
        </w:rPr>
        <w:t>四、绩效评价指标分析情况</w:t>
      </w:r>
      <w:bookmarkEnd w:id="93"/>
      <w:bookmarkEnd w:id="94"/>
      <w:bookmarkEnd w:id="95"/>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96" w:name="_Toc28665"/>
      <w:bookmarkStart w:id="97" w:name="_Toc514537343"/>
      <w:r>
        <w:rPr>
          <w:rFonts w:hint="eastAsia" w:ascii="仿宋" w:hAnsi="仿宋" w:eastAsia="仿宋" w:cs="Times New Roman"/>
          <w:b/>
          <w:bCs/>
          <w:sz w:val="32"/>
          <w:szCs w:val="32"/>
          <w:lang w:eastAsia="zh-CN"/>
        </w:rPr>
        <w:t>（一）分项分析与汇总</w:t>
      </w:r>
      <w:bookmarkEnd w:id="96"/>
      <w:bookmarkEnd w:id="97"/>
    </w:p>
    <w:p>
      <w:pPr>
        <w:spacing w:line="500" w:lineRule="exact"/>
        <w:ind w:firstLine="562" w:firstLineChars="200"/>
        <w:rPr>
          <w:rFonts w:hint="eastAsia" w:ascii="Times New Roman" w:hAnsi="Times New Roman" w:eastAsia="仿宋" w:cs="Times New Roman"/>
          <w:b/>
          <w:bCs/>
          <w:kern w:val="2"/>
          <w:sz w:val="28"/>
          <w:szCs w:val="28"/>
          <w:lang w:val="en-US" w:eastAsia="zh-CN" w:bidi="ar-SA"/>
        </w:rPr>
      </w:pPr>
      <w:bookmarkStart w:id="98" w:name="_Toc15599"/>
      <w:bookmarkStart w:id="99" w:name="_Toc15229"/>
      <w:bookmarkStart w:id="100" w:name="_Toc26264"/>
      <w:bookmarkStart w:id="101" w:name="_Toc12732"/>
      <w:bookmarkStart w:id="102" w:name="_Toc27419"/>
      <w:bookmarkStart w:id="103" w:name="_Toc22892"/>
      <w:bookmarkStart w:id="104" w:name="_Toc17362"/>
      <w:bookmarkStart w:id="105" w:name="_Toc528684141"/>
      <w:bookmarkStart w:id="106" w:name="_Toc23016"/>
      <w:bookmarkStart w:id="107" w:name="_Toc528680466"/>
      <w:bookmarkStart w:id="108" w:name="_Toc5485"/>
      <w:r>
        <w:rPr>
          <w:rFonts w:hint="eastAsia" w:ascii="Times New Roman" w:hAnsi="Times New Roman" w:eastAsia="仿宋" w:cs="Times New Roman"/>
          <w:b/>
          <w:bCs/>
          <w:kern w:val="2"/>
          <w:sz w:val="28"/>
          <w:szCs w:val="28"/>
          <w:lang w:val="en-US" w:eastAsia="zh-CN" w:bidi="ar-SA"/>
        </w:rPr>
        <w:t>1、决策分析</w:t>
      </w:r>
      <w:bookmarkEnd w:id="98"/>
      <w:bookmarkEnd w:id="99"/>
      <w:bookmarkEnd w:id="100"/>
      <w:bookmarkEnd w:id="101"/>
      <w:bookmarkEnd w:id="102"/>
      <w:bookmarkEnd w:id="103"/>
      <w:bookmarkEnd w:id="104"/>
      <w:bookmarkEnd w:id="105"/>
      <w:bookmarkEnd w:id="106"/>
      <w:bookmarkEnd w:id="107"/>
      <w:bookmarkEnd w:id="108"/>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决策类指标主要从立项依据充分性、立项程序规范性、绩效目标合理性、绩效指标明确性、预算编制科学性、资金分配合理性6个指标考察该项目立项、绩效目标、资金投入情况。决策类指标权重分20.00分，实际得分为20.00分。指标得分情况表如下：</w:t>
      </w:r>
    </w:p>
    <w:p>
      <w:pPr>
        <w:autoSpaceDE w:val="0"/>
        <w:autoSpaceDN w:val="0"/>
        <w:adjustRightInd w:val="0"/>
        <w:spacing w:line="500" w:lineRule="exact"/>
        <w:jc w:val="center"/>
        <w:rPr>
          <w:rFonts w:hint="eastAsia" w:ascii="Times New Roman" w:hAnsi="Times New Roman" w:eastAsia="仿宋" w:cs="Times New Roman"/>
          <w:b/>
          <w:bCs/>
          <w:color w:val="000000"/>
          <w:kern w:val="0"/>
          <w:sz w:val="24"/>
          <w:szCs w:val="28"/>
        </w:rPr>
      </w:pPr>
      <w:r>
        <w:rPr>
          <w:rFonts w:hint="eastAsia" w:ascii="Times New Roman" w:hAnsi="Times New Roman" w:eastAsia="仿宋" w:cs="Times New Roman"/>
          <w:b/>
          <w:bCs/>
          <w:color w:val="000000"/>
          <w:kern w:val="0"/>
          <w:sz w:val="24"/>
          <w:szCs w:val="28"/>
        </w:rPr>
        <w:t xml:space="preserve">表4-1 </w:t>
      </w:r>
      <w:r>
        <w:rPr>
          <w:rFonts w:hint="eastAsia" w:ascii="Times New Roman" w:hAnsi="Times New Roman" w:eastAsia="仿宋" w:cs="Times New Roman"/>
          <w:b/>
          <w:bCs/>
          <w:color w:val="000000"/>
          <w:kern w:val="0"/>
          <w:sz w:val="24"/>
          <w:szCs w:val="28"/>
          <w:lang w:val="en-US" w:eastAsia="zh-CN"/>
        </w:rPr>
        <w:t>决策</w:t>
      </w:r>
      <w:r>
        <w:rPr>
          <w:rFonts w:hint="eastAsia" w:ascii="Times New Roman" w:hAnsi="Times New Roman" w:eastAsia="仿宋" w:cs="Times New Roman"/>
          <w:b/>
          <w:bCs/>
          <w:color w:val="000000"/>
          <w:kern w:val="0"/>
          <w:sz w:val="24"/>
          <w:szCs w:val="28"/>
        </w:rPr>
        <w:t>类指标得分情况</w:t>
      </w:r>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983"/>
        <w:gridCol w:w="3066"/>
        <w:gridCol w:w="966"/>
        <w:gridCol w:w="966"/>
        <w:gridCol w:w="154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306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96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96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541"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A1项目立项</w:t>
            </w: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A11</w:t>
            </w:r>
            <w:r>
              <w:rPr>
                <w:rFonts w:hint="eastAsia" w:ascii="仿宋" w:hAnsi="仿宋" w:eastAsia="仿宋" w:cs="仿宋"/>
                <w:color w:val="000000"/>
                <w:kern w:val="0"/>
                <w:sz w:val="24"/>
                <w:szCs w:val="24"/>
                <w:lang w:val="en-US" w:eastAsia="zh-CN"/>
              </w:rPr>
              <w:t>立项依据充分性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1541"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A12立项程序规范性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983"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A2绩效目标</w:t>
            </w:r>
          </w:p>
        </w:tc>
        <w:tc>
          <w:tcPr>
            <w:tcW w:w="306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A</w:t>
            </w:r>
            <w:r>
              <w:rPr>
                <w:rFonts w:hint="eastAsia" w:ascii="仿宋" w:hAnsi="仿宋" w:eastAsia="仿宋" w:cs="仿宋"/>
                <w:color w:val="000000"/>
                <w:kern w:val="0"/>
                <w:sz w:val="24"/>
                <w:szCs w:val="24"/>
                <w:lang w:val="en-US" w:eastAsia="zh-CN"/>
              </w:rPr>
              <w:t>21</w:t>
            </w:r>
            <w:r>
              <w:rPr>
                <w:rFonts w:hint="eastAsia" w:ascii="仿宋" w:hAnsi="仿宋" w:eastAsia="仿宋" w:cs="仿宋"/>
                <w:color w:val="000000"/>
                <w:kern w:val="0"/>
                <w:sz w:val="24"/>
                <w:szCs w:val="24"/>
              </w:rPr>
              <w:t>绩效目标合理性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A</w:t>
            </w:r>
            <w:r>
              <w:rPr>
                <w:rFonts w:hint="eastAsia" w:ascii="仿宋" w:hAnsi="仿宋" w:eastAsia="仿宋" w:cs="仿宋"/>
                <w:color w:val="000000"/>
                <w:kern w:val="0"/>
                <w:sz w:val="24"/>
                <w:szCs w:val="24"/>
                <w:lang w:val="en-US" w:eastAsia="zh-CN"/>
              </w:rPr>
              <w:t>22</w:t>
            </w:r>
            <w:r>
              <w:rPr>
                <w:rFonts w:hint="eastAsia" w:ascii="仿宋" w:hAnsi="仿宋" w:eastAsia="仿宋" w:cs="仿宋"/>
                <w:color w:val="000000"/>
                <w:kern w:val="0"/>
                <w:sz w:val="24"/>
                <w:szCs w:val="24"/>
              </w:rPr>
              <w:t>绩效指标明确性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A</w:t>
            </w:r>
            <w:r>
              <w:rPr>
                <w:rFonts w:hint="eastAsia" w:ascii="仿宋" w:hAnsi="仿宋" w:eastAsia="仿宋" w:cs="仿宋"/>
                <w:b w:val="0"/>
                <w:bCs w:val="0"/>
                <w:color w:val="000000"/>
                <w:kern w:val="0"/>
                <w:sz w:val="24"/>
                <w:szCs w:val="24"/>
                <w:lang w:val="en-US" w:eastAsia="zh-CN"/>
              </w:rPr>
              <w:t>3</w:t>
            </w:r>
            <w:r>
              <w:rPr>
                <w:rFonts w:hint="eastAsia" w:ascii="仿宋" w:hAnsi="仿宋" w:eastAsia="仿宋" w:cs="仿宋"/>
                <w:b w:val="0"/>
                <w:bCs w:val="0"/>
                <w:color w:val="000000"/>
                <w:kern w:val="0"/>
                <w:sz w:val="24"/>
                <w:szCs w:val="24"/>
              </w:rPr>
              <w:t>资金</w:t>
            </w:r>
            <w:r>
              <w:rPr>
                <w:rFonts w:hint="eastAsia" w:ascii="仿宋" w:hAnsi="仿宋" w:eastAsia="仿宋" w:cs="仿宋"/>
                <w:b w:val="0"/>
                <w:bCs w:val="0"/>
                <w:color w:val="000000"/>
                <w:kern w:val="0"/>
                <w:sz w:val="24"/>
                <w:szCs w:val="24"/>
                <w:lang w:val="en-US" w:eastAsia="zh-CN"/>
              </w:rPr>
              <w:t>投入</w:t>
            </w: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A31</w:t>
            </w:r>
            <w:r>
              <w:rPr>
                <w:rFonts w:hint="eastAsia" w:ascii="仿宋" w:hAnsi="仿宋" w:eastAsia="仿宋" w:cs="仿宋"/>
                <w:color w:val="000000"/>
                <w:kern w:val="0"/>
                <w:sz w:val="24"/>
                <w:szCs w:val="24"/>
              </w:rPr>
              <w:t>预算</w:t>
            </w:r>
            <w:r>
              <w:rPr>
                <w:rFonts w:hint="eastAsia" w:ascii="仿宋" w:hAnsi="仿宋" w:eastAsia="仿宋" w:cs="仿宋"/>
                <w:color w:val="000000"/>
                <w:kern w:val="0"/>
                <w:sz w:val="24"/>
                <w:szCs w:val="24"/>
                <w:lang w:val="en-US" w:eastAsia="zh-CN"/>
              </w:rPr>
              <w:t>编制科学性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96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widowControl/>
              <w:snapToGrid w:val="0"/>
              <w:jc w:val="center"/>
              <w:rPr>
                <w:rFonts w:hint="eastAsia" w:ascii="仿宋" w:hAnsi="仿宋" w:eastAsia="仿宋" w:cs="仿宋"/>
                <w:color w:val="000000"/>
                <w:kern w:val="0"/>
                <w:sz w:val="24"/>
                <w:szCs w:val="24"/>
              </w:rPr>
            </w:pP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A32</w:t>
            </w:r>
            <w:r>
              <w:rPr>
                <w:rFonts w:hint="eastAsia" w:ascii="仿宋" w:hAnsi="仿宋" w:eastAsia="仿宋" w:cs="仿宋"/>
                <w:color w:val="000000"/>
                <w:kern w:val="0"/>
                <w:sz w:val="24"/>
                <w:szCs w:val="24"/>
              </w:rPr>
              <w:t>资金分配合理性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1541"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5049" w:type="dxa"/>
            <w:gridSpan w:val="2"/>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合计</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20.00</w:t>
            </w:r>
          </w:p>
        </w:tc>
        <w:tc>
          <w:tcPr>
            <w:tcW w:w="96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20.00</w:t>
            </w:r>
          </w:p>
        </w:tc>
        <w:tc>
          <w:tcPr>
            <w:tcW w:w="1541"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bl>
    <w:p>
      <w:pPr>
        <w:widowControl/>
        <w:spacing w:line="574" w:lineRule="exact"/>
        <w:ind w:firstLine="560" w:firstLineChars="200"/>
        <w:outlineLvl w:val="3"/>
        <w:rPr>
          <w:rFonts w:hint="eastAsia" w:ascii="仿宋" w:hAnsi="仿宋" w:eastAsia="仿宋" w:cs="仿宋"/>
          <w:snapToGrid w:val="0"/>
          <w:sz w:val="28"/>
          <w:szCs w:val="28"/>
        </w:rPr>
      </w:pPr>
      <w:r>
        <w:rPr>
          <w:rFonts w:hint="eastAsia" w:ascii="仿宋" w:hAnsi="仿宋" w:eastAsia="仿宋" w:cs="仿宋"/>
          <w:snapToGrid w:val="0"/>
          <w:sz w:val="28"/>
          <w:szCs w:val="28"/>
        </w:rPr>
        <w:t>（1）项目立项</w:t>
      </w:r>
    </w:p>
    <w:p>
      <w:pPr>
        <w:spacing w:line="500" w:lineRule="exact"/>
        <w:ind w:firstLine="562" w:firstLineChars="200"/>
        <w:rPr>
          <w:rFonts w:hint="eastAsia" w:ascii="Times New Roman" w:hAnsi="Times New Roman" w:eastAsia="仿宋" w:cs="Times New Roman"/>
          <w:bCs w:val="0"/>
          <w:kern w:val="2"/>
          <w:sz w:val="28"/>
          <w:szCs w:val="28"/>
          <w:lang w:val="en-US" w:eastAsia="zh-CN" w:bidi="ar-SA"/>
        </w:rPr>
      </w:pPr>
      <w:r>
        <w:rPr>
          <w:rFonts w:hint="eastAsia" w:ascii="仿宋" w:hAnsi="仿宋" w:eastAsia="仿宋" w:cs="仿宋"/>
          <w:b/>
          <w:snapToGrid w:val="0"/>
          <w:sz w:val="28"/>
          <w:szCs w:val="28"/>
        </w:rPr>
        <w:t>A11</w:t>
      </w:r>
      <w:r>
        <w:rPr>
          <w:rFonts w:hint="eastAsia" w:ascii="仿宋" w:hAnsi="仿宋" w:eastAsia="仿宋" w:cs="仿宋"/>
          <w:b/>
          <w:snapToGrid w:val="0"/>
          <w:sz w:val="28"/>
          <w:szCs w:val="28"/>
          <w:lang w:val="en-US" w:eastAsia="zh-CN"/>
        </w:rPr>
        <w:t>立项依据充分性</w:t>
      </w:r>
      <w:r>
        <w:rPr>
          <w:rFonts w:hint="eastAsia" w:ascii="仿宋" w:hAnsi="仿宋" w:eastAsia="仿宋" w:cs="仿宋"/>
          <w:b/>
          <w:snapToGrid w:val="0"/>
          <w:sz w:val="28"/>
          <w:szCs w:val="28"/>
        </w:rPr>
        <w:t>：</w:t>
      </w:r>
      <w:r>
        <w:rPr>
          <w:rFonts w:hint="eastAsia" w:ascii="Times New Roman" w:hAnsi="Times New Roman" w:eastAsia="仿宋" w:cs="Times New Roman"/>
          <w:bCs w:val="0"/>
          <w:kern w:val="2"/>
          <w:sz w:val="28"/>
          <w:szCs w:val="28"/>
          <w:lang w:val="en-US" w:eastAsia="zh-CN" w:bidi="ar-SA"/>
        </w:rPr>
        <w:t>满分3.00分，得分3.00分。项目以《土地复垦条例》、《关于印发山西省采煤沉陷区综合治理工作方案（2016-2018年）的通知》（晋政发〔2016〕31号）、《省发展改革委、财政厅、自然资源厅、生态环境厅关于加快采煤沉陷区综合治理工作的通知》（晋发改地区发〔2019〕514号）、《省财政厅关于提前下达2020年中央资源枯竭城市转移支付的通知》（晋财预〔2019〕70号）、山西省自然资源厅《关于加快推进采煤沉陷区综合治理旧房拆除及土地复垦专项工作的通知》（晋自然资发〔2020〕21号）等文件作为依据，项目申报、审核、批复资料齐全、准确、符合相关要求，立项依据充分。根据评分标准，该项得满分。</w:t>
      </w:r>
    </w:p>
    <w:p>
      <w:pPr>
        <w:widowControl/>
        <w:spacing w:line="574" w:lineRule="exact"/>
        <w:ind w:firstLine="562" w:firstLineChars="200"/>
        <w:rPr>
          <w:rFonts w:hint="default" w:ascii="仿宋" w:hAnsi="仿宋" w:eastAsia="仿宋" w:cs="仿宋"/>
          <w:bCs/>
          <w:snapToGrid w:val="0"/>
          <w:sz w:val="28"/>
          <w:szCs w:val="28"/>
          <w:lang w:val="en-US" w:eastAsia="zh-CN"/>
        </w:rPr>
      </w:pPr>
      <w:r>
        <w:rPr>
          <w:rFonts w:hint="eastAsia" w:ascii="仿宋" w:hAnsi="仿宋" w:eastAsia="仿宋" w:cs="仿宋"/>
          <w:b/>
          <w:snapToGrid w:val="0"/>
          <w:sz w:val="28"/>
          <w:szCs w:val="28"/>
          <w:lang w:val="en-US" w:eastAsia="zh-CN"/>
        </w:rPr>
        <w:t>A12立项程序规范性：</w:t>
      </w:r>
      <w:r>
        <w:rPr>
          <w:rFonts w:hint="eastAsia" w:ascii="Times New Roman" w:hAnsi="Times New Roman" w:eastAsia="仿宋" w:cs="Times New Roman"/>
          <w:bCs w:val="0"/>
          <w:kern w:val="2"/>
          <w:sz w:val="28"/>
          <w:szCs w:val="28"/>
          <w:lang w:val="en-US" w:eastAsia="zh-CN" w:bidi="ar-SA"/>
        </w:rPr>
        <w:t>满分3.00分，得分3.00分。项目按照规定的程序申请设立，采煤沉陷区旧房拆除和土地复垦项目落实了省委、省政府采煤沉陷区综合治理工作思路，古县自然资源局关于项目的申请及批复等审批文件、材料完整，符合相关要求；项目实施单位提交的项目前期资料符合相关文件要求，事前已经过必要的集体决策程序。根据评分标准，该项得满分。</w:t>
      </w:r>
    </w:p>
    <w:p>
      <w:pPr>
        <w:widowControl/>
        <w:spacing w:line="574" w:lineRule="exact"/>
        <w:ind w:firstLine="560" w:firstLineChars="200"/>
        <w:rPr>
          <w:rFonts w:hint="eastAsia" w:ascii="仿宋" w:hAnsi="仿宋" w:eastAsia="仿宋" w:cs="仿宋"/>
          <w:snapToGrid w:val="0"/>
          <w:sz w:val="28"/>
          <w:szCs w:val="28"/>
        </w:rPr>
      </w:pPr>
      <w:r>
        <w:rPr>
          <w:rFonts w:hint="eastAsia" w:ascii="仿宋" w:hAnsi="仿宋" w:eastAsia="仿宋" w:cs="仿宋"/>
          <w:bCs/>
          <w:snapToGrid w:val="0"/>
          <w:sz w:val="28"/>
          <w:szCs w:val="28"/>
          <w:lang w:eastAsia="zh-CN"/>
        </w:rPr>
        <w:t>（</w:t>
      </w:r>
      <w:r>
        <w:rPr>
          <w:rFonts w:hint="eastAsia" w:ascii="仿宋" w:hAnsi="仿宋" w:eastAsia="仿宋" w:cs="仿宋"/>
          <w:bCs/>
          <w:snapToGrid w:val="0"/>
          <w:sz w:val="28"/>
          <w:szCs w:val="28"/>
          <w:lang w:val="en-US" w:eastAsia="zh-CN"/>
        </w:rPr>
        <w:t>2</w:t>
      </w:r>
      <w:r>
        <w:rPr>
          <w:rFonts w:hint="eastAsia" w:ascii="仿宋" w:hAnsi="仿宋" w:eastAsia="仿宋" w:cs="仿宋"/>
          <w:bCs/>
          <w:snapToGrid w:val="0"/>
          <w:sz w:val="28"/>
          <w:szCs w:val="28"/>
          <w:lang w:eastAsia="zh-CN"/>
        </w:rPr>
        <w:t>）</w:t>
      </w:r>
      <w:r>
        <w:rPr>
          <w:rFonts w:hint="eastAsia" w:ascii="仿宋" w:hAnsi="仿宋" w:eastAsia="仿宋" w:cs="仿宋"/>
          <w:bCs/>
          <w:snapToGrid w:val="0"/>
          <w:sz w:val="28"/>
          <w:szCs w:val="28"/>
          <w:lang w:val="en-US" w:eastAsia="zh-CN"/>
        </w:rPr>
        <w:t>绩效目标</w:t>
      </w:r>
    </w:p>
    <w:p>
      <w:pPr>
        <w:spacing w:line="574" w:lineRule="exact"/>
        <w:ind w:firstLine="562" w:firstLineChars="200"/>
        <w:rPr>
          <w:rFonts w:hint="eastAsia" w:ascii="仿宋" w:hAnsi="仿宋" w:eastAsia="仿宋" w:cs="仿宋"/>
          <w:snapToGrid w:val="0"/>
          <w:sz w:val="28"/>
          <w:szCs w:val="28"/>
        </w:rPr>
      </w:pPr>
      <w:r>
        <w:rPr>
          <w:rFonts w:hint="eastAsia" w:ascii="仿宋" w:hAnsi="仿宋" w:eastAsia="仿宋" w:cs="仿宋"/>
          <w:b/>
          <w:snapToGrid w:val="0"/>
          <w:sz w:val="28"/>
          <w:szCs w:val="28"/>
        </w:rPr>
        <w:t>A</w:t>
      </w:r>
      <w:r>
        <w:rPr>
          <w:rFonts w:hint="eastAsia" w:ascii="仿宋" w:hAnsi="仿宋" w:eastAsia="仿宋" w:cs="仿宋"/>
          <w:b/>
          <w:snapToGrid w:val="0"/>
          <w:sz w:val="28"/>
          <w:szCs w:val="28"/>
          <w:lang w:val="en-US" w:eastAsia="zh-CN"/>
        </w:rPr>
        <w:t>21</w:t>
      </w:r>
      <w:r>
        <w:rPr>
          <w:rFonts w:hint="eastAsia" w:ascii="仿宋" w:hAnsi="仿宋" w:eastAsia="仿宋" w:cs="仿宋"/>
          <w:b/>
          <w:snapToGrid w:val="0"/>
          <w:sz w:val="28"/>
          <w:szCs w:val="28"/>
        </w:rPr>
        <w:t>绩效目标合理性：</w:t>
      </w:r>
      <w:r>
        <w:rPr>
          <w:rFonts w:hint="eastAsia" w:ascii="Times New Roman" w:hAnsi="Times New Roman" w:eastAsia="仿宋" w:cs="Times New Roman"/>
          <w:bCs w:val="0"/>
          <w:kern w:val="2"/>
          <w:sz w:val="28"/>
          <w:szCs w:val="28"/>
          <w:lang w:val="en-US" w:eastAsia="zh-CN" w:bidi="ar-SA"/>
        </w:rPr>
        <w:t>满分4.00分，得分4.00分。采煤沉陷区旧房拆除和土地复垦项目绩效目标为：</w:t>
      </w:r>
      <w:r>
        <w:rPr>
          <w:rFonts w:hint="eastAsia" w:ascii="Times New Roman" w:hAnsi="Times New Roman" w:eastAsia="仿宋" w:cs="Times New Roman"/>
          <w:kern w:val="0"/>
          <w:sz w:val="28"/>
          <w:szCs w:val="28"/>
          <w:shd w:val="clear" w:color="auto" w:fill="FFFFFF"/>
          <w:lang w:val="en-US" w:eastAsia="zh-CN"/>
        </w:rPr>
        <w:t>通过土地复垦，新增耕地面积，改善农业生产条件，实现农业产业升级；同时，使集体建设用地在布局和利用结构上实现优化和调整</w:t>
      </w:r>
      <w:r>
        <w:rPr>
          <w:rFonts w:hint="eastAsia" w:ascii="Times New Roman" w:hAnsi="Times New Roman" w:eastAsia="仿宋" w:cs="Times New Roman"/>
          <w:bCs w:val="0"/>
          <w:kern w:val="2"/>
          <w:sz w:val="28"/>
          <w:szCs w:val="28"/>
          <w:lang w:val="en-US" w:eastAsia="zh-CN" w:bidi="ar-SA"/>
        </w:rPr>
        <w:t>。项目有绩效目标，项目绩效目标与实际工作内容具有相关性，项目预期产出效益和效果符合正常的业绩水平，与预算确定的项目资金量相匹配。根据评分标准，该项得满分</w:t>
      </w:r>
      <w:r>
        <w:rPr>
          <w:rFonts w:hint="eastAsia" w:ascii="仿宋" w:hAnsi="仿宋" w:eastAsia="仿宋" w:cs="仿宋"/>
          <w:snapToGrid w:val="0"/>
          <w:sz w:val="28"/>
          <w:szCs w:val="28"/>
        </w:rPr>
        <w:t>。</w:t>
      </w:r>
    </w:p>
    <w:p>
      <w:pPr>
        <w:widowControl/>
        <w:spacing w:line="574" w:lineRule="exact"/>
        <w:ind w:firstLine="562" w:firstLineChars="200"/>
        <w:rPr>
          <w:rFonts w:hint="eastAsia" w:ascii="仿宋" w:hAnsi="仿宋" w:eastAsia="仿宋" w:cs="仿宋"/>
          <w:snapToGrid w:val="0"/>
          <w:sz w:val="28"/>
          <w:szCs w:val="28"/>
        </w:rPr>
      </w:pPr>
      <w:r>
        <w:rPr>
          <w:rFonts w:hint="eastAsia" w:ascii="仿宋" w:hAnsi="仿宋" w:eastAsia="仿宋" w:cs="仿宋"/>
          <w:b/>
          <w:snapToGrid w:val="0"/>
          <w:sz w:val="28"/>
          <w:szCs w:val="28"/>
        </w:rPr>
        <w:t>A</w:t>
      </w:r>
      <w:r>
        <w:rPr>
          <w:rFonts w:hint="eastAsia" w:ascii="仿宋" w:hAnsi="仿宋" w:eastAsia="仿宋" w:cs="仿宋"/>
          <w:b/>
          <w:snapToGrid w:val="0"/>
          <w:sz w:val="28"/>
          <w:szCs w:val="28"/>
          <w:lang w:val="en-US" w:eastAsia="zh-CN"/>
        </w:rPr>
        <w:t>22</w:t>
      </w:r>
      <w:r>
        <w:rPr>
          <w:rFonts w:hint="eastAsia" w:ascii="仿宋" w:hAnsi="仿宋" w:eastAsia="仿宋" w:cs="仿宋"/>
          <w:b/>
          <w:snapToGrid w:val="0"/>
          <w:sz w:val="28"/>
          <w:szCs w:val="28"/>
        </w:rPr>
        <w:t>绩效指标明确性：</w:t>
      </w:r>
      <w:r>
        <w:rPr>
          <w:rFonts w:hint="eastAsia" w:ascii="Times New Roman" w:hAnsi="Times New Roman" w:eastAsia="仿宋" w:cs="Times New Roman"/>
          <w:bCs w:val="0"/>
          <w:kern w:val="2"/>
          <w:sz w:val="28"/>
          <w:szCs w:val="28"/>
          <w:lang w:val="en-US" w:eastAsia="zh-CN" w:bidi="ar-SA"/>
        </w:rPr>
        <w:t>满分4.00分，得4.00分。项目立项时古县自然资源局设定了相关产出、效益目标，并按照财政资金预算绩效管理的要求根据项目内容进行绩效目标申报，项目绩效目标根据总体绩效目标细化、量化为具体的绩效指标。根据评分标准，该项得满分</w:t>
      </w:r>
      <w:r>
        <w:rPr>
          <w:rFonts w:hint="eastAsia" w:ascii="仿宋" w:hAnsi="仿宋" w:eastAsia="仿宋" w:cs="仿宋"/>
          <w:snapToGrid w:val="0"/>
          <w:sz w:val="28"/>
          <w:szCs w:val="28"/>
        </w:rPr>
        <w:t>。</w:t>
      </w:r>
    </w:p>
    <w:p>
      <w:pPr>
        <w:widowControl/>
        <w:spacing w:line="574" w:lineRule="exact"/>
        <w:ind w:firstLine="560" w:firstLineChars="200"/>
        <w:outlineLvl w:val="3"/>
        <w:rPr>
          <w:rFonts w:hint="eastAsia" w:ascii="仿宋" w:hAnsi="仿宋" w:eastAsia="仿宋" w:cs="仿宋"/>
          <w:snapToGrid w:val="0"/>
          <w:sz w:val="28"/>
          <w:szCs w:val="28"/>
          <w:lang w:eastAsia="zh-CN"/>
        </w:rPr>
      </w:pPr>
      <w:r>
        <w:rPr>
          <w:rFonts w:hint="eastAsia" w:ascii="仿宋" w:hAnsi="仿宋" w:eastAsia="仿宋" w:cs="仿宋"/>
          <w:snapToGrid w:val="0"/>
          <w:sz w:val="28"/>
          <w:szCs w:val="28"/>
        </w:rPr>
        <w:t>（</w:t>
      </w:r>
      <w:r>
        <w:rPr>
          <w:rFonts w:hint="eastAsia" w:ascii="仿宋" w:hAnsi="仿宋" w:eastAsia="仿宋" w:cs="仿宋"/>
          <w:snapToGrid w:val="0"/>
          <w:sz w:val="28"/>
          <w:szCs w:val="28"/>
          <w:lang w:val="en-US" w:eastAsia="zh-CN"/>
        </w:rPr>
        <w:t>3</w:t>
      </w:r>
      <w:r>
        <w:rPr>
          <w:rFonts w:hint="eastAsia" w:ascii="仿宋" w:hAnsi="仿宋" w:eastAsia="仿宋" w:cs="仿宋"/>
          <w:snapToGrid w:val="0"/>
          <w:sz w:val="28"/>
          <w:szCs w:val="28"/>
        </w:rPr>
        <w:t>）资金</w:t>
      </w:r>
      <w:r>
        <w:rPr>
          <w:rFonts w:hint="eastAsia" w:ascii="仿宋" w:hAnsi="仿宋" w:eastAsia="仿宋" w:cs="仿宋"/>
          <w:snapToGrid w:val="0"/>
          <w:sz w:val="28"/>
          <w:szCs w:val="28"/>
          <w:lang w:val="en-US" w:eastAsia="zh-CN"/>
        </w:rPr>
        <w:t>投入</w:t>
      </w:r>
    </w:p>
    <w:p>
      <w:pPr>
        <w:ind w:firstLine="562" w:firstLineChars="200"/>
        <w:rPr>
          <w:rFonts w:hint="eastAsia" w:ascii="仿宋" w:hAnsi="仿宋" w:eastAsia="仿宋" w:cs="仿宋"/>
          <w:snapToGrid w:val="0"/>
          <w:sz w:val="28"/>
          <w:szCs w:val="28"/>
          <w:lang w:val="en-US" w:eastAsia="zh-CN"/>
        </w:rPr>
      </w:pPr>
      <w:r>
        <w:rPr>
          <w:rFonts w:hint="eastAsia" w:ascii="仿宋" w:hAnsi="仿宋" w:eastAsia="仿宋" w:cs="仿宋"/>
          <w:b/>
          <w:snapToGrid w:val="0"/>
          <w:sz w:val="28"/>
          <w:szCs w:val="28"/>
          <w:lang w:val="en-US" w:eastAsia="zh-CN"/>
        </w:rPr>
        <w:t>A31预算编制科学性：</w:t>
      </w:r>
      <w:r>
        <w:rPr>
          <w:rFonts w:hint="eastAsia" w:ascii="Times New Roman" w:hAnsi="Times New Roman" w:eastAsia="仿宋" w:cs="Times New Roman"/>
          <w:bCs w:val="0"/>
          <w:kern w:val="2"/>
          <w:sz w:val="28"/>
          <w:szCs w:val="28"/>
          <w:lang w:val="en-US" w:eastAsia="zh-CN" w:bidi="ar-SA"/>
        </w:rPr>
        <w:t>满分3.00分，得分3.00分。采煤沉陷区旧房拆除和土地复垦项目资金通过预算评审，项目资金是根据工作量综合确定，建设项目预算额度测算有相关依据，预算确定的项目投资额与工作任务相匹配，投资额涵盖本次项目涉及的所有内容。根据评分标准，该项得满分</w:t>
      </w:r>
      <w:r>
        <w:rPr>
          <w:rFonts w:hint="eastAsia" w:ascii="仿宋" w:hAnsi="仿宋" w:eastAsia="仿宋" w:cs="仿宋"/>
          <w:snapToGrid w:val="0"/>
          <w:sz w:val="28"/>
          <w:szCs w:val="28"/>
          <w:lang w:val="en-US" w:eastAsia="zh-CN"/>
        </w:rPr>
        <w:t>。</w:t>
      </w:r>
    </w:p>
    <w:p>
      <w:pPr>
        <w:ind w:firstLine="562" w:firstLineChars="200"/>
        <w:rPr>
          <w:rFonts w:hint="eastAsia" w:ascii="Times New Roman" w:hAnsi="Times New Roman" w:eastAsia="仿宋" w:cs="Times New Roman"/>
          <w:bCs w:val="0"/>
          <w:kern w:val="2"/>
          <w:sz w:val="28"/>
          <w:szCs w:val="28"/>
          <w:lang w:val="en-US" w:eastAsia="zh-CN" w:bidi="ar-SA"/>
        </w:rPr>
      </w:pPr>
      <w:r>
        <w:rPr>
          <w:rFonts w:hint="eastAsia" w:ascii="仿宋" w:hAnsi="仿宋" w:eastAsia="仿宋" w:cs="仿宋"/>
          <w:b/>
          <w:snapToGrid w:val="0"/>
          <w:sz w:val="28"/>
          <w:szCs w:val="28"/>
        </w:rPr>
        <w:t>A</w:t>
      </w:r>
      <w:r>
        <w:rPr>
          <w:rFonts w:hint="eastAsia" w:ascii="仿宋" w:hAnsi="仿宋" w:eastAsia="仿宋" w:cs="仿宋"/>
          <w:b/>
          <w:snapToGrid w:val="0"/>
          <w:sz w:val="28"/>
          <w:szCs w:val="28"/>
          <w:lang w:val="en-US" w:eastAsia="zh-CN"/>
        </w:rPr>
        <w:t>32资金分配合理性</w:t>
      </w:r>
      <w:r>
        <w:rPr>
          <w:rFonts w:hint="eastAsia" w:ascii="仿宋" w:hAnsi="仿宋" w:eastAsia="仿宋" w:cs="仿宋"/>
          <w:b/>
          <w:snapToGrid w:val="0"/>
          <w:sz w:val="28"/>
          <w:szCs w:val="28"/>
        </w:rPr>
        <w:t>：</w:t>
      </w:r>
      <w:r>
        <w:rPr>
          <w:rFonts w:hint="eastAsia" w:ascii="Times New Roman" w:hAnsi="Times New Roman" w:eastAsia="仿宋" w:cs="Times New Roman"/>
          <w:bCs w:val="0"/>
          <w:kern w:val="2"/>
          <w:sz w:val="28"/>
          <w:szCs w:val="28"/>
          <w:lang w:val="en-US" w:eastAsia="zh-CN" w:bidi="ar-SA"/>
        </w:rPr>
        <w:t>满分3.00分，得分3.00分。项目预算资金分配依据充分，预算资金依据项目实际情况进行安排，有明确依据。项目资金分配额度合理，与项目单位实际工作任务及古县地方实际相适应。本次绩效评价项目资金专项用于采煤沉陷区旧房拆除和土地复垦项目，实际执行过程中，资金分配符合文件要求。根据评分标准，该项得满分。</w:t>
      </w:r>
      <w:bookmarkStart w:id="109" w:name="_Toc8610"/>
      <w:bookmarkStart w:id="110" w:name="_Toc19896"/>
      <w:bookmarkStart w:id="111" w:name="_Toc18414"/>
      <w:bookmarkStart w:id="112" w:name="_Toc528680467"/>
      <w:bookmarkStart w:id="113" w:name="_Toc528684142"/>
    </w:p>
    <w:p>
      <w:pPr>
        <w:ind w:firstLine="562" w:firstLineChars="200"/>
        <w:rPr>
          <w:rFonts w:hint="eastAsia" w:ascii="仿宋" w:hAnsi="仿宋" w:eastAsia="仿宋" w:cs="仿宋"/>
          <w:b/>
          <w:snapToGrid w:val="0"/>
          <w:sz w:val="28"/>
          <w:szCs w:val="28"/>
        </w:rPr>
      </w:pPr>
      <w:r>
        <w:rPr>
          <w:rFonts w:hint="eastAsia" w:ascii="仿宋" w:hAnsi="仿宋" w:eastAsia="仿宋" w:cs="仿宋"/>
          <w:b/>
          <w:snapToGrid w:val="0"/>
          <w:sz w:val="28"/>
          <w:szCs w:val="28"/>
        </w:rPr>
        <w:t>2</w:t>
      </w:r>
      <w:r>
        <w:rPr>
          <w:rFonts w:hint="eastAsia" w:ascii="仿宋" w:hAnsi="仿宋" w:eastAsia="仿宋" w:cs="仿宋"/>
          <w:b/>
          <w:snapToGrid w:val="0"/>
          <w:sz w:val="28"/>
          <w:szCs w:val="28"/>
          <w:lang w:eastAsia="zh-CN"/>
        </w:rPr>
        <w:t>、</w:t>
      </w:r>
      <w:r>
        <w:rPr>
          <w:rFonts w:hint="eastAsia" w:ascii="仿宋" w:hAnsi="仿宋" w:eastAsia="仿宋" w:cs="仿宋"/>
          <w:b/>
          <w:snapToGrid w:val="0"/>
          <w:sz w:val="28"/>
          <w:szCs w:val="28"/>
        </w:rPr>
        <w:t>过程分析</w:t>
      </w:r>
      <w:bookmarkEnd w:id="109"/>
      <w:bookmarkEnd w:id="110"/>
      <w:bookmarkEnd w:id="111"/>
      <w:bookmarkEnd w:id="112"/>
      <w:bookmarkEnd w:id="113"/>
    </w:p>
    <w:p>
      <w:pPr>
        <w:widowControl/>
        <w:spacing w:line="574" w:lineRule="exact"/>
        <w:ind w:firstLine="560" w:firstLineChars="200"/>
        <w:rPr>
          <w:rFonts w:hint="eastAsia" w:ascii="仿宋" w:hAnsi="仿宋" w:eastAsia="仿宋" w:cs="仿宋"/>
          <w:snapToGrid w:val="0"/>
          <w:sz w:val="28"/>
          <w:szCs w:val="28"/>
        </w:rPr>
      </w:pPr>
      <w:r>
        <w:rPr>
          <w:rFonts w:hint="eastAsia" w:ascii="仿宋" w:hAnsi="仿宋" w:eastAsia="仿宋" w:cs="仿宋"/>
          <w:snapToGrid w:val="0"/>
          <w:sz w:val="28"/>
          <w:szCs w:val="28"/>
        </w:rPr>
        <w:t>过程类指标主要从资金到位率</w:t>
      </w:r>
      <w:r>
        <w:rPr>
          <w:rFonts w:hint="eastAsia" w:ascii="仿宋" w:hAnsi="仿宋" w:eastAsia="仿宋" w:cs="仿宋"/>
          <w:snapToGrid w:val="0"/>
          <w:sz w:val="28"/>
          <w:szCs w:val="28"/>
          <w:lang w:eastAsia="zh-CN"/>
        </w:rPr>
        <w:t>、</w:t>
      </w:r>
      <w:r>
        <w:rPr>
          <w:rFonts w:hint="eastAsia" w:ascii="仿宋" w:hAnsi="仿宋" w:eastAsia="仿宋" w:cs="仿宋"/>
          <w:snapToGrid w:val="0"/>
          <w:sz w:val="28"/>
          <w:szCs w:val="28"/>
        </w:rPr>
        <w:t>预算执行率</w:t>
      </w:r>
      <w:r>
        <w:rPr>
          <w:rFonts w:hint="eastAsia" w:ascii="仿宋" w:hAnsi="仿宋" w:eastAsia="仿宋" w:cs="仿宋"/>
          <w:snapToGrid w:val="0"/>
          <w:sz w:val="28"/>
          <w:szCs w:val="28"/>
          <w:lang w:eastAsia="zh-CN"/>
        </w:rPr>
        <w:t>、</w:t>
      </w:r>
      <w:r>
        <w:rPr>
          <w:rFonts w:hint="eastAsia" w:ascii="仿宋" w:hAnsi="仿宋" w:eastAsia="仿宋" w:cs="仿宋"/>
          <w:snapToGrid w:val="0"/>
          <w:sz w:val="28"/>
          <w:szCs w:val="28"/>
        </w:rPr>
        <w:t>资金使用合规性</w:t>
      </w:r>
      <w:r>
        <w:rPr>
          <w:rFonts w:hint="eastAsia" w:ascii="仿宋" w:hAnsi="仿宋" w:eastAsia="仿宋" w:cs="仿宋"/>
          <w:snapToGrid w:val="0"/>
          <w:sz w:val="28"/>
          <w:szCs w:val="28"/>
          <w:lang w:eastAsia="zh-CN"/>
        </w:rPr>
        <w:t>、</w:t>
      </w:r>
      <w:r>
        <w:rPr>
          <w:rFonts w:hint="eastAsia" w:ascii="仿宋" w:hAnsi="仿宋" w:eastAsia="仿宋" w:cs="仿宋"/>
          <w:snapToGrid w:val="0"/>
          <w:sz w:val="28"/>
          <w:szCs w:val="28"/>
        </w:rPr>
        <w:t>管理制度健全性</w:t>
      </w:r>
      <w:r>
        <w:rPr>
          <w:rFonts w:hint="eastAsia" w:ascii="仿宋" w:hAnsi="仿宋" w:eastAsia="仿宋" w:cs="仿宋"/>
          <w:snapToGrid w:val="0"/>
          <w:sz w:val="28"/>
          <w:szCs w:val="28"/>
          <w:lang w:eastAsia="zh-CN"/>
        </w:rPr>
        <w:t>、</w:t>
      </w:r>
      <w:r>
        <w:rPr>
          <w:rFonts w:hint="eastAsia" w:ascii="仿宋" w:hAnsi="仿宋" w:eastAsia="仿宋" w:cs="仿宋"/>
          <w:snapToGrid w:val="0"/>
          <w:sz w:val="28"/>
          <w:szCs w:val="28"/>
        </w:rPr>
        <w:t>制度执行有效性</w:t>
      </w:r>
      <w:r>
        <w:rPr>
          <w:rFonts w:hint="eastAsia" w:ascii="仿宋" w:hAnsi="仿宋" w:eastAsia="仿宋" w:cs="仿宋"/>
          <w:snapToGrid w:val="0"/>
          <w:sz w:val="28"/>
          <w:szCs w:val="28"/>
          <w:lang w:val="en-US" w:eastAsia="zh-CN"/>
        </w:rPr>
        <w:t>5</w:t>
      </w:r>
      <w:r>
        <w:rPr>
          <w:rFonts w:hint="eastAsia" w:ascii="仿宋" w:hAnsi="仿宋" w:eastAsia="仿宋" w:cs="仿宋"/>
          <w:snapToGrid w:val="0"/>
          <w:sz w:val="28"/>
          <w:szCs w:val="28"/>
        </w:rPr>
        <w:t>个指标考核该项目</w:t>
      </w:r>
      <w:r>
        <w:rPr>
          <w:rFonts w:hint="eastAsia" w:ascii="仿宋" w:hAnsi="仿宋" w:eastAsia="仿宋" w:cs="仿宋"/>
          <w:snapToGrid w:val="0"/>
          <w:sz w:val="28"/>
          <w:szCs w:val="28"/>
          <w:lang w:val="en-US" w:eastAsia="zh-CN"/>
        </w:rPr>
        <w:t>资金</w:t>
      </w:r>
      <w:r>
        <w:rPr>
          <w:rFonts w:hint="eastAsia" w:ascii="仿宋" w:hAnsi="仿宋" w:eastAsia="仿宋" w:cs="仿宋"/>
          <w:snapToGrid w:val="0"/>
          <w:sz w:val="28"/>
          <w:szCs w:val="28"/>
        </w:rPr>
        <w:t>管理及</w:t>
      </w:r>
      <w:r>
        <w:rPr>
          <w:rFonts w:hint="eastAsia" w:ascii="仿宋" w:hAnsi="仿宋" w:eastAsia="仿宋" w:cs="仿宋"/>
          <w:snapToGrid w:val="0"/>
          <w:sz w:val="28"/>
          <w:szCs w:val="28"/>
          <w:lang w:val="en-US" w:eastAsia="zh-CN"/>
        </w:rPr>
        <w:t>组织实施</w:t>
      </w:r>
      <w:r>
        <w:rPr>
          <w:rFonts w:hint="eastAsia" w:ascii="仿宋" w:hAnsi="仿宋" w:eastAsia="仿宋" w:cs="仿宋"/>
          <w:snapToGrid w:val="0"/>
          <w:sz w:val="28"/>
          <w:szCs w:val="28"/>
        </w:rPr>
        <w:t>情况，</w:t>
      </w:r>
      <w:r>
        <w:rPr>
          <w:rFonts w:hint="eastAsia" w:ascii="仿宋" w:hAnsi="仿宋" w:eastAsia="仿宋" w:cs="仿宋"/>
          <w:snapToGrid w:val="0"/>
          <w:color w:val="auto"/>
          <w:sz w:val="28"/>
          <w:szCs w:val="28"/>
        </w:rPr>
        <w:t>过程类指标权重20</w:t>
      </w:r>
      <w:r>
        <w:rPr>
          <w:rFonts w:hint="eastAsia" w:ascii="仿宋" w:hAnsi="仿宋" w:eastAsia="仿宋" w:cs="仿宋"/>
          <w:snapToGrid w:val="0"/>
          <w:color w:val="auto"/>
          <w:sz w:val="28"/>
          <w:szCs w:val="28"/>
          <w:lang w:val="en-US" w:eastAsia="zh-CN"/>
        </w:rPr>
        <w:t>.00</w:t>
      </w:r>
      <w:r>
        <w:rPr>
          <w:rFonts w:hint="eastAsia" w:ascii="仿宋" w:hAnsi="仿宋" w:eastAsia="仿宋" w:cs="仿宋"/>
          <w:snapToGrid w:val="0"/>
          <w:color w:val="auto"/>
          <w:sz w:val="28"/>
          <w:szCs w:val="28"/>
        </w:rPr>
        <w:t>分，实际得分</w:t>
      </w:r>
      <w:r>
        <w:rPr>
          <w:rFonts w:hint="eastAsia" w:ascii="仿宋" w:hAnsi="仿宋" w:eastAsia="仿宋" w:cs="仿宋"/>
          <w:snapToGrid w:val="0"/>
          <w:color w:val="auto"/>
          <w:sz w:val="28"/>
          <w:szCs w:val="28"/>
          <w:lang w:val="en-US" w:eastAsia="zh-CN"/>
        </w:rPr>
        <w:t>14.00</w:t>
      </w:r>
      <w:r>
        <w:rPr>
          <w:rFonts w:hint="eastAsia" w:ascii="仿宋" w:hAnsi="仿宋" w:eastAsia="仿宋" w:cs="仿宋"/>
          <w:snapToGrid w:val="0"/>
          <w:color w:val="auto"/>
          <w:sz w:val="28"/>
          <w:szCs w:val="28"/>
        </w:rPr>
        <w:t>分。指标得分情况如表4-2所示：</w:t>
      </w:r>
    </w:p>
    <w:p>
      <w:pPr>
        <w:widowControl/>
        <w:spacing w:line="574" w:lineRule="exact"/>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表4-2 过程类指标得分情况</w:t>
      </w:r>
    </w:p>
    <w:tbl>
      <w:tblPr>
        <w:tblStyle w:val="19"/>
        <w:tblW w:w="85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834"/>
        <w:gridCol w:w="2847"/>
        <w:gridCol w:w="1464"/>
        <w:gridCol w:w="949"/>
        <w:gridCol w:w="142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2847"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1464"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949"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428"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75" w:hRule="atLeast"/>
          <w:jc w:val="center"/>
        </w:trPr>
        <w:tc>
          <w:tcPr>
            <w:tcW w:w="1834"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w:t>
            </w:r>
            <w:r>
              <w:rPr>
                <w:rFonts w:hint="eastAsia" w:ascii="仿宋" w:hAnsi="仿宋" w:eastAsia="仿宋" w:cs="仿宋"/>
                <w:b w:val="0"/>
                <w:bCs w:val="0"/>
                <w:color w:val="000000"/>
                <w:kern w:val="0"/>
                <w:sz w:val="24"/>
                <w:szCs w:val="24"/>
                <w:lang w:val="en-US" w:eastAsia="zh-CN"/>
              </w:rPr>
              <w:t>资金</w:t>
            </w:r>
            <w:r>
              <w:rPr>
                <w:rFonts w:hint="eastAsia" w:ascii="仿宋" w:hAnsi="仿宋" w:eastAsia="仿宋" w:cs="仿宋"/>
                <w:b w:val="0"/>
                <w:bCs w:val="0"/>
                <w:color w:val="000000"/>
                <w:kern w:val="0"/>
                <w:sz w:val="24"/>
                <w:szCs w:val="24"/>
              </w:rPr>
              <w:t>管理</w:t>
            </w: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B11</w:t>
            </w:r>
            <w:r>
              <w:rPr>
                <w:rFonts w:hint="eastAsia" w:ascii="仿宋" w:hAnsi="仿宋" w:eastAsia="仿宋" w:cs="仿宋"/>
                <w:b w:val="0"/>
                <w:bCs w:val="0"/>
                <w:color w:val="000000"/>
                <w:kern w:val="0"/>
                <w:sz w:val="24"/>
                <w:szCs w:val="24"/>
                <w:lang w:val="en-US" w:eastAsia="zh-CN"/>
              </w:rPr>
              <w:t>资金到位率</w:t>
            </w:r>
          </w:p>
        </w:tc>
        <w:tc>
          <w:tcPr>
            <w:tcW w:w="1464"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428"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B12</w:t>
            </w:r>
            <w:r>
              <w:rPr>
                <w:rFonts w:hint="eastAsia" w:ascii="仿宋" w:hAnsi="仿宋" w:eastAsia="仿宋" w:cs="仿宋"/>
                <w:b w:val="0"/>
                <w:bCs w:val="0"/>
                <w:color w:val="000000"/>
                <w:kern w:val="0"/>
                <w:sz w:val="24"/>
                <w:szCs w:val="24"/>
                <w:lang w:val="en-US" w:eastAsia="zh-CN"/>
              </w:rPr>
              <w:t>预算执行率</w:t>
            </w:r>
          </w:p>
        </w:tc>
        <w:tc>
          <w:tcPr>
            <w:tcW w:w="146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4.00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834"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w:t>
            </w:r>
            <w:r>
              <w:rPr>
                <w:rFonts w:hint="eastAsia" w:ascii="仿宋" w:hAnsi="仿宋" w:eastAsia="仿宋" w:cs="仿宋"/>
                <w:b w:val="0"/>
                <w:bCs w:val="0"/>
                <w:color w:val="000000"/>
                <w:kern w:val="0"/>
                <w:sz w:val="24"/>
                <w:szCs w:val="24"/>
                <w:lang w:val="en-US" w:eastAsia="zh-CN"/>
              </w:rPr>
              <w:t>3资金使用合规性</w:t>
            </w:r>
          </w:p>
        </w:tc>
        <w:tc>
          <w:tcPr>
            <w:tcW w:w="1464" w:type="dxa"/>
            <w:vAlign w:val="center"/>
          </w:tcPr>
          <w:p>
            <w:pPr>
              <w:widowControl/>
              <w:snapToGrid w:val="0"/>
              <w:jc w:val="center"/>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lang w:val="en-US" w:eastAsia="zh-CN"/>
              </w:rPr>
              <w:t>4.00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restart"/>
            <w:vAlign w:val="center"/>
          </w:tcPr>
          <w:p>
            <w:pPr>
              <w:widowControl/>
              <w:snapToGrid w:val="0"/>
              <w:jc w:val="center"/>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rPr>
              <w:t>B2</w:t>
            </w:r>
            <w:r>
              <w:rPr>
                <w:rFonts w:hint="eastAsia" w:ascii="仿宋" w:hAnsi="仿宋" w:eastAsia="仿宋" w:cs="仿宋"/>
                <w:b w:val="0"/>
                <w:bCs w:val="0"/>
                <w:color w:val="000000"/>
                <w:kern w:val="0"/>
                <w:sz w:val="24"/>
                <w:szCs w:val="24"/>
                <w:lang w:val="en-US" w:eastAsia="zh-CN"/>
              </w:rPr>
              <w:t>组织实施</w:t>
            </w: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B21管理制度健全性</w:t>
            </w:r>
          </w:p>
        </w:tc>
        <w:tc>
          <w:tcPr>
            <w:tcW w:w="146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2.00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428"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B22</w:t>
            </w:r>
            <w:r>
              <w:rPr>
                <w:rFonts w:hint="eastAsia" w:ascii="仿宋" w:hAnsi="仿宋" w:eastAsia="仿宋" w:cs="仿宋"/>
                <w:b w:val="0"/>
                <w:bCs w:val="0"/>
                <w:color w:val="000000"/>
                <w:kern w:val="0"/>
                <w:sz w:val="24"/>
                <w:szCs w:val="24"/>
                <w:lang w:val="en-US" w:eastAsia="zh-CN"/>
              </w:rPr>
              <w:t>制度执行有效</w:t>
            </w:r>
            <w:r>
              <w:rPr>
                <w:rFonts w:hint="eastAsia" w:ascii="仿宋" w:hAnsi="仿宋" w:eastAsia="仿宋" w:cs="仿宋"/>
                <w:b w:val="0"/>
                <w:bCs w:val="0"/>
                <w:color w:val="000000"/>
                <w:kern w:val="0"/>
                <w:sz w:val="24"/>
                <w:szCs w:val="24"/>
              </w:rPr>
              <w:t>性</w:t>
            </w:r>
          </w:p>
        </w:tc>
        <w:tc>
          <w:tcPr>
            <w:tcW w:w="1464" w:type="dxa"/>
            <w:vAlign w:val="center"/>
          </w:tcPr>
          <w:p>
            <w:pPr>
              <w:widowControl/>
              <w:snapToGrid w:val="0"/>
              <w:jc w:val="center"/>
              <w:rPr>
                <w:rFonts w:hint="eastAsia" w:ascii="仿宋" w:hAnsi="仿宋" w:eastAsia="仿宋" w:cs="仿宋"/>
                <w:b w:val="0"/>
                <w:bCs w:val="0"/>
                <w:color w:val="000000"/>
                <w:kern w:val="0"/>
                <w:sz w:val="24"/>
                <w:szCs w:val="24"/>
                <w:lang w:val="en-US"/>
              </w:rPr>
            </w:pPr>
            <w:r>
              <w:rPr>
                <w:rFonts w:hint="eastAsia" w:ascii="仿宋" w:hAnsi="仿宋" w:eastAsia="仿宋" w:cs="仿宋"/>
                <w:b w:val="0"/>
                <w:bCs w:val="0"/>
                <w:color w:val="000000"/>
                <w:kern w:val="0"/>
                <w:sz w:val="24"/>
                <w:szCs w:val="24"/>
                <w:lang w:val="en-US" w:eastAsia="zh-CN"/>
              </w:rPr>
              <w:t>6.00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c>
          <w:tcPr>
            <w:tcW w:w="1428"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4681" w:type="dxa"/>
            <w:gridSpan w:val="2"/>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合计</w:t>
            </w:r>
          </w:p>
        </w:tc>
        <w:tc>
          <w:tcPr>
            <w:tcW w:w="146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20.00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14.00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70.00%</w:t>
            </w:r>
          </w:p>
        </w:tc>
      </w:tr>
    </w:tbl>
    <w:p>
      <w:pPr>
        <w:widowControl/>
        <w:spacing w:line="574" w:lineRule="exact"/>
        <w:ind w:firstLine="560" w:firstLineChars="200"/>
        <w:outlineLvl w:val="3"/>
        <w:rPr>
          <w:rFonts w:hint="eastAsia" w:ascii="仿宋" w:hAnsi="仿宋" w:eastAsia="仿宋" w:cs="仿宋"/>
          <w:snapToGrid w:val="0"/>
          <w:sz w:val="28"/>
          <w:szCs w:val="28"/>
        </w:rPr>
      </w:pPr>
      <w:r>
        <w:rPr>
          <w:rFonts w:hint="eastAsia" w:ascii="仿宋" w:hAnsi="仿宋" w:eastAsia="仿宋" w:cs="仿宋"/>
          <w:snapToGrid w:val="0"/>
          <w:sz w:val="28"/>
          <w:szCs w:val="28"/>
        </w:rPr>
        <w:t>（1）</w:t>
      </w:r>
      <w:r>
        <w:rPr>
          <w:rFonts w:hint="eastAsia" w:ascii="仿宋" w:hAnsi="仿宋" w:eastAsia="仿宋" w:cs="仿宋"/>
          <w:snapToGrid w:val="0"/>
          <w:sz w:val="28"/>
          <w:szCs w:val="28"/>
          <w:lang w:val="en-US" w:eastAsia="zh-CN"/>
        </w:rPr>
        <w:t>资金</w:t>
      </w:r>
      <w:r>
        <w:rPr>
          <w:rFonts w:hint="eastAsia" w:ascii="仿宋" w:hAnsi="仿宋" w:eastAsia="仿宋" w:cs="仿宋"/>
          <w:snapToGrid w:val="0"/>
          <w:sz w:val="28"/>
          <w:szCs w:val="28"/>
        </w:rPr>
        <w:t>管理</w:t>
      </w:r>
    </w:p>
    <w:p>
      <w:pPr>
        <w:widowControl/>
        <w:spacing w:line="574" w:lineRule="exact"/>
        <w:ind w:firstLine="562" w:firstLineChars="200"/>
        <w:rPr>
          <w:rFonts w:hint="eastAsia" w:ascii="仿宋" w:hAnsi="仿宋" w:eastAsia="仿宋" w:cs="仿宋"/>
          <w:b/>
          <w:snapToGrid w:val="0"/>
          <w:sz w:val="28"/>
          <w:szCs w:val="28"/>
        </w:rPr>
      </w:pPr>
      <w:r>
        <w:rPr>
          <w:rFonts w:hint="eastAsia" w:ascii="仿宋" w:hAnsi="仿宋" w:eastAsia="仿宋" w:cs="仿宋"/>
          <w:b/>
          <w:snapToGrid w:val="0"/>
          <w:sz w:val="28"/>
          <w:szCs w:val="28"/>
          <w:lang w:val="en-US" w:eastAsia="zh-CN"/>
        </w:rPr>
        <w:t>B11</w:t>
      </w:r>
      <w:r>
        <w:rPr>
          <w:rFonts w:hint="eastAsia" w:ascii="仿宋" w:hAnsi="仿宋" w:eastAsia="仿宋" w:cs="仿宋"/>
          <w:b/>
          <w:snapToGrid w:val="0"/>
          <w:sz w:val="28"/>
          <w:szCs w:val="28"/>
        </w:rPr>
        <w:t>资金到位率：</w:t>
      </w:r>
      <w:r>
        <w:rPr>
          <w:rFonts w:hint="eastAsia" w:ascii="Times New Roman" w:hAnsi="Times New Roman" w:eastAsia="仿宋" w:cs="Times New Roman"/>
          <w:bCs w:val="0"/>
          <w:kern w:val="2"/>
          <w:sz w:val="28"/>
          <w:szCs w:val="28"/>
          <w:lang w:val="en-US" w:eastAsia="zh-CN" w:bidi="ar-SA"/>
        </w:rPr>
        <w:t>满分4.00分，得分4.00分。该指标主要分析评价项目资金是否根据文件、计划要求足额拨付到位，资金到位率=（实际到位资金/计划到位资金）×100%。根据资金下达文件、入账凭证，古县自然资源局申请采煤沉陷区旧房拆除和土地复垦项目2020-2022年资金</w:t>
      </w:r>
      <w:r>
        <w:rPr>
          <w:rFonts w:hint="eastAsia" w:ascii="Times New Roman" w:hAnsi="Times New Roman" w:eastAsia="仿宋" w:cs="Times New Roman"/>
          <w:kern w:val="0"/>
          <w:sz w:val="28"/>
          <w:szCs w:val="28"/>
          <w:shd w:val="clear" w:color="auto" w:fill="FFFFFF"/>
          <w:lang w:val="en-US" w:eastAsia="zh-CN"/>
        </w:rPr>
        <w:t>613.06万元，资金到位613.06万元</w:t>
      </w:r>
      <w:r>
        <w:rPr>
          <w:rFonts w:hint="eastAsia" w:ascii="Times New Roman" w:hAnsi="Times New Roman" w:eastAsia="仿宋" w:cs="Times New Roman"/>
          <w:bCs w:val="0"/>
          <w:kern w:val="2"/>
          <w:sz w:val="28"/>
          <w:szCs w:val="28"/>
          <w:lang w:val="en-US" w:eastAsia="zh-CN" w:bidi="ar-SA"/>
        </w:rPr>
        <w:t>；资金到位率100.00%。根据评分标准，该项得满分</w:t>
      </w:r>
      <w:r>
        <w:rPr>
          <w:rFonts w:hint="eastAsia" w:ascii="仿宋" w:hAnsi="仿宋" w:eastAsia="仿宋" w:cs="仿宋"/>
          <w:b w:val="0"/>
          <w:bCs/>
          <w:snapToGrid w:val="0"/>
          <w:sz w:val="28"/>
          <w:szCs w:val="28"/>
        </w:rPr>
        <w:t>。</w:t>
      </w:r>
    </w:p>
    <w:p>
      <w:pPr>
        <w:widowControl/>
        <w:spacing w:line="574" w:lineRule="exact"/>
        <w:ind w:firstLine="562" w:firstLineChars="200"/>
        <w:rPr>
          <w:rFonts w:hint="eastAsia" w:ascii="仿宋" w:hAnsi="仿宋" w:eastAsia="仿宋" w:cs="仿宋"/>
          <w:b w:val="0"/>
          <w:bCs/>
          <w:snapToGrid w:val="0"/>
          <w:sz w:val="28"/>
          <w:szCs w:val="28"/>
        </w:rPr>
      </w:pPr>
      <w:r>
        <w:rPr>
          <w:rFonts w:hint="eastAsia" w:ascii="仿宋" w:hAnsi="仿宋" w:eastAsia="仿宋" w:cs="仿宋"/>
          <w:b/>
          <w:snapToGrid w:val="0"/>
          <w:sz w:val="28"/>
          <w:szCs w:val="28"/>
          <w:lang w:val="en-US" w:eastAsia="zh-CN"/>
        </w:rPr>
        <w:t>B12预算</w:t>
      </w:r>
      <w:r>
        <w:rPr>
          <w:rFonts w:hint="eastAsia" w:ascii="仿宋" w:hAnsi="仿宋" w:eastAsia="仿宋" w:cs="仿宋"/>
          <w:b/>
          <w:snapToGrid w:val="0"/>
          <w:sz w:val="28"/>
          <w:szCs w:val="28"/>
        </w:rPr>
        <w:t>执行率：</w:t>
      </w:r>
      <w:r>
        <w:rPr>
          <w:rFonts w:hint="eastAsia" w:ascii="Times New Roman" w:hAnsi="Times New Roman" w:eastAsia="仿宋" w:cs="Times New Roman"/>
          <w:bCs w:val="0"/>
          <w:kern w:val="2"/>
          <w:sz w:val="28"/>
          <w:szCs w:val="28"/>
          <w:lang w:val="en-US" w:eastAsia="zh-CN" w:bidi="ar-SA"/>
        </w:rPr>
        <w:t>满分4.00分，得分4.00分。根据古县自然资源局提供的资料，截止2022年8月15日，项目共计到位资金613.06万元；截止2022年8月15日，采煤沉陷区旧房拆除和土地复垦项目共计支出资金613.06万元。到位资金执行率100.00%。根据评分标准，该项得满分</w:t>
      </w:r>
      <w:r>
        <w:rPr>
          <w:rFonts w:hint="eastAsia" w:ascii="仿宋" w:hAnsi="仿宋" w:eastAsia="仿宋" w:cs="仿宋"/>
          <w:b w:val="0"/>
          <w:bCs/>
          <w:snapToGrid w:val="0"/>
          <w:sz w:val="28"/>
          <w:szCs w:val="28"/>
        </w:rPr>
        <w:t>。</w:t>
      </w:r>
    </w:p>
    <w:p>
      <w:pPr>
        <w:widowControl/>
        <w:spacing w:line="574" w:lineRule="exact"/>
        <w:ind w:firstLine="562" w:firstLineChars="200"/>
        <w:rPr>
          <w:rFonts w:hint="eastAsia" w:ascii="仿宋" w:hAnsi="仿宋" w:eastAsia="仿宋" w:cs="仿宋"/>
          <w:snapToGrid w:val="0"/>
          <w:sz w:val="28"/>
          <w:szCs w:val="28"/>
        </w:rPr>
      </w:pPr>
      <w:r>
        <w:rPr>
          <w:rFonts w:hint="eastAsia" w:ascii="仿宋" w:hAnsi="仿宋" w:eastAsia="仿宋" w:cs="仿宋"/>
          <w:b/>
          <w:snapToGrid w:val="0"/>
          <w:sz w:val="28"/>
          <w:szCs w:val="28"/>
          <w:lang w:val="en-US" w:eastAsia="zh-CN"/>
        </w:rPr>
        <w:t>B13</w:t>
      </w:r>
      <w:r>
        <w:rPr>
          <w:rFonts w:hint="eastAsia" w:ascii="仿宋" w:hAnsi="仿宋" w:eastAsia="仿宋" w:cs="仿宋"/>
          <w:b/>
          <w:snapToGrid w:val="0"/>
          <w:sz w:val="28"/>
          <w:szCs w:val="28"/>
        </w:rPr>
        <w:t>资金使用合规性：</w:t>
      </w:r>
      <w:r>
        <w:rPr>
          <w:rFonts w:hint="eastAsia" w:ascii="Times New Roman" w:hAnsi="Times New Roman" w:eastAsia="仿宋" w:cs="Times New Roman"/>
          <w:bCs w:val="0"/>
          <w:kern w:val="2"/>
          <w:sz w:val="28"/>
          <w:szCs w:val="28"/>
          <w:lang w:val="en-US" w:eastAsia="zh-CN" w:bidi="ar-SA"/>
        </w:rPr>
        <w:t>满分4.00分，得分4.00分。通过对项目财务资料的现场核实，采煤沉陷区旧房拆除和土地复垦项目经费使用符合国家财经法规和相关政策的规定，有完整的审批程序和手续，资金使用符合项目合同等文件要求的用途，未发现截留、挤占、挪用、虚列支出等情况。根据评分标准，该项得满分</w:t>
      </w:r>
      <w:r>
        <w:rPr>
          <w:rFonts w:hint="eastAsia" w:ascii="仿宋" w:hAnsi="仿宋" w:eastAsia="仿宋" w:cs="仿宋"/>
          <w:snapToGrid w:val="0"/>
          <w:sz w:val="28"/>
          <w:szCs w:val="28"/>
        </w:rPr>
        <w:t>。</w:t>
      </w:r>
    </w:p>
    <w:p>
      <w:pPr>
        <w:widowControl/>
        <w:spacing w:line="574" w:lineRule="exact"/>
        <w:ind w:firstLine="560" w:firstLineChars="200"/>
        <w:outlineLvl w:val="3"/>
        <w:rPr>
          <w:rFonts w:hint="eastAsia" w:ascii="仿宋" w:hAnsi="仿宋" w:eastAsia="仿宋" w:cs="仿宋"/>
          <w:snapToGrid w:val="0"/>
          <w:sz w:val="28"/>
          <w:szCs w:val="28"/>
          <w:lang w:val="en-US" w:eastAsia="zh-CN"/>
        </w:rPr>
      </w:pPr>
      <w:r>
        <w:rPr>
          <w:rFonts w:hint="eastAsia" w:ascii="仿宋" w:hAnsi="仿宋" w:eastAsia="仿宋" w:cs="仿宋"/>
          <w:snapToGrid w:val="0"/>
          <w:sz w:val="28"/>
          <w:szCs w:val="28"/>
          <w:lang w:val="en-US" w:eastAsia="zh-CN"/>
        </w:rPr>
        <w:t>（2）组织实施</w:t>
      </w:r>
    </w:p>
    <w:p>
      <w:pPr>
        <w:widowControl/>
        <w:spacing w:line="574" w:lineRule="exact"/>
        <w:ind w:firstLine="562" w:firstLineChars="200"/>
        <w:rPr>
          <w:rFonts w:hint="eastAsia" w:ascii="仿宋" w:hAnsi="仿宋" w:eastAsia="仿宋" w:cs="仿宋"/>
          <w:snapToGrid w:val="0"/>
          <w:sz w:val="28"/>
          <w:szCs w:val="28"/>
          <w:highlight w:val="yellow"/>
        </w:rPr>
      </w:pPr>
      <w:r>
        <w:rPr>
          <w:rFonts w:hint="eastAsia" w:ascii="仿宋" w:hAnsi="仿宋" w:eastAsia="仿宋" w:cs="仿宋"/>
          <w:b/>
          <w:snapToGrid w:val="0"/>
          <w:sz w:val="28"/>
          <w:szCs w:val="28"/>
        </w:rPr>
        <w:t>B</w:t>
      </w:r>
      <w:r>
        <w:rPr>
          <w:rFonts w:hint="eastAsia" w:ascii="仿宋" w:hAnsi="仿宋" w:eastAsia="仿宋" w:cs="仿宋"/>
          <w:b/>
          <w:snapToGrid w:val="0"/>
          <w:sz w:val="28"/>
          <w:szCs w:val="28"/>
          <w:lang w:val="en-US" w:eastAsia="zh-CN"/>
        </w:rPr>
        <w:t>21</w:t>
      </w:r>
      <w:r>
        <w:rPr>
          <w:rFonts w:hint="eastAsia" w:ascii="仿宋" w:hAnsi="仿宋" w:eastAsia="仿宋" w:cs="仿宋"/>
          <w:b/>
          <w:snapToGrid w:val="0"/>
          <w:sz w:val="28"/>
          <w:szCs w:val="28"/>
        </w:rPr>
        <w:t>管理制度健全性：</w:t>
      </w:r>
      <w:r>
        <w:rPr>
          <w:rFonts w:hint="eastAsia" w:ascii="Times New Roman" w:hAnsi="Times New Roman" w:eastAsia="仿宋" w:cs="Times New Roman"/>
          <w:bCs w:val="0"/>
          <w:kern w:val="2"/>
          <w:sz w:val="28"/>
          <w:szCs w:val="28"/>
          <w:lang w:val="en-US" w:eastAsia="zh-CN" w:bidi="ar-SA"/>
        </w:rPr>
        <w:t>满分2.00分，得分2.00分。评价组通过查阅资料和现场调研了解到，古县自然资源局在具体执行项目过程中，具有相应的业务、财务管理制度，相关业务、财务管理制度合法、合规、完整。根据评分标准，该项得满分</w:t>
      </w:r>
      <w:r>
        <w:rPr>
          <w:rFonts w:hint="eastAsia" w:ascii="仿宋" w:hAnsi="仿宋" w:eastAsia="仿宋" w:cs="仿宋"/>
          <w:snapToGrid w:val="0"/>
          <w:sz w:val="28"/>
          <w:szCs w:val="28"/>
        </w:rPr>
        <w:t>。</w:t>
      </w:r>
    </w:p>
    <w:p>
      <w:pPr>
        <w:widowControl/>
        <w:spacing w:line="574" w:lineRule="exact"/>
        <w:ind w:firstLine="562" w:firstLineChars="200"/>
        <w:rPr>
          <w:rFonts w:hint="default" w:ascii="仿宋" w:hAnsi="仿宋" w:eastAsia="仿宋" w:cs="仿宋"/>
          <w:snapToGrid w:val="0"/>
          <w:sz w:val="28"/>
          <w:szCs w:val="28"/>
          <w:lang w:val="en-US" w:eastAsia="zh-CN"/>
        </w:rPr>
      </w:pPr>
      <w:r>
        <w:rPr>
          <w:rFonts w:hint="eastAsia" w:ascii="仿宋" w:hAnsi="仿宋" w:eastAsia="仿宋" w:cs="仿宋"/>
          <w:b/>
          <w:snapToGrid w:val="0"/>
          <w:sz w:val="28"/>
          <w:szCs w:val="28"/>
        </w:rPr>
        <w:t>B</w:t>
      </w:r>
      <w:r>
        <w:rPr>
          <w:rFonts w:hint="eastAsia" w:ascii="仿宋" w:hAnsi="仿宋" w:eastAsia="仿宋" w:cs="仿宋"/>
          <w:b/>
          <w:snapToGrid w:val="0"/>
          <w:sz w:val="28"/>
          <w:szCs w:val="28"/>
          <w:lang w:val="en-US" w:eastAsia="zh-CN"/>
        </w:rPr>
        <w:t>22</w:t>
      </w:r>
      <w:r>
        <w:rPr>
          <w:rFonts w:hint="eastAsia" w:ascii="仿宋" w:hAnsi="仿宋" w:eastAsia="仿宋" w:cs="仿宋"/>
          <w:b/>
          <w:snapToGrid w:val="0"/>
          <w:sz w:val="28"/>
          <w:szCs w:val="28"/>
        </w:rPr>
        <w:t>制度执行有效性：</w:t>
      </w:r>
      <w:r>
        <w:rPr>
          <w:rFonts w:hint="eastAsia" w:ascii="Times New Roman" w:hAnsi="Times New Roman" w:eastAsia="仿宋" w:cs="Times New Roman"/>
          <w:bCs w:val="0"/>
          <w:kern w:val="2"/>
          <w:sz w:val="28"/>
          <w:szCs w:val="28"/>
          <w:lang w:val="en-US" w:eastAsia="zh-CN" w:bidi="ar-SA"/>
        </w:rPr>
        <w:t>满分6.00分，得分0.00分。该指标分析评价项目实施是否符合相关项目管理规定，是否为达到项目质量要求而采取了必需的措施，用以反映和考核项目管理有效性。根据古县自然资源局提供的资料，评价组发现，项目实施管理不到位：（1）项目涉及的5个子项目均未按期完成，未见古县自然资源局督促、协调施工方加快实施项目相关印证资料；（2）项目资金支付未按照合同约定的支付比例执行，5个标段合同约定的支付方式：预付款30%，工程完成后支付总价的50%；通过验收后支付总价的15%，通过验收后满一年支付总价的5%；实际5个标段已资金支付比例分别为69.91%、70.69%、70.18%、70.23%、70.18%；项目未完工，按照合同约定只能支付30%预付款。根据评分标准，该项得0.00分</w:t>
      </w:r>
      <w:r>
        <w:rPr>
          <w:rFonts w:hint="eastAsia" w:ascii="仿宋" w:hAnsi="仿宋" w:eastAsia="仿宋" w:cs="仿宋"/>
          <w:snapToGrid w:val="0"/>
          <w:sz w:val="28"/>
          <w:szCs w:val="28"/>
        </w:rPr>
        <w:t>。</w:t>
      </w:r>
    </w:p>
    <w:p>
      <w:pPr>
        <w:widowControl/>
        <w:spacing w:line="574" w:lineRule="exact"/>
        <w:ind w:firstLine="562" w:firstLineChars="200"/>
        <w:outlineLvl w:val="2"/>
        <w:rPr>
          <w:rFonts w:hint="eastAsia" w:ascii="仿宋" w:hAnsi="仿宋" w:eastAsia="仿宋" w:cs="仿宋"/>
          <w:b/>
          <w:snapToGrid w:val="0"/>
          <w:sz w:val="28"/>
          <w:szCs w:val="28"/>
        </w:rPr>
      </w:pPr>
      <w:bookmarkStart w:id="114" w:name="_Toc18832"/>
      <w:bookmarkStart w:id="115" w:name="_Toc11431"/>
      <w:bookmarkStart w:id="116" w:name="_Toc16432"/>
      <w:bookmarkStart w:id="117" w:name="_Toc27638"/>
      <w:bookmarkStart w:id="118" w:name="_Toc13039"/>
      <w:bookmarkStart w:id="119" w:name="_Toc30077"/>
      <w:bookmarkStart w:id="120" w:name="_Toc30848"/>
      <w:bookmarkStart w:id="121" w:name="_Toc7873"/>
      <w:bookmarkStart w:id="122" w:name="_Toc528680468"/>
      <w:bookmarkStart w:id="123" w:name="_Toc29696"/>
      <w:bookmarkStart w:id="124" w:name="_Toc528684143"/>
      <w:bookmarkStart w:id="125" w:name="_Toc23505"/>
      <w:r>
        <w:rPr>
          <w:rFonts w:hint="eastAsia" w:ascii="仿宋" w:hAnsi="仿宋" w:eastAsia="仿宋" w:cs="仿宋"/>
          <w:b/>
          <w:snapToGrid w:val="0"/>
          <w:sz w:val="28"/>
          <w:szCs w:val="28"/>
        </w:rPr>
        <w:t>3</w:t>
      </w:r>
      <w:r>
        <w:rPr>
          <w:rFonts w:hint="eastAsia" w:ascii="仿宋" w:hAnsi="仿宋" w:eastAsia="仿宋" w:cs="仿宋"/>
          <w:b/>
          <w:snapToGrid w:val="0"/>
          <w:sz w:val="28"/>
          <w:szCs w:val="28"/>
          <w:lang w:eastAsia="zh-CN"/>
        </w:rPr>
        <w:t>、</w:t>
      </w:r>
      <w:r>
        <w:rPr>
          <w:rFonts w:hint="eastAsia" w:ascii="仿宋" w:hAnsi="仿宋" w:eastAsia="仿宋" w:cs="仿宋"/>
          <w:b/>
          <w:snapToGrid w:val="0"/>
          <w:sz w:val="28"/>
          <w:szCs w:val="28"/>
        </w:rPr>
        <w:t>产出分析</w:t>
      </w:r>
      <w:bookmarkEnd w:id="114"/>
      <w:bookmarkEnd w:id="115"/>
      <w:bookmarkEnd w:id="116"/>
      <w:bookmarkEnd w:id="117"/>
      <w:bookmarkEnd w:id="118"/>
      <w:bookmarkEnd w:id="119"/>
      <w:bookmarkEnd w:id="120"/>
      <w:bookmarkEnd w:id="121"/>
      <w:bookmarkEnd w:id="122"/>
      <w:bookmarkEnd w:id="123"/>
      <w:bookmarkEnd w:id="124"/>
      <w:bookmarkEnd w:id="125"/>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 w:cs="Times New Roman"/>
          <w:bCs w:val="0"/>
          <w:kern w:val="2"/>
          <w:sz w:val="28"/>
          <w:szCs w:val="28"/>
          <w:lang w:val="en-US" w:eastAsia="zh-CN" w:bidi="ar-SA"/>
        </w:rPr>
        <w:t>产出类指标主要从项目完成情况、工程质量达标情况、项目完工及时性、项目验收及时性、成本节约率5个指标考察该项目产出数量、产出质量、产出时效、产出成本。产出类指标权重30.00分，实际得分10.00分。指标得分情况如表4-3所示</w:t>
      </w:r>
      <w:r>
        <w:rPr>
          <w:rFonts w:hint="eastAsia" w:ascii="仿宋" w:hAnsi="仿宋" w:eastAsia="仿宋" w:cs="仿宋"/>
          <w:snapToGrid w:val="0"/>
          <w:sz w:val="28"/>
          <w:szCs w:val="28"/>
        </w:rPr>
        <w:t>：</w:t>
      </w:r>
    </w:p>
    <w:p>
      <w:pPr>
        <w:widowControl/>
        <w:spacing w:line="574" w:lineRule="exact"/>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表4-3 产出类指标得分情况</w:t>
      </w:r>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02"/>
        <w:gridCol w:w="3953"/>
        <w:gridCol w:w="919"/>
        <w:gridCol w:w="863"/>
        <w:gridCol w:w="11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602"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3953"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919"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863"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185"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602" w:type="dxa"/>
            <w:vAlign w:val="center"/>
          </w:tcPr>
          <w:p>
            <w:pPr>
              <w:spacing w:line="400" w:lineRule="exact"/>
              <w:jc w:val="center"/>
              <w:rPr>
                <w:rFonts w:hint="default" w:ascii="仿宋" w:hAnsi="仿宋" w:eastAsia="仿宋" w:cs="仿宋"/>
                <w:b w:val="0"/>
                <w:bCs w:val="0"/>
                <w:color w:val="000000"/>
                <w:kern w:val="0"/>
                <w:sz w:val="24"/>
                <w:szCs w:val="24"/>
                <w:lang w:val="en-US" w:eastAsia="zh-CN"/>
              </w:rPr>
            </w:pPr>
            <w:r>
              <w:rPr>
                <w:rFonts w:hint="eastAsia" w:ascii="Times New Roman" w:hAnsi="Times New Roman" w:eastAsia="仿宋" w:cs="Times New Roman"/>
                <w:sz w:val="24"/>
                <w:szCs w:val="24"/>
                <w:lang w:val="en-US" w:eastAsia="zh-CN"/>
              </w:rPr>
              <w:t>C1产出数量</w:t>
            </w:r>
          </w:p>
        </w:tc>
        <w:tc>
          <w:tcPr>
            <w:tcW w:w="3953"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C11项目完成情况</w:t>
            </w:r>
          </w:p>
        </w:tc>
        <w:tc>
          <w:tcPr>
            <w:tcW w:w="91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8.00</w:t>
            </w:r>
          </w:p>
        </w:tc>
        <w:tc>
          <w:tcPr>
            <w:tcW w:w="86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c>
          <w:tcPr>
            <w:tcW w:w="1185"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602" w:type="dxa"/>
            <w:vAlign w:val="center"/>
          </w:tcPr>
          <w:p>
            <w:pPr>
              <w:spacing w:line="400" w:lineRule="exact"/>
              <w:jc w:val="center"/>
              <w:rPr>
                <w:rFonts w:hint="eastAsia" w:ascii="仿宋" w:hAnsi="仿宋" w:eastAsia="仿宋" w:cs="仿宋"/>
                <w:b w:val="0"/>
                <w:bCs w:val="0"/>
                <w:color w:val="000000"/>
                <w:kern w:val="0"/>
                <w:sz w:val="24"/>
                <w:szCs w:val="24"/>
              </w:rPr>
            </w:pPr>
            <w:r>
              <w:rPr>
                <w:rFonts w:hint="eastAsia" w:ascii="Times New Roman" w:hAnsi="Times New Roman" w:eastAsia="仿宋" w:cs="Times New Roman"/>
                <w:sz w:val="24"/>
                <w:szCs w:val="24"/>
                <w:lang w:val="en-US" w:eastAsia="zh-CN"/>
              </w:rPr>
              <w:t>C2产出质量</w:t>
            </w:r>
          </w:p>
        </w:tc>
        <w:tc>
          <w:tcPr>
            <w:tcW w:w="3953"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C21工程质量达标情况</w:t>
            </w:r>
          </w:p>
        </w:tc>
        <w:tc>
          <w:tcPr>
            <w:tcW w:w="919"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8.00</w:t>
            </w:r>
          </w:p>
        </w:tc>
        <w:tc>
          <w:tcPr>
            <w:tcW w:w="86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c>
          <w:tcPr>
            <w:tcW w:w="1185"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602" w:type="dxa"/>
            <w:vMerge w:val="restart"/>
            <w:vAlign w:val="center"/>
          </w:tcPr>
          <w:p>
            <w:pPr>
              <w:spacing w:line="400" w:lineRule="exact"/>
              <w:jc w:val="center"/>
              <w:rPr>
                <w:rFonts w:hint="eastAsia" w:ascii="仿宋" w:hAnsi="仿宋" w:eastAsia="仿宋" w:cs="仿宋"/>
                <w:b w:val="0"/>
                <w:bCs w:val="0"/>
                <w:color w:val="000000"/>
                <w:kern w:val="0"/>
                <w:sz w:val="24"/>
                <w:szCs w:val="24"/>
              </w:rPr>
            </w:pPr>
            <w:r>
              <w:rPr>
                <w:rFonts w:hint="eastAsia" w:ascii="Times New Roman" w:hAnsi="Times New Roman" w:eastAsia="仿宋" w:cs="Times New Roman"/>
                <w:sz w:val="24"/>
                <w:szCs w:val="24"/>
                <w:lang w:val="en-US" w:eastAsia="zh-CN"/>
              </w:rPr>
              <w:t>C3产出时效</w:t>
            </w:r>
          </w:p>
        </w:tc>
        <w:tc>
          <w:tcPr>
            <w:tcW w:w="3953"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C31项目完工及时性</w:t>
            </w:r>
          </w:p>
        </w:tc>
        <w:tc>
          <w:tcPr>
            <w:tcW w:w="919"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86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c>
          <w:tcPr>
            <w:tcW w:w="1185"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602" w:type="dxa"/>
            <w:vMerge w:val="continue"/>
            <w:vAlign w:val="center"/>
          </w:tcPr>
          <w:p>
            <w:pPr>
              <w:spacing w:line="400" w:lineRule="exact"/>
              <w:jc w:val="center"/>
              <w:rPr>
                <w:rFonts w:hint="eastAsia" w:ascii="Times New Roman" w:hAnsi="Times New Roman" w:eastAsia="仿宋" w:cs="Times New Roman"/>
                <w:sz w:val="24"/>
                <w:szCs w:val="24"/>
                <w:lang w:val="en-US" w:eastAsia="zh-CN"/>
              </w:rPr>
            </w:pPr>
          </w:p>
        </w:tc>
        <w:tc>
          <w:tcPr>
            <w:tcW w:w="3953"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C32项目验收及时性</w:t>
            </w:r>
          </w:p>
        </w:tc>
        <w:tc>
          <w:tcPr>
            <w:tcW w:w="91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86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185"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1602" w:type="dxa"/>
            <w:vAlign w:val="center"/>
          </w:tcPr>
          <w:p>
            <w:pPr>
              <w:spacing w:line="400" w:lineRule="exact"/>
              <w:jc w:val="center"/>
              <w:rPr>
                <w:rFonts w:hint="eastAsia" w:ascii="仿宋" w:hAnsi="仿宋" w:eastAsia="仿宋" w:cs="仿宋"/>
                <w:b w:val="0"/>
                <w:bCs w:val="0"/>
                <w:color w:val="000000"/>
                <w:kern w:val="0"/>
                <w:sz w:val="24"/>
                <w:szCs w:val="24"/>
              </w:rPr>
            </w:pPr>
            <w:r>
              <w:rPr>
                <w:rFonts w:hint="eastAsia" w:ascii="Times New Roman" w:hAnsi="Times New Roman" w:eastAsia="仿宋" w:cs="Times New Roman"/>
                <w:sz w:val="24"/>
                <w:szCs w:val="24"/>
                <w:lang w:val="en-US" w:eastAsia="zh-CN"/>
              </w:rPr>
              <w:t>C4产出成本</w:t>
            </w:r>
          </w:p>
        </w:tc>
        <w:tc>
          <w:tcPr>
            <w:tcW w:w="3953"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C41成本节约率</w:t>
            </w:r>
          </w:p>
        </w:tc>
        <w:tc>
          <w:tcPr>
            <w:tcW w:w="919"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6.00</w:t>
            </w:r>
          </w:p>
        </w:tc>
        <w:tc>
          <w:tcPr>
            <w:tcW w:w="86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6.00</w:t>
            </w:r>
          </w:p>
        </w:tc>
        <w:tc>
          <w:tcPr>
            <w:tcW w:w="1185"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555" w:type="dxa"/>
            <w:gridSpan w:val="2"/>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合 计</w:t>
            </w:r>
          </w:p>
        </w:tc>
        <w:tc>
          <w:tcPr>
            <w:tcW w:w="919"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30</w:t>
            </w:r>
            <w:r>
              <w:rPr>
                <w:rFonts w:hint="eastAsia" w:ascii="仿宋" w:hAnsi="仿宋" w:eastAsia="仿宋" w:cs="仿宋"/>
                <w:b w:val="0"/>
                <w:bCs w:val="0"/>
                <w:color w:val="000000"/>
                <w:kern w:val="0"/>
                <w:sz w:val="24"/>
                <w:szCs w:val="24"/>
                <w:lang w:val="en-US" w:eastAsia="zh-CN"/>
              </w:rPr>
              <w:t>.00</w:t>
            </w:r>
          </w:p>
        </w:tc>
        <w:tc>
          <w:tcPr>
            <w:tcW w:w="86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w:t>
            </w:r>
          </w:p>
        </w:tc>
        <w:tc>
          <w:tcPr>
            <w:tcW w:w="1185"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33.33%</w:t>
            </w:r>
          </w:p>
        </w:tc>
      </w:tr>
    </w:tbl>
    <w:p>
      <w:pPr>
        <w:widowControl/>
        <w:spacing w:line="574" w:lineRule="exact"/>
        <w:ind w:firstLine="560" w:firstLineChars="200"/>
        <w:outlineLvl w:val="3"/>
        <w:rPr>
          <w:rFonts w:hint="eastAsia" w:ascii="仿宋" w:hAnsi="仿宋" w:eastAsia="仿宋" w:cs="仿宋"/>
          <w:snapToGrid w:val="0"/>
          <w:sz w:val="28"/>
          <w:szCs w:val="28"/>
          <w:lang w:eastAsia="zh-CN"/>
        </w:rPr>
      </w:pPr>
      <w:r>
        <w:rPr>
          <w:rFonts w:hint="eastAsia" w:ascii="仿宋" w:hAnsi="仿宋" w:eastAsia="仿宋" w:cs="仿宋"/>
          <w:snapToGrid w:val="0"/>
          <w:sz w:val="28"/>
          <w:szCs w:val="28"/>
        </w:rPr>
        <w:t>（1）</w:t>
      </w:r>
      <w:r>
        <w:rPr>
          <w:rFonts w:hint="eastAsia" w:ascii="仿宋" w:hAnsi="仿宋" w:eastAsia="仿宋" w:cs="仿宋"/>
          <w:snapToGrid w:val="0"/>
          <w:sz w:val="28"/>
          <w:szCs w:val="28"/>
          <w:lang w:val="en-US" w:eastAsia="zh-CN"/>
        </w:rPr>
        <w:t>产出数量</w:t>
      </w:r>
    </w:p>
    <w:p>
      <w:pPr>
        <w:widowControl/>
        <w:spacing w:line="574" w:lineRule="exact"/>
        <w:ind w:firstLine="562" w:firstLineChars="200"/>
        <w:rPr>
          <w:rFonts w:hint="eastAsia" w:ascii="仿宋" w:hAnsi="仿宋" w:eastAsia="仿宋" w:cs="仿宋"/>
          <w:b/>
          <w:snapToGrid w:val="0"/>
          <w:sz w:val="28"/>
          <w:szCs w:val="28"/>
          <w:lang w:eastAsia="zh-CN"/>
        </w:rPr>
      </w:pPr>
      <w:r>
        <w:rPr>
          <w:rFonts w:hint="eastAsia" w:ascii="仿宋" w:hAnsi="仿宋" w:eastAsia="仿宋" w:cs="仿宋"/>
          <w:b/>
          <w:snapToGrid w:val="0"/>
          <w:sz w:val="28"/>
          <w:szCs w:val="28"/>
          <w:lang w:val="en-US" w:eastAsia="zh-CN"/>
        </w:rPr>
        <w:t>C11项目完成情况</w:t>
      </w:r>
      <w:r>
        <w:rPr>
          <w:rFonts w:hint="eastAsia" w:ascii="仿宋" w:hAnsi="仿宋" w:eastAsia="仿宋" w:cs="仿宋"/>
          <w:b/>
          <w:snapToGrid w:val="0"/>
          <w:sz w:val="28"/>
          <w:szCs w:val="28"/>
          <w:lang w:eastAsia="zh-CN"/>
        </w:rPr>
        <w:t>：</w:t>
      </w:r>
      <w:r>
        <w:rPr>
          <w:rFonts w:hint="eastAsia" w:ascii="Times New Roman" w:hAnsi="Times New Roman" w:eastAsia="仿宋" w:cs="Times New Roman"/>
          <w:bCs w:val="0"/>
          <w:kern w:val="2"/>
          <w:sz w:val="28"/>
          <w:szCs w:val="28"/>
          <w:lang w:val="en-US" w:eastAsia="zh-CN" w:bidi="ar-SA"/>
        </w:rPr>
        <w:t>满分8.00分，得分0.00分。评价组现场调研了解到，截止2022年年8月15日，采煤沉陷区旧房拆除和土地复垦项目尚未完工。根据评分标准，该项得0.00分</w:t>
      </w:r>
      <w:r>
        <w:rPr>
          <w:rFonts w:hint="eastAsia" w:ascii="仿宋" w:hAnsi="仿宋" w:eastAsia="仿宋" w:cs="仿宋"/>
          <w:b w:val="0"/>
          <w:bCs/>
          <w:snapToGrid w:val="0"/>
          <w:sz w:val="28"/>
          <w:szCs w:val="28"/>
          <w:lang w:val="en-US" w:eastAsia="zh-CN"/>
        </w:rPr>
        <w:t>。</w:t>
      </w:r>
    </w:p>
    <w:p>
      <w:pPr>
        <w:spacing w:line="574" w:lineRule="exact"/>
        <w:ind w:firstLine="560" w:firstLineChars="200"/>
        <w:rPr>
          <w:rFonts w:hint="eastAsia" w:ascii="仿宋" w:hAnsi="仿宋" w:eastAsia="仿宋" w:cs="仿宋"/>
          <w:b/>
          <w:snapToGrid w:val="0"/>
          <w:sz w:val="28"/>
          <w:szCs w:val="28"/>
          <w:lang w:val="en-US" w:eastAsia="zh-CN"/>
        </w:rPr>
      </w:pPr>
      <w:r>
        <w:rPr>
          <w:rFonts w:hint="eastAsia" w:ascii="仿宋" w:hAnsi="仿宋" w:eastAsia="仿宋" w:cs="仿宋"/>
          <w:b w:val="0"/>
          <w:bCs/>
          <w:snapToGrid w:val="0"/>
          <w:sz w:val="28"/>
          <w:szCs w:val="28"/>
          <w:lang w:eastAsia="zh-CN"/>
        </w:rPr>
        <w:t>（</w:t>
      </w:r>
      <w:r>
        <w:rPr>
          <w:rFonts w:hint="eastAsia" w:ascii="仿宋" w:hAnsi="仿宋" w:eastAsia="仿宋" w:cs="仿宋"/>
          <w:b w:val="0"/>
          <w:bCs/>
          <w:snapToGrid w:val="0"/>
          <w:sz w:val="28"/>
          <w:szCs w:val="28"/>
          <w:lang w:val="en-US" w:eastAsia="zh-CN"/>
        </w:rPr>
        <w:t>2</w:t>
      </w:r>
      <w:r>
        <w:rPr>
          <w:rFonts w:hint="eastAsia" w:ascii="仿宋" w:hAnsi="仿宋" w:eastAsia="仿宋" w:cs="仿宋"/>
          <w:b w:val="0"/>
          <w:bCs/>
          <w:snapToGrid w:val="0"/>
          <w:sz w:val="28"/>
          <w:szCs w:val="28"/>
          <w:lang w:eastAsia="zh-CN"/>
        </w:rPr>
        <w:t>）</w:t>
      </w:r>
      <w:r>
        <w:rPr>
          <w:rFonts w:hint="eastAsia" w:ascii="仿宋" w:hAnsi="仿宋" w:eastAsia="仿宋" w:cs="仿宋"/>
          <w:b w:val="0"/>
          <w:bCs/>
          <w:snapToGrid w:val="0"/>
          <w:sz w:val="28"/>
          <w:szCs w:val="28"/>
          <w:lang w:val="en-US" w:eastAsia="zh-CN"/>
        </w:rPr>
        <w:t>产出质量</w:t>
      </w:r>
    </w:p>
    <w:p>
      <w:pPr>
        <w:spacing w:line="574" w:lineRule="exact"/>
        <w:ind w:firstLine="562" w:firstLineChars="200"/>
        <w:rPr>
          <w:rFonts w:hint="eastAsia" w:ascii="仿宋" w:hAnsi="仿宋" w:eastAsia="仿宋" w:cs="仿宋"/>
          <w:b w:val="0"/>
          <w:bCs/>
          <w:snapToGrid w:val="0"/>
          <w:sz w:val="28"/>
          <w:szCs w:val="28"/>
          <w:lang w:val="en-US" w:eastAsia="zh-CN"/>
        </w:rPr>
      </w:pPr>
      <w:r>
        <w:rPr>
          <w:rFonts w:hint="eastAsia" w:ascii="仿宋" w:hAnsi="仿宋" w:eastAsia="仿宋" w:cs="仿宋"/>
          <w:b/>
          <w:bCs/>
          <w:snapToGrid w:val="0"/>
          <w:sz w:val="28"/>
          <w:szCs w:val="28"/>
          <w:lang w:eastAsia="zh-CN"/>
        </w:rPr>
        <w:t>C21</w:t>
      </w:r>
      <w:r>
        <w:rPr>
          <w:rFonts w:hint="eastAsia" w:ascii="仿宋" w:hAnsi="仿宋" w:eastAsia="仿宋" w:cs="仿宋"/>
          <w:b/>
          <w:bCs/>
          <w:snapToGrid w:val="0"/>
          <w:sz w:val="28"/>
          <w:szCs w:val="28"/>
          <w:lang w:val="en-US" w:eastAsia="zh-CN"/>
        </w:rPr>
        <w:t>工程质量达标情况</w:t>
      </w:r>
      <w:r>
        <w:rPr>
          <w:rFonts w:hint="eastAsia" w:ascii="仿宋" w:hAnsi="仿宋" w:eastAsia="仿宋" w:cs="仿宋"/>
          <w:b/>
          <w:bCs/>
          <w:snapToGrid w:val="0"/>
          <w:sz w:val="28"/>
          <w:szCs w:val="28"/>
          <w:lang w:eastAsia="zh-CN"/>
        </w:rPr>
        <w:t>：</w:t>
      </w:r>
      <w:r>
        <w:rPr>
          <w:rFonts w:hint="eastAsia" w:ascii="Times New Roman" w:hAnsi="Times New Roman" w:eastAsia="仿宋" w:cs="Times New Roman"/>
          <w:bCs w:val="0"/>
          <w:kern w:val="2"/>
          <w:sz w:val="28"/>
          <w:szCs w:val="28"/>
          <w:lang w:val="en-US" w:eastAsia="zh-CN" w:bidi="ar-SA"/>
        </w:rPr>
        <w:t>满分8.00分，得分0.00分。截止2022年8月15日，该项目未完工，尚未出具《竣工验收报告》，工程质量达标情况支撑依据不足。根据评分标准，该项得0.00分</w:t>
      </w:r>
      <w:r>
        <w:rPr>
          <w:rFonts w:hint="eastAsia" w:ascii="仿宋" w:hAnsi="仿宋" w:eastAsia="仿宋" w:cs="仿宋"/>
          <w:b w:val="0"/>
          <w:bCs/>
          <w:snapToGrid w:val="0"/>
          <w:sz w:val="28"/>
          <w:szCs w:val="28"/>
          <w:lang w:val="en-US" w:eastAsia="zh-CN"/>
        </w:rPr>
        <w:t>。</w:t>
      </w:r>
    </w:p>
    <w:p>
      <w:pPr>
        <w:spacing w:line="574" w:lineRule="exact"/>
        <w:ind w:firstLine="560" w:firstLineChars="200"/>
        <w:rPr>
          <w:rFonts w:hint="default" w:ascii="仿宋" w:hAnsi="仿宋" w:eastAsia="仿宋" w:cs="仿宋"/>
          <w:b w:val="0"/>
          <w:bCs/>
          <w:snapToGrid w:val="0"/>
          <w:sz w:val="28"/>
          <w:szCs w:val="28"/>
          <w:lang w:val="en-US" w:eastAsia="zh-CN"/>
        </w:rPr>
      </w:pPr>
      <w:r>
        <w:rPr>
          <w:rFonts w:hint="eastAsia" w:ascii="仿宋" w:hAnsi="仿宋" w:eastAsia="仿宋" w:cs="仿宋"/>
          <w:b w:val="0"/>
          <w:bCs/>
          <w:snapToGrid w:val="0"/>
          <w:sz w:val="28"/>
          <w:szCs w:val="28"/>
          <w:lang w:eastAsia="zh-CN"/>
        </w:rPr>
        <w:t>（</w:t>
      </w:r>
      <w:r>
        <w:rPr>
          <w:rFonts w:hint="eastAsia" w:ascii="仿宋" w:hAnsi="仿宋" w:eastAsia="仿宋" w:cs="仿宋"/>
          <w:b w:val="0"/>
          <w:bCs/>
          <w:snapToGrid w:val="0"/>
          <w:sz w:val="28"/>
          <w:szCs w:val="28"/>
          <w:lang w:val="en-US" w:eastAsia="zh-CN"/>
        </w:rPr>
        <w:t>3</w:t>
      </w:r>
      <w:r>
        <w:rPr>
          <w:rFonts w:hint="eastAsia" w:ascii="仿宋" w:hAnsi="仿宋" w:eastAsia="仿宋" w:cs="仿宋"/>
          <w:b w:val="0"/>
          <w:bCs/>
          <w:snapToGrid w:val="0"/>
          <w:sz w:val="28"/>
          <w:szCs w:val="28"/>
          <w:lang w:eastAsia="zh-CN"/>
        </w:rPr>
        <w:t>）</w:t>
      </w:r>
      <w:r>
        <w:rPr>
          <w:rFonts w:hint="eastAsia" w:ascii="仿宋" w:hAnsi="仿宋" w:eastAsia="仿宋" w:cs="仿宋"/>
          <w:b w:val="0"/>
          <w:bCs/>
          <w:snapToGrid w:val="0"/>
          <w:sz w:val="28"/>
          <w:szCs w:val="28"/>
          <w:lang w:val="en-US" w:eastAsia="zh-CN"/>
        </w:rPr>
        <w:t>产出时效</w:t>
      </w:r>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
          <w:bCs/>
          <w:kern w:val="2"/>
          <w:sz w:val="28"/>
          <w:szCs w:val="28"/>
          <w:lang w:val="en-US" w:eastAsia="zh-CN" w:bidi="ar-SA"/>
        </w:rPr>
        <w:t>C31项目完工及时性：</w:t>
      </w:r>
      <w:r>
        <w:rPr>
          <w:rFonts w:hint="eastAsia" w:ascii="Times New Roman" w:hAnsi="Times New Roman" w:eastAsia="仿宋" w:cs="Times New Roman"/>
          <w:bCs w:val="0"/>
          <w:kern w:val="2"/>
          <w:sz w:val="28"/>
          <w:szCs w:val="28"/>
          <w:lang w:val="en-US" w:eastAsia="zh-CN" w:bidi="ar-SA"/>
        </w:rPr>
        <w:t>满分4.00分，得分4.00分。采煤沉陷区旧房拆除和土地复垦项目涉及的5个标段</w:t>
      </w:r>
      <w:r>
        <w:rPr>
          <w:rFonts w:hint="eastAsia" w:ascii="Times New Roman" w:hAnsi="Times New Roman" w:eastAsia="仿宋" w:cs="Times New Roman"/>
          <w:kern w:val="0"/>
          <w:sz w:val="28"/>
          <w:szCs w:val="28"/>
          <w:shd w:val="clear" w:color="auto" w:fill="FFFFFF"/>
          <w:lang w:val="en-US" w:eastAsia="zh-CN"/>
        </w:rPr>
        <w:t>计划开竣工时间均为2021年12月20日至2022年2月18日，5个标段项目均未及时完工。</w:t>
      </w:r>
      <w:r>
        <w:rPr>
          <w:rFonts w:hint="eastAsia" w:ascii="Times New Roman" w:hAnsi="Times New Roman" w:eastAsia="仿宋" w:cs="Times New Roman"/>
          <w:bCs w:val="0"/>
          <w:kern w:val="2"/>
          <w:sz w:val="28"/>
          <w:szCs w:val="28"/>
          <w:lang w:val="en-US" w:eastAsia="zh-CN" w:bidi="ar-SA"/>
        </w:rPr>
        <w:t>根据评分标准，该项得0.00分。</w:t>
      </w:r>
    </w:p>
    <w:p>
      <w:pPr>
        <w:spacing w:line="574" w:lineRule="exact"/>
        <w:ind w:firstLine="562" w:firstLineChars="200"/>
        <w:rPr>
          <w:rFonts w:hint="eastAsia" w:ascii="Times New Roman" w:hAnsi="Times New Roman" w:eastAsia="仿宋" w:cs="Times New Roman"/>
          <w:bCs w:val="0"/>
          <w:kern w:val="2"/>
          <w:sz w:val="28"/>
          <w:szCs w:val="28"/>
          <w:lang w:val="en-US" w:eastAsia="zh-CN" w:bidi="ar-SA"/>
        </w:rPr>
      </w:pPr>
      <w:r>
        <w:rPr>
          <w:rFonts w:hint="eastAsia" w:ascii="仿宋" w:hAnsi="仿宋" w:eastAsia="仿宋" w:cs="仿宋"/>
          <w:b/>
          <w:bCs/>
          <w:snapToGrid w:val="0"/>
          <w:sz w:val="28"/>
          <w:szCs w:val="28"/>
          <w:lang w:eastAsia="zh-CN"/>
        </w:rPr>
        <w:t>C3</w:t>
      </w:r>
      <w:r>
        <w:rPr>
          <w:rFonts w:hint="eastAsia" w:ascii="仿宋" w:hAnsi="仿宋" w:eastAsia="仿宋" w:cs="仿宋"/>
          <w:b/>
          <w:bCs/>
          <w:snapToGrid w:val="0"/>
          <w:sz w:val="28"/>
          <w:szCs w:val="28"/>
          <w:lang w:val="en-US" w:eastAsia="zh-CN"/>
        </w:rPr>
        <w:t>2</w:t>
      </w:r>
      <w:r>
        <w:rPr>
          <w:rFonts w:hint="eastAsia" w:ascii="仿宋" w:hAnsi="仿宋" w:eastAsia="仿宋" w:cs="仿宋"/>
          <w:b/>
          <w:bCs/>
          <w:snapToGrid w:val="0"/>
          <w:sz w:val="28"/>
          <w:szCs w:val="28"/>
          <w:lang w:eastAsia="zh-CN"/>
        </w:rPr>
        <w:t>项目</w:t>
      </w:r>
      <w:r>
        <w:rPr>
          <w:rFonts w:hint="eastAsia" w:ascii="仿宋" w:hAnsi="仿宋" w:eastAsia="仿宋" w:cs="仿宋"/>
          <w:b/>
          <w:bCs/>
          <w:snapToGrid w:val="0"/>
          <w:sz w:val="28"/>
          <w:szCs w:val="28"/>
          <w:lang w:val="en-US" w:eastAsia="zh-CN"/>
        </w:rPr>
        <w:t>验收</w:t>
      </w:r>
      <w:r>
        <w:rPr>
          <w:rFonts w:hint="eastAsia" w:ascii="仿宋" w:hAnsi="仿宋" w:eastAsia="仿宋" w:cs="仿宋"/>
          <w:b/>
          <w:bCs/>
          <w:snapToGrid w:val="0"/>
          <w:sz w:val="28"/>
          <w:szCs w:val="28"/>
          <w:lang w:eastAsia="zh-CN"/>
        </w:rPr>
        <w:t>及时性：</w:t>
      </w:r>
      <w:r>
        <w:rPr>
          <w:rFonts w:hint="eastAsia" w:ascii="Times New Roman" w:hAnsi="Times New Roman" w:eastAsia="仿宋" w:cs="Times New Roman"/>
          <w:bCs w:val="0"/>
          <w:kern w:val="2"/>
          <w:sz w:val="28"/>
          <w:szCs w:val="28"/>
          <w:lang w:val="en-US" w:eastAsia="zh-CN" w:bidi="ar-SA"/>
        </w:rPr>
        <w:t>满分4.00分，得分4.00分。采煤沉陷区旧房拆除和土地复垦项目尚未完工，评价组现场访谈时古县自然资源局相关负责人表示，项目完工后将在一个月内及时验收。根据评分标准，该项得满分。</w:t>
      </w:r>
    </w:p>
    <w:p>
      <w:pPr>
        <w:pStyle w:val="2"/>
        <w:numPr>
          <w:ilvl w:val="0"/>
          <w:numId w:val="0"/>
        </w:numPr>
        <w:ind w:firstLine="560" w:firstLineChars="200"/>
        <w:rPr>
          <w:rFonts w:hint="eastAsia" w:ascii="仿宋" w:hAnsi="仿宋" w:eastAsia="仿宋" w:cs="仿宋"/>
          <w:b w:val="0"/>
          <w:bCs/>
          <w:snapToGrid w:val="0"/>
          <w:sz w:val="28"/>
          <w:szCs w:val="28"/>
          <w:lang w:val="en-US" w:eastAsia="zh-CN"/>
        </w:rPr>
      </w:pPr>
      <w:r>
        <w:rPr>
          <w:rFonts w:hint="eastAsia" w:ascii="仿宋" w:hAnsi="仿宋" w:eastAsia="仿宋" w:cs="仿宋"/>
          <w:b w:val="0"/>
          <w:bCs/>
          <w:snapToGrid w:val="0"/>
          <w:sz w:val="28"/>
          <w:szCs w:val="28"/>
          <w:lang w:val="en-US" w:eastAsia="zh-CN"/>
        </w:rPr>
        <w:t>（4）产出成本</w:t>
      </w:r>
    </w:p>
    <w:p>
      <w:pPr>
        <w:pStyle w:val="2"/>
        <w:numPr>
          <w:ilvl w:val="0"/>
          <w:numId w:val="0"/>
        </w:numPr>
        <w:ind w:firstLine="562" w:firstLineChars="200"/>
        <w:rPr>
          <w:rFonts w:hint="default" w:ascii="Times New Roman" w:hAnsi="Times New Roman" w:eastAsia="仿宋" w:cs="Times New Roman"/>
          <w:bCs w:val="0"/>
          <w:kern w:val="2"/>
          <w:sz w:val="28"/>
          <w:szCs w:val="28"/>
          <w:lang w:val="en-US" w:eastAsia="zh-CN" w:bidi="ar-SA"/>
        </w:rPr>
      </w:pPr>
      <w:r>
        <w:rPr>
          <w:rFonts w:hint="eastAsia" w:ascii="仿宋" w:hAnsi="仿宋" w:eastAsia="仿宋" w:cs="仿宋"/>
          <w:b/>
          <w:bCs w:val="0"/>
          <w:snapToGrid w:val="0"/>
          <w:sz w:val="28"/>
          <w:szCs w:val="28"/>
          <w:lang w:val="en-US" w:eastAsia="zh-CN"/>
        </w:rPr>
        <w:t>C41成本控制：</w:t>
      </w:r>
      <w:r>
        <w:rPr>
          <w:rFonts w:hint="eastAsia" w:ascii="Times New Roman" w:hAnsi="Times New Roman" w:eastAsia="仿宋" w:cs="Times New Roman"/>
          <w:bCs w:val="0"/>
          <w:kern w:val="2"/>
          <w:sz w:val="28"/>
          <w:szCs w:val="28"/>
          <w:lang w:val="en-US" w:eastAsia="zh-CN" w:bidi="ar-SA"/>
        </w:rPr>
        <w:t>满分6.00分，得分6.00分。评价组现场调研和查阅相关资料了解到，采煤沉陷区旧房拆除和土地复垦项目实施过程中未发现超支现象</w:t>
      </w:r>
      <w:r>
        <w:rPr>
          <w:rFonts w:hint="eastAsia" w:ascii="Times New Roman" w:hAnsi="Times New Roman" w:eastAsia="仿宋" w:cs="Times New Roman"/>
          <w:kern w:val="0"/>
          <w:sz w:val="28"/>
          <w:szCs w:val="28"/>
          <w:shd w:val="clear" w:color="auto" w:fill="FFFFFF"/>
          <w:lang w:val="en-US" w:eastAsia="zh-CN"/>
        </w:rPr>
        <w:t>。</w:t>
      </w:r>
      <w:r>
        <w:rPr>
          <w:rFonts w:hint="eastAsia" w:ascii="Times New Roman" w:hAnsi="Times New Roman" w:eastAsia="仿宋" w:cs="Times New Roman"/>
          <w:bCs w:val="0"/>
          <w:kern w:val="2"/>
          <w:sz w:val="28"/>
          <w:szCs w:val="28"/>
          <w:lang w:val="en-US" w:eastAsia="zh-CN" w:bidi="ar-SA"/>
        </w:rPr>
        <w:t>根据评分标准，该项得满分。</w:t>
      </w:r>
    </w:p>
    <w:p>
      <w:pPr>
        <w:spacing w:line="574" w:lineRule="exact"/>
        <w:ind w:firstLine="562" w:firstLineChars="200"/>
        <w:outlineLvl w:val="2"/>
        <w:rPr>
          <w:rFonts w:hint="eastAsia" w:ascii="仿宋" w:hAnsi="仿宋" w:eastAsia="仿宋" w:cs="仿宋"/>
          <w:b/>
          <w:snapToGrid w:val="0"/>
          <w:sz w:val="28"/>
          <w:szCs w:val="28"/>
        </w:rPr>
      </w:pPr>
      <w:bookmarkStart w:id="126" w:name="_Toc32468"/>
      <w:bookmarkStart w:id="127" w:name="_Toc528680469"/>
      <w:bookmarkStart w:id="128" w:name="_Toc8932"/>
      <w:bookmarkStart w:id="129" w:name="_Toc19098"/>
      <w:bookmarkStart w:id="130" w:name="_Toc528684144"/>
      <w:bookmarkStart w:id="131" w:name="_Toc31873"/>
      <w:bookmarkStart w:id="132" w:name="_Toc3853"/>
      <w:bookmarkStart w:id="133" w:name="_Toc28371"/>
      <w:bookmarkStart w:id="134" w:name="_Toc22268"/>
      <w:bookmarkStart w:id="135" w:name="_Toc27935"/>
      <w:bookmarkStart w:id="136" w:name="_Toc617"/>
      <w:bookmarkStart w:id="137" w:name="_Toc29718"/>
      <w:r>
        <w:rPr>
          <w:rFonts w:hint="eastAsia" w:ascii="仿宋" w:hAnsi="仿宋" w:eastAsia="仿宋" w:cs="仿宋"/>
          <w:b/>
          <w:snapToGrid w:val="0"/>
          <w:sz w:val="28"/>
          <w:szCs w:val="28"/>
        </w:rPr>
        <w:t>4</w:t>
      </w:r>
      <w:r>
        <w:rPr>
          <w:rFonts w:hint="eastAsia" w:ascii="仿宋" w:hAnsi="仿宋" w:eastAsia="仿宋" w:cs="仿宋"/>
          <w:b/>
          <w:snapToGrid w:val="0"/>
          <w:sz w:val="28"/>
          <w:szCs w:val="28"/>
          <w:lang w:eastAsia="zh-CN"/>
        </w:rPr>
        <w:t>、</w:t>
      </w:r>
      <w:r>
        <w:rPr>
          <w:rFonts w:hint="eastAsia" w:ascii="仿宋" w:hAnsi="仿宋" w:eastAsia="仿宋" w:cs="仿宋"/>
          <w:b/>
          <w:snapToGrid w:val="0"/>
          <w:sz w:val="28"/>
          <w:szCs w:val="28"/>
        </w:rPr>
        <w:t>效益分析</w:t>
      </w:r>
      <w:bookmarkEnd w:id="126"/>
      <w:bookmarkEnd w:id="127"/>
      <w:bookmarkEnd w:id="128"/>
      <w:bookmarkEnd w:id="129"/>
      <w:bookmarkEnd w:id="130"/>
      <w:bookmarkEnd w:id="131"/>
      <w:bookmarkEnd w:id="132"/>
      <w:bookmarkEnd w:id="133"/>
      <w:bookmarkEnd w:id="134"/>
      <w:bookmarkEnd w:id="135"/>
      <w:bookmarkEnd w:id="136"/>
      <w:bookmarkEnd w:id="137"/>
    </w:p>
    <w:p>
      <w:pPr>
        <w:widowControl/>
        <w:spacing w:line="574" w:lineRule="exact"/>
        <w:ind w:firstLine="560" w:firstLineChars="200"/>
        <w:rPr>
          <w:rFonts w:ascii="仿宋_GB2312" w:eastAsia="仿宋_GB2312"/>
          <w:snapToGrid w:val="0"/>
          <w:sz w:val="32"/>
          <w:szCs w:val="32"/>
        </w:rPr>
      </w:pPr>
      <w:r>
        <w:rPr>
          <w:rFonts w:hint="eastAsia" w:ascii="Times New Roman" w:hAnsi="Times New Roman" w:eastAsia="仿宋" w:cs="Times New Roman"/>
          <w:kern w:val="0"/>
          <w:sz w:val="28"/>
          <w:szCs w:val="24"/>
          <w:lang w:val="en-US" w:eastAsia="zh-CN" w:bidi="ar-SA"/>
        </w:rPr>
        <w:t>效益类指标主要从年纯收益提升、新增耕地面积、农业生产条件改善、水土保持、可持续影响、受益对象满意度等6个指标考察经济效益、社会效益、生态效益、可持续影响、受益对象满意度情况。效益类指标权重30.00分，实际得分30.00分。指标得分情况如表4-4所示</w:t>
      </w:r>
      <w:r>
        <w:rPr>
          <w:rFonts w:hint="eastAsia" w:ascii="仿宋" w:hAnsi="仿宋" w:eastAsia="仿宋" w:cs="仿宋"/>
          <w:snapToGrid w:val="0"/>
          <w:sz w:val="28"/>
          <w:szCs w:val="28"/>
        </w:rPr>
        <w:t>：</w:t>
      </w:r>
    </w:p>
    <w:p>
      <w:pPr>
        <w:widowControl/>
        <w:spacing w:line="574" w:lineRule="exact"/>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表4-</w:t>
      </w:r>
      <w:r>
        <w:rPr>
          <w:rFonts w:hint="eastAsia" w:ascii="Times New Roman" w:hAnsi="Times New Roman" w:eastAsia="仿宋" w:cs="Times New Roman"/>
          <w:b/>
          <w:bCs/>
          <w:color w:val="000000"/>
          <w:kern w:val="0"/>
          <w:sz w:val="24"/>
          <w:szCs w:val="28"/>
          <w:lang w:val="en-US" w:eastAsia="zh-CN"/>
        </w:rPr>
        <w:t>4</w:t>
      </w:r>
      <w:r>
        <w:rPr>
          <w:rFonts w:hint="eastAsia" w:ascii="Times New Roman" w:hAnsi="Times New Roman" w:eastAsia="仿宋" w:cs="Times New Roman"/>
          <w:b/>
          <w:bCs/>
          <w:color w:val="000000"/>
          <w:kern w:val="0"/>
          <w:sz w:val="24"/>
          <w:szCs w:val="28"/>
        </w:rPr>
        <w:t>效益类指标得分情况</w:t>
      </w:r>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Layout w:type="fixed"/>
        <w:tblCellMar>
          <w:top w:w="0" w:type="dxa"/>
          <w:left w:w="108" w:type="dxa"/>
          <w:bottom w:w="0" w:type="dxa"/>
          <w:right w:w="108" w:type="dxa"/>
        </w:tblCellMar>
      </w:tblPr>
      <w:tblGrid>
        <w:gridCol w:w="1854"/>
        <w:gridCol w:w="3109"/>
        <w:gridCol w:w="842"/>
        <w:gridCol w:w="1561"/>
        <w:gridCol w:w="11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4" w:hRule="atLeast"/>
        </w:trPr>
        <w:tc>
          <w:tcPr>
            <w:tcW w:w="1854"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二级指标</w:t>
            </w:r>
          </w:p>
        </w:tc>
        <w:tc>
          <w:tcPr>
            <w:tcW w:w="3109"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三级指标</w:t>
            </w:r>
          </w:p>
        </w:tc>
        <w:tc>
          <w:tcPr>
            <w:tcW w:w="842"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权重</w:t>
            </w:r>
          </w:p>
        </w:tc>
        <w:tc>
          <w:tcPr>
            <w:tcW w:w="1561"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得分</w:t>
            </w:r>
          </w:p>
        </w:tc>
        <w:tc>
          <w:tcPr>
            <w:tcW w:w="1156"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854" w:type="dxa"/>
            <w:shd w:val="clear" w:color="auto" w:fill="auto"/>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D1经济效益</w:t>
            </w:r>
          </w:p>
        </w:tc>
        <w:tc>
          <w:tcPr>
            <w:tcW w:w="3109" w:type="dxa"/>
            <w:shd w:val="clear" w:color="auto" w:fill="auto"/>
            <w:vAlign w:val="center"/>
          </w:tcPr>
          <w:p>
            <w:pPr>
              <w:widowControl/>
              <w:spacing w:line="400" w:lineRule="exact"/>
              <w:jc w:val="center"/>
              <w:textAlignment w:val="center"/>
              <w:rPr>
                <w:rFonts w:hint="eastAsia" w:ascii="仿宋" w:hAnsi="仿宋" w:eastAsia="仿宋" w:cs="仿宋"/>
                <w:b w:val="0"/>
                <w:bCs w:val="0"/>
                <w:color w:val="000000"/>
                <w:kern w:val="0"/>
                <w:sz w:val="24"/>
                <w:szCs w:val="24"/>
                <w:lang w:val="en-US" w:eastAsia="zh-CN"/>
              </w:rPr>
            </w:pPr>
            <w:r>
              <w:rPr>
                <w:rFonts w:hint="eastAsia" w:ascii="Times New Roman" w:hAnsi="Times New Roman" w:eastAsia="仿宋" w:cs="Times New Roman"/>
                <w:color w:val="auto"/>
                <w:sz w:val="24"/>
                <w:szCs w:val="24"/>
                <w:highlight w:val="none"/>
                <w:lang w:val="en-US" w:eastAsia="zh-CN"/>
              </w:rPr>
              <w:t>D11年纯收益提升</w:t>
            </w:r>
          </w:p>
        </w:tc>
        <w:tc>
          <w:tcPr>
            <w:tcW w:w="842"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854" w:type="dxa"/>
            <w:vMerge w:val="restart"/>
            <w:shd w:val="clear" w:color="auto" w:fill="auto"/>
            <w:vAlign w:val="center"/>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D2社会效益</w:t>
            </w:r>
          </w:p>
        </w:tc>
        <w:tc>
          <w:tcPr>
            <w:tcW w:w="3109" w:type="dxa"/>
            <w:shd w:val="clear" w:color="auto" w:fill="auto"/>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color w:val="auto"/>
                <w:sz w:val="24"/>
                <w:szCs w:val="24"/>
                <w:highlight w:val="none"/>
                <w:lang w:val="en-US" w:eastAsia="zh-CN"/>
              </w:rPr>
              <w:t>D21新增耕地面积</w:t>
            </w:r>
          </w:p>
        </w:tc>
        <w:tc>
          <w:tcPr>
            <w:tcW w:w="842"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w:t>
            </w:r>
          </w:p>
        </w:tc>
        <w:tc>
          <w:tcPr>
            <w:tcW w:w="1561"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w:t>
            </w:r>
          </w:p>
        </w:tc>
        <w:tc>
          <w:tcPr>
            <w:tcW w:w="1156"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854" w:type="dxa"/>
            <w:vMerge w:val="continue"/>
            <w:shd w:val="clear" w:color="auto" w:fill="auto"/>
            <w:vAlign w:val="center"/>
          </w:tcPr>
          <w:p>
            <w:pPr>
              <w:spacing w:line="400" w:lineRule="exact"/>
              <w:jc w:val="center"/>
              <w:rPr>
                <w:rFonts w:hint="eastAsia" w:ascii="Times New Roman" w:hAnsi="Times New Roman" w:eastAsia="仿宋" w:cs="Times New Roman"/>
                <w:sz w:val="24"/>
                <w:szCs w:val="24"/>
                <w:lang w:val="en-US" w:eastAsia="zh-CN"/>
              </w:rPr>
            </w:pPr>
          </w:p>
        </w:tc>
        <w:tc>
          <w:tcPr>
            <w:tcW w:w="3109" w:type="dxa"/>
            <w:shd w:val="clear" w:color="auto" w:fill="auto"/>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color w:val="auto"/>
                <w:sz w:val="24"/>
                <w:szCs w:val="24"/>
                <w:highlight w:val="none"/>
                <w:lang w:val="en-US" w:eastAsia="zh-CN"/>
              </w:rPr>
              <w:t>D22农业生产条件改善</w:t>
            </w:r>
          </w:p>
        </w:tc>
        <w:tc>
          <w:tcPr>
            <w:tcW w:w="842"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w:t>
            </w:r>
          </w:p>
        </w:tc>
        <w:tc>
          <w:tcPr>
            <w:tcW w:w="1561"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w:t>
            </w:r>
          </w:p>
        </w:tc>
        <w:tc>
          <w:tcPr>
            <w:tcW w:w="1156"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854" w:type="dxa"/>
            <w:shd w:val="clear" w:color="auto" w:fill="auto"/>
            <w:vAlign w:val="center"/>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D3生态效益</w:t>
            </w:r>
          </w:p>
        </w:tc>
        <w:tc>
          <w:tcPr>
            <w:tcW w:w="3109" w:type="dxa"/>
            <w:shd w:val="clear" w:color="auto" w:fill="auto"/>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color w:val="auto"/>
                <w:sz w:val="24"/>
                <w:szCs w:val="24"/>
                <w:highlight w:val="none"/>
                <w:lang w:val="en-US" w:eastAsia="zh-CN"/>
              </w:rPr>
              <w:t>D31水土保持</w:t>
            </w:r>
          </w:p>
        </w:tc>
        <w:tc>
          <w:tcPr>
            <w:tcW w:w="842"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w:t>
            </w:r>
          </w:p>
        </w:tc>
        <w:tc>
          <w:tcPr>
            <w:tcW w:w="1561"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w:t>
            </w:r>
          </w:p>
        </w:tc>
        <w:tc>
          <w:tcPr>
            <w:tcW w:w="1156"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0" w:hRule="atLeast"/>
        </w:trPr>
        <w:tc>
          <w:tcPr>
            <w:tcW w:w="1854" w:type="dxa"/>
            <w:shd w:val="clear" w:color="auto" w:fill="auto"/>
            <w:vAlign w:val="center"/>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D4可持续影响</w:t>
            </w:r>
          </w:p>
        </w:tc>
        <w:tc>
          <w:tcPr>
            <w:tcW w:w="3109" w:type="dxa"/>
            <w:shd w:val="clear" w:color="auto" w:fill="auto"/>
            <w:vAlign w:val="center"/>
          </w:tcPr>
          <w:p>
            <w:pPr>
              <w:widowControl/>
              <w:spacing w:line="400" w:lineRule="exact"/>
              <w:jc w:val="center"/>
              <w:textAlignment w:val="center"/>
              <w:rPr>
                <w:rFonts w:hint="eastAsia" w:ascii="仿宋" w:hAnsi="仿宋" w:eastAsia="仿宋" w:cs="仿宋"/>
                <w:b w:val="0"/>
                <w:bCs w:val="0"/>
                <w:color w:val="000000"/>
                <w:kern w:val="0"/>
                <w:sz w:val="24"/>
                <w:szCs w:val="24"/>
                <w:lang w:val="en-US" w:eastAsia="zh-CN"/>
              </w:rPr>
            </w:pPr>
            <w:r>
              <w:rPr>
                <w:rFonts w:hint="eastAsia" w:ascii="Times New Roman" w:hAnsi="Times New Roman" w:eastAsia="仿宋" w:cs="Times New Roman"/>
                <w:color w:val="auto"/>
                <w:sz w:val="24"/>
                <w:szCs w:val="24"/>
                <w:highlight w:val="none"/>
                <w:lang w:val="en-US" w:eastAsia="zh-CN"/>
              </w:rPr>
              <w:t>D41可持续影响</w:t>
            </w:r>
          </w:p>
        </w:tc>
        <w:tc>
          <w:tcPr>
            <w:tcW w:w="842"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854" w:type="dxa"/>
            <w:shd w:val="clear" w:color="auto" w:fill="auto"/>
            <w:vAlign w:val="center"/>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D5满意度</w:t>
            </w:r>
          </w:p>
        </w:tc>
        <w:tc>
          <w:tcPr>
            <w:tcW w:w="3109" w:type="dxa"/>
            <w:shd w:val="clear" w:color="auto" w:fill="auto"/>
            <w:vAlign w:val="center"/>
          </w:tcPr>
          <w:p>
            <w:pPr>
              <w:widowControl/>
              <w:spacing w:line="400" w:lineRule="exact"/>
              <w:jc w:val="center"/>
              <w:textAlignment w:val="center"/>
              <w:rPr>
                <w:rFonts w:hint="eastAsia" w:ascii="仿宋" w:hAnsi="仿宋" w:eastAsia="仿宋" w:cs="仿宋"/>
                <w:b w:val="0"/>
                <w:bCs w:val="0"/>
                <w:color w:val="000000"/>
                <w:kern w:val="0"/>
                <w:sz w:val="24"/>
                <w:szCs w:val="24"/>
                <w:lang w:val="en-US" w:eastAsia="zh-CN"/>
              </w:rPr>
            </w:pPr>
            <w:r>
              <w:rPr>
                <w:rFonts w:hint="eastAsia" w:ascii="Times New Roman" w:hAnsi="Times New Roman" w:eastAsia="仿宋" w:cs="Times New Roman"/>
                <w:color w:val="auto"/>
                <w:sz w:val="24"/>
                <w:szCs w:val="24"/>
                <w:highlight w:val="none"/>
                <w:lang w:val="en-US" w:eastAsia="zh-CN"/>
              </w:rPr>
              <w:t>D51受益对象满意度</w:t>
            </w:r>
          </w:p>
        </w:tc>
        <w:tc>
          <w:tcPr>
            <w:tcW w:w="842"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w:t>
            </w:r>
          </w:p>
        </w:tc>
        <w:tc>
          <w:tcPr>
            <w:tcW w:w="1156"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963" w:type="dxa"/>
            <w:gridSpan w:val="2"/>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合 计</w:t>
            </w:r>
          </w:p>
        </w:tc>
        <w:tc>
          <w:tcPr>
            <w:tcW w:w="842"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30.00</w:t>
            </w:r>
          </w:p>
        </w:tc>
        <w:tc>
          <w:tcPr>
            <w:tcW w:w="1156"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bl>
    <w:p>
      <w:pPr>
        <w:widowControl/>
        <w:spacing w:line="574" w:lineRule="exact"/>
        <w:ind w:firstLine="562" w:firstLineChars="200"/>
        <w:rPr>
          <w:rFonts w:hint="default" w:ascii="仿宋" w:hAnsi="仿宋" w:eastAsia="仿宋" w:cs="仿宋"/>
          <w:b/>
          <w:bCs w:val="0"/>
          <w:snapToGrid w:val="0"/>
          <w:sz w:val="28"/>
          <w:szCs w:val="28"/>
          <w:lang w:val="en-US" w:eastAsia="zh-CN"/>
        </w:rPr>
      </w:pPr>
      <w:r>
        <w:rPr>
          <w:rFonts w:hint="eastAsia" w:ascii="仿宋" w:hAnsi="仿宋" w:eastAsia="仿宋" w:cs="仿宋"/>
          <w:b/>
          <w:bCs w:val="0"/>
          <w:snapToGrid w:val="0"/>
          <w:sz w:val="28"/>
          <w:szCs w:val="28"/>
        </w:rPr>
        <w:t>D11年纯收益提升</w:t>
      </w:r>
      <w:r>
        <w:rPr>
          <w:rFonts w:hint="eastAsia" w:ascii="仿宋" w:hAnsi="仿宋" w:eastAsia="仿宋" w:cs="仿宋"/>
          <w:b/>
          <w:bCs w:val="0"/>
          <w:snapToGrid w:val="0"/>
          <w:sz w:val="28"/>
          <w:szCs w:val="28"/>
          <w:lang w:eastAsia="zh-CN"/>
        </w:rPr>
        <w:t>：</w:t>
      </w:r>
      <w:r>
        <w:rPr>
          <w:rFonts w:hint="eastAsia" w:ascii="Times New Roman" w:hAnsi="Times New Roman" w:eastAsia="仿宋" w:cs="Times New Roman"/>
          <w:kern w:val="0"/>
          <w:sz w:val="28"/>
          <w:szCs w:val="24"/>
          <w:lang w:val="en-US" w:eastAsia="zh-CN" w:bidi="ar-SA"/>
        </w:rPr>
        <w:t>满分5.00分，得分5.00分。项目实施后，农田基础设施将会更加完备，耕地的生产力将会逐步提高，有利于农民应用先进的生产技术，改善农业生产结构，来提高产量和改善农产品种植结构，发展多种经营，降低生产成本和风险，从而增加农民收入，改善农民生活条件，促进农村经济的持续发展。项目完成后，可新增耕地4.1012Km，按照种植玉米产量600公斤/亩计算，单价2.2元/公斤，每亩毛收益1320元，亩均成本300元，每亩净收益可达1020元，新增耕地年净收益可达6.27万元。根据评分标准，该项得满分。</w:t>
      </w:r>
    </w:p>
    <w:p>
      <w:pPr>
        <w:widowControl/>
        <w:spacing w:line="574" w:lineRule="exact"/>
        <w:ind w:firstLine="562" w:firstLineChars="200"/>
        <w:rPr>
          <w:rFonts w:hint="default" w:ascii="仿宋" w:hAnsi="仿宋" w:eastAsia="仿宋" w:cs="仿宋"/>
          <w:b/>
          <w:bCs w:val="0"/>
          <w:snapToGrid w:val="0"/>
          <w:sz w:val="28"/>
          <w:szCs w:val="28"/>
          <w:lang w:val="en-US" w:eastAsia="zh-CN"/>
        </w:rPr>
      </w:pPr>
      <w:r>
        <w:rPr>
          <w:rFonts w:hint="eastAsia" w:ascii="仿宋" w:hAnsi="仿宋" w:eastAsia="仿宋" w:cs="仿宋"/>
          <w:b/>
          <w:bCs w:val="0"/>
          <w:snapToGrid w:val="0"/>
          <w:sz w:val="28"/>
          <w:szCs w:val="28"/>
        </w:rPr>
        <w:t>D21新增耕地面积</w:t>
      </w:r>
      <w:r>
        <w:rPr>
          <w:rFonts w:hint="eastAsia" w:ascii="仿宋" w:hAnsi="仿宋" w:eastAsia="仿宋" w:cs="仿宋"/>
          <w:b/>
          <w:bCs w:val="0"/>
          <w:snapToGrid w:val="0"/>
          <w:sz w:val="28"/>
          <w:szCs w:val="28"/>
          <w:lang w:eastAsia="zh-CN"/>
        </w:rPr>
        <w:t>：</w:t>
      </w:r>
      <w:r>
        <w:rPr>
          <w:rFonts w:hint="eastAsia" w:ascii="Times New Roman" w:hAnsi="Times New Roman" w:eastAsia="仿宋" w:cs="Times New Roman"/>
          <w:kern w:val="0"/>
          <w:sz w:val="28"/>
          <w:szCs w:val="24"/>
          <w:lang w:val="en-US" w:eastAsia="zh-CN" w:bidi="ar-SA"/>
        </w:rPr>
        <w:t>满分5.00分，得分5.00分。项目实施完成后，将可新增耕地面积4.1012公顷。根据评分标准，该项得满分。</w:t>
      </w:r>
    </w:p>
    <w:p>
      <w:pPr>
        <w:widowControl/>
        <w:spacing w:line="574" w:lineRule="exact"/>
        <w:ind w:firstLine="562" w:firstLineChars="200"/>
        <w:rPr>
          <w:rFonts w:hint="default" w:ascii="仿宋" w:hAnsi="仿宋" w:eastAsia="仿宋" w:cs="仿宋"/>
          <w:b/>
          <w:bCs w:val="0"/>
          <w:snapToGrid w:val="0"/>
          <w:sz w:val="28"/>
          <w:szCs w:val="28"/>
          <w:lang w:val="en-US" w:eastAsia="zh-CN"/>
        </w:rPr>
      </w:pPr>
      <w:r>
        <w:rPr>
          <w:rFonts w:hint="eastAsia" w:ascii="仿宋" w:hAnsi="仿宋" w:eastAsia="仿宋" w:cs="仿宋"/>
          <w:b/>
          <w:bCs w:val="0"/>
          <w:snapToGrid w:val="0"/>
          <w:sz w:val="28"/>
          <w:szCs w:val="28"/>
        </w:rPr>
        <w:t>D22农业生产条件改善</w:t>
      </w:r>
      <w:r>
        <w:rPr>
          <w:rFonts w:hint="eastAsia" w:ascii="仿宋" w:hAnsi="仿宋" w:eastAsia="仿宋" w:cs="仿宋"/>
          <w:b/>
          <w:bCs w:val="0"/>
          <w:snapToGrid w:val="0"/>
          <w:sz w:val="28"/>
          <w:szCs w:val="28"/>
          <w:lang w:eastAsia="zh-CN"/>
        </w:rPr>
        <w:t>：</w:t>
      </w:r>
      <w:r>
        <w:rPr>
          <w:rFonts w:hint="eastAsia" w:ascii="Times New Roman" w:hAnsi="Times New Roman" w:eastAsia="仿宋" w:cs="Times New Roman"/>
          <w:kern w:val="0"/>
          <w:sz w:val="28"/>
          <w:szCs w:val="24"/>
          <w:lang w:val="en-US" w:eastAsia="zh-CN" w:bidi="ar-SA"/>
        </w:rPr>
        <w:t>满分5.00分，得分5.00分。项目实施完成后，将</w:t>
      </w:r>
      <w:r>
        <w:rPr>
          <w:rFonts w:hint="eastAsia" w:ascii="Times New Roman" w:hAnsi="Times New Roman" w:eastAsia="仿宋" w:cs="Times New Roman"/>
          <w:kern w:val="0"/>
          <w:sz w:val="28"/>
          <w:szCs w:val="28"/>
          <w:shd w:val="clear" w:color="auto" w:fill="FFFFFF"/>
          <w:lang w:val="en-US" w:eastAsia="zh-CN"/>
        </w:rPr>
        <w:t>改善农业生产条件，提高耕地质量，增加耕地产出率。本项目实施以后，项目区农业生产状况得到改善，耕地质量全面提高，从而增加耕地产出率。</w:t>
      </w:r>
      <w:r>
        <w:rPr>
          <w:rFonts w:hint="eastAsia" w:ascii="Times New Roman" w:hAnsi="Times New Roman" w:eastAsia="仿宋" w:cs="Times New Roman"/>
          <w:kern w:val="0"/>
          <w:sz w:val="28"/>
          <w:szCs w:val="24"/>
          <w:lang w:val="en-US" w:eastAsia="zh-CN" w:bidi="ar-SA"/>
        </w:rPr>
        <w:t>根据评分标准，该项得满分。</w:t>
      </w:r>
    </w:p>
    <w:p>
      <w:pPr>
        <w:widowControl/>
        <w:spacing w:line="574" w:lineRule="exact"/>
        <w:ind w:firstLine="562" w:firstLineChars="200"/>
        <w:rPr>
          <w:rFonts w:hint="eastAsia" w:ascii="仿宋" w:hAnsi="仿宋" w:eastAsia="仿宋" w:cs="仿宋"/>
          <w:b/>
          <w:bCs w:val="0"/>
          <w:snapToGrid w:val="0"/>
          <w:sz w:val="28"/>
          <w:szCs w:val="28"/>
          <w:lang w:eastAsia="zh-CN"/>
        </w:rPr>
      </w:pPr>
      <w:r>
        <w:rPr>
          <w:rFonts w:hint="eastAsia" w:ascii="仿宋" w:hAnsi="仿宋" w:eastAsia="仿宋" w:cs="仿宋"/>
          <w:b/>
          <w:bCs w:val="0"/>
          <w:snapToGrid w:val="0"/>
          <w:sz w:val="28"/>
          <w:szCs w:val="28"/>
        </w:rPr>
        <w:t>D31水土保持</w:t>
      </w:r>
      <w:r>
        <w:rPr>
          <w:rFonts w:hint="eastAsia" w:ascii="仿宋" w:hAnsi="仿宋" w:eastAsia="仿宋" w:cs="仿宋"/>
          <w:b/>
          <w:bCs w:val="0"/>
          <w:snapToGrid w:val="0"/>
          <w:sz w:val="28"/>
          <w:szCs w:val="28"/>
          <w:lang w:eastAsia="zh-CN"/>
        </w:rPr>
        <w:t>：</w:t>
      </w:r>
      <w:r>
        <w:rPr>
          <w:rFonts w:hint="eastAsia" w:ascii="Times New Roman" w:hAnsi="Times New Roman" w:eastAsia="仿宋" w:cs="Times New Roman"/>
          <w:kern w:val="0"/>
          <w:sz w:val="28"/>
          <w:szCs w:val="24"/>
          <w:lang w:val="en-US" w:eastAsia="zh-CN" w:bidi="ar-SA"/>
        </w:rPr>
        <w:t>满分5.00分，得分5.00分。</w:t>
      </w:r>
      <w:r>
        <w:rPr>
          <w:rFonts w:hint="eastAsia" w:ascii="Times New Roman" w:hAnsi="Times New Roman" w:eastAsia="仿宋" w:cs="Times New Roman"/>
          <w:kern w:val="0"/>
          <w:sz w:val="28"/>
          <w:szCs w:val="28"/>
          <w:shd w:val="clear" w:color="auto" w:fill="FFFFFF"/>
          <w:lang w:val="en-US" w:eastAsia="zh-CN"/>
        </w:rPr>
        <w:t>本项目通过工程措施，增施有机肥和土壤改良剂，土壤理化性状得到改善，提高土壤肥力水平，改善农作物生长环境，促进生态系统稳定和土地生产力的提高，同时恢复和新增林草地，增加林草植被覆盖，防治水土流失等。</w:t>
      </w:r>
      <w:r>
        <w:rPr>
          <w:rFonts w:hint="eastAsia" w:ascii="Times New Roman" w:hAnsi="Times New Roman" w:eastAsia="仿宋" w:cs="Times New Roman"/>
          <w:kern w:val="0"/>
          <w:sz w:val="28"/>
          <w:szCs w:val="24"/>
          <w:lang w:val="en-US" w:eastAsia="zh-CN" w:bidi="ar-SA"/>
        </w:rPr>
        <w:t>根据评分标准，该项得满分。</w:t>
      </w:r>
    </w:p>
    <w:p>
      <w:pPr>
        <w:widowControl/>
        <w:spacing w:line="574" w:lineRule="exact"/>
        <w:ind w:firstLine="562" w:firstLineChars="200"/>
        <w:rPr>
          <w:rFonts w:hint="eastAsia" w:ascii="仿宋" w:hAnsi="仿宋" w:eastAsia="仿宋" w:cs="仿宋"/>
          <w:b/>
          <w:bCs w:val="0"/>
          <w:snapToGrid w:val="0"/>
          <w:sz w:val="28"/>
          <w:szCs w:val="28"/>
          <w:lang w:eastAsia="zh-CN"/>
        </w:rPr>
      </w:pPr>
      <w:r>
        <w:rPr>
          <w:rFonts w:hint="eastAsia" w:ascii="仿宋" w:hAnsi="仿宋" w:eastAsia="仿宋" w:cs="仿宋"/>
          <w:b/>
          <w:bCs w:val="0"/>
          <w:snapToGrid w:val="0"/>
          <w:sz w:val="28"/>
          <w:szCs w:val="28"/>
        </w:rPr>
        <w:t>D41可持续影响</w:t>
      </w:r>
      <w:r>
        <w:rPr>
          <w:rFonts w:hint="eastAsia" w:ascii="仿宋" w:hAnsi="仿宋" w:eastAsia="仿宋" w:cs="仿宋"/>
          <w:b/>
          <w:bCs w:val="0"/>
          <w:snapToGrid w:val="0"/>
          <w:sz w:val="28"/>
          <w:szCs w:val="28"/>
          <w:lang w:eastAsia="zh-CN"/>
        </w:rPr>
        <w:t>：</w:t>
      </w:r>
      <w:r>
        <w:rPr>
          <w:rFonts w:hint="eastAsia" w:ascii="Times New Roman" w:hAnsi="Times New Roman" w:eastAsia="仿宋" w:cs="Times New Roman"/>
          <w:kern w:val="0"/>
          <w:sz w:val="28"/>
          <w:szCs w:val="24"/>
          <w:lang w:val="en-US" w:eastAsia="zh-CN" w:bidi="ar-SA"/>
        </w:rPr>
        <w:t>满分5.00分，得分5.00分。项目实施万册好难过后，预期</w:t>
      </w:r>
      <w:r>
        <w:rPr>
          <w:rFonts w:hint="eastAsia" w:ascii="Times New Roman" w:hAnsi="Times New Roman" w:eastAsia="仿宋" w:cs="Times New Roman"/>
          <w:kern w:val="0"/>
          <w:sz w:val="28"/>
          <w:szCs w:val="28"/>
          <w:shd w:val="clear" w:color="auto" w:fill="FFFFFF"/>
          <w:lang w:val="en-US" w:eastAsia="zh-CN"/>
        </w:rPr>
        <w:t>农业综合生产能力进一步得到提高，为建立现代农业奠定了良好的生态环境基础；有利于改善农业生产条件，耕地质量将得到全面改善，耕地产出效率将有所提高，促进土地资源的可持续利用。</w:t>
      </w:r>
      <w:r>
        <w:rPr>
          <w:rFonts w:hint="eastAsia" w:ascii="Times New Roman" w:hAnsi="Times New Roman" w:eastAsia="仿宋" w:cs="Times New Roman"/>
          <w:kern w:val="0"/>
          <w:sz w:val="28"/>
          <w:szCs w:val="24"/>
          <w:lang w:val="en-US" w:eastAsia="zh-CN" w:bidi="ar-SA"/>
        </w:rPr>
        <w:t>根据评分标准，该项得满分。</w:t>
      </w:r>
    </w:p>
    <w:p>
      <w:pPr>
        <w:widowControl/>
        <w:spacing w:line="574" w:lineRule="exact"/>
        <w:ind w:firstLine="562" w:firstLineChars="200"/>
        <w:rPr>
          <w:rFonts w:hint="eastAsia" w:ascii="Times New Roman" w:hAnsi="Times New Roman" w:eastAsia="仿宋" w:cs="Times New Roman"/>
          <w:color w:val="000000" w:themeColor="text1"/>
          <w:sz w:val="28"/>
          <w:szCs w:val="28"/>
          <w14:textFill>
            <w14:solidFill>
              <w14:schemeClr w14:val="tx1"/>
            </w14:solidFill>
          </w14:textFill>
        </w:rPr>
      </w:pPr>
      <w:r>
        <w:rPr>
          <w:rFonts w:hint="eastAsia" w:ascii="仿宋" w:hAnsi="仿宋" w:eastAsia="仿宋" w:cs="仿宋"/>
          <w:b/>
          <w:bCs w:val="0"/>
          <w:snapToGrid w:val="0"/>
          <w:sz w:val="28"/>
          <w:szCs w:val="28"/>
        </w:rPr>
        <w:t>D51受益对象满意度</w:t>
      </w:r>
      <w:r>
        <w:rPr>
          <w:rFonts w:hint="eastAsia" w:ascii="仿宋" w:hAnsi="仿宋" w:eastAsia="仿宋" w:cs="仿宋"/>
          <w:b/>
          <w:bCs w:val="0"/>
          <w:snapToGrid w:val="0"/>
          <w:sz w:val="28"/>
          <w:szCs w:val="28"/>
          <w:lang w:eastAsia="zh-CN"/>
        </w:rPr>
        <w:t>：</w:t>
      </w:r>
      <w:r>
        <w:rPr>
          <w:rFonts w:hint="eastAsia" w:ascii="Times New Roman" w:hAnsi="Times New Roman" w:eastAsia="仿宋" w:cs="Times New Roman"/>
          <w:kern w:val="0"/>
          <w:sz w:val="28"/>
          <w:szCs w:val="24"/>
          <w:lang w:val="en-US" w:eastAsia="zh-CN" w:bidi="ar-SA"/>
        </w:rPr>
        <w:t>满分5.00分，得分5.00分。采煤沉陷区旧房拆除和土地复垦项目的受益对象满意度分别为：97.40%、91.70%、96.80%、92.10%、95.60%、93.50%。整体满意度为94.52%。根据评分标准，该项得满分</w:t>
      </w:r>
      <w:r>
        <w:rPr>
          <w:rFonts w:hint="eastAsia" w:ascii="仿宋" w:hAnsi="仿宋" w:eastAsia="仿宋" w:cs="仿宋"/>
          <w:b w:val="0"/>
          <w:bCs/>
          <w:snapToGrid w:val="0"/>
          <w:color w:val="000000" w:themeColor="text1"/>
          <w:sz w:val="28"/>
          <w:szCs w:val="28"/>
          <w:lang w:eastAsia="zh-CN"/>
          <w14:textFill>
            <w14:solidFill>
              <w14:schemeClr w14:val="tx1"/>
            </w14:solidFill>
          </w14:textFill>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138" w:name="_Toc514537344"/>
      <w:bookmarkStart w:id="139" w:name="_Toc8653"/>
      <w:r>
        <w:rPr>
          <w:rFonts w:hint="eastAsia" w:ascii="仿宋" w:hAnsi="仿宋" w:eastAsia="仿宋" w:cs="Times New Roman"/>
          <w:b/>
          <w:bCs/>
          <w:sz w:val="32"/>
          <w:szCs w:val="32"/>
          <w:lang w:eastAsia="zh-CN"/>
        </w:rPr>
        <w:t>（二）总体得分情况</w:t>
      </w:r>
      <w:bookmarkEnd w:id="138"/>
      <w:bookmarkEnd w:id="139"/>
    </w:p>
    <w:p>
      <w:pPr>
        <w:widowControl/>
        <w:spacing w:line="574" w:lineRule="exact"/>
        <w:ind w:firstLine="560" w:firstLineChars="200"/>
        <w:rPr>
          <w:rFonts w:hint="eastAsia" w:ascii="仿宋" w:hAnsi="仿宋" w:eastAsia="仿宋" w:cs="仿宋"/>
          <w:snapToGrid w:val="0"/>
          <w:sz w:val="28"/>
          <w:szCs w:val="28"/>
        </w:rPr>
      </w:pPr>
      <w:r>
        <w:rPr>
          <w:rFonts w:hint="eastAsia" w:ascii="仿宋" w:hAnsi="仿宋" w:eastAsia="仿宋" w:cs="仿宋"/>
          <w:snapToGrid w:val="0"/>
          <w:sz w:val="28"/>
          <w:szCs w:val="28"/>
        </w:rPr>
        <w:t>根据上述三级指标分析得分情况，经汇总计算，本次评价涉及四项一级指标总得分情况如下：</w:t>
      </w:r>
    </w:p>
    <w:p>
      <w:pPr>
        <w:widowControl/>
        <w:spacing w:line="574" w:lineRule="exact"/>
        <w:jc w:val="center"/>
        <w:rPr>
          <w:rFonts w:asciiTheme="minorEastAsia" w:hAnsiTheme="minorEastAsia" w:eastAsiaTheme="minorEastAsia"/>
          <w:b/>
          <w:snapToGrid w:val="0"/>
          <w:sz w:val="24"/>
        </w:rPr>
      </w:pPr>
      <w:bookmarkStart w:id="140" w:name="_Toc528603080"/>
      <w:bookmarkStart w:id="141" w:name="_Toc514537345"/>
      <w:r>
        <w:rPr>
          <w:rFonts w:hint="eastAsia" w:ascii="Times New Roman" w:hAnsi="Times New Roman" w:eastAsia="仿宋" w:cs="Times New Roman"/>
          <w:b/>
          <w:bCs/>
          <w:color w:val="000000"/>
          <w:kern w:val="0"/>
          <w:sz w:val="24"/>
          <w:szCs w:val="28"/>
        </w:rPr>
        <w:t>表4-5 一级指标得分情况</w:t>
      </w:r>
      <w:bookmarkEnd w:id="140"/>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一级指标</w:t>
            </w:r>
          </w:p>
        </w:tc>
        <w:tc>
          <w:tcPr>
            <w:tcW w:w="184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184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2374"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27" w:hRule="atLeast"/>
          <w:tblHeader/>
        </w:trPr>
        <w:tc>
          <w:tcPr>
            <w:tcW w:w="2456" w:type="dxa"/>
            <w:vAlign w:val="center"/>
          </w:tcPr>
          <w:p>
            <w:pPr>
              <w:widowControl/>
              <w:snapToGrid w:val="0"/>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A</w:t>
            </w:r>
            <w:r>
              <w:rPr>
                <w:rFonts w:hint="eastAsia" w:ascii="仿宋" w:hAnsi="仿宋" w:eastAsia="仿宋" w:cs="仿宋"/>
                <w:color w:val="000000"/>
                <w:kern w:val="0"/>
                <w:sz w:val="24"/>
                <w:szCs w:val="24"/>
                <w:lang w:val="en-US" w:eastAsia="zh-CN"/>
              </w:rPr>
              <w:t>决策</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20.00</w:t>
            </w:r>
          </w:p>
        </w:tc>
        <w:tc>
          <w:tcPr>
            <w:tcW w:w="184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B过程</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20.00</w:t>
            </w:r>
          </w:p>
        </w:tc>
        <w:tc>
          <w:tcPr>
            <w:tcW w:w="1846" w:type="dxa"/>
            <w:vAlign w:val="center"/>
          </w:tcPr>
          <w:p>
            <w:pPr>
              <w:widowControl/>
              <w:snapToGrid w:val="0"/>
              <w:jc w:val="center"/>
              <w:rPr>
                <w:rFonts w:hint="default" w:ascii="仿宋" w:hAnsi="仿宋" w:eastAsia="仿宋" w:cs="仿宋"/>
                <w:color w:val="000000"/>
                <w:kern w:val="0"/>
                <w:sz w:val="24"/>
                <w:szCs w:val="24"/>
                <w:lang w:val="en-US"/>
              </w:rPr>
            </w:pPr>
            <w:r>
              <w:rPr>
                <w:rFonts w:hint="eastAsia" w:ascii="仿宋" w:hAnsi="仿宋" w:eastAsia="仿宋" w:cs="仿宋"/>
                <w:b w:val="0"/>
                <w:bCs w:val="0"/>
                <w:color w:val="000000"/>
                <w:kern w:val="0"/>
                <w:sz w:val="24"/>
                <w:szCs w:val="24"/>
                <w:lang w:val="en-US" w:eastAsia="zh-CN"/>
              </w:rPr>
              <w:t>14.00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70.00%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68" w:hRule="atLeast"/>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C产出</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rPr>
              <w:t>30</w:t>
            </w:r>
            <w:r>
              <w:rPr>
                <w:rFonts w:hint="eastAsia" w:ascii="仿宋" w:hAnsi="仿宋" w:eastAsia="仿宋" w:cs="仿宋"/>
                <w:b w:val="0"/>
                <w:bCs w:val="0"/>
                <w:color w:val="000000"/>
                <w:kern w:val="0"/>
                <w:sz w:val="24"/>
                <w:szCs w:val="24"/>
                <w:lang w:val="en-US" w:eastAsia="zh-CN"/>
              </w:rPr>
              <w:t>.00</w:t>
            </w:r>
          </w:p>
        </w:tc>
        <w:tc>
          <w:tcPr>
            <w:tcW w:w="1846" w:type="dxa"/>
            <w:vAlign w:val="center"/>
          </w:tcPr>
          <w:p>
            <w:pPr>
              <w:widowControl/>
              <w:snapToGrid w:val="0"/>
              <w:jc w:val="center"/>
              <w:rPr>
                <w:rFonts w:hint="default" w:ascii="仿宋" w:hAnsi="仿宋" w:eastAsia="仿宋" w:cs="仿宋"/>
                <w:color w:val="000000"/>
                <w:kern w:val="0"/>
                <w:sz w:val="24"/>
                <w:szCs w:val="24"/>
                <w:lang w:val="en-US"/>
              </w:rPr>
            </w:pPr>
            <w:r>
              <w:rPr>
                <w:rFonts w:hint="eastAsia" w:ascii="仿宋" w:hAnsi="仿宋" w:eastAsia="仿宋" w:cs="仿宋"/>
                <w:b w:val="0"/>
                <w:bCs w:val="0"/>
                <w:color w:val="000000"/>
                <w:kern w:val="0"/>
                <w:sz w:val="24"/>
                <w:szCs w:val="24"/>
                <w:lang w:val="en-US" w:eastAsia="zh-CN"/>
              </w:rPr>
              <w:t>10.00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33.33%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D效益</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30.00</w:t>
            </w:r>
          </w:p>
        </w:tc>
        <w:tc>
          <w:tcPr>
            <w:tcW w:w="184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合计</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100.00 </w:t>
            </w:r>
          </w:p>
        </w:tc>
        <w:tc>
          <w:tcPr>
            <w:tcW w:w="184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74.00</w:t>
            </w:r>
          </w:p>
        </w:tc>
        <w:tc>
          <w:tcPr>
            <w:tcW w:w="2374"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74.00%</w:t>
            </w:r>
          </w:p>
        </w:tc>
      </w:tr>
    </w:tbl>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142" w:name="_Toc21684"/>
      <w:r>
        <w:rPr>
          <w:rFonts w:hint="eastAsia" w:ascii="Times New Roman" w:hAnsi="Times New Roman" w:eastAsia="黑体" w:cs="Times New Roman"/>
          <w:bCs/>
          <w:kern w:val="44"/>
          <w:sz w:val="32"/>
          <w:szCs w:val="32"/>
        </w:rPr>
        <w:t>五、综合评价情况</w:t>
      </w:r>
      <w:bookmarkEnd w:id="141"/>
      <w:r>
        <w:rPr>
          <w:rFonts w:hint="eastAsia" w:ascii="Times New Roman" w:hAnsi="Times New Roman" w:eastAsia="黑体" w:cs="Times New Roman"/>
          <w:bCs/>
          <w:kern w:val="44"/>
          <w:sz w:val="32"/>
          <w:szCs w:val="32"/>
          <w:lang w:val="en-US" w:eastAsia="zh-CN"/>
        </w:rPr>
        <w:t>及结论</w:t>
      </w:r>
      <w:bookmarkEnd w:id="142"/>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143" w:name="_Toc6422"/>
      <w:bookmarkStart w:id="144" w:name="_Toc514537346"/>
      <w:r>
        <w:rPr>
          <w:rFonts w:hint="eastAsia" w:ascii="仿宋" w:hAnsi="仿宋" w:eastAsia="仿宋" w:cs="Times New Roman"/>
          <w:b/>
          <w:bCs/>
          <w:sz w:val="32"/>
          <w:szCs w:val="32"/>
          <w:lang w:eastAsia="zh-CN"/>
        </w:rPr>
        <w:t>（一）评分结果</w:t>
      </w:r>
      <w:bookmarkEnd w:id="143"/>
      <w:bookmarkEnd w:id="144"/>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 w:cs="Times New Roman"/>
          <w:color w:val="auto"/>
          <w:kern w:val="0"/>
          <w:sz w:val="28"/>
          <w:szCs w:val="24"/>
          <w:lang w:val="en-US" w:eastAsia="zh-CN" w:bidi="ar-SA"/>
        </w:rPr>
        <w:t>依据项目基础信息统计，结合现场核查结果，按照评价小组制定并由专家组论证的评价指标体系，采煤沉陷区旧房拆除和土地复垦项目支出绩效评价综合得分74.00分，评价等级为“中”</w:t>
      </w:r>
      <w:r>
        <w:rPr>
          <w:rFonts w:hint="eastAsia" w:ascii="仿宋" w:hAnsi="仿宋" w:eastAsia="仿宋" w:cs="仿宋"/>
          <w:snapToGrid w:val="0"/>
          <w:sz w:val="28"/>
          <w:szCs w:val="28"/>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145" w:name="_Toc1246"/>
      <w:bookmarkStart w:id="146" w:name="_Toc514537347"/>
      <w:r>
        <w:rPr>
          <w:rFonts w:hint="eastAsia" w:ascii="仿宋" w:hAnsi="仿宋" w:eastAsia="仿宋" w:cs="Times New Roman"/>
          <w:b/>
          <w:bCs/>
          <w:sz w:val="32"/>
          <w:szCs w:val="32"/>
          <w:lang w:eastAsia="zh-CN"/>
        </w:rPr>
        <w:t>（二）主要结论</w:t>
      </w:r>
      <w:bookmarkEnd w:id="145"/>
      <w:bookmarkEnd w:id="146"/>
    </w:p>
    <w:p>
      <w:pPr>
        <w:widowControl/>
        <w:spacing w:line="574" w:lineRule="exact"/>
        <w:ind w:firstLine="560" w:firstLineChars="200"/>
        <w:rPr>
          <w:rFonts w:hint="default" w:ascii="Times New Roman" w:hAnsi="Times New Roman" w:eastAsia="仿宋" w:cs="Times New Roman"/>
          <w:kern w:val="0"/>
          <w:sz w:val="28"/>
          <w:szCs w:val="24"/>
          <w:lang w:val="en-US" w:eastAsia="zh-CN" w:bidi="ar-SA"/>
        </w:rPr>
      </w:pPr>
      <w:bookmarkStart w:id="147" w:name="_Toc514537348"/>
      <w:r>
        <w:rPr>
          <w:rFonts w:hint="eastAsia" w:ascii="Times New Roman" w:hAnsi="Times New Roman" w:eastAsia="仿宋" w:cs="Times New Roman"/>
          <w:kern w:val="0"/>
          <w:sz w:val="28"/>
          <w:szCs w:val="24"/>
          <w:lang w:val="en-US" w:eastAsia="zh-CN" w:bidi="ar-SA"/>
        </w:rPr>
        <w:t>项目决策方面，</w:t>
      </w:r>
      <w:r>
        <w:rPr>
          <w:rFonts w:hint="eastAsia" w:ascii="Times New Roman" w:hAnsi="Times New Roman" w:eastAsia="仿宋" w:cs="Times New Roman"/>
          <w:bCs w:val="0"/>
          <w:kern w:val="2"/>
          <w:sz w:val="28"/>
          <w:szCs w:val="28"/>
          <w:lang w:val="en-US" w:eastAsia="zh-CN" w:bidi="ar-SA"/>
        </w:rPr>
        <w:t>项目按照规定的程序申请设立，采煤沉陷区旧房拆除和土地复垦项目落实了省委、省政府采煤沉陷区综合治理工作思路</w:t>
      </w:r>
      <w:r>
        <w:rPr>
          <w:rFonts w:hint="eastAsia" w:ascii="Times New Roman" w:hAnsi="Times New Roman" w:eastAsia="仿宋" w:cs="Times New Roman"/>
          <w:kern w:val="0"/>
          <w:sz w:val="28"/>
          <w:szCs w:val="24"/>
          <w:lang w:val="en-US" w:eastAsia="zh-CN" w:bidi="ar-SA"/>
        </w:rPr>
        <w:t>，项目依据充分，立项程序规范，绩效目标合理，绩效指标明确，资金分配合理、预算编制科学。</w:t>
      </w:r>
    </w:p>
    <w:p>
      <w:pPr>
        <w:widowControl/>
        <w:spacing w:line="574" w:lineRule="exact"/>
        <w:ind w:firstLine="560" w:firstLineChars="200"/>
        <w:rPr>
          <w:rFonts w:hint="default"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项目过程方面，预算资金到位率100.00%，资金使用合规，财务管理制度健全，预算执行率达标，但项目实施管理有待加强。</w:t>
      </w:r>
    </w:p>
    <w:p>
      <w:pPr>
        <w:widowControl/>
        <w:spacing w:line="574" w:lineRule="exact"/>
        <w:ind w:firstLine="560" w:firstLineChars="200"/>
        <w:rPr>
          <w:rFonts w:hint="default"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项目产出方面，采煤沉陷区旧房拆除和土地复垦项目内容尚未实施完成，项目尚未验收。</w:t>
      </w:r>
    </w:p>
    <w:p>
      <w:pPr>
        <w:widowControl/>
        <w:spacing w:line="574" w:lineRule="exact"/>
        <w:ind w:firstLine="560" w:firstLineChars="200"/>
        <w:rPr>
          <w:rFonts w:hint="default" w:ascii="仿宋" w:hAnsi="仿宋" w:eastAsia="仿宋" w:cs="仿宋"/>
          <w:snapToGrid w:val="0"/>
          <w:sz w:val="28"/>
          <w:szCs w:val="28"/>
          <w:lang w:val="en-US" w:eastAsia="zh-CN"/>
        </w:rPr>
      </w:pPr>
      <w:r>
        <w:rPr>
          <w:rFonts w:hint="eastAsia" w:ascii="Times New Roman" w:hAnsi="Times New Roman" w:eastAsia="仿宋" w:cs="Times New Roman"/>
          <w:kern w:val="0"/>
          <w:sz w:val="28"/>
          <w:szCs w:val="24"/>
          <w:lang w:val="en-US" w:eastAsia="zh-CN" w:bidi="ar-SA"/>
        </w:rPr>
        <w:t>项目效益方面，项目预期经济效益良好，预期社会效益良好，预期生态效益良好，项目具备可持续性，受益对象满意度较高</w:t>
      </w:r>
      <w:r>
        <w:rPr>
          <w:rFonts w:hint="eastAsia" w:ascii="仿宋" w:hAnsi="仿宋" w:eastAsia="仿宋" w:cs="仿宋"/>
          <w:snapToGrid w:val="0"/>
          <w:sz w:val="28"/>
          <w:szCs w:val="28"/>
          <w:lang w:val="en-US" w:eastAsia="zh-CN"/>
        </w:rPr>
        <w:t>。</w:t>
      </w:r>
    </w:p>
    <w:bookmarkEnd w:id="147"/>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rPr>
      </w:pPr>
      <w:bookmarkStart w:id="148" w:name="_Toc514537349"/>
      <w:bookmarkStart w:id="149" w:name="_Toc26159"/>
      <w:r>
        <w:rPr>
          <w:rFonts w:hint="eastAsia" w:ascii="Times New Roman" w:hAnsi="Times New Roman" w:eastAsia="黑体" w:cs="Times New Roman"/>
          <w:bCs/>
          <w:kern w:val="44"/>
          <w:sz w:val="32"/>
          <w:szCs w:val="32"/>
          <w:lang w:val="en-US" w:eastAsia="zh-CN"/>
        </w:rPr>
        <w:t>六</w:t>
      </w:r>
      <w:r>
        <w:rPr>
          <w:rFonts w:hint="eastAsia" w:ascii="Times New Roman" w:hAnsi="Times New Roman" w:eastAsia="黑体" w:cs="Times New Roman"/>
          <w:bCs/>
          <w:kern w:val="44"/>
          <w:sz w:val="32"/>
          <w:szCs w:val="32"/>
        </w:rPr>
        <w:t>、存在的问题和改进建议</w:t>
      </w:r>
      <w:bookmarkEnd w:id="148"/>
      <w:bookmarkEnd w:id="149"/>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 w:cs="Times New Roman"/>
          <w:kern w:val="0"/>
          <w:sz w:val="28"/>
          <w:szCs w:val="24"/>
          <w:lang w:val="en-US" w:eastAsia="zh-CN" w:bidi="ar-SA"/>
        </w:rPr>
        <w:t>评价小组在详细查阅项目资料的基础上，结合现场实地勘察，对本次项目建设过程中存在的问题进行总结与分析，并针对问题提出了对应建议</w:t>
      </w:r>
      <w:r>
        <w:rPr>
          <w:rFonts w:hint="eastAsia" w:ascii="仿宋" w:hAnsi="仿宋" w:eastAsia="仿宋" w:cs="仿宋"/>
          <w:snapToGrid w:val="0"/>
          <w:sz w:val="28"/>
          <w:szCs w:val="28"/>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562" w:firstLineChars="200"/>
        <w:textAlignment w:val="auto"/>
        <w:outlineLvl w:val="1"/>
        <w:rPr>
          <w:rFonts w:hint="eastAsia" w:ascii="仿宋" w:hAnsi="仿宋" w:eastAsia="仿宋" w:cs="仿宋"/>
          <w:b/>
          <w:bCs/>
          <w:sz w:val="28"/>
          <w:szCs w:val="28"/>
          <w:lang w:eastAsia="zh-CN"/>
        </w:rPr>
      </w:pPr>
      <w:bookmarkStart w:id="150" w:name="_Toc528680479"/>
      <w:bookmarkStart w:id="151" w:name="_Toc9714"/>
      <w:bookmarkStart w:id="152" w:name="_Toc528603086"/>
      <w:bookmarkStart w:id="153" w:name="_Toc528684154"/>
      <w:bookmarkStart w:id="154" w:name="_Toc514537350"/>
      <w:bookmarkStart w:id="155" w:name="_Toc528680328"/>
      <w:r>
        <w:rPr>
          <w:rFonts w:hint="eastAsia" w:ascii="仿宋" w:hAnsi="仿宋" w:eastAsia="仿宋" w:cs="仿宋"/>
          <w:b/>
          <w:bCs/>
          <w:sz w:val="28"/>
          <w:szCs w:val="28"/>
          <w:lang w:eastAsia="zh-CN"/>
        </w:rPr>
        <w:t>（一）存在的问题</w:t>
      </w:r>
      <w:bookmarkEnd w:id="150"/>
      <w:bookmarkEnd w:id="151"/>
      <w:bookmarkEnd w:id="152"/>
      <w:bookmarkEnd w:id="153"/>
      <w:bookmarkEnd w:id="154"/>
      <w:bookmarkEnd w:id="155"/>
    </w:p>
    <w:p>
      <w:pPr>
        <w:spacing w:line="574" w:lineRule="exact"/>
        <w:ind w:firstLine="562" w:firstLineChars="200"/>
        <w:rPr>
          <w:rFonts w:hint="default" w:ascii="仿宋" w:hAnsi="仿宋" w:eastAsia="仿宋" w:cs="仿宋"/>
          <w:b/>
          <w:bCs w:val="0"/>
          <w:snapToGrid w:val="0"/>
          <w:sz w:val="28"/>
          <w:szCs w:val="28"/>
          <w:lang w:val="en-US" w:eastAsia="zh-CN"/>
        </w:rPr>
      </w:pPr>
      <w:bookmarkStart w:id="156" w:name="_Toc528603089"/>
      <w:bookmarkStart w:id="157" w:name="_Toc514537351"/>
      <w:r>
        <w:rPr>
          <w:rFonts w:hint="eastAsia" w:ascii="仿宋" w:hAnsi="仿宋" w:eastAsia="仿宋" w:cs="仿宋"/>
          <w:b/>
          <w:bCs w:val="0"/>
          <w:snapToGrid w:val="0"/>
          <w:sz w:val="28"/>
          <w:szCs w:val="28"/>
          <w:lang w:val="en-US" w:eastAsia="zh-CN"/>
        </w:rPr>
        <w:t>1、实施单位项目进度管理不到位，项目资金未按合同约定支付。</w:t>
      </w:r>
    </w:p>
    <w:p>
      <w:pPr>
        <w:spacing w:line="574" w:lineRule="exact"/>
        <w:ind w:firstLine="560" w:firstLineChars="200"/>
        <w:rPr>
          <w:rFonts w:hint="default" w:ascii="仿宋" w:hAnsi="仿宋" w:eastAsia="仿宋" w:cs="仿宋"/>
          <w:b/>
          <w:bCs w:val="0"/>
          <w:snapToGrid w:val="0"/>
          <w:sz w:val="28"/>
          <w:szCs w:val="28"/>
          <w:lang w:val="en-US" w:eastAsia="zh-CN"/>
        </w:rPr>
      </w:pPr>
      <w:r>
        <w:rPr>
          <w:rFonts w:hint="eastAsia" w:ascii="Times New Roman" w:hAnsi="Times New Roman" w:eastAsia="仿宋" w:cs="Times New Roman"/>
          <w:bCs w:val="0"/>
          <w:kern w:val="2"/>
          <w:sz w:val="28"/>
          <w:szCs w:val="28"/>
          <w:lang w:val="en-US" w:eastAsia="zh-CN" w:bidi="ar-SA"/>
        </w:rPr>
        <w:t>（1）项目涉及的5个子项目均未按期完成，未见古县自然资源局督促、协调施工方加快实施项目相关印证资料；（2）项目资金支付未按照合同约定的支付比例执行，5个标段合同约定的支付方式：预付款30%，工程完成后支付总价的50%；通过验收后支付总价的15%，通过验收后满一年支付总价的5%；实际5个标段已资金支付比例分别为69.91%、70.69%、70.18%、70.23%、70.18%；项目未完工，按照合同约定只能支付30%预付款。</w:t>
      </w:r>
    </w:p>
    <w:p>
      <w:pPr>
        <w:numPr>
          <w:ilvl w:val="0"/>
          <w:numId w:val="0"/>
        </w:numPr>
        <w:spacing w:line="574" w:lineRule="exact"/>
        <w:ind w:firstLine="562" w:firstLineChars="200"/>
        <w:rPr>
          <w:rFonts w:hint="eastAsia" w:ascii="仿宋" w:hAnsi="仿宋" w:eastAsia="仿宋" w:cs="仿宋"/>
          <w:b/>
          <w:bCs/>
          <w:snapToGrid w:val="0"/>
          <w:sz w:val="28"/>
          <w:szCs w:val="28"/>
          <w:lang w:val="en-US" w:eastAsia="zh-CN"/>
        </w:rPr>
      </w:pPr>
      <w:r>
        <w:rPr>
          <w:rFonts w:hint="eastAsia" w:ascii="仿宋" w:hAnsi="仿宋" w:eastAsia="仿宋" w:cs="仿宋"/>
          <w:b/>
          <w:bCs/>
          <w:snapToGrid w:val="0"/>
          <w:sz w:val="28"/>
          <w:szCs w:val="28"/>
          <w:lang w:val="en-US" w:eastAsia="zh-CN"/>
        </w:rPr>
        <w:t>2、项目延期时间较长。</w:t>
      </w:r>
    </w:p>
    <w:p>
      <w:pPr>
        <w:numPr>
          <w:ilvl w:val="0"/>
          <w:numId w:val="0"/>
        </w:numPr>
        <w:spacing w:line="574" w:lineRule="exact"/>
        <w:ind w:firstLine="560" w:firstLineChars="200"/>
        <w:rPr>
          <w:rFonts w:hint="default"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采煤沉陷区旧房拆除和土地复垦项目涉及的5个标段计划开竣工时间均为2021年12月20日至2022年2月18日，5个标段项目均未及时完工，项目延期时间较长。</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562" w:firstLineChars="200"/>
        <w:textAlignment w:val="auto"/>
        <w:outlineLvl w:val="1"/>
        <w:rPr>
          <w:rFonts w:hint="eastAsia" w:ascii="仿宋" w:hAnsi="仿宋" w:eastAsia="仿宋" w:cs="仿宋"/>
          <w:b/>
          <w:bCs/>
          <w:sz w:val="28"/>
          <w:szCs w:val="28"/>
          <w:lang w:eastAsia="zh-CN"/>
        </w:rPr>
      </w:pPr>
      <w:bookmarkStart w:id="158" w:name="_Toc1656"/>
      <w:bookmarkStart w:id="159" w:name="_Toc528680329"/>
      <w:bookmarkStart w:id="160" w:name="_Toc528680480"/>
      <w:bookmarkStart w:id="161" w:name="_Toc528684155"/>
      <w:r>
        <w:rPr>
          <w:rFonts w:hint="eastAsia" w:ascii="仿宋" w:hAnsi="仿宋" w:eastAsia="仿宋" w:cs="仿宋"/>
          <w:b/>
          <w:bCs/>
          <w:sz w:val="28"/>
          <w:szCs w:val="28"/>
          <w:lang w:eastAsia="zh-CN"/>
        </w:rPr>
        <w:t>（二）改进建议</w:t>
      </w:r>
      <w:bookmarkEnd w:id="156"/>
      <w:bookmarkEnd w:id="157"/>
      <w:bookmarkEnd w:id="158"/>
      <w:bookmarkEnd w:id="159"/>
      <w:bookmarkEnd w:id="160"/>
      <w:bookmarkEnd w:id="161"/>
    </w:p>
    <w:p>
      <w:pPr>
        <w:spacing w:line="574" w:lineRule="exact"/>
        <w:ind w:firstLine="562" w:firstLineChars="200"/>
        <w:rPr>
          <w:rFonts w:hint="default" w:ascii="Times New Roman" w:hAnsi="Times New Roman" w:eastAsia="仿宋"/>
          <w:b w:val="0"/>
          <w:bCs/>
          <w:snapToGrid w:val="0"/>
          <w:sz w:val="28"/>
          <w:szCs w:val="32"/>
          <w:lang w:val="en-US" w:eastAsia="zh-CN"/>
        </w:rPr>
      </w:pPr>
      <w:bookmarkStart w:id="162" w:name="_Toc514537353"/>
      <w:r>
        <w:rPr>
          <w:rFonts w:hint="eastAsia" w:ascii="Times New Roman" w:hAnsi="Times New Roman" w:eastAsia="仿宋"/>
          <w:b/>
          <w:bCs w:val="0"/>
          <w:snapToGrid w:val="0"/>
          <w:sz w:val="28"/>
          <w:szCs w:val="32"/>
          <w:lang w:val="en-US" w:eastAsia="zh-CN"/>
        </w:rPr>
        <w:t>1、加强项目监督，及时督促施工方按期履约。</w:t>
      </w:r>
    </w:p>
    <w:p>
      <w:pPr>
        <w:spacing w:line="574" w:lineRule="exact"/>
        <w:ind w:firstLine="560" w:firstLineChars="200"/>
        <w:rPr>
          <w:rFonts w:hint="default" w:ascii="Times New Roman" w:hAnsi="Times New Roman" w:eastAsia="仿宋"/>
          <w:b w:val="0"/>
          <w:bCs/>
          <w:snapToGrid w:val="0"/>
          <w:sz w:val="28"/>
          <w:szCs w:val="32"/>
          <w:lang w:val="en-US" w:eastAsia="zh-CN"/>
        </w:rPr>
      </w:pPr>
      <w:r>
        <w:rPr>
          <w:rFonts w:hint="eastAsia" w:ascii="Times New Roman" w:hAnsi="Times New Roman" w:eastAsia="仿宋"/>
          <w:b w:val="0"/>
          <w:bCs/>
          <w:snapToGrid w:val="0"/>
          <w:sz w:val="28"/>
          <w:szCs w:val="32"/>
          <w:lang w:val="en-US" w:eastAsia="zh-CN"/>
        </w:rPr>
        <w:t>建议古县自然资源局加强项目监督，加强项目进度管理，及时督促施工方按期履约；同时，明确违约处罚条款，对于施工方延期时间过长的情况，采用扣减施工费用等惩戒措施，倒逼施工方加快项目进度。</w:t>
      </w:r>
    </w:p>
    <w:p>
      <w:pPr>
        <w:spacing w:line="574" w:lineRule="exact"/>
        <w:ind w:firstLine="562" w:firstLineChars="200"/>
        <w:rPr>
          <w:rFonts w:hint="default" w:ascii="仿宋" w:hAnsi="仿宋" w:eastAsia="仿宋" w:cs="仿宋"/>
          <w:b/>
          <w:bCs/>
          <w:snapToGrid w:val="0"/>
          <w:sz w:val="28"/>
          <w:szCs w:val="28"/>
          <w:lang w:val="en-US" w:eastAsia="zh-CN"/>
        </w:rPr>
      </w:pPr>
      <w:r>
        <w:rPr>
          <w:rFonts w:hint="eastAsia" w:ascii="仿宋" w:hAnsi="仿宋" w:eastAsia="仿宋" w:cs="仿宋"/>
          <w:b/>
          <w:bCs/>
          <w:snapToGrid w:val="0"/>
          <w:sz w:val="28"/>
          <w:szCs w:val="28"/>
          <w:lang w:val="en-US" w:eastAsia="zh-CN"/>
        </w:rPr>
        <w:t>2、严格执行项目合同约定，避免财政资金使用风险。</w:t>
      </w:r>
    </w:p>
    <w:p>
      <w:pPr>
        <w:spacing w:line="574" w:lineRule="exact"/>
        <w:ind w:firstLine="560" w:firstLineChars="200"/>
        <w:rPr>
          <w:rFonts w:hint="default" w:ascii="仿宋" w:hAnsi="仿宋" w:eastAsia="仿宋" w:cs="仿宋"/>
          <w:b w:val="0"/>
          <w:bCs w:val="0"/>
          <w:snapToGrid w:val="0"/>
          <w:sz w:val="28"/>
          <w:szCs w:val="28"/>
          <w:lang w:val="en-US" w:eastAsia="zh-CN"/>
        </w:rPr>
      </w:pPr>
      <w:r>
        <w:rPr>
          <w:rFonts w:hint="eastAsia" w:ascii="仿宋" w:hAnsi="仿宋" w:eastAsia="仿宋" w:cs="仿宋"/>
          <w:b w:val="0"/>
          <w:bCs w:val="0"/>
          <w:snapToGrid w:val="0"/>
          <w:sz w:val="28"/>
          <w:szCs w:val="28"/>
          <w:lang w:val="en-US" w:eastAsia="zh-CN"/>
        </w:rPr>
        <w:t>建议古县自然资源局严格履行合同约定的资金支付比例，预付款30%，工程完成后支付总价的50%；通过验收后支付总价的15%，通过验收后满一年支付总价的5%；避免资金支付与合同约定不一致造成的财政资金使用风险。</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outlineLvl w:val="0"/>
        <w:rPr>
          <w:rFonts w:hint="eastAsia" w:ascii="Times New Roman" w:hAnsi="Times New Roman" w:eastAsia="黑体" w:cs="Times New Roman"/>
          <w:bCs/>
          <w:kern w:val="44"/>
          <w:sz w:val="32"/>
          <w:szCs w:val="32"/>
          <w:lang w:val="en-US" w:eastAsia="zh-CN"/>
        </w:rPr>
      </w:pPr>
      <w:bookmarkStart w:id="163" w:name="_Toc25771"/>
      <w:r>
        <w:rPr>
          <w:rFonts w:hint="eastAsia" w:ascii="Times New Roman" w:hAnsi="Times New Roman" w:eastAsia="黑体" w:cs="Times New Roman"/>
          <w:bCs/>
          <w:kern w:val="44"/>
          <w:sz w:val="32"/>
          <w:szCs w:val="32"/>
          <w:lang w:val="en-US" w:eastAsia="zh-CN"/>
        </w:rPr>
        <w:t>七、绩效评价结果应用建议</w:t>
      </w:r>
      <w:bookmarkEnd w:id="162"/>
      <w:bookmarkEnd w:id="163"/>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绩效评价结果应用，既是开展绩效评价工作的基本前提，亦是加强财政支出管理、增强资金绩效理念、合理配置公共资源、优化财政支出结构、强化资金管理水平、提高资金使用效益的重要手段。为使绩效评价结果得到合理应用，特提出以下建议。</w:t>
      </w:r>
    </w:p>
    <w:p>
      <w:pPr>
        <w:spacing w:line="574" w:lineRule="exact"/>
        <w:ind w:firstLine="562" w:firstLineChars="200"/>
        <w:rPr>
          <w:rFonts w:hint="eastAsia" w:ascii="Times New Roman" w:hAnsi="Times New Roman" w:eastAsia="仿宋" w:cs="Times New Roman"/>
          <w:b/>
          <w:bCs/>
          <w:kern w:val="2"/>
          <w:sz w:val="28"/>
          <w:szCs w:val="28"/>
          <w:lang w:val="en-US" w:eastAsia="zh-CN" w:bidi="ar-SA"/>
        </w:rPr>
      </w:pPr>
      <w:bookmarkStart w:id="164" w:name="_Toc29457"/>
      <w:bookmarkStart w:id="165" w:name="_Toc521418325"/>
      <w:r>
        <w:rPr>
          <w:rFonts w:hint="eastAsia" w:ascii="Times New Roman" w:hAnsi="Times New Roman" w:eastAsia="仿宋" w:cs="Times New Roman"/>
          <w:b/>
          <w:bCs/>
          <w:kern w:val="2"/>
          <w:sz w:val="28"/>
          <w:szCs w:val="28"/>
          <w:lang w:val="en-US" w:eastAsia="zh-CN" w:bidi="ar-SA"/>
        </w:rPr>
        <w:t>（一）</w:t>
      </w:r>
      <w:bookmarkEnd w:id="164"/>
      <w:bookmarkEnd w:id="165"/>
      <w:r>
        <w:rPr>
          <w:rFonts w:hint="eastAsia" w:ascii="Times New Roman" w:hAnsi="Times New Roman" w:eastAsia="仿宋" w:cs="Times New Roman"/>
          <w:b/>
          <w:bCs/>
          <w:kern w:val="2"/>
          <w:sz w:val="28"/>
          <w:szCs w:val="28"/>
          <w:lang w:val="en-US" w:eastAsia="zh-CN" w:bidi="ar-SA"/>
        </w:rPr>
        <w:t>以绩效评价促进项目规范管理。</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根据绩效评价反馈的问题，委托方应进一步加强项目预算管理，并强化对项目实施过程的监督检查力度，督促有关部门加强对项目及绩效情况的追踪管理，促使项目达到既定的绩效目标，并将达标情况作为下一年度专项资金安排的重要依据。</w:t>
      </w:r>
    </w:p>
    <w:p>
      <w:pPr>
        <w:spacing w:line="574" w:lineRule="exact"/>
        <w:ind w:firstLine="562" w:firstLineChars="200"/>
        <w:rPr>
          <w:rFonts w:hint="eastAsia" w:ascii="Times New Roman" w:hAnsi="Times New Roman" w:eastAsia="仿宋" w:cs="Times New Roman"/>
          <w:b/>
          <w:bCs/>
          <w:kern w:val="2"/>
          <w:sz w:val="28"/>
          <w:szCs w:val="28"/>
          <w:lang w:val="en-US" w:eastAsia="zh-CN" w:bidi="ar-SA"/>
        </w:rPr>
      </w:pPr>
      <w:bookmarkStart w:id="166" w:name="_Toc517532006"/>
      <w:bookmarkStart w:id="167" w:name="_Toc521418326"/>
      <w:bookmarkStart w:id="168" w:name="_Toc19568"/>
      <w:r>
        <w:rPr>
          <w:rFonts w:hint="eastAsia" w:ascii="Times New Roman" w:hAnsi="Times New Roman" w:eastAsia="仿宋" w:cs="Times New Roman"/>
          <w:b/>
          <w:bCs/>
          <w:kern w:val="2"/>
          <w:sz w:val="28"/>
          <w:szCs w:val="28"/>
          <w:lang w:val="en-US" w:eastAsia="zh-CN" w:bidi="ar-SA"/>
        </w:rPr>
        <w:t>（二）充分利用绩效结果，</w:t>
      </w:r>
      <w:bookmarkEnd w:id="166"/>
      <w:bookmarkEnd w:id="167"/>
      <w:r>
        <w:rPr>
          <w:rFonts w:hint="eastAsia" w:ascii="Times New Roman" w:hAnsi="Times New Roman" w:eastAsia="仿宋" w:cs="Times New Roman"/>
          <w:b/>
          <w:bCs/>
          <w:kern w:val="2"/>
          <w:sz w:val="28"/>
          <w:szCs w:val="28"/>
          <w:lang w:val="en-US" w:eastAsia="zh-CN" w:bidi="ar-SA"/>
        </w:rPr>
        <w:t>落实问题整改机制。</w:t>
      </w:r>
      <w:bookmarkEnd w:id="168"/>
    </w:p>
    <w:p>
      <w:pPr>
        <w:spacing w:line="574" w:lineRule="exact"/>
        <w:ind w:firstLine="560" w:firstLineChars="200"/>
        <w:rPr>
          <w:rFonts w:ascii="黑体" w:hAnsi="黑体" w:eastAsia="黑体"/>
          <w:snapToGrid w:val="0"/>
          <w:sz w:val="32"/>
          <w:szCs w:val="32"/>
        </w:rPr>
        <w:sectPr>
          <w:pgSz w:w="11906" w:h="16838"/>
          <w:pgMar w:top="1440" w:right="1800" w:bottom="1440" w:left="1800" w:header="851" w:footer="992" w:gutter="0"/>
          <w:pgNumType w:fmt="decimal"/>
          <w:cols w:space="425" w:num="1"/>
          <w:docGrid w:type="lines" w:linePitch="312" w:charSpace="0"/>
        </w:sectPr>
      </w:pPr>
      <w:r>
        <w:rPr>
          <w:rFonts w:hint="eastAsia" w:ascii="Times New Roman" w:hAnsi="Times New Roman" w:eastAsia="仿宋" w:cs="Times New Roman"/>
          <w:bCs w:val="0"/>
          <w:kern w:val="2"/>
          <w:sz w:val="28"/>
          <w:szCs w:val="28"/>
          <w:lang w:val="en-US" w:eastAsia="zh-CN" w:bidi="ar-SA"/>
        </w:rPr>
        <w:t>古县财政局应将项目在实施过程中的经验及存在问题以文件形式反馈到相关单位，对于绩效评价中存在的问题提出整改要求。被评价单位要根据具体问题制定整改方案，并将整改结果反馈政府、财政部门</w:t>
      </w:r>
      <w:bookmarkStart w:id="169" w:name="_Toc514537354"/>
      <w:r>
        <w:rPr>
          <w:rFonts w:hint="eastAsia" w:ascii="Times New Roman" w:hAnsi="Times New Roman" w:eastAsia="仿宋" w:cs="Times New Roman"/>
          <w:bCs w:val="0"/>
          <w:kern w:val="2"/>
          <w:sz w:val="28"/>
          <w:szCs w:val="28"/>
          <w:lang w:val="en-US" w:eastAsia="zh-CN" w:bidi="ar-SA"/>
        </w:rPr>
        <w:t>。</w:t>
      </w:r>
      <w:r>
        <w:rPr>
          <w:rFonts w:hint="eastAsia" w:ascii="仿宋_GB2312" w:hAnsi="仿宋_GB2312" w:eastAsia="仿宋_GB2312" w:cs="仿宋_GB2312"/>
          <w:b/>
          <w:sz w:val="32"/>
          <w:szCs w:val="32"/>
        </w:rPr>
        <w:t xml:space="preserve">    </w:t>
      </w:r>
    </w:p>
    <w:p>
      <w:pPr>
        <w:widowControl/>
        <w:spacing w:line="574" w:lineRule="exact"/>
        <w:jc w:val="left"/>
        <w:outlineLvl w:val="0"/>
        <w:rPr>
          <w:rFonts w:ascii="黑体" w:hAnsi="黑体" w:eastAsia="黑体"/>
          <w:snapToGrid w:val="0"/>
          <w:sz w:val="32"/>
          <w:szCs w:val="32"/>
        </w:rPr>
      </w:pPr>
      <w:bookmarkStart w:id="170" w:name="_Toc27951"/>
      <w:r>
        <w:rPr>
          <w:rFonts w:ascii="黑体" w:hAnsi="黑体" w:eastAsia="黑体"/>
          <w:snapToGrid w:val="0"/>
          <w:sz w:val="32"/>
          <w:szCs w:val="32"/>
        </w:rPr>
        <w:t>附件</w:t>
      </w:r>
      <w:r>
        <w:rPr>
          <w:rFonts w:hint="eastAsia" w:ascii="黑体" w:hAnsi="黑体" w:eastAsia="黑体"/>
          <w:snapToGrid w:val="0"/>
          <w:sz w:val="32"/>
          <w:szCs w:val="32"/>
        </w:rPr>
        <w:t>1：评价指标体系</w:t>
      </w:r>
      <w:bookmarkEnd w:id="170"/>
    </w:p>
    <w:tbl>
      <w:tblPr>
        <w:tblStyle w:val="19"/>
        <w:tblW w:w="498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15" w:type="dxa"/>
          <w:left w:w="15" w:type="dxa"/>
          <w:bottom w:w="15" w:type="dxa"/>
          <w:right w:w="15" w:type="dxa"/>
        </w:tblCellMar>
      </w:tblPr>
      <w:tblGrid>
        <w:gridCol w:w="1189"/>
        <w:gridCol w:w="1265"/>
        <w:gridCol w:w="1280"/>
        <w:gridCol w:w="608"/>
        <w:gridCol w:w="965"/>
        <w:gridCol w:w="3705"/>
        <w:gridCol w:w="4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15" w:hRule="atLeast"/>
          <w:tblHeader/>
        </w:trPr>
        <w:tc>
          <w:tcPr>
            <w:tcW w:w="5000" w:type="pct"/>
            <w:gridSpan w:val="7"/>
            <w:shd w:val="clear" w:color="auto" w:fill="auto"/>
          </w:tcPr>
          <w:p>
            <w:pPr>
              <w:widowControl/>
              <w:spacing w:before="93" w:beforeLines="30" w:after="93" w:afterLines="30" w:line="400" w:lineRule="exact"/>
              <w:jc w:val="center"/>
              <w:textAlignment w:val="center"/>
              <w:rPr>
                <w:rFonts w:ascii="Times New Roman" w:hAnsi="Times New Roman" w:eastAsia="仿宋" w:cs="Times New Roman"/>
                <w:b/>
                <w:color w:val="000000"/>
                <w:sz w:val="24"/>
                <w:szCs w:val="24"/>
                <w:highlight w:val="none"/>
              </w:rPr>
            </w:pPr>
            <w:bookmarkStart w:id="171" w:name="RANGE!A1:F24"/>
            <w:r>
              <w:rPr>
                <w:rFonts w:hint="eastAsia" w:ascii="Times New Roman" w:hAnsi="Times New Roman" w:eastAsia="仿宋" w:cs="Times New Roman"/>
                <w:b/>
                <w:bCs/>
                <w:color w:val="000000"/>
                <w:kern w:val="0"/>
                <w:sz w:val="32"/>
                <w:szCs w:val="21"/>
                <w:highlight w:val="none"/>
                <w:lang w:eastAsia="zh-CN"/>
              </w:rPr>
              <w:t>项目</w:t>
            </w:r>
            <w:r>
              <w:rPr>
                <w:rFonts w:ascii="Times New Roman" w:hAnsi="Times New Roman" w:eastAsia="仿宋" w:cs="Times New Roman"/>
                <w:b/>
                <w:bCs/>
                <w:color w:val="000000"/>
                <w:kern w:val="0"/>
                <w:sz w:val="32"/>
                <w:szCs w:val="21"/>
                <w:highlight w:val="none"/>
              </w:rPr>
              <w:t>支出绩效评价指标体系</w:t>
            </w:r>
            <w:bookmarkEnd w:id="17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93" w:hRule="atLeast"/>
          <w:tblHeader/>
        </w:trPr>
        <w:tc>
          <w:tcPr>
            <w:tcW w:w="427" w:type="pct"/>
            <w:shd w:val="clear" w:color="auto" w:fill="auto"/>
            <w:vAlign w:val="center"/>
          </w:tcPr>
          <w:p>
            <w:pPr>
              <w:widowControl/>
              <w:spacing w:line="400" w:lineRule="exact"/>
              <w:jc w:val="center"/>
              <w:textAlignment w:val="center"/>
              <w:rPr>
                <w:rFonts w:ascii="Times New Roman" w:hAnsi="Times New Roman" w:eastAsia="仿宋" w:cs="Times New Roman"/>
                <w:b/>
                <w:color w:val="000000"/>
                <w:kern w:val="0"/>
                <w:sz w:val="24"/>
                <w:szCs w:val="24"/>
                <w:highlight w:val="none"/>
                <w:lang w:bidi="ar"/>
              </w:rPr>
            </w:pPr>
            <w:r>
              <w:rPr>
                <w:rFonts w:ascii="Times New Roman" w:hAnsi="Times New Roman" w:eastAsia="仿宋" w:cs="Times New Roman"/>
                <w:b/>
                <w:color w:val="000000"/>
                <w:kern w:val="0"/>
                <w:sz w:val="24"/>
                <w:szCs w:val="24"/>
                <w:highlight w:val="none"/>
                <w:lang w:bidi="ar"/>
              </w:rPr>
              <w:t>一级指标</w:t>
            </w:r>
          </w:p>
        </w:tc>
        <w:tc>
          <w:tcPr>
            <w:tcW w:w="454" w:type="pct"/>
            <w:shd w:val="clear" w:color="auto" w:fill="auto"/>
            <w:vAlign w:val="center"/>
          </w:tcPr>
          <w:p>
            <w:pPr>
              <w:widowControl/>
              <w:spacing w:line="400" w:lineRule="exact"/>
              <w:jc w:val="center"/>
              <w:textAlignment w:val="center"/>
              <w:rPr>
                <w:rFonts w:ascii="Times New Roman" w:hAnsi="Times New Roman" w:eastAsia="仿宋" w:cs="Times New Roman"/>
                <w:b/>
                <w:color w:val="000000"/>
                <w:kern w:val="0"/>
                <w:sz w:val="24"/>
                <w:szCs w:val="24"/>
                <w:highlight w:val="none"/>
                <w:lang w:bidi="ar"/>
              </w:rPr>
            </w:pPr>
            <w:r>
              <w:rPr>
                <w:rFonts w:ascii="Times New Roman" w:hAnsi="Times New Roman" w:eastAsia="仿宋" w:cs="Times New Roman"/>
                <w:b/>
                <w:color w:val="000000"/>
                <w:kern w:val="0"/>
                <w:sz w:val="24"/>
                <w:szCs w:val="24"/>
                <w:highlight w:val="none"/>
                <w:lang w:bidi="ar"/>
              </w:rPr>
              <w:t>二级指标</w:t>
            </w:r>
          </w:p>
        </w:tc>
        <w:tc>
          <w:tcPr>
            <w:tcW w:w="459" w:type="pct"/>
            <w:shd w:val="clear" w:color="auto" w:fill="auto"/>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lang w:bidi="ar"/>
              </w:rPr>
              <w:t>三级指标</w:t>
            </w:r>
          </w:p>
        </w:tc>
        <w:tc>
          <w:tcPr>
            <w:tcW w:w="218" w:type="pct"/>
            <w:shd w:val="clear" w:color="auto" w:fill="auto"/>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lang w:bidi="ar"/>
              </w:rPr>
              <w:t>权重</w:t>
            </w:r>
          </w:p>
        </w:tc>
        <w:tc>
          <w:tcPr>
            <w:tcW w:w="346" w:type="pct"/>
            <w:shd w:val="clear" w:color="auto" w:fill="auto"/>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lang w:bidi="ar"/>
              </w:rPr>
              <w:t>目标值</w:t>
            </w:r>
          </w:p>
        </w:tc>
        <w:tc>
          <w:tcPr>
            <w:tcW w:w="1329" w:type="pct"/>
            <w:shd w:val="clear" w:color="auto" w:fill="auto"/>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lang w:bidi="ar"/>
              </w:rPr>
              <w:t>指标解释</w:t>
            </w:r>
          </w:p>
        </w:tc>
        <w:tc>
          <w:tcPr>
            <w:tcW w:w="1762" w:type="pct"/>
            <w:shd w:val="clear" w:color="auto" w:fill="auto"/>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lang w:bidi="ar"/>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656" w:hRule="atLeast"/>
        </w:trPr>
        <w:tc>
          <w:tcPr>
            <w:tcW w:w="427" w:type="pct"/>
            <w:vMerge w:val="restart"/>
            <w:shd w:val="clear" w:color="auto" w:fill="auto"/>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bidi="ar"/>
              </w:rPr>
              <w:t>决策（20）</w:t>
            </w:r>
          </w:p>
        </w:tc>
        <w:tc>
          <w:tcPr>
            <w:tcW w:w="454" w:type="pct"/>
            <w:vMerge w:val="restart"/>
            <w:shd w:val="clear" w:color="auto" w:fill="auto"/>
            <w:vAlign w:val="center"/>
          </w:tcPr>
          <w:p>
            <w:pPr>
              <w:spacing w:line="400" w:lineRule="exact"/>
              <w:jc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bidi="ar"/>
              </w:rPr>
              <w:t>A1项目立项（6）</w:t>
            </w:r>
          </w:p>
        </w:tc>
        <w:tc>
          <w:tcPr>
            <w:tcW w:w="459"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A11项目立项充分性</w:t>
            </w:r>
          </w:p>
        </w:tc>
        <w:tc>
          <w:tcPr>
            <w:tcW w:w="218"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3.00</w:t>
            </w:r>
          </w:p>
        </w:tc>
        <w:tc>
          <w:tcPr>
            <w:tcW w:w="346"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充分</w:t>
            </w:r>
          </w:p>
        </w:tc>
        <w:tc>
          <w:tcPr>
            <w:tcW w:w="1329"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项目立项是否符合法律法规、相关政策、发展规划以及部门职责，用以反映和考核项目立项依据情况。</w:t>
            </w:r>
          </w:p>
        </w:tc>
        <w:tc>
          <w:tcPr>
            <w:tcW w:w="1762"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项目是否与相关部门同类项目或部门内部相关项目重复。与其中任何一项不符，扣1分，扣完为止</w:t>
            </w:r>
            <w:r>
              <w:rPr>
                <w:rFonts w:ascii="Times New Roman" w:hAnsi="Times New Roman" w:eastAsia="仿宋" w:cs="Times New Roman"/>
                <w:color w:val="000000"/>
                <w:kern w:val="0"/>
                <w:sz w:val="24"/>
                <w:szCs w:val="24"/>
                <w:highlight w:val="none"/>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1672" w:hRule="atLeast"/>
        </w:trPr>
        <w:tc>
          <w:tcPr>
            <w:tcW w:w="427"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p>
        </w:tc>
        <w:tc>
          <w:tcPr>
            <w:tcW w:w="454" w:type="pct"/>
            <w:vMerge w:val="continue"/>
            <w:shd w:val="clear" w:color="auto" w:fill="auto"/>
            <w:vAlign w:val="center"/>
          </w:tcPr>
          <w:p>
            <w:pPr>
              <w:spacing w:line="400" w:lineRule="exact"/>
              <w:rPr>
                <w:rFonts w:ascii="仿宋" w:hAnsi="仿宋" w:eastAsia="仿宋" w:cs="宋体"/>
                <w:sz w:val="22"/>
                <w:highlight w:val="none"/>
              </w:rPr>
            </w:pPr>
          </w:p>
        </w:tc>
        <w:tc>
          <w:tcPr>
            <w:tcW w:w="459"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A12立项依据规范性</w:t>
            </w:r>
          </w:p>
        </w:tc>
        <w:tc>
          <w:tcPr>
            <w:tcW w:w="218"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3.00</w:t>
            </w:r>
          </w:p>
        </w:tc>
        <w:tc>
          <w:tcPr>
            <w:tcW w:w="346"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规范</w:t>
            </w:r>
          </w:p>
        </w:tc>
        <w:tc>
          <w:tcPr>
            <w:tcW w:w="1329"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项目申请、设立过程是否符合相关要求，用以反映和考核项目立项的规范情况。</w:t>
            </w:r>
          </w:p>
        </w:tc>
        <w:tc>
          <w:tcPr>
            <w:tcW w:w="1762"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①项目是否按照规定的程序申请设立；②审批文件、材料是否符合相关要求；③事前是否已经过必要的可行性研究、专家论证、风险评估、绩效评估、集体决策</w:t>
            </w:r>
            <w:r>
              <w:rPr>
                <w:rFonts w:hint="eastAsia" w:ascii="宋体" w:hAnsi="宋体" w:eastAsia="宋体" w:cs="宋体"/>
                <w:color w:val="000000"/>
                <w:kern w:val="0"/>
                <w:sz w:val="24"/>
                <w:szCs w:val="24"/>
                <w:highlight w:val="none"/>
                <w:lang w:bidi="ar"/>
              </w:rPr>
              <w:t>。</w:t>
            </w:r>
            <w:r>
              <w:rPr>
                <w:rFonts w:hint="eastAsia" w:ascii="Times New Roman" w:hAnsi="Times New Roman" w:eastAsia="仿宋" w:cs="Times New Roman"/>
                <w:color w:val="000000"/>
                <w:kern w:val="0"/>
                <w:sz w:val="24"/>
                <w:szCs w:val="24"/>
                <w:highlight w:val="none"/>
                <w:lang w:bidi="ar"/>
              </w:rPr>
              <w:t>每满足一项得1分；反之每缺少一项扣1分。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361" w:hRule="atLeast"/>
        </w:trPr>
        <w:tc>
          <w:tcPr>
            <w:tcW w:w="427" w:type="pct"/>
            <w:vMerge w:val="continue"/>
            <w:shd w:val="clear" w:color="auto" w:fill="auto"/>
          </w:tcPr>
          <w:p>
            <w:pPr>
              <w:spacing w:line="400" w:lineRule="exact"/>
              <w:jc w:val="center"/>
              <w:textAlignment w:val="center"/>
              <w:rPr>
                <w:rFonts w:ascii="Times New Roman" w:hAnsi="Times New Roman" w:eastAsia="仿宋" w:cs="Times New Roman"/>
                <w:color w:val="000000"/>
                <w:kern w:val="0"/>
                <w:sz w:val="24"/>
                <w:szCs w:val="24"/>
                <w:highlight w:val="none"/>
                <w:lang w:bidi="ar"/>
              </w:rPr>
            </w:pPr>
          </w:p>
        </w:tc>
        <w:tc>
          <w:tcPr>
            <w:tcW w:w="454" w:type="pct"/>
            <w:vMerge w:val="restart"/>
            <w:shd w:val="clear" w:color="auto" w:fill="auto"/>
            <w:vAlign w:val="center"/>
          </w:tcPr>
          <w:p>
            <w:pPr>
              <w:spacing w:line="400" w:lineRule="exact"/>
              <w:jc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bidi="ar"/>
              </w:rPr>
              <w:t>A2绩效目标（8）</w:t>
            </w:r>
          </w:p>
        </w:tc>
        <w:tc>
          <w:tcPr>
            <w:tcW w:w="459" w:type="pct"/>
            <w:shd w:val="clear" w:color="auto" w:fill="auto"/>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r>
              <w:rPr>
                <w:rFonts w:ascii="Times New Roman" w:hAnsi="Times New Roman" w:eastAsia="仿宋" w:cs="Times New Roman"/>
                <w:color w:val="000000"/>
                <w:kern w:val="0"/>
                <w:sz w:val="24"/>
                <w:szCs w:val="24"/>
                <w:highlight w:val="none"/>
                <w:lang w:bidi="ar"/>
              </w:rPr>
              <w:t>A</w:t>
            </w:r>
            <w:r>
              <w:rPr>
                <w:rFonts w:hint="eastAsia" w:ascii="Times New Roman" w:hAnsi="Times New Roman" w:eastAsia="仿宋" w:cs="Times New Roman"/>
                <w:color w:val="000000"/>
                <w:kern w:val="0"/>
                <w:sz w:val="24"/>
                <w:szCs w:val="24"/>
                <w:highlight w:val="none"/>
                <w:lang w:bidi="ar"/>
              </w:rPr>
              <w:t>21</w:t>
            </w:r>
            <w:r>
              <w:rPr>
                <w:rFonts w:ascii="Times New Roman" w:hAnsi="Times New Roman" w:eastAsia="仿宋" w:cs="Times New Roman"/>
                <w:color w:val="000000"/>
                <w:kern w:val="0"/>
                <w:sz w:val="24"/>
                <w:szCs w:val="24"/>
                <w:highlight w:val="none"/>
                <w:lang w:bidi="ar"/>
              </w:rPr>
              <w:t>绩效目标设置合理性</w:t>
            </w:r>
          </w:p>
        </w:tc>
        <w:tc>
          <w:tcPr>
            <w:tcW w:w="218" w:type="pct"/>
            <w:shd w:val="clear" w:color="auto" w:fill="auto"/>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r>
              <w:rPr>
                <w:rFonts w:ascii="Times New Roman" w:hAnsi="Times New Roman" w:eastAsia="仿宋" w:cs="Times New Roman"/>
                <w:color w:val="000000"/>
                <w:sz w:val="24"/>
                <w:szCs w:val="24"/>
                <w:highlight w:val="none"/>
              </w:rPr>
              <w:t>4.00</w:t>
            </w:r>
          </w:p>
        </w:tc>
        <w:tc>
          <w:tcPr>
            <w:tcW w:w="346" w:type="pct"/>
            <w:shd w:val="clear" w:color="auto" w:fill="auto"/>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r>
              <w:rPr>
                <w:rFonts w:ascii="Times New Roman" w:hAnsi="Times New Roman" w:eastAsia="仿宋" w:cs="Times New Roman"/>
                <w:color w:val="000000"/>
                <w:kern w:val="0"/>
                <w:sz w:val="24"/>
                <w:szCs w:val="24"/>
                <w:highlight w:val="none"/>
                <w:lang w:bidi="ar"/>
              </w:rPr>
              <w:t>合理</w:t>
            </w:r>
          </w:p>
        </w:tc>
        <w:tc>
          <w:tcPr>
            <w:tcW w:w="1329"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bidi="ar"/>
              </w:rPr>
              <w:t>项目所设定的绩效目标是否依据充分，是否符合客观实际，用以反映和考核项目绩效目标与项目实施的相符情况。</w:t>
            </w:r>
          </w:p>
        </w:tc>
        <w:tc>
          <w:tcPr>
            <w:tcW w:w="1762"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bCs/>
                <w:color w:val="000000"/>
                <w:kern w:val="0"/>
                <w:sz w:val="24"/>
                <w:szCs w:val="24"/>
                <w:highlight w:val="none"/>
                <w:lang w:bidi="ar"/>
              </w:rPr>
              <w:t>①项目是否有绩效目标；②项目绩效目标与实际工作内容是否具有相关性；③项目预期产出效益和效果是否符合正常的业绩水平；④是否与预算确定的项目投资额或资金量相匹配。</w:t>
            </w:r>
            <w:r>
              <w:rPr>
                <w:rFonts w:ascii="Times New Roman" w:hAnsi="Times New Roman" w:eastAsia="仿宋" w:cs="Times New Roman"/>
                <w:bCs/>
                <w:color w:val="000000"/>
                <w:kern w:val="0"/>
                <w:sz w:val="24"/>
                <w:szCs w:val="24"/>
                <w:highlight w:val="none"/>
                <w:lang w:bidi="ar"/>
              </w:rPr>
              <w:t>每满足一项得1分；反之每缺少一项扣1分。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1672" w:hRule="atLeast"/>
        </w:trPr>
        <w:tc>
          <w:tcPr>
            <w:tcW w:w="427"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p>
        </w:tc>
        <w:tc>
          <w:tcPr>
            <w:tcW w:w="454"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p>
        </w:tc>
        <w:tc>
          <w:tcPr>
            <w:tcW w:w="459"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A</w:t>
            </w:r>
            <w:r>
              <w:rPr>
                <w:rFonts w:hint="eastAsia" w:ascii="Times New Roman" w:hAnsi="Times New Roman" w:eastAsia="仿宋" w:cs="Times New Roman"/>
                <w:color w:val="000000"/>
                <w:kern w:val="0"/>
                <w:sz w:val="24"/>
                <w:szCs w:val="24"/>
                <w:highlight w:val="none"/>
                <w:lang w:bidi="ar"/>
              </w:rPr>
              <w:t>22</w:t>
            </w:r>
            <w:r>
              <w:rPr>
                <w:rFonts w:ascii="Times New Roman" w:hAnsi="Times New Roman" w:eastAsia="仿宋" w:cs="Times New Roman"/>
                <w:color w:val="000000"/>
                <w:kern w:val="0"/>
                <w:sz w:val="24"/>
                <w:szCs w:val="24"/>
                <w:highlight w:val="none"/>
                <w:lang w:bidi="ar"/>
              </w:rPr>
              <w:t>绩效</w:t>
            </w:r>
            <w:r>
              <w:rPr>
                <w:rFonts w:hint="eastAsia" w:ascii="Times New Roman" w:hAnsi="Times New Roman" w:eastAsia="仿宋" w:cs="Times New Roman"/>
                <w:color w:val="000000"/>
                <w:kern w:val="0"/>
                <w:sz w:val="24"/>
                <w:szCs w:val="24"/>
                <w:highlight w:val="none"/>
                <w:lang w:bidi="ar"/>
              </w:rPr>
              <w:t>指标</w:t>
            </w:r>
            <w:r>
              <w:rPr>
                <w:rFonts w:ascii="Times New Roman" w:hAnsi="Times New Roman" w:eastAsia="仿宋" w:cs="Times New Roman"/>
                <w:color w:val="000000"/>
                <w:kern w:val="0"/>
                <w:sz w:val="24"/>
                <w:szCs w:val="24"/>
                <w:highlight w:val="none"/>
                <w:lang w:bidi="ar"/>
              </w:rPr>
              <w:t>明确性</w:t>
            </w:r>
          </w:p>
        </w:tc>
        <w:tc>
          <w:tcPr>
            <w:tcW w:w="218"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4.00</w:t>
            </w:r>
          </w:p>
        </w:tc>
        <w:tc>
          <w:tcPr>
            <w:tcW w:w="346"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明确</w:t>
            </w:r>
          </w:p>
        </w:tc>
        <w:tc>
          <w:tcPr>
            <w:tcW w:w="1329"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bCs/>
                <w:color w:val="000000"/>
                <w:kern w:val="0"/>
                <w:sz w:val="24"/>
                <w:szCs w:val="24"/>
                <w:highlight w:val="none"/>
                <w:lang w:bidi="ar"/>
              </w:rPr>
            </w:pPr>
            <w:r>
              <w:rPr>
                <w:rFonts w:hint="eastAsia" w:ascii="Times New Roman" w:hAnsi="Times New Roman" w:eastAsia="仿宋" w:cs="Times New Roman"/>
                <w:color w:val="000000"/>
                <w:sz w:val="24"/>
                <w:szCs w:val="24"/>
                <w:highlight w:val="none"/>
              </w:rPr>
              <w:t>依据绩效目标设定的绩效指标是否清晰、细化、可衡等，用以反映和考核项目绩效目标的明细化情况。</w:t>
            </w:r>
          </w:p>
        </w:tc>
        <w:tc>
          <w:tcPr>
            <w:tcW w:w="1762"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bCs/>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bidi="ar"/>
              </w:rPr>
              <w:t>①是否将项目绩效目标细化分解为具体的绩效指标；②是否通过清晰、可衡量的指标值予以体现；③是否与项目目标任务数或计划数相对应。符合所有条件得满分；一项不符合，扣33.33%比例的分数。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00" w:hRule="atLeast"/>
        </w:trPr>
        <w:tc>
          <w:tcPr>
            <w:tcW w:w="427"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p>
        </w:tc>
        <w:tc>
          <w:tcPr>
            <w:tcW w:w="454" w:type="pct"/>
            <w:vMerge w:val="restart"/>
            <w:shd w:val="clear" w:color="auto" w:fill="auto"/>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bidi="ar"/>
              </w:rPr>
              <w:t>A3资金投入（6）</w:t>
            </w:r>
          </w:p>
        </w:tc>
        <w:tc>
          <w:tcPr>
            <w:tcW w:w="459"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A</w:t>
            </w:r>
            <w:r>
              <w:rPr>
                <w:rFonts w:hint="eastAsia" w:ascii="Times New Roman" w:hAnsi="Times New Roman" w:eastAsia="仿宋" w:cs="Times New Roman"/>
                <w:color w:val="000000"/>
                <w:kern w:val="0"/>
                <w:sz w:val="24"/>
                <w:szCs w:val="24"/>
                <w:highlight w:val="none"/>
                <w:lang w:bidi="ar"/>
              </w:rPr>
              <w:t>3</w:t>
            </w:r>
            <w:r>
              <w:rPr>
                <w:rFonts w:ascii="Times New Roman" w:hAnsi="Times New Roman" w:eastAsia="仿宋" w:cs="Times New Roman"/>
                <w:color w:val="000000"/>
                <w:kern w:val="0"/>
                <w:sz w:val="24"/>
                <w:szCs w:val="24"/>
                <w:highlight w:val="none"/>
                <w:lang w:bidi="ar"/>
              </w:rPr>
              <w:t>1</w:t>
            </w:r>
            <w:r>
              <w:rPr>
                <w:rFonts w:hint="eastAsia" w:ascii="Times New Roman" w:hAnsi="Times New Roman" w:eastAsia="仿宋" w:cs="Times New Roman"/>
                <w:color w:val="000000"/>
                <w:kern w:val="0"/>
                <w:sz w:val="24"/>
                <w:szCs w:val="24"/>
                <w:highlight w:val="none"/>
                <w:lang w:bidi="ar"/>
              </w:rPr>
              <w:t>预算编制科学性</w:t>
            </w:r>
          </w:p>
        </w:tc>
        <w:tc>
          <w:tcPr>
            <w:tcW w:w="218"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3.00</w:t>
            </w:r>
          </w:p>
        </w:tc>
        <w:tc>
          <w:tcPr>
            <w:tcW w:w="346"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科学</w:t>
            </w:r>
          </w:p>
        </w:tc>
        <w:tc>
          <w:tcPr>
            <w:tcW w:w="1329"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项目预算编制是否经过科学论证、有明确标准，资金额度与年度目标是否相适应，用以反映和考核项目预算编制的科学性、合理性情况。</w:t>
            </w:r>
          </w:p>
        </w:tc>
        <w:tc>
          <w:tcPr>
            <w:tcW w:w="1762"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①预算编制是否经过科学论证；②预算内容与项目内容是否匹配；③预算额度测算依据是否充分，是否按照标准编制；④预算确定的项目投资额或资金量是否与工作任务相匹配。符合所有条件得满分；一项不符合，扣25%比例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1345" w:hRule="atLeast"/>
        </w:trPr>
        <w:tc>
          <w:tcPr>
            <w:tcW w:w="427"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p>
        </w:tc>
        <w:tc>
          <w:tcPr>
            <w:tcW w:w="454"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p>
        </w:tc>
        <w:tc>
          <w:tcPr>
            <w:tcW w:w="459"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A</w:t>
            </w:r>
            <w:r>
              <w:rPr>
                <w:rFonts w:hint="eastAsia" w:ascii="Times New Roman" w:hAnsi="Times New Roman" w:eastAsia="仿宋" w:cs="Times New Roman"/>
                <w:color w:val="000000"/>
                <w:kern w:val="0"/>
                <w:sz w:val="24"/>
                <w:szCs w:val="24"/>
                <w:highlight w:val="none"/>
                <w:lang w:bidi="ar"/>
              </w:rPr>
              <w:t>3</w:t>
            </w:r>
            <w:r>
              <w:rPr>
                <w:rFonts w:ascii="Times New Roman" w:hAnsi="Times New Roman" w:eastAsia="仿宋" w:cs="Times New Roman"/>
                <w:color w:val="000000"/>
                <w:kern w:val="0"/>
                <w:sz w:val="24"/>
                <w:szCs w:val="24"/>
                <w:highlight w:val="none"/>
                <w:lang w:bidi="ar"/>
              </w:rPr>
              <w:t>2</w:t>
            </w:r>
            <w:r>
              <w:rPr>
                <w:rFonts w:hint="eastAsia" w:ascii="Times New Roman" w:hAnsi="Times New Roman" w:eastAsia="仿宋" w:cs="Times New Roman"/>
                <w:color w:val="000000"/>
                <w:kern w:val="0"/>
                <w:sz w:val="24"/>
                <w:szCs w:val="24"/>
                <w:highlight w:val="none"/>
                <w:lang w:bidi="ar"/>
              </w:rPr>
              <w:t>资金分配合理性</w:t>
            </w:r>
          </w:p>
        </w:tc>
        <w:tc>
          <w:tcPr>
            <w:tcW w:w="218"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3.00</w:t>
            </w:r>
          </w:p>
        </w:tc>
        <w:tc>
          <w:tcPr>
            <w:tcW w:w="346"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合理</w:t>
            </w:r>
          </w:p>
        </w:tc>
        <w:tc>
          <w:tcPr>
            <w:tcW w:w="1329"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项目预算资金分配是否有测算依据，与补助单位或地方实际是否相适应，用以反映和考核项目预算资金分配的科学性、合理性情况。</w:t>
            </w:r>
          </w:p>
        </w:tc>
        <w:tc>
          <w:tcPr>
            <w:tcW w:w="1762"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①预算资金分配依据是否充分；②资金分配额度是否合理，与项目单位或地方实际是否相适应。符合所有条件得满分；一项不符合，扣50%比例的分数。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3311" w:hRule="atLeast"/>
        </w:trPr>
        <w:tc>
          <w:tcPr>
            <w:tcW w:w="427" w:type="pct"/>
            <w:vMerge w:val="restart"/>
            <w:shd w:val="clear" w:color="auto" w:fill="auto"/>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bidi="ar"/>
              </w:rPr>
              <w:t>B过程（20分）</w:t>
            </w:r>
          </w:p>
        </w:tc>
        <w:tc>
          <w:tcPr>
            <w:tcW w:w="454" w:type="pct"/>
            <w:vMerge w:val="restart"/>
            <w:shd w:val="clear" w:color="auto" w:fill="auto"/>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bidi="ar"/>
              </w:rPr>
              <w:t>B1资金管理（12分）</w:t>
            </w:r>
          </w:p>
        </w:tc>
        <w:tc>
          <w:tcPr>
            <w:tcW w:w="459"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B11资金到位率</w:t>
            </w:r>
          </w:p>
        </w:tc>
        <w:tc>
          <w:tcPr>
            <w:tcW w:w="218" w:type="pct"/>
            <w:shd w:val="clear" w:color="auto" w:fill="auto"/>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bidi="ar"/>
              </w:rPr>
              <w:t>4</w:t>
            </w:r>
            <w:r>
              <w:rPr>
                <w:rFonts w:ascii="Times New Roman" w:hAnsi="Times New Roman" w:eastAsia="仿宋" w:cs="Times New Roman"/>
                <w:color w:val="000000"/>
                <w:kern w:val="0"/>
                <w:sz w:val="24"/>
                <w:szCs w:val="24"/>
                <w:highlight w:val="none"/>
                <w:lang w:bidi="ar"/>
              </w:rPr>
              <w:t>.00</w:t>
            </w:r>
          </w:p>
        </w:tc>
        <w:tc>
          <w:tcPr>
            <w:tcW w:w="346"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100%</w:t>
            </w:r>
          </w:p>
        </w:tc>
        <w:tc>
          <w:tcPr>
            <w:tcW w:w="1329"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①</w:t>
            </w:r>
            <w:r>
              <w:rPr>
                <w:rFonts w:ascii="Times New Roman" w:hAnsi="Times New Roman" w:eastAsia="仿宋" w:cs="Times New Roman"/>
                <w:color w:val="000000"/>
                <w:kern w:val="0"/>
                <w:sz w:val="24"/>
                <w:szCs w:val="24"/>
                <w:highlight w:val="none"/>
                <w:lang w:bidi="ar"/>
              </w:rPr>
              <w:t>财政预算资金及时到位资金与应到位资金的比率，用以反映和考核资金落实情况对项目实施的总体保障程度。</w:t>
            </w:r>
            <w:r>
              <w:rPr>
                <w:rFonts w:hint="eastAsia" w:ascii="Times New Roman" w:hAnsi="Times New Roman" w:eastAsia="仿宋" w:cs="Times New Roman"/>
                <w:color w:val="000000"/>
                <w:kern w:val="0"/>
                <w:sz w:val="24"/>
                <w:szCs w:val="24"/>
                <w:highlight w:val="none"/>
                <w:lang w:bidi="ar"/>
              </w:rPr>
              <w:t>②资金到位率=（实际到位资金/预算资金）×100%；③实际到位资金：一定时期（本年度或项目期）内实际落实到具体项目的资金；④预算资金：一定时期（本年度或项目期内预算安排到具体项目的资金。</w:t>
            </w:r>
          </w:p>
        </w:tc>
        <w:tc>
          <w:tcPr>
            <w:tcW w:w="1762"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color w:val="000000"/>
                <w:kern w:val="0"/>
                <w:sz w:val="24"/>
                <w:szCs w:val="24"/>
                <w:highlight w:val="none"/>
                <w:lang w:bidi="ar"/>
              </w:rPr>
              <w:t>资金到位率等于100%，得满分；&lt;60%，不得分；60%-100%之间按比例得分。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9" w:hRule="atLeast"/>
        </w:trPr>
        <w:tc>
          <w:tcPr>
            <w:tcW w:w="427"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p>
        </w:tc>
        <w:tc>
          <w:tcPr>
            <w:tcW w:w="454"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p>
        </w:tc>
        <w:tc>
          <w:tcPr>
            <w:tcW w:w="459"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B12</w:t>
            </w:r>
            <w:r>
              <w:rPr>
                <w:rFonts w:hint="eastAsia" w:ascii="Times New Roman" w:hAnsi="Times New Roman" w:eastAsia="仿宋" w:cs="Times New Roman"/>
                <w:color w:val="000000"/>
                <w:kern w:val="0"/>
                <w:sz w:val="24"/>
                <w:szCs w:val="24"/>
                <w:highlight w:val="none"/>
                <w:lang w:bidi="ar"/>
              </w:rPr>
              <w:t>预算执行率</w:t>
            </w:r>
          </w:p>
        </w:tc>
        <w:tc>
          <w:tcPr>
            <w:tcW w:w="218" w:type="pct"/>
            <w:shd w:val="clear" w:color="auto" w:fill="auto"/>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bidi="ar"/>
              </w:rPr>
              <w:t>4</w:t>
            </w:r>
            <w:r>
              <w:rPr>
                <w:rFonts w:ascii="Times New Roman" w:hAnsi="Times New Roman" w:eastAsia="仿宋" w:cs="Times New Roman"/>
                <w:color w:val="000000"/>
                <w:kern w:val="0"/>
                <w:sz w:val="24"/>
                <w:szCs w:val="24"/>
                <w:highlight w:val="none"/>
                <w:lang w:bidi="ar"/>
              </w:rPr>
              <w:t>.00</w:t>
            </w:r>
          </w:p>
        </w:tc>
        <w:tc>
          <w:tcPr>
            <w:tcW w:w="346"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≥90%</w:t>
            </w:r>
          </w:p>
        </w:tc>
        <w:tc>
          <w:tcPr>
            <w:tcW w:w="1329"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①项目预算资金是否按照计划执行，用以反映或考核项目预算执行情况。②预算执行率=（实际支出资金/实际到位资金）×100%；③实际支出资金：一定时期（本年度或项目期）内项目实际拨付的资金。</w:t>
            </w:r>
          </w:p>
        </w:tc>
        <w:tc>
          <w:tcPr>
            <w:tcW w:w="1762"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预算执行率大于等于90%，得满分；&lt;60%，不得分；60%-90%之间按比例得分。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00" w:hRule="atLeast"/>
        </w:trPr>
        <w:tc>
          <w:tcPr>
            <w:tcW w:w="427"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sz w:val="24"/>
                <w:szCs w:val="24"/>
                <w:highlight w:val="none"/>
              </w:rPr>
            </w:pPr>
          </w:p>
        </w:tc>
        <w:tc>
          <w:tcPr>
            <w:tcW w:w="454"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sz w:val="24"/>
                <w:szCs w:val="24"/>
                <w:highlight w:val="none"/>
              </w:rPr>
            </w:pPr>
          </w:p>
        </w:tc>
        <w:tc>
          <w:tcPr>
            <w:tcW w:w="459"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B13</w:t>
            </w:r>
            <w:r>
              <w:rPr>
                <w:rFonts w:ascii="Times New Roman" w:hAnsi="Times New Roman" w:eastAsia="仿宋" w:cs="Times New Roman"/>
                <w:color w:val="000000"/>
                <w:kern w:val="0"/>
                <w:sz w:val="24"/>
                <w:szCs w:val="24"/>
                <w:highlight w:val="none"/>
                <w:lang w:bidi="ar"/>
              </w:rPr>
              <w:t>资金使用合规性</w:t>
            </w:r>
          </w:p>
        </w:tc>
        <w:tc>
          <w:tcPr>
            <w:tcW w:w="218" w:type="pct"/>
            <w:shd w:val="clear" w:color="auto" w:fill="auto"/>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sz w:val="24"/>
                <w:szCs w:val="24"/>
                <w:highlight w:val="none"/>
              </w:rPr>
              <w:t>4</w:t>
            </w:r>
            <w:r>
              <w:rPr>
                <w:rFonts w:ascii="Times New Roman" w:hAnsi="Times New Roman" w:eastAsia="仿宋" w:cs="Times New Roman"/>
                <w:color w:val="000000"/>
                <w:sz w:val="24"/>
                <w:szCs w:val="24"/>
                <w:highlight w:val="none"/>
              </w:rPr>
              <w:t>.00</w:t>
            </w:r>
          </w:p>
        </w:tc>
        <w:tc>
          <w:tcPr>
            <w:tcW w:w="346"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合规</w:t>
            </w:r>
          </w:p>
        </w:tc>
        <w:tc>
          <w:tcPr>
            <w:tcW w:w="1329"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项目资金使用是否符合相关的财务管理制度规定，用以反映和考核项目资金的规范运行情况。</w:t>
            </w:r>
          </w:p>
        </w:tc>
        <w:tc>
          <w:tcPr>
            <w:tcW w:w="1762"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宋体" w:hAnsi="宋体" w:eastAsia="宋体" w:cs="宋体"/>
                <w:color w:val="000000"/>
                <w:kern w:val="0"/>
                <w:sz w:val="24"/>
                <w:szCs w:val="24"/>
                <w:highlight w:val="none"/>
                <w:lang w:bidi="ar"/>
              </w:rPr>
              <w:t>①</w:t>
            </w:r>
            <w:r>
              <w:rPr>
                <w:rFonts w:ascii="Times New Roman" w:hAnsi="Times New Roman" w:eastAsia="仿宋" w:cs="Times New Roman"/>
                <w:color w:val="000000"/>
                <w:kern w:val="0"/>
                <w:sz w:val="24"/>
                <w:szCs w:val="24"/>
                <w:highlight w:val="none"/>
                <w:lang w:bidi="ar"/>
              </w:rPr>
              <w:t>是否符合国家财经法规和财务管理制度以及有关专项资金管理办法的规定；</w:t>
            </w:r>
            <w:r>
              <w:rPr>
                <w:rFonts w:hint="eastAsia" w:ascii="宋体" w:hAnsi="宋体" w:eastAsia="宋体" w:cs="宋体"/>
                <w:color w:val="000000"/>
                <w:kern w:val="0"/>
                <w:sz w:val="24"/>
                <w:szCs w:val="24"/>
                <w:highlight w:val="none"/>
                <w:lang w:bidi="ar"/>
              </w:rPr>
              <w:t>②</w:t>
            </w:r>
            <w:r>
              <w:rPr>
                <w:rFonts w:ascii="Times New Roman" w:hAnsi="Times New Roman" w:eastAsia="仿宋" w:cs="Times New Roman"/>
                <w:color w:val="000000"/>
                <w:kern w:val="0"/>
                <w:sz w:val="24"/>
                <w:szCs w:val="24"/>
                <w:highlight w:val="none"/>
                <w:lang w:bidi="ar"/>
              </w:rPr>
              <w:t>资金的拨付是否有完整的审批程序和手续；</w:t>
            </w:r>
            <w:r>
              <w:rPr>
                <w:rFonts w:hint="eastAsia" w:ascii="宋体" w:hAnsi="宋体" w:eastAsia="宋体" w:cs="宋体"/>
                <w:color w:val="000000"/>
                <w:kern w:val="0"/>
                <w:sz w:val="24"/>
                <w:szCs w:val="24"/>
                <w:highlight w:val="none"/>
                <w:lang w:bidi="ar"/>
              </w:rPr>
              <w:t>③</w:t>
            </w:r>
            <w:r>
              <w:rPr>
                <w:rFonts w:ascii="Times New Roman" w:hAnsi="Times New Roman" w:eastAsia="仿宋" w:cs="Times New Roman"/>
                <w:color w:val="000000"/>
                <w:kern w:val="0"/>
                <w:sz w:val="24"/>
                <w:szCs w:val="24"/>
                <w:highlight w:val="none"/>
                <w:lang w:bidi="ar"/>
              </w:rPr>
              <w:t>是否符合项目预算批复或文件规定的用途；</w:t>
            </w:r>
            <w:r>
              <w:rPr>
                <w:rFonts w:hint="eastAsia" w:ascii="宋体" w:hAnsi="宋体" w:eastAsia="宋体" w:cs="宋体"/>
                <w:color w:val="000000"/>
                <w:kern w:val="0"/>
                <w:sz w:val="24"/>
                <w:szCs w:val="24"/>
                <w:highlight w:val="none"/>
                <w:lang w:bidi="ar"/>
              </w:rPr>
              <w:t>④</w:t>
            </w:r>
            <w:r>
              <w:rPr>
                <w:rFonts w:ascii="Times New Roman" w:hAnsi="Times New Roman" w:eastAsia="仿宋" w:cs="Times New Roman"/>
                <w:color w:val="000000"/>
                <w:kern w:val="0"/>
                <w:sz w:val="24"/>
                <w:szCs w:val="24"/>
                <w:highlight w:val="none"/>
                <w:lang w:bidi="ar"/>
              </w:rPr>
              <w:t>是否存在截留、挤占、挪用、虚列支出等情况</w:t>
            </w:r>
            <w:r>
              <w:rPr>
                <w:rFonts w:hint="eastAsia" w:ascii="Times New Roman" w:hAnsi="Times New Roman" w:eastAsia="仿宋" w:cs="Times New Roman"/>
                <w:color w:val="000000"/>
                <w:kern w:val="0"/>
                <w:sz w:val="24"/>
                <w:szCs w:val="24"/>
                <w:highlight w:val="none"/>
                <w:lang w:bidi="ar"/>
              </w:rPr>
              <w:t>。</w:t>
            </w:r>
            <w:r>
              <w:rPr>
                <w:rFonts w:ascii="Times New Roman" w:hAnsi="Times New Roman" w:eastAsia="仿宋" w:cs="Times New Roman"/>
                <w:color w:val="000000"/>
                <w:kern w:val="0"/>
                <w:sz w:val="24"/>
                <w:szCs w:val="24"/>
                <w:highlight w:val="none"/>
                <w:lang w:bidi="ar"/>
              </w:rPr>
              <w:t>出现任一违规现象不得分。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1345" w:hRule="atLeast"/>
        </w:trPr>
        <w:tc>
          <w:tcPr>
            <w:tcW w:w="427"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p>
        </w:tc>
        <w:tc>
          <w:tcPr>
            <w:tcW w:w="454" w:type="pct"/>
            <w:vMerge w:val="restart"/>
            <w:shd w:val="clear" w:color="auto" w:fill="auto"/>
            <w:vAlign w:val="center"/>
          </w:tcPr>
          <w:p>
            <w:pPr>
              <w:spacing w:line="400" w:lineRule="exact"/>
              <w:jc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bidi="ar"/>
              </w:rPr>
              <w:t>B2组织实施（8）</w:t>
            </w:r>
          </w:p>
        </w:tc>
        <w:tc>
          <w:tcPr>
            <w:tcW w:w="459"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B21管理制度健全性</w:t>
            </w:r>
          </w:p>
        </w:tc>
        <w:tc>
          <w:tcPr>
            <w:tcW w:w="218" w:type="pct"/>
            <w:shd w:val="clear" w:color="auto" w:fill="auto"/>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val="en-US" w:eastAsia="zh-CN" w:bidi="ar"/>
              </w:rPr>
              <w:t>2</w:t>
            </w:r>
            <w:r>
              <w:rPr>
                <w:rFonts w:ascii="Times New Roman" w:hAnsi="Times New Roman" w:eastAsia="仿宋" w:cs="Times New Roman"/>
                <w:color w:val="000000"/>
                <w:kern w:val="0"/>
                <w:sz w:val="24"/>
                <w:szCs w:val="24"/>
                <w:highlight w:val="none"/>
                <w:lang w:bidi="ar"/>
              </w:rPr>
              <w:t>.00</w:t>
            </w:r>
          </w:p>
        </w:tc>
        <w:tc>
          <w:tcPr>
            <w:tcW w:w="346"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健全</w:t>
            </w:r>
          </w:p>
        </w:tc>
        <w:tc>
          <w:tcPr>
            <w:tcW w:w="1329"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项目实施单位的财务和业务管理制度是否健全，用以反映和考核财务和业务管理制度对项目顺利实施的保障情况。</w:t>
            </w:r>
          </w:p>
        </w:tc>
        <w:tc>
          <w:tcPr>
            <w:tcW w:w="1762"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①是否已制定或具有相应的财务和业务管理制度；②财务和业务管理制度是否合法、合规、完整。符合所有条件得满分；一项不符合，扣50%比例的分数。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9" w:hRule="atLeast"/>
        </w:trPr>
        <w:tc>
          <w:tcPr>
            <w:tcW w:w="427"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p>
        </w:tc>
        <w:tc>
          <w:tcPr>
            <w:tcW w:w="454" w:type="pct"/>
            <w:vMerge w:val="continue"/>
            <w:shd w:val="clear" w:color="auto" w:fill="auto"/>
            <w:vAlign w:val="center"/>
          </w:tcPr>
          <w:p>
            <w:pPr>
              <w:spacing w:line="400" w:lineRule="exact"/>
              <w:rPr>
                <w:rFonts w:ascii="仿宋" w:hAnsi="仿宋" w:eastAsia="仿宋" w:cs="宋体"/>
                <w:sz w:val="22"/>
                <w:highlight w:val="none"/>
              </w:rPr>
            </w:pPr>
          </w:p>
        </w:tc>
        <w:tc>
          <w:tcPr>
            <w:tcW w:w="459"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B22制度执行有效性</w:t>
            </w:r>
          </w:p>
        </w:tc>
        <w:tc>
          <w:tcPr>
            <w:tcW w:w="218" w:type="pct"/>
            <w:shd w:val="clear" w:color="auto" w:fill="auto"/>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val="en-US" w:eastAsia="zh-CN" w:bidi="ar"/>
              </w:rPr>
              <w:t>6</w:t>
            </w:r>
            <w:r>
              <w:rPr>
                <w:rFonts w:ascii="Times New Roman" w:hAnsi="Times New Roman" w:eastAsia="仿宋" w:cs="Times New Roman"/>
                <w:color w:val="000000"/>
                <w:kern w:val="0"/>
                <w:sz w:val="24"/>
                <w:szCs w:val="24"/>
                <w:highlight w:val="none"/>
                <w:lang w:bidi="ar"/>
              </w:rPr>
              <w:t>.00</w:t>
            </w:r>
          </w:p>
        </w:tc>
        <w:tc>
          <w:tcPr>
            <w:tcW w:w="346"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有效</w:t>
            </w:r>
          </w:p>
        </w:tc>
        <w:tc>
          <w:tcPr>
            <w:tcW w:w="1329"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项目实施是否符合相关管理规定，用以反映和考核相关管理制度的有效执行情况。</w:t>
            </w:r>
          </w:p>
        </w:tc>
        <w:tc>
          <w:tcPr>
            <w:tcW w:w="1762"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①是否遵守相关法律法规和相关管理规定；②项目调整及支出调整手续是否完备；③项目合同书、验收报告、技术鉴定等资料是否齐全并及时归档；④项目实施的人员条件、场地设备、信息支撑等是否落实到位。</w:t>
            </w:r>
            <w:r>
              <w:rPr>
                <w:rFonts w:ascii="Times New Roman" w:hAnsi="Times New Roman" w:eastAsia="仿宋" w:cs="Times New Roman"/>
                <w:color w:val="000000"/>
                <w:kern w:val="0"/>
                <w:sz w:val="24"/>
                <w:szCs w:val="24"/>
                <w:highlight w:val="none"/>
                <w:lang w:bidi="ar"/>
              </w:rPr>
              <w:t>存在一项未按规定执行的，扣权重分的</w:t>
            </w:r>
            <w:r>
              <w:rPr>
                <w:rFonts w:hint="eastAsia" w:ascii="Times New Roman" w:hAnsi="Times New Roman" w:eastAsia="仿宋" w:cs="Times New Roman"/>
                <w:color w:val="000000"/>
                <w:kern w:val="0"/>
                <w:sz w:val="24"/>
                <w:szCs w:val="24"/>
                <w:highlight w:val="none"/>
                <w:lang w:bidi="ar"/>
              </w:rPr>
              <w:t>25</w:t>
            </w:r>
            <w:r>
              <w:rPr>
                <w:rFonts w:ascii="Times New Roman" w:hAnsi="Times New Roman" w:eastAsia="仿宋" w:cs="Times New Roman"/>
                <w:color w:val="000000"/>
                <w:kern w:val="0"/>
                <w:sz w:val="24"/>
                <w:szCs w:val="24"/>
                <w:highlight w:val="none"/>
                <w:lang w:bidi="ar"/>
              </w:rPr>
              <w:t>%，扣完为止。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1017" w:hRule="atLeast"/>
        </w:trPr>
        <w:tc>
          <w:tcPr>
            <w:tcW w:w="427" w:type="pct"/>
            <w:vMerge w:val="restar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C产出（30）</w:t>
            </w:r>
          </w:p>
        </w:tc>
        <w:tc>
          <w:tcPr>
            <w:tcW w:w="454"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C1产出数量（</w:t>
            </w: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w:t>
            </w:r>
          </w:p>
        </w:tc>
        <w:tc>
          <w:tcPr>
            <w:tcW w:w="459"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C11</w:t>
            </w:r>
            <w:r>
              <w:rPr>
                <w:rFonts w:hint="eastAsia" w:ascii="Times New Roman" w:hAnsi="Times New Roman" w:eastAsia="仿宋" w:cs="Times New Roman"/>
                <w:color w:val="000000"/>
                <w:sz w:val="24"/>
                <w:szCs w:val="24"/>
                <w:highlight w:val="none"/>
                <w:lang w:val="en-US" w:eastAsia="zh-CN"/>
              </w:rPr>
              <w:t>项目完成情况</w:t>
            </w:r>
          </w:p>
        </w:tc>
        <w:tc>
          <w:tcPr>
            <w:tcW w:w="218"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8.</w:t>
            </w:r>
            <w:r>
              <w:rPr>
                <w:rFonts w:ascii="Times New Roman" w:hAnsi="Times New Roman" w:eastAsia="仿宋" w:cs="Times New Roman"/>
                <w:color w:val="000000"/>
                <w:sz w:val="24"/>
                <w:szCs w:val="24"/>
                <w:highlight w:val="none"/>
              </w:rPr>
              <w:t>00</w:t>
            </w:r>
          </w:p>
        </w:tc>
        <w:tc>
          <w:tcPr>
            <w:tcW w:w="346" w:type="pct"/>
            <w:shd w:val="clear" w:color="auto" w:fill="auto"/>
            <w:vAlign w:val="center"/>
          </w:tcPr>
          <w:p>
            <w:pPr>
              <w:spacing w:line="400" w:lineRule="exact"/>
              <w:jc w:val="center"/>
              <w:rPr>
                <w:rFonts w:hint="eastAsia"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000000"/>
                <w:sz w:val="24"/>
                <w:szCs w:val="24"/>
                <w:highlight w:val="none"/>
                <w:lang w:val="en-US" w:eastAsia="zh-CN"/>
              </w:rPr>
              <w:t>完成</w:t>
            </w:r>
          </w:p>
        </w:tc>
        <w:tc>
          <w:tcPr>
            <w:tcW w:w="1329"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评价项目完成目标的实现程度，是否符合项目计划和文件规定中的预期总目标。</w:t>
            </w:r>
          </w:p>
        </w:tc>
        <w:tc>
          <w:tcPr>
            <w:tcW w:w="1762"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子项目全部完成，得满分；出现1个子项目未完成未建成扣20%权重分，扣完为止</w:t>
            </w:r>
            <w:r>
              <w:rPr>
                <w:rFonts w:hint="eastAsia" w:ascii="Times New Roman" w:hAnsi="Times New Roman" w:eastAsia="仿宋" w:cs="Times New Roman"/>
                <w:color w:val="00000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9" w:hRule="atLeast"/>
        </w:trPr>
        <w:tc>
          <w:tcPr>
            <w:tcW w:w="427" w:type="pct"/>
            <w:vMerge w:val="continue"/>
            <w:shd w:val="clear" w:color="auto" w:fill="auto"/>
          </w:tcPr>
          <w:p>
            <w:pPr>
              <w:spacing w:line="400" w:lineRule="exact"/>
              <w:jc w:val="center"/>
              <w:rPr>
                <w:rFonts w:ascii="Times New Roman" w:hAnsi="Times New Roman" w:eastAsia="仿宋" w:cs="Times New Roman"/>
                <w:color w:val="000000"/>
                <w:sz w:val="24"/>
                <w:szCs w:val="24"/>
                <w:highlight w:val="none"/>
              </w:rPr>
            </w:pPr>
          </w:p>
        </w:tc>
        <w:tc>
          <w:tcPr>
            <w:tcW w:w="454"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C2产出质量（</w:t>
            </w: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w:t>
            </w:r>
          </w:p>
        </w:tc>
        <w:tc>
          <w:tcPr>
            <w:tcW w:w="459"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C2</w:t>
            </w:r>
            <w:r>
              <w:rPr>
                <w:rFonts w:hint="eastAsia" w:ascii="Times New Roman" w:hAnsi="Times New Roman" w:eastAsia="仿宋" w:cs="Times New Roman"/>
                <w:color w:val="000000"/>
                <w:sz w:val="24"/>
                <w:szCs w:val="24"/>
                <w:highlight w:val="none"/>
              </w:rPr>
              <w:t>1</w:t>
            </w:r>
            <w:r>
              <w:rPr>
                <w:rFonts w:ascii="Times New Roman" w:hAnsi="Times New Roman" w:eastAsia="仿宋" w:cs="Times New Roman"/>
                <w:color w:val="000000"/>
                <w:sz w:val="24"/>
                <w:szCs w:val="24"/>
                <w:highlight w:val="none"/>
              </w:rPr>
              <w:t>质量达标情况</w:t>
            </w:r>
          </w:p>
        </w:tc>
        <w:tc>
          <w:tcPr>
            <w:tcW w:w="218"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.00</w:t>
            </w:r>
          </w:p>
        </w:tc>
        <w:tc>
          <w:tcPr>
            <w:tcW w:w="346"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合格</w:t>
            </w:r>
          </w:p>
        </w:tc>
        <w:tc>
          <w:tcPr>
            <w:tcW w:w="1329" w:type="pct"/>
            <w:shd w:val="clear" w:color="auto" w:fill="auto"/>
            <w:vAlign w:val="center"/>
          </w:tcPr>
          <w:p>
            <w:pPr>
              <w:spacing w:line="400" w:lineRule="exact"/>
              <w:jc w:val="center"/>
              <w:rPr>
                <w:rFonts w:ascii="Times New Roman" w:hAnsi="Times New Roman" w:eastAsia="仿宋" w:cs="Times New Roman"/>
                <w:color w:val="000000"/>
                <w:kern w:val="0"/>
                <w:sz w:val="24"/>
                <w:szCs w:val="24"/>
                <w:highlight w:val="none"/>
                <w:lang w:bidi="ar"/>
              </w:rPr>
            </w:pPr>
            <w:r>
              <w:rPr>
                <w:rFonts w:ascii="Times New Roman" w:hAnsi="Times New Roman" w:eastAsia="仿宋" w:cs="Times New Roman"/>
                <w:color w:val="000000"/>
                <w:kern w:val="0"/>
                <w:sz w:val="24"/>
                <w:szCs w:val="24"/>
                <w:highlight w:val="none"/>
                <w:lang w:bidi="ar"/>
              </w:rPr>
              <w:t>考核项目的质量是否达到国家、省市级</w:t>
            </w:r>
            <w:r>
              <w:rPr>
                <w:rFonts w:hint="eastAsia" w:ascii="Times New Roman" w:hAnsi="Times New Roman" w:eastAsia="仿宋" w:cs="Times New Roman"/>
                <w:color w:val="000000"/>
                <w:kern w:val="0"/>
                <w:sz w:val="24"/>
                <w:szCs w:val="24"/>
                <w:highlight w:val="none"/>
                <w:lang w:val="en-US" w:eastAsia="zh-CN" w:bidi="ar"/>
              </w:rPr>
              <w:t>要求</w:t>
            </w:r>
            <w:r>
              <w:rPr>
                <w:rFonts w:ascii="Times New Roman" w:hAnsi="Times New Roman" w:eastAsia="仿宋" w:cs="Times New Roman"/>
                <w:color w:val="000000"/>
                <w:kern w:val="0"/>
                <w:sz w:val="24"/>
                <w:szCs w:val="24"/>
                <w:highlight w:val="none"/>
                <w:lang w:bidi="ar"/>
              </w:rPr>
              <w:t>、</w:t>
            </w:r>
            <w:r>
              <w:rPr>
                <w:rFonts w:hint="eastAsia" w:ascii="Times New Roman" w:hAnsi="Times New Roman" w:eastAsia="仿宋" w:cs="Times New Roman"/>
                <w:color w:val="000000"/>
                <w:kern w:val="0"/>
                <w:sz w:val="24"/>
                <w:szCs w:val="24"/>
                <w:highlight w:val="none"/>
                <w:lang w:val="en-US" w:eastAsia="zh-CN" w:bidi="ar"/>
              </w:rPr>
              <w:t>是否符合</w:t>
            </w:r>
            <w:r>
              <w:rPr>
                <w:rFonts w:ascii="Times New Roman" w:hAnsi="Times New Roman" w:eastAsia="仿宋" w:cs="Times New Roman"/>
                <w:color w:val="000000"/>
                <w:kern w:val="0"/>
                <w:sz w:val="24"/>
                <w:szCs w:val="24"/>
                <w:highlight w:val="none"/>
                <w:lang w:bidi="ar"/>
              </w:rPr>
              <w:t>合同规定</w:t>
            </w:r>
            <w:r>
              <w:rPr>
                <w:rFonts w:hint="eastAsia" w:ascii="Times New Roman" w:hAnsi="Times New Roman" w:eastAsia="仿宋" w:cs="Times New Roman"/>
                <w:color w:val="000000"/>
                <w:kern w:val="0"/>
                <w:sz w:val="24"/>
                <w:szCs w:val="24"/>
                <w:highlight w:val="none"/>
                <w:lang w:bidi="ar"/>
              </w:rPr>
              <w:t>。</w:t>
            </w:r>
          </w:p>
        </w:tc>
        <w:tc>
          <w:tcPr>
            <w:tcW w:w="1762" w:type="pct"/>
            <w:shd w:val="clear" w:color="auto" w:fill="auto"/>
            <w:vAlign w:val="center"/>
          </w:tcPr>
          <w:p>
            <w:pPr>
              <w:spacing w:line="400" w:lineRule="exact"/>
              <w:jc w:val="center"/>
              <w:rPr>
                <w:rFonts w:ascii="宋体" w:hAnsi="宋体" w:eastAsia="仿宋" w:cs="宋体"/>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bidi="ar"/>
              </w:rPr>
              <w:t>①</w:t>
            </w:r>
            <w:r>
              <w:rPr>
                <w:rFonts w:ascii="Times New Roman" w:hAnsi="Times New Roman" w:eastAsia="仿宋" w:cs="Times New Roman"/>
                <w:color w:val="000000"/>
                <w:kern w:val="0"/>
                <w:sz w:val="24"/>
                <w:szCs w:val="24"/>
                <w:highlight w:val="none"/>
                <w:lang w:bidi="ar"/>
              </w:rPr>
              <w:t>项目全部验收质量达标得满分；</w:t>
            </w:r>
            <w:r>
              <w:rPr>
                <w:rFonts w:hint="eastAsia" w:ascii="宋体" w:hAnsi="宋体" w:eastAsia="宋体" w:cs="宋体"/>
                <w:color w:val="000000"/>
                <w:kern w:val="0"/>
                <w:sz w:val="24"/>
                <w:szCs w:val="24"/>
                <w:highlight w:val="none"/>
                <w:lang w:bidi="ar"/>
              </w:rPr>
              <w:t>②</w:t>
            </w:r>
            <w:r>
              <w:rPr>
                <w:rFonts w:hint="eastAsia" w:ascii="Times New Roman" w:hAnsi="Times New Roman" w:eastAsia="仿宋" w:cs="Times New Roman"/>
                <w:color w:val="000000"/>
                <w:kern w:val="0"/>
                <w:sz w:val="24"/>
                <w:szCs w:val="24"/>
                <w:highlight w:val="none"/>
                <w:lang w:val="en-US" w:eastAsia="zh-CN" w:bidi="ar"/>
              </w:rPr>
              <w:t>出现一项质量不合格或者未验收的扣2分</w:t>
            </w:r>
            <w:r>
              <w:rPr>
                <w:rFonts w:hint="eastAsia" w:ascii="Times New Roman" w:hAnsi="Times New Roman" w:eastAsia="仿宋" w:cs="Times New Roman"/>
                <w:color w:val="000000"/>
                <w:sz w:val="24"/>
                <w:szCs w:val="24"/>
                <w:highlight w:val="none"/>
                <w:lang w:eastAsia="zh-CN"/>
              </w:rPr>
              <w:t>，</w:t>
            </w:r>
            <w:r>
              <w:rPr>
                <w:rFonts w:hint="eastAsia" w:ascii="Times New Roman" w:hAnsi="Times New Roman" w:eastAsia="仿宋" w:cs="Times New Roman"/>
                <w:color w:val="000000"/>
                <w:sz w:val="24"/>
                <w:szCs w:val="24"/>
                <w:highlight w:val="none"/>
                <w:lang w:val="en-US" w:eastAsia="zh-CN"/>
              </w:rPr>
              <w:t>扣完为止</w:t>
            </w:r>
            <w:r>
              <w:rPr>
                <w:rFonts w:hint="eastAsia" w:ascii="Times New Roman" w:hAnsi="Times New Roman" w:eastAsia="仿宋" w:cs="Times New Roman"/>
                <w:color w:val="000000"/>
                <w:kern w:val="0"/>
                <w:sz w:val="24"/>
                <w:szCs w:val="24"/>
                <w:highlight w:val="none"/>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1017" w:hRule="atLeast"/>
        </w:trPr>
        <w:tc>
          <w:tcPr>
            <w:tcW w:w="427" w:type="pct"/>
            <w:vMerge w:val="continue"/>
            <w:shd w:val="clear" w:color="auto" w:fill="auto"/>
          </w:tcPr>
          <w:p>
            <w:pPr>
              <w:spacing w:line="400" w:lineRule="exact"/>
              <w:jc w:val="center"/>
              <w:rPr>
                <w:rFonts w:ascii="Times New Roman" w:hAnsi="Times New Roman" w:eastAsia="仿宋" w:cs="Times New Roman"/>
                <w:color w:val="000000"/>
                <w:sz w:val="24"/>
                <w:szCs w:val="24"/>
                <w:highlight w:val="none"/>
              </w:rPr>
            </w:pPr>
          </w:p>
        </w:tc>
        <w:tc>
          <w:tcPr>
            <w:tcW w:w="454" w:type="pct"/>
            <w:vMerge w:val="restar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C3产出时效（</w:t>
            </w: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w:t>
            </w:r>
          </w:p>
        </w:tc>
        <w:tc>
          <w:tcPr>
            <w:tcW w:w="459"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C31</w:t>
            </w:r>
            <w:r>
              <w:rPr>
                <w:rFonts w:ascii="Times New Roman" w:hAnsi="Times New Roman" w:eastAsia="仿宋" w:cs="Times New Roman"/>
                <w:color w:val="000000"/>
                <w:sz w:val="24"/>
                <w:szCs w:val="24"/>
                <w:highlight w:val="none"/>
              </w:rPr>
              <w:t>项目完工及时性</w:t>
            </w:r>
          </w:p>
        </w:tc>
        <w:tc>
          <w:tcPr>
            <w:tcW w:w="218"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4</w:t>
            </w:r>
            <w:r>
              <w:rPr>
                <w:rFonts w:ascii="Times New Roman" w:hAnsi="Times New Roman" w:eastAsia="仿宋" w:cs="Times New Roman"/>
                <w:color w:val="000000"/>
                <w:sz w:val="24"/>
                <w:szCs w:val="24"/>
                <w:highlight w:val="none"/>
              </w:rPr>
              <w:t>.00</w:t>
            </w:r>
          </w:p>
        </w:tc>
        <w:tc>
          <w:tcPr>
            <w:tcW w:w="346"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100%</w:t>
            </w:r>
          </w:p>
        </w:tc>
        <w:tc>
          <w:tcPr>
            <w:tcW w:w="1329"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kern w:val="0"/>
                <w:sz w:val="24"/>
                <w:szCs w:val="24"/>
                <w:highlight w:val="none"/>
              </w:rPr>
              <w:t>反映和考核项目完成是否按项目计划要求时限及时完成，项目完成及时率=计划工期/实际工期*100%</w:t>
            </w:r>
          </w:p>
        </w:tc>
        <w:tc>
          <w:tcPr>
            <w:tcW w:w="1762"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kern w:val="0"/>
                <w:sz w:val="24"/>
                <w:szCs w:val="24"/>
                <w:highlight w:val="none"/>
              </w:rPr>
              <w:t>项目完成及时率=（计划工期/实际工期）*100%；当完成及时率≥100%时得满分，低于60%时得0分，其余情况的实际得分=完成及时率*</w:t>
            </w:r>
            <w:r>
              <w:rPr>
                <w:rFonts w:hint="eastAsia" w:ascii="Times New Roman" w:hAnsi="Times New Roman" w:eastAsia="仿宋" w:cs="Times New Roman"/>
                <w:kern w:val="0"/>
                <w:sz w:val="24"/>
                <w:szCs w:val="24"/>
                <w:highlight w:val="none"/>
                <w:lang w:val="en-US" w:eastAsia="zh-CN"/>
              </w:rPr>
              <w:t>4</w:t>
            </w:r>
            <w:r>
              <w:rPr>
                <w:rFonts w:ascii="Times New Roman" w:hAnsi="Times New Roman" w:eastAsia="仿宋" w:cs="Times New Roman"/>
                <w:kern w:val="0"/>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9" w:hRule="atLeast"/>
        </w:trPr>
        <w:tc>
          <w:tcPr>
            <w:tcW w:w="427" w:type="pct"/>
            <w:vMerge w:val="continue"/>
            <w:shd w:val="clear" w:color="auto" w:fill="auto"/>
          </w:tcPr>
          <w:p>
            <w:pPr>
              <w:spacing w:line="400" w:lineRule="exact"/>
              <w:jc w:val="center"/>
              <w:rPr>
                <w:rFonts w:ascii="Times New Roman" w:hAnsi="Times New Roman" w:eastAsia="仿宋" w:cs="Times New Roman"/>
                <w:color w:val="000000"/>
                <w:sz w:val="24"/>
                <w:szCs w:val="24"/>
                <w:highlight w:val="none"/>
              </w:rPr>
            </w:pPr>
          </w:p>
        </w:tc>
        <w:tc>
          <w:tcPr>
            <w:tcW w:w="454" w:type="pct"/>
            <w:vMerge w:val="continue"/>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p>
        </w:tc>
        <w:tc>
          <w:tcPr>
            <w:tcW w:w="459"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C32项目验收及时性</w:t>
            </w:r>
          </w:p>
        </w:tc>
        <w:tc>
          <w:tcPr>
            <w:tcW w:w="218"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4</w:t>
            </w:r>
            <w:r>
              <w:rPr>
                <w:rFonts w:hint="eastAsia" w:ascii="Times New Roman" w:hAnsi="Times New Roman" w:eastAsia="仿宋" w:cs="Times New Roman"/>
                <w:color w:val="000000"/>
                <w:sz w:val="24"/>
                <w:szCs w:val="24"/>
                <w:highlight w:val="none"/>
              </w:rPr>
              <w:t>.00</w:t>
            </w:r>
          </w:p>
        </w:tc>
        <w:tc>
          <w:tcPr>
            <w:tcW w:w="346"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及时</w:t>
            </w:r>
          </w:p>
        </w:tc>
        <w:tc>
          <w:tcPr>
            <w:tcW w:w="1329" w:type="pct"/>
            <w:shd w:val="clear" w:color="auto" w:fill="auto"/>
            <w:vAlign w:val="center"/>
          </w:tcPr>
          <w:p>
            <w:pPr>
              <w:spacing w:line="400" w:lineRule="exact"/>
              <w:jc w:val="center"/>
              <w:rPr>
                <w:rFonts w:ascii="Times New Roman" w:hAnsi="Times New Roman" w:eastAsia="仿宋" w:cs="Times New Roman"/>
                <w:kern w:val="0"/>
                <w:sz w:val="24"/>
                <w:szCs w:val="24"/>
                <w:highlight w:val="none"/>
              </w:rPr>
            </w:pPr>
            <w:r>
              <w:rPr>
                <w:rFonts w:ascii="Times New Roman" w:hAnsi="Times New Roman" w:eastAsia="仿宋" w:cs="Times New Roman"/>
                <w:color w:val="000000"/>
                <w:kern w:val="0"/>
                <w:sz w:val="24"/>
                <w:szCs w:val="24"/>
                <w:highlight w:val="none"/>
                <w:lang w:bidi="ar"/>
              </w:rPr>
              <w:t>分析评价项目验收是否及时。</w:t>
            </w:r>
          </w:p>
        </w:tc>
        <w:tc>
          <w:tcPr>
            <w:tcW w:w="1762" w:type="pct"/>
            <w:shd w:val="clear" w:color="auto" w:fill="auto"/>
            <w:vAlign w:val="center"/>
          </w:tcPr>
          <w:p>
            <w:pPr>
              <w:spacing w:line="400" w:lineRule="exact"/>
              <w:jc w:val="center"/>
              <w:rPr>
                <w:rFonts w:ascii="Times New Roman" w:hAnsi="Times New Roman" w:eastAsia="仿宋" w:cs="Times New Roman"/>
                <w:kern w:val="0"/>
                <w:sz w:val="24"/>
                <w:szCs w:val="24"/>
                <w:highlight w:val="none"/>
              </w:rPr>
            </w:pPr>
            <w:r>
              <w:rPr>
                <w:rFonts w:hint="eastAsia" w:ascii="宋体" w:hAnsi="宋体" w:eastAsia="宋体" w:cs="宋体"/>
                <w:color w:val="000000"/>
                <w:kern w:val="0"/>
                <w:sz w:val="24"/>
                <w:szCs w:val="24"/>
                <w:highlight w:val="none"/>
                <w:lang w:bidi="ar"/>
              </w:rPr>
              <w:t>①</w:t>
            </w:r>
            <w:r>
              <w:rPr>
                <w:rFonts w:ascii="Times New Roman" w:hAnsi="Times New Roman" w:eastAsia="仿宋" w:cs="Times New Roman"/>
                <w:color w:val="000000"/>
                <w:kern w:val="0"/>
                <w:sz w:val="24"/>
                <w:szCs w:val="24"/>
                <w:highlight w:val="none"/>
                <w:lang w:bidi="ar"/>
              </w:rPr>
              <w:t>项目在规定时间内及时验收得</w:t>
            </w:r>
            <w:r>
              <w:rPr>
                <w:rFonts w:hint="eastAsia" w:ascii="Times New Roman" w:hAnsi="Times New Roman" w:eastAsia="仿宋" w:cs="Times New Roman"/>
                <w:color w:val="000000"/>
                <w:kern w:val="0"/>
                <w:sz w:val="24"/>
                <w:szCs w:val="24"/>
                <w:highlight w:val="none"/>
                <w:lang w:val="en-US" w:eastAsia="zh-CN" w:bidi="ar"/>
              </w:rPr>
              <w:t>2</w:t>
            </w:r>
            <w:r>
              <w:rPr>
                <w:rFonts w:ascii="Times New Roman" w:hAnsi="Times New Roman" w:eastAsia="仿宋" w:cs="Times New Roman"/>
                <w:color w:val="000000"/>
                <w:kern w:val="0"/>
                <w:sz w:val="24"/>
                <w:szCs w:val="24"/>
                <w:highlight w:val="none"/>
                <w:lang w:bidi="ar"/>
              </w:rPr>
              <w:t>分；</w:t>
            </w:r>
            <w:r>
              <w:rPr>
                <w:rFonts w:hint="eastAsia" w:ascii="宋体" w:hAnsi="宋体" w:eastAsia="宋体" w:cs="宋体"/>
                <w:color w:val="000000"/>
                <w:kern w:val="0"/>
                <w:sz w:val="24"/>
                <w:szCs w:val="24"/>
                <w:highlight w:val="none"/>
                <w:lang w:bidi="ar"/>
              </w:rPr>
              <w:t>②</w:t>
            </w:r>
            <w:r>
              <w:rPr>
                <w:rFonts w:ascii="Times New Roman" w:hAnsi="Times New Roman" w:eastAsia="仿宋" w:cs="Times New Roman"/>
                <w:color w:val="000000"/>
                <w:kern w:val="0"/>
                <w:sz w:val="24"/>
                <w:szCs w:val="24"/>
                <w:highlight w:val="none"/>
                <w:lang w:bidi="ar"/>
              </w:rPr>
              <w:t>不影响项目的资金拨付进度得</w:t>
            </w:r>
            <w:r>
              <w:rPr>
                <w:rFonts w:hint="eastAsia" w:ascii="Times New Roman" w:hAnsi="Times New Roman" w:eastAsia="仿宋" w:cs="Times New Roman"/>
                <w:color w:val="000000"/>
                <w:kern w:val="0"/>
                <w:sz w:val="24"/>
                <w:szCs w:val="24"/>
                <w:highlight w:val="none"/>
                <w:lang w:val="en-US" w:eastAsia="zh-CN" w:bidi="ar"/>
              </w:rPr>
              <w:t>2</w:t>
            </w:r>
            <w:r>
              <w:rPr>
                <w:rFonts w:ascii="Times New Roman" w:hAnsi="Times New Roman" w:eastAsia="仿宋" w:cs="Times New Roman"/>
                <w:color w:val="000000"/>
                <w:kern w:val="0"/>
                <w:sz w:val="24"/>
                <w:szCs w:val="24"/>
                <w:highlight w:val="none"/>
                <w:lang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9" w:hRule="atLeast"/>
        </w:trPr>
        <w:tc>
          <w:tcPr>
            <w:tcW w:w="427" w:type="pct"/>
            <w:vMerge w:val="continue"/>
            <w:shd w:val="clear" w:color="auto" w:fill="auto"/>
          </w:tcPr>
          <w:p>
            <w:pPr>
              <w:spacing w:line="400" w:lineRule="exact"/>
              <w:jc w:val="center"/>
              <w:rPr>
                <w:rFonts w:ascii="Times New Roman" w:hAnsi="Times New Roman" w:eastAsia="仿宋" w:cs="Times New Roman"/>
                <w:color w:val="000000"/>
                <w:sz w:val="24"/>
                <w:szCs w:val="24"/>
                <w:highlight w:val="none"/>
              </w:rPr>
            </w:pPr>
          </w:p>
        </w:tc>
        <w:tc>
          <w:tcPr>
            <w:tcW w:w="454" w:type="pct"/>
            <w:shd w:val="clear" w:color="auto" w:fill="auto"/>
            <w:vAlign w:val="center"/>
          </w:tcPr>
          <w:p>
            <w:pPr>
              <w:spacing w:line="400" w:lineRule="exact"/>
              <w:jc w:val="center"/>
              <w:rPr>
                <w:rFonts w:ascii="Times New Roman" w:hAnsi="Times New Roman" w:eastAsia="仿宋" w:cs="Times New Roman"/>
                <w:color w:val="auto"/>
                <w:sz w:val="24"/>
                <w:szCs w:val="24"/>
                <w:highlight w:val="none"/>
              </w:rPr>
            </w:pPr>
            <w:r>
              <w:rPr>
                <w:rFonts w:hint="eastAsia" w:ascii="Times New Roman" w:hAnsi="Times New Roman" w:eastAsia="仿宋" w:cs="Times New Roman"/>
                <w:color w:val="auto"/>
                <w:sz w:val="24"/>
                <w:szCs w:val="24"/>
                <w:highlight w:val="none"/>
              </w:rPr>
              <w:t>C4产出成本（</w:t>
            </w:r>
            <w:r>
              <w:rPr>
                <w:rFonts w:hint="eastAsia" w:ascii="Times New Roman" w:hAnsi="Times New Roman" w:eastAsia="仿宋" w:cs="Times New Roman"/>
                <w:color w:val="auto"/>
                <w:sz w:val="24"/>
                <w:szCs w:val="24"/>
                <w:highlight w:val="none"/>
                <w:lang w:val="en-US" w:eastAsia="zh-CN"/>
              </w:rPr>
              <w:t>6</w:t>
            </w:r>
            <w:r>
              <w:rPr>
                <w:rFonts w:hint="eastAsia" w:ascii="Times New Roman" w:hAnsi="Times New Roman" w:eastAsia="仿宋" w:cs="Times New Roman"/>
                <w:color w:val="auto"/>
                <w:sz w:val="24"/>
                <w:szCs w:val="24"/>
                <w:highlight w:val="none"/>
              </w:rPr>
              <w:t>）</w:t>
            </w:r>
          </w:p>
        </w:tc>
        <w:tc>
          <w:tcPr>
            <w:tcW w:w="459" w:type="pct"/>
            <w:shd w:val="clear" w:color="auto" w:fill="auto"/>
            <w:vAlign w:val="center"/>
          </w:tcPr>
          <w:p>
            <w:pPr>
              <w:spacing w:line="400" w:lineRule="exact"/>
              <w:jc w:val="center"/>
              <w:rPr>
                <w:rFonts w:hint="eastAsia" w:ascii="Times New Roman" w:hAnsi="Times New Roman" w:eastAsia="仿宋" w:cs="Times New Roman"/>
                <w:color w:val="000000"/>
                <w:sz w:val="24"/>
                <w:szCs w:val="24"/>
                <w:highlight w:val="none"/>
                <w:lang w:eastAsia="zh-CN"/>
              </w:rPr>
            </w:pPr>
            <w:r>
              <w:rPr>
                <w:rFonts w:hint="eastAsia" w:ascii="Times New Roman" w:hAnsi="Times New Roman" w:eastAsia="仿宋" w:cs="Times New Roman"/>
                <w:color w:val="000000"/>
                <w:sz w:val="24"/>
                <w:szCs w:val="24"/>
                <w:highlight w:val="none"/>
              </w:rPr>
              <w:t>C41成本</w:t>
            </w:r>
            <w:r>
              <w:rPr>
                <w:rFonts w:hint="eastAsia" w:ascii="Times New Roman" w:hAnsi="Times New Roman" w:eastAsia="仿宋" w:cs="Times New Roman"/>
                <w:color w:val="000000"/>
                <w:sz w:val="24"/>
                <w:szCs w:val="24"/>
                <w:highlight w:val="none"/>
                <w:lang w:val="en-US" w:eastAsia="zh-CN"/>
              </w:rPr>
              <w:t>控制</w:t>
            </w:r>
          </w:p>
        </w:tc>
        <w:tc>
          <w:tcPr>
            <w:tcW w:w="218"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6</w:t>
            </w:r>
            <w:r>
              <w:rPr>
                <w:rFonts w:ascii="Times New Roman" w:hAnsi="Times New Roman" w:eastAsia="仿宋" w:cs="Times New Roman"/>
                <w:color w:val="000000"/>
                <w:sz w:val="24"/>
                <w:szCs w:val="24"/>
                <w:highlight w:val="none"/>
              </w:rPr>
              <w:t>.00</w:t>
            </w:r>
          </w:p>
        </w:tc>
        <w:tc>
          <w:tcPr>
            <w:tcW w:w="346"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≥0%</w:t>
            </w:r>
          </w:p>
        </w:tc>
        <w:tc>
          <w:tcPr>
            <w:tcW w:w="1329"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分析评价项目的成本是否控制在预算内，成本节约率=（总费用预算支出额-费用实际支出额）/总费用预算支出额*100%。</w:t>
            </w:r>
          </w:p>
        </w:tc>
        <w:tc>
          <w:tcPr>
            <w:tcW w:w="1762"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成本控制在预算内，成本节约率大于0%，得满分，否则，</w:t>
            </w:r>
            <w:r>
              <w:rPr>
                <w:rFonts w:hint="eastAsia" w:ascii="Times New Roman" w:hAnsi="Times New Roman" w:eastAsia="仿宋" w:cs="Times New Roman"/>
                <w:color w:val="000000"/>
                <w:sz w:val="24"/>
                <w:szCs w:val="24"/>
                <w:highlight w:val="none"/>
              </w:rPr>
              <w:t>每增加1%，扣0.5分，扣完为止。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9" w:hRule="atLeast"/>
        </w:trPr>
        <w:tc>
          <w:tcPr>
            <w:tcW w:w="427" w:type="pct"/>
            <w:vMerge w:val="restart"/>
            <w:shd w:val="clear" w:color="auto" w:fill="auto"/>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rPr>
              <w:t>效益（30）</w:t>
            </w:r>
          </w:p>
        </w:tc>
        <w:tc>
          <w:tcPr>
            <w:tcW w:w="454"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D1经济效益（5）</w:t>
            </w:r>
          </w:p>
        </w:tc>
        <w:tc>
          <w:tcPr>
            <w:tcW w:w="459"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D11年纯收益提升</w:t>
            </w:r>
          </w:p>
        </w:tc>
        <w:tc>
          <w:tcPr>
            <w:tcW w:w="218"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5.00</w:t>
            </w:r>
          </w:p>
        </w:tc>
        <w:tc>
          <w:tcPr>
            <w:tcW w:w="346"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提升</w:t>
            </w:r>
          </w:p>
        </w:tc>
        <w:tc>
          <w:tcPr>
            <w:tcW w:w="1329"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评价项目的经济效益。</w:t>
            </w:r>
          </w:p>
        </w:tc>
        <w:tc>
          <w:tcPr>
            <w:tcW w:w="1762"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经济效益较好，得100%权重分；经济效益一般，得50%权重分；经济效益较差，不得分。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9" w:hRule="atLeast"/>
        </w:trPr>
        <w:tc>
          <w:tcPr>
            <w:tcW w:w="427" w:type="pct"/>
            <w:vMerge w:val="continue"/>
            <w:shd w:val="clear" w:color="auto" w:fill="auto"/>
            <w:vAlign w:val="center"/>
          </w:tcPr>
          <w:p>
            <w:pPr>
              <w:widowControl/>
              <w:spacing w:line="400" w:lineRule="exact"/>
              <w:jc w:val="center"/>
              <w:textAlignment w:val="center"/>
              <w:rPr>
                <w:rFonts w:hint="eastAsia" w:ascii="Times New Roman" w:hAnsi="Times New Roman" w:eastAsia="仿宋" w:cs="Times New Roman"/>
                <w:sz w:val="24"/>
                <w:szCs w:val="24"/>
                <w:highlight w:val="none"/>
              </w:rPr>
            </w:pPr>
          </w:p>
        </w:tc>
        <w:tc>
          <w:tcPr>
            <w:tcW w:w="454" w:type="pct"/>
            <w:vMerge w:val="restart"/>
            <w:shd w:val="clear" w:color="auto" w:fill="auto"/>
            <w:vAlign w:val="center"/>
          </w:tcPr>
          <w:p>
            <w:pPr>
              <w:widowControl/>
              <w:spacing w:line="400" w:lineRule="exact"/>
              <w:jc w:val="center"/>
              <w:textAlignment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D2社会效益(10)</w:t>
            </w:r>
          </w:p>
        </w:tc>
        <w:tc>
          <w:tcPr>
            <w:tcW w:w="459"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D21新增耕地面积</w:t>
            </w:r>
          </w:p>
        </w:tc>
        <w:tc>
          <w:tcPr>
            <w:tcW w:w="218"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5.00</w:t>
            </w:r>
          </w:p>
        </w:tc>
        <w:tc>
          <w:tcPr>
            <w:tcW w:w="346" w:type="pct"/>
            <w:shd w:val="clear" w:color="auto" w:fill="auto"/>
            <w:vAlign w:val="center"/>
          </w:tcPr>
          <w:p>
            <w:pPr>
              <w:widowControl/>
              <w:spacing w:line="400" w:lineRule="exact"/>
              <w:jc w:val="center"/>
              <w:textAlignment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w:t>
            </w:r>
            <w:r>
              <w:rPr>
                <w:rFonts w:hint="eastAsia" w:ascii="Times New Roman" w:hAnsi="Times New Roman" w:eastAsia="仿宋" w:cs="Times New Roman"/>
                <w:kern w:val="0"/>
                <w:sz w:val="28"/>
                <w:szCs w:val="28"/>
                <w:shd w:val="clear" w:color="auto" w:fill="FFFFFF"/>
                <w:lang w:val="en-US" w:eastAsia="zh-CN"/>
              </w:rPr>
              <w:t>≥4.1012公顷</w:t>
            </w:r>
          </w:p>
        </w:tc>
        <w:tc>
          <w:tcPr>
            <w:tcW w:w="1329"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评价项目的社会效益。</w:t>
            </w:r>
          </w:p>
        </w:tc>
        <w:tc>
          <w:tcPr>
            <w:tcW w:w="1762"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社会效益较好，得100%权重分；社会效益一般，得50%权重分；社会效益较差，不得分。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9" w:hRule="atLeast"/>
        </w:trPr>
        <w:tc>
          <w:tcPr>
            <w:tcW w:w="427" w:type="pct"/>
            <w:vMerge w:val="continue"/>
            <w:shd w:val="clear" w:color="auto" w:fill="auto"/>
            <w:vAlign w:val="center"/>
          </w:tcPr>
          <w:p>
            <w:pPr>
              <w:widowControl/>
              <w:spacing w:line="400" w:lineRule="exact"/>
              <w:jc w:val="center"/>
              <w:textAlignment w:val="center"/>
              <w:rPr>
                <w:rFonts w:hint="eastAsia" w:ascii="Times New Roman" w:hAnsi="Times New Roman" w:eastAsia="仿宋" w:cs="Times New Roman"/>
                <w:sz w:val="24"/>
                <w:szCs w:val="24"/>
                <w:highlight w:val="none"/>
              </w:rPr>
            </w:pPr>
          </w:p>
        </w:tc>
        <w:tc>
          <w:tcPr>
            <w:tcW w:w="454" w:type="pct"/>
            <w:vMerge w:val="continue"/>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p>
        </w:tc>
        <w:tc>
          <w:tcPr>
            <w:tcW w:w="459"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D22农业生产条件改善</w:t>
            </w:r>
          </w:p>
        </w:tc>
        <w:tc>
          <w:tcPr>
            <w:tcW w:w="218"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5.00</w:t>
            </w:r>
          </w:p>
        </w:tc>
        <w:tc>
          <w:tcPr>
            <w:tcW w:w="346" w:type="pct"/>
            <w:shd w:val="clear" w:color="auto" w:fill="auto"/>
            <w:vAlign w:val="center"/>
          </w:tcPr>
          <w:p>
            <w:pPr>
              <w:widowControl/>
              <w:spacing w:line="400" w:lineRule="exact"/>
              <w:jc w:val="center"/>
              <w:textAlignment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有效</w:t>
            </w:r>
          </w:p>
        </w:tc>
        <w:tc>
          <w:tcPr>
            <w:tcW w:w="1329"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评价项目的社会效益。</w:t>
            </w:r>
          </w:p>
        </w:tc>
        <w:tc>
          <w:tcPr>
            <w:tcW w:w="1762"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社会效益较好，得100%权重分；社会效益一般，得50%权重分；社会效益较差，不得分。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9" w:hRule="atLeast"/>
        </w:trPr>
        <w:tc>
          <w:tcPr>
            <w:tcW w:w="427" w:type="pct"/>
            <w:vMerge w:val="continue"/>
            <w:shd w:val="clear" w:color="auto" w:fill="auto"/>
            <w:vAlign w:val="center"/>
          </w:tcPr>
          <w:p>
            <w:pPr>
              <w:widowControl/>
              <w:spacing w:line="400" w:lineRule="exact"/>
              <w:jc w:val="center"/>
              <w:textAlignment w:val="center"/>
              <w:rPr>
                <w:rFonts w:hint="eastAsia" w:ascii="Times New Roman" w:hAnsi="Times New Roman" w:eastAsia="仿宋" w:cs="Times New Roman"/>
                <w:sz w:val="24"/>
                <w:szCs w:val="24"/>
                <w:highlight w:val="none"/>
              </w:rPr>
            </w:pPr>
          </w:p>
        </w:tc>
        <w:tc>
          <w:tcPr>
            <w:tcW w:w="454" w:type="pct"/>
            <w:shd w:val="clear" w:color="auto" w:fill="auto"/>
            <w:vAlign w:val="center"/>
          </w:tcPr>
          <w:p>
            <w:pPr>
              <w:widowControl/>
              <w:spacing w:line="400" w:lineRule="exact"/>
              <w:jc w:val="center"/>
              <w:textAlignment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D3生态效益（5）</w:t>
            </w:r>
          </w:p>
        </w:tc>
        <w:tc>
          <w:tcPr>
            <w:tcW w:w="459"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D31水土保持</w:t>
            </w:r>
          </w:p>
        </w:tc>
        <w:tc>
          <w:tcPr>
            <w:tcW w:w="218"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5.00</w:t>
            </w:r>
          </w:p>
        </w:tc>
        <w:tc>
          <w:tcPr>
            <w:tcW w:w="346" w:type="pct"/>
            <w:shd w:val="clear" w:color="auto" w:fill="auto"/>
            <w:vAlign w:val="center"/>
          </w:tcPr>
          <w:p>
            <w:pPr>
              <w:widowControl/>
              <w:spacing w:line="400" w:lineRule="exact"/>
              <w:jc w:val="center"/>
              <w:textAlignment w:val="center"/>
              <w:rPr>
                <w:rFonts w:hint="default"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有效</w:t>
            </w:r>
          </w:p>
        </w:tc>
        <w:tc>
          <w:tcPr>
            <w:tcW w:w="1329"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评价项目的生态效益。</w:t>
            </w:r>
          </w:p>
        </w:tc>
        <w:tc>
          <w:tcPr>
            <w:tcW w:w="1762"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生态效益较好，得100%权重分；生态效益一般，得50%权重分；生态效益较差，不得分。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1345" w:hRule="atLeast"/>
        </w:trPr>
        <w:tc>
          <w:tcPr>
            <w:tcW w:w="427"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sz w:val="24"/>
                <w:szCs w:val="24"/>
                <w:highlight w:val="none"/>
              </w:rPr>
            </w:pPr>
          </w:p>
        </w:tc>
        <w:tc>
          <w:tcPr>
            <w:tcW w:w="454"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D4可持续影响（5）</w:t>
            </w:r>
          </w:p>
        </w:tc>
        <w:tc>
          <w:tcPr>
            <w:tcW w:w="459"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D41可持续影响</w:t>
            </w:r>
          </w:p>
        </w:tc>
        <w:tc>
          <w:tcPr>
            <w:tcW w:w="218"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5.00</w:t>
            </w:r>
          </w:p>
        </w:tc>
        <w:tc>
          <w:tcPr>
            <w:tcW w:w="346"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可持续</w:t>
            </w:r>
          </w:p>
        </w:tc>
        <w:tc>
          <w:tcPr>
            <w:tcW w:w="1329"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评价项目完成后可持续提供服务的保障情况。</w:t>
            </w:r>
          </w:p>
        </w:tc>
        <w:tc>
          <w:tcPr>
            <w:tcW w:w="1762"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农业综合生产能力进一步得到提高，为建立现代农业奠定了良好的生态环境基础（50%权重分）；有利于改善农业生产条件，耕地质量将得到全面改善，耕地产出效率将有所提高，促进土地资源的可持续利用（50%权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97" w:hRule="atLeast"/>
        </w:trPr>
        <w:tc>
          <w:tcPr>
            <w:tcW w:w="427"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sz w:val="24"/>
                <w:szCs w:val="24"/>
                <w:highlight w:val="none"/>
              </w:rPr>
            </w:pPr>
          </w:p>
        </w:tc>
        <w:tc>
          <w:tcPr>
            <w:tcW w:w="454" w:type="pct"/>
            <w:shd w:val="clear" w:color="auto" w:fill="auto"/>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D5服务对象满意度（5）</w:t>
            </w:r>
          </w:p>
        </w:tc>
        <w:tc>
          <w:tcPr>
            <w:tcW w:w="459"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D51受益对象满意度</w:t>
            </w:r>
          </w:p>
        </w:tc>
        <w:tc>
          <w:tcPr>
            <w:tcW w:w="218"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5.00</w:t>
            </w:r>
          </w:p>
        </w:tc>
        <w:tc>
          <w:tcPr>
            <w:tcW w:w="346"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≥90%</w:t>
            </w:r>
          </w:p>
        </w:tc>
        <w:tc>
          <w:tcPr>
            <w:tcW w:w="1329"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评价受益对象对项目满意度的情况。</w:t>
            </w:r>
          </w:p>
        </w:tc>
        <w:tc>
          <w:tcPr>
            <w:tcW w:w="1762"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auto"/>
                <w:sz w:val="24"/>
                <w:szCs w:val="24"/>
                <w:highlight w:val="none"/>
                <w:lang w:val="en-US" w:eastAsia="zh-CN"/>
              </w:rPr>
            </w:pPr>
            <w:r>
              <w:rPr>
                <w:rFonts w:hint="eastAsia" w:ascii="Times New Roman" w:hAnsi="Times New Roman" w:eastAsia="仿宋" w:cs="Times New Roman"/>
                <w:color w:val="auto"/>
                <w:sz w:val="24"/>
                <w:szCs w:val="24"/>
                <w:highlight w:val="none"/>
                <w:lang w:val="en-US" w:eastAsia="zh-CN"/>
              </w:rPr>
              <w:t>大于等于90%得满分，&lt;60%，不得分；60%（含）-90%之间按比例得分。</w:t>
            </w:r>
          </w:p>
        </w:tc>
      </w:tr>
    </w:tbl>
    <w:p>
      <w:pPr>
        <w:widowControl/>
        <w:spacing w:line="574" w:lineRule="exact"/>
        <w:jc w:val="left"/>
        <w:outlineLvl w:val="0"/>
        <w:rPr>
          <w:rFonts w:ascii="黑体" w:hAnsi="黑体" w:eastAsia="黑体"/>
          <w:snapToGrid w:val="0"/>
          <w:sz w:val="32"/>
          <w:szCs w:val="32"/>
        </w:rPr>
        <w:sectPr>
          <w:headerReference r:id="rId8" w:type="default"/>
          <w:pgSz w:w="16838" w:h="11906" w:orient="landscape"/>
          <w:pgMar w:top="1797" w:right="1440" w:bottom="1797" w:left="1440" w:header="851" w:footer="992" w:gutter="0"/>
          <w:pgNumType w:fmt="decimal"/>
          <w:cols w:space="425" w:num="1"/>
          <w:docGrid w:type="lines" w:linePitch="312" w:charSpace="0"/>
        </w:sectPr>
      </w:pPr>
    </w:p>
    <w:p>
      <w:pPr>
        <w:widowControl/>
        <w:spacing w:line="574" w:lineRule="exact"/>
        <w:jc w:val="left"/>
        <w:outlineLvl w:val="0"/>
        <w:rPr>
          <w:rFonts w:ascii="黑体" w:hAnsi="黑体" w:eastAsia="黑体"/>
          <w:snapToGrid w:val="0"/>
          <w:sz w:val="32"/>
          <w:szCs w:val="32"/>
        </w:rPr>
      </w:pPr>
      <w:bookmarkStart w:id="172" w:name="_Toc17144"/>
      <w:r>
        <w:rPr>
          <w:rFonts w:hint="eastAsia" w:ascii="黑体" w:hAnsi="黑体" w:eastAsia="黑体"/>
          <w:snapToGrid w:val="0"/>
          <w:sz w:val="32"/>
          <w:szCs w:val="32"/>
        </w:rPr>
        <w:t>附件2：问卷调查报告</w:t>
      </w:r>
      <w:bookmarkEnd w:id="169"/>
      <w:bookmarkEnd w:id="172"/>
      <w:bookmarkStart w:id="173" w:name="_Toc515811021"/>
      <w:bookmarkStart w:id="174" w:name="_Toc516473336"/>
      <w:bookmarkStart w:id="175" w:name="_Toc528603095"/>
      <w:bookmarkStart w:id="176" w:name="_Toc517361502"/>
      <w:bookmarkStart w:id="177" w:name="_Toc528680487"/>
      <w:bookmarkStart w:id="178" w:name="_Toc515811967"/>
      <w:bookmarkStart w:id="179" w:name="_Toc516554801"/>
      <w:bookmarkStart w:id="180" w:name="_Toc528680333"/>
    </w:p>
    <w:bookmarkEnd w:id="173"/>
    <w:bookmarkEnd w:id="174"/>
    <w:bookmarkEnd w:id="175"/>
    <w:bookmarkEnd w:id="176"/>
    <w:bookmarkEnd w:id="177"/>
    <w:bookmarkEnd w:id="178"/>
    <w:bookmarkEnd w:id="179"/>
    <w:bookmarkEnd w:id="180"/>
    <w:p>
      <w:pPr>
        <w:spacing w:line="574" w:lineRule="exact"/>
        <w:jc w:val="center"/>
        <w:rPr>
          <w:rFonts w:ascii="Times New Roman" w:hAnsi="Times New Roman"/>
          <w:b/>
          <w:snapToGrid w:val="0"/>
          <w:sz w:val="44"/>
          <w:szCs w:val="44"/>
        </w:rPr>
      </w:pPr>
      <w:r>
        <w:rPr>
          <w:rFonts w:hint="eastAsia" w:ascii="仿宋" w:hAnsi="仿宋" w:eastAsia="仿宋" w:cs="仿宋"/>
          <w:b/>
          <w:bCs/>
          <w:snapToGrid w:val="0"/>
          <w:sz w:val="32"/>
          <w:szCs w:val="32"/>
          <w:lang w:eastAsia="zh-CN"/>
        </w:rPr>
        <w:t>采煤沉陷区旧房拆除和土地复垦项目经费</w:t>
      </w:r>
      <w:r>
        <w:rPr>
          <w:rFonts w:hint="eastAsia" w:ascii="仿宋" w:hAnsi="仿宋" w:eastAsia="仿宋" w:cs="仿宋"/>
          <w:b/>
          <w:bCs/>
          <w:snapToGrid w:val="0"/>
          <w:sz w:val="32"/>
          <w:szCs w:val="32"/>
        </w:rPr>
        <w:t>绩效评价满意度调查报告</w:t>
      </w:r>
    </w:p>
    <w:p>
      <w:pPr>
        <w:spacing w:line="574"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一、调查目的</w:t>
      </w:r>
    </w:p>
    <w:p>
      <w:pPr>
        <w:spacing w:line="574" w:lineRule="exact"/>
        <w:ind w:firstLine="560" w:firstLineChars="200"/>
        <w:rPr>
          <w:rFonts w:hint="eastAsia" w:ascii="仿宋" w:hAnsi="仿宋" w:eastAsia="仿宋" w:cs="仿宋"/>
          <w:sz w:val="28"/>
          <w:szCs w:val="28"/>
        </w:rPr>
      </w:pPr>
      <w:bookmarkStart w:id="181" w:name="_Hlk28700570"/>
      <w:r>
        <w:rPr>
          <w:rFonts w:hint="eastAsia" w:ascii="仿宋" w:hAnsi="仿宋" w:eastAsia="仿宋" w:cs="仿宋"/>
          <w:sz w:val="28"/>
          <w:szCs w:val="28"/>
        </w:rPr>
        <w:t>相关方满意度调查作为绩效评价中非常重要的环节，为了解</w:t>
      </w:r>
      <w:r>
        <w:rPr>
          <w:rFonts w:hint="eastAsia" w:ascii="仿宋" w:hAnsi="仿宋" w:eastAsia="仿宋" w:cs="仿宋"/>
          <w:sz w:val="28"/>
          <w:szCs w:val="28"/>
          <w:lang w:eastAsia="zh-CN"/>
        </w:rPr>
        <w:t>采煤沉陷区旧房拆除和土地复垦项目经费</w:t>
      </w:r>
      <w:r>
        <w:rPr>
          <w:rFonts w:hint="eastAsia" w:ascii="仿宋" w:hAnsi="仿宋" w:eastAsia="仿宋" w:cs="仿宋"/>
          <w:sz w:val="28"/>
          <w:szCs w:val="28"/>
        </w:rPr>
        <w:t>的使用管理情况和项目实施情况，准确掌握满意度数据，通过向</w:t>
      </w:r>
      <w:r>
        <w:rPr>
          <w:rFonts w:hint="eastAsia" w:ascii="仿宋" w:hAnsi="仿宋" w:eastAsia="仿宋" w:cs="仿宋"/>
          <w:sz w:val="28"/>
          <w:szCs w:val="28"/>
          <w:lang w:val="en-US" w:eastAsia="zh-CN"/>
        </w:rPr>
        <w:t>管理方相关人员、</w:t>
      </w:r>
      <w:r>
        <w:rPr>
          <w:rFonts w:hint="eastAsia" w:ascii="仿宋" w:hAnsi="仿宋" w:eastAsia="仿宋" w:cs="仿宋"/>
          <w:sz w:val="28"/>
          <w:szCs w:val="28"/>
        </w:rPr>
        <w:t>受益</w:t>
      </w:r>
      <w:r>
        <w:rPr>
          <w:rFonts w:hint="eastAsia" w:ascii="仿宋" w:hAnsi="仿宋" w:eastAsia="仿宋" w:cs="仿宋"/>
          <w:sz w:val="28"/>
          <w:szCs w:val="28"/>
          <w:lang w:val="en-US" w:eastAsia="zh-CN"/>
        </w:rPr>
        <w:t>人员</w:t>
      </w:r>
      <w:r>
        <w:rPr>
          <w:rFonts w:hint="eastAsia" w:ascii="仿宋" w:hAnsi="仿宋" w:eastAsia="仿宋" w:cs="仿宋"/>
          <w:sz w:val="28"/>
          <w:szCs w:val="28"/>
        </w:rPr>
        <w:t>发放满意度调查问卷，了解受益</w:t>
      </w:r>
      <w:r>
        <w:rPr>
          <w:rFonts w:hint="eastAsia" w:ascii="仿宋" w:hAnsi="仿宋" w:eastAsia="仿宋" w:cs="仿宋"/>
          <w:sz w:val="28"/>
          <w:szCs w:val="28"/>
          <w:lang w:val="en-US" w:eastAsia="zh-CN"/>
        </w:rPr>
        <w:t>群体</w:t>
      </w:r>
      <w:r>
        <w:rPr>
          <w:rFonts w:hint="eastAsia" w:ascii="仿宋" w:hAnsi="仿宋" w:eastAsia="仿宋" w:cs="仿宋"/>
          <w:sz w:val="28"/>
          <w:szCs w:val="28"/>
        </w:rPr>
        <w:t>对</w:t>
      </w:r>
      <w:r>
        <w:rPr>
          <w:rFonts w:hint="eastAsia" w:ascii="仿宋" w:hAnsi="仿宋" w:eastAsia="仿宋" w:cs="仿宋"/>
          <w:sz w:val="28"/>
          <w:szCs w:val="28"/>
          <w:lang w:val="en-US" w:eastAsia="zh-CN"/>
        </w:rPr>
        <w:t>项目的整体</w:t>
      </w:r>
      <w:r>
        <w:rPr>
          <w:rFonts w:hint="eastAsia" w:ascii="仿宋" w:hAnsi="仿宋" w:eastAsia="仿宋" w:cs="仿宋"/>
          <w:sz w:val="28"/>
          <w:szCs w:val="28"/>
        </w:rPr>
        <w:t>满意程度，为绩效评价工作满意度调查提供数据参考。</w:t>
      </w:r>
    </w:p>
    <w:bookmarkEnd w:id="181"/>
    <w:p>
      <w:pPr>
        <w:tabs>
          <w:tab w:val="left" w:pos="630"/>
        </w:tabs>
        <w:spacing w:line="574"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二、调查对象</w:t>
      </w:r>
    </w:p>
    <w:p>
      <w:pPr>
        <w:tabs>
          <w:tab w:val="left" w:pos="630"/>
        </w:tabs>
        <w:spacing w:line="574" w:lineRule="exact"/>
        <w:ind w:firstLine="560" w:firstLineChars="200"/>
        <w:rPr>
          <w:rFonts w:hint="eastAsia" w:ascii="仿宋" w:hAnsi="仿宋" w:eastAsia="仿宋" w:cs="仿宋"/>
          <w:sz w:val="28"/>
          <w:szCs w:val="28"/>
        </w:rPr>
      </w:pPr>
      <w:bookmarkStart w:id="182" w:name="_Hlk28700584"/>
      <w:r>
        <w:rPr>
          <w:rFonts w:hint="eastAsia" w:ascii="仿宋" w:hAnsi="仿宋" w:eastAsia="仿宋" w:cs="仿宋"/>
          <w:sz w:val="28"/>
          <w:szCs w:val="28"/>
        </w:rPr>
        <w:t>本次调查的对象为</w:t>
      </w:r>
      <w:r>
        <w:rPr>
          <w:rFonts w:hint="eastAsia" w:ascii="仿宋" w:hAnsi="仿宋" w:eastAsia="仿宋" w:cs="仿宋"/>
          <w:sz w:val="28"/>
          <w:szCs w:val="28"/>
          <w:lang w:val="en-US" w:eastAsia="zh-CN"/>
        </w:rPr>
        <w:t>管理方相关人员和受益人员</w:t>
      </w:r>
      <w:r>
        <w:rPr>
          <w:rFonts w:hint="eastAsia" w:ascii="仿宋" w:hAnsi="仿宋" w:eastAsia="仿宋" w:cs="仿宋"/>
          <w:sz w:val="28"/>
          <w:szCs w:val="28"/>
        </w:rPr>
        <w:t>。</w:t>
      </w:r>
    </w:p>
    <w:bookmarkEnd w:id="182"/>
    <w:p>
      <w:pPr>
        <w:tabs>
          <w:tab w:val="left" w:pos="630"/>
        </w:tabs>
        <w:spacing w:line="574"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三、调查时间</w:t>
      </w:r>
    </w:p>
    <w:p>
      <w:pPr>
        <w:spacing w:line="574" w:lineRule="exact"/>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2022年6月</w:t>
      </w:r>
      <w:r>
        <w:rPr>
          <w:rFonts w:hint="eastAsia" w:ascii="仿宋" w:hAnsi="仿宋" w:eastAsia="仿宋" w:cs="仿宋"/>
          <w:sz w:val="28"/>
          <w:szCs w:val="28"/>
        </w:rPr>
        <w:t>。</w:t>
      </w:r>
    </w:p>
    <w:p>
      <w:pPr>
        <w:tabs>
          <w:tab w:val="left" w:pos="630"/>
        </w:tabs>
        <w:spacing w:line="574"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四、调查内容</w:t>
      </w:r>
    </w:p>
    <w:p>
      <w:pPr>
        <w:spacing w:line="574" w:lineRule="exact"/>
        <w:ind w:firstLine="560" w:firstLineChars="200"/>
        <w:rPr>
          <w:rFonts w:hint="eastAsia" w:ascii="仿宋" w:hAnsi="仿宋" w:eastAsia="仿宋" w:cs="仿宋"/>
          <w:sz w:val="28"/>
          <w:szCs w:val="28"/>
        </w:rPr>
      </w:pPr>
      <w:bookmarkStart w:id="183" w:name="_Hlk28700703"/>
      <w:r>
        <w:rPr>
          <w:rFonts w:hint="eastAsia" w:ascii="仿宋" w:hAnsi="仿宋" w:eastAsia="仿宋" w:cs="仿宋"/>
          <w:sz w:val="28"/>
          <w:szCs w:val="28"/>
          <w:lang w:val="en-US" w:eastAsia="zh-CN"/>
        </w:rPr>
        <w:t>您对采煤沉陷区旧房拆除和土地复垦项目实施进度的满意程度、您对采煤沉陷区旧房拆除和土地复垦项目建设质量的满意程度、您对采煤沉陷区旧房拆除和土地复垦项目建成后产生的效益情况的满意程度</w:t>
      </w:r>
      <w:r>
        <w:rPr>
          <w:rFonts w:hint="eastAsia" w:ascii="仿宋" w:hAnsi="仿宋" w:eastAsia="仿宋" w:cs="仿宋"/>
          <w:sz w:val="28"/>
          <w:szCs w:val="28"/>
        </w:rPr>
        <w:t>。</w:t>
      </w:r>
    </w:p>
    <w:bookmarkEnd w:id="183"/>
    <w:p>
      <w:pPr>
        <w:spacing w:line="574"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五、问卷发放与回收</w:t>
      </w:r>
    </w:p>
    <w:p>
      <w:pPr>
        <w:spacing w:line="574" w:lineRule="exact"/>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rPr>
        <w:t>本次计划发放问卷</w:t>
      </w:r>
      <w:r>
        <w:rPr>
          <w:rFonts w:hint="eastAsia" w:ascii="仿宋" w:hAnsi="仿宋" w:eastAsia="仿宋" w:cs="仿宋"/>
          <w:sz w:val="28"/>
          <w:szCs w:val="28"/>
          <w:lang w:val="en-US" w:eastAsia="zh-CN"/>
        </w:rPr>
        <w:t>200</w:t>
      </w:r>
      <w:r>
        <w:rPr>
          <w:rFonts w:hint="eastAsia" w:ascii="仿宋" w:hAnsi="仿宋" w:eastAsia="仿宋" w:cs="仿宋"/>
          <w:sz w:val="28"/>
          <w:szCs w:val="28"/>
        </w:rPr>
        <w:t>份</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回收问卷200</w:t>
      </w:r>
      <w:r>
        <w:rPr>
          <w:rFonts w:hint="eastAsia" w:ascii="仿宋" w:hAnsi="仿宋" w:eastAsia="仿宋" w:cs="仿宋"/>
          <w:sz w:val="28"/>
          <w:szCs w:val="28"/>
        </w:rPr>
        <w:t>份</w:t>
      </w:r>
      <w:r>
        <w:rPr>
          <w:rFonts w:hint="eastAsia" w:ascii="仿宋" w:hAnsi="仿宋" w:eastAsia="仿宋" w:cs="仿宋"/>
          <w:sz w:val="28"/>
          <w:szCs w:val="28"/>
          <w:lang w:val="en-US" w:eastAsia="zh-CN"/>
        </w:rPr>
        <w:t>。</w:t>
      </w:r>
    </w:p>
    <w:p>
      <w:pPr>
        <w:tabs>
          <w:tab w:val="left" w:pos="630"/>
        </w:tabs>
        <w:spacing w:line="574"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六、调查结果</w:t>
      </w:r>
    </w:p>
    <w:p>
      <w:pPr>
        <w:spacing w:line="574"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（一）满意度调查</w:t>
      </w:r>
    </w:p>
    <w:p>
      <w:pPr>
        <w:spacing w:line="574"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1.基础信息调查结果</w:t>
      </w:r>
    </w:p>
    <w:p>
      <w:pPr>
        <w:spacing w:line="574" w:lineRule="exact"/>
        <w:ind w:firstLine="560" w:firstLineChars="200"/>
        <w:rPr>
          <w:rFonts w:hint="eastAsia" w:ascii="仿宋" w:hAnsi="仿宋" w:eastAsia="仿宋" w:cs="仿宋"/>
          <w:sz w:val="28"/>
          <w:szCs w:val="28"/>
        </w:rPr>
      </w:pPr>
      <w:bookmarkStart w:id="184" w:name="_Hlk43218755"/>
      <w:r>
        <w:rPr>
          <w:rFonts w:hint="eastAsia" w:ascii="仿宋" w:hAnsi="仿宋" w:eastAsia="仿宋" w:cs="仿宋"/>
          <w:sz w:val="28"/>
          <w:szCs w:val="28"/>
        </w:rPr>
        <w:t>（1）您对</w:t>
      </w:r>
      <w:r>
        <w:rPr>
          <w:rFonts w:hint="eastAsia" w:ascii="仿宋" w:hAnsi="仿宋" w:eastAsia="仿宋" w:cs="仿宋"/>
          <w:sz w:val="28"/>
          <w:szCs w:val="28"/>
          <w:lang w:eastAsia="zh-CN"/>
        </w:rPr>
        <w:t>采煤沉陷区旧房拆除和土地复垦项目</w:t>
      </w:r>
      <w:r>
        <w:rPr>
          <w:rFonts w:hint="eastAsia" w:ascii="仿宋" w:hAnsi="仿宋" w:eastAsia="仿宋" w:cs="仿宋"/>
          <w:sz w:val="28"/>
          <w:szCs w:val="28"/>
        </w:rPr>
        <w:t>是否了解？</w:t>
      </w:r>
    </w:p>
    <w:p>
      <w:pPr>
        <w:tabs>
          <w:tab w:val="left" w:pos="630"/>
        </w:tabs>
        <w:spacing w:line="574"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从数据分析可知，了解</w:t>
      </w:r>
      <w:r>
        <w:rPr>
          <w:rFonts w:hint="eastAsia" w:ascii="仿宋" w:hAnsi="仿宋" w:eastAsia="仿宋" w:cs="仿宋"/>
          <w:sz w:val="28"/>
          <w:szCs w:val="28"/>
          <w:lang w:val="en-US" w:eastAsia="zh-CN"/>
        </w:rPr>
        <w:t>项目</w:t>
      </w:r>
      <w:r>
        <w:rPr>
          <w:rFonts w:hint="eastAsia" w:ascii="仿宋" w:hAnsi="仿宋" w:eastAsia="仿宋" w:cs="仿宋"/>
          <w:sz w:val="28"/>
          <w:szCs w:val="28"/>
        </w:rPr>
        <w:t>的占比</w:t>
      </w:r>
      <w:r>
        <w:rPr>
          <w:rFonts w:hint="eastAsia" w:ascii="仿宋" w:hAnsi="仿宋" w:eastAsia="仿宋" w:cs="仿宋"/>
          <w:sz w:val="28"/>
          <w:szCs w:val="28"/>
          <w:lang w:val="en-US" w:eastAsia="zh-CN"/>
        </w:rPr>
        <w:t>96.00%</w:t>
      </w:r>
      <w:r>
        <w:rPr>
          <w:rFonts w:hint="eastAsia" w:ascii="仿宋" w:hAnsi="仿宋" w:eastAsia="仿宋" w:cs="仿宋"/>
          <w:sz w:val="28"/>
          <w:szCs w:val="28"/>
        </w:rPr>
        <w:t>。</w:t>
      </w:r>
    </w:p>
    <w:bookmarkEnd w:id="184"/>
    <w:p>
      <w:pPr>
        <w:spacing w:line="574" w:lineRule="exact"/>
        <w:ind w:firstLine="562" w:firstLineChars="200"/>
        <w:rPr>
          <w:rFonts w:hint="eastAsia" w:ascii="仿宋" w:hAnsi="仿宋" w:eastAsia="仿宋" w:cs="仿宋"/>
          <w:b/>
          <w:bCs/>
          <w:sz w:val="28"/>
          <w:szCs w:val="28"/>
        </w:rPr>
        <w:sectPr>
          <w:footerReference r:id="rId9" w:type="default"/>
          <w:pgSz w:w="11906" w:h="16838"/>
          <w:pgMar w:top="1440" w:right="1797" w:bottom="1440" w:left="1797" w:header="851" w:footer="992" w:gutter="0"/>
          <w:pgNumType w:fmt="decimal"/>
          <w:cols w:space="425" w:num="1"/>
          <w:docGrid w:type="lines" w:linePitch="312" w:charSpace="0"/>
        </w:sectPr>
      </w:pPr>
      <w:r>
        <w:rPr>
          <w:rFonts w:hint="eastAsia" w:ascii="仿宋" w:hAnsi="仿宋" w:eastAsia="仿宋" w:cs="仿宋"/>
          <w:b/>
          <w:bCs/>
          <w:sz w:val="28"/>
          <w:szCs w:val="28"/>
        </w:rPr>
        <w:t>2.满意度调查结果</w:t>
      </w:r>
    </w:p>
    <w:tbl>
      <w:tblPr>
        <w:tblStyle w:val="19"/>
        <w:tblW w:w="1397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9"/>
        <w:gridCol w:w="872"/>
        <w:gridCol w:w="872"/>
        <w:gridCol w:w="872"/>
        <w:gridCol w:w="872"/>
        <w:gridCol w:w="874"/>
        <w:gridCol w:w="872"/>
        <w:gridCol w:w="872"/>
        <w:gridCol w:w="872"/>
        <w:gridCol w:w="874"/>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vMerge w:val="restart"/>
            <w:shd w:val="clear" w:color="auto" w:fill="auto"/>
            <w:vAlign w:val="center"/>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问卷问题</w:t>
            </w:r>
          </w:p>
        </w:tc>
        <w:tc>
          <w:tcPr>
            <w:tcW w:w="872" w:type="dxa"/>
            <w:vMerge w:val="restart"/>
            <w:shd w:val="clear" w:color="auto" w:fill="auto"/>
            <w:vAlign w:val="center"/>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总数</w:t>
            </w:r>
          </w:p>
        </w:tc>
        <w:tc>
          <w:tcPr>
            <w:tcW w:w="3490" w:type="dxa"/>
            <w:gridSpan w:val="4"/>
            <w:shd w:val="clear" w:color="auto" w:fill="auto"/>
            <w:vAlign w:val="top"/>
          </w:tcPr>
          <w:p>
            <w:pPr>
              <w:snapToGrid w:val="0"/>
              <w:jc w:val="center"/>
              <w:rPr>
                <w:rFonts w:hint="default" w:ascii="仿宋" w:hAnsi="仿宋" w:eastAsia="仿宋" w:cs="仿宋"/>
                <w:b/>
                <w:bCs/>
                <w:color w:val="auto"/>
                <w:sz w:val="20"/>
                <w:szCs w:val="21"/>
                <w:highlight w:val="none"/>
                <w:lang w:val="en-US" w:eastAsia="zh-CN"/>
              </w:rPr>
            </w:pPr>
            <w:r>
              <w:rPr>
                <w:rFonts w:hint="eastAsia" w:ascii="仿宋" w:hAnsi="仿宋" w:eastAsia="仿宋" w:cs="仿宋"/>
                <w:b/>
                <w:bCs/>
                <w:color w:val="auto"/>
                <w:sz w:val="20"/>
                <w:szCs w:val="21"/>
                <w:highlight w:val="none"/>
                <w:lang w:val="en-US" w:eastAsia="zh-CN"/>
              </w:rPr>
              <w:t>人数</w:t>
            </w:r>
          </w:p>
        </w:tc>
        <w:tc>
          <w:tcPr>
            <w:tcW w:w="3490" w:type="dxa"/>
            <w:gridSpan w:val="4"/>
            <w:shd w:val="clear" w:color="auto" w:fill="auto"/>
            <w:vAlign w:val="top"/>
          </w:tcPr>
          <w:p>
            <w:pPr>
              <w:snapToGrid w:val="0"/>
              <w:jc w:val="center"/>
              <w:rPr>
                <w:rFonts w:hint="eastAsia" w:ascii="仿宋" w:hAnsi="仿宋" w:eastAsia="仿宋" w:cs="仿宋"/>
                <w:b/>
                <w:bCs/>
                <w:color w:val="auto"/>
                <w:sz w:val="20"/>
                <w:szCs w:val="21"/>
                <w:highlight w:val="none"/>
                <w:lang w:val="en-US" w:eastAsia="zh-CN"/>
              </w:rPr>
            </w:pPr>
            <w:r>
              <w:rPr>
                <w:rFonts w:hint="eastAsia" w:ascii="仿宋" w:hAnsi="仿宋" w:eastAsia="仿宋" w:cs="仿宋"/>
                <w:b/>
                <w:bCs/>
                <w:color w:val="auto"/>
                <w:sz w:val="20"/>
                <w:szCs w:val="21"/>
                <w:highlight w:val="none"/>
                <w:lang w:val="en-US" w:eastAsia="zh-CN"/>
              </w:rPr>
              <w:t>满意度系数</w:t>
            </w:r>
          </w:p>
        </w:tc>
        <w:tc>
          <w:tcPr>
            <w:tcW w:w="0" w:type="auto"/>
            <w:shd w:val="clear" w:color="auto" w:fill="auto"/>
            <w:noWrap/>
            <w:vAlign w:val="center"/>
          </w:tcPr>
          <w:p>
            <w:pPr>
              <w:snapToGrid w:val="0"/>
              <w:jc w:val="center"/>
              <w:rPr>
                <w:rFonts w:hint="eastAsia" w:ascii="仿宋" w:hAnsi="仿宋" w:eastAsia="仿宋" w:cs="仿宋"/>
                <w:b/>
                <w:bCs/>
                <w:color w:val="auto"/>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rPr>
        <w:tc>
          <w:tcPr>
            <w:tcW w:w="4939" w:type="dxa"/>
            <w:vMerge w:val="continue"/>
            <w:shd w:val="clear" w:color="auto" w:fill="auto"/>
            <w:vAlign w:val="center"/>
          </w:tcPr>
          <w:p>
            <w:pPr>
              <w:snapToGrid w:val="0"/>
              <w:jc w:val="center"/>
              <w:rPr>
                <w:rFonts w:hint="eastAsia" w:ascii="仿宋" w:hAnsi="仿宋" w:eastAsia="仿宋" w:cs="仿宋"/>
                <w:b/>
                <w:bCs/>
                <w:color w:val="auto"/>
                <w:sz w:val="20"/>
                <w:szCs w:val="21"/>
                <w:highlight w:val="none"/>
              </w:rPr>
            </w:pPr>
          </w:p>
        </w:tc>
        <w:tc>
          <w:tcPr>
            <w:tcW w:w="872" w:type="dxa"/>
            <w:vMerge w:val="continue"/>
            <w:shd w:val="clear" w:color="auto" w:fill="auto"/>
            <w:vAlign w:val="center"/>
          </w:tcPr>
          <w:p>
            <w:pPr>
              <w:snapToGrid w:val="0"/>
              <w:jc w:val="center"/>
              <w:rPr>
                <w:rFonts w:hint="eastAsia" w:ascii="仿宋" w:hAnsi="仿宋" w:eastAsia="仿宋" w:cs="仿宋"/>
                <w:b/>
                <w:bCs/>
                <w:color w:val="auto"/>
                <w:sz w:val="20"/>
                <w:szCs w:val="21"/>
                <w:highlight w:val="none"/>
              </w:rPr>
            </w:pP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非常满意</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满意</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lang w:val="en-US" w:eastAsia="zh-CN"/>
              </w:rPr>
              <w:t>一般</w:t>
            </w:r>
          </w:p>
        </w:tc>
        <w:tc>
          <w:tcPr>
            <w:tcW w:w="874"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不满意</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lang w:eastAsia="zh-CN"/>
              </w:rPr>
            </w:pPr>
            <w:r>
              <w:rPr>
                <w:rFonts w:hint="eastAsia" w:ascii="仿宋" w:hAnsi="仿宋" w:eastAsia="仿宋" w:cs="仿宋"/>
                <w:b/>
                <w:bCs/>
                <w:color w:val="auto"/>
                <w:sz w:val="20"/>
                <w:szCs w:val="21"/>
                <w:highlight w:val="none"/>
              </w:rPr>
              <w:t>非常满意</w:t>
            </w:r>
            <w:r>
              <w:rPr>
                <w:rFonts w:hint="eastAsia" w:ascii="仿宋" w:hAnsi="仿宋" w:eastAsia="仿宋" w:cs="仿宋"/>
                <w:b/>
                <w:bCs/>
                <w:color w:val="auto"/>
                <w:sz w:val="20"/>
                <w:szCs w:val="21"/>
                <w:highlight w:val="none"/>
                <w:lang w:eastAsia="zh-CN"/>
              </w:rPr>
              <w:t>（</w:t>
            </w:r>
            <w:r>
              <w:rPr>
                <w:rFonts w:hint="eastAsia" w:ascii="仿宋" w:hAnsi="仿宋" w:eastAsia="仿宋" w:cs="仿宋"/>
                <w:b/>
                <w:bCs/>
                <w:color w:val="auto"/>
                <w:sz w:val="20"/>
                <w:szCs w:val="21"/>
                <w:highlight w:val="none"/>
                <w:lang w:val="en-US" w:eastAsia="zh-CN"/>
              </w:rPr>
              <w:t>系数</w:t>
            </w:r>
            <w:r>
              <w:rPr>
                <w:rFonts w:hint="eastAsia" w:ascii="仿宋" w:hAnsi="仿宋" w:eastAsia="仿宋" w:cs="仿宋"/>
                <w:b/>
                <w:bCs/>
                <w:color w:val="auto"/>
                <w:sz w:val="20"/>
                <w:szCs w:val="21"/>
                <w:highlight w:val="none"/>
                <w:lang w:eastAsia="zh-CN"/>
              </w:rPr>
              <w:t>）</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满意</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lang w:val="en-US" w:eastAsia="zh-CN"/>
              </w:rPr>
              <w:t>一般</w:t>
            </w:r>
          </w:p>
        </w:tc>
        <w:tc>
          <w:tcPr>
            <w:tcW w:w="874"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不满意</w:t>
            </w:r>
          </w:p>
        </w:tc>
        <w:tc>
          <w:tcPr>
            <w:tcW w:w="0" w:type="auto"/>
            <w:shd w:val="clear" w:color="auto" w:fill="auto"/>
            <w:noWrap/>
            <w:vAlign w:val="center"/>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4939" w:type="dxa"/>
            <w:shd w:val="clear" w:color="auto" w:fill="auto"/>
            <w:vAlign w:val="center"/>
          </w:tcPr>
          <w:p>
            <w:pPr>
              <w:snapToGrid w:val="0"/>
              <w:jc w:val="left"/>
              <w:rPr>
                <w:rFonts w:hint="eastAsia" w:ascii="仿宋" w:hAnsi="仿宋" w:eastAsia="仿宋" w:cs="仿宋"/>
                <w:color w:val="auto"/>
                <w:sz w:val="20"/>
                <w:szCs w:val="21"/>
                <w:highlight w:val="none"/>
              </w:rPr>
            </w:pPr>
            <w:r>
              <w:rPr>
                <w:rFonts w:hint="eastAsia" w:ascii="仿宋" w:hAnsi="仿宋" w:eastAsia="仿宋" w:cs="仿宋"/>
                <w:color w:val="auto"/>
                <w:sz w:val="21"/>
                <w:szCs w:val="21"/>
                <w:lang w:val="en-US" w:eastAsia="zh-CN"/>
              </w:rPr>
              <w:t>您对古县</w:t>
            </w:r>
            <w:r>
              <w:rPr>
                <w:rFonts w:hint="eastAsia" w:ascii="仿宋" w:hAnsi="仿宋" w:eastAsia="仿宋" w:cs="仿宋"/>
                <w:color w:val="auto"/>
                <w:sz w:val="20"/>
                <w:szCs w:val="21"/>
                <w:lang w:val="en-US" w:eastAsia="zh-CN"/>
              </w:rPr>
              <w:t>采煤沉陷区旧房拆除和土地复垦项目政策的满意程度</w:t>
            </w:r>
          </w:p>
        </w:tc>
        <w:tc>
          <w:tcPr>
            <w:tcW w:w="872" w:type="dxa"/>
            <w:shd w:val="clear" w:color="auto" w:fill="auto"/>
            <w:vAlign w:val="center"/>
          </w:tcPr>
          <w:p>
            <w:pPr>
              <w:keepNext w:val="0"/>
              <w:keepLines w:val="0"/>
              <w:widowControl/>
              <w:suppressLineNumbers w:val="0"/>
              <w:jc w:val="center"/>
              <w:textAlignment w:val="center"/>
              <w:rPr>
                <w:rFonts w:hint="default"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200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186</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4</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2</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97.40%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4939" w:type="dxa"/>
            <w:shd w:val="clear" w:color="auto" w:fill="auto"/>
            <w:vAlign w:val="center"/>
          </w:tcPr>
          <w:p>
            <w:pPr>
              <w:snapToGrid w:val="0"/>
              <w:jc w:val="both"/>
              <w:rPr>
                <w:rFonts w:hint="eastAsia" w:ascii="仿宋" w:hAnsi="仿宋" w:eastAsia="仿宋" w:cs="仿宋"/>
                <w:color w:val="auto"/>
                <w:sz w:val="20"/>
                <w:szCs w:val="21"/>
                <w:highlight w:val="none"/>
              </w:rPr>
            </w:pPr>
            <w:r>
              <w:rPr>
                <w:rFonts w:hint="eastAsia" w:ascii="仿宋" w:hAnsi="仿宋" w:eastAsia="仿宋" w:cs="仿宋"/>
                <w:color w:val="auto"/>
                <w:sz w:val="21"/>
                <w:szCs w:val="21"/>
                <w:lang w:val="en-US" w:eastAsia="zh-CN"/>
              </w:rPr>
              <w:t>您对古县</w:t>
            </w:r>
            <w:r>
              <w:rPr>
                <w:rFonts w:hint="eastAsia" w:ascii="仿宋" w:hAnsi="仿宋" w:eastAsia="仿宋" w:cs="仿宋"/>
                <w:color w:val="auto"/>
                <w:sz w:val="20"/>
                <w:szCs w:val="21"/>
                <w:lang w:val="en-US" w:eastAsia="zh-CN"/>
              </w:rPr>
              <w:t>采煤沉陷区旧房拆除和土地复垦项目实施范围的满意程度</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200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172</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6</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11</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91.70%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shd w:val="clear" w:color="auto" w:fill="auto"/>
            <w:vAlign w:val="center"/>
          </w:tcPr>
          <w:p>
            <w:pPr>
              <w:snapToGrid w:val="0"/>
              <w:jc w:val="left"/>
              <w:rPr>
                <w:rFonts w:hint="eastAsia" w:ascii="仿宋" w:hAnsi="仿宋" w:eastAsia="仿宋" w:cs="仿宋"/>
                <w:color w:val="auto"/>
                <w:sz w:val="20"/>
                <w:szCs w:val="21"/>
                <w:highlight w:val="none"/>
              </w:rPr>
            </w:pPr>
            <w:r>
              <w:rPr>
                <w:rFonts w:hint="eastAsia" w:ascii="仿宋" w:hAnsi="仿宋" w:eastAsia="仿宋" w:cs="仿宋"/>
                <w:color w:val="auto"/>
                <w:sz w:val="20"/>
                <w:szCs w:val="21"/>
              </w:rPr>
              <w:t>您对</w:t>
            </w:r>
            <w:r>
              <w:rPr>
                <w:rFonts w:hint="eastAsia" w:ascii="仿宋" w:hAnsi="仿宋" w:eastAsia="仿宋" w:cs="仿宋"/>
                <w:color w:val="auto"/>
                <w:sz w:val="20"/>
                <w:szCs w:val="21"/>
                <w:lang w:val="en-US" w:eastAsia="zh-CN"/>
              </w:rPr>
              <w:t>采煤沉陷区旧房拆除和土地复垦项目实施进度的满意程度</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200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184</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9</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4</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3</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96.80%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shd w:val="clear" w:color="auto" w:fill="auto"/>
            <w:vAlign w:val="center"/>
          </w:tcPr>
          <w:p>
            <w:pPr>
              <w:snapToGrid w:val="0"/>
              <w:jc w:val="both"/>
              <w:rPr>
                <w:rFonts w:hint="eastAsia" w:ascii="仿宋" w:hAnsi="仿宋" w:eastAsia="仿宋" w:cs="仿宋"/>
                <w:color w:val="auto"/>
                <w:sz w:val="20"/>
                <w:szCs w:val="21"/>
              </w:rPr>
            </w:pPr>
            <w:r>
              <w:rPr>
                <w:rFonts w:hint="eastAsia" w:ascii="仿宋" w:hAnsi="仿宋" w:eastAsia="仿宋" w:cs="仿宋"/>
                <w:color w:val="auto"/>
                <w:sz w:val="20"/>
                <w:szCs w:val="21"/>
              </w:rPr>
              <w:t>您对</w:t>
            </w:r>
            <w:r>
              <w:rPr>
                <w:rFonts w:hint="eastAsia" w:ascii="仿宋" w:hAnsi="仿宋" w:eastAsia="仿宋" w:cs="仿宋"/>
                <w:color w:val="auto"/>
                <w:sz w:val="20"/>
                <w:szCs w:val="21"/>
                <w:lang w:val="en-US" w:eastAsia="zh-CN"/>
              </w:rPr>
              <w:t>采煤沉陷区旧房拆除和土地复垦项目建设质量的满意程度</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200</w:t>
            </w:r>
          </w:p>
        </w:tc>
        <w:tc>
          <w:tcPr>
            <w:tcW w:w="872" w:type="dxa"/>
            <w:shd w:val="clear" w:color="auto" w:fill="auto"/>
            <w:vAlign w:val="center"/>
          </w:tcPr>
          <w:p>
            <w:pPr>
              <w:keepNext w:val="0"/>
              <w:keepLines w:val="0"/>
              <w:widowControl/>
              <w:suppressLineNumbers w:val="0"/>
              <w:jc w:val="center"/>
              <w:textAlignment w:val="bottom"/>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169</w:t>
            </w:r>
          </w:p>
        </w:tc>
        <w:tc>
          <w:tcPr>
            <w:tcW w:w="872" w:type="dxa"/>
            <w:shd w:val="clear" w:color="auto" w:fill="auto"/>
            <w:vAlign w:val="center"/>
          </w:tcPr>
          <w:p>
            <w:pPr>
              <w:keepNext w:val="0"/>
              <w:keepLines w:val="0"/>
              <w:widowControl/>
              <w:suppressLineNumbers w:val="0"/>
              <w:jc w:val="center"/>
              <w:textAlignment w:val="bottom"/>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13</w:t>
            </w:r>
          </w:p>
        </w:tc>
        <w:tc>
          <w:tcPr>
            <w:tcW w:w="872" w:type="dxa"/>
            <w:shd w:val="clear" w:color="auto" w:fill="auto"/>
            <w:vAlign w:val="center"/>
          </w:tcPr>
          <w:p>
            <w:pPr>
              <w:keepNext w:val="0"/>
              <w:keepLines w:val="0"/>
              <w:widowControl/>
              <w:suppressLineNumbers w:val="0"/>
              <w:jc w:val="center"/>
              <w:textAlignment w:val="bottom"/>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8</w:t>
            </w:r>
          </w:p>
        </w:tc>
        <w:tc>
          <w:tcPr>
            <w:tcW w:w="874" w:type="dxa"/>
            <w:shd w:val="clear" w:color="auto" w:fill="auto"/>
            <w:vAlign w:val="center"/>
          </w:tcPr>
          <w:p>
            <w:pPr>
              <w:keepNext w:val="0"/>
              <w:keepLines w:val="0"/>
              <w:widowControl/>
              <w:suppressLineNumbers w:val="0"/>
              <w:jc w:val="center"/>
              <w:textAlignment w:val="bottom"/>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92.10%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shd w:val="clear" w:color="auto" w:fill="auto"/>
            <w:vAlign w:val="center"/>
          </w:tcPr>
          <w:p>
            <w:pPr>
              <w:snapToGrid w:val="0"/>
              <w:rPr>
                <w:rFonts w:hint="eastAsia" w:ascii="仿宋" w:hAnsi="仿宋" w:eastAsia="仿宋" w:cs="仿宋"/>
                <w:color w:val="auto"/>
                <w:sz w:val="20"/>
                <w:szCs w:val="21"/>
              </w:rPr>
            </w:pPr>
            <w:r>
              <w:rPr>
                <w:rFonts w:hint="eastAsia" w:ascii="仿宋" w:hAnsi="仿宋" w:eastAsia="仿宋" w:cs="仿宋"/>
                <w:color w:val="auto"/>
                <w:sz w:val="20"/>
                <w:szCs w:val="21"/>
              </w:rPr>
              <w:t>您对</w:t>
            </w:r>
            <w:r>
              <w:rPr>
                <w:rFonts w:hint="eastAsia" w:ascii="仿宋" w:hAnsi="仿宋" w:eastAsia="仿宋" w:cs="仿宋"/>
                <w:color w:val="auto"/>
                <w:sz w:val="20"/>
                <w:szCs w:val="21"/>
                <w:lang w:val="en-US" w:eastAsia="zh-CN"/>
              </w:rPr>
              <w:t>采煤沉陷区旧房拆除和土地复垦项目建成后产生的效益情况</w:t>
            </w:r>
            <w:r>
              <w:rPr>
                <w:rFonts w:hint="eastAsia" w:ascii="仿宋" w:hAnsi="仿宋" w:eastAsia="仿宋" w:cs="仿宋"/>
                <w:color w:val="auto"/>
                <w:sz w:val="20"/>
                <w:szCs w:val="21"/>
              </w:rPr>
              <w:t>的满意程度</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200</w:t>
            </w:r>
          </w:p>
        </w:tc>
        <w:tc>
          <w:tcPr>
            <w:tcW w:w="872" w:type="dxa"/>
            <w:shd w:val="clear" w:color="auto" w:fill="auto"/>
            <w:vAlign w:val="center"/>
          </w:tcPr>
          <w:p>
            <w:pPr>
              <w:keepNext w:val="0"/>
              <w:keepLines w:val="0"/>
              <w:widowControl/>
              <w:suppressLineNumbers w:val="0"/>
              <w:jc w:val="center"/>
              <w:textAlignment w:val="bottom"/>
              <w:rPr>
                <w:rFonts w:hint="eastAsia" w:ascii="仿宋" w:hAnsi="仿宋" w:eastAsia="仿宋" w:cs="仿宋"/>
                <w:i w:val="0"/>
                <w:iCs w:val="0"/>
                <w:color w:val="000000"/>
                <w:kern w:val="0"/>
                <w:sz w:val="20"/>
                <w:szCs w:val="20"/>
                <w:u w:val="none"/>
                <w:lang w:val="en-US" w:eastAsia="zh-CN" w:bidi="ar"/>
              </w:rPr>
            </w:pPr>
            <w:r>
              <w:rPr>
                <w:rFonts w:hint="eastAsia" w:ascii="等线" w:hAnsi="等线" w:eastAsia="等线" w:cs="等线"/>
                <w:i w:val="0"/>
                <w:iCs w:val="0"/>
                <w:color w:val="000000"/>
                <w:kern w:val="0"/>
                <w:sz w:val="22"/>
                <w:szCs w:val="22"/>
                <w:u w:val="none"/>
                <w:lang w:val="en-US" w:eastAsia="zh-CN" w:bidi="ar"/>
              </w:rPr>
              <w:t>176</w:t>
            </w:r>
          </w:p>
        </w:tc>
        <w:tc>
          <w:tcPr>
            <w:tcW w:w="872" w:type="dxa"/>
            <w:shd w:val="clear" w:color="auto" w:fill="auto"/>
            <w:vAlign w:val="center"/>
          </w:tcPr>
          <w:p>
            <w:pPr>
              <w:keepNext w:val="0"/>
              <w:keepLines w:val="0"/>
              <w:widowControl/>
              <w:suppressLineNumbers w:val="0"/>
              <w:jc w:val="center"/>
              <w:textAlignment w:val="bottom"/>
              <w:rPr>
                <w:rFonts w:hint="eastAsia" w:ascii="仿宋" w:hAnsi="仿宋" w:eastAsia="仿宋" w:cs="仿宋"/>
                <w:i w:val="0"/>
                <w:iCs w:val="0"/>
                <w:color w:val="000000"/>
                <w:kern w:val="0"/>
                <w:sz w:val="20"/>
                <w:szCs w:val="20"/>
                <w:u w:val="none"/>
                <w:lang w:val="en-US" w:eastAsia="zh-CN" w:bidi="ar"/>
              </w:rPr>
            </w:pPr>
            <w:r>
              <w:rPr>
                <w:rFonts w:hint="eastAsia" w:ascii="等线" w:hAnsi="等线" w:eastAsia="等线" w:cs="等线"/>
                <w:i w:val="0"/>
                <w:iCs w:val="0"/>
                <w:color w:val="000000"/>
                <w:kern w:val="0"/>
                <w:sz w:val="22"/>
                <w:szCs w:val="22"/>
                <w:u w:val="none"/>
                <w:lang w:val="en-US" w:eastAsia="zh-CN" w:bidi="ar"/>
              </w:rPr>
              <w:t>16</w:t>
            </w:r>
          </w:p>
        </w:tc>
        <w:tc>
          <w:tcPr>
            <w:tcW w:w="872" w:type="dxa"/>
            <w:shd w:val="clear" w:color="auto" w:fill="auto"/>
            <w:vAlign w:val="center"/>
          </w:tcPr>
          <w:p>
            <w:pPr>
              <w:keepNext w:val="0"/>
              <w:keepLines w:val="0"/>
              <w:widowControl/>
              <w:suppressLineNumbers w:val="0"/>
              <w:jc w:val="center"/>
              <w:textAlignment w:val="bottom"/>
              <w:rPr>
                <w:rFonts w:hint="eastAsia" w:ascii="仿宋" w:hAnsi="仿宋" w:eastAsia="仿宋" w:cs="仿宋"/>
                <w:i w:val="0"/>
                <w:iCs w:val="0"/>
                <w:color w:val="000000"/>
                <w:kern w:val="0"/>
                <w:sz w:val="20"/>
                <w:szCs w:val="20"/>
                <w:u w:val="none"/>
                <w:lang w:val="en-US" w:eastAsia="zh-CN" w:bidi="ar"/>
              </w:rPr>
            </w:pPr>
            <w:r>
              <w:rPr>
                <w:rFonts w:hint="eastAsia" w:ascii="等线" w:hAnsi="等线" w:eastAsia="等线" w:cs="等线"/>
                <w:i w:val="0"/>
                <w:iCs w:val="0"/>
                <w:color w:val="000000"/>
                <w:kern w:val="0"/>
                <w:sz w:val="22"/>
                <w:szCs w:val="22"/>
                <w:u w:val="none"/>
                <w:lang w:val="en-US" w:eastAsia="zh-CN" w:bidi="ar"/>
              </w:rPr>
              <w:t>4</w:t>
            </w:r>
          </w:p>
        </w:tc>
        <w:tc>
          <w:tcPr>
            <w:tcW w:w="874" w:type="dxa"/>
            <w:shd w:val="clear" w:color="auto" w:fill="auto"/>
            <w:vAlign w:val="center"/>
          </w:tcPr>
          <w:p>
            <w:pPr>
              <w:keepNext w:val="0"/>
              <w:keepLines w:val="0"/>
              <w:widowControl/>
              <w:suppressLineNumbers w:val="0"/>
              <w:jc w:val="center"/>
              <w:textAlignment w:val="bottom"/>
              <w:rPr>
                <w:rFonts w:hint="eastAsia" w:ascii="仿宋" w:hAnsi="仿宋" w:eastAsia="仿宋" w:cs="仿宋"/>
                <w:i w:val="0"/>
                <w:iCs w:val="0"/>
                <w:color w:val="000000"/>
                <w:kern w:val="0"/>
                <w:sz w:val="20"/>
                <w:szCs w:val="20"/>
                <w:u w:val="none"/>
                <w:lang w:val="en-US" w:eastAsia="zh-CN" w:bidi="ar"/>
              </w:rPr>
            </w:pPr>
            <w:r>
              <w:rPr>
                <w:rFonts w:hint="eastAsia" w:ascii="等线" w:hAnsi="等线" w:eastAsia="等线" w:cs="等线"/>
                <w:i w:val="0"/>
                <w:iCs w:val="0"/>
                <w:color w:val="000000"/>
                <w:kern w:val="0"/>
                <w:sz w:val="22"/>
                <w:szCs w:val="22"/>
                <w:u w:val="none"/>
                <w:lang w:val="en-US" w:eastAsia="zh-CN" w:bidi="ar"/>
              </w:rPr>
              <w:t>4</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95.60%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4939"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总体满意度</w:t>
            </w:r>
          </w:p>
        </w:tc>
        <w:tc>
          <w:tcPr>
            <w:tcW w:w="872" w:type="dxa"/>
            <w:shd w:val="clear" w:color="auto" w:fill="auto"/>
            <w:vAlign w:val="center"/>
          </w:tcPr>
          <w:p>
            <w:pPr>
              <w:snapToGrid w:val="0"/>
              <w:jc w:val="center"/>
              <w:rPr>
                <w:rFonts w:hint="default"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872" w:type="dxa"/>
            <w:shd w:val="clear" w:color="auto" w:fill="auto"/>
            <w:vAlign w:val="center"/>
          </w:tcPr>
          <w:p>
            <w:pPr>
              <w:snapToGrid w:val="0"/>
              <w:jc w:val="center"/>
              <w:rPr>
                <w:rFonts w:hint="default"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872" w:type="dxa"/>
            <w:shd w:val="clear" w:color="auto" w:fill="auto"/>
            <w:vAlign w:val="center"/>
          </w:tcPr>
          <w:p>
            <w:pPr>
              <w:snapToGrid w:val="0"/>
              <w:jc w:val="center"/>
              <w:rPr>
                <w:rFonts w:hint="default"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872" w:type="dxa"/>
            <w:shd w:val="clear" w:color="auto" w:fill="auto"/>
            <w:vAlign w:val="center"/>
          </w:tcPr>
          <w:p>
            <w:pPr>
              <w:snapToGrid w:val="0"/>
              <w:jc w:val="center"/>
              <w:rPr>
                <w:rFonts w:hint="default"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874" w:type="dxa"/>
            <w:shd w:val="clear" w:color="auto" w:fill="auto"/>
            <w:vAlign w:val="center"/>
          </w:tcPr>
          <w:p>
            <w:pPr>
              <w:snapToGrid w:val="0"/>
              <w:jc w:val="center"/>
              <w:rPr>
                <w:rFonts w:hint="default"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874"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1185" w:type="dxa"/>
            <w:shd w:val="clear" w:color="auto" w:fill="auto"/>
            <w:noWrap/>
            <w:vAlign w:val="center"/>
          </w:tcPr>
          <w:p>
            <w:pPr>
              <w:snapToGrid w:val="0"/>
              <w:jc w:val="center"/>
              <w:rPr>
                <w:rFonts w:hint="default"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94.52%</w:t>
            </w:r>
          </w:p>
        </w:tc>
      </w:tr>
    </w:tbl>
    <w:p>
      <w:pPr>
        <w:pStyle w:val="2"/>
        <w:rPr>
          <w:rFonts w:hint="eastAsia"/>
        </w:rPr>
        <w:sectPr>
          <w:pgSz w:w="16838" w:h="11906" w:orient="landscape"/>
          <w:pgMar w:top="1797" w:right="1440" w:bottom="1797" w:left="1440" w:header="851" w:footer="992" w:gutter="0"/>
          <w:pgNumType w:fmt="decimal"/>
          <w:cols w:space="425" w:num="1"/>
          <w:docGrid w:type="lines" w:linePitch="312" w:charSpace="0"/>
        </w:sectPr>
      </w:pPr>
    </w:p>
    <w:p>
      <w:pPr>
        <w:pStyle w:val="2"/>
        <w:rPr>
          <w:rFonts w:hint="eastAsia"/>
        </w:rPr>
      </w:pPr>
    </w:p>
    <w:p>
      <w:pPr>
        <w:tabs>
          <w:tab w:val="left" w:pos="630"/>
        </w:tabs>
        <w:spacing w:line="574" w:lineRule="exact"/>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三</w:t>
      </w:r>
      <w:r>
        <w:rPr>
          <w:rFonts w:hint="eastAsia" w:ascii="仿宋" w:hAnsi="仿宋" w:eastAsia="仿宋" w:cs="仿宋"/>
          <w:sz w:val="28"/>
          <w:szCs w:val="28"/>
          <w:lang w:eastAsia="zh-CN"/>
        </w:rPr>
        <w:t>）</w:t>
      </w:r>
      <w:r>
        <w:rPr>
          <w:rFonts w:hint="eastAsia" w:ascii="仿宋" w:hAnsi="仿宋" w:eastAsia="仿宋" w:cs="仿宋"/>
          <w:sz w:val="28"/>
          <w:szCs w:val="28"/>
        </w:rPr>
        <w:t>总结</w:t>
      </w:r>
    </w:p>
    <w:p>
      <w:pPr>
        <w:tabs>
          <w:tab w:val="left" w:pos="630"/>
        </w:tabs>
        <w:spacing w:line="574" w:lineRule="exact"/>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受益对象满意度分别为：97.40%、91.70%、96.80%、92.10%、95.60%、93.50%。整体满意度为94.52%。</w:t>
      </w:r>
    </w:p>
    <w:p>
      <w:pPr>
        <w:rPr>
          <w:rFonts w:hint="eastAsia" w:ascii="黑体" w:hAnsi="黑体" w:eastAsia="黑体"/>
          <w:snapToGrid w:val="0"/>
          <w:sz w:val="32"/>
          <w:szCs w:val="32"/>
          <w:lang w:val="en-US" w:eastAsia="zh-CN"/>
        </w:rPr>
      </w:pPr>
      <w:r>
        <w:rPr>
          <w:rFonts w:hint="eastAsia" w:ascii="黑体" w:hAnsi="黑体" w:eastAsia="黑体"/>
          <w:snapToGrid w:val="0"/>
          <w:sz w:val="32"/>
          <w:szCs w:val="32"/>
          <w:lang w:val="en-US" w:eastAsia="zh-CN"/>
        </w:rPr>
        <w:br w:type="page"/>
      </w:r>
    </w:p>
    <w:p>
      <w:pPr>
        <w:keepNext w:val="0"/>
        <w:keepLines w:val="0"/>
        <w:pageBreakBefore w:val="0"/>
        <w:widowControl w:val="0"/>
        <w:tabs>
          <w:tab w:val="left" w:pos="3495"/>
        </w:tabs>
        <w:kinsoku/>
        <w:wordWrap/>
        <w:overflowPunct/>
        <w:topLinePunct w:val="0"/>
        <w:autoSpaceDE/>
        <w:autoSpaceDN/>
        <w:bidi w:val="0"/>
        <w:adjustRightInd/>
        <w:snapToGrid/>
        <w:jc w:val="left"/>
        <w:textAlignment w:val="auto"/>
        <w:outlineLvl w:val="0"/>
        <w:rPr>
          <w:rFonts w:hint="default" w:ascii="黑体" w:hAnsi="黑体" w:eastAsia="黑体"/>
          <w:b/>
          <w:bCs/>
          <w:snapToGrid w:val="0"/>
          <w:sz w:val="32"/>
          <w:szCs w:val="32"/>
          <w:lang w:val="en-US" w:eastAsia="zh-CN"/>
        </w:rPr>
      </w:pPr>
      <w:bookmarkStart w:id="185" w:name="_Toc10639"/>
      <w:r>
        <w:rPr>
          <w:rFonts w:hint="eastAsia" w:ascii="黑体" w:hAnsi="黑体" w:eastAsia="黑体"/>
          <w:snapToGrid w:val="0"/>
          <w:sz w:val="32"/>
          <w:szCs w:val="32"/>
          <w:lang w:val="en-US" w:eastAsia="zh-CN"/>
        </w:rPr>
        <w:t>附件3：访谈报告</w:t>
      </w:r>
      <w:bookmarkEnd w:id="185"/>
    </w:p>
    <w:p>
      <w:pPr>
        <w:spacing w:line="520" w:lineRule="exact"/>
        <w:ind w:firstLine="562" w:firstLineChars="200"/>
        <w:rPr>
          <w:rFonts w:hint="default" w:ascii="仿宋" w:hAnsi="仿宋" w:eastAsia="仿宋" w:cs="仿宋"/>
          <w:b/>
          <w:bCs/>
          <w:kern w:val="0"/>
          <w:sz w:val="28"/>
          <w:szCs w:val="32"/>
          <w:lang w:val="en-US" w:eastAsia="zh-CN"/>
        </w:rPr>
      </w:pPr>
      <w:r>
        <w:rPr>
          <w:rFonts w:hint="eastAsia" w:ascii="仿宋" w:hAnsi="仿宋" w:eastAsia="仿宋" w:cs="仿宋"/>
          <w:b/>
          <w:bCs/>
          <w:kern w:val="0"/>
          <w:sz w:val="28"/>
          <w:szCs w:val="32"/>
          <w:lang w:val="en-US" w:eastAsia="zh-CN"/>
        </w:rPr>
        <w:t>一、项目相关负责人访谈</w:t>
      </w:r>
    </w:p>
    <w:p>
      <w:pPr>
        <w:spacing w:line="520" w:lineRule="exact"/>
        <w:ind w:firstLine="560" w:firstLineChars="200"/>
        <w:rPr>
          <w:rFonts w:hint="eastAsia" w:ascii="仿宋" w:hAnsi="仿宋" w:eastAsia="仿宋" w:cs="仿宋"/>
          <w:kern w:val="0"/>
          <w:sz w:val="28"/>
          <w:szCs w:val="32"/>
        </w:rPr>
      </w:pPr>
      <w:r>
        <w:rPr>
          <w:rFonts w:hint="eastAsia" w:ascii="仿宋" w:hAnsi="仿宋" w:eastAsia="仿宋" w:cs="仿宋"/>
          <w:kern w:val="0"/>
          <w:sz w:val="28"/>
          <w:szCs w:val="32"/>
        </w:rPr>
        <w:t>为了全面了解项目整体情况和绩效情况，客观公正的评价该项财政资金的绩效，从而提高资金的使用效率和管理水平，我们需要向您咨询以下问题：</w:t>
      </w:r>
    </w:p>
    <w:p>
      <w:pPr>
        <w:spacing w:line="500" w:lineRule="exact"/>
        <w:ind w:firstLine="562" w:firstLineChars="200"/>
        <w:rPr>
          <w:rFonts w:hint="eastAsia" w:ascii="仿宋" w:hAnsi="仿宋" w:eastAsia="仿宋" w:cs="仿宋"/>
          <w:b/>
          <w:bCs/>
          <w:kern w:val="0"/>
          <w:sz w:val="28"/>
          <w:szCs w:val="32"/>
        </w:rPr>
      </w:pPr>
      <w:r>
        <w:rPr>
          <w:rFonts w:hint="eastAsia" w:ascii="仿宋" w:hAnsi="仿宋" w:eastAsia="仿宋" w:cs="仿宋"/>
          <w:b/>
          <w:bCs/>
          <w:kern w:val="0"/>
          <w:sz w:val="28"/>
          <w:szCs w:val="32"/>
        </w:rPr>
        <w:t>1、请您简要介绍项目的概况。</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为全面贯彻上级精神，为社会经济发展及人民生产、生活提供土地保障，进一步改善生态环境，根据国家、省、市主管部门的具体要求，贯彻落实“十分珍惜、合理利用土地和切实保护耕地”的基本国策，从人民群众的根本利益出发，立足当地实际，古县开展了采煤沉陷区土地复垦工作。</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古县采煤沉陷区旧房拆除和土地复垦项目涉及5个标段。按照《土地复垦条例》、《土地复垦条例实施办法》等土地复垦有关规定，古县自然资源局委托山西蓝德凯尔土地规划设计咨询有限公司编制了《临汾市古县古阳镇杏家庄村采煤沉陷区旧房拆除及土地复垦设计》</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采煤沉陷区旧房拆除和土地复垦项目涉及5个标段，5个标段及设计、监理中标总价为875.90万元。</w:t>
      </w:r>
    </w:p>
    <w:p>
      <w:pPr>
        <w:spacing w:line="500" w:lineRule="exact"/>
        <w:ind w:firstLine="562" w:firstLineChars="200"/>
        <w:rPr>
          <w:rFonts w:hint="eastAsia" w:ascii="仿宋" w:hAnsi="仿宋" w:eastAsia="仿宋" w:cs="仿宋"/>
          <w:b/>
          <w:bCs/>
          <w:kern w:val="0"/>
          <w:sz w:val="28"/>
          <w:szCs w:val="32"/>
        </w:rPr>
      </w:pPr>
      <w:r>
        <w:rPr>
          <w:rFonts w:hint="eastAsia" w:ascii="仿宋" w:hAnsi="仿宋" w:eastAsia="仿宋" w:cs="仿宋"/>
          <w:b/>
          <w:bCs/>
          <w:kern w:val="0"/>
          <w:sz w:val="28"/>
          <w:szCs w:val="32"/>
        </w:rPr>
        <w:t>2、请您简要介绍项目预期目标及实际完成情况。</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采煤沉陷区旧房拆除和土地复垦项目涉及5个标段。</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①一标段-古县古阳镇杏家庄村采煤沉陷区旧房拆除和土地复垦项目</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计划开竣工时间：2021年12月20日至2022年2月18日</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复垦区总规模9.8869h㎡，新增耕地面积为7.1331h㎡。项目涉及241户，其中7户保留用作农具储存等，其余234户已拆除，即复垦区。</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合同价：1902503.92元；支付方式：预付款30%，工程完成后支付总价的50%；通过验收后支付总价的15%，通过验收后满一年支付总价的5%。</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②二标段-古县古阳镇下辛佛村采煤沉陷区旧房拆除和土地复垦项目</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计划开竣工时间：2021年12月20日至2022年2月18日</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复垦区总规模7.6121h㎡，新增耕地面积为5.1864h㎡。项目涉及193户。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合同价：1253511.58元；支付方式：预付款30%，工程完成后支付总价的50%；通过验收后支付总价的15%，通过验收后满一年支付总价的5%。</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③古县古阳镇乔家山村采煤沉陷区旧房拆除和土地复垦项目</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计划开竣工时间：2021年12月20日至2022年2月18日</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复垦区总规模6.7312h㎡，新增耕地面积为6.7312h㎡。项目涉及176户。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合同价：1169866.31元；支付方式：预付款30%，工程完成后支付总价的50%；通过验收后支付总价的15%，通过验收后满一年支付总价的5%。</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④古县岳阳镇南坡村采煤沉陷区旧房拆除和土地复垦项目</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计划开竣工时间：2021年12月20日至2022年2月18日</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复垦区总规模10.2097h㎡，新增耕地面积为6.3144h㎡。项目涉及176户。旧房拆除涉及313户，保留8户房屋用作农具储存及1处养猪场（涉及18户）共计26户，其余287户全部复垦。</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合同价：2137748.18元；支付方式：预付款30%，工程完成后支付总价的50%；通过验收后支付总价的15%，通过验收后满一年支付总价的5%。</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⑤古县岳阳镇韩母村采煤沉陷区旧房拆除和土地复垦项目</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计划开竣工时间：2021年12月20日至2022年2月18日</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复垦区总规模8.7269h㎡，新增耕地面积为4.1012h㎡。项目涉及183户。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合同价：1692412.87元；支付方式：预付款30%，工程完成后支付总价的50%；通过验收后支付总价的15%，通过验收后满一年支付总价的5%。</w:t>
      </w:r>
    </w:p>
    <w:p>
      <w:pPr>
        <w:spacing w:line="500" w:lineRule="exact"/>
        <w:ind w:firstLine="560" w:firstLineChars="200"/>
        <w:rPr>
          <w:rFonts w:hint="default" w:ascii="仿宋" w:hAnsi="仿宋" w:eastAsia="仿宋" w:cs="仿宋"/>
          <w:kern w:val="0"/>
          <w:sz w:val="28"/>
          <w:szCs w:val="32"/>
          <w:lang w:val="en-US"/>
        </w:rPr>
      </w:pPr>
      <w:r>
        <w:rPr>
          <w:rFonts w:hint="eastAsia" w:ascii="Times New Roman" w:hAnsi="Times New Roman" w:eastAsia="仿宋" w:cs="Times New Roman"/>
          <w:kern w:val="0"/>
          <w:sz w:val="28"/>
          <w:szCs w:val="28"/>
          <w:shd w:val="clear" w:color="auto" w:fill="FFFFFF"/>
          <w:lang w:val="en-US" w:eastAsia="zh-CN"/>
        </w:rPr>
        <w:t>截止2022年8月15日，采煤沉陷区旧房拆除和土地复垦项目尚未完工、尚未验收。</w:t>
      </w:r>
    </w:p>
    <w:p>
      <w:pPr>
        <w:spacing w:line="500" w:lineRule="exact"/>
        <w:ind w:firstLine="562" w:firstLineChars="200"/>
        <w:rPr>
          <w:rFonts w:hint="eastAsia" w:ascii="仿宋" w:hAnsi="仿宋" w:eastAsia="仿宋" w:cs="仿宋"/>
          <w:b/>
          <w:bCs/>
          <w:kern w:val="0"/>
          <w:sz w:val="28"/>
          <w:szCs w:val="32"/>
        </w:rPr>
      </w:pPr>
      <w:r>
        <w:rPr>
          <w:rFonts w:hint="eastAsia" w:ascii="仿宋" w:hAnsi="仿宋" w:eastAsia="仿宋" w:cs="仿宋"/>
          <w:b/>
          <w:bCs/>
          <w:kern w:val="0"/>
          <w:sz w:val="28"/>
          <w:szCs w:val="32"/>
          <w:lang w:val="en-US" w:eastAsia="zh-CN"/>
        </w:rPr>
        <w:t>3</w:t>
      </w:r>
      <w:r>
        <w:rPr>
          <w:rFonts w:hint="eastAsia" w:ascii="仿宋" w:hAnsi="仿宋" w:eastAsia="仿宋" w:cs="仿宋"/>
          <w:b/>
          <w:bCs/>
          <w:kern w:val="0"/>
          <w:sz w:val="28"/>
          <w:szCs w:val="32"/>
        </w:rPr>
        <w:t>、请您简要介绍资金使用情况。</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截止2022年8月15日，项目共计到位资金613.06万元。</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截止2022年8月15日，采煤沉陷区旧房拆除和土地复垦项目共计支出资金613.06万元。</w:t>
      </w:r>
    </w:p>
    <w:p>
      <w:pPr>
        <w:spacing w:line="500" w:lineRule="exact"/>
        <w:ind w:firstLine="562" w:firstLineChars="200"/>
        <w:rPr>
          <w:rFonts w:hint="eastAsia" w:ascii="仿宋" w:hAnsi="仿宋" w:eastAsia="仿宋" w:cs="仿宋"/>
          <w:kern w:val="0"/>
          <w:sz w:val="28"/>
          <w:szCs w:val="32"/>
        </w:rPr>
      </w:pPr>
      <w:r>
        <w:rPr>
          <w:rFonts w:hint="eastAsia" w:ascii="仿宋" w:hAnsi="仿宋" w:eastAsia="仿宋" w:cs="仿宋"/>
          <w:b/>
          <w:bCs/>
          <w:kern w:val="0"/>
          <w:sz w:val="28"/>
          <w:szCs w:val="32"/>
          <w:lang w:val="en-US" w:eastAsia="zh-CN"/>
        </w:rPr>
        <w:t>4</w:t>
      </w:r>
      <w:r>
        <w:rPr>
          <w:rFonts w:hint="eastAsia" w:ascii="仿宋" w:hAnsi="仿宋" w:eastAsia="仿宋" w:cs="仿宋"/>
          <w:b/>
          <w:bCs/>
          <w:kern w:val="0"/>
          <w:sz w:val="28"/>
          <w:szCs w:val="32"/>
        </w:rPr>
        <w:t>、请您简要介绍为保障项目的顺利实施所制定的制度、措施有哪些？</w:t>
      </w:r>
    </w:p>
    <w:p>
      <w:pPr>
        <w:spacing w:line="500" w:lineRule="exact"/>
        <w:ind w:firstLine="560" w:firstLineChars="200"/>
        <w:rPr>
          <w:rFonts w:hint="eastAsia" w:ascii="仿宋" w:hAnsi="仿宋" w:eastAsia="仿宋" w:cs="仿宋"/>
          <w:snapToGrid w:val="0"/>
          <w:sz w:val="28"/>
          <w:szCs w:val="28"/>
          <w:lang w:val="en-US" w:eastAsia="zh-CN"/>
        </w:rPr>
      </w:pPr>
      <w:r>
        <w:rPr>
          <w:rFonts w:hint="eastAsia" w:ascii="仿宋" w:hAnsi="仿宋" w:eastAsia="仿宋" w:cs="仿宋"/>
          <w:kern w:val="0"/>
          <w:sz w:val="28"/>
          <w:szCs w:val="32"/>
          <w:lang w:val="en-US" w:eastAsia="zh-CN"/>
        </w:rPr>
        <w:t>我单位在项目实施过程中严格把关，制定了相关业务、财务管理制度</w:t>
      </w:r>
      <w:r>
        <w:rPr>
          <w:rFonts w:hint="eastAsia" w:ascii="仿宋" w:hAnsi="仿宋" w:eastAsia="仿宋" w:cs="仿宋"/>
          <w:snapToGrid w:val="0"/>
          <w:sz w:val="28"/>
          <w:szCs w:val="28"/>
          <w:lang w:val="en-US" w:eastAsia="zh-CN"/>
        </w:rPr>
        <w:t>。</w:t>
      </w:r>
    </w:p>
    <w:p>
      <w:pPr>
        <w:rPr>
          <w:rFonts w:hint="eastAsia" w:ascii="仿宋" w:hAnsi="仿宋" w:eastAsia="仿宋" w:cs="仿宋"/>
          <w:snapToGrid w:val="0"/>
          <w:sz w:val="28"/>
          <w:szCs w:val="28"/>
          <w:lang w:val="en-US" w:eastAsia="zh-CN"/>
        </w:rPr>
      </w:pPr>
      <w:r>
        <w:rPr>
          <w:rFonts w:hint="eastAsia" w:ascii="仿宋" w:hAnsi="仿宋" w:eastAsia="仿宋" w:cs="仿宋"/>
          <w:snapToGrid w:val="0"/>
          <w:sz w:val="28"/>
          <w:szCs w:val="28"/>
          <w:lang w:val="en-US" w:eastAsia="zh-CN"/>
        </w:rPr>
        <w:br w:type="page"/>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0"/>
        <w:rPr>
          <w:rFonts w:hint="default" w:ascii="黑体" w:hAnsi="黑体" w:eastAsia="黑体"/>
          <w:snapToGrid w:val="0"/>
          <w:sz w:val="32"/>
          <w:szCs w:val="32"/>
          <w:lang w:val="en-US" w:eastAsia="zh-CN"/>
        </w:rPr>
      </w:pPr>
      <w:bookmarkStart w:id="186" w:name="_Toc21093"/>
      <w:bookmarkStart w:id="187" w:name="_Toc23588"/>
      <w:r>
        <w:rPr>
          <w:rFonts w:hint="eastAsia" w:ascii="黑体" w:hAnsi="黑体" w:eastAsia="黑体"/>
          <w:snapToGrid w:val="0"/>
          <w:sz w:val="32"/>
          <w:szCs w:val="32"/>
          <w:lang w:val="en-US" w:eastAsia="zh-CN"/>
        </w:rPr>
        <w:t>附件4：合规性审查</w:t>
      </w:r>
      <w:bookmarkEnd w:id="186"/>
      <w:bookmarkEnd w:id="187"/>
    </w:p>
    <w:p>
      <w:pPr>
        <w:spacing w:line="500" w:lineRule="exact"/>
        <w:ind w:firstLine="560" w:firstLineChars="200"/>
        <w:rPr>
          <w:rFonts w:hint="eastAsia" w:ascii="仿宋" w:hAnsi="仿宋" w:eastAsia="仿宋" w:cs="仿宋"/>
          <w:kern w:val="0"/>
          <w:sz w:val="28"/>
          <w:szCs w:val="32"/>
        </w:rPr>
      </w:pPr>
      <w:r>
        <w:rPr>
          <w:rFonts w:hint="eastAsia" w:ascii="仿宋" w:hAnsi="仿宋" w:eastAsia="仿宋" w:cs="仿宋"/>
          <w:kern w:val="0"/>
          <w:sz w:val="28"/>
          <w:szCs w:val="32"/>
        </w:rPr>
        <w:t>为保证</w:t>
      </w:r>
      <w:r>
        <w:rPr>
          <w:rFonts w:hint="eastAsia" w:ascii="仿宋" w:hAnsi="仿宋" w:eastAsia="仿宋" w:cs="仿宋"/>
          <w:kern w:val="0"/>
          <w:sz w:val="28"/>
          <w:szCs w:val="32"/>
          <w:lang w:val="en-US" w:eastAsia="zh-CN"/>
        </w:rPr>
        <w:t>采煤沉陷区旧房拆除和土地复垦项目资金</w:t>
      </w:r>
      <w:r>
        <w:rPr>
          <w:rFonts w:hint="eastAsia" w:ascii="仿宋" w:hAnsi="仿宋" w:eastAsia="仿宋" w:cs="仿宋"/>
          <w:kern w:val="0"/>
          <w:sz w:val="28"/>
          <w:szCs w:val="32"/>
        </w:rPr>
        <w:t>在资金拨付、资金支出、财务管理等方面的规范性，评价小组对资金的投入、执行、管理等方面开展合规性检查。</w:t>
      </w:r>
    </w:p>
    <w:p>
      <w:pPr>
        <w:spacing w:line="500" w:lineRule="exact"/>
        <w:ind w:firstLine="562" w:firstLineChars="200"/>
        <w:jc w:val="left"/>
        <w:rPr>
          <w:rFonts w:hint="eastAsia" w:ascii="仿宋" w:hAnsi="仿宋" w:eastAsia="仿宋" w:cs="仿宋"/>
          <w:b/>
          <w:kern w:val="0"/>
          <w:sz w:val="28"/>
          <w:szCs w:val="32"/>
        </w:rPr>
      </w:pPr>
      <w:r>
        <w:rPr>
          <w:rFonts w:hint="eastAsia" w:ascii="仿宋" w:hAnsi="仿宋" w:eastAsia="仿宋" w:cs="仿宋"/>
          <w:b/>
          <w:kern w:val="0"/>
          <w:sz w:val="28"/>
          <w:szCs w:val="32"/>
        </w:rPr>
        <w:t>1、合规性检查对象</w:t>
      </w:r>
    </w:p>
    <w:p>
      <w:pPr>
        <w:spacing w:line="500" w:lineRule="exact"/>
        <w:ind w:firstLine="560" w:firstLineChars="200"/>
        <w:jc w:val="left"/>
        <w:rPr>
          <w:rFonts w:hint="eastAsia" w:ascii="仿宋" w:hAnsi="仿宋" w:eastAsia="仿宋" w:cs="仿宋"/>
          <w:kern w:val="0"/>
          <w:sz w:val="28"/>
          <w:szCs w:val="32"/>
        </w:rPr>
      </w:pPr>
      <w:r>
        <w:rPr>
          <w:rFonts w:hint="eastAsia" w:ascii="仿宋" w:hAnsi="仿宋" w:eastAsia="仿宋" w:cs="仿宋"/>
          <w:kern w:val="0"/>
          <w:sz w:val="28"/>
          <w:szCs w:val="32"/>
        </w:rPr>
        <w:t>本次检查对象为</w:t>
      </w:r>
      <w:r>
        <w:rPr>
          <w:rFonts w:hint="eastAsia" w:ascii="仿宋" w:hAnsi="仿宋" w:eastAsia="仿宋" w:cs="仿宋"/>
          <w:kern w:val="0"/>
          <w:sz w:val="28"/>
          <w:szCs w:val="32"/>
          <w:lang w:eastAsia="zh-CN"/>
        </w:rPr>
        <w:t>采煤沉陷区旧房拆除和土地复垦项目资金</w:t>
      </w:r>
      <w:r>
        <w:rPr>
          <w:rFonts w:hint="eastAsia" w:ascii="仿宋" w:hAnsi="仿宋" w:eastAsia="仿宋" w:cs="仿宋"/>
          <w:kern w:val="0"/>
          <w:sz w:val="28"/>
          <w:szCs w:val="32"/>
        </w:rPr>
        <w:t>。</w:t>
      </w:r>
    </w:p>
    <w:p>
      <w:pPr>
        <w:spacing w:line="500" w:lineRule="exact"/>
        <w:ind w:firstLine="562" w:firstLineChars="200"/>
        <w:jc w:val="left"/>
        <w:rPr>
          <w:rFonts w:hint="eastAsia" w:ascii="仿宋" w:hAnsi="仿宋" w:eastAsia="仿宋" w:cs="仿宋"/>
          <w:b/>
          <w:kern w:val="0"/>
          <w:sz w:val="28"/>
          <w:szCs w:val="32"/>
        </w:rPr>
      </w:pPr>
      <w:r>
        <w:rPr>
          <w:rFonts w:hint="eastAsia" w:ascii="仿宋" w:hAnsi="仿宋" w:eastAsia="仿宋" w:cs="仿宋"/>
          <w:b/>
          <w:kern w:val="0"/>
          <w:sz w:val="28"/>
          <w:szCs w:val="32"/>
        </w:rPr>
        <w:t>2、合规性检查内容</w:t>
      </w:r>
    </w:p>
    <w:p>
      <w:pPr>
        <w:spacing w:line="500" w:lineRule="exact"/>
        <w:ind w:firstLine="560" w:firstLineChars="200"/>
        <w:jc w:val="left"/>
        <w:rPr>
          <w:rFonts w:hint="eastAsia" w:ascii="仿宋" w:hAnsi="仿宋" w:eastAsia="仿宋" w:cs="仿宋"/>
          <w:kern w:val="0"/>
          <w:sz w:val="28"/>
          <w:szCs w:val="32"/>
        </w:rPr>
      </w:pPr>
      <w:r>
        <w:rPr>
          <w:rFonts w:hint="eastAsia" w:ascii="仿宋" w:hAnsi="仿宋" w:eastAsia="仿宋" w:cs="仿宋"/>
          <w:kern w:val="0"/>
          <w:sz w:val="28"/>
          <w:szCs w:val="32"/>
        </w:rPr>
        <w:t>本次合规性检查内容包括资金拨付、资金支出、财务管理等，目的在于深入了解项目资金使用是否符合相关法律法规、制度和规定，用以发现配套资金在资金使用的规范性和安全性上存在的问题。内容如下表：</w:t>
      </w:r>
    </w:p>
    <w:p>
      <w:pPr>
        <w:spacing w:line="500" w:lineRule="exact"/>
        <w:ind w:firstLine="481" w:firstLineChars="200"/>
        <w:jc w:val="center"/>
        <w:rPr>
          <w:rFonts w:hint="eastAsia" w:ascii="仿宋" w:hAnsi="仿宋" w:eastAsia="仿宋" w:cs="仿宋"/>
          <w:b/>
          <w:kern w:val="0"/>
          <w:sz w:val="24"/>
          <w:szCs w:val="28"/>
        </w:rPr>
      </w:pPr>
      <w:r>
        <w:rPr>
          <w:rFonts w:hint="eastAsia" w:ascii="仿宋" w:hAnsi="仿宋" w:eastAsia="仿宋" w:cs="仿宋"/>
          <w:b/>
          <w:kern w:val="0"/>
          <w:sz w:val="24"/>
          <w:szCs w:val="28"/>
        </w:rPr>
        <w:t>附表4-1  合规性审查内容框架</w:t>
      </w:r>
    </w:p>
    <w:tbl>
      <w:tblPr>
        <w:tblStyle w:val="57"/>
        <w:tblW w:w="875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5"/>
        <w:gridCol w:w="1313"/>
        <w:gridCol w:w="67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trPr>
        <w:tc>
          <w:tcPr>
            <w:tcW w:w="715" w:type="dxa"/>
            <w:shd w:val="clear" w:color="auto" w:fill="BEBEBE" w:themeFill="background1" w:themeFillShade="BF"/>
            <w:vAlign w:val="center"/>
          </w:tcPr>
          <w:p>
            <w:pPr>
              <w:snapToGrid w:val="0"/>
              <w:jc w:val="center"/>
              <w:rPr>
                <w:rFonts w:hint="eastAsia" w:ascii="仿宋" w:hAnsi="仿宋" w:eastAsia="仿宋" w:cs="仿宋"/>
                <w:b/>
                <w:kern w:val="0"/>
                <w:sz w:val="24"/>
                <w:szCs w:val="32"/>
              </w:rPr>
            </w:pPr>
            <w:r>
              <w:rPr>
                <w:rFonts w:hint="eastAsia" w:ascii="仿宋" w:hAnsi="仿宋" w:eastAsia="仿宋" w:cs="仿宋"/>
                <w:b/>
                <w:kern w:val="0"/>
                <w:sz w:val="24"/>
                <w:szCs w:val="32"/>
              </w:rPr>
              <w:t>序号</w:t>
            </w:r>
          </w:p>
        </w:tc>
        <w:tc>
          <w:tcPr>
            <w:tcW w:w="1313" w:type="dxa"/>
            <w:shd w:val="clear" w:color="auto" w:fill="BEBEBE" w:themeFill="background1" w:themeFillShade="BF"/>
            <w:vAlign w:val="center"/>
          </w:tcPr>
          <w:p>
            <w:pPr>
              <w:snapToGrid w:val="0"/>
              <w:jc w:val="center"/>
              <w:rPr>
                <w:rFonts w:hint="eastAsia" w:ascii="仿宋" w:hAnsi="仿宋" w:eastAsia="仿宋" w:cs="仿宋"/>
                <w:b/>
                <w:kern w:val="0"/>
                <w:sz w:val="24"/>
                <w:szCs w:val="32"/>
              </w:rPr>
            </w:pPr>
            <w:r>
              <w:rPr>
                <w:rFonts w:hint="eastAsia" w:ascii="仿宋" w:hAnsi="仿宋" w:eastAsia="仿宋" w:cs="仿宋"/>
                <w:b/>
                <w:kern w:val="0"/>
                <w:sz w:val="24"/>
                <w:szCs w:val="32"/>
              </w:rPr>
              <w:t>项目</w:t>
            </w:r>
          </w:p>
        </w:tc>
        <w:tc>
          <w:tcPr>
            <w:tcW w:w="6727" w:type="dxa"/>
            <w:shd w:val="clear" w:color="auto" w:fill="BEBEBE" w:themeFill="background1" w:themeFillShade="BF"/>
            <w:vAlign w:val="center"/>
          </w:tcPr>
          <w:p>
            <w:pPr>
              <w:snapToGrid w:val="0"/>
              <w:jc w:val="center"/>
              <w:rPr>
                <w:rFonts w:hint="eastAsia" w:ascii="仿宋" w:hAnsi="仿宋" w:eastAsia="仿宋" w:cs="仿宋"/>
                <w:b/>
                <w:kern w:val="0"/>
                <w:sz w:val="24"/>
                <w:szCs w:val="32"/>
              </w:rPr>
            </w:pPr>
            <w:r>
              <w:rPr>
                <w:rFonts w:hint="eastAsia" w:ascii="仿宋" w:hAnsi="仿宋" w:eastAsia="仿宋" w:cs="仿宋"/>
                <w:b/>
                <w:kern w:val="0"/>
                <w:sz w:val="24"/>
                <w:szCs w:val="32"/>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hint="eastAsia" w:ascii="仿宋" w:hAnsi="仿宋" w:eastAsia="仿宋" w:cs="仿宋"/>
                <w:kern w:val="0"/>
                <w:sz w:val="24"/>
                <w:szCs w:val="32"/>
              </w:rPr>
            </w:pPr>
            <w:r>
              <w:rPr>
                <w:rFonts w:hint="eastAsia" w:ascii="仿宋" w:hAnsi="仿宋" w:eastAsia="仿宋" w:cs="仿宋"/>
                <w:kern w:val="0"/>
                <w:sz w:val="24"/>
                <w:szCs w:val="32"/>
              </w:rPr>
              <w:t>1</w:t>
            </w:r>
          </w:p>
        </w:tc>
        <w:tc>
          <w:tcPr>
            <w:tcW w:w="1313" w:type="dxa"/>
            <w:shd w:val="clear" w:color="auto" w:fill="auto"/>
            <w:vAlign w:val="center"/>
          </w:tcPr>
          <w:p>
            <w:pPr>
              <w:snapToGrid w:val="0"/>
              <w:jc w:val="center"/>
              <w:rPr>
                <w:rFonts w:hint="eastAsia" w:ascii="仿宋" w:hAnsi="仿宋" w:eastAsia="仿宋" w:cs="仿宋"/>
                <w:kern w:val="0"/>
                <w:sz w:val="24"/>
                <w:szCs w:val="32"/>
              </w:rPr>
            </w:pPr>
            <w:r>
              <w:rPr>
                <w:rFonts w:hint="eastAsia" w:ascii="仿宋" w:hAnsi="仿宋" w:eastAsia="仿宋" w:cs="仿宋"/>
                <w:kern w:val="0"/>
                <w:sz w:val="24"/>
                <w:szCs w:val="28"/>
                <w:lang w:bidi="ar"/>
              </w:rPr>
              <w:t>资金管理</w:t>
            </w:r>
          </w:p>
        </w:tc>
        <w:tc>
          <w:tcPr>
            <w:tcW w:w="6727" w:type="dxa"/>
            <w:shd w:val="clear" w:color="auto" w:fill="auto"/>
          </w:tcPr>
          <w:p>
            <w:pPr>
              <w:snapToGrid w:val="0"/>
              <w:jc w:val="left"/>
              <w:rPr>
                <w:rFonts w:hint="eastAsia" w:ascii="仿宋" w:hAnsi="仿宋" w:eastAsia="仿宋" w:cs="仿宋"/>
                <w:kern w:val="0"/>
                <w:sz w:val="24"/>
                <w:szCs w:val="32"/>
              </w:rPr>
            </w:pPr>
            <w:r>
              <w:rPr>
                <w:rFonts w:hint="eastAsia" w:ascii="仿宋" w:hAnsi="仿宋" w:eastAsia="仿宋" w:cs="仿宋"/>
                <w:kern w:val="0"/>
                <w:sz w:val="24"/>
                <w:szCs w:val="28"/>
                <w:lang w:bidi="ar"/>
              </w:rPr>
              <w:t>制定或具有相应的项目资金管理办法及是否符合相关财务会计制度的规定。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hint="eastAsia" w:ascii="仿宋" w:hAnsi="仿宋" w:eastAsia="仿宋" w:cs="仿宋"/>
                <w:kern w:val="0"/>
                <w:sz w:val="24"/>
                <w:szCs w:val="32"/>
              </w:rPr>
            </w:pPr>
            <w:r>
              <w:rPr>
                <w:rFonts w:hint="eastAsia" w:ascii="仿宋" w:hAnsi="仿宋" w:eastAsia="仿宋" w:cs="仿宋"/>
                <w:kern w:val="0"/>
                <w:sz w:val="24"/>
                <w:szCs w:val="32"/>
              </w:rPr>
              <w:t>2</w:t>
            </w:r>
          </w:p>
        </w:tc>
        <w:tc>
          <w:tcPr>
            <w:tcW w:w="1313" w:type="dxa"/>
            <w:shd w:val="clear" w:color="auto" w:fill="auto"/>
            <w:vAlign w:val="center"/>
          </w:tcPr>
          <w:p>
            <w:pPr>
              <w:snapToGrid w:val="0"/>
              <w:jc w:val="center"/>
              <w:rPr>
                <w:rFonts w:hint="eastAsia" w:ascii="仿宋" w:hAnsi="仿宋" w:eastAsia="仿宋" w:cs="仿宋"/>
                <w:kern w:val="0"/>
                <w:sz w:val="24"/>
                <w:szCs w:val="32"/>
              </w:rPr>
            </w:pPr>
            <w:r>
              <w:rPr>
                <w:rFonts w:hint="eastAsia" w:ascii="仿宋" w:hAnsi="仿宋" w:eastAsia="仿宋" w:cs="仿宋"/>
                <w:kern w:val="0"/>
                <w:sz w:val="24"/>
                <w:szCs w:val="28"/>
                <w:lang w:bidi="ar"/>
              </w:rPr>
              <w:t>资金使用</w:t>
            </w:r>
          </w:p>
        </w:tc>
        <w:tc>
          <w:tcPr>
            <w:tcW w:w="6727" w:type="dxa"/>
            <w:shd w:val="clear" w:color="auto" w:fill="auto"/>
          </w:tcPr>
          <w:p>
            <w:pPr>
              <w:snapToGrid w:val="0"/>
              <w:jc w:val="left"/>
              <w:rPr>
                <w:rFonts w:hint="eastAsia" w:ascii="仿宋" w:hAnsi="仿宋" w:eastAsia="仿宋" w:cs="仿宋"/>
                <w:kern w:val="0"/>
                <w:sz w:val="24"/>
                <w:szCs w:val="32"/>
              </w:rPr>
            </w:pPr>
            <w:r>
              <w:rPr>
                <w:rFonts w:hint="eastAsia" w:ascii="仿宋" w:hAnsi="仿宋" w:eastAsia="仿宋" w:cs="仿宋"/>
                <w:kern w:val="0"/>
                <w:sz w:val="24"/>
                <w:szCs w:val="28"/>
                <w:lang w:bidi="ar"/>
              </w:rPr>
              <w:t>资金的拨付有完整的审批程序和手续及符合项目预算批复或合同规定的用途；</w:t>
            </w:r>
            <w:r>
              <w:rPr>
                <w:rFonts w:hint="eastAsia" w:ascii="仿宋" w:hAnsi="仿宋" w:eastAsia="仿宋" w:cs="仿宋"/>
                <w:kern w:val="0"/>
                <w:sz w:val="24"/>
                <w:szCs w:val="28"/>
                <w:lang w:val="en-US" w:eastAsia="zh-CN" w:bidi="ar"/>
              </w:rPr>
              <w:t>不</w:t>
            </w:r>
            <w:r>
              <w:rPr>
                <w:rFonts w:hint="eastAsia" w:ascii="仿宋" w:hAnsi="仿宋" w:eastAsia="仿宋" w:cs="仿宋"/>
                <w:kern w:val="0"/>
                <w:sz w:val="24"/>
                <w:szCs w:val="28"/>
                <w:lang w:bidi="ar"/>
              </w:rPr>
              <w:t>存在截留、挤占、挪用、虚列支出等情况。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hint="eastAsia" w:ascii="仿宋" w:hAnsi="仿宋" w:eastAsia="仿宋" w:cs="仿宋"/>
                <w:kern w:val="0"/>
                <w:sz w:val="24"/>
                <w:szCs w:val="28"/>
                <w:lang w:bidi="ar"/>
              </w:rPr>
            </w:pPr>
            <w:r>
              <w:rPr>
                <w:rFonts w:hint="eastAsia" w:ascii="仿宋" w:hAnsi="仿宋" w:eastAsia="仿宋" w:cs="仿宋"/>
                <w:kern w:val="0"/>
                <w:sz w:val="24"/>
                <w:szCs w:val="28"/>
                <w:lang w:bidi="ar"/>
              </w:rPr>
              <w:t>3</w:t>
            </w:r>
          </w:p>
        </w:tc>
        <w:tc>
          <w:tcPr>
            <w:tcW w:w="1313" w:type="dxa"/>
            <w:shd w:val="clear" w:color="auto" w:fill="auto"/>
            <w:vAlign w:val="center"/>
          </w:tcPr>
          <w:p>
            <w:pPr>
              <w:snapToGrid w:val="0"/>
              <w:jc w:val="center"/>
              <w:rPr>
                <w:rFonts w:hint="eastAsia" w:ascii="仿宋" w:hAnsi="仿宋" w:eastAsia="仿宋" w:cs="仿宋"/>
                <w:kern w:val="0"/>
                <w:sz w:val="24"/>
                <w:szCs w:val="32"/>
              </w:rPr>
            </w:pPr>
            <w:r>
              <w:rPr>
                <w:rFonts w:hint="eastAsia" w:ascii="仿宋" w:hAnsi="仿宋" w:eastAsia="仿宋" w:cs="仿宋"/>
                <w:kern w:val="0"/>
                <w:sz w:val="24"/>
                <w:szCs w:val="28"/>
                <w:lang w:bidi="ar"/>
              </w:rPr>
              <w:t>财务监控</w:t>
            </w:r>
          </w:p>
        </w:tc>
        <w:tc>
          <w:tcPr>
            <w:tcW w:w="6727" w:type="dxa"/>
            <w:shd w:val="clear" w:color="auto" w:fill="auto"/>
          </w:tcPr>
          <w:p>
            <w:pPr>
              <w:snapToGrid w:val="0"/>
              <w:jc w:val="left"/>
              <w:rPr>
                <w:rFonts w:hint="eastAsia" w:ascii="仿宋" w:hAnsi="仿宋" w:eastAsia="仿宋" w:cs="仿宋"/>
                <w:kern w:val="0"/>
                <w:sz w:val="24"/>
                <w:szCs w:val="32"/>
              </w:rPr>
            </w:pPr>
            <w:r>
              <w:rPr>
                <w:rFonts w:hint="eastAsia" w:ascii="仿宋" w:hAnsi="仿宋" w:eastAsia="仿宋" w:cs="仿宋"/>
                <w:kern w:val="0"/>
                <w:sz w:val="24"/>
                <w:szCs w:val="28"/>
                <w:lang w:bidi="ar"/>
              </w:rPr>
              <w:t>已制定或具有相应的监控机制，采取了相应的财务检查等必要的监控措施或手段。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hint="eastAsia" w:ascii="仿宋" w:hAnsi="仿宋" w:eastAsia="仿宋" w:cs="仿宋"/>
                <w:kern w:val="0"/>
                <w:sz w:val="24"/>
                <w:szCs w:val="28"/>
                <w:lang w:bidi="ar"/>
              </w:rPr>
            </w:pPr>
            <w:r>
              <w:rPr>
                <w:rFonts w:hint="eastAsia" w:ascii="仿宋" w:hAnsi="仿宋" w:eastAsia="仿宋" w:cs="仿宋"/>
                <w:kern w:val="0"/>
                <w:sz w:val="24"/>
                <w:szCs w:val="28"/>
                <w:lang w:bidi="ar"/>
              </w:rPr>
              <w:t>4</w:t>
            </w:r>
          </w:p>
        </w:tc>
        <w:tc>
          <w:tcPr>
            <w:tcW w:w="1313" w:type="dxa"/>
            <w:shd w:val="clear" w:color="auto" w:fill="auto"/>
            <w:vAlign w:val="center"/>
          </w:tcPr>
          <w:p>
            <w:pPr>
              <w:snapToGrid w:val="0"/>
              <w:jc w:val="center"/>
              <w:rPr>
                <w:rFonts w:hint="eastAsia" w:ascii="仿宋" w:hAnsi="仿宋" w:eastAsia="仿宋" w:cs="仿宋"/>
                <w:kern w:val="0"/>
                <w:sz w:val="24"/>
                <w:szCs w:val="32"/>
              </w:rPr>
            </w:pPr>
            <w:r>
              <w:rPr>
                <w:rFonts w:hint="eastAsia" w:ascii="仿宋" w:hAnsi="仿宋" w:eastAsia="仿宋" w:cs="仿宋"/>
                <w:kern w:val="0"/>
                <w:sz w:val="24"/>
                <w:szCs w:val="28"/>
                <w:lang w:bidi="ar"/>
              </w:rPr>
              <w:t>项目管理</w:t>
            </w:r>
          </w:p>
        </w:tc>
        <w:tc>
          <w:tcPr>
            <w:tcW w:w="6727" w:type="dxa"/>
            <w:shd w:val="clear" w:color="auto" w:fill="auto"/>
          </w:tcPr>
          <w:p>
            <w:pPr>
              <w:snapToGrid w:val="0"/>
              <w:jc w:val="left"/>
              <w:rPr>
                <w:rFonts w:hint="eastAsia" w:ascii="仿宋" w:hAnsi="仿宋" w:eastAsia="仿宋" w:cs="仿宋"/>
                <w:kern w:val="0"/>
                <w:sz w:val="24"/>
                <w:szCs w:val="32"/>
              </w:rPr>
            </w:pPr>
            <w:r>
              <w:rPr>
                <w:rFonts w:hint="eastAsia" w:ascii="仿宋" w:hAnsi="仿宋" w:eastAsia="仿宋" w:cs="仿宋"/>
                <w:kern w:val="0"/>
                <w:sz w:val="24"/>
                <w:szCs w:val="28"/>
                <w:lang w:bidi="ar"/>
              </w:rPr>
              <w:t>已制定或具有相应的业务管理制度及合法、合规、完整性。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hint="eastAsia" w:ascii="仿宋" w:hAnsi="仿宋" w:eastAsia="仿宋" w:cs="仿宋"/>
                <w:kern w:val="0"/>
                <w:sz w:val="24"/>
                <w:szCs w:val="28"/>
                <w:lang w:bidi="ar"/>
              </w:rPr>
            </w:pPr>
            <w:r>
              <w:rPr>
                <w:rFonts w:hint="eastAsia" w:ascii="仿宋" w:hAnsi="仿宋" w:eastAsia="仿宋" w:cs="仿宋"/>
                <w:kern w:val="0"/>
                <w:sz w:val="24"/>
                <w:szCs w:val="28"/>
                <w:lang w:bidi="ar"/>
              </w:rPr>
              <w:t>5</w:t>
            </w:r>
          </w:p>
        </w:tc>
        <w:tc>
          <w:tcPr>
            <w:tcW w:w="1313" w:type="dxa"/>
            <w:shd w:val="clear" w:color="auto" w:fill="auto"/>
            <w:vAlign w:val="center"/>
          </w:tcPr>
          <w:p>
            <w:pPr>
              <w:snapToGrid w:val="0"/>
              <w:jc w:val="center"/>
              <w:rPr>
                <w:rFonts w:hint="eastAsia" w:ascii="仿宋" w:hAnsi="仿宋" w:eastAsia="仿宋" w:cs="仿宋"/>
                <w:kern w:val="0"/>
                <w:sz w:val="24"/>
                <w:szCs w:val="32"/>
              </w:rPr>
            </w:pPr>
            <w:r>
              <w:rPr>
                <w:rFonts w:hint="eastAsia" w:ascii="仿宋" w:hAnsi="仿宋" w:eastAsia="仿宋" w:cs="仿宋"/>
                <w:kern w:val="0"/>
                <w:sz w:val="24"/>
                <w:szCs w:val="28"/>
                <w:lang w:bidi="ar"/>
              </w:rPr>
              <w:t>项目执行</w:t>
            </w:r>
          </w:p>
        </w:tc>
        <w:tc>
          <w:tcPr>
            <w:tcW w:w="6727" w:type="dxa"/>
            <w:shd w:val="clear" w:color="auto" w:fill="auto"/>
          </w:tcPr>
          <w:p>
            <w:pPr>
              <w:snapToGrid w:val="0"/>
              <w:jc w:val="left"/>
              <w:rPr>
                <w:rFonts w:hint="eastAsia" w:ascii="仿宋" w:hAnsi="仿宋" w:eastAsia="仿宋" w:cs="仿宋"/>
                <w:kern w:val="0"/>
                <w:sz w:val="24"/>
                <w:szCs w:val="32"/>
              </w:rPr>
            </w:pPr>
            <w:r>
              <w:rPr>
                <w:rFonts w:hint="eastAsia" w:ascii="仿宋" w:hAnsi="仿宋" w:eastAsia="仿宋" w:cs="仿宋"/>
                <w:kern w:val="0"/>
                <w:sz w:val="24"/>
                <w:szCs w:val="28"/>
                <w:lang w:bidi="ar"/>
              </w:rPr>
              <w:t>遵守相关法律法规和业务管理规定，项目调整及支出调整手续完备。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hint="eastAsia" w:ascii="仿宋" w:hAnsi="仿宋" w:eastAsia="仿宋" w:cs="仿宋"/>
                <w:kern w:val="0"/>
                <w:sz w:val="24"/>
                <w:szCs w:val="28"/>
                <w:lang w:bidi="ar"/>
              </w:rPr>
            </w:pPr>
            <w:r>
              <w:rPr>
                <w:rFonts w:hint="eastAsia" w:ascii="仿宋" w:hAnsi="仿宋" w:eastAsia="仿宋" w:cs="仿宋"/>
                <w:kern w:val="0"/>
                <w:sz w:val="24"/>
                <w:szCs w:val="28"/>
                <w:lang w:bidi="ar"/>
              </w:rPr>
              <w:t>6</w:t>
            </w:r>
          </w:p>
        </w:tc>
        <w:tc>
          <w:tcPr>
            <w:tcW w:w="1313" w:type="dxa"/>
            <w:shd w:val="clear" w:color="auto" w:fill="auto"/>
            <w:vAlign w:val="center"/>
          </w:tcPr>
          <w:p>
            <w:pPr>
              <w:snapToGrid w:val="0"/>
              <w:jc w:val="center"/>
              <w:rPr>
                <w:rFonts w:hint="eastAsia" w:ascii="仿宋" w:hAnsi="仿宋" w:eastAsia="仿宋" w:cs="仿宋"/>
                <w:kern w:val="0"/>
                <w:sz w:val="24"/>
                <w:szCs w:val="32"/>
              </w:rPr>
            </w:pPr>
            <w:r>
              <w:rPr>
                <w:rFonts w:hint="eastAsia" w:ascii="仿宋" w:hAnsi="仿宋" w:eastAsia="仿宋" w:cs="仿宋"/>
                <w:kern w:val="0"/>
                <w:sz w:val="24"/>
                <w:szCs w:val="28"/>
                <w:lang w:bidi="ar"/>
              </w:rPr>
              <w:t>项目质量</w:t>
            </w:r>
          </w:p>
        </w:tc>
        <w:tc>
          <w:tcPr>
            <w:tcW w:w="6727" w:type="dxa"/>
            <w:shd w:val="clear" w:color="auto" w:fill="auto"/>
          </w:tcPr>
          <w:p>
            <w:pPr>
              <w:snapToGrid w:val="0"/>
              <w:jc w:val="left"/>
              <w:rPr>
                <w:rFonts w:hint="eastAsia" w:ascii="仿宋" w:hAnsi="仿宋" w:eastAsia="仿宋" w:cs="仿宋"/>
                <w:kern w:val="0"/>
                <w:sz w:val="24"/>
                <w:szCs w:val="32"/>
              </w:rPr>
            </w:pPr>
            <w:r>
              <w:rPr>
                <w:rFonts w:hint="eastAsia" w:ascii="仿宋" w:hAnsi="仿宋" w:eastAsia="仿宋" w:cs="仿宋"/>
                <w:kern w:val="0"/>
                <w:sz w:val="24"/>
                <w:szCs w:val="28"/>
                <w:lang w:bidi="ar"/>
              </w:rPr>
              <w:t>已制定或其有相应的项目质量要求或标准，采取了相应的项目质量检查、验收等必需的控制措施或手段。</w:t>
            </w:r>
          </w:p>
        </w:tc>
      </w:tr>
    </w:tbl>
    <w:p>
      <w:pPr>
        <w:spacing w:line="500" w:lineRule="exact"/>
        <w:ind w:firstLine="562" w:firstLineChars="200"/>
        <w:jc w:val="left"/>
        <w:rPr>
          <w:rFonts w:hint="eastAsia" w:ascii="仿宋" w:hAnsi="仿宋" w:eastAsia="仿宋" w:cs="仿宋"/>
          <w:b/>
          <w:kern w:val="0"/>
          <w:sz w:val="28"/>
          <w:szCs w:val="32"/>
        </w:rPr>
      </w:pPr>
      <w:r>
        <w:rPr>
          <w:rFonts w:hint="eastAsia" w:ascii="仿宋" w:hAnsi="仿宋" w:eastAsia="仿宋" w:cs="仿宋"/>
          <w:b/>
          <w:kern w:val="0"/>
          <w:sz w:val="28"/>
          <w:szCs w:val="32"/>
        </w:rPr>
        <w:t>3、合规性检查方法</w:t>
      </w:r>
    </w:p>
    <w:p>
      <w:pPr>
        <w:spacing w:line="500" w:lineRule="exact"/>
        <w:ind w:firstLine="560" w:firstLineChars="200"/>
        <w:rPr>
          <w:rFonts w:hint="eastAsia" w:ascii="仿宋" w:hAnsi="仿宋" w:eastAsia="仿宋" w:cs="仿宋"/>
          <w:kern w:val="0"/>
          <w:sz w:val="28"/>
          <w:szCs w:val="32"/>
        </w:rPr>
      </w:pPr>
      <w:r>
        <w:rPr>
          <w:rFonts w:hint="eastAsia" w:ascii="仿宋" w:hAnsi="仿宋" w:eastAsia="仿宋" w:cs="仿宋"/>
          <w:kern w:val="0"/>
          <w:sz w:val="28"/>
          <w:szCs w:val="32"/>
        </w:rPr>
        <w:t>本次合规性检查通过现场核查的方式开展，现场核实核查对象提供的资料。</w:t>
      </w:r>
    </w:p>
    <w:p>
      <w:pPr>
        <w:keepNext w:val="0"/>
        <w:keepLines w:val="0"/>
        <w:pageBreakBefore w:val="0"/>
        <w:widowControl w:val="0"/>
        <w:tabs>
          <w:tab w:val="left" w:pos="3495"/>
        </w:tabs>
        <w:kinsoku/>
        <w:wordWrap/>
        <w:overflowPunct/>
        <w:topLinePunct w:val="0"/>
        <w:autoSpaceDE/>
        <w:autoSpaceDN/>
        <w:bidi w:val="0"/>
        <w:adjustRightInd/>
        <w:snapToGrid/>
        <w:ind w:firstLine="560" w:firstLineChars="200"/>
        <w:jc w:val="left"/>
        <w:textAlignment w:val="auto"/>
        <w:outlineLvl w:val="9"/>
        <w:rPr>
          <w:rFonts w:hint="eastAsia" w:ascii="仿宋" w:hAnsi="仿宋" w:eastAsia="仿宋" w:cs="仿宋"/>
          <w:kern w:val="0"/>
          <w:sz w:val="28"/>
          <w:szCs w:val="32"/>
          <w:lang w:eastAsia="zh-CN"/>
        </w:rPr>
        <w:sectPr>
          <w:pgSz w:w="11906" w:h="16838"/>
          <w:pgMar w:top="1440" w:right="1797" w:bottom="1440" w:left="1797" w:header="851" w:footer="992" w:gutter="0"/>
          <w:pgNumType w:fmt="decimal"/>
          <w:cols w:space="425" w:num="1"/>
          <w:docGrid w:type="lines" w:linePitch="312" w:charSpace="0"/>
        </w:sectPr>
      </w:pPr>
      <w:r>
        <w:rPr>
          <w:rFonts w:hint="eastAsia" w:ascii="仿宋" w:hAnsi="仿宋" w:eastAsia="仿宋" w:cs="仿宋"/>
          <w:kern w:val="0"/>
          <w:sz w:val="28"/>
          <w:szCs w:val="32"/>
        </w:rPr>
        <w:t>合规性具体检查内容见附表4-2所示</w:t>
      </w:r>
      <w:r>
        <w:rPr>
          <w:rFonts w:hint="eastAsia" w:ascii="仿宋" w:hAnsi="仿宋" w:eastAsia="仿宋" w:cs="仿宋"/>
          <w:kern w:val="0"/>
          <w:sz w:val="28"/>
          <w:szCs w:val="32"/>
          <w:lang w:eastAsia="zh-CN"/>
        </w:rPr>
        <w:t>。</w:t>
      </w:r>
    </w:p>
    <w:p>
      <w:pPr>
        <w:spacing w:before="120" w:beforeLines="50" w:after="120" w:afterLines="50" w:line="50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附表</w:t>
      </w:r>
      <w:r>
        <w:rPr>
          <w:rFonts w:hint="eastAsia" w:ascii="Times New Roman" w:hAnsi="Times New Roman" w:eastAsia="仿宋" w:cs="Times New Roman"/>
          <w:b/>
          <w:sz w:val="28"/>
          <w:szCs w:val="28"/>
        </w:rPr>
        <w:t>4</w:t>
      </w:r>
      <w:r>
        <w:rPr>
          <w:rFonts w:ascii="Times New Roman" w:hAnsi="Times New Roman" w:eastAsia="仿宋" w:cs="Times New Roman"/>
          <w:b/>
          <w:sz w:val="28"/>
          <w:szCs w:val="28"/>
        </w:rPr>
        <w:t xml:space="preserve">-2  </w:t>
      </w:r>
      <w:r>
        <w:rPr>
          <w:rFonts w:hint="eastAsia" w:ascii="Times New Roman" w:hAnsi="Times New Roman" w:eastAsia="仿宋" w:cs="Times New Roman"/>
          <w:b/>
          <w:sz w:val="28"/>
          <w:szCs w:val="28"/>
        </w:rPr>
        <w:t>项目</w:t>
      </w:r>
      <w:r>
        <w:rPr>
          <w:rFonts w:ascii="Times New Roman" w:hAnsi="Times New Roman" w:eastAsia="仿宋" w:cs="Times New Roman"/>
          <w:b/>
          <w:sz w:val="28"/>
          <w:szCs w:val="28"/>
        </w:rPr>
        <w:t>资金绩效评价合规性检查表</w:t>
      </w:r>
    </w:p>
    <w:tbl>
      <w:tblPr>
        <w:tblStyle w:val="19"/>
        <w:tblW w:w="1197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62"/>
        <w:gridCol w:w="5182"/>
        <w:gridCol w:w="2529"/>
        <w:gridCol w:w="1740"/>
        <w:gridCol w:w="126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6" w:hRule="atLeast"/>
          <w:tblHeader/>
          <w:jc w:val="center"/>
        </w:trPr>
        <w:tc>
          <w:tcPr>
            <w:tcW w:w="1262"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项目</w:t>
            </w:r>
          </w:p>
        </w:tc>
        <w:tc>
          <w:tcPr>
            <w:tcW w:w="5182"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需提供资料</w:t>
            </w:r>
          </w:p>
        </w:tc>
        <w:tc>
          <w:tcPr>
            <w:tcW w:w="2529"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检查内容</w:t>
            </w:r>
          </w:p>
        </w:tc>
        <w:tc>
          <w:tcPr>
            <w:tcW w:w="1740"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是否提供有效原件（√/×）</w:t>
            </w:r>
          </w:p>
        </w:tc>
        <w:tc>
          <w:tcPr>
            <w:tcW w:w="1264"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检查结果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restart"/>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w:t>
            </w:r>
          </w:p>
        </w:tc>
        <w:tc>
          <w:tcPr>
            <w:tcW w:w="5182"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项目资金的申请资料（项目经费调整申请及批复）</w:t>
            </w:r>
          </w:p>
        </w:tc>
        <w:tc>
          <w:tcPr>
            <w:tcW w:w="2529"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是否有资金申请报告、资金调整情况</w:t>
            </w:r>
          </w:p>
        </w:tc>
        <w:tc>
          <w:tcPr>
            <w:tcW w:w="1740"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8" w:hRule="atLeast"/>
          <w:jc w:val="center"/>
        </w:trPr>
        <w:tc>
          <w:tcPr>
            <w:tcW w:w="1262"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5182"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财政资金下达通知及相关文件</w:t>
            </w:r>
          </w:p>
        </w:tc>
        <w:tc>
          <w:tcPr>
            <w:tcW w:w="2529"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资金拨付是否合规</w:t>
            </w:r>
          </w:p>
        </w:tc>
        <w:tc>
          <w:tcPr>
            <w:tcW w:w="1740"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2" w:hRule="atLeast"/>
          <w:jc w:val="center"/>
        </w:trPr>
        <w:tc>
          <w:tcPr>
            <w:tcW w:w="1262"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5182"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资金到账的会计账页、记账凭证及附件</w:t>
            </w:r>
          </w:p>
        </w:tc>
        <w:tc>
          <w:tcPr>
            <w:tcW w:w="2529"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资金拨付明细</w:t>
            </w:r>
          </w:p>
        </w:tc>
        <w:tc>
          <w:tcPr>
            <w:tcW w:w="1740"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资金支出</w:t>
            </w:r>
          </w:p>
        </w:tc>
        <w:tc>
          <w:tcPr>
            <w:tcW w:w="5182"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资金核算科目的会计账页、支付凭证、资金支出明细、重大项目开支的审批资料</w:t>
            </w:r>
          </w:p>
        </w:tc>
        <w:tc>
          <w:tcPr>
            <w:tcW w:w="2529"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资金使用是否合规</w:t>
            </w:r>
          </w:p>
        </w:tc>
        <w:tc>
          <w:tcPr>
            <w:tcW w:w="1740"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restart"/>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w:t>
            </w:r>
          </w:p>
        </w:tc>
        <w:tc>
          <w:tcPr>
            <w:tcW w:w="5182"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资金管理制度或相关财务管理办法等</w:t>
            </w:r>
          </w:p>
        </w:tc>
        <w:tc>
          <w:tcPr>
            <w:tcW w:w="2529"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财务管理制度是否健全</w:t>
            </w:r>
          </w:p>
        </w:tc>
        <w:tc>
          <w:tcPr>
            <w:tcW w:w="1740"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5182"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资金监控制度（措施）、记录或文件（专项审计报告）</w:t>
            </w:r>
          </w:p>
        </w:tc>
        <w:tc>
          <w:tcPr>
            <w:tcW w:w="2529"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资金监管情况</w:t>
            </w:r>
          </w:p>
        </w:tc>
        <w:tc>
          <w:tcPr>
            <w:tcW w:w="1740"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62" w:type="dxa"/>
            <w:vMerge w:val="restart"/>
            <w:shd w:val="clear" w:color="auto" w:fill="auto"/>
            <w:vAlign w:val="center"/>
          </w:tcPr>
          <w:p>
            <w:pPr>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w:t>
            </w:r>
          </w:p>
        </w:tc>
        <w:tc>
          <w:tcPr>
            <w:tcW w:w="5182"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立项背景、依据文件、申请及批复</w:t>
            </w:r>
          </w:p>
        </w:tc>
        <w:tc>
          <w:tcPr>
            <w:tcW w:w="2529"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项目立项的规范性</w:t>
            </w:r>
          </w:p>
        </w:tc>
        <w:tc>
          <w:tcPr>
            <w:tcW w:w="1740"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5" w:hRule="atLeast"/>
          <w:jc w:val="center"/>
        </w:trPr>
        <w:tc>
          <w:tcPr>
            <w:tcW w:w="1262" w:type="dxa"/>
            <w:vMerge w:val="continue"/>
            <w:shd w:val="clear" w:color="auto" w:fill="auto"/>
            <w:vAlign w:val="center"/>
          </w:tcPr>
          <w:p>
            <w:pPr>
              <w:snapToGrid w:val="0"/>
              <w:spacing w:line="300" w:lineRule="auto"/>
              <w:jc w:val="center"/>
              <w:rPr>
                <w:rFonts w:ascii="Times New Roman" w:hAnsi="Times New Roman" w:eastAsia="仿宋" w:cs="Times New Roman"/>
                <w:kern w:val="0"/>
                <w:sz w:val="24"/>
                <w:szCs w:val="24"/>
              </w:rPr>
            </w:pPr>
          </w:p>
        </w:tc>
        <w:tc>
          <w:tcPr>
            <w:tcW w:w="5182"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项目管理机构成立证明资料、项目实施方案、部门沟通、协商机制（各自职责、协作制度等）</w:t>
            </w:r>
          </w:p>
        </w:tc>
        <w:tc>
          <w:tcPr>
            <w:tcW w:w="2529"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保障项目实施的相关管理机构和制度</w:t>
            </w:r>
          </w:p>
        </w:tc>
        <w:tc>
          <w:tcPr>
            <w:tcW w:w="1740"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5182"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项目管理制度文件（项目管理制度或相关管理办法等）</w:t>
            </w:r>
          </w:p>
        </w:tc>
        <w:tc>
          <w:tcPr>
            <w:tcW w:w="2529"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项目管理是否规范</w:t>
            </w:r>
          </w:p>
        </w:tc>
        <w:tc>
          <w:tcPr>
            <w:tcW w:w="1740"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3" w:hRule="atLeast"/>
          <w:jc w:val="center"/>
        </w:trPr>
        <w:tc>
          <w:tcPr>
            <w:tcW w:w="1262"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5182"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项目资料归档的相关资料</w:t>
            </w:r>
          </w:p>
        </w:tc>
        <w:tc>
          <w:tcPr>
            <w:tcW w:w="2529"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项目档案管理情况</w:t>
            </w:r>
          </w:p>
        </w:tc>
        <w:tc>
          <w:tcPr>
            <w:tcW w:w="1740"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w:t>
            </w:r>
          </w:p>
        </w:tc>
        <w:tc>
          <w:tcPr>
            <w:tcW w:w="1264" w:type="dxa"/>
            <w:shd w:val="clear" w:color="auto" w:fill="auto"/>
            <w:vAlign w:val="center"/>
          </w:tcPr>
          <w:p>
            <w:pPr>
              <w:widowControl/>
              <w:snapToGrid w:val="0"/>
              <w:spacing w:line="300" w:lineRule="auto"/>
              <w:jc w:val="center"/>
              <w:rPr>
                <w:rFonts w:hint="default"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不齐全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5182"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项目监督制度、记录或文件、项目检查验收报告</w:t>
            </w:r>
          </w:p>
        </w:tc>
        <w:tc>
          <w:tcPr>
            <w:tcW w:w="2529"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项目监管情况</w:t>
            </w:r>
          </w:p>
        </w:tc>
        <w:tc>
          <w:tcPr>
            <w:tcW w:w="1740"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w:t>
            </w:r>
          </w:p>
        </w:tc>
        <w:tc>
          <w:tcPr>
            <w:tcW w:w="1264"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不齐全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0" w:hRule="atLeast"/>
          <w:jc w:val="center"/>
        </w:trPr>
        <w:tc>
          <w:tcPr>
            <w:tcW w:w="1262"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5182"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工作总结及自评报告</w:t>
            </w:r>
          </w:p>
        </w:tc>
        <w:tc>
          <w:tcPr>
            <w:tcW w:w="2529"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项目绩效目标完成情况</w:t>
            </w:r>
          </w:p>
        </w:tc>
        <w:tc>
          <w:tcPr>
            <w:tcW w:w="1740"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w:t>
            </w:r>
          </w:p>
        </w:tc>
        <w:tc>
          <w:tcPr>
            <w:tcW w:w="1264" w:type="dxa"/>
            <w:shd w:val="clear" w:color="auto" w:fill="auto"/>
            <w:vAlign w:val="center"/>
          </w:tcPr>
          <w:p>
            <w:pPr>
              <w:widowControl/>
              <w:snapToGrid w:val="0"/>
              <w:spacing w:line="300" w:lineRule="auto"/>
              <w:jc w:val="center"/>
              <w:rPr>
                <w:rFonts w:hint="default"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未提供自评报告</w:t>
            </w:r>
          </w:p>
        </w:tc>
      </w:tr>
    </w:tbl>
    <w:p>
      <w:pPr>
        <w:pStyle w:val="2"/>
        <w:rPr>
          <w:rFonts w:hint="default"/>
          <w:lang w:val="en-US" w:eastAsia="zh-CN"/>
        </w:rPr>
      </w:pPr>
    </w:p>
    <w:sectPr>
      <w:footerReference r:id="rId10" w:type="default"/>
      <w:pgSz w:w="16838" w:h="11906" w:orient="landscape"/>
      <w:pgMar w:top="1797" w:right="1440" w:bottom="1797"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Arial Narrow">
    <w:altName w:val="Times New Roman"/>
    <w:panose1 w:val="020B0606020202030204"/>
    <w:charset w:val="00"/>
    <w:family w:val="swiss"/>
    <w:pitch w:val="default"/>
    <w:sig w:usb0="00000000"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ACF3C50" w:usb2="00000016" w:usb3="00000000" w:csb0="0004001F"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both"/>
    </w:pP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p>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p>
  <w:p>
    <w:pPr>
      <w:pStyle w:val="12"/>
      <w:tabs>
        <w:tab w:val="clear" w:pos="4153"/>
      </w:tabs>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37</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37</w:t>
                    </w:r>
                    <w:r>
                      <w:fldChar w:fldCharType="end"/>
                    </w:r>
                  </w:p>
                </w:txbxContent>
              </v:textbox>
            </v:shape>
          </w:pict>
        </mc:Fallback>
      </mc:AlternateContent>
    </w:r>
  </w:p>
  <w:p>
    <w:pPr>
      <w:pStyle w:val="1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45</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45</w:t>
                    </w:r>
                    <w:r>
                      <w:fldChar w:fldCharType="end"/>
                    </w:r>
                  </w:p>
                </w:txbxContent>
              </v:textbox>
            </v:shape>
          </w:pict>
        </mc:Fallback>
      </mc:AlternateContent>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rPr>
        <w:rFonts w:ascii="仿宋_GB2312" w:hAnsi="宋体" w:eastAsia="仿宋_GB23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12" w:space="0"/>
      </w:pBdr>
      <w:jc w:val="center"/>
      <w:rPr>
        <w:rFonts w:hint="eastAsia" w:ascii="仿宋" w:hAnsi="仿宋" w:eastAsia="仿宋" w:cs="仿宋"/>
        <w:b w:val="0"/>
        <w:bCs/>
      </w:rPr>
    </w:pPr>
    <w:r>
      <w:rPr>
        <w:rFonts w:hint="eastAsia" w:ascii="仿宋" w:hAnsi="仿宋" w:eastAsia="仿宋" w:cs="仿宋"/>
        <w:b w:val="0"/>
        <w:bCs/>
        <w:szCs w:val="18"/>
        <w:lang w:eastAsia="zh-CN"/>
      </w:rPr>
      <w:t>采煤沉陷区旧房拆除和土地复垦项目</w:t>
    </w:r>
    <w:r>
      <w:rPr>
        <w:rFonts w:hint="eastAsia" w:ascii="仿宋" w:hAnsi="仿宋" w:eastAsia="仿宋" w:cs="仿宋"/>
        <w:b w:val="0"/>
        <w:bCs/>
        <w:lang w:eastAsia="zh-CN"/>
      </w:rPr>
      <w:t>支出绩效评价</w:t>
    </w:r>
    <w:r>
      <w:rPr>
        <w:rFonts w:hint="eastAsia" w:ascii="仿宋" w:hAnsi="仿宋" w:eastAsia="仿宋" w:cs="仿宋"/>
        <w:b w:val="0"/>
        <w:bCs/>
      </w:rPr>
      <w:t>报告</w:t>
    </w:r>
  </w:p>
  <w:p>
    <w:pPr>
      <w:pStyle w:val="13"/>
      <w:pBdr>
        <w:bottom w:val="none" w:color="auto" w:sz="0" w:space="0"/>
      </w:pBdr>
      <w:rPr>
        <w:rFonts w:ascii="仿宋_GB2312" w:hAnsi="宋体" w:eastAsia="仿宋_GB23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12" w:space="0"/>
      </w:pBdr>
      <w:jc w:val="center"/>
      <w:rPr>
        <w:rFonts w:ascii="仿宋_GB2312" w:hAnsi="宋体" w:eastAsia="仿宋_GB2312"/>
      </w:rPr>
    </w:pPr>
    <w:r>
      <w:rPr>
        <w:rFonts w:hint="eastAsia" w:ascii="仿宋_GB2312" w:hAnsi="宋体" w:eastAsia="仿宋_GB2312"/>
        <w:lang w:eastAsia="zh-CN"/>
      </w:rPr>
      <w:t>采煤沉陷区旧房拆除和土地复垦项目经费支出绩效评价</w:t>
    </w:r>
    <w:r>
      <w:rPr>
        <w:rFonts w:hint="eastAsia" w:ascii="仿宋_GB2312" w:hAnsi="宋体" w:eastAsia="仿宋_GB2312"/>
      </w:rPr>
      <w:t>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NotTrackMoves/>
  <w:documentProtection w:enforcement="0"/>
  <w:defaultTabStop w:val="420"/>
  <w:drawingGridHorizontalSpacing w:val="105"/>
  <w:drawingGridVerticalSpacing w:val="158"/>
  <w:displayHorizontalDrawingGridEvery w:val="1"/>
  <w:displayVerticalDrawingGridEvery w:val="1"/>
  <w:noPunctuationKerning w:val="true"/>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wYzlhYmVjYmUyMjYzYTI1ZjVhMWE5OTYzZmVlMmIifQ=="/>
  </w:docVars>
  <w:rsids>
    <w:rsidRoot w:val="00172A27"/>
    <w:rsid w:val="00000665"/>
    <w:rsid w:val="000015E1"/>
    <w:rsid w:val="0000285E"/>
    <w:rsid w:val="00002FA7"/>
    <w:rsid w:val="000030A6"/>
    <w:rsid w:val="0000318C"/>
    <w:rsid w:val="000046D4"/>
    <w:rsid w:val="000053F8"/>
    <w:rsid w:val="00005D06"/>
    <w:rsid w:val="00011DAD"/>
    <w:rsid w:val="000124C6"/>
    <w:rsid w:val="000135F8"/>
    <w:rsid w:val="000139D8"/>
    <w:rsid w:val="00013F81"/>
    <w:rsid w:val="0001513C"/>
    <w:rsid w:val="00015E21"/>
    <w:rsid w:val="00016DF8"/>
    <w:rsid w:val="0002054A"/>
    <w:rsid w:val="000209C8"/>
    <w:rsid w:val="0002220E"/>
    <w:rsid w:val="0002265E"/>
    <w:rsid w:val="00023051"/>
    <w:rsid w:val="000236BE"/>
    <w:rsid w:val="00023C53"/>
    <w:rsid w:val="00023D8C"/>
    <w:rsid w:val="0002403D"/>
    <w:rsid w:val="000251FD"/>
    <w:rsid w:val="000258C4"/>
    <w:rsid w:val="00025A7C"/>
    <w:rsid w:val="00025D33"/>
    <w:rsid w:val="00026619"/>
    <w:rsid w:val="00027D7C"/>
    <w:rsid w:val="000306A5"/>
    <w:rsid w:val="0003256E"/>
    <w:rsid w:val="000327BC"/>
    <w:rsid w:val="0003723B"/>
    <w:rsid w:val="00040F9E"/>
    <w:rsid w:val="00043717"/>
    <w:rsid w:val="00044990"/>
    <w:rsid w:val="0004539F"/>
    <w:rsid w:val="000463EA"/>
    <w:rsid w:val="00046673"/>
    <w:rsid w:val="00047350"/>
    <w:rsid w:val="00052524"/>
    <w:rsid w:val="000527D1"/>
    <w:rsid w:val="00053C33"/>
    <w:rsid w:val="000558C7"/>
    <w:rsid w:val="00055AA9"/>
    <w:rsid w:val="00056376"/>
    <w:rsid w:val="00057000"/>
    <w:rsid w:val="00057123"/>
    <w:rsid w:val="00057A4E"/>
    <w:rsid w:val="00060E07"/>
    <w:rsid w:val="00062D34"/>
    <w:rsid w:val="00062EFA"/>
    <w:rsid w:val="0006376F"/>
    <w:rsid w:val="00064BFA"/>
    <w:rsid w:val="0006521C"/>
    <w:rsid w:val="00065589"/>
    <w:rsid w:val="000669E5"/>
    <w:rsid w:val="00070C65"/>
    <w:rsid w:val="0007241E"/>
    <w:rsid w:val="000725F3"/>
    <w:rsid w:val="00073335"/>
    <w:rsid w:val="00073D19"/>
    <w:rsid w:val="00074D0D"/>
    <w:rsid w:val="000753C8"/>
    <w:rsid w:val="000758C5"/>
    <w:rsid w:val="00076220"/>
    <w:rsid w:val="00076335"/>
    <w:rsid w:val="000768C4"/>
    <w:rsid w:val="0007772D"/>
    <w:rsid w:val="000801E5"/>
    <w:rsid w:val="00080B1C"/>
    <w:rsid w:val="00080C5F"/>
    <w:rsid w:val="00080ED8"/>
    <w:rsid w:val="00081B3E"/>
    <w:rsid w:val="000823B4"/>
    <w:rsid w:val="00085386"/>
    <w:rsid w:val="00086E4B"/>
    <w:rsid w:val="0009067D"/>
    <w:rsid w:val="000907B4"/>
    <w:rsid w:val="00090DCB"/>
    <w:rsid w:val="00092BAE"/>
    <w:rsid w:val="00093107"/>
    <w:rsid w:val="00093115"/>
    <w:rsid w:val="000943C2"/>
    <w:rsid w:val="00097835"/>
    <w:rsid w:val="00097EC5"/>
    <w:rsid w:val="000A05B9"/>
    <w:rsid w:val="000A1DB1"/>
    <w:rsid w:val="000A1F60"/>
    <w:rsid w:val="000A206A"/>
    <w:rsid w:val="000A351A"/>
    <w:rsid w:val="000A40C5"/>
    <w:rsid w:val="000A521A"/>
    <w:rsid w:val="000A647C"/>
    <w:rsid w:val="000A7706"/>
    <w:rsid w:val="000B0BE2"/>
    <w:rsid w:val="000B2270"/>
    <w:rsid w:val="000B24FB"/>
    <w:rsid w:val="000B50DD"/>
    <w:rsid w:val="000C05F6"/>
    <w:rsid w:val="000C19BA"/>
    <w:rsid w:val="000C1B19"/>
    <w:rsid w:val="000C1C48"/>
    <w:rsid w:val="000C230D"/>
    <w:rsid w:val="000C2B52"/>
    <w:rsid w:val="000C38E0"/>
    <w:rsid w:val="000C47E5"/>
    <w:rsid w:val="000C4B97"/>
    <w:rsid w:val="000C5014"/>
    <w:rsid w:val="000C5269"/>
    <w:rsid w:val="000C6078"/>
    <w:rsid w:val="000C6944"/>
    <w:rsid w:val="000C7EC8"/>
    <w:rsid w:val="000D0747"/>
    <w:rsid w:val="000D0F75"/>
    <w:rsid w:val="000D287E"/>
    <w:rsid w:val="000D58B0"/>
    <w:rsid w:val="000D7CE6"/>
    <w:rsid w:val="000D7E5C"/>
    <w:rsid w:val="000E07C2"/>
    <w:rsid w:val="000E10E2"/>
    <w:rsid w:val="000E234A"/>
    <w:rsid w:val="000E2824"/>
    <w:rsid w:val="000E28AB"/>
    <w:rsid w:val="000E2AC9"/>
    <w:rsid w:val="000E34D6"/>
    <w:rsid w:val="000E36D4"/>
    <w:rsid w:val="000E680B"/>
    <w:rsid w:val="000F016E"/>
    <w:rsid w:val="000F08DE"/>
    <w:rsid w:val="000F10E7"/>
    <w:rsid w:val="000F22FC"/>
    <w:rsid w:val="000F489D"/>
    <w:rsid w:val="000F63BE"/>
    <w:rsid w:val="000F6DBB"/>
    <w:rsid w:val="000F7B56"/>
    <w:rsid w:val="00101473"/>
    <w:rsid w:val="00101D37"/>
    <w:rsid w:val="0010211C"/>
    <w:rsid w:val="0010351E"/>
    <w:rsid w:val="00103DC5"/>
    <w:rsid w:val="0011001F"/>
    <w:rsid w:val="00113842"/>
    <w:rsid w:val="0011387B"/>
    <w:rsid w:val="00115C93"/>
    <w:rsid w:val="00117DE1"/>
    <w:rsid w:val="0012004C"/>
    <w:rsid w:val="0012111C"/>
    <w:rsid w:val="001211F6"/>
    <w:rsid w:val="001212ED"/>
    <w:rsid w:val="00121663"/>
    <w:rsid w:val="00122A44"/>
    <w:rsid w:val="00123DAB"/>
    <w:rsid w:val="00124E66"/>
    <w:rsid w:val="00124E8C"/>
    <w:rsid w:val="00125CA6"/>
    <w:rsid w:val="00125D60"/>
    <w:rsid w:val="00125FF7"/>
    <w:rsid w:val="00126493"/>
    <w:rsid w:val="00127034"/>
    <w:rsid w:val="00127073"/>
    <w:rsid w:val="00131415"/>
    <w:rsid w:val="00131F6D"/>
    <w:rsid w:val="00132BBB"/>
    <w:rsid w:val="00133990"/>
    <w:rsid w:val="00133C45"/>
    <w:rsid w:val="00133D36"/>
    <w:rsid w:val="00134902"/>
    <w:rsid w:val="00135405"/>
    <w:rsid w:val="0013550A"/>
    <w:rsid w:val="0013625A"/>
    <w:rsid w:val="001366CB"/>
    <w:rsid w:val="00137023"/>
    <w:rsid w:val="00140599"/>
    <w:rsid w:val="001409E6"/>
    <w:rsid w:val="00142304"/>
    <w:rsid w:val="00142AB1"/>
    <w:rsid w:val="00142ED6"/>
    <w:rsid w:val="00144605"/>
    <w:rsid w:val="0014735B"/>
    <w:rsid w:val="001474B6"/>
    <w:rsid w:val="00147519"/>
    <w:rsid w:val="0015002F"/>
    <w:rsid w:val="001509EA"/>
    <w:rsid w:val="00151930"/>
    <w:rsid w:val="00151AFC"/>
    <w:rsid w:val="0015240D"/>
    <w:rsid w:val="0015246F"/>
    <w:rsid w:val="001539B7"/>
    <w:rsid w:val="00153A09"/>
    <w:rsid w:val="00154353"/>
    <w:rsid w:val="00154FC7"/>
    <w:rsid w:val="001560C5"/>
    <w:rsid w:val="001572B3"/>
    <w:rsid w:val="00157627"/>
    <w:rsid w:val="001577B7"/>
    <w:rsid w:val="00161822"/>
    <w:rsid w:val="001618C8"/>
    <w:rsid w:val="00161DCF"/>
    <w:rsid w:val="00161E79"/>
    <w:rsid w:val="0016219C"/>
    <w:rsid w:val="0016317D"/>
    <w:rsid w:val="001634B2"/>
    <w:rsid w:val="00166259"/>
    <w:rsid w:val="00166365"/>
    <w:rsid w:val="001700DA"/>
    <w:rsid w:val="00172C5B"/>
    <w:rsid w:val="00173A44"/>
    <w:rsid w:val="00174AA8"/>
    <w:rsid w:val="0017521A"/>
    <w:rsid w:val="00175C09"/>
    <w:rsid w:val="00177298"/>
    <w:rsid w:val="0017748F"/>
    <w:rsid w:val="00177F3B"/>
    <w:rsid w:val="0018037E"/>
    <w:rsid w:val="0018070F"/>
    <w:rsid w:val="00182520"/>
    <w:rsid w:val="00182552"/>
    <w:rsid w:val="00182AD1"/>
    <w:rsid w:val="0018368C"/>
    <w:rsid w:val="00183CFB"/>
    <w:rsid w:val="00184B1B"/>
    <w:rsid w:val="00184D59"/>
    <w:rsid w:val="00187F87"/>
    <w:rsid w:val="001911AF"/>
    <w:rsid w:val="001932B2"/>
    <w:rsid w:val="00193748"/>
    <w:rsid w:val="00194623"/>
    <w:rsid w:val="001949A6"/>
    <w:rsid w:val="00195D02"/>
    <w:rsid w:val="001A06DF"/>
    <w:rsid w:val="001A1E93"/>
    <w:rsid w:val="001A2610"/>
    <w:rsid w:val="001A473B"/>
    <w:rsid w:val="001A60FA"/>
    <w:rsid w:val="001A6279"/>
    <w:rsid w:val="001B1846"/>
    <w:rsid w:val="001B1DC3"/>
    <w:rsid w:val="001B3696"/>
    <w:rsid w:val="001B3704"/>
    <w:rsid w:val="001B42BE"/>
    <w:rsid w:val="001B4324"/>
    <w:rsid w:val="001B6078"/>
    <w:rsid w:val="001B60EC"/>
    <w:rsid w:val="001B74EF"/>
    <w:rsid w:val="001B7808"/>
    <w:rsid w:val="001B78F9"/>
    <w:rsid w:val="001B7EC2"/>
    <w:rsid w:val="001C0556"/>
    <w:rsid w:val="001C25FE"/>
    <w:rsid w:val="001C2C81"/>
    <w:rsid w:val="001C364E"/>
    <w:rsid w:val="001C3957"/>
    <w:rsid w:val="001C4BD4"/>
    <w:rsid w:val="001C5BD6"/>
    <w:rsid w:val="001C5E7A"/>
    <w:rsid w:val="001C5F85"/>
    <w:rsid w:val="001C6A47"/>
    <w:rsid w:val="001C7D6F"/>
    <w:rsid w:val="001D45E9"/>
    <w:rsid w:val="001D4EB7"/>
    <w:rsid w:val="001D5767"/>
    <w:rsid w:val="001D5C9F"/>
    <w:rsid w:val="001D7291"/>
    <w:rsid w:val="001E0DC7"/>
    <w:rsid w:val="001E189B"/>
    <w:rsid w:val="001E1F91"/>
    <w:rsid w:val="001E22BC"/>
    <w:rsid w:val="001E3D26"/>
    <w:rsid w:val="001E4392"/>
    <w:rsid w:val="001E43E5"/>
    <w:rsid w:val="001E4475"/>
    <w:rsid w:val="001E461E"/>
    <w:rsid w:val="001E46C5"/>
    <w:rsid w:val="001E57F6"/>
    <w:rsid w:val="001E59C8"/>
    <w:rsid w:val="001E68FE"/>
    <w:rsid w:val="001E70AF"/>
    <w:rsid w:val="001E74EF"/>
    <w:rsid w:val="001F01D8"/>
    <w:rsid w:val="001F0C4B"/>
    <w:rsid w:val="001F132F"/>
    <w:rsid w:val="001F2612"/>
    <w:rsid w:val="001F29F0"/>
    <w:rsid w:val="001F2D2F"/>
    <w:rsid w:val="001F3873"/>
    <w:rsid w:val="001F3AD6"/>
    <w:rsid w:val="001F4D13"/>
    <w:rsid w:val="001F6905"/>
    <w:rsid w:val="001F70C8"/>
    <w:rsid w:val="001F7607"/>
    <w:rsid w:val="001F7AB7"/>
    <w:rsid w:val="00200668"/>
    <w:rsid w:val="002007AD"/>
    <w:rsid w:val="0020165C"/>
    <w:rsid w:val="002029CC"/>
    <w:rsid w:val="00202C35"/>
    <w:rsid w:val="00202FAE"/>
    <w:rsid w:val="002033E4"/>
    <w:rsid w:val="00204AC8"/>
    <w:rsid w:val="002054AB"/>
    <w:rsid w:val="00206A97"/>
    <w:rsid w:val="00210125"/>
    <w:rsid w:val="002106E7"/>
    <w:rsid w:val="002112D7"/>
    <w:rsid w:val="00212298"/>
    <w:rsid w:val="00212695"/>
    <w:rsid w:val="0021452E"/>
    <w:rsid w:val="00216473"/>
    <w:rsid w:val="00216DCB"/>
    <w:rsid w:val="002204C6"/>
    <w:rsid w:val="0022078C"/>
    <w:rsid w:val="00220C84"/>
    <w:rsid w:val="00221A62"/>
    <w:rsid w:val="00222559"/>
    <w:rsid w:val="00222D4F"/>
    <w:rsid w:val="00222F3B"/>
    <w:rsid w:val="002235A3"/>
    <w:rsid w:val="00223C68"/>
    <w:rsid w:val="0022460E"/>
    <w:rsid w:val="0022556E"/>
    <w:rsid w:val="0022583E"/>
    <w:rsid w:val="00225B0A"/>
    <w:rsid w:val="002269B8"/>
    <w:rsid w:val="00227481"/>
    <w:rsid w:val="00227709"/>
    <w:rsid w:val="0023109A"/>
    <w:rsid w:val="00231695"/>
    <w:rsid w:val="00232D1A"/>
    <w:rsid w:val="00232EB9"/>
    <w:rsid w:val="00232FA5"/>
    <w:rsid w:val="00234950"/>
    <w:rsid w:val="00235519"/>
    <w:rsid w:val="002359FC"/>
    <w:rsid w:val="00235CEF"/>
    <w:rsid w:val="0023705C"/>
    <w:rsid w:val="002377A2"/>
    <w:rsid w:val="0024177D"/>
    <w:rsid w:val="00241FD9"/>
    <w:rsid w:val="002422AD"/>
    <w:rsid w:val="00243C91"/>
    <w:rsid w:val="0024416B"/>
    <w:rsid w:val="00244EF5"/>
    <w:rsid w:val="00252526"/>
    <w:rsid w:val="002528F2"/>
    <w:rsid w:val="00252C2D"/>
    <w:rsid w:val="00254634"/>
    <w:rsid w:val="00254A7F"/>
    <w:rsid w:val="00254EEA"/>
    <w:rsid w:val="00255388"/>
    <w:rsid w:val="002555F5"/>
    <w:rsid w:val="00255663"/>
    <w:rsid w:val="00256596"/>
    <w:rsid w:val="0025702A"/>
    <w:rsid w:val="00257A48"/>
    <w:rsid w:val="0026031E"/>
    <w:rsid w:val="00262D11"/>
    <w:rsid w:val="0026444C"/>
    <w:rsid w:val="002658C1"/>
    <w:rsid w:val="00265CBE"/>
    <w:rsid w:val="0026718B"/>
    <w:rsid w:val="00267A3C"/>
    <w:rsid w:val="00271BA7"/>
    <w:rsid w:val="00271EA6"/>
    <w:rsid w:val="00274061"/>
    <w:rsid w:val="00274880"/>
    <w:rsid w:val="00274AA4"/>
    <w:rsid w:val="00276ADC"/>
    <w:rsid w:val="00277A95"/>
    <w:rsid w:val="0028057A"/>
    <w:rsid w:val="002808CE"/>
    <w:rsid w:val="002823C0"/>
    <w:rsid w:val="002845B2"/>
    <w:rsid w:val="0028471E"/>
    <w:rsid w:val="00284F94"/>
    <w:rsid w:val="0028504C"/>
    <w:rsid w:val="00285846"/>
    <w:rsid w:val="00286220"/>
    <w:rsid w:val="00286A5D"/>
    <w:rsid w:val="00287CC8"/>
    <w:rsid w:val="00290454"/>
    <w:rsid w:val="0029157B"/>
    <w:rsid w:val="00292016"/>
    <w:rsid w:val="002946D5"/>
    <w:rsid w:val="002946F0"/>
    <w:rsid w:val="0029519D"/>
    <w:rsid w:val="00295509"/>
    <w:rsid w:val="0029678C"/>
    <w:rsid w:val="00296A98"/>
    <w:rsid w:val="00297264"/>
    <w:rsid w:val="002A1110"/>
    <w:rsid w:val="002A1D7A"/>
    <w:rsid w:val="002A2286"/>
    <w:rsid w:val="002A22EF"/>
    <w:rsid w:val="002A3455"/>
    <w:rsid w:val="002A3986"/>
    <w:rsid w:val="002A4B6B"/>
    <w:rsid w:val="002A5DED"/>
    <w:rsid w:val="002A61CF"/>
    <w:rsid w:val="002A6A90"/>
    <w:rsid w:val="002A7476"/>
    <w:rsid w:val="002B011A"/>
    <w:rsid w:val="002B20F4"/>
    <w:rsid w:val="002B245F"/>
    <w:rsid w:val="002B2B08"/>
    <w:rsid w:val="002B33D6"/>
    <w:rsid w:val="002B44DC"/>
    <w:rsid w:val="002B49BB"/>
    <w:rsid w:val="002C026F"/>
    <w:rsid w:val="002C0B75"/>
    <w:rsid w:val="002C0F7A"/>
    <w:rsid w:val="002C34BC"/>
    <w:rsid w:val="002C3D7C"/>
    <w:rsid w:val="002C43B7"/>
    <w:rsid w:val="002C4527"/>
    <w:rsid w:val="002C6035"/>
    <w:rsid w:val="002C6991"/>
    <w:rsid w:val="002C70B2"/>
    <w:rsid w:val="002C72E9"/>
    <w:rsid w:val="002D017C"/>
    <w:rsid w:val="002D086D"/>
    <w:rsid w:val="002D0D6D"/>
    <w:rsid w:val="002D1944"/>
    <w:rsid w:val="002D1E08"/>
    <w:rsid w:val="002D233A"/>
    <w:rsid w:val="002D304A"/>
    <w:rsid w:val="002D4646"/>
    <w:rsid w:val="002D6596"/>
    <w:rsid w:val="002D7706"/>
    <w:rsid w:val="002D79CE"/>
    <w:rsid w:val="002E0C1F"/>
    <w:rsid w:val="002E1CA5"/>
    <w:rsid w:val="002E238F"/>
    <w:rsid w:val="002E32EC"/>
    <w:rsid w:val="002E44DB"/>
    <w:rsid w:val="002E5208"/>
    <w:rsid w:val="002E59DB"/>
    <w:rsid w:val="002E607B"/>
    <w:rsid w:val="002E6BB0"/>
    <w:rsid w:val="002E78E9"/>
    <w:rsid w:val="002E7C12"/>
    <w:rsid w:val="002F26EA"/>
    <w:rsid w:val="002F5CBA"/>
    <w:rsid w:val="002F7039"/>
    <w:rsid w:val="002F745B"/>
    <w:rsid w:val="002F79C7"/>
    <w:rsid w:val="003001CA"/>
    <w:rsid w:val="0030061C"/>
    <w:rsid w:val="0030075D"/>
    <w:rsid w:val="00301603"/>
    <w:rsid w:val="00301B46"/>
    <w:rsid w:val="00302399"/>
    <w:rsid w:val="00302D4F"/>
    <w:rsid w:val="00304A1F"/>
    <w:rsid w:val="00305E19"/>
    <w:rsid w:val="0030657C"/>
    <w:rsid w:val="00306CF7"/>
    <w:rsid w:val="00306FBD"/>
    <w:rsid w:val="00307A39"/>
    <w:rsid w:val="00307C7A"/>
    <w:rsid w:val="00312FB1"/>
    <w:rsid w:val="00313A66"/>
    <w:rsid w:val="00314337"/>
    <w:rsid w:val="00314A06"/>
    <w:rsid w:val="00315040"/>
    <w:rsid w:val="0031513C"/>
    <w:rsid w:val="00315533"/>
    <w:rsid w:val="00316800"/>
    <w:rsid w:val="003178F8"/>
    <w:rsid w:val="00320905"/>
    <w:rsid w:val="00321BDF"/>
    <w:rsid w:val="00321CD3"/>
    <w:rsid w:val="00322FF1"/>
    <w:rsid w:val="003245B7"/>
    <w:rsid w:val="003252B6"/>
    <w:rsid w:val="003256BD"/>
    <w:rsid w:val="00325D6B"/>
    <w:rsid w:val="003266C4"/>
    <w:rsid w:val="003268EA"/>
    <w:rsid w:val="00327126"/>
    <w:rsid w:val="00331EF8"/>
    <w:rsid w:val="00332004"/>
    <w:rsid w:val="003333C5"/>
    <w:rsid w:val="00333D80"/>
    <w:rsid w:val="00334559"/>
    <w:rsid w:val="00334EB4"/>
    <w:rsid w:val="003361E6"/>
    <w:rsid w:val="00336D4A"/>
    <w:rsid w:val="00336DFF"/>
    <w:rsid w:val="00337DB6"/>
    <w:rsid w:val="003408BD"/>
    <w:rsid w:val="00340921"/>
    <w:rsid w:val="00341522"/>
    <w:rsid w:val="003441F2"/>
    <w:rsid w:val="00344BDB"/>
    <w:rsid w:val="00344C23"/>
    <w:rsid w:val="003451F7"/>
    <w:rsid w:val="00345DA1"/>
    <w:rsid w:val="0034693B"/>
    <w:rsid w:val="00350773"/>
    <w:rsid w:val="00352081"/>
    <w:rsid w:val="00352CED"/>
    <w:rsid w:val="00353407"/>
    <w:rsid w:val="003542A4"/>
    <w:rsid w:val="00354C9B"/>
    <w:rsid w:val="00356291"/>
    <w:rsid w:val="00356BF5"/>
    <w:rsid w:val="00356C3A"/>
    <w:rsid w:val="00360451"/>
    <w:rsid w:val="00360A22"/>
    <w:rsid w:val="0036157F"/>
    <w:rsid w:val="00362325"/>
    <w:rsid w:val="003640A0"/>
    <w:rsid w:val="00364B8E"/>
    <w:rsid w:val="00365C31"/>
    <w:rsid w:val="00367E8C"/>
    <w:rsid w:val="003724BA"/>
    <w:rsid w:val="00372F10"/>
    <w:rsid w:val="0037397F"/>
    <w:rsid w:val="00374932"/>
    <w:rsid w:val="003766E2"/>
    <w:rsid w:val="00377A40"/>
    <w:rsid w:val="00377D73"/>
    <w:rsid w:val="003806C1"/>
    <w:rsid w:val="00380AA3"/>
    <w:rsid w:val="00380CB0"/>
    <w:rsid w:val="00380DA4"/>
    <w:rsid w:val="0038188C"/>
    <w:rsid w:val="0038275F"/>
    <w:rsid w:val="00382FE2"/>
    <w:rsid w:val="00384D48"/>
    <w:rsid w:val="0038557C"/>
    <w:rsid w:val="003867E7"/>
    <w:rsid w:val="003868F6"/>
    <w:rsid w:val="003869C7"/>
    <w:rsid w:val="003902BC"/>
    <w:rsid w:val="0039101D"/>
    <w:rsid w:val="00391244"/>
    <w:rsid w:val="003914E1"/>
    <w:rsid w:val="00391F73"/>
    <w:rsid w:val="00392E88"/>
    <w:rsid w:val="0039664C"/>
    <w:rsid w:val="00396689"/>
    <w:rsid w:val="0039670B"/>
    <w:rsid w:val="00396945"/>
    <w:rsid w:val="003973FF"/>
    <w:rsid w:val="0039746C"/>
    <w:rsid w:val="003A1172"/>
    <w:rsid w:val="003A4963"/>
    <w:rsid w:val="003A7BD4"/>
    <w:rsid w:val="003B09C6"/>
    <w:rsid w:val="003B1BC6"/>
    <w:rsid w:val="003B30BE"/>
    <w:rsid w:val="003B3114"/>
    <w:rsid w:val="003B34B0"/>
    <w:rsid w:val="003B40D3"/>
    <w:rsid w:val="003B46F8"/>
    <w:rsid w:val="003B5149"/>
    <w:rsid w:val="003B5460"/>
    <w:rsid w:val="003B7304"/>
    <w:rsid w:val="003B78FB"/>
    <w:rsid w:val="003C0E5C"/>
    <w:rsid w:val="003C0E62"/>
    <w:rsid w:val="003C137B"/>
    <w:rsid w:val="003C14FC"/>
    <w:rsid w:val="003C16DB"/>
    <w:rsid w:val="003C1F87"/>
    <w:rsid w:val="003C43C4"/>
    <w:rsid w:val="003C49B0"/>
    <w:rsid w:val="003C552F"/>
    <w:rsid w:val="003C5AA0"/>
    <w:rsid w:val="003C5AEE"/>
    <w:rsid w:val="003C6642"/>
    <w:rsid w:val="003C6727"/>
    <w:rsid w:val="003C6AEA"/>
    <w:rsid w:val="003C75B3"/>
    <w:rsid w:val="003C7A7A"/>
    <w:rsid w:val="003D032A"/>
    <w:rsid w:val="003D2417"/>
    <w:rsid w:val="003D2664"/>
    <w:rsid w:val="003D2D73"/>
    <w:rsid w:val="003D2F65"/>
    <w:rsid w:val="003D3CDE"/>
    <w:rsid w:val="003D54E9"/>
    <w:rsid w:val="003D5839"/>
    <w:rsid w:val="003D5ABE"/>
    <w:rsid w:val="003D630B"/>
    <w:rsid w:val="003D65BE"/>
    <w:rsid w:val="003D66A2"/>
    <w:rsid w:val="003D7B38"/>
    <w:rsid w:val="003D7CD5"/>
    <w:rsid w:val="003E0CE2"/>
    <w:rsid w:val="003E1DA3"/>
    <w:rsid w:val="003E2F29"/>
    <w:rsid w:val="003E2F36"/>
    <w:rsid w:val="003E3727"/>
    <w:rsid w:val="003E3869"/>
    <w:rsid w:val="003E40E8"/>
    <w:rsid w:val="003E4486"/>
    <w:rsid w:val="003E4892"/>
    <w:rsid w:val="003E562E"/>
    <w:rsid w:val="003E6500"/>
    <w:rsid w:val="003E7B27"/>
    <w:rsid w:val="003F16DD"/>
    <w:rsid w:val="003F2C70"/>
    <w:rsid w:val="003F2FFF"/>
    <w:rsid w:val="003F3026"/>
    <w:rsid w:val="003F5611"/>
    <w:rsid w:val="003F5694"/>
    <w:rsid w:val="003F627F"/>
    <w:rsid w:val="003F6382"/>
    <w:rsid w:val="003F6DDB"/>
    <w:rsid w:val="00400AD9"/>
    <w:rsid w:val="00401512"/>
    <w:rsid w:val="00401E3B"/>
    <w:rsid w:val="00402283"/>
    <w:rsid w:val="00402817"/>
    <w:rsid w:val="00404FA8"/>
    <w:rsid w:val="00405F0F"/>
    <w:rsid w:val="0040651F"/>
    <w:rsid w:val="00406701"/>
    <w:rsid w:val="00406A25"/>
    <w:rsid w:val="00407CB7"/>
    <w:rsid w:val="00410A57"/>
    <w:rsid w:val="00410E12"/>
    <w:rsid w:val="00412A2E"/>
    <w:rsid w:val="004139F8"/>
    <w:rsid w:val="00414413"/>
    <w:rsid w:val="004144C5"/>
    <w:rsid w:val="0041451F"/>
    <w:rsid w:val="00414920"/>
    <w:rsid w:val="004151FB"/>
    <w:rsid w:val="004152A5"/>
    <w:rsid w:val="0041535D"/>
    <w:rsid w:val="00415540"/>
    <w:rsid w:val="004157A2"/>
    <w:rsid w:val="004161AB"/>
    <w:rsid w:val="004212B6"/>
    <w:rsid w:val="00423401"/>
    <w:rsid w:val="00424E79"/>
    <w:rsid w:val="004252B0"/>
    <w:rsid w:val="00425631"/>
    <w:rsid w:val="004273A7"/>
    <w:rsid w:val="00427431"/>
    <w:rsid w:val="00431078"/>
    <w:rsid w:val="00431662"/>
    <w:rsid w:val="00431D37"/>
    <w:rsid w:val="00433801"/>
    <w:rsid w:val="004343C0"/>
    <w:rsid w:val="004367E3"/>
    <w:rsid w:val="00436A30"/>
    <w:rsid w:val="00436B29"/>
    <w:rsid w:val="00437340"/>
    <w:rsid w:val="00441A43"/>
    <w:rsid w:val="00444408"/>
    <w:rsid w:val="0044471F"/>
    <w:rsid w:val="00445906"/>
    <w:rsid w:val="00445A97"/>
    <w:rsid w:val="00445C38"/>
    <w:rsid w:val="00445CCE"/>
    <w:rsid w:val="004461BD"/>
    <w:rsid w:val="004478A4"/>
    <w:rsid w:val="0045038D"/>
    <w:rsid w:val="004510B3"/>
    <w:rsid w:val="00452057"/>
    <w:rsid w:val="0045230E"/>
    <w:rsid w:val="004526A4"/>
    <w:rsid w:val="00453218"/>
    <w:rsid w:val="00453DB1"/>
    <w:rsid w:val="00453E13"/>
    <w:rsid w:val="0045482A"/>
    <w:rsid w:val="0045692C"/>
    <w:rsid w:val="0045799E"/>
    <w:rsid w:val="00460AB9"/>
    <w:rsid w:val="00462776"/>
    <w:rsid w:val="00465120"/>
    <w:rsid w:val="00465F3C"/>
    <w:rsid w:val="00466359"/>
    <w:rsid w:val="004670CF"/>
    <w:rsid w:val="00467179"/>
    <w:rsid w:val="0047036D"/>
    <w:rsid w:val="00471295"/>
    <w:rsid w:val="0047129E"/>
    <w:rsid w:val="0047378F"/>
    <w:rsid w:val="00475283"/>
    <w:rsid w:val="00476EC9"/>
    <w:rsid w:val="00477DF4"/>
    <w:rsid w:val="0048018C"/>
    <w:rsid w:val="004802BB"/>
    <w:rsid w:val="004813A4"/>
    <w:rsid w:val="00481D0C"/>
    <w:rsid w:val="00482870"/>
    <w:rsid w:val="00482EF8"/>
    <w:rsid w:val="0048312C"/>
    <w:rsid w:val="00484B6C"/>
    <w:rsid w:val="00484DE6"/>
    <w:rsid w:val="004868A5"/>
    <w:rsid w:val="00486AB6"/>
    <w:rsid w:val="00486B18"/>
    <w:rsid w:val="0048786C"/>
    <w:rsid w:val="00487D78"/>
    <w:rsid w:val="00490DAE"/>
    <w:rsid w:val="00491B43"/>
    <w:rsid w:val="00491DC9"/>
    <w:rsid w:val="00492366"/>
    <w:rsid w:val="00492525"/>
    <w:rsid w:val="00492971"/>
    <w:rsid w:val="00492B07"/>
    <w:rsid w:val="00492E08"/>
    <w:rsid w:val="0049339B"/>
    <w:rsid w:val="004937FE"/>
    <w:rsid w:val="004938B9"/>
    <w:rsid w:val="00493A32"/>
    <w:rsid w:val="00494450"/>
    <w:rsid w:val="00496FD2"/>
    <w:rsid w:val="0049717D"/>
    <w:rsid w:val="00497D18"/>
    <w:rsid w:val="004A0E06"/>
    <w:rsid w:val="004A1726"/>
    <w:rsid w:val="004A226E"/>
    <w:rsid w:val="004A23C5"/>
    <w:rsid w:val="004A24B6"/>
    <w:rsid w:val="004A2717"/>
    <w:rsid w:val="004A355A"/>
    <w:rsid w:val="004A4475"/>
    <w:rsid w:val="004A4D73"/>
    <w:rsid w:val="004A4F60"/>
    <w:rsid w:val="004A5DE5"/>
    <w:rsid w:val="004A5E05"/>
    <w:rsid w:val="004A7024"/>
    <w:rsid w:val="004B0015"/>
    <w:rsid w:val="004B11F9"/>
    <w:rsid w:val="004B2CEC"/>
    <w:rsid w:val="004B53C3"/>
    <w:rsid w:val="004B5835"/>
    <w:rsid w:val="004B58F7"/>
    <w:rsid w:val="004B7A15"/>
    <w:rsid w:val="004B7F62"/>
    <w:rsid w:val="004C1E2E"/>
    <w:rsid w:val="004C1EEC"/>
    <w:rsid w:val="004C37D8"/>
    <w:rsid w:val="004C4949"/>
    <w:rsid w:val="004C547F"/>
    <w:rsid w:val="004C5FB7"/>
    <w:rsid w:val="004C6EFE"/>
    <w:rsid w:val="004C77BE"/>
    <w:rsid w:val="004C7949"/>
    <w:rsid w:val="004D05D8"/>
    <w:rsid w:val="004D0EF4"/>
    <w:rsid w:val="004D1FCE"/>
    <w:rsid w:val="004D3BC2"/>
    <w:rsid w:val="004D40D1"/>
    <w:rsid w:val="004D4A16"/>
    <w:rsid w:val="004E02E3"/>
    <w:rsid w:val="004E1650"/>
    <w:rsid w:val="004E42E6"/>
    <w:rsid w:val="004E4602"/>
    <w:rsid w:val="004E688E"/>
    <w:rsid w:val="004E6A27"/>
    <w:rsid w:val="004F09AC"/>
    <w:rsid w:val="004F1581"/>
    <w:rsid w:val="004F1AB4"/>
    <w:rsid w:val="004F469C"/>
    <w:rsid w:val="0050184F"/>
    <w:rsid w:val="005022B7"/>
    <w:rsid w:val="005027CB"/>
    <w:rsid w:val="00502B5D"/>
    <w:rsid w:val="005030FF"/>
    <w:rsid w:val="00503474"/>
    <w:rsid w:val="0050349F"/>
    <w:rsid w:val="00505045"/>
    <w:rsid w:val="005054F8"/>
    <w:rsid w:val="00505826"/>
    <w:rsid w:val="00506ABF"/>
    <w:rsid w:val="00506D9C"/>
    <w:rsid w:val="0050718F"/>
    <w:rsid w:val="005100E6"/>
    <w:rsid w:val="0051014E"/>
    <w:rsid w:val="00511632"/>
    <w:rsid w:val="005125B1"/>
    <w:rsid w:val="00514369"/>
    <w:rsid w:val="005145D9"/>
    <w:rsid w:val="00515DF2"/>
    <w:rsid w:val="00516346"/>
    <w:rsid w:val="0051792D"/>
    <w:rsid w:val="0052141D"/>
    <w:rsid w:val="00521E2A"/>
    <w:rsid w:val="005229B7"/>
    <w:rsid w:val="00525E04"/>
    <w:rsid w:val="00526268"/>
    <w:rsid w:val="00526921"/>
    <w:rsid w:val="00526CBB"/>
    <w:rsid w:val="005277F8"/>
    <w:rsid w:val="0052781B"/>
    <w:rsid w:val="00531242"/>
    <w:rsid w:val="00531424"/>
    <w:rsid w:val="005321A7"/>
    <w:rsid w:val="0053220E"/>
    <w:rsid w:val="00532B0D"/>
    <w:rsid w:val="00534271"/>
    <w:rsid w:val="00534926"/>
    <w:rsid w:val="00535391"/>
    <w:rsid w:val="00536FDB"/>
    <w:rsid w:val="00541919"/>
    <w:rsid w:val="00543536"/>
    <w:rsid w:val="005449B7"/>
    <w:rsid w:val="00547AC9"/>
    <w:rsid w:val="00547DB4"/>
    <w:rsid w:val="00550420"/>
    <w:rsid w:val="00550D75"/>
    <w:rsid w:val="00551330"/>
    <w:rsid w:val="005544F1"/>
    <w:rsid w:val="00560021"/>
    <w:rsid w:val="005607E4"/>
    <w:rsid w:val="005608A0"/>
    <w:rsid w:val="00562192"/>
    <w:rsid w:val="0056295A"/>
    <w:rsid w:val="0056462C"/>
    <w:rsid w:val="00564B98"/>
    <w:rsid w:val="00566A63"/>
    <w:rsid w:val="005672E7"/>
    <w:rsid w:val="00570048"/>
    <w:rsid w:val="00571221"/>
    <w:rsid w:val="0057313B"/>
    <w:rsid w:val="00575969"/>
    <w:rsid w:val="00576677"/>
    <w:rsid w:val="00576A54"/>
    <w:rsid w:val="00576CAB"/>
    <w:rsid w:val="005804A8"/>
    <w:rsid w:val="0058081D"/>
    <w:rsid w:val="00580CBD"/>
    <w:rsid w:val="00581867"/>
    <w:rsid w:val="005828B5"/>
    <w:rsid w:val="00582DDA"/>
    <w:rsid w:val="0058413F"/>
    <w:rsid w:val="00584CA7"/>
    <w:rsid w:val="0058508E"/>
    <w:rsid w:val="0058636A"/>
    <w:rsid w:val="00586A6B"/>
    <w:rsid w:val="005900C4"/>
    <w:rsid w:val="00590183"/>
    <w:rsid w:val="0059019C"/>
    <w:rsid w:val="00591FD9"/>
    <w:rsid w:val="00592A5D"/>
    <w:rsid w:val="00592F7A"/>
    <w:rsid w:val="005931F2"/>
    <w:rsid w:val="00593634"/>
    <w:rsid w:val="0059381E"/>
    <w:rsid w:val="0059635B"/>
    <w:rsid w:val="00596A2F"/>
    <w:rsid w:val="00597486"/>
    <w:rsid w:val="005A0E27"/>
    <w:rsid w:val="005A10B6"/>
    <w:rsid w:val="005A232D"/>
    <w:rsid w:val="005A2341"/>
    <w:rsid w:val="005A3781"/>
    <w:rsid w:val="005A37AB"/>
    <w:rsid w:val="005A3B6D"/>
    <w:rsid w:val="005A3F8B"/>
    <w:rsid w:val="005A4C50"/>
    <w:rsid w:val="005A6A12"/>
    <w:rsid w:val="005A6AAA"/>
    <w:rsid w:val="005A7F05"/>
    <w:rsid w:val="005B34B1"/>
    <w:rsid w:val="005B4575"/>
    <w:rsid w:val="005B45F0"/>
    <w:rsid w:val="005B5296"/>
    <w:rsid w:val="005B533F"/>
    <w:rsid w:val="005B63C0"/>
    <w:rsid w:val="005B6652"/>
    <w:rsid w:val="005B6B5E"/>
    <w:rsid w:val="005B7426"/>
    <w:rsid w:val="005C0614"/>
    <w:rsid w:val="005C103F"/>
    <w:rsid w:val="005C1297"/>
    <w:rsid w:val="005C1AE7"/>
    <w:rsid w:val="005C1D54"/>
    <w:rsid w:val="005C33E1"/>
    <w:rsid w:val="005C49AC"/>
    <w:rsid w:val="005C49FB"/>
    <w:rsid w:val="005C5A4E"/>
    <w:rsid w:val="005C656F"/>
    <w:rsid w:val="005C6C51"/>
    <w:rsid w:val="005C6EE6"/>
    <w:rsid w:val="005D042D"/>
    <w:rsid w:val="005D09DB"/>
    <w:rsid w:val="005D1956"/>
    <w:rsid w:val="005D2292"/>
    <w:rsid w:val="005D4205"/>
    <w:rsid w:val="005D4BCC"/>
    <w:rsid w:val="005D6187"/>
    <w:rsid w:val="005D6D3C"/>
    <w:rsid w:val="005D74C8"/>
    <w:rsid w:val="005E0759"/>
    <w:rsid w:val="005E1481"/>
    <w:rsid w:val="005E276F"/>
    <w:rsid w:val="005E4F4E"/>
    <w:rsid w:val="005E7873"/>
    <w:rsid w:val="005F18FC"/>
    <w:rsid w:val="005F22B8"/>
    <w:rsid w:val="005F27E3"/>
    <w:rsid w:val="005F350D"/>
    <w:rsid w:val="005F49E7"/>
    <w:rsid w:val="005F5D9A"/>
    <w:rsid w:val="005F60CC"/>
    <w:rsid w:val="005F62AC"/>
    <w:rsid w:val="005F6902"/>
    <w:rsid w:val="005F745A"/>
    <w:rsid w:val="00600385"/>
    <w:rsid w:val="00600396"/>
    <w:rsid w:val="00600DB3"/>
    <w:rsid w:val="006021DA"/>
    <w:rsid w:val="00602BC1"/>
    <w:rsid w:val="00602FFD"/>
    <w:rsid w:val="0060322D"/>
    <w:rsid w:val="006038D3"/>
    <w:rsid w:val="00603E81"/>
    <w:rsid w:val="00605621"/>
    <w:rsid w:val="00606128"/>
    <w:rsid w:val="00610807"/>
    <w:rsid w:val="00610A6A"/>
    <w:rsid w:val="006141A5"/>
    <w:rsid w:val="00614513"/>
    <w:rsid w:val="00615090"/>
    <w:rsid w:val="006155B7"/>
    <w:rsid w:val="00615E61"/>
    <w:rsid w:val="0061644B"/>
    <w:rsid w:val="00617667"/>
    <w:rsid w:val="006207C4"/>
    <w:rsid w:val="006211CC"/>
    <w:rsid w:val="00621C52"/>
    <w:rsid w:val="0062359D"/>
    <w:rsid w:val="0062398A"/>
    <w:rsid w:val="0062404E"/>
    <w:rsid w:val="006245AF"/>
    <w:rsid w:val="006249FD"/>
    <w:rsid w:val="00624DBF"/>
    <w:rsid w:val="00627872"/>
    <w:rsid w:val="00630071"/>
    <w:rsid w:val="00630502"/>
    <w:rsid w:val="00633F94"/>
    <w:rsid w:val="00637755"/>
    <w:rsid w:val="00637835"/>
    <w:rsid w:val="00641203"/>
    <w:rsid w:val="00642F1E"/>
    <w:rsid w:val="006449E8"/>
    <w:rsid w:val="006454D1"/>
    <w:rsid w:val="00645C20"/>
    <w:rsid w:val="0064631E"/>
    <w:rsid w:val="00647F84"/>
    <w:rsid w:val="00650A9C"/>
    <w:rsid w:val="00650C6E"/>
    <w:rsid w:val="00652356"/>
    <w:rsid w:val="006532E9"/>
    <w:rsid w:val="00653C9F"/>
    <w:rsid w:val="006577F5"/>
    <w:rsid w:val="00660A74"/>
    <w:rsid w:val="0066108A"/>
    <w:rsid w:val="00661512"/>
    <w:rsid w:val="00661568"/>
    <w:rsid w:val="00661F2A"/>
    <w:rsid w:val="0066243B"/>
    <w:rsid w:val="00662664"/>
    <w:rsid w:val="00662F03"/>
    <w:rsid w:val="00663E70"/>
    <w:rsid w:val="00664277"/>
    <w:rsid w:val="006647DC"/>
    <w:rsid w:val="006661FA"/>
    <w:rsid w:val="00666AF5"/>
    <w:rsid w:val="00667ED9"/>
    <w:rsid w:val="006700B5"/>
    <w:rsid w:val="006729B2"/>
    <w:rsid w:val="00674411"/>
    <w:rsid w:val="00674473"/>
    <w:rsid w:val="00676A6C"/>
    <w:rsid w:val="006774C8"/>
    <w:rsid w:val="006774E0"/>
    <w:rsid w:val="006807DA"/>
    <w:rsid w:val="00681950"/>
    <w:rsid w:val="00681B45"/>
    <w:rsid w:val="00682BF2"/>
    <w:rsid w:val="00684FEA"/>
    <w:rsid w:val="00685640"/>
    <w:rsid w:val="006857CD"/>
    <w:rsid w:val="00685EC2"/>
    <w:rsid w:val="00686399"/>
    <w:rsid w:val="00686BD0"/>
    <w:rsid w:val="00687E7D"/>
    <w:rsid w:val="0069019C"/>
    <w:rsid w:val="00690258"/>
    <w:rsid w:val="00691B34"/>
    <w:rsid w:val="00691C86"/>
    <w:rsid w:val="006922C2"/>
    <w:rsid w:val="00693050"/>
    <w:rsid w:val="006944B8"/>
    <w:rsid w:val="00695FF0"/>
    <w:rsid w:val="00696015"/>
    <w:rsid w:val="00696EA3"/>
    <w:rsid w:val="00697029"/>
    <w:rsid w:val="006A00ED"/>
    <w:rsid w:val="006A0183"/>
    <w:rsid w:val="006A0A94"/>
    <w:rsid w:val="006A0A98"/>
    <w:rsid w:val="006A0CD3"/>
    <w:rsid w:val="006A24C5"/>
    <w:rsid w:val="006A2EAC"/>
    <w:rsid w:val="006A349F"/>
    <w:rsid w:val="006A4AF5"/>
    <w:rsid w:val="006A68C4"/>
    <w:rsid w:val="006B0CEE"/>
    <w:rsid w:val="006B0E88"/>
    <w:rsid w:val="006B1FE3"/>
    <w:rsid w:val="006B35CF"/>
    <w:rsid w:val="006B3EA6"/>
    <w:rsid w:val="006B416E"/>
    <w:rsid w:val="006B6B08"/>
    <w:rsid w:val="006B6CBB"/>
    <w:rsid w:val="006B77A9"/>
    <w:rsid w:val="006B7DD4"/>
    <w:rsid w:val="006C03BF"/>
    <w:rsid w:val="006C0A5A"/>
    <w:rsid w:val="006C1137"/>
    <w:rsid w:val="006C26C9"/>
    <w:rsid w:val="006C2B10"/>
    <w:rsid w:val="006C3746"/>
    <w:rsid w:val="006C3DDB"/>
    <w:rsid w:val="006C3E9C"/>
    <w:rsid w:val="006C5665"/>
    <w:rsid w:val="006C5954"/>
    <w:rsid w:val="006D0AFC"/>
    <w:rsid w:val="006D1C45"/>
    <w:rsid w:val="006D2091"/>
    <w:rsid w:val="006D2881"/>
    <w:rsid w:val="006D30FC"/>
    <w:rsid w:val="006D33D8"/>
    <w:rsid w:val="006D56DC"/>
    <w:rsid w:val="006D5944"/>
    <w:rsid w:val="006D5E16"/>
    <w:rsid w:val="006D5FD7"/>
    <w:rsid w:val="006D6EDB"/>
    <w:rsid w:val="006D7D17"/>
    <w:rsid w:val="006E106B"/>
    <w:rsid w:val="006E2104"/>
    <w:rsid w:val="006E2E59"/>
    <w:rsid w:val="006E5C03"/>
    <w:rsid w:val="006E5E77"/>
    <w:rsid w:val="006E642D"/>
    <w:rsid w:val="006E681C"/>
    <w:rsid w:val="006E74F8"/>
    <w:rsid w:val="006F0B6D"/>
    <w:rsid w:val="006F0E13"/>
    <w:rsid w:val="006F1889"/>
    <w:rsid w:val="006F3277"/>
    <w:rsid w:val="006F3301"/>
    <w:rsid w:val="006F47FB"/>
    <w:rsid w:val="006F4C16"/>
    <w:rsid w:val="006F5119"/>
    <w:rsid w:val="006F53FC"/>
    <w:rsid w:val="006F579C"/>
    <w:rsid w:val="006F5F75"/>
    <w:rsid w:val="006F6339"/>
    <w:rsid w:val="006F66DB"/>
    <w:rsid w:val="006F68B3"/>
    <w:rsid w:val="006F6BD7"/>
    <w:rsid w:val="006F6F5F"/>
    <w:rsid w:val="00700E95"/>
    <w:rsid w:val="00701781"/>
    <w:rsid w:val="00702890"/>
    <w:rsid w:val="0070339E"/>
    <w:rsid w:val="00704424"/>
    <w:rsid w:val="007048A2"/>
    <w:rsid w:val="007051CD"/>
    <w:rsid w:val="00705426"/>
    <w:rsid w:val="00705753"/>
    <w:rsid w:val="00705CB0"/>
    <w:rsid w:val="007078EA"/>
    <w:rsid w:val="00707A56"/>
    <w:rsid w:val="007102E7"/>
    <w:rsid w:val="00710D5F"/>
    <w:rsid w:val="00711ABB"/>
    <w:rsid w:val="00712421"/>
    <w:rsid w:val="00712915"/>
    <w:rsid w:val="00712FC7"/>
    <w:rsid w:val="007150C7"/>
    <w:rsid w:val="00715200"/>
    <w:rsid w:val="007158F1"/>
    <w:rsid w:val="00715964"/>
    <w:rsid w:val="0071782E"/>
    <w:rsid w:val="007179F7"/>
    <w:rsid w:val="00717CBA"/>
    <w:rsid w:val="00720128"/>
    <w:rsid w:val="0072058E"/>
    <w:rsid w:val="00720AFD"/>
    <w:rsid w:val="0072102F"/>
    <w:rsid w:val="00721C31"/>
    <w:rsid w:val="007221C1"/>
    <w:rsid w:val="00722D61"/>
    <w:rsid w:val="00723CC7"/>
    <w:rsid w:val="00723D5B"/>
    <w:rsid w:val="00723F65"/>
    <w:rsid w:val="00725753"/>
    <w:rsid w:val="00726360"/>
    <w:rsid w:val="00726566"/>
    <w:rsid w:val="0073009F"/>
    <w:rsid w:val="00733326"/>
    <w:rsid w:val="00733813"/>
    <w:rsid w:val="00734667"/>
    <w:rsid w:val="00734924"/>
    <w:rsid w:val="00735999"/>
    <w:rsid w:val="00736448"/>
    <w:rsid w:val="007369EE"/>
    <w:rsid w:val="00741420"/>
    <w:rsid w:val="00742258"/>
    <w:rsid w:val="00742892"/>
    <w:rsid w:val="00743B56"/>
    <w:rsid w:val="00744F02"/>
    <w:rsid w:val="00745E27"/>
    <w:rsid w:val="00747993"/>
    <w:rsid w:val="00747CC2"/>
    <w:rsid w:val="007504D8"/>
    <w:rsid w:val="007517D1"/>
    <w:rsid w:val="0075260A"/>
    <w:rsid w:val="007545C5"/>
    <w:rsid w:val="0075521A"/>
    <w:rsid w:val="00755729"/>
    <w:rsid w:val="00755ABE"/>
    <w:rsid w:val="00756212"/>
    <w:rsid w:val="00757106"/>
    <w:rsid w:val="007607A0"/>
    <w:rsid w:val="007607E3"/>
    <w:rsid w:val="007611BC"/>
    <w:rsid w:val="00761DC1"/>
    <w:rsid w:val="00761FBE"/>
    <w:rsid w:val="00762F38"/>
    <w:rsid w:val="00762F6D"/>
    <w:rsid w:val="00764CAD"/>
    <w:rsid w:val="0076645C"/>
    <w:rsid w:val="00766A89"/>
    <w:rsid w:val="00766AD4"/>
    <w:rsid w:val="00770A33"/>
    <w:rsid w:val="007713F3"/>
    <w:rsid w:val="0077157E"/>
    <w:rsid w:val="00772391"/>
    <w:rsid w:val="00772D42"/>
    <w:rsid w:val="007731A2"/>
    <w:rsid w:val="0077343D"/>
    <w:rsid w:val="00773C6C"/>
    <w:rsid w:val="00775EDD"/>
    <w:rsid w:val="0077661B"/>
    <w:rsid w:val="0077663C"/>
    <w:rsid w:val="00780295"/>
    <w:rsid w:val="0078145C"/>
    <w:rsid w:val="00782522"/>
    <w:rsid w:val="007828BF"/>
    <w:rsid w:val="00783089"/>
    <w:rsid w:val="00783790"/>
    <w:rsid w:val="007846D2"/>
    <w:rsid w:val="007852A1"/>
    <w:rsid w:val="00790153"/>
    <w:rsid w:val="00791723"/>
    <w:rsid w:val="00791A86"/>
    <w:rsid w:val="00791DE8"/>
    <w:rsid w:val="007921AC"/>
    <w:rsid w:val="00792249"/>
    <w:rsid w:val="0079456E"/>
    <w:rsid w:val="00794874"/>
    <w:rsid w:val="00795F5C"/>
    <w:rsid w:val="007968E2"/>
    <w:rsid w:val="00797022"/>
    <w:rsid w:val="00797A2F"/>
    <w:rsid w:val="007A12F5"/>
    <w:rsid w:val="007A178F"/>
    <w:rsid w:val="007A1AC9"/>
    <w:rsid w:val="007A1F92"/>
    <w:rsid w:val="007A2218"/>
    <w:rsid w:val="007A3260"/>
    <w:rsid w:val="007A3817"/>
    <w:rsid w:val="007A3BAD"/>
    <w:rsid w:val="007A560F"/>
    <w:rsid w:val="007A59FA"/>
    <w:rsid w:val="007A5AF8"/>
    <w:rsid w:val="007A68B7"/>
    <w:rsid w:val="007A7238"/>
    <w:rsid w:val="007B0B48"/>
    <w:rsid w:val="007B2110"/>
    <w:rsid w:val="007B21E3"/>
    <w:rsid w:val="007B3836"/>
    <w:rsid w:val="007B3DD5"/>
    <w:rsid w:val="007B4141"/>
    <w:rsid w:val="007B4348"/>
    <w:rsid w:val="007B5927"/>
    <w:rsid w:val="007B6E52"/>
    <w:rsid w:val="007B71C2"/>
    <w:rsid w:val="007B767A"/>
    <w:rsid w:val="007B7E30"/>
    <w:rsid w:val="007C08D3"/>
    <w:rsid w:val="007C2468"/>
    <w:rsid w:val="007C3882"/>
    <w:rsid w:val="007C3C7C"/>
    <w:rsid w:val="007C4A0E"/>
    <w:rsid w:val="007C5110"/>
    <w:rsid w:val="007C5F43"/>
    <w:rsid w:val="007C7472"/>
    <w:rsid w:val="007D0773"/>
    <w:rsid w:val="007D0D1A"/>
    <w:rsid w:val="007D0F9A"/>
    <w:rsid w:val="007D1F30"/>
    <w:rsid w:val="007D2C94"/>
    <w:rsid w:val="007D3496"/>
    <w:rsid w:val="007D4A5E"/>
    <w:rsid w:val="007D6692"/>
    <w:rsid w:val="007D7FC5"/>
    <w:rsid w:val="007E0297"/>
    <w:rsid w:val="007E0398"/>
    <w:rsid w:val="007E1DD6"/>
    <w:rsid w:val="007E330A"/>
    <w:rsid w:val="007E46DF"/>
    <w:rsid w:val="007E56A1"/>
    <w:rsid w:val="007E5B1E"/>
    <w:rsid w:val="007E6A2E"/>
    <w:rsid w:val="007E6E7A"/>
    <w:rsid w:val="007E7E6B"/>
    <w:rsid w:val="007F0B9F"/>
    <w:rsid w:val="007F1881"/>
    <w:rsid w:val="007F50FE"/>
    <w:rsid w:val="007F55D4"/>
    <w:rsid w:val="007F6E3B"/>
    <w:rsid w:val="007F7023"/>
    <w:rsid w:val="007F7B77"/>
    <w:rsid w:val="00801B7D"/>
    <w:rsid w:val="00802CEC"/>
    <w:rsid w:val="00803409"/>
    <w:rsid w:val="00803BA5"/>
    <w:rsid w:val="00805BA9"/>
    <w:rsid w:val="00805BF8"/>
    <w:rsid w:val="00805C28"/>
    <w:rsid w:val="00806308"/>
    <w:rsid w:val="008064D5"/>
    <w:rsid w:val="008073AF"/>
    <w:rsid w:val="00807C4D"/>
    <w:rsid w:val="00810766"/>
    <w:rsid w:val="00810CC9"/>
    <w:rsid w:val="008110D7"/>
    <w:rsid w:val="00811539"/>
    <w:rsid w:val="0081172E"/>
    <w:rsid w:val="00811BEA"/>
    <w:rsid w:val="008121E4"/>
    <w:rsid w:val="0081230F"/>
    <w:rsid w:val="0081277B"/>
    <w:rsid w:val="0081506C"/>
    <w:rsid w:val="008160F9"/>
    <w:rsid w:val="00816210"/>
    <w:rsid w:val="008167E3"/>
    <w:rsid w:val="00816DC6"/>
    <w:rsid w:val="008177D9"/>
    <w:rsid w:val="00817B30"/>
    <w:rsid w:val="00817CCE"/>
    <w:rsid w:val="00820336"/>
    <w:rsid w:val="00821DFB"/>
    <w:rsid w:val="00822AA1"/>
    <w:rsid w:val="00822F46"/>
    <w:rsid w:val="0082423E"/>
    <w:rsid w:val="00825E83"/>
    <w:rsid w:val="0082639C"/>
    <w:rsid w:val="0082695E"/>
    <w:rsid w:val="0082735D"/>
    <w:rsid w:val="0083053A"/>
    <w:rsid w:val="008306AC"/>
    <w:rsid w:val="0083128C"/>
    <w:rsid w:val="008319AF"/>
    <w:rsid w:val="00832378"/>
    <w:rsid w:val="00833285"/>
    <w:rsid w:val="00833B9F"/>
    <w:rsid w:val="008363FA"/>
    <w:rsid w:val="00836EEB"/>
    <w:rsid w:val="00837EDC"/>
    <w:rsid w:val="0084094F"/>
    <w:rsid w:val="0084097C"/>
    <w:rsid w:val="00840BE2"/>
    <w:rsid w:val="00840F0A"/>
    <w:rsid w:val="00841B3E"/>
    <w:rsid w:val="00843278"/>
    <w:rsid w:val="00844345"/>
    <w:rsid w:val="00844668"/>
    <w:rsid w:val="008446D5"/>
    <w:rsid w:val="0084499B"/>
    <w:rsid w:val="008451C2"/>
    <w:rsid w:val="00847FB2"/>
    <w:rsid w:val="008503A8"/>
    <w:rsid w:val="008526D0"/>
    <w:rsid w:val="008528F9"/>
    <w:rsid w:val="00852B0A"/>
    <w:rsid w:val="008534B0"/>
    <w:rsid w:val="008536BC"/>
    <w:rsid w:val="008546C2"/>
    <w:rsid w:val="00854987"/>
    <w:rsid w:val="0085675A"/>
    <w:rsid w:val="00856C61"/>
    <w:rsid w:val="00856CBA"/>
    <w:rsid w:val="008573EF"/>
    <w:rsid w:val="00857487"/>
    <w:rsid w:val="00857F27"/>
    <w:rsid w:val="00860454"/>
    <w:rsid w:val="00860905"/>
    <w:rsid w:val="00862D13"/>
    <w:rsid w:val="0086466D"/>
    <w:rsid w:val="008649A4"/>
    <w:rsid w:val="0086529C"/>
    <w:rsid w:val="00865C22"/>
    <w:rsid w:val="00865DEB"/>
    <w:rsid w:val="00867A00"/>
    <w:rsid w:val="00867FE8"/>
    <w:rsid w:val="0087079E"/>
    <w:rsid w:val="00871362"/>
    <w:rsid w:val="0087167A"/>
    <w:rsid w:val="00872A63"/>
    <w:rsid w:val="00875481"/>
    <w:rsid w:val="00876450"/>
    <w:rsid w:val="0087674E"/>
    <w:rsid w:val="008774AE"/>
    <w:rsid w:val="008806DB"/>
    <w:rsid w:val="00881A2A"/>
    <w:rsid w:val="00883CA7"/>
    <w:rsid w:val="00884865"/>
    <w:rsid w:val="00884FF1"/>
    <w:rsid w:val="0088666F"/>
    <w:rsid w:val="008870B5"/>
    <w:rsid w:val="008872F4"/>
    <w:rsid w:val="008874CA"/>
    <w:rsid w:val="00893139"/>
    <w:rsid w:val="0089399D"/>
    <w:rsid w:val="00893DF6"/>
    <w:rsid w:val="00894836"/>
    <w:rsid w:val="008962C4"/>
    <w:rsid w:val="0089759C"/>
    <w:rsid w:val="00897870"/>
    <w:rsid w:val="00897B60"/>
    <w:rsid w:val="008A02C0"/>
    <w:rsid w:val="008A129C"/>
    <w:rsid w:val="008A3788"/>
    <w:rsid w:val="008A3A23"/>
    <w:rsid w:val="008A436C"/>
    <w:rsid w:val="008A4F44"/>
    <w:rsid w:val="008A5B20"/>
    <w:rsid w:val="008A65EB"/>
    <w:rsid w:val="008B1A18"/>
    <w:rsid w:val="008B2B72"/>
    <w:rsid w:val="008B2E13"/>
    <w:rsid w:val="008B3589"/>
    <w:rsid w:val="008B3AD4"/>
    <w:rsid w:val="008B3FFF"/>
    <w:rsid w:val="008B4E01"/>
    <w:rsid w:val="008B61EF"/>
    <w:rsid w:val="008B652B"/>
    <w:rsid w:val="008B66C8"/>
    <w:rsid w:val="008B6718"/>
    <w:rsid w:val="008B7662"/>
    <w:rsid w:val="008C0304"/>
    <w:rsid w:val="008C0371"/>
    <w:rsid w:val="008C140B"/>
    <w:rsid w:val="008C186E"/>
    <w:rsid w:val="008C2309"/>
    <w:rsid w:val="008C2D06"/>
    <w:rsid w:val="008C3B8C"/>
    <w:rsid w:val="008C44D0"/>
    <w:rsid w:val="008C51BD"/>
    <w:rsid w:val="008C6391"/>
    <w:rsid w:val="008C7498"/>
    <w:rsid w:val="008D0C3D"/>
    <w:rsid w:val="008D1812"/>
    <w:rsid w:val="008D19DF"/>
    <w:rsid w:val="008D1CFE"/>
    <w:rsid w:val="008D1FC5"/>
    <w:rsid w:val="008D251D"/>
    <w:rsid w:val="008D28DC"/>
    <w:rsid w:val="008D2949"/>
    <w:rsid w:val="008D4026"/>
    <w:rsid w:val="008D5C17"/>
    <w:rsid w:val="008D76D1"/>
    <w:rsid w:val="008D7C21"/>
    <w:rsid w:val="008E076B"/>
    <w:rsid w:val="008E231C"/>
    <w:rsid w:val="008E2374"/>
    <w:rsid w:val="008E2637"/>
    <w:rsid w:val="008E36E8"/>
    <w:rsid w:val="008E4C11"/>
    <w:rsid w:val="008E5E82"/>
    <w:rsid w:val="008E6817"/>
    <w:rsid w:val="008E6B0C"/>
    <w:rsid w:val="008E7A08"/>
    <w:rsid w:val="008F0B14"/>
    <w:rsid w:val="008F30EE"/>
    <w:rsid w:val="008F3403"/>
    <w:rsid w:val="008F37C5"/>
    <w:rsid w:val="008F3C88"/>
    <w:rsid w:val="008F3F30"/>
    <w:rsid w:val="008F4110"/>
    <w:rsid w:val="008F52F8"/>
    <w:rsid w:val="008F581F"/>
    <w:rsid w:val="008F78CC"/>
    <w:rsid w:val="0090091F"/>
    <w:rsid w:val="00900ECE"/>
    <w:rsid w:val="00901522"/>
    <w:rsid w:val="00903488"/>
    <w:rsid w:val="00904466"/>
    <w:rsid w:val="00904D92"/>
    <w:rsid w:val="00904FC3"/>
    <w:rsid w:val="00905839"/>
    <w:rsid w:val="00907352"/>
    <w:rsid w:val="00907914"/>
    <w:rsid w:val="00907F89"/>
    <w:rsid w:val="00910AE2"/>
    <w:rsid w:val="00910FEC"/>
    <w:rsid w:val="00911197"/>
    <w:rsid w:val="009119C8"/>
    <w:rsid w:val="009123CA"/>
    <w:rsid w:val="00912AA2"/>
    <w:rsid w:val="009144E4"/>
    <w:rsid w:val="0091525F"/>
    <w:rsid w:val="00920608"/>
    <w:rsid w:val="00921D31"/>
    <w:rsid w:val="00922B1F"/>
    <w:rsid w:val="00922E54"/>
    <w:rsid w:val="00922FD5"/>
    <w:rsid w:val="0092306F"/>
    <w:rsid w:val="00923642"/>
    <w:rsid w:val="00923E92"/>
    <w:rsid w:val="00923FAB"/>
    <w:rsid w:val="00924396"/>
    <w:rsid w:val="009244B6"/>
    <w:rsid w:val="00924F42"/>
    <w:rsid w:val="00924F7D"/>
    <w:rsid w:val="0092508E"/>
    <w:rsid w:val="00925409"/>
    <w:rsid w:val="00926676"/>
    <w:rsid w:val="009269F3"/>
    <w:rsid w:val="0093130C"/>
    <w:rsid w:val="00932D06"/>
    <w:rsid w:val="00933E6A"/>
    <w:rsid w:val="00934AD2"/>
    <w:rsid w:val="00934D85"/>
    <w:rsid w:val="009353E2"/>
    <w:rsid w:val="00935D76"/>
    <w:rsid w:val="0093639A"/>
    <w:rsid w:val="00936734"/>
    <w:rsid w:val="00936E0D"/>
    <w:rsid w:val="0093770A"/>
    <w:rsid w:val="00940E45"/>
    <w:rsid w:val="00941B22"/>
    <w:rsid w:val="0094232C"/>
    <w:rsid w:val="0094239D"/>
    <w:rsid w:val="00942A31"/>
    <w:rsid w:val="00942D71"/>
    <w:rsid w:val="00943385"/>
    <w:rsid w:val="00944957"/>
    <w:rsid w:val="0094516B"/>
    <w:rsid w:val="00946073"/>
    <w:rsid w:val="009462E7"/>
    <w:rsid w:val="0094634D"/>
    <w:rsid w:val="00946952"/>
    <w:rsid w:val="00947857"/>
    <w:rsid w:val="00947F71"/>
    <w:rsid w:val="0095076F"/>
    <w:rsid w:val="00951B34"/>
    <w:rsid w:val="009529A2"/>
    <w:rsid w:val="00953264"/>
    <w:rsid w:val="009548A3"/>
    <w:rsid w:val="00954B15"/>
    <w:rsid w:val="0095534D"/>
    <w:rsid w:val="00955ABF"/>
    <w:rsid w:val="00957290"/>
    <w:rsid w:val="00957C5A"/>
    <w:rsid w:val="0096190D"/>
    <w:rsid w:val="00962526"/>
    <w:rsid w:val="00963566"/>
    <w:rsid w:val="009640D7"/>
    <w:rsid w:val="00964A8D"/>
    <w:rsid w:val="00964CB2"/>
    <w:rsid w:val="00965E7D"/>
    <w:rsid w:val="0096644B"/>
    <w:rsid w:val="0096667F"/>
    <w:rsid w:val="00966721"/>
    <w:rsid w:val="00966A88"/>
    <w:rsid w:val="00967222"/>
    <w:rsid w:val="00970D62"/>
    <w:rsid w:val="009716AD"/>
    <w:rsid w:val="00973359"/>
    <w:rsid w:val="009744A8"/>
    <w:rsid w:val="009766AB"/>
    <w:rsid w:val="009771EC"/>
    <w:rsid w:val="0097759C"/>
    <w:rsid w:val="00980178"/>
    <w:rsid w:val="00981FAA"/>
    <w:rsid w:val="00982391"/>
    <w:rsid w:val="00982770"/>
    <w:rsid w:val="0098297A"/>
    <w:rsid w:val="00983380"/>
    <w:rsid w:val="009834FE"/>
    <w:rsid w:val="0098350D"/>
    <w:rsid w:val="009837F6"/>
    <w:rsid w:val="00985C48"/>
    <w:rsid w:val="00987111"/>
    <w:rsid w:val="00987249"/>
    <w:rsid w:val="00987393"/>
    <w:rsid w:val="00987677"/>
    <w:rsid w:val="00987CEC"/>
    <w:rsid w:val="00987D53"/>
    <w:rsid w:val="009908E3"/>
    <w:rsid w:val="0099173A"/>
    <w:rsid w:val="009919DB"/>
    <w:rsid w:val="00994166"/>
    <w:rsid w:val="009960FD"/>
    <w:rsid w:val="00997A97"/>
    <w:rsid w:val="009A2097"/>
    <w:rsid w:val="009A26EE"/>
    <w:rsid w:val="009A3B3F"/>
    <w:rsid w:val="009A4918"/>
    <w:rsid w:val="009A58BC"/>
    <w:rsid w:val="009A6398"/>
    <w:rsid w:val="009A7713"/>
    <w:rsid w:val="009A7853"/>
    <w:rsid w:val="009A7E91"/>
    <w:rsid w:val="009B06D7"/>
    <w:rsid w:val="009B2015"/>
    <w:rsid w:val="009B27E7"/>
    <w:rsid w:val="009B6DDD"/>
    <w:rsid w:val="009B7445"/>
    <w:rsid w:val="009B7EB3"/>
    <w:rsid w:val="009C387D"/>
    <w:rsid w:val="009C45A4"/>
    <w:rsid w:val="009C4919"/>
    <w:rsid w:val="009C505C"/>
    <w:rsid w:val="009C51B0"/>
    <w:rsid w:val="009C5C34"/>
    <w:rsid w:val="009C63D8"/>
    <w:rsid w:val="009C6D0F"/>
    <w:rsid w:val="009C7063"/>
    <w:rsid w:val="009D003B"/>
    <w:rsid w:val="009D0511"/>
    <w:rsid w:val="009D14B3"/>
    <w:rsid w:val="009D15FC"/>
    <w:rsid w:val="009D267B"/>
    <w:rsid w:val="009D348A"/>
    <w:rsid w:val="009D4A13"/>
    <w:rsid w:val="009D5511"/>
    <w:rsid w:val="009D6288"/>
    <w:rsid w:val="009D79D9"/>
    <w:rsid w:val="009E18DA"/>
    <w:rsid w:val="009E1BCF"/>
    <w:rsid w:val="009E21EA"/>
    <w:rsid w:val="009E473B"/>
    <w:rsid w:val="009E5E8C"/>
    <w:rsid w:val="009E73B4"/>
    <w:rsid w:val="009F04E8"/>
    <w:rsid w:val="009F0B7E"/>
    <w:rsid w:val="009F117D"/>
    <w:rsid w:val="009F132B"/>
    <w:rsid w:val="009F1541"/>
    <w:rsid w:val="009F17CC"/>
    <w:rsid w:val="009F1FA3"/>
    <w:rsid w:val="009F20B3"/>
    <w:rsid w:val="009F2DB5"/>
    <w:rsid w:val="009F305C"/>
    <w:rsid w:val="009F4013"/>
    <w:rsid w:val="009F43DA"/>
    <w:rsid w:val="009F6031"/>
    <w:rsid w:val="009F77BA"/>
    <w:rsid w:val="00A01706"/>
    <w:rsid w:val="00A02861"/>
    <w:rsid w:val="00A03C63"/>
    <w:rsid w:val="00A046D8"/>
    <w:rsid w:val="00A052E0"/>
    <w:rsid w:val="00A05378"/>
    <w:rsid w:val="00A05720"/>
    <w:rsid w:val="00A05E4D"/>
    <w:rsid w:val="00A06CA0"/>
    <w:rsid w:val="00A07172"/>
    <w:rsid w:val="00A07E41"/>
    <w:rsid w:val="00A103A7"/>
    <w:rsid w:val="00A11417"/>
    <w:rsid w:val="00A11595"/>
    <w:rsid w:val="00A13FBD"/>
    <w:rsid w:val="00A1581C"/>
    <w:rsid w:val="00A164F5"/>
    <w:rsid w:val="00A17156"/>
    <w:rsid w:val="00A20026"/>
    <w:rsid w:val="00A20201"/>
    <w:rsid w:val="00A207BD"/>
    <w:rsid w:val="00A218B9"/>
    <w:rsid w:val="00A22020"/>
    <w:rsid w:val="00A22234"/>
    <w:rsid w:val="00A232D8"/>
    <w:rsid w:val="00A2338E"/>
    <w:rsid w:val="00A246C8"/>
    <w:rsid w:val="00A25585"/>
    <w:rsid w:val="00A26550"/>
    <w:rsid w:val="00A2729E"/>
    <w:rsid w:val="00A27AD6"/>
    <w:rsid w:val="00A27C7D"/>
    <w:rsid w:val="00A31843"/>
    <w:rsid w:val="00A31951"/>
    <w:rsid w:val="00A31B07"/>
    <w:rsid w:val="00A3202B"/>
    <w:rsid w:val="00A32BAC"/>
    <w:rsid w:val="00A3440D"/>
    <w:rsid w:val="00A346FE"/>
    <w:rsid w:val="00A3668F"/>
    <w:rsid w:val="00A36795"/>
    <w:rsid w:val="00A4094F"/>
    <w:rsid w:val="00A43202"/>
    <w:rsid w:val="00A444BD"/>
    <w:rsid w:val="00A466F9"/>
    <w:rsid w:val="00A47677"/>
    <w:rsid w:val="00A476C2"/>
    <w:rsid w:val="00A5036B"/>
    <w:rsid w:val="00A50823"/>
    <w:rsid w:val="00A50B56"/>
    <w:rsid w:val="00A50BB9"/>
    <w:rsid w:val="00A513FF"/>
    <w:rsid w:val="00A51DDB"/>
    <w:rsid w:val="00A520F9"/>
    <w:rsid w:val="00A52E0A"/>
    <w:rsid w:val="00A5356A"/>
    <w:rsid w:val="00A53822"/>
    <w:rsid w:val="00A53AD1"/>
    <w:rsid w:val="00A53C0E"/>
    <w:rsid w:val="00A53CEC"/>
    <w:rsid w:val="00A542F5"/>
    <w:rsid w:val="00A543A7"/>
    <w:rsid w:val="00A56003"/>
    <w:rsid w:val="00A60ADE"/>
    <w:rsid w:val="00A610E3"/>
    <w:rsid w:val="00A63035"/>
    <w:rsid w:val="00A65E27"/>
    <w:rsid w:val="00A6738F"/>
    <w:rsid w:val="00A7031C"/>
    <w:rsid w:val="00A70DB6"/>
    <w:rsid w:val="00A725B9"/>
    <w:rsid w:val="00A72D84"/>
    <w:rsid w:val="00A73136"/>
    <w:rsid w:val="00A73C06"/>
    <w:rsid w:val="00A74460"/>
    <w:rsid w:val="00A75C3D"/>
    <w:rsid w:val="00A8017D"/>
    <w:rsid w:val="00A80F93"/>
    <w:rsid w:val="00A82AC1"/>
    <w:rsid w:val="00A83178"/>
    <w:rsid w:val="00A83413"/>
    <w:rsid w:val="00A84657"/>
    <w:rsid w:val="00A846A9"/>
    <w:rsid w:val="00A857EC"/>
    <w:rsid w:val="00A85D91"/>
    <w:rsid w:val="00A85E58"/>
    <w:rsid w:val="00A865C9"/>
    <w:rsid w:val="00A86E24"/>
    <w:rsid w:val="00A878FF"/>
    <w:rsid w:val="00A87CCC"/>
    <w:rsid w:val="00A914AE"/>
    <w:rsid w:val="00A92341"/>
    <w:rsid w:val="00A92428"/>
    <w:rsid w:val="00A931D5"/>
    <w:rsid w:val="00A946F0"/>
    <w:rsid w:val="00A94B0F"/>
    <w:rsid w:val="00A96EFD"/>
    <w:rsid w:val="00A97530"/>
    <w:rsid w:val="00AA042E"/>
    <w:rsid w:val="00AA3D00"/>
    <w:rsid w:val="00AA4F39"/>
    <w:rsid w:val="00AA5332"/>
    <w:rsid w:val="00AB1E47"/>
    <w:rsid w:val="00AB3352"/>
    <w:rsid w:val="00AB335E"/>
    <w:rsid w:val="00AB3A0B"/>
    <w:rsid w:val="00AB3B84"/>
    <w:rsid w:val="00AB4CF9"/>
    <w:rsid w:val="00AB4E2F"/>
    <w:rsid w:val="00AB5073"/>
    <w:rsid w:val="00AB602F"/>
    <w:rsid w:val="00AB6C25"/>
    <w:rsid w:val="00AB7138"/>
    <w:rsid w:val="00AB7BE0"/>
    <w:rsid w:val="00AC0775"/>
    <w:rsid w:val="00AC1A75"/>
    <w:rsid w:val="00AC4C3D"/>
    <w:rsid w:val="00AC50BB"/>
    <w:rsid w:val="00AC6A6C"/>
    <w:rsid w:val="00AC78B4"/>
    <w:rsid w:val="00AD0457"/>
    <w:rsid w:val="00AD0795"/>
    <w:rsid w:val="00AD081D"/>
    <w:rsid w:val="00AD11AD"/>
    <w:rsid w:val="00AD16DF"/>
    <w:rsid w:val="00AD2506"/>
    <w:rsid w:val="00AD31C2"/>
    <w:rsid w:val="00AD3C06"/>
    <w:rsid w:val="00AD4A54"/>
    <w:rsid w:val="00AD4C0D"/>
    <w:rsid w:val="00AD4D60"/>
    <w:rsid w:val="00AD5FA4"/>
    <w:rsid w:val="00AD6023"/>
    <w:rsid w:val="00AE080E"/>
    <w:rsid w:val="00AE09E8"/>
    <w:rsid w:val="00AE1EF5"/>
    <w:rsid w:val="00AE3700"/>
    <w:rsid w:val="00AE56BC"/>
    <w:rsid w:val="00AE5DBC"/>
    <w:rsid w:val="00AE5DCD"/>
    <w:rsid w:val="00AE6593"/>
    <w:rsid w:val="00AE7248"/>
    <w:rsid w:val="00AE782A"/>
    <w:rsid w:val="00AE7846"/>
    <w:rsid w:val="00AE78B1"/>
    <w:rsid w:val="00AE79C4"/>
    <w:rsid w:val="00AE7A11"/>
    <w:rsid w:val="00AF12FE"/>
    <w:rsid w:val="00AF1FD5"/>
    <w:rsid w:val="00AF2768"/>
    <w:rsid w:val="00AF2FDA"/>
    <w:rsid w:val="00AF5BCF"/>
    <w:rsid w:val="00AF5C4C"/>
    <w:rsid w:val="00AF6546"/>
    <w:rsid w:val="00AF6AA5"/>
    <w:rsid w:val="00AF735C"/>
    <w:rsid w:val="00AF77F2"/>
    <w:rsid w:val="00B00699"/>
    <w:rsid w:val="00B00CD5"/>
    <w:rsid w:val="00B04069"/>
    <w:rsid w:val="00B04E42"/>
    <w:rsid w:val="00B04EFC"/>
    <w:rsid w:val="00B053BF"/>
    <w:rsid w:val="00B05E18"/>
    <w:rsid w:val="00B06752"/>
    <w:rsid w:val="00B069A2"/>
    <w:rsid w:val="00B07D53"/>
    <w:rsid w:val="00B12507"/>
    <w:rsid w:val="00B1326F"/>
    <w:rsid w:val="00B15146"/>
    <w:rsid w:val="00B15296"/>
    <w:rsid w:val="00B15EA6"/>
    <w:rsid w:val="00B163A2"/>
    <w:rsid w:val="00B163FE"/>
    <w:rsid w:val="00B1772E"/>
    <w:rsid w:val="00B2056C"/>
    <w:rsid w:val="00B22488"/>
    <w:rsid w:val="00B2436D"/>
    <w:rsid w:val="00B2571B"/>
    <w:rsid w:val="00B30015"/>
    <w:rsid w:val="00B310F4"/>
    <w:rsid w:val="00B3137B"/>
    <w:rsid w:val="00B313F5"/>
    <w:rsid w:val="00B339DC"/>
    <w:rsid w:val="00B34499"/>
    <w:rsid w:val="00B3467A"/>
    <w:rsid w:val="00B34FD6"/>
    <w:rsid w:val="00B35D70"/>
    <w:rsid w:val="00B3648E"/>
    <w:rsid w:val="00B366AF"/>
    <w:rsid w:val="00B37655"/>
    <w:rsid w:val="00B37F56"/>
    <w:rsid w:val="00B40530"/>
    <w:rsid w:val="00B41256"/>
    <w:rsid w:val="00B4198F"/>
    <w:rsid w:val="00B43042"/>
    <w:rsid w:val="00B43446"/>
    <w:rsid w:val="00B4485E"/>
    <w:rsid w:val="00B451A9"/>
    <w:rsid w:val="00B45218"/>
    <w:rsid w:val="00B45D53"/>
    <w:rsid w:val="00B45E24"/>
    <w:rsid w:val="00B466F4"/>
    <w:rsid w:val="00B46779"/>
    <w:rsid w:val="00B47DE9"/>
    <w:rsid w:val="00B51E7D"/>
    <w:rsid w:val="00B526C9"/>
    <w:rsid w:val="00B52CF4"/>
    <w:rsid w:val="00B53FED"/>
    <w:rsid w:val="00B54685"/>
    <w:rsid w:val="00B55362"/>
    <w:rsid w:val="00B55475"/>
    <w:rsid w:val="00B56C79"/>
    <w:rsid w:val="00B57052"/>
    <w:rsid w:val="00B5732C"/>
    <w:rsid w:val="00B579B8"/>
    <w:rsid w:val="00B60805"/>
    <w:rsid w:val="00B61187"/>
    <w:rsid w:val="00B627C6"/>
    <w:rsid w:val="00B635D3"/>
    <w:rsid w:val="00B63BA4"/>
    <w:rsid w:val="00B648F9"/>
    <w:rsid w:val="00B6557B"/>
    <w:rsid w:val="00B65A6B"/>
    <w:rsid w:val="00B665FD"/>
    <w:rsid w:val="00B66794"/>
    <w:rsid w:val="00B66B66"/>
    <w:rsid w:val="00B70EA6"/>
    <w:rsid w:val="00B714AD"/>
    <w:rsid w:val="00B71CD5"/>
    <w:rsid w:val="00B71CDE"/>
    <w:rsid w:val="00B72241"/>
    <w:rsid w:val="00B7392E"/>
    <w:rsid w:val="00B73AA7"/>
    <w:rsid w:val="00B73D33"/>
    <w:rsid w:val="00B746AC"/>
    <w:rsid w:val="00B74E04"/>
    <w:rsid w:val="00B767B2"/>
    <w:rsid w:val="00B775C2"/>
    <w:rsid w:val="00B77C4C"/>
    <w:rsid w:val="00B77F68"/>
    <w:rsid w:val="00B833D9"/>
    <w:rsid w:val="00B84512"/>
    <w:rsid w:val="00B858D9"/>
    <w:rsid w:val="00B85B7C"/>
    <w:rsid w:val="00B85EC3"/>
    <w:rsid w:val="00B8709F"/>
    <w:rsid w:val="00B8711F"/>
    <w:rsid w:val="00B87282"/>
    <w:rsid w:val="00B872B8"/>
    <w:rsid w:val="00B876B6"/>
    <w:rsid w:val="00B929B9"/>
    <w:rsid w:val="00B9697D"/>
    <w:rsid w:val="00B96D50"/>
    <w:rsid w:val="00B96FDD"/>
    <w:rsid w:val="00B9715C"/>
    <w:rsid w:val="00BA0279"/>
    <w:rsid w:val="00BA045D"/>
    <w:rsid w:val="00BA0755"/>
    <w:rsid w:val="00BA1E04"/>
    <w:rsid w:val="00BA2674"/>
    <w:rsid w:val="00BA31A3"/>
    <w:rsid w:val="00BA31F3"/>
    <w:rsid w:val="00BA35A3"/>
    <w:rsid w:val="00BA4927"/>
    <w:rsid w:val="00BA4935"/>
    <w:rsid w:val="00BA5CF1"/>
    <w:rsid w:val="00BA7206"/>
    <w:rsid w:val="00BA7B04"/>
    <w:rsid w:val="00BB13C8"/>
    <w:rsid w:val="00BB18E5"/>
    <w:rsid w:val="00BB331B"/>
    <w:rsid w:val="00BB49D6"/>
    <w:rsid w:val="00BB4C2F"/>
    <w:rsid w:val="00BB50CA"/>
    <w:rsid w:val="00BB50DD"/>
    <w:rsid w:val="00BB563B"/>
    <w:rsid w:val="00BB5A94"/>
    <w:rsid w:val="00BB5EAD"/>
    <w:rsid w:val="00BB7072"/>
    <w:rsid w:val="00BB766D"/>
    <w:rsid w:val="00BC13D5"/>
    <w:rsid w:val="00BC1D6D"/>
    <w:rsid w:val="00BC2C7E"/>
    <w:rsid w:val="00BC3594"/>
    <w:rsid w:val="00BC6319"/>
    <w:rsid w:val="00BC6C96"/>
    <w:rsid w:val="00BC6D9C"/>
    <w:rsid w:val="00BC7C66"/>
    <w:rsid w:val="00BD0038"/>
    <w:rsid w:val="00BD29FF"/>
    <w:rsid w:val="00BD36DB"/>
    <w:rsid w:val="00BD4B54"/>
    <w:rsid w:val="00BD6513"/>
    <w:rsid w:val="00BD7BF5"/>
    <w:rsid w:val="00BE00CD"/>
    <w:rsid w:val="00BE0B46"/>
    <w:rsid w:val="00BE0B97"/>
    <w:rsid w:val="00BE0FAE"/>
    <w:rsid w:val="00BE10AF"/>
    <w:rsid w:val="00BE1BC7"/>
    <w:rsid w:val="00BE1D4C"/>
    <w:rsid w:val="00BE23F9"/>
    <w:rsid w:val="00BE25F0"/>
    <w:rsid w:val="00BE28B8"/>
    <w:rsid w:val="00BE2BF5"/>
    <w:rsid w:val="00BE3B47"/>
    <w:rsid w:val="00BE3FA0"/>
    <w:rsid w:val="00BE4843"/>
    <w:rsid w:val="00BE4C1D"/>
    <w:rsid w:val="00BE52B7"/>
    <w:rsid w:val="00BE5DC4"/>
    <w:rsid w:val="00BE6B00"/>
    <w:rsid w:val="00BF0787"/>
    <w:rsid w:val="00BF1112"/>
    <w:rsid w:val="00BF1514"/>
    <w:rsid w:val="00BF3D75"/>
    <w:rsid w:val="00BF503D"/>
    <w:rsid w:val="00BF53B1"/>
    <w:rsid w:val="00C008FB"/>
    <w:rsid w:val="00C01AA0"/>
    <w:rsid w:val="00C02F01"/>
    <w:rsid w:val="00C02FCD"/>
    <w:rsid w:val="00C0390F"/>
    <w:rsid w:val="00C03A0B"/>
    <w:rsid w:val="00C04C9E"/>
    <w:rsid w:val="00C068B9"/>
    <w:rsid w:val="00C06DB7"/>
    <w:rsid w:val="00C079C4"/>
    <w:rsid w:val="00C10284"/>
    <w:rsid w:val="00C11834"/>
    <w:rsid w:val="00C12A6D"/>
    <w:rsid w:val="00C137F3"/>
    <w:rsid w:val="00C13937"/>
    <w:rsid w:val="00C143E7"/>
    <w:rsid w:val="00C14462"/>
    <w:rsid w:val="00C1458C"/>
    <w:rsid w:val="00C1470E"/>
    <w:rsid w:val="00C148ED"/>
    <w:rsid w:val="00C14984"/>
    <w:rsid w:val="00C1568F"/>
    <w:rsid w:val="00C15B64"/>
    <w:rsid w:val="00C163C9"/>
    <w:rsid w:val="00C16978"/>
    <w:rsid w:val="00C16DD4"/>
    <w:rsid w:val="00C16F91"/>
    <w:rsid w:val="00C1737C"/>
    <w:rsid w:val="00C175D7"/>
    <w:rsid w:val="00C1767D"/>
    <w:rsid w:val="00C20C4D"/>
    <w:rsid w:val="00C21813"/>
    <w:rsid w:val="00C229A8"/>
    <w:rsid w:val="00C22DE7"/>
    <w:rsid w:val="00C2417C"/>
    <w:rsid w:val="00C25240"/>
    <w:rsid w:val="00C258DB"/>
    <w:rsid w:val="00C2610A"/>
    <w:rsid w:val="00C263BA"/>
    <w:rsid w:val="00C26A06"/>
    <w:rsid w:val="00C30DC8"/>
    <w:rsid w:val="00C31098"/>
    <w:rsid w:val="00C317D9"/>
    <w:rsid w:val="00C32862"/>
    <w:rsid w:val="00C32AF5"/>
    <w:rsid w:val="00C3348E"/>
    <w:rsid w:val="00C34712"/>
    <w:rsid w:val="00C35758"/>
    <w:rsid w:val="00C36E09"/>
    <w:rsid w:val="00C37E7E"/>
    <w:rsid w:val="00C37F25"/>
    <w:rsid w:val="00C40568"/>
    <w:rsid w:val="00C41760"/>
    <w:rsid w:val="00C44E4A"/>
    <w:rsid w:val="00C459E8"/>
    <w:rsid w:val="00C474C0"/>
    <w:rsid w:val="00C47959"/>
    <w:rsid w:val="00C50973"/>
    <w:rsid w:val="00C511EE"/>
    <w:rsid w:val="00C5473F"/>
    <w:rsid w:val="00C557B5"/>
    <w:rsid w:val="00C57190"/>
    <w:rsid w:val="00C60973"/>
    <w:rsid w:val="00C612BC"/>
    <w:rsid w:val="00C61E74"/>
    <w:rsid w:val="00C634DF"/>
    <w:rsid w:val="00C63C6F"/>
    <w:rsid w:val="00C6426E"/>
    <w:rsid w:val="00C65BE2"/>
    <w:rsid w:val="00C66072"/>
    <w:rsid w:val="00C67D5C"/>
    <w:rsid w:val="00C70B87"/>
    <w:rsid w:val="00C70F29"/>
    <w:rsid w:val="00C719E9"/>
    <w:rsid w:val="00C71A29"/>
    <w:rsid w:val="00C71BD9"/>
    <w:rsid w:val="00C71D3C"/>
    <w:rsid w:val="00C72940"/>
    <w:rsid w:val="00C74D19"/>
    <w:rsid w:val="00C75133"/>
    <w:rsid w:val="00C75185"/>
    <w:rsid w:val="00C76097"/>
    <w:rsid w:val="00C761F4"/>
    <w:rsid w:val="00C766D9"/>
    <w:rsid w:val="00C7709F"/>
    <w:rsid w:val="00C800F9"/>
    <w:rsid w:val="00C805DA"/>
    <w:rsid w:val="00C81E6A"/>
    <w:rsid w:val="00C8244C"/>
    <w:rsid w:val="00C83E4A"/>
    <w:rsid w:val="00C83FF0"/>
    <w:rsid w:val="00C855AD"/>
    <w:rsid w:val="00C85609"/>
    <w:rsid w:val="00C863D0"/>
    <w:rsid w:val="00C87755"/>
    <w:rsid w:val="00C8797D"/>
    <w:rsid w:val="00C87F05"/>
    <w:rsid w:val="00C90F17"/>
    <w:rsid w:val="00C911B3"/>
    <w:rsid w:val="00C91D6D"/>
    <w:rsid w:val="00C91E73"/>
    <w:rsid w:val="00C92CBD"/>
    <w:rsid w:val="00C95A4B"/>
    <w:rsid w:val="00C95BA5"/>
    <w:rsid w:val="00C9603C"/>
    <w:rsid w:val="00C96825"/>
    <w:rsid w:val="00C96DA4"/>
    <w:rsid w:val="00C97CB0"/>
    <w:rsid w:val="00CA1CC5"/>
    <w:rsid w:val="00CA2043"/>
    <w:rsid w:val="00CA2A3E"/>
    <w:rsid w:val="00CA38A5"/>
    <w:rsid w:val="00CA3FC9"/>
    <w:rsid w:val="00CA4A85"/>
    <w:rsid w:val="00CA5462"/>
    <w:rsid w:val="00CA6065"/>
    <w:rsid w:val="00CA6C1B"/>
    <w:rsid w:val="00CB0A2A"/>
    <w:rsid w:val="00CB0C04"/>
    <w:rsid w:val="00CB148A"/>
    <w:rsid w:val="00CB1617"/>
    <w:rsid w:val="00CB3248"/>
    <w:rsid w:val="00CB3896"/>
    <w:rsid w:val="00CB3A4E"/>
    <w:rsid w:val="00CB3F76"/>
    <w:rsid w:val="00CB4F0E"/>
    <w:rsid w:val="00CB5101"/>
    <w:rsid w:val="00CB5221"/>
    <w:rsid w:val="00CB5509"/>
    <w:rsid w:val="00CB596D"/>
    <w:rsid w:val="00CC0171"/>
    <w:rsid w:val="00CC0BD4"/>
    <w:rsid w:val="00CC10C7"/>
    <w:rsid w:val="00CC11FC"/>
    <w:rsid w:val="00CC400A"/>
    <w:rsid w:val="00CC6D66"/>
    <w:rsid w:val="00CC7A6F"/>
    <w:rsid w:val="00CD0EF0"/>
    <w:rsid w:val="00CD12FC"/>
    <w:rsid w:val="00CD19BE"/>
    <w:rsid w:val="00CD26B7"/>
    <w:rsid w:val="00CD30F7"/>
    <w:rsid w:val="00CD3F35"/>
    <w:rsid w:val="00CD56DD"/>
    <w:rsid w:val="00CD58B9"/>
    <w:rsid w:val="00CD6002"/>
    <w:rsid w:val="00CD74AB"/>
    <w:rsid w:val="00CD7D10"/>
    <w:rsid w:val="00CE00A5"/>
    <w:rsid w:val="00CE0C3F"/>
    <w:rsid w:val="00CE46C0"/>
    <w:rsid w:val="00CE7800"/>
    <w:rsid w:val="00CF00A4"/>
    <w:rsid w:val="00CF092C"/>
    <w:rsid w:val="00CF18BD"/>
    <w:rsid w:val="00CF2D0A"/>
    <w:rsid w:val="00CF3595"/>
    <w:rsid w:val="00CF3D3E"/>
    <w:rsid w:val="00CF479B"/>
    <w:rsid w:val="00CF4899"/>
    <w:rsid w:val="00CF4E32"/>
    <w:rsid w:val="00CF7DE0"/>
    <w:rsid w:val="00D005DD"/>
    <w:rsid w:val="00D0102B"/>
    <w:rsid w:val="00D016F6"/>
    <w:rsid w:val="00D01ED8"/>
    <w:rsid w:val="00D0297F"/>
    <w:rsid w:val="00D031E7"/>
    <w:rsid w:val="00D0357F"/>
    <w:rsid w:val="00D061A7"/>
    <w:rsid w:val="00D0667C"/>
    <w:rsid w:val="00D12CBA"/>
    <w:rsid w:val="00D130DD"/>
    <w:rsid w:val="00D13C1F"/>
    <w:rsid w:val="00D1709E"/>
    <w:rsid w:val="00D2065B"/>
    <w:rsid w:val="00D21700"/>
    <w:rsid w:val="00D258C6"/>
    <w:rsid w:val="00D25D9F"/>
    <w:rsid w:val="00D260E3"/>
    <w:rsid w:val="00D26289"/>
    <w:rsid w:val="00D31F0C"/>
    <w:rsid w:val="00D32096"/>
    <w:rsid w:val="00D32E77"/>
    <w:rsid w:val="00D358D0"/>
    <w:rsid w:val="00D363D3"/>
    <w:rsid w:val="00D374F3"/>
    <w:rsid w:val="00D379DE"/>
    <w:rsid w:val="00D40461"/>
    <w:rsid w:val="00D43585"/>
    <w:rsid w:val="00D4567D"/>
    <w:rsid w:val="00D45ACF"/>
    <w:rsid w:val="00D462F8"/>
    <w:rsid w:val="00D50589"/>
    <w:rsid w:val="00D508DF"/>
    <w:rsid w:val="00D51101"/>
    <w:rsid w:val="00D523FB"/>
    <w:rsid w:val="00D52C3B"/>
    <w:rsid w:val="00D52D75"/>
    <w:rsid w:val="00D5305B"/>
    <w:rsid w:val="00D537B9"/>
    <w:rsid w:val="00D537F5"/>
    <w:rsid w:val="00D54C87"/>
    <w:rsid w:val="00D54FEE"/>
    <w:rsid w:val="00D55238"/>
    <w:rsid w:val="00D572D7"/>
    <w:rsid w:val="00D57B96"/>
    <w:rsid w:val="00D6021B"/>
    <w:rsid w:val="00D61572"/>
    <w:rsid w:val="00D61817"/>
    <w:rsid w:val="00D6185F"/>
    <w:rsid w:val="00D6228F"/>
    <w:rsid w:val="00D63462"/>
    <w:rsid w:val="00D63C6D"/>
    <w:rsid w:val="00D65A71"/>
    <w:rsid w:val="00D6683D"/>
    <w:rsid w:val="00D6696C"/>
    <w:rsid w:val="00D66ABD"/>
    <w:rsid w:val="00D66DD4"/>
    <w:rsid w:val="00D705E7"/>
    <w:rsid w:val="00D70F62"/>
    <w:rsid w:val="00D75959"/>
    <w:rsid w:val="00D75F82"/>
    <w:rsid w:val="00D76037"/>
    <w:rsid w:val="00D760C0"/>
    <w:rsid w:val="00D804FB"/>
    <w:rsid w:val="00D8080F"/>
    <w:rsid w:val="00D81346"/>
    <w:rsid w:val="00D82E4B"/>
    <w:rsid w:val="00D83980"/>
    <w:rsid w:val="00D83A88"/>
    <w:rsid w:val="00D84166"/>
    <w:rsid w:val="00D846FE"/>
    <w:rsid w:val="00D852AE"/>
    <w:rsid w:val="00D85497"/>
    <w:rsid w:val="00D859E9"/>
    <w:rsid w:val="00D85FC5"/>
    <w:rsid w:val="00D90537"/>
    <w:rsid w:val="00D909E1"/>
    <w:rsid w:val="00D9154F"/>
    <w:rsid w:val="00D91932"/>
    <w:rsid w:val="00D92C01"/>
    <w:rsid w:val="00D93841"/>
    <w:rsid w:val="00D9489E"/>
    <w:rsid w:val="00D94CFA"/>
    <w:rsid w:val="00D9794E"/>
    <w:rsid w:val="00D97A80"/>
    <w:rsid w:val="00DA0500"/>
    <w:rsid w:val="00DA141F"/>
    <w:rsid w:val="00DA18F6"/>
    <w:rsid w:val="00DA1D46"/>
    <w:rsid w:val="00DA4DBA"/>
    <w:rsid w:val="00DA5260"/>
    <w:rsid w:val="00DA6678"/>
    <w:rsid w:val="00DB06BD"/>
    <w:rsid w:val="00DB0E74"/>
    <w:rsid w:val="00DB1506"/>
    <w:rsid w:val="00DB1958"/>
    <w:rsid w:val="00DB25E9"/>
    <w:rsid w:val="00DB2F6D"/>
    <w:rsid w:val="00DB3170"/>
    <w:rsid w:val="00DB3C2D"/>
    <w:rsid w:val="00DB3FB1"/>
    <w:rsid w:val="00DB4884"/>
    <w:rsid w:val="00DB4BC6"/>
    <w:rsid w:val="00DB5F7A"/>
    <w:rsid w:val="00DB7DEC"/>
    <w:rsid w:val="00DC022B"/>
    <w:rsid w:val="00DC04E9"/>
    <w:rsid w:val="00DC055E"/>
    <w:rsid w:val="00DC179E"/>
    <w:rsid w:val="00DC190C"/>
    <w:rsid w:val="00DC1A09"/>
    <w:rsid w:val="00DC3212"/>
    <w:rsid w:val="00DC3700"/>
    <w:rsid w:val="00DC3BF3"/>
    <w:rsid w:val="00DC4485"/>
    <w:rsid w:val="00DC4FDB"/>
    <w:rsid w:val="00DC5699"/>
    <w:rsid w:val="00DC5731"/>
    <w:rsid w:val="00DC78D3"/>
    <w:rsid w:val="00DD0C72"/>
    <w:rsid w:val="00DD1505"/>
    <w:rsid w:val="00DD1A1A"/>
    <w:rsid w:val="00DD3438"/>
    <w:rsid w:val="00DD579F"/>
    <w:rsid w:val="00DD660E"/>
    <w:rsid w:val="00DE06E4"/>
    <w:rsid w:val="00DE0BC8"/>
    <w:rsid w:val="00DE0C23"/>
    <w:rsid w:val="00DE19B1"/>
    <w:rsid w:val="00DE4058"/>
    <w:rsid w:val="00DE424A"/>
    <w:rsid w:val="00DE45A6"/>
    <w:rsid w:val="00DE4AF0"/>
    <w:rsid w:val="00DE518B"/>
    <w:rsid w:val="00DE561A"/>
    <w:rsid w:val="00DE5DE9"/>
    <w:rsid w:val="00DE67E6"/>
    <w:rsid w:val="00DE74CD"/>
    <w:rsid w:val="00DF0157"/>
    <w:rsid w:val="00DF12B3"/>
    <w:rsid w:val="00DF2124"/>
    <w:rsid w:val="00DF21C9"/>
    <w:rsid w:val="00DF26BE"/>
    <w:rsid w:val="00DF337A"/>
    <w:rsid w:val="00DF4977"/>
    <w:rsid w:val="00DF4A9C"/>
    <w:rsid w:val="00DF56F3"/>
    <w:rsid w:val="00DF5B2C"/>
    <w:rsid w:val="00DF5EC4"/>
    <w:rsid w:val="00DF6BE8"/>
    <w:rsid w:val="00DF7593"/>
    <w:rsid w:val="00DF76AB"/>
    <w:rsid w:val="00E00360"/>
    <w:rsid w:val="00E0036E"/>
    <w:rsid w:val="00E00518"/>
    <w:rsid w:val="00E00F0C"/>
    <w:rsid w:val="00E01278"/>
    <w:rsid w:val="00E01B98"/>
    <w:rsid w:val="00E027BC"/>
    <w:rsid w:val="00E03B09"/>
    <w:rsid w:val="00E03D21"/>
    <w:rsid w:val="00E052DC"/>
    <w:rsid w:val="00E05305"/>
    <w:rsid w:val="00E05FBF"/>
    <w:rsid w:val="00E06380"/>
    <w:rsid w:val="00E0795D"/>
    <w:rsid w:val="00E108D8"/>
    <w:rsid w:val="00E10FCD"/>
    <w:rsid w:val="00E11735"/>
    <w:rsid w:val="00E120EB"/>
    <w:rsid w:val="00E13CE4"/>
    <w:rsid w:val="00E14950"/>
    <w:rsid w:val="00E162BF"/>
    <w:rsid w:val="00E2079B"/>
    <w:rsid w:val="00E209D9"/>
    <w:rsid w:val="00E21D6C"/>
    <w:rsid w:val="00E22A63"/>
    <w:rsid w:val="00E2391A"/>
    <w:rsid w:val="00E23945"/>
    <w:rsid w:val="00E23A83"/>
    <w:rsid w:val="00E24810"/>
    <w:rsid w:val="00E3000B"/>
    <w:rsid w:val="00E32E1B"/>
    <w:rsid w:val="00E330FC"/>
    <w:rsid w:val="00E33129"/>
    <w:rsid w:val="00E3356E"/>
    <w:rsid w:val="00E33632"/>
    <w:rsid w:val="00E33B00"/>
    <w:rsid w:val="00E35593"/>
    <w:rsid w:val="00E35A7C"/>
    <w:rsid w:val="00E37CB0"/>
    <w:rsid w:val="00E37FA1"/>
    <w:rsid w:val="00E40844"/>
    <w:rsid w:val="00E410CB"/>
    <w:rsid w:val="00E416BE"/>
    <w:rsid w:val="00E42BAA"/>
    <w:rsid w:val="00E42BC6"/>
    <w:rsid w:val="00E43BDA"/>
    <w:rsid w:val="00E44629"/>
    <w:rsid w:val="00E45D23"/>
    <w:rsid w:val="00E51350"/>
    <w:rsid w:val="00E5142F"/>
    <w:rsid w:val="00E51B54"/>
    <w:rsid w:val="00E51E79"/>
    <w:rsid w:val="00E51EB1"/>
    <w:rsid w:val="00E52C53"/>
    <w:rsid w:val="00E52C9F"/>
    <w:rsid w:val="00E54D24"/>
    <w:rsid w:val="00E54D5A"/>
    <w:rsid w:val="00E54E9F"/>
    <w:rsid w:val="00E557F0"/>
    <w:rsid w:val="00E56D50"/>
    <w:rsid w:val="00E56FE0"/>
    <w:rsid w:val="00E57089"/>
    <w:rsid w:val="00E57557"/>
    <w:rsid w:val="00E578EE"/>
    <w:rsid w:val="00E57924"/>
    <w:rsid w:val="00E607C9"/>
    <w:rsid w:val="00E614F6"/>
    <w:rsid w:val="00E61E4D"/>
    <w:rsid w:val="00E62144"/>
    <w:rsid w:val="00E6611F"/>
    <w:rsid w:val="00E6795A"/>
    <w:rsid w:val="00E71C68"/>
    <w:rsid w:val="00E7244E"/>
    <w:rsid w:val="00E7384B"/>
    <w:rsid w:val="00E73BA8"/>
    <w:rsid w:val="00E74177"/>
    <w:rsid w:val="00E74331"/>
    <w:rsid w:val="00E7525D"/>
    <w:rsid w:val="00E752B8"/>
    <w:rsid w:val="00E75326"/>
    <w:rsid w:val="00E77198"/>
    <w:rsid w:val="00E771D6"/>
    <w:rsid w:val="00E81D34"/>
    <w:rsid w:val="00E8270E"/>
    <w:rsid w:val="00E82BE1"/>
    <w:rsid w:val="00E83893"/>
    <w:rsid w:val="00E83E43"/>
    <w:rsid w:val="00E84C5C"/>
    <w:rsid w:val="00E85551"/>
    <w:rsid w:val="00E864FB"/>
    <w:rsid w:val="00E90C56"/>
    <w:rsid w:val="00E912E4"/>
    <w:rsid w:val="00E923D0"/>
    <w:rsid w:val="00E94B46"/>
    <w:rsid w:val="00E94EFC"/>
    <w:rsid w:val="00E95600"/>
    <w:rsid w:val="00E961F6"/>
    <w:rsid w:val="00E96319"/>
    <w:rsid w:val="00E96911"/>
    <w:rsid w:val="00E96CA4"/>
    <w:rsid w:val="00E97D06"/>
    <w:rsid w:val="00EA0525"/>
    <w:rsid w:val="00EA13AC"/>
    <w:rsid w:val="00EA3803"/>
    <w:rsid w:val="00EA422F"/>
    <w:rsid w:val="00EA4D95"/>
    <w:rsid w:val="00EA5AD7"/>
    <w:rsid w:val="00EA5D3F"/>
    <w:rsid w:val="00EA6200"/>
    <w:rsid w:val="00EA6A11"/>
    <w:rsid w:val="00EA7AAA"/>
    <w:rsid w:val="00EA7DBF"/>
    <w:rsid w:val="00EB0164"/>
    <w:rsid w:val="00EB1022"/>
    <w:rsid w:val="00EB2A79"/>
    <w:rsid w:val="00EB3461"/>
    <w:rsid w:val="00EB3F7A"/>
    <w:rsid w:val="00EB460A"/>
    <w:rsid w:val="00EB48DF"/>
    <w:rsid w:val="00EB549E"/>
    <w:rsid w:val="00EB5668"/>
    <w:rsid w:val="00EB641D"/>
    <w:rsid w:val="00EB6C71"/>
    <w:rsid w:val="00EB6FF5"/>
    <w:rsid w:val="00EB72F3"/>
    <w:rsid w:val="00EC063B"/>
    <w:rsid w:val="00EC0D39"/>
    <w:rsid w:val="00EC0E8D"/>
    <w:rsid w:val="00EC2A17"/>
    <w:rsid w:val="00EC48F7"/>
    <w:rsid w:val="00EC602E"/>
    <w:rsid w:val="00EC707B"/>
    <w:rsid w:val="00ED08D3"/>
    <w:rsid w:val="00ED098C"/>
    <w:rsid w:val="00ED1588"/>
    <w:rsid w:val="00ED2056"/>
    <w:rsid w:val="00ED2726"/>
    <w:rsid w:val="00ED3FB9"/>
    <w:rsid w:val="00ED47F2"/>
    <w:rsid w:val="00ED482B"/>
    <w:rsid w:val="00ED6420"/>
    <w:rsid w:val="00ED680A"/>
    <w:rsid w:val="00ED7BE4"/>
    <w:rsid w:val="00EE02DA"/>
    <w:rsid w:val="00EE03D6"/>
    <w:rsid w:val="00EE1074"/>
    <w:rsid w:val="00EE1418"/>
    <w:rsid w:val="00EE1BC5"/>
    <w:rsid w:val="00EE1E18"/>
    <w:rsid w:val="00EE27CD"/>
    <w:rsid w:val="00EE4884"/>
    <w:rsid w:val="00EE53FD"/>
    <w:rsid w:val="00EE592F"/>
    <w:rsid w:val="00EE638E"/>
    <w:rsid w:val="00EE6ECF"/>
    <w:rsid w:val="00EE704D"/>
    <w:rsid w:val="00EE78FA"/>
    <w:rsid w:val="00EF05A9"/>
    <w:rsid w:val="00EF20FF"/>
    <w:rsid w:val="00EF3D47"/>
    <w:rsid w:val="00EF5759"/>
    <w:rsid w:val="00EF5A82"/>
    <w:rsid w:val="00EF5C40"/>
    <w:rsid w:val="00EF61BE"/>
    <w:rsid w:val="00EF683B"/>
    <w:rsid w:val="00EF694D"/>
    <w:rsid w:val="00EF7B7D"/>
    <w:rsid w:val="00F008AF"/>
    <w:rsid w:val="00F01AC1"/>
    <w:rsid w:val="00F02234"/>
    <w:rsid w:val="00F02E68"/>
    <w:rsid w:val="00F038AC"/>
    <w:rsid w:val="00F03EC6"/>
    <w:rsid w:val="00F0447F"/>
    <w:rsid w:val="00F04C94"/>
    <w:rsid w:val="00F05F1F"/>
    <w:rsid w:val="00F06B96"/>
    <w:rsid w:val="00F10B42"/>
    <w:rsid w:val="00F13B2C"/>
    <w:rsid w:val="00F2106E"/>
    <w:rsid w:val="00F212E6"/>
    <w:rsid w:val="00F21EAA"/>
    <w:rsid w:val="00F231D1"/>
    <w:rsid w:val="00F24E08"/>
    <w:rsid w:val="00F26877"/>
    <w:rsid w:val="00F2720A"/>
    <w:rsid w:val="00F27A98"/>
    <w:rsid w:val="00F27C11"/>
    <w:rsid w:val="00F27C33"/>
    <w:rsid w:val="00F30B64"/>
    <w:rsid w:val="00F319C0"/>
    <w:rsid w:val="00F32999"/>
    <w:rsid w:val="00F3510C"/>
    <w:rsid w:val="00F356E0"/>
    <w:rsid w:val="00F35835"/>
    <w:rsid w:val="00F360B4"/>
    <w:rsid w:val="00F36322"/>
    <w:rsid w:val="00F3657A"/>
    <w:rsid w:val="00F36D93"/>
    <w:rsid w:val="00F379BE"/>
    <w:rsid w:val="00F40AD0"/>
    <w:rsid w:val="00F40AD1"/>
    <w:rsid w:val="00F41197"/>
    <w:rsid w:val="00F42D23"/>
    <w:rsid w:val="00F434A3"/>
    <w:rsid w:val="00F4530F"/>
    <w:rsid w:val="00F46428"/>
    <w:rsid w:val="00F4705D"/>
    <w:rsid w:val="00F4792C"/>
    <w:rsid w:val="00F47C8F"/>
    <w:rsid w:val="00F50EB6"/>
    <w:rsid w:val="00F52205"/>
    <w:rsid w:val="00F53D50"/>
    <w:rsid w:val="00F55B56"/>
    <w:rsid w:val="00F55C38"/>
    <w:rsid w:val="00F55FCD"/>
    <w:rsid w:val="00F56046"/>
    <w:rsid w:val="00F60A55"/>
    <w:rsid w:val="00F61C39"/>
    <w:rsid w:val="00F61FF0"/>
    <w:rsid w:val="00F63DCC"/>
    <w:rsid w:val="00F650BC"/>
    <w:rsid w:val="00F66145"/>
    <w:rsid w:val="00F66893"/>
    <w:rsid w:val="00F67AAC"/>
    <w:rsid w:val="00F67F42"/>
    <w:rsid w:val="00F7087D"/>
    <w:rsid w:val="00F70A58"/>
    <w:rsid w:val="00F7242A"/>
    <w:rsid w:val="00F72456"/>
    <w:rsid w:val="00F73354"/>
    <w:rsid w:val="00F736DE"/>
    <w:rsid w:val="00F73CC8"/>
    <w:rsid w:val="00F7451A"/>
    <w:rsid w:val="00F7567B"/>
    <w:rsid w:val="00F757FE"/>
    <w:rsid w:val="00F75A1D"/>
    <w:rsid w:val="00F75A3B"/>
    <w:rsid w:val="00F75FD9"/>
    <w:rsid w:val="00F76EA4"/>
    <w:rsid w:val="00F7767F"/>
    <w:rsid w:val="00F80687"/>
    <w:rsid w:val="00F8159B"/>
    <w:rsid w:val="00F819B5"/>
    <w:rsid w:val="00F83A64"/>
    <w:rsid w:val="00F84B55"/>
    <w:rsid w:val="00F850C3"/>
    <w:rsid w:val="00F86FEF"/>
    <w:rsid w:val="00F92929"/>
    <w:rsid w:val="00F9300D"/>
    <w:rsid w:val="00F93046"/>
    <w:rsid w:val="00F93ADE"/>
    <w:rsid w:val="00F93ED2"/>
    <w:rsid w:val="00F94275"/>
    <w:rsid w:val="00F9540C"/>
    <w:rsid w:val="00F96909"/>
    <w:rsid w:val="00F96BE7"/>
    <w:rsid w:val="00F97860"/>
    <w:rsid w:val="00FA0144"/>
    <w:rsid w:val="00FA04C8"/>
    <w:rsid w:val="00FA0C3B"/>
    <w:rsid w:val="00FA15DE"/>
    <w:rsid w:val="00FA1892"/>
    <w:rsid w:val="00FA1A4D"/>
    <w:rsid w:val="00FA22E8"/>
    <w:rsid w:val="00FA242E"/>
    <w:rsid w:val="00FA3246"/>
    <w:rsid w:val="00FA32A3"/>
    <w:rsid w:val="00FA3CD9"/>
    <w:rsid w:val="00FA5360"/>
    <w:rsid w:val="00FA56AE"/>
    <w:rsid w:val="00FA57BD"/>
    <w:rsid w:val="00FA6263"/>
    <w:rsid w:val="00FA67A2"/>
    <w:rsid w:val="00FA7377"/>
    <w:rsid w:val="00FB07E8"/>
    <w:rsid w:val="00FB0AB7"/>
    <w:rsid w:val="00FB0D4B"/>
    <w:rsid w:val="00FB1D76"/>
    <w:rsid w:val="00FB41D0"/>
    <w:rsid w:val="00FB5057"/>
    <w:rsid w:val="00FB563A"/>
    <w:rsid w:val="00FB5974"/>
    <w:rsid w:val="00FB5EFC"/>
    <w:rsid w:val="00FB693F"/>
    <w:rsid w:val="00FB6CCD"/>
    <w:rsid w:val="00FB6E50"/>
    <w:rsid w:val="00FB77F8"/>
    <w:rsid w:val="00FB781D"/>
    <w:rsid w:val="00FB797D"/>
    <w:rsid w:val="00FB7F10"/>
    <w:rsid w:val="00FC17D1"/>
    <w:rsid w:val="00FC2989"/>
    <w:rsid w:val="00FC317B"/>
    <w:rsid w:val="00FC4180"/>
    <w:rsid w:val="00FC44DA"/>
    <w:rsid w:val="00FC563E"/>
    <w:rsid w:val="00FC5A79"/>
    <w:rsid w:val="00FC70C6"/>
    <w:rsid w:val="00FC7461"/>
    <w:rsid w:val="00FD0147"/>
    <w:rsid w:val="00FD0D52"/>
    <w:rsid w:val="00FD3722"/>
    <w:rsid w:val="00FD3968"/>
    <w:rsid w:val="00FD5BCD"/>
    <w:rsid w:val="00FD5F6F"/>
    <w:rsid w:val="00FD6B50"/>
    <w:rsid w:val="00FD7653"/>
    <w:rsid w:val="00FE0B1F"/>
    <w:rsid w:val="00FE133A"/>
    <w:rsid w:val="00FE1700"/>
    <w:rsid w:val="00FE19B4"/>
    <w:rsid w:val="00FE1F24"/>
    <w:rsid w:val="00FE2F91"/>
    <w:rsid w:val="00FE36D9"/>
    <w:rsid w:val="00FE3E45"/>
    <w:rsid w:val="00FE3FF0"/>
    <w:rsid w:val="00FE4996"/>
    <w:rsid w:val="00FE60E1"/>
    <w:rsid w:val="00FF0399"/>
    <w:rsid w:val="00FF19FF"/>
    <w:rsid w:val="00FF27E1"/>
    <w:rsid w:val="00FF51B5"/>
    <w:rsid w:val="00FF583F"/>
    <w:rsid w:val="00FF6C25"/>
    <w:rsid w:val="00FF75F0"/>
    <w:rsid w:val="01072BC9"/>
    <w:rsid w:val="01091420"/>
    <w:rsid w:val="010E116F"/>
    <w:rsid w:val="01247D26"/>
    <w:rsid w:val="012E659C"/>
    <w:rsid w:val="0134273F"/>
    <w:rsid w:val="014454E4"/>
    <w:rsid w:val="01463E5F"/>
    <w:rsid w:val="01484C17"/>
    <w:rsid w:val="01536776"/>
    <w:rsid w:val="01785CD9"/>
    <w:rsid w:val="017A00DB"/>
    <w:rsid w:val="017A0FBF"/>
    <w:rsid w:val="01800741"/>
    <w:rsid w:val="0186033F"/>
    <w:rsid w:val="0196740A"/>
    <w:rsid w:val="019710BA"/>
    <w:rsid w:val="01977E8B"/>
    <w:rsid w:val="019D5835"/>
    <w:rsid w:val="01AD4741"/>
    <w:rsid w:val="01AE3620"/>
    <w:rsid w:val="01CB6255"/>
    <w:rsid w:val="01CF004F"/>
    <w:rsid w:val="01DA6C0D"/>
    <w:rsid w:val="01DF0C11"/>
    <w:rsid w:val="01E00BEF"/>
    <w:rsid w:val="01E47572"/>
    <w:rsid w:val="01E801F1"/>
    <w:rsid w:val="01EF7340"/>
    <w:rsid w:val="01F83619"/>
    <w:rsid w:val="020A5807"/>
    <w:rsid w:val="020D50AE"/>
    <w:rsid w:val="022A00C1"/>
    <w:rsid w:val="022B2149"/>
    <w:rsid w:val="02462694"/>
    <w:rsid w:val="02594A4D"/>
    <w:rsid w:val="025F6710"/>
    <w:rsid w:val="02643DF6"/>
    <w:rsid w:val="026E631C"/>
    <w:rsid w:val="02916F42"/>
    <w:rsid w:val="02987B74"/>
    <w:rsid w:val="02AB6DC3"/>
    <w:rsid w:val="02AF41A7"/>
    <w:rsid w:val="02B07D32"/>
    <w:rsid w:val="02B84C1A"/>
    <w:rsid w:val="02C3783E"/>
    <w:rsid w:val="02C40EF4"/>
    <w:rsid w:val="02E128C9"/>
    <w:rsid w:val="02E9492F"/>
    <w:rsid w:val="03137152"/>
    <w:rsid w:val="031373EA"/>
    <w:rsid w:val="0318037A"/>
    <w:rsid w:val="031B17DB"/>
    <w:rsid w:val="031C5327"/>
    <w:rsid w:val="031C616A"/>
    <w:rsid w:val="033D397C"/>
    <w:rsid w:val="0342280F"/>
    <w:rsid w:val="036A299C"/>
    <w:rsid w:val="037C481F"/>
    <w:rsid w:val="038635E3"/>
    <w:rsid w:val="038C5CF7"/>
    <w:rsid w:val="03AC4D3B"/>
    <w:rsid w:val="03B30029"/>
    <w:rsid w:val="03C93528"/>
    <w:rsid w:val="03E90E66"/>
    <w:rsid w:val="03E93AAE"/>
    <w:rsid w:val="03EF3ED4"/>
    <w:rsid w:val="041605C9"/>
    <w:rsid w:val="041725A0"/>
    <w:rsid w:val="043F0BEF"/>
    <w:rsid w:val="04413EA9"/>
    <w:rsid w:val="0447540E"/>
    <w:rsid w:val="044955CA"/>
    <w:rsid w:val="044D0D34"/>
    <w:rsid w:val="045F7578"/>
    <w:rsid w:val="04632D5D"/>
    <w:rsid w:val="04635A67"/>
    <w:rsid w:val="04682B68"/>
    <w:rsid w:val="046A6F20"/>
    <w:rsid w:val="046F07F9"/>
    <w:rsid w:val="04886C9F"/>
    <w:rsid w:val="048D4812"/>
    <w:rsid w:val="04974D34"/>
    <w:rsid w:val="04A10306"/>
    <w:rsid w:val="04A1554F"/>
    <w:rsid w:val="04A37E60"/>
    <w:rsid w:val="04A6014B"/>
    <w:rsid w:val="04A928A7"/>
    <w:rsid w:val="04AB5770"/>
    <w:rsid w:val="04B43609"/>
    <w:rsid w:val="04CF6CB7"/>
    <w:rsid w:val="04E54758"/>
    <w:rsid w:val="04F502D7"/>
    <w:rsid w:val="04FC5047"/>
    <w:rsid w:val="04FE5A5E"/>
    <w:rsid w:val="04FF44A6"/>
    <w:rsid w:val="050F2B10"/>
    <w:rsid w:val="0513374D"/>
    <w:rsid w:val="05156F25"/>
    <w:rsid w:val="05177D91"/>
    <w:rsid w:val="05296AA2"/>
    <w:rsid w:val="053503DF"/>
    <w:rsid w:val="053962D1"/>
    <w:rsid w:val="05421E3E"/>
    <w:rsid w:val="0544567B"/>
    <w:rsid w:val="05553C63"/>
    <w:rsid w:val="055579F4"/>
    <w:rsid w:val="055C0B0F"/>
    <w:rsid w:val="05644E1B"/>
    <w:rsid w:val="05770A7A"/>
    <w:rsid w:val="05860158"/>
    <w:rsid w:val="05935FD9"/>
    <w:rsid w:val="05991F0C"/>
    <w:rsid w:val="05A42301"/>
    <w:rsid w:val="05B16989"/>
    <w:rsid w:val="05B363BA"/>
    <w:rsid w:val="05B47FC2"/>
    <w:rsid w:val="05B56F6D"/>
    <w:rsid w:val="05D62CC0"/>
    <w:rsid w:val="05DC24C5"/>
    <w:rsid w:val="05DF58BD"/>
    <w:rsid w:val="05E85464"/>
    <w:rsid w:val="05F15F19"/>
    <w:rsid w:val="05F30D49"/>
    <w:rsid w:val="060A2C10"/>
    <w:rsid w:val="060E052E"/>
    <w:rsid w:val="06114AEE"/>
    <w:rsid w:val="06115DA2"/>
    <w:rsid w:val="06122036"/>
    <w:rsid w:val="06507617"/>
    <w:rsid w:val="065145E0"/>
    <w:rsid w:val="06515AA2"/>
    <w:rsid w:val="06535488"/>
    <w:rsid w:val="065F69F9"/>
    <w:rsid w:val="067F04FE"/>
    <w:rsid w:val="068B2621"/>
    <w:rsid w:val="068C7071"/>
    <w:rsid w:val="069C4DF3"/>
    <w:rsid w:val="069E0344"/>
    <w:rsid w:val="06AA166C"/>
    <w:rsid w:val="06C06944"/>
    <w:rsid w:val="06F250E2"/>
    <w:rsid w:val="070B4E2F"/>
    <w:rsid w:val="07101A0D"/>
    <w:rsid w:val="07183A27"/>
    <w:rsid w:val="07192438"/>
    <w:rsid w:val="07264476"/>
    <w:rsid w:val="07324B33"/>
    <w:rsid w:val="07376F0A"/>
    <w:rsid w:val="073A1CF8"/>
    <w:rsid w:val="0740441E"/>
    <w:rsid w:val="074A5471"/>
    <w:rsid w:val="074D2406"/>
    <w:rsid w:val="075500D4"/>
    <w:rsid w:val="075950A2"/>
    <w:rsid w:val="07736BBF"/>
    <w:rsid w:val="077749E1"/>
    <w:rsid w:val="07861E8B"/>
    <w:rsid w:val="078D4515"/>
    <w:rsid w:val="078F4BC3"/>
    <w:rsid w:val="07910E13"/>
    <w:rsid w:val="07936671"/>
    <w:rsid w:val="079447BC"/>
    <w:rsid w:val="079C6CE2"/>
    <w:rsid w:val="079D1E06"/>
    <w:rsid w:val="07A07CCF"/>
    <w:rsid w:val="07A26F09"/>
    <w:rsid w:val="07A33546"/>
    <w:rsid w:val="07B427B3"/>
    <w:rsid w:val="07BA2001"/>
    <w:rsid w:val="07CC3E03"/>
    <w:rsid w:val="07DB1424"/>
    <w:rsid w:val="07DB3767"/>
    <w:rsid w:val="07DD4C94"/>
    <w:rsid w:val="07EE31EA"/>
    <w:rsid w:val="07EE5028"/>
    <w:rsid w:val="07F06807"/>
    <w:rsid w:val="07FC18F9"/>
    <w:rsid w:val="080A17B2"/>
    <w:rsid w:val="08111275"/>
    <w:rsid w:val="0819697C"/>
    <w:rsid w:val="082C03AD"/>
    <w:rsid w:val="08384674"/>
    <w:rsid w:val="084C72FC"/>
    <w:rsid w:val="085C3375"/>
    <w:rsid w:val="086342F7"/>
    <w:rsid w:val="08893F27"/>
    <w:rsid w:val="08A35EC0"/>
    <w:rsid w:val="08AA301C"/>
    <w:rsid w:val="08D72619"/>
    <w:rsid w:val="08D75769"/>
    <w:rsid w:val="08DD169F"/>
    <w:rsid w:val="08E4797D"/>
    <w:rsid w:val="08E67624"/>
    <w:rsid w:val="08F13265"/>
    <w:rsid w:val="08F40041"/>
    <w:rsid w:val="08FD2A5F"/>
    <w:rsid w:val="091D6CF0"/>
    <w:rsid w:val="0922288B"/>
    <w:rsid w:val="09243B38"/>
    <w:rsid w:val="0925515D"/>
    <w:rsid w:val="0939268C"/>
    <w:rsid w:val="093C394F"/>
    <w:rsid w:val="095274E3"/>
    <w:rsid w:val="095A10AA"/>
    <w:rsid w:val="09695FE4"/>
    <w:rsid w:val="096A3D03"/>
    <w:rsid w:val="096F77AB"/>
    <w:rsid w:val="09817A41"/>
    <w:rsid w:val="098418F8"/>
    <w:rsid w:val="098717F0"/>
    <w:rsid w:val="09875884"/>
    <w:rsid w:val="098E5D21"/>
    <w:rsid w:val="09910FB8"/>
    <w:rsid w:val="09937C29"/>
    <w:rsid w:val="099F3AD2"/>
    <w:rsid w:val="09B85DCD"/>
    <w:rsid w:val="09EB2EAD"/>
    <w:rsid w:val="09F71725"/>
    <w:rsid w:val="09FD361B"/>
    <w:rsid w:val="09FE1C4F"/>
    <w:rsid w:val="0A151164"/>
    <w:rsid w:val="0A2B1203"/>
    <w:rsid w:val="0A2C00AF"/>
    <w:rsid w:val="0A2C531F"/>
    <w:rsid w:val="0A3B3174"/>
    <w:rsid w:val="0A423D51"/>
    <w:rsid w:val="0A440816"/>
    <w:rsid w:val="0A4A3C85"/>
    <w:rsid w:val="0A4B26FA"/>
    <w:rsid w:val="0A5B3B6D"/>
    <w:rsid w:val="0A5C460A"/>
    <w:rsid w:val="0A6541AB"/>
    <w:rsid w:val="0A7B1752"/>
    <w:rsid w:val="0A7B1F85"/>
    <w:rsid w:val="0A8852F5"/>
    <w:rsid w:val="0A893404"/>
    <w:rsid w:val="0A8A1890"/>
    <w:rsid w:val="0A8A6954"/>
    <w:rsid w:val="0A8D326A"/>
    <w:rsid w:val="0A8E408C"/>
    <w:rsid w:val="0A8E5742"/>
    <w:rsid w:val="0AA13BA5"/>
    <w:rsid w:val="0AB1033C"/>
    <w:rsid w:val="0AB50304"/>
    <w:rsid w:val="0ABA16AB"/>
    <w:rsid w:val="0AE53756"/>
    <w:rsid w:val="0AEA191A"/>
    <w:rsid w:val="0AF130EB"/>
    <w:rsid w:val="0AF235ED"/>
    <w:rsid w:val="0B413222"/>
    <w:rsid w:val="0B5A6A9F"/>
    <w:rsid w:val="0B614F2E"/>
    <w:rsid w:val="0B747497"/>
    <w:rsid w:val="0B776EC0"/>
    <w:rsid w:val="0B9D0163"/>
    <w:rsid w:val="0BAB7FC0"/>
    <w:rsid w:val="0BCC695A"/>
    <w:rsid w:val="0BD24F4C"/>
    <w:rsid w:val="0BE321E0"/>
    <w:rsid w:val="0BEB5B47"/>
    <w:rsid w:val="0BF30C6D"/>
    <w:rsid w:val="0BF667A5"/>
    <w:rsid w:val="0BF80ED9"/>
    <w:rsid w:val="0BFB4A08"/>
    <w:rsid w:val="0BFD1539"/>
    <w:rsid w:val="0C2A01C5"/>
    <w:rsid w:val="0C3D6FC1"/>
    <w:rsid w:val="0C44349B"/>
    <w:rsid w:val="0C4D439D"/>
    <w:rsid w:val="0C5C6821"/>
    <w:rsid w:val="0C615ED5"/>
    <w:rsid w:val="0C660965"/>
    <w:rsid w:val="0C747E17"/>
    <w:rsid w:val="0C761D1B"/>
    <w:rsid w:val="0C762B27"/>
    <w:rsid w:val="0C78622B"/>
    <w:rsid w:val="0C9672DC"/>
    <w:rsid w:val="0C9A6165"/>
    <w:rsid w:val="0CA8444D"/>
    <w:rsid w:val="0CAA0A25"/>
    <w:rsid w:val="0CB11960"/>
    <w:rsid w:val="0CC70892"/>
    <w:rsid w:val="0CCA5ECC"/>
    <w:rsid w:val="0CD83421"/>
    <w:rsid w:val="0CDF4705"/>
    <w:rsid w:val="0CDF6281"/>
    <w:rsid w:val="0CF21717"/>
    <w:rsid w:val="0CF5481D"/>
    <w:rsid w:val="0CFF250D"/>
    <w:rsid w:val="0D0C5139"/>
    <w:rsid w:val="0D1300F1"/>
    <w:rsid w:val="0D1E35A8"/>
    <w:rsid w:val="0D274D52"/>
    <w:rsid w:val="0D27623B"/>
    <w:rsid w:val="0D2B7F62"/>
    <w:rsid w:val="0D375A3B"/>
    <w:rsid w:val="0D451B64"/>
    <w:rsid w:val="0D470498"/>
    <w:rsid w:val="0D660F9A"/>
    <w:rsid w:val="0D67077A"/>
    <w:rsid w:val="0D740BB5"/>
    <w:rsid w:val="0D7869BB"/>
    <w:rsid w:val="0D7A2F82"/>
    <w:rsid w:val="0D8C65C7"/>
    <w:rsid w:val="0D8C7983"/>
    <w:rsid w:val="0D955512"/>
    <w:rsid w:val="0D9852B1"/>
    <w:rsid w:val="0D9D2876"/>
    <w:rsid w:val="0DAF67D6"/>
    <w:rsid w:val="0DB159DD"/>
    <w:rsid w:val="0DB22B1F"/>
    <w:rsid w:val="0DD6008C"/>
    <w:rsid w:val="0DE65DD9"/>
    <w:rsid w:val="0DF7188C"/>
    <w:rsid w:val="0DFB16F1"/>
    <w:rsid w:val="0E0000B1"/>
    <w:rsid w:val="0E021DBB"/>
    <w:rsid w:val="0E12568D"/>
    <w:rsid w:val="0E1710EC"/>
    <w:rsid w:val="0E24718D"/>
    <w:rsid w:val="0E3434E7"/>
    <w:rsid w:val="0E3F3055"/>
    <w:rsid w:val="0E4B57D9"/>
    <w:rsid w:val="0E4B713D"/>
    <w:rsid w:val="0E517B4F"/>
    <w:rsid w:val="0E523CF5"/>
    <w:rsid w:val="0E59649E"/>
    <w:rsid w:val="0E5A3F36"/>
    <w:rsid w:val="0E702A77"/>
    <w:rsid w:val="0E775E3C"/>
    <w:rsid w:val="0E777025"/>
    <w:rsid w:val="0E844162"/>
    <w:rsid w:val="0E915FD9"/>
    <w:rsid w:val="0E920027"/>
    <w:rsid w:val="0E994EEE"/>
    <w:rsid w:val="0EA12E4D"/>
    <w:rsid w:val="0EB17323"/>
    <w:rsid w:val="0EB43DBB"/>
    <w:rsid w:val="0EBC76A0"/>
    <w:rsid w:val="0EC47990"/>
    <w:rsid w:val="0EE05C60"/>
    <w:rsid w:val="0EE13AD5"/>
    <w:rsid w:val="0EE80E3D"/>
    <w:rsid w:val="0F016A7C"/>
    <w:rsid w:val="0F0C3862"/>
    <w:rsid w:val="0F1A27E5"/>
    <w:rsid w:val="0F46610E"/>
    <w:rsid w:val="0F6C6657"/>
    <w:rsid w:val="0F6F2D00"/>
    <w:rsid w:val="0F70503F"/>
    <w:rsid w:val="0F790E4C"/>
    <w:rsid w:val="0F7930DB"/>
    <w:rsid w:val="0F7D335D"/>
    <w:rsid w:val="0F843DD3"/>
    <w:rsid w:val="0F854118"/>
    <w:rsid w:val="0F90441A"/>
    <w:rsid w:val="0F9876FA"/>
    <w:rsid w:val="0FAB1478"/>
    <w:rsid w:val="0FAD6552"/>
    <w:rsid w:val="0FAF39DA"/>
    <w:rsid w:val="0FB00446"/>
    <w:rsid w:val="0FB57FB7"/>
    <w:rsid w:val="0FBA5144"/>
    <w:rsid w:val="0FC440C6"/>
    <w:rsid w:val="0FCA5808"/>
    <w:rsid w:val="0FD66437"/>
    <w:rsid w:val="0FD94A24"/>
    <w:rsid w:val="0FD95B6D"/>
    <w:rsid w:val="0FE66BDB"/>
    <w:rsid w:val="0FE930F6"/>
    <w:rsid w:val="0FEC3218"/>
    <w:rsid w:val="0FF14519"/>
    <w:rsid w:val="100D1BA1"/>
    <w:rsid w:val="1012169A"/>
    <w:rsid w:val="101320C9"/>
    <w:rsid w:val="10164AB3"/>
    <w:rsid w:val="101F2C26"/>
    <w:rsid w:val="10236351"/>
    <w:rsid w:val="10285B2E"/>
    <w:rsid w:val="10506B92"/>
    <w:rsid w:val="10654D44"/>
    <w:rsid w:val="10750E5D"/>
    <w:rsid w:val="108735A8"/>
    <w:rsid w:val="108E298B"/>
    <w:rsid w:val="10A36F57"/>
    <w:rsid w:val="10AB0420"/>
    <w:rsid w:val="10AE67BB"/>
    <w:rsid w:val="10B06837"/>
    <w:rsid w:val="10C672B3"/>
    <w:rsid w:val="10C97F19"/>
    <w:rsid w:val="10CD72F0"/>
    <w:rsid w:val="10F14166"/>
    <w:rsid w:val="10F14CDC"/>
    <w:rsid w:val="11267536"/>
    <w:rsid w:val="11455252"/>
    <w:rsid w:val="11477CDE"/>
    <w:rsid w:val="114F3179"/>
    <w:rsid w:val="115C719F"/>
    <w:rsid w:val="11600CCE"/>
    <w:rsid w:val="116F7BF9"/>
    <w:rsid w:val="11744D06"/>
    <w:rsid w:val="11A51BFB"/>
    <w:rsid w:val="11A92569"/>
    <w:rsid w:val="11B31254"/>
    <w:rsid w:val="11BE4211"/>
    <w:rsid w:val="11BF62C4"/>
    <w:rsid w:val="11C3155A"/>
    <w:rsid w:val="11C50005"/>
    <w:rsid w:val="11D97A28"/>
    <w:rsid w:val="11DC7679"/>
    <w:rsid w:val="11EA37F8"/>
    <w:rsid w:val="11F02E63"/>
    <w:rsid w:val="11F03ABA"/>
    <w:rsid w:val="11F20BA2"/>
    <w:rsid w:val="12170E35"/>
    <w:rsid w:val="121A2353"/>
    <w:rsid w:val="12210F7C"/>
    <w:rsid w:val="12406F23"/>
    <w:rsid w:val="124D6D43"/>
    <w:rsid w:val="12587C0C"/>
    <w:rsid w:val="12615A0A"/>
    <w:rsid w:val="1274117C"/>
    <w:rsid w:val="12756173"/>
    <w:rsid w:val="12763A50"/>
    <w:rsid w:val="12827FB6"/>
    <w:rsid w:val="128D779C"/>
    <w:rsid w:val="128F7B7C"/>
    <w:rsid w:val="12955477"/>
    <w:rsid w:val="1296443B"/>
    <w:rsid w:val="129A2EEA"/>
    <w:rsid w:val="12A8148F"/>
    <w:rsid w:val="12A97DFA"/>
    <w:rsid w:val="12AC3ED5"/>
    <w:rsid w:val="12AF178B"/>
    <w:rsid w:val="12B369EB"/>
    <w:rsid w:val="12B65780"/>
    <w:rsid w:val="12BD1DD6"/>
    <w:rsid w:val="12C44A5B"/>
    <w:rsid w:val="12D04FA7"/>
    <w:rsid w:val="12D23C2A"/>
    <w:rsid w:val="130472E9"/>
    <w:rsid w:val="130A5B09"/>
    <w:rsid w:val="13264807"/>
    <w:rsid w:val="132A6D45"/>
    <w:rsid w:val="13314C74"/>
    <w:rsid w:val="133607ED"/>
    <w:rsid w:val="1340265F"/>
    <w:rsid w:val="13403909"/>
    <w:rsid w:val="135934C1"/>
    <w:rsid w:val="135C2BEC"/>
    <w:rsid w:val="137A7A61"/>
    <w:rsid w:val="138B009B"/>
    <w:rsid w:val="138C1FDC"/>
    <w:rsid w:val="13A311E4"/>
    <w:rsid w:val="13A7651F"/>
    <w:rsid w:val="13B55C54"/>
    <w:rsid w:val="13B665FD"/>
    <w:rsid w:val="13BA67A7"/>
    <w:rsid w:val="13D26FE0"/>
    <w:rsid w:val="13D326B5"/>
    <w:rsid w:val="13E87ADD"/>
    <w:rsid w:val="13EC5C53"/>
    <w:rsid w:val="14014AD5"/>
    <w:rsid w:val="141109B8"/>
    <w:rsid w:val="144B2C98"/>
    <w:rsid w:val="14604852"/>
    <w:rsid w:val="14707359"/>
    <w:rsid w:val="147E461D"/>
    <w:rsid w:val="147F1F95"/>
    <w:rsid w:val="14897E53"/>
    <w:rsid w:val="14A34882"/>
    <w:rsid w:val="14AD5CA3"/>
    <w:rsid w:val="14B300F8"/>
    <w:rsid w:val="14B50DF4"/>
    <w:rsid w:val="14BF12D4"/>
    <w:rsid w:val="14C44872"/>
    <w:rsid w:val="14CE63F3"/>
    <w:rsid w:val="14D0088E"/>
    <w:rsid w:val="14D54562"/>
    <w:rsid w:val="14DD7F14"/>
    <w:rsid w:val="14E804E7"/>
    <w:rsid w:val="14E95480"/>
    <w:rsid w:val="14F93A80"/>
    <w:rsid w:val="152B4021"/>
    <w:rsid w:val="153B6BE8"/>
    <w:rsid w:val="1545763E"/>
    <w:rsid w:val="15480E53"/>
    <w:rsid w:val="15534ECB"/>
    <w:rsid w:val="1556135E"/>
    <w:rsid w:val="15595F34"/>
    <w:rsid w:val="15616075"/>
    <w:rsid w:val="156D0120"/>
    <w:rsid w:val="15A8082A"/>
    <w:rsid w:val="15AC13F7"/>
    <w:rsid w:val="15B63FC4"/>
    <w:rsid w:val="15C63490"/>
    <w:rsid w:val="15D2240E"/>
    <w:rsid w:val="15DC7D47"/>
    <w:rsid w:val="15EA3945"/>
    <w:rsid w:val="15EC3400"/>
    <w:rsid w:val="15F86E89"/>
    <w:rsid w:val="15FB7968"/>
    <w:rsid w:val="15FE4244"/>
    <w:rsid w:val="160A48B6"/>
    <w:rsid w:val="162D36DA"/>
    <w:rsid w:val="16302F4C"/>
    <w:rsid w:val="16316383"/>
    <w:rsid w:val="16373297"/>
    <w:rsid w:val="167130A6"/>
    <w:rsid w:val="16752047"/>
    <w:rsid w:val="16825C85"/>
    <w:rsid w:val="168C325D"/>
    <w:rsid w:val="169959F4"/>
    <w:rsid w:val="169E4F81"/>
    <w:rsid w:val="16A04E85"/>
    <w:rsid w:val="16A25118"/>
    <w:rsid w:val="16B05DF5"/>
    <w:rsid w:val="16BA45AC"/>
    <w:rsid w:val="16CA5A23"/>
    <w:rsid w:val="16D20DC8"/>
    <w:rsid w:val="16E05328"/>
    <w:rsid w:val="16EC651D"/>
    <w:rsid w:val="16ED048D"/>
    <w:rsid w:val="16F74275"/>
    <w:rsid w:val="170E3516"/>
    <w:rsid w:val="171259C8"/>
    <w:rsid w:val="17176C90"/>
    <w:rsid w:val="17262B24"/>
    <w:rsid w:val="17296C52"/>
    <w:rsid w:val="17664E50"/>
    <w:rsid w:val="17676F95"/>
    <w:rsid w:val="176C42B6"/>
    <w:rsid w:val="1775043E"/>
    <w:rsid w:val="177639A9"/>
    <w:rsid w:val="177A5A2B"/>
    <w:rsid w:val="1784742B"/>
    <w:rsid w:val="179771BA"/>
    <w:rsid w:val="179E066E"/>
    <w:rsid w:val="179E49C7"/>
    <w:rsid w:val="179E7D61"/>
    <w:rsid w:val="17A6521C"/>
    <w:rsid w:val="17A97DC9"/>
    <w:rsid w:val="17AD7429"/>
    <w:rsid w:val="17B53FFD"/>
    <w:rsid w:val="17CC7D56"/>
    <w:rsid w:val="17D4283A"/>
    <w:rsid w:val="17D45DB2"/>
    <w:rsid w:val="17DA40C7"/>
    <w:rsid w:val="17DD6795"/>
    <w:rsid w:val="17E256C1"/>
    <w:rsid w:val="17FA2B86"/>
    <w:rsid w:val="17FD64EB"/>
    <w:rsid w:val="180C7C24"/>
    <w:rsid w:val="1821100A"/>
    <w:rsid w:val="1833268C"/>
    <w:rsid w:val="183465AE"/>
    <w:rsid w:val="185B7338"/>
    <w:rsid w:val="188A3552"/>
    <w:rsid w:val="18981FF3"/>
    <w:rsid w:val="18A954A3"/>
    <w:rsid w:val="18B70577"/>
    <w:rsid w:val="18BC7DAC"/>
    <w:rsid w:val="18C256A0"/>
    <w:rsid w:val="18CC680E"/>
    <w:rsid w:val="18D60A6E"/>
    <w:rsid w:val="18E04D61"/>
    <w:rsid w:val="1907506E"/>
    <w:rsid w:val="190C20A7"/>
    <w:rsid w:val="1920254C"/>
    <w:rsid w:val="19242963"/>
    <w:rsid w:val="19246F28"/>
    <w:rsid w:val="193D5C55"/>
    <w:rsid w:val="194B11AE"/>
    <w:rsid w:val="1952108D"/>
    <w:rsid w:val="19710B78"/>
    <w:rsid w:val="197A7C78"/>
    <w:rsid w:val="198B0FB5"/>
    <w:rsid w:val="19A65C31"/>
    <w:rsid w:val="19A67C8E"/>
    <w:rsid w:val="19A852F2"/>
    <w:rsid w:val="19AA797D"/>
    <w:rsid w:val="19AC6257"/>
    <w:rsid w:val="19AE00CE"/>
    <w:rsid w:val="19BD0514"/>
    <w:rsid w:val="19C92ECC"/>
    <w:rsid w:val="19D62E09"/>
    <w:rsid w:val="19E4797E"/>
    <w:rsid w:val="19EB653D"/>
    <w:rsid w:val="19EC63FA"/>
    <w:rsid w:val="19F30EA2"/>
    <w:rsid w:val="19F63A93"/>
    <w:rsid w:val="19F7259E"/>
    <w:rsid w:val="19FA2EBE"/>
    <w:rsid w:val="19FB0226"/>
    <w:rsid w:val="19FD67E3"/>
    <w:rsid w:val="19FF602A"/>
    <w:rsid w:val="1A0B1EEC"/>
    <w:rsid w:val="1A106B09"/>
    <w:rsid w:val="1A151C8D"/>
    <w:rsid w:val="1A1757AA"/>
    <w:rsid w:val="1A277D03"/>
    <w:rsid w:val="1A392682"/>
    <w:rsid w:val="1A504D7C"/>
    <w:rsid w:val="1A5F228E"/>
    <w:rsid w:val="1A7018C9"/>
    <w:rsid w:val="1A744F8D"/>
    <w:rsid w:val="1A76471B"/>
    <w:rsid w:val="1A8D59C2"/>
    <w:rsid w:val="1A930AE4"/>
    <w:rsid w:val="1AA22763"/>
    <w:rsid w:val="1AB5234F"/>
    <w:rsid w:val="1AC904F0"/>
    <w:rsid w:val="1ACB5C08"/>
    <w:rsid w:val="1AD20279"/>
    <w:rsid w:val="1AD62319"/>
    <w:rsid w:val="1AE74691"/>
    <w:rsid w:val="1AEA2E55"/>
    <w:rsid w:val="1AEE4FE5"/>
    <w:rsid w:val="1AF649A9"/>
    <w:rsid w:val="1B017C12"/>
    <w:rsid w:val="1B187533"/>
    <w:rsid w:val="1B263796"/>
    <w:rsid w:val="1B2F67A3"/>
    <w:rsid w:val="1B3321B3"/>
    <w:rsid w:val="1B3B3AC6"/>
    <w:rsid w:val="1B3F32CD"/>
    <w:rsid w:val="1B4053B3"/>
    <w:rsid w:val="1B477F5B"/>
    <w:rsid w:val="1B56603D"/>
    <w:rsid w:val="1B687F3D"/>
    <w:rsid w:val="1B694E2A"/>
    <w:rsid w:val="1B6A5104"/>
    <w:rsid w:val="1B824367"/>
    <w:rsid w:val="1B835C6C"/>
    <w:rsid w:val="1BB94B75"/>
    <w:rsid w:val="1BBE6C1F"/>
    <w:rsid w:val="1BC2751F"/>
    <w:rsid w:val="1BEB357C"/>
    <w:rsid w:val="1BEF7785"/>
    <w:rsid w:val="1BFB4258"/>
    <w:rsid w:val="1C0025BA"/>
    <w:rsid w:val="1C017601"/>
    <w:rsid w:val="1C1B0BD5"/>
    <w:rsid w:val="1C1C2B4A"/>
    <w:rsid w:val="1C1D6D2C"/>
    <w:rsid w:val="1C2A619D"/>
    <w:rsid w:val="1C3600CA"/>
    <w:rsid w:val="1C4571B7"/>
    <w:rsid w:val="1C740A55"/>
    <w:rsid w:val="1C772355"/>
    <w:rsid w:val="1C7B7942"/>
    <w:rsid w:val="1C7C23DB"/>
    <w:rsid w:val="1C882F84"/>
    <w:rsid w:val="1C8A5255"/>
    <w:rsid w:val="1C9922C8"/>
    <w:rsid w:val="1CAF0758"/>
    <w:rsid w:val="1CD24E95"/>
    <w:rsid w:val="1CDD5865"/>
    <w:rsid w:val="1CE17F24"/>
    <w:rsid w:val="1CE77484"/>
    <w:rsid w:val="1D0636E2"/>
    <w:rsid w:val="1D0A4C1C"/>
    <w:rsid w:val="1D150A2F"/>
    <w:rsid w:val="1D302EA2"/>
    <w:rsid w:val="1D374E75"/>
    <w:rsid w:val="1D613974"/>
    <w:rsid w:val="1D621A8E"/>
    <w:rsid w:val="1D687203"/>
    <w:rsid w:val="1D7A3EC0"/>
    <w:rsid w:val="1D7A6EB0"/>
    <w:rsid w:val="1D856627"/>
    <w:rsid w:val="1D9346F0"/>
    <w:rsid w:val="1DA23729"/>
    <w:rsid w:val="1DA74AFE"/>
    <w:rsid w:val="1DBE046C"/>
    <w:rsid w:val="1DC15F91"/>
    <w:rsid w:val="1DC339D2"/>
    <w:rsid w:val="1DC7329F"/>
    <w:rsid w:val="1DCC3C07"/>
    <w:rsid w:val="1DD43877"/>
    <w:rsid w:val="1DD72904"/>
    <w:rsid w:val="1DDB53EA"/>
    <w:rsid w:val="1DE413DC"/>
    <w:rsid w:val="1DE57225"/>
    <w:rsid w:val="1DEB6B4E"/>
    <w:rsid w:val="1DEE09EF"/>
    <w:rsid w:val="1DF15F7D"/>
    <w:rsid w:val="1E173700"/>
    <w:rsid w:val="1E1D7A2A"/>
    <w:rsid w:val="1E330AF4"/>
    <w:rsid w:val="1E363B2D"/>
    <w:rsid w:val="1E43092C"/>
    <w:rsid w:val="1E5104E2"/>
    <w:rsid w:val="1E61399B"/>
    <w:rsid w:val="1E6B115A"/>
    <w:rsid w:val="1E6F00A1"/>
    <w:rsid w:val="1E76560B"/>
    <w:rsid w:val="1E845440"/>
    <w:rsid w:val="1E852B93"/>
    <w:rsid w:val="1E8E1C3D"/>
    <w:rsid w:val="1E9B0AAB"/>
    <w:rsid w:val="1EA700CC"/>
    <w:rsid w:val="1EA74107"/>
    <w:rsid w:val="1EC24CCF"/>
    <w:rsid w:val="1ECB5DF5"/>
    <w:rsid w:val="1ED21E54"/>
    <w:rsid w:val="1EDF1F43"/>
    <w:rsid w:val="1EEA095B"/>
    <w:rsid w:val="1EEF1D70"/>
    <w:rsid w:val="1EEF6056"/>
    <w:rsid w:val="1EF814A5"/>
    <w:rsid w:val="1F090298"/>
    <w:rsid w:val="1F0923DF"/>
    <w:rsid w:val="1F0B6A8B"/>
    <w:rsid w:val="1F17621C"/>
    <w:rsid w:val="1F1E34F1"/>
    <w:rsid w:val="1F5908BC"/>
    <w:rsid w:val="1F606B65"/>
    <w:rsid w:val="1F6C5A31"/>
    <w:rsid w:val="1F874BA9"/>
    <w:rsid w:val="1F901A88"/>
    <w:rsid w:val="1F93331F"/>
    <w:rsid w:val="1F9525CB"/>
    <w:rsid w:val="1F9E58C3"/>
    <w:rsid w:val="1FA277AE"/>
    <w:rsid w:val="1FAB56CD"/>
    <w:rsid w:val="1FB00003"/>
    <w:rsid w:val="1FCB11EA"/>
    <w:rsid w:val="1FCC7B09"/>
    <w:rsid w:val="1FDF1E99"/>
    <w:rsid w:val="1FFB7F40"/>
    <w:rsid w:val="20020FFF"/>
    <w:rsid w:val="20032C48"/>
    <w:rsid w:val="202E1534"/>
    <w:rsid w:val="20332B04"/>
    <w:rsid w:val="2037532F"/>
    <w:rsid w:val="2039593A"/>
    <w:rsid w:val="203A10EA"/>
    <w:rsid w:val="203A58C3"/>
    <w:rsid w:val="203D501B"/>
    <w:rsid w:val="204975AC"/>
    <w:rsid w:val="2054450A"/>
    <w:rsid w:val="2055747A"/>
    <w:rsid w:val="205712CC"/>
    <w:rsid w:val="205C7FDB"/>
    <w:rsid w:val="20694812"/>
    <w:rsid w:val="20722E3E"/>
    <w:rsid w:val="208433EC"/>
    <w:rsid w:val="20851BEE"/>
    <w:rsid w:val="208C69E1"/>
    <w:rsid w:val="20A83667"/>
    <w:rsid w:val="20B015AD"/>
    <w:rsid w:val="20B17EDF"/>
    <w:rsid w:val="20B45A66"/>
    <w:rsid w:val="20BF129B"/>
    <w:rsid w:val="20BF4157"/>
    <w:rsid w:val="20C672AE"/>
    <w:rsid w:val="20CA1599"/>
    <w:rsid w:val="20CB35B1"/>
    <w:rsid w:val="20CF69B1"/>
    <w:rsid w:val="20D1587C"/>
    <w:rsid w:val="20D82BE0"/>
    <w:rsid w:val="20D90EA5"/>
    <w:rsid w:val="20EB29C6"/>
    <w:rsid w:val="20F8307A"/>
    <w:rsid w:val="20FB5128"/>
    <w:rsid w:val="21083B7E"/>
    <w:rsid w:val="210E19B3"/>
    <w:rsid w:val="211154BE"/>
    <w:rsid w:val="2117037F"/>
    <w:rsid w:val="211838BB"/>
    <w:rsid w:val="21195EA4"/>
    <w:rsid w:val="2137159B"/>
    <w:rsid w:val="213C4B57"/>
    <w:rsid w:val="214A70DD"/>
    <w:rsid w:val="214C1E28"/>
    <w:rsid w:val="21506626"/>
    <w:rsid w:val="21590C92"/>
    <w:rsid w:val="216407A0"/>
    <w:rsid w:val="216C23C2"/>
    <w:rsid w:val="217209EB"/>
    <w:rsid w:val="21741EDE"/>
    <w:rsid w:val="217D26DF"/>
    <w:rsid w:val="217F10E2"/>
    <w:rsid w:val="219D5CED"/>
    <w:rsid w:val="21CD4DED"/>
    <w:rsid w:val="21D0528D"/>
    <w:rsid w:val="21D443B8"/>
    <w:rsid w:val="21D83A4C"/>
    <w:rsid w:val="21ED1832"/>
    <w:rsid w:val="21EE0225"/>
    <w:rsid w:val="21F229A5"/>
    <w:rsid w:val="21F66810"/>
    <w:rsid w:val="220A1452"/>
    <w:rsid w:val="22195BD5"/>
    <w:rsid w:val="221B0485"/>
    <w:rsid w:val="22236111"/>
    <w:rsid w:val="22236D6F"/>
    <w:rsid w:val="222C13E5"/>
    <w:rsid w:val="2240324F"/>
    <w:rsid w:val="22420654"/>
    <w:rsid w:val="22457A1D"/>
    <w:rsid w:val="22527758"/>
    <w:rsid w:val="225A2D5C"/>
    <w:rsid w:val="22694778"/>
    <w:rsid w:val="2274299A"/>
    <w:rsid w:val="22743327"/>
    <w:rsid w:val="22774552"/>
    <w:rsid w:val="227F7798"/>
    <w:rsid w:val="22834854"/>
    <w:rsid w:val="22B66849"/>
    <w:rsid w:val="22C04AF9"/>
    <w:rsid w:val="22D7712D"/>
    <w:rsid w:val="22F2022F"/>
    <w:rsid w:val="2300097A"/>
    <w:rsid w:val="230B5096"/>
    <w:rsid w:val="23117BEF"/>
    <w:rsid w:val="231628B6"/>
    <w:rsid w:val="23237A89"/>
    <w:rsid w:val="232905E1"/>
    <w:rsid w:val="23300073"/>
    <w:rsid w:val="23357FB2"/>
    <w:rsid w:val="23397AC0"/>
    <w:rsid w:val="23406C41"/>
    <w:rsid w:val="236316A5"/>
    <w:rsid w:val="236456D4"/>
    <w:rsid w:val="236919D8"/>
    <w:rsid w:val="237A2F21"/>
    <w:rsid w:val="238F683A"/>
    <w:rsid w:val="23934A3A"/>
    <w:rsid w:val="23970FB7"/>
    <w:rsid w:val="23B14A15"/>
    <w:rsid w:val="23BC23BE"/>
    <w:rsid w:val="23C018BE"/>
    <w:rsid w:val="23C22966"/>
    <w:rsid w:val="23C457F8"/>
    <w:rsid w:val="23C64D58"/>
    <w:rsid w:val="23D13175"/>
    <w:rsid w:val="23D6244E"/>
    <w:rsid w:val="23EE521C"/>
    <w:rsid w:val="23F921E0"/>
    <w:rsid w:val="24087CAD"/>
    <w:rsid w:val="242B083A"/>
    <w:rsid w:val="242C60DF"/>
    <w:rsid w:val="242C7B35"/>
    <w:rsid w:val="242F5053"/>
    <w:rsid w:val="24431F32"/>
    <w:rsid w:val="244612F8"/>
    <w:rsid w:val="24480BE6"/>
    <w:rsid w:val="244D4C9E"/>
    <w:rsid w:val="24554291"/>
    <w:rsid w:val="24567462"/>
    <w:rsid w:val="24815AA4"/>
    <w:rsid w:val="24885965"/>
    <w:rsid w:val="24A57F4B"/>
    <w:rsid w:val="24AC529F"/>
    <w:rsid w:val="24B52BFD"/>
    <w:rsid w:val="24BA19D4"/>
    <w:rsid w:val="24BE2642"/>
    <w:rsid w:val="24C561C6"/>
    <w:rsid w:val="24C93759"/>
    <w:rsid w:val="24CD1A38"/>
    <w:rsid w:val="24E05FAA"/>
    <w:rsid w:val="24E132AD"/>
    <w:rsid w:val="24E80931"/>
    <w:rsid w:val="24F4352B"/>
    <w:rsid w:val="24FA4B2C"/>
    <w:rsid w:val="25015F38"/>
    <w:rsid w:val="250A26FB"/>
    <w:rsid w:val="251C34C6"/>
    <w:rsid w:val="251F743A"/>
    <w:rsid w:val="252272C8"/>
    <w:rsid w:val="252D4FD9"/>
    <w:rsid w:val="253324F2"/>
    <w:rsid w:val="255F771E"/>
    <w:rsid w:val="256C738D"/>
    <w:rsid w:val="25791DCB"/>
    <w:rsid w:val="25805DD1"/>
    <w:rsid w:val="258C2E52"/>
    <w:rsid w:val="2597422D"/>
    <w:rsid w:val="25A17FDC"/>
    <w:rsid w:val="25A236CE"/>
    <w:rsid w:val="25A83195"/>
    <w:rsid w:val="25B013EB"/>
    <w:rsid w:val="25B27919"/>
    <w:rsid w:val="25BB2C84"/>
    <w:rsid w:val="25BB4049"/>
    <w:rsid w:val="25C2465A"/>
    <w:rsid w:val="25DA6087"/>
    <w:rsid w:val="25DB401C"/>
    <w:rsid w:val="25E303CD"/>
    <w:rsid w:val="25EA6BF5"/>
    <w:rsid w:val="25F15692"/>
    <w:rsid w:val="25F25669"/>
    <w:rsid w:val="25FE683F"/>
    <w:rsid w:val="2603762F"/>
    <w:rsid w:val="26043E43"/>
    <w:rsid w:val="260B5ECA"/>
    <w:rsid w:val="260D4421"/>
    <w:rsid w:val="26142D53"/>
    <w:rsid w:val="26177E67"/>
    <w:rsid w:val="261A56AD"/>
    <w:rsid w:val="262804F3"/>
    <w:rsid w:val="26332151"/>
    <w:rsid w:val="263D2A8F"/>
    <w:rsid w:val="264D2EB7"/>
    <w:rsid w:val="26573C57"/>
    <w:rsid w:val="26650B52"/>
    <w:rsid w:val="266853AE"/>
    <w:rsid w:val="266D0633"/>
    <w:rsid w:val="26735112"/>
    <w:rsid w:val="267F4386"/>
    <w:rsid w:val="26AE7EAD"/>
    <w:rsid w:val="26B2353F"/>
    <w:rsid w:val="26D65054"/>
    <w:rsid w:val="26DE5561"/>
    <w:rsid w:val="26E27C3D"/>
    <w:rsid w:val="26E83527"/>
    <w:rsid w:val="26EC7974"/>
    <w:rsid w:val="26F314F0"/>
    <w:rsid w:val="26F85762"/>
    <w:rsid w:val="26FD6977"/>
    <w:rsid w:val="27180BE1"/>
    <w:rsid w:val="27225B29"/>
    <w:rsid w:val="273067DB"/>
    <w:rsid w:val="27350840"/>
    <w:rsid w:val="2747246E"/>
    <w:rsid w:val="27554405"/>
    <w:rsid w:val="27651E6B"/>
    <w:rsid w:val="276C4FA7"/>
    <w:rsid w:val="276D6C14"/>
    <w:rsid w:val="277E670C"/>
    <w:rsid w:val="27873653"/>
    <w:rsid w:val="27874909"/>
    <w:rsid w:val="279A5200"/>
    <w:rsid w:val="27A3662D"/>
    <w:rsid w:val="27B06FBD"/>
    <w:rsid w:val="27C23036"/>
    <w:rsid w:val="27D44AE8"/>
    <w:rsid w:val="27D66A6D"/>
    <w:rsid w:val="27EC7E49"/>
    <w:rsid w:val="27ED2AF3"/>
    <w:rsid w:val="27F8754F"/>
    <w:rsid w:val="280278F1"/>
    <w:rsid w:val="28140EB7"/>
    <w:rsid w:val="28353A98"/>
    <w:rsid w:val="28386634"/>
    <w:rsid w:val="28456D01"/>
    <w:rsid w:val="285A51EC"/>
    <w:rsid w:val="286B48F8"/>
    <w:rsid w:val="287514DE"/>
    <w:rsid w:val="287A62F4"/>
    <w:rsid w:val="288F1004"/>
    <w:rsid w:val="289044A5"/>
    <w:rsid w:val="28A01F04"/>
    <w:rsid w:val="28A73082"/>
    <w:rsid w:val="28B759C6"/>
    <w:rsid w:val="28C9108B"/>
    <w:rsid w:val="28E9510B"/>
    <w:rsid w:val="28F3212D"/>
    <w:rsid w:val="28F50D48"/>
    <w:rsid w:val="28FF49E3"/>
    <w:rsid w:val="29092622"/>
    <w:rsid w:val="290C3EC6"/>
    <w:rsid w:val="29126EEE"/>
    <w:rsid w:val="29195476"/>
    <w:rsid w:val="291B38FD"/>
    <w:rsid w:val="292802D0"/>
    <w:rsid w:val="29382FF3"/>
    <w:rsid w:val="29480957"/>
    <w:rsid w:val="294C4DE4"/>
    <w:rsid w:val="294F6742"/>
    <w:rsid w:val="29550B72"/>
    <w:rsid w:val="29572599"/>
    <w:rsid w:val="295759FE"/>
    <w:rsid w:val="295947FA"/>
    <w:rsid w:val="297637DB"/>
    <w:rsid w:val="29920A52"/>
    <w:rsid w:val="29956D83"/>
    <w:rsid w:val="299662B0"/>
    <w:rsid w:val="29A820F0"/>
    <w:rsid w:val="29D90781"/>
    <w:rsid w:val="29DA0D44"/>
    <w:rsid w:val="29DB3845"/>
    <w:rsid w:val="29DF66E8"/>
    <w:rsid w:val="2A071046"/>
    <w:rsid w:val="2A080456"/>
    <w:rsid w:val="2A080FB5"/>
    <w:rsid w:val="2A352F8C"/>
    <w:rsid w:val="2A3F5A83"/>
    <w:rsid w:val="2A4878BF"/>
    <w:rsid w:val="2A522B7B"/>
    <w:rsid w:val="2A56648A"/>
    <w:rsid w:val="2A5970EF"/>
    <w:rsid w:val="2A66746B"/>
    <w:rsid w:val="2A68410B"/>
    <w:rsid w:val="2A7A581E"/>
    <w:rsid w:val="2A830A20"/>
    <w:rsid w:val="2A860B63"/>
    <w:rsid w:val="2A885971"/>
    <w:rsid w:val="2A937D46"/>
    <w:rsid w:val="2A9A4ACD"/>
    <w:rsid w:val="2A9D4207"/>
    <w:rsid w:val="2A9F43AD"/>
    <w:rsid w:val="2AA05348"/>
    <w:rsid w:val="2AAC0D24"/>
    <w:rsid w:val="2AC76AA5"/>
    <w:rsid w:val="2AC94307"/>
    <w:rsid w:val="2AD52E64"/>
    <w:rsid w:val="2AD544A7"/>
    <w:rsid w:val="2AD56F27"/>
    <w:rsid w:val="2AD84A19"/>
    <w:rsid w:val="2ADA55D1"/>
    <w:rsid w:val="2ADB4A3B"/>
    <w:rsid w:val="2AE7042C"/>
    <w:rsid w:val="2AEF6F70"/>
    <w:rsid w:val="2AF038EE"/>
    <w:rsid w:val="2B010E5C"/>
    <w:rsid w:val="2B037EB5"/>
    <w:rsid w:val="2B0F33E2"/>
    <w:rsid w:val="2B115B26"/>
    <w:rsid w:val="2B1D00B9"/>
    <w:rsid w:val="2B1D59B3"/>
    <w:rsid w:val="2B2738EF"/>
    <w:rsid w:val="2B276CE0"/>
    <w:rsid w:val="2B285689"/>
    <w:rsid w:val="2B3F539E"/>
    <w:rsid w:val="2B407AB0"/>
    <w:rsid w:val="2B464110"/>
    <w:rsid w:val="2B5C6F2E"/>
    <w:rsid w:val="2B606090"/>
    <w:rsid w:val="2B8721DC"/>
    <w:rsid w:val="2B914922"/>
    <w:rsid w:val="2B9A297C"/>
    <w:rsid w:val="2B9B3227"/>
    <w:rsid w:val="2BA42711"/>
    <w:rsid w:val="2BB34E4D"/>
    <w:rsid w:val="2BB9625B"/>
    <w:rsid w:val="2BD17DCC"/>
    <w:rsid w:val="2BD76A6A"/>
    <w:rsid w:val="2BDE4C53"/>
    <w:rsid w:val="2BE86AEF"/>
    <w:rsid w:val="2BFA048B"/>
    <w:rsid w:val="2C045501"/>
    <w:rsid w:val="2C0C24F8"/>
    <w:rsid w:val="2C0F12E9"/>
    <w:rsid w:val="2C1D1BDB"/>
    <w:rsid w:val="2C243763"/>
    <w:rsid w:val="2C2B423A"/>
    <w:rsid w:val="2C2E7F3A"/>
    <w:rsid w:val="2C355F6C"/>
    <w:rsid w:val="2C491642"/>
    <w:rsid w:val="2C625260"/>
    <w:rsid w:val="2C6A2E60"/>
    <w:rsid w:val="2C6E1401"/>
    <w:rsid w:val="2C75170C"/>
    <w:rsid w:val="2C8503B5"/>
    <w:rsid w:val="2C8A5DE6"/>
    <w:rsid w:val="2C952626"/>
    <w:rsid w:val="2CAC15FA"/>
    <w:rsid w:val="2CBC6D9A"/>
    <w:rsid w:val="2CBE70D3"/>
    <w:rsid w:val="2CC8777E"/>
    <w:rsid w:val="2CCD5ED9"/>
    <w:rsid w:val="2CEA60FF"/>
    <w:rsid w:val="2CEF51D1"/>
    <w:rsid w:val="2CF912E3"/>
    <w:rsid w:val="2CFF066C"/>
    <w:rsid w:val="2D030225"/>
    <w:rsid w:val="2D0E0759"/>
    <w:rsid w:val="2D1A7C35"/>
    <w:rsid w:val="2D1D4A7A"/>
    <w:rsid w:val="2D203E90"/>
    <w:rsid w:val="2D2A1E84"/>
    <w:rsid w:val="2D2E0EF8"/>
    <w:rsid w:val="2D3929EC"/>
    <w:rsid w:val="2D3C1349"/>
    <w:rsid w:val="2D4B75FB"/>
    <w:rsid w:val="2D5D04D4"/>
    <w:rsid w:val="2D7B3D35"/>
    <w:rsid w:val="2D830B88"/>
    <w:rsid w:val="2D842E85"/>
    <w:rsid w:val="2D8558BF"/>
    <w:rsid w:val="2D8C0979"/>
    <w:rsid w:val="2D8D2512"/>
    <w:rsid w:val="2D9B073A"/>
    <w:rsid w:val="2D9C0453"/>
    <w:rsid w:val="2DA163FC"/>
    <w:rsid w:val="2DA648A1"/>
    <w:rsid w:val="2DAA1F48"/>
    <w:rsid w:val="2DAD1687"/>
    <w:rsid w:val="2DB40DCE"/>
    <w:rsid w:val="2DD06D78"/>
    <w:rsid w:val="2DD4649C"/>
    <w:rsid w:val="2DDC34AA"/>
    <w:rsid w:val="2DDF698E"/>
    <w:rsid w:val="2DE109D2"/>
    <w:rsid w:val="2DE113D4"/>
    <w:rsid w:val="2DED5318"/>
    <w:rsid w:val="2DEF2532"/>
    <w:rsid w:val="2DFD77AA"/>
    <w:rsid w:val="2E1936D3"/>
    <w:rsid w:val="2E224CAB"/>
    <w:rsid w:val="2E3F575C"/>
    <w:rsid w:val="2E4A2B03"/>
    <w:rsid w:val="2E4C420F"/>
    <w:rsid w:val="2E5104FF"/>
    <w:rsid w:val="2E6D759A"/>
    <w:rsid w:val="2E7E7BD8"/>
    <w:rsid w:val="2E945C60"/>
    <w:rsid w:val="2E963248"/>
    <w:rsid w:val="2E991C65"/>
    <w:rsid w:val="2EA761E1"/>
    <w:rsid w:val="2EA76EDD"/>
    <w:rsid w:val="2EAA5952"/>
    <w:rsid w:val="2EB04149"/>
    <w:rsid w:val="2EC21A6B"/>
    <w:rsid w:val="2EDD121C"/>
    <w:rsid w:val="2EE11667"/>
    <w:rsid w:val="2EE80B5E"/>
    <w:rsid w:val="2EE953BF"/>
    <w:rsid w:val="2EF40184"/>
    <w:rsid w:val="2EF532A4"/>
    <w:rsid w:val="2EFA6D6B"/>
    <w:rsid w:val="2F173188"/>
    <w:rsid w:val="2F23785C"/>
    <w:rsid w:val="2F2C3DAB"/>
    <w:rsid w:val="2F4E2F1F"/>
    <w:rsid w:val="2F6F619C"/>
    <w:rsid w:val="2F8D44D6"/>
    <w:rsid w:val="2F980294"/>
    <w:rsid w:val="2FBA70F8"/>
    <w:rsid w:val="2FBE29B8"/>
    <w:rsid w:val="2FC521E6"/>
    <w:rsid w:val="2FD33E2B"/>
    <w:rsid w:val="2FD86C5C"/>
    <w:rsid w:val="2FDE0EF1"/>
    <w:rsid w:val="2FDE0FB8"/>
    <w:rsid w:val="2FEB18C0"/>
    <w:rsid w:val="30062DE1"/>
    <w:rsid w:val="30075DC0"/>
    <w:rsid w:val="30083F9F"/>
    <w:rsid w:val="300A19B6"/>
    <w:rsid w:val="30197C97"/>
    <w:rsid w:val="301B6D10"/>
    <w:rsid w:val="302A13F4"/>
    <w:rsid w:val="303F0E98"/>
    <w:rsid w:val="30423C78"/>
    <w:rsid w:val="304A318A"/>
    <w:rsid w:val="30506FF0"/>
    <w:rsid w:val="305765F9"/>
    <w:rsid w:val="30611C29"/>
    <w:rsid w:val="30662EDC"/>
    <w:rsid w:val="3066563F"/>
    <w:rsid w:val="30695030"/>
    <w:rsid w:val="30737EA8"/>
    <w:rsid w:val="30815E64"/>
    <w:rsid w:val="308F24A2"/>
    <w:rsid w:val="308F60D0"/>
    <w:rsid w:val="3096065D"/>
    <w:rsid w:val="30AC42EE"/>
    <w:rsid w:val="30B052B1"/>
    <w:rsid w:val="30BC4D84"/>
    <w:rsid w:val="30CC4224"/>
    <w:rsid w:val="30D1059F"/>
    <w:rsid w:val="30D150A7"/>
    <w:rsid w:val="30E85D9A"/>
    <w:rsid w:val="30F552D2"/>
    <w:rsid w:val="310065E6"/>
    <w:rsid w:val="310336A2"/>
    <w:rsid w:val="31063069"/>
    <w:rsid w:val="310D3357"/>
    <w:rsid w:val="312D40D6"/>
    <w:rsid w:val="31431020"/>
    <w:rsid w:val="31552842"/>
    <w:rsid w:val="3156528A"/>
    <w:rsid w:val="315F76BB"/>
    <w:rsid w:val="316A6EBA"/>
    <w:rsid w:val="31742FCA"/>
    <w:rsid w:val="317953DC"/>
    <w:rsid w:val="318639C4"/>
    <w:rsid w:val="31886C1C"/>
    <w:rsid w:val="318D5C1C"/>
    <w:rsid w:val="318E3C43"/>
    <w:rsid w:val="31C8425B"/>
    <w:rsid w:val="31CC03E9"/>
    <w:rsid w:val="31D32DDB"/>
    <w:rsid w:val="31D70028"/>
    <w:rsid w:val="31D74D2B"/>
    <w:rsid w:val="31EA26F1"/>
    <w:rsid w:val="31EB406B"/>
    <w:rsid w:val="31EC203C"/>
    <w:rsid w:val="31FC2412"/>
    <w:rsid w:val="321063FE"/>
    <w:rsid w:val="321D1D09"/>
    <w:rsid w:val="322217EF"/>
    <w:rsid w:val="32224432"/>
    <w:rsid w:val="32256F9F"/>
    <w:rsid w:val="324035B3"/>
    <w:rsid w:val="3247433B"/>
    <w:rsid w:val="325838DB"/>
    <w:rsid w:val="325F5E35"/>
    <w:rsid w:val="327370F3"/>
    <w:rsid w:val="32753E70"/>
    <w:rsid w:val="32766055"/>
    <w:rsid w:val="328253C2"/>
    <w:rsid w:val="32834318"/>
    <w:rsid w:val="328708A3"/>
    <w:rsid w:val="32935FC0"/>
    <w:rsid w:val="329C2BF6"/>
    <w:rsid w:val="329D50FC"/>
    <w:rsid w:val="329F4A89"/>
    <w:rsid w:val="32A134A3"/>
    <w:rsid w:val="32A41F5B"/>
    <w:rsid w:val="32AE368A"/>
    <w:rsid w:val="32B17047"/>
    <w:rsid w:val="32B17B00"/>
    <w:rsid w:val="32B31CDC"/>
    <w:rsid w:val="32B868BF"/>
    <w:rsid w:val="32BE6B36"/>
    <w:rsid w:val="32C21399"/>
    <w:rsid w:val="32C3793D"/>
    <w:rsid w:val="32D92192"/>
    <w:rsid w:val="32E70D36"/>
    <w:rsid w:val="32F02198"/>
    <w:rsid w:val="32F04C94"/>
    <w:rsid w:val="33062B7E"/>
    <w:rsid w:val="33087F3C"/>
    <w:rsid w:val="330F01FA"/>
    <w:rsid w:val="331F3675"/>
    <w:rsid w:val="33203F6E"/>
    <w:rsid w:val="332059F6"/>
    <w:rsid w:val="33346158"/>
    <w:rsid w:val="333E78C4"/>
    <w:rsid w:val="3341007C"/>
    <w:rsid w:val="33594545"/>
    <w:rsid w:val="335E3DD5"/>
    <w:rsid w:val="336E4060"/>
    <w:rsid w:val="33767461"/>
    <w:rsid w:val="3388428F"/>
    <w:rsid w:val="338E0BE3"/>
    <w:rsid w:val="3395192B"/>
    <w:rsid w:val="339C526F"/>
    <w:rsid w:val="33A10AD5"/>
    <w:rsid w:val="33A50C84"/>
    <w:rsid w:val="33AF0BA1"/>
    <w:rsid w:val="33C05D1C"/>
    <w:rsid w:val="33C67E75"/>
    <w:rsid w:val="33C67F90"/>
    <w:rsid w:val="33D02909"/>
    <w:rsid w:val="33DC02A3"/>
    <w:rsid w:val="33E505BB"/>
    <w:rsid w:val="33F00D2C"/>
    <w:rsid w:val="33F3541C"/>
    <w:rsid w:val="33F76F32"/>
    <w:rsid w:val="33FA6E54"/>
    <w:rsid w:val="33FC1991"/>
    <w:rsid w:val="33FD4C08"/>
    <w:rsid w:val="340A048B"/>
    <w:rsid w:val="3415019E"/>
    <w:rsid w:val="34513A9C"/>
    <w:rsid w:val="34571D7E"/>
    <w:rsid w:val="345F0251"/>
    <w:rsid w:val="34725A3C"/>
    <w:rsid w:val="347A51A8"/>
    <w:rsid w:val="348815B6"/>
    <w:rsid w:val="349E6B0F"/>
    <w:rsid w:val="34B158B7"/>
    <w:rsid w:val="34B759D1"/>
    <w:rsid w:val="34BC08B9"/>
    <w:rsid w:val="34BC71CE"/>
    <w:rsid w:val="34C70739"/>
    <w:rsid w:val="34E71D25"/>
    <w:rsid w:val="34F622E1"/>
    <w:rsid w:val="350B741A"/>
    <w:rsid w:val="351425C9"/>
    <w:rsid w:val="352911D0"/>
    <w:rsid w:val="353F6679"/>
    <w:rsid w:val="354749D0"/>
    <w:rsid w:val="35566D28"/>
    <w:rsid w:val="355E228D"/>
    <w:rsid w:val="356A4EAB"/>
    <w:rsid w:val="357263A3"/>
    <w:rsid w:val="357B4DCC"/>
    <w:rsid w:val="358226A2"/>
    <w:rsid w:val="358C6480"/>
    <w:rsid w:val="358E4263"/>
    <w:rsid w:val="359421AA"/>
    <w:rsid w:val="35A60779"/>
    <w:rsid w:val="35AE7F68"/>
    <w:rsid w:val="35BA2C40"/>
    <w:rsid w:val="35C448BA"/>
    <w:rsid w:val="35D53D52"/>
    <w:rsid w:val="35E01304"/>
    <w:rsid w:val="35E825E5"/>
    <w:rsid w:val="35E9486B"/>
    <w:rsid w:val="35FB77CB"/>
    <w:rsid w:val="360D1CBF"/>
    <w:rsid w:val="361B4D46"/>
    <w:rsid w:val="362A205A"/>
    <w:rsid w:val="362A2555"/>
    <w:rsid w:val="36380BD6"/>
    <w:rsid w:val="36390C1D"/>
    <w:rsid w:val="36394E0A"/>
    <w:rsid w:val="3640148E"/>
    <w:rsid w:val="365D01E5"/>
    <w:rsid w:val="366F7F71"/>
    <w:rsid w:val="36766677"/>
    <w:rsid w:val="36834563"/>
    <w:rsid w:val="36846FAD"/>
    <w:rsid w:val="368F5AB8"/>
    <w:rsid w:val="36912DE6"/>
    <w:rsid w:val="36A5631B"/>
    <w:rsid w:val="36B6669E"/>
    <w:rsid w:val="36BB08C6"/>
    <w:rsid w:val="36BC27CC"/>
    <w:rsid w:val="36C847CF"/>
    <w:rsid w:val="36EF11FC"/>
    <w:rsid w:val="36F277D5"/>
    <w:rsid w:val="36FB0380"/>
    <w:rsid w:val="370F7803"/>
    <w:rsid w:val="37102198"/>
    <w:rsid w:val="37141C3E"/>
    <w:rsid w:val="371B4BA1"/>
    <w:rsid w:val="371C49CC"/>
    <w:rsid w:val="372E0843"/>
    <w:rsid w:val="3730666A"/>
    <w:rsid w:val="373070BF"/>
    <w:rsid w:val="373D27F3"/>
    <w:rsid w:val="37426B20"/>
    <w:rsid w:val="37431485"/>
    <w:rsid w:val="377448E7"/>
    <w:rsid w:val="378B6A03"/>
    <w:rsid w:val="37933D0B"/>
    <w:rsid w:val="37936F55"/>
    <w:rsid w:val="37974492"/>
    <w:rsid w:val="379D17E0"/>
    <w:rsid w:val="379D5C05"/>
    <w:rsid w:val="37A01C19"/>
    <w:rsid w:val="37B12555"/>
    <w:rsid w:val="37B33425"/>
    <w:rsid w:val="37D9344A"/>
    <w:rsid w:val="37ED4E89"/>
    <w:rsid w:val="37F2006D"/>
    <w:rsid w:val="37F31C09"/>
    <w:rsid w:val="38157093"/>
    <w:rsid w:val="383E0C83"/>
    <w:rsid w:val="383E2FEB"/>
    <w:rsid w:val="385965AA"/>
    <w:rsid w:val="385D345E"/>
    <w:rsid w:val="38621F23"/>
    <w:rsid w:val="38776195"/>
    <w:rsid w:val="387C342C"/>
    <w:rsid w:val="387D4E34"/>
    <w:rsid w:val="38B12A39"/>
    <w:rsid w:val="38C5263D"/>
    <w:rsid w:val="38C80707"/>
    <w:rsid w:val="38E00948"/>
    <w:rsid w:val="38E2331B"/>
    <w:rsid w:val="38EC1A9A"/>
    <w:rsid w:val="38EE4976"/>
    <w:rsid w:val="38F6157A"/>
    <w:rsid w:val="39045055"/>
    <w:rsid w:val="390F41CF"/>
    <w:rsid w:val="39263ECB"/>
    <w:rsid w:val="39364E53"/>
    <w:rsid w:val="39427E0D"/>
    <w:rsid w:val="395320EE"/>
    <w:rsid w:val="3966323D"/>
    <w:rsid w:val="39755CCF"/>
    <w:rsid w:val="39884828"/>
    <w:rsid w:val="39903717"/>
    <w:rsid w:val="399E6030"/>
    <w:rsid w:val="39AD3EA6"/>
    <w:rsid w:val="39C85128"/>
    <w:rsid w:val="39D263A7"/>
    <w:rsid w:val="39E4038F"/>
    <w:rsid w:val="39EC229F"/>
    <w:rsid w:val="3A0612E2"/>
    <w:rsid w:val="3A4A5818"/>
    <w:rsid w:val="3A4D0978"/>
    <w:rsid w:val="3A4D2A17"/>
    <w:rsid w:val="3A52002D"/>
    <w:rsid w:val="3A5B73DB"/>
    <w:rsid w:val="3A6130BC"/>
    <w:rsid w:val="3A731CC1"/>
    <w:rsid w:val="3A80627E"/>
    <w:rsid w:val="3A8A04FD"/>
    <w:rsid w:val="3AAF1923"/>
    <w:rsid w:val="3AB01C62"/>
    <w:rsid w:val="3AB15A7E"/>
    <w:rsid w:val="3AB76930"/>
    <w:rsid w:val="3ACA3A17"/>
    <w:rsid w:val="3AEC7365"/>
    <w:rsid w:val="3AF7647B"/>
    <w:rsid w:val="3AF775AA"/>
    <w:rsid w:val="3B0E4BDE"/>
    <w:rsid w:val="3B1C26B8"/>
    <w:rsid w:val="3B441B9E"/>
    <w:rsid w:val="3B486A83"/>
    <w:rsid w:val="3B493692"/>
    <w:rsid w:val="3B5C0CC6"/>
    <w:rsid w:val="3B652E21"/>
    <w:rsid w:val="3B6976F2"/>
    <w:rsid w:val="3B7229B7"/>
    <w:rsid w:val="3B8667AC"/>
    <w:rsid w:val="3B917200"/>
    <w:rsid w:val="3B967DCE"/>
    <w:rsid w:val="3B9B1955"/>
    <w:rsid w:val="3B9C6609"/>
    <w:rsid w:val="3BB1322E"/>
    <w:rsid w:val="3BCD29FC"/>
    <w:rsid w:val="3BDA2924"/>
    <w:rsid w:val="3BDA47C6"/>
    <w:rsid w:val="3BDB3031"/>
    <w:rsid w:val="3BE745A1"/>
    <w:rsid w:val="3BEE12C0"/>
    <w:rsid w:val="3BF85C52"/>
    <w:rsid w:val="3C0972FA"/>
    <w:rsid w:val="3C0E18DF"/>
    <w:rsid w:val="3C0E46FB"/>
    <w:rsid w:val="3C2D1207"/>
    <w:rsid w:val="3C2D1B90"/>
    <w:rsid w:val="3C2F0D82"/>
    <w:rsid w:val="3C2F4C8D"/>
    <w:rsid w:val="3C3F7C64"/>
    <w:rsid w:val="3C4318C3"/>
    <w:rsid w:val="3C49170C"/>
    <w:rsid w:val="3C4A2B39"/>
    <w:rsid w:val="3C4B0F00"/>
    <w:rsid w:val="3C5B0582"/>
    <w:rsid w:val="3C68445C"/>
    <w:rsid w:val="3C7C6FA6"/>
    <w:rsid w:val="3C885A3C"/>
    <w:rsid w:val="3C921EBB"/>
    <w:rsid w:val="3C9641CE"/>
    <w:rsid w:val="3C9D2F18"/>
    <w:rsid w:val="3CAF3F2C"/>
    <w:rsid w:val="3CB76734"/>
    <w:rsid w:val="3CBD0191"/>
    <w:rsid w:val="3CE30CB5"/>
    <w:rsid w:val="3D07245B"/>
    <w:rsid w:val="3D0B2306"/>
    <w:rsid w:val="3D102973"/>
    <w:rsid w:val="3D246381"/>
    <w:rsid w:val="3D274CC7"/>
    <w:rsid w:val="3D2A743C"/>
    <w:rsid w:val="3D32496D"/>
    <w:rsid w:val="3D356A7E"/>
    <w:rsid w:val="3D375F58"/>
    <w:rsid w:val="3D3C536B"/>
    <w:rsid w:val="3D416075"/>
    <w:rsid w:val="3D5D745F"/>
    <w:rsid w:val="3D654925"/>
    <w:rsid w:val="3D6E28E2"/>
    <w:rsid w:val="3D8B7F79"/>
    <w:rsid w:val="3D9027B9"/>
    <w:rsid w:val="3D963215"/>
    <w:rsid w:val="3DA46C00"/>
    <w:rsid w:val="3DBA1B25"/>
    <w:rsid w:val="3DC6039D"/>
    <w:rsid w:val="3DCB3E2D"/>
    <w:rsid w:val="3DDA65F5"/>
    <w:rsid w:val="3DEC1682"/>
    <w:rsid w:val="3DF433E6"/>
    <w:rsid w:val="3DF72802"/>
    <w:rsid w:val="3DFA6F4A"/>
    <w:rsid w:val="3E044D3E"/>
    <w:rsid w:val="3E174533"/>
    <w:rsid w:val="3E412568"/>
    <w:rsid w:val="3E460843"/>
    <w:rsid w:val="3E4A629A"/>
    <w:rsid w:val="3E502AB5"/>
    <w:rsid w:val="3E5C0C4F"/>
    <w:rsid w:val="3E66087E"/>
    <w:rsid w:val="3E661616"/>
    <w:rsid w:val="3E763A1F"/>
    <w:rsid w:val="3E7E017D"/>
    <w:rsid w:val="3E80404A"/>
    <w:rsid w:val="3E810F84"/>
    <w:rsid w:val="3E8F625B"/>
    <w:rsid w:val="3E9431A8"/>
    <w:rsid w:val="3E970603"/>
    <w:rsid w:val="3E996B99"/>
    <w:rsid w:val="3EA93808"/>
    <w:rsid w:val="3EBF738E"/>
    <w:rsid w:val="3ED35327"/>
    <w:rsid w:val="3EDB4EEC"/>
    <w:rsid w:val="3EE201C7"/>
    <w:rsid w:val="3EF25E95"/>
    <w:rsid w:val="3EFD58F1"/>
    <w:rsid w:val="3F0702B3"/>
    <w:rsid w:val="3F0F34B4"/>
    <w:rsid w:val="3F120FDD"/>
    <w:rsid w:val="3F1C0C63"/>
    <w:rsid w:val="3F1C5781"/>
    <w:rsid w:val="3F2631E5"/>
    <w:rsid w:val="3F3801D7"/>
    <w:rsid w:val="3F404933"/>
    <w:rsid w:val="3F496250"/>
    <w:rsid w:val="3F4D4873"/>
    <w:rsid w:val="3F56074C"/>
    <w:rsid w:val="3F561C01"/>
    <w:rsid w:val="3F564CEF"/>
    <w:rsid w:val="3F7432D2"/>
    <w:rsid w:val="3F7F62C5"/>
    <w:rsid w:val="3F930FE2"/>
    <w:rsid w:val="3F977746"/>
    <w:rsid w:val="3F9C2DDB"/>
    <w:rsid w:val="3FA916C0"/>
    <w:rsid w:val="3FE076E2"/>
    <w:rsid w:val="3FF426F9"/>
    <w:rsid w:val="3FF42A8C"/>
    <w:rsid w:val="3FF51F0C"/>
    <w:rsid w:val="3FFE797F"/>
    <w:rsid w:val="400A1DC9"/>
    <w:rsid w:val="4012152C"/>
    <w:rsid w:val="401307EE"/>
    <w:rsid w:val="40146C8D"/>
    <w:rsid w:val="40173940"/>
    <w:rsid w:val="401D10DD"/>
    <w:rsid w:val="401E37C3"/>
    <w:rsid w:val="40275C8D"/>
    <w:rsid w:val="402A1928"/>
    <w:rsid w:val="4032619B"/>
    <w:rsid w:val="403A141A"/>
    <w:rsid w:val="403E6DD1"/>
    <w:rsid w:val="40416B7A"/>
    <w:rsid w:val="40496597"/>
    <w:rsid w:val="40695C55"/>
    <w:rsid w:val="406C4800"/>
    <w:rsid w:val="406F61E1"/>
    <w:rsid w:val="40757EB7"/>
    <w:rsid w:val="40A23281"/>
    <w:rsid w:val="40AA6F66"/>
    <w:rsid w:val="40B33DB0"/>
    <w:rsid w:val="40C7778D"/>
    <w:rsid w:val="40CB0B39"/>
    <w:rsid w:val="40CD5CF7"/>
    <w:rsid w:val="40CE1740"/>
    <w:rsid w:val="40CE6D21"/>
    <w:rsid w:val="40D84C0F"/>
    <w:rsid w:val="40DB78CE"/>
    <w:rsid w:val="40E272EB"/>
    <w:rsid w:val="40FD4A2D"/>
    <w:rsid w:val="410D3922"/>
    <w:rsid w:val="41212F19"/>
    <w:rsid w:val="412763FB"/>
    <w:rsid w:val="4129237E"/>
    <w:rsid w:val="412E105F"/>
    <w:rsid w:val="41310572"/>
    <w:rsid w:val="413E727C"/>
    <w:rsid w:val="414372AF"/>
    <w:rsid w:val="414B40B0"/>
    <w:rsid w:val="41545E6A"/>
    <w:rsid w:val="415477B3"/>
    <w:rsid w:val="415A7D0B"/>
    <w:rsid w:val="41632BA9"/>
    <w:rsid w:val="4170379F"/>
    <w:rsid w:val="41723974"/>
    <w:rsid w:val="417A51D0"/>
    <w:rsid w:val="417A55C8"/>
    <w:rsid w:val="41880BC3"/>
    <w:rsid w:val="41921860"/>
    <w:rsid w:val="4195076B"/>
    <w:rsid w:val="41A302C1"/>
    <w:rsid w:val="41AD0B2D"/>
    <w:rsid w:val="41CF1708"/>
    <w:rsid w:val="41DA7123"/>
    <w:rsid w:val="41DC7951"/>
    <w:rsid w:val="41DD31BF"/>
    <w:rsid w:val="41DD5729"/>
    <w:rsid w:val="41FB2F29"/>
    <w:rsid w:val="420430D2"/>
    <w:rsid w:val="420544AA"/>
    <w:rsid w:val="42083495"/>
    <w:rsid w:val="42124088"/>
    <w:rsid w:val="421A2534"/>
    <w:rsid w:val="422252B2"/>
    <w:rsid w:val="42275FA6"/>
    <w:rsid w:val="423D2D21"/>
    <w:rsid w:val="42406D66"/>
    <w:rsid w:val="42420C0B"/>
    <w:rsid w:val="4257488B"/>
    <w:rsid w:val="42606C91"/>
    <w:rsid w:val="426E620B"/>
    <w:rsid w:val="42817701"/>
    <w:rsid w:val="42832011"/>
    <w:rsid w:val="42956078"/>
    <w:rsid w:val="4296251C"/>
    <w:rsid w:val="429A57F9"/>
    <w:rsid w:val="429C5E42"/>
    <w:rsid w:val="42B00CBD"/>
    <w:rsid w:val="42B97AB8"/>
    <w:rsid w:val="42CA060B"/>
    <w:rsid w:val="42D537A6"/>
    <w:rsid w:val="42DE14CD"/>
    <w:rsid w:val="42E04AF7"/>
    <w:rsid w:val="42E507B7"/>
    <w:rsid w:val="42EA5494"/>
    <w:rsid w:val="42ED54FA"/>
    <w:rsid w:val="42F746D7"/>
    <w:rsid w:val="430022EA"/>
    <w:rsid w:val="43034860"/>
    <w:rsid w:val="43292FE0"/>
    <w:rsid w:val="432A3E57"/>
    <w:rsid w:val="433E286F"/>
    <w:rsid w:val="4364061F"/>
    <w:rsid w:val="4377624E"/>
    <w:rsid w:val="437A2DB7"/>
    <w:rsid w:val="4386138A"/>
    <w:rsid w:val="43883DE8"/>
    <w:rsid w:val="43884017"/>
    <w:rsid w:val="43961CE6"/>
    <w:rsid w:val="43AC03A9"/>
    <w:rsid w:val="43B577C0"/>
    <w:rsid w:val="43C9011E"/>
    <w:rsid w:val="43D8683C"/>
    <w:rsid w:val="43DA7442"/>
    <w:rsid w:val="43E45475"/>
    <w:rsid w:val="43E95D84"/>
    <w:rsid w:val="43EB73CE"/>
    <w:rsid w:val="43ED674B"/>
    <w:rsid w:val="43F856FD"/>
    <w:rsid w:val="44055C49"/>
    <w:rsid w:val="440B5B7E"/>
    <w:rsid w:val="440B5F91"/>
    <w:rsid w:val="44110203"/>
    <w:rsid w:val="44112A91"/>
    <w:rsid w:val="44125FAE"/>
    <w:rsid w:val="441A57D0"/>
    <w:rsid w:val="441C7E51"/>
    <w:rsid w:val="4426348F"/>
    <w:rsid w:val="443B0875"/>
    <w:rsid w:val="443B1AB2"/>
    <w:rsid w:val="44416F27"/>
    <w:rsid w:val="444C46C1"/>
    <w:rsid w:val="444C6713"/>
    <w:rsid w:val="44504925"/>
    <w:rsid w:val="445C6D60"/>
    <w:rsid w:val="44702CBC"/>
    <w:rsid w:val="448B2AB9"/>
    <w:rsid w:val="44A514B2"/>
    <w:rsid w:val="44AD2B45"/>
    <w:rsid w:val="44AE45CC"/>
    <w:rsid w:val="44B022CD"/>
    <w:rsid w:val="44B70CCF"/>
    <w:rsid w:val="44BC089C"/>
    <w:rsid w:val="44CD3363"/>
    <w:rsid w:val="44D60670"/>
    <w:rsid w:val="44EE534A"/>
    <w:rsid w:val="44EF4775"/>
    <w:rsid w:val="44F734B0"/>
    <w:rsid w:val="44FD2E6C"/>
    <w:rsid w:val="44FF34A7"/>
    <w:rsid w:val="45076CFC"/>
    <w:rsid w:val="450D206A"/>
    <w:rsid w:val="450F1090"/>
    <w:rsid w:val="4528634B"/>
    <w:rsid w:val="45312B8D"/>
    <w:rsid w:val="45527DE8"/>
    <w:rsid w:val="45532760"/>
    <w:rsid w:val="455F4293"/>
    <w:rsid w:val="45625A22"/>
    <w:rsid w:val="456673FC"/>
    <w:rsid w:val="45725B7C"/>
    <w:rsid w:val="457B0B90"/>
    <w:rsid w:val="458508AE"/>
    <w:rsid w:val="459E159E"/>
    <w:rsid w:val="45A02280"/>
    <w:rsid w:val="45A12576"/>
    <w:rsid w:val="45A57E2D"/>
    <w:rsid w:val="45A9509B"/>
    <w:rsid w:val="45AE4E93"/>
    <w:rsid w:val="45C15505"/>
    <w:rsid w:val="45CB3E85"/>
    <w:rsid w:val="45D01424"/>
    <w:rsid w:val="45D06F8E"/>
    <w:rsid w:val="45D47375"/>
    <w:rsid w:val="45D90E5B"/>
    <w:rsid w:val="45E44090"/>
    <w:rsid w:val="45F310AF"/>
    <w:rsid w:val="45F43AC4"/>
    <w:rsid w:val="45F713E5"/>
    <w:rsid w:val="4627712E"/>
    <w:rsid w:val="463D77FC"/>
    <w:rsid w:val="46404B5A"/>
    <w:rsid w:val="46523E20"/>
    <w:rsid w:val="46645944"/>
    <w:rsid w:val="46710CB8"/>
    <w:rsid w:val="46836DB9"/>
    <w:rsid w:val="468576D5"/>
    <w:rsid w:val="46883244"/>
    <w:rsid w:val="469A54D9"/>
    <w:rsid w:val="46AE2665"/>
    <w:rsid w:val="46B1345C"/>
    <w:rsid w:val="46BE2771"/>
    <w:rsid w:val="46C30B72"/>
    <w:rsid w:val="46D47307"/>
    <w:rsid w:val="46E577A3"/>
    <w:rsid w:val="46EB29A5"/>
    <w:rsid w:val="46EB6D1D"/>
    <w:rsid w:val="46EC1711"/>
    <w:rsid w:val="46F86DC4"/>
    <w:rsid w:val="46FC37FA"/>
    <w:rsid w:val="47015BF3"/>
    <w:rsid w:val="471A63D0"/>
    <w:rsid w:val="47237229"/>
    <w:rsid w:val="472D7BE7"/>
    <w:rsid w:val="472F182C"/>
    <w:rsid w:val="473E3158"/>
    <w:rsid w:val="47403290"/>
    <w:rsid w:val="47430BB8"/>
    <w:rsid w:val="4752632B"/>
    <w:rsid w:val="47613A7F"/>
    <w:rsid w:val="47664E5B"/>
    <w:rsid w:val="476D2B18"/>
    <w:rsid w:val="47702EA5"/>
    <w:rsid w:val="47780F93"/>
    <w:rsid w:val="47827D73"/>
    <w:rsid w:val="4785079C"/>
    <w:rsid w:val="478D6B48"/>
    <w:rsid w:val="4791693B"/>
    <w:rsid w:val="47920698"/>
    <w:rsid w:val="47952D9D"/>
    <w:rsid w:val="47AB1EC5"/>
    <w:rsid w:val="47AF1DE4"/>
    <w:rsid w:val="47B26B47"/>
    <w:rsid w:val="47B40579"/>
    <w:rsid w:val="47B64EC1"/>
    <w:rsid w:val="47B732CA"/>
    <w:rsid w:val="47C2233D"/>
    <w:rsid w:val="47D32ADC"/>
    <w:rsid w:val="47F35EA9"/>
    <w:rsid w:val="47FF0E1B"/>
    <w:rsid w:val="480B5ABB"/>
    <w:rsid w:val="481F0194"/>
    <w:rsid w:val="4824705B"/>
    <w:rsid w:val="482F7AF1"/>
    <w:rsid w:val="48360F8E"/>
    <w:rsid w:val="48403BBB"/>
    <w:rsid w:val="484A1BD2"/>
    <w:rsid w:val="48506C29"/>
    <w:rsid w:val="48542F53"/>
    <w:rsid w:val="48665AA4"/>
    <w:rsid w:val="486830E2"/>
    <w:rsid w:val="486956FF"/>
    <w:rsid w:val="487E055B"/>
    <w:rsid w:val="487E78BC"/>
    <w:rsid w:val="488B6CD8"/>
    <w:rsid w:val="48982832"/>
    <w:rsid w:val="489B4D3C"/>
    <w:rsid w:val="48C67C7E"/>
    <w:rsid w:val="48CE780C"/>
    <w:rsid w:val="48D02088"/>
    <w:rsid w:val="48DE5761"/>
    <w:rsid w:val="48F363A9"/>
    <w:rsid w:val="48F6341B"/>
    <w:rsid w:val="48FE7B22"/>
    <w:rsid w:val="4903083E"/>
    <w:rsid w:val="49036D2E"/>
    <w:rsid w:val="49093D83"/>
    <w:rsid w:val="490D6D69"/>
    <w:rsid w:val="49226461"/>
    <w:rsid w:val="49267254"/>
    <w:rsid w:val="49577ED5"/>
    <w:rsid w:val="495D4386"/>
    <w:rsid w:val="496269C9"/>
    <w:rsid w:val="49664EA9"/>
    <w:rsid w:val="4969309A"/>
    <w:rsid w:val="496B74EE"/>
    <w:rsid w:val="4976022A"/>
    <w:rsid w:val="49853805"/>
    <w:rsid w:val="498A5BAF"/>
    <w:rsid w:val="498D2ADF"/>
    <w:rsid w:val="498F4509"/>
    <w:rsid w:val="499353F1"/>
    <w:rsid w:val="499E413B"/>
    <w:rsid w:val="49A049A4"/>
    <w:rsid w:val="49B30ECE"/>
    <w:rsid w:val="49B97696"/>
    <w:rsid w:val="49BB179A"/>
    <w:rsid w:val="49BC5F12"/>
    <w:rsid w:val="49BF3A1B"/>
    <w:rsid w:val="49C103D4"/>
    <w:rsid w:val="49C232F1"/>
    <w:rsid w:val="49CE0811"/>
    <w:rsid w:val="49CE112B"/>
    <w:rsid w:val="49EA2C03"/>
    <w:rsid w:val="49EE107F"/>
    <w:rsid w:val="49F41B6C"/>
    <w:rsid w:val="4A016425"/>
    <w:rsid w:val="4A0372B8"/>
    <w:rsid w:val="4A042B54"/>
    <w:rsid w:val="4A046112"/>
    <w:rsid w:val="4A0976FE"/>
    <w:rsid w:val="4A0C4F7A"/>
    <w:rsid w:val="4A1162A8"/>
    <w:rsid w:val="4A1268F2"/>
    <w:rsid w:val="4A1C1F75"/>
    <w:rsid w:val="4A1E6A6E"/>
    <w:rsid w:val="4A2974B3"/>
    <w:rsid w:val="4A4017F1"/>
    <w:rsid w:val="4A4C14EE"/>
    <w:rsid w:val="4A4F0782"/>
    <w:rsid w:val="4A60269A"/>
    <w:rsid w:val="4A671210"/>
    <w:rsid w:val="4A7D6573"/>
    <w:rsid w:val="4A853E32"/>
    <w:rsid w:val="4A8E7EF9"/>
    <w:rsid w:val="4AC11580"/>
    <w:rsid w:val="4AC15A4E"/>
    <w:rsid w:val="4ADC4B0E"/>
    <w:rsid w:val="4AE7372B"/>
    <w:rsid w:val="4AEB1CB8"/>
    <w:rsid w:val="4AEE4965"/>
    <w:rsid w:val="4AEF3676"/>
    <w:rsid w:val="4AF15640"/>
    <w:rsid w:val="4AFD3666"/>
    <w:rsid w:val="4AFD4718"/>
    <w:rsid w:val="4B022D78"/>
    <w:rsid w:val="4B135458"/>
    <w:rsid w:val="4B1556C7"/>
    <w:rsid w:val="4B1D152D"/>
    <w:rsid w:val="4B232B07"/>
    <w:rsid w:val="4B3652C6"/>
    <w:rsid w:val="4B3C1BC9"/>
    <w:rsid w:val="4B486267"/>
    <w:rsid w:val="4B494027"/>
    <w:rsid w:val="4B4F3649"/>
    <w:rsid w:val="4B5237E3"/>
    <w:rsid w:val="4B5272D4"/>
    <w:rsid w:val="4B5A5175"/>
    <w:rsid w:val="4B5B330B"/>
    <w:rsid w:val="4B62453E"/>
    <w:rsid w:val="4B631C77"/>
    <w:rsid w:val="4B8206CD"/>
    <w:rsid w:val="4B897789"/>
    <w:rsid w:val="4B966D86"/>
    <w:rsid w:val="4B98690B"/>
    <w:rsid w:val="4B990B66"/>
    <w:rsid w:val="4BAA2B08"/>
    <w:rsid w:val="4BAA4DCE"/>
    <w:rsid w:val="4BB022D7"/>
    <w:rsid w:val="4BB3009C"/>
    <w:rsid w:val="4BC879F1"/>
    <w:rsid w:val="4BD50972"/>
    <w:rsid w:val="4BDB0CCE"/>
    <w:rsid w:val="4BDC40DC"/>
    <w:rsid w:val="4BF25CE4"/>
    <w:rsid w:val="4BF87A6D"/>
    <w:rsid w:val="4C033703"/>
    <w:rsid w:val="4C105A19"/>
    <w:rsid w:val="4C2061DD"/>
    <w:rsid w:val="4C245941"/>
    <w:rsid w:val="4C38071E"/>
    <w:rsid w:val="4C396201"/>
    <w:rsid w:val="4C3D1BE2"/>
    <w:rsid w:val="4C4D1EC8"/>
    <w:rsid w:val="4C516396"/>
    <w:rsid w:val="4C6F6296"/>
    <w:rsid w:val="4C7A6B3C"/>
    <w:rsid w:val="4C816111"/>
    <w:rsid w:val="4C935B3A"/>
    <w:rsid w:val="4C95425E"/>
    <w:rsid w:val="4CBB7E1D"/>
    <w:rsid w:val="4CBF5632"/>
    <w:rsid w:val="4CC505BA"/>
    <w:rsid w:val="4CC85527"/>
    <w:rsid w:val="4CD436E2"/>
    <w:rsid w:val="4CF018B7"/>
    <w:rsid w:val="4D043746"/>
    <w:rsid w:val="4D427EC3"/>
    <w:rsid w:val="4D502340"/>
    <w:rsid w:val="4D6921CC"/>
    <w:rsid w:val="4D75590C"/>
    <w:rsid w:val="4D7713BC"/>
    <w:rsid w:val="4D870D81"/>
    <w:rsid w:val="4D912FAE"/>
    <w:rsid w:val="4D9322F7"/>
    <w:rsid w:val="4D9C0343"/>
    <w:rsid w:val="4D9D0219"/>
    <w:rsid w:val="4DA45B06"/>
    <w:rsid w:val="4DD16F12"/>
    <w:rsid w:val="4DE57185"/>
    <w:rsid w:val="4DEF3FD2"/>
    <w:rsid w:val="4DF53699"/>
    <w:rsid w:val="4DF634EA"/>
    <w:rsid w:val="4E032F00"/>
    <w:rsid w:val="4E0E7812"/>
    <w:rsid w:val="4E131B24"/>
    <w:rsid w:val="4E2A1383"/>
    <w:rsid w:val="4E335CB0"/>
    <w:rsid w:val="4E377377"/>
    <w:rsid w:val="4E39204D"/>
    <w:rsid w:val="4E3F11E5"/>
    <w:rsid w:val="4E4B7997"/>
    <w:rsid w:val="4E684A33"/>
    <w:rsid w:val="4E7628F4"/>
    <w:rsid w:val="4E7C3D10"/>
    <w:rsid w:val="4E853C5F"/>
    <w:rsid w:val="4E9F2EB4"/>
    <w:rsid w:val="4EA5257F"/>
    <w:rsid w:val="4EB955A4"/>
    <w:rsid w:val="4EC11762"/>
    <w:rsid w:val="4EC22273"/>
    <w:rsid w:val="4ECC00AA"/>
    <w:rsid w:val="4ED05701"/>
    <w:rsid w:val="4EEA4880"/>
    <w:rsid w:val="4EEB7C4E"/>
    <w:rsid w:val="4F065A52"/>
    <w:rsid w:val="4F0D1780"/>
    <w:rsid w:val="4F2958DD"/>
    <w:rsid w:val="4F32014F"/>
    <w:rsid w:val="4F4B7D24"/>
    <w:rsid w:val="4F540685"/>
    <w:rsid w:val="4F56045A"/>
    <w:rsid w:val="4F650FF5"/>
    <w:rsid w:val="4F6747D3"/>
    <w:rsid w:val="4F6927ED"/>
    <w:rsid w:val="4F694C67"/>
    <w:rsid w:val="4F6C7E93"/>
    <w:rsid w:val="4F700558"/>
    <w:rsid w:val="4F770F8A"/>
    <w:rsid w:val="4F834505"/>
    <w:rsid w:val="4F8F5488"/>
    <w:rsid w:val="4FCB1647"/>
    <w:rsid w:val="4FCC4892"/>
    <w:rsid w:val="4FD00F7F"/>
    <w:rsid w:val="4FD74093"/>
    <w:rsid w:val="4FDE0813"/>
    <w:rsid w:val="4FE00420"/>
    <w:rsid w:val="4FE030E2"/>
    <w:rsid w:val="4FE2490D"/>
    <w:rsid w:val="4FEA72E7"/>
    <w:rsid w:val="4FF236CE"/>
    <w:rsid w:val="5007155F"/>
    <w:rsid w:val="500E4812"/>
    <w:rsid w:val="50166ECB"/>
    <w:rsid w:val="5019288D"/>
    <w:rsid w:val="50226F4F"/>
    <w:rsid w:val="502604B3"/>
    <w:rsid w:val="502D08E1"/>
    <w:rsid w:val="502E38F9"/>
    <w:rsid w:val="5045161E"/>
    <w:rsid w:val="50583103"/>
    <w:rsid w:val="506A482B"/>
    <w:rsid w:val="506B6AC6"/>
    <w:rsid w:val="50774C77"/>
    <w:rsid w:val="50782FE3"/>
    <w:rsid w:val="508304EF"/>
    <w:rsid w:val="50917274"/>
    <w:rsid w:val="5095081C"/>
    <w:rsid w:val="509A2F79"/>
    <w:rsid w:val="509D55CD"/>
    <w:rsid w:val="50A12326"/>
    <w:rsid w:val="50A54D78"/>
    <w:rsid w:val="50D04F09"/>
    <w:rsid w:val="50D432DF"/>
    <w:rsid w:val="50E43CFE"/>
    <w:rsid w:val="50E93612"/>
    <w:rsid w:val="5101721E"/>
    <w:rsid w:val="51054037"/>
    <w:rsid w:val="51083494"/>
    <w:rsid w:val="511552EC"/>
    <w:rsid w:val="511B7CBC"/>
    <w:rsid w:val="51202A35"/>
    <w:rsid w:val="51493243"/>
    <w:rsid w:val="51524B16"/>
    <w:rsid w:val="5153314F"/>
    <w:rsid w:val="51536C3D"/>
    <w:rsid w:val="515D63DC"/>
    <w:rsid w:val="51732259"/>
    <w:rsid w:val="517B4F01"/>
    <w:rsid w:val="51AE36C5"/>
    <w:rsid w:val="51AE5E5D"/>
    <w:rsid w:val="51B301C3"/>
    <w:rsid w:val="51C036D6"/>
    <w:rsid w:val="51CC5EBF"/>
    <w:rsid w:val="51D30517"/>
    <w:rsid w:val="51D95E45"/>
    <w:rsid w:val="51DC6AB8"/>
    <w:rsid w:val="51EE05B6"/>
    <w:rsid w:val="51F25DEF"/>
    <w:rsid w:val="520C4DEF"/>
    <w:rsid w:val="52171E85"/>
    <w:rsid w:val="522A2A00"/>
    <w:rsid w:val="522C45E0"/>
    <w:rsid w:val="522C7792"/>
    <w:rsid w:val="523479BC"/>
    <w:rsid w:val="5251767B"/>
    <w:rsid w:val="52535AB9"/>
    <w:rsid w:val="52603884"/>
    <w:rsid w:val="52783925"/>
    <w:rsid w:val="527C2318"/>
    <w:rsid w:val="52826353"/>
    <w:rsid w:val="528642F6"/>
    <w:rsid w:val="5294522F"/>
    <w:rsid w:val="529A349E"/>
    <w:rsid w:val="52B34C64"/>
    <w:rsid w:val="52C250C8"/>
    <w:rsid w:val="52C503EC"/>
    <w:rsid w:val="52D17816"/>
    <w:rsid w:val="52D63354"/>
    <w:rsid w:val="52DE69FB"/>
    <w:rsid w:val="52EC11CB"/>
    <w:rsid w:val="52F12D30"/>
    <w:rsid w:val="52F755F7"/>
    <w:rsid w:val="52FC2210"/>
    <w:rsid w:val="5304690D"/>
    <w:rsid w:val="53091A2D"/>
    <w:rsid w:val="532C5643"/>
    <w:rsid w:val="53305343"/>
    <w:rsid w:val="53421FFE"/>
    <w:rsid w:val="53572610"/>
    <w:rsid w:val="535B20A4"/>
    <w:rsid w:val="53610832"/>
    <w:rsid w:val="53762B86"/>
    <w:rsid w:val="53777470"/>
    <w:rsid w:val="537E1079"/>
    <w:rsid w:val="538163F6"/>
    <w:rsid w:val="538A7B71"/>
    <w:rsid w:val="53921FD7"/>
    <w:rsid w:val="53930586"/>
    <w:rsid w:val="53947B04"/>
    <w:rsid w:val="539A6820"/>
    <w:rsid w:val="53A055D3"/>
    <w:rsid w:val="53A205BB"/>
    <w:rsid w:val="53AF50FB"/>
    <w:rsid w:val="53B151E0"/>
    <w:rsid w:val="53B632B8"/>
    <w:rsid w:val="53BB50E8"/>
    <w:rsid w:val="53C04581"/>
    <w:rsid w:val="53D04416"/>
    <w:rsid w:val="53F0393E"/>
    <w:rsid w:val="53F3259A"/>
    <w:rsid w:val="53FD704A"/>
    <w:rsid w:val="540620EE"/>
    <w:rsid w:val="54186DF4"/>
    <w:rsid w:val="541A0545"/>
    <w:rsid w:val="542722EE"/>
    <w:rsid w:val="54374A2A"/>
    <w:rsid w:val="543D3BE0"/>
    <w:rsid w:val="544F4724"/>
    <w:rsid w:val="545C73D7"/>
    <w:rsid w:val="546519DC"/>
    <w:rsid w:val="5469664E"/>
    <w:rsid w:val="54755312"/>
    <w:rsid w:val="54792F89"/>
    <w:rsid w:val="54851816"/>
    <w:rsid w:val="54946212"/>
    <w:rsid w:val="549534E0"/>
    <w:rsid w:val="549E6942"/>
    <w:rsid w:val="54A609F6"/>
    <w:rsid w:val="54CA00E5"/>
    <w:rsid w:val="54CD2DFD"/>
    <w:rsid w:val="54D572D0"/>
    <w:rsid w:val="550A6565"/>
    <w:rsid w:val="550E6C7D"/>
    <w:rsid w:val="550F3FF2"/>
    <w:rsid w:val="55140685"/>
    <w:rsid w:val="55151736"/>
    <w:rsid w:val="55226F8D"/>
    <w:rsid w:val="55264138"/>
    <w:rsid w:val="552E1DE5"/>
    <w:rsid w:val="553C2971"/>
    <w:rsid w:val="554064A8"/>
    <w:rsid w:val="55441E00"/>
    <w:rsid w:val="55447ABD"/>
    <w:rsid w:val="554D0FCE"/>
    <w:rsid w:val="554D126D"/>
    <w:rsid w:val="55543389"/>
    <w:rsid w:val="555D4D2B"/>
    <w:rsid w:val="555F7A9C"/>
    <w:rsid w:val="55670094"/>
    <w:rsid w:val="55716B04"/>
    <w:rsid w:val="55A9520F"/>
    <w:rsid w:val="55AB4BB4"/>
    <w:rsid w:val="55AD618B"/>
    <w:rsid w:val="55C51171"/>
    <w:rsid w:val="55CB0EF4"/>
    <w:rsid w:val="55DC3C25"/>
    <w:rsid w:val="55E06C30"/>
    <w:rsid w:val="55E95FEC"/>
    <w:rsid w:val="55F005E4"/>
    <w:rsid w:val="55F33CD9"/>
    <w:rsid w:val="55F66200"/>
    <w:rsid w:val="55FB00B8"/>
    <w:rsid w:val="55FE2A66"/>
    <w:rsid w:val="55FE762A"/>
    <w:rsid w:val="56163B6A"/>
    <w:rsid w:val="56327C6C"/>
    <w:rsid w:val="564918DE"/>
    <w:rsid w:val="5652429E"/>
    <w:rsid w:val="565247BF"/>
    <w:rsid w:val="56784B96"/>
    <w:rsid w:val="568455E7"/>
    <w:rsid w:val="56883BE3"/>
    <w:rsid w:val="5699661E"/>
    <w:rsid w:val="569D5CA9"/>
    <w:rsid w:val="56B32F05"/>
    <w:rsid w:val="56D96DB8"/>
    <w:rsid w:val="56D97AFB"/>
    <w:rsid w:val="56DB5E37"/>
    <w:rsid w:val="56E122E7"/>
    <w:rsid w:val="56E82906"/>
    <w:rsid w:val="56EC45A2"/>
    <w:rsid w:val="56EC5DF2"/>
    <w:rsid w:val="56F43ADF"/>
    <w:rsid w:val="57103570"/>
    <w:rsid w:val="57165E45"/>
    <w:rsid w:val="571906D8"/>
    <w:rsid w:val="571F7091"/>
    <w:rsid w:val="57292F1D"/>
    <w:rsid w:val="572C330F"/>
    <w:rsid w:val="57336FA1"/>
    <w:rsid w:val="57442C0C"/>
    <w:rsid w:val="575D3E08"/>
    <w:rsid w:val="575E6DF7"/>
    <w:rsid w:val="578A7931"/>
    <w:rsid w:val="579A36B2"/>
    <w:rsid w:val="579D2E1B"/>
    <w:rsid w:val="57B15E16"/>
    <w:rsid w:val="57B61A28"/>
    <w:rsid w:val="57E02122"/>
    <w:rsid w:val="57E04C16"/>
    <w:rsid w:val="57E10282"/>
    <w:rsid w:val="57E10A18"/>
    <w:rsid w:val="57F147F4"/>
    <w:rsid w:val="57F610FA"/>
    <w:rsid w:val="57F97081"/>
    <w:rsid w:val="5813297F"/>
    <w:rsid w:val="58192571"/>
    <w:rsid w:val="5827693E"/>
    <w:rsid w:val="582B531B"/>
    <w:rsid w:val="58321906"/>
    <w:rsid w:val="585E1759"/>
    <w:rsid w:val="586817E4"/>
    <w:rsid w:val="58735841"/>
    <w:rsid w:val="58833B6B"/>
    <w:rsid w:val="589943A6"/>
    <w:rsid w:val="58A0688C"/>
    <w:rsid w:val="58A51347"/>
    <w:rsid w:val="58A942C4"/>
    <w:rsid w:val="58B27DE2"/>
    <w:rsid w:val="58BC340F"/>
    <w:rsid w:val="58C5573F"/>
    <w:rsid w:val="58CF55AD"/>
    <w:rsid w:val="58D04950"/>
    <w:rsid w:val="58E27027"/>
    <w:rsid w:val="58E80ED3"/>
    <w:rsid w:val="58FC58DC"/>
    <w:rsid w:val="590F0D55"/>
    <w:rsid w:val="59492DC5"/>
    <w:rsid w:val="594A4983"/>
    <w:rsid w:val="594B44B2"/>
    <w:rsid w:val="594F3868"/>
    <w:rsid w:val="59577623"/>
    <w:rsid w:val="59590052"/>
    <w:rsid w:val="597A434D"/>
    <w:rsid w:val="59837277"/>
    <w:rsid w:val="59864F37"/>
    <w:rsid w:val="59912B41"/>
    <w:rsid w:val="59A94E13"/>
    <w:rsid w:val="59AA05CF"/>
    <w:rsid w:val="59BE0DE3"/>
    <w:rsid w:val="59C77A85"/>
    <w:rsid w:val="59D3540A"/>
    <w:rsid w:val="59D413B8"/>
    <w:rsid w:val="59D52C1E"/>
    <w:rsid w:val="59D84074"/>
    <w:rsid w:val="59DB7B32"/>
    <w:rsid w:val="59DD105F"/>
    <w:rsid w:val="59FF1AE3"/>
    <w:rsid w:val="5A1164A2"/>
    <w:rsid w:val="5A173237"/>
    <w:rsid w:val="5A1D2E8A"/>
    <w:rsid w:val="5A1D47B4"/>
    <w:rsid w:val="5A35395E"/>
    <w:rsid w:val="5A3D61C7"/>
    <w:rsid w:val="5A4468FC"/>
    <w:rsid w:val="5A4D6E61"/>
    <w:rsid w:val="5A6F63BD"/>
    <w:rsid w:val="5A8A0AE5"/>
    <w:rsid w:val="5A8D2E03"/>
    <w:rsid w:val="5A8D5011"/>
    <w:rsid w:val="5A8E53AC"/>
    <w:rsid w:val="5A904B3D"/>
    <w:rsid w:val="5A910162"/>
    <w:rsid w:val="5AAC6D3A"/>
    <w:rsid w:val="5ABF5647"/>
    <w:rsid w:val="5AC067C1"/>
    <w:rsid w:val="5AC62C29"/>
    <w:rsid w:val="5AD377AF"/>
    <w:rsid w:val="5AD83726"/>
    <w:rsid w:val="5AE43746"/>
    <w:rsid w:val="5AF557D6"/>
    <w:rsid w:val="5AFD1C69"/>
    <w:rsid w:val="5B020790"/>
    <w:rsid w:val="5B026D9C"/>
    <w:rsid w:val="5B034656"/>
    <w:rsid w:val="5B0C4BA8"/>
    <w:rsid w:val="5B107039"/>
    <w:rsid w:val="5B24318B"/>
    <w:rsid w:val="5B345096"/>
    <w:rsid w:val="5B362A81"/>
    <w:rsid w:val="5B406C09"/>
    <w:rsid w:val="5B4252F0"/>
    <w:rsid w:val="5B4672E2"/>
    <w:rsid w:val="5B482991"/>
    <w:rsid w:val="5B522B29"/>
    <w:rsid w:val="5B5A6341"/>
    <w:rsid w:val="5B9000A0"/>
    <w:rsid w:val="5B903647"/>
    <w:rsid w:val="5B923842"/>
    <w:rsid w:val="5B9B44DA"/>
    <w:rsid w:val="5BD13847"/>
    <w:rsid w:val="5BD47E4F"/>
    <w:rsid w:val="5BE616F3"/>
    <w:rsid w:val="5BF4152B"/>
    <w:rsid w:val="5BFE5ECB"/>
    <w:rsid w:val="5C054583"/>
    <w:rsid w:val="5C074BFC"/>
    <w:rsid w:val="5C1F7520"/>
    <w:rsid w:val="5C275553"/>
    <w:rsid w:val="5C28715E"/>
    <w:rsid w:val="5C415FB3"/>
    <w:rsid w:val="5C4D5BAC"/>
    <w:rsid w:val="5C54304E"/>
    <w:rsid w:val="5C575541"/>
    <w:rsid w:val="5C610B58"/>
    <w:rsid w:val="5C8E0C81"/>
    <w:rsid w:val="5C975836"/>
    <w:rsid w:val="5CA11332"/>
    <w:rsid w:val="5CA46AC8"/>
    <w:rsid w:val="5CA854C3"/>
    <w:rsid w:val="5CAE513F"/>
    <w:rsid w:val="5CAF27AA"/>
    <w:rsid w:val="5CB309AF"/>
    <w:rsid w:val="5CB31223"/>
    <w:rsid w:val="5CB744A8"/>
    <w:rsid w:val="5CD50EE5"/>
    <w:rsid w:val="5CD643B3"/>
    <w:rsid w:val="5CE648D9"/>
    <w:rsid w:val="5CEB7461"/>
    <w:rsid w:val="5CF530FC"/>
    <w:rsid w:val="5D1256CE"/>
    <w:rsid w:val="5D2713F9"/>
    <w:rsid w:val="5D3F4307"/>
    <w:rsid w:val="5D4077EE"/>
    <w:rsid w:val="5D6152B6"/>
    <w:rsid w:val="5D644819"/>
    <w:rsid w:val="5D784ECD"/>
    <w:rsid w:val="5D79238A"/>
    <w:rsid w:val="5D795C4C"/>
    <w:rsid w:val="5D7A3771"/>
    <w:rsid w:val="5D8202EA"/>
    <w:rsid w:val="5D844253"/>
    <w:rsid w:val="5D850D53"/>
    <w:rsid w:val="5D881975"/>
    <w:rsid w:val="5D9E336F"/>
    <w:rsid w:val="5DA41EA8"/>
    <w:rsid w:val="5DB1576E"/>
    <w:rsid w:val="5DB434FF"/>
    <w:rsid w:val="5DB92B11"/>
    <w:rsid w:val="5DBB1F5B"/>
    <w:rsid w:val="5DC56E70"/>
    <w:rsid w:val="5DCA02A9"/>
    <w:rsid w:val="5DCB1F86"/>
    <w:rsid w:val="5DD05607"/>
    <w:rsid w:val="5DD313BD"/>
    <w:rsid w:val="5DDB1072"/>
    <w:rsid w:val="5DF27452"/>
    <w:rsid w:val="5E014405"/>
    <w:rsid w:val="5E055233"/>
    <w:rsid w:val="5E0558A5"/>
    <w:rsid w:val="5E1D79D0"/>
    <w:rsid w:val="5E1F3DE8"/>
    <w:rsid w:val="5E1F7B76"/>
    <w:rsid w:val="5E5460C4"/>
    <w:rsid w:val="5E5C5C6D"/>
    <w:rsid w:val="5E5E31B0"/>
    <w:rsid w:val="5E73562F"/>
    <w:rsid w:val="5E803820"/>
    <w:rsid w:val="5E8531E6"/>
    <w:rsid w:val="5E8A4855"/>
    <w:rsid w:val="5E9367A5"/>
    <w:rsid w:val="5E9709BB"/>
    <w:rsid w:val="5E9C0565"/>
    <w:rsid w:val="5E9D2324"/>
    <w:rsid w:val="5EA3451E"/>
    <w:rsid w:val="5EA769BE"/>
    <w:rsid w:val="5EB130B7"/>
    <w:rsid w:val="5EBB2812"/>
    <w:rsid w:val="5EBE40F6"/>
    <w:rsid w:val="5ED74C86"/>
    <w:rsid w:val="5EDE233A"/>
    <w:rsid w:val="5EE14D12"/>
    <w:rsid w:val="5EEA5A85"/>
    <w:rsid w:val="5EF028F7"/>
    <w:rsid w:val="5EFB6FF5"/>
    <w:rsid w:val="5EFD32BF"/>
    <w:rsid w:val="5F076B4E"/>
    <w:rsid w:val="5F0933FB"/>
    <w:rsid w:val="5F1D646F"/>
    <w:rsid w:val="5F225B30"/>
    <w:rsid w:val="5F22731E"/>
    <w:rsid w:val="5F335B1F"/>
    <w:rsid w:val="5F3538F6"/>
    <w:rsid w:val="5F380CA5"/>
    <w:rsid w:val="5F3A5B90"/>
    <w:rsid w:val="5F3A6343"/>
    <w:rsid w:val="5F4204D1"/>
    <w:rsid w:val="5F473B9D"/>
    <w:rsid w:val="5F48614C"/>
    <w:rsid w:val="5F506F4D"/>
    <w:rsid w:val="5F5254AA"/>
    <w:rsid w:val="5F566CC1"/>
    <w:rsid w:val="5F6F50F9"/>
    <w:rsid w:val="5F78417A"/>
    <w:rsid w:val="5F845B9A"/>
    <w:rsid w:val="5F8602E0"/>
    <w:rsid w:val="5F8E4463"/>
    <w:rsid w:val="5FA0565B"/>
    <w:rsid w:val="5FA365FF"/>
    <w:rsid w:val="5FB843FA"/>
    <w:rsid w:val="5FB937AA"/>
    <w:rsid w:val="5FBC33E8"/>
    <w:rsid w:val="5FBC6157"/>
    <w:rsid w:val="5FC65213"/>
    <w:rsid w:val="5FCB581E"/>
    <w:rsid w:val="5FD55C3C"/>
    <w:rsid w:val="5FD66A5E"/>
    <w:rsid w:val="5FD858B3"/>
    <w:rsid w:val="5FE9215F"/>
    <w:rsid w:val="5FEF5234"/>
    <w:rsid w:val="60001244"/>
    <w:rsid w:val="60037B62"/>
    <w:rsid w:val="60066668"/>
    <w:rsid w:val="601B72C2"/>
    <w:rsid w:val="602313F2"/>
    <w:rsid w:val="6023797A"/>
    <w:rsid w:val="602665F6"/>
    <w:rsid w:val="60280C61"/>
    <w:rsid w:val="602A2DA5"/>
    <w:rsid w:val="602C44E4"/>
    <w:rsid w:val="60321412"/>
    <w:rsid w:val="60442EFB"/>
    <w:rsid w:val="606301B2"/>
    <w:rsid w:val="60657B16"/>
    <w:rsid w:val="60671914"/>
    <w:rsid w:val="606C08AE"/>
    <w:rsid w:val="606C5055"/>
    <w:rsid w:val="606E2AF9"/>
    <w:rsid w:val="60764834"/>
    <w:rsid w:val="60773415"/>
    <w:rsid w:val="60813C20"/>
    <w:rsid w:val="609059DE"/>
    <w:rsid w:val="60A03723"/>
    <w:rsid w:val="60B5788C"/>
    <w:rsid w:val="60C53C98"/>
    <w:rsid w:val="60D04085"/>
    <w:rsid w:val="60E73738"/>
    <w:rsid w:val="60F0521B"/>
    <w:rsid w:val="61034502"/>
    <w:rsid w:val="6113273D"/>
    <w:rsid w:val="611B40BF"/>
    <w:rsid w:val="612F24BD"/>
    <w:rsid w:val="61455B2C"/>
    <w:rsid w:val="615272A5"/>
    <w:rsid w:val="61597EC3"/>
    <w:rsid w:val="615E0D50"/>
    <w:rsid w:val="616B08E8"/>
    <w:rsid w:val="6177172C"/>
    <w:rsid w:val="617722EB"/>
    <w:rsid w:val="61A222F0"/>
    <w:rsid w:val="61AA4ED5"/>
    <w:rsid w:val="61B03BF8"/>
    <w:rsid w:val="61B255D5"/>
    <w:rsid w:val="61B626C8"/>
    <w:rsid w:val="61B7173B"/>
    <w:rsid w:val="61B71A29"/>
    <w:rsid w:val="61C273DC"/>
    <w:rsid w:val="61D92741"/>
    <w:rsid w:val="61E77D10"/>
    <w:rsid w:val="622D6ADD"/>
    <w:rsid w:val="623F60CE"/>
    <w:rsid w:val="624E656E"/>
    <w:rsid w:val="62556FA9"/>
    <w:rsid w:val="625D6320"/>
    <w:rsid w:val="626E5569"/>
    <w:rsid w:val="62700D38"/>
    <w:rsid w:val="6282282B"/>
    <w:rsid w:val="628527D0"/>
    <w:rsid w:val="628A2C8C"/>
    <w:rsid w:val="62936538"/>
    <w:rsid w:val="629A142B"/>
    <w:rsid w:val="629D1C2C"/>
    <w:rsid w:val="62C7676C"/>
    <w:rsid w:val="62D4073B"/>
    <w:rsid w:val="62DA389A"/>
    <w:rsid w:val="62DB1422"/>
    <w:rsid w:val="62FC1F47"/>
    <w:rsid w:val="62FD7C7B"/>
    <w:rsid w:val="6300246C"/>
    <w:rsid w:val="630B4617"/>
    <w:rsid w:val="63135989"/>
    <w:rsid w:val="631600B0"/>
    <w:rsid w:val="63240941"/>
    <w:rsid w:val="6337658B"/>
    <w:rsid w:val="633A1660"/>
    <w:rsid w:val="633C67A8"/>
    <w:rsid w:val="63414E40"/>
    <w:rsid w:val="63432674"/>
    <w:rsid w:val="6347657C"/>
    <w:rsid w:val="63477A33"/>
    <w:rsid w:val="635279FD"/>
    <w:rsid w:val="636A3DFC"/>
    <w:rsid w:val="636D1953"/>
    <w:rsid w:val="6388654B"/>
    <w:rsid w:val="63914CE7"/>
    <w:rsid w:val="63933E2B"/>
    <w:rsid w:val="639A36E5"/>
    <w:rsid w:val="63A964C2"/>
    <w:rsid w:val="63B247A2"/>
    <w:rsid w:val="63C911B7"/>
    <w:rsid w:val="63D00313"/>
    <w:rsid w:val="63D0752F"/>
    <w:rsid w:val="63DA13ED"/>
    <w:rsid w:val="63E126CE"/>
    <w:rsid w:val="63E276F3"/>
    <w:rsid w:val="63E94056"/>
    <w:rsid w:val="63EF6514"/>
    <w:rsid w:val="63FD6C5C"/>
    <w:rsid w:val="64120E07"/>
    <w:rsid w:val="641B09AC"/>
    <w:rsid w:val="64207BDD"/>
    <w:rsid w:val="64241F26"/>
    <w:rsid w:val="642D4B6C"/>
    <w:rsid w:val="64301FF2"/>
    <w:rsid w:val="64326339"/>
    <w:rsid w:val="64363591"/>
    <w:rsid w:val="644F3C9F"/>
    <w:rsid w:val="645E3128"/>
    <w:rsid w:val="64751C04"/>
    <w:rsid w:val="648452AE"/>
    <w:rsid w:val="649C50B6"/>
    <w:rsid w:val="64A76B97"/>
    <w:rsid w:val="64AA0748"/>
    <w:rsid w:val="64BA5BE6"/>
    <w:rsid w:val="64C050F2"/>
    <w:rsid w:val="64C20E1E"/>
    <w:rsid w:val="64C53F63"/>
    <w:rsid w:val="64D5423E"/>
    <w:rsid w:val="64E32BAC"/>
    <w:rsid w:val="64FF2315"/>
    <w:rsid w:val="650558C6"/>
    <w:rsid w:val="651033F6"/>
    <w:rsid w:val="65123230"/>
    <w:rsid w:val="65142CC1"/>
    <w:rsid w:val="651F242C"/>
    <w:rsid w:val="65393BFE"/>
    <w:rsid w:val="653C1938"/>
    <w:rsid w:val="654F012A"/>
    <w:rsid w:val="655A2481"/>
    <w:rsid w:val="655B3C5E"/>
    <w:rsid w:val="656F445C"/>
    <w:rsid w:val="657725E9"/>
    <w:rsid w:val="65930332"/>
    <w:rsid w:val="65957FD8"/>
    <w:rsid w:val="659D0615"/>
    <w:rsid w:val="65B56BF5"/>
    <w:rsid w:val="65BD6733"/>
    <w:rsid w:val="65C2043B"/>
    <w:rsid w:val="65C75EB9"/>
    <w:rsid w:val="65D9795F"/>
    <w:rsid w:val="65DC601C"/>
    <w:rsid w:val="65DD67A4"/>
    <w:rsid w:val="65DF43B0"/>
    <w:rsid w:val="6602552E"/>
    <w:rsid w:val="66060FC2"/>
    <w:rsid w:val="66115B12"/>
    <w:rsid w:val="661651F5"/>
    <w:rsid w:val="661B189F"/>
    <w:rsid w:val="661D2279"/>
    <w:rsid w:val="66252916"/>
    <w:rsid w:val="66281396"/>
    <w:rsid w:val="6628521C"/>
    <w:rsid w:val="662C05F9"/>
    <w:rsid w:val="66356D6D"/>
    <w:rsid w:val="66434B72"/>
    <w:rsid w:val="664808B0"/>
    <w:rsid w:val="664D326A"/>
    <w:rsid w:val="66513CFA"/>
    <w:rsid w:val="665A396B"/>
    <w:rsid w:val="665A729D"/>
    <w:rsid w:val="66616A64"/>
    <w:rsid w:val="666C6405"/>
    <w:rsid w:val="667674A8"/>
    <w:rsid w:val="66792569"/>
    <w:rsid w:val="667F0E0A"/>
    <w:rsid w:val="667F60C9"/>
    <w:rsid w:val="66832931"/>
    <w:rsid w:val="66836A3F"/>
    <w:rsid w:val="66840988"/>
    <w:rsid w:val="668B262C"/>
    <w:rsid w:val="66B5037E"/>
    <w:rsid w:val="66BA1A79"/>
    <w:rsid w:val="66C63BAD"/>
    <w:rsid w:val="66C8429E"/>
    <w:rsid w:val="66D161B8"/>
    <w:rsid w:val="66D84771"/>
    <w:rsid w:val="66EC2796"/>
    <w:rsid w:val="66F40A22"/>
    <w:rsid w:val="670A56FB"/>
    <w:rsid w:val="6716125E"/>
    <w:rsid w:val="6721522D"/>
    <w:rsid w:val="673E3BE0"/>
    <w:rsid w:val="673F2EE3"/>
    <w:rsid w:val="674214A0"/>
    <w:rsid w:val="675033C0"/>
    <w:rsid w:val="67603D55"/>
    <w:rsid w:val="67627252"/>
    <w:rsid w:val="6770680D"/>
    <w:rsid w:val="67760531"/>
    <w:rsid w:val="67783D88"/>
    <w:rsid w:val="678A5E09"/>
    <w:rsid w:val="67A26DCC"/>
    <w:rsid w:val="67B00BBE"/>
    <w:rsid w:val="67B844AA"/>
    <w:rsid w:val="67E03C92"/>
    <w:rsid w:val="67E45C73"/>
    <w:rsid w:val="67F37D54"/>
    <w:rsid w:val="67F90FFD"/>
    <w:rsid w:val="67F96C52"/>
    <w:rsid w:val="68067BD4"/>
    <w:rsid w:val="681018E3"/>
    <w:rsid w:val="68176D09"/>
    <w:rsid w:val="681D3566"/>
    <w:rsid w:val="6820759B"/>
    <w:rsid w:val="682673B8"/>
    <w:rsid w:val="682845CA"/>
    <w:rsid w:val="68293FBD"/>
    <w:rsid w:val="683F6B0E"/>
    <w:rsid w:val="68515AE5"/>
    <w:rsid w:val="685A0A9B"/>
    <w:rsid w:val="687E6EA9"/>
    <w:rsid w:val="68806EB1"/>
    <w:rsid w:val="688A1F52"/>
    <w:rsid w:val="688F7C7E"/>
    <w:rsid w:val="689A12EE"/>
    <w:rsid w:val="689C2DA1"/>
    <w:rsid w:val="68A07F7A"/>
    <w:rsid w:val="68A13996"/>
    <w:rsid w:val="68A76AA6"/>
    <w:rsid w:val="68B41886"/>
    <w:rsid w:val="68B465AF"/>
    <w:rsid w:val="68C64B00"/>
    <w:rsid w:val="68CC0823"/>
    <w:rsid w:val="68DF3902"/>
    <w:rsid w:val="68EF7EB8"/>
    <w:rsid w:val="68F166D7"/>
    <w:rsid w:val="690302AB"/>
    <w:rsid w:val="690B07B0"/>
    <w:rsid w:val="69295BA1"/>
    <w:rsid w:val="692C5E4F"/>
    <w:rsid w:val="693441D7"/>
    <w:rsid w:val="693574CA"/>
    <w:rsid w:val="693A174A"/>
    <w:rsid w:val="69556D97"/>
    <w:rsid w:val="69592F37"/>
    <w:rsid w:val="69601EB7"/>
    <w:rsid w:val="696459DB"/>
    <w:rsid w:val="697711D0"/>
    <w:rsid w:val="6977269B"/>
    <w:rsid w:val="699149B5"/>
    <w:rsid w:val="69A073DD"/>
    <w:rsid w:val="69A44C7F"/>
    <w:rsid w:val="69BA5C94"/>
    <w:rsid w:val="69C127FB"/>
    <w:rsid w:val="69C74F96"/>
    <w:rsid w:val="69CB51B8"/>
    <w:rsid w:val="69D17399"/>
    <w:rsid w:val="69D471E4"/>
    <w:rsid w:val="69DA5879"/>
    <w:rsid w:val="69DB55D5"/>
    <w:rsid w:val="69DD7ED8"/>
    <w:rsid w:val="69F82C67"/>
    <w:rsid w:val="69FE5D08"/>
    <w:rsid w:val="69FF509F"/>
    <w:rsid w:val="6A025FE6"/>
    <w:rsid w:val="6A041BC0"/>
    <w:rsid w:val="6A056114"/>
    <w:rsid w:val="6A11685E"/>
    <w:rsid w:val="6A251761"/>
    <w:rsid w:val="6A2C70DB"/>
    <w:rsid w:val="6A3134D7"/>
    <w:rsid w:val="6A3A039D"/>
    <w:rsid w:val="6A424E6A"/>
    <w:rsid w:val="6A52572E"/>
    <w:rsid w:val="6A642B0C"/>
    <w:rsid w:val="6A6E0683"/>
    <w:rsid w:val="6A7F3DFE"/>
    <w:rsid w:val="6A8B4EB2"/>
    <w:rsid w:val="6A8B6757"/>
    <w:rsid w:val="6A8D70DE"/>
    <w:rsid w:val="6A916B75"/>
    <w:rsid w:val="6A9A5EDD"/>
    <w:rsid w:val="6A9E73E3"/>
    <w:rsid w:val="6AA22C95"/>
    <w:rsid w:val="6AA575F8"/>
    <w:rsid w:val="6AAB7C2F"/>
    <w:rsid w:val="6AAD5E89"/>
    <w:rsid w:val="6AB46AC7"/>
    <w:rsid w:val="6ABA5A26"/>
    <w:rsid w:val="6AC15B39"/>
    <w:rsid w:val="6ACC0C94"/>
    <w:rsid w:val="6AD644C8"/>
    <w:rsid w:val="6AE31295"/>
    <w:rsid w:val="6AEC109D"/>
    <w:rsid w:val="6AEF08DD"/>
    <w:rsid w:val="6AF82610"/>
    <w:rsid w:val="6AFA4737"/>
    <w:rsid w:val="6AFF272E"/>
    <w:rsid w:val="6B065E84"/>
    <w:rsid w:val="6B143735"/>
    <w:rsid w:val="6B2118A3"/>
    <w:rsid w:val="6B2E654C"/>
    <w:rsid w:val="6B5318D1"/>
    <w:rsid w:val="6B5578F5"/>
    <w:rsid w:val="6B58051E"/>
    <w:rsid w:val="6B5829F9"/>
    <w:rsid w:val="6B642897"/>
    <w:rsid w:val="6B6F1F3D"/>
    <w:rsid w:val="6B781B54"/>
    <w:rsid w:val="6B7F52F1"/>
    <w:rsid w:val="6B900044"/>
    <w:rsid w:val="6B9C38C9"/>
    <w:rsid w:val="6B9C4E74"/>
    <w:rsid w:val="6BA00581"/>
    <w:rsid w:val="6BA36DCB"/>
    <w:rsid w:val="6BA95CD2"/>
    <w:rsid w:val="6BB267CA"/>
    <w:rsid w:val="6BC957BA"/>
    <w:rsid w:val="6BCA05F4"/>
    <w:rsid w:val="6BD55771"/>
    <w:rsid w:val="6BDD130F"/>
    <w:rsid w:val="6BE447FB"/>
    <w:rsid w:val="6BFE1D2C"/>
    <w:rsid w:val="6C151283"/>
    <w:rsid w:val="6C181DDE"/>
    <w:rsid w:val="6C2C121B"/>
    <w:rsid w:val="6C475343"/>
    <w:rsid w:val="6C5A1C75"/>
    <w:rsid w:val="6C7255D0"/>
    <w:rsid w:val="6C80001A"/>
    <w:rsid w:val="6C8062EC"/>
    <w:rsid w:val="6C89164F"/>
    <w:rsid w:val="6C8C7F87"/>
    <w:rsid w:val="6C922CD0"/>
    <w:rsid w:val="6C9460CE"/>
    <w:rsid w:val="6C9F3D9E"/>
    <w:rsid w:val="6CA413CD"/>
    <w:rsid w:val="6CAB07AF"/>
    <w:rsid w:val="6CAC42E2"/>
    <w:rsid w:val="6CAD423B"/>
    <w:rsid w:val="6CAF304F"/>
    <w:rsid w:val="6CB805E1"/>
    <w:rsid w:val="6CB8067C"/>
    <w:rsid w:val="6CD86D61"/>
    <w:rsid w:val="6CDA1254"/>
    <w:rsid w:val="6CDD2D2A"/>
    <w:rsid w:val="6CE267A4"/>
    <w:rsid w:val="6CEB6460"/>
    <w:rsid w:val="6CF4237C"/>
    <w:rsid w:val="6D01746C"/>
    <w:rsid w:val="6D037748"/>
    <w:rsid w:val="6D0D06AB"/>
    <w:rsid w:val="6D113E8D"/>
    <w:rsid w:val="6D1353A0"/>
    <w:rsid w:val="6D2F6662"/>
    <w:rsid w:val="6D350F65"/>
    <w:rsid w:val="6D396A71"/>
    <w:rsid w:val="6D617F29"/>
    <w:rsid w:val="6D7D4A62"/>
    <w:rsid w:val="6D7E6846"/>
    <w:rsid w:val="6D8023CD"/>
    <w:rsid w:val="6DA005A9"/>
    <w:rsid w:val="6DA767E2"/>
    <w:rsid w:val="6DB449D7"/>
    <w:rsid w:val="6DBE0C52"/>
    <w:rsid w:val="6DC04CD2"/>
    <w:rsid w:val="6DD66781"/>
    <w:rsid w:val="6DEE7DE6"/>
    <w:rsid w:val="6DF47F74"/>
    <w:rsid w:val="6DFA0655"/>
    <w:rsid w:val="6E016E7E"/>
    <w:rsid w:val="6E072901"/>
    <w:rsid w:val="6E084EE2"/>
    <w:rsid w:val="6E174DE0"/>
    <w:rsid w:val="6E1E051D"/>
    <w:rsid w:val="6E233290"/>
    <w:rsid w:val="6E2773CA"/>
    <w:rsid w:val="6E2B6AA1"/>
    <w:rsid w:val="6E2D765A"/>
    <w:rsid w:val="6E394636"/>
    <w:rsid w:val="6E3E614A"/>
    <w:rsid w:val="6E400632"/>
    <w:rsid w:val="6E492579"/>
    <w:rsid w:val="6E4A4582"/>
    <w:rsid w:val="6E531C62"/>
    <w:rsid w:val="6E5F5A09"/>
    <w:rsid w:val="6E691E72"/>
    <w:rsid w:val="6E6C2707"/>
    <w:rsid w:val="6E7861C0"/>
    <w:rsid w:val="6E9321CD"/>
    <w:rsid w:val="6EAB5ACE"/>
    <w:rsid w:val="6EB140B1"/>
    <w:rsid w:val="6EC72090"/>
    <w:rsid w:val="6ED06C88"/>
    <w:rsid w:val="6ED82254"/>
    <w:rsid w:val="6ED926F3"/>
    <w:rsid w:val="6EEA56BC"/>
    <w:rsid w:val="6EED76CA"/>
    <w:rsid w:val="6EFB1E81"/>
    <w:rsid w:val="6EFF1A7B"/>
    <w:rsid w:val="6EFF76D2"/>
    <w:rsid w:val="6F0F1C4D"/>
    <w:rsid w:val="6F184B1D"/>
    <w:rsid w:val="6F3C2F76"/>
    <w:rsid w:val="6F473EFB"/>
    <w:rsid w:val="6F5E2ABC"/>
    <w:rsid w:val="6F65014B"/>
    <w:rsid w:val="6F6925B2"/>
    <w:rsid w:val="6F7C3DCC"/>
    <w:rsid w:val="6F884E95"/>
    <w:rsid w:val="6F893ECF"/>
    <w:rsid w:val="6FA00221"/>
    <w:rsid w:val="6FA824AC"/>
    <w:rsid w:val="6FA8518C"/>
    <w:rsid w:val="6FAA2FED"/>
    <w:rsid w:val="6FAF7AB6"/>
    <w:rsid w:val="6FB31474"/>
    <w:rsid w:val="6FB349B1"/>
    <w:rsid w:val="6FB35398"/>
    <w:rsid w:val="6FB81B1F"/>
    <w:rsid w:val="6FBF04B2"/>
    <w:rsid w:val="6FC96D46"/>
    <w:rsid w:val="6FCB228A"/>
    <w:rsid w:val="6FD73456"/>
    <w:rsid w:val="6FDC7F7A"/>
    <w:rsid w:val="6FDD2D88"/>
    <w:rsid w:val="6FE00A3B"/>
    <w:rsid w:val="6FE17681"/>
    <w:rsid w:val="6FE20D80"/>
    <w:rsid w:val="6FE514E8"/>
    <w:rsid w:val="6FED1D78"/>
    <w:rsid w:val="6FEF482E"/>
    <w:rsid w:val="6FF3186D"/>
    <w:rsid w:val="6FF74231"/>
    <w:rsid w:val="6FF92C1B"/>
    <w:rsid w:val="700F269F"/>
    <w:rsid w:val="70222901"/>
    <w:rsid w:val="702745AC"/>
    <w:rsid w:val="70387A01"/>
    <w:rsid w:val="704775F3"/>
    <w:rsid w:val="706359B8"/>
    <w:rsid w:val="70772F09"/>
    <w:rsid w:val="70912FDF"/>
    <w:rsid w:val="70954D22"/>
    <w:rsid w:val="709A7EBF"/>
    <w:rsid w:val="70BE0431"/>
    <w:rsid w:val="70C43953"/>
    <w:rsid w:val="70FA499F"/>
    <w:rsid w:val="70FE0223"/>
    <w:rsid w:val="70FE21C6"/>
    <w:rsid w:val="7104727C"/>
    <w:rsid w:val="71122C22"/>
    <w:rsid w:val="711E62A1"/>
    <w:rsid w:val="712038D6"/>
    <w:rsid w:val="71237358"/>
    <w:rsid w:val="712B00D1"/>
    <w:rsid w:val="712B38B8"/>
    <w:rsid w:val="712B3F4F"/>
    <w:rsid w:val="71383046"/>
    <w:rsid w:val="71393FFD"/>
    <w:rsid w:val="71443247"/>
    <w:rsid w:val="7157547F"/>
    <w:rsid w:val="716474DD"/>
    <w:rsid w:val="7165065B"/>
    <w:rsid w:val="71771A80"/>
    <w:rsid w:val="71900917"/>
    <w:rsid w:val="719D4CFC"/>
    <w:rsid w:val="71AA6278"/>
    <w:rsid w:val="71B55386"/>
    <w:rsid w:val="71C754DE"/>
    <w:rsid w:val="71D665DE"/>
    <w:rsid w:val="71DD1DF2"/>
    <w:rsid w:val="71E9171C"/>
    <w:rsid w:val="71F452CD"/>
    <w:rsid w:val="72090470"/>
    <w:rsid w:val="720C6BCC"/>
    <w:rsid w:val="72102971"/>
    <w:rsid w:val="72142C7F"/>
    <w:rsid w:val="721B1C5E"/>
    <w:rsid w:val="722A08D8"/>
    <w:rsid w:val="722B5109"/>
    <w:rsid w:val="723458BE"/>
    <w:rsid w:val="723B6A53"/>
    <w:rsid w:val="723D2AFB"/>
    <w:rsid w:val="724B20C6"/>
    <w:rsid w:val="725123C2"/>
    <w:rsid w:val="72793892"/>
    <w:rsid w:val="727A53C8"/>
    <w:rsid w:val="729B2135"/>
    <w:rsid w:val="72AE628D"/>
    <w:rsid w:val="72BB25BD"/>
    <w:rsid w:val="72C83B28"/>
    <w:rsid w:val="72CB546E"/>
    <w:rsid w:val="72CD7F4C"/>
    <w:rsid w:val="72DD2A51"/>
    <w:rsid w:val="72FB7AB5"/>
    <w:rsid w:val="73050017"/>
    <w:rsid w:val="730F0F83"/>
    <w:rsid w:val="73194BF9"/>
    <w:rsid w:val="73253A26"/>
    <w:rsid w:val="73283E93"/>
    <w:rsid w:val="73300F01"/>
    <w:rsid w:val="73483F48"/>
    <w:rsid w:val="734A2C32"/>
    <w:rsid w:val="73575364"/>
    <w:rsid w:val="735A6A75"/>
    <w:rsid w:val="735F09EC"/>
    <w:rsid w:val="7375259B"/>
    <w:rsid w:val="737B7FFF"/>
    <w:rsid w:val="737E5BB5"/>
    <w:rsid w:val="737F3142"/>
    <w:rsid w:val="73897433"/>
    <w:rsid w:val="739100AF"/>
    <w:rsid w:val="73B07652"/>
    <w:rsid w:val="73B10FC1"/>
    <w:rsid w:val="73BD6140"/>
    <w:rsid w:val="73C430A0"/>
    <w:rsid w:val="73C661D1"/>
    <w:rsid w:val="73E32554"/>
    <w:rsid w:val="73E3448D"/>
    <w:rsid w:val="73E821D4"/>
    <w:rsid w:val="74110767"/>
    <w:rsid w:val="74112EA8"/>
    <w:rsid w:val="741C0314"/>
    <w:rsid w:val="742F75C6"/>
    <w:rsid w:val="74367EDD"/>
    <w:rsid w:val="743832BD"/>
    <w:rsid w:val="744066AF"/>
    <w:rsid w:val="74416D33"/>
    <w:rsid w:val="7451046D"/>
    <w:rsid w:val="7451766C"/>
    <w:rsid w:val="746F06FF"/>
    <w:rsid w:val="74710B27"/>
    <w:rsid w:val="747312B1"/>
    <w:rsid w:val="74874E52"/>
    <w:rsid w:val="74897168"/>
    <w:rsid w:val="74950615"/>
    <w:rsid w:val="749A2B60"/>
    <w:rsid w:val="749A521B"/>
    <w:rsid w:val="74E637D3"/>
    <w:rsid w:val="74EB5809"/>
    <w:rsid w:val="74F251FD"/>
    <w:rsid w:val="74F7002D"/>
    <w:rsid w:val="74FD7E56"/>
    <w:rsid w:val="7509067C"/>
    <w:rsid w:val="750E27C7"/>
    <w:rsid w:val="75236C81"/>
    <w:rsid w:val="754A2E68"/>
    <w:rsid w:val="754E271F"/>
    <w:rsid w:val="755F387D"/>
    <w:rsid w:val="756348B4"/>
    <w:rsid w:val="756B62FA"/>
    <w:rsid w:val="758071C6"/>
    <w:rsid w:val="75870319"/>
    <w:rsid w:val="75916EEA"/>
    <w:rsid w:val="75973794"/>
    <w:rsid w:val="75AD3D8E"/>
    <w:rsid w:val="75CC4EB4"/>
    <w:rsid w:val="75E47F54"/>
    <w:rsid w:val="75EE0425"/>
    <w:rsid w:val="75F93E05"/>
    <w:rsid w:val="75FF0922"/>
    <w:rsid w:val="75FF4D67"/>
    <w:rsid w:val="760266C5"/>
    <w:rsid w:val="761C55F2"/>
    <w:rsid w:val="76261B5A"/>
    <w:rsid w:val="76362102"/>
    <w:rsid w:val="763B4A56"/>
    <w:rsid w:val="763C47F4"/>
    <w:rsid w:val="76415E64"/>
    <w:rsid w:val="765359F1"/>
    <w:rsid w:val="76907A67"/>
    <w:rsid w:val="769D3129"/>
    <w:rsid w:val="76A715AA"/>
    <w:rsid w:val="76A92721"/>
    <w:rsid w:val="76A93DF2"/>
    <w:rsid w:val="76B0593D"/>
    <w:rsid w:val="76BC5DCC"/>
    <w:rsid w:val="76C13DE7"/>
    <w:rsid w:val="76C7076F"/>
    <w:rsid w:val="76C864FA"/>
    <w:rsid w:val="76D22345"/>
    <w:rsid w:val="76D3007E"/>
    <w:rsid w:val="76D84EE0"/>
    <w:rsid w:val="76D923B4"/>
    <w:rsid w:val="76D93241"/>
    <w:rsid w:val="76DB270D"/>
    <w:rsid w:val="76DC7998"/>
    <w:rsid w:val="76EE5065"/>
    <w:rsid w:val="76F66A11"/>
    <w:rsid w:val="76FD2E5D"/>
    <w:rsid w:val="771559A3"/>
    <w:rsid w:val="77186057"/>
    <w:rsid w:val="771E3154"/>
    <w:rsid w:val="77280615"/>
    <w:rsid w:val="772F5646"/>
    <w:rsid w:val="77301166"/>
    <w:rsid w:val="7741741A"/>
    <w:rsid w:val="77450687"/>
    <w:rsid w:val="77485DC1"/>
    <w:rsid w:val="77500DB8"/>
    <w:rsid w:val="7753464B"/>
    <w:rsid w:val="77583AF0"/>
    <w:rsid w:val="775F18FA"/>
    <w:rsid w:val="7766173B"/>
    <w:rsid w:val="77663694"/>
    <w:rsid w:val="77665563"/>
    <w:rsid w:val="776A3DB5"/>
    <w:rsid w:val="77724078"/>
    <w:rsid w:val="7779749A"/>
    <w:rsid w:val="7787264A"/>
    <w:rsid w:val="778C59CF"/>
    <w:rsid w:val="77A61ED0"/>
    <w:rsid w:val="77B4330D"/>
    <w:rsid w:val="77C13999"/>
    <w:rsid w:val="77C8129E"/>
    <w:rsid w:val="77CB34B8"/>
    <w:rsid w:val="77D16C91"/>
    <w:rsid w:val="77DA7C81"/>
    <w:rsid w:val="77DE3E8D"/>
    <w:rsid w:val="77EC254F"/>
    <w:rsid w:val="781323B7"/>
    <w:rsid w:val="78300794"/>
    <w:rsid w:val="78447413"/>
    <w:rsid w:val="784638FF"/>
    <w:rsid w:val="78555DE7"/>
    <w:rsid w:val="785610A2"/>
    <w:rsid w:val="785A0DB1"/>
    <w:rsid w:val="7875409D"/>
    <w:rsid w:val="78756100"/>
    <w:rsid w:val="787D2C9A"/>
    <w:rsid w:val="787D5686"/>
    <w:rsid w:val="789F15FA"/>
    <w:rsid w:val="78BB24E8"/>
    <w:rsid w:val="78C07F1E"/>
    <w:rsid w:val="78CB1197"/>
    <w:rsid w:val="78EB2225"/>
    <w:rsid w:val="78FC2A81"/>
    <w:rsid w:val="79035178"/>
    <w:rsid w:val="7906380F"/>
    <w:rsid w:val="79066389"/>
    <w:rsid w:val="790A70CA"/>
    <w:rsid w:val="79157696"/>
    <w:rsid w:val="79175CFA"/>
    <w:rsid w:val="792D4F71"/>
    <w:rsid w:val="79303E5C"/>
    <w:rsid w:val="79363934"/>
    <w:rsid w:val="793D632E"/>
    <w:rsid w:val="7948429A"/>
    <w:rsid w:val="795B24E5"/>
    <w:rsid w:val="795C7FF5"/>
    <w:rsid w:val="79605BB8"/>
    <w:rsid w:val="7964185A"/>
    <w:rsid w:val="7975406D"/>
    <w:rsid w:val="797E5512"/>
    <w:rsid w:val="79801DBD"/>
    <w:rsid w:val="79860355"/>
    <w:rsid w:val="799310EB"/>
    <w:rsid w:val="79AE45BD"/>
    <w:rsid w:val="79B94E1C"/>
    <w:rsid w:val="79BE0C60"/>
    <w:rsid w:val="79D97AE5"/>
    <w:rsid w:val="79DC10E6"/>
    <w:rsid w:val="79E958BD"/>
    <w:rsid w:val="79F95C6D"/>
    <w:rsid w:val="79FB7A40"/>
    <w:rsid w:val="7A017191"/>
    <w:rsid w:val="7A17555D"/>
    <w:rsid w:val="7A1C0933"/>
    <w:rsid w:val="7A210CA6"/>
    <w:rsid w:val="7A294BB5"/>
    <w:rsid w:val="7A3238FA"/>
    <w:rsid w:val="7A3A4611"/>
    <w:rsid w:val="7A491960"/>
    <w:rsid w:val="7A5B3E68"/>
    <w:rsid w:val="7A6479B5"/>
    <w:rsid w:val="7A6E7D80"/>
    <w:rsid w:val="7A7905BB"/>
    <w:rsid w:val="7A8359A4"/>
    <w:rsid w:val="7A8E76F8"/>
    <w:rsid w:val="7AA15B2F"/>
    <w:rsid w:val="7AA3102A"/>
    <w:rsid w:val="7AB62E36"/>
    <w:rsid w:val="7ABF535A"/>
    <w:rsid w:val="7AC509C6"/>
    <w:rsid w:val="7AD20045"/>
    <w:rsid w:val="7AD93B54"/>
    <w:rsid w:val="7ADA59B7"/>
    <w:rsid w:val="7ADB6813"/>
    <w:rsid w:val="7AFC7058"/>
    <w:rsid w:val="7AFD6121"/>
    <w:rsid w:val="7AFD723B"/>
    <w:rsid w:val="7B011A54"/>
    <w:rsid w:val="7B036ACB"/>
    <w:rsid w:val="7B0A506A"/>
    <w:rsid w:val="7B0C6B9C"/>
    <w:rsid w:val="7B1022CC"/>
    <w:rsid w:val="7B14425C"/>
    <w:rsid w:val="7B234F60"/>
    <w:rsid w:val="7B2910FA"/>
    <w:rsid w:val="7B2D04EA"/>
    <w:rsid w:val="7B3D0522"/>
    <w:rsid w:val="7B3D2992"/>
    <w:rsid w:val="7B422DAA"/>
    <w:rsid w:val="7B4707E1"/>
    <w:rsid w:val="7B4B1AA5"/>
    <w:rsid w:val="7B58550F"/>
    <w:rsid w:val="7B60147E"/>
    <w:rsid w:val="7B6D749A"/>
    <w:rsid w:val="7B747F63"/>
    <w:rsid w:val="7B7878F3"/>
    <w:rsid w:val="7B87463D"/>
    <w:rsid w:val="7B89186C"/>
    <w:rsid w:val="7B8B5E20"/>
    <w:rsid w:val="7B8D3E4D"/>
    <w:rsid w:val="7BA619AB"/>
    <w:rsid w:val="7BAB35D7"/>
    <w:rsid w:val="7BAD79C3"/>
    <w:rsid w:val="7BB2383B"/>
    <w:rsid w:val="7BBC75BA"/>
    <w:rsid w:val="7BD362C8"/>
    <w:rsid w:val="7BD54046"/>
    <w:rsid w:val="7BDA5D83"/>
    <w:rsid w:val="7BDF2C08"/>
    <w:rsid w:val="7BEC2E8A"/>
    <w:rsid w:val="7BF30909"/>
    <w:rsid w:val="7BFC7E72"/>
    <w:rsid w:val="7BFF4018"/>
    <w:rsid w:val="7C035C32"/>
    <w:rsid w:val="7C0D1637"/>
    <w:rsid w:val="7C2A49AB"/>
    <w:rsid w:val="7C310EF5"/>
    <w:rsid w:val="7C3A79AF"/>
    <w:rsid w:val="7C54090F"/>
    <w:rsid w:val="7C5C35EE"/>
    <w:rsid w:val="7C723E1C"/>
    <w:rsid w:val="7C7B03BD"/>
    <w:rsid w:val="7C7E46D6"/>
    <w:rsid w:val="7C8E5AD2"/>
    <w:rsid w:val="7C992B5D"/>
    <w:rsid w:val="7C9F63FA"/>
    <w:rsid w:val="7CA611F6"/>
    <w:rsid w:val="7CA80533"/>
    <w:rsid w:val="7CAA7D05"/>
    <w:rsid w:val="7CB37F6C"/>
    <w:rsid w:val="7CB67B32"/>
    <w:rsid w:val="7CC24A7E"/>
    <w:rsid w:val="7CC4597B"/>
    <w:rsid w:val="7CD225FF"/>
    <w:rsid w:val="7CDD45CB"/>
    <w:rsid w:val="7CDE0658"/>
    <w:rsid w:val="7D020CBA"/>
    <w:rsid w:val="7D132607"/>
    <w:rsid w:val="7D17712A"/>
    <w:rsid w:val="7D2E60C5"/>
    <w:rsid w:val="7D3136DA"/>
    <w:rsid w:val="7D3943C9"/>
    <w:rsid w:val="7D3A5894"/>
    <w:rsid w:val="7D5C2388"/>
    <w:rsid w:val="7D6C635E"/>
    <w:rsid w:val="7D7076DB"/>
    <w:rsid w:val="7D7249C5"/>
    <w:rsid w:val="7D732173"/>
    <w:rsid w:val="7D761877"/>
    <w:rsid w:val="7D804EC7"/>
    <w:rsid w:val="7D8625D6"/>
    <w:rsid w:val="7D870821"/>
    <w:rsid w:val="7D915E92"/>
    <w:rsid w:val="7DC96275"/>
    <w:rsid w:val="7DD91E49"/>
    <w:rsid w:val="7DE452B2"/>
    <w:rsid w:val="7E112736"/>
    <w:rsid w:val="7E211009"/>
    <w:rsid w:val="7E2E0B45"/>
    <w:rsid w:val="7E350CB5"/>
    <w:rsid w:val="7E3B55B7"/>
    <w:rsid w:val="7E3B7624"/>
    <w:rsid w:val="7E465CE5"/>
    <w:rsid w:val="7E816B73"/>
    <w:rsid w:val="7E992D34"/>
    <w:rsid w:val="7E9E1039"/>
    <w:rsid w:val="7EB23C5A"/>
    <w:rsid w:val="7EBB717C"/>
    <w:rsid w:val="7EBC6F51"/>
    <w:rsid w:val="7EC71024"/>
    <w:rsid w:val="7ED82FA9"/>
    <w:rsid w:val="7EE11EC5"/>
    <w:rsid w:val="7EED5CE9"/>
    <w:rsid w:val="7EF46ED2"/>
    <w:rsid w:val="7F0A41B9"/>
    <w:rsid w:val="7F2B2B7C"/>
    <w:rsid w:val="7F2B77DE"/>
    <w:rsid w:val="7F300D38"/>
    <w:rsid w:val="7F391559"/>
    <w:rsid w:val="7F417E26"/>
    <w:rsid w:val="7F4365A6"/>
    <w:rsid w:val="7F4671C5"/>
    <w:rsid w:val="7F4E089D"/>
    <w:rsid w:val="7F523E49"/>
    <w:rsid w:val="7F5365AC"/>
    <w:rsid w:val="7F5F21DA"/>
    <w:rsid w:val="7F683C79"/>
    <w:rsid w:val="7F691E73"/>
    <w:rsid w:val="7F6A500E"/>
    <w:rsid w:val="7F78195A"/>
    <w:rsid w:val="7F7C56FC"/>
    <w:rsid w:val="7FB25A93"/>
    <w:rsid w:val="7FBB1AB2"/>
    <w:rsid w:val="7FC22A69"/>
    <w:rsid w:val="7FCA2415"/>
    <w:rsid w:val="7FD72417"/>
    <w:rsid w:val="7FE03D47"/>
    <w:rsid w:val="7FEDB5D8"/>
    <w:rsid w:val="7FF356A2"/>
    <w:rsid w:val="7FF60015"/>
    <w:rsid w:val="7FFC5A07"/>
  </w:rsids>
  <m:mathPr>
    <m:mathFont m:val="Cambria Math"/>
    <m:brkBin m:val="before"/>
    <m:brkBinSub m:val="--"/>
    <m:smallFrac m:val="1"/>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4"/>
    <w:qFormat/>
    <w:uiPriority w:val="99"/>
    <w:pPr>
      <w:keepNext/>
      <w:keepLines/>
      <w:spacing w:before="340" w:after="330" w:line="578" w:lineRule="auto"/>
      <w:outlineLvl w:val="0"/>
    </w:pPr>
    <w:rPr>
      <w:b/>
      <w:bCs/>
      <w:kern w:val="44"/>
      <w:sz w:val="44"/>
      <w:szCs w:val="44"/>
    </w:rPr>
  </w:style>
  <w:style w:type="paragraph" w:styleId="4">
    <w:name w:val="heading 2"/>
    <w:basedOn w:val="1"/>
    <w:next w:val="1"/>
    <w:qFormat/>
    <w:locked/>
    <w:uiPriority w:val="99"/>
    <w:pPr>
      <w:keepNext/>
      <w:keepLines/>
      <w:spacing w:before="260" w:after="260" w:line="416" w:lineRule="auto"/>
      <w:outlineLvl w:val="1"/>
    </w:pPr>
    <w:rPr>
      <w:rFonts w:ascii="Cambria" w:hAnsi="Cambria"/>
      <w:b/>
      <w:bCs/>
      <w:sz w:val="32"/>
      <w:szCs w:val="32"/>
    </w:rPr>
  </w:style>
  <w:style w:type="paragraph" w:styleId="5">
    <w:name w:val="heading 3"/>
    <w:basedOn w:val="1"/>
    <w:next w:val="1"/>
    <w:link w:val="25"/>
    <w:qFormat/>
    <w:uiPriority w:val="99"/>
    <w:pPr>
      <w:keepNext/>
      <w:keepLines/>
      <w:spacing w:before="260" w:after="260" w:line="416" w:lineRule="auto"/>
      <w:outlineLvl w:val="2"/>
    </w:pPr>
    <w:rPr>
      <w:rFonts w:ascii="Times New Roman" w:hAnsi="Times New Roman"/>
      <w:b/>
      <w:bCs/>
      <w:kern w:val="0"/>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45"/>
    <w:qFormat/>
    <w:uiPriority w:val="99"/>
    <w:pPr>
      <w:ind w:left="206"/>
      <w:jc w:val="left"/>
    </w:pPr>
    <w:rPr>
      <w:rFonts w:ascii="宋体" w:hAnsi="宋体"/>
      <w:kern w:val="0"/>
      <w:sz w:val="18"/>
      <w:szCs w:val="18"/>
      <w:lang w:eastAsia="en-US"/>
    </w:rPr>
  </w:style>
  <w:style w:type="paragraph" w:styleId="6">
    <w:name w:val="Document Map"/>
    <w:basedOn w:val="1"/>
    <w:link w:val="43"/>
    <w:semiHidden/>
    <w:unhideWhenUsed/>
    <w:qFormat/>
    <w:uiPriority w:val="99"/>
    <w:rPr>
      <w:rFonts w:ascii="宋体"/>
      <w:sz w:val="18"/>
      <w:szCs w:val="18"/>
    </w:rPr>
  </w:style>
  <w:style w:type="paragraph" w:styleId="7">
    <w:name w:val="annotation text"/>
    <w:basedOn w:val="1"/>
    <w:link w:val="28"/>
    <w:semiHidden/>
    <w:qFormat/>
    <w:uiPriority w:val="99"/>
    <w:pPr>
      <w:jc w:val="left"/>
    </w:pPr>
    <w:rPr>
      <w:kern w:val="0"/>
      <w:sz w:val="24"/>
    </w:rPr>
  </w:style>
  <w:style w:type="paragraph" w:styleId="8">
    <w:name w:val="toc 3"/>
    <w:basedOn w:val="1"/>
    <w:next w:val="1"/>
    <w:qFormat/>
    <w:uiPriority w:val="39"/>
    <w:pPr>
      <w:widowControl/>
      <w:spacing w:after="100" w:line="276" w:lineRule="auto"/>
      <w:ind w:left="440"/>
      <w:jc w:val="left"/>
    </w:pPr>
    <w:rPr>
      <w:kern w:val="0"/>
      <w:sz w:val="22"/>
      <w:szCs w:val="22"/>
    </w:rPr>
  </w:style>
  <w:style w:type="paragraph" w:styleId="9">
    <w:name w:val="Plain Text"/>
    <w:basedOn w:val="1"/>
    <w:link w:val="33"/>
    <w:qFormat/>
    <w:uiPriority w:val="99"/>
    <w:rPr>
      <w:rFonts w:ascii="宋体" w:hAnsi="Courier New"/>
      <w:kern w:val="0"/>
      <w:szCs w:val="21"/>
    </w:rPr>
  </w:style>
  <w:style w:type="paragraph" w:styleId="10">
    <w:name w:val="Date"/>
    <w:basedOn w:val="1"/>
    <w:next w:val="1"/>
    <w:link w:val="42"/>
    <w:qFormat/>
    <w:uiPriority w:val="99"/>
    <w:pPr>
      <w:ind w:left="100" w:leftChars="2500"/>
    </w:pPr>
    <w:rPr>
      <w:szCs w:val="22"/>
    </w:rPr>
  </w:style>
  <w:style w:type="paragraph" w:styleId="11">
    <w:name w:val="Balloon Text"/>
    <w:basedOn w:val="1"/>
    <w:link w:val="30"/>
    <w:semiHidden/>
    <w:qFormat/>
    <w:uiPriority w:val="99"/>
    <w:rPr>
      <w:kern w:val="0"/>
      <w:sz w:val="18"/>
      <w:szCs w:val="18"/>
    </w:rPr>
  </w:style>
  <w:style w:type="paragraph" w:styleId="12">
    <w:name w:val="footer"/>
    <w:basedOn w:val="1"/>
    <w:link w:val="27"/>
    <w:qFormat/>
    <w:uiPriority w:val="99"/>
    <w:pPr>
      <w:tabs>
        <w:tab w:val="center" w:pos="4153"/>
        <w:tab w:val="right" w:pos="8306"/>
      </w:tabs>
      <w:snapToGrid w:val="0"/>
      <w:jc w:val="left"/>
    </w:pPr>
    <w:rPr>
      <w:kern w:val="0"/>
      <w:sz w:val="18"/>
      <w:szCs w:val="18"/>
    </w:rPr>
  </w:style>
  <w:style w:type="paragraph" w:styleId="13">
    <w:name w:val="header"/>
    <w:basedOn w:val="1"/>
    <w:link w:val="26"/>
    <w:qFormat/>
    <w:uiPriority w:val="99"/>
    <w:pPr>
      <w:pBdr>
        <w:bottom w:val="single" w:color="auto" w:sz="6" w:space="1"/>
      </w:pBdr>
      <w:tabs>
        <w:tab w:val="center" w:pos="4153"/>
        <w:tab w:val="right" w:pos="8306"/>
      </w:tabs>
      <w:snapToGrid w:val="0"/>
      <w:jc w:val="center"/>
    </w:pPr>
    <w:rPr>
      <w:kern w:val="0"/>
      <w:sz w:val="18"/>
      <w:szCs w:val="18"/>
    </w:rPr>
  </w:style>
  <w:style w:type="paragraph" w:styleId="14">
    <w:name w:val="toc 1"/>
    <w:basedOn w:val="1"/>
    <w:next w:val="1"/>
    <w:qFormat/>
    <w:uiPriority w:val="39"/>
    <w:pPr>
      <w:widowControl/>
      <w:spacing w:after="100" w:line="276" w:lineRule="auto"/>
      <w:jc w:val="left"/>
    </w:pPr>
    <w:rPr>
      <w:kern w:val="0"/>
      <w:sz w:val="22"/>
      <w:szCs w:val="22"/>
    </w:rPr>
  </w:style>
  <w:style w:type="paragraph" w:styleId="15">
    <w:name w:val="toc 2"/>
    <w:basedOn w:val="1"/>
    <w:next w:val="1"/>
    <w:qFormat/>
    <w:uiPriority w:val="39"/>
    <w:pPr>
      <w:widowControl/>
      <w:spacing w:after="100" w:line="276" w:lineRule="auto"/>
      <w:ind w:left="220"/>
      <w:jc w:val="left"/>
    </w:pPr>
    <w:rPr>
      <w:kern w:val="0"/>
      <w:sz w:val="22"/>
      <w:szCs w:val="22"/>
    </w:rPr>
  </w:style>
  <w:style w:type="paragraph" w:styleId="16">
    <w:name w:val="Normal (Web)"/>
    <w:basedOn w:val="1"/>
    <w:qFormat/>
    <w:uiPriority w:val="99"/>
    <w:pPr>
      <w:jc w:val="left"/>
    </w:pPr>
    <w:rPr>
      <w:kern w:val="0"/>
      <w:sz w:val="24"/>
      <w:szCs w:val="22"/>
    </w:rPr>
  </w:style>
  <w:style w:type="paragraph" w:styleId="17">
    <w:name w:val="Title"/>
    <w:basedOn w:val="1"/>
    <w:next w:val="1"/>
    <w:link w:val="31"/>
    <w:qFormat/>
    <w:uiPriority w:val="0"/>
    <w:pPr>
      <w:spacing w:line="360" w:lineRule="auto"/>
      <w:outlineLvl w:val="0"/>
    </w:pPr>
    <w:rPr>
      <w:rFonts w:ascii="Times New Roman" w:hAnsi="Times New Roman" w:eastAsia="黑体"/>
      <w:bCs/>
      <w:kern w:val="0"/>
      <w:sz w:val="32"/>
      <w:szCs w:val="32"/>
    </w:rPr>
  </w:style>
  <w:style w:type="paragraph" w:styleId="18">
    <w:name w:val="annotation subject"/>
    <w:basedOn w:val="7"/>
    <w:next w:val="7"/>
    <w:link w:val="29"/>
    <w:semiHidden/>
    <w:qFormat/>
    <w:uiPriority w:val="99"/>
    <w:rPr>
      <w:b/>
      <w:bCs/>
    </w:rPr>
  </w:style>
  <w:style w:type="table" w:styleId="20">
    <w:name w:val="Table Grid"/>
    <w:basedOn w:val="19"/>
    <w:qFormat/>
    <w:locked/>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2">
    <w:name w:val="Hyperlink"/>
    <w:qFormat/>
    <w:uiPriority w:val="99"/>
    <w:rPr>
      <w:rFonts w:cs="Times New Roman"/>
      <w:color w:val="0000FF"/>
      <w:u w:val="single"/>
    </w:rPr>
  </w:style>
  <w:style w:type="character" w:styleId="23">
    <w:name w:val="annotation reference"/>
    <w:semiHidden/>
    <w:qFormat/>
    <w:uiPriority w:val="99"/>
    <w:rPr>
      <w:rFonts w:cs="Times New Roman"/>
      <w:sz w:val="21"/>
      <w:szCs w:val="21"/>
    </w:rPr>
  </w:style>
  <w:style w:type="character" w:customStyle="1" w:styleId="24">
    <w:name w:val="标题 1 Char"/>
    <w:link w:val="3"/>
    <w:qFormat/>
    <w:locked/>
    <w:uiPriority w:val="99"/>
    <w:rPr>
      <w:rFonts w:ascii="Calibri" w:hAnsi="Calibri" w:eastAsia="宋体" w:cs="Times New Roman"/>
      <w:b/>
      <w:bCs/>
      <w:kern w:val="44"/>
      <w:sz w:val="44"/>
      <w:szCs w:val="44"/>
    </w:rPr>
  </w:style>
  <w:style w:type="character" w:customStyle="1" w:styleId="25">
    <w:name w:val="标题 3 Char"/>
    <w:link w:val="5"/>
    <w:qFormat/>
    <w:locked/>
    <w:uiPriority w:val="99"/>
    <w:rPr>
      <w:rFonts w:ascii="Times New Roman" w:hAnsi="Times New Roman" w:eastAsia="宋体" w:cs="Times New Roman"/>
      <w:b/>
      <w:bCs/>
      <w:sz w:val="32"/>
      <w:szCs w:val="32"/>
    </w:rPr>
  </w:style>
  <w:style w:type="character" w:customStyle="1" w:styleId="26">
    <w:name w:val="页眉 Char"/>
    <w:link w:val="13"/>
    <w:qFormat/>
    <w:locked/>
    <w:uiPriority w:val="99"/>
    <w:rPr>
      <w:rFonts w:cs="Times New Roman"/>
      <w:sz w:val="18"/>
      <w:szCs w:val="18"/>
    </w:rPr>
  </w:style>
  <w:style w:type="character" w:customStyle="1" w:styleId="27">
    <w:name w:val="页脚 Char"/>
    <w:link w:val="12"/>
    <w:qFormat/>
    <w:locked/>
    <w:uiPriority w:val="99"/>
    <w:rPr>
      <w:rFonts w:cs="Times New Roman"/>
      <w:sz w:val="18"/>
      <w:szCs w:val="18"/>
    </w:rPr>
  </w:style>
  <w:style w:type="character" w:customStyle="1" w:styleId="28">
    <w:name w:val="批注文字 Char"/>
    <w:link w:val="7"/>
    <w:semiHidden/>
    <w:qFormat/>
    <w:locked/>
    <w:uiPriority w:val="99"/>
    <w:rPr>
      <w:rFonts w:ascii="Calibri" w:hAnsi="Calibri" w:eastAsia="宋体" w:cs="Times New Roman"/>
      <w:sz w:val="24"/>
      <w:szCs w:val="24"/>
    </w:rPr>
  </w:style>
  <w:style w:type="character" w:customStyle="1" w:styleId="29">
    <w:name w:val="批注主题 Char"/>
    <w:link w:val="18"/>
    <w:semiHidden/>
    <w:qFormat/>
    <w:locked/>
    <w:uiPriority w:val="99"/>
    <w:rPr>
      <w:rFonts w:ascii="Calibri" w:hAnsi="Calibri" w:eastAsia="宋体" w:cs="Times New Roman"/>
      <w:b/>
      <w:bCs/>
      <w:sz w:val="24"/>
      <w:szCs w:val="24"/>
    </w:rPr>
  </w:style>
  <w:style w:type="character" w:customStyle="1" w:styleId="30">
    <w:name w:val="批注框文本 Char"/>
    <w:link w:val="11"/>
    <w:semiHidden/>
    <w:qFormat/>
    <w:locked/>
    <w:uiPriority w:val="99"/>
    <w:rPr>
      <w:rFonts w:ascii="Calibri" w:hAnsi="Calibri" w:eastAsia="宋体" w:cs="Times New Roman"/>
      <w:sz w:val="18"/>
      <w:szCs w:val="18"/>
    </w:rPr>
  </w:style>
  <w:style w:type="character" w:customStyle="1" w:styleId="31">
    <w:name w:val="标题 Char1"/>
    <w:link w:val="17"/>
    <w:qFormat/>
    <w:locked/>
    <w:uiPriority w:val="99"/>
    <w:rPr>
      <w:rFonts w:ascii="Times New Roman" w:hAnsi="Times New Roman" w:eastAsia="黑体" w:cs="Times New Roman"/>
      <w:bCs/>
      <w:kern w:val="0"/>
      <w:sz w:val="32"/>
      <w:szCs w:val="32"/>
    </w:rPr>
  </w:style>
  <w:style w:type="character" w:customStyle="1" w:styleId="32">
    <w:name w:val="标题 Char"/>
    <w:qFormat/>
    <w:uiPriority w:val="99"/>
    <w:rPr>
      <w:rFonts w:ascii="Cambria" w:hAnsi="Cambria" w:eastAsia="宋体" w:cs="Times New Roman"/>
      <w:b/>
      <w:bCs/>
      <w:sz w:val="32"/>
      <w:szCs w:val="32"/>
    </w:rPr>
  </w:style>
  <w:style w:type="character" w:customStyle="1" w:styleId="33">
    <w:name w:val="纯文本 Char"/>
    <w:link w:val="9"/>
    <w:qFormat/>
    <w:locked/>
    <w:uiPriority w:val="99"/>
    <w:rPr>
      <w:rFonts w:ascii="宋体" w:hAnsi="Courier New" w:eastAsia="宋体" w:cs="Times New Roman"/>
      <w:sz w:val="21"/>
      <w:szCs w:val="21"/>
    </w:rPr>
  </w:style>
  <w:style w:type="paragraph" w:customStyle="1" w:styleId="34">
    <w:name w:val="列出段落1"/>
    <w:basedOn w:val="1"/>
    <w:qFormat/>
    <w:uiPriority w:val="99"/>
    <w:pPr>
      <w:widowControl/>
      <w:spacing w:after="200" w:line="276" w:lineRule="auto"/>
      <w:ind w:firstLine="420" w:firstLineChars="200"/>
      <w:jc w:val="left"/>
    </w:pPr>
    <w:rPr>
      <w:rFonts w:ascii="Times New Roman" w:hAnsi="Times New Roman"/>
      <w:kern w:val="0"/>
      <w:sz w:val="28"/>
      <w:szCs w:val="22"/>
      <w:lang w:eastAsia="en-US"/>
    </w:rPr>
  </w:style>
  <w:style w:type="character" w:customStyle="1" w:styleId="35">
    <w:name w:val="font01"/>
    <w:qFormat/>
    <w:uiPriority w:val="0"/>
    <w:rPr>
      <w:rFonts w:ascii="Symbol" w:hAnsi="Symbol" w:cs="Times New Roman"/>
      <w:color w:val="000000"/>
      <w:sz w:val="24"/>
      <w:szCs w:val="24"/>
      <w:u w:val="none"/>
    </w:rPr>
  </w:style>
  <w:style w:type="character" w:customStyle="1" w:styleId="36">
    <w:name w:val="font11"/>
    <w:qFormat/>
    <w:uiPriority w:val="0"/>
    <w:rPr>
      <w:rFonts w:ascii="仿宋" w:hAnsi="仿宋" w:eastAsia="仿宋" w:cs="Times New Roman"/>
      <w:color w:val="000000"/>
      <w:sz w:val="24"/>
      <w:szCs w:val="24"/>
      <w:u w:val="none"/>
    </w:rPr>
  </w:style>
  <w:style w:type="character" w:customStyle="1" w:styleId="37">
    <w:name w:val="font31"/>
    <w:qFormat/>
    <w:uiPriority w:val="0"/>
    <w:rPr>
      <w:rFonts w:ascii="宋体" w:hAnsi="宋体" w:eastAsia="宋体" w:cs="Times New Roman"/>
      <w:color w:val="000000"/>
      <w:sz w:val="24"/>
      <w:szCs w:val="24"/>
      <w:u w:val="none"/>
    </w:rPr>
  </w:style>
  <w:style w:type="paragraph" w:customStyle="1" w:styleId="38">
    <w:name w:val="TOC 标题1"/>
    <w:basedOn w:val="3"/>
    <w:next w:val="1"/>
    <w:qFormat/>
    <w:uiPriority w:val="99"/>
    <w:pPr>
      <w:widowControl/>
      <w:spacing w:before="480" w:after="0" w:line="276" w:lineRule="auto"/>
      <w:jc w:val="left"/>
      <w:outlineLvl w:val="9"/>
    </w:pPr>
    <w:rPr>
      <w:rFonts w:ascii="Cambria" w:hAnsi="Cambria"/>
      <w:color w:val="365F91"/>
      <w:kern w:val="0"/>
      <w:sz w:val="28"/>
      <w:szCs w:val="28"/>
    </w:rPr>
  </w:style>
  <w:style w:type="paragraph" w:customStyle="1" w:styleId="39">
    <w:name w:val="正文1"/>
    <w:basedOn w:val="1"/>
    <w:link w:val="40"/>
    <w:qFormat/>
    <w:uiPriority w:val="0"/>
    <w:pPr>
      <w:widowControl/>
      <w:spacing w:after="200" w:line="480" w:lineRule="auto"/>
      <w:ind w:firstLine="200" w:firstLineChars="200"/>
      <w:jc w:val="left"/>
    </w:pPr>
    <w:rPr>
      <w:rFonts w:ascii="Times New Roman" w:hAnsi="Times New Roman" w:eastAsia="仿宋"/>
      <w:kern w:val="0"/>
      <w:sz w:val="28"/>
      <w:szCs w:val="22"/>
      <w:lang w:eastAsia="en-US" w:bidi="en-US"/>
    </w:rPr>
  </w:style>
  <w:style w:type="character" w:customStyle="1" w:styleId="40">
    <w:name w:val="正文1 Char"/>
    <w:link w:val="39"/>
    <w:qFormat/>
    <w:uiPriority w:val="0"/>
    <w:rPr>
      <w:rFonts w:ascii="Times New Roman" w:hAnsi="Times New Roman" w:eastAsia="仿宋"/>
      <w:sz w:val="28"/>
      <w:szCs w:val="22"/>
      <w:lang w:eastAsia="en-US" w:bidi="en-US"/>
    </w:rPr>
  </w:style>
  <w:style w:type="paragraph" w:customStyle="1" w:styleId="41">
    <w:name w:val="修订1"/>
    <w:hidden/>
    <w:unhideWhenUsed/>
    <w:qFormat/>
    <w:uiPriority w:val="99"/>
    <w:rPr>
      <w:rFonts w:ascii="Calibri" w:hAnsi="Calibri" w:eastAsia="宋体" w:cs="Times New Roman"/>
      <w:kern w:val="2"/>
      <w:sz w:val="21"/>
      <w:szCs w:val="24"/>
      <w:lang w:val="en-US" w:eastAsia="zh-CN" w:bidi="ar-SA"/>
    </w:rPr>
  </w:style>
  <w:style w:type="character" w:customStyle="1" w:styleId="42">
    <w:name w:val="日期 Char"/>
    <w:basedOn w:val="21"/>
    <w:link w:val="10"/>
    <w:qFormat/>
    <w:uiPriority w:val="99"/>
    <w:rPr>
      <w:rFonts w:ascii="Calibri" w:hAnsi="Calibri"/>
      <w:kern w:val="2"/>
      <w:sz w:val="21"/>
      <w:szCs w:val="22"/>
    </w:rPr>
  </w:style>
  <w:style w:type="character" w:customStyle="1" w:styleId="43">
    <w:name w:val="文档结构图 Char"/>
    <w:basedOn w:val="21"/>
    <w:link w:val="6"/>
    <w:semiHidden/>
    <w:qFormat/>
    <w:uiPriority w:val="99"/>
    <w:rPr>
      <w:rFonts w:ascii="宋体" w:hAnsi="Calibri"/>
      <w:kern w:val="2"/>
      <w:sz w:val="18"/>
      <w:szCs w:val="18"/>
    </w:rPr>
  </w:style>
  <w:style w:type="character" w:customStyle="1" w:styleId="44">
    <w:name w:val="font21"/>
    <w:basedOn w:val="21"/>
    <w:qFormat/>
    <w:uiPriority w:val="0"/>
    <w:rPr>
      <w:rFonts w:hint="default" w:ascii="Arial Narrow" w:hAnsi="Arial Narrow"/>
      <w:color w:val="000000"/>
      <w:sz w:val="20"/>
      <w:szCs w:val="20"/>
      <w:u w:val="none"/>
    </w:rPr>
  </w:style>
  <w:style w:type="character" w:customStyle="1" w:styleId="45">
    <w:name w:val="正文文本 Char"/>
    <w:basedOn w:val="21"/>
    <w:link w:val="2"/>
    <w:qFormat/>
    <w:uiPriority w:val="99"/>
    <w:rPr>
      <w:rFonts w:ascii="宋体" w:hAnsi="宋体"/>
      <w:sz w:val="18"/>
      <w:szCs w:val="18"/>
      <w:lang w:eastAsia="en-US"/>
    </w:rPr>
  </w:style>
  <w:style w:type="character" w:customStyle="1" w:styleId="46">
    <w:name w:val="font61"/>
    <w:basedOn w:val="21"/>
    <w:qFormat/>
    <w:uiPriority w:val="0"/>
    <w:rPr>
      <w:color w:val="000000"/>
      <w:sz w:val="20"/>
      <w:szCs w:val="20"/>
      <w:u w:val="none"/>
    </w:rPr>
  </w:style>
  <w:style w:type="table" w:customStyle="1" w:styleId="47">
    <w:name w:val="网格型11"/>
    <w:basedOn w:val="19"/>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8">
    <w:name w:val="网格型13"/>
    <w:basedOn w:val="19"/>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9">
    <w:name w:val="网格型161"/>
    <w:basedOn w:val="19"/>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0">
    <w:name w:val="网格型17"/>
    <w:basedOn w:val="19"/>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
    <w:name w:val="网格型14"/>
    <w:basedOn w:val="19"/>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2">
    <w:name w:val="网格型16"/>
    <w:basedOn w:val="19"/>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3">
    <w:name w:val="网格型171"/>
    <w:basedOn w:val="19"/>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4">
    <w:name w:val="网格型10"/>
    <w:basedOn w:val="19"/>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5">
    <w:name w:val="网格型8"/>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6">
    <w:name w:val="网格型113"/>
    <w:basedOn w:val="1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7">
    <w:name w:val="网格型21"/>
    <w:basedOn w:val="19"/>
    <w:qFormat/>
    <w:uiPriority w:val="9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8">
    <w:name w:val="样式1"/>
    <w:basedOn w:val="1"/>
    <w:qFormat/>
    <w:uiPriority w:val="0"/>
    <w:pPr>
      <w:tabs>
        <w:tab w:val="left" w:pos="630"/>
      </w:tabs>
      <w:ind w:firstLine="640" w:firstLineChars="200"/>
    </w:pPr>
    <w:rPr>
      <w:rFonts w:ascii="仿宋_GB2312" w:eastAsia="仿宋_GB2312" w:cs="黑体"/>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49</Pages>
  <Words>20987</Words>
  <Characters>23316</Characters>
  <Lines>180</Lines>
  <Paragraphs>50</Paragraphs>
  <TotalTime>0</TotalTime>
  <ScaleCrop>false</ScaleCrop>
  <LinksUpToDate>false</LinksUpToDate>
  <CharactersWithSpaces>24664</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2018-09-21T17:55:00Z</dcterms:created>
  <dc:creator>许志敏</dc:creator>
  <cp:lastModifiedBy>greatwall</cp:lastModifiedBy>
  <cp:lastPrinted>2021-03-13T20:09:00Z</cp:lastPrinted>
  <dcterms:modified xsi:type="dcterms:W3CDTF">2024-11-13T16:30:31Z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KSOSaveFontToCloudKey">
    <vt:lpwstr>447626480_btnclosed</vt:lpwstr>
  </property>
  <property fmtid="{D5CDD505-2E9C-101B-9397-08002B2CF9AE}" pid="4" name="ICV">
    <vt:lpwstr>399F92F62248495BA89C2F113E39F921</vt:lpwstr>
  </property>
</Properties>
</file>