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仿宋"/>
          <w:b/>
          <w:bCs/>
          <w:spacing w:val="20"/>
          <w:sz w:val="48"/>
          <w:szCs w:val="48"/>
        </w:rPr>
      </w:pPr>
      <w:bookmarkStart w:id="0" w:name="_Toc514537326"/>
      <w:bookmarkStart w:id="1" w:name="_Toc514537328"/>
    </w:p>
    <w:p>
      <w:pPr>
        <w:jc w:val="both"/>
        <w:rPr>
          <w:rFonts w:ascii="黑体" w:hAnsi="黑体" w:eastAsia="黑体" w:cs="仿宋"/>
          <w:b/>
          <w:bCs/>
          <w:spacing w:val="20"/>
          <w:sz w:val="48"/>
          <w:szCs w:val="48"/>
        </w:rPr>
      </w:pPr>
    </w:p>
    <w:p>
      <w:pPr>
        <w:spacing w:before="156" w:beforeLines="50" w:after="156" w:afterLines="50" w:line="574" w:lineRule="exact"/>
        <w:jc w:val="center"/>
        <w:rPr>
          <w:rFonts w:hint="default" w:ascii="Times New Roman" w:hAnsi="Times New Roman" w:eastAsia="仿宋" w:cs="Times New Roman"/>
          <w:b/>
          <w:bCs w:val="0"/>
          <w:kern w:val="0"/>
          <w:sz w:val="44"/>
          <w:szCs w:val="44"/>
          <w:lang w:eastAsia="zh-CN"/>
        </w:rPr>
      </w:pPr>
      <w:r>
        <w:rPr>
          <w:rFonts w:hint="eastAsia" w:ascii="Times New Roman" w:hAnsi="Times New Roman" w:eastAsia="仿宋" w:cs="Times New Roman"/>
          <w:b/>
          <w:bCs w:val="0"/>
          <w:kern w:val="0"/>
          <w:sz w:val="44"/>
          <w:szCs w:val="44"/>
          <w:lang w:val="en-US" w:eastAsia="zh-CN"/>
        </w:rPr>
        <w:t>救治能力提升项目</w:t>
      </w:r>
      <w:r>
        <w:rPr>
          <w:rFonts w:hint="default" w:ascii="Times New Roman" w:hAnsi="Times New Roman" w:eastAsia="仿宋" w:cs="Times New Roman"/>
          <w:b/>
          <w:bCs w:val="0"/>
          <w:kern w:val="0"/>
          <w:sz w:val="44"/>
          <w:szCs w:val="44"/>
          <w:lang w:val="en-US" w:eastAsia="zh-CN"/>
        </w:rPr>
        <w:t>支出</w:t>
      </w:r>
      <w:r>
        <w:rPr>
          <w:rFonts w:hint="default" w:ascii="Times New Roman" w:hAnsi="Times New Roman" w:eastAsia="仿宋" w:cs="Times New Roman"/>
          <w:b/>
          <w:bCs w:val="0"/>
          <w:kern w:val="0"/>
          <w:sz w:val="44"/>
          <w:szCs w:val="44"/>
          <w:lang w:eastAsia="zh-CN"/>
        </w:rPr>
        <w:t>绩效评价</w:t>
      </w:r>
    </w:p>
    <w:p>
      <w:pPr>
        <w:spacing w:before="156" w:beforeLines="50" w:after="156" w:afterLines="50" w:line="574" w:lineRule="exact"/>
        <w:jc w:val="center"/>
        <w:rPr>
          <w:rFonts w:ascii="Times New Roman" w:hAnsi="Times New Roman" w:eastAsia="黑体"/>
          <w:b/>
          <w:sz w:val="44"/>
          <w:szCs w:val="44"/>
        </w:rPr>
      </w:pPr>
      <w:r>
        <w:rPr>
          <w:rFonts w:hint="default" w:ascii="Times New Roman" w:hAnsi="Times New Roman" w:eastAsia="仿宋" w:cs="Times New Roman"/>
          <w:b/>
          <w:bCs w:val="0"/>
          <w:kern w:val="0"/>
          <w:sz w:val="44"/>
          <w:szCs w:val="44"/>
          <w:lang w:eastAsia="zh-CN"/>
        </w:rPr>
        <w:t>报告</w:t>
      </w:r>
    </w:p>
    <w:p>
      <w:pPr>
        <w:jc w:val="center"/>
        <w:rPr>
          <w:rFonts w:ascii="仿宋" w:hAnsi="仿宋" w:eastAsia="仿宋" w:cs="仿宋"/>
          <w:b/>
          <w:bCs/>
          <w:sz w:val="48"/>
          <w:szCs w:val="48"/>
          <w:highlight w:val="yellow"/>
        </w:rPr>
      </w:pPr>
    </w:p>
    <w:p>
      <w:pPr>
        <w:jc w:val="cente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ind w:right="-168" w:rightChars="-80"/>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pStyle w:val="2"/>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autoSpaceDE w:val="0"/>
        <w:autoSpaceDN w:val="0"/>
        <w:adjustRightInd w:val="0"/>
        <w:spacing w:line="520" w:lineRule="exact"/>
        <w:ind w:firstLine="1405" w:firstLineChars="500"/>
        <w:jc w:val="left"/>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rPr>
        <w:t>主管单位：</w:t>
      </w:r>
      <w:r>
        <w:rPr>
          <w:rFonts w:hint="eastAsia" w:ascii="仿宋" w:hAnsi="仿宋" w:eastAsia="仿宋" w:cs="仿宋"/>
          <w:b/>
          <w:bCs/>
          <w:kern w:val="0"/>
          <w:sz w:val="28"/>
          <w:szCs w:val="28"/>
          <w:lang w:val="en-US" w:eastAsia="zh-CN"/>
        </w:rPr>
        <w:t>古县医疗集团</w:t>
      </w:r>
    </w:p>
    <w:p>
      <w:pPr>
        <w:autoSpaceDE w:val="0"/>
        <w:autoSpaceDN w:val="0"/>
        <w:adjustRightInd w:val="0"/>
        <w:spacing w:line="520" w:lineRule="exact"/>
        <w:ind w:firstLine="1405" w:firstLineChars="500"/>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rPr>
        <w:t>实施单位：</w:t>
      </w:r>
      <w:r>
        <w:rPr>
          <w:rFonts w:hint="eastAsia" w:ascii="仿宋" w:hAnsi="仿宋" w:eastAsia="仿宋" w:cs="仿宋"/>
          <w:b/>
          <w:bCs/>
          <w:kern w:val="0"/>
          <w:sz w:val="28"/>
          <w:szCs w:val="28"/>
          <w:lang w:val="en-US" w:eastAsia="zh-CN"/>
        </w:rPr>
        <w:t>古县医疗集团</w:t>
      </w:r>
    </w:p>
    <w:p>
      <w:pPr>
        <w:autoSpaceDE w:val="0"/>
        <w:autoSpaceDN w:val="0"/>
        <w:adjustRightInd w:val="0"/>
        <w:spacing w:line="520" w:lineRule="exact"/>
        <w:ind w:firstLine="1405" w:firstLineChars="500"/>
        <w:rPr>
          <w:rFonts w:hint="default" w:ascii="仿宋" w:hAnsi="仿宋" w:eastAsia="仿宋" w:cs="仿宋"/>
          <w:b/>
          <w:bCs/>
          <w:kern w:val="0"/>
          <w:sz w:val="28"/>
          <w:szCs w:val="28"/>
          <w:lang w:val="en-US" w:eastAsia="zh-CN"/>
        </w:rPr>
      </w:pPr>
      <w:r>
        <w:rPr>
          <w:rFonts w:hint="eastAsia" w:ascii="仿宋" w:hAnsi="仿宋" w:eastAsia="仿宋" w:cs="仿宋"/>
          <w:b/>
          <w:bCs/>
          <w:kern w:val="0"/>
          <w:sz w:val="28"/>
          <w:szCs w:val="28"/>
        </w:rPr>
        <w:t>委托单位：</w:t>
      </w:r>
      <w:r>
        <w:rPr>
          <w:rFonts w:hint="eastAsia" w:ascii="仿宋" w:hAnsi="仿宋" w:eastAsia="仿宋" w:cs="仿宋"/>
          <w:b/>
          <w:bCs/>
          <w:kern w:val="0"/>
          <w:sz w:val="28"/>
          <w:szCs w:val="28"/>
          <w:lang w:eastAsia="zh-CN"/>
        </w:rPr>
        <w:t>古县财政局</w:t>
      </w:r>
    </w:p>
    <w:p>
      <w:pPr>
        <w:autoSpaceDE w:val="0"/>
        <w:autoSpaceDN w:val="0"/>
        <w:adjustRightInd w:val="0"/>
        <w:spacing w:line="520" w:lineRule="exact"/>
        <w:ind w:firstLine="1405" w:firstLineChars="500"/>
        <w:jc w:val="left"/>
        <w:rPr>
          <w:rFonts w:ascii="黑体" w:hAnsi="黑体" w:eastAsia="黑体" w:cs="仿宋"/>
          <w:b/>
          <w:bCs/>
          <w:sz w:val="32"/>
          <w:szCs w:val="32"/>
        </w:rPr>
        <w:sectPr>
          <w:headerReference r:id="rId3" w:type="default"/>
          <w:footerReference r:id="rId4" w:type="default"/>
          <w:pgSz w:w="23757" w:h="16783" w:orient="landscape"/>
          <w:pgMar w:top="1440" w:right="1331" w:bottom="1440" w:left="13606" w:header="851" w:footer="992" w:gutter="0"/>
          <w:pgNumType w:start="1"/>
          <w:cols w:space="0" w:num="1"/>
          <w:rtlGutter w:val="0"/>
          <w:docGrid w:type="lines" w:linePitch="315" w:charSpace="0"/>
        </w:sectPr>
      </w:pPr>
      <w:r>
        <w:rPr>
          <w:rFonts w:hint="eastAsia" w:ascii="仿宋" w:hAnsi="仿宋" w:eastAsia="仿宋" w:cs="仿宋"/>
          <w:b/>
          <w:bCs/>
          <w:kern w:val="0"/>
          <w:sz w:val="28"/>
          <w:szCs w:val="28"/>
        </w:rPr>
        <w:t>评价机构：</w:t>
      </w:r>
      <w:r>
        <w:rPr>
          <w:rFonts w:hint="eastAsia" w:ascii="仿宋" w:hAnsi="仿宋" w:eastAsia="仿宋" w:cs="仿宋"/>
          <w:b/>
          <w:bCs/>
          <w:kern w:val="0"/>
          <w:sz w:val="28"/>
          <w:szCs w:val="28"/>
          <w:lang w:eastAsia="zh-CN"/>
        </w:rPr>
        <w:t>山西</w:t>
      </w:r>
      <w:r>
        <w:rPr>
          <w:rFonts w:hint="eastAsia" w:ascii="仿宋" w:hAnsi="仿宋" w:eastAsia="仿宋" w:cs="仿宋"/>
          <w:b/>
          <w:bCs/>
          <w:kern w:val="0"/>
          <w:sz w:val="28"/>
          <w:szCs w:val="28"/>
          <w:lang w:val="en-US" w:eastAsia="zh-CN"/>
        </w:rPr>
        <w:t>恒略</w:t>
      </w:r>
      <w:r>
        <w:rPr>
          <w:rFonts w:hint="eastAsia" w:ascii="仿宋" w:hAnsi="仿宋" w:eastAsia="仿宋" w:cs="仿宋"/>
          <w:b/>
          <w:bCs/>
          <w:kern w:val="0"/>
          <w:sz w:val="28"/>
          <w:szCs w:val="28"/>
          <w:lang w:eastAsia="zh-CN"/>
        </w:rPr>
        <w:t>绩效管理咨询有限公司</w:t>
      </w: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r>
        <w:rPr>
          <w:rFonts w:hint="eastAsia" w:ascii="仿宋" w:hAnsi="仿宋" w:eastAsia="仿宋" w:cs="仿宋"/>
          <w:b/>
          <w:bCs/>
          <w:sz w:val="24"/>
          <w:szCs w:val="24"/>
        </w:rPr>
        <w:t>目</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录</w:t>
      </w:r>
    </w:p>
    <w:p>
      <w:pPr>
        <w:pStyle w:val="14"/>
        <w:keepNext w:val="0"/>
        <w:keepLines w:val="0"/>
        <w:pageBreakBefore w:val="0"/>
        <w:widowControl/>
        <w:tabs>
          <w:tab w:val="right" w:leader="dot" w:pos="8296"/>
        </w:tabs>
        <w:kinsoku/>
        <w:wordWrap/>
        <w:overflowPunct/>
        <w:topLinePunct w:val="0"/>
        <w:autoSpaceDE/>
        <w:autoSpaceDN/>
        <w:bidi w:val="0"/>
        <w:adjustRightInd/>
        <w:snapToGrid/>
        <w:spacing w:after="0" w:line="520" w:lineRule="exact"/>
        <w:textAlignment w:val="auto"/>
        <w:rPr>
          <w:rFonts w:hint="eastAsia" w:ascii="仿宋" w:hAnsi="仿宋" w:eastAsia="仿宋" w:cs="仿宋"/>
          <w:sz w:val="24"/>
          <w:szCs w:val="24"/>
          <w:highlight w:val="yellow"/>
        </w:rPr>
      </w:pPr>
    </w:p>
    <w:p>
      <w:pPr>
        <w:pStyle w:val="14"/>
        <w:tabs>
          <w:tab w:val="right" w:leader="dot" w:pos="8306"/>
        </w:tabs>
        <w:rPr>
          <w:rFonts w:hint="eastAsia" w:ascii="仿宋" w:hAnsi="仿宋" w:eastAsia="仿宋" w:cs="仿宋"/>
          <w:b/>
          <w:bCs/>
          <w:sz w:val="24"/>
          <w:szCs w:val="24"/>
        </w:rPr>
      </w:pPr>
      <w:r>
        <w:rPr>
          <w:rFonts w:hint="eastAsia" w:ascii="仿宋" w:hAnsi="仿宋" w:eastAsia="仿宋" w:cs="仿宋"/>
          <w:b w:val="0"/>
          <w:bCs w:val="0"/>
          <w:sz w:val="24"/>
          <w:szCs w:val="24"/>
          <w:highlight w:val="yellow"/>
        </w:rPr>
        <w:fldChar w:fldCharType="begin"/>
      </w:r>
      <w:r>
        <w:rPr>
          <w:rFonts w:hint="eastAsia" w:ascii="仿宋" w:hAnsi="仿宋" w:eastAsia="仿宋" w:cs="仿宋"/>
          <w:b w:val="0"/>
          <w:bCs w:val="0"/>
          <w:sz w:val="24"/>
          <w:szCs w:val="24"/>
          <w:highlight w:val="yellow"/>
        </w:rPr>
        <w:instrText xml:space="preserve"> TOC \o "1-3" \h \z \u </w:instrText>
      </w:r>
      <w:r>
        <w:rPr>
          <w:rFonts w:hint="eastAsia" w:ascii="仿宋" w:hAnsi="仿宋" w:eastAsia="仿宋" w:cs="仿宋"/>
          <w:b w:val="0"/>
          <w:bCs w:val="0"/>
          <w:sz w:val="24"/>
          <w:szCs w:val="24"/>
          <w:highlight w:val="yellow"/>
        </w:rPr>
        <w:fldChar w:fldCharType="separate"/>
      </w: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_Toc3630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2"/>
          <w:sz w:val="24"/>
          <w:szCs w:val="24"/>
        </w:rPr>
        <w:t>报告摘要</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_Toc3630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1</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4"/>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_Toc2950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44"/>
          <w:sz w:val="24"/>
          <w:szCs w:val="24"/>
        </w:rPr>
        <w:t>一、项目基本情况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_Toc2950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6</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_Toc22839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rPr>
        <w:t>（一）项目背景及概况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_Toc22839 \h </w:instrText>
      </w:r>
      <w:r>
        <w:rPr>
          <w:rFonts w:hint="eastAsia" w:ascii="仿宋" w:hAnsi="仿宋" w:eastAsia="仿宋" w:cs="仿宋"/>
          <w:sz w:val="24"/>
          <w:szCs w:val="24"/>
        </w:rPr>
        <w:fldChar w:fldCharType="separate"/>
      </w:r>
      <w:r>
        <w:rPr>
          <w:rFonts w:hint="eastAsia" w:ascii="仿宋" w:hAnsi="仿宋" w:eastAsia="仿宋" w:cs="仿宋"/>
          <w:sz w:val="24"/>
          <w:szCs w:val="24"/>
        </w:rPr>
        <w:t>6</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_Toc9637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rPr>
        <w:t>（二）预算资金来源与资金使用</w:t>
      </w:r>
      <w:r>
        <w:rPr>
          <w:rFonts w:hint="eastAsia" w:ascii="仿宋" w:hAnsi="仿宋" w:eastAsia="仿宋" w:cs="仿宋"/>
          <w:bCs/>
          <w:sz w:val="24"/>
          <w:szCs w:val="24"/>
          <w:lang w:val="en-US" w:eastAsia="zh-CN"/>
        </w:rPr>
        <w:t>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_Toc9637 \h </w:instrText>
      </w:r>
      <w:r>
        <w:rPr>
          <w:rFonts w:hint="eastAsia" w:ascii="仿宋" w:hAnsi="仿宋" w:eastAsia="仿宋" w:cs="仿宋"/>
          <w:sz w:val="24"/>
          <w:szCs w:val="24"/>
        </w:rPr>
        <w:fldChar w:fldCharType="separate"/>
      </w:r>
      <w:r>
        <w:rPr>
          <w:rFonts w:hint="eastAsia" w:ascii="仿宋" w:hAnsi="仿宋" w:eastAsia="仿宋" w:cs="仿宋"/>
          <w:sz w:val="24"/>
          <w:szCs w:val="24"/>
        </w:rPr>
        <w:t>8</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_Toc29577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lang w:eastAsia="zh-CN"/>
        </w:rPr>
        <w:t>（</w:t>
      </w:r>
      <w:r>
        <w:rPr>
          <w:rFonts w:hint="eastAsia" w:ascii="仿宋" w:hAnsi="仿宋" w:eastAsia="仿宋" w:cs="仿宋"/>
          <w:bCs/>
          <w:sz w:val="24"/>
          <w:szCs w:val="24"/>
          <w:lang w:val="en-US" w:eastAsia="zh-CN"/>
        </w:rPr>
        <w:t>三</w:t>
      </w:r>
      <w:r>
        <w:rPr>
          <w:rFonts w:hint="eastAsia" w:ascii="仿宋" w:hAnsi="仿宋" w:eastAsia="仿宋" w:cs="仿宋"/>
          <w:bCs/>
          <w:sz w:val="24"/>
          <w:szCs w:val="24"/>
          <w:lang w:eastAsia="zh-CN"/>
        </w:rPr>
        <w:t>）</w:t>
      </w:r>
      <w:r>
        <w:rPr>
          <w:rFonts w:hint="eastAsia" w:ascii="仿宋" w:hAnsi="仿宋" w:eastAsia="仿宋" w:cs="仿宋"/>
          <w:bCs/>
          <w:sz w:val="24"/>
          <w:szCs w:val="24"/>
          <w:lang w:val="en-US" w:eastAsia="zh-CN"/>
        </w:rPr>
        <w:t>项目立项依据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_Toc29577 \h </w:instrText>
      </w:r>
      <w:r>
        <w:rPr>
          <w:rFonts w:hint="eastAsia" w:ascii="仿宋" w:hAnsi="仿宋" w:eastAsia="仿宋" w:cs="仿宋"/>
          <w:sz w:val="24"/>
          <w:szCs w:val="24"/>
        </w:rPr>
        <w:fldChar w:fldCharType="separate"/>
      </w:r>
      <w:r>
        <w:rPr>
          <w:rFonts w:hint="eastAsia" w:ascii="仿宋" w:hAnsi="仿宋" w:eastAsia="仿宋" w:cs="仿宋"/>
          <w:sz w:val="24"/>
          <w:szCs w:val="24"/>
        </w:rPr>
        <w:t>8</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_Toc13640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lang w:eastAsia="zh-CN"/>
        </w:rPr>
        <w:t>（</w:t>
      </w:r>
      <w:r>
        <w:rPr>
          <w:rFonts w:hint="eastAsia" w:ascii="仿宋" w:hAnsi="仿宋" w:eastAsia="仿宋" w:cs="仿宋"/>
          <w:bCs/>
          <w:sz w:val="24"/>
          <w:szCs w:val="24"/>
          <w:lang w:val="en-US" w:eastAsia="zh-CN"/>
        </w:rPr>
        <w:t>四</w:t>
      </w:r>
      <w:r>
        <w:rPr>
          <w:rFonts w:hint="eastAsia" w:ascii="仿宋" w:hAnsi="仿宋" w:eastAsia="仿宋" w:cs="仿宋"/>
          <w:bCs/>
          <w:sz w:val="24"/>
          <w:szCs w:val="24"/>
          <w:lang w:eastAsia="zh-CN"/>
        </w:rPr>
        <w:t>）项目绩效目标</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_Toc13640 \h </w:instrText>
      </w:r>
      <w:r>
        <w:rPr>
          <w:rFonts w:hint="eastAsia" w:ascii="仿宋" w:hAnsi="仿宋" w:eastAsia="仿宋" w:cs="仿宋"/>
          <w:sz w:val="24"/>
          <w:szCs w:val="24"/>
        </w:rPr>
        <w:fldChar w:fldCharType="separate"/>
      </w:r>
      <w:r>
        <w:rPr>
          <w:rFonts w:hint="eastAsia" w:ascii="仿宋" w:hAnsi="仿宋" w:eastAsia="仿宋" w:cs="仿宋"/>
          <w:sz w:val="24"/>
          <w:szCs w:val="24"/>
        </w:rPr>
        <w:t>12</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4"/>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_Toc24315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44"/>
          <w:sz w:val="24"/>
          <w:szCs w:val="24"/>
        </w:rPr>
        <w:t>二、项目组织实施情况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_Toc24315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12</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_Toc383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rPr>
        <w:t>（一）项目组织情况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_Toc383 \h </w:instrText>
      </w:r>
      <w:r>
        <w:rPr>
          <w:rFonts w:hint="eastAsia" w:ascii="仿宋" w:hAnsi="仿宋" w:eastAsia="仿宋" w:cs="仿宋"/>
          <w:sz w:val="24"/>
          <w:szCs w:val="24"/>
        </w:rPr>
        <w:fldChar w:fldCharType="separate"/>
      </w:r>
      <w:r>
        <w:rPr>
          <w:rFonts w:hint="eastAsia" w:ascii="仿宋" w:hAnsi="仿宋" w:eastAsia="仿宋" w:cs="仿宋"/>
          <w:sz w:val="24"/>
          <w:szCs w:val="24"/>
        </w:rPr>
        <w:t>12</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_Toc13766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rPr>
        <w:t>（二）项目实施</w:t>
      </w:r>
      <w:r>
        <w:rPr>
          <w:rFonts w:hint="eastAsia" w:ascii="仿宋" w:hAnsi="仿宋" w:eastAsia="仿宋" w:cs="仿宋"/>
          <w:bCs/>
          <w:sz w:val="24"/>
          <w:szCs w:val="24"/>
          <w:lang w:val="en-US" w:eastAsia="zh-CN"/>
        </w:rPr>
        <w:t>内容与完成</w:t>
      </w:r>
      <w:r>
        <w:rPr>
          <w:rFonts w:hint="eastAsia" w:ascii="仿宋" w:hAnsi="仿宋" w:eastAsia="仿宋" w:cs="仿宋"/>
          <w:bCs/>
          <w:sz w:val="24"/>
          <w:szCs w:val="24"/>
        </w:rPr>
        <w:t>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_Toc13766 \h </w:instrText>
      </w:r>
      <w:r>
        <w:rPr>
          <w:rFonts w:hint="eastAsia" w:ascii="仿宋" w:hAnsi="仿宋" w:eastAsia="仿宋" w:cs="仿宋"/>
          <w:sz w:val="24"/>
          <w:szCs w:val="24"/>
        </w:rPr>
        <w:fldChar w:fldCharType="separate"/>
      </w:r>
      <w:r>
        <w:rPr>
          <w:rFonts w:hint="eastAsia" w:ascii="仿宋" w:hAnsi="仿宋" w:eastAsia="仿宋" w:cs="仿宋"/>
          <w:sz w:val="24"/>
          <w:szCs w:val="24"/>
        </w:rPr>
        <w:t>12</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4"/>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_Toc5479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44"/>
          <w:sz w:val="24"/>
          <w:szCs w:val="24"/>
        </w:rPr>
        <w:t>三、绩效评价工作情况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_Toc5479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15</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_Toc20818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rPr>
        <w:t>（一）绩效评价的目的</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_Toc20818 \h </w:instrText>
      </w:r>
      <w:r>
        <w:rPr>
          <w:rFonts w:hint="eastAsia" w:ascii="仿宋" w:hAnsi="仿宋" w:eastAsia="仿宋" w:cs="仿宋"/>
          <w:sz w:val="24"/>
          <w:szCs w:val="24"/>
        </w:rPr>
        <w:fldChar w:fldCharType="separate"/>
      </w:r>
      <w:r>
        <w:rPr>
          <w:rFonts w:hint="eastAsia" w:ascii="仿宋" w:hAnsi="仿宋" w:eastAsia="仿宋" w:cs="仿宋"/>
          <w:sz w:val="24"/>
          <w:szCs w:val="24"/>
        </w:rPr>
        <w:t>15</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_Toc23706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rPr>
        <w:t>（二）绩效评价的依据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_Toc23706 \h </w:instrText>
      </w:r>
      <w:r>
        <w:rPr>
          <w:rFonts w:hint="eastAsia" w:ascii="仿宋" w:hAnsi="仿宋" w:eastAsia="仿宋" w:cs="仿宋"/>
          <w:sz w:val="24"/>
          <w:szCs w:val="24"/>
        </w:rPr>
        <w:fldChar w:fldCharType="separate"/>
      </w:r>
      <w:r>
        <w:rPr>
          <w:rFonts w:hint="eastAsia" w:ascii="仿宋" w:hAnsi="仿宋" w:eastAsia="仿宋" w:cs="仿宋"/>
          <w:sz w:val="24"/>
          <w:szCs w:val="24"/>
        </w:rPr>
        <w:t>16</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_Toc19392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rPr>
        <w:t>（三）评价对象和范围</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_Toc19392 \h </w:instrText>
      </w:r>
      <w:r>
        <w:rPr>
          <w:rFonts w:hint="eastAsia" w:ascii="仿宋" w:hAnsi="仿宋" w:eastAsia="仿宋" w:cs="仿宋"/>
          <w:sz w:val="24"/>
          <w:szCs w:val="24"/>
        </w:rPr>
        <w:fldChar w:fldCharType="separate"/>
      </w:r>
      <w:r>
        <w:rPr>
          <w:rFonts w:hint="eastAsia" w:ascii="仿宋" w:hAnsi="仿宋" w:eastAsia="仿宋" w:cs="仿宋"/>
          <w:sz w:val="24"/>
          <w:szCs w:val="24"/>
        </w:rPr>
        <w:t>17</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_Toc21419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rPr>
        <w:t>（四）绩效评价基准日</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_Toc21419 \h </w:instrText>
      </w:r>
      <w:r>
        <w:rPr>
          <w:rFonts w:hint="eastAsia" w:ascii="仿宋" w:hAnsi="仿宋" w:eastAsia="仿宋" w:cs="仿宋"/>
          <w:sz w:val="24"/>
          <w:szCs w:val="24"/>
        </w:rPr>
        <w:fldChar w:fldCharType="separate"/>
      </w:r>
      <w:r>
        <w:rPr>
          <w:rFonts w:hint="eastAsia" w:ascii="仿宋" w:hAnsi="仿宋" w:eastAsia="仿宋" w:cs="仿宋"/>
          <w:sz w:val="24"/>
          <w:szCs w:val="24"/>
        </w:rPr>
        <w:t>17</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_Toc28943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rPr>
        <w:t>（五）绩效评价的原则</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_Toc28943 \h </w:instrText>
      </w:r>
      <w:r>
        <w:rPr>
          <w:rFonts w:hint="eastAsia" w:ascii="仿宋" w:hAnsi="仿宋" w:eastAsia="仿宋" w:cs="仿宋"/>
          <w:sz w:val="24"/>
          <w:szCs w:val="24"/>
        </w:rPr>
        <w:fldChar w:fldCharType="separate"/>
      </w:r>
      <w:r>
        <w:rPr>
          <w:rFonts w:hint="eastAsia" w:ascii="仿宋" w:hAnsi="仿宋" w:eastAsia="仿宋" w:cs="仿宋"/>
          <w:sz w:val="24"/>
          <w:szCs w:val="24"/>
        </w:rPr>
        <w:t>17</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_Toc27356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rPr>
        <w:t>（六）绩效评价的方法</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_Toc27356 \h </w:instrText>
      </w:r>
      <w:r>
        <w:rPr>
          <w:rFonts w:hint="eastAsia" w:ascii="仿宋" w:hAnsi="仿宋" w:eastAsia="仿宋" w:cs="仿宋"/>
          <w:sz w:val="24"/>
          <w:szCs w:val="24"/>
        </w:rPr>
        <w:fldChar w:fldCharType="separate"/>
      </w:r>
      <w:r>
        <w:rPr>
          <w:rFonts w:hint="eastAsia" w:ascii="仿宋" w:hAnsi="仿宋" w:eastAsia="仿宋" w:cs="仿宋"/>
          <w:sz w:val="24"/>
          <w:szCs w:val="24"/>
        </w:rPr>
        <w:t>18</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_Toc18733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rPr>
        <w:t>（七）评价指标体系</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_Toc18733 \h </w:instrText>
      </w:r>
      <w:r>
        <w:rPr>
          <w:rFonts w:hint="eastAsia" w:ascii="仿宋" w:hAnsi="仿宋" w:eastAsia="仿宋" w:cs="仿宋"/>
          <w:sz w:val="24"/>
          <w:szCs w:val="24"/>
        </w:rPr>
        <w:fldChar w:fldCharType="separate"/>
      </w:r>
      <w:r>
        <w:rPr>
          <w:rFonts w:hint="eastAsia" w:ascii="仿宋" w:hAnsi="仿宋" w:eastAsia="仿宋" w:cs="仿宋"/>
          <w:sz w:val="24"/>
          <w:szCs w:val="24"/>
        </w:rPr>
        <w:t>19</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_Toc25086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rPr>
        <w:t>（八）绩效评价工作组织</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_Toc25086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_Toc30571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lang w:eastAsia="zh-CN"/>
        </w:rPr>
        <w:t>（</w:t>
      </w:r>
      <w:r>
        <w:rPr>
          <w:rFonts w:hint="eastAsia" w:ascii="仿宋" w:hAnsi="仿宋" w:eastAsia="仿宋" w:cs="仿宋"/>
          <w:bCs/>
          <w:sz w:val="24"/>
          <w:szCs w:val="24"/>
          <w:lang w:val="en-US" w:eastAsia="zh-CN"/>
        </w:rPr>
        <w:t>九</w:t>
      </w:r>
      <w:r>
        <w:rPr>
          <w:rFonts w:hint="eastAsia" w:ascii="仿宋" w:hAnsi="仿宋" w:eastAsia="仿宋" w:cs="仿宋"/>
          <w:bCs/>
          <w:sz w:val="24"/>
          <w:szCs w:val="24"/>
          <w:lang w:eastAsia="zh-CN"/>
        </w:rPr>
        <w:t>）</w:t>
      </w:r>
      <w:r>
        <w:rPr>
          <w:rFonts w:hint="eastAsia" w:ascii="仿宋" w:hAnsi="仿宋" w:eastAsia="仿宋" w:cs="仿宋"/>
          <w:bCs/>
          <w:sz w:val="24"/>
          <w:szCs w:val="24"/>
          <w:lang w:val="en-US" w:eastAsia="zh-CN"/>
        </w:rPr>
        <w:t>评价工作安排</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_Toc30571 \h </w:instrText>
      </w:r>
      <w:r>
        <w:rPr>
          <w:rFonts w:hint="eastAsia" w:ascii="仿宋" w:hAnsi="仿宋" w:eastAsia="仿宋" w:cs="仿宋"/>
          <w:sz w:val="24"/>
          <w:szCs w:val="24"/>
        </w:rPr>
        <w:fldChar w:fldCharType="separate"/>
      </w:r>
      <w:r>
        <w:rPr>
          <w:rFonts w:hint="eastAsia" w:ascii="仿宋" w:hAnsi="仿宋" w:eastAsia="仿宋" w:cs="仿宋"/>
          <w:sz w:val="24"/>
          <w:szCs w:val="24"/>
        </w:rPr>
        <w:t>20</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_Toc26099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lang w:val="en-US" w:eastAsia="zh-CN"/>
        </w:rPr>
        <w:t>（十）评价等级</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_Toc26099 \h </w:instrText>
      </w:r>
      <w:r>
        <w:rPr>
          <w:rFonts w:hint="eastAsia" w:ascii="仿宋" w:hAnsi="仿宋" w:eastAsia="仿宋" w:cs="仿宋"/>
          <w:sz w:val="24"/>
          <w:szCs w:val="24"/>
        </w:rPr>
        <w:fldChar w:fldCharType="separate"/>
      </w:r>
      <w:r>
        <w:rPr>
          <w:rFonts w:hint="eastAsia" w:ascii="仿宋" w:hAnsi="仿宋" w:eastAsia="仿宋" w:cs="仿宋"/>
          <w:sz w:val="24"/>
          <w:szCs w:val="24"/>
        </w:rPr>
        <w:t>21</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4"/>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_Toc25252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44"/>
          <w:sz w:val="24"/>
          <w:szCs w:val="24"/>
        </w:rPr>
        <w:t>四、绩效评价指标分析情况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_Toc25252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22</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_Toc21930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lang w:eastAsia="zh-CN"/>
        </w:rPr>
        <w:t>（一）分项分析与汇总</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_Toc21930 \h </w:instrText>
      </w:r>
      <w:r>
        <w:rPr>
          <w:rFonts w:hint="eastAsia" w:ascii="仿宋" w:hAnsi="仿宋" w:eastAsia="仿宋" w:cs="仿宋"/>
          <w:sz w:val="24"/>
          <w:szCs w:val="24"/>
        </w:rPr>
        <w:fldChar w:fldCharType="separate"/>
      </w:r>
      <w:r>
        <w:rPr>
          <w:rFonts w:hint="eastAsia" w:ascii="仿宋" w:hAnsi="仿宋" w:eastAsia="仿宋" w:cs="仿宋"/>
          <w:sz w:val="24"/>
          <w:szCs w:val="24"/>
        </w:rPr>
        <w:t>22</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_Toc3081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lang w:eastAsia="zh-CN"/>
        </w:rPr>
        <w:t>（二）总体得分情况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_Toc3081 \h </w:instrText>
      </w:r>
      <w:r>
        <w:rPr>
          <w:rFonts w:hint="eastAsia" w:ascii="仿宋" w:hAnsi="仿宋" w:eastAsia="仿宋" w:cs="仿宋"/>
          <w:sz w:val="24"/>
          <w:szCs w:val="24"/>
        </w:rPr>
        <w:fldChar w:fldCharType="separate"/>
      </w:r>
      <w:r>
        <w:rPr>
          <w:rFonts w:hint="eastAsia" w:ascii="仿宋" w:hAnsi="仿宋" w:eastAsia="仿宋" w:cs="仿宋"/>
          <w:sz w:val="24"/>
          <w:szCs w:val="24"/>
        </w:rPr>
        <w:t>29</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4"/>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_Toc31376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44"/>
          <w:sz w:val="24"/>
          <w:szCs w:val="24"/>
        </w:rPr>
        <w:t>五、综合评价情况</w:t>
      </w:r>
      <w:r>
        <w:rPr>
          <w:rFonts w:hint="eastAsia" w:ascii="仿宋" w:hAnsi="仿宋" w:eastAsia="仿宋" w:cs="仿宋"/>
          <w:b/>
          <w:bCs/>
          <w:kern w:val="44"/>
          <w:sz w:val="24"/>
          <w:szCs w:val="24"/>
          <w:lang w:val="en-US" w:eastAsia="zh-CN"/>
        </w:rPr>
        <w:t>及结论</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_Toc31376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29</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_Toc20790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lang w:eastAsia="zh-CN"/>
        </w:rPr>
        <w:t>（一）评分结果</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_Toc20790 \h </w:instrText>
      </w:r>
      <w:r>
        <w:rPr>
          <w:rFonts w:hint="eastAsia" w:ascii="仿宋" w:hAnsi="仿宋" w:eastAsia="仿宋" w:cs="仿宋"/>
          <w:sz w:val="24"/>
          <w:szCs w:val="24"/>
        </w:rPr>
        <w:fldChar w:fldCharType="separate"/>
      </w:r>
      <w:r>
        <w:rPr>
          <w:rFonts w:hint="eastAsia" w:ascii="仿宋" w:hAnsi="仿宋" w:eastAsia="仿宋" w:cs="仿宋"/>
          <w:sz w:val="24"/>
          <w:szCs w:val="24"/>
        </w:rPr>
        <w:t>29</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_Toc22846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lang w:eastAsia="zh-CN"/>
        </w:rPr>
        <w:t>（二）主要结论</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_Toc22846 \h </w:instrText>
      </w:r>
      <w:r>
        <w:rPr>
          <w:rFonts w:hint="eastAsia" w:ascii="仿宋" w:hAnsi="仿宋" w:eastAsia="仿宋" w:cs="仿宋"/>
          <w:sz w:val="24"/>
          <w:szCs w:val="24"/>
        </w:rPr>
        <w:fldChar w:fldCharType="separate"/>
      </w:r>
      <w:r>
        <w:rPr>
          <w:rFonts w:hint="eastAsia" w:ascii="仿宋" w:hAnsi="仿宋" w:eastAsia="仿宋" w:cs="仿宋"/>
          <w:sz w:val="24"/>
          <w:szCs w:val="24"/>
        </w:rPr>
        <w:t>30</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4"/>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_Toc1323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44"/>
          <w:sz w:val="24"/>
          <w:szCs w:val="24"/>
          <w:lang w:val="en-US" w:eastAsia="zh-CN"/>
        </w:rPr>
        <w:t>六</w:t>
      </w:r>
      <w:r>
        <w:rPr>
          <w:rFonts w:hint="eastAsia" w:ascii="仿宋" w:hAnsi="仿宋" w:eastAsia="仿宋" w:cs="仿宋"/>
          <w:b/>
          <w:bCs/>
          <w:kern w:val="44"/>
          <w:sz w:val="24"/>
          <w:szCs w:val="24"/>
        </w:rPr>
        <w:t>、存在的问题和改进建议</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_Toc1323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30</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_Toc15751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lang w:eastAsia="zh-CN"/>
        </w:rPr>
        <w:t>（一）存在的问题</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_Toc15751 \h </w:instrText>
      </w:r>
      <w:r>
        <w:rPr>
          <w:rFonts w:hint="eastAsia" w:ascii="仿宋" w:hAnsi="仿宋" w:eastAsia="仿宋" w:cs="仿宋"/>
          <w:sz w:val="24"/>
          <w:szCs w:val="24"/>
        </w:rPr>
        <w:fldChar w:fldCharType="separate"/>
      </w:r>
      <w:r>
        <w:rPr>
          <w:rFonts w:hint="eastAsia" w:ascii="仿宋" w:hAnsi="仿宋" w:eastAsia="仿宋" w:cs="仿宋"/>
          <w:sz w:val="24"/>
          <w:szCs w:val="24"/>
        </w:rPr>
        <w:t>30</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5"/>
        <w:tabs>
          <w:tab w:val="right" w:leader="dot" w:pos="8306"/>
        </w:tabs>
        <w:rPr>
          <w:rFonts w:hint="eastAsia" w:ascii="仿宋" w:hAnsi="仿宋" w:eastAsia="仿宋" w:cs="仿宋"/>
          <w:sz w:val="24"/>
          <w:szCs w:val="24"/>
        </w:rPr>
      </w:pPr>
      <w:r>
        <w:rPr>
          <w:rFonts w:hint="eastAsia" w:ascii="仿宋" w:hAnsi="仿宋" w:eastAsia="仿宋" w:cs="仿宋"/>
          <w:bCs w:val="0"/>
          <w:sz w:val="24"/>
          <w:szCs w:val="24"/>
          <w:highlight w:val="yellow"/>
        </w:rPr>
        <w:fldChar w:fldCharType="begin"/>
      </w:r>
      <w:r>
        <w:rPr>
          <w:rFonts w:hint="eastAsia" w:ascii="仿宋" w:hAnsi="仿宋" w:eastAsia="仿宋" w:cs="仿宋"/>
          <w:bCs w:val="0"/>
          <w:sz w:val="24"/>
          <w:szCs w:val="24"/>
          <w:highlight w:val="yellow"/>
        </w:rPr>
        <w:instrText xml:space="preserve"> HYPERLINK \l _Toc1914 </w:instrText>
      </w:r>
      <w:r>
        <w:rPr>
          <w:rFonts w:hint="eastAsia" w:ascii="仿宋" w:hAnsi="仿宋" w:eastAsia="仿宋" w:cs="仿宋"/>
          <w:bCs w:val="0"/>
          <w:sz w:val="24"/>
          <w:szCs w:val="24"/>
          <w:highlight w:val="yellow"/>
        </w:rPr>
        <w:fldChar w:fldCharType="separate"/>
      </w:r>
      <w:r>
        <w:rPr>
          <w:rFonts w:hint="eastAsia" w:ascii="仿宋" w:hAnsi="仿宋" w:eastAsia="仿宋" w:cs="仿宋"/>
          <w:bCs/>
          <w:sz w:val="24"/>
          <w:szCs w:val="24"/>
          <w:lang w:eastAsia="zh-CN"/>
        </w:rPr>
        <w:t>（二）改进建议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_Toc1914 \h </w:instrText>
      </w:r>
      <w:r>
        <w:rPr>
          <w:rFonts w:hint="eastAsia" w:ascii="仿宋" w:hAnsi="仿宋" w:eastAsia="仿宋" w:cs="仿宋"/>
          <w:sz w:val="24"/>
          <w:szCs w:val="24"/>
        </w:rPr>
        <w:fldChar w:fldCharType="separate"/>
      </w:r>
      <w:r>
        <w:rPr>
          <w:rFonts w:hint="eastAsia" w:ascii="仿宋" w:hAnsi="仿宋" w:eastAsia="仿宋" w:cs="仿宋"/>
          <w:sz w:val="24"/>
          <w:szCs w:val="24"/>
        </w:rPr>
        <w:t>31</w:t>
      </w:r>
      <w:r>
        <w:rPr>
          <w:rFonts w:hint="eastAsia" w:ascii="仿宋" w:hAnsi="仿宋" w:eastAsia="仿宋" w:cs="仿宋"/>
          <w:sz w:val="24"/>
          <w:szCs w:val="24"/>
        </w:rPr>
        <w:fldChar w:fldCharType="end"/>
      </w:r>
      <w:r>
        <w:rPr>
          <w:rFonts w:hint="eastAsia" w:ascii="仿宋" w:hAnsi="仿宋" w:eastAsia="仿宋" w:cs="仿宋"/>
          <w:bCs w:val="0"/>
          <w:sz w:val="24"/>
          <w:szCs w:val="24"/>
          <w:highlight w:val="yellow"/>
        </w:rPr>
        <w:fldChar w:fldCharType="end"/>
      </w:r>
    </w:p>
    <w:p>
      <w:pPr>
        <w:pStyle w:val="14"/>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_Toc6717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44"/>
          <w:sz w:val="24"/>
          <w:szCs w:val="24"/>
          <w:lang w:val="en-US" w:eastAsia="zh-CN"/>
        </w:rPr>
        <w:t>七、绩效评价结果应用建议</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_Toc6717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31</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4"/>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_Toc3887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napToGrid w:val="0"/>
          <w:sz w:val="24"/>
          <w:szCs w:val="24"/>
        </w:rPr>
        <w:t>附件1：评价指标体系</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_Toc3887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33</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4"/>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_Toc11022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napToGrid w:val="0"/>
          <w:sz w:val="24"/>
          <w:szCs w:val="24"/>
        </w:rPr>
        <w:t>附件2：问卷调查报告</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_Toc11022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39</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4"/>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_Toc30992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napToGrid w:val="0"/>
          <w:sz w:val="24"/>
          <w:szCs w:val="24"/>
          <w:lang w:val="en-US" w:eastAsia="zh-CN"/>
        </w:rPr>
        <w:t>附件3：访谈报告</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_Toc30992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42</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4"/>
        <w:tabs>
          <w:tab w:val="right" w:leader="dot" w:pos="8306"/>
        </w:tabs>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_Toc92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napToGrid w:val="0"/>
          <w:sz w:val="24"/>
          <w:szCs w:val="24"/>
          <w:lang w:val="en-US" w:eastAsia="zh-CN"/>
        </w:rPr>
        <w:t>附件4：合规性审查</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_Toc92 \h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45</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pPr>
        <w:pStyle w:val="14"/>
        <w:keepNext w:val="0"/>
        <w:keepLines w:val="0"/>
        <w:pageBreakBefore w:val="0"/>
        <w:widowControl/>
        <w:tabs>
          <w:tab w:val="right" w:leader="dot" w:pos="8306"/>
        </w:tabs>
        <w:kinsoku/>
        <w:wordWrap/>
        <w:overflowPunct/>
        <w:topLinePunct w:val="0"/>
        <w:autoSpaceDE/>
        <w:autoSpaceDN/>
        <w:bidi w:val="0"/>
        <w:adjustRightInd/>
        <w:snapToGrid/>
        <w:spacing w:after="0" w:line="520" w:lineRule="exact"/>
        <w:textAlignment w:val="auto"/>
        <w:rPr>
          <w:rFonts w:ascii="Arial Narrow" w:hAnsi="Arial Narrow" w:eastAsia="仿宋_GB2312"/>
          <w:b w:val="0"/>
          <w:bCs w:val="0"/>
          <w:snapToGrid w:val="0"/>
          <w:sz w:val="30"/>
          <w:szCs w:val="30"/>
          <w:highlight w:val="yellow"/>
        </w:rPr>
        <w:sectPr>
          <w:headerReference r:id="rId5" w:type="default"/>
          <w:footerReference r:id="rId6" w:type="default"/>
          <w:type w:val="continuous"/>
          <w:pgSz w:w="11906" w:h="16838"/>
          <w:pgMar w:top="1440" w:right="1800" w:bottom="1440" w:left="1800" w:header="851" w:footer="992" w:gutter="0"/>
          <w:cols w:space="425" w:num="1"/>
          <w:docGrid w:type="lines" w:linePitch="312" w:charSpace="0"/>
        </w:sectPr>
      </w:pPr>
      <w:r>
        <w:rPr>
          <w:rFonts w:hint="eastAsia" w:ascii="仿宋" w:hAnsi="仿宋" w:eastAsia="仿宋" w:cs="仿宋"/>
          <w:bCs w:val="0"/>
          <w:sz w:val="24"/>
          <w:szCs w:val="24"/>
          <w:highlight w:val="yellow"/>
        </w:rPr>
        <w:fldChar w:fldCharType="end"/>
      </w:r>
      <w:bookmarkStart w:id="2" w:name="_Toc515811929"/>
      <w:bookmarkStart w:id="3" w:name="_Toc516473299"/>
      <w:bookmarkStart w:id="4" w:name="_Toc516554764"/>
      <w:bookmarkStart w:id="5" w:name="_Toc515810984"/>
    </w:p>
    <w:bookmarkEnd w:id="2"/>
    <w:bookmarkEnd w:id="3"/>
    <w:bookmarkEnd w:id="4"/>
    <w:bookmarkEnd w:id="5"/>
    <w:p>
      <w:pPr>
        <w:pStyle w:val="17"/>
        <w:jc w:val="center"/>
        <w:rPr>
          <w:rFonts w:ascii="仿宋_GB2312" w:eastAsia="仿宋_GB2312"/>
          <w:snapToGrid w:val="0"/>
          <w:sz w:val="32"/>
          <w:szCs w:val="32"/>
        </w:rPr>
      </w:pPr>
      <w:bookmarkStart w:id="6" w:name="_Toc8704"/>
      <w:bookmarkStart w:id="7" w:name="_Toc528603037"/>
      <w:bookmarkStart w:id="8" w:name="_Toc3630"/>
      <w:r>
        <w:rPr>
          <w:rFonts w:hint="eastAsia" w:ascii="黑体" w:hAnsi="黑体" w:cs="黑体"/>
          <w:b/>
          <w:bCs w:val="0"/>
          <w:kern w:val="2"/>
          <w:sz w:val="44"/>
          <w:szCs w:val="44"/>
        </w:rPr>
        <w:t>报告摘要</w:t>
      </w:r>
      <w:bookmarkEnd w:id="0"/>
      <w:bookmarkEnd w:id="6"/>
      <w:bookmarkEnd w:id="7"/>
      <w:bookmarkEnd w:id="8"/>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default"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一、项目概况</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9"/>
        <w:rPr>
          <w:rFonts w:hint="eastAsia" w:ascii="仿宋" w:hAnsi="仿宋" w:eastAsia="仿宋" w:cs="Times New Roman"/>
          <w:b/>
          <w:bCs/>
          <w:sz w:val="32"/>
          <w:szCs w:val="32"/>
          <w:lang w:val="zh-TW"/>
        </w:rPr>
      </w:pPr>
      <w:r>
        <w:rPr>
          <w:rFonts w:hint="eastAsia" w:ascii="仿宋" w:hAnsi="仿宋" w:eastAsia="仿宋" w:cs="Times New Roman"/>
          <w:b/>
          <w:bCs/>
          <w:sz w:val="32"/>
          <w:szCs w:val="32"/>
          <w:lang w:val="zh-TW" w:eastAsia="zh-CN"/>
        </w:rPr>
        <w:t>（</w:t>
      </w:r>
      <w:r>
        <w:rPr>
          <w:rFonts w:hint="eastAsia" w:ascii="仿宋" w:hAnsi="仿宋" w:eastAsia="仿宋" w:cs="Times New Roman"/>
          <w:b/>
          <w:bCs/>
          <w:sz w:val="32"/>
          <w:szCs w:val="32"/>
          <w:lang w:val="en-US" w:eastAsia="zh-CN"/>
        </w:rPr>
        <w:t>一</w:t>
      </w:r>
      <w:r>
        <w:rPr>
          <w:rFonts w:hint="eastAsia" w:ascii="仿宋" w:hAnsi="仿宋" w:eastAsia="仿宋" w:cs="Times New Roman"/>
          <w:b/>
          <w:bCs/>
          <w:sz w:val="32"/>
          <w:szCs w:val="32"/>
          <w:lang w:val="zh-TW" w:eastAsia="zh-CN"/>
        </w:rPr>
        <w:t>）</w:t>
      </w:r>
      <w:r>
        <w:rPr>
          <w:rFonts w:hint="eastAsia" w:ascii="仿宋" w:hAnsi="仿宋" w:eastAsia="仿宋" w:cs="Times New Roman"/>
          <w:b/>
          <w:bCs/>
          <w:sz w:val="32"/>
          <w:szCs w:val="32"/>
          <w:lang w:val="zh-TW"/>
        </w:rPr>
        <w:t>立项背景</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rPr>
      </w:pPr>
      <w:r>
        <w:rPr>
          <w:rFonts w:hint="default" w:ascii="Times New Roman" w:hAnsi="Times New Roman" w:eastAsia="仿宋" w:cs="Times New Roman"/>
          <w:kern w:val="0"/>
          <w:sz w:val="28"/>
          <w:szCs w:val="28"/>
          <w:shd w:val="clear" w:color="auto" w:fill="FFFFFF"/>
        </w:rPr>
        <w:t>2020年发生的新冠肺炎疫情，是新中国成立以来在我国发生的传播速度最快、感染范围最广、防控难度最大的一次突发公共卫生事件。在党中央坚强领导下，全国迅速打响了抗击疫情的人民战争、总体战、阻击战，经过艰苦努力，疫情防控形势持续向好。但此次疫情防控也暴露出，我国重大疫情防控救治仍然存在不少能力短板和体制机制问题。随着国际疫情快速扩散蔓延，未来一段时间，我国仍将面临较为严峻的国内外疫情风险挑战。全面做好公共卫生特别是重大疫情防控救治的补短板、堵漏洞、强弱项工作，加强公立医疗卫生机构建设，已经成为当前保障人民群众生命安全和身体健康、促进经济社会平稳发展、维护国家公共卫生安全的一项紧迫任务。</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eastAsia="zh-CN"/>
        </w:rPr>
      </w:pPr>
      <w:r>
        <w:rPr>
          <w:rFonts w:hint="default" w:ascii="Times New Roman" w:hAnsi="Times New Roman" w:eastAsia="仿宋" w:cs="Times New Roman"/>
          <w:kern w:val="0"/>
          <w:sz w:val="28"/>
          <w:szCs w:val="28"/>
          <w:shd w:val="clear" w:color="auto" w:fill="FFFFFF"/>
        </w:rPr>
        <w:t>为贯彻习近平总书记系列重要指示批示精神，落实党中央、国务院决策部署，尽快补齐短板弱项，切实提高我国重大疫情防控救治能力，2020年5月9日，国家发展改革委、国家卫生健康委、国家中医药局等部门《关于印发公共卫生防控救治能力建设方案的通知》（发改社会〔2020〕0735号）文件提出：公共卫生防控救治能力建设要落实主体责任、立足防治急需、加强改革配套、严格项目管理</w:t>
      </w:r>
      <w:r>
        <w:rPr>
          <w:rFonts w:hint="eastAsia" w:ascii="Times New Roman" w:hAnsi="Times New Roman" w:eastAsia="仿宋" w:cs="Times New Roman"/>
          <w:kern w:val="0"/>
          <w:sz w:val="28"/>
          <w:szCs w:val="28"/>
          <w:shd w:val="clear" w:color="auto" w:fill="FFFFFF"/>
          <w:lang w:eastAsia="zh-CN"/>
        </w:rPr>
        <w:t>。</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rPr>
      </w:pPr>
      <w:r>
        <w:rPr>
          <w:rFonts w:hint="default" w:ascii="Times New Roman" w:hAnsi="Times New Roman" w:eastAsia="仿宋" w:cs="Times New Roman"/>
          <w:kern w:val="0"/>
          <w:sz w:val="28"/>
          <w:szCs w:val="28"/>
          <w:shd w:val="clear" w:color="auto" w:fill="FFFFFF"/>
        </w:rPr>
        <w:t>长期以来，我国负压隔离技术大多应用于生物安全实验室，</w:t>
      </w:r>
      <w:r>
        <w:rPr>
          <w:rFonts w:hint="eastAsia" w:ascii="Times New Roman" w:hAnsi="Times New Roman" w:eastAsia="仿宋" w:cs="Times New Roman"/>
          <w:kern w:val="0"/>
          <w:sz w:val="28"/>
          <w:szCs w:val="28"/>
          <w:shd w:val="clear" w:color="auto" w:fill="FFFFFF"/>
          <w:lang w:val="en-US" w:eastAsia="zh-CN"/>
        </w:rPr>
        <w:t>公共医疗卫生机构</w:t>
      </w:r>
      <w:r>
        <w:rPr>
          <w:rFonts w:hint="default" w:ascii="Times New Roman" w:hAnsi="Times New Roman" w:eastAsia="仿宋" w:cs="Times New Roman"/>
          <w:kern w:val="0"/>
          <w:sz w:val="28"/>
          <w:szCs w:val="28"/>
          <w:shd w:val="clear" w:color="auto" w:fill="FFFFFF"/>
        </w:rPr>
        <w:t>缺乏负压隔离病房。从负压隔离病房的适用范围可知，负压隔离病房是公共卫生体系的重要组成部分，涉及人民的身体健康、社会稳定及国家安全。</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rPr>
      </w:pPr>
      <w:r>
        <w:rPr>
          <w:rFonts w:hint="eastAsia" w:ascii="Times New Roman" w:hAnsi="Times New Roman" w:eastAsia="仿宋" w:cs="Times New Roman"/>
          <w:kern w:val="0"/>
          <w:sz w:val="28"/>
          <w:szCs w:val="28"/>
          <w:shd w:val="clear" w:color="auto" w:fill="FFFFFF"/>
          <w:lang w:val="en-US" w:eastAsia="zh-CN"/>
        </w:rPr>
        <w:t>2020年以来，</w:t>
      </w:r>
      <w:r>
        <w:rPr>
          <w:rFonts w:hint="default" w:ascii="Times New Roman" w:hAnsi="Times New Roman" w:eastAsia="仿宋" w:cs="Times New Roman"/>
          <w:kern w:val="0"/>
          <w:sz w:val="28"/>
          <w:szCs w:val="28"/>
          <w:shd w:val="clear" w:color="auto" w:fill="FFFFFF"/>
        </w:rPr>
        <w:t>新型冠状病毒侵袭中华大地。在不到一个月时间里，病毒感染人数快速增长。新型冠状病毒可通过飞沫、接触、气进行传播。当大批飞沫或空气传播的传染病患者突然在医院聚集时，将对医院造成巨大的压力，不仅是医疗救治的压力，同时也面临着如何控制疾病传播和交叉感染等一系列问题。</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eastAsia="zh-CN"/>
        </w:rPr>
      </w:pPr>
      <w:r>
        <w:rPr>
          <w:rFonts w:hint="default" w:ascii="Times New Roman" w:hAnsi="Times New Roman" w:eastAsia="仿宋" w:cs="Times New Roman"/>
          <w:kern w:val="0"/>
          <w:sz w:val="28"/>
          <w:szCs w:val="28"/>
          <w:shd w:val="clear" w:color="auto" w:fill="FFFFFF"/>
        </w:rPr>
        <w:t>为了控制疾病的传播，处理严格按照消毒隔离要求最好相应的个人防护和隔离措施外，负压病房从硬件设施上阻断病原体从局部向外扩散，为疾病防控提供了有效的手段。根据《医疗机构内新型冠状病毒感染预新型冠状病毒感染与控制技术指南第一版》中指出：“收治疑似或确诊新型冠状病毒感染的肺炎患者的病区建筑布局和工作流程应符合《医院隔离技术规范》等要求。设置负压病区的医疗机构应当按相关要求实施规范管理”。JCI等国际标准指出空气传播隔离间（AIR）防护措施对于阻止可在空气中长时间悬浮的传染病原的传播非常必要。气源性感染患者的首选安置场所就是负压病房</w:t>
      </w:r>
      <w:r>
        <w:rPr>
          <w:rFonts w:hint="eastAsia" w:ascii="Times New Roman" w:hAnsi="Times New Roman" w:eastAsia="仿宋" w:cs="Times New Roman"/>
          <w:kern w:val="0"/>
          <w:sz w:val="28"/>
          <w:szCs w:val="28"/>
          <w:shd w:val="clear" w:color="auto" w:fill="FFFFFF"/>
          <w:lang w:eastAsia="zh-CN"/>
        </w:rPr>
        <w:t>。</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rPr>
      </w:pPr>
      <w:r>
        <w:rPr>
          <w:rFonts w:hint="default" w:ascii="Times New Roman" w:hAnsi="Times New Roman" w:eastAsia="仿宋" w:cs="Times New Roman"/>
          <w:kern w:val="0"/>
          <w:sz w:val="28"/>
          <w:szCs w:val="28"/>
          <w:shd w:val="clear" w:color="auto" w:fill="FFFFFF"/>
        </w:rPr>
        <w:t>在县级医院建立传染性应急救治负压病区，是</w:t>
      </w:r>
      <w:r>
        <w:rPr>
          <w:rFonts w:hint="eastAsia" w:ascii="Times New Roman" w:hAnsi="Times New Roman" w:eastAsia="仿宋" w:cs="Times New Roman"/>
          <w:kern w:val="0"/>
          <w:sz w:val="28"/>
          <w:szCs w:val="28"/>
          <w:shd w:val="clear" w:color="auto" w:fill="FFFFFF"/>
          <w:lang w:val="en-US" w:eastAsia="zh-CN"/>
        </w:rPr>
        <w:t>2020</w:t>
      </w:r>
      <w:r>
        <w:rPr>
          <w:rFonts w:hint="default" w:ascii="Times New Roman" w:hAnsi="Times New Roman" w:eastAsia="仿宋" w:cs="Times New Roman"/>
          <w:kern w:val="0"/>
          <w:sz w:val="28"/>
          <w:szCs w:val="28"/>
          <w:shd w:val="clear" w:color="auto" w:fill="FFFFFF"/>
        </w:rPr>
        <w:t>年新冠肺炎疫情防控以来，国家加强基层传染病防治工作的最新要求。古县人民医院目前没有发热门诊，发热病人与普通病人均在门急诊内就诊，存在较大的传染隐患。</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rPr>
      </w:pPr>
      <w:r>
        <w:rPr>
          <w:rFonts w:hint="default" w:ascii="Times New Roman" w:hAnsi="Times New Roman" w:eastAsia="仿宋" w:cs="Times New Roman"/>
          <w:kern w:val="0"/>
          <w:sz w:val="28"/>
          <w:szCs w:val="28"/>
          <w:shd w:val="clear" w:color="auto" w:fill="FFFFFF"/>
        </w:rPr>
        <w:t>根据《医疗机构发热门（急）诊设置指导原则（试行）》，发热门急（诊）应当设置在医疗机构内独立区域，与普通门（急）相隔离，避免发热病人与其他病人相交叉；通风良好，有明显标识。</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rPr>
      </w:pPr>
      <w:r>
        <w:rPr>
          <w:rFonts w:hint="default" w:ascii="Times New Roman" w:hAnsi="Times New Roman" w:eastAsia="仿宋" w:cs="Times New Roman"/>
          <w:kern w:val="0"/>
          <w:sz w:val="28"/>
          <w:szCs w:val="28"/>
          <w:shd w:val="clear" w:color="auto" w:fill="FFFFFF"/>
        </w:rPr>
        <w:t>移动“DR”是建设发热门诊，负压病房必须配备设备，目前古县人民医院没有该设备，急需购置。医院现有关节镜购置已近10年，设备陈旧，成像质量差，配件严重短缺，随着我院骨科业务的不断发展，关节疾病日趋增多，现有的设备已不能满足临床需要。</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rPr>
      </w:pPr>
      <w:r>
        <w:rPr>
          <w:rFonts w:hint="default" w:ascii="Times New Roman" w:hAnsi="Times New Roman" w:eastAsia="仿宋" w:cs="Times New Roman"/>
          <w:kern w:val="0"/>
          <w:sz w:val="28"/>
          <w:szCs w:val="28"/>
          <w:shd w:val="clear" w:color="auto" w:fill="FFFFFF"/>
        </w:rPr>
        <w:t>项目建设是把好发热病人第一关口的重要举措，</w:t>
      </w:r>
      <w:r>
        <w:rPr>
          <w:rFonts w:hint="eastAsia" w:ascii="Times New Roman" w:hAnsi="Times New Roman" w:eastAsia="仿宋" w:cs="Times New Roman"/>
          <w:kern w:val="0"/>
          <w:sz w:val="28"/>
          <w:szCs w:val="28"/>
          <w:shd w:val="clear" w:color="auto" w:fill="FFFFFF"/>
          <w:lang w:val="en-US" w:eastAsia="zh-CN"/>
        </w:rPr>
        <w:t>能</w:t>
      </w:r>
      <w:r>
        <w:rPr>
          <w:rFonts w:hint="default" w:ascii="Times New Roman" w:hAnsi="Times New Roman" w:eastAsia="仿宋" w:cs="Times New Roman"/>
          <w:kern w:val="0"/>
          <w:sz w:val="28"/>
          <w:szCs w:val="28"/>
          <w:shd w:val="clear" w:color="auto" w:fill="FFFFFF"/>
        </w:rPr>
        <w:t>够进一步加强预防重大传染病的预防控制和治疗工作。</w:t>
      </w:r>
    </w:p>
    <w:p>
      <w:pPr>
        <w:spacing w:line="574" w:lineRule="exact"/>
        <w:ind w:firstLine="560" w:firstLineChars="200"/>
        <w:rPr>
          <w:rFonts w:hint="eastAsia" w:ascii="黑体" w:hAnsi="黑体" w:eastAsia="黑体"/>
          <w:snapToGrid w:val="0"/>
          <w:sz w:val="32"/>
          <w:szCs w:val="32"/>
        </w:rPr>
      </w:pPr>
      <w:r>
        <w:rPr>
          <w:rFonts w:hint="eastAsia" w:ascii="Times New Roman" w:hAnsi="Times New Roman" w:eastAsia="仿宋" w:cs="Times New Roman"/>
          <w:kern w:val="0"/>
          <w:sz w:val="28"/>
          <w:szCs w:val="28"/>
          <w:shd w:val="clear" w:color="auto" w:fill="FFFFFF"/>
          <w:lang w:val="en-US" w:eastAsia="zh-CN"/>
        </w:rPr>
        <w:t>古县医疗集团救治能力提升项目占地950㎡，新建一栋三层框架结构负压病房楼，建筑面积2905㎡，配套建设暖通工程、室内外给排水工程、消防工程及其附属工程；购置安装医用电梯、全自动生化分析仪、移动式数字放射成像系统、呼吸机、高压氧舱和关节镜等医疗设施设备</w:t>
      </w:r>
      <w:r>
        <w:rPr>
          <w:rFonts w:hint="eastAsia" w:ascii="Times New Roman" w:hAnsi="Times New Roman" w:eastAsia="仿宋" w:cs="Times New Roman"/>
          <w:sz w:val="28"/>
          <w:szCs w:val="24"/>
          <w:lang w:val="en-US" w:eastAsia="zh-CN"/>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9"/>
        <w:rPr>
          <w:rFonts w:hint="eastAsia" w:ascii="仿宋" w:hAnsi="仿宋" w:eastAsia="仿宋" w:cs="Times New Roman"/>
          <w:b/>
          <w:bCs/>
          <w:sz w:val="32"/>
          <w:szCs w:val="32"/>
          <w:lang w:val="zh-TW" w:eastAsia="zh-CN"/>
        </w:rPr>
      </w:pPr>
      <w:r>
        <w:rPr>
          <w:rFonts w:hint="eastAsia" w:ascii="仿宋" w:hAnsi="仿宋" w:eastAsia="仿宋" w:cs="Times New Roman"/>
          <w:b/>
          <w:bCs/>
          <w:sz w:val="32"/>
          <w:szCs w:val="32"/>
          <w:lang w:val="zh-TW" w:eastAsia="zh-CN"/>
        </w:rPr>
        <w:t>（</w:t>
      </w:r>
      <w:r>
        <w:rPr>
          <w:rFonts w:hint="eastAsia" w:ascii="仿宋" w:hAnsi="仿宋" w:eastAsia="仿宋" w:cs="Times New Roman"/>
          <w:b/>
          <w:bCs/>
          <w:sz w:val="32"/>
          <w:szCs w:val="32"/>
          <w:lang w:val="en-US" w:eastAsia="zh-CN"/>
        </w:rPr>
        <w:t>二</w:t>
      </w:r>
      <w:r>
        <w:rPr>
          <w:rFonts w:hint="eastAsia" w:ascii="仿宋" w:hAnsi="仿宋" w:eastAsia="仿宋" w:cs="Times New Roman"/>
          <w:b/>
          <w:bCs/>
          <w:sz w:val="32"/>
          <w:szCs w:val="32"/>
          <w:lang w:val="zh-TW" w:eastAsia="zh-CN"/>
        </w:rPr>
        <w:t>）预算资金内容</w:t>
      </w:r>
    </w:p>
    <w:p>
      <w:pPr>
        <w:pageBreakBefore w:val="0"/>
        <w:kinsoku/>
        <w:wordWrap/>
        <w:overflowPunct/>
        <w:topLinePunct w:val="0"/>
        <w:autoSpaceDE/>
        <w:autoSpaceDN/>
        <w:bidi w:val="0"/>
        <w:adjustRightInd/>
        <w:snapToGrid/>
        <w:spacing w:line="574" w:lineRule="exact"/>
        <w:ind w:firstLine="560" w:firstLineChars="200"/>
        <w:textAlignment w:val="auto"/>
        <w:outlineLvl w:val="9"/>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kern w:val="0"/>
          <w:sz w:val="28"/>
          <w:szCs w:val="28"/>
          <w:shd w:val="clear" w:color="auto" w:fill="FFFFFF"/>
          <w:lang w:val="en-US" w:eastAsia="zh-CN"/>
        </w:rPr>
        <w:t>根据古县行政审批服务管理局《关于对古县人民医院救治能力提升项目初步设计的批复》（古审管审发〔2020〕45号）文件：项目总投资3153.82万元，其中：建安工程费1200.14万元，设备购置费1583.77万元，工程建设其他费用191.39万元，基本预备费178.52万元。资金来源为上级资金和县财政资金。</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9"/>
        <w:rPr>
          <w:rFonts w:hint="eastAsia" w:ascii="仿宋" w:hAnsi="仿宋" w:eastAsia="仿宋" w:cs="Times New Roman"/>
          <w:b/>
          <w:bCs/>
          <w:sz w:val="32"/>
          <w:szCs w:val="32"/>
          <w:lang w:eastAsia="zh-CN"/>
        </w:rPr>
      </w:pP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三</w:t>
      </w:r>
      <w:r>
        <w:rPr>
          <w:rFonts w:hint="eastAsia" w:ascii="仿宋" w:hAnsi="仿宋" w:eastAsia="仿宋" w:cs="Times New Roman"/>
          <w:b/>
          <w:bCs/>
          <w:sz w:val="32"/>
          <w:szCs w:val="32"/>
          <w:lang w:eastAsia="zh-CN"/>
        </w:rPr>
        <w:t>）项目绩效目标</w:t>
      </w:r>
    </w:p>
    <w:p>
      <w:pPr>
        <w:spacing w:line="500" w:lineRule="exact"/>
        <w:ind w:firstLine="562" w:firstLineChars="200"/>
        <w:rPr>
          <w:rFonts w:hint="eastAsia" w:ascii="仿宋" w:hAnsi="仿宋" w:eastAsia="仿宋" w:cs="仿宋"/>
          <w:b/>
          <w:bCs/>
          <w:color w:val="000000"/>
          <w:kern w:val="0"/>
          <w:sz w:val="28"/>
          <w:szCs w:val="24"/>
          <w:lang w:val="en-US" w:eastAsia="zh-CN"/>
        </w:rPr>
      </w:pPr>
      <w:r>
        <w:rPr>
          <w:rFonts w:hint="eastAsia" w:ascii="仿宋" w:hAnsi="仿宋" w:eastAsia="仿宋" w:cs="仿宋"/>
          <w:b/>
          <w:bCs/>
          <w:color w:val="000000"/>
          <w:kern w:val="0"/>
          <w:sz w:val="28"/>
          <w:szCs w:val="24"/>
          <w:lang w:val="en-US" w:eastAsia="zh-CN"/>
        </w:rPr>
        <w:t>1、项目总体目标：</w:t>
      </w:r>
    </w:p>
    <w:p>
      <w:pPr>
        <w:spacing w:line="500" w:lineRule="exact"/>
        <w:ind w:firstLine="560" w:firstLineChars="200"/>
        <w:rPr>
          <w:rFonts w:hint="eastAsia" w:ascii="仿宋" w:hAnsi="仿宋" w:eastAsia="仿宋" w:cs="仿宋"/>
          <w:color w:val="000000"/>
          <w:kern w:val="0"/>
          <w:sz w:val="28"/>
          <w:szCs w:val="24"/>
          <w:highlight w:val="none"/>
          <w:lang w:val="en-US" w:eastAsia="zh-CN"/>
        </w:rPr>
      </w:pPr>
      <w:r>
        <w:rPr>
          <w:rFonts w:hint="eastAsia" w:ascii="Times New Roman" w:hAnsi="Times New Roman" w:eastAsia="仿宋" w:cs="Times New Roman"/>
          <w:kern w:val="0"/>
          <w:sz w:val="28"/>
          <w:szCs w:val="28"/>
          <w:shd w:val="clear" w:color="auto" w:fill="FFFFFF"/>
          <w:lang w:val="en-US" w:eastAsia="zh-CN"/>
        </w:rPr>
        <w:t>在县级医院建立传染性应急救治负压病区，是2020年新冠肺炎疫情防控以来，国家加强基层传染病防治工作的最新要求；古县医疗集团救治能力提升项目的实施，能够进一步加强预防重大传染病的预防控制和治疗工作，有助于提升医院的诊疗水平，满足广大就诊者对医疗资源的需求，推动地区医疗事业的发展，改善区域医疗资源不足的问题，提高其公共卫生服务水平</w:t>
      </w:r>
      <w:r>
        <w:rPr>
          <w:rFonts w:hint="eastAsia" w:ascii="仿宋" w:hAnsi="仿宋" w:eastAsia="仿宋" w:cs="仿宋"/>
          <w:color w:val="000000"/>
          <w:kern w:val="0"/>
          <w:sz w:val="28"/>
          <w:szCs w:val="24"/>
          <w:lang w:val="en-US" w:eastAsia="zh-CN"/>
        </w:rPr>
        <w:t>。</w:t>
      </w:r>
    </w:p>
    <w:p>
      <w:pPr>
        <w:spacing w:line="500" w:lineRule="exact"/>
        <w:ind w:firstLine="562" w:firstLineChars="200"/>
        <w:rPr>
          <w:rFonts w:hint="eastAsia" w:ascii="Times New Roman" w:hAnsi="Times New Roman" w:eastAsia="仿宋" w:cs="Times New Roman"/>
          <w:b/>
          <w:bCs/>
          <w:color w:val="000000"/>
          <w:kern w:val="0"/>
          <w:sz w:val="28"/>
          <w:szCs w:val="24"/>
          <w:lang w:val="en-US" w:eastAsia="zh-CN"/>
        </w:rPr>
      </w:pPr>
      <w:r>
        <w:rPr>
          <w:rFonts w:hint="eastAsia" w:ascii="Times New Roman" w:hAnsi="Times New Roman" w:eastAsia="仿宋" w:cs="Times New Roman"/>
          <w:b/>
          <w:bCs/>
          <w:color w:val="000000"/>
          <w:kern w:val="0"/>
          <w:sz w:val="28"/>
          <w:szCs w:val="24"/>
          <w:lang w:val="en-US" w:eastAsia="zh-CN"/>
        </w:rPr>
        <w:t>2、项目阶段性目标：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产出目标：</w:t>
      </w:r>
    </w:p>
    <w:p>
      <w:pPr>
        <w:spacing w:line="500" w:lineRule="exact"/>
        <w:ind w:firstLine="560" w:firstLineChars="200"/>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建设内容完成率：100.00%；一包实施内容完成，二包实施内容完成；</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验收合格情况：100%，一包、二包出具《验收报告》，验收合格；</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完成及时性：一包、二包根据合同约定及时完成建设，及时验收；</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成本控制率：一包、二包均不高于招标合同价；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效益目标：</w:t>
      </w:r>
    </w:p>
    <w:p>
      <w:pPr>
        <w:spacing w:line="500" w:lineRule="exact"/>
        <w:ind w:firstLine="560" w:firstLineChars="200"/>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诊疗能力：提升；</w:t>
      </w:r>
    </w:p>
    <w:p>
      <w:pPr>
        <w:spacing w:line="500" w:lineRule="exact"/>
        <w:ind w:firstLine="560" w:firstLineChars="200"/>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可持续影响：项目后续管理体制机制健全，管理责任落实；项目后续资金有保障；</w:t>
      </w:r>
    </w:p>
    <w:p>
      <w:pPr>
        <w:spacing w:line="574" w:lineRule="exact"/>
        <w:ind w:firstLine="560" w:firstLineChars="200"/>
        <w:rPr>
          <w:rFonts w:hint="eastAsia" w:ascii="Times New Roman" w:hAnsi="Times New Roman" w:eastAsia="仿宋" w:cs="Times New Roman"/>
          <w:b w:val="0"/>
          <w:bCs w:val="0"/>
          <w:sz w:val="28"/>
          <w:szCs w:val="24"/>
          <w:lang w:val="en-US" w:eastAsia="zh-CN"/>
        </w:rPr>
      </w:pPr>
      <w:r>
        <w:rPr>
          <w:rFonts w:hint="eastAsia" w:ascii="Times New Roman" w:hAnsi="Times New Roman" w:eastAsia="仿宋" w:cs="Times New Roman"/>
          <w:kern w:val="0"/>
          <w:sz w:val="28"/>
          <w:szCs w:val="28"/>
          <w:shd w:val="clear" w:color="auto" w:fill="FFFFFF"/>
          <w:lang w:val="en-US" w:eastAsia="zh-CN"/>
        </w:rPr>
        <w:t>服务对象满意度：≥90%</w:t>
      </w:r>
      <w:r>
        <w:rPr>
          <w:rFonts w:hint="eastAsia" w:ascii="Times New Roman" w:hAnsi="Times New Roman" w:eastAsia="仿宋" w:cs="Times New Roman"/>
          <w:b w:val="0"/>
          <w:bCs w:val="0"/>
          <w:sz w:val="28"/>
          <w:szCs w:val="24"/>
          <w:lang w:eastAsia="zh-CN"/>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二、评价结论</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依据项目基础信息统计，结合现场核查结果，按照评价小组制定并由专家组论证的评价指标体系，救治能力提升项目支出绩效评价综合得分71.44分，评价等级为“中”。</w:t>
      </w:r>
    </w:p>
    <w:p>
      <w:pPr>
        <w:widowControl/>
        <w:spacing w:line="574" w:lineRule="exact"/>
        <w:ind w:firstLine="560" w:firstLineChars="200"/>
        <w:rPr>
          <w:rFonts w:hint="default"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项目决策方面，</w:t>
      </w:r>
      <w:r>
        <w:rPr>
          <w:rFonts w:hint="eastAsia" w:ascii="Times New Roman" w:hAnsi="Times New Roman" w:eastAsia="仿宋" w:cs="Times New Roman"/>
          <w:bCs w:val="0"/>
          <w:kern w:val="2"/>
          <w:sz w:val="28"/>
          <w:szCs w:val="28"/>
          <w:lang w:val="en-US" w:eastAsia="zh-CN" w:bidi="ar-SA"/>
        </w:rPr>
        <w:t>项目按照规定的程序申请设立，救治能力提升项目落实了党中央、国务院重大疫情防控救治能力提升决策部署</w:t>
      </w:r>
      <w:r>
        <w:rPr>
          <w:rFonts w:hint="eastAsia" w:ascii="Times New Roman" w:hAnsi="Times New Roman" w:eastAsia="仿宋" w:cs="Times New Roman"/>
          <w:kern w:val="0"/>
          <w:sz w:val="28"/>
          <w:szCs w:val="24"/>
          <w:lang w:val="en-US" w:eastAsia="zh-CN" w:bidi="ar-SA"/>
        </w:rPr>
        <w:t>，项目依据充分，立项程序规范，绩效目标合理，绩效指标明确，资金分配合理、预算编制科学。</w:t>
      </w:r>
    </w:p>
    <w:p>
      <w:pPr>
        <w:widowControl/>
        <w:spacing w:line="574" w:lineRule="exact"/>
        <w:ind w:firstLine="560" w:firstLineChars="200"/>
        <w:rPr>
          <w:rFonts w:hint="default"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项目过程方面，预算资金到位率100.00%，资金使用合规，财务管理制度健全，预算执行率达标，但项目实施管理有待加强。</w:t>
      </w:r>
    </w:p>
    <w:p>
      <w:pPr>
        <w:widowControl/>
        <w:spacing w:line="574" w:lineRule="exact"/>
        <w:ind w:firstLine="560" w:firstLineChars="200"/>
        <w:rPr>
          <w:rFonts w:hint="default"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项目产出方面，</w:t>
      </w:r>
      <w:r>
        <w:rPr>
          <w:rFonts w:hint="eastAsia" w:ascii="Times New Roman" w:hAnsi="Times New Roman" w:eastAsia="仿宋" w:cs="Times New Roman"/>
          <w:bCs w:val="0"/>
          <w:kern w:val="2"/>
          <w:sz w:val="28"/>
          <w:szCs w:val="28"/>
          <w:lang w:val="en-US" w:eastAsia="zh-CN" w:bidi="ar-SA"/>
        </w:rPr>
        <w:t>救治能力提升项目一包（工程建设）尚未完工；救治能力提升项目二包（空调安装）工期2020年11月15日至2021年11月14日，二包延期完工</w:t>
      </w:r>
      <w:r>
        <w:rPr>
          <w:rFonts w:hint="eastAsia" w:ascii="Times New Roman" w:hAnsi="Times New Roman" w:eastAsia="仿宋" w:cs="Times New Roman"/>
          <w:kern w:val="0"/>
          <w:sz w:val="28"/>
          <w:szCs w:val="24"/>
          <w:lang w:val="en-US" w:eastAsia="zh-CN" w:bidi="ar-SA"/>
        </w:rPr>
        <w:t>。</w:t>
      </w:r>
    </w:p>
    <w:p>
      <w:pPr>
        <w:spacing w:line="574" w:lineRule="exact"/>
        <w:ind w:firstLine="560" w:firstLineChars="200"/>
        <w:rPr>
          <w:rFonts w:ascii="仿宋_GB2312" w:eastAsia="仿宋_GB2312"/>
          <w:snapToGrid w:val="0"/>
          <w:sz w:val="32"/>
          <w:szCs w:val="32"/>
        </w:rPr>
      </w:pPr>
      <w:r>
        <w:rPr>
          <w:rFonts w:hint="eastAsia" w:ascii="Times New Roman" w:hAnsi="Times New Roman" w:eastAsia="仿宋" w:cs="Times New Roman"/>
          <w:kern w:val="0"/>
          <w:sz w:val="28"/>
          <w:szCs w:val="24"/>
          <w:lang w:val="en-US" w:eastAsia="zh-CN" w:bidi="ar-SA"/>
        </w:rPr>
        <w:t>项目效益方面，项目社会效益良好，项目具备可持续性，受益对象满意度较高</w:t>
      </w:r>
      <w:r>
        <w:rPr>
          <w:rFonts w:hint="eastAsia" w:ascii="仿宋" w:hAnsi="仿宋" w:eastAsia="仿宋" w:cs="仿宋"/>
          <w:sz w:val="28"/>
          <w:szCs w:val="28"/>
          <w:lang w:val="en-US" w:eastAsia="zh-CN"/>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三、存在问题</w:t>
      </w:r>
    </w:p>
    <w:p>
      <w:pPr>
        <w:spacing w:line="574" w:lineRule="exact"/>
        <w:ind w:firstLine="562" w:firstLineChars="200"/>
        <w:rPr>
          <w:rFonts w:hint="default" w:ascii="仿宋" w:hAnsi="仿宋" w:eastAsia="仿宋" w:cs="仿宋"/>
          <w:b/>
          <w:bCs w:val="0"/>
          <w:snapToGrid w:val="0"/>
          <w:sz w:val="28"/>
          <w:szCs w:val="28"/>
          <w:lang w:val="en-US" w:eastAsia="zh-CN"/>
        </w:rPr>
      </w:pPr>
      <w:r>
        <w:rPr>
          <w:rFonts w:hint="eastAsia" w:ascii="仿宋" w:hAnsi="仿宋" w:eastAsia="仿宋" w:cs="仿宋"/>
          <w:b/>
          <w:bCs w:val="0"/>
          <w:snapToGrid w:val="0"/>
          <w:sz w:val="28"/>
          <w:szCs w:val="28"/>
          <w:lang w:val="en-US" w:eastAsia="zh-CN"/>
        </w:rPr>
        <w:t>1、救治能力提升项目（第一包）签订延期协议后仍未按期完工，古县医疗集团项目进度管理不到位。</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2020年11月12日，古县医疗集团与恒上建设有限公司签订《古县人民医院救治能力提升项目（第一包）建设工程施工合同》，工期365天；2021年11月10日，古县医疗集团与恒上建设有限公司签订《延期协议书》：计划2022年4月30日完成该项目工程；2022年8月25日，古县医疗集团出具《项目情况汇报》：工程正在进行室内装修，尚未整体完工；项目延期之后仍未按期完工，未见古县医疗集团督促项目施工单位加快工程进度资料；</w:t>
      </w:r>
    </w:p>
    <w:p>
      <w:pPr>
        <w:spacing w:line="574" w:lineRule="exact"/>
        <w:ind w:firstLine="562" w:firstLineChars="200"/>
        <w:rPr>
          <w:rFonts w:hint="default" w:ascii="Times New Roman" w:hAnsi="Times New Roman" w:eastAsia="仿宋" w:cs="Times New Roman"/>
          <w:b/>
          <w:bCs/>
          <w:kern w:val="2"/>
          <w:sz w:val="28"/>
          <w:szCs w:val="28"/>
          <w:lang w:val="en-US" w:eastAsia="zh-CN" w:bidi="ar-SA"/>
        </w:rPr>
      </w:pPr>
      <w:r>
        <w:rPr>
          <w:rFonts w:hint="eastAsia" w:ascii="Times New Roman" w:hAnsi="Times New Roman" w:eastAsia="仿宋" w:cs="Times New Roman"/>
          <w:b/>
          <w:bCs/>
          <w:kern w:val="2"/>
          <w:sz w:val="28"/>
          <w:szCs w:val="28"/>
          <w:lang w:val="en-US" w:eastAsia="zh-CN" w:bidi="ar-SA"/>
        </w:rPr>
        <w:t>2、古县医疗集团合同审核不严格。</w:t>
      </w:r>
    </w:p>
    <w:p>
      <w:pPr>
        <w:spacing w:line="574" w:lineRule="exact"/>
        <w:ind w:firstLine="560" w:firstLineChars="200"/>
        <w:rPr>
          <w:rFonts w:hint="eastAsia" w:ascii="仿宋" w:hAnsi="仿宋" w:eastAsia="仿宋" w:cs="仿宋"/>
          <w:b w:val="0"/>
          <w:bCs/>
          <w:snapToGrid w:val="0"/>
          <w:sz w:val="28"/>
          <w:szCs w:val="28"/>
          <w:lang w:val="en-US" w:eastAsia="zh-CN"/>
        </w:rPr>
      </w:pPr>
      <w:r>
        <w:rPr>
          <w:rFonts w:hint="eastAsia" w:ascii="Times New Roman" w:hAnsi="Times New Roman" w:eastAsia="仿宋" w:cs="Times New Roman"/>
          <w:bCs w:val="0"/>
          <w:kern w:val="2"/>
          <w:sz w:val="28"/>
          <w:szCs w:val="28"/>
          <w:lang w:val="en-US" w:eastAsia="zh-CN" w:bidi="ar-SA"/>
        </w:rPr>
        <w:t>一包项目合同、补充协议签订不规范、合同审核不严格：古县医疗集团与恒上建设有限公司签订的《古县人民医院救治能力提升项目（第一包）建设工程施工合同》未明确计划开竣工时间（空项未填）；古县医疗集团与恒上建设有限公司签订的《延期协议书》中古县人民医院救治能力提升项目写成“古县人民医院救治能力提升项目”</w:t>
      </w:r>
      <w:r>
        <w:rPr>
          <w:rFonts w:hint="eastAsia" w:ascii="仿宋" w:hAnsi="仿宋" w:eastAsia="仿宋" w:cs="仿宋"/>
          <w:b w:val="0"/>
          <w:bCs/>
          <w:snapToGrid w:val="0"/>
          <w:sz w:val="28"/>
          <w:szCs w:val="28"/>
          <w:lang w:val="en-US" w:eastAsia="zh-CN"/>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四、改进措施</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lang w:val="en-US" w:eastAsia="zh-CN"/>
        </w:rPr>
        <w:sectPr>
          <w:footerReference r:id="rId7" w:type="default"/>
          <w:pgSz w:w="11906" w:h="16838"/>
          <w:pgMar w:top="1440" w:right="1800" w:bottom="1440" w:left="1800" w:header="851" w:footer="992" w:gutter="0"/>
          <w:pgNumType w:fmt="decimal" w:start="1"/>
          <w:cols w:space="425" w:num="1"/>
          <w:docGrid w:type="lines" w:linePitch="312" w:charSpace="0"/>
        </w:sectPr>
      </w:pPr>
      <w:bookmarkStart w:id="9" w:name="_Toc515810986"/>
      <w:bookmarkStart w:id="10" w:name="_Toc516237635"/>
      <w:bookmarkStart w:id="11" w:name="_Toc515811931"/>
      <w:bookmarkStart w:id="12" w:name="_Toc516473301"/>
      <w:bookmarkStart w:id="13" w:name="_Toc514537327"/>
      <w:bookmarkStart w:id="14" w:name="_Toc516554766"/>
    </w:p>
    <w:bookmarkEnd w:id="9"/>
    <w:bookmarkEnd w:id="10"/>
    <w:bookmarkEnd w:id="11"/>
    <w:bookmarkEnd w:id="12"/>
    <w:bookmarkEnd w:id="13"/>
    <w:bookmarkEnd w:id="14"/>
    <w:p>
      <w:pPr>
        <w:spacing w:line="574" w:lineRule="exact"/>
        <w:ind w:firstLine="562" w:firstLineChars="200"/>
        <w:rPr>
          <w:rFonts w:hint="default" w:ascii="Times New Roman" w:hAnsi="Times New Roman" w:eastAsia="仿宋"/>
          <w:b w:val="0"/>
          <w:bCs/>
          <w:snapToGrid w:val="0"/>
          <w:sz w:val="28"/>
          <w:szCs w:val="32"/>
          <w:lang w:val="en-US" w:eastAsia="zh-CN"/>
        </w:rPr>
      </w:pPr>
      <w:r>
        <w:rPr>
          <w:rFonts w:hint="eastAsia" w:ascii="Times New Roman" w:hAnsi="Times New Roman" w:eastAsia="仿宋"/>
          <w:b/>
          <w:bCs w:val="0"/>
          <w:snapToGrid w:val="0"/>
          <w:sz w:val="28"/>
          <w:szCs w:val="32"/>
          <w:lang w:val="en-US" w:eastAsia="zh-CN"/>
        </w:rPr>
        <w:t>1、加强监督协调，促进项目早日完工投用。</w:t>
      </w:r>
    </w:p>
    <w:p>
      <w:pPr>
        <w:spacing w:line="574" w:lineRule="exact"/>
        <w:ind w:firstLine="560" w:firstLineChars="200"/>
        <w:rPr>
          <w:rFonts w:hint="default"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建议古县医疗集团加强项目实施管理，明确目标任务、倒排工期，督促施工方加快项目实施进度；对于延期严重项目，按照合同约定的违约处罚措施对施工方进行惩戒；多措并举，促进项目早日完工投用。</w:t>
      </w:r>
    </w:p>
    <w:p>
      <w:pPr>
        <w:spacing w:line="574" w:lineRule="exact"/>
        <w:ind w:firstLine="562" w:firstLineChars="200"/>
        <w:rPr>
          <w:rFonts w:hint="default" w:ascii="Times New Roman" w:hAnsi="Times New Roman" w:eastAsia="仿宋"/>
          <w:b/>
          <w:bCs w:val="0"/>
          <w:snapToGrid w:val="0"/>
          <w:sz w:val="28"/>
          <w:szCs w:val="32"/>
          <w:lang w:val="en-US" w:eastAsia="zh-CN"/>
        </w:rPr>
      </w:pPr>
      <w:r>
        <w:rPr>
          <w:rFonts w:hint="eastAsia" w:ascii="Times New Roman" w:hAnsi="Times New Roman" w:eastAsia="仿宋"/>
          <w:b/>
          <w:bCs w:val="0"/>
          <w:snapToGrid w:val="0"/>
          <w:sz w:val="28"/>
          <w:szCs w:val="32"/>
          <w:lang w:val="en-US" w:eastAsia="zh-CN"/>
        </w:rPr>
        <w:t>2、严格审核施工合同，避免错项、漏项。</w:t>
      </w:r>
    </w:p>
    <w:p>
      <w:pPr>
        <w:spacing w:line="574" w:lineRule="exact"/>
        <w:ind w:firstLine="560"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w:t>
      </w:r>
      <w:r>
        <w:rPr>
          <w:rFonts w:hint="eastAsia" w:ascii="仿宋" w:hAnsi="仿宋" w:eastAsia="仿宋" w:cs="仿宋"/>
          <w:b w:val="0"/>
          <w:bCs w:val="0"/>
          <w:snapToGrid w:val="0"/>
          <w:sz w:val="28"/>
          <w:szCs w:val="28"/>
          <w:lang w:val="en-US" w:eastAsia="zh-CN"/>
        </w:rPr>
        <w:t>古县医疗集团按照《合同法》等相关法律法规，严格与各方签订合同，避免漏项引发的法律风险；严格审核合同，避免合同出现明显错误</w:t>
      </w:r>
      <w:r>
        <w:rPr>
          <w:rFonts w:hint="eastAsia" w:ascii="Times New Roman" w:hAnsi="Times New Roman" w:eastAsia="仿宋"/>
          <w:b w:val="0"/>
          <w:bCs/>
          <w:snapToGrid w:val="0"/>
          <w:sz w:val="28"/>
          <w:szCs w:val="32"/>
          <w:lang w:val="en-US" w:eastAsia="zh-CN"/>
        </w:rPr>
        <w:t>。</w:t>
      </w:r>
    </w:p>
    <w:p>
      <w:pPr>
        <w:spacing w:line="574" w:lineRule="exact"/>
        <w:ind w:firstLine="560" w:firstLineChars="200"/>
        <w:rPr>
          <w:rFonts w:hint="eastAsia" w:ascii="Times New Roman" w:hAnsi="Times New Roman" w:eastAsia="仿宋"/>
          <w:b w:val="0"/>
          <w:bCs/>
          <w:snapToGrid w:val="0"/>
          <w:sz w:val="28"/>
          <w:szCs w:val="32"/>
          <w:lang w:val="en-US" w:eastAsia="zh-CN"/>
        </w:rPr>
        <w:sectPr>
          <w:type w:val="continuous"/>
          <w:pgSz w:w="11906" w:h="16838"/>
          <w:pgMar w:top="1440" w:right="1800" w:bottom="1440" w:left="1800" w:header="851" w:footer="992" w:gutter="0"/>
          <w:pgNumType w:fmt="decimal"/>
          <w:cols w:space="425" w:num="1"/>
          <w:docGrid w:type="lines" w:linePitch="312" w:charSpace="0"/>
        </w:sectPr>
      </w:pPr>
    </w:p>
    <w:p>
      <w:pPr>
        <w:pStyle w:val="1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黑体" w:hAnsi="黑体" w:cs="黑体"/>
          <w:b/>
          <w:bCs w:val="0"/>
          <w:kern w:val="2"/>
          <w:sz w:val="44"/>
          <w:szCs w:val="44"/>
        </w:rPr>
      </w:pPr>
      <w:bookmarkStart w:id="15" w:name="_Toc13723"/>
      <w:bookmarkStart w:id="16" w:name="_Toc10211"/>
      <w:bookmarkStart w:id="17" w:name="_Toc23604"/>
      <w:bookmarkStart w:id="18" w:name="_Toc12847"/>
      <w:bookmarkStart w:id="19" w:name="_Toc4007"/>
      <w:bookmarkStart w:id="20" w:name="_Toc4940"/>
      <w:bookmarkStart w:id="21" w:name="_Toc4980"/>
      <w:r>
        <w:rPr>
          <w:rFonts w:hint="eastAsia" w:ascii="黑体" w:hAnsi="黑体" w:cs="黑体"/>
          <w:b/>
          <w:bCs w:val="0"/>
          <w:kern w:val="2"/>
          <w:sz w:val="44"/>
          <w:szCs w:val="44"/>
          <w:lang w:eastAsia="zh-CN"/>
        </w:rPr>
        <w:t>救治能力提升项目</w:t>
      </w:r>
      <w:r>
        <w:rPr>
          <w:rFonts w:hint="eastAsia" w:ascii="黑体" w:hAnsi="黑体" w:cs="黑体"/>
          <w:b/>
          <w:bCs w:val="0"/>
          <w:kern w:val="2"/>
          <w:sz w:val="44"/>
          <w:szCs w:val="44"/>
        </w:rPr>
        <w:t>支出绩效评价</w:t>
      </w:r>
    </w:p>
    <w:p>
      <w:pPr>
        <w:pStyle w:val="17"/>
        <w:keepNext w:val="0"/>
        <w:keepLines w:val="0"/>
        <w:pageBreakBefore w:val="0"/>
        <w:widowControl w:val="0"/>
        <w:kinsoku/>
        <w:wordWrap/>
        <w:overflowPunct/>
        <w:topLinePunct w:val="0"/>
        <w:autoSpaceDE/>
        <w:autoSpaceDN/>
        <w:bidi w:val="0"/>
        <w:adjustRightInd/>
        <w:snapToGrid/>
        <w:jc w:val="center"/>
        <w:textAlignment w:val="auto"/>
        <w:outlineLvl w:val="9"/>
      </w:pPr>
      <w:r>
        <w:rPr>
          <w:rFonts w:hint="eastAsia" w:ascii="黑体" w:hAnsi="黑体" w:cs="黑体"/>
          <w:b/>
          <w:bCs w:val="0"/>
          <w:kern w:val="2"/>
          <w:sz w:val="44"/>
          <w:szCs w:val="44"/>
        </w:rPr>
        <w:t>报告</w:t>
      </w:r>
      <w:bookmarkEnd w:id="15"/>
      <w:bookmarkEnd w:id="16"/>
      <w:bookmarkEnd w:id="17"/>
      <w:bookmarkEnd w:id="18"/>
      <w:bookmarkEnd w:id="19"/>
      <w:bookmarkEnd w:id="20"/>
      <w:bookmarkEnd w:id="21"/>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受古县财政局委托，山西恒略绩效管理咨询有限公司承担对救治能力提升项目绩效评价工作。根据《中华人民共和国预算法》、《财政部关于印发&lt;项目支出绩效评价管理办法&gt;的通知》（财预〔2020〕10号）、《中共中央国务院关于全面实施预算绩效管理的意见》(中发〔2018〕34号)、《中共山西省委 山西省人民政府关于全面实施预算绩效管理的实施意见》（晋发〔2018〕39号）、《古县财政局关于印发&lt;2022年度财政重点绩效评价实施方案&gt;的通知》（古财字〔2022〕27号）等文件精神的要求，我们按照财政支出绩效评价的评价标准、评价方法和依据本项目特点制定的评价指标，对评价对象的绩效情况进行全面的分析和综合评价，形成了本报告。</w:t>
      </w:r>
    </w:p>
    <w:p>
      <w:pPr>
        <w:spacing w:line="500" w:lineRule="exact"/>
        <w:ind w:firstLine="560" w:firstLineChars="200"/>
        <w:rPr>
          <w:rFonts w:hint="default" w:ascii="Times New Roman" w:hAnsi="Times New Roman" w:eastAsia="仿宋" w:cs="Times New Roman"/>
          <w:snapToGrid w:val="0"/>
          <w:sz w:val="28"/>
          <w:szCs w:val="28"/>
        </w:rPr>
      </w:pPr>
      <w:r>
        <w:rPr>
          <w:rFonts w:hint="eastAsia" w:ascii="Times New Roman" w:hAnsi="Times New Roman" w:eastAsia="仿宋" w:cs="Times New Roman"/>
          <w:sz w:val="28"/>
          <w:szCs w:val="24"/>
          <w:lang w:val="en-US" w:eastAsia="zh-CN"/>
        </w:rPr>
        <w:t>本次绩效评价工作反映了救治能力提升项目在决策、过程、产出和效益四个方面的情况，并对项目实施中存在的问题提出改进建议，以期在今后的工作中进一步完善工作流程，提高资金绩效水平。现将绩效评价情况及评价结果报告如下</w:t>
      </w:r>
      <w:r>
        <w:rPr>
          <w:rFonts w:hint="default" w:ascii="Times New Roman" w:hAnsi="Times New Roman" w:eastAsia="仿宋" w:cs="Times New Roman"/>
          <w:snapToGrid w:val="0"/>
          <w:sz w:val="28"/>
          <w:szCs w:val="28"/>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ascii="Times New Roman" w:hAnsi="Times New Roman" w:eastAsia="黑体" w:cs="Times New Roman"/>
          <w:bCs/>
          <w:kern w:val="44"/>
          <w:sz w:val="32"/>
          <w:szCs w:val="32"/>
        </w:rPr>
      </w:pPr>
      <w:bookmarkStart w:id="22" w:name="_Toc2950"/>
      <w:r>
        <w:rPr>
          <w:rFonts w:hint="eastAsia" w:ascii="Times New Roman" w:hAnsi="Times New Roman" w:eastAsia="黑体" w:cs="Times New Roman"/>
          <w:bCs/>
          <w:kern w:val="44"/>
          <w:sz w:val="32"/>
          <w:szCs w:val="32"/>
        </w:rPr>
        <w:t>一、项目基本情况</w:t>
      </w:r>
      <w:bookmarkEnd w:id="1"/>
      <w:bookmarkEnd w:id="22"/>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ascii="仿宋" w:hAnsi="仿宋" w:eastAsia="仿宋" w:cs="Times New Roman"/>
          <w:b/>
          <w:bCs/>
          <w:sz w:val="32"/>
          <w:szCs w:val="32"/>
        </w:rPr>
      </w:pPr>
      <w:bookmarkStart w:id="23" w:name="_Toc514537329"/>
      <w:bookmarkStart w:id="24" w:name="_Toc22839"/>
      <w:r>
        <w:rPr>
          <w:rFonts w:hint="eastAsia" w:ascii="仿宋" w:hAnsi="仿宋" w:eastAsia="仿宋" w:cs="Times New Roman"/>
          <w:b/>
          <w:bCs/>
          <w:sz w:val="32"/>
          <w:szCs w:val="32"/>
        </w:rPr>
        <w:t>（一）项目</w:t>
      </w:r>
      <w:bookmarkEnd w:id="23"/>
      <w:r>
        <w:rPr>
          <w:rFonts w:hint="eastAsia" w:ascii="仿宋" w:hAnsi="仿宋" w:eastAsia="仿宋" w:cs="Times New Roman"/>
          <w:b/>
          <w:bCs/>
          <w:sz w:val="32"/>
          <w:szCs w:val="32"/>
        </w:rPr>
        <w:t>背景及概况</w:t>
      </w:r>
      <w:bookmarkEnd w:id="24"/>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rPr>
      </w:pPr>
      <w:bookmarkStart w:id="25" w:name="_Toc514537330"/>
      <w:r>
        <w:rPr>
          <w:rFonts w:hint="default" w:ascii="Times New Roman" w:hAnsi="Times New Roman" w:eastAsia="仿宋" w:cs="Times New Roman"/>
          <w:kern w:val="0"/>
          <w:sz w:val="28"/>
          <w:szCs w:val="28"/>
          <w:shd w:val="clear" w:color="auto" w:fill="FFFFFF"/>
        </w:rPr>
        <w:t>2020年发生的新冠肺炎疫情，是新中国成立以来在我国发生的传播速度最快、感染范围最广、防控难度最大的一次突发公共卫生事件。在党中央坚强领导下，全国迅速打响了抗击疫情的人民战争、总体战、阻击战，经过艰苦努力，疫情防控形势持续向好。但此次疫情防控也暴露出，我国重大疫情防控救治仍然存在不少能力短板和体制机制问题。随着国际疫情快速扩散蔓延，未来一段时间，我国仍将面临较为严峻的国内外疫情风险挑战。全面做好公共卫生特别是重大疫情防控救治的补短板、堵漏洞、强弱项工作，加强公立医疗卫生机构建设，已经成为当前保障人民群众生命安全和身体健康、促进经济社会平稳发展、维护国家公共卫生安全的一项紧迫任务。</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eastAsia="zh-CN"/>
        </w:rPr>
      </w:pPr>
      <w:r>
        <w:rPr>
          <w:rFonts w:hint="default" w:ascii="Times New Roman" w:hAnsi="Times New Roman" w:eastAsia="仿宋" w:cs="Times New Roman"/>
          <w:kern w:val="0"/>
          <w:sz w:val="28"/>
          <w:szCs w:val="28"/>
          <w:shd w:val="clear" w:color="auto" w:fill="FFFFFF"/>
        </w:rPr>
        <w:t>为贯彻习近平总书记系列重要指示批示精神，落实党中央、国务院决策部署，尽快补齐短板弱项，切实提高我国重大疫情防控救治能力，2020年5月9日，国家发展改革委、国家卫生健康委、国家中医药局等部门《关于印发公共卫生防控救治能力建设方案的通知》（发改社会〔2020〕0735号）文件提出：公共卫生防控救治能力建设要落实主体责任、立足防治急需、加强改革配套、严格项目管理</w:t>
      </w:r>
      <w:r>
        <w:rPr>
          <w:rFonts w:hint="eastAsia" w:ascii="Times New Roman" w:hAnsi="Times New Roman" w:eastAsia="仿宋" w:cs="Times New Roman"/>
          <w:kern w:val="0"/>
          <w:sz w:val="28"/>
          <w:szCs w:val="28"/>
          <w:shd w:val="clear" w:color="auto" w:fill="FFFFFF"/>
          <w:lang w:eastAsia="zh-CN"/>
        </w:rPr>
        <w:t>。</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rPr>
      </w:pPr>
      <w:r>
        <w:rPr>
          <w:rFonts w:hint="default" w:ascii="Times New Roman" w:hAnsi="Times New Roman" w:eastAsia="仿宋" w:cs="Times New Roman"/>
          <w:kern w:val="0"/>
          <w:sz w:val="28"/>
          <w:szCs w:val="28"/>
          <w:shd w:val="clear" w:color="auto" w:fill="FFFFFF"/>
        </w:rPr>
        <w:t>长期以来，我国负压隔离技术大多应用于生物安全实验室，</w:t>
      </w:r>
      <w:r>
        <w:rPr>
          <w:rFonts w:hint="eastAsia" w:ascii="Times New Roman" w:hAnsi="Times New Roman" w:eastAsia="仿宋" w:cs="Times New Roman"/>
          <w:kern w:val="0"/>
          <w:sz w:val="28"/>
          <w:szCs w:val="28"/>
          <w:shd w:val="clear" w:color="auto" w:fill="FFFFFF"/>
          <w:lang w:val="en-US" w:eastAsia="zh-CN"/>
        </w:rPr>
        <w:t>公共医疗卫生机构</w:t>
      </w:r>
      <w:r>
        <w:rPr>
          <w:rFonts w:hint="default" w:ascii="Times New Roman" w:hAnsi="Times New Roman" w:eastAsia="仿宋" w:cs="Times New Roman"/>
          <w:kern w:val="0"/>
          <w:sz w:val="28"/>
          <w:szCs w:val="28"/>
          <w:shd w:val="clear" w:color="auto" w:fill="FFFFFF"/>
        </w:rPr>
        <w:t>缺乏负压隔离病房。从负压隔离病房的适用范围可知，负压隔离病房是公共卫生体系的重要组成部分，涉及人民的身体健康、社会稳定及国家安全。</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rPr>
      </w:pPr>
      <w:r>
        <w:rPr>
          <w:rFonts w:hint="eastAsia" w:ascii="Times New Roman" w:hAnsi="Times New Roman" w:eastAsia="仿宋" w:cs="Times New Roman"/>
          <w:kern w:val="0"/>
          <w:sz w:val="28"/>
          <w:szCs w:val="28"/>
          <w:shd w:val="clear" w:color="auto" w:fill="FFFFFF"/>
          <w:lang w:val="en-US" w:eastAsia="zh-CN"/>
        </w:rPr>
        <w:t>2020年以来，</w:t>
      </w:r>
      <w:r>
        <w:rPr>
          <w:rFonts w:hint="default" w:ascii="Times New Roman" w:hAnsi="Times New Roman" w:eastAsia="仿宋" w:cs="Times New Roman"/>
          <w:kern w:val="0"/>
          <w:sz w:val="28"/>
          <w:szCs w:val="28"/>
          <w:shd w:val="clear" w:color="auto" w:fill="FFFFFF"/>
        </w:rPr>
        <w:t>新型冠状病毒侵袭中华大地。在不到一个月时间里，病毒感染人数快速增长。新型冠状病毒可通过飞沫、接触、气进行传播。当大批飞沫或空气传播的传染病患者突然在医院聚集时，将对医院造成巨大的压力，不仅是医疗救治的压力，同时也面临着如何控制疾病传播和交叉感染等一系列问题。</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eastAsia="zh-CN"/>
        </w:rPr>
      </w:pPr>
      <w:r>
        <w:rPr>
          <w:rFonts w:hint="default" w:ascii="Times New Roman" w:hAnsi="Times New Roman" w:eastAsia="仿宋" w:cs="Times New Roman"/>
          <w:kern w:val="0"/>
          <w:sz w:val="28"/>
          <w:szCs w:val="28"/>
          <w:shd w:val="clear" w:color="auto" w:fill="FFFFFF"/>
        </w:rPr>
        <w:t>为了控制疾病的传播，处理严格按照消毒隔离要求最好相应的个人防护和隔离措施外，负压病房从硬件设施上阻断病原体从局部向外扩散，为疾病防控提供了有效的手段。根据《医疗机构内新型冠状病毒感染预新型冠状病毒感染与控制技术指南第一版》中指出：“收治疑似或确诊新型冠状病毒感染的肺炎患者的病区建筑布局和工作流程应符合《医院隔离技术规范》等要求。设置负压病区的医疗机构应当按相关要求实施规范管理”。JCI等国际标准指出空气传播隔离间（AIR）防护措施对于阻止可在空气中长时间悬浮的传染病原的传播非常必要。气源性感染患者的首选安置场所就是负压病房</w:t>
      </w:r>
      <w:r>
        <w:rPr>
          <w:rFonts w:hint="eastAsia" w:ascii="Times New Roman" w:hAnsi="Times New Roman" w:eastAsia="仿宋" w:cs="Times New Roman"/>
          <w:kern w:val="0"/>
          <w:sz w:val="28"/>
          <w:szCs w:val="28"/>
          <w:shd w:val="clear" w:color="auto" w:fill="FFFFFF"/>
          <w:lang w:eastAsia="zh-CN"/>
        </w:rPr>
        <w:t>。</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rPr>
      </w:pPr>
      <w:r>
        <w:rPr>
          <w:rFonts w:hint="default" w:ascii="Times New Roman" w:hAnsi="Times New Roman" w:eastAsia="仿宋" w:cs="Times New Roman"/>
          <w:kern w:val="0"/>
          <w:sz w:val="28"/>
          <w:szCs w:val="28"/>
          <w:shd w:val="clear" w:color="auto" w:fill="FFFFFF"/>
        </w:rPr>
        <w:t>在县级医院建立传染性应急救治负压病区，是</w:t>
      </w:r>
      <w:r>
        <w:rPr>
          <w:rFonts w:hint="eastAsia" w:ascii="Times New Roman" w:hAnsi="Times New Roman" w:eastAsia="仿宋" w:cs="Times New Roman"/>
          <w:kern w:val="0"/>
          <w:sz w:val="28"/>
          <w:szCs w:val="28"/>
          <w:shd w:val="clear" w:color="auto" w:fill="FFFFFF"/>
          <w:lang w:val="en-US" w:eastAsia="zh-CN"/>
        </w:rPr>
        <w:t>2020</w:t>
      </w:r>
      <w:r>
        <w:rPr>
          <w:rFonts w:hint="default" w:ascii="Times New Roman" w:hAnsi="Times New Roman" w:eastAsia="仿宋" w:cs="Times New Roman"/>
          <w:kern w:val="0"/>
          <w:sz w:val="28"/>
          <w:szCs w:val="28"/>
          <w:shd w:val="clear" w:color="auto" w:fill="FFFFFF"/>
        </w:rPr>
        <w:t>年新冠肺炎疫情防控以来，国家加强基层传染病防治工作的最新要求。古县人民医院目前没有发热门诊，发热病人与普通病人均在门急诊内就诊，存在较大的传染隐患。</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rPr>
      </w:pPr>
      <w:r>
        <w:rPr>
          <w:rFonts w:hint="default" w:ascii="Times New Roman" w:hAnsi="Times New Roman" w:eastAsia="仿宋" w:cs="Times New Roman"/>
          <w:kern w:val="0"/>
          <w:sz w:val="28"/>
          <w:szCs w:val="28"/>
          <w:shd w:val="clear" w:color="auto" w:fill="FFFFFF"/>
        </w:rPr>
        <w:t>根据《医疗机构发热门（急）诊设置指导原则（试行）》，发热门急（诊）应当设置在医疗机构内独立区域，与普通门（急）相隔离，避免发热病人与其他病人相交叉；通风良好，有明显标识。</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rPr>
      </w:pPr>
      <w:r>
        <w:rPr>
          <w:rFonts w:hint="default" w:ascii="Times New Roman" w:hAnsi="Times New Roman" w:eastAsia="仿宋" w:cs="Times New Roman"/>
          <w:kern w:val="0"/>
          <w:sz w:val="28"/>
          <w:szCs w:val="28"/>
          <w:shd w:val="clear" w:color="auto" w:fill="FFFFFF"/>
        </w:rPr>
        <w:t>移动“DR”是建设发热门诊，负压病房必须配备设备，目前古县人民医院没有该设备，急需购置。医院现有关节镜购置已近10年，设备陈旧，成像质量差，配件严重短缺，随着我院骨科业务的不断发展，关节疾病日趋增多，现有的设备已不能满足临床需要。</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rPr>
      </w:pPr>
      <w:r>
        <w:rPr>
          <w:rFonts w:hint="default" w:ascii="Times New Roman" w:hAnsi="Times New Roman" w:eastAsia="仿宋" w:cs="Times New Roman"/>
          <w:kern w:val="0"/>
          <w:sz w:val="28"/>
          <w:szCs w:val="28"/>
          <w:shd w:val="clear" w:color="auto" w:fill="FFFFFF"/>
        </w:rPr>
        <w:t>项目建设是把好发热病人第一关口的重要举措，</w:t>
      </w:r>
      <w:r>
        <w:rPr>
          <w:rFonts w:hint="eastAsia" w:ascii="Times New Roman" w:hAnsi="Times New Roman" w:eastAsia="仿宋" w:cs="Times New Roman"/>
          <w:kern w:val="0"/>
          <w:sz w:val="28"/>
          <w:szCs w:val="28"/>
          <w:shd w:val="clear" w:color="auto" w:fill="FFFFFF"/>
          <w:lang w:val="en-US" w:eastAsia="zh-CN"/>
        </w:rPr>
        <w:t>能</w:t>
      </w:r>
      <w:r>
        <w:rPr>
          <w:rFonts w:hint="default" w:ascii="Times New Roman" w:hAnsi="Times New Roman" w:eastAsia="仿宋" w:cs="Times New Roman"/>
          <w:kern w:val="0"/>
          <w:sz w:val="28"/>
          <w:szCs w:val="28"/>
          <w:shd w:val="clear" w:color="auto" w:fill="FFFFFF"/>
        </w:rPr>
        <w:t>够进一步加强预防重大传染病的预防控制和治疗工作。</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kern w:val="0"/>
          <w:sz w:val="28"/>
          <w:szCs w:val="28"/>
          <w:shd w:val="clear" w:color="auto" w:fill="FFFFFF"/>
          <w:lang w:val="en-US" w:eastAsia="zh-CN"/>
        </w:rPr>
        <w:t>古县医疗集团救治能力提升项目占地950㎡，新建一栋三层框架结构负压病房楼，建筑面积2905㎡，配套建设暖通工程、室内外给排水工程、消防工程及其附属工程；购置安装医用电梯、全自动生化分析仪、移动式数字放射成像系统、呼吸机、高压氧舱和关节镜等医疗设施设备</w:t>
      </w:r>
      <w:r>
        <w:rPr>
          <w:rFonts w:hint="eastAsia" w:ascii="Times New Roman" w:hAnsi="Times New Roman" w:eastAsia="仿宋" w:cs="Times New Roman"/>
          <w:sz w:val="28"/>
          <w:szCs w:val="24"/>
          <w:lang w:val="en-US" w:eastAsia="zh-CN"/>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26" w:name="_Toc9637"/>
      <w:r>
        <w:rPr>
          <w:rFonts w:hint="eastAsia" w:ascii="仿宋" w:hAnsi="仿宋" w:eastAsia="仿宋" w:cs="Times New Roman"/>
          <w:b/>
          <w:bCs/>
          <w:sz w:val="32"/>
          <w:szCs w:val="32"/>
        </w:rPr>
        <w:t>（二）预算资金来源与资金使用</w:t>
      </w:r>
      <w:bookmarkEnd w:id="25"/>
      <w:r>
        <w:rPr>
          <w:rFonts w:hint="eastAsia" w:ascii="仿宋" w:hAnsi="仿宋" w:eastAsia="仿宋" w:cs="Times New Roman"/>
          <w:b/>
          <w:bCs/>
          <w:sz w:val="32"/>
          <w:szCs w:val="32"/>
          <w:lang w:val="en-US" w:eastAsia="zh-CN"/>
        </w:rPr>
        <w:t>情况</w:t>
      </w:r>
      <w:bookmarkEnd w:id="26"/>
    </w:p>
    <w:p>
      <w:pPr>
        <w:spacing w:line="500" w:lineRule="exact"/>
        <w:ind w:firstLine="562" w:firstLineChars="200"/>
        <w:rPr>
          <w:rFonts w:hint="default" w:ascii="Times New Roman" w:hAnsi="Times New Roman" w:eastAsia="仿宋" w:cs="Times New Roman"/>
          <w:b/>
          <w:sz w:val="28"/>
          <w:szCs w:val="24"/>
          <w:lang w:val="en-US" w:eastAsia="zh-CN"/>
        </w:rPr>
      </w:pPr>
      <w:bookmarkStart w:id="27" w:name="_Toc29577"/>
      <w:r>
        <w:rPr>
          <w:rFonts w:hint="eastAsia" w:ascii="Times New Roman" w:hAnsi="Times New Roman" w:eastAsia="仿宋" w:cs="Times New Roman"/>
          <w:b/>
          <w:sz w:val="28"/>
          <w:szCs w:val="24"/>
          <w:lang w:val="en-US" w:eastAsia="zh-CN"/>
        </w:rPr>
        <w:t>1、</w:t>
      </w:r>
      <w:r>
        <w:rPr>
          <w:rFonts w:hint="eastAsia" w:ascii="Times New Roman" w:hAnsi="Times New Roman" w:eastAsia="仿宋" w:cs="Times New Roman"/>
          <w:b/>
          <w:sz w:val="28"/>
          <w:szCs w:val="24"/>
        </w:rPr>
        <w:t>项目</w:t>
      </w:r>
      <w:r>
        <w:rPr>
          <w:rFonts w:hint="eastAsia" w:ascii="Times New Roman" w:hAnsi="Times New Roman" w:eastAsia="仿宋" w:cs="Times New Roman"/>
          <w:b/>
          <w:sz w:val="28"/>
          <w:szCs w:val="24"/>
          <w:lang w:val="en-US" w:eastAsia="zh-CN"/>
        </w:rPr>
        <w:t>预算及资金来源</w:t>
      </w:r>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根据古县行政审批服务管理局《关于对古县人民医院救治能力提升项目初步设计的批复》（古审管审发〔2020〕45号）文件：项目总投资3153.82万元，其中：建安工程费1200.14万元，设备购置费1583.77万元，工程建设其他费用191.39万元，基本预备费178.52万元。资金来源为上级资金和县财政资金。</w:t>
      </w:r>
    </w:p>
    <w:p>
      <w:pPr>
        <w:pageBreakBefore w:val="0"/>
        <w:widowControl w:val="0"/>
        <w:kinsoku/>
        <w:wordWrap/>
        <w:overflowPunct/>
        <w:topLinePunct w:val="0"/>
        <w:bidi w:val="0"/>
        <w:spacing w:line="50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该项目报审预算金额5746121.04元，经财政评审后的预算审定金额为4648308.35元。</w:t>
      </w:r>
    </w:p>
    <w:p>
      <w:pPr>
        <w:spacing w:line="500" w:lineRule="exact"/>
        <w:ind w:firstLine="562" w:firstLineChars="200"/>
        <w:rPr>
          <w:rFonts w:hint="default"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2、</w:t>
      </w:r>
      <w:r>
        <w:rPr>
          <w:rFonts w:hint="eastAsia" w:ascii="Times New Roman" w:hAnsi="Times New Roman" w:eastAsia="仿宋" w:cs="Times New Roman"/>
          <w:b/>
          <w:sz w:val="28"/>
          <w:szCs w:val="24"/>
        </w:rPr>
        <w:t>资金</w:t>
      </w:r>
      <w:r>
        <w:rPr>
          <w:rFonts w:hint="eastAsia" w:ascii="Times New Roman" w:hAnsi="Times New Roman" w:eastAsia="仿宋" w:cs="Times New Roman"/>
          <w:b/>
          <w:sz w:val="28"/>
          <w:szCs w:val="24"/>
          <w:lang w:val="en-US" w:eastAsia="zh-CN"/>
        </w:rPr>
        <w:t>到位及使用情况</w:t>
      </w:r>
    </w:p>
    <w:p>
      <w:pPr>
        <w:pageBreakBefore w:val="0"/>
        <w:widowControl w:val="0"/>
        <w:kinsoku/>
        <w:wordWrap/>
        <w:overflowPunct/>
        <w:topLinePunct w:val="0"/>
        <w:bidi w:val="0"/>
        <w:spacing w:line="50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截止2022年8月15日，项目共计到位资金1717.00万元，其中中央资金1100.00万元，省级专项资金317.00万元，抗疫特别国债资金300.00万元。</w:t>
      </w:r>
    </w:p>
    <w:p>
      <w:pPr>
        <w:pageBreakBefore w:val="0"/>
        <w:widowControl w:val="0"/>
        <w:kinsoku/>
        <w:wordWrap/>
        <w:overflowPunct/>
        <w:topLinePunct w:val="0"/>
        <w:bidi w:val="0"/>
        <w:spacing w:line="50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项目资金到位情况见下表1-1。</w:t>
      </w:r>
    </w:p>
    <w:p>
      <w:pPr>
        <w:spacing w:line="500" w:lineRule="exact"/>
        <w:ind w:firstLine="481" w:firstLineChars="200"/>
        <w:jc w:val="center"/>
        <w:rPr>
          <w:rFonts w:hint="default" w:ascii="Times New Roman" w:hAnsi="Times New Roman" w:eastAsia="仿宋" w:cs="Times New Roman"/>
          <w:b/>
          <w:kern w:val="0"/>
          <w:sz w:val="24"/>
          <w:szCs w:val="28"/>
          <w:vertAlign w:val="baseline"/>
          <w:lang w:val="en-US" w:eastAsia="zh-CN"/>
        </w:rPr>
      </w:pPr>
      <w:r>
        <w:rPr>
          <w:rFonts w:hint="eastAsia" w:ascii="Times New Roman" w:hAnsi="Times New Roman" w:eastAsia="仿宋" w:cs="Times New Roman"/>
          <w:b/>
          <w:kern w:val="0"/>
          <w:sz w:val="24"/>
          <w:szCs w:val="28"/>
          <w:lang w:val="en-US" w:eastAsia="zh-CN"/>
        </w:rPr>
        <w:t>表1-1项目资金到位情况表</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7"/>
        <w:gridCol w:w="2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765" w:type="dxa"/>
          </w:tcPr>
          <w:p>
            <w:pPr>
              <w:spacing w:line="500" w:lineRule="exact"/>
              <w:jc w:val="center"/>
              <w:rPr>
                <w:rFonts w:hint="default" w:ascii="Times New Roman" w:hAnsi="Times New Roman" w:eastAsia="仿宋" w:cs="Times New Roman"/>
                <w:b/>
                <w:kern w:val="0"/>
                <w:sz w:val="24"/>
                <w:szCs w:val="28"/>
                <w:vertAlign w:val="baseline"/>
                <w:lang w:val="en-US" w:eastAsia="zh-CN"/>
              </w:rPr>
            </w:pPr>
            <w:r>
              <w:rPr>
                <w:rFonts w:hint="eastAsia" w:ascii="Times New Roman" w:hAnsi="Times New Roman" w:eastAsia="仿宋" w:cs="Times New Roman"/>
                <w:b/>
                <w:kern w:val="0"/>
                <w:sz w:val="24"/>
                <w:szCs w:val="28"/>
                <w:vertAlign w:val="baseline"/>
                <w:lang w:val="en-US" w:eastAsia="zh-CN"/>
              </w:rPr>
              <w:t>资金来源</w:t>
            </w:r>
          </w:p>
        </w:tc>
        <w:tc>
          <w:tcPr>
            <w:tcW w:w="2767" w:type="dxa"/>
          </w:tcPr>
          <w:p>
            <w:pPr>
              <w:spacing w:line="500" w:lineRule="exact"/>
              <w:jc w:val="center"/>
              <w:rPr>
                <w:rFonts w:hint="default" w:ascii="Times New Roman" w:hAnsi="Times New Roman" w:eastAsia="仿宋" w:cs="Times New Roman"/>
                <w:b/>
                <w:kern w:val="0"/>
                <w:sz w:val="24"/>
                <w:szCs w:val="28"/>
                <w:vertAlign w:val="baseline"/>
                <w:lang w:val="en-US" w:eastAsia="zh-CN"/>
              </w:rPr>
            </w:pPr>
            <w:r>
              <w:rPr>
                <w:rFonts w:hint="eastAsia" w:ascii="Times New Roman" w:hAnsi="Times New Roman" w:eastAsia="仿宋" w:cs="Times New Roman"/>
                <w:b/>
                <w:kern w:val="0"/>
                <w:sz w:val="24"/>
                <w:szCs w:val="28"/>
                <w:vertAlign w:val="baseline"/>
                <w:lang w:val="en-US" w:eastAsia="zh-CN"/>
              </w:rPr>
              <w:t>下达时间</w:t>
            </w:r>
          </w:p>
        </w:tc>
        <w:tc>
          <w:tcPr>
            <w:tcW w:w="2767" w:type="dxa"/>
          </w:tcPr>
          <w:p>
            <w:pPr>
              <w:spacing w:line="500" w:lineRule="exact"/>
              <w:jc w:val="center"/>
              <w:rPr>
                <w:rFonts w:hint="default" w:ascii="Times New Roman" w:hAnsi="Times New Roman" w:eastAsia="仿宋" w:cs="Times New Roman"/>
                <w:b/>
                <w:kern w:val="0"/>
                <w:sz w:val="24"/>
                <w:szCs w:val="28"/>
                <w:vertAlign w:val="baseline"/>
                <w:lang w:val="en-US" w:eastAsia="zh-CN"/>
              </w:rPr>
            </w:pPr>
            <w:r>
              <w:rPr>
                <w:rFonts w:hint="eastAsia" w:ascii="Times New Roman" w:hAnsi="Times New Roman" w:eastAsia="仿宋" w:cs="Times New Roman"/>
                <w:b/>
                <w:kern w:val="0"/>
                <w:sz w:val="24"/>
                <w:szCs w:val="28"/>
                <w:vertAlign w:val="baseline"/>
                <w:lang w:val="en-US" w:eastAsia="zh-CN"/>
              </w:rPr>
              <w:t>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765" w:type="dxa"/>
          </w:tcPr>
          <w:p>
            <w:pPr>
              <w:spacing w:line="500" w:lineRule="exact"/>
              <w:jc w:val="center"/>
              <w:rPr>
                <w:rFonts w:hint="default"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中央资金</w:t>
            </w:r>
          </w:p>
        </w:tc>
        <w:tc>
          <w:tcPr>
            <w:tcW w:w="2767" w:type="dxa"/>
          </w:tcPr>
          <w:p>
            <w:pPr>
              <w:spacing w:line="500" w:lineRule="exact"/>
              <w:jc w:val="center"/>
              <w:rPr>
                <w:rFonts w:hint="default"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2020</w:t>
            </w:r>
          </w:p>
        </w:tc>
        <w:tc>
          <w:tcPr>
            <w:tcW w:w="2767" w:type="dxa"/>
          </w:tcPr>
          <w:p>
            <w:pPr>
              <w:spacing w:line="500" w:lineRule="exact"/>
              <w:jc w:val="center"/>
              <w:rPr>
                <w:rFonts w:hint="default"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1100.00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765" w:type="dxa"/>
          </w:tcPr>
          <w:p>
            <w:pPr>
              <w:spacing w:line="500" w:lineRule="exact"/>
              <w:jc w:val="center"/>
              <w:rPr>
                <w:rFonts w:hint="default"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省级专项资金</w:t>
            </w:r>
          </w:p>
        </w:tc>
        <w:tc>
          <w:tcPr>
            <w:tcW w:w="2767" w:type="dxa"/>
          </w:tcPr>
          <w:p>
            <w:pPr>
              <w:spacing w:line="500" w:lineRule="exact"/>
              <w:jc w:val="center"/>
              <w:rPr>
                <w:rFonts w:hint="default"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2021</w:t>
            </w:r>
          </w:p>
        </w:tc>
        <w:tc>
          <w:tcPr>
            <w:tcW w:w="2767" w:type="dxa"/>
          </w:tcPr>
          <w:p>
            <w:pPr>
              <w:spacing w:line="500" w:lineRule="exact"/>
              <w:jc w:val="center"/>
              <w:rPr>
                <w:rFonts w:hint="default"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317.00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2765" w:type="dxa"/>
          </w:tcPr>
          <w:p>
            <w:pPr>
              <w:spacing w:line="500" w:lineRule="exact"/>
              <w:jc w:val="center"/>
              <w:rPr>
                <w:rFonts w:hint="default"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抗疫特别国债</w:t>
            </w:r>
          </w:p>
        </w:tc>
        <w:tc>
          <w:tcPr>
            <w:tcW w:w="2767" w:type="dxa"/>
          </w:tcPr>
          <w:p>
            <w:pPr>
              <w:spacing w:line="500" w:lineRule="exact"/>
              <w:jc w:val="center"/>
              <w:rPr>
                <w:rFonts w:hint="default"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2021</w:t>
            </w:r>
          </w:p>
        </w:tc>
        <w:tc>
          <w:tcPr>
            <w:tcW w:w="2767" w:type="dxa"/>
          </w:tcPr>
          <w:p>
            <w:pPr>
              <w:spacing w:line="500" w:lineRule="exact"/>
              <w:jc w:val="center"/>
              <w:rPr>
                <w:rFonts w:hint="default"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765" w:type="dxa"/>
          </w:tcPr>
          <w:p>
            <w:pPr>
              <w:spacing w:line="500" w:lineRule="exact"/>
              <w:jc w:val="center"/>
              <w:rPr>
                <w:rFonts w:hint="default" w:ascii="Times New Roman" w:hAnsi="Times New Roman" w:eastAsia="仿宋" w:cs="Times New Roman"/>
                <w:b/>
                <w:kern w:val="0"/>
                <w:sz w:val="24"/>
                <w:szCs w:val="28"/>
                <w:vertAlign w:val="baseline"/>
                <w:lang w:val="en-US" w:eastAsia="zh-CN"/>
              </w:rPr>
            </w:pPr>
            <w:r>
              <w:rPr>
                <w:rFonts w:hint="eastAsia" w:ascii="Times New Roman" w:hAnsi="Times New Roman" w:eastAsia="仿宋" w:cs="Times New Roman"/>
                <w:b/>
                <w:kern w:val="0"/>
                <w:sz w:val="24"/>
                <w:szCs w:val="28"/>
                <w:vertAlign w:val="baseline"/>
                <w:lang w:val="en-US" w:eastAsia="zh-CN"/>
              </w:rPr>
              <w:t>合计</w:t>
            </w:r>
          </w:p>
        </w:tc>
        <w:tc>
          <w:tcPr>
            <w:tcW w:w="2767" w:type="dxa"/>
          </w:tcPr>
          <w:p>
            <w:pPr>
              <w:spacing w:line="500" w:lineRule="exact"/>
              <w:jc w:val="center"/>
              <w:rPr>
                <w:rFonts w:hint="default" w:ascii="Times New Roman" w:hAnsi="Times New Roman" w:eastAsia="仿宋" w:cs="Times New Roman"/>
                <w:b/>
                <w:kern w:val="0"/>
                <w:sz w:val="24"/>
                <w:szCs w:val="28"/>
                <w:vertAlign w:val="baseline"/>
                <w:lang w:val="en-US" w:eastAsia="zh-CN"/>
              </w:rPr>
            </w:pPr>
            <w:r>
              <w:rPr>
                <w:rFonts w:hint="eastAsia" w:ascii="Times New Roman" w:hAnsi="Times New Roman" w:eastAsia="仿宋" w:cs="Times New Roman"/>
                <w:b/>
                <w:kern w:val="0"/>
                <w:sz w:val="24"/>
                <w:szCs w:val="28"/>
                <w:vertAlign w:val="baseline"/>
                <w:lang w:val="en-US" w:eastAsia="zh-CN"/>
              </w:rPr>
              <w:t>-</w:t>
            </w:r>
          </w:p>
        </w:tc>
        <w:tc>
          <w:tcPr>
            <w:tcW w:w="2767" w:type="dxa"/>
          </w:tcPr>
          <w:p>
            <w:pPr>
              <w:spacing w:line="500" w:lineRule="exact"/>
              <w:jc w:val="center"/>
              <w:rPr>
                <w:rFonts w:hint="default" w:ascii="Times New Roman" w:hAnsi="Times New Roman" w:eastAsia="仿宋" w:cs="Times New Roman"/>
                <w:b/>
                <w:kern w:val="0"/>
                <w:sz w:val="24"/>
                <w:szCs w:val="28"/>
                <w:vertAlign w:val="baseline"/>
                <w:lang w:val="en-US" w:eastAsia="zh-CN"/>
              </w:rPr>
            </w:pPr>
            <w:r>
              <w:rPr>
                <w:rFonts w:hint="eastAsia" w:ascii="Times New Roman" w:hAnsi="Times New Roman" w:eastAsia="仿宋" w:cs="Times New Roman"/>
                <w:b/>
                <w:kern w:val="0"/>
                <w:sz w:val="24"/>
                <w:szCs w:val="28"/>
                <w:vertAlign w:val="baseline"/>
                <w:lang w:val="en-US" w:eastAsia="zh-CN"/>
              </w:rPr>
              <w:t>1717.00</w:t>
            </w:r>
          </w:p>
        </w:tc>
      </w:tr>
    </w:tbl>
    <w:p>
      <w:pPr>
        <w:pageBreakBefore w:val="0"/>
        <w:widowControl w:val="0"/>
        <w:kinsoku/>
        <w:wordWrap/>
        <w:overflowPunct/>
        <w:topLinePunct w:val="0"/>
        <w:bidi w:val="0"/>
        <w:spacing w:line="50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截止2022年8月15日，救治能力提升项目共计支出资金1133.32万元。</w:t>
      </w:r>
    </w:p>
    <w:p>
      <w:pPr>
        <w:pageBreakBefore w:val="0"/>
        <w:widowControl w:val="0"/>
        <w:kinsoku/>
        <w:wordWrap/>
        <w:overflowPunct/>
        <w:topLinePunct w:val="0"/>
        <w:bidi w:val="0"/>
        <w:spacing w:line="50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救治能力提升项目资金使用情况见下表1-2。</w:t>
      </w:r>
    </w:p>
    <w:p>
      <w:pPr>
        <w:spacing w:line="500" w:lineRule="exact"/>
        <w:ind w:firstLine="481" w:firstLineChars="200"/>
        <w:jc w:val="center"/>
        <w:rPr>
          <w:rFonts w:hint="eastAsia" w:ascii="Times New Roman" w:hAnsi="Times New Roman" w:eastAsia="仿宋" w:cs="Times New Roman"/>
          <w:b/>
          <w:kern w:val="0"/>
          <w:sz w:val="24"/>
          <w:szCs w:val="28"/>
          <w:lang w:val="en-US" w:eastAsia="zh-CN"/>
        </w:rPr>
      </w:pPr>
      <w:r>
        <w:rPr>
          <w:rFonts w:hint="eastAsia" w:ascii="Times New Roman" w:hAnsi="Times New Roman" w:eastAsia="仿宋" w:cs="Times New Roman"/>
          <w:b/>
          <w:kern w:val="0"/>
          <w:sz w:val="24"/>
          <w:szCs w:val="28"/>
          <w:lang w:val="en-US" w:eastAsia="zh-CN"/>
        </w:rPr>
        <w:t>表1-2项目资金使用情况明细表</w:t>
      </w:r>
    </w:p>
    <w:tbl>
      <w:tblPr>
        <w:tblStyle w:val="19"/>
        <w:tblW w:w="8238"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3972"/>
        <w:gridCol w:w="1752"/>
        <w:gridCol w:w="2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3972" w:type="dxa"/>
            <w:shd w:val="clear" w:color="auto" w:fill="auto"/>
            <w:noWrap/>
            <w:vAlign w:val="center"/>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支付明细</w:t>
            </w:r>
          </w:p>
        </w:tc>
        <w:tc>
          <w:tcPr>
            <w:tcW w:w="1752" w:type="dxa"/>
            <w:shd w:val="clear" w:color="auto" w:fill="auto"/>
            <w:noWrap/>
            <w:vAlign w:val="center"/>
          </w:tcPr>
          <w:p>
            <w:pPr>
              <w:spacing w:line="500" w:lineRule="exact"/>
              <w:jc w:val="center"/>
              <w:rPr>
                <w:rFonts w:hint="default"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支出金额（元）</w:t>
            </w:r>
          </w:p>
        </w:tc>
        <w:tc>
          <w:tcPr>
            <w:tcW w:w="2514" w:type="dxa"/>
            <w:shd w:val="clear" w:color="auto" w:fill="auto"/>
            <w:noWrap/>
            <w:vAlign w:val="center"/>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支出时间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临汾市建筑勘察设计院消防审查费</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5000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2020年10月27日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2"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山西晋恒源岩土工程有限责任公司勘察费</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20000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2020年10月27日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2"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恒上建设有限公司（抗疫国债）工程服务</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3000000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2020年11月23日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2"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山西正诚信工程造价咨询有限公司可研编制费</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80000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2020年12月22日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2"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古县行政审批服务管理局防空地下室建设费</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87150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2020年12月21日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2"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山西翔鸿工程管理有限公司招标控制价及工程量清单编制费</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56609</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2020年12月23日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9"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古县自然资源局基础设施配套费</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101675</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2020年12月15日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2"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山西二建集团有限公司工程设计服务费</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320000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2021年3月22日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2"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山西鼎英通风空调技术有限公司建筑工程安装费</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410977.81</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2021年4月7日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9"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临汾开天建设监理有限公司监理费</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66000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2021年5月8日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6"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恒上建设有限公司工程服务</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500000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2021年5月8日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6"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恒上建设有限公司工程服务</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500000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2021年6月10日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6"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恒上建设有限公司工程服务</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500000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2021年6月23日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6"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恒上建设有限公司工程服务</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1000000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2021年8月6日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6"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恒上建设有限公司工程服务</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1000000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2021年9月14日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6"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恒上建设有限公司工程服务</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500000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2021年9月22日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9"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临汾开天建设监理有限公司监理费</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110000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2021年10月22日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6"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恒上建设有限公司工程服务</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1000000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2021年10月28日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2"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山西鼎英通风空调技术有限公司建筑工程安装费</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300000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2022年1月27日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6"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恒上建设有限公司工程服务</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147000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2022年1月30日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2"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山西鼎英通风空调技术有限公司建筑工程安装费</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500000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2022年4月14日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6"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恒上建设有限公司工程服务</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182120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2022年4月25日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6"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恒上建设有限公司工程服务</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500000</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2022年4月25日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6"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恒上建设有限公司工程服务</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190745</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2022年5月23日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6" w:hRule="atLeast"/>
        </w:trPr>
        <w:tc>
          <w:tcPr>
            <w:tcW w:w="3972" w:type="dxa"/>
            <w:shd w:val="clear" w:color="auto" w:fill="auto"/>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恒上建设有限公司工程服务</w:t>
            </w:r>
          </w:p>
        </w:tc>
        <w:tc>
          <w:tcPr>
            <w:tcW w:w="1752"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255898</w:t>
            </w:r>
          </w:p>
        </w:tc>
        <w:tc>
          <w:tcPr>
            <w:tcW w:w="2514" w:type="dxa"/>
            <w:shd w:val="clear" w:color="auto" w:fill="auto"/>
            <w:noWrap/>
            <w:vAlign w:val="bottom"/>
          </w:tcPr>
          <w:p>
            <w:pPr>
              <w:spacing w:line="500" w:lineRule="exact"/>
              <w:jc w:val="center"/>
              <w:rPr>
                <w:rFonts w:hint="eastAsia"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2022年8月4日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6" w:hRule="atLeast"/>
        </w:trPr>
        <w:tc>
          <w:tcPr>
            <w:tcW w:w="3972" w:type="dxa"/>
            <w:shd w:val="clear" w:color="auto" w:fill="auto"/>
            <w:vAlign w:val="bottom"/>
          </w:tcPr>
          <w:p>
            <w:pPr>
              <w:spacing w:line="500" w:lineRule="exact"/>
              <w:jc w:val="center"/>
              <w:rPr>
                <w:rFonts w:hint="default"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合计</w:t>
            </w:r>
          </w:p>
        </w:tc>
        <w:tc>
          <w:tcPr>
            <w:tcW w:w="1752" w:type="dxa"/>
            <w:shd w:val="clear" w:color="auto" w:fill="auto"/>
            <w:noWrap/>
            <w:vAlign w:val="bottom"/>
          </w:tcPr>
          <w:p>
            <w:pPr>
              <w:spacing w:line="500" w:lineRule="exact"/>
              <w:jc w:val="center"/>
              <w:rPr>
                <w:rFonts w:hint="default"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11333174.81</w:t>
            </w:r>
          </w:p>
        </w:tc>
        <w:tc>
          <w:tcPr>
            <w:tcW w:w="2514" w:type="dxa"/>
            <w:shd w:val="clear" w:color="auto" w:fill="auto"/>
            <w:noWrap/>
            <w:vAlign w:val="bottom"/>
          </w:tcPr>
          <w:p>
            <w:pPr>
              <w:spacing w:line="500" w:lineRule="exact"/>
              <w:jc w:val="center"/>
              <w:rPr>
                <w:rFonts w:hint="default" w:ascii="Times New Roman" w:hAnsi="Times New Roman" w:eastAsia="仿宋" w:cs="Times New Roman"/>
                <w:b w:val="0"/>
                <w:bCs/>
                <w:kern w:val="0"/>
                <w:sz w:val="24"/>
                <w:szCs w:val="28"/>
                <w:vertAlign w:val="baseline"/>
                <w:lang w:val="en-US" w:eastAsia="zh-CN"/>
              </w:rPr>
            </w:pPr>
            <w:r>
              <w:rPr>
                <w:rFonts w:hint="eastAsia" w:ascii="Times New Roman" w:hAnsi="Times New Roman" w:eastAsia="仿宋" w:cs="Times New Roman"/>
                <w:b w:val="0"/>
                <w:bCs/>
                <w:kern w:val="0"/>
                <w:sz w:val="24"/>
                <w:szCs w:val="28"/>
                <w:vertAlign w:val="baseline"/>
                <w:lang w:val="en-US" w:eastAsia="zh-CN"/>
              </w:rPr>
              <w:t>-</w:t>
            </w:r>
          </w:p>
        </w:tc>
      </w:tr>
    </w:tbl>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三</w:t>
      </w: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项目立项依据</w:t>
      </w:r>
      <w:bookmarkEnd w:id="27"/>
    </w:p>
    <w:p>
      <w:pPr>
        <w:pageBreakBefore w:val="0"/>
        <w:widowControl w:val="0"/>
        <w:kinsoku/>
        <w:wordWrap/>
        <w:overflowPunct/>
        <w:topLinePunct w:val="0"/>
        <w:bidi w:val="0"/>
        <w:spacing w:line="50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default" w:ascii="Times New Roman" w:hAnsi="Times New Roman" w:eastAsia="仿宋" w:cs="Times New Roman"/>
          <w:kern w:val="0"/>
          <w:sz w:val="28"/>
          <w:szCs w:val="28"/>
          <w:shd w:val="clear" w:color="auto" w:fill="FFFFFF"/>
          <w:lang w:val="en-US" w:eastAsia="zh-CN"/>
        </w:rPr>
        <w:t>本项目的立项依据包括但不限于：</w:t>
      </w:r>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1、《中华人民共和国传染病防治法》；</w:t>
      </w:r>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2、国家发展改革委、国家卫生健康委、国家中医药局等部门《关于印发公共卫生防控救治能力建设方案的通知》（发改社会〔2020〕0735号）；</w:t>
      </w:r>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3、《关于加强公共卫生体系建设和重大疫情防控救治体系建设工作的通知》（国卫财务函〔2020〕303号）；</w:t>
      </w:r>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4、《关于应付新冠肺炎应急救治设施负压病区建筑技术导致（试行）的通知》（国卫办规划函﹝2020﹞166号）；</w:t>
      </w:r>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5、《传染病医院建设标准》（建标173-2016）；</w:t>
      </w:r>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6、《传染病医院建筑设计规范》（GB50849-2014）；</w:t>
      </w:r>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7、《传染病医院建筑施工及验收规范》（GB50686-2011）；</w:t>
      </w:r>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8、《综合医院建筑技术规范》（GB51039-2014）；</w:t>
      </w:r>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9、《医院负压隔离病房环境控制要求》（GB/T35428-2017）；</w:t>
      </w:r>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10、《医院隔离技术规范》（WS/T311-2009）；</w:t>
      </w:r>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11、古县医疗集团《关于对古县人民医院救治能力提升项目立项的请示》（古医集字〔2020〕32号）；</w:t>
      </w:r>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12、古县行政审批服务管理局《关于对古县人民医院救治能力提升项目可行性研究报告（代项目建议书）的批复》（古审管审发〔2020〕31号）；</w:t>
      </w:r>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13、古县医疗集团《关于对古县人民医院救治能力提升项目初步设计批复的申请》（古医集字〔2020〕43号）；</w:t>
      </w:r>
    </w:p>
    <w:p>
      <w:pPr>
        <w:spacing w:line="574" w:lineRule="exact"/>
        <w:ind w:firstLine="560" w:firstLineChars="200"/>
        <w:rPr>
          <w:rFonts w:hint="default" w:ascii="仿宋_GB2312" w:eastAsia="仿宋_GB2312"/>
          <w:snapToGrid w:val="0"/>
          <w:sz w:val="32"/>
          <w:szCs w:val="32"/>
          <w:lang w:val="en-US" w:eastAsia="zh-CN"/>
        </w:rPr>
      </w:pPr>
      <w:r>
        <w:rPr>
          <w:rFonts w:hint="eastAsia" w:ascii="Times New Roman" w:hAnsi="Times New Roman" w:eastAsia="仿宋" w:cs="Times New Roman"/>
          <w:kern w:val="0"/>
          <w:sz w:val="28"/>
          <w:szCs w:val="28"/>
          <w:shd w:val="clear" w:color="auto" w:fill="FFFFFF"/>
          <w:lang w:val="en-US" w:eastAsia="zh-CN"/>
        </w:rPr>
        <w:t>14、古县行政审批服务管理局《关于对古县人民医院救治能力提升项目初步设计的批复》（古审管审发〔2020〕45号）</w:t>
      </w:r>
      <w:r>
        <w:rPr>
          <w:rFonts w:hint="eastAsia" w:ascii="仿宋_GB2312" w:eastAsia="仿宋_GB2312"/>
          <w:snapToGrid w:val="0"/>
          <w:sz w:val="32"/>
          <w:szCs w:val="32"/>
          <w:lang w:val="en-US" w:eastAsia="zh-CN"/>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rPr>
      </w:pPr>
      <w:bookmarkStart w:id="28" w:name="_Toc514537332"/>
      <w:bookmarkStart w:id="29" w:name="_Toc24315"/>
      <w:r>
        <w:rPr>
          <w:rFonts w:hint="eastAsia" w:ascii="Times New Roman" w:hAnsi="Times New Roman" w:eastAsia="黑体" w:cs="Times New Roman"/>
          <w:bCs/>
          <w:kern w:val="44"/>
          <w:sz w:val="32"/>
          <w:szCs w:val="32"/>
        </w:rPr>
        <w:t>二、项目组织实施情况</w:t>
      </w:r>
      <w:bookmarkEnd w:id="28"/>
      <w:bookmarkEnd w:id="29"/>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30" w:name="_Toc383"/>
      <w:bookmarkStart w:id="31" w:name="_Toc514537333"/>
      <w:r>
        <w:rPr>
          <w:rFonts w:hint="eastAsia" w:ascii="仿宋" w:hAnsi="仿宋" w:eastAsia="仿宋" w:cs="Times New Roman"/>
          <w:b/>
          <w:bCs/>
          <w:sz w:val="32"/>
          <w:szCs w:val="32"/>
        </w:rPr>
        <w:t>（一）项目组织情况</w:t>
      </w:r>
      <w:bookmarkEnd w:id="30"/>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古县财政局：负责财政资金的管理，对资金的分配、下拨、使用等全过程进行规范化管理，对项目设立国库集中支付账户，实行分项核算，确保专款专用，组织开展绩效评价工作等。</w:t>
      </w:r>
    </w:p>
    <w:p>
      <w:pPr>
        <w:spacing w:line="574"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kern w:val="0"/>
          <w:sz w:val="28"/>
          <w:szCs w:val="28"/>
          <w:shd w:val="clear" w:color="auto" w:fill="FFFFFF"/>
          <w:lang w:val="en-US" w:eastAsia="zh-CN"/>
        </w:rPr>
        <w:t>古县医疗集团：作为本项目主管单位和实施单位，监督项目实施范围和资金管理情况，做到事前、事中、事后全程监控，并会同财政部门确定资金的支持方向、使用范围等，调研发展资金使用方向。制定各项规章制度，保证项目质量，与其它单位协作配合，保证项目顺利实施。同时将所核查的数据收集、汇总、上报、存档等</w:t>
      </w:r>
      <w:r>
        <w:rPr>
          <w:rFonts w:hint="eastAsia" w:ascii="Times New Roman" w:hAnsi="Times New Roman" w:eastAsia="仿宋" w:cs="Times New Roman"/>
          <w:sz w:val="28"/>
          <w:szCs w:val="24"/>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32" w:name="_Toc13640"/>
      <w:bookmarkStart w:id="33" w:name="_Toc514537331"/>
      <w:bookmarkStart w:id="34" w:name="_Toc13766"/>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四</w:t>
      </w:r>
      <w:r>
        <w:rPr>
          <w:rFonts w:hint="eastAsia" w:ascii="仿宋" w:hAnsi="仿宋" w:eastAsia="仿宋" w:cs="Times New Roman"/>
          <w:b/>
          <w:bCs/>
          <w:sz w:val="32"/>
          <w:szCs w:val="32"/>
          <w:lang w:eastAsia="zh-CN"/>
        </w:rPr>
        <w:t>）项目绩效目标</w:t>
      </w:r>
      <w:bookmarkEnd w:id="32"/>
      <w:bookmarkEnd w:id="33"/>
    </w:p>
    <w:p>
      <w:pPr>
        <w:spacing w:line="500" w:lineRule="exact"/>
        <w:ind w:firstLine="562" w:firstLineChars="200"/>
        <w:rPr>
          <w:rFonts w:hint="eastAsia" w:ascii="仿宋" w:hAnsi="仿宋" w:eastAsia="仿宋" w:cs="仿宋"/>
          <w:b/>
          <w:bCs/>
          <w:color w:val="000000"/>
          <w:kern w:val="0"/>
          <w:sz w:val="28"/>
          <w:szCs w:val="24"/>
          <w:lang w:val="en-US" w:eastAsia="zh-CN"/>
        </w:rPr>
      </w:pPr>
      <w:r>
        <w:rPr>
          <w:rFonts w:hint="eastAsia" w:ascii="仿宋" w:hAnsi="仿宋" w:eastAsia="仿宋" w:cs="仿宋"/>
          <w:b/>
          <w:bCs/>
          <w:color w:val="000000"/>
          <w:kern w:val="0"/>
          <w:sz w:val="28"/>
          <w:szCs w:val="24"/>
          <w:lang w:val="en-US" w:eastAsia="zh-CN"/>
        </w:rPr>
        <w:t>1、项目总体目标：</w:t>
      </w:r>
    </w:p>
    <w:p>
      <w:pPr>
        <w:spacing w:line="500" w:lineRule="exact"/>
        <w:ind w:firstLine="560" w:firstLineChars="200"/>
        <w:rPr>
          <w:rFonts w:hint="eastAsia" w:ascii="仿宋" w:hAnsi="仿宋" w:eastAsia="仿宋" w:cs="仿宋"/>
          <w:color w:val="000000"/>
          <w:kern w:val="0"/>
          <w:sz w:val="28"/>
          <w:szCs w:val="24"/>
          <w:highlight w:val="none"/>
          <w:lang w:val="en-US" w:eastAsia="zh-CN"/>
        </w:rPr>
      </w:pPr>
      <w:r>
        <w:rPr>
          <w:rFonts w:hint="eastAsia" w:ascii="Times New Roman" w:hAnsi="Times New Roman" w:eastAsia="仿宋" w:cs="Times New Roman"/>
          <w:kern w:val="0"/>
          <w:sz w:val="28"/>
          <w:szCs w:val="28"/>
          <w:shd w:val="clear" w:color="auto" w:fill="FFFFFF"/>
          <w:lang w:val="en-US" w:eastAsia="zh-CN"/>
        </w:rPr>
        <w:t>在县级医院建立传染性应急救治负压病区，是2020年新冠肺炎疫情防控以来，国家加强基层传染病防治工作的最新要求；古县医疗集团救治能力提升项目的实施，能够进一步加强预防重大传染病的预防控制和治疗工作，有助于提升医院的诊疗水平，满足广大就诊者对医疗资源的需求，推动地区医疗事业的发展，改善区域医疗资源不足的问题，提高其公共卫生服务水平</w:t>
      </w:r>
      <w:r>
        <w:rPr>
          <w:rFonts w:hint="eastAsia" w:ascii="仿宋" w:hAnsi="仿宋" w:eastAsia="仿宋" w:cs="仿宋"/>
          <w:color w:val="000000"/>
          <w:kern w:val="0"/>
          <w:sz w:val="28"/>
          <w:szCs w:val="24"/>
          <w:lang w:val="en-US" w:eastAsia="zh-CN"/>
        </w:rPr>
        <w:t>。</w:t>
      </w:r>
    </w:p>
    <w:p>
      <w:pPr>
        <w:spacing w:line="500" w:lineRule="exact"/>
        <w:ind w:firstLine="562" w:firstLineChars="200"/>
        <w:rPr>
          <w:rFonts w:hint="eastAsia" w:ascii="Times New Roman" w:hAnsi="Times New Roman" w:eastAsia="仿宋" w:cs="Times New Roman"/>
          <w:b/>
          <w:bCs/>
          <w:color w:val="000000"/>
          <w:kern w:val="0"/>
          <w:sz w:val="28"/>
          <w:szCs w:val="24"/>
          <w:lang w:val="en-US" w:eastAsia="zh-CN"/>
        </w:rPr>
      </w:pPr>
      <w:r>
        <w:rPr>
          <w:rFonts w:hint="eastAsia" w:ascii="Times New Roman" w:hAnsi="Times New Roman" w:eastAsia="仿宋" w:cs="Times New Roman"/>
          <w:b/>
          <w:bCs/>
          <w:color w:val="000000"/>
          <w:kern w:val="0"/>
          <w:sz w:val="28"/>
          <w:szCs w:val="24"/>
          <w:lang w:val="en-US" w:eastAsia="zh-CN"/>
        </w:rPr>
        <w:t>2、项目阶段性目标：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产出目标：</w:t>
      </w:r>
    </w:p>
    <w:p>
      <w:pPr>
        <w:spacing w:line="500" w:lineRule="exact"/>
        <w:ind w:firstLine="560" w:firstLineChars="200"/>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建设内容完成率：100.00%；一包实施内容完成，二包实施内容完成；</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验收合格情况：100%，一包、二包出具《验收报告》，验收合格；</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完成及时性：一包、二包根据合同约定及时完成建设，及时验收；</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成本控制率：一包、二包均不高于招标合同价；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效益目标：</w:t>
      </w:r>
    </w:p>
    <w:p>
      <w:pPr>
        <w:spacing w:line="500" w:lineRule="exact"/>
        <w:ind w:firstLine="560" w:firstLineChars="200"/>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诊疗能力：提升；</w:t>
      </w:r>
    </w:p>
    <w:p>
      <w:pPr>
        <w:spacing w:line="500" w:lineRule="exact"/>
        <w:ind w:firstLine="560" w:firstLineChars="200"/>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可持续影响：项目后续管理体制机制健全，管理责任落实；项目后续资金有保障；</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default" w:ascii="Times New Roman" w:hAnsi="Times New Roman" w:eastAsia="仿宋" w:cs="Times New Roman"/>
          <w:b w:val="0"/>
          <w:bCs/>
          <w:color w:val="FF0000"/>
          <w:sz w:val="28"/>
          <w:szCs w:val="28"/>
          <w:highlight w:val="yellow"/>
        </w:rPr>
      </w:pPr>
      <w:r>
        <w:rPr>
          <w:rFonts w:hint="eastAsia" w:ascii="Times New Roman" w:hAnsi="Times New Roman" w:eastAsia="仿宋" w:cs="Times New Roman"/>
          <w:kern w:val="0"/>
          <w:sz w:val="28"/>
          <w:szCs w:val="28"/>
          <w:shd w:val="clear" w:color="auto" w:fill="FFFFFF"/>
          <w:lang w:val="en-US" w:eastAsia="zh-CN"/>
        </w:rPr>
        <w:t>服务对象满意度：≥90%</w:t>
      </w:r>
      <w:r>
        <w:rPr>
          <w:rFonts w:hint="default" w:ascii="Times New Roman" w:hAnsi="Times New Roman" w:eastAsia="仿宋" w:cs="Times New Roman"/>
          <w:b w:val="0"/>
          <w:bCs/>
          <w:color w:val="auto"/>
          <w:sz w:val="28"/>
          <w:szCs w:val="28"/>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r>
        <w:rPr>
          <w:rFonts w:hint="eastAsia" w:ascii="仿宋" w:hAnsi="仿宋" w:eastAsia="仿宋" w:cs="Times New Roman"/>
          <w:b/>
          <w:bCs/>
          <w:sz w:val="32"/>
          <w:szCs w:val="32"/>
        </w:rPr>
        <w:t>（二）项目实施</w:t>
      </w:r>
      <w:bookmarkEnd w:id="31"/>
      <w:r>
        <w:rPr>
          <w:rFonts w:hint="eastAsia" w:ascii="仿宋" w:hAnsi="仿宋" w:eastAsia="仿宋" w:cs="Times New Roman"/>
          <w:b/>
          <w:bCs/>
          <w:sz w:val="32"/>
          <w:szCs w:val="32"/>
          <w:lang w:val="en-US" w:eastAsia="zh-CN"/>
        </w:rPr>
        <w:t>内容与完成</w:t>
      </w:r>
      <w:r>
        <w:rPr>
          <w:rFonts w:hint="eastAsia" w:ascii="仿宋" w:hAnsi="仿宋" w:eastAsia="仿宋" w:cs="Times New Roman"/>
          <w:b/>
          <w:bCs/>
          <w:sz w:val="32"/>
          <w:szCs w:val="32"/>
        </w:rPr>
        <w:t>情况</w:t>
      </w:r>
      <w:bookmarkEnd w:id="34"/>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hint="default" w:ascii="Times New Roman" w:hAnsi="Times New Roman" w:eastAsia="仿宋" w:cs="Times New Roman"/>
          <w:b/>
          <w:bCs/>
          <w:kern w:val="0"/>
          <w:sz w:val="28"/>
          <w:szCs w:val="28"/>
          <w:shd w:val="clear" w:color="auto" w:fill="FFFFFF"/>
          <w:lang w:val="en-US" w:eastAsia="zh-CN"/>
        </w:rPr>
      </w:pPr>
      <w:bookmarkStart w:id="35" w:name="_Toc514537334"/>
      <w:r>
        <w:rPr>
          <w:rFonts w:hint="eastAsia" w:ascii="Times New Roman" w:hAnsi="Times New Roman" w:eastAsia="仿宋" w:cs="Times New Roman"/>
          <w:b/>
          <w:bCs/>
          <w:kern w:val="0"/>
          <w:sz w:val="28"/>
          <w:szCs w:val="28"/>
          <w:shd w:val="clear" w:color="auto" w:fill="FFFFFF"/>
          <w:lang w:val="en-US" w:eastAsia="zh-CN"/>
        </w:rPr>
        <w:t>1、项目计划实施内容</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2020年5月27日，根据古县医疗集团《关于对古县人民医院救治能力提升项目立项的请示》（古医集字〔2020〕32号）申请，古县行政审批服务管理局《关于对古县人民医院救治能力提升项目可行性研究报告（代项目建议书）的批复》（古审管审发〔2020〕31号）文件批复同意项目立项，批复如下：①项目建设规模及内容：项目占地950㎡，新建一栋三层框架结构负压病房楼，建筑面积2905㎡，配套建设暖通工程、室内外给排水工程、消防工程及其附属工程；购置并安装负压病区配套的医疗设施设备及医用电梯，全自动生化分析仪、移动式数字放射成像系统、呼吸机、高压氧舱、关节镜等；②项目建设工期：18个月；③总投资及资金来源：项目总投资3169.01万元，其中：建安工程费1496.09万元，设施设备购置费1278.41万元，工程建设其他费159.77万元，预备费234.74万元。项目资金来源为上级资金和县财政资金。</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2020年8月11日，根据古县医疗集团《关于对古县人民医院救治能力提升项目初步设计批复的申请》（古医集字〔2020〕43号）申请，古县行政审批服务管理局《关于对古县人民医院救治能力提升项目初步设计的批复》（古审管审发〔2020〕45号）文件批复同意初步设计，批复如下：①项目建设规模及内容：项目占地950㎡，新建一栋三层框架结构负压病房楼，建筑面积2905㎡，配套建设暖通工程、室内外给排水工程、消防工程及其附属工程；购置安装医用电梯、全自动生化分析仪、移动式数字放射成像系统、呼吸机、高压氧舱和关节镜等医疗设施设备；②项目建设工期：12个月；③总投资及资金来源：项目总投资3153.82万元，其中：建安工程费1200.14万元，设备购置费1583.77万元，工程建设其他费用191.39万元，基本预备费178.52万元。资金来源为上级资金和县财政资金。</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hint="default" w:ascii="Times New Roman" w:hAnsi="Times New Roman" w:eastAsia="仿宋" w:cs="Times New Roman"/>
          <w:b/>
          <w:bCs/>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2、项目实施完成情况</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古县人民医院救治能力提升项目于2020年5月27日在古县行政审批服务管理局完成了立项，2020年6月28日完成了岩土工程勘察报告，2020年8月11日完成了初步设计的批复，2020年9月24日由山西二建集团有限公司完成图纸设计，2020年9月25日办理了建设工程规划许可证，2020年9月30日完成工程预算，2020年10月11日完成财政评审。</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救治能力提升项目工程土建部分于2020年11月10日完成招标工作，由恒上建设有限公司中标第一包，中标价10073372.21元，由山西鼎英通风空调技术有限公司中标第二包，中标价1369926.03元。本项目于2020年11月15日办理了《施工许可证》后开工建设。</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hint="default" w:ascii="Times New Roman" w:hAnsi="Times New Roman" w:eastAsia="仿宋" w:cs="Times New Roman"/>
          <w:b/>
          <w:bCs/>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一包：</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2020年11月12日，古县医疗集团与恒上建设有限公司签订《古县人民医院救治能力提升项目（第一包）建设工程施工合同》，项目实施内容：地上三层，建筑面积2905㎡，一至三层层高4.2m，建筑高度13.65m，室内外高差0.45m，主要功能为门诊及负压病房；主楼：建筑工程、装饰工程、给排水工程、电气工程、消防电工程：室外土建工程、室外安装工程、室外绿化工程；工期365天，但该合同未明确计划开竣工时间（空项未填）。</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11月10日，古县医疗集团与恒上建设有限公司签订《延期协议书》：古县人民医院救治能力提升项目，合同工期365日历天，计划开工2020年11月15日，计划竣工日期2021年11月14日。实际开工日期2021年1月5日，施工期间2021年6月份建党100周年、中考、高考停工半月，2021年09、10月份连续降雨耽搁一个月工期，故未能按合同工期完成工程项目；截止2021年11月10日，古县人民医院救治能力提升项目已完成95%，剩余室内吊顶、内墙涂料、室外地面工程待完成。由于第二包新风空调项目（不在第一包合同工期内）未安装完成，只有第二包工程完成后才能进行吊项、内墙涂料等装饰工程。现气温骤降，至使扫尾工程无法进行施工。计划安排2021年11月底停工于2022年3月份再开始施工，4月30日完成该项目工程。</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2022年8月25日，古县医疗集团出具《项目情况汇报》：工程正在进行室内装修，尚未整体完工。</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截止2022年8月15日，古县人民医院救治能力提升项目（第一包）建设工程项目未完工。</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hint="default" w:ascii="Times New Roman" w:hAnsi="Times New Roman" w:eastAsia="仿宋" w:cs="Times New Roman"/>
          <w:b/>
          <w:bCs/>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二包：</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default"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2020年11月15日，古县医疗集团与山西鼎英通风空调技术有限公司签订《古县医疗集团空调销售安装合同》，工期2020年11月15日至2021年11月14日，合同价1369926.03元。</w:t>
      </w:r>
    </w:p>
    <w:p>
      <w:pPr>
        <w:spacing w:line="500" w:lineRule="exact"/>
        <w:ind w:firstLine="560" w:firstLineChars="200"/>
        <w:rPr>
          <w:rFonts w:hint="eastAsia" w:ascii="Times New Roman" w:hAnsi="Times New Roman" w:eastAsia="仿宋_GB2312" w:cs="Times New Roman"/>
          <w:b/>
          <w:bCs/>
          <w:sz w:val="21"/>
          <w:szCs w:val="21"/>
          <w:lang w:val="en-US" w:eastAsia="zh-CN"/>
        </w:rPr>
      </w:pPr>
      <w:r>
        <w:rPr>
          <w:rFonts w:hint="eastAsia" w:ascii="Times New Roman" w:hAnsi="Times New Roman" w:eastAsia="仿宋" w:cs="Times New Roman"/>
          <w:kern w:val="0"/>
          <w:sz w:val="28"/>
          <w:szCs w:val="28"/>
          <w:shd w:val="clear" w:color="auto" w:fill="FFFFFF"/>
          <w:lang w:val="en-US" w:eastAsia="zh-CN"/>
        </w:rPr>
        <w:t>截止2022年8月15日，古县人民医院救治能力提升项目（第二包）建设工程项目已完工，但未验收</w:t>
      </w:r>
      <w:r>
        <w:rPr>
          <w:rFonts w:hint="eastAsia" w:ascii="Times New Roman" w:hAnsi="Times New Roman" w:eastAsia="仿宋" w:cs="Times New Roman"/>
          <w:sz w:val="28"/>
          <w:szCs w:val="24"/>
          <w:lang w:val="en-US" w:eastAsia="zh-CN"/>
        </w:rPr>
        <w:t>。</w:t>
      </w:r>
    </w:p>
    <w:bookmarkEnd w:id="35"/>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rPr>
      </w:pPr>
      <w:bookmarkStart w:id="36" w:name="_Toc5479"/>
      <w:bookmarkStart w:id="37" w:name="_Toc514537336"/>
      <w:r>
        <w:rPr>
          <w:rFonts w:hint="eastAsia" w:ascii="Times New Roman" w:hAnsi="Times New Roman" w:eastAsia="黑体" w:cs="Times New Roman"/>
          <w:bCs/>
          <w:kern w:val="44"/>
          <w:sz w:val="32"/>
          <w:szCs w:val="32"/>
        </w:rPr>
        <w:t>三、绩效评价工作情况</w:t>
      </w:r>
      <w:bookmarkEnd w:id="36"/>
      <w:bookmarkEnd w:id="37"/>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38" w:name="_Toc20818"/>
      <w:bookmarkStart w:id="39" w:name="_Toc514537337"/>
      <w:r>
        <w:rPr>
          <w:rFonts w:hint="eastAsia" w:ascii="仿宋" w:hAnsi="仿宋" w:eastAsia="仿宋" w:cs="Times New Roman"/>
          <w:b/>
          <w:bCs/>
          <w:sz w:val="32"/>
          <w:szCs w:val="32"/>
        </w:rPr>
        <w:t>（一）绩效评价的目的</w:t>
      </w:r>
      <w:bookmarkEnd w:id="38"/>
      <w:bookmarkEnd w:id="39"/>
    </w:p>
    <w:p>
      <w:pPr>
        <w:spacing w:line="500" w:lineRule="exact"/>
        <w:ind w:firstLine="560" w:firstLineChars="200"/>
        <w:rPr>
          <w:rFonts w:hint="eastAsia" w:ascii="Times New Roman" w:hAnsi="Times New Roman" w:eastAsia="仿宋" w:cs="Times New Roman"/>
          <w:sz w:val="28"/>
          <w:szCs w:val="24"/>
          <w:lang w:val="en-US" w:eastAsia="zh-CN"/>
        </w:rPr>
      </w:pPr>
      <w:bookmarkStart w:id="40" w:name="_Toc514537338"/>
      <w:r>
        <w:rPr>
          <w:rFonts w:hint="eastAsia" w:ascii="Times New Roman" w:hAnsi="Times New Roman" w:eastAsia="仿宋" w:cs="Times New Roman"/>
          <w:sz w:val="28"/>
          <w:szCs w:val="24"/>
          <w:lang w:val="en-US" w:eastAsia="zh-CN"/>
        </w:rPr>
        <w:t>财政支出绩效评价旨在通过评价改善预算部门的财政支出管理，优化资源配置，提高公共服务水平。本次绩效评价遵循《预算法》、财政部《项目支出绩效评价管理办法》（财预〔2020〕10号）的有关规定，客观、全面、公正地评价救治能力提升项目。</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1、通过绩效评价，深入了解救治能力提升项目的决策、过程、产出和绩效方面的详细情况，从而发现问题，并提出改进意见，进一步提高资金使用效率，为政府决策和财政预算管理提供依据。</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2、督促、指导资金使用单位，严格按照政策规定用途使用资金，建立健全资金分配、管理制度，确保资金运行安全。</w:t>
      </w:r>
    </w:p>
    <w:p>
      <w:pPr>
        <w:spacing w:line="500" w:lineRule="exact"/>
        <w:ind w:firstLine="560" w:firstLineChars="200"/>
        <w:rPr>
          <w:rFonts w:ascii="仿宋_GB2312" w:eastAsia="仿宋_GB2312"/>
          <w:snapToGrid w:val="0"/>
          <w:sz w:val="32"/>
          <w:szCs w:val="32"/>
        </w:rPr>
      </w:pPr>
      <w:r>
        <w:rPr>
          <w:rFonts w:hint="eastAsia" w:ascii="Times New Roman" w:hAnsi="Times New Roman" w:eastAsia="仿宋" w:cs="Times New Roman"/>
          <w:sz w:val="28"/>
          <w:szCs w:val="24"/>
          <w:lang w:val="en-US" w:eastAsia="zh-CN"/>
        </w:rPr>
        <w:t>3、从绩效的角度发现该项目在决策、实施和管理过程中存在的问题，寻求解决方案，为进一步深化项目管理工作提供依据，提高各职能部门管理水平，加强规范化、制度化建设，建立健全目标化管理制度，推进预算绩效管理</w:t>
      </w:r>
      <w:r>
        <w:rPr>
          <w:rFonts w:hint="eastAsia" w:ascii="仿宋" w:hAns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41" w:name="_Toc23706"/>
      <w:r>
        <w:rPr>
          <w:rFonts w:hint="eastAsia" w:ascii="仿宋" w:hAnsi="仿宋" w:eastAsia="仿宋" w:cs="Times New Roman"/>
          <w:b/>
          <w:bCs/>
          <w:sz w:val="32"/>
          <w:szCs w:val="32"/>
        </w:rPr>
        <w:t>（二）绩效评价的依据</w:t>
      </w:r>
      <w:bookmarkEnd w:id="40"/>
      <w:bookmarkEnd w:id="41"/>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bookmarkStart w:id="42" w:name="_Toc528680460"/>
      <w:bookmarkStart w:id="43" w:name="_Toc18935"/>
      <w:bookmarkStart w:id="44" w:name="_Toc528603069"/>
      <w:bookmarkStart w:id="45" w:name="_Toc28792"/>
      <w:bookmarkStart w:id="46" w:name="_Toc13471"/>
      <w:bookmarkStart w:id="47" w:name="_Toc29596"/>
      <w:bookmarkStart w:id="48" w:name="_Toc21230"/>
      <w:bookmarkStart w:id="49" w:name="_Toc5073"/>
      <w:bookmarkStart w:id="50" w:name="_Toc18611"/>
      <w:bookmarkStart w:id="51" w:name="_Toc528684135"/>
      <w:bookmarkStart w:id="52" w:name="_Toc28002"/>
      <w:bookmarkStart w:id="53" w:name="_Toc22158"/>
      <w:r>
        <w:rPr>
          <w:rFonts w:hint="eastAsia" w:ascii="Times New Roman" w:hAnsi="Times New Roman" w:eastAsia="仿宋" w:cs="Times New Roman"/>
          <w:kern w:val="0"/>
          <w:sz w:val="28"/>
          <w:szCs w:val="28"/>
          <w:shd w:val="clear" w:color="auto" w:fill="FFFFFF"/>
          <w:lang w:val="en-US" w:eastAsia="zh-CN"/>
        </w:rPr>
        <w:t>1、《中华人民共和国预算法》（2018年12月29日第十三届全国人民代表大会常务委员会第七次会议通过第十三届全国人民代表大会常务委员会第七次会议决定:对《中华人民共和国预算法》作出修改）；</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2、《中华人民共和国预算法实施条例》（中华人民共和国国务院令第729号，自2020年10月1日起施行）；</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3、财政部《关于贯彻落实&lt;中共中央国务院关于全面实施预算绩效管理的意见&gt;的通知》（财预〔2018〕167号）；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4、财政部关于印发《项目支出绩效评价管理办法》的通知（财预〔2020〕10号）；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5、《中共中央国务院关于全面实施预算绩效管理的意见》(中发〔2018〕34号)；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6、《中共山西省委山西省人民政府关于全面实施预算绩效管理的实施意见》（晋发〔2018〕39号）；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7、山西省财政厅关于贯彻落实《中共山西省委山西省人民政府关于全面实施预算绩效管理的实施意见》的通知（晋财绩〔2019〕12号）；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8、《古县财政局关于印发&lt;2022年度财政重点绩效评价实施方案&gt;的通知》（古财字〔2022〕27号）；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9、其他有关的法律、法规、规章和规范性文件；</w:t>
      </w:r>
    </w:p>
    <w:p>
      <w:pPr>
        <w:spacing w:line="500" w:lineRule="exact"/>
        <w:ind w:firstLine="560" w:firstLineChars="200"/>
        <w:rPr>
          <w:rFonts w:ascii="仿宋_GB2312" w:hAnsi="仿宋" w:eastAsia="仿宋_GB2312" w:cs="仿宋_GB2312"/>
          <w:shd w:val="clear" w:color="auto" w:fill="FFFFFF"/>
        </w:rPr>
      </w:pPr>
      <w:r>
        <w:rPr>
          <w:rFonts w:hint="eastAsia" w:ascii="Times New Roman" w:hAnsi="Times New Roman" w:eastAsia="仿宋" w:cs="Times New Roman"/>
          <w:kern w:val="0"/>
          <w:sz w:val="28"/>
          <w:szCs w:val="28"/>
          <w:shd w:val="clear" w:color="auto" w:fill="FFFFFF"/>
          <w:lang w:val="en-US" w:eastAsia="zh-CN"/>
        </w:rPr>
        <w:t>10、与绩效评价相关的其他资料</w:t>
      </w:r>
      <w:r>
        <w:rPr>
          <w:rFonts w:hint="default" w:ascii="Times New Roman" w:hAnsi="Times New Roman" w:eastAsia="仿宋" w:cs="Times New Roman"/>
          <w:sz w:val="28"/>
          <w:szCs w:val="28"/>
          <w:shd w:val="clear" w:color="auto" w:fill="FFFFFF"/>
        </w:rPr>
        <w:t>。</w:t>
      </w:r>
      <w:bookmarkEnd w:id="42"/>
      <w:bookmarkEnd w:id="43"/>
      <w:bookmarkEnd w:id="44"/>
      <w:bookmarkEnd w:id="45"/>
      <w:bookmarkEnd w:id="46"/>
      <w:bookmarkEnd w:id="47"/>
      <w:bookmarkEnd w:id="48"/>
      <w:bookmarkEnd w:id="49"/>
      <w:bookmarkEnd w:id="50"/>
      <w:bookmarkEnd w:id="51"/>
      <w:bookmarkEnd w:id="52"/>
      <w:bookmarkEnd w:id="53"/>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54" w:name="_Toc522961240"/>
      <w:bookmarkStart w:id="55" w:name="_Toc19392"/>
      <w:r>
        <w:rPr>
          <w:rFonts w:hint="eastAsia" w:ascii="仿宋" w:hAnsi="仿宋" w:eastAsia="仿宋" w:cs="Times New Roman"/>
          <w:b/>
          <w:bCs/>
          <w:sz w:val="32"/>
          <w:szCs w:val="32"/>
        </w:rPr>
        <w:t>（三）评价对象和范围</w:t>
      </w:r>
      <w:bookmarkEnd w:id="54"/>
      <w:bookmarkEnd w:id="55"/>
    </w:p>
    <w:p>
      <w:pPr>
        <w:pStyle w:val="16"/>
        <w:shd w:val="clear" w:color="auto"/>
        <w:spacing w:line="574" w:lineRule="exact"/>
        <w:ind w:firstLine="562" w:firstLineChars="200"/>
        <w:jc w:val="both"/>
        <w:rPr>
          <w:rFonts w:hint="eastAsia" w:ascii="仿宋" w:hAnsi="仿宋" w:eastAsia="仿宋" w:cs="仿宋"/>
          <w:b/>
          <w:bCs w:val="0"/>
          <w:sz w:val="28"/>
          <w:szCs w:val="28"/>
        </w:rPr>
      </w:pPr>
      <w:bookmarkStart w:id="56" w:name="_Toc469065546"/>
      <w:bookmarkStart w:id="57" w:name="_Toc450549936"/>
      <w:bookmarkStart w:id="58" w:name="_Toc469065888"/>
      <w:bookmarkStart w:id="59" w:name="_Toc469065636"/>
      <w:r>
        <w:rPr>
          <w:rFonts w:hint="eastAsia" w:ascii="仿宋" w:hAnsi="仿宋" w:eastAsia="仿宋" w:cs="仿宋"/>
          <w:b/>
          <w:bCs w:val="0"/>
          <w:sz w:val="28"/>
          <w:szCs w:val="28"/>
        </w:rPr>
        <w:t>1、评价对象</w:t>
      </w:r>
    </w:p>
    <w:p>
      <w:pPr>
        <w:spacing w:line="500" w:lineRule="exact"/>
        <w:ind w:firstLine="560" w:firstLineChars="200"/>
        <w:rPr>
          <w:rFonts w:hint="eastAsia" w:ascii="仿宋" w:hAnsi="仿宋" w:eastAsia="仿宋" w:cs="仿宋"/>
          <w:b w:val="0"/>
          <w:bCs/>
          <w:sz w:val="28"/>
          <w:szCs w:val="28"/>
        </w:rPr>
      </w:pPr>
      <w:r>
        <w:rPr>
          <w:rFonts w:hint="eastAsia" w:ascii="Times New Roman" w:hAnsi="Times New Roman" w:eastAsia="仿宋" w:cs="Times New Roman"/>
          <w:sz w:val="28"/>
          <w:szCs w:val="28"/>
        </w:rPr>
        <w:t>本次绩效评价对象为“</w:t>
      </w:r>
      <w:r>
        <w:rPr>
          <w:rFonts w:hint="eastAsia" w:ascii="Times New Roman" w:hAnsi="Times New Roman" w:eastAsia="仿宋" w:cs="Times New Roman"/>
          <w:sz w:val="28"/>
          <w:szCs w:val="28"/>
          <w:lang w:eastAsia="zh-CN"/>
        </w:rPr>
        <w:t>救治能力提升项目</w:t>
      </w:r>
      <w:r>
        <w:rPr>
          <w:rFonts w:hint="eastAsia" w:ascii="Times New Roman" w:hAnsi="Times New Roman" w:eastAsia="仿宋" w:cs="Times New Roman"/>
          <w:sz w:val="28"/>
          <w:szCs w:val="24"/>
          <w:lang w:val="en-US" w:eastAsia="zh-CN"/>
        </w:rPr>
        <w:t>资金1717.00万元</w:t>
      </w:r>
      <w:r>
        <w:rPr>
          <w:rFonts w:hint="eastAsia" w:ascii="Times New Roman" w:hAnsi="Times New Roman" w:eastAsia="仿宋" w:cs="Times New Roman"/>
          <w:sz w:val="28"/>
          <w:szCs w:val="28"/>
        </w:rPr>
        <w:t>”</w:t>
      </w:r>
      <w:r>
        <w:rPr>
          <w:rFonts w:hint="eastAsia" w:ascii="仿宋" w:hAnsi="仿宋" w:eastAsia="仿宋" w:cs="仿宋"/>
          <w:b w:val="0"/>
          <w:bCs/>
          <w:sz w:val="28"/>
          <w:szCs w:val="28"/>
        </w:rPr>
        <w:t>。</w:t>
      </w:r>
    </w:p>
    <w:p>
      <w:pPr>
        <w:pStyle w:val="16"/>
        <w:shd w:val="clear" w:color="auto"/>
        <w:spacing w:line="574" w:lineRule="exact"/>
        <w:ind w:firstLine="562" w:firstLineChars="200"/>
        <w:jc w:val="both"/>
        <w:rPr>
          <w:rFonts w:hint="eastAsia" w:ascii="仿宋" w:hAnsi="仿宋" w:eastAsia="仿宋" w:cs="仿宋"/>
          <w:b/>
          <w:bCs w:val="0"/>
          <w:sz w:val="28"/>
          <w:szCs w:val="28"/>
        </w:rPr>
      </w:pPr>
      <w:r>
        <w:rPr>
          <w:rFonts w:hint="eastAsia" w:ascii="仿宋" w:hAnsi="仿宋" w:eastAsia="仿宋" w:cs="仿宋"/>
          <w:b/>
          <w:bCs w:val="0"/>
          <w:sz w:val="28"/>
          <w:szCs w:val="28"/>
        </w:rPr>
        <w:t>2、评价范围</w:t>
      </w:r>
    </w:p>
    <w:p>
      <w:pPr>
        <w:pStyle w:val="16"/>
        <w:shd w:val="clear" w:color="auto"/>
        <w:spacing w:line="574" w:lineRule="exact"/>
        <w:ind w:firstLine="560" w:firstLineChars="200"/>
        <w:jc w:val="both"/>
        <w:rPr>
          <w:rFonts w:hint="eastAsia" w:ascii="Times New Roman" w:hAnsi="Times New Roman" w:eastAsia="仿宋" w:cs="Times New Roman"/>
          <w:b w:val="0"/>
          <w:bCs/>
          <w:kern w:val="0"/>
          <w:sz w:val="28"/>
          <w:szCs w:val="28"/>
          <w:lang w:val="en-US" w:eastAsia="zh-CN" w:bidi="ar-SA"/>
        </w:rPr>
      </w:pPr>
      <w:r>
        <w:rPr>
          <w:rFonts w:hint="eastAsia" w:ascii="Times New Roman" w:hAnsi="Times New Roman" w:eastAsia="仿宋" w:cs="Times New Roman"/>
          <w:kern w:val="2"/>
          <w:sz w:val="28"/>
          <w:szCs w:val="28"/>
          <w:lang w:val="en-US" w:eastAsia="zh-CN" w:bidi="ar-SA"/>
        </w:rPr>
        <w:t>本次评价的范围是救治能力提升项目。评价其绩效目标设定情况，资金投入和使用情况，为实现设定的绩效目标所制定的制度、采取的措施等，以及绩效目标最终的实现程度及效果</w:t>
      </w:r>
      <w:r>
        <w:rPr>
          <w:rFonts w:hint="eastAsia" w:ascii="仿宋" w:hAnsi="仿宋" w:eastAsia="仿宋" w:cs="仿宋"/>
          <w:b w:val="0"/>
          <w:bCs/>
          <w:kern w:val="0"/>
          <w:sz w:val="28"/>
          <w:szCs w:val="28"/>
          <w:lang w:val="en-US" w:eastAsia="zh-CN" w:bidi="ar-SA"/>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60" w:name="_Toc479102135"/>
      <w:bookmarkStart w:id="61" w:name="_Toc522961241"/>
      <w:bookmarkStart w:id="62" w:name="_Toc21419"/>
      <w:r>
        <w:rPr>
          <w:rFonts w:hint="eastAsia" w:ascii="仿宋" w:hAnsi="仿宋" w:eastAsia="仿宋" w:cs="Times New Roman"/>
          <w:b/>
          <w:bCs/>
          <w:sz w:val="32"/>
          <w:szCs w:val="32"/>
        </w:rPr>
        <w:t>（四）</w:t>
      </w:r>
      <w:bookmarkEnd w:id="56"/>
      <w:bookmarkEnd w:id="57"/>
      <w:bookmarkEnd w:id="58"/>
      <w:bookmarkEnd w:id="59"/>
      <w:bookmarkEnd w:id="60"/>
      <w:r>
        <w:rPr>
          <w:rFonts w:hint="eastAsia" w:ascii="仿宋" w:hAnsi="仿宋" w:eastAsia="仿宋" w:cs="Times New Roman"/>
          <w:b/>
          <w:bCs/>
          <w:sz w:val="32"/>
          <w:szCs w:val="32"/>
        </w:rPr>
        <w:t>绩效评价基准日</w:t>
      </w:r>
      <w:bookmarkEnd w:id="61"/>
      <w:bookmarkEnd w:id="62"/>
    </w:p>
    <w:p>
      <w:pPr>
        <w:pStyle w:val="17"/>
        <w:spacing w:line="574" w:lineRule="exact"/>
        <w:ind w:firstLine="560" w:firstLineChars="200"/>
        <w:outlineLvl w:val="9"/>
        <w:rPr>
          <w:rFonts w:hint="eastAsia" w:ascii="Times New Roman" w:hAnsi="Times New Roman" w:eastAsia="仿宋" w:cs="Times New Roman"/>
          <w:bCs/>
          <w:kern w:val="0"/>
          <w:sz w:val="28"/>
          <w:szCs w:val="28"/>
          <w:lang w:val="en-US" w:eastAsia="zh-CN" w:bidi="ar-SA"/>
        </w:rPr>
      </w:pPr>
      <w:bookmarkStart w:id="63" w:name="_Toc16028"/>
      <w:bookmarkStart w:id="64" w:name="_Toc14966"/>
      <w:bookmarkStart w:id="65" w:name="_Toc11974"/>
      <w:bookmarkStart w:id="66" w:name="_Toc1333"/>
      <w:bookmarkStart w:id="67" w:name="_Toc6328"/>
      <w:r>
        <w:rPr>
          <w:rFonts w:hint="eastAsia" w:ascii="Times New Roman" w:hAnsi="Times New Roman" w:eastAsia="仿宋" w:cs="Times New Roman"/>
          <w:bCs w:val="0"/>
          <w:kern w:val="2"/>
          <w:sz w:val="28"/>
          <w:szCs w:val="24"/>
          <w:lang w:val="en-US" w:eastAsia="zh-CN" w:bidi="ar-SA"/>
        </w:rPr>
        <w:t>依据科学规范、公平公正、分级分类和绩效相关四项原则，从决策、过程、产出、效益四方面对项目进行评价。评价基准日为</w:t>
      </w:r>
      <w:r>
        <w:rPr>
          <w:rFonts w:hint="eastAsia" w:eastAsia="仿宋" w:cs="Times New Roman"/>
          <w:bCs w:val="0"/>
          <w:kern w:val="2"/>
          <w:sz w:val="28"/>
          <w:szCs w:val="24"/>
          <w:lang w:val="en-US" w:eastAsia="zh-CN" w:bidi="ar-SA"/>
        </w:rPr>
        <w:t>2022年8月15日</w:t>
      </w:r>
      <w:r>
        <w:rPr>
          <w:rFonts w:hint="eastAsia" w:ascii="Times New Roman" w:hAnsi="Times New Roman" w:eastAsia="仿宋" w:cs="Times New Roman"/>
          <w:bCs/>
          <w:kern w:val="0"/>
          <w:sz w:val="28"/>
          <w:szCs w:val="28"/>
          <w:lang w:val="en-US" w:eastAsia="zh-CN" w:bidi="ar-SA"/>
        </w:rPr>
        <w:t>。</w:t>
      </w:r>
      <w:bookmarkEnd w:id="63"/>
      <w:bookmarkEnd w:id="64"/>
      <w:bookmarkEnd w:id="65"/>
      <w:bookmarkEnd w:id="66"/>
      <w:bookmarkEnd w:id="67"/>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68" w:name="_Toc514537339"/>
      <w:bookmarkStart w:id="69" w:name="_Toc519354505"/>
      <w:bookmarkStart w:id="70" w:name="_Toc28943"/>
      <w:r>
        <w:rPr>
          <w:rFonts w:hint="eastAsia" w:ascii="仿宋" w:hAnsi="仿宋" w:eastAsia="仿宋" w:cs="Times New Roman"/>
          <w:b/>
          <w:bCs/>
          <w:sz w:val="32"/>
          <w:szCs w:val="32"/>
        </w:rPr>
        <w:t>（五）</w:t>
      </w:r>
      <w:bookmarkEnd w:id="68"/>
      <w:r>
        <w:rPr>
          <w:rFonts w:hint="eastAsia" w:ascii="仿宋" w:hAnsi="仿宋" w:eastAsia="仿宋" w:cs="Times New Roman"/>
          <w:b/>
          <w:bCs/>
          <w:sz w:val="32"/>
          <w:szCs w:val="32"/>
        </w:rPr>
        <w:t>绩效评价的原则</w:t>
      </w:r>
      <w:bookmarkEnd w:id="69"/>
      <w:bookmarkEnd w:id="70"/>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项目评价过程中，我机构严格按照《财政部关于印发&lt;第三方机构预算绩效评价业务监督管理暂行办法&gt;的通知》（财监〔2021〕4号）要求，遵循以下基本原则：</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（1）独立原则。在委托方和被评价对象提供工作便利条件和相关资料情况下独立完成委托事项。</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（2）客观原则。按照与委托方签订的协议（合同）约定事项客观公正、实事求是地开展预算绩效评价，不得出具不实预算绩效评价报告。</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（3）规范原则。履行必要评价程序，合理选取具有代表性的样本，对原始资料进行必要的核查验证，形成结论并出具预算绩效评价报告。</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71" w:name="_Toc519354506"/>
      <w:bookmarkStart w:id="72" w:name="_Toc27356"/>
      <w:r>
        <w:rPr>
          <w:rFonts w:hint="eastAsia" w:ascii="仿宋" w:hAnsi="仿宋" w:eastAsia="仿宋" w:cs="Times New Roman"/>
          <w:b/>
          <w:bCs/>
          <w:sz w:val="32"/>
          <w:szCs w:val="32"/>
        </w:rPr>
        <w:t>（六）绩效评价的方法</w:t>
      </w:r>
      <w:bookmarkEnd w:id="71"/>
      <w:bookmarkEnd w:id="72"/>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本次绩效评价主要运用比较法、因素分析法、成本效益分析法、公众评判法等方法，本着科学价值导向、客观公正、综合分析、群众满意、绩效相关评价原则，按照从决策、过程、产出和效果的绩效逻辑路径，结合本项目的实际开展情况，通过指标设计和量化分析检验项目资金的效果和效益。从决策、过程、产出、效益等方面，综合考察项目的完成情况、取得的成绩及效益，运用定量和定性分析相结合的方法，总结经验做法，反思项目实施和管理中的问题，以切实提升财政资金管理的科学化、规范化和精细化水平。</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1、成本效益分析法：是指将救治能力提升项目的决策与产出、效益进行关联性分析，考察项目预算编制、资金分配对产出、效益的影响。</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2、比较法：是指通过对绩效目标与实施效果的比较，综合分析绩效目标的实现程度。本次评价工作，通过救治能力提升项目实际产出与计划产出之间的比较，资金实际绩效与目标绩效之间的比较，资金使用状况与设定评价标准之间的比较等，对资金进行综合评价。</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3、因素分析法：是指通过综合分析影响绩效目标实现、实施效果的内外因素，评价绩效目标实现程度。救治能力提升项目绩效评价，主要从决策、过程、产出、效益四个层面的因素展开分析评价。</w:t>
      </w:r>
    </w:p>
    <w:p>
      <w:pPr>
        <w:spacing w:line="500" w:lineRule="exact"/>
        <w:ind w:firstLine="560" w:firstLineChars="200"/>
        <w:rPr>
          <w:rFonts w:ascii="仿宋_GB2312" w:eastAsia="仿宋_GB2312"/>
          <w:snapToGrid w:val="0"/>
          <w:sz w:val="32"/>
          <w:szCs w:val="32"/>
          <w:highlight w:val="yellow"/>
        </w:rPr>
      </w:pPr>
      <w:r>
        <w:rPr>
          <w:rFonts w:hint="eastAsia" w:ascii="Times New Roman" w:hAnsi="Times New Roman" w:eastAsia="仿宋" w:cs="Times New Roman"/>
          <w:bCs w:val="0"/>
          <w:kern w:val="2"/>
          <w:sz w:val="28"/>
          <w:szCs w:val="28"/>
          <w:lang w:val="en-US" w:eastAsia="zh-CN" w:bidi="ar-SA"/>
        </w:rPr>
        <w:t>4、公众评判法：是指通过专家评估、访谈及调查问卷等对项目效果进行评判，评价绩效目标实现程度。本次评价所涉及满意度调查对象为救治能力提升项目受益群体，通过发放调查问卷的形式了解调查对象满意度，反映财政支出的效果</w:t>
      </w:r>
      <w:r>
        <w:rPr>
          <w:rFonts w:hint="eastAsia" w:ascii="仿宋_GB2312" w:eastAsia="仿宋_GB2312"/>
          <w:snapToGrid w:val="0"/>
          <w:sz w:val="32"/>
          <w:szCs w:val="32"/>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73" w:name="_Toc519354507"/>
      <w:bookmarkStart w:id="74" w:name="_Toc18733"/>
      <w:bookmarkStart w:id="75" w:name="_Toc514537340"/>
      <w:r>
        <w:rPr>
          <w:rFonts w:hint="eastAsia" w:ascii="仿宋" w:hAnsi="仿宋" w:eastAsia="仿宋" w:cs="Times New Roman"/>
          <w:b/>
          <w:bCs/>
          <w:sz w:val="32"/>
          <w:szCs w:val="32"/>
        </w:rPr>
        <w:t>（七）评价指标体系</w:t>
      </w:r>
      <w:bookmarkEnd w:id="73"/>
      <w:bookmarkEnd w:id="74"/>
      <w:bookmarkEnd w:id="75"/>
    </w:p>
    <w:p>
      <w:pPr>
        <w:spacing w:line="500" w:lineRule="exact"/>
        <w:ind w:firstLine="560" w:firstLineChars="200"/>
        <w:rPr>
          <w:rFonts w:hint="default" w:ascii="Times New Roman" w:hAnsi="Times New Roman" w:eastAsia="仿宋" w:cs="Times New Roman"/>
          <w:bCs w:val="0"/>
          <w:kern w:val="2"/>
          <w:sz w:val="28"/>
          <w:szCs w:val="28"/>
          <w:lang w:val="en-US" w:eastAsia="zh-CN" w:bidi="ar-SA"/>
        </w:rPr>
      </w:pPr>
      <w:bookmarkStart w:id="76" w:name="_Toc450549943"/>
      <w:bookmarkStart w:id="77" w:name="_Toc469065895"/>
      <w:bookmarkStart w:id="78" w:name="_Toc469065553"/>
      <w:bookmarkStart w:id="79" w:name="_Toc469065643"/>
      <w:r>
        <w:rPr>
          <w:rFonts w:hint="eastAsia" w:ascii="Times New Roman" w:hAnsi="Times New Roman" w:eastAsia="仿宋" w:cs="Times New Roman"/>
          <w:bCs w:val="0"/>
          <w:kern w:val="2"/>
          <w:sz w:val="28"/>
          <w:szCs w:val="28"/>
          <w:lang w:val="en-US" w:eastAsia="zh-CN" w:bidi="ar-SA"/>
        </w:rPr>
        <w:t>参考财政部《项目支出绩效评价管理办法》（财预〔2020〕10号）等文件要求，本次评价从救治能力提升项目支出着手，根据绩效评价的基本原理、原则和项目特点，综合考虑项目背景、绩效目标、预算资金的投入与使用情况等内容，评价小组按照逻辑分析法，从科学性、客观性与可执行性角度出发，设计项目的绩效评价指标体系。指标体系从决策、过程、产出与效益四个方面进行考核</w:t>
      </w:r>
      <w:r>
        <w:rPr>
          <w:rFonts w:hint="default" w:ascii="Times New Roman" w:hAnsi="Times New Roman" w:eastAsia="仿宋" w:cs="Times New Roman"/>
          <w:bCs w:val="0"/>
          <w:kern w:val="2"/>
          <w:sz w:val="28"/>
          <w:szCs w:val="28"/>
          <w:lang w:val="en-US" w:eastAsia="zh-CN" w:bidi="ar-SA"/>
        </w:rPr>
        <w:t>。</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救治能力提升项目资金绩效评价体系主要包括4项一级指标、12项二级指标、19项三级指标。主要内容为：</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1、决策指标：主要考核项目立项是否规范，设立的绩效目标是否合理，绩效指标是否明确，预算编制是否科学，资金分配是否合理。包括3个二级指标，6个三级指标（根据项目特点进行细化）。</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2、过程指标：主要考核项目单位资金是否按计划到位，预算执行是否按照计划执行，资金使用是否合规，是否建立健全管理制度，财务制度是否健全，制度执行是否有效。包括2个二级指标，5个三级指标。</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3、产出指标：主要考核项目是否按计划要求完成，实施进度是否与计划一致，质量达标情况，项目完工及时性，资金是否存在超支。包括4个二级指标，5个三级指标。</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kern w:val="0"/>
          <w:sz w:val="28"/>
          <w:szCs w:val="28"/>
          <w:shd w:val="clear" w:color="auto" w:fill="FFFFFF"/>
          <w:lang w:val="en-US" w:eastAsia="zh-CN"/>
        </w:rPr>
        <w:t>4、效益指标：主要从社会效益、可持续影响、服务对象满意度三方面来评价项目效益。具体考核社会效益、可持续影响、服务对象满意度。包括3个二级指标，3个三级指标</w:t>
      </w:r>
      <w:r>
        <w:rPr>
          <w:rFonts w:hint="eastAsia" w:ascii="Times New Roman" w:hAnsi="Times New Roman" w:eastAsia="仿宋" w:cs="Times New Roman"/>
          <w:bCs w:val="0"/>
          <w:kern w:val="2"/>
          <w:sz w:val="28"/>
          <w:szCs w:val="28"/>
          <w:lang w:val="en-US" w:eastAsia="zh-CN" w:bidi="ar-SA"/>
        </w:rPr>
        <w:t>。</w:t>
      </w:r>
    </w:p>
    <w:p>
      <w:pPr>
        <w:spacing w:line="500" w:lineRule="exact"/>
        <w:ind w:firstLine="560" w:firstLineChars="200"/>
        <w:rPr>
          <w:rFonts w:hint="eastAsia" w:ascii="仿宋" w:hAnsi="仿宋" w:eastAsia="仿宋" w:cs="仿宋"/>
          <w:snapToGrid w:val="0"/>
          <w:sz w:val="28"/>
          <w:szCs w:val="28"/>
          <w:lang w:eastAsia="zh-CN"/>
        </w:rPr>
      </w:pPr>
      <w:r>
        <w:rPr>
          <w:rFonts w:hint="eastAsia" w:ascii="Times New Roman" w:hAnsi="Times New Roman" w:eastAsia="仿宋" w:cs="Times New Roman"/>
          <w:bCs w:val="0"/>
          <w:kern w:val="2"/>
          <w:sz w:val="28"/>
          <w:szCs w:val="28"/>
          <w:lang w:val="en-US" w:eastAsia="zh-CN" w:bidi="ar-SA"/>
        </w:rPr>
        <w:t>本次绩效评价项目根据财政部关于印发《项目支出绩效评价管理办法》的通知（财预〔2020〕10号）要求，及以往项目支出绩效评价指标体系权重的工作经验对评价指标所代表的价值进行判断，重点考核项目产出和效益，最终确定决策类指标权重占比20%，过程类指标权重占比20%，产出类指标权重占比30%，效益类指标权重占比30%。并根据二、三级指标与绩效目标的匹配性、在指标中的重要性</w:t>
      </w:r>
      <w:bookmarkStart w:id="184" w:name="_GoBack"/>
      <w:bookmarkEnd w:id="184"/>
      <w:r>
        <w:rPr>
          <w:rFonts w:hint="eastAsia" w:ascii="Times New Roman" w:hAnsi="Times New Roman" w:eastAsia="仿宋" w:cs="Times New Roman"/>
          <w:bCs w:val="0"/>
          <w:kern w:val="2"/>
          <w:sz w:val="28"/>
          <w:szCs w:val="28"/>
          <w:lang w:val="en-US" w:eastAsia="zh-CN" w:bidi="ar-SA"/>
        </w:rPr>
        <w:t>以及对一级指标的影响程度来合理确定评价指标的权重比例结构</w:t>
      </w:r>
      <w:r>
        <w:rPr>
          <w:rFonts w:hint="eastAsia" w:ascii="仿宋" w:hAnsi="仿宋" w:eastAsia="仿宋" w:cs="仿宋"/>
          <w:snapToGrid w:val="0"/>
          <w:sz w:val="28"/>
          <w:szCs w:val="28"/>
          <w:lang w:eastAsia="zh-CN"/>
        </w:rPr>
        <w:t>。</w:t>
      </w:r>
    </w:p>
    <w:bookmarkEnd w:id="76"/>
    <w:bookmarkEnd w:id="77"/>
    <w:bookmarkEnd w:id="78"/>
    <w:bookmarkEnd w:id="79"/>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仿宋"/>
          <w:b/>
          <w:snapToGrid w:val="0"/>
          <w:sz w:val="28"/>
          <w:szCs w:val="28"/>
        </w:rPr>
      </w:pPr>
      <w:bookmarkStart w:id="80" w:name="_Toc514537341"/>
      <w:bookmarkStart w:id="81" w:name="_Toc25086"/>
      <w:bookmarkStart w:id="82" w:name="_Toc519354508"/>
      <w:r>
        <w:rPr>
          <w:rFonts w:hint="eastAsia" w:ascii="仿宋" w:hAnsi="仿宋" w:eastAsia="仿宋" w:cs="Times New Roman"/>
          <w:b/>
          <w:bCs/>
          <w:sz w:val="32"/>
          <w:szCs w:val="32"/>
        </w:rPr>
        <w:t>（八）绩效评价工作组织</w:t>
      </w:r>
      <w:bookmarkEnd w:id="80"/>
      <w:bookmarkEnd w:id="81"/>
      <w:bookmarkEnd w:id="82"/>
    </w:p>
    <w:p>
      <w:pPr>
        <w:spacing w:line="500" w:lineRule="exact"/>
        <w:ind w:firstLine="562" w:firstLineChars="200"/>
        <w:rPr>
          <w:rFonts w:hint="eastAsia" w:ascii="Times New Roman" w:hAnsi="Times New Roman" w:eastAsia="仿宋" w:cs="Times New Roman"/>
          <w:b/>
          <w:bCs/>
          <w:kern w:val="2"/>
          <w:sz w:val="28"/>
          <w:szCs w:val="28"/>
          <w:lang w:val="en-US" w:eastAsia="zh-CN" w:bidi="ar-SA"/>
        </w:rPr>
      </w:pPr>
      <w:bookmarkStart w:id="83" w:name="_Toc469065648"/>
      <w:bookmarkStart w:id="84" w:name="_Toc469065558"/>
      <w:bookmarkStart w:id="85" w:name="_Toc469065900"/>
      <w:bookmarkStart w:id="86" w:name="_Toc479102151"/>
      <w:bookmarkStart w:id="87" w:name="_Toc19406"/>
      <w:bookmarkStart w:id="88" w:name="_Toc5559623"/>
      <w:r>
        <w:rPr>
          <w:rFonts w:hint="eastAsia" w:ascii="Times New Roman" w:hAnsi="Times New Roman" w:eastAsia="仿宋" w:cs="Times New Roman"/>
          <w:b/>
          <w:bCs/>
          <w:kern w:val="2"/>
          <w:sz w:val="28"/>
          <w:szCs w:val="28"/>
          <w:lang w:val="en-US" w:eastAsia="zh-CN" w:bidi="ar-SA"/>
        </w:rPr>
        <w:t>1、组织框架</w:t>
      </w:r>
      <w:bookmarkEnd w:id="83"/>
      <w:bookmarkEnd w:id="84"/>
      <w:bookmarkEnd w:id="85"/>
      <w:bookmarkEnd w:id="86"/>
      <w:bookmarkEnd w:id="87"/>
      <w:bookmarkEnd w:id="88"/>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为使绩效评价工作顺利开展，成立绩效评价项目评价组，评价组主要负责现场勘察，包括查阅收集相关的制度文件、财务资料等，开展问卷调查，撰写绩效评价方案和绩效评价报告等工作。具体人员及分工如表3-1所示。</w:t>
      </w:r>
    </w:p>
    <w:p>
      <w:pPr>
        <w:autoSpaceDE w:val="0"/>
        <w:autoSpaceDN w:val="0"/>
        <w:adjustRightInd w:val="0"/>
        <w:spacing w:line="500" w:lineRule="exact"/>
        <w:jc w:val="center"/>
        <w:rPr>
          <w:rFonts w:ascii="Times New Roman" w:hAnsi="Times New Roman" w:eastAsia="仿宋" w:cs="Times New Roman"/>
          <w:b/>
          <w:color w:val="000000"/>
          <w:sz w:val="28"/>
          <w:szCs w:val="28"/>
        </w:rPr>
      </w:pPr>
      <w:r>
        <w:rPr>
          <w:rFonts w:ascii="Times New Roman" w:hAnsi="Times New Roman" w:eastAsia="仿宋" w:cs="Times New Roman"/>
          <w:b/>
          <w:bCs/>
          <w:color w:val="000000"/>
          <w:kern w:val="0"/>
          <w:sz w:val="24"/>
          <w:szCs w:val="28"/>
        </w:rPr>
        <w:t>表</w:t>
      </w:r>
      <w:r>
        <w:rPr>
          <w:rFonts w:hint="eastAsia" w:ascii="Times New Roman" w:hAnsi="Times New Roman" w:eastAsia="仿宋" w:cs="Times New Roman"/>
          <w:b/>
          <w:bCs/>
          <w:color w:val="000000"/>
          <w:kern w:val="0"/>
          <w:sz w:val="24"/>
          <w:szCs w:val="28"/>
          <w:lang w:val="en-US" w:eastAsia="zh-CN"/>
        </w:rPr>
        <w:t>3</w:t>
      </w:r>
      <w:r>
        <w:rPr>
          <w:rFonts w:ascii="Times New Roman" w:hAnsi="Times New Roman" w:eastAsia="仿宋" w:cs="Times New Roman"/>
          <w:b/>
          <w:bCs/>
          <w:color w:val="000000"/>
          <w:kern w:val="0"/>
          <w:sz w:val="24"/>
          <w:szCs w:val="28"/>
        </w:rPr>
        <w:t>-1</w:t>
      </w:r>
      <w:r>
        <w:rPr>
          <w:rFonts w:hint="eastAsia" w:ascii="Times New Roman" w:hAnsi="Times New Roman" w:eastAsia="仿宋" w:cs="Times New Roman"/>
          <w:b/>
          <w:bCs/>
          <w:color w:val="000000"/>
          <w:kern w:val="0"/>
          <w:sz w:val="24"/>
          <w:szCs w:val="28"/>
        </w:rPr>
        <w:t xml:space="preserve">  评价</w:t>
      </w:r>
      <w:r>
        <w:rPr>
          <w:rFonts w:hint="eastAsia" w:ascii="Times New Roman" w:hAnsi="Times New Roman" w:eastAsia="仿宋" w:cs="Times New Roman"/>
          <w:b/>
          <w:bCs/>
          <w:color w:val="000000"/>
          <w:kern w:val="0"/>
          <w:sz w:val="24"/>
          <w:szCs w:val="28"/>
          <w:lang w:val="en-US" w:eastAsia="zh-CN" w:bidi="ar-SA"/>
        </w:rPr>
        <w:t>工作组</w:t>
      </w:r>
      <w:r>
        <w:rPr>
          <w:rFonts w:hint="eastAsia" w:ascii="Times New Roman" w:hAnsi="Times New Roman" w:eastAsia="仿宋" w:cs="Times New Roman"/>
          <w:b/>
          <w:bCs/>
          <w:color w:val="000000"/>
          <w:kern w:val="0"/>
          <w:sz w:val="24"/>
          <w:szCs w:val="28"/>
        </w:rPr>
        <w:t>及人员分工</w:t>
      </w:r>
    </w:p>
    <w:tbl>
      <w:tblPr>
        <w:tblStyle w:val="20"/>
        <w:tblpPr w:leftFromText="180" w:rightFromText="180" w:vertAnchor="text"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843"/>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shd w:val="clear" w:color="auto" w:fill="BEBEBE" w:themeFill="background1" w:themeFillShade="BF"/>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姓名</w:t>
            </w:r>
          </w:p>
        </w:tc>
        <w:tc>
          <w:tcPr>
            <w:tcW w:w="1843" w:type="dxa"/>
            <w:shd w:val="clear" w:color="auto" w:fill="BEBEBE" w:themeFill="background1" w:themeFillShade="BF"/>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职务</w:t>
            </w:r>
          </w:p>
        </w:tc>
        <w:tc>
          <w:tcPr>
            <w:tcW w:w="4678" w:type="dxa"/>
            <w:shd w:val="clear" w:color="auto" w:fill="BEBEBE" w:themeFill="background1" w:themeFillShade="BF"/>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张文英</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项目负责人</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全面负责本次绩效评价工作，统筹协调，人员培训，绩效评价方案、报告审核等。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许慧敏</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组长</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韩俊</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副组长</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负责协助组长设计指标体系、撰写实施方案、访谈方案、评价报告等。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韩金秀</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刘玲玲</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杨帆</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李阳</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樊荣荣</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常洪强</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李金文</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任帅</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马鹏飞</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bl>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89" w:name="_Toc30571"/>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九</w:t>
      </w: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评价工作安排</w:t>
      </w:r>
      <w:bookmarkEnd w:id="89"/>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1、前期准备阶段（2022年5月上旬至5月中旬）</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（1）成立绩效评价工作组，确定评价指标，制定评价工作底稿、评价报告内容；</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（2）根据文件规定时间，制定评价实施方案，确定现场评价时间；</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（3）确定被评单位需要配合的事项；</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（4）完成评价人员的培训；</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（5）收集整理被评价单位的相关资料。</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2、现场实施阶段（2022年5月下旬至6月上旬）</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（1）与项目单位进行沟通，确定评价工作组现场工作安排；</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（2）评价工作组对上报的相关资料进行审查、复核和测评；</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（3）评价工作组到现场，按照评价标准和规范，对各项指标进行计算和打分；</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3、报告撰写和提交阶段（2022年6月中旬-8月中旬）</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（1）评价工作组根据有关规定，整理、综合分析项目相关信息，撰写被评单位的绩效评价报告；与被评价单位就绩效评价报告进行充分沟通并交换意见；</w:t>
      </w:r>
    </w:p>
    <w:p>
      <w:pPr>
        <w:spacing w:line="500" w:lineRule="exact"/>
        <w:ind w:firstLine="560" w:firstLineChars="200"/>
        <w:rPr>
          <w:rFonts w:hint="default" w:ascii="Times New Roman" w:hAnsi="Times New Roman" w:eastAsia="仿宋" w:cs="Times New Roman"/>
          <w:b w:val="0"/>
          <w:bCs/>
          <w:sz w:val="28"/>
          <w:szCs w:val="28"/>
        </w:rPr>
      </w:pPr>
      <w:r>
        <w:rPr>
          <w:rFonts w:hint="eastAsia" w:ascii="Times New Roman" w:hAnsi="Times New Roman" w:eastAsia="仿宋" w:cs="Times New Roman"/>
          <w:kern w:val="0"/>
          <w:sz w:val="28"/>
          <w:szCs w:val="28"/>
          <w:shd w:val="clear" w:color="auto" w:fill="FFFFFF"/>
          <w:lang w:val="en-US" w:eastAsia="zh-CN"/>
        </w:rPr>
        <w:t>（2）评价工作组出具报告报送古县财政局，由古县财政局对报告进行评审，评价机构根据古县财政局意见修改评价报告，于8月15日前提交正式评价报告</w:t>
      </w:r>
      <w:r>
        <w:rPr>
          <w:rFonts w:hint="eastAsia" w:ascii="Times New Roman" w:hAnsi="Times New Roman" w:eastAsia="仿宋" w:cs="Times New Roman"/>
          <w:bCs w:val="0"/>
          <w:kern w:val="2"/>
          <w:sz w:val="28"/>
          <w:szCs w:val="28"/>
          <w:lang w:val="en-US" w:eastAsia="zh-CN" w:bidi="ar-SA"/>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val="en-US" w:eastAsia="zh-CN"/>
        </w:rPr>
      </w:pPr>
      <w:bookmarkStart w:id="90" w:name="_Toc26099"/>
      <w:r>
        <w:rPr>
          <w:rFonts w:hint="eastAsia" w:ascii="仿宋" w:hAnsi="仿宋" w:eastAsia="仿宋" w:cs="Times New Roman"/>
          <w:b/>
          <w:bCs/>
          <w:sz w:val="32"/>
          <w:szCs w:val="32"/>
          <w:lang w:val="en-US" w:eastAsia="zh-CN"/>
        </w:rPr>
        <w:t>（十）评价等级</w:t>
      </w:r>
      <w:bookmarkEnd w:id="90"/>
    </w:p>
    <w:p>
      <w:pPr>
        <w:spacing w:line="500" w:lineRule="exact"/>
        <w:ind w:firstLine="560" w:firstLineChars="200"/>
        <w:rPr>
          <w:rFonts w:hint="default" w:ascii="Times New Roman" w:hAnsi="Times New Roman" w:eastAsia="仿宋" w:cs="Times New Roman"/>
          <w:b w:val="0"/>
          <w:bCs w:val="0"/>
          <w:color w:val="000000" w:themeColor="text1"/>
          <w:sz w:val="28"/>
          <w:szCs w:val="28"/>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28"/>
          <w:szCs w:val="28"/>
          <w14:textFill>
            <w14:solidFill>
              <w14:schemeClr w14:val="tx1"/>
            </w14:solidFill>
          </w14:textFill>
        </w:rPr>
        <w:t>根据《项目支出绩效评价管理办法》（财预〔2020〕10号）要求，绩效评价结果采取评分和评级相结合的方式。评价实行百分制，按照综合评分分级。本次绩效评价结果等级划分标准</w:t>
      </w:r>
      <w:r>
        <w:rPr>
          <w:rFonts w:hint="default" w:ascii="Times New Roman" w:hAnsi="Times New Roman" w:eastAsia="仿宋" w:cs="Times New Roman"/>
          <w:b w:val="0"/>
          <w:bCs w:val="0"/>
          <w:color w:val="000000" w:themeColor="text1"/>
          <w:sz w:val="28"/>
          <w:szCs w:val="28"/>
          <w:lang w:val="en-US" w:eastAsia="zh-CN"/>
          <w14:textFill>
            <w14:solidFill>
              <w14:schemeClr w14:val="tx1"/>
            </w14:solidFill>
          </w14:textFill>
        </w:rPr>
        <w:t>如表3-</w:t>
      </w:r>
      <w:r>
        <w:rPr>
          <w:rFonts w:hint="eastAsia" w:ascii="Times New Roman" w:hAnsi="Times New Roman" w:eastAsia="仿宋" w:cs="Times New Roman"/>
          <w:b w:val="0"/>
          <w:bCs w:val="0"/>
          <w:color w:val="000000" w:themeColor="text1"/>
          <w:sz w:val="28"/>
          <w:szCs w:val="28"/>
          <w:lang w:val="en-US" w:eastAsia="zh-CN"/>
          <w14:textFill>
            <w14:solidFill>
              <w14:schemeClr w14:val="tx1"/>
            </w14:solidFill>
          </w14:textFill>
        </w:rPr>
        <w:t>2</w:t>
      </w:r>
      <w:r>
        <w:rPr>
          <w:rFonts w:hint="default" w:ascii="Times New Roman" w:hAnsi="Times New Roman" w:eastAsia="仿宋" w:cs="Times New Roman"/>
          <w:b w:val="0"/>
          <w:bCs w:val="0"/>
          <w:color w:val="000000" w:themeColor="text1"/>
          <w:sz w:val="28"/>
          <w:szCs w:val="28"/>
          <w:lang w:val="en-US" w:eastAsia="zh-CN"/>
          <w14:textFill>
            <w14:solidFill>
              <w14:schemeClr w14:val="tx1"/>
            </w14:solidFill>
          </w14:textFill>
        </w:rPr>
        <w:t>。</w:t>
      </w:r>
    </w:p>
    <w:p>
      <w:pPr>
        <w:tabs>
          <w:tab w:val="left" w:pos="1276"/>
        </w:tabs>
        <w:spacing w:line="360" w:lineRule="auto"/>
        <w:contextualSpacing/>
        <w:jc w:val="center"/>
        <w:rPr>
          <w:rFonts w:hint="eastAsia" w:ascii="Times New Roman" w:hAnsi="Times New Roman" w:eastAsia="方正仿宋_GBK"/>
          <w:b/>
          <w:bCs/>
          <w:sz w:val="28"/>
        </w:rPr>
      </w:pPr>
      <w:r>
        <w:rPr>
          <w:rFonts w:hint="eastAsia" w:ascii="Times New Roman" w:hAnsi="Times New Roman" w:eastAsia="仿宋" w:cs="Times New Roman"/>
          <w:b/>
          <w:sz w:val="24"/>
          <w:szCs w:val="24"/>
          <w:lang w:val="en-US" w:eastAsia="zh-CN"/>
        </w:rPr>
        <w:t>表3-2 评价结果等级划分标准</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261"/>
        <w:gridCol w:w="4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trPr>
        <w:tc>
          <w:tcPr>
            <w:tcW w:w="4261" w:type="dxa"/>
            <w:shd w:val="clear" w:color="000000" w:fill="auto"/>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分值范围</w:t>
            </w:r>
          </w:p>
        </w:tc>
        <w:tc>
          <w:tcPr>
            <w:tcW w:w="4261" w:type="dxa"/>
            <w:shd w:val="clear" w:color="000000" w:fill="auto"/>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结果等级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100≥X≥90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90＞X≥80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80＞X≥60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X＜60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差</w:t>
            </w:r>
          </w:p>
        </w:tc>
      </w:tr>
    </w:tbl>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rPr>
      </w:pPr>
      <w:bookmarkStart w:id="91" w:name="_Toc514537342"/>
      <w:bookmarkStart w:id="92" w:name="_Toc25252"/>
      <w:bookmarkStart w:id="93" w:name="_Toc519354509"/>
      <w:r>
        <w:rPr>
          <w:rFonts w:hint="eastAsia" w:ascii="Times New Roman" w:hAnsi="Times New Roman" w:eastAsia="黑体" w:cs="Times New Roman"/>
          <w:bCs/>
          <w:kern w:val="44"/>
          <w:sz w:val="32"/>
          <w:szCs w:val="32"/>
        </w:rPr>
        <w:t>四、绩效评价指标分析情况</w:t>
      </w:r>
      <w:bookmarkEnd w:id="91"/>
      <w:bookmarkEnd w:id="92"/>
      <w:bookmarkEnd w:id="93"/>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94" w:name="_Toc21930"/>
      <w:bookmarkStart w:id="95" w:name="_Toc514537343"/>
      <w:r>
        <w:rPr>
          <w:rFonts w:hint="eastAsia" w:ascii="仿宋" w:hAnsi="仿宋" w:eastAsia="仿宋" w:cs="Times New Roman"/>
          <w:b/>
          <w:bCs/>
          <w:sz w:val="32"/>
          <w:szCs w:val="32"/>
          <w:lang w:eastAsia="zh-CN"/>
        </w:rPr>
        <w:t>（一）分项分析与汇总</w:t>
      </w:r>
      <w:bookmarkEnd w:id="94"/>
      <w:bookmarkEnd w:id="95"/>
    </w:p>
    <w:p>
      <w:pPr>
        <w:spacing w:line="500" w:lineRule="exact"/>
        <w:ind w:firstLine="562" w:firstLineChars="200"/>
        <w:rPr>
          <w:rFonts w:hint="eastAsia" w:ascii="Times New Roman" w:hAnsi="Times New Roman" w:eastAsia="仿宋" w:cs="Times New Roman"/>
          <w:b/>
          <w:bCs/>
          <w:kern w:val="2"/>
          <w:sz w:val="28"/>
          <w:szCs w:val="28"/>
          <w:lang w:val="en-US" w:eastAsia="zh-CN" w:bidi="ar-SA"/>
        </w:rPr>
      </w:pPr>
      <w:bookmarkStart w:id="96" w:name="_Toc528680466"/>
      <w:bookmarkStart w:id="97" w:name="_Toc26264"/>
      <w:bookmarkStart w:id="98" w:name="_Toc15229"/>
      <w:bookmarkStart w:id="99" w:name="_Toc23016"/>
      <w:bookmarkStart w:id="100" w:name="_Toc22892"/>
      <w:bookmarkStart w:id="101" w:name="_Toc15599"/>
      <w:bookmarkStart w:id="102" w:name="_Toc27419"/>
      <w:bookmarkStart w:id="103" w:name="_Toc5485"/>
      <w:bookmarkStart w:id="104" w:name="_Toc17362"/>
      <w:bookmarkStart w:id="105" w:name="_Toc528684141"/>
      <w:bookmarkStart w:id="106" w:name="_Toc12732"/>
      <w:r>
        <w:rPr>
          <w:rFonts w:hint="eastAsia" w:ascii="Times New Roman" w:hAnsi="Times New Roman" w:eastAsia="仿宋" w:cs="Times New Roman"/>
          <w:b/>
          <w:bCs/>
          <w:kern w:val="2"/>
          <w:sz w:val="28"/>
          <w:szCs w:val="28"/>
          <w:lang w:val="en-US" w:eastAsia="zh-CN" w:bidi="ar-SA"/>
        </w:rPr>
        <w:t>1、决策分析</w:t>
      </w:r>
      <w:bookmarkEnd w:id="96"/>
      <w:bookmarkEnd w:id="97"/>
      <w:bookmarkEnd w:id="98"/>
      <w:bookmarkEnd w:id="99"/>
      <w:bookmarkEnd w:id="100"/>
      <w:bookmarkEnd w:id="101"/>
      <w:bookmarkEnd w:id="102"/>
      <w:bookmarkEnd w:id="103"/>
      <w:bookmarkEnd w:id="104"/>
      <w:bookmarkEnd w:id="105"/>
      <w:bookmarkEnd w:id="106"/>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决策类指标主要从立项依据充分性、立项程序规范性、绩效目标合理性、绩效指标明确性、预算编制科学性、资金分配合理性6个指标考察该项目立项、绩效目标、资金投入情况。决策类指标权重分20.00分，实际得分为20.00分。指标得分情况表如下：</w:t>
      </w:r>
    </w:p>
    <w:p>
      <w:pPr>
        <w:autoSpaceDE w:val="0"/>
        <w:autoSpaceDN w:val="0"/>
        <w:adjustRightInd w:val="0"/>
        <w:spacing w:line="500" w:lineRule="exact"/>
        <w:jc w:val="center"/>
        <w:rPr>
          <w:rFonts w:hint="eastAsia" w:ascii="Times New Roman" w:hAnsi="Times New Roman" w:eastAsia="仿宋" w:cs="Times New Roman"/>
          <w:b/>
          <w:bCs/>
          <w:color w:val="000000"/>
          <w:kern w:val="0"/>
          <w:sz w:val="24"/>
          <w:szCs w:val="28"/>
        </w:rPr>
      </w:pPr>
      <w:r>
        <w:rPr>
          <w:rFonts w:hint="eastAsia" w:ascii="Times New Roman" w:hAnsi="Times New Roman" w:eastAsia="仿宋" w:cs="Times New Roman"/>
          <w:b/>
          <w:bCs/>
          <w:color w:val="000000"/>
          <w:kern w:val="0"/>
          <w:sz w:val="24"/>
          <w:szCs w:val="28"/>
        </w:rPr>
        <w:t xml:space="preserve">表4-1 </w:t>
      </w:r>
      <w:r>
        <w:rPr>
          <w:rFonts w:hint="eastAsia" w:ascii="Times New Roman" w:hAnsi="Times New Roman" w:eastAsia="仿宋" w:cs="Times New Roman"/>
          <w:b/>
          <w:bCs/>
          <w:color w:val="000000"/>
          <w:kern w:val="0"/>
          <w:sz w:val="24"/>
          <w:szCs w:val="28"/>
          <w:lang w:val="en-US" w:eastAsia="zh-CN"/>
        </w:rPr>
        <w:t>决策</w:t>
      </w:r>
      <w:r>
        <w:rPr>
          <w:rFonts w:hint="eastAsia" w:ascii="Times New Roman" w:hAnsi="Times New Roman" w:eastAsia="仿宋" w:cs="Times New Roman"/>
          <w:b/>
          <w:bCs/>
          <w:color w:val="000000"/>
          <w:kern w:val="0"/>
          <w:sz w:val="24"/>
          <w:szCs w:val="28"/>
        </w:rPr>
        <w:t>类指标得分情况</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30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9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9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541"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A1项目立项</w:t>
            </w: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A11</w:t>
            </w:r>
            <w:r>
              <w:rPr>
                <w:rFonts w:hint="eastAsia" w:ascii="仿宋" w:hAnsi="仿宋" w:eastAsia="仿宋" w:cs="仿宋"/>
                <w:color w:val="000000"/>
                <w:kern w:val="0"/>
                <w:sz w:val="24"/>
                <w:szCs w:val="24"/>
                <w:lang w:val="en-US" w:eastAsia="zh-CN"/>
              </w:rPr>
              <w:t>立项依据充分性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A12立项程序规范性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A2绩效目标</w:t>
            </w:r>
          </w:p>
        </w:tc>
        <w:tc>
          <w:tcPr>
            <w:tcW w:w="306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21</w:t>
            </w:r>
            <w:r>
              <w:rPr>
                <w:rFonts w:hint="eastAsia" w:ascii="仿宋" w:hAnsi="仿宋" w:eastAsia="仿宋" w:cs="仿宋"/>
                <w:color w:val="000000"/>
                <w:kern w:val="0"/>
                <w:sz w:val="24"/>
                <w:szCs w:val="24"/>
              </w:rPr>
              <w:t>绩效目标合理性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22</w:t>
            </w:r>
            <w:r>
              <w:rPr>
                <w:rFonts w:hint="eastAsia" w:ascii="仿宋" w:hAnsi="仿宋" w:eastAsia="仿宋" w:cs="仿宋"/>
                <w:color w:val="000000"/>
                <w:kern w:val="0"/>
                <w:sz w:val="24"/>
                <w:szCs w:val="24"/>
              </w:rPr>
              <w:t>绩效指标明确性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A</w:t>
            </w:r>
            <w:r>
              <w:rPr>
                <w:rFonts w:hint="eastAsia" w:ascii="仿宋" w:hAnsi="仿宋" w:eastAsia="仿宋" w:cs="仿宋"/>
                <w:b w:val="0"/>
                <w:bCs w:val="0"/>
                <w:color w:val="000000"/>
                <w:kern w:val="0"/>
                <w:sz w:val="24"/>
                <w:szCs w:val="24"/>
                <w:lang w:val="en-US" w:eastAsia="zh-CN"/>
              </w:rPr>
              <w:t>3</w:t>
            </w:r>
            <w:r>
              <w:rPr>
                <w:rFonts w:hint="eastAsia" w:ascii="仿宋" w:hAnsi="仿宋" w:eastAsia="仿宋" w:cs="仿宋"/>
                <w:b w:val="0"/>
                <w:bCs w:val="0"/>
                <w:color w:val="000000"/>
                <w:kern w:val="0"/>
                <w:sz w:val="24"/>
                <w:szCs w:val="24"/>
              </w:rPr>
              <w:t>资金</w:t>
            </w:r>
            <w:r>
              <w:rPr>
                <w:rFonts w:hint="eastAsia" w:ascii="仿宋" w:hAnsi="仿宋" w:eastAsia="仿宋" w:cs="仿宋"/>
                <w:b w:val="0"/>
                <w:bCs w:val="0"/>
                <w:color w:val="000000"/>
                <w:kern w:val="0"/>
                <w:sz w:val="24"/>
                <w:szCs w:val="24"/>
                <w:lang w:val="en-US" w:eastAsia="zh-CN"/>
              </w:rPr>
              <w:t>投入</w:t>
            </w: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A31</w:t>
            </w:r>
            <w:r>
              <w:rPr>
                <w:rFonts w:hint="eastAsia" w:ascii="仿宋" w:hAnsi="仿宋" w:eastAsia="仿宋" w:cs="仿宋"/>
                <w:color w:val="000000"/>
                <w:kern w:val="0"/>
                <w:sz w:val="24"/>
                <w:szCs w:val="24"/>
              </w:rPr>
              <w:t>预算</w:t>
            </w:r>
            <w:r>
              <w:rPr>
                <w:rFonts w:hint="eastAsia" w:ascii="仿宋" w:hAnsi="仿宋" w:eastAsia="仿宋" w:cs="仿宋"/>
                <w:color w:val="000000"/>
                <w:kern w:val="0"/>
                <w:sz w:val="24"/>
                <w:szCs w:val="24"/>
                <w:lang w:val="en-US" w:eastAsia="zh-CN"/>
              </w:rPr>
              <w:t>编制科学性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96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A32</w:t>
            </w:r>
            <w:r>
              <w:rPr>
                <w:rFonts w:hint="eastAsia" w:ascii="仿宋" w:hAnsi="仿宋" w:eastAsia="仿宋" w:cs="仿宋"/>
                <w:color w:val="000000"/>
                <w:kern w:val="0"/>
                <w:sz w:val="24"/>
                <w:szCs w:val="24"/>
              </w:rPr>
              <w:t>资金分配合理性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5049" w:type="dxa"/>
            <w:gridSpan w:val="2"/>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96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bl>
    <w:p>
      <w:pPr>
        <w:widowControl/>
        <w:spacing w:line="574" w:lineRule="exact"/>
        <w:ind w:firstLine="560" w:firstLineChars="200"/>
        <w:outlineLvl w:val="3"/>
        <w:rPr>
          <w:rFonts w:hint="eastAsia" w:ascii="仿宋" w:hAnsi="仿宋" w:eastAsia="仿宋" w:cs="仿宋"/>
          <w:snapToGrid w:val="0"/>
          <w:sz w:val="28"/>
          <w:szCs w:val="28"/>
        </w:rPr>
      </w:pPr>
      <w:r>
        <w:rPr>
          <w:rFonts w:hint="eastAsia" w:ascii="仿宋" w:hAnsi="仿宋" w:eastAsia="仿宋" w:cs="仿宋"/>
          <w:snapToGrid w:val="0"/>
          <w:sz w:val="28"/>
          <w:szCs w:val="28"/>
        </w:rPr>
        <w:t>（1）项目立项</w:t>
      </w:r>
    </w:p>
    <w:p>
      <w:pPr>
        <w:spacing w:line="500" w:lineRule="exact"/>
        <w:ind w:firstLine="562" w:firstLineChars="200"/>
        <w:rPr>
          <w:rFonts w:hint="eastAsia" w:ascii="Times New Roman" w:hAnsi="Times New Roman" w:eastAsia="仿宋" w:cs="Times New Roman"/>
          <w:bCs w:val="0"/>
          <w:kern w:val="2"/>
          <w:sz w:val="28"/>
          <w:szCs w:val="28"/>
          <w:lang w:val="en-US" w:eastAsia="zh-CN" w:bidi="ar-SA"/>
        </w:rPr>
      </w:pPr>
      <w:r>
        <w:rPr>
          <w:rFonts w:hint="eastAsia" w:ascii="仿宋" w:hAnsi="仿宋" w:eastAsia="仿宋" w:cs="仿宋"/>
          <w:b/>
          <w:snapToGrid w:val="0"/>
          <w:sz w:val="28"/>
          <w:szCs w:val="28"/>
        </w:rPr>
        <w:t>A11</w:t>
      </w:r>
      <w:r>
        <w:rPr>
          <w:rFonts w:hint="eastAsia" w:ascii="仿宋" w:hAnsi="仿宋" w:eastAsia="仿宋" w:cs="仿宋"/>
          <w:b/>
          <w:snapToGrid w:val="0"/>
          <w:sz w:val="28"/>
          <w:szCs w:val="28"/>
          <w:lang w:val="en-US" w:eastAsia="zh-CN"/>
        </w:rPr>
        <w:t>立项依据充分性</w:t>
      </w:r>
      <w:r>
        <w:rPr>
          <w:rFonts w:hint="eastAsia" w:ascii="仿宋" w:hAnsi="仿宋" w:eastAsia="仿宋" w:cs="仿宋"/>
          <w:b/>
          <w:snapToGrid w:val="0"/>
          <w:sz w:val="28"/>
          <w:szCs w:val="28"/>
        </w:rPr>
        <w:t>：</w:t>
      </w:r>
      <w:r>
        <w:rPr>
          <w:rFonts w:hint="eastAsia" w:ascii="Times New Roman" w:hAnsi="Times New Roman" w:eastAsia="仿宋" w:cs="Times New Roman"/>
          <w:bCs w:val="0"/>
          <w:kern w:val="2"/>
          <w:sz w:val="28"/>
          <w:szCs w:val="28"/>
          <w:lang w:val="en-US" w:eastAsia="zh-CN" w:bidi="ar-SA"/>
        </w:rPr>
        <w:t>满分3.00分，得分3.00分。项目以《中华人民共和国传染病防治法》、国家发展改革委、国家卫生健康委、国家中医药局等部门《关于印发公共卫生防控救治能力建设方案的通知》（发改社会〔2020〕0735号）、《关于加强公共卫生体系建设和重大疫情防控救治体系建设工作的通知》（国卫财务函〔2020〕303号）、《关于应付新冠肺炎应急救治设施负压病区建筑技术导致（试行）的通知》（国卫办规划函﹝2020﹞166号）、《传染病医院建设标准》（建标173-2016）、《传染病医院建筑设计规范》（GB50849-2014）、《传染病医院建筑施工及验收规范》（GB50686-2011）、《综合医院建筑技术规范》（GB51039-2014）、《医院负压隔离病房环境控制要求》（GB/T35428-2017）、《医院隔离技术规范》（WS/T311-2009）、古县医疗集团《关于对古县人民医院救治能力提升项目立项的请示》（古医集字〔2020〕32号）、古县行政审批服务管理局《关于对古县人民医院救治能力提升项目可行性研究报告（代项目建议书）的批复》（古审管审发〔2020〕31号）、古县医疗集团《关于对古县人民医院救治能力提升项目初步设计批复的申请》（古医集字〔2020〕43号）、古县行政审批服务管理局《关于对古县人民医院救治能力提升项目初步设计的批复》（古审管审发〔2020〕45号）等文件作为依据，项目申报、审核、批复资料齐全、准确、符合相关要求，立项依据充分。根据评分标准，该项得满分。</w:t>
      </w:r>
    </w:p>
    <w:p>
      <w:pPr>
        <w:widowControl/>
        <w:spacing w:line="574" w:lineRule="exact"/>
        <w:ind w:firstLine="562" w:firstLineChars="200"/>
        <w:rPr>
          <w:rFonts w:hint="default" w:ascii="仿宋" w:hAnsi="仿宋" w:eastAsia="仿宋" w:cs="仿宋"/>
          <w:bCs/>
          <w:snapToGrid w:val="0"/>
          <w:sz w:val="28"/>
          <w:szCs w:val="28"/>
          <w:lang w:val="en-US" w:eastAsia="zh-CN"/>
        </w:rPr>
      </w:pPr>
      <w:r>
        <w:rPr>
          <w:rFonts w:hint="eastAsia" w:ascii="仿宋" w:hAnsi="仿宋" w:eastAsia="仿宋" w:cs="仿宋"/>
          <w:b/>
          <w:snapToGrid w:val="0"/>
          <w:sz w:val="28"/>
          <w:szCs w:val="28"/>
          <w:lang w:val="en-US" w:eastAsia="zh-CN"/>
        </w:rPr>
        <w:t>A12立项程序规范性：</w:t>
      </w:r>
      <w:r>
        <w:rPr>
          <w:rFonts w:hint="eastAsia" w:ascii="Times New Roman" w:hAnsi="Times New Roman" w:eastAsia="仿宋" w:cs="Times New Roman"/>
          <w:bCs w:val="0"/>
          <w:kern w:val="2"/>
          <w:sz w:val="28"/>
          <w:szCs w:val="28"/>
          <w:lang w:val="en-US" w:eastAsia="zh-CN" w:bidi="ar-SA"/>
        </w:rPr>
        <w:t>满分3.00分，得分3.00分。项目按照规定的程序申请设立，救治能力提升项目落实了党中央、国务院重大疫情防控救治能力提升决策部署，古县医疗集团关于项目的申请及批复等审批文件、材料完整，符合相关要求；项目实施单位提交的项目前期资料符合相关文件要求，事前已经过必要的集体决策程序。根据评分标准，该项得满分。</w:t>
      </w:r>
    </w:p>
    <w:p>
      <w:pPr>
        <w:widowControl/>
        <w:spacing w:line="574" w:lineRule="exact"/>
        <w:ind w:firstLine="560" w:firstLineChars="200"/>
        <w:rPr>
          <w:rFonts w:hint="eastAsia" w:ascii="仿宋" w:hAnsi="仿宋" w:eastAsia="仿宋" w:cs="仿宋"/>
          <w:snapToGrid w:val="0"/>
          <w:sz w:val="28"/>
          <w:szCs w:val="28"/>
        </w:rPr>
      </w:pPr>
      <w:r>
        <w:rPr>
          <w:rFonts w:hint="eastAsia" w:ascii="仿宋" w:hAnsi="仿宋" w:eastAsia="仿宋" w:cs="仿宋"/>
          <w:bCs/>
          <w:snapToGrid w:val="0"/>
          <w:sz w:val="28"/>
          <w:szCs w:val="28"/>
          <w:lang w:eastAsia="zh-CN"/>
        </w:rPr>
        <w:t>（</w:t>
      </w:r>
      <w:r>
        <w:rPr>
          <w:rFonts w:hint="eastAsia" w:ascii="仿宋" w:hAnsi="仿宋" w:eastAsia="仿宋" w:cs="仿宋"/>
          <w:bCs/>
          <w:snapToGrid w:val="0"/>
          <w:sz w:val="28"/>
          <w:szCs w:val="28"/>
          <w:lang w:val="en-US" w:eastAsia="zh-CN"/>
        </w:rPr>
        <w:t>2</w:t>
      </w:r>
      <w:r>
        <w:rPr>
          <w:rFonts w:hint="eastAsia" w:ascii="仿宋" w:hAnsi="仿宋" w:eastAsia="仿宋" w:cs="仿宋"/>
          <w:bCs/>
          <w:snapToGrid w:val="0"/>
          <w:sz w:val="28"/>
          <w:szCs w:val="28"/>
          <w:lang w:eastAsia="zh-CN"/>
        </w:rPr>
        <w:t>）</w:t>
      </w:r>
      <w:r>
        <w:rPr>
          <w:rFonts w:hint="eastAsia" w:ascii="仿宋" w:hAnsi="仿宋" w:eastAsia="仿宋" w:cs="仿宋"/>
          <w:bCs/>
          <w:snapToGrid w:val="0"/>
          <w:sz w:val="28"/>
          <w:szCs w:val="28"/>
          <w:lang w:val="en-US" w:eastAsia="zh-CN"/>
        </w:rPr>
        <w:t>绩效目标</w:t>
      </w:r>
    </w:p>
    <w:p>
      <w:pPr>
        <w:spacing w:line="574" w:lineRule="exact"/>
        <w:ind w:firstLine="562" w:firstLineChars="200"/>
        <w:rPr>
          <w:rFonts w:hint="eastAsia" w:ascii="仿宋" w:hAnsi="仿宋" w:eastAsia="仿宋" w:cs="仿宋"/>
          <w:snapToGrid w:val="0"/>
          <w:sz w:val="28"/>
          <w:szCs w:val="28"/>
        </w:rPr>
      </w:pPr>
      <w:r>
        <w:rPr>
          <w:rFonts w:hint="eastAsia" w:ascii="仿宋" w:hAnsi="仿宋" w:eastAsia="仿宋" w:cs="仿宋"/>
          <w:b/>
          <w:snapToGrid w:val="0"/>
          <w:sz w:val="28"/>
          <w:szCs w:val="28"/>
        </w:rPr>
        <w:t>A</w:t>
      </w:r>
      <w:r>
        <w:rPr>
          <w:rFonts w:hint="eastAsia" w:ascii="仿宋" w:hAnsi="仿宋" w:eastAsia="仿宋" w:cs="仿宋"/>
          <w:b/>
          <w:snapToGrid w:val="0"/>
          <w:sz w:val="28"/>
          <w:szCs w:val="28"/>
          <w:lang w:val="en-US" w:eastAsia="zh-CN"/>
        </w:rPr>
        <w:t>21</w:t>
      </w:r>
      <w:r>
        <w:rPr>
          <w:rFonts w:hint="eastAsia" w:ascii="仿宋" w:hAnsi="仿宋" w:eastAsia="仿宋" w:cs="仿宋"/>
          <w:b/>
          <w:snapToGrid w:val="0"/>
          <w:sz w:val="28"/>
          <w:szCs w:val="28"/>
        </w:rPr>
        <w:t>绩效目标合理性：</w:t>
      </w:r>
      <w:r>
        <w:rPr>
          <w:rFonts w:hint="eastAsia" w:ascii="Times New Roman" w:hAnsi="Times New Roman" w:eastAsia="仿宋" w:cs="Times New Roman"/>
          <w:bCs w:val="0"/>
          <w:kern w:val="2"/>
          <w:sz w:val="28"/>
          <w:szCs w:val="28"/>
          <w:lang w:val="en-US" w:eastAsia="zh-CN" w:bidi="ar-SA"/>
        </w:rPr>
        <w:t>满分4.00分，得分4.00分。救治能力提升项目绩效目标为：</w:t>
      </w:r>
      <w:r>
        <w:rPr>
          <w:rFonts w:hint="eastAsia" w:ascii="Times New Roman" w:hAnsi="Times New Roman" w:eastAsia="仿宋" w:cs="Times New Roman"/>
          <w:kern w:val="0"/>
          <w:sz w:val="28"/>
          <w:szCs w:val="28"/>
          <w:shd w:val="clear" w:color="auto" w:fill="FFFFFF"/>
          <w:lang w:val="en-US" w:eastAsia="zh-CN"/>
        </w:rPr>
        <w:t>在县级医院建立传染性应急救治负压病区，是2020年新冠肺炎疫情防控以来，国家加强基层传染病防治工作的最新要求；古县医疗集团救治能力提升项目的实施，能够进一步加强预防重大传染病的预防控制和治疗工作，有助于提升医院的诊疗水平，满足广大就诊者对医疗资源的需求，推动地区医疗事业的发展，改善区域医疗资源不足的问题，提高其公共卫生服务水平</w:t>
      </w:r>
      <w:r>
        <w:rPr>
          <w:rFonts w:hint="eastAsia" w:ascii="Times New Roman" w:hAnsi="Times New Roman" w:eastAsia="仿宋" w:cs="Times New Roman"/>
          <w:bCs w:val="0"/>
          <w:kern w:val="2"/>
          <w:sz w:val="28"/>
          <w:szCs w:val="28"/>
          <w:lang w:val="en-US" w:eastAsia="zh-CN" w:bidi="ar-SA"/>
        </w:rPr>
        <w:t>。项目有绩效目标，项目绩效目标与实际工作内容具有相关性，项目预期产出效益和效果符合正常的业绩水平，与预算确定的项目资金量相匹配。根据评分标准，该项得满分</w:t>
      </w:r>
      <w:r>
        <w:rPr>
          <w:rFonts w:hint="eastAsia" w:ascii="仿宋" w:hAnsi="仿宋" w:eastAsia="仿宋" w:cs="仿宋"/>
          <w:snapToGrid w:val="0"/>
          <w:sz w:val="28"/>
          <w:szCs w:val="28"/>
        </w:rPr>
        <w:t>。</w:t>
      </w:r>
    </w:p>
    <w:p>
      <w:pPr>
        <w:widowControl/>
        <w:spacing w:line="574" w:lineRule="exact"/>
        <w:ind w:firstLine="562" w:firstLineChars="200"/>
        <w:rPr>
          <w:rFonts w:hint="eastAsia" w:ascii="仿宋" w:hAnsi="仿宋" w:eastAsia="仿宋" w:cs="仿宋"/>
          <w:snapToGrid w:val="0"/>
          <w:sz w:val="28"/>
          <w:szCs w:val="28"/>
        </w:rPr>
      </w:pPr>
      <w:r>
        <w:rPr>
          <w:rFonts w:hint="eastAsia" w:ascii="仿宋" w:hAnsi="仿宋" w:eastAsia="仿宋" w:cs="仿宋"/>
          <w:b/>
          <w:snapToGrid w:val="0"/>
          <w:sz w:val="28"/>
          <w:szCs w:val="28"/>
        </w:rPr>
        <w:t>A</w:t>
      </w:r>
      <w:r>
        <w:rPr>
          <w:rFonts w:hint="eastAsia" w:ascii="仿宋" w:hAnsi="仿宋" w:eastAsia="仿宋" w:cs="仿宋"/>
          <w:b/>
          <w:snapToGrid w:val="0"/>
          <w:sz w:val="28"/>
          <w:szCs w:val="28"/>
          <w:lang w:val="en-US" w:eastAsia="zh-CN"/>
        </w:rPr>
        <w:t>22</w:t>
      </w:r>
      <w:r>
        <w:rPr>
          <w:rFonts w:hint="eastAsia" w:ascii="仿宋" w:hAnsi="仿宋" w:eastAsia="仿宋" w:cs="仿宋"/>
          <w:b/>
          <w:snapToGrid w:val="0"/>
          <w:sz w:val="28"/>
          <w:szCs w:val="28"/>
        </w:rPr>
        <w:t>绩效指标明确性：</w:t>
      </w:r>
      <w:r>
        <w:rPr>
          <w:rFonts w:hint="eastAsia" w:ascii="Times New Roman" w:hAnsi="Times New Roman" w:eastAsia="仿宋" w:cs="Times New Roman"/>
          <w:bCs w:val="0"/>
          <w:kern w:val="2"/>
          <w:sz w:val="28"/>
          <w:szCs w:val="28"/>
          <w:lang w:val="en-US" w:eastAsia="zh-CN" w:bidi="ar-SA"/>
        </w:rPr>
        <w:t>满分4.00分，得4.00分。项目立项时古县医疗集团设定了相关产出、效益目标，并按照财政资金预算绩效管理的要求根据项目内容进行绩效目标申报，项目绩效目标根据总体绩效目标细化、量化为具体的绩效指标。根据评分标准，该项得满分</w:t>
      </w:r>
      <w:r>
        <w:rPr>
          <w:rFonts w:hint="eastAsia" w:ascii="仿宋" w:hAnsi="仿宋" w:eastAsia="仿宋" w:cs="仿宋"/>
          <w:snapToGrid w:val="0"/>
          <w:sz w:val="28"/>
          <w:szCs w:val="28"/>
        </w:rPr>
        <w:t>。</w:t>
      </w:r>
    </w:p>
    <w:p>
      <w:pPr>
        <w:widowControl/>
        <w:spacing w:line="574" w:lineRule="exact"/>
        <w:ind w:firstLine="560" w:firstLineChars="200"/>
        <w:outlineLvl w:val="3"/>
        <w:rPr>
          <w:rFonts w:hint="eastAsia" w:ascii="仿宋" w:hAnsi="仿宋" w:eastAsia="仿宋" w:cs="仿宋"/>
          <w:snapToGrid w:val="0"/>
          <w:sz w:val="28"/>
          <w:szCs w:val="28"/>
          <w:lang w:eastAsia="zh-CN"/>
        </w:rPr>
      </w:pPr>
      <w:r>
        <w:rPr>
          <w:rFonts w:hint="eastAsia" w:ascii="仿宋" w:hAnsi="仿宋" w:eastAsia="仿宋" w:cs="仿宋"/>
          <w:snapToGrid w:val="0"/>
          <w:sz w:val="28"/>
          <w:szCs w:val="28"/>
        </w:rPr>
        <w:t>（</w:t>
      </w:r>
      <w:r>
        <w:rPr>
          <w:rFonts w:hint="eastAsia" w:ascii="仿宋" w:hAnsi="仿宋" w:eastAsia="仿宋" w:cs="仿宋"/>
          <w:snapToGrid w:val="0"/>
          <w:sz w:val="28"/>
          <w:szCs w:val="28"/>
          <w:lang w:val="en-US" w:eastAsia="zh-CN"/>
        </w:rPr>
        <w:t>3</w:t>
      </w:r>
      <w:r>
        <w:rPr>
          <w:rFonts w:hint="eastAsia" w:ascii="仿宋" w:hAnsi="仿宋" w:eastAsia="仿宋" w:cs="仿宋"/>
          <w:snapToGrid w:val="0"/>
          <w:sz w:val="28"/>
          <w:szCs w:val="28"/>
        </w:rPr>
        <w:t>）资金</w:t>
      </w:r>
      <w:r>
        <w:rPr>
          <w:rFonts w:hint="eastAsia" w:ascii="仿宋" w:hAnsi="仿宋" w:eastAsia="仿宋" w:cs="仿宋"/>
          <w:snapToGrid w:val="0"/>
          <w:sz w:val="28"/>
          <w:szCs w:val="28"/>
          <w:lang w:val="en-US" w:eastAsia="zh-CN"/>
        </w:rPr>
        <w:t>投入</w:t>
      </w:r>
    </w:p>
    <w:p>
      <w:pPr>
        <w:ind w:firstLine="562" w:firstLineChars="200"/>
        <w:rPr>
          <w:rFonts w:hint="eastAsia" w:ascii="仿宋" w:hAnsi="仿宋" w:eastAsia="仿宋" w:cs="仿宋"/>
          <w:snapToGrid w:val="0"/>
          <w:sz w:val="28"/>
          <w:szCs w:val="28"/>
          <w:lang w:val="en-US" w:eastAsia="zh-CN"/>
        </w:rPr>
      </w:pPr>
      <w:r>
        <w:rPr>
          <w:rFonts w:hint="eastAsia" w:ascii="仿宋" w:hAnsi="仿宋" w:eastAsia="仿宋" w:cs="仿宋"/>
          <w:b/>
          <w:snapToGrid w:val="0"/>
          <w:sz w:val="28"/>
          <w:szCs w:val="28"/>
          <w:lang w:val="en-US" w:eastAsia="zh-CN"/>
        </w:rPr>
        <w:t>A31预算编制科学性：</w:t>
      </w:r>
      <w:r>
        <w:rPr>
          <w:rFonts w:hint="eastAsia" w:ascii="Times New Roman" w:hAnsi="Times New Roman" w:eastAsia="仿宋" w:cs="Times New Roman"/>
          <w:bCs w:val="0"/>
          <w:kern w:val="2"/>
          <w:sz w:val="28"/>
          <w:szCs w:val="28"/>
          <w:lang w:val="en-US" w:eastAsia="zh-CN" w:bidi="ar-SA"/>
        </w:rPr>
        <w:t>满分3.00分，得分3.00分。根据古县行政审批服务管理局《关于对古县人民医院救治能力提升项目初步设计的批复》（古审管审发〔2020〕45号）文件：项目总投资3153.82万元，其中：建安工程费1200.14万元，设备购置费1583.77万元，工程建设其他费用191.39万元，基本预备费178.52万元。资金来源为上级资金和县财政资金。该项资金是根据工作量综合确定，建设项目预算额度测算有相关依据，预算确定的项目投资额与工作任务相匹配，投资额涵盖本次项目涉及的所有内容。根据评分标准，该项得满分</w:t>
      </w:r>
      <w:r>
        <w:rPr>
          <w:rFonts w:hint="eastAsia" w:ascii="仿宋" w:hAnsi="仿宋" w:eastAsia="仿宋" w:cs="仿宋"/>
          <w:snapToGrid w:val="0"/>
          <w:sz w:val="28"/>
          <w:szCs w:val="28"/>
          <w:lang w:val="en-US" w:eastAsia="zh-CN"/>
        </w:rPr>
        <w:t>。</w:t>
      </w:r>
    </w:p>
    <w:p>
      <w:pPr>
        <w:ind w:firstLine="562" w:firstLineChars="200"/>
        <w:rPr>
          <w:rFonts w:hint="eastAsia" w:ascii="Times New Roman" w:hAnsi="Times New Roman" w:eastAsia="仿宋" w:cs="Times New Roman"/>
          <w:bCs w:val="0"/>
          <w:kern w:val="2"/>
          <w:sz w:val="28"/>
          <w:szCs w:val="28"/>
          <w:lang w:val="en-US" w:eastAsia="zh-CN" w:bidi="ar-SA"/>
        </w:rPr>
      </w:pPr>
      <w:r>
        <w:rPr>
          <w:rFonts w:hint="eastAsia" w:ascii="仿宋" w:hAnsi="仿宋" w:eastAsia="仿宋" w:cs="仿宋"/>
          <w:b/>
          <w:snapToGrid w:val="0"/>
          <w:sz w:val="28"/>
          <w:szCs w:val="28"/>
        </w:rPr>
        <w:t>A</w:t>
      </w:r>
      <w:r>
        <w:rPr>
          <w:rFonts w:hint="eastAsia" w:ascii="仿宋" w:hAnsi="仿宋" w:eastAsia="仿宋" w:cs="仿宋"/>
          <w:b/>
          <w:snapToGrid w:val="0"/>
          <w:sz w:val="28"/>
          <w:szCs w:val="28"/>
          <w:lang w:val="en-US" w:eastAsia="zh-CN"/>
        </w:rPr>
        <w:t>32资金分配合理性</w:t>
      </w:r>
      <w:r>
        <w:rPr>
          <w:rFonts w:hint="eastAsia" w:ascii="仿宋" w:hAnsi="仿宋" w:eastAsia="仿宋" w:cs="仿宋"/>
          <w:b/>
          <w:snapToGrid w:val="0"/>
          <w:sz w:val="28"/>
          <w:szCs w:val="28"/>
        </w:rPr>
        <w:t>：</w:t>
      </w:r>
      <w:r>
        <w:rPr>
          <w:rFonts w:hint="eastAsia" w:ascii="Times New Roman" w:hAnsi="Times New Roman" w:eastAsia="仿宋" w:cs="Times New Roman"/>
          <w:bCs w:val="0"/>
          <w:kern w:val="2"/>
          <w:sz w:val="28"/>
          <w:szCs w:val="28"/>
          <w:lang w:val="en-US" w:eastAsia="zh-CN" w:bidi="ar-SA"/>
        </w:rPr>
        <w:t>满分3.00分，得分3.00分。项目预算资金分配依据充分，预算资金依据项目实际情况进行安排，有明确依据。项目资金分配额度合理，与项目单位实际工作任务及古县地方实际相适应。本次绩效评价项目资金专项用于救治能力提升项目，实际执行过程中，资金分配符合文件要求。根据评分标准，该项得满分。</w:t>
      </w:r>
      <w:bookmarkStart w:id="107" w:name="_Toc528680467"/>
      <w:bookmarkStart w:id="108" w:name="_Toc8610"/>
      <w:bookmarkStart w:id="109" w:name="_Toc528684142"/>
      <w:bookmarkStart w:id="110" w:name="_Toc18414"/>
      <w:bookmarkStart w:id="111" w:name="_Toc19896"/>
    </w:p>
    <w:p>
      <w:pPr>
        <w:ind w:firstLine="562" w:firstLineChars="200"/>
        <w:rPr>
          <w:rFonts w:hint="eastAsia" w:ascii="仿宋" w:hAnsi="仿宋" w:eastAsia="仿宋" w:cs="仿宋"/>
          <w:b/>
          <w:snapToGrid w:val="0"/>
          <w:sz w:val="28"/>
          <w:szCs w:val="28"/>
        </w:rPr>
      </w:pPr>
      <w:r>
        <w:rPr>
          <w:rFonts w:hint="eastAsia" w:ascii="仿宋" w:hAnsi="仿宋" w:eastAsia="仿宋" w:cs="仿宋"/>
          <w:b/>
          <w:snapToGrid w:val="0"/>
          <w:sz w:val="28"/>
          <w:szCs w:val="28"/>
        </w:rPr>
        <w:t>2</w:t>
      </w:r>
      <w:r>
        <w:rPr>
          <w:rFonts w:hint="eastAsia" w:ascii="仿宋" w:hAnsi="仿宋" w:eastAsia="仿宋" w:cs="仿宋"/>
          <w:b/>
          <w:snapToGrid w:val="0"/>
          <w:sz w:val="28"/>
          <w:szCs w:val="28"/>
          <w:lang w:eastAsia="zh-CN"/>
        </w:rPr>
        <w:t>、</w:t>
      </w:r>
      <w:r>
        <w:rPr>
          <w:rFonts w:hint="eastAsia" w:ascii="仿宋" w:hAnsi="仿宋" w:eastAsia="仿宋" w:cs="仿宋"/>
          <w:b/>
          <w:snapToGrid w:val="0"/>
          <w:sz w:val="28"/>
          <w:szCs w:val="28"/>
        </w:rPr>
        <w:t>过程分析</w:t>
      </w:r>
      <w:bookmarkEnd w:id="107"/>
      <w:bookmarkEnd w:id="108"/>
      <w:bookmarkEnd w:id="109"/>
      <w:bookmarkEnd w:id="110"/>
      <w:bookmarkEnd w:id="111"/>
    </w:p>
    <w:p>
      <w:pPr>
        <w:widowControl/>
        <w:spacing w:line="574" w:lineRule="exact"/>
        <w:ind w:firstLine="560" w:firstLineChars="200"/>
        <w:rPr>
          <w:rFonts w:hint="eastAsia" w:ascii="仿宋" w:hAnsi="仿宋" w:eastAsia="仿宋" w:cs="仿宋"/>
          <w:snapToGrid w:val="0"/>
          <w:sz w:val="28"/>
          <w:szCs w:val="28"/>
        </w:rPr>
      </w:pPr>
      <w:r>
        <w:rPr>
          <w:rFonts w:hint="eastAsia" w:ascii="仿宋" w:hAnsi="仿宋" w:eastAsia="仿宋" w:cs="仿宋"/>
          <w:snapToGrid w:val="0"/>
          <w:sz w:val="28"/>
          <w:szCs w:val="28"/>
        </w:rPr>
        <w:t>过程类指标主要从资金到位率</w:t>
      </w:r>
      <w:r>
        <w:rPr>
          <w:rFonts w:hint="eastAsia" w:ascii="仿宋" w:hAnsi="仿宋" w:eastAsia="仿宋" w:cs="仿宋"/>
          <w:snapToGrid w:val="0"/>
          <w:sz w:val="28"/>
          <w:szCs w:val="28"/>
          <w:lang w:eastAsia="zh-CN"/>
        </w:rPr>
        <w:t>、</w:t>
      </w:r>
      <w:r>
        <w:rPr>
          <w:rFonts w:hint="eastAsia" w:ascii="仿宋" w:hAnsi="仿宋" w:eastAsia="仿宋" w:cs="仿宋"/>
          <w:snapToGrid w:val="0"/>
          <w:sz w:val="28"/>
          <w:szCs w:val="28"/>
        </w:rPr>
        <w:t>预算执行率</w:t>
      </w:r>
      <w:r>
        <w:rPr>
          <w:rFonts w:hint="eastAsia" w:ascii="仿宋" w:hAnsi="仿宋" w:eastAsia="仿宋" w:cs="仿宋"/>
          <w:snapToGrid w:val="0"/>
          <w:sz w:val="28"/>
          <w:szCs w:val="28"/>
          <w:lang w:eastAsia="zh-CN"/>
        </w:rPr>
        <w:t>、</w:t>
      </w:r>
      <w:r>
        <w:rPr>
          <w:rFonts w:hint="eastAsia" w:ascii="仿宋" w:hAnsi="仿宋" w:eastAsia="仿宋" w:cs="仿宋"/>
          <w:snapToGrid w:val="0"/>
          <w:sz w:val="28"/>
          <w:szCs w:val="28"/>
        </w:rPr>
        <w:t>资金使用合规性</w:t>
      </w:r>
      <w:r>
        <w:rPr>
          <w:rFonts w:hint="eastAsia" w:ascii="仿宋" w:hAnsi="仿宋" w:eastAsia="仿宋" w:cs="仿宋"/>
          <w:snapToGrid w:val="0"/>
          <w:sz w:val="28"/>
          <w:szCs w:val="28"/>
          <w:lang w:eastAsia="zh-CN"/>
        </w:rPr>
        <w:t>、</w:t>
      </w:r>
      <w:r>
        <w:rPr>
          <w:rFonts w:hint="eastAsia" w:ascii="仿宋" w:hAnsi="仿宋" w:eastAsia="仿宋" w:cs="仿宋"/>
          <w:snapToGrid w:val="0"/>
          <w:sz w:val="28"/>
          <w:szCs w:val="28"/>
        </w:rPr>
        <w:t>管理制度健全性</w:t>
      </w:r>
      <w:r>
        <w:rPr>
          <w:rFonts w:hint="eastAsia" w:ascii="仿宋" w:hAnsi="仿宋" w:eastAsia="仿宋" w:cs="仿宋"/>
          <w:snapToGrid w:val="0"/>
          <w:sz w:val="28"/>
          <w:szCs w:val="28"/>
          <w:lang w:eastAsia="zh-CN"/>
        </w:rPr>
        <w:t>、</w:t>
      </w:r>
      <w:r>
        <w:rPr>
          <w:rFonts w:hint="eastAsia" w:ascii="仿宋" w:hAnsi="仿宋" w:eastAsia="仿宋" w:cs="仿宋"/>
          <w:snapToGrid w:val="0"/>
          <w:sz w:val="28"/>
          <w:szCs w:val="28"/>
        </w:rPr>
        <w:t>制度执行有效性</w:t>
      </w:r>
      <w:r>
        <w:rPr>
          <w:rFonts w:hint="eastAsia" w:ascii="仿宋" w:hAnsi="仿宋" w:eastAsia="仿宋" w:cs="仿宋"/>
          <w:snapToGrid w:val="0"/>
          <w:sz w:val="28"/>
          <w:szCs w:val="28"/>
          <w:lang w:val="en-US" w:eastAsia="zh-CN"/>
        </w:rPr>
        <w:t>5</w:t>
      </w:r>
      <w:r>
        <w:rPr>
          <w:rFonts w:hint="eastAsia" w:ascii="仿宋" w:hAnsi="仿宋" w:eastAsia="仿宋" w:cs="仿宋"/>
          <w:snapToGrid w:val="0"/>
          <w:sz w:val="28"/>
          <w:szCs w:val="28"/>
        </w:rPr>
        <w:t>个指标考核该项目</w:t>
      </w:r>
      <w:r>
        <w:rPr>
          <w:rFonts w:hint="eastAsia" w:ascii="仿宋" w:hAnsi="仿宋" w:eastAsia="仿宋" w:cs="仿宋"/>
          <w:snapToGrid w:val="0"/>
          <w:sz w:val="28"/>
          <w:szCs w:val="28"/>
          <w:lang w:val="en-US" w:eastAsia="zh-CN"/>
        </w:rPr>
        <w:t>资金</w:t>
      </w:r>
      <w:r>
        <w:rPr>
          <w:rFonts w:hint="eastAsia" w:ascii="仿宋" w:hAnsi="仿宋" w:eastAsia="仿宋" w:cs="仿宋"/>
          <w:snapToGrid w:val="0"/>
          <w:sz w:val="28"/>
          <w:szCs w:val="28"/>
        </w:rPr>
        <w:t>管理及</w:t>
      </w:r>
      <w:r>
        <w:rPr>
          <w:rFonts w:hint="eastAsia" w:ascii="仿宋" w:hAnsi="仿宋" w:eastAsia="仿宋" w:cs="仿宋"/>
          <w:snapToGrid w:val="0"/>
          <w:sz w:val="28"/>
          <w:szCs w:val="28"/>
          <w:lang w:val="en-US" w:eastAsia="zh-CN"/>
        </w:rPr>
        <w:t>组织实施</w:t>
      </w:r>
      <w:r>
        <w:rPr>
          <w:rFonts w:hint="eastAsia" w:ascii="仿宋" w:hAnsi="仿宋" w:eastAsia="仿宋" w:cs="仿宋"/>
          <w:snapToGrid w:val="0"/>
          <w:sz w:val="28"/>
          <w:szCs w:val="28"/>
        </w:rPr>
        <w:t>情况，</w:t>
      </w:r>
      <w:r>
        <w:rPr>
          <w:rFonts w:hint="eastAsia" w:ascii="仿宋" w:hAnsi="仿宋" w:eastAsia="仿宋" w:cs="仿宋"/>
          <w:snapToGrid w:val="0"/>
          <w:color w:val="auto"/>
          <w:sz w:val="28"/>
          <w:szCs w:val="28"/>
        </w:rPr>
        <w:t>过程类指标权重20</w:t>
      </w:r>
      <w:r>
        <w:rPr>
          <w:rFonts w:hint="eastAsia" w:ascii="仿宋" w:hAnsi="仿宋" w:eastAsia="仿宋" w:cs="仿宋"/>
          <w:snapToGrid w:val="0"/>
          <w:color w:val="auto"/>
          <w:sz w:val="28"/>
          <w:szCs w:val="28"/>
          <w:lang w:val="en-US" w:eastAsia="zh-CN"/>
        </w:rPr>
        <w:t>.00</w:t>
      </w:r>
      <w:r>
        <w:rPr>
          <w:rFonts w:hint="eastAsia" w:ascii="仿宋" w:hAnsi="仿宋" w:eastAsia="仿宋" w:cs="仿宋"/>
          <w:snapToGrid w:val="0"/>
          <w:color w:val="auto"/>
          <w:sz w:val="28"/>
          <w:szCs w:val="28"/>
        </w:rPr>
        <w:t>分，实际得分</w:t>
      </w:r>
      <w:r>
        <w:rPr>
          <w:rFonts w:hint="eastAsia" w:ascii="仿宋" w:hAnsi="仿宋" w:eastAsia="仿宋" w:cs="仿宋"/>
          <w:snapToGrid w:val="0"/>
          <w:color w:val="auto"/>
          <w:sz w:val="28"/>
          <w:szCs w:val="28"/>
          <w:lang w:val="en-US" w:eastAsia="zh-CN"/>
        </w:rPr>
        <w:t>14.64</w:t>
      </w:r>
      <w:r>
        <w:rPr>
          <w:rFonts w:hint="eastAsia" w:ascii="仿宋" w:hAnsi="仿宋" w:eastAsia="仿宋" w:cs="仿宋"/>
          <w:snapToGrid w:val="0"/>
          <w:color w:val="auto"/>
          <w:sz w:val="28"/>
          <w:szCs w:val="28"/>
        </w:rPr>
        <w:t>分。指标得分情况如表4-2所示：</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表4-2 过程类指标得分情况</w:t>
      </w:r>
    </w:p>
    <w:tbl>
      <w:tblPr>
        <w:tblStyle w:val="19"/>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834"/>
        <w:gridCol w:w="2847"/>
        <w:gridCol w:w="1464"/>
        <w:gridCol w:w="949"/>
        <w:gridCol w:w="14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2847"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146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949"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428"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75" w:hRule="atLeast"/>
          <w:jc w:val="center"/>
        </w:trPr>
        <w:tc>
          <w:tcPr>
            <w:tcW w:w="1834"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w:t>
            </w:r>
            <w:r>
              <w:rPr>
                <w:rFonts w:hint="eastAsia" w:ascii="仿宋" w:hAnsi="仿宋" w:eastAsia="仿宋" w:cs="仿宋"/>
                <w:b w:val="0"/>
                <w:bCs w:val="0"/>
                <w:color w:val="000000"/>
                <w:kern w:val="0"/>
                <w:sz w:val="24"/>
                <w:szCs w:val="24"/>
                <w:lang w:val="en-US" w:eastAsia="zh-CN"/>
              </w:rPr>
              <w:t>资金</w:t>
            </w:r>
            <w:r>
              <w:rPr>
                <w:rFonts w:hint="eastAsia" w:ascii="仿宋" w:hAnsi="仿宋" w:eastAsia="仿宋" w:cs="仿宋"/>
                <w:b w:val="0"/>
                <w:bCs w:val="0"/>
                <w:color w:val="000000"/>
                <w:kern w:val="0"/>
                <w:sz w:val="24"/>
                <w:szCs w:val="24"/>
              </w:rPr>
              <w:t>管理</w:t>
            </w: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B11</w:t>
            </w:r>
            <w:r>
              <w:rPr>
                <w:rFonts w:hint="eastAsia" w:ascii="仿宋" w:hAnsi="仿宋" w:eastAsia="仿宋" w:cs="仿宋"/>
                <w:b w:val="0"/>
                <w:bCs w:val="0"/>
                <w:color w:val="000000"/>
                <w:kern w:val="0"/>
                <w:sz w:val="24"/>
                <w:szCs w:val="24"/>
                <w:lang w:val="en-US" w:eastAsia="zh-CN"/>
              </w:rPr>
              <w:t>资金到位率</w:t>
            </w:r>
          </w:p>
        </w:tc>
        <w:tc>
          <w:tcPr>
            <w:tcW w:w="1464"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B12</w:t>
            </w:r>
            <w:r>
              <w:rPr>
                <w:rFonts w:hint="eastAsia" w:ascii="仿宋" w:hAnsi="仿宋" w:eastAsia="仿宋" w:cs="仿宋"/>
                <w:b w:val="0"/>
                <w:bCs w:val="0"/>
                <w:color w:val="000000"/>
                <w:kern w:val="0"/>
                <w:sz w:val="24"/>
                <w:szCs w:val="24"/>
                <w:lang w:val="en-US" w:eastAsia="zh-CN"/>
              </w:rPr>
              <w:t>预算执行率</w:t>
            </w:r>
          </w:p>
        </w:tc>
        <w:tc>
          <w:tcPr>
            <w:tcW w:w="146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2.64</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65.95%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w:t>
            </w:r>
            <w:r>
              <w:rPr>
                <w:rFonts w:hint="eastAsia" w:ascii="仿宋" w:hAnsi="仿宋" w:eastAsia="仿宋" w:cs="仿宋"/>
                <w:b w:val="0"/>
                <w:bCs w:val="0"/>
                <w:color w:val="000000"/>
                <w:kern w:val="0"/>
                <w:sz w:val="24"/>
                <w:szCs w:val="24"/>
                <w:lang w:val="en-US" w:eastAsia="zh-CN"/>
              </w:rPr>
              <w:t>3资金使用合规性</w:t>
            </w:r>
          </w:p>
        </w:tc>
        <w:tc>
          <w:tcPr>
            <w:tcW w:w="1464" w:type="dxa"/>
            <w:vAlign w:val="center"/>
          </w:tcPr>
          <w:p>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restart"/>
            <w:vAlign w:val="center"/>
          </w:tcPr>
          <w:p>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rPr>
              <w:t>B2</w:t>
            </w:r>
            <w:r>
              <w:rPr>
                <w:rFonts w:hint="eastAsia" w:ascii="仿宋" w:hAnsi="仿宋" w:eastAsia="仿宋" w:cs="仿宋"/>
                <w:b w:val="0"/>
                <w:bCs w:val="0"/>
                <w:color w:val="000000"/>
                <w:kern w:val="0"/>
                <w:sz w:val="24"/>
                <w:szCs w:val="24"/>
                <w:lang w:val="en-US" w:eastAsia="zh-CN"/>
              </w:rPr>
              <w:t>组织实施</w:t>
            </w: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B21管理制度健全性</w:t>
            </w:r>
          </w:p>
        </w:tc>
        <w:tc>
          <w:tcPr>
            <w:tcW w:w="146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2.00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B22</w:t>
            </w:r>
            <w:r>
              <w:rPr>
                <w:rFonts w:hint="eastAsia" w:ascii="仿宋" w:hAnsi="仿宋" w:eastAsia="仿宋" w:cs="仿宋"/>
                <w:b w:val="0"/>
                <w:bCs w:val="0"/>
                <w:color w:val="000000"/>
                <w:kern w:val="0"/>
                <w:sz w:val="24"/>
                <w:szCs w:val="24"/>
                <w:lang w:val="en-US" w:eastAsia="zh-CN"/>
              </w:rPr>
              <w:t>制度执行有效</w:t>
            </w:r>
            <w:r>
              <w:rPr>
                <w:rFonts w:hint="eastAsia" w:ascii="仿宋" w:hAnsi="仿宋" w:eastAsia="仿宋" w:cs="仿宋"/>
                <w:b w:val="0"/>
                <w:bCs w:val="0"/>
                <w:color w:val="000000"/>
                <w:kern w:val="0"/>
                <w:sz w:val="24"/>
                <w:szCs w:val="24"/>
              </w:rPr>
              <w:t>性</w:t>
            </w:r>
          </w:p>
        </w:tc>
        <w:tc>
          <w:tcPr>
            <w:tcW w:w="1464" w:type="dxa"/>
            <w:vAlign w:val="center"/>
          </w:tcPr>
          <w:p>
            <w:pPr>
              <w:widowControl/>
              <w:snapToGrid w:val="0"/>
              <w:jc w:val="center"/>
              <w:rPr>
                <w:rFonts w:hint="eastAsia" w:ascii="仿宋" w:hAnsi="仿宋" w:eastAsia="仿宋" w:cs="仿宋"/>
                <w:b w:val="0"/>
                <w:bCs w:val="0"/>
                <w:color w:val="000000"/>
                <w:kern w:val="0"/>
                <w:sz w:val="24"/>
                <w:szCs w:val="24"/>
                <w:lang w:val="en-US"/>
              </w:rPr>
            </w:pPr>
            <w:r>
              <w:rPr>
                <w:rFonts w:hint="eastAsia" w:ascii="仿宋" w:hAnsi="仿宋" w:eastAsia="仿宋" w:cs="仿宋"/>
                <w:b w:val="0"/>
                <w:bCs w:val="0"/>
                <w:color w:val="000000"/>
                <w:kern w:val="0"/>
                <w:sz w:val="24"/>
                <w:szCs w:val="24"/>
                <w:lang w:val="en-US" w:eastAsia="zh-CN"/>
              </w:rPr>
              <w:t>6.00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33.33%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4681" w:type="dxa"/>
            <w:gridSpan w:val="2"/>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合计</w:t>
            </w:r>
          </w:p>
        </w:tc>
        <w:tc>
          <w:tcPr>
            <w:tcW w:w="146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20.00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14.64</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73.20%</w:t>
            </w:r>
          </w:p>
        </w:tc>
      </w:tr>
    </w:tbl>
    <w:p>
      <w:pPr>
        <w:widowControl/>
        <w:spacing w:line="574" w:lineRule="exact"/>
        <w:ind w:firstLine="560" w:firstLineChars="200"/>
        <w:outlineLvl w:val="3"/>
        <w:rPr>
          <w:rFonts w:hint="eastAsia" w:ascii="仿宋" w:hAnsi="仿宋" w:eastAsia="仿宋" w:cs="仿宋"/>
          <w:snapToGrid w:val="0"/>
          <w:sz w:val="28"/>
          <w:szCs w:val="28"/>
        </w:rPr>
      </w:pPr>
      <w:r>
        <w:rPr>
          <w:rFonts w:hint="eastAsia" w:ascii="仿宋" w:hAnsi="仿宋" w:eastAsia="仿宋" w:cs="仿宋"/>
          <w:snapToGrid w:val="0"/>
          <w:sz w:val="28"/>
          <w:szCs w:val="28"/>
        </w:rPr>
        <w:t>（1）</w:t>
      </w:r>
      <w:r>
        <w:rPr>
          <w:rFonts w:hint="eastAsia" w:ascii="仿宋" w:hAnsi="仿宋" w:eastAsia="仿宋" w:cs="仿宋"/>
          <w:snapToGrid w:val="0"/>
          <w:sz w:val="28"/>
          <w:szCs w:val="28"/>
          <w:lang w:val="en-US" w:eastAsia="zh-CN"/>
        </w:rPr>
        <w:t>资金</w:t>
      </w:r>
      <w:r>
        <w:rPr>
          <w:rFonts w:hint="eastAsia" w:ascii="仿宋" w:hAnsi="仿宋" w:eastAsia="仿宋" w:cs="仿宋"/>
          <w:snapToGrid w:val="0"/>
          <w:sz w:val="28"/>
          <w:szCs w:val="28"/>
        </w:rPr>
        <w:t>管理</w:t>
      </w:r>
    </w:p>
    <w:p>
      <w:pPr>
        <w:widowControl/>
        <w:spacing w:line="574" w:lineRule="exact"/>
        <w:ind w:firstLine="562" w:firstLineChars="200"/>
        <w:rPr>
          <w:rFonts w:hint="eastAsia" w:ascii="仿宋" w:hAnsi="仿宋" w:eastAsia="仿宋" w:cs="仿宋"/>
          <w:b/>
          <w:snapToGrid w:val="0"/>
          <w:sz w:val="28"/>
          <w:szCs w:val="28"/>
        </w:rPr>
      </w:pPr>
      <w:r>
        <w:rPr>
          <w:rFonts w:hint="eastAsia" w:ascii="仿宋" w:hAnsi="仿宋" w:eastAsia="仿宋" w:cs="仿宋"/>
          <w:b/>
          <w:snapToGrid w:val="0"/>
          <w:sz w:val="28"/>
          <w:szCs w:val="28"/>
          <w:lang w:val="en-US" w:eastAsia="zh-CN"/>
        </w:rPr>
        <w:t>B11</w:t>
      </w:r>
      <w:r>
        <w:rPr>
          <w:rFonts w:hint="eastAsia" w:ascii="仿宋" w:hAnsi="仿宋" w:eastAsia="仿宋" w:cs="仿宋"/>
          <w:b/>
          <w:snapToGrid w:val="0"/>
          <w:sz w:val="28"/>
          <w:szCs w:val="28"/>
        </w:rPr>
        <w:t>资金到位率：</w:t>
      </w:r>
      <w:r>
        <w:rPr>
          <w:rFonts w:hint="eastAsia" w:ascii="Times New Roman" w:hAnsi="Times New Roman" w:eastAsia="仿宋" w:cs="Times New Roman"/>
          <w:bCs w:val="0"/>
          <w:kern w:val="2"/>
          <w:sz w:val="28"/>
          <w:szCs w:val="28"/>
          <w:lang w:val="en-US" w:eastAsia="zh-CN" w:bidi="ar-SA"/>
        </w:rPr>
        <w:t>满分4.00分，得分4.00分。该指标主要分析评价项目资金是否根据文件、计划要求足额拨付到位，资金到位率=（实际到位资金/计划到位资金）×100%。根据资金下达文件、入账凭证，救治能力提升项目2020年、2021年预算下达1717.00万元；实际到位资金1717.00万元，资金到位率100.00%。根据评分标准，该项得满分</w:t>
      </w:r>
      <w:r>
        <w:rPr>
          <w:rFonts w:hint="eastAsia" w:ascii="仿宋" w:hAnsi="仿宋" w:eastAsia="仿宋" w:cs="仿宋"/>
          <w:b w:val="0"/>
          <w:bCs/>
          <w:snapToGrid w:val="0"/>
          <w:sz w:val="28"/>
          <w:szCs w:val="28"/>
        </w:rPr>
        <w:t>。</w:t>
      </w:r>
    </w:p>
    <w:p>
      <w:pPr>
        <w:widowControl/>
        <w:spacing w:line="574" w:lineRule="exact"/>
        <w:ind w:firstLine="562" w:firstLineChars="200"/>
        <w:rPr>
          <w:rFonts w:hint="eastAsia" w:ascii="仿宋" w:hAnsi="仿宋" w:eastAsia="仿宋" w:cs="仿宋"/>
          <w:b w:val="0"/>
          <w:bCs/>
          <w:snapToGrid w:val="0"/>
          <w:sz w:val="28"/>
          <w:szCs w:val="28"/>
        </w:rPr>
      </w:pPr>
      <w:r>
        <w:rPr>
          <w:rFonts w:hint="eastAsia" w:ascii="仿宋" w:hAnsi="仿宋" w:eastAsia="仿宋" w:cs="仿宋"/>
          <w:b/>
          <w:snapToGrid w:val="0"/>
          <w:sz w:val="28"/>
          <w:szCs w:val="28"/>
          <w:lang w:val="en-US" w:eastAsia="zh-CN"/>
        </w:rPr>
        <w:t>B12预算</w:t>
      </w:r>
      <w:r>
        <w:rPr>
          <w:rFonts w:hint="eastAsia" w:ascii="仿宋" w:hAnsi="仿宋" w:eastAsia="仿宋" w:cs="仿宋"/>
          <w:b/>
          <w:snapToGrid w:val="0"/>
          <w:sz w:val="28"/>
          <w:szCs w:val="28"/>
        </w:rPr>
        <w:t>执行率：</w:t>
      </w:r>
      <w:r>
        <w:rPr>
          <w:rFonts w:hint="eastAsia" w:ascii="Times New Roman" w:hAnsi="Times New Roman" w:eastAsia="仿宋" w:cs="Times New Roman"/>
          <w:bCs w:val="0"/>
          <w:kern w:val="2"/>
          <w:sz w:val="28"/>
          <w:szCs w:val="28"/>
          <w:lang w:val="en-US" w:eastAsia="zh-CN" w:bidi="ar-SA"/>
        </w:rPr>
        <w:t>满分4.00分，得分2.64分。根据古县医疗集团提供的资料，截止2022年8月15日，项目共计到位资金1717.00万元；</w:t>
      </w:r>
      <w:r>
        <w:rPr>
          <w:rFonts w:hint="eastAsia" w:ascii="Times New Roman" w:hAnsi="Times New Roman" w:eastAsia="仿宋" w:cs="Times New Roman"/>
          <w:kern w:val="0"/>
          <w:sz w:val="28"/>
          <w:szCs w:val="28"/>
          <w:shd w:val="clear" w:color="auto" w:fill="FFFFFF"/>
          <w:lang w:val="en-US" w:eastAsia="zh-CN"/>
        </w:rPr>
        <w:t>截止2022年8月15日，救治能力提升项目共计支出资金1133.32万元</w:t>
      </w:r>
      <w:r>
        <w:rPr>
          <w:rFonts w:hint="eastAsia" w:ascii="Times New Roman" w:hAnsi="Times New Roman" w:eastAsia="仿宋" w:cs="Times New Roman"/>
          <w:bCs w:val="0"/>
          <w:kern w:val="2"/>
          <w:sz w:val="28"/>
          <w:szCs w:val="28"/>
          <w:lang w:val="en-US" w:eastAsia="zh-CN" w:bidi="ar-SA"/>
        </w:rPr>
        <w:t>。到位资金执行率65.95%。根据评分标准，该项得2.64分</w:t>
      </w:r>
      <w:r>
        <w:rPr>
          <w:rFonts w:hint="eastAsia" w:ascii="仿宋" w:hAnsi="仿宋" w:eastAsia="仿宋" w:cs="仿宋"/>
          <w:b w:val="0"/>
          <w:bCs/>
          <w:snapToGrid w:val="0"/>
          <w:sz w:val="28"/>
          <w:szCs w:val="28"/>
        </w:rPr>
        <w:t>。</w:t>
      </w:r>
    </w:p>
    <w:p>
      <w:pPr>
        <w:widowControl/>
        <w:spacing w:line="574" w:lineRule="exact"/>
        <w:ind w:firstLine="562" w:firstLineChars="200"/>
        <w:rPr>
          <w:rFonts w:hint="eastAsia" w:ascii="仿宋" w:hAnsi="仿宋" w:eastAsia="仿宋" w:cs="仿宋"/>
          <w:snapToGrid w:val="0"/>
          <w:sz w:val="28"/>
          <w:szCs w:val="28"/>
        </w:rPr>
      </w:pPr>
      <w:r>
        <w:rPr>
          <w:rFonts w:hint="eastAsia" w:ascii="仿宋" w:hAnsi="仿宋" w:eastAsia="仿宋" w:cs="仿宋"/>
          <w:b/>
          <w:snapToGrid w:val="0"/>
          <w:sz w:val="28"/>
          <w:szCs w:val="28"/>
          <w:lang w:val="en-US" w:eastAsia="zh-CN"/>
        </w:rPr>
        <w:t>B13</w:t>
      </w:r>
      <w:r>
        <w:rPr>
          <w:rFonts w:hint="eastAsia" w:ascii="仿宋" w:hAnsi="仿宋" w:eastAsia="仿宋" w:cs="仿宋"/>
          <w:b/>
          <w:snapToGrid w:val="0"/>
          <w:sz w:val="28"/>
          <w:szCs w:val="28"/>
        </w:rPr>
        <w:t>资金使用合规性：</w:t>
      </w:r>
      <w:r>
        <w:rPr>
          <w:rFonts w:hint="eastAsia" w:ascii="Times New Roman" w:hAnsi="Times New Roman" w:eastAsia="仿宋" w:cs="Times New Roman"/>
          <w:bCs w:val="0"/>
          <w:kern w:val="2"/>
          <w:sz w:val="28"/>
          <w:szCs w:val="28"/>
          <w:lang w:val="en-US" w:eastAsia="zh-CN" w:bidi="ar-SA"/>
        </w:rPr>
        <w:t>满分4.00分，得分4.00分。通过对项目财务资料的现场核实，救治能力提升项目经费使用符合国家财经法规和相关政策的规定，有完整的审批程序和手续，资金使用符合项目合同等文件要求的用途，未发现截留、挤占、挪用、虚列支出等情况。根据评分标准，该项得满分</w:t>
      </w:r>
      <w:r>
        <w:rPr>
          <w:rFonts w:hint="eastAsia" w:ascii="仿宋" w:hAnsi="仿宋" w:eastAsia="仿宋" w:cs="仿宋"/>
          <w:snapToGrid w:val="0"/>
          <w:sz w:val="28"/>
          <w:szCs w:val="28"/>
        </w:rPr>
        <w:t>。</w:t>
      </w:r>
    </w:p>
    <w:p>
      <w:pPr>
        <w:widowControl/>
        <w:spacing w:line="574" w:lineRule="exact"/>
        <w:ind w:firstLine="560" w:firstLineChars="200"/>
        <w:outlineLvl w:val="3"/>
        <w:rPr>
          <w:rFonts w:hint="eastAsia" w:ascii="仿宋" w:hAnsi="仿宋" w:eastAsia="仿宋" w:cs="仿宋"/>
          <w:snapToGrid w:val="0"/>
          <w:sz w:val="28"/>
          <w:szCs w:val="28"/>
          <w:lang w:val="en-US" w:eastAsia="zh-CN"/>
        </w:rPr>
      </w:pPr>
      <w:r>
        <w:rPr>
          <w:rFonts w:hint="eastAsia" w:ascii="仿宋" w:hAnsi="仿宋" w:eastAsia="仿宋" w:cs="仿宋"/>
          <w:snapToGrid w:val="0"/>
          <w:sz w:val="28"/>
          <w:szCs w:val="28"/>
          <w:lang w:val="en-US" w:eastAsia="zh-CN"/>
        </w:rPr>
        <w:t>（2）组织实施</w:t>
      </w:r>
    </w:p>
    <w:p>
      <w:pPr>
        <w:widowControl/>
        <w:spacing w:line="574" w:lineRule="exact"/>
        <w:ind w:firstLine="562" w:firstLineChars="200"/>
        <w:rPr>
          <w:rFonts w:hint="eastAsia" w:ascii="仿宋" w:hAnsi="仿宋" w:eastAsia="仿宋" w:cs="仿宋"/>
          <w:snapToGrid w:val="0"/>
          <w:sz w:val="28"/>
          <w:szCs w:val="28"/>
          <w:highlight w:val="yellow"/>
        </w:rPr>
      </w:pPr>
      <w:r>
        <w:rPr>
          <w:rFonts w:hint="eastAsia" w:ascii="仿宋" w:hAnsi="仿宋" w:eastAsia="仿宋" w:cs="仿宋"/>
          <w:b/>
          <w:snapToGrid w:val="0"/>
          <w:sz w:val="28"/>
          <w:szCs w:val="28"/>
        </w:rPr>
        <w:t>B</w:t>
      </w:r>
      <w:r>
        <w:rPr>
          <w:rFonts w:hint="eastAsia" w:ascii="仿宋" w:hAnsi="仿宋" w:eastAsia="仿宋" w:cs="仿宋"/>
          <w:b/>
          <w:snapToGrid w:val="0"/>
          <w:sz w:val="28"/>
          <w:szCs w:val="28"/>
          <w:lang w:val="en-US" w:eastAsia="zh-CN"/>
        </w:rPr>
        <w:t>21</w:t>
      </w:r>
      <w:r>
        <w:rPr>
          <w:rFonts w:hint="eastAsia" w:ascii="仿宋" w:hAnsi="仿宋" w:eastAsia="仿宋" w:cs="仿宋"/>
          <w:b/>
          <w:snapToGrid w:val="0"/>
          <w:sz w:val="28"/>
          <w:szCs w:val="28"/>
        </w:rPr>
        <w:t>管理制度健全性：</w:t>
      </w:r>
      <w:r>
        <w:rPr>
          <w:rFonts w:hint="eastAsia" w:ascii="Times New Roman" w:hAnsi="Times New Roman" w:eastAsia="仿宋" w:cs="Times New Roman"/>
          <w:bCs w:val="0"/>
          <w:kern w:val="2"/>
          <w:sz w:val="28"/>
          <w:szCs w:val="28"/>
          <w:lang w:val="en-US" w:eastAsia="zh-CN" w:bidi="ar-SA"/>
        </w:rPr>
        <w:t>满分2.00分，得分2.00分。评价组通过查阅资料和现场调研了解到，古县医疗集团在具体执行项目过程中，具有相应的业务、财务管理制度，相关业务、财务管理制度合法、合规、完整。根据评分标准，该项得满分</w:t>
      </w:r>
      <w:r>
        <w:rPr>
          <w:rFonts w:hint="eastAsia" w:ascii="仿宋" w:hAnsi="仿宋" w:eastAsia="仿宋" w:cs="仿宋"/>
          <w:snapToGrid w:val="0"/>
          <w:sz w:val="28"/>
          <w:szCs w:val="28"/>
        </w:rPr>
        <w:t>。</w:t>
      </w:r>
    </w:p>
    <w:p>
      <w:pPr>
        <w:widowControl/>
        <w:spacing w:line="574" w:lineRule="exact"/>
        <w:ind w:firstLine="562" w:firstLineChars="200"/>
        <w:rPr>
          <w:rFonts w:hint="default" w:ascii="仿宋" w:hAnsi="仿宋" w:eastAsia="仿宋" w:cs="仿宋"/>
          <w:snapToGrid w:val="0"/>
          <w:sz w:val="28"/>
          <w:szCs w:val="28"/>
          <w:lang w:val="en-US" w:eastAsia="zh-CN"/>
        </w:rPr>
      </w:pPr>
      <w:r>
        <w:rPr>
          <w:rFonts w:hint="eastAsia" w:ascii="仿宋" w:hAnsi="仿宋" w:eastAsia="仿宋" w:cs="仿宋"/>
          <w:b/>
          <w:snapToGrid w:val="0"/>
          <w:sz w:val="28"/>
          <w:szCs w:val="28"/>
        </w:rPr>
        <w:t>B</w:t>
      </w:r>
      <w:r>
        <w:rPr>
          <w:rFonts w:hint="eastAsia" w:ascii="仿宋" w:hAnsi="仿宋" w:eastAsia="仿宋" w:cs="仿宋"/>
          <w:b/>
          <w:snapToGrid w:val="0"/>
          <w:sz w:val="28"/>
          <w:szCs w:val="28"/>
          <w:lang w:val="en-US" w:eastAsia="zh-CN"/>
        </w:rPr>
        <w:t>22</w:t>
      </w:r>
      <w:r>
        <w:rPr>
          <w:rFonts w:hint="eastAsia" w:ascii="仿宋" w:hAnsi="仿宋" w:eastAsia="仿宋" w:cs="仿宋"/>
          <w:b/>
          <w:snapToGrid w:val="0"/>
          <w:sz w:val="28"/>
          <w:szCs w:val="28"/>
        </w:rPr>
        <w:t>制度执行有效性：</w:t>
      </w:r>
      <w:r>
        <w:rPr>
          <w:rFonts w:hint="eastAsia" w:ascii="Times New Roman" w:hAnsi="Times New Roman" w:eastAsia="仿宋" w:cs="Times New Roman"/>
          <w:bCs w:val="0"/>
          <w:kern w:val="2"/>
          <w:sz w:val="28"/>
          <w:szCs w:val="28"/>
          <w:lang w:val="en-US" w:eastAsia="zh-CN" w:bidi="ar-SA"/>
        </w:rPr>
        <w:t>满分6.00分，得分2.00分。该指标分析评价项目实施是否符合相关项目管理规定，是否为达到项目质量要求而采取了必需的措施，用以反映和考核项目管理有效性。根据古县医疗集团提供的资料，评价组发现，项目实施管理不到位：（1）项目进度管理不到位，2020年11月12日，古县医疗集团与恒上建设有限公司签订《古县人民医院救治能力提升项目（第一包）建设工程施工合同》，工期365天；2021年11月10日，古县医疗集团与恒上建设有限公司签订《延期协议书》：计划2022年4月30日完成该项目工程；2022年8月25日，古县医疗集团出具《项目情况汇报》：工程正在进行室内装修，尚未整体完工；项目延期之后仍未按期完工，未见古县医疗集团督促项目施工单位加快工程进度资料；（2）一包项目合同、补充协议签订不规范、合同审核不严格：古县医疗集团与恒上建设有限公司签订的《古县人民医院救治能力提升项目（第一包）建设工程施工合同》未明确计划开竣工时间（空项未填）；古县医疗集团与恒上建设有限公司签订的《延期协议书》中古县人民医院救治能力提升项目写成“古县人民医院救治能力提升项目”。根据评分标准，该项得2.00分</w:t>
      </w:r>
      <w:r>
        <w:rPr>
          <w:rFonts w:hint="eastAsia" w:ascii="仿宋" w:hAnsi="仿宋" w:eastAsia="仿宋" w:cs="仿宋"/>
          <w:snapToGrid w:val="0"/>
          <w:sz w:val="28"/>
          <w:szCs w:val="28"/>
        </w:rPr>
        <w:t>。</w:t>
      </w:r>
    </w:p>
    <w:p>
      <w:pPr>
        <w:widowControl/>
        <w:spacing w:line="574" w:lineRule="exact"/>
        <w:ind w:firstLine="562" w:firstLineChars="200"/>
        <w:outlineLvl w:val="2"/>
        <w:rPr>
          <w:rFonts w:hint="eastAsia" w:ascii="仿宋" w:hAnsi="仿宋" w:eastAsia="仿宋" w:cs="仿宋"/>
          <w:b/>
          <w:snapToGrid w:val="0"/>
          <w:sz w:val="28"/>
          <w:szCs w:val="28"/>
        </w:rPr>
      </w:pPr>
      <w:bookmarkStart w:id="112" w:name="_Toc23505"/>
      <w:bookmarkStart w:id="113" w:name="_Toc18832"/>
      <w:bookmarkStart w:id="114" w:name="_Toc7873"/>
      <w:bookmarkStart w:id="115" w:name="_Toc30077"/>
      <w:bookmarkStart w:id="116" w:name="_Toc528684143"/>
      <w:bookmarkStart w:id="117" w:name="_Toc528680468"/>
      <w:bookmarkStart w:id="118" w:name="_Toc16432"/>
      <w:bookmarkStart w:id="119" w:name="_Toc27638"/>
      <w:bookmarkStart w:id="120" w:name="_Toc30848"/>
      <w:bookmarkStart w:id="121" w:name="_Toc29696"/>
      <w:bookmarkStart w:id="122" w:name="_Toc11431"/>
      <w:r>
        <w:rPr>
          <w:rFonts w:hint="eastAsia" w:ascii="仿宋" w:hAnsi="仿宋" w:eastAsia="仿宋" w:cs="仿宋"/>
          <w:b/>
          <w:snapToGrid w:val="0"/>
          <w:sz w:val="28"/>
          <w:szCs w:val="28"/>
        </w:rPr>
        <w:t>3</w:t>
      </w:r>
      <w:r>
        <w:rPr>
          <w:rFonts w:hint="eastAsia" w:ascii="仿宋" w:hAnsi="仿宋" w:eastAsia="仿宋" w:cs="仿宋"/>
          <w:b/>
          <w:snapToGrid w:val="0"/>
          <w:sz w:val="28"/>
          <w:szCs w:val="28"/>
          <w:lang w:eastAsia="zh-CN"/>
        </w:rPr>
        <w:t>、</w:t>
      </w:r>
      <w:r>
        <w:rPr>
          <w:rFonts w:hint="eastAsia" w:ascii="仿宋" w:hAnsi="仿宋" w:eastAsia="仿宋" w:cs="仿宋"/>
          <w:b/>
          <w:snapToGrid w:val="0"/>
          <w:sz w:val="28"/>
          <w:szCs w:val="28"/>
        </w:rPr>
        <w:t>产出分析</w:t>
      </w:r>
      <w:bookmarkEnd w:id="112"/>
      <w:bookmarkEnd w:id="113"/>
      <w:bookmarkEnd w:id="114"/>
      <w:bookmarkEnd w:id="115"/>
      <w:bookmarkEnd w:id="116"/>
      <w:bookmarkEnd w:id="117"/>
      <w:bookmarkEnd w:id="118"/>
      <w:bookmarkEnd w:id="119"/>
      <w:bookmarkEnd w:id="120"/>
      <w:bookmarkEnd w:id="121"/>
      <w:bookmarkEnd w:id="122"/>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 w:cs="Times New Roman"/>
          <w:bCs w:val="0"/>
          <w:kern w:val="2"/>
          <w:sz w:val="28"/>
          <w:szCs w:val="28"/>
          <w:lang w:val="en-US" w:eastAsia="zh-CN" w:bidi="ar-SA"/>
        </w:rPr>
        <w:t>产出类指标主要从项目完成情况、工程质量达标情况、项目完工及时性、项目验收及时性、成本节约率5个指标考察该项目产出数量、产出质量、产出时效、产出成本。产出类指标权重30.00分，实际得分6.80分。指标得分情况如表4-3所示</w:t>
      </w:r>
      <w:r>
        <w:rPr>
          <w:rFonts w:hint="eastAsia" w:ascii="仿宋" w:hAnsi="仿宋" w:eastAsia="仿宋" w:cs="仿宋"/>
          <w:snapToGrid w:val="0"/>
          <w:sz w:val="28"/>
          <w:szCs w:val="28"/>
        </w:rPr>
        <w:t>：</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表4-3 产出类指标得分情况</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02"/>
        <w:gridCol w:w="3953"/>
        <w:gridCol w:w="919"/>
        <w:gridCol w:w="863"/>
        <w:gridCol w:w="11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3953"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919"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863"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185"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vAlign w:val="center"/>
          </w:tcPr>
          <w:p>
            <w:pPr>
              <w:spacing w:line="400" w:lineRule="exact"/>
              <w:jc w:val="center"/>
              <w:rPr>
                <w:rFonts w:hint="default" w:ascii="仿宋" w:hAnsi="仿宋" w:eastAsia="仿宋" w:cs="仿宋"/>
                <w:b w:val="0"/>
                <w:bCs w:val="0"/>
                <w:color w:val="000000"/>
                <w:kern w:val="0"/>
                <w:sz w:val="24"/>
                <w:szCs w:val="24"/>
                <w:lang w:val="en-US" w:eastAsia="zh-CN"/>
              </w:rPr>
            </w:pPr>
            <w:r>
              <w:rPr>
                <w:rFonts w:hint="eastAsia" w:ascii="Times New Roman" w:hAnsi="Times New Roman" w:eastAsia="仿宋" w:cs="Times New Roman"/>
                <w:sz w:val="24"/>
                <w:szCs w:val="24"/>
                <w:lang w:val="en-US" w:eastAsia="zh-CN"/>
              </w:rPr>
              <w:t>C1产出数量</w:t>
            </w:r>
          </w:p>
        </w:tc>
        <w:tc>
          <w:tcPr>
            <w:tcW w:w="3953"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C11项目完成情况</w:t>
            </w:r>
          </w:p>
        </w:tc>
        <w:tc>
          <w:tcPr>
            <w:tcW w:w="91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w:t>
            </w:r>
          </w:p>
        </w:tc>
        <w:tc>
          <w:tcPr>
            <w:tcW w:w="86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0.80</w:t>
            </w:r>
          </w:p>
        </w:tc>
        <w:tc>
          <w:tcPr>
            <w:tcW w:w="1185"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vAlign w:val="center"/>
          </w:tcPr>
          <w:p>
            <w:pPr>
              <w:spacing w:line="400" w:lineRule="exact"/>
              <w:jc w:val="center"/>
              <w:rPr>
                <w:rFonts w:hint="eastAsia" w:ascii="仿宋" w:hAnsi="仿宋" w:eastAsia="仿宋" w:cs="仿宋"/>
                <w:b w:val="0"/>
                <w:bCs w:val="0"/>
                <w:color w:val="000000"/>
                <w:kern w:val="0"/>
                <w:sz w:val="24"/>
                <w:szCs w:val="24"/>
              </w:rPr>
            </w:pPr>
            <w:r>
              <w:rPr>
                <w:rFonts w:hint="eastAsia" w:ascii="Times New Roman" w:hAnsi="Times New Roman" w:eastAsia="仿宋" w:cs="Times New Roman"/>
                <w:sz w:val="24"/>
                <w:szCs w:val="24"/>
                <w:lang w:val="en-US" w:eastAsia="zh-CN"/>
              </w:rPr>
              <w:t>C2产出质量</w:t>
            </w:r>
          </w:p>
        </w:tc>
        <w:tc>
          <w:tcPr>
            <w:tcW w:w="3953"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C21工程质量达标情况</w:t>
            </w:r>
          </w:p>
        </w:tc>
        <w:tc>
          <w:tcPr>
            <w:tcW w:w="919"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w:t>
            </w:r>
          </w:p>
        </w:tc>
        <w:tc>
          <w:tcPr>
            <w:tcW w:w="86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c>
          <w:tcPr>
            <w:tcW w:w="1185"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602" w:type="dxa"/>
            <w:vMerge w:val="restart"/>
            <w:vAlign w:val="center"/>
          </w:tcPr>
          <w:p>
            <w:pPr>
              <w:spacing w:line="400" w:lineRule="exact"/>
              <w:jc w:val="center"/>
              <w:rPr>
                <w:rFonts w:hint="eastAsia" w:ascii="仿宋" w:hAnsi="仿宋" w:eastAsia="仿宋" w:cs="仿宋"/>
                <w:b w:val="0"/>
                <w:bCs w:val="0"/>
                <w:color w:val="000000"/>
                <w:kern w:val="0"/>
                <w:sz w:val="24"/>
                <w:szCs w:val="24"/>
              </w:rPr>
            </w:pPr>
            <w:r>
              <w:rPr>
                <w:rFonts w:hint="eastAsia" w:ascii="Times New Roman" w:hAnsi="Times New Roman" w:eastAsia="仿宋" w:cs="Times New Roman"/>
                <w:sz w:val="24"/>
                <w:szCs w:val="24"/>
                <w:lang w:val="en-US" w:eastAsia="zh-CN"/>
              </w:rPr>
              <w:t>C3产出时效</w:t>
            </w:r>
          </w:p>
        </w:tc>
        <w:tc>
          <w:tcPr>
            <w:tcW w:w="3953"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C31项目完工及时性</w:t>
            </w:r>
          </w:p>
        </w:tc>
        <w:tc>
          <w:tcPr>
            <w:tcW w:w="919"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86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c>
          <w:tcPr>
            <w:tcW w:w="1185"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vMerge w:val="continue"/>
            <w:vAlign w:val="center"/>
          </w:tcPr>
          <w:p>
            <w:pPr>
              <w:spacing w:line="400" w:lineRule="exact"/>
              <w:jc w:val="center"/>
              <w:rPr>
                <w:rFonts w:hint="eastAsia" w:ascii="Times New Roman" w:hAnsi="Times New Roman" w:eastAsia="仿宋" w:cs="Times New Roman"/>
                <w:sz w:val="24"/>
                <w:szCs w:val="24"/>
                <w:lang w:val="en-US" w:eastAsia="zh-CN"/>
              </w:rPr>
            </w:pPr>
          </w:p>
        </w:tc>
        <w:tc>
          <w:tcPr>
            <w:tcW w:w="3953"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C32项目验收及时性</w:t>
            </w:r>
          </w:p>
        </w:tc>
        <w:tc>
          <w:tcPr>
            <w:tcW w:w="91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86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c>
          <w:tcPr>
            <w:tcW w:w="1185"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1602" w:type="dxa"/>
            <w:vAlign w:val="center"/>
          </w:tcPr>
          <w:p>
            <w:pPr>
              <w:spacing w:line="400" w:lineRule="exact"/>
              <w:jc w:val="center"/>
              <w:rPr>
                <w:rFonts w:hint="eastAsia" w:ascii="仿宋" w:hAnsi="仿宋" w:eastAsia="仿宋" w:cs="仿宋"/>
                <w:b w:val="0"/>
                <w:bCs w:val="0"/>
                <w:color w:val="000000"/>
                <w:kern w:val="0"/>
                <w:sz w:val="24"/>
                <w:szCs w:val="24"/>
              </w:rPr>
            </w:pPr>
            <w:r>
              <w:rPr>
                <w:rFonts w:hint="eastAsia" w:ascii="Times New Roman" w:hAnsi="Times New Roman" w:eastAsia="仿宋" w:cs="Times New Roman"/>
                <w:sz w:val="24"/>
                <w:szCs w:val="24"/>
                <w:lang w:val="en-US" w:eastAsia="zh-CN"/>
              </w:rPr>
              <w:t>C4产出成本</w:t>
            </w:r>
          </w:p>
        </w:tc>
        <w:tc>
          <w:tcPr>
            <w:tcW w:w="3953"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C41成本节约率</w:t>
            </w:r>
          </w:p>
        </w:tc>
        <w:tc>
          <w:tcPr>
            <w:tcW w:w="919"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6.00</w:t>
            </w:r>
          </w:p>
        </w:tc>
        <w:tc>
          <w:tcPr>
            <w:tcW w:w="86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6.00</w:t>
            </w:r>
          </w:p>
        </w:tc>
        <w:tc>
          <w:tcPr>
            <w:tcW w:w="1185"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55" w:type="dxa"/>
            <w:gridSpan w:val="2"/>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合 计</w:t>
            </w:r>
          </w:p>
        </w:tc>
        <w:tc>
          <w:tcPr>
            <w:tcW w:w="919"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30</w:t>
            </w:r>
            <w:r>
              <w:rPr>
                <w:rFonts w:hint="eastAsia" w:ascii="仿宋" w:hAnsi="仿宋" w:eastAsia="仿宋" w:cs="仿宋"/>
                <w:b w:val="0"/>
                <w:bCs w:val="0"/>
                <w:color w:val="000000"/>
                <w:kern w:val="0"/>
                <w:sz w:val="24"/>
                <w:szCs w:val="24"/>
                <w:lang w:val="en-US" w:eastAsia="zh-CN"/>
              </w:rPr>
              <w:t>.00</w:t>
            </w:r>
          </w:p>
        </w:tc>
        <w:tc>
          <w:tcPr>
            <w:tcW w:w="86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6.80</w:t>
            </w:r>
          </w:p>
        </w:tc>
        <w:tc>
          <w:tcPr>
            <w:tcW w:w="1185"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22.67%</w:t>
            </w:r>
          </w:p>
        </w:tc>
      </w:tr>
    </w:tbl>
    <w:p>
      <w:pPr>
        <w:widowControl/>
        <w:spacing w:line="574" w:lineRule="exact"/>
        <w:ind w:firstLine="560" w:firstLineChars="200"/>
        <w:outlineLvl w:val="3"/>
        <w:rPr>
          <w:rFonts w:hint="eastAsia" w:ascii="仿宋" w:hAnsi="仿宋" w:eastAsia="仿宋" w:cs="仿宋"/>
          <w:snapToGrid w:val="0"/>
          <w:sz w:val="28"/>
          <w:szCs w:val="28"/>
          <w:lang w:eastAsia="zh-CN"/>
        </w:rPr>
      </w:pPr>
      <w:r>
        <w:rPr>
          <w:rFonts w:hint="eastAsia" w:ascii="仿宋" w:hAnsi="仿宋" w:eastAsia="仿宋" w:cs="仿宋"/>
          <w:snapToGrid w:val="0"/>
          <w:sz w:val="28"/>
          <w:szCs w:val="28"/>
        </w:rPr>
        <w:t>（1）</w:t>
      </w:r>
      <w:r>
        <w:rPr>
          <w:rFonts w:hint="eastAsia" w:ascii="仿宋" w:hAnsi="仿宋" w:eastAsia="仿宋" w:cs="仿宋"/>
          <w:snapToGrid w:val="0"/>
          <w:sz w:val="28"/>
          <w:szCs w:val="28"/>
          <w:lang w:val="en-US" w:eastAsia="zh-CN"/>
        </w:rPr>
        <w:t>产出数量</w:t>
      </w:r>
    </w:p>
    <w:p>
      <w:pPr>
        <w:widowControl/>
        <w:spacing w:line="574" w:lineRule="exact"/>
        <w:ind w:firstLine="562" w:firstLineChars="200"/>
        <w:rPr>
          <w:rFonts w:hint="eastAsia" w:ascii="仿宋" w:hAnsi="仿宋" w:eastAsia="仿宋" w:cs="仿宋"/>
          <w:b/>
          <w:snapToGrid w:val="0"/>
          <w:sz w:val="28"/>
          <w:szCs w:val="28"/>
          <w:lang w:eastAsia="zh-CN"/>
        </w:rPr>
      </w:pPr>
      <w:r>
        <w:rPr>
          <w:rFonts w:hint="eastAsia" w:ascii="仿宋" w:hAnsi="仿宋" w:eastAsia="仿宋" w:cs="仿宋"/>
          <w:b/>
          <w:snapToGrid w:val="0"/>
          <w:sz w:val="28"/>
          <w:szCs w:val="28"/>
          <w:lang w:val="en-US" w:eastAsia="zh-CN"/>
        </w:rPr>
        <w:t>C11项目完成情况</w:t>
      </w:r>
      <w:r>
        <w:rPr>
          <w:rFonts w:hint="eastAsia" w:ascii="仿宋" w:hAnsi="仿宋" w:eastAsia="仿宋" w:cs="仿宋"/>
          <w:b/>
          <w:snapToGrid w:val="0"/>
          <w:sz w:val="28"/>
          <w:szCs w:val="28"/>
          <w:lang w:eastAsia="zh-CN"/>
        </w:rPr>
        <w:t>：</w:t>
      </w:r>
      <w:r>
        <w:rPr>
          <w:rFonts w:hint="eastAsia" w:ascii="Times New Roman" w:hAnsi="Times New Roman" w:eastAsia="仿宋" w:cs="Times New Roman"/>
          <w:bCs w:val="0"/>
          <w:kern w:val="2"/>
          <w:sz w:val="28"/>
          <w:szCs w:val="28"/>
          <w:lang w:val="en-US" w:eastAsia="zh-CN" w:bidi="ar-SA"/>
        </w:rPr>
        <w:t>满分8.00分，得分8.00分。评价组现场调研了解到，截止2022年8月15日，救治能力提升项目一包（工程建设）未完工，救治能力提升项目二包（空调安装）完工。根据评分标准，该项得满分</w:t>
      </w:r>
      <w:r>
        <w:rPr>
          <w:rFonts w:hint="eastAsia" w:ascii="仿宋" w:hAnsi="仿宋" w:eastAsia="仿宋" w:cs="仿宋"/>
          <w:b w:val="0"/>
          <w:bCs/>
          <w:snapToGrid w:val="0"/>
          <w:sz w:val="28"/>
          <w:szCs w:val="28"/>
          <w:lang w:val="en-US" w:eastAsia="zh-CN"/>
        </w:rPr>
        <w:t>。</w:t>
      </w:r>
    </w:p>
    <w:p>
      <w:pPr>
        <w:spacing w:line="574" w:lineRule="exact"/>
        <w:ind w:firstLine="560" w:firstLineChars="200"/>
        <w:rPr>
          <w:rFonts w:hint="eastAsia" w:ascii="仿宋" w:hAnsi="仿宋" w:eastAsia="仿宋" w:cs="仿宋"/>
          <w:b/>
          <w:snapToGrid w:val="0"/>
          <w:sz w:val="28"/>
          <w:szCs w:val="28"/>
          <w:lang w:val="en-US" w:eastAsia="zh-CN"/>
        </w:rPr>
      </w:pPr>
      <w:r>
        <w:rPr>
          <w:rFonts w:hint="eastAsia" w:ascii="仿宋" w:hAnsi="仿宋" w:eastAsia="仿宋" w:cs="仿宋"/>
          <w:b w:val="0"/>
          <w:bCs/>
          <w:snapToGrid w:val="0"/>
          <w:sz w:val="28"/>
          <w:szCs w:val="28"/>
          <w:lang w:eastAsia="zh-CN"/>
        </w:rPr>
        <w:t>（</w:t>
      </w:r>
      <w:r>
        <w:rPr>
          <w:rFonts w:hint="eastAsia" w:ascii="仿宋" w:hAnsi="仿宋" w:eastAsia="仿宋" w:cs="仿宋"/>
          <w:b w:val="0"/>
          <w:bCs/>
          <w:snapToGrid w:val="0"/>
          <w:sz w:val="28"/>
          <w:szCs w:val="28"/>
          <w:lang w:val="en-US" w:eastAsia="zh-CN"/>
        </w:rPr>
        <w:t>2</w:t>
      </w:r>
      <w:r>
        <w:rPr>
          <w:rFonts w:hint="eastAsia" w:ascii="仿宋" w:hAnsi="仿宋" w:eastAsia="仿宋" w:cs="仿宋"/>
          <w:b w:val="0"/>
          <w:bCs/>
          <w:snapToGrid w:val="0"/>
          <w:sz w:val="28"/>
          <w:szCs w:val="28"/>
          <w:lang w:eastAsia="zh-CN"/>
        </w:rPr>
        <w:t>）</w:t>
      </w:r>
      <w:r>
        <w:rPr>
          <w:rFonts w:hint="eastAsia" w:ascii="仿宋" w:hAnsi="仿宋" w:eastAsia="仿宋" w:cs="仿宋"/>
          <w:b w:val="0"/>
          <w:bCs/>
          <w:snapToGrid w:val="0"/>
          <w:sz w:val="28"/>
          <w:szCs w:val="28"/>
          <w:lang w:val="en-US" w:eastAsia="zh-CN"/>
        </w:rPr>
        <w:t>产出质量</w:t>
      </w:r>
    </w:p>
    <w:p>
      <w:pPr>
        <w:spacing w:line="574" w:lineRule="exact"/>
        <w:ind w:firstLine="562" w:firstLineChars="200"/>
        <w:rPr>
          <w:rFonts w:hint="eastAsia" w:ascii="仿宋" w:hAnsi="仿宋" w:eastAsia="仿宋" w:cs="仿宋"/>
          <w:b w:val="0"/>
          <w:bCs/>
          <w:snapToGrid w:val="0"/>
          <w:sz w:val="28"/>
          <w:szCs w:val="28"/>
          <w:lang w:val="en-US" w:eastAsia="zh-CN"/>
        </w:rPr>
      </w:pPr>
      <w:r>
        <w:rPr>
          <w:rFonts w:hint="eastAsia" w:ascii="仿宋" w:hAnsi="仿宋" w:eastAsia="仿宋" w:cs="仿宋"/>
          <w:b/>
          <w:bCs/>
          <w:snapToGrid w:val="0"/>
          <w:sz w:val="28"/>
          <w:szCs w:val="28"/>
          <w:lang w:eastAsia="zh-CN"/>
        </w:rPr>
        <w:t>C21</w:t>
      </w:r>
      <w:r>
        <w:rPr>
          <w:rFonts w:hint="eastAsia" w:ascii="仿宋" w:hAnsi="仿宋" w:eastAsia="仿宋" w:cs="仿宋"/>
          <w:b/>
          <w:bCs/>
          <w:snapToGrid w:val="0"/>
          <w:sz w:val="28"/>
          <w:szCs w:val="28"/>
          <w:lang w:val="en-US" w:eastAsia="zh-CN"/>
        </w:rPr>
        <w:t>工程质量达标情况</w:t>
      </w:r>
      <w:r>
        <w:rPr>
          <w:rFonts w:hint="eastAsia" w:ascii="仿宋" w:hAnsi="仿宋" w:eastAsia="仿宋" w:cs="仿宋"/>
          <w:b/>
          <w:bCs/>
          <w:snapToGrid w:val="0"/>
          <w:sz w:val="28"/>
          <w:szCs w:val="28"/>
          <w:lang w:eastAsia="zh-CN"/>
        </w:rPr>
        <w:t>：</w:t>
      </w:r>
      <w:r>
        <w:rPr>
          <w:rFonts w:hint="eastAsia" w:ascii="Times New Roman" w:hAnsi="Times New Roman" w:eastAsia="仿宋" w:cs="Times New Roman"/>
          <w:bCs w:val="0"/>
          <w:kern w:val="2"/>
          <w:sz w:val="28"/>
          <w:szCs w:val="28"/>
          <w:lang w:val="en-US" w:eastAsia="zh-CN" w:bidi="ar-SA"/>
        </w:rPr>
        <w:t>满分8.00分，得分0.00分。截止2022年8月15日，救治能力提升项目一包（工程建设）未完工，救治能力提升项目二包（空调安装）完工但尚未验收、未出具《竣工验收报告》，工程质量达标情况支撑依据不足。根据评分标准，该项得0.00分</w:t>
      </w:r>
      <w:r>
        <w:rPr>
          <w:rFonts w:hint="eastAsia" w:ascii="仿宋" w:hAnsi="仿宋" w:eastAsia="仿宋" w:cs="仿宋"/>
          <w:b w:val="0"/>
          <w:bCs/>
          <w:snapToGrid w:val="0"/>
          <w:sz w:val="28"/>
          <w:szCs w:val="28"/>
          <w:lang w:val="en-US" w:eastAsia="zh-CN"/>
        </w:rPr>
        <w:t>。</w:t>
      </w:r>
    </w:p>
    <w:p>
      <w:pPr>
        <w:spacing w:line="574" w:lineRule="exact"/>
        <w:ind w:firstLine="560" w:firstLineChars="200"/>
        <w:rPr>
          <w:rFonts w:hint="default" w:ascii="仿宋" w:hAnsi="仿宋" w:eastAsia="仿宋" w:cs="仿宋"/>
          <w:b w:val="0"/>
          <w:bCs/>
          <w:snapToGrid w:val="0"/>
          <w:sz w:val="28"/>
          <w:szCs w:val="28"/>
          <w:lang w:val="en-US" w:eastAsia="zh-CN"/>
        </w:rPr>
      </w:pPr>
      <w:r>
        <w:rPr>
          <w:rFonts w:hint="eastAsia" w:ascii="仿宋" w:hAnsi="仿宋" w:eastAsia="仿宋" w:cs="仿宋"/>
          <w:b w:val="0"/>
          <w:bCs/>
          <w:snapToGrid w:val="0"/>
          <w:sz w:val="28"/>
          <w:szCs w:val="28"/>
          <w:lang w:eastAsia="zh-CN"/>
        </w:rPr>
        <w:t>（</w:t>
      </w:r>
      <w:r>
        <w:rPr>
          <w:rFonts w:hint="eastAsia" w:ascii="仿宋" w:hAnsi="仿宋" w:eastAsia="仿宋" w:cs="仿宋"/>
          <w:b w:val="0"/>
          <w:bCs/>
          <w:snapToGrid w:val="0"/>
          <w:sz w:val="28"/>
          <w:szCs w:val="28"/>
          <w:lang w:val="en-US" w:eastAsia="zh-CN"/>
        </w:rPr>
        <w:t>3</w:t>
      </w:r>
      <w:r>
        <w:rPr>
          <w:rFonts w:hint="eastAsia" w:ascii="仿宋" w:hAnsi="仿宋" w:eastAsia="仿宋" w:cs="仿宋"/>
          <w:b w:val="0"/>
          <w:bCs/>
          <w:snapToGrid w:val="0"/>
          <w:sz w:val="28"/>
          <w:szCs w:val="28"/>
          <w:lang w:eastAsia="zh-CN"/>
        </w:rPr>
        <w:t>）</w:t>
      </w:r>
      <w:r>
        <w:rPr>
          <w:rFonts w:hint="eastAsia" w:ascii="仿宋" w:hAnsi="仿宋" w:eastAsia="仿宋" w:cs="仿宋"/>
          <w:b w:val="0"/>
          <w:bCs/>
          <w:snapToGrid w:val="0"/>
          <w:sz w:val="28"/>
          <w:szCs w:val="28"/>
          <w:lang w:val="en-US" w:eastAsia="zh-CN"/>
        </w:rPr>
        <w:t>产出时效</w:t>
      </w:r>
    </w:p>
    <w:p>
      <w:pPr>
        <w:widowControl/>
        <w:spacing w:line="574" w:lineRule="exact"/>
        <w:ind w:firstLine="562"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
          <w:bCs/>
          <w:kern w:val="2"/>
          <w:sz w:val="28"/>
          <w:szCs w:val="28"/>
          <w:lang w:val="en-US" w:eastAsia="zh-CN" w:bidi="ar-SA"/>
        </w:rPr>
        <w:t>C31项目完工及时性：</w:t>
      </w:r>
      <w:r>
        <w:rPr>
          <w:rFonts w:hint="eastAsia" w:ascii="Times New Roman" w:hAnsi="Times New Roman" w:eastAsia="仿宋" w:cs="Times New Roman"/>
          <w:bCs w:val="0"/>
          <w:kern w:val="2"/>
          <w:sz w:val="28"/>
          <w:szCs w:val="28"/>
          <w:lang w:val="en-US" w:eastAsia="zh-CN" w:bidi="ar-SA"/>
        </w:rPr>
        <w:t>满分4.00分，得分0.00分。评价组现场调研了解到，救治能力提升项目一包（工程建设）完工不及时；救治能力提升项目二包（空调安装）工期2020年11月15日至2021年11月14日，二包延期完工。根据评分标准，该项得0.00分。</w:t>
      </w:r>
    </w:p>
    <w:p>
      <w:pPr>
        <w:spacing w:line="574" w:lineRule="exact"/>
        <w:ind w:firstLine="562" w:firstLineChars="200"/>
        <w:rPr>
          <w:rFonts w:hint="eastAsia" w:ascii="Times New Roman" w:hAnsi="Times New Roman" w:eastAsia="仿宋" w:cs="Times New Roman"/>
          <w:bCs w:val="0"/>
          <w:kern w:val="2"/>
          <w:sz w:val="28"/>
          <w:szCs w:val="28"/>
          <w:lang w:val="en-US" w:eastAsia="zh-CN" w:bidi="ar-SA"/>
        </w:rPr>
      </w:pPr>
      <w:r>
        <w:rPr>
          <w:rFonts w:hint="eastAsia" w:ascii="仿宋" w:hAnsi="仿宋" w:eastAsia="仿宋" w:cs="仿宋"/>
          <w:b/>
          <w:bCs/>
          <w:snapToGrid w:val="0"/>
          <w:sz w:val="28"/>
          <w:szCs w:val="28"/>
          <w:lang w:eastAsia="zh-CN"/>
        </w:rPr>
        <w:t>C3</w:t>
      </w:r>
      <w:r>
        <w:rPr>
          <w:rFonts w:hint="eastAsia" w:ascii="仿宋" w:hAnsi="仿宋" w:eastAsia="仿宋" w:cs="仿宋"/>
          <w:b/>
          <w:bCs/>
          <w:snapToGrid w:val="0"/>
          <w:sz w:val="28"/>
          <w:szCs w:val="28"/>
          <w:lang w:val="en-US" w:eastAsia="zh-CN"/>
        </w:rPr>
        <w:t>2</w:t>
      </w:r>
      <w:r>
        <w:rPr>
          <w:rFonts w:hint="eastAsia" w:ascii="仿宋" w:hAnsi="仿宋" w:eastAsia="仿宋" w:cs="仿宋"/>
          <w:b/>
          <w:bCs/>
          <w:snapToGrid w:val="0"/>
          <w:sz w:val="28"/>
          <w:szCs w:val="28"/>
          <w:lang w:eastAsia="zh-CN"/>
        </w:rPr>
        <w:t>项目</w:t>
      </w:r>
      <w:r>
        <w:rPr>
          <w:rFonts w:hint="eastAsia" w:ascii="仿宋" w:hAnsi="仿宋" w:eastAsia="仿宋" w:cs="仿宋"/>
          <w:b/>
          <w:bCs/>
          <w:snapToGrid w:val="0"/>
          <w:sz w:val="28"/>
          <w:szCs w:val="28"/>
          <w:lang w:val="en-US" w:eastAsia="zh-CN"/>
        </w:rPr>
        <w:t>验收</w:t>
      </w:r>
      <w:r>
        <w:rPr>
          <w:rFonts w:hint="eastAsia" w:ascii="仿宋" w:hAnsi="仿宋" w:eastAsia="仿宋" w:cs="仿宋"/>
          <w:b/>
          <w:bCs/>
          <w:snapToGrid w:val="0"/>
          <w:sz w:val="28"/>
          <w:szCs w:val="28"/>
          <w:lang w:eastAsia="zh-CN"/>
        </w:rPr>
        <w:t>及时性：</w:t>
      </w:r>
      <w:r>
        <w:rPr>
          <w:rFonts w:hint="eastAsia" w:ascii="Times New Roman" w:hAnsi="Times New Roman" w:eastAsia="仿宋" w:cs="Times New Roman"/>
          <w:bCs w:val="0"/>
          <w:kern w:val="2"/>
          <w:sz w:val="28"/>
          <w:szCs w:val="28"/>
          <w:lang w:val="en-US" w:eastAsia="zh-CN" w:bidi="ar-SA"/>
        </w:rPr>
        <w:t>满分4.00分，得分0.00分。救治能力提升项目完工后，截止2022年8月15日，项目仍未出具《竣工验收报告》，项目验收不及时。根据评分标准，该项得0.00分。</w:t>
      </w:r>
    </w:p>
    <w:p>
      <w:pPr>
        <w:pStyle w:val="2"/>
        <w:numPr>
          <w:ilvl w:val="0"/>
          <w:numId w:val="0"/>
        </w:numPr>
        <w:ind w:firstLine="560" w:firstLineChars="200"/>
        <w:rPr>
          <w:rFonts w:hint="eastAsia" w:ascii="仿宋" w:hAnsi="仿宋" w:eastAsia="仿宋" w:cs="仿宋"/>
          <w:b w:val="0"/>
          <w:bCs/>
          <w:snapToGrid w:val="0"/>
          <w:sz w:val="28"/>
          <w:szCs w:val="28"/>
          <w:lang w:val="en-US" w:eastAsia="zh-CN"/>
        </w:rPr>
      </w:pPr>
      <w:r>
        <w:rPr>
          <w:rFonts w:hint="eastAsia" w:ascii="仿宋" w:hAnsi="仿宋" w:eastAsia="仿宋" w:cs="仿宋"/>
          <w:b w:val="0"/>
          <w:bCs/>
          <w:snapToGrid w:val="0"/>
          <w:sz w:val="28"/>
          <w:szCs w:val="28"/>
          <w:lang w:val="en-US" w:eastAsia="zh-CN"/>
        </w:rPr>
        <w:t>（4）产出成本</w:t>
      </w:r>
    </w:p>
    <w:p>
      <w:pPr>
        <w:pStyle w:val="2"/>
        <w:numPr>
          <w:ilvl w:val="0"/>
          <w:numId w:val="0"/>
        </w:numPr>
        <w:ind w:firstLine="562" w:firstLineChars="200"/>
        <w:rPr>
          <w:rFonts w:hint="default" w:ascii="Times New Roman" w:hAnsi="Times New Roman" w:eastAsia="仿宋" w:cs="Times New Roman"/>
          <w:bCs w:val="0"/>
          <w:kern w:val="2"/>
          <w:sz w:val="28"/>
          <w:szCs w:val="28"/>
          <w:lang w:val="en-US" w:eastAsia="zh-CN" w:bidi="ar-SA"/>
        </w:rPr>
      </w:pPr>
      <w:r>
        <w:rPr>
          <w:rFonts w:hint="eastAsia" w:ascii="仿宋" w:hAnsi="仿宋" w:eastAsia="仿宋" w:cs="仿宋"/>
          <w:b/>
          <w:bCs w:val="0"/>
          <w:snapToGrid w:val="0"/>
          <w:sz w:val="28"/>
          <w:szCs w:val="28"/>
          <w:lang w:val="en-US" w:eastAsia="zh-CN"/>
        </w:rPr>
        <w:t>C41成本控制：</w:t>
      </w:r>
      <w:r>
        <w:rPr>
          <w:rFonts w:hint="eastAsia" w:ascii="Times New Roman" w:hAnsi="Times New Roman" w:eastAsia="仿宋" w:cs="Times New Roman"/>
          <w:bCs w:val="0"/>
          <w:kern w:val="2"/>
          <w:sz w:val="28"/>
          <w:szCs w:val="28"/>
          <w:lang w:val="en-US" w:eastAsia="zh-CN" w:bidi="ar-SA"/>
        </w:rPr>
        <w:t>满分6.00分，得分6.00分。评价组现场调研和查阅相关资料了解到，救治能力提升项目实施过程中未发现超支现象</w:t>
      </w:r>
      <w:r>
        <w:rPr>
          <w:rFonts w:hint="eastAsia" w:ascii="Times New Roman" w:hAnsi="Times New Roman" w:eastAsia="仿宋" w:cs="Times New Roman"/>
          <w:kern w:val="0"/>
          <w:sz w:val="28"/>
          <w:szCs w:val="28"/>
          <w:shd w:val="clear" w:color="auto" w:fill="FFFFFF"/>
          <w:lang w:val="en-US" w:eastAsia="zh-CN"/>
        </w:rPr>
        <w:t>。</w:t>
      </w:r>
      <w:r>
        <w:rPr>
          <w:rFonts w:hint="eastAsia" w:ascii="Times New Roman" w:hAnsi="Times New Roman" w:eastAsia="仿宋" w:cs="Times New Roman"/>
          <w:bCs w:val="0"/>
          <w:kern w:val="2"/>
          <w:sz w:val="28"/>
          <w:szCs w:val="28"/>
          <w:lang w:val="en-US" w:eastAsia="zh-CN" w:bidi="ar-SA"/>
        </w:rPr>
        <w:t>根据评分标准，该项得满分。</w:t>
      </w:r>
    </w:p>
    <w:p>
      <w:pPr>
        <w:spacing w:line="574" w:lineRule="exact"/>
        <w:ind w:firstLine="562" w:firstLineChars="200"/>
        <w:outlineLvl w:val="2"/>
        <w:rPr>
          <w:rFonts w:hint="eastAsia" w:ascii="仿宋" w:hAnsi="仿宋" w:eastAsia="仿宋" w:cs="仿宋"/>
          <w:b/>
          <w:snapToGrid w:val="0"/>
          <w:sz w:val="28"/>
          <w:szCs w:val="28"/>
        </w:rPr>
      </w:pPr>
      <w:bookmarkStart w:id="123" w:name="_Toc528680469"/>
      <w:bookmarkStart w:id="124" w:name="_Toc29718"/>
      <w:bookmarkStart w:id="125" w:name="_Toc617"/>
      <w:bookmarkStart w:id="126" w:name="_Toc32468"/>
      <w:bookmarkStart w:id="127" w:name="_Toc31873"/>
      <w:bookmarkStart w:id="128" w:name="_Toc19098"/>
      <w:bookmarkStart w:id="129" w:name="_Toc8932"/>
      <w:bookmarkStart w:id="130" w:name="_Toc528684144"/>
      <w:bookmarkStart w:id="131" w:name="_Toc3853"/>
      <w:bookmarkStart w:id="132" w:name="_Toc22268"/>
      <w:bookmarkStart w:id="133" w:name="_Toc28371"/>
      <w:r>
        <w:rPr>
          <w:rFonts w:hint="eastAsia" w:ascii="仿宋" w:hAnsi="仿宋" w:eastAsia="仿宋" w:cs="仿宋"/>
          <w:b/>
          <w:snapToGrid w:val="0"/>
          <w:sz w:val="28"/>
          <w:szCs w:val="28"/>
        </w:rPr>
        <w:t>4</w:t>
      </w:r>
      <w:r>
        <w:rPr>
          <w:rFonts w:hint="eastAsia" w:ascii="仿宋" w:hAnsi="仿宋" w:eastAsia="仿宋" w:cs="仿宋"/>
          <w:b/>
          <w:snapToGrid w:val="0"/>
          <w:sz w:val="28"/>
          <w:szCs w:val="28"/>
          <w:lang w:eastAsia="zh-CN"/>
        </w:rPr>
        <w:t>、</w:t>
      </w:r>
      <w:r>
        <w:rPr>
          <w:rFonts w:hint="eastAsia" w:ascii="仿宋" w:hAnsi="仿宋" w:eastAsia="仿宋" w:cs="仿宋"/>
          <w:b/>
          <w:snapToGrid w:val="0"/>
          <w:sz w:val="28"/>
          <w:szCs w:val="28"/>
        </w:rPr>
        <w:t>效益分析</w:t>
      </w:r>
      <w:bookmarkEnd w:id="123"/>
      <w:bookmarkEnd w:id="124"/>
      <w:bookmarkEnd w:id="125"/>
      <w:bookmarkEnd w:id="126"/>
      <w:bookmarkEnd w:id="127"/>
      <w:bookmarkEnd w:id="128"/>
      <w:bookmarkEnd w:id="129"/>
      <w:bookmarkEnd w:id="130"/>
      <w:bookmarkEnd w:id="131"/>
      <w:bookmarkEnd w:id="132"/>
      <w:bookmarkEnd w:id="133"/>
    </w:p>
    <w:p>
      <w:pPr>
        <w:widowControl/>
        <w:spacing w:line="574" w:lineRule="exact"/>
        <w:ind w:firstLine="560" w:firstLineChars="200"/>
        <w:rPr>
          <w:rFonts w:ascii="仿宋_GB2312" w:eastAsia="仿宋_GB2312"/>
          <w:snapToGrid w:val="0"/>
          <w:sz w:val="32"/>
          <w:szCs w:val="32"/>
        </w:rPr>
      </w:pPr>
      <w:r>
        <w:rPr>
          <w:rFonts w:hint="eastAsia" w:ascii="Times New Roman" w:hAnsi="Times New Roman" w:eastAsia="仿宋" w:cs="Times New Roman"/>
          <w:kern w:val="0"/>
          <w:sz w:val="28"/>
          <w:szCs w:val="24"/>
          <w:lang w:val="en-US" w:eastAsia="zh-CN" w:bidi="ar-SA"/>
        </w:rPr>
        <w:t>效益类指标主要诊疗能力、可持续影响、受益对象满意度3个指标考察社会效益、可持续影响和满意度情况。效益类指标权重30.00分，实际得分30.00分。指标得分情况如表4-4所示</w:t>
      </w:r>
      <w:r>
        <w:rPr>
          <w:rFonts w:hint="eastAsia" w:ascii="仿宋" w:hAnsi="仿宋" w:eastAsia="仿宋" w:cs="仿宋"/>
          <w:snapToGrid w:val="0"/>
          <w:sz w:val="28"/>
          <w:szCs w:val="28"/>
        </w:rPr>
        <w:t>：</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w:t>
      </w:r>
      <w:r>
        <w:rPr>
          <w:rFonts w:hint="eastAsia" w:ascii="Times New Roman" w:hAnsi="Times New Roman" w:eastAsia="仿宋" w:cs="Times New Roman"/>
          <w:b/>
          <w:bCs/>
          <w:color w:val="000000"/>
          <w:kern w:val="0"/>
          <w:sz w:val="24"/>
          <w:szCs w:val="28"/>
          <w:lang w:val="en-US" w:eastAsia="zh-CN"/>
        </w:rPr>
        <w:t>4</w:t>
      </w:r>
      <w:r>
        <w:rPr>
          <w:rFonts w:hint="eastAsia" w:ascii="Times New Roman" w:hAnsi="Times New Roman" w:eastAsia="仿宋" w:cs="Times New Roman"/>
          <w:b/>
          <w:bCs/>
          <w:color w:val="000000"/>
          <w:kern w:val="0"/>
          <w:sz w:val="24"/>
          <w:szCs w:val="28"/>
        </w:rPr>
        <w:t>效益类指标得分情况</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1854"/>
        <w:gridCol w:w="3109"/>
        <w:gridCol w:w="842"/>
        <w:gridCol w:w="1561"/>
        <w:gridCol w:w="11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4" w:hRule="atLeast"/>
        </w:trPr>
        <w:tc>
          <w:tcPr>
            <w:tcW w:w="1854"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二级指标</w:t>
            </w:r>
          </w:p>
        </w:tc>
        <w:tc>
          <w:tcPr>
            <w:tcW w:w="3109"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三级指标</w:t>
            </w:r>
          </w:p>
        </w:tc>
        <w:tc>
          <w:tcPr>
            <w:tcW w:w="842"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权重</w:t>
            </w:r>
          </w:p>
        </w:tc>
        <w:tc>
          <w:tcPr>
            <w:tcW w:w="1561"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得分</w:t>
            </w:r>
          </w:p>
        </w:tc>
        <w:tc>
          <w:tcPr>
            <w:tcW w:w="1156"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854"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D1社会效益</w:t>
            </w:r>
          </w:p>
        </w:tc>
        <w:tc>
          <w:tcPr>
            <w:tcW w:w="3109" w:type="dxa"/>
            <w:shd w:val="clear" w:color="auto" w:fill="auto"/>
            <w:vAlign w:val="center"/>
          </w:tcPr>
          <w:p>
            <w:pPr>
              <w:widowControl/>
              <w:spacing w:line="400" w:lineRule="exact"/>
              <w:jc w:val="center"/>
              <w:textAlignment w:val="center"/>
              <w:rPr>
                <w:rFonts w:hint="eastAsia" w:ascii="仿宋" w:hAnsi="仿宋" w:eastAsia="仿宋" w:cs="仿宋"/>
                <w:b w:val="0"/>
                <w:bCs w:val="0"/>
                <w:color w:val="000000"/>
                <w:kern w:val="0"/>
                <w:sz w:val="24"/>
                <w:szCs w:val="24"/>
                <w:lang w:val="en-US" w:eastAsia="zh-CN"/>
              </w:rPr>
            </w:pPr>
            <w:r>
              <w:rPr>
                <w:rFonts w:ascii="Times New Roman" w:hAnsi="Times New Roman" w:eastAsia="仿宋" w:cs="Times New Roman"/>
                <w:sz w:val="24"/>
                <w:szCs w:val="24"/>
                <w:highlight w:val="none"/>
              </w:rPr>
              <w:t>D1</w:t>
            </w:r>
            <w:r>
              <w:rPr>
                <w:rFonts w:hint="eastAsia" w:ascii="Times New Roman" w:hAnsi="Times New Roman" w:eastAsia="仿宋" w:cs="Times New Roman"/>
                <w:sz w:val="24"/>
                <w:szCs w:val="24"/>
                <w:highlight w:val="none"/>
              </w:rPr>
              <w:t>1</w:t>
            </w:r>
            <w:r>
              <w:rPr>
                <w:rFonts w:hint="eastAsia" w:ascii="Times New Roman" w:hAnsi="Times New Roman" w:eastAsia="仿宋" w:cs="Times New Roman"/>
                <w:sz w:val="24"/>
                <w:szCs w:val="24"/>
                <w:highlight w:val="none"/>
                <w:lang w:val="en-US" w:eastAsia="zh-CN"/>
              </w:rPr>
              <w:t>诊疗能力</w:t>
            </w:r>
          </w:p>
        </w:tc>
        <w:tc>
          <w:tcPr>
            <w:tcW w:w="842"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0" w:hRule="atLeast"/>
        </w:trPr>
        <w:tc>
          <w:tcPr>
            <w:tcW w:w="1854"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D2可持续影响</w:t>
            </w:r>
          </w:p>
        </w:tc>
        <w:tc>
          <w:tcPr>
            <w:tcW w:w="3109" w:type="dxa"/>
            <w:shd w:val="clear" w:color="auto" w:fill="auto"/>
            <w:vAlign w:val="center"/>
          </w:tcPr>
          <w:p>
            <w:pPr>
              <w:widowControl/>
              <w:spacing w:line="400" w:lineRule="exact"/>
              <w:jc w:val="center"/>
              <w:textAlignment w:val="center"/>
              <w:rPr>
                <w:rFonts w:hint="eastAsia" w:ascii="仿宋" w:hAnsi="仿宋" w:eastAsia="仿宋" w:cs="仿宋"/>
                <w:b w:val="0"/>
                <w:bCs w:val="0"/>
                <w:color w:val="000000"/>
                <w:kern w:val="0"/>
                <w:sz w:val="24"/>
                <w:szCs w:val="24"/>
                <w:lang w:val="en-US" w:eastAsia="zh-CN"/>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2</w:t>
            </w:r>
            <w:r>
              <w:rPr>
                <w:rFonts w:hint="eastAsia" w:ascii="Times New Roman" w:hAnsi="Times New Roman" w:eastAsia="仿宋" w:cs="Times New Roman"/>
                <w:color w:val="000000"/>
                <w:sz w:val="24"/>
                <w:szCs w:val="24"/>
                <w:highlight w:val="none"/>
              </w:rPr>
              <w:t>1可持续</w:t>
            </w:r>
            <w:r>
              <w:rPr>
                <w:rFonts w:hint="eastAsia" w:ascii="Times New Roman" w:hAnsi="Times New Roman" w:eastAsia="仿宋" w:cs="Times New Roman"/>
                <w:color w:val="000000"/>
                <w:sz w:val="24"/>
                <w:szCs w:val="24"/>
                <w:highlight w:val="none"/>
                <w:lang w:val="en-US" w:eastAsia="zh-CN"/>
              </w:rPr>
              <w:t>影响</w:t>
            </w:r>
          </w:p>
        </w:tc>
        <w:tc>
          <w:tcPr>
            <w:tcW w:w="842"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854"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D3满意度</w:t>
            </w:r>
          </w:p>
        </w:tc>
        <w:tc>
          <w:tcPr>
            <w:tcW w:w="3109" w:type="dxa"/>
            <w:shd w:val="clear" w:color="auto" w:fill="auto"/>
            <w:vAlign w:val="center"/>
          </w:tcPr>
          <w:p>
            <w:pPr>
              <w:widowControl/>
              <w:spacing w:line="400" w:lineRule="exact"/>
              <w:jc w:val="center"/>
              <w:textAlignment w:val="center"/>
              <w:rPr>
                <w:rFonts w:hint="eastAsia" w:ascii="仿宋" w:hAnsi="仿宋" w:eastAsia="仿宋" w:cs="仿宋"/>
                <w:b w:val="0"/>
                <w:bCs w:val="0"/>
                <w:color w:val="000000"/>
                <w:kern w:val="0"/>
                <w:sz w:val="24"/>
                <w:szCs w:val="24"/>
                <w:lang w:val="en-US" w:eastAsia="zh-CN"/>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3</w:t>
            </w:r>
            <w:r>
              <w:rPr>
                <w:rFonts w:hint="eastAsia" w:ascii="Times New Roman" w:hAnsi="Times New Roman" w:eastAsia="仿宋" w:cs="Times New Roman"/>
                <w:color w:val="000000"/>
                <w:sz w:val="24"/>
                <w:szCs w:val="24"/>
                <w:highlight w:val="none"/>
              </w:rPr>
              <w:t>1受益对象满意度</w:t>
            </w:r>
          </w:p>
        </w:tc>
        <w:tc>
          <w:tcPr>
            <w:tcW w:w="842"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12.00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12.00</w:t>
            </w:r>
          </w:p>
        </w:tc>
        <w:tc>
          <w:tcPr>
            <w:tcW w:w="1156"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963" w:type="dxa"/>
            <w:gridSpan w:val="2"/>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合 计</w:t>
            </w:r>
          </w:p>
        </w:tc>
        <w:tc>
          <w:tcPr>
            <w:tcW w:w="842"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30.00</w:t>
            </w:r>
          </w:p>
        </w:tc>
        <w:tc>
          <w:tcPr>
            <w:tcW w:w="1156"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bl>
    <w:p>
      <w:pPr>
        <w:widowControl/>
        <w:spacing w:line="574" w:lineRule="exact"/>
        <w:ind w:firstLine="560" w:firstLineChars="200"/>
        <w:rPr>
          <w:rFonts w:hint="eastAsia" w:ascii="仿宋" w:hAnsi="仿宋" w:eastAsia="仿宋" w:cs="仿宋"/>
          <w:snapToGrid w:val="0"/>
          <w:sz w:val="28"/>
          <w:szCs w:val="28"/>
        </w:rPr>
      </w:pPr>
      <w:r>
        <w:rPr>
          <w:rFonts w:hint="eastAsia" w:ascii="仿宋" w:hAnsi="仿宋" w:eastAsia="仿宋" w:cs="仿宋"/>
          <w:snapToGrid w:val="0"/>
          <w:sz w:val="28"/>
          <w:szCs w:val="28"/>
          <w:lang w:val="en-US" w:eastAsia="zh-CN"/>
        </w:rPr>
        <w:t>（1）社会</w:t>
      </w:r>
      <w:r>
        <w:rPr>
          <w:rFonts w:hint="eastAsia" w:ascii="仿宋" w:hAnsi="仿宋" w:eastAsia="仿宋" w:cs="仿宋"/>
          <w:snapToGrid w:val="0"/>
          <w:sz w:val="28"/>
          <w:szCs w:val="28"/>
        </w:rPr>
        <w:t>效益</w:t>
      </w:r>
    </w:p>
    <w:p>
      <w:pPr>
        <w:widowControl/>
        <w:spacing w:line="574" w:lineRule="exact"/>
        <w:ind w:firstLine="562" w:firstLineChars="200"/>
        <w:rPr>
          <w:rFonts w:hint="eastAsia" w:ascii="仿宋" w:hAnsi="仿宋" w:eastAsia="仿宋" w:cs="仿宋"/>
          <w:snapToGrid w:val="0"/>
          <w:sz w:val="28"/>
          <w:szCs w:val="28"/>
          <w:lang w:eastAsia="zh-CN"/>
        </w:rPr>
      </w:pPr>
      <w:r>
        <w:rPr>
          <w:rFonts w:hint="eastAsia" w:ascii="仿宋" w:hAnsi="仿宋" w:eastAsia="仿宋" w:cs="仿宋"/>
          <w:b/>
          <w:bCs w:val="0"/>
          <w:snapToGrid w:val="0"/>
          <w:sz w:val="28"/>
          <w:szCs w:val="28"/>
        </w:rPr>
        <w:t>D11</w:t>
      </w:r>
      <w:r>
        <w:rPr>
          <w:rFonts w:hint="eastAsia" w:ascii="仿宋" w:hAnsi="仿宋" w:eastAsia="仿宋" w:cs="仿宋"/>
          <w:b/>
          <w:bCs w:val="0"/>
          <w:snapToGrid w:val="0"/>
          <w:sz w:val="28"/>
          <w:szCs w:val="28"/>
          <w:lang w:val="en-US" w:eastAsia="zh-CN"/>
        </w:rPr>
        <w:t>诊疗能力</w:t>
      </w:r>
      <w:r>
        <w:rPr>
          <w:rFonts w:hint="eastAsia" w:ascii="仿宋" w:hAns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10.00分，得分10.00分。项目实施后，能够进一步加强预防重大传染病的预防控制和治疗工作，有助于提升医院的诊疗水平，满足广大就诊者对医疗资源的需求，推动地区医疗事业的发展，改善区域医疗资源不足的问题，提高其公共卫生服务水平。根据评分标准，该项得满分</w:t>
      </w:r>
      <w:r>
        <w:rPr>
          <w:rFonts w:hint="eastAsia" w:ascii="仿宋" w:hAnsi="仿宋" w:eastAsia="仿宋" w:cs="仿宋"/>
          <w:snapToGrid w:val="0"/>
          <w:sz w:val="28"/>
          <w:szCs w:val="28"/>
          <w:lang w:eastAsia="zh-CN"/>
        </w:rPr>
        <w:t>。</w:t>
      </w:r>
    </w:p>
    <w:p>
      <w:pPr>
        <w:widowControl/>
        <w:spacing w:line="574" w:lineRule="exact"/>
        <w:ind w:firstLine="560" w:firstLineChars="200"/>
        <w:rPr>
          <w:rFonts w:hint="default" w:ascii="仿宋" w:hAnsi="仿宋" w:eastAsia="仿宋" w:cs="仿宋"/>
          <w:b w:val="0"/>
          <w:bCs/>
          <w:snapToGrid w:val="0"/>
          <w:sz w:val="28"/>
          <w:szCs w:val="28"/>
          <w:lang w:val="en-US" w:eastAsia="zh-CN"/>
        </w:rPr>
      </w:pPr>
      <w:r>
        <w:rPr>
          <w:rFonts w:hint="eastAsia" w:ascii="仿宋" w:hAnsi="仿宋" w:eastAsia="仿宋" w:cs="仿宋"/>
          <w:b w:val="0"/>
          <w:bCs/>
          <w:snapToGrid w:val="0"/>
          <w:sz w:val="28"/>
          <w:szCs w:val="28"/>
          <w:lang w:eastAsia="zh-CN"/>
        </w:rPr>
        <w:t>（</w:t>
      </w:r>
      <w:r>
        <w:rPr>
          <w:rFonts w:hint="eastAsia" w:ascii="仿宋" w:hAnsi="仿宋" w:eastAsia="仿宋" w:cs="仿宋"/>
          <w:b w:val="0"/>
          <w:bCs/>
          <w:snapToGrid w:val="0"/>
          <w:sz w:val="28"/>
          <w:szCs w:val="28"/>
          <w:lang w:val="en-US" w:eastAsia="zh-CN"/>
        </w:rPr>
        <w:t>2</w:t>
      </w:r>
      <w:r>
        <w:rPr>
          <w:rFonts w:hint="eastAsia" w:ascii="仿宋" w:hAnsi="仿宋" w:eastAsia="仿宋" w:cs="仿宋"/>
          <w:b w:val="0"/>
          <w:bCs/>
          <w:snapToGrid w:val="0"/>
          <w:sz w:val="28"/>
          <w:szCs w:val="28"/>
          <w:lang w:eastAsia="zh-CN"/>
        </w:rPr>
        <w:t>）</w:t>
      </w:r>
      <w:r>
        <w:rPr>
          <w:rFonts w:hint="eastAsia" w:ascii="仿宋" w:hAnsi="仿宋" w:eastAsia="仿宋" w:cs="仿宋"/>
          <w:b w:val="0"/>
          <w:bCs/>
          <w:snapToGrid w:val="0"/>
          <w:sz w:val="28"/>
          <w:szCs w:val="28"/>
          <w:lang w:val="en-US" w:eastAsia="zh-CN"/>
        </w:rPr>
        <w:t>可持续影响</w:t>
      </w:r>
    </w:p>
    <w:p>
      <w:pPr>
        <w:widowControl/>
        <w:spacing w:line="574" w:lineRule="exact"/>
        <w:ind w:firstLine="562" w:firstLineChars="200"/>
        <w:rPr>
          <w:rFonts w:hint="default" w:ascii="仿宋" w:hAnsi="仿宋" w:eastAsia="仿宋" w:cs="仿宋"/>
          <w:b w:val="0"/>
          <w:bCs/>
          <w:snapToGrid w:val="0"/>
          <w:sz w:val="28"/>
          <w:szCs w:val="28"/>
          <w:lang w:val="en-US" w:eastAsia="zh-CN"/>
        </w:rPr>
      </w:pPr>
      <w:r>
        <w:rPr>
          <w:rFonts w:hint="eastAsia" w:ascii="仿宋" w:hAnsi="仿宋" w:eastAsia="仿宋" w:cs="仿宋"/>
          <w:b/>
          <w:bCs w:val="0"/>
          <w:snapToGrid w:val="0"/>
          <w:sz w:val="28"/>
          <w:szCs w:val="28"/>
        </w:rPr>
        <w:t>D</w:t>
      </w:r>
      <w:r>
        <w:rPr>
          <w:rFonts w:hint="eastAsia" w:ascii="仿宋" w:hAnsi="仿宋" w:eastAsia="仿宋" w:cs="仿宋"/>
          <w:b/>
          <w:bCs w:val="0"/>
          <w:snapToGrid w:val="0"/>
          <w:sz w:val="28"/>
          <w:szCs w:val="28"/>
          <w:lang w:val="en-US" w:eastAsia="zh-CN"/>
        </w:rPr>
        <w:t>2</w:t>
      </w:r>
      <w:r>
        <w:rPr>
          <w:rFonts w:hint="eastAsia" w:ascii="仿宋" w:hAnsi="仿宋" w:eastAsia="仿宋" w:cs="仿宋"/>
          <w:b/>
          <w:bCs w:val="0"/>
          <w:snapToGrid w:val="0"/>
          <w:sz w:val="28"/>
          <w:szCs w:val="28"/>
        </w:rPr>
        <w:t>1项目可持续性</w:t>
      </w:r>
      <w:r>
        <w:rPr>
          <w:rFonts w:hint="eastAsia" w:ascii="仿宋" w:hAns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8.00分，得分8.00分。古县医疗集团根据中央、省、市、县救治能力提升要求持续提升公共医疗救治能力，项目具备可持续性；项目单位后续管理责任落实，项目后续资金由县级财力保障。根据评分标准，该项得满分</w:t>
      </w:r>
      <w:r>
        <w:rPr>
          <w:rFonts w:hint="eastAsia" w:ascii="仿宋" w:hAnsi="仿宋" w:eastAsia="仿宋" w:cs="仿宋"/>
          <w:snapToGrid w:val="0"/>
          <w:sz w:val="28"/>
          <w:szCs w:val="28"/>
          <w:lang w:eastAsia="zh-CN"/>
        </w:rPr>
        <w:t>。</w:t>
      </w:r>
    </w:p>
    <w:p>
      <w:pPr>
        <w:widowControl/>
        <w:spacing w:line="574" w:lineRule="exact"/>
        <w:ind w:firstLine="560" w:firstLineChars="200"/>
        <w:rPr>
          <w:rFonts w:hint="default" w:ascii="仿宋" w:hAnsi="仿宋" w:eastAsia="仿宋" w:cs="仿宋"/>
          <w:b w:val="0"/>
          <w:bCs/>
          <w:snapToGrid w:val="0"/>
          <w:sz w:val="28"/>
          <w:szCs w:val="28"/>
          <w:lang w:val="en-US" w:eastAsia="zh-CN"/>
        </w:rPr>
      </w:pPr>
      <w:r>
        <w:rPr>
          <w:rFonts w:hint="eastAsia" w:ascii="仿宋" w:hAnsi="仿宋" w:eastAsia="仿宋" w:cs="仿宋"/>
          <w:b w:val="0"/>
          <w:bCs/>
          <w:snapToGrid w:val="0"/>
          <w:sz w:val="28"/>
          <w:szCs w:val="28"/>
          <w:lang w:eastAsia="zh-CN"/>
        </w:rPr>
        <w:t>（</w:t>
      </w:r>
      <w:r>
        <w:rPr>
          <w:rFonts w:hint="eastAsia" w:ascii="仿宋" w:hAnsi="仿宋" w:eastAsia="仿宋" w:cs="仿宋"/>
          <w:b w:val="0"/>
          <w:bCs/>
          <w:snapToGrid w:val="0"/>
          <w:sz w:val="28"/>
          <w:szCs w:val="28"/>
          <w:lang w:val="en-US" w:eastAsia="zh-CN"/>
        </w:rPr>
        <w:t>3</w:t>
      </w:r>
      <w:r>
        <w:rPr>
          <w:rFonts w:hint="eastAsia" w:ascii="仿宋" w:hAnsi="仿宋" w:eastAsia="仿宋" w:cs="仿宋"/>
          <w:b w:val="0"/>
          <w:bCs/>
          <w:snapToGrid w:val="0"/>
          <w:sz w:val="28"/>
          <w:szCs w:val="28"/>
          <w:lang w:eastAsia="zh-CN"/>
        </w:rPr>
        <w:t>）</w:t>
      </w:r>
      <w:r>
        <w:rPr>
          <w:rFonts w:hint="eastAsia" w:ascii="仿宋" w:hAnsi="仿宋" w:eastAsia="仿宋" w:cs="仿宋"/>
          <w:b w:val="0"/>
          <w:bCs/>
          <w:snapToGrid w:val="0"/>
          <w:sz w:val="28"/>
          <w:szCs w:val="28"/>
          <w:lang w:val="en-US" w:eastAsia="zh-CN"/>
        </w:rPr>
        <w:t>满意度</w:t>
      </w:r>
    </w:p>
    <w:p>
      <w:pPr>
        <w:widowControl/>
        <w:spacing w:line="574" w:lineRule="exact"/>
        <w:ind w:firstLine="562" w:firstLineChars="200"/>
        <w:rPr>
          <w:rFonts w:hint="eastAsia" w:ascii="Times New Roman" w:hAnsi="Times New Roman" w:eastAsia="仿宋" w:cs="Times New Roman"/>
          <w:color w:val="000000" w:themeColor="text1"/>
          <w:sz w:val="28"/>
          <w:szCs w:val="28"/>
          <w14:textFill>
            <w14:solidFill>
              <w14:schemeClr w14:val="tx1"/>
            </w14:solidFill>
          </w14:textFill>
        </w:rPr>
      </w:pPr>
      <w:r>
        <w:rPr>
          <w:rFonts w:hint="eastAsia" w:ascii="仿宋" w:hAnsi="仿宋" w:eastAsia="仿宋" w:cs="仿宋"/>
          <w:b/>
          <w:bCs w:val="0"/>
          <w:snapToGrid w:val="0"/>
          <w:sz w:val="28"/>
          <w:szCs w:val="28"/>
        </w:rPr>
        <w:t>D</w:t>
      </w:r>
      <w:r>
        <w:rPr>
          <w:rFonts w:hint="eastAsia" w:ascii="仿宋" w:hAnsi="仿宋" w:eastAsia="仿宋" w:cs="仿宋"/>
          <w:b/>
          <w:bCs w:val="0"/>
          <w:snapToGrid w:val="0"/>
          <w:sz w:val="28"/>
          <w:szCs w:val="28"/>
          <w:lang w:val="en-US" w:eastAsia="zh-CN"/>
        </w:rPr>
        <w:t>3</w:t>
      </w:r>
      <w:r>
        <w:rPr>
          <w:rFonts w:hint="eastAsia" w:ascii="仿宋" w:hAnsi="仿宋" w:eastAsia="仿宋" w:cs="仿宋"/>
          <w:b/>
          <w:bCs w:val="0"/>
          <w:snapToGrid w:val="0"/>
          <w:sz w:val="28"/>
          <w:szCs w:val="28"/>
        </w:rPr>
        <w:t>1受益对象满意度：</w:t>
      </w:r>
      <w:r>
        <w:rPr>
          <w:rFonts w:hint="eastAsia" w:ascii="Times New Roman" w:hAnsi="Times New Roman" w:eastAsia="仿宋" w:cs="Times New Roman"/>
          <w:kern w:val="0"/>
          <w:sz w:val="28"/>
          <w:szCs w:val="24"/>
          <w:lang w:val="en-US" w:eastAsia="zh-CN" w:bidi="ar-SA"/>
        </w:rPr>
        <w:t>满分12.00分，得分12.00分。救治能力提升项目的受益对象满意度分别为：94.50%、94.50%、95.80%。整体满意度为94.93%。根据评分标准，该项得满分</w:t>
      </w:r>
      <w:r>
        <w:rPr>
          <w:rFonts w:hint="eastAsia" w:ascii="仿宋" w:hAnsi="仿宋" w:eastAsia="仿宋" w:cs="仿宋"/>
          <w:b w:val="0"/>
          <w:bCs/>
          <w:snapToGrid w:val="0"/>
          <w:color w:val="000000" w:themeColor="text1"/>
          <w:sz w:val="28"/>
          <w:szCs w:val="28"/>
          <w:lang w:eastAsia="zh-CN"/>
          <w14:textFill>
            <w14:solidFill>
              <w14:schemeClr w14:val="tx1"/>
            </w14:solidFill>
          </w14:textFill>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134" w:name="_Toc514537344"/>
      <w:bookmarkStart w:id="135" w:name="_Toc3081"/>
      <w:r>
        <w:rPr>
          <w:rFonts w:hint="eastAsia" w:ascii="仿宋" w:hAnsi="仿宋" w:eastAsia="仿宋" w:cs="Times New Roman"/>
          <w:b/>
          <w:bCs/>
          <w:sz w:val="32"/>
          <w:szCs w:val="32"/>
          <w:lang w:eastAsia="zh-CN"/>
        </w:rPr>
        <w:t>（二）总体得分情况</w:t>
      </w:r>
      <w:bookmarkEnd w:id="134"/>
      <w:bookmarkEnd w:id="135"/>
    </w:p>
    <w:p>
      <w:pPr>
        <w:widowControl/>
        <w:spacing w:line="574" w:lineRule="exact"/>
        <w:ind w:firstLine="560" w:firstLineChars="200"/>
        <w:rPr>
          <w:rFonts w:hint="eastAsia" w:ascii="仿宋" w:hAnsi="仿宋" w:eastAsia="仿宋" w:cs="仿宋"/>
          <w:snapToGrid w:val="0"/>
          <w:sz w:val="28"/>
          <w:szCs w:val="28"/>
        </w:rPr>
      </w:pPr>
      <w:r>
        <w:rPr>
          <w:rFonts w:hint="eastAsia" w:ascii="仿宋" w:hAnsi="仿宋" w:eastAsia="仿宋" w:cs="仿宋"/>
          <w:snapToGrid w:val="0"/>
          <w:sz w:val="28"/>
          <w:szCs w:val="28"/>
        </w:rPr>
        <w:t>根据上述三级指标分析得分情况，经汇总计算，本次评价涉及四项一级指标总得分情况如下：</w:t>
      </w:r>
    </w:p>
    <w:p>
      <w:pPr>
        <w:widowControl/>
        <w:spacing w:line="574" w:lineRule="exact"/>
        <w:jc w:val="center"/>
        <w:rPr>
          <w:rFonts w:asciiTheme="minorEastAsia" w:hAnsiTheme="minorEastAsia" w:eastAsiaTheme="minorEastAsia"/>
          <w:b/>
          <w:snapToGrid w:val="0"/>
          <w:sz w:val="24"/>
        </w:rPr>
      </w:pPr>
      <w:bookmarkStart w:id="136" w:name="_Toc528603080"/>
      <w:bookmarkStart w:id="137" w:name="_Toc514537345"/>
      <w:r>
        <w:rPr>
          <w:rFonts w:hint="eastAsia" w:ascii="Times New Roman" w:hAnsi="Times New Roman" w:eastAsia="仿宋" w:cs="Times New Roman"/>
          <w:b/>
          <w:bCs/>
          <w:color w:val="000000"/>
          <w:kern w:val="0"/>
          <w:sz w:val="24"/>
          <w:szCs w:val="28"/>
        </w:rPr>
        <w:t>表4-5 一级指标得分情况</w:t>
      </w:r>
      <w:bookmarkEnd w:id="136"/>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一级指标</w:t>
            </w:r>
          </w:p>
        </w:tc>
        <w:tc>
          <w:tcPr>
            <w:tcW w:w="184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184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237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27" w:hRule="atLeast"/>
          <w:tblHeader/>
        </w:trPr>
        <w:tc>
          <w:tcPr>
            <w:tcW w:w="2456" w:type="dxa"/>
            <w:vAlign w:val="center"/>
          </w:tcPr>
          <w:p>
            <w:pPr>
              <w:widowControl/>
              <w:snapToGrid w:val="0"/>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决策</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20.00</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B过程</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20.00</w:t>
            </w:r>
          </w:p>
        </w:tc>
        <w:tc>
          <w:tcPr>
            <w:tcW w:w="1846" w:type="dxa"/>
            <w:vAlign w:val="center"/>
          </w:tcPr>
          <w:p>
            <w:pPr>
              <w:widowControl/>
              <w:snapToGrid w:val="0"/>
              <w:jc w:val="center"/>
              <w:rPr>
                <w:rFonts w:hint="default" w:ascii="仿宋" w:hAnsi="仿宋" w:eastAsia="仿宋" w:cs="仿宋"/>
                <w:color w:val="000000"/>
                <w:kern w:val="0"/>
                <w:sz w:val="24"/>
                <w:szCs w:val="24"/>
                <w:lang w:val="en-US"/>
              </w:rPr>
            </w:pPr>
            <w:r>
              <w:rPr>
                <w:rFonts w:hint="eastAsia" w:ascii="仿宋" w:hAnsi="仿宋" w:eastAsia="仿宋" w:cs="仿宋"/>
                <w:b w:val="0"/>
                <w:bCs w:val="0"/>
                <w:color w:val="000000"/>
                <w:kern w:val="0"/>
                <w:sz w:val="24"/>
                <w:szCs w:val="24"/>
                <w:lang w:val="en-US" w:eastAsia="zh-CN"/>
              </w:rPr>
              <w:t>14.64</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73.20%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68" w:hRule="atLeast"/>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C产出</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rPr>
              <w:t>30</w:t>
            </w:r>
            <w:r>
              <w:rPr>
                <w:rFonts w:hint="eastAsia" w:ascii="仿宋" w:hAnsi="仿宋" w:eastAsia="仿宋" w:cs="仿宋"/>
                <w:b w:val="0"/>
                <w:bCs w:val="0"/>
                <w:color w:val="000000"/>
                <w:kern w:val="0"/>
                <w:sz w:val="24"/>
                <w:szCs w:val="24"/>
                <w:lang w:val="en-US" w:eastAsia="zh-CN"/>
              </w:rPr>
              <w:t>.00</w:t>
            </w:r>
          </w:p>
        </w:tc>
        <w:tc>
          <w:tcPr>
            <w:tcW w:w="1846" w:type="dxa"/>
            <w:vAlign w:val="center"/>
          </w:tcPr>
          <w:p>
            <w:pPr>
              <w:widowControl/>
              <w:snapToGrid w:val="0"/>
              <w:jc w:val="center"/>
              <w:rPr>
                <w:rFonts w:hint="default" w:ascii="仿宋" w:hAnsi="仿宋" w:eastAsia="仿宋" w:cs="仿宋"/>
                <w:color w:val="000000"/>
                <w:kern w:val="0"/>
                <w:sz w:val="24"/>
                <w:szCs w:val="24"/>
                <w:lang w:val="en-US"/>
              </w:rPr>
            </w:pPr>
            <w:r>
              <w:rPr>
                <w:rFonts w:hint="eastAsia" w:ascii="仿宋" w:hAnsi="仿宋" w:eastAsia="仿宋" w:cs="仿宋"/>
                <w:b w:val="0"/>
                <w:bCs w:val="0"/>
                <w:color w:val="000000"/>
                <w:kern w:val="0"/>
                <w:sz w:val="24"/>
                <w:szCs w:val="24"/>
                <w:lang w:val="en-US" w:eastAsia="zh-CN"/>
              </w:rPr>
              <w:t>6.80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22.67%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D效益</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30.00</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100.00 </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71.44</w:t>
            </w:r>
          </w:p>
        </w:tc>
        <w:tc>
          <w:tcPr>
            <w:tcW w:w="2374"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71.44%</w:t>
            </w:r>
          </w:p>
        </w:tc>
      </w:tr>
    </w:tbl>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138" w:name="_Toc31376"/>
      <w:r>
        <w:rPr>
          <w:rFonts w:hint="eastAsia" w:ascii="Times New Roman" w:hAnsi="Times New Roman" w:eastAsia="黑体" w:cs="Times New Roman"/>
          <w:bCs/>
          <w:kern w:val="44"/>
          <w:sz w:val="32"/>
          <w:szCs w:val="32"/>
        </w:rPr>
        <w:t>五、综合评价情况</w:t>
      </w:r>
      <w:bookmarkEnd w:id="137"/>
      <w:r>
        <w:rPr>
          <w:rFonts w:hint="eastAsia" w:ascii="Times New Roman" w:hAnsi="Times New Roman" w:eastAsia="黑体" w:cs="Times New Roman"/>
          <w:bCs/>
          <w:kern w:val="44"/>
          <w:sz w:val="32"/>
          <w:szCs w:val="32"/>
          <w:lang w:val="en-US" w:eastAsia="zh-CN"/>
        </w:rPr>
        <w:t>及结论</w:t>
      </w:r>
      <w:bookmarkEnd w:id="138"/>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139" w:name="_Toc514537346"/>
      <w:bookmarkStart w:id="140" w:name="_Toc20790"/>
      <w:r>
        <w:rPr>
          <w:rFonts w:hint="eastAsia" w:ascii="仿宋" w:hAnsi="仿宋" w:eastAsia="仿宋" w:cs="Times New Roman"/>
          <w:b/>
          <w:bCs/>
          <w:sz w:val="32"/>
          <w:szCs w:val="32"/>
          <w:lang w:eastAsia="zh-CN"/>
        </w:rPr>
        <w:t>（一）评分结果</w:t>
      </w:r>
      <w:bookmarkEnd w:id="139"/>
      <w:bookmarkEnd w:id="140"/>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 w:cs="Times New Roman"/>
          <w:color w:val="auto"/>
          <w:kern w:val="0"/>
          <w:sz w:val="28"/>
          <w:szCs w:val="24"/>
          <w:lang w:val="en-US" w:eastAsia="zh-CN" w:bidi="ar-SA"/>
        </w:rPr>
        <w:t>依据项目基础信息统计，结合现场核查结果，按照评价小组制定并由专家组论证的评价指标体系，救治能力提升项目支出绩效评价综合得分71.44分，评价等级为“中”</w:t>
      </w:r>
      <w:r>
        <w:rPr>
          <w:rFonts w:hint="eastAsia" w:ascii="仿宋" w:hAns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141" w:name="_Toc514537347"/>
      <w:bookmarkStart w:id="142" w:name="_Toc22846"/>
      <w:r>
        <w:rPr>
          <w:rFonts w:hint="eastAsia" w:ascii="仿宋" w:hAnsi="仿宋" w:eastAsia="仿宋" w:cs="Times New Roman"/>
          <w:b/>
          <w:bCs/>
          <w:sz w:val="32"/>
          <w:szCs w:val="32"/>
          <w:lang w:eastAsia="zh-CN"/>
        </w:rPr>
        <w:t>（二）主要结论</w:t>
      </w:r>
      <w:bookmarkEnd w:id="141"/>
      <w:bookmarkEnd w:id="142"/>
    </w:p>
    <w:p>
      <w:pPr>
        <w:widowControl/>
        <w:spacing w:line="574" w:lineRule="exact"/>
        <w:ind w:firstLine="560" w:firstLineChars="200"/>
        <w:rPr>
          <w:rFonts w:hint="default" w:ascii="Times New Roman" w:hAnsi="Times New Roman" w:eastAsia="仿宋" w:cs="Times New Roman"/>
          <w:kern w:val="0"/>
          <w:sz w:val="28"/>
          <w:szCs w:val="24"/>
          <w:lang w:val="en-US" w:eastAsia="zh-CN" w:bidi="ar-SA"/>
        </w:rPr>
      </w:pPr>
      <w:bookmarkStart w:id="143" w:name="_Toc514537348"/>
      <w:r>
        <w:rPr>
          <w:rFonts w:hint="eastAsia" w:ascii="Times New Roman" w:hAnsi="Times New Roman" w:eastAsia="仿宋" w:cs="Times New Roman"/>
          <w:kern w:val="0"/>
          <w:sz w:val="28"/>
          <w:szCs w:val="24"/>
          <w:lang w:val="en-US" w:eastAsia="zh-CN" w:bidi="ar-SA"/>
        </w:rPr>
        <w:t>项目决策方面，</w:t>
      </w:r>
      <w:r>
        <w:rPr>
          <w:rFonts w:hint="eastAsia" w:ascii="Times New Roman" w:hAnsi="Times New Roman" w:eastAsia="仿宋" w:cs="Times New Roman"/>
          <w:bCs w:val="0"/>
          <w:kern w:val="2"/>
          <w:sz w:val="28"/>
          <w:szCs w:val="28"/>
          <w:lang w:val="en-US" w:eastAsia="zh-CN" w:bidi="ar-SA"/>
        </w:rPr>
        <w:t>项目按照规定的程序申请设立，救治能力提升项目落实了党中央、国务院重大疫情防控救治能力提升决策部署</w:t>
      </w:r>
      <w:r>
        <w:rPr>
          <w:rFonts w:hint="eastAsia" w:ascii="Times New Roman" w:hAnsi="Times New Roman" w:eastAsia="仿宋" w:cs="Times New Roman"/>
          <w:kern w:val="0"/>
          <w:sz w:val="28"/>
          <w:szCs w:val="24"/>
          <w:lang w:val="en-US" w:eastAsia="zh-CN" w:bidi="ar-SA"/>
        </w:rPr>
        <w:t>，项目依据充分，立项程序规范，绩效目标合理，绩效指标明确，资金分配合理、预算编制科学。</w:t>
      </w:r>
    </w:p>
    <w:p>
      <w:pPr>
        <w:widowControl/>
        <w:spacing w:line="574" w:lineRule="exact"/>
        <w:ind w:firstLine="560" w:firstLineChars="200"/>
        <w:rPr>
          <w:rFonts w:hint="default"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项目过程方面，预算资金到位率100.00%，资金使用合规，财务管理制度健全，预算执行率达标，但项目实施管理有待加强。</w:t>
      </w:r>
    </w:p>
    <w:p>
      <w:pPr>
        <w:widowControl/>
        <w:spacing w:line="574" w:lineRule="exact"/>
        <w:ind w:firstLine="560" w:firstLineChars="200"/>
        <w:rPr>
          <w:rFonts w:hint="default"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项目产出方面，</w:t>
      </w:r>
      <w:r>
        <w:rPr>
          <w:rFonts w:hint="eastAsia" w:ascii="Times New Roman" w:hAnsi="Times New Roman" w:eastAsia="仿宋" w:cs="Times New Roman"/>
          <w:bCs w:val="0"/>
          <w:kern w:val="2"/>
          <w:sz w:val="28"/>
          <w:szCs w:val="28"/>
          <w:lang w:val="en-US" w:eastAsia="zh-CN" w:bidi="ar-SA"/>
        </w:rPr>
        <w:t>救治能力提升项目一包（工程建设）尚未完工；救治能力提升项目二包（空调安装）工期2020年11月15日至2021年11月14日，二包延期完工</w:t>
      </w:r>
      <w:r>
        <w:rPr>
          <w:rFonts w:hint="eastAsia" w:ascii="Times New Roman" w:hAnsi="Times New Roman" w:eastAsia="仿宋" w:cs="Times New Roman"/>
          <w:kern w:val="0"/>
          <w:sz w:val="28"/>
          <w:szCs w:val="24"/>
          <w:lang w:val="en-US" w:eastAsia="zh-CN" w:bidi="ar-SA"/>
        </w:rPr>
        <w:t>。</w:t>
      </w:r>
    </w:p>
    <w:p>
      <w:pPr>
        <w:widowControl/>
        <w:spacing w:line="574" w:lineRule="exact"/>
        <w:ind w:firstLine="560" w:firstLineChars="200"/>
        <w:rPr>
          <w:rFonts w:hint="default" w:ascii="仿宋" w:hAnsi="仿宋" w:eastAsia="仿宋" w:cs="仿宋"/>
          <w:snapToGrid w:val="0"/>
          <w:sz w:val="28"/>
          <w:szCs w:val="28"/>
          <w:lang w:val="en-US" w:eastAsia="zh-CN"/>
        </w:rPr>
      </w:pPr>
      <w:r>
        <w:rPr>
          <w:rFonts w:hint="eastAsia" w:ascii="Times New Roman" w:hAnsi="Times New Roman" w:eastAsia="仿宋" w:cs="Times New Roman"/>
          <w:kern w:val="0"/>
          <w:sz w:val="28"/>
          <w:szCs w:val="24"/>
          <w:lang w:val="en-US" w:eastAsia="zh-CN" w:bidi="ar-SA"/>
        </w:rPr>
        <w:t>项目效益方面，项目社会效益良好，项目具备可持续性，受益对象满意度较高</w:t>
      </w:r>
      <w:r>
        <w:rPr>
          <w:rFonts w:hint="eastAsia" w:ascii="仿宋" w:hAnsi="仿宋" w:eastAsia="仿宋" w:cs="仿宋"/>
          <w:snapToGrid w:val="0"/>
          <w:sz w:val="28"/>
          <w:szCs w:val="28"/>
          <w:lang w:val="en-US" w:eastAsia="zh-CN"/>
        </w:rPr>
        <w:t>。</w:t>
      </w:r>
    </w:p>
    <w:bookmarkEnd w:id="143"/>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rPr>
      </w:pPr>
      <w:bookmarkStart w:id="144" w:name="_Toc514537349"/>
      <w:bookmarkStart w:id="145" w:name="_Toc1323"/>
      <w:r>
        <w:rPr>
          <w:rFonts w:hint="eastAsia" w:ascii="Times New Roman" w:hAnsi="Times New Roman" w:eastAsia="黑体" w:cs="Times New Roman"/>
          <w:bCs/>
          <w:kern w:val="44"/>
          <w:sz w:val="32"/>
          <w:szCs w:val="32"/>
          <w:lang w:val="en-US" w:eastAsia="zh-CN"/>
        </w:rPr>
        <w:t>六</w:t>
      </w:r>
      <w:r>
        <w:rPr>
          <w:rFonts w:hint="eastAsia" w:ascii="Times New Roman" w:hAnsi="Times New Roman" w:eastAsia="黑体" w:cs="Times New Roman"/>
          <w:bCs/>
          <w:kern w:val="44"/>
          <w:sz w:val="32"/>
          <w:szCs w:val="32"/>
        </w:rPr>
        <w:t>、存在的问题和改进建议</w:t>
      </w:r>
      <w:bookmarkEnd w:id="144"/>
      <w:bookmarkEnd w:id="145"/>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 w:cs="Times New Roman"/>
          <w:kern w:val="0"/>
          <w:sz w:val="28"/>
          <w:szCs w:val="24"/>
          <w:lang w:val="en-US" w:eastAsia="zh-CN" w:bidi="ar-SA"/>
        </w:rPr>
        <w:t>评价小组在详细查阅项目资料的基础上，结合现场实地勘察，对本次项目建设过程中存在的问题进行总结与分析，并针对问题提出了对应建议</w:t>
      </w:r>
      <w:r>
        <w:rPr>
          <w:rFonts w:hint="eastAsia" w:ascii="仿宋" w:hAns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562" w:firstLineChars="200"/>
        <w:textAlignment w:val="auto"/>
        <w:outlineLvl w:val="1"/>
        <w:rPr>
          <w:rFonts w:hint="eastAsia" w:ascii="仿宋" w:hAnsi="仿宋" w:eastAsia="仿宋" w:cs="仿宋"/>
          <w:b/>
          <w:bCs/>
          <w:sz w:val="28"/>
          <w:szCs w:val="28"/>
          <w:lang w:eastAsia="zh-CN"/>
        </w:rPr>
      </w:pPr>
      <w:bookmarkStart w:id="146" w:name="_Toc528680328"/>
      <w:bookmarkStart w:id="147" w:name="_Toc528603086"/>
      <w:bookmarkStart w:id="148" w:name="_Toc514537350"/>
      <w:bookmarkStart w:id="149" w:name="_Toc528680479"/>
      <w:bookmarkStart w:id="150" w:name="_Toc15751"/>
      <w:bookmarkStart w:id="151" w:name="_Toc528684154"/>
      <w:r>
        <w:rPr>
          <w:rFonts w:hint="eastAsia" w:ascii="仿宋" w:hAnsi="仿宋" w:eastAsia="仿宋" w:cs="仿宋"/>
          <w:b/>
          <w:bCs/>
          <w:sz w:val="28"/>
          <w:szCs w:val="28"/>
          <w:lang w:eastAsia="zh-CN"/>
        </w:rPr>
        <w:t>（一）存在的问题</w:t>
      </w:r>
      <w:bookmarkEnd w:id="146"/>
      <w:bookmarkEnd w:id="147"/>
      <w:bookmarkEnd w:id="148"/>
      <w:bookmarkEnd w:id="149"/>
      <w:bookmarkEnd w:id="150"/>
      <w:bookmarkEnd w:id="151"/>
    </w:p>
    <w:p>
      <w:pPr>
        <w:spacing w:line="574" w:lineRule="exact"/>
        <w:ind w:firstLine="562" w:firstLineChars="200"/>
        <w:rPr>
          <w:rFonts w:hint="default" w:ascii="仿宋" w:hAnsi="仿宋" w:eastAsia="仿宋" w:cs="仿宋"/>
          <w:b/>
          <w:bCs w:val="0"/>
          <w:snapToGrid w:val="0"/>
          <w:sz w:val="28"/>
          <w:szCs w:val="28"/>
          <w:lang w:val="en-US" w:eastAsia="zh-CN"/>
        </w:rPr>
      </w:pPr>
      <w:bookmarkStart w:id="152" w:name="_Toc514537351"/>
      <w:bookmarkStart w:id="153" w:name="_Toc528603089"/>
      <w:r>
        <w:rPr>
          <w:rFonts w:hint="eastAsia" w:ascii="仿宋" w:hAnsi="仿宋" w:eastAsia="仿宋" w:cs="仿宋"/>
          <w:b/>
          <w:bCs w:val="0"/>
          <w:snapToGrid w:val="0"/>
          <w:sz w:val="28"/>
          <w:szCs w:val="28"/>
          <w:lang w:val="en-US" w:eastAsia="zh-CN"/>
        </w:rPr>
        <w:t>1、救治能力提升项目（第一包）签订延期协议后仍未按期完工，古县医疗集团项目进度管理不到位。</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2020年11月12日，古县医疗集团与恒上建设有限公司签订《古县人民医院救治能力提升项目（第一包）建设工程施工合同》，工期365天；2021年11月10日，古县医疗集团与恒上建设有限公司签订《延期协议书》：计划2022年4月30日完成该项目工程；2022年8月25日，古县医疗集团出具《项目情况汇报》：工程正在进行室内装修，尚未整体完工；项目延期之后仍未按期完工，未见古县医疗集团督促项目施工单位加快工程进度资料；</w:t>
      </w:r>
    </w:p>
    <w:p>
      <w:pPr>
        <w:spacing w:line="574" w:lineRule="exact"/>
        <w:ind w:firstLine="562" w:firstLineChars="200"/>
        <w:rPr>
          <w:rFonts w:hint="default" w:ascii="Times New Roman" w:hAnsi="Times New Roman" w:eastAsia="仿宋" w:cs="Times New Roman"/>
          <w:b/>
          <w:bCs/>
          <w:kern w:val="2"/>
          <w:sz w:val="28"/>
          <w:szCs w:val="28"/>
          <w:lang w:val="en-US" w:eastAsia="zh-CN" w:bidi="ar-SA"/>
        </w:rPr>
      </w:pPr>
      <w:r>
        <w:rPr>
          <w:rFonts w:hint="eastAsia" w:ascii="Times New Roman" w:hAnsi="Times New Roman" w:eastAsia="仿宋" w:cs="Times New Roman"/>
          <w:b/>
          <w:bCs/>
          <w:kern w:val="2"/>
          <w:sz w:val="28"/>
          <w:szCs w:val="28"/>
          <w:lang w:val="en-US" w:eastAsia="zh-CN" w:bidi="ar-SA"/>
        </w:rPr>
        <w:t>2、古县医疗集团合同审核不严格。</w:t>
      </w:r>
    </w:p>
    <w:p>
      <w:pPr>
        <w:spacing w:line="574" w:lineRule="exact"/>
        <w:ind w:firstLine="560" w:firstLineChars="200"/>
        <w:rPr>
          <w:rFonts w:hint="default" w:ascii="仿宋" w:hAnsi="仿宋" w:eastAsia="仿宋" w:cs="仿宋"/>
          <w:b/>
          <w:bCs w:val="0"/>
          <w:snapToGrid w:val="0"/>
          <w:sz w:val="28"/>
          <w:szCs w:val="28"/>
          <w:lang w:val="en-US" w:eastAsia="zh-CN"/>
        </w:rPr>
      </w:pPr>
      <w:r>
        <w:rPr>
          <w:rFonts w:hint="eastAsia" w:ascii="Times New Roman" w:hAnsi="Times New Roman" w:eastAsia="仿宋" w:cs="Times New Roman"/>
          <w:bCs w:val="0"/>
          <w:kern w:val="2"/>
          <w:sz w:val="28"/>
          <w:szCs w:val="28"/>
          <w:lang w:val="en-US" w:eastAsia="zh-CN" w:bidi="ar-SA"/>
        </w:rPr>
        <w:t>一包项目合同、补充协议签订不规范、合同审核不严格：古县医疗集团与恒上建设有限公司签订的《古县人民医院救治能力提升项目（第一包）建设工程施工合同》未明确计划开竣工时间（空项未填）；古县医疗集团与恒上建设有限公司签订的《延期协议书》中古县人民医院救治能力提升项目写成“古县人民医院救治能力提升项目”。</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562" w:firstLineChars="200"/>
        <w:textAlignment w:val="auto"/>
        <w:outlineLvl w:val="1"/>
        <w:rPr>
          <w:rFonts w:hint="eastAsia" w:ascii="仿宋" w:hAnsi="仿宋" w:eastAsia="仿宋" w:cs="仿宋"/>
          <w:b/>
          <w:bCs/>
          <w:sz w:val="28"/>
          <w:szCs w:val="28"/>
          <w:lang w:eastAsia="zh-CN"/>
        </w:rPr>
      </w:pPr>
      <w:bookmarkStart w:id="154" w:name="_Toc528680480"/>
      <w:bookmarkStart w:id="155" w:name="_Toc528684155"/>
      <w:bookmarkStart w:id="156" w:name="_Toc528680329"/>
      <w:bookmarkStart w:id="157" w:name="_Toc1914"/>
      <w:r>
        <w:rPr>
          <w:rFonts w:hint="eastAsia" w:ascii="仿宋" w:hAnsi="仿宋" w:eastAsia="仿宋" w:cs="仿宋"/>
          <w:b/>
          <w:bCs/>
          <w:sz w:val="28"/>
          <w:szCs w:val="28"/>
          <w:lang w:eastAsia="zh-CN"/>
        </w:rPr>
        <w:t>（二）改进建议</w:t>
      </w:r>
      <w:bookmarkEnd w:id="152"/>
      <w:bookmarkEnd w:id="153"/>
      <w:bookmarkEnd w:id="154"/>
      <w:bookmarkEnd w:id="155"/>
      <w:bookmarkEnd w:id="156"/>
      <w:bookmarkEnd w:id="157"/>
    </w:p>
    <w:p>
      <w:pPr>
        <w:spacing w:line="574" w:lineRule="exact"/>
        <w:ind w:firstLine="562" w:firstLineChars="200"/>
        <w:rPr>
          <w:rFonts w:hint="default" w:ascii="Times New Roman" w:hAnsi="Times New Roman" w:eastAsia="仿宋"/>
          <w:b w:val="0"/>
          <w:bCs/>
          <w:snapToGrid w:val="0"/>
          <w:sz w:val="28"/>
          <w:szCs w:val="32"/>
          <w:lang w:val="en-US" w:eastAsia="zh-CN"/>
        </w:rPr>
      </w:pPr>
      <w:bookmarkStart w:id="158" w:name="_Toc514537353"/>
      <w:r>
        <w:rPr>
          <w:rFonts w:hint="eastAsia" w:ascii="Times New Roman" w:hAnsi="Times New Roman" w:eastAsia="仿宋"/>
          <w:b/>
          <w:bCs w:val="0"/>
          <w:snapToGrid w:val="0"/>
          <w:sz w:val="28"/>
          <w:szCs w:val="32"/>
          <w:lang w:val="en-US" w:eastAsia="zh-CN"/>
        </w:rPr>
        <w:t>1、加强监督协调，促进项目早日完工投用。</w:t>
      </w:r>
    </w:p>
    <w:p>
      <w:pPr>
        <w:spacing w:line="574" w:lineRule="exact"/>
        <w:ind w:firstLine="560" w:firstLineChars="200"/>
        <w:rPr>
          <w:rFonts w:hint="default"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建议古县医疗集团加强项目实施管理，明确目标任务、倒排工期，督促施工方加快项目实施进度；对于延期严重项目，按照合同约定的违约处罚措施对施工方进行惩戒；多措并举，促进项目早日完工投用。</w:t>
      </w:r>
    </w:p>
    <w:p>
      <w:pPr>
        <w:spacing w:line="574" w:lineRule="exact"/>
        <w:ind w:firstLine="562" w:firstLineChars="200"/>
        <w:rPr>
          <w:rFonts w:hint="default" w:ascii="Times New Roman" w:hAnsi="Times New Roman" w:eastAsia="仿宋"/>
          <w:b/>
          <w:bCs w:val="0"/>
          <w:snapToGrid w:val="0"/>
          <w:sz w:val="28"/>
          <w:szCs w:val="32"/>
          <w:lang w:val="en-US" w:eastAsia="zh-CN"/>
        </w:rPr>
      </w:pPr>
      <w:r>
        <w:rPr>
          <w:rFonts w:hint="eastAsia" w:ascii="Times New Roman" w:hAnsi="Times New Roman" w:eastAsia="仿宋"/>
          <w:b/>
          <w:bCs w:val="0"/>
          <w:snapToGrid w:val="0"/>
          <w:sz w:val="28"/>
          <w:szCs w:val="32"/>
          <w:lang w:val="en-US" w:eastAsia="zh-CN"/>
        </w:rPr>
        <w:t>2、严格审核施工合同，避免错项、漏项。</w:t>
      </w:r>
    </w:p>
    <w:p>
      <w:pPr>
        <w:spacing w:line="574" w:lineRule="exact"/>
        <w:ind w:firstLine="560" w:firstLineChars="200"/>
        <w:rPr>
          <w:rFonts w:hint="default"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w:t>
      </w:r>
      <w:r>
        <w:rPr>
          <w:rFonts w:hint="eastAsia" w:ascii="仿宋" w:hAnsi="仿宋" w:eastAsia="仿宋" w:cs="仿宋"/>
          <w:b w:val="0"/>
          <w:bCs w:val="0"/>
          <w:snapToGrid w:val="0"/>
          <w:sz w:val="28"/>
          <w:szCs w:val="28"/>
          <w:lang w:val="en-US" w:eastAsia="zh-CN"/>
        </w:rPr>
        <w:t>古县医疗集团按照《合同法》等相关法律法规，严格与各方签订合同，避免漏项引发的法律风险；严格审核合同，避免合同出现明显错误。</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outlineLvl w:val="0"/>
        <w:rPr>
          <w:rFonts w:hint="eastAsia" w:ascii="Times New Roman" w:hAnsi="Times New Roman" w:eastAsia="黑体" w:cs="Times New Roman"/>
          <w:bCs/>
          <w:kern w:val="44"/>
          <w:sz w:val="32"/>
          <w:szCs w:val="32"/>
          <w:lang w:val="en-US" w:eastAsia="zh-CN"/>
        </w:rPr>
      </w:pPr>
      <w:bookmarkStart w:id="159" w:name="_Toc6717"/>
      <w:r>
        <w:rPr>
          <w:rFonts w:hint="eastAsia" w:ascii="Times New Roman" w:hAnsi="Times New Roman" w:eastAsia="黑体" w:cs="Times New Roman"/>
          <w:bCs/>
          <w:kern w:val="44"/>
          <w:sz w:val="32"/>
          <w:szCs w:val="32"/>
          <w:lang w:val="en-US" w:eastAsia="zh-CN"/>
        </w:rPr>
        <w:t>七、绩效评价结果应用建议</w:t>
      </w:r>
      <w:bookmarkEnd w:id="158"/>
      <w:bookmarkEnd w:id="159"/>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建议。</w:t>
      </w:r>
    </w:p>
    <w:p>
      <w:pPr>
        <w:spacing w:line="574" w:lineRule="exact"/>
        <w:ind w:firstLine="562" w:firstLineChars="200"/>
        <w:rPr>
          <w:rFonts w:hint="eastAsia" w:ascii="Times New Roman" w:hAnsi="Times New Roman" w:eastAsia="仿宋" w:cs="Times New Roman"/>
          <w:bCs w:val="0"/>
          <w:kern w:val="2"/>
          <w:sz w:val="28"/>
          <w:szCs w:val="28"/>
          <w:lang w:val="en-US" w:eastAsia="zh-CN" w:bidi="ar-SA"/>
        </w:rPr>
      </w:pPr>
      <w:bookmarkStart w:id="160" w:name="_Toc29457"/>
      <w:bookmarkStart w:id="161" w:name="_Toc521418325"/>
      <w:r>
        <w:rPr>
          <w:rFonts w:hint="eastAsia" w:ascii="Times New Roman" w:hAnsi="Times New Roman" w:eastAsia="仿宋" w:cs="Times New Roman"/>
          <w:b/>
          <w:bCs/>
          <w:kern w:val="2"/>
          <w:sz w:val="28"/>
          <w:szCs w:val="28"/>
          <w:lang w:val="en-US" w:eastAsia="zh-CN" w:bidi="ar-SA"/>
        </w:rPr>
        <w:t>（一）</w:t>
      </w:r>
      <w:bookmarkEnd w:id="160"/>
      <w:bookmarkEnd w:id="161"/>
      <w:r>
        <w:rPr>
          <w:rFonts w:hint="eastAsia" w:ascii="Times New Roman" w:hAnsi="Times New Roman" w:eastAsia="仿宋" w:cs="Times New Roman"/>
          <w:b/>
          <w:bCs/>
          <w:kern w:val="2"/>
          <w:sz w:val="28"/>
          <w:szCs w:val="28"/>
          <w:lang w:val="en-US" w:eastAsia="zh-CN" w:bidi="ar-SA"/>
        </w:rPr>
        <w:t>建议古县医疗集团在项目完工后，及时组织施工单位、监理单位组织验收，对验收过程中发现的问题，及时要求施工方进行整改，确保项目整体质量达标</w:t>
      </w:r>
      <w:r>
        <w:rPr>
          <w:rFonts w:hint="eastAsia" w:ascii="Times New Roman" w:hAnsi="Times New Roman" w:eastAsia="仿宋" w:cs="Times New Roman"/>
          <w:bCs w:val="0"/>
          <w:kern w:val="2"/>
          <w:sz w:val="28"/>
          <w:szCs w:val="28"/>
          <w:lang w:val="en-US" w:eastAsia="zh-CN" w:bidi="ar-SA"/>
        </w:rPr>
        <w:t>。</w:t>
      </w:r>
    </w:p>
    <w:p>
      <w:pPr>
        <w:spacing w:line="574" w:lineRule="exact"/>
        <w:ind w:firstLine="562" w:firstLineChars="200"/>
        <w:rPr>
          <w:rFonts w:hint="eastAsia" w:ascii="Times New Roman" w:hAnsi="Times New Roman" w:eastAsia="仿宋" w:cs="Times New Roman"/>
          <w:b/>
          <w:bCs/>
          <w:kern w:val="2"/>
          <w:sz w:val="28"/>
          <w:szCs w:val="28"/>
          <w:lang w:val="en-US" w:eastAsia="zh-CN" w:bidi="ar-SA"/>
        </w:rPr>
      </w:pPr>
      <w:bookmarkStart w:id="162" w:name="_Toc517532006"/>
      <w:bookmarkStart w:id="163" w:name="_Toc521418326"/>
      <w:bookmarkStart w:id="164" w:name="_Toc19568"/>
      <w:r>
        <w:rPr>
          <w:rFonts w:hint="eastAsia" w:ascii="Times New Roman" w:hAnsi="Times New Roman" w:eastAsia="仿宋" w:cs="Times New Roman"/>
          <w:b/>
          <w:bCs/>
          <w:kern w:val="2"/>
          <w:sz w:val="28"/>
          <w:szCs w:val="28"/>
          <w:lang w:val="en-US" w:eastAsia="zh-CN" w:bidi="ar-SA"/>
        </w:rPr>
        <w:t>（二）充分利用绩效结果，</w:t>
      </w:r>
      <w:bookmarkEnd w:id="162"/>
      <w:bookmarkEnd w:id="163"/>
      <w:r>
        <w:rPr>
          <w:rFonts w:hint="eastAsia" w:ascii="Times New Roman" w:hAnsi="Times New Roman" w:eastAsia="仿宋" w:cs="Times New Roman"/>
          <w:b/>
          <w:bCs/>
          <w:kern w:val="2"/>
          <w:sz w:val="28"/>
          <w:szCs w:val="28"/>
          <w:lang w:val="en-US" w:eastAsia="zh-CN" w:bidi="ar-SA"/>
        </w:rPr>
        <w:t>落实问题整改机制。</w:t>
      </w:r>
      <w:bookmarkEnd w:id="164"/>
    </w:p>
    <w:p>
      <w:pPr>
        <w:spacing w:line="574" w:lineRule="exact"/>
        <w:ind w:firstLine="560" w:firstLineChars="200"/>
        <w:rPr>
          <w:rFonts w:ascii="黑体" w:hAnsi="黑体" w:eastAsia="黑体"/>
          <w:snapToGrid w:val="0"/>
          <w:sz w:val="32"/>
          <w:szCs w:val="32"/>
        </w:rPr>
        <w:sectPr>
          <w:pgSz w:w="11906" w:h="16838"/>
          <w:pgMar w:top="1440" w:right="1800" w:bottom="1440" w:left="1800" w:header="851" w:footer="992" w:gutter="0"/>
          <w:pgNumType w:fmt="decimal"/>
          <w:cols w:space="425" w:num="1"/>
          <w:docGrid w:type="lines" w:linePitch="312" w:charSpace="0"/>
        </w:sectPr>
      </w:pPr>
      <w:r>
        <w:rPr>
          <w:rFonts w:hint="eastAsia" w:ascii="Times New Roman" w:hAnsi="Times New Roman" w:eastAsia="仿宋" w:cs="Times New Roman"/>
          <w:bCs w:val="0"/>
          <w:kern w:val="2"/>
          <w:sz w:val="28"/>
          <w:szCs w:val="28"/>
          <w:lang w:val="en-US" w:eastAsia="zh-CN" w:bidi="ar-SA"/>
        </w:rPr>
        <w:t>古县财政局应将项目在实施过程中的经验及存在问题以文件形式反馈到相关单位，对于绩效评价中存在的问题提出整改要求。被评价单位要根据具体问题制定整改方案，并将整改结果反馈政府、财政部门</w:t>
      </w:r>
      <w:bookmarkStart w:id="165" w:name="_Toc514537354"/>
      <w:r>
        <w:rPr>
          <w:rFonts w:hint="eastAsia" w:ascii="Times New Roman" w:hAnsi="Times New Roman" w:eastAsia="仿宋" w:cs="Times New Roman"/>
          <w:bCs w:val="0"/>
          <w:kern w:val="2"/>
          <w:sz w:val="28"/>
          <w:szCs w:val="28"/>
          <w:lang w:val="en-US" w:eastAsia="zh-CN" w:bidi="ar-SA"/>
        </w:rPr>
        <w:t>。</w:t>
      </w:r>
      <w:r>
        <w:rPr>
          <w:rFonts w:hint="eastAsia" w:ascii="仿宋_GB2312" w:hAnsi="仿宋_GB2312" w:eastAsia="仿宋_GB2312" w:cs="仿宋_GB2312"/>
          <w:b/>
          <w:sz w:val="32"/>
          <w:szCs w:val="32"/>
        </w:rPr>
        <w:t xml:space="preserve">    </w:t>
      </w:r>
    </w:p>
    <w:p>
      <w:pPr>
        <w:widowControl/>
        <w:spacing w:line="574" w:lineRule="exact"/>
        <w:jc w:val="left"/>
        <w:outlineLvl w:val="0"/>
        <w:rPr>
          <w:rFonts w:ascii="黑体" w:hAnsi="黑体" w:eastAsia="黑体"/>
          <w:snapToGrid w:val="0"/>
          <w:sz w:val="32"/>
          <w:szCs w:val="32"/>
        </w:rPr>
      </w:pPr>
      <w:bookmarkStart w:id="166" w:name="_Toc3887"/>
      <w:r>
        <w:rPr>
          <w:rFonts w:ascii="黑体" w:hAnsi="黑体" w:eastAsia="黑体"/>
          <w:snapToGrid w:val="0"/>
          <w:sz w:val="32"/>
          <w:szCs w:val="32"/>
        </w:rPr>
        <w:t>附件</w:t>
      </w:r>
      <w:r>
        <w:rPr>
          <w:rFonts w:hint="eastAsia" w:ascii="黑体" w:hAnsi="黑体" w:eastAsia="黑体"/>
          <w:snapToGrid w:val="0"/>
          <w:sz w:val="32"/>
          <w:szCs w:val="32"/>
        </w:rPr>
        <w:t>1：评价指标体系</w:t>
      </w:r>
      <w:bookmarkEnd w:id="166"/>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15" w:type="dxa"/>
          <w:left w:w="15" w:type="dxa"/>
          <w:bottom w:w="15" w:type="dxa"/>
          <w:right w:w="15" w:type="dxa"/>
        </w:tblCellMar>
      </w:tblPr>
      <w:tblGrid>
        <w:gridCol w:w="1199"/>
        <w:gridCol w:w="1273"/>
        <w:gridCol w:w="1287"/>
        <w:gridCol w:w="613"/>
        <w:gridCol w:w="971"/>
        <w:gridCol w:w="3721"/>
        <w:gridCol w:w="4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0" w:hRule="atLeast"/>
          <w:tblHeader/>
        </w:trPr>
        <w:tc>
          <w:tcPr>
            <w:tcW w:w="5000" w:type="pct"/>
            <w:gridSpan w:val="7"/>
            <w:shd w:val="clear" w:color="auto" w:fill="auto"/>
          </w:tcPr>
          <w:p>
            <w:pPr>
              <w:widowControl/>
              <w:spacing w:before="93" w:beforeLines="30" w:after="93" w:afterLines="30" w:line="400" w:lineRule="exact"/>
              <w:jc w:val="center"/>
              <w:textAlignment w:val="center"/>
              <w:rPr>
                <w:rFonts w:ascii="Times New Roman" w:hAnsi="Times New Roman" w:eastAsia="仿宋" w:cs="Times New Roman"/>
                <w:b/>
                <w:color w:val="000000"/>
                <w:sz w:val="24"/>
                <w:szCs w:val="24"/>
                <w:highlight w:val="none"/>
              </w:rPr>
            </w:pPr>
            <w:bookmarkStart w:id="167" w:name="RANGE!A1:F24"/>
            <w:r>
              <w:rPr>
                <w:rFonts w:hint="eastAsia" w:ascii="Times New Roman" w:hAnsi="Times New Roman" w:eastAsia="仿宋" w:cs="Times New Roman"/>
                <w:b/>
                <w:bCs/>
                <w:color w:val="000000"/>
                <w:kern w:val="0"/>
                <w:sz w:val="32"/>
                <w:szCs w:val="21"/>
                <w:highlight w:val="none"/>
                <w:lang w:eastAsia="zh-CN"/>
              </w:rPr>
              <w:t>项目</w:t>
            </w:r>
            <w:r>
              <w:rPr>
                <w:rFonts w:ascii="Times New Roman" w:hAnsi="Times New Roman" w:eastAsia="仿宋" w:cs="Times New Roman"/>
                <w:b/>
                <w:bCs/>
                <w:color w:val="000000"/>
                <w:kern w:val="0"/>
                <w:sz w:val="32"/>
                <w:szCs w:val="21"/>
                <w:highlight w:val="none"/>
              </w:rPr>
              <w:t>支出绩效评价指标体系</w:t>
            </w:r>
            <w:bookmarkEnd w:id="16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05" w:hRule="atLeast"/>
          <w:tblHeader/>
        </w:trPr>
        <w:tc>
          <w:tcPr>
            <w:tcW w:w="429" w:type="pct"/>
            <w:shd w:val="clear" w:color="auto" w:fill="auto"/>
            <w:vAlign w:val="center"/>
          </w:tcPr>
          <w:p>
            <w:pPr>
              <w:widowControl/>
              <w:spacing w:line="400" w:lineRule="exact"/>
              <w:jc w:val="center"/>
              <w:textAlignment w:val="center"/>
              <w:rPr>
                <w:rFonts w:ascii="Times New Roman" w:hAnsi="Times New Roman" w:eastAsia="仿宋" w:cs="Times New Roman"/>
                <w:b/>
                <w:color w:val="000000"/>
                <w:kern w:val="0"/>
                <w:sz w:val="24"/>
                <w:szCs w:val="24"/>
                <w:highlight w:val="none"/>
                <w:lang w:bidi="ar"/>
              </w:rPr>
            </w:pPr>
            <w:r>
              <w:rPr>
                <w:rFonts w:ascii="Times New Roman" w:hAnsi="Times New Roman" w:eastAsia="仿宋" w:cs="Times New Roman"/>
                <w:b/>
                <w:color w:val="000000"/>
                <w:kern w:val="0"/>
                <w:sz w:val="24"/>
                <w:szCs w:val="24"/>
                <w:highlight w:val="none"/>
                <w:lang w:bidi="ar"/>
              </w:rPr>
              <w:t>一级指标</w:t>
            </w:r>
          </w:p>
        </w:tc>
        <w:tc>
          <w:tcPr>
            <w:tcW w:w="455" w:type="pct"/>
            <w:shd w:val="clear" w:color="auto" w:fill="auto"/>
            <w:vAlign w:val="center"/>
          </w:tcPr>
          <w:p>
            <w:pPr>
              <w:widowControl/>
              <w:spacing w:line="400" w:lineRule="exact"/>
              <w:jc w:val="center"/>
              <w:textAlignment w:val="center"/>
              <w:rPr>
                <w:rFonts w:ascii="Times New Roman" w:hAnsi="Times New Roman" w:eastAsia="仿宋" w:cs="Times New Roman"/>
                <w:b/>
                <w:color w:val="000000"/>
                <w:kern w:val="0"/>
                <w:sz w:val="24"/>
                <w:szCs w:val="24"/>
                <w:highlight w:val="none"/>
                <w:lang w:bidi="ar"/>
              </w:rPr>
            </w:pPr>
            <w:r>
              <w:rPr>
                <w:rFonts w:ascii="Times New Roman" w:hAnsi="Times New Roman" w:eastAsia="仿宋" w:cs="Times New Roman"/>
                <w:b/>
                <w:color w:val="000000"/>
                <w:kern w:val="0"/>
                <w:sz w:val="24"/>
                <w:szCs w:val="24"/>
                <w:highlight w:val="none"/>
                <w:lang w:bidi="ar"/>
              </w:rPr>
              <w:t>二级指标</w:t>
            </w:r>
          </w:p>
        </w:tc>
        <w:tc>
          <w:tcPr>
            <w:tcW w:w="460" w:type="pct"/>
            <w:shd w:val="clear" w:color="auto" w:fill="auto"/>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lang w:bidi="ar"/>
              </w:rPr>
              <w:t>三级指标</w:t>
            </w:r>
          </w:p>
        </w:tc>
        <w:tc>
          <w:tcPr>
            <w:tcW w:w="219" w:type="pct"/>
            <w:shd w:val="clear" w:color="auto" w:fill="auto"/>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lang w:bidi="ar"/>
              </w:rPr>
              <w:t>权重</w:t>
            </w:r>
          </w:p>
        </w:tc>
        <w:tc>
          <w:tcPr>
            <w:tcW w:w="347" w:type="pct"/>
            <w:shd w:val="clear" w:color="auto" w:fill="auto"/>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lang w:bidi="ar"/>
              </w:rPr>
              <w:t>目标值</w:t>
            </w:r>
          </w:p>
        </w:tc>
        <w:tc>
          <w:tcPr>
            <w:tcW w:w="1330" w:type="pct"/>
            <w:shd w:val="clear" w:color="auto" w:fill="auto"/>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lang w:bidi="ar"/>
              </w:rPr>
              <w:t>指标解释</w:t>
            </w:r>
          </w:p>
        </w:tc>
        <w:tc>
          <w:tcPr>
            <w:tcW w:w="1759" w:type="pct"/>
            <w:shd w:val="clear" w:color="auto" w:fill="auto"/>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lang w:bidi="ar"/>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restar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决策（20）</w:t>
            </w:r>
          </w:p>
        </w:tc>
        <w:tc>
          <w:tcPr>
            <w:tcW w:w="455" w:type="pct"/>
            <w:vMerge w:val="restart"/>
            <w:shd w:val="clear" w:color="auto" w:fill="auto"/>
            <w:vAlign w:val="center"/>
          </w:tcPr>
          <w:p>
            <w:pPr>
              <w:spacing w:line="400" w:lineRule="exact"/>
              <w:jc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A1项目立项（6）</w:t>
            </w:r>
          </w:p>
        </w:tc>
        <w:tc>
          <w:tcPr>
            <w:tcW w:w="460"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A11项目立项充分性</w:t>
            </w:r>
          </w:p>
        </w:tc>
        <w:tc>
          <w:tcPr>
            <w:tcW w:w="21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3.00</w:t>
            </w:r>
          </w:p>
        </w:tc>
        <w:tc>
          <w:tcPr>
            <w:tcW w:w="347"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充分</w:t>
            </w:r>
          </w:p>
        </w:tc>
        <w:tc>
          <w:tcPr>
            <w:tcW w:w="1330"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项目立项是否符合法律法规、相关政策、发展规划以及部门职责，用以反映和考核项目立项依据情况。</w:t>
            </w:r>
          </w:p>
        </w:tc>
        <w:tc>
          <w:tcPr>
            <w:tcW w:w="1759"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与其中任何一项不符，扣1分，扣完为止</w:t>
            </w:r>
            <w:r>
              <w:rPr>
                <w:rFonts w:ascii="Times New Roman" w:hAnsi="Times New Roman" w:eastAsia="仿宋" w:cs="Times New Roman"/>
                <w:color w:val="000000"/>
                <w:kern w:val="0"/>
                <w:sz w:val="24"/>
                <w:szCs w:val="24"/>
                <w:highlight w:val="none"/>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55" w:type="pct"/>
            <w:vMerge w:val="continue"/>
            <w:shd w:val="clear" w:color="auto" w:fill="auto"/>
            <w:vAlign w:val="center"/>
          </w:tcPr>
          <w:p>
            <w:pPr>
              <w:spacing w:line="400" w:lineRule="exact"/>
              <w:rPr>
                <w:rFonts w:ascii="仿宋" w:hAnsi="仿宋" w:eastAsia="仿宋" w:cs="宋体"/>
                <w:sz w:val="22"/>
                <w:highlight w:val="none"/>
              </w:rPr>
            </w:pPr>
          </w:p>
        </w:tc>
        <w:tc>
          <w:tcPr>
            <w:tcW w:w="460"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A12立项依据规范性</w:t>
            </w:r>
          </w:p>
        </w:tc>
        <w:tc>
          <w:tcPr>
            <w:tcW w:w="21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3.00</w:t>
            </w:r>
          </w:p>
        </w:tc>
        <w:tc>
          <w:tcPr>
            <w:tcW w:w="347"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规范</w:t>
            </w:r>
          </w:p>
        </w:tc>
        <w:tc>
          <w:tcPr>
            <w:tcW w:w="1330"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项目申请、设立过程是否符合相关要求，用以反映和考核项目立项的规范情况。</w:t>
            </w:r>
          </w:p>
        </w:tc>
        <w:tc>
          <w:tcPr>
            <w:tcW w:w="1759"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①项目是否按照规定的程序申请设立；②审批文件、材料是否符合相关要求；③事前是否已经过必要的可行性研究、专家论证、风险评估、绩效评估、集体决策</w:t>
            </w:r>
            <w:r>
              <w:rPr>
                <w:rFonts w:hint="eastAsia" w:ascii="宋体" w:hAnsi="宋体" w:eastAsia="宋体" w:cs="宋体"/>
                <w:color w:val="000000"/>
                <w:kern w:val="0"/>
                <w:sz w:val="24"/>
                <w:szCs w:val="24"/>
                <w:highlight w:val="none"/>
                <w:lang w:bidi="ar"/>
              </w:rPr>
              <w:t>。</w:t>
            </w:r>
            <w:r>
              <w:rPr>
                <w:rFonts w:hint="eastAsia" w:ascii="Times New Roman" w:hAnsi="Times New Roman" w:eastAsia="仿宋" w:cs="Times New Roman"/>
                <w:color w:val="000000"/>
                <w:kern w:val="0"/>
                <w:sz w:val="24"/>
                <w:szCs w:val="24"/>
                <w:highlight w:val="none"/>
                <w:lang w:bidi="ar"/>
              </w:rPr>
              <w:t>每满足一项得1分；反之每缺少一项扣1分。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shd w:val="clear" w:color="auto" w:fill="auto"/>
          </w:tcPr>
          <w:p>
            <w:pPr>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55" w:type="pct"/>
            <w:vMerge w:val="restart"/>
            <w:shd w:val="clear" w:color="auto" w:fill="auto"/>
            <w:vAlign w:val="center"/>
          </w:tcPr>
          <w:p>
            <w:pPr>
              <w:spacing w:line="400" w:lineRule="exact"/>
              <w:jc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A2绩效目标（8）</w:t>
            </w:r>
          </w:p>
        </w:tc>
        <w:tc>
          <w:tcPr>
            <w:tcW w:w="460" w:type="pc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ascii="Times New Roman" w:hAnsi="Times New Roman" w:eastAsia="仿宋" w:cs="Times New Roman"/>
                <w:color w:val="000000"/>
                <w:kern w:val="0"/>
                <w:sz w:val="24"/>
                <w:szCs w:val="24"/>
                <w:highlight w:val="none"/>
                <w:lang w:bidi="ar"/>
              </w:rPr>
              <w:t>A</w:t>
            </w:r>
            <w:r>
              <w:rPr>
                <w:rFonts w:hint="eastAsia" w:ascii="Times New Roman" w:hAnsi="Times New Roman" w:eastAsia="仿宋" w:cs="Times New Roman"/>
                <w:color w:val="000000"/>
                <w:kern w:val="0"/>
                <w:sz w:val="24"/>
                <w:szCs w:val="24"/>
                <w:highlight w:val="none"/>
                <w:lang w:bidi="ar"/>
              </w:rPr>
              <w:t>21</w:t>
            </w:r>
            <w:r>
              <w:rPr>
                <w:rFonts w:ascii="Times New Roman" w:hAnsi="Times New Roman" w:eastAsia="仿宋" w:cs="Times New Roman"/>
                <w:color w:val="000000"/>
                <w:kern w:val="0"/>
                <w:sz w:val="24"/>
                <w:szCs w:val="24"/>
                <w:highlight w:val="none"/>
                <w:lang w:bidi="ar"/>
              </w:rPr>
              <w:t>绩效目标设置合理性</w:t>
            </w:r>
          </w:p>
        </w:tc>
        <w:tc>
          <w:tcPr>
            <w:tcW w:w="219" w:type="pc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ascii="Times New Roman" w:hAnsi="Times New Roman" w:eastAsia="仿宋" w:cs="Times New Roman"/>
                <w:color w:val="000000"/>
                <w:sz w:val="24"/>
                <w:szCs w:val="24"/>
                <w:highlight w:val="none"/>
              </w:rPr>
              <w:t>4.00</w:t>
            </w:r>
          </w:p>
        </w:tc>
        <w:tc>
          <w:tcPr>
            <w:tcW w:w="347" w:type="pc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ascii="Times New Roman" w:hAnsi="Times New Roman" w:eastAsia="仿宋" w:cs="Times New Roman"/>
                <w:color w:val="000000"/>
                <w:kern w:val="0"/>
                <w:sz w:val="24"/>
                <w:szCs w:val="24"/>
                <w:highlight w:val="none"/>
                <w:lang w:bidi="ar"/>
              </w:rPr>
              <w:t>合理</w:t>
            </w:r>
          </w:p>
        </w:tc>
        <w:tc>
          <w:tcPr>
            <w:tcW w:w="1330"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项目所设定的绩效目标是否依据充分，是否符合客观实际，用以反映和考核项目绩效目标与项目实施的相符情况。</w:t>
            </w:r>
          </w:p>
        </w:tc>
        <w:tc>
          <w:tcPr>
            <w:tcW w:w="1759"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bCs/>
                <w:color w:val="000000"/>
                <w:kern w:val="0"/>
                <w:sz w:val="24"/>
                <w:szCs w:val="24"/>
                <w:highlight w:val="none"/>
                <w:lang w:bidi="ar"/>
              </w:rPr>
              <w:t>①项目是否有绩效目标；②项目绩效目标与实际工作内容是否具有相关性；③项目预期产出效益和效果是否符合正常的业绩水平；④是否与预算确定的项目投资额或资金量相匹配。</w:t>
            </w:r>
            <w:r>
              <w:rPr>
                <w:rFonts w:ascii="Times New Roman" w:hAnsi="Times New Roman" w:eastAsia="仿宋" w:cs="Times New Roman"/>
                <w:bCs/>
                <w:color w:val="000000"/>
                <w:kern w:val="0"/>
                <w:sz w:val="24"/>
                <w:szCs w:val="24"/>
                <w:highlight w:val="none"/>
                <w:lang w:bidi="ar"/>
              </w:rPr>
              <w:t>每满足一项得1分；反之每缺少一项扣1分。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55"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60"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A</w:t>
            </w:r>
            <w:r>
              <w:rPr>
                <w:rFonts w:hint="eastAsia" w:ascii="Times New Roman" w:hAnsi="Times New Roman" w:eastAsia="仿宋" w:cs="Times New Roman"/>
                <w:color w:val="000000"/>
                <w:kern w:val="0"/>
                <w:sz w:val="24"/>
                <w:szCs w:val="24"/>
                <w:highlight w:val="none"/>
                <w:lang w:bidi="ar"/>
              </w:rPr>
              <w:t>22</w:t>
            </w:r>
            <w:r>
              <w:rPr>
                <w:rFonts w:ascii="Times New Roman" w:hAnsi="Times New Roman" w:eastAsia="仿宋" w:cs="Times New Roman"/>
                <w:color w:val="000000"/>
                <w:kern w:val="0"/>
                <w:sz w:val="24"/>
                <w:szCs w:val="24"/>
                <w:highlight w:val="none"/>
                <w:lang w:bidi="ar"/>
              </w:rPr>
              <w:t>绩效</w:t>
            </w:r>
            <w:r>
              <w:rPr>
                <w:rFonts w:hint="eastAsia" w:ascii="Times New Roman" w:hAnsi="Times New Roman" w:eastAsia="仿宋" w:cs="Times New Roman"/>
                <w:color w:val="000000"/>
                <w:kern w:val="0"/>
                <w:sz w:val="24"/>
                <w:szCs w:val="24"/>
                <w:highlight w:val="none"/>
                <w:lang w:bidi="ar"/>
              </w:rPr>
              <w:t>指标</w:t>
            </w:r>
            <w:r>
              <w:rPr>
                <w:rFonts w:ascii="Times New Roman" w:hAnsi="Times New Roman" w:eastAsia="仿宋" w:cs="Times New Roman"/>
                <w:color w:val="000000"/>
                <w:kern w:val="0"/>
                <w:sz w:val="24"/>
                <w:szCs w:val="24"/>
                <w:highlight w:val="none"/>
                <w:lang w:bidi="ar"/>
              </w:rPr>
              <w:t>明确性</w:t>
            </w:r>
          </w:p>
        </w:tc>
        <w:tc>
          <w:tcPr>
            <w:tcW w:w="21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4.00</w:t>
            </w:r>
          </w:p>
        </w:tc>
        <w:tc>
          <w:tcPr>
            <w:tcW w:w="347"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明确</w:t>
            </w:r>
          </w:p>
        </w:tc>
        <w:tc>
          <w:tcPr>
            <w:tcW w:w="1330"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bCs/>
                <w:color w:val="000000"/>
                <w:kern w:val="0"/>
                <w:sz w:val="24"/>
                <w:szCs w:val="24"/>
                <w:highlight w:val="none"/>
                <w:lang w:bidi="ar"/>
              </w:rPr>
            </w:pPr>
            <w:r>
              <w:rPr>
                <w:rFonts w:hint="eastAsia" w:ascii="Times New Roman" w:hAnsi="Times New Roman" w:eastAsia="仿宋" w:cs="Times New Roman"/>
                <w:color w:val="000000"/>
                <w:sz w:val="24"/>
                <w:szCs w:val="24"/>
                <w:highlight w:val="none"/>
              </w:rPr>
              <w:t>依据绩效目标设定的绩效指标是否清晰、细化、可衡等，用以反映和考核项目绩效目标的明细化情况。</w:t>
            </w:r>
          </w:p>
        </w:tc>
        <w:tc>
          <w:tcPr>
            <w:tcW w:w="1759"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bCs/>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①是否将项目绩效目标细化分解为具体的绩效指标；②是否通过清晰、可衡量的指标值予以体现；③是否与项目目标任务数或计划数相对应。符合所有条件得满分；一项不符合，扣33.33%比例的分数。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55" w:type="pct"/>
            <w:vMerge w:val="restar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A3资金投入（6）</w:t>
            </w:r>
          </w:p>
        </w:tc>
        <w:tc>
          <w:tcPr>
            <w:tcW w:w="460"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A</w:t>
            </w:r>
            <w:r>
              <w:rPr>
                <w:rFonts w:hint="eastAsia" w:ascii="Times New Roman" w:hAnsi="Times New Roman" w:eastAsia="仿宋" w:cs="Times New Roman"/>
                <w:color w:val="000000"/>
                <w:kern w:val="0"/>
                <w:sz w:val="24"/>
                <w:szCs w:val="24"/>
                <w:highlight w:val="none"/>
                <w:lang w:bidi="ar"/>
              </w:rPr>
              <w:t>3</w:t>
            </w:r>
            <w:r>
              <w:rPr>
                <w:rFonts w:ascii="Times New Roman" w:hAnsi="Times New Roman" w:eastAsia="仿宋" w:cs="Times New Roman"/>
                <w:color w:val="000000"/>
                <w:kern w:val="0"/>
                <w:sz w:val="24"/>
                <w:szCs w:val="24"/>
                <w:highlight w:val="none"/>
                <w:lang w:bidi="ar"/>
              </w:rPr>
              <w:t>1</w:t>
            </w:r>
            <w:r>
              <w:rPr>
                <w:rFonts w:hint="eastAsia" w:ascii="Times New Roman" w:hAnsi="Times New Roman" w:eastAsia="仿宋" w:cs="Times New Roman"/>
                <w:color w:val="000000"/>
                <w:kern w:val="0"/>
                <w:sz w:val="24"/>
                <w:szCs w:val="24"/>
                <w:highlight w:val="none"/>
                <w:lang w:bidi="ar"/>
              </w:rPr>
              <w:t>预算编制科学性</w:t>
            </w:r>
          </w:p>
        </w:tc>
        <w:tc>
          <w:tcPr>
            <w:tcW w:w="21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3.00</w:t>
            </w:r>
          </w:p>
        </w:tc>
        <w:tc>
          <w:tcPr>
            <w:tcW w:w="347"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科学</w:t>
            </w:r>
          </w:p>
        </w:tc>
        <w:tc>
          <w:tcPr>
            <w:tcW w:w="1330"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项目预算编制是否经过科学论证、有明确标准，资金额度与年度目标是否相适应，用以反映和考核项目预算编制的科学性、合理性情况。</w:t>
            </w:r>
          </w:p>
        </w:tc>
        <w:tc>
          <w:tcPr>
            <w:tcW w:w="1759"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①预算编制是否经过科学论证；②预算内容与项目内容是否匹配；③预算额度测算依据是否充分，是否按照标准编制；④预算确定的项目投资额或资金量是否与工作任务相匹配。符合所有条件得满分；一项不符合，扣25%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55"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60"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A</w:t>
            </w:r>
            <w:r>
              <w:rPr>
                <w:rFonts w:hint="eastAsia" w:ascii="Times New Roman" w:hAnsi="Times New Roman" w:eastAsia="仿宋" w:cs="Times New Roman"/>
                <w:color w:val="000000"/>
                <w:kern w:val="0"/>
                <w:sz w:val="24"/>
                <w:szCs w:val="24"/>
                <w:highlight w:val="none"/>
                <w:lang w:bidi="ar"/>
              </w:rPr>
              <w:t>3</w:t>
            </w:r>
            <w:r>
              <w:rPr>
                <w:rFonts w:ascii="Times New Roman" w:hAnsi="Times New Roman" w:eastAsia="仿宋" w:cs="Times New Roman"/>
                <w:color w:val="000000"/>
                <w:kern w:val="0"/>
                <w:sz w:val="24"/>
                <w:szCs w:val="24"/>
                <w:highlight w:val="none"/>
                <w:lang w:bidi="ar"/>
              </w:rPr>
              <w:t>2</w:t>
            </w:r>
            <w:r>
              <w:rPr>
                <w:rFonts w:hint="eastAsia" w:ascii="Times New Roman" w:hAnsi="Times New Roman" w:eastAsia="仿宋" w:cs="Times New Roman"/>
                <w:color w:val="000000"/>
                <w:kern w:val="0"/>
                <w:sz w:val="24"/>
                <w:szCs w:val="24"/>
                <w:highlight w:val="none"/>
                <w:lang w:bidi="ar"/>
              </w:rPr>
              <w:t>资金分配合理性</w:t>
            </w:r>
          </w:p>
        </w:tc>
        <w:tc>
          <w:tcPr>
            <w:tcW w:w="21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3.00</w:t>
            </w:r>
          </w:p>
        </w:tc>
        <w:tc>
          <w:tcPr>
            <w:tcW w:w="347"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合理</w:t>
            </w:r>
          </w:p>
        </w:tc>
        <w:tc>
          <w:tcPr>
            <w:tcW w:w="1330"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项目预算资金分配是否有测算依据，与补助单位或地方实际是否相适应，用以反映和考核项目预算资金分配的科学性、合理性情况。</w:t>
            </w:r>
          </w:p>
        </w:tc>
        <w:tc>
          <w:tcPr>
            <w:tcW w:w="1759"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①预算资金分配依据是否充分；②资金分配额度是否合理，与项目单位或地方实际是否相适应。符合所有条件得满分；一项不符合，扣50%比例的分数。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restar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B过程（20分）</w:t>
            </w:r>
          </w:p>
        </w:tc>
        <w:tc>
          <w:tcPr>
            <w:tcW w:w="455" w:type="pct"/>
            <w:vMerge w:val="restar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B1资金管理（12分）</w:t>
            </w:r>
          </w:p>
        </w:tc>
        <w:tc>
          <w:tcPr>
            <w:tcW w:w="460"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B11资金到位率</w:t>
            </w:r>
          </w:p>
        </w:tc>
        <w:tc>
          <w:tcPr>
            <w:tcW w:w="219" w:type="pc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4</w:t>
            </w:r>
            <w:r>
              <w:rPr>
                <w:rFonts w:ascii="Times New Roman" w:hAnsi="Times New Roman" w:eastAsia="仿宋" w:cs="Times New Roman"/>
                <w:color w:val="000000"/>
                <w:kern w:val="0"/>
                <w:sz w:val="24"/>
                <w:szCs w:val="24"/>
                <w:highlight w:val="none"/>
                <w:lang w:bidi="ar"/>
              </w:rPr>
              <w:t>.00</w:t>
            </w:r>
          </w:p>
        </w:tc>
        <w:tc>
          <w:tcPr>
            <w:tcW w:w="347"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100%</w:t>
            </w:r>
          </w:p>
        </w:tc>
        <w:tc>
          <w:tcPr>
            <w:tcW w:w="1330"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①</w:t>
            </w:r>
            <w:r>
              <w:rPr>
                <w:rFonts w:ascii="Times New Roman" w:hAnsi="Times New Roman" w:eastAsia="仿宋" w:cs="Times New Roman"/>
                <w:color w:val="000000"/>
                <w:kern w:val="0"/>
                <w:sz w:val="24"/>
                <w:szCs w:val="24"/>
                <w:highlight w:val="none"/>
                <w:lang w:bidi="ar"/>
              </w:rPr>
              <w:t>财政预算资金及时到位资金与应到位资金的比率，用以反映和考核资金落实情况对项目实施的总体保障程度。</w:t>
            </w:r>
            <w:r>
              <w:rPr>
                <w:rFonts w:hint="eastAsia" w:ascii="Times New Roman" w:hAnsi="Times New Roman" w:eastAsia="仿宋" w:cs="Times New Roman"/>
                <w:color w:val="000000"/>
                <w:kern w:val="0"/>
                <w:sz w:val="24"/>
                <w:szCs w:val="24"/>
                <w:highlight w:val="none"/>
                <w:lang w:bidi="ar"/>
              </w:rPr>
              <w:t>②资金到位率=（实际到位资金/预算资金）×100%；③实际到位资金：一定时期（本年度或项目期）内实际落实到具体项目的资金；④预算资金：一定时期（本年度或项目期内预算安排到具体项目的资金。</w:t>
            </w:r>
          </w:p>
        </w:tc>
        <w:tc>
          <w:tcPr>
            <w:tcW w:w="1759" w:type="pct"/>
            <w:shd w:val="clear" w:color="auto" w:fill="auto"/>
            <w:vAlign w:val="center"/>
          </w:tcPr>
          <w:p>
            <w:pPr>
              <w:widowControl/>
              <w:spacing w:line="400" w:lineRule="exact"/>
              <w:ind w:firstLine="480" w:firstLineChars="200"/>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color w:val="000000"/>
                <w:kern w:val="0"/>
                <w:sz w:val="24"/>
                <w:szCs w:val="24"/>
                <w:highlight w:val="none"/>
                <w:lang w:bidi="ar"/>
              </w:rPr>
              <w:t>资金到位率等于100%，得满分；&lt;60%，不得分；60%-100%之间按比例得分。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55"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60"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B12</w:t>
            </w:r>
            <w:r>
              <w:rPr>
                <w:rFonts w:hint="eastAsia" w:ascii="Times New Roman" w:hAnsi="Times New Roman" w:eastAsia="仿宋" w:cs="Times New Roman"/>
                <w:color w:val="000000"/>
                <w:kern w:val="0"/>
                <w:sz w:val="24"/>
                <w:szCs w:val="24"/>
                <w:highlight w:val="none"/>
                <w:lang w:bidi="ar"/>
              </w:rPr>
              <w:t>预算执行率</w:t>
            </w:r>
          </w:p>
        </w:tc>
        <w:tc>
          <w:tcPr>
            <w:tcW w:w="219" w:type="pc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4</w:t>
            </w:r>
            <w:r>
              <w:rPr>
                <w:rFonts w:ascii="Times New Roman" w:hAnsi="Times New Roman" w:eastAsia="仿宋" w:cs="Times New Roman"/>
                <w:color w:val="000000"/>
                <w:kern w:val="0"/>
                <w:sz w:val="24"/>
                <w:szCs w:val="24"/>
                <w:highlight w:val="none"/>
                <w:lang w:bidi="ar"/>
              </w:rPr>
              <w:t>.00</w:t>
            </w:r>
          </w:p>
        </w:tc>
        <w:tc>
          <w:tcPr>
            <w:tcW w:w="347"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≥90%</w:t>
            </w:r>
          </w:p>
        </w:tc>
        <w:tc>
          <w:tcPr>
            <w:tcW w:w="1330"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①项目预算资金是否按照计划执行，用以反映或考核项目预算执行情况。②预算执行率=（实际支出资金/实际到位资金）×100%；③实际支出资金：一定时期（本年度或项目期）内项目实际拨付的资金。</w:t>
            </w:r>
          </w:p>
        </w:tc>
        <w:tc>
          <w:tcPr>
            <w:tcW w:w="175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预算执行率大于等于90%，得满分；&lt;60%，不得分；60%-90%之间按比例得分。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sz w:val="24"/>
                <w:szCs w:val="24"/>
                <w:highlight w:val="none"/>
              </w:rPr>
            </w:pPr>
          </w:p>
        </w:tc>
        <w:tc>
          <w:tcPr>
            <w:tcW w:w="455"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sz w:val="24"/>
                <w:szCs w:val="24"/>
                <w:highlight w:val="none"/>
              </w:rPr>
            </w:pPr>
          </w:p>
        </w:tc>
        <w:tc>
          <w:tcPr>
            <w:tcW w:w="460"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B13</w:t>
            </w:r>
            <w:r>
              <w:rPr>
                <w:rFonts w:ascii="Times New Roman" w:hAnsi="Times New Roman" w:eastAsia="仿宋" w:cs="Times New Roman"/>
                <w:color w:val="000000"/>
                <w:kern w:val="0"/>
                <w:sz w:val="24"/>
                <w:szCs w:val="24"/>
                <w:highlight w:val="none"/>
                <w:lang w:bidi="ar"/>
              </w:rPr>
              <w:t>资金使用合规性</w:t>
            </w:r>
          </w:p>
        </w:tc>
        <w:tc>
          <w:tcPr>
            <w:tcW w:w="219" w:type="pc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sz w:val="24"/>
                <w:szCs w:val="24"/>
                <w:highlight w:val="none"/>
              </w:rPr>
              <w:t>4</w:t>
            </w:r>
            <w:r>
              <w:rPr>
                <w:rFonts w:ascii="Times New Roman" w:hAnsi="Times New Roman" w:eastAsia="仿宋" w:cs="Times New Roman"/>
                <w:color w:val="000000"/>
                <w:sz w:val="24"/>
                <w:szCs w:val="24"/>
                <w:highlight w:val="none"/>
              </w:rPr>
              <w:t>.00</w:t>
            </w:r>
          </w:p>
        </w:tc>
        <w:tc>
          <w:tcPr>
            <w:tcW w:w="347"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合规</w:t>
            </w:r>
          </w:p>
        </w:tc>
        <w:tc>
          <w:tcPr>
            <w:tcW w:w="1330"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项目资金使用是否符合相关的财务管理制度规定，用以反映和考核项目资金的规范运行情况。</w:t>
            </w:r>
          </w:p>
        </w:tc>
        <w:tc>
          <w:tcPr>
            <w:tcW w:w="175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宋体" w:hAnsi="宋体" w:eastAsia="宋体" w:cs="宋体"/>
                <w:color w:val="000000"/>
                <w:kern w:val="0"/>
                <w:sz w:val="24"/>
                <w:szCs w:val="24"/>
                <w:highlight w:val="none"/>
                <w:lang w:bidi="ar"/>
              </w:rPr>
              <w:t>①</w:t>
            </w:r>
            <w:r>
              <w:rPr>
                <w:rFonts w:ascii="Times New Roman" w:hAnsi="Times New Roman" w:eastAsia="仿宋" w:cs="Times New Roman"/>
                <w:color w:val="000000"/>
                <w:kern w:val="0"/>
                <w:sz w:val="24"/>
                <w:szCs w:val="24"/>
                <w:highlight w:val="none"/>
                <w:lang w:bidi="ar"/>
              </w:rPr>
              <w:t>是否符合国家财经法规和财务管理制度以及有关专项资金管理办法的规定；</w:t>
            </w:r>
            <w:r>
              <w:rPr>
                <w:rFonts w:hint="eastAsia" w:ascii="宋体" w:hAnsi="宋体" w:eastAsia="宋体" w:cs="宋体"/>
                <w:color w:val="000000"/>
                <w:kern w:val="0"/>
                <w:sz w:val="24"/>
                <w:szCs w:val="24"/>
                <w:highlight w:val="none"/>
                <w:lang w:bidi="ar"/>
              </w:rPr>
              <w:t>②</w:t>
            </w:r>
            <w:r>
              <w:rPr>
                <w:rFonts w:ascii="Times New Roman" w:hAnsi="Times New Roman" w:eastAsia="仿宋" w:cs="Times New Roman"/>
                <w:color w:val="000000"/>
                <w:kern w:val="0"/>
                <w:sz w:val="24"/>
                <w:szCs w:val="24"/>
                <w:highlight w:val="none"/>
                <w:lang w:bidi="ar"/>
              </w:rPr>
              <w:t>资金的拨付是否有完整的审批程序和手续；</w:t>
            </w:r>
            <w:r>
              <w:rPr>
                <w:rFonts w:hint="eastAsia" w:ascii="宋体" w:hAnsi="宋体" w:eastAsia="宋体" w:cs="宋体"/>
                <w:color w:val="000000"/>
                <w:kern w:val="0"/>
                <w:sz w:val="24"/>
                <w:szCs w:val="24"/>
                <w:highlight w:val="none"/>
                <w:lang w:bidi="ar"/>
              </w:rPr>
              <w:t>③</w:t>
            </w:r>
            <w:r>
              <w:rPr>
                <w:rFonts w:ascii="Times New Roman" w:hAnsi="Times New Roman" w:eastAsia="仿宋" w:cs="Times New Roman"/>
                <w:color w:val="000000"/>
                <w:kern w:val="0"/>
                <w:sz w:val="24"/>
                <w:szCs w:val="24"/>
                <w:highlight w:val="none"/>
                <w:lang w:bidi="ar"/>
              </w:rPr>
              <w:t>是否符合项目预算批复或文件规定的用途；</w:t>
            </w:r>
            <w:r>
              <w:rPr>
                <w:rFonts w:hint="eastAsia" w:ascii="宋体" w:hAnsi="宋体" w:eastAsia="宋体" w:cs="宋体"/>
                <w:color w:val="000000"/>
                <w:kern w:val="0"/>
                <w:sz w:val="24"/>
                <w:szCs w:val="24"/>
                <w:highlight w:val="none"/>
                <w:lang w:bidi="ar"/>
              </w:rPr>
              <w:t>④</w:t>
            </w:r>
            <w:r>
              <w:rPr>
                <w:rFonts w:ascii="Times New Roman" w:hAnsi="Times New Roman" w:eastAsia="仿宋" w:cs="Times New Roman"/>
                <w:color w:val="000000"/>
                <w:kern w:val="0"/>
                <w:sz w:val="24"/>
                <w:szCs w:val="24"/>
                <w:highlight w:val="none"/>
                <w:lang w:bidi="ar"/>
              </w:rPr>
              <w:t>是否存在截留、挤占、挪用、虚列支出等情况</w:t>
            </w:r>
            <w:r>
              <w:rPr>
                <w:rFonts w:hint="eastAsia" w:ascii="Times New Roman" w:hAnsi="Times New Roman" w:eastAsia="仿宋" w:cs="Times New Roman"/>
                <w:color w:val="000000"/>
                <w:kern w:val="0"/>
                <w:sz w:val="24"/>
                <w:szCs w:val="24"/>
                <w:highlight w:val="none"/>
                <w:lang w:bidi="ar"/>
              </w:rPr>
              <w:t>。</w:t>
            </w:r>
            <w:r>
              <w:rPr>
                <w:rFonts w:ascii="Times New Roman" w:hAnsi="Times New Roman" w:eastAsia="仿宋" w:cs="Times New Roman"/>
                <w:color w:val="000000"/>
                <w:kern w:val="0"/>
                <w:sz w:val="24"/>
                <w:szCs w:val="24"/>
                <w:highlight w:val="none"/>
                <w:lang w:bidi="ar"/>
              </w:rPr>
              <w:t>出现任一违规现象不得分。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55" w:type="pct"/>
            <w:vMerge w:val="restart"/>
            <w:shd w:val="clear" w:color="auto" w:fill="auto"/>
            <w:vAlign w:val="center"/>
          </w:tcPr>
          <w:p>
            <w:pPr>
              <w:spacing w:line="400" w:lineRule="exact"/>
              <w:jc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bidi="ar"/>
              </w:rPr>
              <w:t>B2组织实施（8）</w:t>
            </w:r>
          </w:p>
        </w:tc>
        <w:tc>
          <w:tcPr>
            <w:tcW w:w="460"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B21管理制度健全性</w:t>
            </w:r>
          </w:p>
        </w:tc>
        <w:tc>
          <w:tcPr>
            <w:tcW w:w="219" w:type="pc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val="en-US" w:eastAsia="zh-CN" w:bidi="ar"/>
              </w:rPr>
              <w:t>2</w:t>
            </w:r>
            <w:r>
              <w:rPr>
                <w:rFonts w:ascii="Times New Roman" w:hAnsi="Times New Roman" w:eastAsia="仿宋" w:cs="Times New Roman"/>
                <w:color w:val="000000"/>
                <w:kern w:val="0"/>
                <w:sz w:val="24"/>
                <w:szCs w:val="24"/>
                <w:highlight w:val="none"/>
                <w:lang w:bidi="ar"/>
              </w:rPr>
              <w:t>.00</w:t>
            </w:r>
          </w:p>
        </w:tc>
        <w:tc>
          <w:tcPr>
            <w:tcW w:w="347"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健全</w:t>
            </w:r>
          </w:p>
        </w:tc>
        <w:tc>
          <w:tcPr>
            <w:tcW w:w="1330"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项目实施单位的财务和业务管理制度是否健全，用以反映和考核财务和业务管理制度对项目顺利实施的保障情况。</w:t>
            </w:r>
          </w:p>
        </w:tc>
        <w:tc>
          <w:tcPr>
            <w:tcW w:w="175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①是否已制定或具有相应的财务和业务管理制度；②财务和业务管理制度是否合法、合规、完整。符合所有条件得满分；一项不符合，扣50%比例的分数。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p>
        </w:tc>
        <w:tc>
          <w:tcPr>
            <w:tcW w:w="455" w:type="pct"/>
            <w:vMerge w:val="continue"/>
            <w:shd w:val="clear" w:color="auto" w:fill="auto"/>
            <w:vAlign w:val="center"/>
          </w:tcPr>
          <w:p>
            <w:pPr>
              <w:spacing w:line="400" w:lineRule="exact"/>
              <w:rPr>
                <w:rFonts w:ascii="仿宋" w:hAnsi="仿宋" w:eastAsia="仿宋" w:cs="宋体"/>
                <w:sz w:val="22"/>
                <w:highlight w:val="none"/>
              </w:rPr>
            </w:pPr>
          </w:p>
        </w:tc>
        <w:tc>
          <w:tcPr>
            <w:tcW w:w="460"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B22制度执行有效性</w:t>
            </w:r>
          </w:p>
        </w:tc>
        <w:tc>
          <w:tcPr>
            <w:tcW w:w="219" w:type="pct"/>
            <w:shd w:val="clear" w:color="auto" w:fill="auto"/>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lang w:bidi="ar"/>
              </w:rPr>
            </w:pPr>
            <w:r>
              <w:rPr>
                <w:rFonts w:hint="eastAsia" w:ascii="Times New Roman" w:hAnsi="Times New Roman" w:eastAsia="仿宋" w:cs="Times New Roman"/>
                <w:color w:val="000000"/>
                <w:kern w:val="0"/>
                <w:sz w:val="24"/>
                <w:szCs w:val="24"/>
                <w:highlight w:val="none"/>
                <w:lang w:val="en-US" w:eastAsia="zh-CN" w:bidi="ar"/>
              </w:rPr>
              <w:t>6</w:t>
            </w:r>
            <w:r>
              <w:rPr>
                <w:rFonts w:ascii="Times New Roman" w:hAnsi="Times New Roman" w:eastAsia="仿宋" w:cs="Times New Roman"/>
                <w:color w:val="000000"/>
                <w:kern w:val="0"/>
                <w:sz w:val="24"/>
                <w:szCs w:val="24"/>
                <w:highlight w:val="none"/>
                <w:lang w:bidi="ar"/>
              </w:rPr>
              <w:t>.00</w:t>
            </w:r>
          </w:p>
        </w:tc>
        <w:tc>
          <w:tcPr>
            <w:tcW w:w="347"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有效</w:t>
            </w:r>
          </w:p>
        </w:tc>
        <w:tc>
          <w:tcPr>
            <w:tcW w:w="1330"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项目实施是否符合相关管理规定，用以反映和考核相关管理制度的有效执行情况。</w:t>
            </w:r>
          </w:p>
        </w:tc>
        <w:tc>
          <w:tcPr>
            <w:tcW w:w="175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lang w:bidi="ar"/>
              </w:rPr>
              <w:t>①是否遵守相关法律法规和相关管理规定；②项目调整及支出调整手续是否完备；③项目合同书、验收报告、技术鉴定等资料是否齐全并及时归档；④项目实施的人员条件、场地设备、信息支撑等是否落实到位。</w:t>
            </w:r>
            <w:r>
              <w:rPr>
                <w:rFonts w:ascii="Times New Roman" w:hAnsi="Times New Roman" w:eastAsia="仿宋" w:cs="Times New Roman"/>
                <w:color w:val="000000"/>
                <w:kern w:val="0"/>
                <w:sz w:val="24"/>
                <w:szCs w:val="24"/>
                <w:highlight w:val="none"/>
                <w:lang w:bidi="ar"/>
              </w:rPr>
              <w:t>存在一项未按规定执行的，扣权重分的</w:t>
            </w:r>
            <w:r>
              <w:rPr>
                <w:rFonts w:hint="eastAsia" w:ascii="Times New Roman" w:hAnsi="Times New Roman" w:eastAsia="仿宋" w:cs="Times New Roman"/>
                <w:color w:val="000000"/>
                <w:kern w:val="0"/>
                <w:sz w:val="24"/>
                <w:szCs w:val="24"/>
                <w:highlight w:val="none"/>
                <w:lang w:bidi="ar"/>
              </w:rPr>
              <w:t>25</w:t>
            </w:r>
            <w:r>
              <w:rPr>
                <w:rFonts w:ascii="Times New Roman" w:hAnsi="Times New Roman" w:eastAsia="仿宋" w:cs="Times New Roman"/>
                <w:color w:val="000000"/>
                <w:kern w:val="0"/>
                <w:sz w:val="24"/>
                <w:szCs w:val="24"/>
                <w:highlight w:val="none"/>
                <w:lang w:bidi="ar"/>
              </w:rPr>
              <w:t>%，扣完为止。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restar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C产出（30）</w:t>
            </w:r>
          </w:p>
        </w:tc>
        <w:tc>
          <w:tcPr>
            <w:tcW w:w="455"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C1产出数量（</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60"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C11</w:t>
            </w:r>
            <w:r>
              <w:rPr>
                <w:rFonts w:hint="eastAsia" w:ascii="Times New Roman" w:hAnsi="Times New Roman" w:eastAsia="仿宋" w:cs="Times New Roman"/>
                <w:color w:val="000000"/>
                <w:sz w:val="24"/>
                <w:szCs w:val="24"/>
                <w:highlight w:val="none"/>
                <w:lang w:val="en-US" w:eastAsia="zh-CN"/>
              </w:rPr>
              <w:t>项目完成情况</w:t>
            </w:r>
          </w:p>
        </w:tc>
        <w:tc>
          <w:tcPr>
            <w:tcW w:w="219"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8.</w:t>
            </w:r>
            <w:r>
              <w:rPr>
                <w:rFonts w:ascii="Times New Roman" w:hAnsi="Times New Roman" w:eastAsia="仿宋" w:cs="Times New Roman"/>
                <w:color w:val="000000"/>
                <w:sz w:val="24"/>
                <w:szCs w:val="24"/>
                <w:highlight w:val="none"/>
              </w:rPr>
              <w:t>00</w:t>
            </w:r>
          </w:p>
        </w:tc>
        <w:tc>
          <w:tcPr>
            <w:tcW w:w="347" w:type="pct"/>
            <w:shd w:val="clear" w:color="auto" w:fill="auto"/>
            <w:vAlign w:val="center"/>
          </w:tcPr>
          <w:p>
            <w:pPr>
              <w:spacing w:line="400" w:lineRule="exact"/>
              <w:jc w:val="center"/>
              <w:rPr>
                <w:rFonts w:hint="eastAsia"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完成</w:t>
            </w:r>
          </w:p>
        </w:tc>
        <w:tc>
          <w:tcPr>
            <w:tcW w:w="1330"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评价项目完成目标的实现程度，是否符合项目计划和文件规定中的预期总目标。</w:t>
            </w:r>
          </w:p>
        </w:tc>
        <w:tc>
          <w:tcPr>
            <w:tcW w:w="1759"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一包涉及内容全部完成，得90%权重分；二包涉及内容全部完成，得10%权重分</w:t>
            </w:r>
            <w:r>
              <w:rPr>
                <w:rFonts w:hint="eastAsia" w:ascii="Times New Roman" w:hAnsi="Times New Roman" w:eastAsia="仿宋" w:cs="Times New Roman"/>
                <w:color w:val="00000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shd w:val="clear" w:color="auto" w:fill="auto"/>
          </w:tcPr>
          <w:p>
            <w:pPr>
              <w:spacing w:line="400" w:lineRule="exact"/>
              <w:jc w:val="center"/>
              <w:rPr>
                <w:rFonts w:ascii="Times New Roman" w:hAnsi="Times New Roman" w:eastAsia="仿宋" w:cs="Times New Roman"/>
                <w:color w:val="000000"/>
                <w:sz w:val="24"/>
                <w:szCs w:val="24"/>
                <w:highlight w:val="none"/>
              </w:rPr>
            </w:pPr>
          </w:p>
        </w:tc>
        <w:tc>
          <w:tcPr>
            <w:tcW w:w="455"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C2产出质量（</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60"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C2</w:t>
            </w:r>
            <w:r>
              <w:rPr>
                <w:rFonts w:hint="eastAsia" w:ascii="Times New Roman" w:hAnsi="Times New Roman" w:eastAsia="仿宋" w:cs="Times New Roman"/>
                <w:color w:val="000000"/>
                <w:sz w:val="24"/>
                <w:szCs w:val="24"/>
                <w:highlight w:val="none"/>
              </w:rPr>
              <w:t>1</w:t>
            </w:r>
            <w:r>
              <w:rPr>
                <w:rFonts w:ascii="Times New Roman" w:hAnsi="Times New Roman" w:eastAsia="仿宋" w:cs="Times New Roman"/>
                <w:color w:val="000000"/>
                <w:sz w:val="24"/>
                <w:szCs w:val="24"/>
                <w:highlight w:val="none"/>
              </w:rPr>
              <w:t>质量达标情况</w:t>
            </w:r>
          </w:p>
        </w:tc>
        <w:tc>
          <w:tcPr>
            <w:tcW w:w="219"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.00</w:t>
            </w:r>
          </w:p>
        </w:tc>
        <w:tc>
          <w:tcPr>
            <w:tcW w:w="347"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合格</w:t>
            </w:r>
          </w:p>
        </w:tc>
        <w:tc>
          <w:tcPr>
            <w:tcW w:w="1330" w:type="pct"/>
            <w:shd w:val="clear" w:color="auto" w:fill="auto"/>
            <w:vAlign w:val="center"/>
          </w:tcPr>
          <w:p>
            <w:pPr>
              <w:spacing w:line="400" w:lineRule="exact"/>
              <w:jc w:val="center"/>
              <w:rPr>
                <w:rFonts w:ascii="Times New Roman" w:hAnsi="Times New Roman" w:eastAsia="仿宋" w:cs="Times New Roman"/>
                <w:color w:val="000000"/>
                <w:kern w:val="0"/>
                <w:sz w:val="24"/>
                <w:szCs w:val="24"/>
                <w:highlight w:val="none"/>
                <w:lang w:bidi="ar"/>
              </w:rPr>
            </w:pPr>
            <w:r>
              <w:rPr>
                <w:rFonts w:ascii="Times New Roman" w:hAnsi="Times New Roman" w:eastAsia="仿宋" w:cs="Times New Roman"/>
                <w:color w:val="000000"/>
                <w:kern w:val="0"/>
                <w:sz w:val="24"/>
                <w:szCs w:val="24"/>
                <w:highlight w:val="none"/>
                <w:lang w:bidi="ar"/>
              </w:rPr>
              <w:t>考核项目的质量是否达到国家、省市级</w:t>
            </w:r>
            <w:r>
              <w:rPr>
                <w:rFonts w:hint="eastAsia" w:ascii="Times New Roman" w:hAnsi="Times New Roman" w:eastAsia="仿宋" w:cs="Times New Roman"/>
                <w:color w:val="000000"/>
                <w:kern w:val="0"/>
                <w:sz w:val="24"/>
                <w:szCs w:val="24"/>
                <w:highlight w:val="none"/>
                <w:lang w:val="en-US" w:eastAsia="zh-CN" w:bidi="ar"/>
              </w:rPr>
              <w:t>要求</w:t>
            </w:r>
            <w:r>
              <w:rPr>
                <w:rFonts w:ascii="Times New Roman" w:hAnsi="Times New Roman" w:eastAsia="仿宋" w:cs="Times New Roman"/>
                <w:color w:val="000000"/>
                <w:kern w:val="0"/>
                <w:sz w:val="24"/>
                <w:szCs w:val="24"/>
                <w:highlight w:val="none"/>
                <w:lang w:bidi="ar"/>
              </w:rPr>
              <w:t>、</w:t>
            </w:r>
            <w:r>
              <w:rPr>
                <w:rFonts w:hint="eastAsia" w:ascii="Times New Roman" w:hAnsi="Times New Roman" w:eastAsia="仿宋" w:cs="Times New Roman"/>
                <w:color w:val="000000"/>
                <w:kern w:val="0"/>
                <w:sz w:val="24"/>
                <w:szCs w:val="24"/>
                <w:highlight w:val="none"/>
                <w:lang w:val="en-US" w:eastAsia="zh-CN" w:bidi="ar"/>
              </w:rPr>
              <w:t>是否符合</w:t>
            </w:r>
            <w:r>
              <w:rPr>
                <w:rFonts w:ascii="Times New Roman" w:hAnsi="Times New Roman" w:eastAsia="仿宋" w:cs="Times New Roman"/>
                <w:color w:val="000000"/>
                <w:kern w:val="0"/>
                <w:sz w:val="24"/>
                <w:szCs w:val="24"/>
                <w:highlight w:val="none"/>
                <w:lang w:bidi="ar"/>
              </w:rPr>
              <w:t>合同规定</w:t>
            </w:r>
            <w:r>
              <w:rPr>
                <w:rFonts w:hint="eastAsia" w:ascii="Times New Roman" w:hAnsi="Times New Roman" w:eastAsia="仿宋" w:cs="Times New Roman"/>
                <w:color w:val="000000"/>
                <w:kern w:val="0"/>
                <w:sz w:val="24"/>
                <w:szCs w:val="24"/>
                <w:highlight w:val="none"/>
                <w:lang w:bidi="ar"/>
              </w:rPr>
              <w:t>。</w:t>
            </w:r>
          </w:p>
        </w:tc>
        <w:tc>
          <w:tcPr>
            <w:tcW w:w="1759" w:type="pct"/>
            <w:shd w:val="clear" w:color="auto" w:fill="auto"/>
            <w:vAlign w:val="center"/>
          </w:tcPr>
          <w:p>
            <w:pPr>
              <w:spacing w:line="400" w:lineRule="exact"/>
              <w:jc w:val="center"/>
              <w:rPr>
                <w:rFonts w:ascii="宋体" w:hAnsi="宋体" w:eastAsia="仿宋" w:cs="宋体"/>
                <w:color w:val="000000"/>
                <w:kern w:val="0"/>
                <w:sz w:val="24"/>
                <w:szCs w:val="24"/>
                <w:highlight w:val="none"/>
                <w:lang w:bidi="ar"/>
              </w:rPr>
            </w:pPr>
            <w:r>
              <w:rPr>
                <w:rFonts w:hint="eastAsia" w:ascii="Times New Roman" w:hAnsi="Times New Roman" w:eastAsia="仿宋" w:cs="Times New Roman"/>
                <w:color w:val="000000"/>
                <w:sz w:val="24"/>
                <w:szCs w:val="24"/>
                <w:highlight w:val="none"/>
                <w:lang w:val="en-US" w:eastAsia="zh-CN"/>
              </w:rPr>
              <w:t>一包涉及内容质量合格，得90%权重分；二包涉及内容质量合格，得10%权重分</w:t>
            </w:r>
            <w:r>
              <w:rPr>
                <w:rFonts w:hint="eastAsia" w:ascii="Times New Roman" w:hAnsi="Times New Roman" w:eastAsia="仿宋" w:cs="Times New Roman"/>
                <w:color w:val="00000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shd w:val="clear" w:color="auto" w:fill="auto"/>
          </w:tcPr>
          <w:p>
            <w:pPr>
              <w:spacing w:line="400" w:lineRule="exact"/>
              <w:jc w:val="center"/>
              <w:rPr>
                <w:rFonts w:ascii="Times New Roman" w:hAnsi="Times New Roman" w:eastAsia="仿宋" w:cs="Times New Roman"/>
                <w:color w:val="000000"/>
                <w:sz w:val="24"/>
                <w:szCs w:val="24"/>
                <w:highlight w:val="none"/>
              </w:rPr>
            </w:pPr>
          </w:p>
        </w:tc>
        <w:tc>
          <w:tcPr>
            <w:tcW w:w="455" w:type="pct"/>
            <w:vMerge w:val="restar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C3产出时效（</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60"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C31</w:t>
            </w:r>
            <w:r>
              <w:rPr>
                <w:rFonts w:ascii="Times New Roman" w:hAnsi="Times New Roman" w:eastAsia="仿宋" w:cs="Times New Roman"/>
                <w:color w:val="000000"/>
                <w:sz w:val="24"/>
                <w:szCs w:val="24"/>
                <w:highlight w:val="none"/>
              </w:rPr>
              <w:t>项目完工及时性</w:t>
            </w:r>
          </w:p>
        </w:tc>
        <w:tc>
          <w:tcPr>
            <w:tcW w:w="219"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4</w:t>
            </w:r>
            <w:r>
              <w:rPr>
                <w:rFonts w:ascii="Times New Roman" w:hAnsi="Times New Roman" w:eastAsia="仿宋" w:cs="Times New Roman"/>
                <w:color w:val="000000"/>
                <w:sz w:val="24"/>
                <w:szCs w:val="24"/>
                <w:highlight w:val="none"/>
              </w:rPr>
              <w:t>.00</w:t>
            </w:r>
          </w:p>
        </w:tc>
        <w:tc>
          <w:tcPr>
            <w:tcW w:w="347"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100%</w:t>
            </w:r>
          </w:p>
        </w:tc>
        <w:tc>
          <w:tcPr>
            <w:tcW w:w="1330"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kern w:val="0"/>
                <w:sz w:val="24"/>
                <w:szCs w:val="24"/>
                <w:highlight w:val="none"/>
              </w:rPr>
              <w:t>反映和考核项目完成是否按项目计划要求时限及时完成，项目完成及时率=计划工期/实际工期*100%</w:t>
            </w:r>
          </w:p>
        </w:tc>
        <w:tc>
          <w:tcPr>
            <w:tcW w:w="1759"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一包涉及内容全部及时完成，得90%权重分；二包涉及内容全部及时完成，得10%权重分</w:t>
            </w:r>
            <w:r>
              <w:rPr>
                <w:rFonts w:hint="eastAsia" w:ascii="Times New Roman" w:hAnsi="Times New Roman" w:eastAsia="仿宋" w:cs="Times New Roman"/>
                <w:color w:val="00000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shd w:val="clear" w:color="auto" w:fill="auto"/>
          </w:tcPr>
          <w:p>
            <w:pPr>
              <w:spacing w:line="400" w:lineRule="exact"/>
              <w:jc w:val="center"/>
              <w:rPr>
                <w:rFonts w:ascii="Times New Roman" w:hAnsi="Times New Roman" w:eastAsia="仿宋" w:cs="Times New Roman"/>
                <w:color w:val="000000"/>
                <w:sz w:val="24"/>
                <w:szCs w:val="24"/>
                <w:highlight w:val="none"/>
              </w:rPr>
            </w:pPr>
          </w:p>
        </w:tc>
        <w:tc>
          <w:tcPr>
            <w:tcW w:w="455" w:type="pct"/>
            <w:vMerge w:val="continue"/>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p>
        </w:tc>
        <w:tc>
          <w:tcPr>
            <w:tcW w:w="460"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C32项目验收及时性</w:t>
            </w:r>
          </w:p>
        </w:tc>
        <w:tc>
          <w:tcPr>
            <w:tcW w:w="219"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4</w:t>
            </w:r>
            <w:r>
              <w:rPr>
                <w:rFonts w:hint="eastAsia" w:ascii="Times New Roman" w:hAnsi="Times New Roman" w:eastAsia="仿宋" w:cs="Times New Roman"/>
                <w:color w:val="000000"/>
                <w:sz w:val="24"/>
                <w:szCs w:val="24"/>
                <w:highlight w:val="none"/>
              </w:rPr>
              <w:t>.00</w:t>
            </w:r>
          </w:p>
        </w:tc>
        <w:tc>
          <w:tcPr>
            <w:tcW w:w="347"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及时</w:t>
            </w:r>
          </w:p>
        </w:tc>
        <w:tc>
          <w:tcPr>
            <w:tcW w:w="1330" w:type="pct"/>
            <w:shd w:val="clear" w:color="auto" w:fill="auto"/>
            <w:vAlign w:val="center"/>
          </w:tcPr>
          <w:p>
            <w:pPr>
              <w:spacing w:line="400" w:lineRule="exact"/>
              <w:jc w:val="center"/>
              <w:rPr>
                <w:rFonts w:ascii="Times New Roman" w:hAnsi="Times New Roman" w:eastAsia="仿宋" w:cs="Times New Roman"/>
                <w:kern w:val="0"/>
                <w:sz w:val="24"/>
                <w:szCs w:val="24"/>
                <w:highlight w:val="none"/>
              </w:rPr>
            </w:pPr>
            <w:r>
              <w:rPr>
                <w:rFonts w:ascii="Times New Roman" w:hAnsi="Times New Roman" w:eastAsia="仿宋" w:cs="Times New Roman"/>
                <w:color w:val="000000"/>
                <w:kern w:val="0"/>
                <w:sz w:val="24"/>
                <w:szCs w:val="24"/>
                <w:highlight w:val="none"/>
                <w:lang w:bidi="ar"/>
              </w:rPr>
              <w:t>分析评价项目验收是否及时。</w:t>
            </w:r>
          </w:p>
        </w:tc>
        <w:tc>
          <w:tcPr>
            <w:tcW w:w="1759" w:type="pct"/>
            <w:shd w:val="clear" w:color="auto" w:fill="auto"/>
            <w:vAlign w:val="center"/>
          </w:tcPr>
          <w:p>
            <w:pPr>
              <w:spacing w:line="400" w:lineRule="exact"/>
              <w:jc w:val="center"/>
              <w:rPr>
                <w:rFonts w:ascii="Times New Roman" w:hAnsi="Times New Roman" w:eastAsia="仿宋" w:cs="Times New Roman"/>
                <w:kern w:val="0"/>
                <w:sz w:val="24"/>
                <w:szCs w:val="24"/>
                <w:highlight w:val="none"/>
              </w:rPr>
            </w:pPr>
            <w:r>
              <w:rPr>
                <w:rFonts w:hint="eastAsia" w:ascii="宋体" w:hAnsi="宋体" w:eastAsia="宋体" w:cs="宋体"/>
                <w:color w:val="000000"/>
                <w:kern w:val="0"/>
                <w:sz w:val="24"/>
                <w:szCs w:val="24"/>
                <w:highlight w:val="none"/>
                <w:lang w:bidi="ar"/>
              </w:rPr>
              <w:t>①</w:t>
            </w:r>
            <w:r>
              <w:rPr>
                <w:rFonts w:ascii="Times New Roman" w:hAnsi="Times New Roman" w:eastAsia="仿宋" w:cs="Times New Roman"/>
                <w:color w:val="000000"/>
                <w:kern w:val="0"/>
                <w:sz w:val="24"/>
                <w:szCs w:val="24"/>
                <w:highlight w:val="none"/>
                <w:lang w:bidi="ar"/>
              </w:rPr>
              <w:t>项目在规定时间内及时验收得</w:t>
            </w:r>
            <w:r>
              <w:rPr>
                <w:rFonts w:hint="eastAsia" w:ascii="Times New Roman" w:hAnsi="Times New Roman" w:eastAsia="仿宋" w:cs="Times New Roman"/>
                <w:color w:val="000000"/>
                <w:kern w:val="0"/>
                <w:sz w:val="24"/>
                <w:szCs w:val="24"/>
                <w:highlight w:val="none"/>
                <w:lang w:val="en-US" w:eastAsia="zh-CN" w:bidi="ar"/>
              </w:rPr>
              <w:t>2</w:t>
            </w:r>
            <w:r>
              <w:rPr>
                <w:rFonts w:ascii="Times New Roman" w:hAnsi="Times New Roman" w:eastAsia="仿宋" w:cs="Times New Roman"/>
                <w:color w:val="000000"/>
                <w:kern w:val="0"/>
                <w:sz w:val="24"/>
                <w:szCs w:val="24"/>
                <w:highlight w:val="none"/>
                <w:lang w:bidi="ar"/>
              </w:rPr>
              <w:t>分；</w:t>
            </w:r>
            <w:r>
              <w:rPr>
                <w:rFonts w:hint="eastAsia" w:ascii="宋体" w:hAnsi="宋体" w:eastAsia="宋体" w:cs="宋体"/>
                <w:color w:val="000000"/>
                <w:kern w:val="0"/>
                <w:sz w:val="24"/>
                <w:szCs w:val="24"/>
                <w:highlight w:val="none"/>
                <w:lang w:bidi="ar"/>
              </w:rPr>
              <w:t>②</w:t>
            </w:r>
            <w:r>
              <w:rPr>
                <w:rFonts w:ascii="Times New Roman" w:hAnsi="Times New Roman" w:eastAsia="仿宋" w:cs="Times New Roman"/>
                <w:color w:val="000000"/>
                <w:kern w:val="0"/>
                <w:sz w:val="24"/>
                <w:szCs w:val="24"/>
                <w:highlight w:val="none"/>
                <w:lang w:bidi="ar"/>
              </w:rPr>
              <w:t>不影响项目的资金拨付进度得</w:t>
            </w:r>
            <w:r>
              <w:rPr>
                <w:rFonts w:hint="eastAsia" w:ascii="Times New Roman" w:hAnsi="Times New Roman" w:eastAsia="仿宋" w:cs="Times New Roman"/>
                <w:color w:val="000000"/>
                <w:kern w:val="0"/>
                <w:sz w:val="24"/>
                <w:szCs w:val="24"/>
                <w:highlight w:val="none"/>
                <w:lang w:val="en-US" w:eastAsia="zh-CN" w:bidi="ar"/>
              </w:rPr>
              <w:t>2</w:t>
            </w:r>
            <w:r>
              <w:rPr>
                <w:rFonts w:ascii="Times New Roman" w:hAnsi="Times New Roman" w:eastAsia="仿宋" w:cs="Times New Roman"/>
                <w:color w:val="000000"/>
                <w:kern w:val="0"/>
                <w:sz w:val="24"/>
                <w:szCs w:val="24"/>
                <w:highlight w:val="none"/>
                <w:lang w:bidi="ar"/>
              </w:rPr>
              <w:t>分。</w:t>
            </w:r>
            <w:r>
              <w:rPr>
                <w:rFonts w:hint="eastAsia" w:ascii="Times New Roman" w:hAnsi="Times New Roman" w:eastAsia="仿宋" w:cs="Times New Roman"/>
                <w:color w:val="000000"/>
                <w:sz w:val="24"/>
                <w:szCs w:val="24"/>
                <w:highlight w:val="none"/>
                <w:lang w:val="en-US" w:eastAsia="zh-CN"/>
              </w:rPr>
              <w:t>一包项目占90%权重分；二包项目占10%权重分</w:t>
            </w:r>
            <w:r>
              <w:rPr>
                <w:rFonts w:hint="eastAsia" w:ascii="Times New Roman" w:hAnsi="Times New Roman" w:eastAsia="仿宋" w:cs="Times New Roman"/>
                <w:color w:val="00000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shd w:val="clear" w:color="auto" w:fill="auto"/>
          </w:tcPr>
          <w:p>
            <w:pPr>
              <w:spacing w:line="400" w:lineRule="exact"/>
              <w:jc w:val="center"/>
              <w:rPr>
                <w:rFonts w:ascii="Times New Roman" w:hAnsi="Times New Roman" w:eastAsia="仿宋" w:cs="Times New Roman"/>
                <w:color w:val="000000"/>
                <w:sz w:val="24"/>
                <w:szCs w:val="24"/>
                <w:highlight w:val="none"/>
              </w:rPr>
            </w:pPr>
          </w:p>
        </w:tc>
        <w:tc>
          <w:tcPr>
            <w:tcW w:w="455" w:type="pct"/>
            <w:shd w:val="clear" w:color="auto" w:fill="auto"/>
            <w:vAlign w:val="center"/>
          </w:tcPr>
          <w:p>
            <w:pPr>
              <w:spacing w:line="400" w:lineRule="exact"/>
              <w:jc w:val="center"/>
              <w:rPr>
                <w:rFonts w:ascii="Times New Roman" w:hAnsi="Times New Roman" w:eastAsia="仿宋" w:cs="Times New Roman"/>
                <w:color w:val="auto"/>
                <w:sz w:val="24"/>
                <w:szCs w:val="24"/>
                <w:highlight w:val="none"/>
              </w:rPr>
            </w:pPr>
            <w:r>
              <w:rPr>
                <w:rFonts w:hint="eastAsia" w:ascii="Times New Roman" w:hAnsi="Times New Roman" w:eastAsia="仿宋" w:cs="Times New Roman"/>
                <w:color w:val="auto"/>
                <w:sz w:val="24"/>
                <w:szCs w:val="24"/>
                <w:highlight w:val="none"/>
              </w:rPr>
              <w:t>C4产出成本（</w:t>
            </w:r>
            <w:r>
              <w:rPr>
                <w:rFonts w:hint="eastAsia" w:ascii="Times New Roman" w:hAnsi="Times New Roman" w:eastAsia="仿宋" w:cs="Times New Roman"/>
                <w:color w:val="auto"/>
                <w:sz w:val="24"/>
                <w:szCs w:val="24"/>
                <w:highlight w:val="none"/>
                <w:lang w:val="en-US" w:eastAsia="zh-CN"/>
              </w:rPr>
              <w:t>6</w:t>
            </w:r>
            <w:r>
              <w:rPr>
                <w:rFonts w:hint="eastAsia" w:ascii="Times New Roman" w:hAnsi="Times New Roman" w:eastAsia="仿宋" w:cs="Times New Roman"/>
                <w:color w:val="auto"/>
                <w:sz w:val="24"/>
                <w:szCs w:val="24"/>
                <w:highlight w:val="none"/>
              </w:rPr>
              <w:t>）</w:t>
            </w:r>
          </w:p>
        </w:tc>
        <w:tc>
          <w:tcPr>
            <w:tcW w:w="460" w:type="pct"/>
            <w:shd w:val="clear" w:color="auto" w:fill="auto"/>
            <w:vAlign w:val="center"/>
          </w:tcPr>
          <w:p>
            <w:pPr>
              <w:spacing w:line="400" w:lineRule="exact"/>
              <w:jc w:val="center"/>
              <w:rPr>
                <w:rFonts w:hint="eastAsia" w:ascii="Times New Roman" w:hAnsi="Times New Roman" w:eastAsia="仿宋" w:cs="Times New Roman"/>
                <w:color w:val="000000"/>
                <w:sz w:val="24"/>
                <w:szCs w:val="24"/>
                <w:highlight w:val="none"/>
                <w:lang w:eastAsia="zh-CN"/>
              </w:rPr>
            </w:pPr>
            <w:r>
              <w:rPr>
                <w:rFonts w:hint="eastAsia" w:ascii="Times New Roman" w:hAnsi="Times New Roman" w:eastAsia="仿宋" w:cs="Times New Roman"/>
                <w:color w:val="000000"/>
                <w:sz w:val="24"/>
                <w:szCs w:val="24"/>
                <w:highlight w:val="none"/>
              </w:rPr>
              <w:t>C41成本</w:t>
            </w:r>
            <w:r>
              <w:rPr>
                <w:rFonts w:hint="eastAsia" w:ascii="Times New Roman" w:hAnsi="Times New Roman" w:eastAsia="仿宋" w:cs="Times New Roman"/>
                <w:color w:val="000000"/>
                <w:sz w:val="24"/>
                <w:szCs w:val="24"/>
                <w:highlight w:val="none"/>
                <w:lang w:val="en-US" w:eastAsia="zh-CN"/>
              </w:rPr>
              <w:t>控制</w:t>
            </w:r>
          </w:p>
        </w:tc>
        <w:tc>
          <w:tcPr>
            <w:tcW w:w="219"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6</w:t>
            </w:r>
            <w:r>
              <w:rPr>
                <w:rFonts w:ascii="Times New Roman" w:hAnsi="Times New Roman" w:eastAsia="仿宋" w:cs="Times New Roman"/>
                <w:color w:val="000000"/>
                <w:sz w:val="24"/>
                <w:szCs w:val="24"/>
                <w:highlight w:val="none"/>
              </w:rPr>
              <w:t>.00</w:t>
            </w:r>
          </w:p>
        </w:tc>
        <w:tc>
          <w:tcPr>
            <w:tcW w:w="347"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≥0%</w:t>
            </w:r>
          </w:p>
        </w:tc>
        <w:tc>
          <w:tcPr>
            <w:tcW w:w="1330"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lang w:bidi="ar"/>
              </w:rPr>
              <w:t>分析评价项目的成本是否控制在预算内，成本节约率=（总费用预算支出额-费用实际支出额）/总费用预算支出额*100%。</w:t>
            </w:r>
          </w:p>
        </w:tc>
        <w:tc>
          <w:tcPr>
            <w:tcW w:w="1759"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成本控制在预算内，成本节约率大于0%，得满分，否则，</w:t>
            </w:r>
            <w:r>
              <w:rPr>
                <w:rFonts w:hint="eastAsia" w:ascii="Times New Roman" w:hAnsi="Times New Roman" w:eastAsia="仿宋" w:cs="Times New Roman"/>
                <w:color w:val="000000"/>
                <w:sz w:val="24"/>
                <w:szCs w:val="24"/>
                <w:highlight w:val="none"/>
              </w:rPr>
              <w:t>每增加1%，扣0.5分，扣完为止。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restart"/>
            <w:shd w:val="clear" w:color="auto" w:fill="auto"/>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rPr>
              <w:t>效益（30）</w:t>
            </w:r>
          </w:p>
        </w:tc>
        <w:tc>
          <w:tcPr>
            <w:tcW w:w="455" w:type="pct"/>
            <w:shd w:val="clear" w:color="auto" w:fill="auto"/>
            <w:vAlign w:val="center"/>
          </w:tcPr>
          <w:p>
            <w:pPr>
              <w:widowControl/>
              <w:spacing w:line="400" w:lineRule="exact"/>
              <w:jc w:val="center"/>
              <w:textAlignment w:val="center"/>
              <w:rPr>
                <w:rFonts w:ascii="Times New Roman" w:hAnsi="Times New Roman" w:eastAsia="仿宋" w:cs="Times New Roman"/>
                <w:color w:val="auto"/>
                <w:sz w:val="24"/>
                <w:szCs w:val="24"/>
                <w:highlight w:val="none"/>
              </w:rPr>
            </w:pPr>
            <w:r>
              <w:rPr>
                <w:rFonts w:hint="eastAsia" w:ascii="Times New Roman" w:hAnsi="Times New Roman" w:eastAsia="仿宋" w:cs="Times New Roman"/>
                <w:color w:val="auto"/>
                <w:sz w:val="24"/>
                <w:szCs w:val="24"/>
                <w:highlight w:val="none"/>
              </w:rPr>
              <w:t>D1社会效益（</w:t>
            </w:r>
            <w:r>
              <w:rPr>
                <w:rFonts w:hint="eastAsia" w:ascii="Times New Roman" w:hAnsi="Times New Roman" w:eastAsia="仿宋" w:cs="Times New Roman"/>
                <w:color w:val="auto"/>
                <w:sz w:val="24"/>
                <w:szCs w:val="24"/>
                <w:highlight w:val="none"/>
                <w:lang w:val="en-US" w:eastAsia="zh-CN"/>
              </w:rPr>
              <w:t>10</w:t>
            </w:r>
            <w:r>
              <w:rPr>
                <w:rFonts w:hint="eastAsia" w:ascii="Times New Roman" w:hAnsi="Times New Roman" w:eastAsia="仿宋" w:cs="Times New Roman"/>
                <w:color w:val="auto"/>
                <w:sz w:val="24"/>
                <w:szCs w:val="24"/>
                <w:highlight w:val="none"/>
              </w:rPr>
              <w:t>）</w:t>
            </w:r>
          </w:p>
        </w:tc>
        <w:tc>
          <w:tcPr>
            <w:tcW w:w="460" w:type="pct"/>
            <w:shd w:val="clear" w:color="auto" w:fill="auto"/>
            <w:vAlign w:val="center"/>
          </w:tcPr>
          <w:p>
            <w:pPr>
              <w:widowControl/>
              <w:spacing w:line="400" w:lineRule="exact"/>
              <w:jc w:val="center"/>
              <w:textAlignment w:val="center"/>
              <w:rPr>
                <w:rFonts w:hint="eastAsia" w:ascii="Times New Roman" w:hAnsi="Times New Roman" w:eastAsia="仿宋" w:cs="Times New Roman"/>
                <w:sz w:val="24"/>
                <w:szCs w:val="24"/>
                <w:highlight w:val="none"/>
                <w:lang w:val="en-US" w:eastAsia="zh-CN"/>
              </w:rPr>
            </w:pPr>
            <w:r>
              <w:rPr>
                <w:rFonts w:ascii="Times New Roman" w:hAnsi="Times New Roman" w:eastAsia="仿宋" w:cs="Times New Roman"/>
                <w:sz w:val="24"/>
                <w:szCs w:val="24"/>
                <w:highlight w:val="none"/>
              </w:rPr>
              <w:t>D1</w:t>
            </w:r>
            <w:r>
              <w:rPr>
                <w:rFonts w:hint="eastAsia" w:ascii="Times New Roman" w:hAnsi="Times New Roman" w:eastAsia="仿宋" w:cs="Times New Roman"/>
                <w:sz w:val="24"/>
                <w:szCs w:val="24"/>
                <w:highlight w:val="none"/>
              </w:rPr>
              <w:t>1</w:t>
            </w:r>
            <w:r>
              <w:rPr>
                <w:rFonts w:hint="eastAsia" w:ascii="Times New Roman" w:hAnsi="Times New Roman" w:eastAsia="仿宋" w:cs="Times New Roman"/>
                <w:sz w:val="24"/>
                <w:szCs w:val="24"/>
                <w:highlight w:val="none"/>
                <w:lang w:val="en-US" w:eastAsia="zh-CN"/>
              </w:rPr>
              <w:t>诊疗能力</w:t>
            </w:r>
          </w:p>
        </w:tc>
        <w:tc>
          <w:tcPr>
            <w:tcW w:w="219"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sz w:val="24"/>
                <w:szCs w:val="24"/>
                <w:highlight w:val="none"/>
                <w:lang w:val="en-US" w:eastAsia="zh-CN"/>
              </w:rPr>
              <w:t>10</w:t>
            </w:r>
            <w:r>
              <w:rPr>
                <w:rFonts w:ascii="Times New Roman" w:hAnsi="Times New Roman" w:eastAsia="仿宋" w:cs="Times New Roman"/>
                <w:sz w:val="24"/>
                <w:szCs w:val="24"/>
                <w:highlight w:val="none"/>
              </w:rPr>
              <w:t>.00</w:t>
            </w:r>
          </w:p>
        </w:tc>
        <w:tc>
          <w:tcPr>
            <w:tcW w:w="347" w:type="pct"/>
            <w:shd w:val="clear" w:color="auto" w:fill="auto"/>
            <w:vAlign w:val="center"/>
          </w:tcPr>
          <w:p>
            <w:pPr>
              <w:widowControl/>
              <w:spacing w:line="400" w:lineRule="exact"/>
              <w:jc w:val="center"/>
              <w:textAlignment w:val="center"/>
              <w:rPr>
                <w:rFonts w:hint="eastAsia" w:ascii="Times New Roman" w:hAnsi="Times New Roman" w:eastAsia="仿宋" w:cs="Times New Roman"/>
                <w:color w:val="000000"/>
                <w:sz w:val="24"/>
                <w:szCs w:val="24"/>
                <w:highlight w:val="none"/>
                <w:lang w:eastAsia="zh-CN"/>
              </w:rPr>
            </w:pPr>
            <w:r>
              <w:rPr>
                <w:rFonts w:hint="eastAsia" w:ascii="Times New Roman" w:hAnsi="Times New Roman" w:eastAsia="仿宋" w:cs="Times New Roman"/>
                <w:color w:val="000000"/>
                <w:sz w:val="24"/>
                <w:szCs w:val="24"/>
                <w:highlight w:val="none"/>
                <w:lang w:val="en-US" w:eastAsia="zh-CN"/>
              </w:rPr>
              <w:t>提升</w:t>
            </w:r>
          </w:p>
        </w:tc>
        <w:tc>
          <w:tcPr>
            <w:tcW w:w="1330"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评价项目的</w:t>
            </w:r>
            <w:r>
              <w:rPr>
                <w:rFonts w:hint="eastAsia" w:ascii="Times New Roman" w:hAnsi="Times New Roman" w:eastAsia="仿宋" w:cs="Times New Roman"/>
                <w:color w:val="000000"/>
                <w:sz w:val="24"/>
                <w:szCs w:val="24"/>
                <w:highlight w:val="none"/>
                <w:lang w:val="en-US" w:eastAsia="zh-CN"/>
              </w:rPr>
              <w:t>社会效益</w:t>
            </w:r>
            <w:r>
              <w:rPr>
                <w:rFonts w:hint="eastAsia" w:ascii="Times New Roman" w:hAnsi="Times New Roman" w:eastAsia="仿宋" w:cs="Times New Roman"/>
                <w:color w:val="000000"/>
                <w:sz w:val="24"/>
                <w:szCs w:val="24"/>
                <w:highlight w:val="none"/>
              </w:rPr>
              <w:t>。</w:t>
            </w:r>
          </w:p>
        </w:tc>
        <w:tc>
          <w:tcPr>
            <w:tcW w:w="1759" w:type="pct"/>
            <w:shd w:val="clear" w:color="auto" w:fill="auto"/>
            <w:vAlign w:val="center"/>
          </w:tcPr>
          <w:p>
            <w:pPr>
              <w:spacing w:line="400" w:lineRule="exact"/>
              <w:jc w:val="center"/>
              <w:rPr>
                <w:rFonts w:hint="eastAsia" w:ascii="Times New Roman" w:hAnsi="Times New Roman" w:eastAsia="仿宋" w:cs="Times New Roman"/>
                <w:color w:val="000000"/>
                <w:sz w:val="24"/>
                <w:szCs w:val="24"/>
                <w:highlight w:val="none"/>
                <w:lang w:eastAsia="zh-CN"/>
              </w:rPr>
            </w:pPr>
            <w:r>
              <w:rPr>
                <w:rFonts w:hint="eastAsia" w:ascii="Times New Roman" w:hAnsi="Times New Roman" w:eastAsia="仿宋" w:cs="Times New Roman"/>
                <w:color w:val="000000"/>
                <w:sz w:val="24"/>
                <w:szCs w:val="24"/>
                <w:highlight w:val="none"/>
                <w:lang w:val="en-US" w:eastAsia="zh-CN"/>
              </w:rPr>
              <w:t>社会效益较好，得100%权重分；社会效益一般，得50%权重分；社会效益较差，不得分。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sz w:val="24"/>
                <w:szCs w:val="24"/>
                <w:highlight w:val="none"/>
              </w:rPr>
            </w:pPr>
          </w:p>
        </w:tc>
        <w:tc>
          <w:tcPr>
            <w:tcW w:w="455"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2</w:t>
            </w:r>
            <w:r>
              <w:rPr>
                <w:rFonts w:hint="eastAsia" w:ascii="Times New Roman" w:hAnsi="Times New Roman" w:eastAsia="仿宋" w:cs="Times New Roman"/>
                <w:bCs/>
                <w:sz w:val="28"/>
                <w:szCs w:val="28"/>
                <w:highlight w:val="none"/>
              </w:rPr>
              <w:t>可持续</w:t>
            </w:r>
            <w:r>
              <w:rPr>
                <w:rFonts w:ascii="Times New Roman" w:hAnsi="Times New Roman" w:eastAsia="仿宋" w:cs="Times New Roman"/>
                <w:bCs/>
                <w:sz w:val="28"/>
                <w:szCs w:val="28"/>
                <w:highlight w:val="none"/>
              </w:rPr>
              <w:t>影响</w:t>
            </w:r>
            <w:r>
              <w:rPr>
                <w:rFonts w:hint="eastAsia" w:ascii="Times New Roman" w:hAnsi="Times New Roman" w:eastAsia="仿宋" w:cs="Times New Roman"/>
                <w:color w:val="000000"/>
                <w:sz w:val="24"/>
                <w:szCs w:val="24"/>
                <w:highlight w:val="none"/>
              </w:rPr>
              <w:t>（</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60" w:type="pct"/>
            <w:shd w:val="clear" w:color="auto" w:fill="auto"/>
            <w:vAlign w:val="center"/>
          </w:tcPr>
          <w:p>
            <w:pPr>
              <w:widowControl/>
              <w:spacing w:line="400" w:lineRule="exact"/>
              <w:jc w:val="center"/>
              <w:textAlignment w:val="center"/>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2</w:t>
            </w:r>
            <w:r>
              <w:rPr>
                <w:rFonts w:hint="eastAsia" w:ascii="Times New Roman" w:hAnsi="Times New Roman" w:eastAsia="仿宋" w:cs="Times New Roman"/>
                <w:color w:val="000000"/>
                <w:sz w:val="24"/>
                <w:szCs w:val="24"/>
                <w:highlight w:val="none"/>
              </w:rPr>
              <w:t>1可持续</w:t>
            </w:r>
            <w:r>
              <w:rPr>
                <w:rFonts w:hint="eastAsia" w:ascii="Times New Roman" w:hAnsi="Times New Roman" w:eastAsia="仿宋" w:cs="Times New Roman"/>
                <w:color w:val="000000"/>
                <w:sz w:val="24"/>
                <w:szCs w:val="24"/>
                <w:highlight w:val="none"/>
                <w:lang w:val="en-US" w:eastAsia="zh-CN"/>
              </w:rPr>
              <w:t>影响</w:t>
            </w:r>
          </w:p>
        </w:tc>
        <w:tc>
          <w:tcPr>
            <w:tcW w:w="219" w:type="pct"/>
            <w:shd w:val="clear" w:color="auto" w:fill="auto"/>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lang w:val="en-US" w:eastAsia="zh-CN"/>
              </w:rPr>
              <w:t>8</w:t>
            </w:r>
            <w:r>
              <w:rPr>
                <w:rFonts w:hint="eastAsia" w:ascii="Times New Roman" w:hAnsi="Times New Roman" w:eastAsia="仿宋" w:cs="Times New Roman"/>
                <w:sz w:val="24"/>
                <w:szCs w:val="24"/>
                <w:highlight w:val="none"/>
              </w:rPr>
              <w:t>.00</w:t>
            </w:r>
          </w:p>
        </w:tc>
        <w:tc>
          <w:tcPr>
            <w:tcW w:w="347" w:type="pct"/>
            <w:shd w:val="clear" w:color="auto" w:fill="auto"/>
            <w:vAlign w:val="center"/>
          </w:tcPr>
          <w:p>
            <w:pPr>
              <w:widowControl/>
              <w:spacing w:line="400" w:lineRule="exact"/>
              <w:jc w:val="center"/>
              <w:textAlignment w:val="center"/>
              <w:rPr>
                <w:rFonts w:hint="eastAsia" w:ascii="Times New Roman" w:hAnsi="Times New Roman" w:eastAsia="仿宋" w:cs="Times New Roman"/>
                <w:sz w:val="24"/>
                <w:szCs w:val="24"/>
                <w:highlight w:val="none"/>
                <w:lang w:eastAsia="zh-CN"/>
              </w:rPr>
            </w:pPr>
            <w:r>
              <w:rPr>
                <w:rFonts w:hint="eastAsia" w:ascii="Times New Roman" w:hAnsi="Times New Roman" w:eastAsia="仿宋" w:cs="Times New Roman"/>
                <w:sz w:val="24"/>
                <w:szCs w:val="24"/>
                <w:highlight w:val="none"/>
                <w:lang w:val="en-US" w:eastAsia="zh-CN"/>
              </w:rPr>
              <w:t>可持续</w:t>
            </w:r>
          </w:p>
        </w:tc>
        <w:tc>
          <w:tcPr>
            <w:tcW w:w="1330"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仿宋" w:hAnsi="仿宋" w:eastAsia="仿宋" w:cs="宋体"/>
                <w:sz w:val="24"/>
                <w:szCs w:val="24"/>
                <w:highlight w:val="none"/>
              </w:rPr>
              <w:t>评价项目完成后可持续提供服务的保障情况。</w:t>
            </w:r>
          </w:p>
        </w:tc>
        <w:tc>
          <w:tcPr>
            <w:tcW w:w="1759" w:type="pct"/>
            <w:shd w:val="clear" w:color="auto" w:fill="auto"/>
            <w:vAlign w:val="center"/>
          </w:tcPr>
          <w:p>
            <w:pPr>
              <w:spacing w:line="400" w:lineRule="exact"/>
              <w:jc w:val="center"/>
              <w:rPr>
                <w:rFonts w:hint="eastAsia" w:ascii="Times New Roman" w:hAnsi="Times New Roman" w:eastAsia="仿宋" w:cs="Times New Roman"/>
                <w:sz w:val="24"/>
                <w:szCs w:val="24"/>
                <w:highlight w:val="none"/>
                <w:lang w:eastAsia="zh-CN"/>
              </w:rPr>
            </w:pPr>
            <w:r>
              <w:rPr>
                <w:rFonts w:hint="eastAsia" w:ascii="Times New Roman" w:hAnsi="Times New Roman" w:eastAsia="仿宋" w:cs="Times New Roman"/>
                <w:sz w:val="24"/>
                <w:szCs w:val="24"/>
                <w:highlight w:val="none"/>
                <w:lang w:val="en-US" w:eastAsia="zh-CN"/>
              </w:rPr>
              <w:t>①项目单位后续管护制度健全</w:t>
            </w:r>
            <w:r>
              <w:rPr>
                <w:rFonts w:hint="eastAsia" w:ascii="Times New Roman" w:hAnsi="Times New Roman" w:eastAsia="仿宋" w:cs="Times New Roman"/>
                <w:sz w:val="24"/>
                <w:szCs w:val="24"/>
                <w:highlight w:val="none"/>
              </w:rPr>
              <w:t>，得</w:t>
            </w:r>
            <w:r>
              <w:rPr>
                <w:rFonts w:hint="eastAsia" w:ascii="Times New Roman" w:hAnsi="Times New Roman" w:eastAsia="仿宋" w:cs="Times New Roman"/>
                <w:sz w:val="24"/>
                <w:szCs w:val="24"/>
                <w:highlight w:val="none"/>
                <w:lang w:val="en-US" w:eastAsia="zh-CN"/>
              </w:rPr>
              <w:t>50</w:t>
            </w:r>
            <w:r>
              <w:rPr>
                <w:rFonts w:hint="eastAsia" w:ascii="Times New Roman" w:hAnsi="Times New Roman" w:eastAsia="仿宋" w:cs="Times New Roman"/>
                <w:sz w:val="24"/>
                <w:szCs w:val="24"/>
                <w:highlight w:val="none"/>
              </w:rPr>
              <w:t>%权重分，否则不得分</w:t>
            </w:r>
            <w:r>
              <w:rPr>
                <w:rFonts w:hint="eastAsia" w:ascii="Times New Roman" w:hAnsi="Times New Roman" w:eastAsia="仿宋" w:cs="Times New Roman"/>
                <w:sz w:val="24"/>
                <w:szCs w:val="24"/>
                <w:highlight w:val="none"/>
                <w:lang w:eastAsia="zh-CN"/>
              </w:rPr>
              <w:t>；</w:t>
            </w:r>
          </w:p>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sz w:val="24"/>
                <w:szCs w:val="24"/>
                <w:highlight w:val="none"/>
                <w:lang w:val="en-US" w:eastAsia="zh-CN"/>
              </w:rPr>
              <w:t>②项目单位后续管护责任落实，</w:t>
            </w:r>
            <w:r>
              <w:rPr>
                <w:rFonts w:hint="eastAsia" w:ascii="Times New Roman" w:hAnsi="Times New Roman" w:eastAsia="仿宋" w:cs="Times New Roman"/>
                <w:sz w:val="24"/>
                <w:szCs w:val="24"/>
                <w:highlight w:val="none"/>
              </w:rPr>
              <w:t>得</w:t>
            </w:r>
            <w:r>
              <w:rPr>
                <w:rFonts w:hint="eastAsia" w:ascii="Times New Roman" w:hAnsi="Times New Roman" w:eastAsia="仿宋" w:cs="Times New Roman"/>
                <w:sz w:val="24"/>
                <w:szCs w:val="24"/>
                <w:highlight w:val="none"/>
                <w:lang w:val="en-US" w:eastAsia="zh-CN"/>
              </w:rPr>
              <w:t>50</w:t>
            </w:r>
            <w:r>
              <w:rPr>
                <w:rFonts w:hint="eastAsia" w:ascii="Times New Roman" w:hAnsi="Times New Roman" w:eastAsia="仿宋" w:cs="Times New Roman"/>
                <w:sz w:val="24"/>
                <w:szCs w:val="24"/>
                <w:highlight w:val="none"/>
              </w:rPr>
              <w:t>%权重分，否则不得分。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9" w:type="pct"/>
            <w:vMerge w:val="continue"/>
            <w:shd w:val="clear" w:color="auto" w:fill="auto"/>
          </w:tcPr>
          <w:p>
            <w:pPr>
              <w:widowControl/>
              <w:spacing w:line="400" w:lineRule="exact"/>
              <w:jc w:val="center"/>
              <w:textAlignment w:val="center"/>
              <w:rPr>
                <w:rFonts w:ascii="Times New Roman" w:hAnsi="Times New Roman" w:eastAsia="仿宋" w:cs="Times New Roman"/>
                <w:color w:val="000000"/>
                <w:sz w:val="24"/>
                <w:szCs w:val="24"/>
                <w:highlight w:val="none"/>
              </w:rPr>
            </w:pPr>
          </w:p>
        </w:tc>
        <w:tc>
          <w:tcPr>
            <w:tcW w:w="455" w:type="pct"/>
            <w:shd w:val="clear" w:color="auto" w:fill="auto"/>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3</w:t>
            </w:r>
            <w:r>
              <w:rPr>
                <w:rFonts w:ascii="Times New Roman" w:hAnsi="Times New Roman" w:eastAsia="仿宋" w:cs="Times New Roman"/>
                <w:bCs/>
                <w:sz w:val="28"/>
                <w:szCs w:val="28"/>
                <w:highlight w:val="none"/>
              </w:rPr>
              <w:t>服务对象满意度</w:t>
            </w:r>
            <w:r>
              <w:rPr>
                <w:rFonts w:hint="eastAsia" w:ascii="Times New Roman" w:hAnsi="Times New Roman" w:eastAsia="仿宋" w:cs="Times New Roman"/>
                <w:bCs/>
                <w:sz w:val="28"/>
                <w:szCs w:val="28"/>
                <w:highlight w:val="none"/>
              </w:rPr>
              <w:t>（</w:t>
            </w:r>
            <w:r>
              <w:rPr>
                <w:rFonts w:hint="eastAsia" w:ascii="Times New Roman" w:hAnsi="Times New Roman" w:eastAsia="仿宋" w:cs="Times New Roman"/>
                <w:bCs/>
                <w:sz w:val="28"/>
                <w:szCs w:val="28"/>
                <w:highlight w:val="none"/>
                <w:lang w:val="en-US" w:eastAsia="zh-CN"/>
              </w:rPr>
              <w:t>12</w:t>
            </w:r>
            <w:r>
              <w:rPr>
                <w:rFonts w:hint="eastAsia" w:ascii="Times New Roman" w:hAnsi="Times New Roman" w:eastAsia="仿宋" w:cs="Times New Roman"/>
                <w:bCs/>
                <w:sz w:val="28"/>
                <w:szCs w:val="28"/>
                <w:highlight w:val="none"/>
              </w:rPr>
              <w:t>）</w:t>
            </w:r>
          </w:p>
        </w:tc>
        <w:tc>
          <w:tcPr>
            <w:tcW w:w="460" w:type="pct"/>
            <w:shd w:val="clear" w:color="auto" w:fill="auto"/>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3</w:t>
            </w:r>
            <w:r>
              <w:rPr>
                <w:rFonts w:hint="eastAsia" w:ascii="Times New Roman" w:hAnsi="Times New Roman" w:eastAsia="仿宋" w:cs="Times New Roman"/>
                <w:color w:val="000000"/>
                <w:sz w:val="24"/>
                <w:szCs w:val="24"/>
                <w:highlight w:val="none"/>
              </w:rPr>
              <w:t>1受益对象满意度</w:t>
            </w:r>
          </w:p>
        </w:tc>
        <w:tc>
          <w:tcPr>
            <w:tcW w:w="219" w:type="pct"/>
            <w:shd w:val="clear" w:color="auto" w:fill="auto"/>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lang w:val="en-US" w:eastAsia="zh-CN"/>
              </w:rPr>
              <w:t>12</w:t>
            </w:r>
            <w:r>
              <w:rPr>
                <w:rFonts w:hint="eastAsia" w:ascii="Times New Roman" w:hAnsi="Times New Roman" w:eastAsia="仿宋" w:cs="Times New Roman"/>
                <w:sz w:val="24"/>
                <w:szCs w:val="24"/>
                <w:highlight w:val="none"/>
              </w:rPr>
              <w:t>.00</w:t>
            </w:r>
          </w:p>
        </w:tc>
        <w:tc>
          <w:tcPr>
            <w:tcW w:w="347" w:type="pct"/>
            <w:shd w:val="clear" w:color="auto" w:fill="auto"/>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rPr>
              <w:t>≥</w:t>
            </w:r>
            <w:r>
              <w:rPr>
                <w:rFonts w:ascii="Times New Roman" w:hAnsi="Times New Roman" w:eastAsia="仿宋" w:cs="Times New Roman"/>
                <w:sz w:val="24"/>
                <w:szCs w:val="24"/>
                <w:highlight w:val="none"/>
              </w:rPr>
              <w:t>90%</w:t>
            </w:r>
          </w:p>
        </w:tc>
        <w:tc>
          <w:tcPr>
            <w:tcW w:w="1330" w:type="pct"/>
            <w:shd w:val="clear" w:color="auto" w:fill="auto"/>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仿宋" w:hAnsi="仿宋" w:eastAsia="仿宋"/>
                <w:sz w:val="24"/>
                <w:highlight w:val="none"/>
              </w:rPr>
              <w:t>评价受益对象对项目满意度的情况。</w:t>
            </w:r>
          </w:p>
        </w:tc>
        <w:tc>
          <w:tcPr>
            <w:tcW w:w="1759" w:type="pct"/>
            <w:shd w:val="clear" w:color="auto" w:fill="auto"/>
            <w:vAlign w:val="center"/>
          </w:tcPr>
          <w:p>
            <w:pPr>
              <w:spacing w:line="400" w:lineRule="exact"/>
              <w:jc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rPr>
              <w:t>大于等于90%得满分，&lt;60%，不得分；60%（含）-90%之间按比例得分。</w:t>
            </w:r>
          </w:p>
        </w:tc>
      </w:tr>
    </w:tbl>
    <w:p>
      <w:pPr>
        <w:widowControl/>
        <w:spacing w:line="574" w:lineRule="exact"/>
        <w:jc w:val="left"/>
        <w:outlineLvl w:val="0"/>
        <w:rPr>
          <w:rFonts w:ascii="黑体" w:hAnsi="黑体" w:eastAsia="黑体"/>
          <w:snapToGrid w:val="0"/>
          <w:sz w:val="32"/>
          <w:szCs w:val="32"/>
        </w:rPr>
        <w:sectPr>
          <w:headerReference r:id="rId8" w:type="default"/>
          <w:pgSz w:w="16838" w:h="11906" w:orient="landscape"/>
          <w:pgMar w:top="1797" w:right="1440" w:bottom="1797" w:left="1440" w:header="851" w:footer="992" w:gutter="0"/>
          <w:pgNumType w:fmt="decimal"/>
          <w:cols w:space="425" w:num="1"/>
          <w:docGrid w:type="lines" w:linePitch="312" w:charSpace="0"/>
        </w:sectPr>
      </w:pPr>
    </w:p>
    <w:p>
      <w:pPr>
        <w:widowControl/>
        <w:spacing w:line="574" w:lineRule="exact"/>
        <w:jc w:val="left"/>
        <w:outlineLvl w:val="0"/>
        <w:rPr>
          <w:rFonts w:ascii="黑体" w:hAnsi="黑体" w:eastAsia="黑体"/>
          <w:snapToGrid w:val="0"/>
          <w:sz w:val="32"/>
          <w:szCs w:val="32"/>
        </w:rPr>
      </w:pPr>
      <w:bookmarkStart w:id="168" w:name="_Toc11022"/>
      <w:r>
        <w:rPr>
          <w:rFonts w:hint="eastAsia" w:ascii="黑体" w:hAnsi="黑体" w:eastAsia="黑体"/>
          <w:snapToGrid w:val="0"/>
          <w:sz w:val="32"/>
          <w:szCs w:val="32"/>
        </w:rPr>
        <w:t>附件2：问卷调查报告</w:t>
      </w:r>
      <w:bookmarkEnd w:id="165"/>
      <w:bookmarkEnd w:id="168"/>
      <w:bookmarkStart w:id="169" w:name="_Toc516554801"/>
      <w:bookmarkStart w:id="170" w:name="_Toc517361502"/>
      <w:bookmarkStart w:id="171" w:name="_Toc516473336"/>
      <w:bookmarkStart w:id="172" w:name="_Toc528680487"/>
      <w:bookmarkStart w:id="173" w:name="_Toc528680333"/>
      <w:bookmarkStart w:id="174" w:name="_Toc515811021"/>
      <w:bookmarkStart w:id="175" w:name="_Toc515811967"/>
      <w:bookmarkStart w:id="176" w:name="_Toc528603095"/>
    </w:p>
    <w:bookmarkEnd w:id="169"/>
    <w:bookmarkEnd w:id="170"/>
    <w:bookmarkEnd w:id="171"/>
    <w:bookmarkEnd w:id="172"/>
    <w:bookmarkEnd w:id="173"/>
    <w:bookmarkEnd w:id="174"/>
    <w:bookmarkEnd w:id="175"/>
    <w:bookmarkEnd w:id="176"/>
    <w:p>
      <w:pPr>
        <w:spacing w:line="574" w:lineRule="exact"/>
        <w:jc w:val="center"/>
        <w:rPr>
          <w:rFonts w:ascii="Times New Roman" w:hAnsi="Times New Roman"/>
          <w:b/>
          <w:snapToGrid w:val="0"/>
          <w:sz w:val="44"/>
          <w:szCs w:val="44"/>
        </w:rPr>
      </w:pPr>
      <w:r>
        <w:rPr>
          <w:rFonts w:hint="eastAsia" w:ascii="仿宋" w:hAnsi="仿宋" w:eastAsia="仿宋" w:cs="仿宋"/>
          <w:b/>
          <w:bCs/>
          <w:snapToGrid w:val="0"/>
          <w:sz w:val="32"/>
          <w:szCs w:val="32"/>
          <w:lang w:eastAsia="zh-CN"/>
        </w:rPr>
        <w:t>救治能力提升项目经费</w:t>
      </w:r>
      <w:r>
        <w:rPr>
          <w:rFonts w:hint="eastAsia" w:ascii="仿宋" w:hAnsi="仿宋" w:eastAsia="仿宋" w:cs="仿宋"/>
          <w:b/>
          <w:bCs/>
          <w:snapToGrid w:val="0"/>
          <w:sz w:val="32"/>
          <w:szCs w:val="32"/>
        </w:rPr>
        <w:t>绩效评价满意度调查报告</w:t>
      </w:r>
    </w:p>
    <w:p>
      <w:pPr>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一、调查目的</w:t>
      </w:r>
    </w:p>
    <w:p>
      <w:pPr>
        <w:spacing w:line="574" w:lineRule="exact"/>
        <w:ind w:firstLine="560" w:firstLineChars="200"/>
        <w:rPr>
          <w:rFonts w:hint="eastAsia" w:ascii="仿宋" w:hAnsi="仿宋" w:eastAsia="仿宋" w:cs="仿宋"/>
          <w:sz w:val="28"/>
          <w:szCs w:val="28"/>
        </w:rPr>
      </w:pPr>
      <w:bookmarkStart w:id="177" w:name="_Hlk28700570"/>
      <w:r>
        <w:rPr>
          <w:rFonts w:hint="eastAsia" w:ascii="仿宋" w:hAnsi="仿宋" w:eastAsia="仿宋" w:cs="仿宋"/>
          <w:sz w:val="28"/>
          <w:szCs w:val="28"/>
        </w:rPr>
        <w:t>相关方满意度调查作为绩效评价中非常重要的环节，为了解</w:t>
      </w:r>
      <w:r>
        <w:rPr>
          <w:rFonts w:hint="eastAsia" w:ascii="仿宋" w:hAnsi="仿宋" w:eastAsia="仿宋" w:cs="仿宋"/>
          <w:sz w:val="28"/>
          <w:szCs w:val="28"/>
          <w:lang w:eastAsia="zh-CN"/>
        </w:rPr>
        <w:t>救治能力提升项目经费</w:t>
      </w:r>
      <w:r>
        <w:rPr>
          <w:rFonts w:hint="eastAsia" w:ascii="仿宋" w:hAnsi="仿宋" w:eastAsia="仿宋" w:cs="仿宋"/>
          <w:sz w:val="28"/>
          <w:szCs w:val="28"/>
        </w:rPr>
        <w:t>的使用管理情况和项目实施情况，准确掌握满意度数据，通过向</w:t>
      </w:r>
      <w:r>
        <w:rPr>
          <w:rFonts w:hint="eastAsia" w:ascii="仿宋" w:hAnsi="仿宋" w:eastAsia="仿宋" w:cs="仿宋"/>
          <w:sz w:val="28"/>
          <w:szCs w:val="28"/>
          <w:lang w:val="en-US" w:eastAsia="zh-CN"/>
        </w:rPr>
        <w:t>管理方相关人员、</w:t>
      </w:r>
      <w:r>
        <w:rPr>
          <w:rFonts w:hint="eastAsia" w:ascii="仿宋" w:hAnsi="仿宋" w:eastAsia="仿宋" w:cs="仿宋"/>
          <w:sz w:val="28"/>
          <w:szCs w:val="28"/>
        </w:rPr>
        <w:t>受益</w:t>
      </w:r>
      <w:r>
        <w:rPr>
          <w:rFonts w:hint="eastAsia" w:ascii="仿宋" w:hAnsi="仿宋" w:eastAsia="仿宋" w:cs="仿宋"/>
          <w:sz w:val="28"/>
          <w:szCs w:val="28"/>
          <w:lang w:val="en-US" w:eastAsia="zh-CN"/>
        </w:rPr>
        <w:t>人员</w:t>
      </w:r>
      <w:r>
        <w:rPr>
          <w:rFonts w:hint="eastAsia" w:ascii="仿宋" w:hAnsi="仿宋" w:eastAsia="仿宋" w:cs="仿宋"/>
          <w:sz w:val="28"/>
          <w:szCs w:val="28"/>
        </w:rPr>
        <w:t>发放满意度调查问卷，了解受益</w:t>
      </w:r>
      <w:r>
        <w:rPr>
          <w:rFonts w:hint="eastAsia" w:ascii="仿宋" w:hAnsi="仿宋" w:eastAsia="仿宋" w:cs="仿宋"/>
          <w:sz w:val="28"/>
          <w:szCs w:val="28"/>
          <w:lang w:val="en-US" w:eastAsia="zh-CN"/>
        </w:rPr>
        <w:t>群体</w:t>
      </w:r>
      <w:r>
        <w:rPr>
          <w:rFonts w:hint="eastAsia" w:ascii="仿宋" w:hAnsi="仿宋" w:eastAsia="仿宋" w:cs="仿宋"/>
          <w:sz w:val="28"/>
          <w:szCs w:val="28"/>
        </w:rPr>
        <w:t>对</w:t>
      </w:r>
      <w:r>
        <w:rPr>
          <w:rFonts w:hint="eastAsia" w:ascii="仿宋" w:hAnsi="仿宋" w:eastAsia="仿宋" w:cs="仿宋"/>
          <w:sz w:val="28"/>
          <w:szCs w:val="28"/>
          <w:lang w:val="en-US" w:eastAsia="zh-CN"/>
        </w:rPr>
        <w:t>项目的整体</w:t>
      </w:r>
      <w:r>
        <w:rPr>
          <w:rFonts w:hint="eastAsia" w:ascii="仿宋" w:hAnsi="仿宋" w:eastAsia="仿宋" w:cs="仿宋"/>
          <w:sz w:val="28"/>
          <w:szCs w:val="28"/>
        </w:rPr>
        <w:t>满意程度，为绩效评价工作满意度调查提供数据参考。</w:t>
      </w:r>
    </w:p>
    <w:bookmarkEnd w:id="177"/>
    <w:p>
      <w:pPr>
        <w:tabs>
          <w:tab w:val="left" w:pos="630"/>
        </w:tabs>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二、调查对象</w:t>
      </w:r>
    </w:p>
    <w:p>
      <w:pPr>
        <w:tabs>
          <w:tab w:val="left" w:pos="630"/>
        </w:tabs>
        <w:spacing w:line="574" w:lineRule="exact"/>
        <w:ind w:firstLine="560" w:firstLineChars="200"/>
        <w:rPr>
          <w:rFonts w:hint="eastAsia" w:ascii="仿宋" w:hAnsi="仿宋" w:eastAsia="仿宋" w:cs="仿宋"/>
          <w:sz w:val="28"/>
          <w:szCs w:val="28"/>
        </w:rPr>
      </w:pPr>
      <w:bookmarkStart w:id="178" w:name="_Hlk28700584"/>
      <w:r>
        <w:rPr>
          <w:rFonts w:hint="eastAsia" w:ascii="仿宋" w:hAnsi="仿宋" w:eastAsia="仿宋" w:cs="仿宋"/>
          <w:sz w:val="28"/>
          <w:szCs w:val="28"/>
        </w:rPr>
        <w:t>本次调查的对象为</w:t>
      </w:r>
      <w:r>
        <w:rPr>
          <w:rFonts w:hint="eastAsia" w:ascii="仿宋" w:hAnsi="仿宋" w:eastAsia="仿宋" w:cs="仿宋"/>
          <w:sz w:val="28"/>
          <w:szCs w:val="28"/>
          <w:lang w:val="en-US" w:eastAsia="zh-CN"/>
        </w:rPr>
        <w:t>管理方相关人员和受益人员</w:t>
      </w:r>
      <w:r>
        <w:rPr>
          <w:rFonts w:hint="eastAsia" w:ascii="仿宋" w:hAnsi="仿宋" w:eastAsia="仿宋" w:cs="仿宋"/>
          <w:sz w:val="28"/>
          <w:szCs w:val="28"/>
        </w:rPr>
        <w:t>。</w:t>
      </w:r>
    </w:p>
    <w:bookmarkEnd w:id="178"/>
    <w:p>
      <w:pPr>
        <w:tabs>
          <w:tab w:val="left" w:pos="630"/>
        </w:tabs>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三、调查时间</w:t>
      </w:r>
    </w:p>
    <w:p>
      <w:pPr>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2022年8月</w:t>
      </w:r>
      <w:r>
        <w:rPr>
          <w:rFonts w:hint="eastAsia" w:ascii="仿宋" w:hAnsi="仿宋" w:eastAsia="仿宋" w:cs="仿宋"/>
          <w:sz w:val="28"/>
          <w:szCs w:val="28"/>
        </w:rPr>
        <w:t>。</w:t>
      </w:r>
    </w:p>
    <w:p>
      <w:pPr>
        <w:tabs>
          <w:tab w:val="left" w:pos="630"/>
        </w:tabs>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四、调查内容</w:t>
      </w:r>
    </w:p>
    <w:p>
      <w:pPr>
        <w:spacing w:line="574" w:lineRule="exact"/>
        <w:ind w:firstLine="560" w:firstLineChars="200"/>
        <w:rPr>
          <w:rFonts w:hint="eastAsia" w:ascii="仿宋" w:hAnsi="仿宋" w:eastAsia="仿宋" w:cs="仿宋"/>
          <w:sz w:val="28"/>
          <w:szCs w:val="28"/>
        </w:rPr>
      </w:pPr>
      <w:bookmarkStart w:id="179" w:name="_Hlk28700703"/>
      <w:r>
        <w:rPr>
          <w:rFonts w:hint="eastAsia" w:ascii="仿宋" w:hAnsi="仿宋" w:eastAsia="仿宋" w:cs="仿宋"/>
          <w:sz w:val="28"/>
          <w:szCs w:val="28"/>
          <w:lang w:val="en-US" w:eastAsia="zh-CN"/>
        </w:rPr>
        <w:t>您对救治能力提升项目实施进度的满意程度、您对救治能力提升项目建设质量的满意程度、您对救治能力提升项目建成后产生的效益情况的满意程度</w:t>
      </w:r>
      <w:r>
        <w:rPr>
          <w:rFonts w:hint="eastAsia" w:ascii="仿宋" w:hAnsi="仿宋" w:eastAsia="仿宋" w:cs="仿宋"/>
          <w:sz w:val="28"/>
          <w:szCs w:val="28"/>
        </w:rPr>
        <w:t>。</w:t>
      </w:r>
    </w:p>
    <w:bookmarkEnd w:id="179"/>
    <w:p>
      <w:pPr>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五、问卷发放与回收</w:t>
      </w:r>
    </w:p>
    <w:p>
      <w:pPr>
        <w:spacing w:line="574" w:lineRule="exact"/>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rPr>
        <w:t>本次计划发放问卷</w:t>
      </w:r>
      <w:r>
        <w:rPr>
          <w:rFonts w:hint="eastAsia" w:ascii="仿宋" w:hAnsi="仿宋" w:eastAsia="仿宋" w:cs="仿宋"/>
          <w:sz w:val="28"/>
          <w:szCs w:val="28"/>
          <w:lang w:val="en-US" w:eastAsia="zh-CN"/>
        </w:rPr>
        <w:t>200</w:t>
      </w:r>
      <w:r>
        <w:rPr>
          <w:rFonts w:hint="eastAsia" w:ascii="仿宋" w:hAnsi="仿宋" w:eastAsia="仿宋" w:cs="仿宋"/>
          <w:sz w:val="28"/>
          <w:szCs w:val="28"/>
        </w:rPr>
        <w:t>份</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回收问卷200</w:t>
      </w:r>
      <w:r>
        <w:rPr>
          <w:rFonts w:hint="eastAsia" w:ascii="仿宋" w:hAnsi="仿宋" w:eastAsia="仿宋" w:cs="仿宋"/>
          <w:sz w:val="28"/>
          <w:szCs w:val="28"/>
        </w:rPr>
        <w:t>份</w:t>
      </w:r>
      <w:r>
        <w:rPr>
          <w:rFonts w:hint="eastAsia" w:ascii="仿宋" w:hAnsi="仿宋" w:eastAsia="仿宋" w:cs="仿宋"/>
          <w:sz w:val="28"/>
          <w:szCs w:val="28"/>
          <w:lang w:val="en-US" w:eastAsia="zh-CN"/>
        </w:rPr>
        <w:t>。</w:t>
      </w:r>
    </w:p>
    <w:p>
      <w:pPr>
        <w:tabs>
          <w:tab w:val="left" w:pos="630"/>
        </w:tabs>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六、调查结果</w:t>
      </w:r>
    </w:p>
    <w:p>
      <w:pPr>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（一）满意度调查</w:t>
      </w:r>
    </w:p>
    <w:p>
      <w:pPr>
        <w:spacing w:line="574" w:lineRule="exact"/>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1.基础信息调查结果</w:t>
      </w:r>
    </w:p>
    <w:p>
      <w:pPr>
        <w:spacing w:line="574" w:lineRule="exact"/>
        <w:ind w:firstLine="560" w:firstLineChars="200"/>
        <w:rPr>
          <w:rFonts w:hint="eastAsia" w:ascii="仿宋" w:hAnsi="仿宋" w:eastAsia="仿宋" w:cs="仿宋"/>
          <w:sz w:val="28"/>
          <w:szCs w:val="28"/>
        </w:rPr>
      </w:pPr>
      <w:bookmarkStart w:id="180" w:name="_Hlk43218755"/>
      <w:r>
        <w:rPr>
          <w:rFonts w:hint="eastAsia" w:ascii="仿宋" w:hAnsi="仿宋" w:eastAsia="仿宋" w:cs="仿宋"/>
          <w:sz w:val="28"/>
          <w:szCs w:val="28"/>
        </w:rPr>
        <w:t>（1）您对</w:t>
      </w:r>
      <w:r>
        <w:rPr>
          <w:rFonts w:hint="eastAsia" w:ascii="仿宋" w:hAnsi="仿宋" w:eastAsia="仿宋" w:cs="仿宋"/>
          <w:sz w:val="28"/>
          <w:szCs w:val="28"/>
          <w:lang w:eastAsia="zh-CN"/>
        </w:rPr>
        <w:t>救治能力提升项目</w:t>
      </w:r>
      <w:r>
        <w:rPr>
          <w:rFonts w:hint="eastAsia" w:ascii="仿宋" w:hAnsi="仿宋" w:eastAsia="仿宋" w:cs="仿宋"/>
          <w:sz w:val="28"/>
          <w:szCs w:val="28"/>
        </w:rPr>
        <w:t>是否了解？</w:t>
      </w:r>
    </w:p>
    <w:p>
      <w:pPr>
        <w:tabs>
          <w:tab w:val="left" w:pos="630"/>
        </w:tabs>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从数据分析可知，了解</w:t>
      </w:r>
      <w:r>
        <w:rPr>
          <w:rFonts w:hint="eastAsia" w:ascii="仿宋" w:hAnsi="仿宋" w:eastAsia="仿宋" w:cs="仿宋"/>
          <w:sz w:val="28"/>
          <w:szCs w:val="28"/>
          <w:lang w:val="en-US" w:eastAsia="zh-CN"/>
        </w:rPr>
        <w:t>项目</w:t>
      </w:r>
      <w:r>
        <w:rPr>
          <w:rFonts w:hint="eastAsia" w:ascii="仿宋" w:hAnsi="仿宋" w:eastAsia="仿宋" w:cs="仿宋"/>
          <w:sz w:val="28"/>
          <w:szCs w:val="28"/>
        </w:rPr>
        <w:t>的占比</w:t>
      </w:r>
      <w:r>
        <w:rPr>
          <w:rFonts w:hint="eastAsia" w:ascii="仿宋" w:hAnsi="仿宋" w:eastAsia="仿宋" w:cs="仿宋"/>
          <w:sz w:val="28"/>
          <w:szCs w:val="28"/>
          <w:lang w:val="en-US" w:eastAsia="zh-CN"/>
        </w:rPr>
        <w:t>94.00%</w:t>
      </w:r>
      <w:r>
        <w:rPr>
          <w:rFonts w:hint="eastAsia" w:ascii="仿宋" w:hAnsi="仿宋" w:eastAsia="仿宋" w:cs="仿宋"/>
          <w:sz w:val="28"/>
          <w:szCs w:val="28"/>
        </w:rPr>
        <w:t>。</w:t>
      </w:r>
    </w:p>
    <w:bookmarkEnd w:id="180"/>
    <w:p>
      <w:pPr>
        <w:spacing w:line="574" w:lineRule="exact"/>
        <w:ind w:firstLine="562" w:firstLineChars="200"/>
        <w:rPr>
          <w:rFonts w:hint="eastAsia" w:ascii="仿宋" w:hAnsi="仿宋" w:eastAsia="仿宋" w:cs="仿宋"/>
          <w:b/>
          <w:bCs/>
          <w:sz w:val="28"/>
          <w:szCs w:val="28"/>
        </w:rPr>
        <w:sectPr>
          <w:footerReference r:id="rId9" w:type="default"/>
          <w:pgSz w:w="11906" w:h="16838"/>
          <w:pgMar w:top="1440" w:right="1797" w:bottom="1440" w:left="1797" w:header="851" w:footer="992" w:gutter="0"/>
          <w:pgNumType w:fmt="decimal"/>
          <w:cols w:space="425" w:num="1"/>
          <w:docGrid w:type="lines" w:linePitch="312" w:charSpace="0"/>
        </w:sectPr>
      </w:pPr>
      <w:r>
        <w:rPr>
          <w:rFonts w:hint="eastAsia" w:ascii="仿宋" w:hAnsi="仿宋" w:eastAsia="仿宋" w:cs="仿宋"/>
          <w:b/>
          <w:bCs/>
          <w:sz w:val="28"/>
          <w:szCs w:val="28"/>
        </w:rPr>
        <w:t>2.满意度调查结果</w:t>
      </w:r>
    </w:p>
    <w:tbl>
      <w:tblPr>
        <w:tblStyle w:val="19"/>
        <w:tblW w:w="1397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9"/>
        <w:gridCol w:w="872"/>
        <w:gridCol w:w="872"/>
        <w:gridCol w:w="872"/>
        <w:gridCol w:w="872"/>
        <w:gridCol w:w="874"/>
        <w:gridCol w:w="872"/>
        <w:gridCol w:w="872"/>
        <w:gridCol w:w="872"/>
        <w:gridCol w:w="874"/>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vMerge w:val="restart"/>
            <w:shd w:val="clear" w:color="auto" w:fill="auto"/>
            <w:vAlign w:val="center"/>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问卷问题</w:t>
            </w:r>
          </w:p>
        </w:tc>
        <w:tc>
          <w:tcPr>
            <w:tcW w:w="872" w:type="dxa"/>
            <w:vMerge w:val="restart"/>
            <w:shd w:val="clear" w:color="auto" w:fill="auto"/>
            <w:vAlign w:val="center"/>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总数</w:t>
            </w:r>
          </w:p>
        </w:tc>
        <w:tc>
          <w:tcPr>
            <w:tcW w:w="3490" w:type="dxa"/>
            <w:gridSpan w:val="4"/>
            <w:shd w:val="clear" w:color="auto" w:fill="auto"/>
            <w:vAlign w:val="top"/>
          </w:tcPr>
          <w:p>
            <w:pPr>
              <w:snapToGrid w:val="0"/>
              <w:jc w:val="center"/>
              <w:rPr>
                <w:rFonts w:hint="default" w:ascii="仿宋" w:hAnsi="仿宋" w:eastAsia="仿宋" w:cs="仿宋"/>
                <w:b/>
                <w:bCs/>
                <w:color w:val="auto"/>
                <w:sz w:val="20"/>
                <w:szCs w:val="21"/>
                <w:highlight w:val="none"/>
                <w:lang w:val="en-US" w:eastAsia="zh-CN"/>
              </w:rPr>
            </w:pPr>
            <w:r>
              <w:rPr>
                <w:rFonts w:hint="eastAsia" w:ascii="仿宋" w:hAnsi="仿宋" w:eastAsia="仿宋" w:cs="仿宋"/>
                <w:b/>
                <w:bCs/>
                <w:color w:val="auto"/>
                <w:sz w:val="20"/>
                <w:szCs w:val="21"/>
                <w:highlight w:val="none"/>
                <w:lang w:val="en-US" w:eastAsia="zh-CN"/>
              </w:rPr>
              <w:t>人数</w:t>
            </w:r>
          </w:p>
        </w:tc>
        <w:tc>
          <w:tcPr>
            <w:tcW w:w="3490" w:type="dxa"/>
            <w:gridSpan w:val="4"/>
            <w:shd w:val="clear" w:color="auto" w:fill="auto"/>
            <w:vAlign w:val="top"/>
          </w:tcPr>
          <w:p>
            <w:pPr>
              <w:snapToGrid w:val="0"/>
              <w:jc w:val="center"/>
              <w:rPr>
                <w:rFonts w:hint="eastAsia" w:ascii="仿宋" w:hAnsi="仿宋" w:eastAsia="仿宋" w:cs="仿宋"/>
                <w:b/>
                <w:bCs/>
                <w:color w:val="auto"/>
                <w:sz w:val="20"/>
                <w:szCs w:val="21"/>
                <w:highlight w:val="none"/>
                <w:lang w:val="en-US" w:eastAsia="zh-CN"/>
              </w:rPr>
            </w:pPr>
            <w:r>
              <w:rPr>
                <w:rFonts w:hint="eastAsia" w:ascii="仿宋" w:hAnsi="仿宋" w:eastAsia="仿宋" w:cs="仿宋"/>
                <w:b/>
                <w:bCs/>
                <w:color w:val="auto"/>
                <w:sz w:val="20"/>
                <w:szCs w:val="21"/>
                <w:highlight w:val="none"/>
                <w:lang w:val="en-US" w:eastAsia="zh-CN"/>
              </w:rPr>
              <w:t>满意度系数</w:t>
            </w:r>
          </w:p>
        </w:tc>
        <w:tc>
          <w:tcPr>
            <w:tcW w:w="0" w:type="auto"/>
            <w:shd w:val="clear" w:color="auto" w:fill="auto"/>
            <w:noWrap/>
            <w:vAlign w:val="center"/>
          </w:tcPr>
          <w:p>
            <w:pPr>
              <w:snapToGrid w:val="0"/>
              <w:jc w:val="center"/>
              <w:rPr>
                <w:rFonts w:hint="eastAsia" w:ascii="仿宋" w:hAnsi="仿宋" w:eastAsia="仿宋" w:cs="仿宋"/>
                <w:b/>
                <w:bCs/>
                <w:color w:val="auto"/>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4939" w:type="dxa"/>
            <w:vMerge w:val="continue"/>
            <w:shd w:val="clear" w:color="auto" w:fill="auto"/>
            <w:vAlign w:val="center"/>
          </w:tcPr>
          <w:p>
            <w:pPr>
              <w:snapToGrid w:val="0"/>
              <w:jc w:val="center"/>
              <w:rPr>
                <w:rFonts w:hint="eastAsia" w:ascii="仿宋" w:hAnsi="仿宋" w:eastAsia="仿宋" w:cs="仿宋"/>
                <w:b/>
                <w:bCs/>
                <w:color w:val="auto"/>
                <w:sz w:val="20"/>
                <w:szCs w:val="21"/>
                <w:highlight w:val="none"/>
              </w:rPr>
            </w:pPr>
          </w:p>
        </w:tc>
        <w:tc>
          <w:tcPr>
            <w:tcW w:w="872" w:type="dxa"/>
            <w:vMerge w:val="continue"/>
            <w:shd w:val="clear" w:color="auto" w:fill="auto"/>
            <w:vAlign w:val="center"/>
          </w:tcPr>
          <w:p>
            <w:pPr>
              <w:snapToGrid w:val="0"/>
              <w:jc w:val="center"/>
              <w:rPr>
                <w:rFonts w:hint="eastAsia" w:ascii="仿宋" w:hAnsi="仿宋" w:eastAsia="仿宋" w:cs="仿宋"/>
                <w:b/>
                <w:bCs/>
                <w:color w:val="auto"/>
                <w:sz w:val="20"/>
                <w:szCs w:val="21"/>
                <w:highlight w:val="none"/>
              </w:rPr>
            </w:pP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非常满意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lang w:val="en-US" w:eastAsia="zh-CN"/>
              </w:rPr>
              <w:t>一般</w:t>
            </w:r>
          </w:p>
        </w:tc>
        <w:tc>
          <w:tcPr>
            <w:tcW w:w="874"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不满意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lang w:eastAsia="zh-CN"/>
              </w:rPr>
            </w:pPr>
            <w:r>
              <w:rPr>
                <w:rFonts w:hint="eastAsia" w:ascii="仿宋" w:hAnsi="仿宋" w:eastAsia="仿宋" w:cs="仿宋"/>
                <w:b/>
                <w:bCs/>
                <w:color w:val="auto"/>
                <w:sz w:val="20"/>
                <w:szCs w:val="21"/>
                <w:highlight w:val="none"/>
              </w:rPr>
              <w:t>非常满意</w:t>
            </w:r>
            <w:r>
              <w:rPr>
                <w:rFonts w:hint="eastAsia" w:ascii="仿宋" w:hAnsi="仿宋" w:eastAsia="仿宋" w:cs="仿宋"/>
                <w:b/>
                <w:bCs/>
                <w:color w:val="auto"/>
                <w:sz w:val="20"/>
                <w:szCs w:val="21"/>
                <w:highlight w:val="none"/>
                <w:lang w:eastAsia="zh-CN"/>
              </w:rPr>
              <w:t>（</w:t>
            </w:r>
            <w:r>
              <w:rPr>
                <w:rFonts w:hint="eastAsia" w:ascii="仿宋" w:hAnsi="仿宋" w:eastAsia="仿宋" w:cs="仿宋"/>
                <w:b/>
                <w:bCs/>
                <w:color w:val="auto"/>
                <w:sz w:val="20"/>
                <w:szCs w:val="21"/>
                <w:highlight w:val="none"/>
                <w:lang w:val="en-US" w:eastAsia="zh-CN"/>
              </w:rPr>
              <w:t>系数</w:t>
            </w:r>
            <w:r>
              <w:rPr>
                <w:rFonts w:hint="eastAsia" w:ascii="仿宋" w:hAnsi="仿宋" w:eastAsia="仿宋" w:cs="仿宋"/>
                <w:b/>
                <w:bCs/>
                <w:color w:val="auto"/>
                <w:sz w:val="20"/>
                <w:szCs w:val="21"/>
                <w:highlight w:val="none"/>
                <w:lang w:eastAsia="zh-CN"/>
              </w:rPr>
              <w:t>）</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lang w:val="en-US" w:eastAsia="zh-CN"/>
              </w:rPr>
              <w:t>一般</w:t>
            </w:r>
          </w:p>
        </w:tc>
        <w:tc>
          <w:tcPr>
            <w:tcW w:w="874"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不满意</w:t>
            </w:r>
          </w:p>
        </w:tc>
        <w:tc>
          <w:tcPr>
            <w:tcW w:w="0" w:type="auto"/>
            <w:shd w:val="clear" w:color="auto" w:fill="auto"/>
            <w:noWrap/>
            <w:vAlign w:val="center"/>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4939" w:type="dxa"/>
            <w:shd w:val="clear" w:color="auto" w:fill="auto"/>
            <w:vAlign w:val="center"/>
          </w:tcPr>
          <w:p>
            <w:pPr>
              <w:snapToGrid w:val="0"/>
              <w:jc w:val="left"/>
              <w:rPr>
                <w:rFonts w:hint="eastAsia" w:ascii="仿宋" w:hAnsi="仿宋" w:eastAsia="仿宋" w:cs="仿宋"/>
                <w:color w:val="auto"/>
                <w:sz w:val="20"/>
                <w:szCs w:val="21"/>
                <w:highlight w:val="none"/>
              </w:rPr>
            </w:pPr>
            <w:r>
              <w:rPr>
                <w:rFonts w:hint="eastAsia" w:ascii="仿宋" w:hAnsi="仿宋" w:eastAsia="仿宋" w:cs="仿宋"/>
                <w:color w:val="auto"/>
                <w:sz w:val="20"/>
                <w:szCs w:val="21"/>
              </w:rPr>
              <w:t>您对</w:t>
            </w:r>
            <w:r>
              <w:rPr>
                <w:rFonts w:hint="eastAsia" w:ascii="仿宋" w:hAnsi="仿宋" w:eastAsia="仿宋" w:cs="仿宋"/>
                <w:color w:val="auto"/>
                <w:sz w:val="20"/>
                <w:szCs w:val="21"/>
                <w:lang w:val="en-US" w:eastAsia="zh-CN"/>
              </w:rPr>
              <w:t>救治能力提升项目实施内容的满意程度</w:t>
            </w:r>
          </w:p>
        </w:tc>
        <w:tc>
          <w:tcPr>
            <w:tcW w:w="872" w:type="dxa"/>
            <w:shd w:val="clear" w:color="auto" w:fill="auto"/>
            <w:vAlign w:val="center"/>
          </w:tcPr>
          <w:p>
            <w:pPr>
              <w:keepNext w:val="0"/>
              <w:keepLines w:val="0"/>
              <w:widowControl/>
              <w:suppressLineNumbers w:val="0"/>
              <w:jc w:val="center"/>
              <w:textAlignment w:val="center"/>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200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193</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3</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97.90%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4939" w:type="dxa"/>
            <w:shd w:val="clear" w:color="auto" w:fill="auto"/>
            <w:vAlign w:val="center"/>
          </w:tcPr>
          <w:p>
            <w:pPr>
              <w:snapToGrid w:val="0"/>
              <w:jc w:val="left"/>
              <w:rPr>
                <w:rFonts w:hint="eastAsia" w:ascii="仿宋" w:hAnsi="仿宋" w:eastAsia="仿宋" w:cs="仿宋"/>
                <w:color w:val="auto"/>
                <w:sz w:val="20"/>
                <w:szCs w:val="21"/>
                <w:highlight w:val="none"/>
              </w:rPr>
            </w:pPr>
            <w:r>
              <w:rPr>
                <w:rFonts w:hint="eastAsia" w:ascii="仿宋" w:hAnsi="仿宋" w:eastAsia="仿宋" w:cs="仿宋"/>
                <w:color w:val="auto"/>
                <w:sz w:val="20"/>
                <w:szCs w:val="21"/>
              </w:rPr>
              <w:t>您对</w:t>
            </w:r>
            <w:r>
              <w:rPr>
                <w:rFonts w:hint="eastAsia" w:ascii="仿宋" w:hAnsi="仿宋" w:eastAsia="仿宋" w:cs="仿宋"/>
                <w:color w:val="auto"/>
                <w:sz w:val="20"/>
                <w:szCs w:val="21"/>
                <w:lang w:val="en-US" w:eastAsia="zh-CN"/>
              </w:rPr>
              <w:t>救治能力提升项目实施进度的满意程度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200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178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4</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8</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shd w:val="clear" w:color="auto" w:fill="auto"/>
            <w:vAlign w:val="center"/>
          </w:tcPr>
          <w:p>
            <w:pPr>
              <w:snapToGrid w:val="0"/>
              <w:jc w:val="both"/>
              <w:rPr>
                <w:rFonts w:hint="eastAsia" w:ascii="仿宋" w:hAnsi="仿宋" w:eastAsia="仿宋" w:cs="仿宋"/>
                <w:color w:val="auto"/>
                <w:sz w:val="20"/>
                <w:szCs w:val="21"/>
                <w:highlight w:val="none"/>
              </w:rPr>
            </w:pPr>
            <w:r>
              <w:rPr>
                <w:rFonts w:hint="eastAsia" w:ascii="仿宋" w:hAnsi="仿宋" w:eastAsia="仿宋" w:cs="仿宋"/>
                <w:color w:val="auto"/>
                <w:sz w:val="20"/>
                <w:szCs w:val="21"/>
              </w:rPr>
              <w:t>您对</w:t>
            </w:r>
            <w:r>
              <w:rPr>
                <w:rFonts w:hint="eastAsia" w:ascii="仿宋" w:hAnsi="仿宋" w:eastAsia="仿宋" w:cs="仿宋"/>
                <w:color w:val="auto"/>
                <w:sz w:val="20"/>
                <w:szCs w:val="21"/>
                <w:lang w:val="en-US" w:eastAsia="zh-CN"/>
              </w:rPr>
              <w:t>救治能力提升项目建设质量的满意程度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200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172</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13</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shd w:val="clear" w:color="auto" w:fill="auto"/>
            <w:vAlign w:val="center"/>
          </w:tcPr>
          <w:p>
            <w:pPr>
              <w:snapToGrid w:val="0"/>
              <w:rPr>
                <w:rFonts w:hint="eastAsia" w:ascii="仿宋" w:hAnsi="仿宋" w:eastAsia="仿宋" w:cs="仿宋"/>
                <w:color w:val="auto"/>
                <w:sz w:val="20"/>
                <w:szCs w:val="21"/>
              </w:rPr>
            </w:pPr>
            <w:r>
              <w:rPr>
                <w:rFonts w:hint="eastAsia" w:ascii="仿宋" w:hAnsi="仿宋" w:eastAsia="仿宋" w:cs="仿宋"/>
                <w:color w:val="auto"/>
                <w:sz w:val="20"/>
                <w:szCs w:val="21"/>
              </w:rPr>
              <w:t>您对</w:t>
            </w:r>
            <w:r>
              <w:rPr>
                <w:rFonts w:hint="eastAsia" w:ascii="仿宋" w:hAnsi="仿宋" w:eastAsia="仿宋" w:cs="仿宋"/>
                <w:color w:val="auto"/>
                <w:sz w:val="20"/>
                <w:szCs w:val="21"/>
                <w:lang w:val="en-US" w:eastAsia="zh-CN"/>
              </w:rPr>
              <w:t>救治能力提升项目建成后产生的效益情况</w:t>
            </w:r>
            <w:r>
              <w:rPr>
                <w:rFonts w:hint="eastAsia" w:ascii="仿宋" w:hAnsi="仿宋" w:eastAsia="仿宋" w:cs="仿宋"/>
                <w:color w:val="auto"/>
                <w:sz w:val="20"/>
                <w:szCs w:val="21"/>
              </w:rPr>
              <w:t>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200</w:t>
            </w:r>
          </w:p>
        </w:tc>
        <w:tc>
          <w:tcPr>
            <w:tcW w:w="872" w:type="dxa"/>
            <w:shd w:val="clear" w:color="auto" w:fill="auto"/>
            <w:vAlign w:val="bottom"/>
          </w:tcPr>
          <w:p>
            <w:pPr>
              <w:keepNext w:val="0"/>
              <w:keepLines w:val="0"/>
              <w:widowControl/>
              <w:suppressLineNumbers w:val="0"/>
              <w:jc w:val="center"/>
              <w:textAlignment w:val="bottom"/>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184</w:t>
            </w:r>
          </w:p>
        </w:tc>
        <w:tc>
          <w:tcPr>
            <w:tcW w:w="872" w:type="dxa"/>
            <w:shd w:val="clear" w:color="auto" w:fill="auto"/>
            <w:vAlign w:val="bottom"/>
          </w:tcPr>
          <w:p>
            <w:pPr>
              <w:keepNext w:val="0"/>
              <w:keepLines w:val="0"/>
              <w:widowControl/>
              <w:suppressLineNumbers w:val="0"/>
              <w:jc w:val="center"/>
              <w:textAlignment w:val="bottom"/>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12</w:t>
            </w:r>
          </w:p>
        </w:tc>
        <w:tc>
          <w:tcPr>
            <w:tcW w:w="872" w:type="dxa"/>
            <w:shd w:val="clear" w:color="auto" w:fill="auto"/>
            <w:vAlign w:val="bottom"/>
          </w:tcPr>
          <w:p>
            <w:pPr>
              <w:keepNext w:val="0"/>
              <w:keepLines w:val="0"/>
              <w:widowControl/>
              <w:suppressLineNumbers w:val="0"/>
              <w:jc w:val="center"/>
              <w:textAlignment w:val="bottom"/>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4</w:t>
            </w:r>
          </w:p>
        </w:tc>
        <w:tc>
          <w:tcPr>
            <w:tcW w:w="874" w:type="dxa"/>
            <w:shd w:val="clear" w:color="auto" w:fill="auto"/>
            <w:vAlign w:val="bottom"/>
          </w:tcPr>
          <w:p>
            <w:pPr>
              <w:keepNext w:val="0"/>
              <w:keepLines w:val="0"/>
              <w:widowControl/>
              <w:suppressLineNumbers w:val="0"/>
              <w:jc w:val="center"/>
              <w:textAlignment w:val="bottom"/>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98.00%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总体满意度</w:t>
            </w:r>
          </w:p>
        </w:tc>
        <w:tc>
          <w:tcPr>
            <w:tcW w:w="872" w:type="dxa"/>
            <w:shd w:val="clear" w:color="auto" w:fill="auto"/>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2" w:type="dxa"/>
            <w:shd w:val="clear" w:color="auto" w:fill="auto"/>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2" w:type="dxa"/>
            <w:shd w:val="clear" w:color="auto" w:fill="auto"/>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2" w:type="dxa"/>
            <w:shd w:val="clear" w:color="auto" w:fill="auto"/>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4" w:type="dxa"/>
            <w:shd w:val="clear" w:color="auto" w:fill="auto"/>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4"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1185" w:type="dxa"/>
            <w:shd w:val="clear" w:color="auto" w:fill="auto"/>
            <w:noWrap/>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95.08%</w:t>
            </w:r>
          </w:p>
        </w:tc>
      </w:tr>
    </w:tbl>
    <w:p>
      <w:pPr>
        <w:pStyle w:val="2"/>
        <w:rPr>
          <w:rFonts w:hint="eastAsia"/>
        </w:rPr>
        <w:sectPr>
          <w:pgSz w:w="16838" w:h="11906" w:orient="landscape"/>
          <w:pgMar w:top="1797" w:right="1440" w:bottom="1797" w:left="1440" w:header="851" w:footer="992" w:gutter="0"/>
          <w:pgNumType w:fmt="decimal"/>
          <w:cols w:space="425" w:num="1"/>
          <w:docGrid w:type="lines" w:linePitch="312" w:charSpace="0"/>
        </w:sectPr>
      </w:pPr>
    </w:p>
    <w:p>
      <w:pPr>
        <w:pStyle w:val="2"/>
        <w:rPr>
          <w:rFonts w:hint="eastAsia"/>
        </w:rPr>
      </w:pPr>
    </w:p>
    <w:p>
      <w:pPr>
        <w:tabs>
          <w:tab w:val="left" w:pos="630"/>
        </w:tabs>
        <w:spacing w:line="574"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三</w:t>
      </w:r>
      <w:r>
        <w:rPr>
          <w:rFonts w:hint="eastAsia" w:ascii="仿宋" w:hAnsi="仿宋" w:eastAsia="仿宋" w:cs="仿宋"/>
          <w:sz w:val="28"/>
          <w:szCs w:val="28"/>
          <w:lang w:eastAsia="zh-CN"/>
        </w:rPr>
        <w:t>）</w:t>
      </w:r>
      <w:r>
        <w:rPr>
          <w:rFonts w:hint="eastAsia" w:ascii="仿宋" w:hAnsi="仿宋" w:eastAsia="仿宋" w:cs="仿宋"/>
          <w:sz w:val="28"/>
          <w:szCs w:val="28"/>
        </w:rPr>
        <w:t>总结</w:t>
      </w:r>
    </w:p>
    <w:p>
      <w:pPr>
        <w:tabs>
          <w:tab w:val="left" w:pos="630"/>
        </w:tabs>
        <w:spacing w:line="574" w:lineRule="exact"/>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受益对象满意度分别为：97.90%、93.00%、91.40%、98.00%。整体满意度为95.08%。</w:t>
      </w:r>
    </w:p>
    <w:p>
      <w:pPr>
        <w:rPr>
          <w:rFonts w:hint="eastAsia" w:ascii="黑体" w:hAnsi="黑体" w:eastAsia="黑体"/>
          <w:snapToGrid w:val="0"/>
          <w:sz w:val="32"/>
          <w:szCs w:val="32"/>
          <w:lang w:val="en-US" w:eastAsia="zh-CN"/>
        </w:rPr>
      </w:pPr>
      <w:r>
        <w:rPr>
          <w:rFonts w:hint="eastAsia" w:ascii="黑体" w:hAnsi="黑体" w:eastAsia="黑体"/>
          <w:snapToGrid w:val="0"/>
          <w:sz w:val="32"/>
          <w:szCs w:val="32"/>
          <w:lang w:val="en-US" w:eastAsia="zh-CN"/>
        </w:rPr>
        <w:br w:type="page"/>
      </w:r>
    </w:p>
    <w:p>
      <w:pPr>
        <w:keepNext w:val="0"/>
        <w:keepLines w:val="0"/>
        <w:pageBreakBefore w:val="0"/>
        <w:widowControl w:val="0"/>
        <w:tabs>
          <w:tab w:val="left" w:pos="3495"/>
        </w:tabs>
        <w:kinsoku/>
        <w:wordWrap/>
        <w:overflowPunct/>
        <w:topLinePunct w:val="0"/>
        <w:autoSpaceDE/>
        <w:autoSpaceDN/>
        <w:bidi w:val="0"/>
        <w:adjustRightInd/>
        <w:snapToGrid/>
        <w:jc w:val="left"/>
        <w:textAlignment w:val="auto"/>
        <w:outlineLvl w:val="0"/>
        <w:rPr>
          <w:rFonts w:hint="default" w:ascii="黑体" w:hAnsi="黑体" w:eastAsia="黑体"/>
          <w:b/>
          <w:bCs/>
          <w:snapToGrid w:val="0"/>
          <w:sz w:val="32"/>
          <w:szCs w:val="32"/>
          <w:lang w:val="en-US" w:eastAsia="zh-CN"/>
        </w:rPr>
      </w:pPr>
      <w:bookmarkStart w:id="181" w:name="_Toc30992"/>
      <w:r>
        <w:rPr>
          <w:rFonts w:hint="eastAsia" w:ascii="黑体" w:hAnsi="黑体" w:eastAsia="黑体"/>
          <w:snapToGrid w:val="0"/>
          <w:sz w:val="32"/>
          <w:szCs w:val="32"/>
          <w:lang w:val="en-US" w:eastAsia="zh-CN"/>
        </w:rPr>
        <w:t>附件3：访谈报告</w:t>
      </w:r>
      <w:bookmarkEnd w:id="181"/>
    </w:p>
    <w:p>
      <w:pPr>
        <w:spacing w:line="520" w:lineRule="exact"/>
        <w:ind w:firstLine="562" w:firstLineChars="200"/>
        <w:rPr>
          <w:rFonts w:hint="default" w:ascii="仿宋" w:hAnsi="仿宋" w:eastAsia="仿宋" w:cs="仿宋"/>
          <w:b/>
          <w:bCs/>
          <w:kern w:val="0"/>
          <w:sz w:val="28"/>
          <w:szCs w:val="32"/>
          <w:lang w:val="en-US" w:eastAsia="zh-CN"/>
        </w:rPr>
      </w:pPr>
      <w:r>
        <w:rPr>
          <w:rFonts w:hint="eastAsia" w:ascii="仿宋" w:hAnsi="仿宋" w:eastAsia="仿宋" w:cs="仿宋"/>
          <w:b/>
          <w:bCs/>
          <w:kern w:val="0"/>
          <w:sz w:val="28"/>
          <w:szCs w:val="32"/>
          <w:lang w:val="en-US" w:eastAsia="zh-CN"/>
        </w:rPr>
        <w:t>一、项目相关负责人访谈</w:t>
      </w:r>
    </w:p>
    <w:p>
      <w:pPr>
        <w:spacing w:line="520" w:lineRule="exact"/>
        <w:ind w:firstLine="560" w:firstLineChars="200"/>
        <w:rPr>
          <w:rFonts w:hint="eastAsia" w:ascii="仿宋" w:hAnsi="仿宋" w:eastAsia="仿宋" w:cs="仿宋"/>
          <w:kern w:val="0"/>
          <w:sz w:val="28"/>
          <w:szCs w:val="32"/>
        </w:rPr>
      </w:pPr>
      <w:r>
        <w:rPr>
          <w:rFonts w:hint="eastAsia" w:ascii="仿宋" w:hAnsi="仿宋" w:eastAsia="仿宋" w:cs="仿宋"/>
          <w:kern w:val="0"/>
          <w:sz w:val="28"/>
          <w:szCs w:val="32"/>
        </w:rPr>
        <w:t>为了全面了解项目整体情况和绩效情况，客观公正的评价该项财政资金的绩效，从而提高资金的使用效率和管理水平，我们需要向您咨询以下问题：</w:t>
      </w:r>
    </w:p>
    <w:p>
      <w:pPr>
        <w:spacing w:line="500" w:lineRule="exact"/>
        <w:ind w:firstLine="562" w:firstLineChars="200"/>
        <w:rPr>
          <w:rFonts w:hint="eastAsia" w:ascii="仿宋" w:hAnsi="仿宋" w:eastAsia="仿宋" w:cs="仿宋"/>
          <w:b/>
          <w:bCs/>
          <w:kern w:val="0"/>
          <w:sz w:val="28"/>
          <w:szCs w:val="32"/>
        </w:rPr>
      </w:pPr>
      <w:r>
        <w:rPr>
          <w:rFonts w:hint="eastAsia" w:ascii="仿宋" w:hAnsi="仿宋" w:eastAsia="仿宋" w:cs="仿宋"/>
          <w:b/>
          <w:bCs/>
          <w:kern w:val="0"/>
          <w:sz w:val="28"/>
          <w:szCs w:val="32"/>
        </w:rPr>
        <w:t>1、请您简要介绍项目的概况</w:t>
      </w:r>
      <w:r>
        <w:rPr>
          <w:rFonts w:hint="eastAsia" w:ascii="仿宋" w:hAnsi="仿宋" w:eastAsia="仿宋" w:cs="仿宋"/>
          <w:b/>
          <w:bCs/>
          <w:kern w:val="0"/>
          <w:sz w:val="28"/>
          <w:szCs w:val="32"/>
          <w:lang w:val="en-US" w:eastAsia="zh-CN"/>
        </w:rPr>
        <w:t>及资金情况</w:t>
      </w:r>
      <w:r>
        <w:rPr>
          <w:rFonts w:hint="eastAsia" w:ascii="仿宋" w:hAnsi="仿宋" w:eastAsia="仿宋" w:cs="仿宋"/>
          <w:b/>
          <w:bCs/>
          <w:kern w:val="0"/>
          <w:sz w:val="28"/>
          <w:szCs w:val="32"/>
        </w:rPr>
        <w:t>。</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古县人民医院救治能力提升项目于2020年5月27日在古县行政审批服务管理局完成了立项，2020年6月28日完成了岩土工程勘察报告，2020年8月11日完成了初步设计的批复，2020年9月24日由山西二建集团有限公司完成图纸设计，2020年9月25日办理了建设工程规划许可证，2020年9月30日完成工程预算，2020年10月11日完成财政评审。</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救治能力提升项目工程土建部分于2020年11月10日完成招标工作，由恒上建设有限公司中标第一包，中标价10073372.21元，由山西鼎英通风空调技术有限公司中标第二包，中标价1369926.03元。本项目于2020年11月15日办理了《施工许可证》后开工建设。</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一包：</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2020年11月12日，古县医疗集团与恒上建设有限公司签订《古县人民医院救治能力提升项目（第一包）建设工程施工合同》，项目实施内容：地上三层，建筑面积2905㎡，一至三层层高4.2m，建筑高度13.65m，室内外高差0.45m，主要功能为门诊及负压病房；主楼：建筑工程、装饰工程、给排水工程、电气工程、消防电工程：室外土建工程、室外安装工程、室外绿化工程；工期365天，但该合同未明确计划开竣工时间（空项未填）。</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11月10日，古县医疗集团与恒上建设有限公司签订《延期协议书》：古县人民医院救治能力提升项目，合同工期365日历天，计划开工2020年11月15日，计划竣工日期2021年11月14日。实际开工日期2021年1月5日，施工期间2021年6月份建党100周年、中考、高考停工半月，2021年09、10月份连续降雨耽搁一个月工期，故未能按合同工期完成工程项目；截止2021年11月10日，古县人民医院救治能力提升项目已完成95%，剩余室内吊顶、内墙涂料、室外地面工程待完成。由于第二包新风空调项目（不在第一包合同工期内）未安装完成，只有第二包工程完成后才能进行吊项、内墙涂料等装饰工程。现气温骤降，至使扫尾工程无法进行施工。计划安排2021年11月底停工于2022年3月份再开始施工，4月30日完成该项目工程。</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2022年8月25日，古县医疗集团出具《项目情况汇报》：工程正在进行室内装修，尚未整体完工。</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截止2022年8月15日，古县人民医院救治能力提升项目（第一包）建设工程项目未完工。</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二包：</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2020年11月15日，古县医疗集团与山西鼎英通风空调技术有限公司签订《古县医疗集团空调销售安装合同》，工期2020年11月15日至2021年11月14日，合同价1369926.03元。</w:t>
      </w:r>
    </w:p>
    <w:p>
      <w:pPr>
        <w:spacing w:line="500" w:lineRule="exact"/>
        <w:ind w:firstLine="560" w:firstLineChars="200"/>
        <w:rPr>
          <w:rFonts w:hint="eastAsia" w:ascii="仿宋" w:hAnsi="仿宋" w:eastAsia="仿宋" w:cs="仿宋"/>
          <w:kern w:val="0"/>
          <w:sz w:val="28"/>
          <w:szCs w:val="32"/>
          <w:lang w:eastAsia="zh-CN"/>
        </w:rPr>
      </w:pPr>
      <w:r>
        <w:rPr>
          <w:rFonts w:hint="eastAsia" w:ascii="Times New Roman" w:hAnsi="Times New Roman" w:eastAsia="仿宋" w:cs="Times New Roman"/>
          <w:kern w:val="0"/>
          <w:sz w:val="28"/>
          <w:szCs w:val="28"/>
          <w:shd w:val="clear" w:color="auto" w:fill="FFFFFF"/>
          <w:lang w:val="en-US" w:eastAsia="zh-CN"/>
        </w:rPr>
        <w:t>截止2022年8月15日，古县人民医院救治能力提升项目（第二包）建设工程项目已完工，但未验收</w:t>
      </w:r>
      <w:r>
        <w:rPr>
          <w:rFonts w:hint="eastAsia" w:ascii="仿宋" w:hAnsi="仿宋" w:eastAsia="仿宋" w:cs="仿宋"/>
          <w:kern w:val="0"/>
          <w:sz w:val="28"/>
          <w:szCs w:val="32"/>
          <w:lang w:eastAsia="zh-CN"/>
        </w:rPr>
        <w:t>。</w:t>
      </w:r>
    </w:p>
    <w:p>
      <w:pPr>
        <w:spacing w:line="500" w:lineRule="exact"/>
        <w:ind w:firstLine="562" w:firstLineChars="200"/>
        <w:rPr>
          <w:rFonts w:hint="eastAsia" w:ascii="仿宋" w:hAnsi="仿宋" w:eastAsia="仿宋" w:cs="仿宋"/>
          <w:b/>
          <w:bCs/>
          <w:kern w:val="0"/>
          <w:sz w:val="28"/>
          <w:szCs w:val="32"/>
        </w:rPr>
      </w:pPr>
      <w:r>
        <w:rPr>
          <w:rFonts w:hint="eastAsia" w:ascii="仿宋" w:hAnsi="仿宋" w:eastAsia="仿宋" w:cs="仿宋"/>
          <w:b/>
          <w:bCs/>
          <w:kern w:val="0"/>
          <w:sz w:val="28"/>
          <w:szCs w:val="32"/>
        </w:rPr>
        <w:t>2、请您简要介绍项目预期目标及实际完成情况。</w:t>
      </w:r>
    </w:p>
    <w:p>
      <w:pPr>
        <w:spacing w:line="500" w:lineRule="exact"/>
        <w:ind w:firstLine="560" w:firstLineChars="200"/>
        <w:rPr>
          <w:rFonts w:hint="default" w:ascii="仿宋" w:hAnsi="仿宋" w:eastAsia="仿宋" w:cs="仿宋"/>
          <w:kern w:val="0"/>
          <w:sz w:val="28"/>
          <w:szCs w:val="32"/>
          <w:lang w:val="en-US"/>
        </w:rPr>
      </w:pPr>
      <w:r>
        <w:rPr>
          <w:rFonts w:hint="eastAsia" w:ascii="Times New Roman" w:hAnsi="Times New Roman" w:eastAsia="仿宋" w:cs="Times New Roman"/>
          <w:bCs w:val="0"/>
          <w:kern w:val="2"/>
          <w:sz w:val="28"/>
          <w:szCs w:val="28"/>
          <w:lang w:val="en-US" w:eastAsia="zh-CN" w:bidi="ar-SA"/>
        </w:rPr>
        <w:t>救治能力提升项目一包（工程建设）未完工，救治能力提升项目二包（空调安装）完工</w:t>
      </w:r>
      <w:r>
        <w:rPr>
          <w:rFonts w:hint="eastAsia" w:ascii="Times New Roman" w:hAnsi="Times New Roman" w:eastAsia="仿宋" w:cs="Times New Roman"/>
          <w:kern w:val="0"/>
          <w:sz w:val="28"/>
          <w:szCs w:val="28"/>
          <w:shd w:val="clear" w:color="auto" w:fill="FFFFFF"/>
          <w:lang w:val="en-US" w:eastAsia="zh-CN"/>
        </w:rPr>
        <w:t>。</w:t>
      </w:r>
    </w:p>
    <w:p>
      <w:pPr>
        <w:spacing w:line="500" w:lineRule="exact"/>
        <w:ind w:firstLine="562" w:firstLineChars="200"/>
        <w:rPr>
          <w:rFonts w:hint="eastAsia" w:ascii="仿宋" w:hAnsi="仿宋" w:eastAsia="仿宋" w:cs="仿宋"/>
          <w:b/>
          <w:bCs/>
          <w:kern w:val="0"/>
          <w:sz w:val="28"/>
          <w:szCs w:val="32"/>
        </w:rPr>
      </w:pPr>
      <w:r>
        <w:rPr>
          <w:rFonts w:hint="eastAsia" w:ascii="仿宋" w:hAnsi="仿宋" w:eastAsia="仿宋" w:cs="仿宋"/>
          <w:b/>
          <w:bCs/>
          <w:kern w:val="0"/>
          <w:sz w:val="28"/>
          <w:szCs w:val="32"/>
          <w:lang w:val="en-US" w:eastAsia="zh-CN"/>
        </w:rPr>
        <w:t>3</w:t>
      </w:r>
      <w:r>
        <w:rPr>
          <w:rFonts w:hint="eastAsia" w:ascii="仿宋" w:hAnsi="仿宋" w:eastAsia="仿宋" w:cs="仿宋"/>
          <w:b/>
          <w:bCs/>
          <w:kern w:val="0"/>
          <w:sz w:val="28"/>
          <w:szCs w:val="32"/>
        </w:rPr>
        <w:t>、请您简要介绍资金使用情况。</w:t>
      </w:r>
    </w:p>
    <w:p>
      <w:pPr>
        <w:spacing w:line="500" w:lineRule="exact"/>
        <w:ind w:firstLine="560" w:firstLineChars="200"/>
        <w:rPr>
          <w:rFonts w:hint="eastAsia" w:ascii="仿宋" w:hAnsi="仿宋" w:eastAsia="仿宋" w:cs="仿宋"/>
          <w:kern w:val="0"/>
          <w:sz w:val="28"/>
          <w:szCs w:val="32"/>
          <w:lang w:eastAsia="zh-CN"/>
        </w:rPr>
      </w:pPr>
      <w:r>
        <w:rPr>
          <w:rFonts w:hint="eastAsia" w:ascii="Times New Roman" w:hAnsi="Times New Roman" w:eastAsia="仿宋" w:cs="Times New Roman"/>
          <w:kern w:val="0"/>
          <w:sz w:val="28"/>
          <w:szCs w:val="28"/>
          <w:shd w:val="clear" w:color="auto" w:fill="FFFFFF"/>
          <w:lang w:val="en-US" w:eastAsia="zh-CN"/>
        </w:rPr>
        <w:t>截止2022年8月15日，项目共计到位资金1717.00万元，其中中央资金1100.00万元，省级专项资金317.00万元，抗疫特别国债资金300.00万元</w:t>
      </w:r>
      <w:r>
        <w:rPr>
          <w:rFonts w:hint="eastAsia" w:ascii="仿宋" w:hAnsi="仿宋" w:eastAsia="仿宋" w:cs="仿宋"/>
          <w:kern w:val="0"/>
          <w:sz w:val="28"/>
          <w:szCs w:val="32"/>
          <w:lang w:eastAsia="zh-CN"/>
        </w:rPr>
        <w:t>。</w:t>
      </w:r>
    </w:p>
    <w:p>
      <w:pPr>
        <w:spacing w:line="500" w:lineRule="exact"/>
        <w:ind w:firstLine="560" w:firstLineChars="200"/>
        <w:rPr>
          <w:rFonts w:hint="eastAsia" w:ascii="仿宋" w:hAnsi="仿宋" w:eastAsia="仿宋" w:cs="仿宋"/>
          <w:kern w:val="0"/>
          <w:sz w:val="28"/>
          <w:szCs w:val="32"/>
          <w:lang w:eastAsia="zh-CN"/>
        </w:rPr>
      </w:pPr>
      <w:r>
        <w:rPr>
          <w:rFonts w:hint="eastAsia" w:ascii="Times New Roman" w:hAnsi="Times New Roman" w:eastAsia="仿宋" w:cs="Times New Roman"/>
          <w:kern w:val="0"/>
          <w:sz w:val="28"/>
          <w:szCs w:val="28"/>
          <w:shd w:val="clear" w:color="auto" w:fill="FFFFFF"/>
          <w:lang w:val="en-US" w:eastAsia="zh-CN"/>
        </w:rPr>
        <w:t>截止2022年8月15日，救治能力提升项目共计支出资金1133.32万元</w:t>
      </w:r>
      <w:r>
        <w:rPr>
          <w:rFonts w:hint="eastAsia" w:ascii="仿宋" w:hAnsi="仿宋" w:eastAsia="仿宋" w:cs="仿宋"/>
          <w:color w:val="auto"/>
          <w:kern w:val="0"/>
          <w:sz w:val="28"/>
          <w:szCs w:val="32"/>
          <w:lang w:eastAsia="zh-CN"/>
        </w:rPr>
        <w:t>。</w:t>
      </w:r>
    </w:p>
    <w:p>
      <w:pPr>
        <w:spacing w:line="500" w:lineRule="exact"/>
        <w:ind w:firstLine="562" w:firstLineChars="200"/>
        <w:rPr>
          <w:rFonts w:hint="eastAsia" w:ascii="仿宋" w:hAnsi="仿宋" w:eastAsia="仿宋" w:cs="仿宋"/>
          <w:kern w:val="0"/>
          <w:sz w:val="28"/>
          <w:szCs w:val="32"/>
        </w:rPr>
      </w:pPr>
      <w:r>
        <w:rPr>
          <w:rFonts w:hint="eastAsia" w:ascii="仿宋" w:hAnsi="仿宋" w:eastAsia="仿宋" w:cs="仿宋"/>
          <w:b/>
          <w:bCs/>
          <w:kern w:val="0"/>
          <w:sz w:val="28"/>
          <w:szCs w:val="32"/>
          <w:lang w:val="en-US" w:eastAsia="zh-CN"/>
        </w:rPr>
        <w:t>4</w:t>
      </w:r>
      <w:r>
        <w:rPr>
          <w:rFonts w:hint="eastAsia" w:ascii="仿宋" w:hAnsi="仿宋" w:eastAsia="仿宋" w:cs="仿宋"/>
          <w:b/>
          <w:bCs/>
          <w:kern w:val="0"/>
          <w:sz w:val="28"/>
          <w:szCs w:val="32"/>
        </w:rPr>
        <w:t>、请您简要介绍为保障项目的顺利实施所制定的制度、措施有哪些？</w:t>
      </w:r>
    </w:p>
    <w:p>
      <w:pPr>
        <w:spacing w:line="500" w:lineRule="exact"/>
        <w:ind w:firstLine="560" w:firstLineChars="200"/>
        <w:rPr>
          <w:rFonts w:hint="eastAsia" w:ascii="仿宋" w:hAnsi="仿宋" w:eastAsia="仿宋" w:cs="仿宋"/>
          <w:snapToGrid w:val="0"/>
          <w:sz w:val="28"/>
          <w:szCs w:val="28"/>
          <w:lang w:val="en-US" w:eastAsia="zh-CN"/>
        </w:rPr>
      </w:pPr>
      <w:r>
        <w:rPr>
          <w:rFonts w:hint="eastAsia" w:ascii="仿宋" w:hAnsi="仿宋" w:eastAsia="仿宋" w:cs="仿宋"/>
          <w:kern w:val="0"/>
          <w:sz w:val="28"/>
          <w:szCs w:val="32"/>
          <w:lang w:val="en-US" w:eastAsia="zh-CN"/>
        </w:rPr>
        <w:t>我单位在项目实施过程中严格把关，制定了相关业务、财务管理制度</w:t>
      </w:r>
      <w:r>
        <w:rPr>
          <w:rFonts w:hint="eastAsia" w:ascii="仿宋" w:hAnsi="仿宋" w:eastAsia="仿宋" w:cs="仿宋"/>
          <w:snapToGrid w:val="0"/>
          <w:sz w:val="28"/>
          <w:szCs w:val="28"/>
          <w:lang w:val="en-US" w:eastAsia="zh-CN"/>
        </w:rPr>
        <w:t>。</w:t>
      </w:r>
    </w:p>
    <w:p>
      <w:pPr>
        <w:rPr>
          <w:rFonts w:hint="eastAsia" w:ascii="仿宋" w:hAnsi="仿宋" w:eastAsia="仿宋" w:cs="仿宋"/>
          <w:snapToGrid w:val="0"/>
          <w:sz w:val="28"/>
          <w:szCs w:val="28"/>
          <w:lang w:val="en-US" w:eastAsia="zh-CN"/>
        </w:rPr>
      </w:pPr>
      <w:r>
        <w:rPr>
          <w:rFonts w:hint="eastAsia" w:ascii="仿宋" w:hAnsi="仿宋" w:eastAsia="仿宋" w:cs="仿宋"/>
          <w:snapToGrid w:val="0"/>
          <w:sz w:val="28"/>
          <w:szCs w:val="28"/>
          <w:lang w:val="en-US" w:eastAsia="zh-CN"/>
        </w:rPr>
        <w:br w:type="page"/>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0"/>
        <w:rPr>
          <w:rFonts w:hint="default" w:ascii="黑体" w:hAnsi="黑体" w:eastAsia="黑体"/>
          <w:snapToGrid w:val="0"/>
          <w:sz w:val="32"/>
          <w:szCs w:val="32"/>
          <w:lang w:val="en-US" w:eastAsia="zh-CN"/>
        </w:rPr>
      </w:pPr>
      <w:bookmarkStart w:id="182" w:name="_Toc92"/>
      <w:bookmarkStart w:id="183" w:name="_Toc21093"/>
      <w:r>
        <w:rPr>
          <w:rFonts w:hint="eastAsia" w:ascii="黑体" w:hAnsi="黑体" w:eastAsia="黑体"/>
          <w:snapToGrid w:val="0"/>
          <w:sz w:val="32"/>
          <w:szCs w:val="32"/>
          <w:lang w:val="en-US" w:eastAsia="zh-CN"/>
        </w:rPr>
        <w:t>附件4：合规性审查</w:t>
      </w:r>
      <w:bookmarkEnd w:id="182"/>
      <w:bookmarkEnd w:id="183"/>
    </w:p>
    <w:p>
      <w:pPr>
        <w:spacing w:line="500" w:lineRule="exact"/>
        <w:ind w:firstLine="560" w:firstLineChars="200"/>
        <w:rPr>
          <w:rFonts w:hint="eastAsia" w:ascii="仿宋" w:hAnsi="仿宋" w:eastAsia="仿宋" w:cs="仿宋"/>
          <w:kern w:val="0"/>
          <w:sz w:val="28"/>
          <w:szCs w:val="32"/>
        </w:rPr>
      </w:pPr>
      <w:r>
        <w:rPr>
          <w:rFonts w:hint="eastAsia" w:ascii="仿宋" w:hAnsi="仿宋" w:eastAsia="仿宋" w:cs="仿宋"/>
          <w:kern w:val="0"/>
          <w:sz w:val="28"/>
          <w:szCs w:val="32"/>
        </w:rPr>
        <w:t>为保证</w:t>
      </w:r>
      <w:r>
        <w:rPr>
          <w:rFonts w:hint="eastAsia" w:ascii="仿宋" w:hAnsi="仿宋" w:eastAsia="仿宋" w:cs="仿宋"/>
          <w:kern w:val="0"/>
          <w:sz w:val="28"/>
          <w:szCs w:val="32"/>
          <w:lang w:val="en-US" w:eastAsia="zh-CN"/>
        </w:rPr>
        <w:t>救治能力提升项目资金</w:t>
      </w:r>
      <w:r>
        <w:rPr>
          <w:rFonts w:hint="eastAsia" w:ascii="仿宋" w:hAnsi="仿宋" w:eastAsia="仿宋" w:cs="仿宋"/>
          <w:kern w:val="0"/>
          <w:sz w:val="28"/>
          <w:szCs w:val="32"/>
        </w:rPr>
        <w:t>在资金拨付、资金支出、财务管理等方面的规范性，评价小组对资金的投入、执行、管理等方面开展合规性检查。</w:t>
      </w:r>
    </w:p>
    <w:p>
      <w:pPr>
        <w:spacing w:line="500" w:lineRule="exact"/>
        <w:ind w:firstLine="562" w:firstLineChars="200"/>
        <w:jc w:val="left"/>
        <w:rPr>
          <w:rFonts w:hint="eastAsia" w:ascii="仿宋" w:hAnsi="仿宋" w:eastAsia="仿宋" w:cs="仿宋"/>
          <w:b/>
          <w:kern w:val="0"/>
          <w:sz w:val="28"/>
          <w:szCs w:val="32"/>
        </w:rPr>
      </w:pPr>
      <w:r>
        <w:rPr>
          <w:rFonts w:hint="eastAsia" w:ascii="仿宋" w:hAnsi="仿宋" w:eastAsia="仿宋" w:cs="仿宋"/>
          <w:b/>
          <w:kern w:val="0"/>
          <w:sz w:val="28"/>
          <w:szCs w:val="32"/>
        </w:rPr>
        <w:t>1、合规性检查对象</w:t>
      </w:r>
    </w:p>
    <w:p>
      <w:pPr>
        <w:spacing w:line="500" w:lineRule="exact"/>
        <w:ind w:firstLine="560" w:firstLineChars="200"/>
        <w:jc w:val="left"/>
        <w:rPr>
          <w:rFonts w:hint="eastAsia" w:ascii="仿宋" w:hAnsi="仿宋" w:eastAsia="仿宋" w:cs="仿宋"/>
          <w:kern w:val="0"/>
          <w:sz w:val="28"/>
          <w:szCs w:val="32"/>
        </w:rPr>
      </w:pPr>
      <w:r>
        <w:rPr>
          <w:rFonts w:hint="eastAsia" w:ascii="仿宋" w:hAnsi="仿宋" w:eastAsia="仿宋" w:cs="仿宋"/>
          <w:kern w:val="0"/>
          <w:sz w:val="28"/>
          <w:szCs w:val="32"/>
        </w:rPr>
        <w:t>本次检查对象为</w:t>
      </w:r>
      <w:r>
        <w:rPr>
          <w:rFonts w:hint="eastAsia" w:ascii="仿宋" w:hAnsi="仿宋" w:eastAsia="仿宋" w:cs="仿宋"/>
          <w:kern w:val="0"/>
          <w:sz w:val="28"/>
          <w:szCs w:val="32"/>
          <w:lang w:eastAsia="zh-CN"/>
        </w:rPr>
        <w:t>救治能力提升项目资金</w:t>
      </w:r>
      <w:r>
        <w:rPr>
          <w:rFonts w:hint="eastAsia" w:ascii="仿宋" w:hAnsi="仿宋" w:eastAsia="仿宋" w:cs="仿宋"/>
          <w:kern w:val="0"/>
          <w:sz w:val="28"/>
          <w:szCs w:val="32"/>
        </w:rPr>
        <w:t>。</w:t>
      </w:r>
    </w:p>
    <w:p>
      <w:pPr>
        <w:spacing w:line="500" w:lineRule="exact"/>
        <w:ind w:firstLine="562" w:firstLineChars="200"/>
        <w:jc w:val="left"/>
        <w:rPr>
          <w:rFonts w:hint="eastAsia" w:ascii="仿宋" w:hAnsi="仿宋" w:eastAsia="仿宋" w:cs="仿宋"/>
          <w:b/>
          <w:kern w:val="0"/>
          <w:sz w:val="28"/>
          <w:szCs w:val="32"/>
        </w:rPr>
      </w:pPr>
      <w:r>
        <w:rPr>
          <w:rFonts w:hint="eastAsia" w:ascii="仿宋" w:hAnsi="仿宋" w:eastAsia="仿宋" w:cs="仿宋"/>
          <w:b/>
          <w:kern w:val="0"/>
          <w:sz w:val="28"/>
          <w:szCs w:val="32"/>
        </w:rPr>
        <w:t>2、合规性检查内容</w:t>
      </w:r>
    </w:p>
    <w:p>
      <w:pPr>
        <w:spacing w:line="500" w:lineRule="exact"/>
        <w:ind w:firstLine="560" w:firstLineChars="200"/>
        <w:jc w:val="left"/>
        <w:rPr>
          <w:rFonts w:hint="eastAsia" w:ascii="仿宋" w:hAnsi="仿宋" w:eastAsia="仿宋" w:cs="仿宋"/>
          <w:kern w:val="0"/>
          <w:sz w:val="28"/>
          <w:szCs w:val="32"/>
        </w:rPr>
      </w:pPr>
      <w:r>
        <w:rPr>
          <w:rFonts w:hint="eastAsia" w:ascii="仿宋" w:hAnsi="仿宋" w:eastAsia="仿宋" w:cs="仿宋"/>
          <w:kern w:val="0"/>
          <w:sz w:val="28"/>
          <w:szCs w:val="32"/>
        </w:rPr>
        <w:t>本次合规性检查内容包括资金拨付、资金支出、财务管理等，目的在于深入了解项目资金使用是否符合相关法律法规、制度和规定，用以发现配套资金在资金使用的规范性和安全性上存在的问题。内容如下表：</w:t>
      </w:r>
    </w:p>
    <w:p>
      <w:pPr>
        <w:spacing w:line="500" w:lineRule="exact"/>
        <w:ind w:firstLine="481" w:firstLineChars="200"/>
        <w:jc w:val="center"/>
        <w:rPr>
          <w:rFonts w:hint="eastAsia" w:ascii="仿宋" w:hAnsi="仿宋" w:eastAsia="仿宋" w:cs="仿宋"/>
          <w:b/>
          <w:kern w:val="0"/>
          <w:sz w:val="24"/>
          <w:szCs w:val="28"/>
        </w:rPr>
      </w:pPr>
      <w:r>
        <w:rPr>
          <w:rFonts w:hint="eastAsia" w:ascii="仿宋" w:hAnsi="仿宋" w:eastAsia="仿宋" w:cs="仿宋"/>
          <w:b/>
          <w:kern w:val="0"/>
          <w:sz w:val="24"/>
          <w:szCs w:val="28"/>
        </w:rPr>
        <w:t>附表4-1  合规性审查内容框架</w:t>
      </w:r>
    </w:p>
    <w:tbl>
      <w:tblPr>
        <w:tblStyle w:val="57"/>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1313"/>
        <w:gridCol w:w="67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715" w:type="dxa"/>
            <w:shd w:val="clear" w:color="auto" w:fill="BEBEBE" w:themeFill="background1" w:themeFillShade="BF"/>
            <w:vAlign w:val="center"/>
          </w:tcPr>
          <w:p>
            <w:pPr>
              <w:snapToGrid w:val="0"/>
              <w:jc w:val="center"/>
              <w:rPr>
                <w:rFonts w:hint="eastAsia" w:ascii="仿宋" w:hAnsi="仿宋" w:eastAsia="仿宋" w:cs="仿宋"/>
                <w:b/>
                <w:kern w:val="0"/>
                <w:sz w:val="24"/>
                <w:szCs w:val="32"/>
              </w:rPr>
            </w:pPr>
            <w:r>
              <w:rPr>
                <w:rFonts w:hint="eastAsia" w:ascii="仿宋" w:hAnsi="仿宋" w:eastAsia="仿宋" w:cs="仿宋"/>
                <w:b/>
                <w:kern w:val="0"/>
                <w:sz w:val="24"/>
                <w:szCs w:val="32"/>
              </w:rPr>
              <w:t>序号</w:t>
            </w:r>
          </w:p>
        </w:tc>
        <w:tc>
          <w:tcPr>
            <w:tcW w:w="1313" w:type="dxa"/>
            <w:shd w:val="clear" w:color="auto" w:fill="BEBEBE" w:themeFill="background1" w:themeFillShade="BF"/>
            <w:vAlign w:val="center"/>
          </w:tcPr>
          <w:p>
            <w:pPr>
              <w:snapToGrid w:val="0"/>
              <w:jc w:val="center"/>
              <w:rPr>
                <w:rFonts w:hint="eastAsia" w:ascii="仿宋" w:hAnsi="仿宋" w:eastAsia="仿宋" w:cs="仿宋"/>
                <w:b/>
                <w:kern w:val="0"/>
                <w:sz w:val="24"/>
                <w:szCs w:val="32"/>
              </w:rPr>
            </w:pPr>
            <w:r>
              <w:rPr>
                <w:rFonts w:hint="eastAsia" w:ascii="仿宋" w:hAnsi="仿宋" w:eastAsia="仿宋" w:cs="仿宋"/>
                <w:b/>
                <w:kern w:val="0"/>
                <w:sz w:val="24"/>
                <w:szCs w:val="32"/>
              </w:rPr>
              <w:t>项目</w:t>
            </w:r>
          </w:p>
        </w:tc>
        <w:tc>
          <w:tcPr>
            <w:tcW w:w="6727" w:type="dxa"/>
            <w:shd w:val="clear" w:color="auto" w:fill="BEBEBE" w:themeFill="background1" w:themeFillShade="BF"/>
            <w:vAlign w:val="center"/>
          </w:tcPr>
          <w:p>
            <w:pPr>
              <w:snapToGrid w:val="0"/>
              <w:jc w:val="center"/>
              <w:rPr>
                <w:rFonts w:hint="eastAsia" w:ascii="仿宋" w:hAnsi="仿宋" w:eastAsia="仿宋" w:cs="仿宋"/>
                <w:b/>
                <w:kern w:val="0"/>
                <w:sz w:val="24"/>
                <w:szCs w:val="32"/>
              </w:rPr>
            </w:pPr>
            <w:r>
              <w:rPr>
                <w:rFonts w:hint="eastAsia" w:ascii="仿宋" w:hAnsi="仿宋" w:eastAsia="仿宋" w:cs="仿宋"/>
                <w:b/>
                <w:kern w:val="0"/>
                <w:sz w:val="24"/>
                <w:szCs w:val="32"/>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hint="eastAsia" w:ascii="仿宋" w:hAnsi="仿宋" w:eastAsia="仿宋" w:cs="仿宋"/>
                <w:kern w:val="0"/>
                <w:sz w:val="24"/>
                <w:szCs w:val="32"/>
              </w:rPr>
            </w:pPr>
            <w:r>
              <w:rPr>
                <w:rFonts w:hint="eastAsia" w:ascii="仿宋" w:hAnsi="仿宋" w:eastAsia="仿宋" w:cs="仿宋"/>
                <w:kern w:val="0"/>
                <w:sz w:val="24"/>
                <w:szCs w:val="32"/>
              </w:rPr>
              <w:t>1</w:t>
            </w:r>
          </w:p>
        </w:tc>
        <w:tc>
          <w:tcPr>
            <w:tcW w:w="1313" w:type="dxa"/>
            <w:shd w:val="clear" w:color="auto" w:fill="auto"/>
            <w:vAlign w:val="center"/>
          </w:tcPr>
          <w:p>
            <w:pPr>
              <w:snapToGrid w:val="0"/>
              <w:jc w:val="center"/>
              <w:rPr>
                <w:rFonts w:hint="eastAsia" w:ascii="仿宋" w:hAnsi="仿宋" w:eastAsia="仿宋" w:cs="仿宋"/>
                <w:kern w:val="0"/>
                <w:sz w:val="24"/>
                <w:szCs w:val="32"/>
              </w:rPr>
            </w:pPr>
            <w:r>
              <w:rPr>
                <w:rFonts w:hint="eastAsia" w:ascii="仿宋" w:hAnsi="仿宋" w:eastAsia="仿宋" w:cs="仿宋"/>
                <w:kern w:val="0"/>
                <w:sz w:val="24"/>
                <w:szCs w:val="28"/>
                <w:lang w:bidi="ar"/>
              </w:rPr>
              <w:t>资金管理</w:t>
            </w:r>
          </w:p>
        </w:tc>
        <w:tc>
          <w:tcPr>
            <w:tcW w:w="6727" w:type="dxa"/>
            <w:shd w:val="clear" w:color="auto" w:fill="auto"/>
          </w:tcPr>
          <w:p>
            <w:pPr>
              <w:snapToGrid w:val="0"/>
              <w:jc w:val="left"/>
              <w:rPr>
                <w:rFonts w:hint="eastAsia" w:ascii="仿宋" w:hAnsi="仿宋" w:eastAsia="仿宋" w:cs="仿宋"/>
                <w:kern w:val="0"/>
                <w:sz w:val="24"/>
                <w:szCs w:val="32"/>
              </w:rPr>
            </w:pPr>
            <w:r>
              <w:rPr>
                <w:rFonts w:hint="eastAsia" w:ascii="仿宋" w:hAnsi="仿宋" w:eastAsia="仿宋" w:cs="仿宋"/>
                <w:kern w:val="0"/>
                <w:sz w:val="24"/>
                <w:szCs w:val="28"/>
                <w:lang w:bidi="ar"/>
              </w:rPr>
              <w:t>制定或具有相应的项目资金管理办法及是否符合相关财务会计制度的规定。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hint="eastAsia" w:ascii="仿宋" w:hAnsi="仿宋" w:eastAsia="仿宋" w:cs="仿宋"/>
                <w:kern w:val="0"/>
                <w:sz w:val="24"/>
                <w:szCs w:val="32"/>
              </w:rPr>
            </w:pPr>
            <w:r>
              <w:rPr>
                <w:rFonts w:hint="eastAsia" w:ascii="仿宋" w:hAnsi="仿宋" w:eastAsia="仿宋" w:cs="仿宋"/>
                <w:kern w:val="0"/>
                <w:sz w:val="24"/>
                <w:szCs w:val="32"/>
              </w:rPr>
              <w:t>2</w:t>
            </w:r>
          </w:p>
        </w:tc>
        <w:tc>
          <w:tcPr>
            <w:tcW w:w="1313" w:type="dxa"/>
            <w:shd w:val="clear" w:color="auto" w:fill="auto"/>
            <w:vAlign w:val="center"/>
          </w:tcPr>
          <w:p>
            <w:pPr>
              <w:snapToGrid w:val="0"/>
              <w:jc w:val="center"/>
              <w:rPr>
                <w:rFonts w:hint="eastAsia" w:ascii="仿宋" w:hAnsi="仿宋" w:eastAsia="仿宋" w:cs="仿宋"/>
                <w:kern w:val="0"/>
                <w:sz w:val="24"/>
                <w:szCs w:val="32"/>
              </w:rPr>
            </w:pPr>
            <w:r>
              <w:rPr>
                <w:rFonts w:hint="eastAsia" w:ascii="仿宋" w:hAnsi="仿宋" w:eastAsia="仿宋" w:cs="仿宋"/>
                <w:kern w:val="0"/>
                <w:sz w:val="24"/>
                <w:szCs w:val="28"/>
                <w:lang w:bidi="ar"/>
              </w:rPr>
              <w:t>资金使用</w:t>
            </w:r>
          </w:p>
        </w:tc>
        <w:tc>
          <w:tcPr>
            <w:tcW w:w="6727" w:type="dxa"/>
            <w:shd w:val="clear" w:color="auto" w:fill="auto"/>
          </w:tcPr>
          <w:p>
            <w:pPr>
              <w:snapToGrid w:val="0"/>
              <w:jc w:val="left"/>
              <w:rPr>
                <w:rFonts w:hint="eastAsia" w:ascii="仿宋" w:hAnsi="仿宋" w:eastAsia="仿宋" w:cs="仿宋"/>
                <w:kern w:val="0"/>
                <w:sz w:val="24"/>
                <w:szCs w:val="32"/>
              </w:rPr>
            </w:pPr>
            <w:r>
              <w:rPr>
                <w:rFonts w:hint="eastAsia" w:ascii="仿宋" w:hAnsi="仿宋" w:eastAsia="仿宋" w:cs="仿宋"/>
                <w:kern w:val="0"/>
                <w:sz w:val="24"/>
                <w:szCs w:val="28"/>
                <w:lang w:bidi="ar"/>
              </w:rPr>
              <w:t>资金的拨付有完整的审批程序和手续及符合项目预算批复或合同规定的用途；</w:t>
            </w:r>
            <w:r>
              <w:rPr>
                <w:rFonts w:hint="eastAsia" w:ascii="仿宋" w:hAnsi="仿宋" w:eastAsia="仿宋" w:cs="仿宋"/>
                <w:kern w:val="0"/>
                <w:sz w:val="24"/>
                <w:szCs w:val="28"/>
                <w:lang w:val="en-US" w:eastAsia="zh-CN" w:bidi="ar"/>
              </w:rPr>
              <w:t>不</w:t>
            </w:r>
            <w:r>
              <w:rPr>
                <w:rFonts w:hint="eastAsia" w:ascii="仿宋" w:hAnsi="仿宋" w:eastAsia="仿宋" w:cs="仿宋"/>
                <w:kern w:val="0"/>
                <w:sz w:val="24"/>
                <w:szCs w:val="28"/>
                <w:lang w:bidi="ar"/>
              </w:rPr>
              <w:t>存在截留、挤占、挪用、虚列支出等情况。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hint="eastAsia" w:ascii="仿宋" w:hAnsi="仿宋" w:eastAsia="仿宋" w:cs="仿宋"/>
                <w:kern w:val="0"/>
                <w:sz w:val="24"/>
                <w:szCs w:val="28"/>
                <w:lang w:bidi="ar"/>
              </w:rPr>
            </w:pPr>
            <w:r>
              <w:rPr>
                <w:rFonts w:hint="eastAsia" w:ascii="仿宋" w:hAnsi="仿宋" w:eastAsia="仿宋" w:cs="仿宋"/>
                <w:kern w:val="0"/>
                <w:sz w:val="24"/>
                <w:szCs w:val="28"/>
                <w:lang w:bidi="ar"/>
              </w:rPr>
              <w:t>3</w:t>
            </w:r>
          </w:p>
        </w:tc>
        <w:tc>
          <w:tcPr>
            <w:tcW w:w="1313" w:type="dxa"/>
            <w:shd w:val="clear" w:color="auto" w:fill="auto"/>
            <w:vAlign w:val="center"/>
          </w:tcPr>
          <w:p>
            <w:pPr>
              <w:snapToGrid w:val="0"/>
              <w:jc w:val="center"/>
              <w:rPr>
                <w:rFonts w:hint="eastAsia" w:ascii="仿宋" w:hAnsi="仿宋" w:eastAsia="仿宋" w:cs="仿宋"/>
                <w:kern w:val="0"/>
                <w:sz w:val="24"/>
                <w:szCs w:val="32"/>
              </w:rPr>
            </w:pPr>
            <w:r>
              <w:rPr>
                <w:rFonts w:hint="eastAsia" w:ascii="仿宋" w:hAnsi="仿宋" w:eastAsia="仿宋" w:cs="仿宋"/>
                <w:kern w:val="0"/>
                <w:sz w:val="24"/>
                <w:szCs w:val="28"/>
                <w:lang w:bidi="ar"/>
              </w:rPr>
              <w:t>财务监控</w:t>
            </w:r>
          </w:p>
        </w:tc>
        <w:tc>
          <w:tcPr>
            <w:tcW w:w="6727" w:type="dxa"/>
            <w:shd w:val="clear" w:color="auto" w:fill="auto"/>
          </w:tcPr>
          <w:p>
            <w:pPr>
              <w:snapToGrid w:val="0"/>
              <w:jc w:val="left"/>
              <w:rPr>
                <w:rFonts w:hint="eastAsia" w:ascii="仿宋" w:hAnsi="仿宋" w:eastAsia="仿宋" w:cs="仿宋"/>
                <w:kern w:val="0"/>
                <w:sz w:val="24"/>
                <w:szCs w:val="32"/>
              </w:rPr>
            </w:pPr>
            <w:r>
              <w:rPr>
                <w:rFonts w:hint="eastAsia" w:ascii="仿宋" w:hAnsi="仿宋" w:eastAsia="仿宋" w:cs="仿宋"/>
                <w:kern w:val="0"/>
                <w:sz w:val="24"/>
                <w:szCs w:val="28"/>
                <w:lang w:bidi="ar"/>
              </w:rPr>
              <w:t>已制定或具有相应的监控机制，采取了相应的财务检查等必要的监控措施或手段。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hint="eastAsia" w:ascii="仿宋" w:hAnsi="仿宋" w:eastAsia="仿宋" w:cs="仿宋"/>
                <w:kern w:val="0"/>
                <w:sz w:val="24"/>
                <w:szCs w:val="28"/>
                <w:lang w:bidi="ar"/>
              </w:rPr>
            </w:pPr>
            <w:r>
              <w:rPr>
                <w:rFonts w:hint="eastAsia" w:ascii="仿宋" w:hAnsi="仿宋" w:eastAsia="仿宋" w:cs="仿宋"/>
                <w:kern w:val="0"/>
                <w:sz w:val="24"/>
                <w:szCs w:val="28"/>
                <w:lang w:bidi="ar"/>
              </w:rPr>
              <w:t>4</w:t>
            </w:r>
          </w:p>
        </w:tc>
        <w:tc>
          <w:tcPr>
            <w:tcW w:w="1313" w:type="dxa"/>
            <w:shd w:val="clear" w:color="auto" w:fill="auto"/>
            <w:vAlign w:val="center"/>
          </w:tcPr>
          <w:p>
            <w:pPr>
              <w:snapToGrid w:val="0"/>
              <w:jc w:val="center"/>
              <w:rPr>
                <w:rFonts w:hint="eastAsia" w:ascii="仿宋" w:hAnsi="仿宋" w:eastAsia="仿宋" w:cs="仿宋"/>
                <w:kern w:val="0"/>
                <w:sz w:val="24"/>
                <w:szCs w:val="32"/>
              </w:rPr>
            </w:pPr>
            <w:r>
              <w:rPr>
                <w:rFonts w:hint="eastAsia" w:ascii="仿宋" w:hAnsi="仿宋" w:eastAsia="仿宋" w:cs="仿宋"/>
                <w:kern w:val="0"/>
                <w:sz w:val="24"/>
                <w:szCs w:val="28"/>
                <w:lang w:bidi="ar"/>
              </w:rPr>
              <w:t>项目管理</w:t>
            </w:r>
          </w:p>
        </w:tc>
        <w:tc>
          <w:tcPr>
            <w:tcW w:w="6727" w:type="dxa"/>
            <w:shd w:val="clear" w:color="auto" w:fill="auto"/>
          </w:tcPr>
          <w:p>
            <w:pPr>
              <w:snapToGrid w:val="0"/>
              <w:jc w:val="left"/>
              <w:rPr>
                <w:rFonts w:hint="eastAsia" w:ascii="仿宋" w:hAnsi="仿宋" w:eastAsia="仿宋" w:cs="仿宋"/>
                <w:kern w:val="0"/>
                <w:sz w:val="24"/>
                <w:szCs w:val="32"/>
              </w:rPr>
            </w:pPr>
            <w:r>
              <w:rPr>
                <w:rFonts w:hint="eastAsia" w:ascii="仿宋" w:hAnsi="仿宋" w:eastAsia="仿宋" w:cs="仿宋"/>
                <w:kern w:val="0"/>
                <w:sz w:val="24"/>
                <w:szCs w:val="28"/>
                <w:lang w:bidi="ar"/>
              </w:rPr>
              <w:t>已制定或具有相应的业务管理制度及合法、合规、完整性。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hint="eastAsia" w:ascii="仿宋" w:hAnsi="仿宋" w:eastAsia="仿宋" w:cs="仿宋"/>
                <w:kern w:val="0"/>
                <w:sz w:val="24"/>
                <w:szCs w:val="28"/>
                <w:lang w:bidi="ar"/>
              </w:rPr>
            </w:pPr>
            <w:r>
              <w:rPr>
                <w:rFonts w:hint="eastAsia" w:ascii="仿宋" w:hAnsi="仿宋" w:eastAsia="仿宋" w:cs="仿宋"/>
                <w:kern w:val="0"/>
                <w:sz w:val="24"/>
                <w:szCs w:val="28"/>
                <w:lang w:bidi="ar"/>
              </w:rPr>
              <w:t>5</w:t>
            </w:r>
          </w:p>
        </w:tc>
        <w:tc>
          <w:tcPr>
            <w:tcW w:w="1313" w:type="dxa"/>
            <w:shd w:val="clear" w:color="auto" w:fill="auto"/>
            <w:vAlign w:val="center"/>
          </w:tcPr>
          <w:p>
            <w:pPr>
              <w:snapToGrid w:val="0"/>
              <w:jc w:val="center"/>
              <w:rPr>
                <w:rFonts w:hint="eastAsia" w:ascii="仿宋" w:hAnsi="仿宋" w:eastAsia="仿宋" w:cs="仿宋"/>
                <w:kern w:val="0"/>
                <w:sz w:val="24"/>
                <w:szCs w:val="32"/>
              </w:rPr>
            </w:pPr>
            <w:r>
              <w:rPr>
                <w:rFonts w:hint="eastAsia" w:ascii="仿宋" w:hAnsi="仿宋" w:eastAsia="仿宋" w:cs="仿宋"/>
                <w:kern w:val="0"/>
                <w:sz w:val="24"/>
                <w:szCs w:val="28"/>
                <w:lang w:bidi="ar"/>
              </w:rPr>
              <w:t>项目执行</w:t>
            </w:r>
          </w:p>
        </w:tc>
        <w:tc>
          <w:tcPr>
            <w:tcW w:w="6727" w:type="dxa"/>
            <w:shd w:val="clear" w:color="auto" w:fill="auto"/>
          </w:tcPr>
          <w:p>
            <w:pPr>
              <w:snapToGrid w:val="0"/>
              <w:jc w:val="left"/>
              <w:rPr>
                <w:rFonts w:hint="eastAsia" w:ascii="仿宋" w:hAnsi="仿宋" w:eastAsia="仿宋" w:cs="仿宋"/>
                <w:kern w:val="0"/>
                <w:sz w:val="24"/>
                <w:szCs w:val="32"/>
              </w:rPr>
            </w:pPr>
            <w:r>
              <w:rPr>
                <w:rFonts w:hint="eastAsia" w:ascii="仿宋" w:hAnsi="仿宋" w:eastAsia="仿宋" w:cs="仿宋"/>
                <w:kern w:val="0"/>
                <w:sz w:val="24"/>
                <w:szCs w:val="28"/>
                <w:lang w:bidi="ar"/>
              </w:rPr>
              <w:t>遵守相关法律法规和业务管理规定，项目调整及支出调整手续完备。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hint="eastAsia" w:ascii="仿宋" w:hAnsi="仿宋" w:eastAsia="仿宋" w:cs="仿宋"/>
                <w:kern w:val="0"/>
                <w:sz w:val="24"/>
                <w:szCs w:val="28"/>
                <w:lang w:bidi="ar"/>
              </w:rPr>
            </w:pPr>
            <w:r>
              <w:rPr>
                <w:rFonts w:hint="eastAsia" w:ascii="仿宋" w:hAnsi="仿宋" w:eastAsia="仿宋" w:cs="仿宋"/>
                <w:kern w:val="0"/>
                <w:sz w:val="24"/>
                <w:szCs w:val="28"/>
                <w:lang w:bidi="ar"/>
              </w:rPr>
              <w:t>6</w:t>
            </w:r>
          </w:p>
        </w:tc>
        <w:tc>
          <w:tcPr>
            <w:tcW w:w="1313" w:type="dxa"/>
            <w:shd w:val="clear" w:color="auto" w:fill="auto"/>
            <w:vAlign w:val="center"/>
          </w:tcPr>
          <w:p>
            <w:pPr>
              <w:snapToGrid w:val="0"/>
              <w:jc w:val="center"/>
              <w:rPr>
                <w:rFonts w:hint="eastAsia" w:ascii="仿宋" w:hAnsi="仿宋" w:eastAsia="仿宋" w:cs="仿宋"/>
                <w:kern w:val="0"/>
                <w:sz w:val="24"/>
                <w:szCs w:val="32"/>
              </w:rPr>
            </w:pPr>
            <w:r>
              <w:rPr>
                <w:rFonts w:hint="eastAsia" w:ascii="仿宋" w:hAnsi="仿宋" w:eastAsia="仿宋" w:cs="仿宋"/>
                <w:kern w:val="0"/>
                <w:sz w:val="24"/>
                <w:szCs w:val="28"/>
                <w:lang w:bidi="ar"/>
              </w:rPr>
              <w:t>项目质量</w:t>
            </w:r>
          </w:p>
        </w:tc>
        <w:tc>
          <w:tcPr>
            <w:tcW w:w="6727" w:type="dxa"/>
            <w:shd w:val="clear" w:color="auto" w:fill="auto"/>
          </w:tcPr>
          <w:p>
            <w:pPr>
              <w:snapToGrid w:val="0"/>
              <w:jc w:val="left"/>
              <w:rPr>
                <w:rFonts w:hint="eastAsia" w:ascii="仿宋" w:hAnsi="仿宋" w:eastAsia="仿宋" w:cs="仿宋"/>
                <w:kern w:val="0"/>
                <w:sz w:val="24"/>
                <w:szCs w:val="32"/>
              </w:rPr>
            </w:pPr>
            <w:r>
              <w:rPr>
                <w:rFonts w:hint="eastAsia" w:ascii="仿宋" w:hAnsi="仿宋" w:eastAsia="仿宋" w:cs="仿宋"/>
                <w:kern w:val="0"/>
                <w:sz w:val="24"/>
                <w:szCs w:val="28"/>
                <w:lang w:bidi="ar"/>
              </w:rPr>
              <w:t>已制定或其有相应的项目质量要求或标准，采取了相应的项目质量检查、验收等必需的控制措施或手段。</w:t>
            </w:r>
          </w:p>
        </w:tc>
      </w:tr>
    </w:tbl>
    <w:p>
      <w:pPr>
        <w:spacing w:line="500" w:lineRule="exact"/>
        <w:ind w:firstLine="562" w:firstLineChars="200"/>
        <w:jc w:val="left"/>
        <w:rPr>
          <w:rFonts w:hint="eastAsia" w:ascii="仿宋" w:hAnsi="仿宋" w:eastAsia="仿宋" w:cs="仿宋"/>
          <w:b/>
          <w:kern w:val="0"/>
          <w:sz w:val="28"/>
          <w:szCs w:val="32"/>
        </w:rPr>
      </w:pPr>
      <w:r>
        <w:rPr>
          <w:rFonts w:hint="eastAsia" w:ascii="仿宋" w:hAnsi="仿宋" w:eastAsia="仿宋" w:cs="仿宋"/>
          <w:b/>
          <w:kern w:val="0"/>
          <w:sz w:val="28"/>
          <w:szCs w:val="32"/>
        </w:rPr>
        <w:t>3、合规性检查方法</w:t>
      </w:r>
    </w:p>
    <w:p>
      <w:pPr>
        <w:spacing w:line="500" w:lineRule="exact"/>
        <w:ind w:firstLine="560" w:firstLineChars="200"/>
        <w:rPr>
          <w:rFonts w:hint="eastAsia" w:ascii="仿宋" w:hAnsi="仿宋" w:eastAsia="仿宋" w:cs="仿宋"/>
          <w:kern w:val="0"/>
          <w:sz w:val="28"/>
          <w:szCs w:val="32"/>
        </w:rPr>
      </w:pPr>
      <w:r>
        <w:rPr>
          <w:rFonts w:hint="eastAsia" w:ascii="仿宋" w:hAnsi="仿宋" w:eastAsia="仿宋" w:cs="仿宋"/>
          <w:kern w:val="0"/>
          <w:sz w:val="28"/>
          <w:szCs w:val="32"/>
        </w:rPr>
        <w:t>本次合规性检查通过现场核查的方式开展，现场核实核查对象提供的资料。</w:t>
      </w:r>
    </w:p>
    <w:p>
      <w:pPr>
        <w:keepNext w:val="0"/>
        <w:keepLines w:val="0"/>
        <w:pageBreakBefore w:val="0"/>
        <w:widowControl w:val="0"/>
        <w:tabs>
          <w:tab w:val="left" w:pos="3495"/>
        </w:tabs>
        <w:kinsoku/>
        <w:wordWrap/>
        <w:overflowPunct/>
        <w:topLinePunct w:val="0"/>
        <w:autoSpaceDE/>
        <w:autoSpaceDN/>
        <w:bidi w:val="0"/>
        <w:adjustRightInd/>
        <w:snapToGrid/>
        <w:ind w:firstLine="560" w:firstLineChars="200"/>
        <w:jc w:val="left"/>
        <w:textAlignment w:val="auto"/>
        <w:outlineLvl w:val="9"/>
        <w:rPr>
          <w:rFonts w:hint="eastAsia" w:ascii="仿宋" w:hAnsi="仿宋" w:eastAsia="仿宋" w:cs="仿宋"/>
          <w:kern w:val="0"/>
          <w:sz w:val="28"/>
          <w:szCs w:val="32"/>
          <w:lang w:eastAsia="zh-CN"/>
        </w:rPr>
        <w:sectPr>
          <w:pgSz w:w="11906" w:h="16838"/>
          <w:pgMar w:top="1440" w:right="1797" w:bottom="1440" w:left="1797" w:header="851" w:footer="992" w:gutter="0"/>
          <w:pgNumType w:fmt="decimal"/>
          <w:cols w:space="425" w:num="1"/>
          <w:docGrid w:type="lines" w:linePitch="312" w:charSpace="0"/>
        </w:sectPr>
      </w:pPr>
      <w:r>
        <w:rPr>
          <w:rFonts w:hint="eastAsia" w:ascii="仿宋" w:hAnsi="仿宋" w:eastAsia="仿宋" w:cs="仿宋"/>
          <w:kern w:val="0"/>
          <w:sz w:val="28"/>
          <w:szCs w:val="32"/>
        </w:rPr>
        <w:t>合规性具体检查内容见附表4-2所示</w:t>
      </w:r>
      <w:r>
        <w:rPr>
          <w:rFonts w:hint="eastAsia" w:ascii="仿宋" w:hAnsi="仿宋" w:eastAsia="仿宋" w:cs="仿宋"/>
          <w:kern w:val="0"/>
          <w:sz w:val="28"/>
          <w:szCs w:val="32"/>
          <w:lang w:eastAsia="zh-CN"/>
        </w:rPr>
        <w:t>。</w:t>
      </w:r>
    </w:p>
    <w:p>
      <w:pPr>
        <w:spacing w:before="120" w:beforeLines="50" w:after="120" w:afterLines="50" w:line="50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附表</w:t>
      </w:r>
      <w:r>
        <w:rPr>
          <w:rFonts w:hint="eastAsia" w:ascii="Times New Roman" w:hAnsi="Times New Roman" w:eastAsia="仿宋" w:cs="Times New Roman"/>
          <w:b/>
          <w:sz w:val="28"/>
          <w:szCs w:val="28"/>
        </w:rPr>
        <w:t>4</w:t>
      </w:r>
      <w:r>
        <w:rPr>
          <w:rFonts w:ascii="Times New Roman" w:hAnsi="Times New Roman" w:eastAsia="仿宋" w:cs="Times New Roman"/>
          <w:b/>
          <w:sz w:val="28"/>
          <w:szCs w:val="28"/>
        </w:rPr>
        <w:t xml:space="preserve">-2  </w:t>
      </w:r>
      <w:r>
        <w:rPr>
          <w:rFonts w:hint="eastAsia" w:ascii="Times New Roman" w:hAnsi="Times New Roman" w:eastAsia="仿宋" w:cs="Times New Roman"/>
          <w:b/>
          <w:sz w:val="28"/>
          <w:szCs w:val="28"/>
        </w:rPr>
        <w:t>项目</w:t>
      </w:r>
      <w:r>
        <w:rPr>
          <w:rFonts w:ascii="Times New Roman" w:hAnsi="Times New Roman" w:eastAsia="仿宋" w:cs="Times New Roman"/>
          <w:b/>
          <w:sz w:val="28"/>
          <w:szCs w:val="28"/>
        </w:rPr>
        <w:t>资金绩效评价合规性检查表</w:t>
      </w:r>
    </w:p>
    <w:tbl>
      <w:tblPr>
        <w:tblStyle w:val="19"/>
        <w:tblW w:w="1197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2"/>
        <w:gridCol w:w="5182"/>
        <w:gridCol w:w="2529"/>
        <w:gridCol w:w="1740"/>
        <w:gridCol w:w="126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6" w:hRule="atLeast"/>
          <w:tblHeader/>
          <w:jc w:val="center"/>
        </w:trPr>
        <w:tc>
          <w:tcPr>
            <w:tcW w:w="1262"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项目</w:t>
            </w:r>
          </w:p>
        </w:tc>
        <w:tc>
          <w:tcPr>
            <w:tcW w:w="5182"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需提供资料</w:t>
            </w:r>
          </w:p>
        </w:tc>
        <w:tc>
          <w:tcPr>
            <w:tcW w:w="2529"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检查内容</w:t>
            </w:r>
          </w:p>
        </w:tc>
        <w:tc>
          <w:tcPr>
            <w:tcW w:w="1740"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是否提供有效原件（√/×）</w:t>
            </w:r>
          </w:p>
        </w:tc>
        <w:tc>
          <w:tcPr>
            <w:tcW w:w="1264"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w:t>
            </w: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项目资金的申请资料（项目经费调整申请及批复）</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是否有资金申请报告、资金调整情况</w:t>
            </w:r>
          </w:p>
        </w:tc>
        <w:tc>
          <w:tcPr>
            <w:tcW w:w="1740"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1262"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财政资金下达通知及相关文件</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资金拨付是否合规</w:t>
            </w:r>
          </w:p>
        </w:tc>
        <w:tc>
          <w:tcPr>
            <w:tcW w:w="1740"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1262"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资金到账的会计账页、记账凭证及附件</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资金拨付明细</w:t>
            </w:r>
          </w:p>
        </w:tc>
        <w:tc>
          <w:tcPr>
            <w:tcW w:w="1740"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资金支出</w:t>
            </w: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资金核算科目的会计账页、支付凭证、资金支出明细、重大项目开支的审批资料</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资金使用是否合规</w:t>
            </w:r>
          </w:p>
        </w:tc>
        <w:tc>
          <w:tcPr>
            <w:tcW w:w="1740"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w:t>
            </w: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资金管理制度或相关财务管理办法等</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财务管理制度是否健全</w:t>
            </w:r>
          </w:p>
        </w:tc>
        <w:tc>
          <w:tcPr>
            <w:tcW w:w="1740"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资金监控制度（措施）、记录或文件（专项审计报告）</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资金监管情况</w:t>
            </w:r>
          </w:p>
        </w:tc>
        <w:tc>
          <w:tcPr>
            <w:tcW w:w="1740"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62" w:type="dxa"/>
            <w:vMerge w:val="restart"/>
            <w:shd w:val="clear" w:color="auto" w:fill="auto"/>
            <w:vAlign w:val="center"/>
          </w:tcPr>
          <w:p>
            <w:pPr>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w:t>
            </w: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立项背景、依据文件、申请及批复</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项目立项的规范性</w:t>
            </w:r>
          </w:p>
        </w:tc>
        <w:tc>
          <w:tcPr>
            <w:tcW w:w="1740"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5" w:hRule="atLeast"/>
          <w:jc w:val="center"/>
        </w:trPr>
        <w:tc>
          <w:tcPr>
            <w:tcW w:w="1262" w:type="dxa"/>
            <w:vMerge w:val="continue"/>
            <w:shd w:val="clear" w:color="auto" w:fill="auto"/>
            <w:vAlign w:val="center"/>
          </w:tcPr>
          <w:p>
            <w:pPr>
              <w:snapToGrid w:val="0"/>
              <w:spacing w:line="300" w:lineRule="auto"/>
              <w:jc w:val="center"/>
              <w:rPr>
                <w:rFonts w:ascii="Times New Roman" w:hAnsi="Times New Roman" w:eastAsia="仿宋" w:cs="Times New Roman"/>
                <w:kern w:val="0"/>
                <w:sz w:val="24"/>
                <w:szCs w:val="24"/>
              </w:rPr>
            </w:pP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项目管理机构成立证明资料、项目实施方案、部门沟通、协商机制（各自职责、协作制度等）</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保障项目实施的相关管理机构和制度</w:t>
            </w:r>
          </w:p>
        </w:tc>
        <w:tc>
          <w:tcPr>
            <w:tcW w:w="1740"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项目管理制度文件（项目管理制度或相关管理办法等）</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项目管理是否规范</w:t>
            </w:r>
          </w:p>
        </w:tc>
        <w:tc>
          <w:tcPr>
            <w:tcW w:w="1740"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 w:hRule="atLeast"/>
          <w:jc w:val="center"/>
        </w:trPr>
        <w:tc>
          <w:tcPr>
            <w:tcW w:w="1262"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项目资料归档的相关资料</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项目档案管理情况</w:t>
            </w:r>
          </w:p>
        </w:tc>
        <w:tc>
          <w:tcPr>
            <w:tcW w:w="1740"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1264" w:type="dxa"/>
            <w:shd w:val="clear" w:color="auto" w:fill="auto"/>
            <w:vAlign w:val="center"/>
          </w:tcPr>
          <w:p>
            <w:pPr>
              <w:widowControl/>
              <w:snapToGrid w:val="0"/>
              <w:spacing w:line="300" w:lineRule="auto"/>
              <w:jc w:val="center"/>
              <w:rPr>
                <w:rFonts w:hint="default"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不齐全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项目监督制度、记录或文件、项目检查验收报告</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项目监管情况</w:t>
            </w:r>
          </w:p>
        </w:tc>
        <w:tc>
          <w:tcPr>
            <w:tcW w:w="1740"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1264"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不齐全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0" w:hRule="atLeast"/>
          <w:jc w:val="center"/>
        </w:trPr>
        <w:tc>
          <w:tcPr>
            <w:tcW w:w="1262"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5182"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工作总结及自评报告</w:t>
            </w:r>
          </w:p>
        </w:tc>
        <w:tc>
          <w:tcPr>
            <w:tcW w:w="2529"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项目绩效目标完成情况</w:t>
            </w:r>
          </w:p>
        </w:tc>
        <w:tc>
          <w:tcPr>
            <w:tcW w:w="1740"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ascii="Times New Roman" w:hAnsi="Times New Roman" w:eastAsia="仿宋" w:cs="Times New Roman"/>
                <w:kern w:val="0"/>
                <w:sz w:val="24"/>
                <w:szCs w:val="24"/>
              </w:rPr>
              <w:t>√</w:t>
            </w:r>
          </w:p>
        </w:tc>
        <w:tc>
          <w:tcPr>
            <w:tcW w:w="1264" w:type="dxa"/>
            <w:shd w:val="clear" w:color="auto" w:fill="auto"/>
            <w:vAlign w:val="center"/>
          </w:tcPr>
          <w:p>
            <w:pPr>
              <w:widowControl/>
              <w:snapToGrid w:val="0"/>
              <w:spacing w:line="300" w:lineRule="auto"/>
              <w:jc w:val="center"/>
              <w:rPr>
                <w:rFonts w:hint="default" w:ascii="Times New Roman" w:hAnsi="Times New Roman" w:eastAsia="仿宋" w:cs="Times New Roman"/>
                <w:kern w:val="0"/>
                <w:sz w:val="24"/>
                <w:szCs w:val="24"/>
                <w:lang w:val="en-US" w:eastAsia="zh-CN"/>
              </w:rPr>
            </w:pPr>
            <w:r>
              <w:rPr>
                <w:rFonts w:ascii="Times New Roman" w:hAnsi="Times New Roman" w:eastAsia="仿宋" w:cs="Times New Roman"/>
                <w:kern w:val="0"/>
                <w:sz w:val="24"/>
                <w:szCs w:val="24"/>
              </w:rPr>
              <w:t>合规</w:t>
            </w:r>
          </w:p>
        </w:tc>
      </w:tr>
    </w:tbl>
    <w:p>
      <w:pPr>
        <w:pStyle w:val="2"/>
        <w:rPr>
          <w:rFonts w:hint="default"/>
          <w:lang w:val="en-US" w:eastAsia="zh-CN"/>
        </w:rPr>
      </w:pPr>
    </w:p>
    <w:sectPr>
      <w:footerReference r:id="rId10" w:type="default"/>
      <w:pgSz w:w="16838" w:h="11906" w:orient="landscape"/>
      <w:pgMar w:top="1797" w:right="1440" w:bottom="1797"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Narrow">
    <w:altName w:val="Times New Roman"/>
    <w:panose1 w:val="020B0606020202030204"/>
    <w:charset w:val="00"/>
    <w:family w:val="swiss"/>
    <w:pitch w:val="default"/>
    <w:sig w:usb0="00000000"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both"/>
    </w:pP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p>
    <w:pPr>
      <w:pStyle w:val="12"/>
      <w:tabs>
        <w:tab w:val="clear" w:pos="4153"/>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39</w:t>
                    </w:r>
                    <w:r>
                      <w:fldChar w:fldCharType="end"/>
                    </w:r>
                  </w:p>
                </w:txbxContent>
              </v:textbox>
            </v:shape>
          </w:pict>
        </mc:Fallback>
      </mc:AlternateContent>
    </w:r>
  </w:p>
  <w:p>
    <w:pPr>
      <w:pStyle w:val="1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46</w:t>
                    </w:r>
                    <w:r>
                      <w:fldChar w:fldCharType="end"/>
                    </w:r>
                  </w:p>
                </w:txbxContent>
              </v:textbox>
            </v:shape>
          </w:pict>
        </mc:Fallback>
      </mc:AlternateContent>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rPr>
        <w:rFonts w:ascii="仿宋_GB2312" w:hAnsi="宋体"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12" w:space="0"/>
      </w:pBdr>
      <w:jc w:val="center"/>
      <w:rPr>
        <w:rFonts w:hint="eastAsia" w:ascii="仿宋" w:hAnsi="仿宋" w:eastAsia="仿宋" w:cs="仿宋"/>
        <w:b w:val="0"/>
        <w:bCs/>
      </w:rPr>
    </w:pPr>
    <w:r>
      <w:rPr>
        <w:rFonts w:hint="eastAsia" w:ascii="仿宋" w:hAnsi="仿宋" w:eastAsia="仿宋" w:cs="仿宋"/>
        <w:b w:val="0"/>
        <w:bCs/>
        <w:szCs w:val="18"/>
        <w:lang w:eastAsia="zh-CN"/>
      </w:rPr>
      <w:t>救治能力提升项目</w:t>
    </w:r>
    <w:r>
      <w:rPr>
        <w:rFonts w:hint="eastAsia" w:ascii="仿宋" w:hAnsi="仿宋" w:eastAsia="仿宋" w:cs="仿宋"/>
        <w:b w:val="0"/>
        <w:bCs/>
        <w:lang w:eastAsia="zh-CN"/>
      </w:rPr>
      <w:t>支出绩效评价</w:t>
    </w:r>
    <w:r>
      <w:rPr>
        <w:rFonts w:hint="eastAsia" w:ascii="仿宋" w:hAnsi="仿宋" w:eastAsia="仿宋" w:cs="仿宋"/>
        <w:b w:val="0"/>
        <w:bCs/>
      </w:rPr>
      <w:t>报告</w:t>
    </w:r>
  </w:p>
  <w:p>
    <w:pPr>
      <w:pStyle w:val="13"/>
      <w:pBdr>
        <w:bottom w:val="none" w:color="auto" w:sz="0" w:space="0"/>
      </w:pBdr>
      <w:rPr>
        <w:rFonts w:ascii="仿宋_GB2312" w:hAnsi="宋体" w:eastAsia="仿宋_GB23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12" w:space="0"/>
      </w:pBdr>
      <w:jc w:val="center"/>
      <w:rPr>
        <w:rFonts w:ascii="仿宋_GB2312" w:hAnsi="宋体" w:eastAsia="仿宋_GB2312"/>
      </w:rPr>
    </w:pPr>
    <w:r>
      <w:rPr>
        <w:rFonts w:hint="eastAsia" w:ascii="仿宋_GB2312" w:hAnsi="宋体" w:eastAsia="仿宋_GB2312"/>
        <w:lang w:eastAsia="zh-CN"/>
      </w:rPr>
      <w:t>救治能力提升项目经费支出绩效评价</w:t>
    </w:r>
    <w:r>
      <w:rPr>
        <w:rFonts w:hint="eastAsia" w:ascii="仿宋_GB2312" w:hAnsi="宋体" w:eastAsia="仿宋_GB2312"/>
      </w:rPr>
      <w:t>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NotTrackMoves/>
  <w:documentProtection w:enforcement="0"/>
  <w:defaultTabStop w:val="420"/>
  <w:drawingGridHorizontalSpacing w:val="105"/>
  <w:drawingGridVerticalSpacing w:val="158"/>
  <w:displayHorizontalDrawingGridEvery w:val="1"/>
  <w:displayVerticalDrawingGridEvery w:val="1"/>
  <w:noPunctuationKerning w:val="true"/>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wYzlhYmVjYmUyMjYzYTI1ZjVhMWE5OTYzZmVlMmIifQ=="/>
  </w:docVars>
  <w:rsids>
    <w:rsidRoot w:val="00172A27"/>
    <w:rsid w:val="00000665"/>
    <w:rsid w:val="000015E1"/>
    <w:rsid w:val="0000285E"/>
    <w:rsid w:val="00002FA7"/>
    <w:rsid w:val="000030A6"/>
    <w:rsid w:val="0000318C"/>
    <w:rsid w:val="000046D4"/>
    <w:rsid w:val="000053F8"/>
    <w:rsid w:val="00005D06"/>
    <w:rsid w:val="00011DAD"/>
    <w:rsid w:val="000124C6"/>
    <w:rsid w:val="000135F8"/>
    <w:rsid w:val="000139D8"/>
    <w:rsid w:val="00013F81"/>
    <w:rsid w:val="0001513C"/>
    <w:rsid w:val="00015E21"/>
    <w:rsid w:val="00016DF8"/>
    <w:rsid w:val="0002054A"/>
    <w:rsid w:val="000209C8"/>
    <w:rsid w:val="0002220E"/>
    <w:rsid w:val="0002265E"/>
    <w:rsid w:val="00023051"/>
    <w:rsid w:val="000236BE"/>
    <w:rsid w:val="00023C53"/>
    <w:rsid w:val="00023D8C"/>
    <w:rsid w:val="0002403D"/>
    <w:rsid w:val="000251FD"/>
    <w:rsid w:val="000258C4"/>
    <w:rsid w:val="00025A7C"/>
    <w:rsid w:val="00025D33"/>
    <w:rsid w:val="00026619"/>
    <w:rsid w:val="00027D7C"/>
    <w:rsid w:val="000306A5"/>
    <w:rsid w:val="0003256E"/>
    <w:rsid w:val="000327BC"/>
    <w:rsid w:val="0003723B"/>
    <w:rsid w:val="00040F9E"/>
    <w:rsid w:val="00043717"/>
    <w:rsid w:val="00044990"/>
    <w:rsid w:val="0004539F"/>
    <w:rsid w:val="000463EA"/>
    <w:rsid w:val="00046673"/>
    <w:rsid w:val="00047350"/>
    <w:rsid w:val="00052524"/>
    <w:rsid w:val="000527D1"/>
    <w:rsid w:val="00053C33"/>
    <w:rsid w:val="000558C7"/>
    <w:rsid w:val="00055AA9"/>
    <w:rsid w:val="00056376"/>
    <w:rsid w:val="00057000"/>
    <w:rsid w:val="00057123"/>
    <w:rsid w:val="00057A4E"/>
    <w:rsid w:val="00060E07"/>
    <w:rsid w:val="00062D34"/>
    <w:rsid w:val="00062EFA"/>
    <w:rsid w:val="0006376F"/>
    <w:rsid w:val="00064BFA"/>
    <w:rsid w:val="0006521C"/>
    <w:rsid w:val="00065589"/>
    <w:rsid w:val="000669E5"/>
    <w:rsid w:val="00070C65"/>
    <w:rsid w:val="0007241E"/>
    <w:rsid w:val="000725F3"/>
    <w:rsid w:val="00073335"/>
    <w:rsid w:val="00073D19"/>
    <w:rsid w:val="00074D0D"/>
    <w:rsid w:val="000753C8"/>
    <w:rsid w:val="000758C5"/>
    <w:rsid w:val="00076220"/>
    <w:rsid w:val="00076335"/>
    <w:rsid w:val="000768C4"/>
    <w:rsid w:val="0007772D"/>
    <w:rsid w:val="000801E5"/>
    <w:rsid w:val="00080B1C"/>
    <w:rsid w:val="00080C5F"/>
    <w:rsid w:val="00080ED8"/>
    <w:rsid w:val="00081B3E"/>
    <w:rsid w:val="000823B4"/>
    <w:rsid w:val="00085386"/>
    <w:rsid w:val="00086E4B"/>
    <w:rsid w:val="0009067D"/>
    <w:rsid w:val="000907B4"/>
    <w:rsid w:val="00090DCB"/>
    <w:rsid w:val="00092BAE"/>
    <w:rsid w:val="00093107"/>
    <w:rsid w:val="00093115"/>
    <w:rsid w:val="000943C2"/>
    <w:rsid w:val="00097835"/>
    <w:rsid w:val="00097EC5"/>
    <w:rsid w:val="000A05B9"/>
    <w:rsid w:val="000A1DB1"/>
    <w:rsid w:val="000A1F60"/>
    <w:rsid w:val="000A206A"/>
    <w:rsid w:val="000A351A"/>
    <w:rsid w:val="000A40C5"/>
    <w:rsid w:val="000A521A"/>
    <w:rsid w:val="000A647C"/>
    <w:rsid w:val="000A7706"/>
    <w:rsid w:val="000B0BE2"/>
    <w:rsid w:val="000B2270"/>
    <w:rsid w:val="000B24FB"/>
    <w:rsid w:val="000B50DD"/>
    <w:rsid w:val="000C05F6"/>
    <w:rsid w:val="000C19BA"/>
    <w:rsid w:val="000C1B19"/>
    <w:rsid w:val="000C1C48"/>
    <w:rsid w:val="000C230D"/>
    <w:rsid w:val="000C2B52"/>
    <w:rsid w:val="000C38E0"/>
    <w:rsid w:val="000C47E5"/>
    <w:rsid w:val="000C4B97"/>
    <w:rsid w:val="000C5014"/>
    <w:rsid w:val="000C5269"/>
    <w:rsid w:val="000C6078"/>
    <w:rsid w:val="000C6944"/>
    <w:rsid w:val="000C7EC8"/>
    <w:rsid w:val="000D0747"/>
    <w:rsid w:val="000D0F75"/>
    <w:rsid w:val="000D287E"/>
    <w:rsid w:val="000D58B0"/>
    <w:rsid w:val="000D7CE6"/>
    <w:rsid w:val="000D7E5C"/>
    <w:rsid w:val="000E07C2"/>
    <w:rsid w:val="000E10E2"/>
    <w:rsid w:val="000E234A"/>
    <w:rsid w:val="000E2824"/>
    <w:rsid w:val="000E28AB"/>
    <w:rsid w:val="000E2AC9"/>
    <w:rsid w:val="000E34D6"/>
    <w:rsid w:val="000E36D4"/>
    <w:rsid w:val="000E680B"/>
    <w:rsid w:val="000F016E"/>
    <w:rsid w:val="000F08DE"/>
    <w:rsid w:val="000F10E7"/>
    <w:rsid w:val="000F22FC"/>
    <w:rsid w:val="000F489D"/>
    <w:rsid w:val="000F63BE"/>
    <w:rsid w:val="000F6DBB"/>
    <w:rsid w:val="000F7B56"/>
    <w:rsid w:val="00101473"/>
    <w:rsid w:val="00101D37"/>
    <w:rsid w:val="0010211C"/>
    <w:rsid w:val="0010351E"/>
    <w:rsid w:val="00103DC5"/>
    <w:rsid w:val="0011001F"/>
    <w:rsid w:val="00113842"/>
    <w:rsid w:val="0011387B"/>
    <w:rsid w:val="00115C93"/>
    <w:rsid w:val="00117DE1"/>
    <w:rsid w:val="0012004C"/>
    <w:rsid w:val="0012111C"/>
    <w:rsid w:val="001211F6"/>
    <w:rsid w:val="001212ED"/>
    <w:rsid w:val="00121663"/>
    <w:rsid w:val="00122A44"/>
    <w:rsid w:val="00123DAB"/>
    <w:rsid w:val="00124E66"/>
    <w:rsid w:val="00124E8C"/>
    <w:rsid w:val="00125CA6"/>
    <w:rsid w:val="00125D60"/>
    <w:rsid w:val="00125FF7"/>
    <w:rsid w:val="00126493"/>
    <w:rsid w:val="00127034"/>
    <w:rsid w:val="00127073"/>
    <w:rsid w:val="00131415"/>
    <w:rsid w:val="00131F6D"/>
    <w:rsid w:val="00132BBB"/>
    <w:rsid w:val="00133990"/>
    <w:rsid w:val="00133C45"/>
    <w:rsid w:val="00133D36"/>
    <w:rsid w:val="00134902"/>
    <w:rsid w:val="00135405"/>
    <w:rsid w:val="0013550A"/>
    <w:rsid w:val="0013625A"/>
    <w:rsid w:val="001366CB"/>
    <w:rsid w:val="00137023"/>
    <w:rsid w:val="00140599"/>
    <w:rsid w:val="001409E6"/>
    <w:rsid w:val="00142304"/>
    <w:rsid w:val="00142AB1"/>
    <w:rsid w:val="00142ED6"/>
    <w:rsid w:val="00144605"/>
    <w:rsid w:val="0014735B"/>
    <w:rsid w:val="001474B6"/>
    <w:rsid w:val="00147519"/>
    <w:rsid w:val="0015002F"/>
    <w:rsid w:val="001509EA"/>
    <w:rsid w:val="00151930"/>
    <w:rsid w:val="00151AFC"/>
    <w:rsid w:val="0015240D"/>
    <w:rsid w:val="0015246F"/>
    <w:rsid w:val="001539B7"/>
    <w:rsid w:val="00153A09"/>
    <w:rsid w:val="00154353"/>
    <w:rsid w:val="00154FC7"/>
    <w:rsid w:val="001560C5"/>
    <w:rsid w:val="001572B3"/>
    <w:rsid w:val="00157627"/>
    <w:rsid w:val="001577B7"/>
    <w:rsid w:val="00161822"/>
    <w:rsid w:val="001618C8"/>
    <w:rsid w:val="00161DCF"/>
    <w:rsid w:val="00161E79"/>
    <w:rsid w:val="0016219C"/>
    <w:rsid w:val="0016317D"/>
    <w:rsid w:val="001634B2"/>
    <w:rsid w:val="00166259"/>
    <w:rsid w:val="00166365"/>
    <w:rsid w:val="001700DA"/>
    <w:rsid w:val="00172C5B"/>
    <w:rsid w:val="00173A44"/>
    <w:rsid w:val="00174AA8"/>
    <w:rsid w:val="0017521A"/>
    <w:rsid w:val="00175C09"/>
    <w:rsid w:val="00177298"/>
    <w:rsid w:val="0017748F"/>
    <w:rsid w:val="00177F3B"/>
    <w:rsid w:val="0018037E"/>
    <w:rsid w:val="0018070F"/>
    <w:rsid w:val="00182520"/>
    <w:rsid w:val="00182552"/>
    <w:rsid w:val="00182AD1"/>
    <w:rsid w:val="0018368C"/>
    <w:rsid w:val="00183CFB"/>
    <w:rsid w:val="00184B1B"/>
    <w:rsid w:val="00184D59"/>
    <w:rsid w:val="00187F87"/>
    <w:rsid w:val="001911AF"/>
    <w:rsid w:val="001932B2"/>
    <w:rsid w:val="00193748"/>
    <w:rsid w:val="00194623"/>
    <w:rsid w:val="001949A6"/>
    <w:rsid w:val="00195D02"/>
    <w:rsid w:val="001A06DF"/>
    <w:rsid w:val="001A1E93"/>
    <w:rsid w:val="001A2610"/>
    <w:rsid w:val="001A473B"/>
    <w:rsid w:val="001A60FA"/>
    <w:rsid w:val="001A6279"/>
    <w:rsid w:val="001B1846"/>
    <w:rsid w:val="001B1DC3"/>
    <w:rsid w:val="001B3696"/>
    <w:rsid w:val="001B3704"/>
    <w:rsid w:val="001B42BE"/>
    <w:rsid w:val="001B4324"/>
    <w:rsid w:val="001B6078"/>
    <w:rsid w:val="001B60EC"/>
    <w:rsid w:val="001B74EF"/>
    <w:rsid w:val="001B7808"/>
    <w:rsid w:val="001B78F9"/>
    <w:rsid w:val="001B7EC2"/>
    <w:rsid w:val="001C0556"/>
    <w:rsid w:val="001C25FE"/>
    <w:rsid w:val="001C2C81"/>
    <w:rsid w:val="001C364E"/>
    <w:rsid w:val="001C3957"/>
    <w:rsid w:val="001C4BD4"/>
    <w:rsid w:val="001C5BD6"/>
    <w:rsid w:val="001C5E7A"/>
    <w:rsid w:val="001C5F85"/>
    <w:rsid w:val="001C6A47"/>
    <w:rsid w:val="001C7D6F"/>
    <w:rsid w:val="001D45E9"/>
    <w:rsid w:val="001D4EB7"/>
    <w:rsid w:val="001D5767"/>
    <w:rsid w:val="001D5C9F"/>
    <w:rsid w:val="001D7291"/>
    <w:rsid w:val="001E0DC7"/>
    <w:rsid w:val="001E189B"/>
    <w:rsid w:val="001E1F91"/>
    <w:rsid w:val="001E22BC"/>
    <w:rsid w:val="001E3D26"/>
    <w:rsid w:val="001E4392"/>
    <w:rsid w:val="001E43E5"/>
    <w:rsid w:val="001E4475"/>
    <w:rsid w:val="001E461E"/>
    <w:rsid w:val="001E46C5"/>
    <w:rsid w:val="001E57F6"/>
    <w:rsid w:val="001E59C8"/>
    <w:rsid w:val="001E68FE"/>
    <w:rsid w:val="001E70AF"/>
    <w:rsid w:val="001E74EF"/>
    <w:rsid w:val="001F01D8"/>
    <w:rsid w:val="001F0C4B"/>
    <w:rsid w:val="001F132F"/>
    <w:rsid w:val="001F2612"/>
    <w:rsid w:val="001F29F0"/>
    <w:rsid w:val="001F2D2F"/>
    <w:rsid w:val="001F3873"/>
    <w:rsid w:val="001F3AD6"/>
    <w:rsid w:val="001F4D13"/>
    <w:rsid w:val="001F6905"/>
    <w:rsid w:val="001F70C8"/>
    <w:rsid w:val="001F7607"/>
    <w:rsid w:val="001F7AB7"/>
    <w:rsid w:val="00200668"/>
    <w:rsid w:val="002007AD"/>
    <w:rsid w:val="0020165C"/>
    <w:rsid w:val="002029CC"/>
    <w:rsid w:val="00202C35"/>
    <w:rsid w:val="00202FAE"/>
    <w:rsid w:val="002033E4"/>
    <w:rsid w:val="00204AC8"/>
    <w:rsid w:val="002054AB"/>
    <w:rsid w:val="00206A97"/>
    <w:rsid w:val="00210125"/>
    <w:rsid w:val="002106E7"/>
    <w:rsid w:val="002112D7"/>
    <w:rsid w:val="00212298"/>
    <w:rsid w:val="00212695"/>
    <w:rsid w:val="0021452E"/>
    <w:rsid w:val="00216473"/>
    <w:rsid w:val="00216DCB"/>
    <w:rsid w:val="002204C6"/>
    <w:rsid w:val="0022078C"/>
    <w:rsid w:val="00220C84"/>
    <w:rsid w:val="00221A62"/>
    <w:rsid w:val="00222559"/>
    <w:rsid w:val="00222D4F"/>
    <w:rsid w:val="00222F3B"/>
    <w:rsid w:val="002235A3"/>
    <w:rsid w:val="00223C68"/>
    <w:rsid w:val="0022460E"/>
    <w:rsid w:val="0022556E"/>
    <w:rsid w:val="0022583E"/>
    <w:rsid w:val="00225B0A"/>
    <w:rsid w:val="002269B8"/>
    <w:rsid w:val="00227481"/>
    <w:rsid w:val="00227709"/>
    <w:rsid w:val="0023109A"/>
    <w:rsid w:val="00231695"/>
    <w:rsid w:val="00232D1A"/>
    <w:rsid w:val="00232EB9"/>
    <w:rsid w:val="00232FA5"/>
    <w:rsid w:val="00234950"/>
    <w:rsid w:val="00235519"/>
    <w:rsid w:val="002359FC"/>
    <w:rsid w:val="00235CEF"/>
    <w:rsid w:val="0023705C"/>
    <w:rsid w:val="002377A2"/>
    <w:rsid w:val="0024177D"/>
    <w:rsid w:val="00241FD9"/>
    <w:rsid w:val="002422AD"/>
    <w:rsid w:val="00243C91"/>
    <w:rsid w:val="0024416B"/>
    <w:rsid w:val="00244EF5"/>
    <w:rsid w:val="00252526"/>
    <w:rsid w:val="002528F2"/>
    <w:rsid w:val="00252C2D"/>
    <w:rsid w:val="00254634"/>
    <w:rsid w:val="00254A7F"/>
    <w:rsid w:val="00254EEA"/>
    <w:rsid w:val="00255388"/>
    <w:rsid w:val="002555F5"/>
    <w:rsid w:val="00255663"/>
    <w:rsid w:val="00256596"/>
    <w:rsid w:val="0025702A"/>
    <w:rsid w:val="00257A48"/>
    <w:rsid w:val="0026031E"/>
    <w:rsid w:val="00262D11"/>
    <w:rsid w:val="0026444C"/>
    <w:rsid w:val="002658C1"/>
    <w:rsid w:val="00265CBE"/>
    <w:rsid w:val="0026718B"/>
    <w:rsid w:val="00267A3C"/>
    <w:rsid w:val="00271BA7"/>
    <w:rsid w:val="00271EA6"/>
    <w:rsid w:val="00274061"/>
    <w:rsid w:val="00274880"/>
    <w:rsid w:val="00274AA4"/>
    <w:rsid w:val="00276ADC"/>
    <w:rsid w:val="00277A95"/>
    <w:rsid w:val="0028057A"/>
    <w:rsid w:val="002808CE"/>
    <w:rsid w:val="002823C0"/>
    <w:rsid w:val="002845B2"/>
    <w:rsid w:val="0028471E"/>
    <w:rsid w:val="00284F94"/>
    <w:rsid w:val="0028504C"/>
    <w:rsid w:val="00285846"/>
    <w:rsid w:val="00286220"/>
    <w:rsid w:val="00286A5D"/>
    <w:rsid w:val="00287CC8"/>
    <w:rsid w:val="00290454"/>
    <w:rsid w:val="0029157B"/>
    <w:rsid w:val="00292016"/>
    <w:rsid w:val="002946D5"/>
    <w:rsid w:val="002946F0"/>
    <w:rsid w:val="0029519D"/>
    <w:rsid w:val="00295509"/>
    <w:rsid w:val="0029678C"/>
    <w:rsid w:val="00296A98"/>
    <w:rsid w:val="00297264"/>
    <w:rsid w:val="002A1110"/>
    <w:rsid w:val="002A1D7A"/>
    <w:rsid w:val="002A2286"/>
    <w:rsid w:val="002A22EF"/>
    <w:rsid w:val="002A3455"/>
    <w:rsid w:val="002A3986"/>
    <w:rsid w:val="002A4B6B"/>
    <w:rsid w:val="002A5DED"/>
    <w:rsid w:val="002A61CF"/>
    <w:rsid w:val="002A6A90"/>
    <w:rsid w:val="002A7476"/>
    <w:rsid w:val="002B011A"/>
    <w:rsid w:val="002B20F4"/>
    <w:rsid w:val="002B245F"/>
    <w:rsid w:val="002B2B08"/>
    <w:rsid w:val="002B33D6"/>
    <w:rsid w:val="002B44DC"/>
    <w:rsid w:val="002B49BB"/>
    <w:rsid w:val="002C026F"/>
    <w:rsid w:val="002C0B75"/>
    <w:rsid w:val="002C0F7A"/>
    <w:rsid w:val="002C34BC"/>
    <w:rsid w:val="002C3D7C"/>
    <w:rsid w:val="002C43B7"/>
    <w:rsid w:val="002C4527"/>
    <w:rsid w:val="002C6035"/>
    <w:rsid w:val="002C6991"/>
    <w:rsid w:val="002C70B2"/>
    <w:rsid w:val="002C72E9"/>
    <w:rsid w:val="002D017C"/>
    <w:rsid w:val="002D086D"/>
    <w:rsid w:val="002D0D6D"/>
    <w:rsid w:val="002D1944"/>
    <w:rsid w:val="002D1E08"/>
    <w:rsid w:val="002D233A"/>
    <w:rsid w:val="002D304A"/>
    <w:rsid w:val="002D4646"/>
    <w:rsid w:val="002D6596"/>
    <w:rsid w:val="002D7706"/>
    <w:rsid w:val="002D79CE"/>
    <w:rsid w:val="002E0C1F"/>
    <w:rsid w:val="002E1CA5"/>
    <w:rsid w:val="002E238F"/>
    <w:rsid w:val="002E32EC"/>
    <w:rsid w:val="002E44DB"/>
    <w:rsid w:val="002E5208"/>
    <w:rsid w:val="002E59DB"/>
    <w:rsid w:val="002E607B"/>
    <w:rsid w:val="002E6BB0"/>
    <w:rsid w:val="002E78E9"/>
    <w:rsid w:val="002E7C12"/>
    <w:rsid w:val="002F26EA"/>
    <w:rsid w:val="002F5CBA"/>
    <w:rsid w:val="002F7039"/>
    <w:rsid w:val="002F745B"/>
    <w:rsid w:val="002F79C7"/>
    <w:rsid w:val="003001CA"/>
    <w:rsid w:val="0030061C"/>
    <w:rsid w:val="0030075D"/>
    <w:rsid w:val="00301603"/>
    <w:rsid w:val="00301B46"/>
    <w:rsid w:val="00302399"/>
    <w:rsid w:val="00302D4F"/>
    <w:rsid w:val="00304A1F"/>
    <w:rsid w:val="00305E19"/>
    <w:rsid w:val="0030657C"/>
    <w:rsid w:val="00306CF7"/>
    <w:rsid w:val="00306FBD"/>
    <w:rsid w:val="00307A39"/>
    <w:rsid w:val="00307C7A"/>
    <w:rsid w:val="00312FB1"/>
    <w:rsid w:val="00313A66"/>
    <w:rsid w:val="00314337"/>
    <w:rsid w:val="00314A06"/>
    <w:rsid w:val="00315040"/>
    <w:rsid w:val="0031513C"/>
    <w:rsid w:val="00315533"/>
    <w:rsid w:val="00316800"/>
    <w:rsid w:val="003178F8"/>
    <w:rsid w:val="00320905"/>
    <w:rsid w:val="00321BDF"/>
    <w:rsid w:val="00321CD3"/>
    <w:rsid w:val="00322FF1"/>
    <w:rsid w:val="003245B7"/>
    <w:rsid w:val="003252B6"/>
    <w:rsid w:val="003256BD"/>
    <w:rsid w:val="00325D6B"/>
    <w:rsid w:val="003266C4"/>
    <w:rsid w:val="003268EA"/>
    <w:rsid w:val="00327126"/>
    <w:rsid w:val="00331EF8"/>
    <w:rsid w:val="00332004"/>
    <w:rsid w:val="003333C5"/>
    <w:rsid w:val="00333D80"/>
    <w:rsid w:val="00334559"/>
    <w:rsid w:val="00334EB4"/>
    <w:rsid w:val="003361E6"/>
    <w:rsid w:val="00336D4A"/>
    <w:rsid w:val="00336DFF"/>
    <w:rsid w:val="00337DB6"/>
    <w:rsid w:val="003408BD"/>
    <w:rsid w:val="00340921"/>
    <w:rsid w:val="00341522"/>
    <w:rsid w:val="003441F2"/>
    <w:rsid w:val="00344BDB"/>
    <w:rsid w:val="00344C23"/>
    <w:rsid w:val="003451F7"/>
    <w:rsid w:val="00345DA1"/>
    <w:rsid w:val="0034693B"/>
    <w:rsid w:val="00350773"/>
    <w:rsid w:val="00352081"/>
    <w:rsid w:val="00352CED"/>
    <w:rsid w:val="00353407"/>
    <w:rsid w:val="003542A4"/>
    <w:rsid w:val="00354C9B"/>
    <w:rsid w:val="00356291"/>
    <w:rsid w:val="00356BF5"/>
    <w:rsid w:val="00356C3A"/>
    <w:rsid w:val="00360451"/>
    <w:rsid w:val="00360A22"/>
    <w:rsid w:val="0036157F"/>
    <w:rsid w:val="00362325"/>
    <w:rsid w:val="003640A0"/>
    <w:rsid w:val="00364B8E"/>
    <w:rsid w:val="00365C31"/>
    <w:rsid w:val="00367E8C"/>
    <w:rsid w:val="003724BA"/>
    <w:rsid w:val="00372F10"/>
    <w:rsid w:val="0037397F"/>
    <w:rsid w:val="00374932"/>
    <w:rsid w:val="003766E2"/>
    <w:rsid w:val="00377A40"/>
    <w:rsid w:val="00377D73"/>
    <w:rsid w:val="003806C1"/>
    <w:rsid w:val="00380AA3"/>
    <w:rsid w:val="00380CB0"/>
    <w:rsid w:val="00380DA4"/>
    <w:rsid w:val="0038188C"/>
    <w:rsid w:val="0038275F"/>
    <w:rsid w:val="00382FE2"/>
    <w:rsid w:val="00384D48"/>
    <w:rsid w:val="0038557C"/>
    <w:rsid w:val="003867E7"/>
    <w:rsid w:val="003868F6"/>
    <w:rsid w:val="003869C7"/>
    <w:rsid w:val="003902BC"/>
    <w:rsid w:val="0039101D"/>
    <w:rsid w:val="00391244"/>
    <w:rsid w:val="003914E1"/>
    <w:rsid w:val="00391F73"/>
    <w:rsid w:val="00392E88"/>
    <w:rsid w:val="0039664C"/>
    <w:rsid w:val="00396689"/>
    <w:rsid w:val="0039670B"/>
    <w:rsid w:val="00396945"/>
    <w:rsid w:val="003973FF"/>
    <w:rsid w:val="0039746C"/>
    <w:rsid w:val="003A1172"/>
    <w:rsid w:val="003A4963"/>
    <w:rsid w:val="003A7BD4"/>
    <w:rsid w:val="003B09C6"/>
    <w:rsid w:val="003B1BC6"/>
    <w:rsid w:val="003B30BE"/>
    <w:rsid w:val="003B3114"/>
    <w:rsid w:val="003B34B0"/>
    <w:rsid w:val="003B40D3"/>
    <w:rsid w:val="003B46F8"/>
    <w:rsid w:val="003B5149"/>
    <w:rsid w:val="003B5460"/>
    <w:rsid w:val="003B7304"/>
    <w:rsid w:val="003B78FB"/>
    <w:rsid w:val="003C0E5C"/>
    <w:rsid w:val="003C0E62"/>
    <w:rsid w:val="003C137B"/>
    <w:rsid w:val="003C14FC"/>
    <w:rsid w:val="003C16DB"/>
    <w:rsid w:val="003C1F87"/>
    <w:rsid w:val="003C43C4"/>
    <w:rsid w:val="003C49B0"/>
    <w:rsid w:val="003C552F"/>
    <w:rsid w:val="003C5AA0"/>
    <w:rsid w:val="003C5AEE"/>
    <w:rsid w:val="003C6642"/>
    <w:rsid w:val="003C6727"/>
    <w:rsid w:val="003C6AEA"/>
    <w:rsid w:val="003C75B3"/>
    <w:rsid w:val="003C7A7A"/>
    <w:rsid w:val="003D032A"/>
    <w:rsid w:val="003D2417"/>
    <w:rsid w:val="003D2664"/>
    <w:rsid w:val="003D2D73"/>
    <w:rsid w:val="003D2F65"/>
    <w:rsid w:val="003D3CDE"/>
    <w:rsid w:val="003D54E9"/>
    <w:rsid w:val="003D5839"/>
    <w:rsid w:val="003D5ABE"/>
    <w:rsid w:val="003D630B"/>
    <w:rsid w:val="003D65BE"/>
    <w:rsid w:val="003D66A2"/>
    <w:rsid w:val="003D7B38"/>
    <w:rsid w:val="003D7CD5"/>
    <w:rsid w:val="003E0CE2"/>
    <w:rsid w:val="003E1DA3"/>
    <w:rsid w:val="003E2F29"/>
    <w:rsid w:val="003E2F36"/>
    <w:rsid w:val="003E3727"/>
    <w:rsid w:val="003E3869"/>
    <w:rsid w:val="003E40E8"/>
    <w:rsid w:val="003E4486"/>
    <w:rsid w:val="003E4892"/>
    <w:rsid w:val="003E562E"/>
    <w:rsid w:val="003E6500"/>
    <w:rsid w:val="003E7B27"/>
    <w:rsid w:val="003F16DD"/>
    <w:rsid w:val="003F2C70"/>
    <w:rsid w:val="003F2FFF"/>
    <w:rsid w:val="003F3026"/>
    <w:rsid w:val="003F5611"/>
    <w:rsid w:val="003F5694"/>
    <w:rsid w:val="003F627F"/>
    <w:rsid w:val="003F6382"/>
    <w:rsid w:val="003F6DDB"/>
    <w:rsid w:val="00400AD9"/>
    <w:rsid w:val="00401512"/>
    <w:rsid w:val="00401E3B"/>
    <w:rsid w:val="00402283"/>
    <w:rsid w:val="00402817"/>
    <w:rsid w:val="00404FA8"/>
    <w:rsid w:val="00405F0F"/>
    <w:rsid w:val="0040651F"/>
    <w:rsid w:val="00406701"/>
    <w:rsid w:val="00406A25"/>
    <w:rsid w:val="00407CB7"/>
    <w:rsid w:val="00410A57"/>
    <w:rsid w:val="00410E12"/>
    <w:rsid w:val="00412A2E"/>
    <w:rsid w:val="004139F8"/>
    <w:rsid w:val="00414413"/>
    <w:rsid w:val="004144C5"/>
    <w:rsid w:val="0041451F"/>
    <w:rsid w:val="00414920"/>
    <w:rsid w:val="004151FB"/>
    <w:rsid w:val="004152A5"/>
    <w:rsid w:val="0041535D"/>
    <w:rsid w:val="00415540"/>
    <w:rsid w:val="004157A2"/>
    <w:rsid w:val="004161AB"/>
    <w:rsid w:val="004212B6"/>
    <w:rsid w:val="00423401"/>
    <w:rsid w:val="00424E79"/>
    <w:rsid w:val="004252B0"/>
    <w:rsid w:val="00425631"/>
    <w:rsid w:val="004273A7"/>
    <w:rsid w:val="00427431"/>
    <w:rsid w:val="00431078"/>
    <w:rsid w:val="00431662"/>
    <w:rsid w:val="00431D37"/>
    <w:rsid w:val="00433801"/>
    <w:rsid w:val="004343C0"/>
    <w:rsid w:val="004367E3"/>
    <w:rsid w:val="00436A30"/>
    <w:rsid w:val="00436B29"/>
    <w:rsid w:val="00437340"/>
    <w:rsid w:val="00441A43"/>
    <w:rsid w:val="00444408"/>
    <w:rsid w:val="0044471F"/>
    <w:rsid w:val="00445906"/>
    <w:rsid w:val="00445A97"/>
    <w:rsid w:val="00445C38"/>
    <w:rsid w:val="00445CCE"/>
    <w:rsid w:val="004461BD"/>
    <w:rsid w:val="004478A4"/>
    <w:rsid w:val="0045038D"/>
    <w:rsid w:val="004510B3"/>
    <w:rsid w:val="00452057"/>
    <w:rsid w:val="0045230E"/>
    <w:rsid w:val="004526A4"/>
    <w:rsid w:val="00453218"/>
    <w:rsid w:val="00453DB1"/>
    <w:rsid w:val="00453E13"/>
    <w:rsid w:val="0045482A"/>
    <w:rsid w:val="0045692C"/>
    <w:rsid w:val="0045799E"/>
    <w:rsid w:val="00460AB9"/>
    <w:rsid w:val="00462776"/>
    <w:rsid w:val="00465120"/>
    <w:rsid w:val="00465F3C"/>
    <w:rsid w:val="00466359"/>
    <w:rsid w:val="004670CF"/>
    <w:rsid w:val="00467179"/>
    <w:rsid w:val="0047036D"/>
    <w:rsid w:val="00471295"/>
    <w:rsid w:val="0047129E"/>
    <w:rsid w:val="0047378F"/>
    <w:rsid w:val="00475283"/>
    <w:rsid w:val="00476EC9"/>
    <w:rsid w:val="00477DF4"/>
    <w:rsid w:val="0048018C"/>
    <w:rsid w:val="004802BB"/>
    <w:rsid w:val="004813A4"/>
    <w:rsid w:val="00481D0C"/>
    <w:rsid w:val="00482870"/>
    <w:rsid w:val="00482EF8"/>
    <w:rsid w:val="0048312C"/>
    <w:rsid w:val="00484B6C"/>
    <w:rsid w:val="00484DE6"/>
    <w:rsid w:val="004868A5"/>
    <w:rsid w:val="00486AB6"/>
    <w:rsid w:val="00486B18"/>
    <w:rsid w:val="0048786C"/>
    <w:rsid w:val="00487D78"/>
    <w:rsid w:val="00490DAE"/>
    <w:rsid w:val="00491B43"/>
    <w:rsid w:val="00491DC9"/>
    <w:rsid w:val="00492366"/>
    <w:rsid w:val="00492525"/>
    <w:rsid w:val="00492971"/>
    <w:rsid w:val="00492B07"/>
    <w:rsid w:val="00492E08"/>
    <w:rsid w:val="0049339B"/>
    <w:rsid w:val="004937FE"/>
    <w:rsid w:val="004938B9"/>
    <w:rsid w:val="00493A32"/>
    <w:rsid w:val="00494450"/>
    <w:rsid w:val="00496FD2"/>
    <w:rsid w:val="0049717D"/>
    <w:rsid w:val="00497D18"/>
    <w:rsid w:val="004A0E06"/>
    <w:rsid w:val="004A1726"/>
    <w:rsid w:val="004A226E"/>
    <w:rsid w:val="004A23C5"/>
    <w:rsid w:val="004A24B6"/>
    <w:rsid w:val="004A2717"/>
    <w:rsid w:val="004A355A"/>
    <w:rsid w:val="004A4475"/>
    <w:rsid w:val="004A4D73"/>
    <w:rsid w:val="004A4F60"/>
    <w:rsid w:val="004A5DE5"/>
    <w:rsid w:val="004A5E05"/>
    <w:rsid w:val="004A7024"/>
    <w:rsid w:val="004B0015"/>
    <w:rsid w:val="004B11F9"/>
    <w:rsid w:val="004B2CEC"/>
    <w:rsid w:val="004B53C3"/>
    <w:rsid w:val="004B5835"/>
    <w:rsid w:val="004B58F7"/>
    <w:rsid w:val="004B7A15"/>
    <w:rsid w:val="004B7F62"/>
    <w:rsid w:val="004C1E2E"/>
    <w:rsid w:val="004C1EEC"/>
    <w:rsid w:val="004C37D8"/>
    <w:rsid w:val="004C4949"/>
    <w:rsid w:val="004C547F"/>
    <w:rsid w:val="004C5FB7"/>
    <w:rsid w:val="004C6EFE"/>
    <w:rsid w:val="004C77BE"/>
    <w:rsid w:val="004C7949"/>
    <w:rsid w:val="004D05D8"/>
    <w:rsid w:val="004D0EF4"/>
    <w:rsid w:val="004D1FCE"/>
    <w:rsid w:val="004D3BC2"/>
    <w:rsid w:val="004D40D1"/>
    <w:rsid w:val="004D4A16"/>
    <w:rsid w:val="004E02E3"/>
    <w:rsid w:val="004E1650"/>
    <w:rsid w:val="004E42E6"/>
    <w:rsid w:val="004E4602"/>
    <w:rsid w:val="004E688E"/>
    <w:rsid w:val="004E6A27"/>
    <w:rsid w:val="004F09AC"/>
    <w:rsid w:val="004F1581"/>
    <w:rsid w:val="004F1AB4"/>
    <w:rsid w:val="004F469C"/>
    <w:rsid w:val="0050184F"/>
    <w:rsid w:val="005022B7"/>
    <w:rsid w:val="005027CB"/>
    <w:rsid w:val="00502B5D"/>
    <w:rsid w:val="005030FF"/>
    <w:rsid w:val="00503474"/>
    <w:rsid w:val="0050349F"/>
    <w:rsid w:val="00505045"/>
    <w:rsid w:val="005054F8"/>
    <w:rsid w:val="00505826"/>
    <w:rsid w:val="00506ABF"/>
    <w:rsid w:val="00506D9C"/>
    <w:rsid w:val="0050718F"/>
    <w:rsid w:val="005100E6"/>
    <w:rsid w:val="0051014E"/>
    <w:rsid w:val="00511632"/>
    <w:rsid w:val="005125B1"/>
    <w:rsid w:val="00514369"/>
    <w:rsid w:val="005145D9"/>
    <w:rsid w:val="00515DF2"/>
    <w:rsid w:val="00516346"/>
    <w:rsid w:val="0051792D"/>
    <w:rsid w:val="0052141D"/>
    <w:rsid w:val="00521E2A"/>
    <w:rsid w:val="005229B7"/>
    <w:rsid w:val="00525E04"/>
    <w:rsid w:val="00526268"/>
    <w:rsid w:val="00526921"/>
    <w:rsid w:val="00526CBB"/>
    <w:rsid w:val="005277F8"/>
    <w:rsid w:val="0052781B"/>
    <w:rsid w:val="00531242"/>
    <w:rsid w:val="00531424"/>
    <w:rsid w:val="005321A7"/>
    <w:rsid w:val="0053220E"/>
    <w:rsid w:val="00532B0D"/>
    <w:rsid w:val="00534271"/>
    <w:rsid w:val="00534926"/>
    <w:rsid w:val="00535391"/>
    <w:rsid w:val="00536FDB"/>
    <w:rsid w:val="00541919"/>
    <w:rsid w:val="00543536"/>
    <w:rsid w:val="005449B7"/>
    <w:rsid w:val="00547AC9"/>
    <w:rsid w:val="00547DB4"/>
    <w:rsid w:val="00550420"/>
    <w:rsid w:val="00550D75"/>
    <w:rsid w:val="00551330"/>
    <w:rsid w:val="005544F1"/>
    <w:rsid w:val="00560021"/>
    <w:rsid w:val="005607E4"/>
    <w:rsid w:val="005608A0"/>
    <w:rsid w:val="00562192"/>
    <w:rsid w:val="0056295A"/>
    <w:rsid w:val="0056462C"/>
    <w:rsid w:val="00564B98"/>
    <w:rsid w:val="00566A63"/>
    <w:rsid w:val="005672E7"/>
    <w:rsid w:val="00570048"/>
    <w:rsid w:val="00571221"/>
    <w:rsid w:val="0057313B"/>
    <w:rsid w:val="00575969"/>
    <w:rsid w:val="00576677"/>
    <w:rsid w:val="00576A54"/>
    <w:rsid w:val="00576CAB"/>
    <w:rsid w:val="005804A8"/>
    <w:rsid w:val="0058081D"/>
    <w:rsid w:val="00580CBD"/>
    <w:rsid w:val="00581867"/>
    <w:rsid w:val="005828B5"/>
    <w:rsid w:val="00582DDA"/>
    <w:rsid w:val="0058413F"/>
    <w:rsid w:val="00584CA7"/>
    <w:rsid w:val="0058508E"/>
    <w:rsid w:val="0058636A"/>
    <w:rsid w:val="00586A6B"/>
    <w:rsid w:val="005900C4"/>
    <w:rsid w:val="00590183"/>
    <w:rsid w:val="0059019C"/>
    <w:rsid w:val="00591FD9"/>
    <w:rsid w:val="00592A5D"/>
    <w:rsid w:val="00592F7A"/>
    <w:rsid w:val="005931F2"/>
    <w:rsid w:val="00593634"/>
    <w:rsid w:val="0059381E"/>
    <w:rsid w:val="0059635B"/>
    <w:rsid w:val="00596A2F"/>
    <w:rsid w:val="00597486"/>
    <w:rsid w:val="005A0E27"/>
    <w:rsid w:val="005A10B6"/>
    <w:rsid w:val="005A232D"/>
    <w:rsid w:val="005A2341"/>
    <w:rsid w:val="005A3781"/>
    <w:rsid w:val="005A37AB"/>
    <w:rsid w:val="005A3B6D"/>
    <w:rsid w:val="005A3F8B"/>
    <w:rsid w:val="005A4C50"/>
    <w:rsid w:val="005A6A12"/>
    <w:rsid w:val="005A6AAA"/>
    <w:rsid w:val="005A7F05"/>
    <w:rsid w:val="005B34B1"/>
    <w:rsid w:val="005B4575"/>
    <w:rsid w:val="005B45F0"/>
    <w:rsid w:val="005B5296"/>
    <w:rsid w:val="005B533F"/>
    <w:rsid w:val="005B63C0"/>
    <w:rsid w:val="005B6652"/>
    <w:rsid w:val="005B6B5E"/>
    <w:rsid w:val="005B7426"/>
    <w:rsid w:val="005C0614"/>
    <w:rsid w:val="005C103F"/>
    <w:rsid w:val="005C1297"/>
    <w:rsid w:val="005C1AE7"/>
    <w:rsid w:val="005C1D54"/>
    <w:rsid w:val="005C33E1"/>
    <w:rsid w:val="005C49AC"/>
    <w:rsid w:val="005C49FB"/>
    <w:rsid w:val="005C5A4E"/>
    <w:rsid w:val="005C656F"/>
    <w:rsid w:val="005C6C51"/>
    <w:rsid w:val="005C6EE6"/>
    <w:rsid w:val="005D042D"/>
    <w:rsid w:val="005D09DB"/>
    <w:rsid w:val="005D1956"/>
    <w:rsid w:val="005D2292"/>
    <w:rsid w:val="005D4205"/>
    <w:rsid w:val="005D4BCC"/>
    <w:rsid w:val="005D6187"/>
    <w:rsid w:val="005D6D3C"/>
    <w:rsid w:val="005D74C8"/>
    <w:rsid w:val="005E0759"/>
    <w:rsid w:val="005E1481"/>
    <w:rsid w:val="005E276F"/>
    <w:rsid w:val="005E4F4E"/>
    <w:rsid w:val="005E7873"/>
    <w:rsid w:val="005F18FC"/>
    <w:rsid w:val="005F22B8"/>
    <w:rsid w:val="005F27E3"/>
    <w:rsid w:val="005F350D"/>
    <w:rsid w:val="005F49E7"/>
    <w:rsid w:val="005F5D9A"/>
    <w:rsid w:val="005F60CC"/>
    <w:rsid w:val="005F62AC"/>
    <w:rsid w:val="005F6902"/>
    <w:rsid w:val="005F745A"/>
    <w:rsid w:val="00600385"/>
    <w:rsid w:val="00600396"/>
    <w:rsid w:val="00600DB3"/>
    <w:rsid w:val="006021DA"/>
    <w:rsid w:val="00602BC1"/>
    <w:rsid w:val="00602FFD"/>
    <w:rsid w:val="0060322D"/>
    <w:rsid w:val="006038D3"/>
    <w:rsid w:val="00603E81"/>
    <w:rsid w:val="00605621"/>
    <w:rsid w:val="00606128"/>
    <w:rsid w:val="00610807"/>
    <w:rsid w:val="00610A6A"/>
    <w:rsid w:val="006141A5"/>
    <w:rsid w:val="00614513"/>
    <w:rsid w:val="00615090"/>
    <w:rsid w:val="006155B7"/>
    <w:rsid w:val="00615E61"/>
    <w:rsid w:val="0061644B"/>
    <w:rsid w:val="00617667"/>
    <w:rsid w:val="006207C4"/>
    <w:rsid w:val="006211CC"/>
    <w:rsid w:val="00621C52"/>
    <w:rsid w:val="0062359D"/>
    <w:rsid w:val="0062398A"/>
    <w:rsid w:val="0062404E"/>
    <w:rsid w:val="006245AF"/>
    <w:rsid w:val="006249FD"/>
    <w:rsid w:val="00624DBF"/>
    <w:rsid w:val="00627872"/>
    <w:rsid w:val="00630071"/>
    <w:rsid w:val="00630502"/>
    <w:rsid w:val="00633F94"/>
    <w:rsid w:val="00637755"/>
    <w:rsid w:val="00637835"/>
    <w:rsid w:val="00641203"/>
    <w:rsid w:val="00642F1E"/>
    <w:rsid w:val="006449E8"/>
    <w:rsid w:val="006454D1"/>
    <w:rsid w:val="00645C20"/>
    <w:rsid w:val="0064631E"/>
    <w:rsid w:val="00647F84"/>
    <w:rsid w:val="00650A9C"/>
    <w:rsid w:val="00650C6E"/>
    <w:rsid w:val="00652356"/>
    <w:rsid w:val="006532E9"/>
    <w:rsid w:val="00653C9F"/>
    <w:rsid w:val="006577F5"/>
    <w:rsid w:val="00660A74"/>
    <w:rsid w:val="0066108A"/>
    <w:rsid w:val="00661512"/>
    <w:rsid w:val="00661568"/>
    <w:rsid w:val="00661F2A"/>
    <w:rsid w:val="0066243B"/>
    <w:rsid w:val="00662664"/>
    <w:rsid w:val="00662F03"/>
    <w:rsid w:val="00663E70"/>
    <w:rsid w:val="00664277"/>
    <w:rsid w:val="006647DC"/>
    <w:rsid w:val="006661FA"/>
    <w:rsid w:val="00666AF5"/>
    <w:rsid w:val="00667ED9"/>
    <w:rsid w:val="006700B5"/>
    <w:rsid w:val="006729B2"/>
    <w:rsid w:val="00674411"/>
    <w:rsid w:val="00674473"/>
    <w:rsid w:val="00676A6C"/>
    <w:rsid w:val="006774C8"/>
    <w:rsid w:val="006774E0"/>
    <w:rsid w:val="006807DA"/>
    <w:rsid w:val="00681950"/>
    <w:rsid w:val="00681B45"/>
    <w:rsid w:val="00682BF2"/>
    <w:rsid w:val="00684FEA"/>
    <w:rsid w:val="00685640"/>
    <w:rsid w:val="006857CD"/>
    <w:rsid w:val="00685EC2"/>
    <w:rsid w:val="00686399"/>
    <w:rsid w:val="00686BD0"/>
    <w:rsid w:val="00687E7D"/>
    <w:rsid w:val="0069019C"/>
    <w:rsid w:val="00690258"/>
    <w:rsid w:val="00691B34"/>
    <w:rsid w:val="00691C86"/>
    <w:rsid w:val="006922C2"/>
    <w:rsid w:val="00693050"/>
    <w:rsid w:val="006944B8"/>
    <w:rsid w:val="00695FF0"/>
    <w:rsid w:val="00696015"/>
    <w:rsid w:val="00696EA3"/>
    <w:rsid w:val="00697029"/>
    <w:rsid w:val="006A00ED"/>
    <w:rsid w:val="006A0183"/>
    <w:rsid w:val="006A0A94"/>
    <w:rsid w:val="006A0A98"/>
    <w:rsid w:val="006A0CD3"/>
    <w:rsid w:val="006A24C5"/>
    <w:rsid w:val="006A2EAC"/>
    <w:rsid w:val="006A349F"/>
    <w:rsid w:val="006A4AF5"/>
    <w:rsid w:val="006A68C4"/>
    <w:rsid w:val="006B0CEE"/>
    <w:rsid w:val="006B0E88"/>
    <w:rsid w:val="006B1FE3"/>
    <w:rsid w:val="006B35CF"/>
    <w:rsid w:val="006B3EA6"/>
    <w:rsid w:val="006B416E"/>
    <w:rsid w:val="006B6B08"/>
    <w:rsid w:val="006B6CBB"/>
    <w:rsid w:val="006B77A9"/>
    <w:rsid w:val="006B7DD4"/>
    <w:rsid w:val="006C03BF"/>
    <w:rsid w:val="006C0A5A"/>
    <w:rsid w:val="006C1137"/>
    <w:rsid w:val="006C26C9"/>
    <w:rsid w:val="006C2B10"/>
    <w:rsid w:val="006C3746"/>
    <w:rsid w:val="006C3DDB"/>
    <w:rsid w:val="006C3E9C"/>
    <w:rsid w:val="006C5665"/>
    <w:rsid w:val="006C5954"/>
    <w:rsid w:val="006D0AFC"/>
    <w:rsid w:val="006D1C45"/>
    <w:rsid w:val="006D2091"/>
    <w:rsid w:val="006D2881"/>
    <w:rsid w:val="006D30FC"/>
    <w:rsid w:val="006D33D8"/>
    <w:rsid w:val="006D56DC"/>
    <w:rsid w:val="006D5944"/>
    <w:rsid w:val="006D5E16"/>
    <w:rsid w:val="006D5FD7"/>
    <w:rsid w:val="006D6EDB"/>
    <w:rsid w:val="006D7D17"/>
    <w:rsid w:val="006E106B"/>
    <w:rsid w:val="006E2104"/>
    <w:rsid w:val="006E2E59"/>
    <w:rsid w:val="006E5C03"/>
    <w:rsid w:val="006E5E77"/>
    <w:rsid w:val="006E642D"/>
    <w:rsid w:val="006E681C"/>
    <w:rsid w:val="006E74F8"/>
    <w:rsid w:val="006F0B6D"/>
    <w:rsid w:val="006F0E13"/>
    <w:rsid w:val="006F1889"/>
    <w:rsid w:val="006F3277"/>
    <w:rsid w:val="006F3301"/>
    <w:rsid w:val="006F47FB"/>
    <w:rsid w:val="006F4C16"/>
    <w:rsid w:val="006F5119"/>
    <w:rsid w:val="006F53FC"/>
    <w:rsid w:val="006F579C"/>
    <w:rsid w:val="006F5F75"/>
    <w:rsid w:val="006F6339"/>
    <w:rsid w:val="006F66DB"/>
    <w:rsid w:val="006F68B3"/>
    <w:rsid w:val="006F6BD7"/>
    <w:rsid w:val="006F6F5F"/>
    <w:rsid w:val="00700E95"/>
    <w:rsid w:val="00701781"/>
    <w:rsid w:val="00702890"/>
    <w:rsid w:val="0070339E"/>
    <w:rsid w:val="00704424"/>
    <w:rsid w:val="007048A2"/>
    <w:rsid w:val="007051CD"/>
    <w:rsid w:val="00705426"/>
    <w:rsid w:val="00705753"/>
    <w:rsid w:val="00705CB0"/>
    <w:rsid w:val="007078EA"/>
    <w:rsid w:val="00707A56"/>
    <w:rsid w:val="007102E7"/>
    <w:rsid w:val="00710D5F"/>
    <w:rsid w:val="00711ABB"/>
    <w:rsid w:val="00712421"/>
    <w:rsid w:val="00712915"/>
    <w:rsid w:val="00712FC7"/>
    <w:rsid w:val="007150C7"/>
    <w:rsid w:val="00715200"/>
    <w:rsid w:val="007158F1"/>
    <w:rsid w:val="00715964"/>
    <w:rsid w:val="0071782E"/>
    <w:rsid w:val="007179F7"/>
    <w:rsid w:val="00717CBA"/>
    <w:rsid w:val="00720128"/>
    <w:rsid w:val="0072058E"/>
    <w:rsid w:val="00720AFD"/>
    <w:rsid w:val="0072102F"/>
    <w:rsid w:val="00721C31"/>
    <w:rsid w:val="007221C1"/>
    <w:rsid w:val="00722D61"/>
    <w:rsid w:val="00723CC7"/>
    <w:rsid w:val="00723D5B"/>
    <w:rsid w:val="00723F65"/>
    <w:rsid w:val="00725753"/>
    <w:rsid w:val="00726360"/>
    <w:rsid w:val="00726566"/>
    <w:rsid w:val="0073009F"/>
    <w:rsid w:val="00733326"/>
    <w:rsid w:val="00733813"/>
    <w:rsid w:val="00734667"/>
    <w:rsid w:val="00734924"/>
    <w:rsid w:val="00735999"/>
    <w:rsid w:val="00736448"/>
    <w:rsid w:val="007369EE"/>
    <w:rsid w:val="00741420"/>
    <w:rsid w:val="00742258"/>
    <w:rsid w:val="00742892"/>
    <w:rsid w:val="00743B56"/>
    <w:rsid w:val="00744F02"/>
    <w:rsid w:val="00745E27"/>
    <w:rsid w:val="00747993"/>
    <w:rsid w:val="00747CC2"/>
    <w:rsid w:val="007504D8"/>
    <w:rsid w:val="007517D1"/>
    <w:rsid w:val="0075260A"/>
    <w:rsid w:val="007545C5"/>
    <w:rsid w:val="0075521A"/>
    <w:rsid w:val="00755729"/>
    <w:rsid w:val="00755ABE"/>
    <w:rsid w:val="00756212"/>
    <w:rsid w:val="00757106"/>
    <w:rsid w:val="007607A0"/>
    <w:rsid w:val="007607E3"/>
    <w:rsid w:val="007611BC"/>
    <w:rsid w:val="00761DC1"/>
    <w:rsid w:val="00761FBE"/>
    <w:rsid w:val="00762F38"/>
    <w:rsid w:val="00762F6D"/>
    <w:rsid w:val="00764CAD"/>
    <w:rsid w:val="0076645C"/>
    <w:rsid w:val="00766A89"/>
    <w:rsid w:val="00766AD4"/>
    <w:rsid w:val="00770A33"/>
    <w:rsid w:val="007713F3"/>
    <w:rsid w:val="0077157E"/>
    <w:rsid w:val="00772391"/>
    <w:rsid w:val="00772D42"/>
    <w:rsid w:val="007731A2"/>
    <w:rsid w:val="0077343D"/>
    <w:rsid w:val="00773C6C"/>
    <w:rsid w:val="00775EDD"/>
    <w:rsid w:val="0077661B"/>
    <w:rsid w:val="0077663C"/>
    <w:rsid w:val="00780295"/>
    <w:rsid w:val="0078145C"/>
    <w:rsid w:val="00782522"/>
    <w:rsid w:val="007828BF"/>
    <w:rsid w:val="00783089"/>
    <w:rsid w:val="00783790"/>
    <w:rsid w:val="007846D2"/>
    <w:rsid w:val="007852A1"/>
    <w:rsid w:val="00790153"/>
    <w:rsid w:val="00791723"/>
    <w:rsid w:val="00791A86"/>
    <w:rsid w:val="00791DE8"/>
    <w:rsid w:val="007921AC"/>
    <w:rsid w:val="00792249"/>
    <w:rsid w:val="0079456E"/>
    <w:rsid w:val="00794874"/>
    <w:rsid w:val="00795F5C"/>
    <w:rsid w:val="007968E2"/>
    <w:rsid w:val="00797022"/>
    <w:rsid w:val="00797A2F"/>
    <w:rsid w:val="007A12F5"/>
    <w:rsid w:val="007A178F"/>
    <w:rsid w:val="007A1AC9"/>
    <w:rsid w:val="007A1F92"/>
    <w:rsid w:val="007A2218"/>
    <w:rsid w:val="007A3260"/>
    <w:rsid w:val="007A3817"/>
    <w:rsid w:val="007A3BAD"/>
    <w:rsid w:val="007A560F"/>
    <w:rsid w:val="007A59FA"/>
    <w:rsid w:val="007A5AF8"/>
    <w:rsid w:val="007A68B7"/>
    <w:rsid w:val="007A7238"/>
    <w:rsid w:val="007B0B48"/>
    <w:rsid w:val="007B2110"/>
    <w:rsid w:val="007B21E3"/>
    <w:rsid w:val="007B3836"/>
    <w:rsid w:val="007B3DD5"/>
    <w:rsid w:val="007B4141"/>
    <w:rsid w:val="007B4348"/>
    <w:rsid w:val="007B5927"/>
    <w:rsid w:val="007B6E52"/>
    <w:rsid w:val="007B71C2"/>
    <w:rsid w:val="007B767A"/>
    <w:rsid w:val="007B7E30"/>
    <w:rsid w:val="007C08D3"/>
    <w:rsid w:val="007C2468"/>
    <w:rsid w:val="007C3882"/>
    <w:rsid w:val="007C3C7C"/>
    <w:rsid w:val="007C4A0E"/>
    <w:rsid w:val="007C5110"/>
    <w:rsid w:val="007C5F43"/>
    <w:rsid w:val="007C7472"/>
    <w:rsid w:val="007D0773"/>
    <w:rsid w:val="007D0D1A"/>
    <w:rsid w:val="007D0F9A"/>
    <w:rsid w:val="007D1F30"/>
    <w:rsid w:val="007D2C94"/>
    <w:rsid w:val="007D3496"/>
    <w:rsid w:val="007D4A5E"/>
    <w:rsid w:val="007D6692"/>
    <w:rsid w:val="007D7FC5"/>
    <w:rsid w:val="007E0297"/>
    <w:rsid w:val="007E0398"/>
    <w:rsid w:val="007E1DD6"/>
    <w:rsid w:val="007E330A"/>
    <w:rsid w:val="007E46DF"/>
    <w:rsid w:val="007E56A1"/>
    <w:rsid w:val="007E5B1E"/>
    <w:rsid w:val="007E6A2E"/>
    <w:rsid w:val="007E6E7A"/>
    <w:rsid w:val="007E7E6B"/>
    <w:rsid w:val="007F0B9F"/>
    <w:rsid w:val="007F1881"/>
    <w:rsid w:val="007F50FE"/>
    <w:rsid w:val="007F55D4"/>
    <w:rsid w:val="007F6E3B"/>
    <w:rsid w:val="007F7023"/>
    <w:rsid w:val="007F7B77"/>
    <w:rsid w:val="00801B7D"/>
    <w:rsid w:val="00802CEC"/>
    <w:rsid w:val="00803409"/>
    <w:rsid w:val="00803BA5"/>
    <w:rsid w:val="00805BA9"/>
    <w:rsid w:val="00805BF8"/>
    <w:rsid w:val="00805C28"/>
    <w:rsid w:val="00806308"/>
    <w:rsid w:val="008064D5"/>
    <w:rsid w:val="008073AF"/>
    <w:rsid w:val="00807C4D"/>
    <w:rsid w:val="00810766"/>
    <w:rsid w:val="00810CC9"/>
    <w:rsid w:val="008110D7"/>
    <w:rsid w:val="00811539"/>
    <w:rsid w:val="0081172E"/>
    <w:rsid w:val="00811BEA"/>
    <w:rsid w:val="008121E4"/>
    <w:rsid w:val="0081230F"/>
    <w:rsid w:val="0081277B"/>
    <w:rsid w:val="0081506C"/>
    <w:rsid w:val="008160F9"/>
    <w:rsid w:val="00816210"/>
    <w:rsid w:val="008167E3"/>
    <w:rsid w:val="00816DC6"/>
    <w:rsid w:val="008177D9"/>
    <w:rsid w:val="00817B30"/>
    <w:rsid w:val="00817CCE"/>
    <w:rsid w:val="00820336"/>
    <w:rsid w:val="00821DFB"/>
    <w:rsid w:val="00822AA1"/>
    <w:rsid w:val="00822F46"/>
    <w:rsid w:val="0082423E"/>
    <w:rsid w:val="00825E83"/>
    <w:rsid w:val="0082639C"/>
    <w:rsid w:val="0082695E"/>
    <w:rsid w:val="0082735D"/>
    <w:rsid w:val="0083053A"/>
    <w:rsid w:val="008306AC"/>
    <w:rsid w:val="0083128C"/>
    <w:rsid w:val="008319AF"/>
    <w:rsid w:val="00832378"/>
    <w:rsid w:val="00833285"/>
    <w:rsid w:val="00833B9F"/>
    <w:rsid w:val="008363FA"/>
    <w:rsid w:val="00836EEB"/>
    <w:rsid w:val="00837EDC"/>
    <w:rsid w:val="0084094F"/>
    <w:rsid w:val="0084097C"/>
    <w:rsid w:val="00840BE2"/>
    <w:rsid w:val="00840F0A"/>
    <w:rsid w:val="00841B3E"/>
    <w:rsid w:val="00843278"/>
    <w:rsid w:val="00844345"/>
    <w:rsid w:val="00844668"/>
    <w:rsid w:val="008446D5"/>
    <w:rsid w:val="0084499B"/>
    <w:rsid w:val="008451C2"/>
    <w:rsid w:val="00847FB2"/>
    <w:rsid w:val="008503A8"/>
    <w:rsid w:val="008526D0"/>
    <w:rsid w:val="008528F9"/>
    <w:rsid w:val="00852B0A"/>
    <w:rsid w:val="008534B0"/>
    <w:rsid w:val="008536BC"/>
    <w:rsid w:val="008546C2"/>
    <w:rsid w:val="00854987"/>
    <w:rsid w:val="0085675A"/>
    <w:rsid w:val="00856C61"/>
    <w:rsid w:val="00856CBA"/>
    <w:rsid w:val="008573EF"/>
    <w:rsid w:val="00857487"/>
    <w:rsid w:val="00857F27"/>
    <w:rsid w:val="00860454"/>
    <w:rsid w:val="00860905"/>
    <w:rsid w:val="00862D13"/>
    <w:rsid w:val="0086466D"/>
    <w:rsid w:val="008649A4"/>
    <w:rsid w:val="0086529C"/>
    <w:rsid w:val="00865C22"/>
    <w:rsid w:val="00865DEB"/>
    <w:rsid w:val="00867A00"/>
    <w:rsid w:val="00867FE8"/>
    <w:rsid w:val="0087079E"/>
    <w:rsid w:val="00871362"/>
    <w:rsid w:val="0087167A"/>
    <w:rsid w:val="00872A63"/>
    <w:rsid w:val="00875481"/>
    <w:rsid w:val="00876450"/>
    <w:rsid w:val="0087674E"/>
    <w:rsid w:val="008774AE"/>
    <w:rsid w:val="008806DB"/>
    <w:rsid w:val="00881A2A"/>
    <w:rsid w:val="00883CA7"/>
    <w:rsid w:val="00884865"/>
    <w:rsid w:val="00884FF1"/>
    <w:rsid w:val="0088666F"/>
    <w:rsid w:val="008870B5"/>
    <w:rsid w:val="008872F4"/>
    <w:rsid w:val="008874CA"/>
    <w:rsid w:val="00893139"/>
    <w:rsid w:val="0089399D"/>
    <w:rsid w:val="00893DF6"/>
    <w:rsid w:val="00894836"/>
    <w:rsid w:val="008962C4"/>
    <w:rsid w:val="0089759C"/>
    <w:rsid w:val="00897870"/>
    <w:rsid w:val="00897B60"/>
    <w:rsid w:val="008A02C0"/>
    <w:rsid w:val="008A129C"/>
    <w:rsid w:val="008A3788"/>
    <w:rsid w:val="008A3A23"/>
    <w:rsid w:val="008A436C"/>
    <w:rsid w:val="008A4F44"/>
    <w:rsid w:val="008A5B20"/>
    <w:rsid w:val="008A65EB"/>
    <w:rsid w:val="008B1A18"/>
    <w:rsid w:val="008B2B72"/>
    <w:rsid w:val="008B2E13"/>
    <w:rsid w:val="008B3589"/>
    <w:rsid w:val="008B3AD4"/>
    <w:rsid w:val="008B3FFF"/>
    <w:rsid w:val="008B4E01"/>
    <w:rsid w:val="008B61EF"/>
    <w:rsid w:val="008B652B"/>
    <w:rsid w:val="008B66C8"/>
    <w:rsid w:val="008B6718"/>
    <w:rsid w:val="008B7662"/>
    <w:rsid w:val="008C0304"/>
    <w:rsid w:val="008C0371"/>
    <w:rsid w:val="008C140B"/>
    <w:rsid w:val="008C186E"/>
    <w:rsid w:val="008C2309"/>
    <w:rsid w:val="008C2D06"/>
    <w:rsid w:val="008C3B8C"/>
    <w:rsid w:val="008C44D0"/>
    <w:rsid w:val="008C51BD"/>
    <w:rsid w:val="008C6391"/>
    <w:rsid w:val="008C7498"/>
    <w:rsid w:val="008D0C3D"/>
    <w:rsid w:val="008D1812"/>
    <w:rsid w:val="008D19DF"/>
    <w:rsid w:val="008D1CFE"/>
    <w:rsid w:val="008D1FC5"/>
    <w:rsid w:val="008D251D"/>
    <w:rsid w:val="008D28DC"/>
    <w:rsid w:val="008D2949"/>
    <w:rsid w:val="008D4026"/>
    <w:rsid w:val="008D5C17"/>
    <w:rsid w:val="008D76D1"/>
    <w:rsid w:val="008D7C21"/>
    <w:rsid w:val="008E076B"/>
    <w:rsid w:val="008E231C"/>
    <w:rsid w:val="008E2374"/>
    <w:rsid w:val="008E2637"/>
    <w:rsid w:val="008E36E8"/>
    <w:rsid w:val="008E4C11"/>
    <w:rsid w:val="008E5E82"/>
    <w:rsid w:val="008E6817"/>
    <w:rsid w:val="008E6B0C"/>
    <w:rsid w:val="008E7A08"/>
    <w:rsid w:val="008F0B14"/>
    <w:rsid w:val="008F30EE"/>
    <w:rsid w:val="008F3403"/>
    <w:rsid w:val="008F37C5"/>
    <w:rsid w:val="008F3C88"/>
    <w:rsid w:val="008F3F30"/>
    <w:rsid w:val="008F4110"/>
    <w:rsid w:val="008F52F8"/>
    <w:rsid w:val="008F581F"/>
    <w:rsid w:val="008F78CC"/>
    <w:rsid w:val="0090091F"/>
    <w:rsid w:val="00900ECE"/>
    <w:rsid w:val="00901522"/>
    <w:rsid w:val="00903488"/>
    <w:rsid w:val="00904466"/>
    <w:rsid w:val="00904D92"/>
    <w:rsid w:val="00904FC3"/>
    <w:rsid w:val="00905839"/>
    <w:rsid w:val="00907352"/>
    <w:rsid w:val="00907914"/>
    <w:rsid w:val="00907F89"/>
    <w:rsid w:val="00910AE2"/>
    <w:rsid w:val="00910FEC"/>
    <w:rsid w:val="00911197"/>
    <w:rsid w:val="009119C8"/>
    <w:rsid w:val="009123CA"/>
    <w:rsid w:val="00912AA2"/>
    <w:rsid w:val="009144E4"/>
    <w:rsid w:val="0091525F"/>
    <w:rsid w:val="00920608"/>
    <w:rsid w:val="00921D31"/>
    <w:rsid w:val="00922B1F"/>
    <w:rsid w:val="00922E54"/>
    <w:rsid w:val="00922FD5"/>
    <w:rsid w:val="0092306F"/>
    <w:rsid w:val="00923642"/>
    <w:rsid w:val="00923E92"/>
    <w:rsid w:val="00923FAB"/>
    <w:rsid w:val="00924396"/>
    <w:rsid w:val="009244B6"/>
    <w:rsid w:val="00924F42"/>
    <w:rsid w:val="00924F7D"/>
    <w:rsid w:val="0092508E"/>
    <w:rsid w:val="00925409"/>
    <w:rsid w:val="00926676"/>
    <w:rsid w:val="009269F3"/>
    <w:rsid w:val="0093130C"/>
    <w:rsid w:val="00932D06"/>
    <w:rsid w:val="00933E6A"/>
    <w:rsid w:val="00934AD2"/>
    <w:rsid w:val="00934D85"/>
    <w:rsid w:val="009353E2"/>
    <w:rsid w:val="00935D76"/>
    <w:rsid w:val="0093639A"/>
    <w:rsid w:val="00936734"/>
    <w:rsid w:val="00936E0D"/>
    <w:rsid w:val="0093770A"/>
    <w:rsid w:val="00940E45"/>
    <w:rsid w:val="00941B22"/>
    <w:rsid w:val="0094232C"/>
    <w:rsid w:val="0094239D"/>
    <w:rsid w:val="00942A31"/>
    <w:rsid w:val="00942D71"/>
    <w:rsid w:val="00943385"/>
    <w:rsid w:val="00944957"/>
    <w:rsid w:val="0094516B"/>
    <w:rsid w:val="00946073"/>
    <w:rsid w:val="009462E7"/>
    <w:rsid w:val="0094634D"/>
    <w:rsid w:val="00946952"/>
    <w:rsid w:val="00947857"/>
    <w:rsid w:val="00947F71"/>
    <w:rsid w:val="0095076F"/>
    <w:rsid w:val="00951B34"/>
    <w:rsid w:val="009529A2"/>
    <w:rsid w:val="00953264"/>
    <w:rsid w:val="009548A3"/>
    <w:rsid w:val="00954B15"/>
    <w:rsid w:val="0095534D"/>
    <w:rsid w:val="00955ABF"/>
    <w:rsid w:val="00957290"/>
    <w:rsid w:val="00957C5A"/>
    <w:rsid w:val="0096190D"/>
    <w:rsid w:val="00962526"/>
    <w:rsid w:val="00963566"/>
    <w:rsid w:val="009640D7"/>
    <w:rsid w:val="00964A8D"/>
    <w:rsid w:val="00964CB2"/>
    <w:rsid w:val="00965E7D"/>
    <w:rsid w:val="0096644B"/>
    <w:rsid w:val="0096667F"/>
    <w:rsid w:val="00966721"/>
    <w:rsid w:val="00966A88"/>
    <w:rsid w:val="00967222"/>
    <w:rsid w:val="00970D62"/>
    <w:rsid w:val="009716AD"/>
    <w:rsid w:val="00973359"/>
    <w:rsid w:val="009744A8"/>
    <w:rsid w:val="009766AB"/>
    <w:rsid w:val="009771EC"/>
    <w:rsid w:val="0097759C"/>
    <w:rsid w:val="00980178"/>
    <w:rsid w:val="00981FAA"/>
    <w:rsid w:val="00982391"/>
    <w:rsid w:val="00982770"/>
    <w:rsid w:val="0098297A"/>
    <w:rsid w:val="00983380"/>
    <w:rsid w:val="009834FE"/>
    <w:rsid w:val="0098350D"/>
    <w:rsid w:val="009837F6"/>
    <w:rsid w:val="00985C48"/>
    <w:rsid w:val="00987111"/>
    <w:rsid w:val="00987249"/>
    <w:rsid w:val="00987393"/>
    <w:rsid w:val="00987677"/>
    <w:rsid w:val="00987CEC"/>
    <w:rsid w:val="00987D53"/>
    <w:rsid w:val="009908E3"/>
    <w:rsid w:val="0099173A"/>
    <w:rsid w:val="009919DB"/>
    <w:rsid w:val="00994166"/>
    <w:rsid w:val="009960FD"/>
    <w:rsid w:val="00997A97"/>
    <w:rsid w:val="009A2097"/>
    <w:rsid w:val="009A26EE"/>
    <w:rsid w:val="009A3B3F"/>
    <w:rsid w:val="009A4918"/>
    <w:rsid w:val="009A58BC"/>
    <w:rsid w:val="009A6398"/>
    <w:rsid w:val="009A7713"/>
    <w:rsid w:val="009A7853"/>
    <w:rsid w:val="009A7E91"/>
    <w:rsid w:val="009B06D7"/>
    <w:rsid w:val="009B2015"/>
    <w:rsid w:val="009B27E7"/>
    <w:rsid w:val="009B6DDD"/>
    <w:rsid w:val="009B7445"/>
    <w:rsid w:val="009B7EB3"/>
    <w:rsid w:val="009C387D"/>
    <w:rsid w:val="009C45A4"/>
    <w:rsid w:val="009C4919"/>
    <w:rsid w:val="009C505C"/>
    <w:rsid w:val="009C51B0"/>
    <w:rsid w:val="009C5C34"/>
    <w:rsid w:val="009C63D8"/>
    <w:rsid w:val="009C6D0F"/>
    <w:rsid w:val="009C7063"/>
    <w:rsid w:val="009D003B"/>
    <w:rsid w:val="009D0511"/>
    <w:rsid w:val="009D14B3"/>
    <w:rsid w:val="009D15FC"/>
    <w:rsid w:val="009D267B"/>
    <w:rsid w:val="009D348A"/>
    <w:rsid w:val="009D4A13"/>
    <w:rsid w:val="009D5511"/>
    <w:rsid w:val="009D6288"/>
    <w:rsid w:val="009D79D9"/>
    <w:rsid w:val="009E18DA"/>
    <w:rsid w:val="009E1BCF"/>
    <w:rsid w:val="009E21EA"/>
    <w:rsid w:val="009E473B"/>
    <w:rsid w:val="009E5E8C"/>
    <w:rsid w:val="009E73B4"/>
    <w:rsid w:val="009F04E8"/>
    <w:rsid w:val="009F0B7E"/>
    <w:rsid w:val="009F117D"/>
    <w:rsid w:val="009F132B"/>
    <w:rsid w:val="009F1541"/>
    <w:rsid w:val="009F17CC"/>
    <w:rsid w:val="009F1FA3"/>
    <w:rsid w:val="009F20B3"/>
    <w:rsid w:val="009F2DB5"/>
    <w:rsid w:val="009F305C"/>
    <w:rsid w:val="009F4013"/>
    <w:rsid w:val="009F43DA"/>
    <w:rsid w:val="009F6031"/>
    <w:rsid w:val="009F77BA"/>
    <w:rsid w:val="00A01706"/>
    <w:rsid w:val="00A02861"/>
    <w:rsid w:val="00A03C63"/>
    <w:rsid w:val="00A046D8"/>
    <w:rsid w:val="00A052E0"/>
    <w:rsid w:val="00A05378"/>
    <w:rsid w:val="00A05720"/>
    <w:rsid w:val="00A05E4D"/>
    <w:rsid w:val="00A06CA0"/>
    <w:rsid w:val="00A07172"/>
    <w:rsid w:val="00A07E41"/>
    <w:rsid w:val="00A103A7"/>
    <w:rsid w:val="00A11417"/>
    <w:rsid w:val="00A11595"/>
    <w:rsid w:val="00A13FBD"/>
    <w:rsid w:val="00A1581C"/>
    <w:rsid w:val="00A164F5"/>
    <w:rsid w:val="00A17156"/>
    <w:rsid w:val="00A20026"/>
    <w:rsid w:val="00A20201"/>
    <w:rsid w:val="00A207BD"/>
    <w:rsid w:val="00A218B9"/>
    <w:rsid w:val="00A22020"/>
    <w:rsid w:val="00A22234"/>
    <w:rsid w:val="00A232D8"/>
    <w:rsid w:val="00A2338E"/>
    <w:rsid w:val="00A246C8"/>
    <w:rsid w:val="00A25585"/>
    <w:rsid w:val="00A26550"/>
    <w:rsid w:val="00A2729E"/>
    <w:rsid w:val="00A27AD6"/>
    <w:rsid w:val="00A27C7D"/>
    <w:rsid w:val="00A31843"/>
    <w:rsid w:val="00A31951"/>
    <w:rsid w:val="00A31B07"/>
    <w:rsid w:val="00A3202B"/>
    <w:rsid w:val="00A32BAC"/>
    <w:rsid w:val="00A3440D"/>
    <w:rsid w:val="00A346FE"/>
    <w:rsid w:val="00A3668F"/>
    <w:rsid w:val="00A36795"/>
    <w:rsid w:val="00A4094F"/>
    <w:rsid w:val="00A43202"/>
    <w:rsid w:val="00A444BD"/>
    <w:rsid w:val="00A466F9"/>
    <w:rsid w:val="00A47677"/>
    <w:rsid w:val="00A476C2"/>
    <w:rsid w:val="00A5036B"/>
    <w:rsid w:val="00A50823"/>
    <w:rsid w:val="00A50B56"/>
    <w:rsid w:val="00A50BB9"/>
    <w:rsid w:val="00A513FF"/>
    <w:rsid w:val="00A51DDB"/>
    <w:rsid w:val="00A520F9"/>
    <w:rsid w:val="00A52E0A"/>
    <w:rsid w:val="00A5356A"/>
    <w:rsid w:val="00A53822"/>
    <w:rsid w:val="00A53AD1"/>
    <w:rsid w:val="00A53C0E"/>
    <w:rsid w:val="00A53CEC"/>
    <w:rsid w:val="00A542F5"/>
    <w:rsid w:val="00A543A7"/>
    <w:rsid w:val="00A56003"/>
    <w:rsid w:val="00A60ADE"/>
    <w:rsid w:val="00A610E3"/>
    <w:rsid w:val="00A63035"/>
    <w:rsid w:val="00A65E27"/>
    <w:rsid w:val="00A6738F"/>
    <w:rsid w:val="00A7031C"/>
    <w:rsid w:val="00A70DB6"/>
    <w:rsid w:val="00A725B9"/>
    <w:rsid w:val="00A72D84"/>
    <w:rsid w:val="00A73136"/>
    <w:rsid w:val="00A73C06"/>
    <w:rsid w:val="00A74460"/>
    <w:rsid w:val="00A75C3D"/>
    <w:rsid w:val="00A8017D"/>
    <w:rsid w:val="00A80F93"/>
    <w:rsid w:val="00A82AC1"/>
    <w:rsid w:val="00A83178"/>
    <w:rsid w:val="00A83413"/>
    <w:rsid w:val="00A84657"/>
    <w:rsid w:val="00A846A9"/>
    <w:rsid w:val="00A857EC"/>
    <w:rsid w:val="00A85D91"/>
    <w:rsid w:val="00A85E58"/>
    <w:rsid w:val="00A865C9"/>
    <w:rsid w:val="00A86E24"/>
    <w:rsid w:val="00A878FF"/>
    <w:rsid w:val="00A87CCC"/>
    <w:rsid w:val="00A914AE"/>
    <w:rsid w:val="00A92341"/>
    <w:rsid w:val="00A92428"/>
    <w:rsid w:val="00A931D5"/>
    <w:rsid w:val="00A946F0"/>
    <w:rsid w:val="00A94B0F"/>
    <w:rsid w:val="00A96EFD"/>
    <w:rsid w:val="00A97530"/>
    <w:rsid w:val="00AA042E"/>
    <w:rsid w:val="00AA3D00"/>
    <w:rsid w:val="00AA4F39"/>
    <w:rsid w:val="00AA5332"/>
    <w:rsid w:val="00AB1E47"/>
    <w:rsid w:val="00AB3352"/>
    <w:rsid w:val="00AB335E"/>
    <w:rsid w:val="00AB3A0B"/>
    <w:rsid w:val="00AB3B84"/>
    <w:rsid w:val="00AB4CF9"/>
    <w:rsid w:val="00AB4E2F"/>
    <w:rsid w:val="00AB5073"/>
    <w:rsid w:val="00AB602F"/>
    <w:rsid w:val="00AB6C25"/>
    <w:rsid w:val="00AB7138"/>
    <w:rsid w:val="00AB7BE0"/>
    <w:rsid w:val="00AC0775"/>
    <w:rsid w:val="00AC1A75"/>
    <w:rsid w:val="00AC4C3D"/>
    <w:rsid w:val="00AC50BB"/>
    <w:rsid w:val="00AC6A6C"/>
    <w:rsid w:val="00AC78B4"/>
    <w:rsid w:val="00AD0457"/>
    <w:rsid w:val="00AD0795"/>
    <w:rsid w:val="00AD081D"/>
    <w:rsid w:val="00AD11AD"/>
    <w:rsid w:val="00AD16DF"/>
    <w:rsid w:val="00AD2506"/>
    <w:rsid w:val="00AD31C2"/>
    <w:rsid w:val="00AD3C06"/>
    <w:rsid w:val="00AD4A54"/>
    <w:rsid w:val="00AD4C0D"/>
    <w:rsid w:val="00AD4D60"/>
    <w:rsid w:val="00AD5FA4"/>
    <w:rsid w:val="00AD6023"/>
    <w:rsid w:val="00AE080E"/>
    <w:rsid w:val="00AE09E8"/>
    <w:rsid w:val="00AE1EF5"/>
    <w:rsid w:val="00AE3700"/>
    <w:rsid w:val="00AE56BC"/>
    <w:rsid w:val="00AE5DBC"/>
    <w:rsid w:val="00AE5DCD"/>
    <w:rsid w:val="00AE6593"/>
    <w:rsid w:val="00AE7248"/>
    <w:rsid w:val="00AE782A"/>
    <w:rsid w:val="00AE7846"/>
    <w:rsid w:val="00AE78B1"/>
    <w:rsid w:val="00AE79C4"/>
    <w:rsid w:val="00AE7A11"/>
    <w:rsid w:val="00AF12FE"/>
    <w:rsid w:val="00AF1FD5"/>
    <w:rsid w:val="00AF2768"/>
    <w:rsid w:val="00AF2FDA"/>
    <w:rsid w:val="00AF5BCF"/>
    <w:rsid w:val="00AF5C4C"/>
    <w:rsid w:val="00AF6546"/>
    <w:rsid w:val="00AF6AA5"/>
    <w:rsid w:val="00AF735C"/>
    <w:rsid w:val="00AF77F2"/>
    <w:rsid w:val="00B00699"/>
    <w:rsid w:val="00B00CD5"/>
    <w:rsid w:val="00B04069"/>
    <w:rsid w:val="00B04E42"/>
    <w:rsid w:val="00B04EFC"/>
    <w:rsid w:val="00B053BF"/>
    <w:rsid w:val="00B05E18"/>
    <w:rsid w:val="00B06752"/>
    <w:rsid w:val="00B069A2"/>
    <w:rsid w:val="00B07D53"/>
    <w:rsid w:val="00B12507"/>
    <w:rsid w:val="00B1326F"/>
    <w:rsid w:val="00B15146"/>
    <w:rsid w:val="00B15296"/>
    <w:rsid w:val="00B15EA6"/>
    <w:rsid w:val="00B163A2"/>
    <w:rsid w:val="00B163FE"/>
    <w:rsid w:val="00B1772E"/>
    <w:rsid w:val="00B2056C"/>
    <w:rsid w:val="00B22488"/>
    <w:rsid w:val="00B2436D"/>
    <w:rsid w:val="00B2571B"/>
    <w:rsid w:val="00B30015"/>
    <w:rsid w:val="00B310F4"/>
    <w:rsid w:val="00B3137B"/>
    <w:rsid w:val="00B313F5"/>
    <w:rsid w:val="00B339DC"/>
    <w:rsid w:val="00B34499"/>
    <w:rsid w:val="00B3467A"/>
    <w:rsid w:val="00B34FD6"/>
    <w:rsid w:val="00B35D70"/>
    <w:rsid w:val="00B3648E"/>
    <w:rsid w:val="00B366AF"/>
    <w:rsid w:val="00B37655"/>
    <w:rsid w:val="00B37F56"/>
    <w:rsid w:val="00B40530"/>
    <w:rsid w:val="00B41256"/>
    <w:rsid w:val="00B4198F"/>
    <w:rsid w:val="00B43042"/>
    <w:rsid w:val="00B43446"/>
    <w:rsid w:val="00B4485E"/>
    <w:rsid w:val="00B451A9"/>
    <w:rsid w:val="00B45218"/>
    <w:rsid w:val="00B45D53"/>
    <w:rsid w:val="00B45E24"/>
    <w:rsid w:val="00B466F4"/>
    <w:rsid w:val="00B46779"/>
    <w:rsid w:val="00B47DE9"/>
    <w:rsid w:val="00B51E7D"/>
    <w:rsid w:val="00B526C9"/>
    <w:rsid w:val="00B52CF4"/>
    <w:rsid w:val="00B53FED"/>
    <w:rsid w:val="00B54685"/>
    <w:rsid w:val="00B55362"/>
    <w:rsid w:val="00B55475"/>
    <w:rsid w:val="00B56C79"/>
    <w:rsid w:val="00B57052"/>
    <w:rsid w:val="00B5732C"/>
    <w:rsid w:val="00B579B8"/>
    <w:rsid w:val="00B60805"/>
    <w:rsid w:val="00B61187"/>
    <w:rsid w:val="00B627C6"/>
    <w:rsid w:val="00B635D3"/>
    <w:rsid w:val="00B63BA4"/>
    <w:rsid w:val="00B648F9"/>
    <w:rsid w:val="00B6557B"/>
    <w:rsid w:val="00B65A6B"/>
    <w:rsid w:val="00B665FD"/>
    <w:rsid w:val="00B66794"/>
    <w:rsid w:val="00B66B66"/>
    <w:rsid w:val="00B70EA6"/>
    <w:rsid w:val="00B714AD"/>
    <w:rsid w:val="00B71CD5"/>
    <w:rsid w:val="00B71CDE"/>
    <w:rsid w:val="00B72241"/>
    <w:rsid w:val="00B7392E"/>
    <w:rsid w:val="00B73AA7"/>
    <w:rsid w:val="00B73D33"/>
    <w:rsid w:val="00B746AC"/>
    <w:rsid w:val="00B74E04"/>
    <w:rsid w:val="00B767B2"/>
    <w:rsid w:val="00B775C2"/>
    <w:rsid w:val="00B77C4C"/>
    <w:rsid w:val="00B77F68"/>
    <w:rsid w:val="00B833D9"/>
    <w:rsid w:val="00B84512"/>
    <w:rsid w:val="00B858D9"/>
    <w:rsid w:val="00B85B7C"/>
    <w:rsid w:val="00B85EC3"/>
    <w:rsid w:val="00B8709F"/>
    <w:rsid w:val="00B8711F"/>
    <w:rsid w:val="00B87282"/>
    <w:rsid w:val="00B872B8"/>
    <w:rsid w:val="00B876B6"/>
    <w:rsid w:val="00B929B9"/>
    <w:rsid w:val="00B9697D"/>
    <w:rsid w:val="00B96D50"/>
    <w:rsid w:val="00B96FDD"/>
    <w:rsid w:val="00B9715C"/>
    <w:rsid w:val="00BA0279"/>
    <w:rsid w:val="00BA045D"/>
    <w:rsid w:val="00BA0755"/>
    <w:rsid w:val="00BA1E04"/>
    <w:rsid w:val="00BA2674"/>
    <w:rsid w:val="00BA31A3"/>
    <w:rsid w:val="00BA31F3"/>
    <w:rsid w:val="00BA35A3"/>
    <w:rsid w:val="00BA4927"/>
    <w:rsid w:val="00BA4935"/>
    <w:rsid w:val="00BA5CF1"/>
    <w:rsid w:val="00BA7206"/>
    <w:rsid w:val="00BA7B04"/>
    <w:rsid w:val="00BB13C8"/>
    <w:rsid w:val="00BB18E5"/>
    <w:rsid w:val="00BB331B"/>
    <w:rsid w:val="00BB49D6"/>
    <w:rsid w:val="00BB4C2F"/>
    <w:rsid w:val="00BB50CA"/>
    <w:rsid w:val="00BB50DD"/>
    <w:rsid w:val="00BB563B"/>
    <w:rsid w:val="00BB5A94"/>
    <w:rsid w:val="00BB5EAD"/>
    <w:rsid w:val="00BB7072"/>
    <w:rsid w:val="00BB766D"/>
    <w:rsid w:val="00BC13D5"/>
    <w:rsid w:val="00BC1D6D"/>
    <w:rsid w:val="00BC2C7E"/>
    <w:rsid w:val="00BC3594"/>
    <w:rsid w:val="00BC6319"/>
    <w:rsid w:val="00BC6C96"/>
    <w:rsid w:val="00BC6D9C"/>
    <w:rsid w:val="00BC7C66"/>
    <w:rsid w:val="00BD0038"/>
    <w:rsid w:val="00BD29FF"/>
    <w:rsid w:val="00BD36DB"/>
    <w:rsid w:val="00BD4B54"/>
    <w:rsid w:val="00BD6513"/>
    <w:rsid w:val="00BD7BF5"/>
    <w:rsid w:val="00BE00CD"/>
    <w:rsid w:val="00BE0B46"/>
    <w:rsid w:val="00BE0B97"/>
    <w:rsid w:val="00BE0FAE"/>
    <w:rsid w:val="00BE10AF"/>
    <w:rsid w:val="00BE1BC7"/>
    <w:rsid w:val="00BE1D4C"/>
    <w:rsid w:val="00BE23F9"/>
    <w:rsid w:val="00BE25F0"/>
    <w:rsid w:val="00BE28B8"/>
    <w:rsid w:val="00BE2BF5"/>
    <w:rsid w:val="00BE3B47"/>
    <w:rsid w:val="00BE3FA0"/>
    <w:rsid w:val="00BE4843"/>
    <w:rsid w:val="00BE4C1D"/>
    <w:rsid w:val="00BE52B7"/>
    <w:rsid w:val="00BE5DC4"/>
    <w:rsid w:val="00BE6B00"/>
    <w:rsid w:val="00BF0787"/>
    <w:rsid w:val="00BF1112"/>
    <w:rsid w:val="00BF1514"/>
    <w:rsid w:val="00BF3D75"/>
    <w:rsid w:val="00BF503D"/>
    <w:rsid w:val="00BF53B1"/>
    <w:rsid w:val="00C008FB"/>
    <w:rsid w:val="00C01AA0"/>
    <w:rsid w:val="00C02F01"/>
    <w:rsid w:val="00C02FCD"/>
    <w:rsid w:val="00C0390F"/>
    <w:rsid w:val="00C03A0B"/>
    <w:rsid w:val="00C04C9E"/>
    <w:rsid w:val="00C068B9"/>
    <w:rsid w:val="00C06DB7"/>
    <w:rsid w:val="00C079C4"/>
    <w:rsid w:val="00C10284"/>
    <w:rsid w:val="00C11834"/>
    <w:rsid w:val="00C12A6D"/>
    <w:rsid w:val="00C137F3"/>
    <w:rsid w:val="00C13937"/>
    <w:rsid w:val="00C143E7"/>
    <w:rsid w:val="00C14462"/>
    <w:rsid w:val="00C1458C"/>
    <w:rsid w:val="00C1470E"/>
    <w:rsid w:val="00C148ED"/>
    <w:rsid w:val="00C14984"/>
    <w:rsid w:val="00C1568F"/>
    <w:rsid w:val="00C15B64"/>
    <w:rsid w:val="00C163C9"/>
    <w:rsid w:val="00C16978"/>
    <w:rsid w:val="00C16DD4"/>
    <w:rsid w:val="00C16F91"/>
    <w:rsid w:val="00C1737C"/>
    <w:rsid w:val="00C175D7"/>
    <w:rsid w:val="00C1767D"/>
    <w:rsid w:val="00C20C4D"/>
    <w:rsid w:val="00C21813"/>
    <w:rsid w:val="00C229A8"/>
    <w:rsid w:val="00C22DE7"/>
    <w:rsid w:val="00C2417C"/>
    <w:rsid w:val="00C25240"/>
    <w:rsid w:val="00C258DB"/>
    <w:rsid w:val="00C2610A"/>
    <w:rsid w:val="00C263BA"/>
    <w:rsid w:val="00C26A06"/>
    <w:rsid w:val="00C30DC8"/>
    <w:rsid w:val="00C31098"/>
    <w:rsid w:val="00C317D9"/>
    <w:rsid w:val="00C32862"/>
    <w:rsid w:val="00C32AF5"/>
    <w:rsid w:val="00C3348E"/>
    <w:rsid w:val="00C34712"/>
    <w:rsid w:val="00C35758"/>
    <w:rsid w:val="00C36E09"/>
    <w:rsid w:val="00C37E7E"/>
    <w:rsid w:val="00C37F25"/>
    <w:rsid w:val="00C40568"/>
    <w:rsid w:val="00C41760"/>
    <w:rsid w:val="00C44E4A"/>
    <w:rsid w:val="00C459E8"/>
    <w:rsid w:val="00C474C0"/>
    <w:rsid w:val="00C47959"/>
    <w:rsid w:val="00C50973"/>
    <w:rsid w:val="00C511EE"/>
    <w:rsid w:val="00C5473F"/>
    <w:rsid w:val="00C557B5"/>
    <w:rsid w:val="00C57190"/>
    <w:rsid w:val="00C60973"/>
    <w:rsid w:val="00C612BC"/>
    <w:rsid w:val="00C61E74"/>
    <w:rsid w:val="00C634DF"/>
    <w:rsid w:val="00C63C6F"/>
    <w:rsid w:val="00C6426E"/>
    <w:rsid w:val="00C65BE2"/>
    <w:rsid w:val="00C66072"/>
    <w:rsid w:val="00C67D5C"/>
    <w:rsid w:val="00C70B87"/>
    <w:rsid w:val="00C70F29"/>
    <w:rsid w:val="00C719E9"/>
    <w:rsid w:val="00C71A29"/>
    <w:rsid w:val="00C71BD9"/>
    <w:rsid w:val="00C71D3C"/>
    <w:rsid w:val="00C72940"/>
    <w:rsid w:val="00C74D19"/>
    <w:rsid w:val="00C75133"/>
    <w:rsid w:val="00C75185"/>
    <w:rsid w:val="00C76097"/>
    <w:rsid w:val="00C761F4"/>
    <w:rsid w:val="00C766D9"/>
    <w:rsid w:val="00C7709F"/>
    <w:rsid w:val="00C800F9"/>
    <w:rsid w:val="00C805DA"/>
    <w:rsid w:val="00C81E6A"/>
    <w:rsid w:val="00C8244C"/>
    <w:rsid w:val="00C83E4A"/>
    <w:rsid w:val="00C83FF0"/>
    <w:rsid w:val="00C855AD"/>
    <w:rsid w:val="00C85609"/>
    <w:rsid w:val="00C863D0"/>
    <w:rsid w:val="00C87755"/>
    <w:rsid w:val="00C8797D"/>
    <w:rsid w:val="00C87F05"/>
    <w:rsid w:val="00C90F17"/>
    <w:rsid w:val="00C911B3"/>
    <w:rsid w:val="00C91D6D"/>
    <w:rsid w:val="00C91E73"/>
    <w:rsid w:val="00C92CBD"/>
    <w:rsid w:val="00C95A4B"/>
    <w:rsid w:val="00C95BA5"/>
    <w:rsid w:val="00C9603C"/>
    <w:rsid w:val="00C96825"/>
    <w:rsid w:val="00C96DA4"/>
    <w:rsid w:val="00C97CB0"/>
    <w:rsid w:val="00CA1CC5"/>
    <w:rsid w:val="00CA2043"/>
    <w:rsid w:val="00CA2A3E"/>
    <w:rsid w:val="00CA38A5"/>
    <w:rsid w:val="00CA3FC9"/>
    <w:rsid w:val="00CA4A85"/>
    <w:rsid w:val="00CA5462"/>
    <w:rsid w:val="00CA6065"/>
    <w:rsid w:val="00CA6C1B"/>
    <w:rsid w:val="00CB0A2A"/>
    <w:rsid w:val="00CB0C04"/>
    <w:rsid w:val="00CB148A"/>
    <w:rsid w:val="00CB1617"/>
    <w:rsid w:val="00CB3248"/>
    <w:rsid w:val="00CB3896"/>
    <w:rsid w:val="00CB3A4E"/>
    <w:rsid w:val="00CB3F76"/>
    <w:rsid w:val="00CB4F0E"/>
    <w:rsid w:val="00CB5101"/>
    <w:rsid w:val="00CB5221"/>
    <w:rsid w:val="00CB5509"/>
    <w:rsid w:val="00CB596D"/>
    <w:rsid w:val="00CC0171"/>
    <w:rsid w:val="00CC0BD4"/>
    <w:rsid w:val="00CC10C7"/>
    <w:rsid w:val="00CC11FC"/>
    <w:rsid w:val="00CC400A"/>
    <w:rsid w:val="00CC6D66"/>
    <w:rsid w:val="00CC7A6F"/>
    <w:rsid w:val="00CD0EF0"/>
    <w:rsid w:val="00CD12FC"/>
    <w:rsid w:val="00CD19BE"/>
    <w:rsid w:val="00CD26B7"/>
    <w:rsid w:val="00CD30F7"/>
    <w:rsid w:val="00CD3F35"/>
    <w:rsid w:val="00CD56DD"/>
    <w:rsid w:val="00CD58B9"/>
    <w:rsid w:val="00CD6002"/>
    <w:rsid w:val="00CD74AB"/>
    <w:rsid w:val="00CD7D10"/>
    <w:rsid w:val="00CE00A5"/>
    <w:rsid w:val="00CE0C3F"/>
    <w:rsid w:val="00CE46C0"/>
    <w:rsid w:val="00CE7800"/>
    <w:rsid w:val="00CF00A4"/>
    <w:rsid w:val="00CF092C"/>
    <w:rsid w:val="00CF18BD"/>
    <w:rsid w:val="00CF2D0A"/>
    <w:rsid w:val="00CF3595"/>
    <w:rsid w:val="00CF3D3E"/>
    <w:rsid w:val="00CF479B"/>
    <w:rsid w:val="00CF4899"/>
    <w:rsid w:val="00CF4E32"/>
    <w:rsid w:val="00CF7DE0"/>
    <w:rsid w:val="00D005DD"/>
    <w:rsid w:val="00D0102B"/>
    <w:rsid w:val="00D016F6"/>
    <w:rsid w:val="00D01ED8"/>
    <w:rsid w:val="00D0297F"/>
    <w:rsid w:val="00D031E7"/>
    <w:rsid w:val="00D0357F"/>
    <w:rsid w:val="00D061A7"/>
    <w:rsid w:val="00D0667C"/>
    <w:rsid w:val="00D12CBA"/>
    <w:rsid w:val="00D130DD"/>
    <w:rsid w:val="00D13C1F"/>
    <w:rsid w:val="00D1709E"/>
    <w:rsid w:val="00D2065B"/>
    <w:rsid w:val="00D21700"/>
    <w:rsid w:val="00D258C6"/>
    <w:rsid w:val="00D25D9F"/>
    <w:rsid w:val="00D260E3"/>
    <w:rsid w:val="00D26289"/>
    <w:rsid w:val="00D31F0C"/>
    <w:rsid w:val="00D32096"/>
    <w:rsid w:val="00D32E77"/>
    <w:rsid w:val="00D358D0"/>
    <w:rsid w:val="00D363D3"/>
    <w:rsid w:val="00D374F3"/>
    <w:rsid w:val="00D379DE"/>
    <w:rsid w:val="00D40461"/>
    <w:rsid w:val="00D43585"/>
    <w:rsid w:val="00D4567D"/>
    <w:rsid w:val="00D45ACF"/>
    <w:rsid w:val="00D462F8"/>
    <w:rsid w:val="00D50589"/>
    <w:rsid w:val="00D508DF"/>
    <w:rsid w:val="00D51101"/>
    <w:rsid w:val="00D523FB"/>
    <w:rsid w:val="00D52C3B"/>
    <w:rsid w:val="00D52D75"/>
    <w:rsid w:val="00D5305B"/>
    <w:rsid w:val="00D537B9"/>
    <w:rsid w:val="00D537F5"/>
    <w:rsid w:val="00D54C87"/>
    <w:rsid w:val="00D54FEE"/>
    <w:rsid w:val="00D55238"/>
    <w:rsid w:val="00D572D7"/>
    <w:rsid w:val="00D57B96"/>
    <w:rsid w:val="00D6021B"/>
    <w:rsid w:val="00D61572"/>
    <w:rsid w:val="00D61817"/>
    <w:rsid w:val="00D6185F"/>
    <w:rsid w:val="00D6228F"/>
    <w:rsid w:val="00D63462"/>
    <w:rsid w:val="00D63C6D"/>
    <w:rsid w:val="00D65A71"/>
    <w:rsid w:val="00D6683D"/>
    <w:rsid w:val="00D6696C"/>
    <w:rsid w:val="00D66ABD"/>
    <w:rsid w:val="00D66DD4"/>
    <w:rsid w:val="00D705E7"/>
    <w:rsid w:val="00D70F62"/>
    <w:rsid w:val="00D75959"/>
    <w:rsid w:val="00D75F82"/>
    <w:rsid w:val="00D76037"/>
    <w:rsid w:val="00D760C0"/>
    <w:rsid w:val="00D804FB"/>
    <w:rsid w:val="00D8080F"/>
    <w:rsid w:val="00D81346"/>
    <w:rsid w:val="00D82E4B"/>
    <w:rsid w:val="00D83980"/>
    <w:rsid w:val="00D83A88"/>
    <w:rsid w:val="00D84166"/>
    <w:rsid w:val="00D846FE"/>
    <w:rsid w:val="00D852AE"/>
    <w:rsid w:val="00D85497"/>
    <w:rsid w:val="00D859E9"/>
    <w:rsid w:val="00D85FC5"/>
    <w:rsid w:val="00D90537"/>
    <w:rsid w:val="00D909E1"/>
    <w:rsid w:val="00D9154F"/>
    <w:rsid w:val="00D91932"/>
    <w:rsid w:val="00D92C01"/>
    <w:rsid w:val="00D93841"/>
    <w:rsid w:val="00D9489E"/>
    <w:rsid w:val="00D94CFA"/>
    <w:rsid w:val="00D9794E"/>
    <w:rsid w:val="00D97A80"/>
    <w:rsid w:val="00DA0500"/>
    <w:rsid w:val="00DA141F"/>
    <w:rsid w:val="00DA18F6"/>
    <w:rsid w:val="00DA1D46"/>
    <w:rsid w:val="00DA4DBA"/>
    <w:rsid w:val="00DA5260"/>
    <w:rsid w:val="00DA6678"/>
    <w:rsid w:val="00DB06BD"/>
    <w:rsid w:val="00DB0E74"/>
    <w:rsid w:val="00DB1506"/>
    <w:rsid w:val="00DB1958"/>
    <w:rsid w:val="00DB25E9"/>
    <w:rsid w:val="00DB2F6D"/>
    <w:rsid w:val="00DB3170"/>
    <w:rsid w:val="00DB3C2D"/>
    <w:rsid w:val="00DB3FB1"/>
    <w:rsid w:val="00DB4884"/>
    <w:rsid w:val="00DB4BC6"/>
    <w:rsid w:val="00DB5F7A"/>
    <w:rsid w:val="00DB7DEC"/>
    <w:rsid w:val="00DC022B"/>
    <w:rsid w:val="00DC04E9"/>
    <w:rsid w:val="00DC055E"/>
    <w:rsid w:val="00DC179E"/>
    <w:rsid w:val="00DC190C"/>
    <w:rsid w:val="00DC1A09"/>
    <w:rsid w:val="00DC3212"/>
    <w:rsid w:val="00DC3700"/>
    <w:rsid w:val="00DC3BF3"/>
    <w:rsid w:val="00DC4485"/>
    <w:rsid w:val="00DC4FDB"/>
    <w:rsid w:val="00DC5699"/>
    <w:rsid w:val="00DC5731"/>
    <w:rsid w:val="00DC78D3"/>
    <w:rsid w:val="00DD0C72"/>
    <w:rsid w:val="00DD1505"/>
    <w:rsid w:val="00DD1A1A"/>
    <w:rsid w:val="00DD3438"/>
    <w:rsid w:val="00DD579F"/>
    <w:rsid w:val="00DD660E"/>
    <w:rsid w:val="00DE06E4"/>
    <w:rsid w:val="00DE0BC8"/>
    <w:rsid w:val="00DE0C23"/>
    <w:rsid w:val="00DE19B1"/>
    <w:rsid w:val="00DE4058"/>
    <w:rsid w:val="00DE424A"/>
    <w:rsid w:val="00DE45A6"/>
    <w:rsid w:val="00DE4AF0"/>
    <w:rsid w:val="00DE518B"/>
    <w:rsid w:val="00DE561A"/>
    <w:rsid w:val="00DE5DE9"/>
    <w:rsid w:val="00DE67E6"/>
    <w:rsid w:val="00DE74CD"/>
    <w:rsid w:val="00DF0157"/>
    <w:rsid w:val="00DF12B3"/>
    <w:rsid w:val="00DF2124"/>
    <w:rsid w:val="00DF21C9"/>
    <w:rsid w:val="00DF26BE"/>
    <w:rsid w:val="00DF337A"/>
    <w:rsid w:val="00DF4977"/>
    <w:rsid w:val="00DF4A9C"/>
    <w:rsid w:val="00DF56F3"/>
    <w:rsid w:val="00DF5B2C"/>
    <w:rsid w:val="00DF5EC4"/>
    <w:rsid w:val="00DF6BE8"/>
    <w:rsid w:val="00DF7593"/>
    <w:rsid w:val="00DF76AB"/>
    <w:rsid w:val="00E00360"/>
    <w:rsid w:val="00E0036E"/>
    <w:rsid w:val="00E00518"/>
    <w:rsid w:val="00E00F0C"/>
    <w:rsid w:val="00E01278"/>
    <w:rsid w:val="00E01B98"/>
    <w:rsid w:val="00E027BC"/>
    <w:rsid w:val="00E03B09"/>
    <w:rsid w:val="00E03D21"/>
    <w:rsid w:val="00E052DC"/>
    <w:rsid w:val="00E05305"/>
    <w:rsid w:val="00E05FBF"/>
    <w:rsid w:val="00E06380"/>
    <w:rsid w:val="00E0795D"/>
    <w:rsid w:val="00E108D8"/>
    <w:rsid w:val="00E10FCD"/>
    <w:rsid w:val="00E11735"/>
    <w:rsid w:val="00E120EB"/>
    <w:rsid w:val="00E13CE4"/>
    <w:rsid w:val="00E14950"/>
    <w:rsid w:val="00E162BF"/>
    <w:rsid w:val="00E2079B"/>
    <w:rsid w:val="00E209D9"/>
    <w:rsid w:val="00E21D6C"/>
    <w:rsid w:val="00E22A63"/>
    <w:rsid w:val="00E2391A"/>
    <w:rsid w:val="00E23945"/>
    <w:rsid w:val="00E23A83"/>
    <w:rsid w:val="00E24810"/>
    <w:rsid w:val="00E3000B"/>
    <w:rsid w:val="00E32E1B"/>
    <w:rsid w:val="00E330FC"/>
    <w:rsid w:val="00E33129"/>
    <w:rsid w:val="00E3356E"/>
    <w:rsid w:val="00E33632"/>
    <w:rsid w:val="00E33B00"/>
    <w:rsid w:val="00E35593"/>
    <w:rsid w:val="00E35A7C"/>
    <w:rsid w:val="00E37CB0"/>
    <w:rsid w:val="00E37FA1"/>
    <w:rsid w:val="00E40844"/>
    <w:rsid w:val="00E410CB"/>
    <w:rsid w:val="00E416BE"/>
    <w:rsid w:val="00E42BAA"/>
    <w:rsid w:val="00E42BC6"/>
    <w:rsid w:val="00E43BDA"/>
    <w:rsid w:val="00E44629"/>
    <w:rsid w:val="00E45D23"/>
    <w:rsid w:val="00E51350"/>
    <w:rsid w:val="00E5142F"/>
    <w:rsid w:val="00E51B54"/>
    <w:rsid w:val="00E51E79"/>
    <w:rsid w:val="00E51EB1"/>
    <w:rsid w:val="00E52C53"/>
    <w:rsid w:val="00E52C9F"/>
    <w:rsid w:val="00E54D24"/>
    <w:rsid w:val="00E54D5A"/>
    <w:rsid w:val="00E54E9F"/>
    <w:rsid w:val="00E557F0"/>
    <w:rsid w:val="00E56D50"/>
    <w:rsid w:val="00E56FE0"/>
    <w:rsid w:val="00E57089"/>
    <w:rsid w:val="00E57557"/>
    <w:rsid w:val="00E578EE"/>
    <w:rsid w:val="00E57924"/>
    <w:rsid w:val="00E607C9"/>
    <w:rsid w:val="00E614F6"/>
    <w:rsid w:val="00E61E4D"/>
    <w:rsid w:val="00E62144"/>
    <w:rsid w:val="00E6611F"/>
    <w:rsid w:val="00E6795A"/>
    <w:rsid w:val="00E71C68"/>
    <w:rsid w:val="00E7244E"/>
    <w:rsid w:val="00E7384B"/>
    <w:rsid w:val="00E73BA8"/>
    <w:rsid w:val="00E74177"/>
    <w:rsid w:val="00E74331"/>
    <w:rsid w:val="00E7525D"/>
    <w:rsid w:val="00E752B8"/>
    <w:rsid w:val="00E75326"/>
    <w:rsid w:val="00E77198"/>
    <w:rsid w:val="00E771D6"/>
    <w:rsid w:val="00E81D34"/>
    <w:rsid w:val="00E8270E"/>
    <w:rsid w:val="00E82BE1"/>
    <w:rsid w:val="00E83893"/>
    <w:rsid w:val="00E83E43"/>
    <w:rsid w:val="00E84C5C"/>
    <w:rsid w:val="00E85551"/>
    <w:rsid w:val="00E864FB"/>
    <w:rsid w:val="00E90C56"/>
    <w:rsid w:val="00E912E4"/>
    <w:rsid w:val="00E923D0"/>
    <w:rsid w:val="00E94B46"/>
    <w:rsid w:val="00E94EFC"/>
    <w:rsid w:val="00E95600"/>
    <w:rsid w:val="00E961F6"/>
    <w:rsid w:val="00E96319"/>
    <w:rsid w:val="00E96911"/>
    <w:rsid w:val="00E96CA4"/>
    <w:rsid w:val="00E97D06"/>
    <w:rsid w:val="00EA0525"/>
    <w:rsid w:val="00EA13AC"/>
    <w:rsid w:val="00EA3803"/>
    <w:rsid w:val="00EA422F"/>
    <w:rsid w:val="00EA4D95"/>
    <w:rsid w:val="00EA5AD7"/>
    <w:rsid w:val="00EA5D3F"/>
    <w:rsid w:val="00EA6200"/>
    <w:rsid w:val="00EA6A11"/>
    <w:rsid w:val="00EA7AAA"/>
    <w:rsid w:val="00EA7DBF"/>
    <w:rsid w:val="00EB0164"/>
    <w:rsid w:val="00EB1022"/>
    <w:rsid w:val="00EB2A79"/>
    <w:rsid w:val="00EB3461"/>
    <w:rsid w:val="00EB3F7A"/>
    <w:rsid w:val="00EB460A"/>
    <w:rsid w:val="00EB48DF"/>
    <w:rsid w:val="00EB549E"/>
    <w:rsid w:val="00EB5668"/>
    <w:rsid w:val="00EB641D"/>
    <w:rsid w:val="00EB6C71"/>
    <w:rsid w:val="00EB6FF5"/>
    <w:rsid w:val="00EB72F3"/>
    <w:rsid w:val="00EC063B"/>
    <w:rsid w:val="00EC0D39"/>
    <w:rsid w:val="00EC0E8D"/>
    <w:rsid w:val="00EC2A17"/>
    <w:rsid w:val="00EC48F7"/>
    <w:rsid w:val="00EC602E"/>
    <w:rsid w:val="00EC707B"/>
    <w:rsid w:val="00ED08D3"/>
    <w:rsid w:val="00ED098C"/>
    <w:rsid w:val="00ED1588"/>
    <w:rsid w:val="00ED2056"/>
    <w:rsid w:val="00ED2726"/>
    <w:rsid w:val="00ED3FB9"/>
    <w:rsid w:val="00ED47F2"/>
    <w:rsid w:val="00ED482B"/>
    <w:rsid w:val="00ED6420"/>
    <w:rsid w:val="00ED680A"/>
    <w:rsid w:val="00ED7BE4"/>
    <w:rsid w:val="00EE02DA"/>
    <w:rsid w:val="00EE03D6"/>
    <w:rsid w:val="00EE1074"/>
    <w:rsid w:val="00EE1418"/>
    <w:rsid w:val="00EE1BC5"/>
    <w:rsid w:val="00EE1E18"/>
    <w:rsid w:val="00EE27CD"/>
    <w:rsid w:val="00EE4884"/>
    <w:rsid w:val="00EE53FD"/>
    <w:rsid w:val="00EE592F"/>
    <w:rsid w:val="00EE638E"/>
    <w:rsid w:val="00EE6ECF"/>
    <w:rsid w:val="00EE704D"/>
    <w:rsid w:val="00EE78FA"/>
    <w:rsid w:val="00EF05A9"/>
    <w:rsid w:val="00EF20FF"/>
    <w:rsid w:val="00EF3D47"/>
    <w:rsid w:val="00EF5759"/>
    <w:rsid w:val="00EF5A82"/>
    <w:rsid w:val="00EF5C40"/>
    <w:rsid w:val="00EF61BE"/>
    <w:rsid w:val="00EF683B"/>
    <w:rsid w:val="00EF694D"/>
    <w:rsid w:val="00EF7B7D"/>
    <w:rsid w:val="00F008AF"/>
    <w:rsid w:val="00F01AC1"/>
    <w:rsid w:val="00F02234"/>
    <w:rsid w:val="00F02E68"/>
    <w:rsid w:val="00F038AC"/>
    <w:rsid w:val="00F03EC6"/>
    <w:rsid w:val="00F0447F"/>
    <w:rsid w:val="00F04C94"/>
    <w:rsid w:val="00F05F1F"/>
    <w:rsid w:val="00F06B96"/>
    <w:rsid w:val="00F10B42"/>
    <w:rsid w:val="00F13B2C"/>
    <w:rsid w:val="00F2106E"/>
    <w:rsid w:val="00F212E6"/>
    <w:rsid w:val="00F21EAA"/>
    <w:rsid w:val="00F231D1"/>
    <w:rsid w:val="00F24E08"/>
    <w:rsid w:val="00F26877"/>
    <w:rsid w:val="00F2720A"/>
    <w:rsid w:val="00F27A98"/>
    <w:rsid w:val="00F27C11"/>
    <w:rsid w:val="00F27C33"/>
    <w:rsid w:val="00F30B64"/>
    <w:rsid w:val="00F319C0"/>
    <w:rsid w:val="00F32999"/>
    <w:rsid w:val="00F3510C"/>
    <w:rsid w:val="00F356E0"/>
    <w:rsid w:val="00F35835"/>
    <w:rsid w:val="00F360B4"/>
    <w:rsid w:val="00F36322"/>
    <w:rsid w:val="00F3657A"/>
    <w:rsid w:val="00F36D93"/>
    <w:rsid w:val="00F379BE"/>
    <w:rsid w:val="00F40AD0"/>
    <w:rsid w:val="00F40AD1"/>
    <w:rsid w:val="00F41197"/>
    <w:rsid w:val="00F42D23"/>
    <w:rsid w:val="00F434A3"/>
    <w:rsid w:val="00F4530F"/>
    <w:rsid w:val="00F46428"/>
    <w:rsid w:val="00F4705D"/>
    <w:rsid w:val="00F4792C"/>
    <w:rsid w:val="00F47C8F"/>
    <w:rsid w:val="00F50EB6"/>
    <w:rsid w:val="00F52205"/>
    <w:rsid w:val="00F53D50"/>
    <w:rsid w:val="00F55B56"/>
    <w:rsid w:val="00F55C38"/>
    <w:rsid w:val="00F55FCD"/>
    <w:rsid w:val="00F56046"/>
    <w:rsid w:val="00F60A55"/>
    <w:rsid w:val="00F61C39"/>
    <w:rsid w:val="00F61FF0"/>
    <w:rsid w:val="00F63DCC"/>
    <w:rsid w:val="00F650BC"/>
    <w:rsid w:val="00F66145"/>
    <w:rsid w:val="00F66893"/>
    <w:rsid w:val="00F67AAC"/>
    <w:rsid w:val="00F67F42"/>
    <w:rsid w:val="00F7087D"/>
    <w:rsid w:val="00F70A58"/>
    <w:rsid w:val="00F7242A"/>
    <w:rsid w:val="00F72456"/>
    <w:rsid w:val="00F73354"/>
    <w:rsid w:val="00F736DE"/>
    <w:rsid w:val="00F73CC8"/>
    <w:rsid w:val="00F7451A"/>
    <w:rsid w:val="00F7567B"/>
    <w:rsid w:val="00F757FE"/>
    <w:rsid w:val="00F75A1D"/>
    <w:rsid w:val="00F75A3B"/>
    <w:rsid w:val="00F75FD9"/>
    <w:rsid w:val="00F76EA4"/>
    <w:rsid w:val="00F7767F"/>
    <w:rsid w:val="00F80687"/>
    <w:rsid w:val="00F8159B"/>
    <w:rsid w:val="00F819B5"/>
    <w:rsid w:val="00F83A64"/>
    <w:rsid w:val="00F84B55"/>
    <w:rsid w:val="00F850C3"/>
    <w:rsid w:val="00F86FEF"/>
    <w:rsid w:val="00F92929"/>
    <w:rsid w:val="00F9300D"/>
    <w:rsid w:val="00F93046"/>
    <w:rsid w:val="00F93ADE"/>
    <w:rsid w:val="00F93ED2"/>
    <w:rsid w:val="00F94275"/>
    <w:rsid w:val="00F9540C"/>
    <w:rsid w:val="00F96909"/>
    <w:rsid w:val="00F96BE7"/>
    <w:rsid w:val="00F97860"/>
    <w:rsid w:val="00FA0144"/>
    <w:rsid w:val="00FA04C8"/>
    <w:rsid w:val="00FA0C3B"/>
    <w:rsid w:val="00FA15DE"/>
    <w:rsid w:val="00FA1892"/>
    <w:rsid w:val="00FA1A4D"/>
    <w:rsid w:val="00FA22E8"/>
    <w:rsid w:val="00FA242E"/>
    <w:rsid w:val="00FA3246"/>
    <w:rsid w:val="00FA32A3"/>
    <w:rsid w:val="00FA3CD9"/>
    <w:rsid w:val="00FA5360"/>
    <w:rsid w:val="00FA56AE"/>
    <w:rsid w:val="00FA57BD"/>
    <w:rsid w:val="00FA6263"/>
    <w:rsid w:val="00FA67A2"/>
    <w:rsid w:val="00FA7377"/>
    <w:rsid w:val="00FB07E8"/>
    <w:rsid w:val="00FB0AB7"/>
    <w:rsid w:val="00FB0D4B"/>
    <w:rsid w:val="00FB1D76"/>
    <w:rsid w:val="00FB41D0"/>
    <w:rsid w:val="00FB5057"/>
    <w:rsid w:val="00FB563A"/>
    <w:rsid w:val="00FB5974"/>
    <w:rsid w:val="00FB5EFC"/>
    <w:rsid w:val="00FB693F"/>
    <w:rsid w:val="00FB6CCD"/>
    <w:rsid w:val="00FB6E50"/>
    <w:rsid w:val="00FB77F8"/>
    <w:rsid w:val="00FB781D"/>
    <w:rsid w:val="00FB797D"/>
    <w:rsid w:val="00FB7F10"/>
    <w:rsid w:val="00FC17D1"/>
    <w:rsid w:val="00FC2989"/>
    <w:rsid w:val="00FC317B"/>
    <w:rsid w:val="00FC4180"/>
    <w:rsid w:val="00FC44DA"/>
    <w:rsid w:val="00FC563E"/>
    <w:rsid w:val="00FC5A79"/>
    <w:rsid w:val="00FC70C6"/>
    <w:rsid w:val="00FC7461"/>
    <w:rsid w:val="00FD0147"/>
    <w:rsid w:val="00FD0D52"/>
    <w:rsid w:val="00FD3722"/>
    <w:rsid w:val="00FD3968"/>
    <w:rsid w:val="00FD5BCD"/>
    <w:rsid w:val="00FD5F6F"/>
    <w:rsid w:val="00FD6B50"/>
    <w:rsid w:val="00FD7653"/>
    <w:rsid w:val="00FE0B1F"/>
    <w:rsid w:val="00FE133A"/>
    <w:rsid w:val="00FE1700"/>
    <w:rsid w:val="00FE19B4"/>
    <w:rsid w:val="00FE1F24"/>
    <w:rsid w:val="00FE2F91"/>
    <w:rsid w:val="00FE36D9"/>
    <w:rsid w:val="00FE3E45"/>
    <w:rsid w:val="00FE3FF0"/>
    <w:rsid w:val="00FE4996"/>
    <w:rsid w:val="00FE60E1"/>
    <w:rsid w:val="00FF0399"/>
    <w:rsid w:val="00FF19FF"/>
    <w:rsid w:val="00FF27E1"/>
    <w:rsid w:val="00FF51B5"/>
    <w:rsid w:val="00FF583F"/>
    <w:rsid w:val="00FF6C25"/>
    <w:rsid w:val="00FF75F0"/>
    <w:rsid w:val="01072BC9"/>
    <w:rsid w:val="01091420"/>
    <w:rsid w:val="010E116F"/>
    <w:rsid w:val="01247D26"/>
    <w:rsid w:val="012E659C"/>
    <w:rsid w:val="0134273F"/>
    <w:rsid w:val="014454E4"/>
    <w:rsid w:val="01463E5F"/>
    <w:rsid w:val="01484C17"/>
    <w:rsid w:val="01536776"/>
    <w:rsid w:val="01785CD9"/>
    <w:rsid w:val="017A00DB"/>
    <w:rsid w:val="017A0FBF"/>
    <w:rsid w:val="01800741"/>
    <w:rsid w:val="0186033F"/>
    <w:rsid w:val="0196740A"/>
    <w:rsid w:val="019710BA"/>
    <w:rsid w:val="01977E8B"/>
    <w:rsid w:val="019D5835"/>
    <w:rsid w:val="01AD4741"/>
    <w:rsid w:val="01AE3620"/>
    <w:rsid w:val="01CB6255"/>
    <w:rsid w:val="01CF004F"/>
    <w:rsid w:val="01DA6C0D"/>
    <w:rsid w:val="01DF0C11"/>
    <w:rsid w:val="01E00BEF"/>
    <w:rsid w:val="01E47572"/>
    <w:rsid w:val="01E801F1"/>
    <w:rsid w:val="01EF7340"/>
    <w:rsid w:val="01F83619"/>
    <w:rsid w:val="020A5807"/>
    <w:rsid w:val="020D50AE"/>
    <w:rsid w:val="022A00C1"/>
    <w:rsid w:val="022B2149"/>
    <w:rsid w:val="02462694"/>
    <w:rsid w:val="02594A4D"/>
    <w:rsid w:val="025F6710"/>
    <w:rsid w:val="02643DF6"/>
    <w:rsid w:val="026E631C"/>
    <w:rsid w:val="02916F42"/>
    <w:rsid w:val="02987B74"/>
    <w:rsid w:val="02AB6DC3"/>
    <w:rsid w:val="02AF41A7"/>
    <w:rsid w:val="02B07D32"/>
    <w:rsid w:val="02B84C1A"/>
    <w:rsid w:val="02C3783E"/>
    <w:rsid w:val="02C40EF4"/>
    <w:rsid w:val="02E128C9"/>
    <w:rsid w:val="02E9492F"/>
    <w:rsid w:val="03137152"/>
    <w:rsid w:val="031373EA"/>
    <w:rsid w:val="0318037A"/>
    <w:rsid w:val="031B17DB"/>
    <w:rsid w:val="031C5327"/>
    <w:rsid w:val="031C616A"/>
    <w:rsid w:val="033D397C"/>
    <w:rsid w:val="0342280F"/>
    <w:rsid w:val="036A299C"/>
    <w:rsid w:val="037C481F"/>
    <w:rsid w:val="038635E3"/>
    <w:rsid w:val="038C5CF7"/>
    <w:rsid w:val="03AC4D3B"/>
    <w:rsid w:val="03B30029"/>
    <w:rsid w:val="03C93528"/>
    <w:rsid w:val="03E90E66"/>
    <w:rsid w:val="03E93AAE"/>
    <w:rsid w:val="03EF3ED4"/>
    <w:rsid w:val="041605C9"/>
    <w:rsid w:val="041725A0"/>
    <w:rsid w:val="043F0BEF"/>
    <w:rsid w:val="04413EA9"/>
    <w:rsid w:val="0447540E"/>
    <w:rsid w:val="044955CA"/>
    <w:rsid w:val="044D0D34"/>
    <w:rsid w:val="045F7578"/>
    <w:rsid w:val="04632D5D"/>
    <w:rsid w:val="04635A67"/>
    <w:rsid w:val="04682B68"/>
    <w:rsid w:val="046A6F20"/>
    <w:rsid w:val="046F07F9"/>
    <w:rsid w:val="04886C9F"/>
    <w:rsid w:val="048D4812"/>
    <w:rsid w:val="04974D34"/>
    <w:rsid w:val="04A10306"/>
    <w:rsid w:val="04A1554F"/>
    <w:rsid w:val="04A37E60"/>
    <w:rsid w:val="04A6014B"/>
    <w:rsid w:val="04A928A7"/>
    <w:rsid w:val="04AB5770"/>
    <w:rsid w:val="04B43609"/>
    <w:rsid w:val="04CF6CB7"/>
    <w:rsid w:val="04E54758"/>
    <w:rsid w:val="04F502D7"/>
    <w:rsid w:val="04FC5047"/>
    <w:rsid w:val="04FE5A5E"/>
    <w:rsid w:val="04FF44A6"/>
    <w:rsid w:val="050F2B10"/>
    <w:rsid w:val="0513374D"/>
    <w:rsid w:val="05156F25"/>
    <w:rsid w:val="05177D91"/>
    <w:rsid w:val="05296AA2"/>
    <w:rsid w:val="053503DF"/>
    <w:rsid w:val="053962D1"/>
    <w:rsid w:val="05421E3E"/>
    <w:rsid w:val="0544567B"/>
    <w:rsid w:val="05553C63"/>
    <w:rsid w:val="055579F4"/>
    <w:rsid w:val="055C0B0F"/>
    <w:rsid w:val="05644E1B"/>
    <w:rsid w:val="05770A7A"/>
    <w:rsid w:val="05860158"/>
    <w:rsid w:val="05935FD9"/>
    <w:rsid w:val="05991F0C"/>
    <w:rsid w:val="05A42301"/>
    <w:rsid w:val="05B16989"/>
    <w:rsid w:val="05B363BA"/>
    <w:rsid w:val="05B47FC2"/>
    <w:rsid w:val="05B56F6D"/>
    <w:rsid w:val="05D62CC0"/>
    <w:rsid w:val="05DC24C5"/>
    <w:rsid w:val="05DF58BD"/>
    <w:rsid w:val="05E85464"/>
    <w:rsid w:val="05F15F19"/>
    <w:rsid w:val="05F30D49"/>
    <w:rsid w:val="060A2C10"/>
    <w:rsid w:val="060E052E"/>
    <w:rsid w:val="06114AEE"/>
    <w:rsid w:val="06115DA2"/>
    <w:rsid w:val="06122036"/>
    <w:rsid w:val="06507617"/>
    <w:rsid w:val="065145E0"/>
    <w:rsid w:val="06515AA2"/>
    <w:rsid w:val="06535488"/>
    <w:rsid w:val="065F69F9"/>
    <w:rsid w:val="067F04FE"/>
    <w:rsid w:val="068B2621"/>
    <w:rsid w:val="068C7071"/>
    <w:rsid w:val="069C4DF3"/>
    <w:rsid w:val="069E0344"/>
    <w:rsid w:val="06AA166C"/>
    <w:rsid w:val="06C06944"/>
    <w:rsid w:val="06F250E2"/>
    <w:rsid w:val="070B4E2F"/>
    <w:rsid w:val="07101A0D"/>
    <w:rsid w:val="07183A27"/>
    <w:rsid w:val="07192438"/>
    <w:rsid w:val="07264476"/>
    <w:rsid w:val="07324B33"/>
    <w:rsid w:val="07376F0A"/>
    <w:rsid w:val="073A1CF8"/>
    <w:rsid w:val="0740441E"/>
    <w:rsid w:val="074A5471"/>
    <w:rsid w:val="074D2406"/>
    <w:rsid w:val="075500D4"/>
    <w:rsid w:val="075950A2"/>
    <w:rsid w:val="07736BBF"/>
    <w:rsid w:val="077749E1"/>
    <w:rsid w:val="07861E8B"/>
    <w:rsid w:val="078D4515"/>
    <w:rsid w:val="078F4BC3"/>
    <w:rsid w:val="07910E13"/>
    <w:rsid w:val="07936671"/>
    <w:rsid w:val="079447BC"/>
    <w:rsid w:val="079C6CE2"/>
    <w:rsid w:val="079D1E06"/>
    <w:rsid w:val="07A07CCF"/>
    <w:rsid w:val="07A26F09"/>
    <w:rsid w:val="07A33546"/>
    <w:rsid w:val="07B427B3"/>
    <w:rsid w:val="07BA2001"/>
    <w:rsid w:val="07CC3E03"/>
    <w:rsid w:val="07DB1424"/>
    <w:rsid w:val="07DB3767"/>
    <w:rsid w:val="07DD4C94"/>
    <w:rsid w:val="07EE31EA"/>
    <w:rsid w:val="07EE5028"/>
    <w:rsid w:val="07F06807"/>
    <w:rsid w:val="07FC18F9"/>
    <w:rsid w:val="080A17B2"/>
    <w:rsid w:val="08111275"/>
    <w:rsid w:val="0819697C"/>
    <w:rsid w:val="082C03AD"/>
    <w:rsid w:val="08384674"/>
    <w:rsid w:val="084C72FC"/>
    <w:rsid w:val="085C3375"/>
    <w:rsid w:val="086342F7"/>
    <w:rsid w:val="08893F27"/>
    <w:rsid w:val="08A35EC0"/>
    <w:rsid w:val="08AA301C"/>
    <w:rsid w:val="08D72619"/>
    <w:rsid w:val="08D75769"/>
    <w:rsid w:val="08DD169F"/>
    <w:rsid w:val="08E4797D"/>
    <w:rsid w:val="08E67624"/>
    <w:rsid w:val="08F13265"/>
    <w:rsid w:val="08F40041"/>
    <w:rsid w:val="08FD2A5F"/>
    <w:rsid w:val="091D6CF0"/>
    <w:rsid w:val="0922288B"/>
    <w:rsid w:val="09243B38"/>
    <w:rsid w:val="0925515D"/>
    <w:rsid w:val="0939268C"/>
    <w:rsid w:val="093C394F"/>
    <w:rsid w:val="095274E3"/>
    <w:rsid w:val="095A10AA"/>
    <w:rsid w:val="09695FE4"/>
    <w:rsid w:val="096A3D03"/>
    <w:rsid w:val="096F77AB"/>
    <w:rsid w:val="09817A41"/>
    <w:rsid w:val="098418F8"/>
    <w:rsid w:val="098717F0"/>
    <w:rsid w:val="09875884"/>
    <w:rsid w:val="098E5D21"/>
    <w:rsid w:val="09910FB8"/>
    <w:rsid w:val="09937C29"/>
    <w:rsid w:val="099F3AD2"/>
    <w:rsid w:val="09B85DCD"/>
    <w:rsid w:val="09EB2EAD"/>
    <w:rsid w:val="09F71725"/>
    <w:rsid w:val="09FD361B"/>
    <w:rsid w:val="09FE1C4F"/>
    <w:rsid w:val="0A151164"/>
    <w:rsid w:val="0A2B1203"/>
    <w:rsid w:val="0A2C00AF"/>
    <w:rsid w:val="0A2C531F"/>
    <w:rsid w:val="0A3B3174"/>
    <w:rsid w:val="0A423D51"/>
    <w:rsid w:val="0A440816"/>
    <w:rsid w:val="0A4A3C85"/>
    <w:rsid w:val="0A4B26FA"/>
    <w:rsid w:val="0A5B3B6D"/>
    <w:rsid w:val="0A5C460A"/>
    <w:rsid w:val="0A6541AB"/>
    <w:rsid w:val="0A7B1752"/>
    <w:rsid w:val="0A7B1F85"/>
    <w:rsid w:val="0A8852F5"/>
    <w:rsid w:val="0A893404"/>
    <w:rsid w:val="0A8A1890"/>
    <w:rsid w:val="0A8A6954"/>
    <w:rsid w:val="0A8D326A"/>
    <w:rsid w:val="0A8E408C"/>
    <w:rsid w:val="0A8E5742"/>
    <w:rsid w:val="0AA13BA5"/>
    <w:rsid w:val="0AB1033C"/>
    <w:rsid w:val="0AB50304"/>
    <w:rsid w:val="0ABA16AB"/>
    <w:rsid w:val="0AE53756"/>
    <w:rsid w:val="0AEA191A"/>
    <w:rsid w:val="0AF130EB"/>
    <w:rsid w:val="0AF235ED"/>
    <w:rsid w:val="0B413222"/>
    <w:rsid w:val="0B5A6A9F"/>
    <w:rsid w:val="0B614F2E"/>
    <w:rsid w:val="0B747497"/>
    <w:rsid w:val="0B776EC0"/>
    <w:rsid w:val="0B9D0163"/>
    <w:rsid w:val="0BAB7FC0"/>
    <w:rsid w:val="0BCC695A"/>
    <w:rsid w:val="0BD24F4C"/>
    <w:rsid w:val="0BE321E0"/>
    <w:rsid w:val="0BEB5B47"/>
    <w:rsid w:val="0BF30C6D"/>
    <w:rsid w:val="0BF667A5"/>
    <w:rsid w:val="0BF80ED9"/>
    <w:rsid w:val="0BFB4A08"/>
    <w:rsid w:val="0BFD1539"/>
    <w:rsid w:val="0C2A01C5"/>
    <w:rsid w:val="0C3D6FC1"/>
    <w:rsid w:val="0C44349B"/>
    <w:rsid w:val="0C4D439D"/>
    <w:rsid w:val="0C5C6821"/>
    <w:rsid w:val="0C615ED5"/>
    <w:rsid w:val="0C660965"/>
    <w:rsid w:val="0C747E17"/>
    <w:rsid w:val="0C761D1B"/>
    <w:rsid w:val="0C762B27"/>
    <w:rsid w:val="0C78622B"/>
    <w:rsid w:val="0C9672DC"/>
    <w:rsid w:val="0C9A6165"/>
    <w:rsid w:val="0CA8444D"/>
    <w:rsid w:val="0CAA0A25"/>
    <w:rsid w:val="0CB11960"/>
    <w:rsid w:val="0CC70892"/>
    <w:rsid w:val="0CCA5ECC"/>
    <w:rsid w:val="0CD83421"/>
    <w:rsid w:val="0CDF4705"/>
    <w:rsid w:val="0CDF6281"/>
    <w:rsid w:val="0CF21717"/>
    <w:rsid w:val="0CF5481D"/>
    <w:rsid w:val="0CFF250D"/>
    <w:rsid w:val="0D0C5139"/>
    <w:rsid w:val="0D1300F1"/>
    <w:rsid w:val="0D1E35A8"/>
    <w:rsid w:val="0D274D52"/>
    <w:rsid w:val="0D27623B"/>
    <w:rsid w:val="0D2B7F62"/>
    <w:rsid w:val="0D375A3B"/>
    <w:rsid w:val="0D451B64"/>
    <w:rsid w:val="0D470498"/>
    <w:rsid w:val="0D660F9A"/>
    <w:rsid w:val="0D67077A"/>
    <w:rsid w:val="0D740BB5"/>
    <w:rsid w:val="0D7869BB"/>
    <w:rsid w:val="0D7A2F82"/>
    <w:rsid w:val="0D8C65C7"/>
    <w:rsid w:val="0D8C7983"/>
    <w:rsid w:val="0D955512"/>
    <w:rsid w:val="0D9852B1"/>
    <w:rsid w:val="0D9D2876"/>
    <w:rsid w:val="0DAF67D6"/>
    <w:rsid w:val="0DB159DD"/>
    <w:rsid w:val="0DB22B1F"/>
    <w:rsid w:val="0DD6008C"/>
    <w:rsid w:val="0DE65DD9"/>
    <w:rsid w:val="0DF7188C"/>
    <w:rsid w:val="0DFB16F1"/>
    <w:rsid w:val="0E0000B1"/>
    <w:rsid w:val="0E021DBB"/>
    <w:rsid w:val="0E12568D"/>
    <w:rsid w:val="0E1710EC"/>
    <w:rsid w:val="0E24718D"/>
    <w:rsid w:val="0E3434E7"/>
    <w:rsid w:val="0E3F3055"/>
    <w:rsid w:val="0E4B57D9"/>
    <w:rsid w:val="0E4B713D"/>
    <w:rsid w:val="0E517B4F"/>
    <w:rsid w:val="0E523CF5"/>
    <w:rsid w:val="0E59649E"/>
    <w:rsid w:val="0E5A3F36"/>
    <w:rsid w:val="0E702A77"/>
    <w:rsid w:val="0E775E3C"/>
    <w:rsid w:val="0E777025"/>
    <w:rsid w:val="0E844162"/>
    <w:rsid w:val="0E915FD9"/>
    <w:rsid w:val="0E920027"/>
    <w:rsid w:val="0E994EEE"/>
    <w:rsid w:val="0EA12E4D"/>
    <w:rsid w:val="0EB17323"/>
    <w:rsid w:val="0EB43DBB"/>
    <w:rsid w:val="0EBC76A0"/>
    <w:rsid w:val="0EC47990"/>
    <w:rsid w:val="0EE05C60"/>
    <w:rsid w:val="0EE13AD5"/>
    <w:rsid w:val="0EE80E3D"/>
    <w:rsid w:val="0F016A7C"/>
    <w:rsid w:val="0F0C3862"/>
    <w:rsid w:val="0F1A27E5"/>
    <w:rsid w:val="0F46610E"/>
    <w:rsid w:val="0F6C6657"/>
    <w:rsid w:val="0F6F2D00"/>
    <w:rsid w:val="0F70503F"/>
    <w:rsid w:val="0F790E4C"/>
    <w:rsid w:val="0F7930DB"/>
    <w:rsid w:val="0F7D335D"/>
    <w:rsid w:val="0F843DD3"/>
    <w:rsid w:val="0F854118"/>
    <w:rsid w:val="0F90441A"/>
    <w:rsid w:val="0F9876FA"/>
    <w:rsid w:val="0FAB1478"/>
    <w:rsid w:val="0FAD6552"/>
    <w:rsid w:val="0FAF39DA"/>
    <w:rsid w:val="0FB00446"/>
    <w:rsid w:val="0FB57FB7"/>
    <w:rsid w:val="0FBA5144"/>
    <w:rsid w:val="0FC440C6"/>
    <w:rsid w:val="0FCA5808"/>
    <w:rsid w:val="0FD66437"/>
    <w:rsid w:val="0FD94A24"/>
    <w:rsid w:val="0FD95B6D"/>
    <w:rsid w:val="0FE66BDB"/>
    <w:rsid w:val="0FE930F6"/>
    <w:rsid w:val="0FEC3218"/>
    <w:rsid w:val="0FF14519"/>
    <w:rsid w:val="100D1BA1"/>
    <w:rsid w:val="1012169A"/>
    <w:rsid w:val="101320C9"/>
    <w:rsid w:val="10164AB3"/>
    <w:rsid w:val="101F2C26"/>
    <w:rsid w:val="10236351"/>
    <w:rsid w:val="10285B2E"/>
    <w:rsid w:val="10506B92"/>
    <w:rsid w:val="10654D44"/>
    <w:rsid w:val="10750E5D"/>
    <w:rsid w:val="108735A8"/>
    <w:rsid w:val="108E298B"/>
    <w:rsid w:val="10A36F57"/>
    <w:rsid w:val="10AB0420"/>
    <w:rsid w:val="10AE67BB"/>
    <w:rsid w:val="10B06837"/>
    <w:rsid w:val="10C672B3"/>
    <w:rsid w:val="10C97F19"/>
    <w:rsid w:val="10CD72F0"/>
    <w:rsid w:val="10F14166"/>
    <w:rsid w:val="10F14CDC"/>
    <w:rsid w:val="11267536"/>
    <w:rsid w:val="11455252"/>
    <w:rsid w:val="11477CDE"/>
    <w:rsid w:val="114F3179"/>
    <w:rsid w:val="115C719F"/>
    <w:rsid w:val="11600CCE"/>
    <w:rsid w:val="116F7BF9"/>
    <w:rsid w:val="11744D06"/>
    <w:rsid w:val="11A51BFB"/>
    <w:rsid w:val="11A92569"/>
    <w:rsid w:val="11B31254"/>
    <w:rsid w:val="11BE4211"/>
    <w:rsid w:val="11BF62C4"/>
    <w:rsid w:val="11C3155A"/>
    <w:rsid w:val="11C50005"/>
    <w:rsid w:val="11D97A28"/>
    <w:rsid w:val="11DC7679"/>
    <w:rsid w:val="11EA37F8"/>
    <w:rsid w:val="11F02E63"/>
    <w:rsid w:val="11F03ABA"/>
    <w:rsid w:val="11F20BA2"/>
    <w:rsid w:val="12170E35"/>
    <w:rsid w:val="121A2353"/>
    <w:rsid w:val="12210F7C"/>
    <w:rsid w:val="12406F23"/>
    <w:rsid w:val="124D6D43"/>
    <w:rsid w:val="12587C0C"/>
    <w:rsid w:val="12615A0A"/>
    <w:rsid w:val="1274117C"/>
    <w:rsid w:val="12756173"/>
    <w:rsid w:val="12763A50"/>
    <w:rsid w:val="12827FB6"/>
    <w:rsid w:val="128D779C"/>
    <w:rsid w:val="128F7B7C"/>
    <w:rsid w:val="12955477"/>
    <w:rsid w:val="1296443B"/>
    <w:rsid w:val="129A2EEA"/>
    <w:rsid w:val="12A8148F"/>
    <w:rsid w:val="12A97DFA"/>
    <w:rsid w:val="12AC3ED5"/>
    <w:rsid w:val="12AF178B"/>
    <w:rsid w:val="12B369EB"/>
    <w:rsid w:val="12B65780"/>
    <w:rsid w:val="12BD1DD6"/>
    <w:rsid w:val="12C44A5B"/>
    <w:rsid w:val="12D04FA7"/>
    <w:rsid w:val="12D23C2A"/>
    <w:rsid w:val="130472E9"/>
    <w:rsid w:val="130A5B09"/>
    <w:rsid w:val="13264807"/>
    <w:rsid w:val="132A6D45"/>
    <w:rsid w:val="13314C74"/>
    <w:rsid w:val="133607ED"/>
    <w:rsid w:val="1340265F"/>
    <w:rsid w:val="13403909"/>
    <w:rsid w:val="135934C1"/>
    <w:rsid w:val="135C2BEC"/>
    <w:rsid w:val="137A7A61"/>
    <w:rsid w:val="138B009B"/>
    <w:rsid w:val="138C1FDC"/>
    <w:rsid w:val="13A311E4"/>
    <w:rsid w:val="13A7651F"/>
    <w:rsid w:val="13B55C54"/>
    <w:rsid w:val="13B665FD"/>
    <w:rsid w:val="13BA67A7"/>
    <w:rsid w:val="13D26FE0"/>
    <w:rsid w:val="13D326B5"/>
    <w:rsid w:val="13E87ADD"/>
    <w:rsid w:val="13EC5C53"/>
    <w:rsid w:val="14014AD5"/>
    <w:rsid w:val="141109B8"/>
    <w:rsid w:val="144B2C98"/>
    <w:rsid w:val="14604852"/>
    <w:rsid w:val="14707359"/>
    <w:rsid w:val="147E461D"/>
    <w:rsid w:val="147F1F95"/>
    <w:rsid w:val="14897E53"/>
    <w:rsid w:val="14A34882"/>
    <w:rsid w:val="14AD5CA3"/>
    <w:rsid w:val="14B300F8"/>
    <w:rsid w:val="14B50DF4"/>
    <w:rsid w:val="14BF12D4"/>
    <w:rsid w:val="14C44872"/>
    <w:rsid w:val="14CE63F3"/>
    <w:rsid w:val="14D0088E"/>
    <w:rsid w:val="14D54562"/>
    <w:rsid w:val="14DD7F14"/>
    <w:rsid w:val="14E804E7"/>
    <w:rsid w:val="14E95480"/>
    <w:rsid w:val="14F93A80"/>
    <w:rsid w:val="152B4021"/>
    <w:rsid w:val="153B6BE8"/>
    <w:rsid w:val="1545763E"/>
    <w:rsid w:val="15480E53"/>
    <w:rsid w:val="15534ECB"/>
    <w:rsid w:val="1556135E"/>
    <w:rsid w:val="15595F34"/>
    <w:rsid w:val="15616075"/>
    <w:rsid w:val="156D0120"/>
    <w:rsid w:val="15A8082A"/>
    <w:rsid w:val="15AC13F7"/>
    <w:rsid w:val="15B63FC4"/>
    <w:rsid w:val="15C63490"/>
    <w:rsid w:val="15D2240E"/>
    <w:rsid w:val="15DC7D47"/>
    <w:rsid w:val="15EA3945"/>
    <w:rsid w:val="15EC3400"/>
    <w:rsid w:val="15F86E89"/>
    <w:rsid w:val="15FB7968"/>
    <w:rsid w:val="15FE4244"/>
    <w:rsid w:val="160A48B6"/>
    <w:rsid w:val="162D36DA"/>
    <w:rsid w:val="16302F4C"/>
    <w:rsid w:val="16316383"/>
    <w:rsid w:val="16373297"/>
    <w:rsid w:val="167130A6"/>
    <w:rsid w:val="16752047"/>
    <w:rsid w:val="16825C85"/>
    <w:rsid w:val="168C325D"/>
    <w:rsid w:val="169959F4"/>
    <w:rsid w:val="169E4F81"/>
    <w:rsid w:val="16A04E85"/>
    <w:rsid w:val="16A25118"/>
    <w:rsid w:val="16B05DF5"/>
    <w:rsid w:val="16BA45AC"/>
    <w:rsid w:val="16CA5A23"/>
    <w:rsid w:val="16D20DC8"/>
    <w:rsid w:val="16E05328"/>
    <w:rsid w:val="16EC651D"/>
    <w:rsid w:val="16ED048D"/>
    <w:rsid w:val="16F74275"/>
    <w:rsid w:val="170E3516"/>
    <w:rsid w:val="171259C8"/>
    <w:rsid w:val="17176C90"/>
    <w:rsid w:val="17262B24"/>
    <w:rsid w:val="17296C52"/>
    <w:rsid w:val="17664E50"/>
    <w:rsid w:val="17676F95"/>
    <w:rsid w:val="176C42B6"/>
    <w:rsid w:val="1775043E"/>
    <w:rsid w:val="177639A9"/>
    <w:rsid w:val="177A5A2B"/>
    <w:rsid w:val="1784742B"/>
    <w:rsid w:val="179771BA"/>
    <w:rsid w:val="179E066E"/>
    <w:rsid w:val="179E49C7"/>
    <w:rsid w:val="179E7D61"/>
    <w:rsid w:val="17A6521C"/>
    <w:rsid w:val="17A97DC9"/>
    <w:rsid w:val="17AD7429"/>
    <w:rsid w:val="17B53FFD"/>
    <w:rsid w:val="17CC7D56"/>
    <w:rsid w:val="17D4283A"/>
    <w:rsid w:val="17D45DB2"/>
    <w:rsid w:val="17DA40C7"/>
    <w:rsid w:val="17DD6795"/>
    <w:rsid w:val="17E256C1"/>
    <w:rsid w:val="17FA2B86"/>
    <w:rsid w:val="17FD64EB"/>
    <w:rsid w:val="180C7C24"/>
    <w:rsid w:val="1821100A"/>
    <w:rsid w:val="1833268C"/>
    <w:rsid w:val="183465AE"/>
    <w:rsid w:val="185B7338"/>
    <w:rsid w:val="188A3552"/>
    <w:rsid w:val="18981FF3"/>
    <w:rsid w:val="18A954A3"/>
    <w:rsid w:val="18B70577"/>
    <w:rsid w:val="18BC7DAC"/>
    <w:rsid w:val="18C256A0"/>
    <w:rsid w:val="18CC680E"/>
    <w:rsid w:val="18D60A6E"/>
    <w:rsid w:val="18E04D61"/>
    <w:rsid w:val="1907506E"/>
    <w:rsid w:val="190C20A7"/>
    <w:rsid w:val="1920254C"/>
    <w:rsid w:val="19242963"/>
    <w:rsid w:val="19246F28"/>
    <w:rsid w:val="193D5C55"/>
    <w:rsid w:val="194B11AE"/>
    <w:rsid w:val="1952108D"/>
    <w:rsid w:val="19710B78"/>
    <w:rsid w:val="197A7C78"/>
    <w:rsid w:val="198B0FB5"/>
    <w:rsid w:val="19A65C31"/>
    <w:rsid w:val="19A67C8E"/>
    <w:rsid w:val="19A852F2"/>
    <w:rsid w:val="19AA797D"/>
    <w:rsid w:val="19AC6257"/>
    <w:rsid w:val="19AE00CE"/>
    <w:rsid w:val="19BD0514"/>
    <w:rsid w:val="19C92ECC"/>
    <w:rsid w:val="19D62E09"/>
    <w:rsid w:val="19E4797E"/>
    <w:rsid w:val="19EB653D"/>
    <w:rsid w:val="19EC63FA"/>
    <w:rsid w:val="19F30EA2"/>
    <w:rsid w:val="19F63A93"/>
    <w:rsid w:val="19F7259E"/>
    <w:rsid w:val="19FA2EBE"/>
    <w:rsid w:val="19FB0226"/>
    <w:rsid w:val="19FD67E3"/>
    <w:rsid w:val="19FF602A"/>
    <w:rsid w:val="1A0B1EEC"/>
    <w:rsid w:val="1A106B09"/>
    <w:rsid w:val="1A151C8D"/>
    <w:rsid w:val="1A1757AA"/>
    <w:rsid w:val="1A277D03"/>
    <w:rsid w:val="1A392682"/>
    <w:rsid w:val="1A504D7C"/>
    <w:rsid w:val="1A5F228E"/>
    <w:rsid w:val="1A7018C9"/>
    <w:rsid w:val="1A744F8D"/>
    <w:rsid w:val="1A76471B"/>
    <w:rsid w:val="1A8D59C2"/>
    <w:rsid w:val="1A930AE4"/>
    <w:rsid w:val="1AA22763"/>
    <w:rsid w:val="1AB5234F"/>
    <w:rsid w:val="1AC904F0"/>
    <w:rsid w:val="1ACB5C08"/>
    <w:rsid w:val="1AD20279"/>
    <w:rsid w:val="1AD62319"/>
    <w:rsid w:val="1AE74691"/>
    <w:rsid w:val="1AEA2E55"/>
    <w:rsid w:val="1AEE4FE5"/>
    <w:rsid w:val="1AF649A9"/>
    <w:rsid w:val="1B017C12"/>
    <w:rsid w:val="1B187533"/>
    <w:rsid w:val="1B263796"/>
    <w:rsid w:val="1B2F67A3"/>
    <w:rsid w:val="1B3321B3"/>
    <w:rsid w:val="1B3B3AC6"/>
    <w:rsid w:val="1B3F32CD"/>
    <w:rsid w:val="1B4053B3"/>
    <w:rsid w:val="1B477F5B"/>
    <w:rsid w:val="1B56603D"/>
    <w:rsid w:val="1B687F3D"/>
    <w:rsid w:val="1B694E2A"/>
    <w:rsid w:val="1B6A5104"/>
    <w:rsid w:val="1B824367"/>
    <w:rsid w:val="1B835C6C"/>
    <w:rsid w:val="1BB94B75"/>
    <w:rsid w:val="1BBE6C1F"/>
    <w:rsid w:val="1BC2751F"/>
    <w:rsid w:val="1BEB357C"/>
    <w:rsid w:val="1BEF7785"/>
    <w:rsid w:val="1BFB4258"/>
    <w:rsid w:val="1C0025BA"/>
    <w:rsid w:val="1C017601"/>
    <w:rsid w:val="1C1B0BD5"/>
    <w:rsid w:val="1C1C2B4A"/>
    <w:rsid w:val="1C1D6D2C"/>
    <w:rsid w:val="1C2A619D"/>
    <w:rsid w:val="1C3600CA"/>
    <w:rsid w:val="1C4571B7"/>
    <w:rsid w:val="1C740A55"/>
    <w:rsid w:val="1C772355"/>
    <w:rsid w:val="1C7B7942"/>
    <w:rsid w:val="1C7C23DB"/>
    <w:rsid w:val="1C882F84"/>
    <w:rsid w:val="1C8A5255"/>
    <w:rsid w:val="1C9922C8"/>
    <w:rsid w:val="1CAF0758"/>
    <w:rsid w:val="1CD24E95"/>
    <w:rsid w:val="1CDD5865"/>
    <w:rsid w:val="1CE17F24"/>
    <w:rsid w:val="1CE77484"/>
    <w:rsid w:val="1CEF045F"/>
    <w:rsid w:val="1D0636E2"/>
    <w:rsid w:val="1D0A4C1C"/>
    <w:rsid w:val="1D150A2F"/>
    <w:rsid w:val="1D302EA2"/>
    <w:rsid w:val="1D374E75"/>
    <w:rsid w:val="1D613974"/>
    <w:rsid w:val="1D621A8E"/>
    <w:rsid w:val="1D687203"/>
    <w:rsid w:val="1D7A3EC0"/>
    <w:rsid w:val="1D7A6EB0"/>
    <w:rsid w:val="1D856627"/>
    <w:rsid w:val="1D9346F0"/>
    <w:rsid w:val="1DA23729"/>
    <w:rsid w:val="1DA74AFE"/>
    <w:rsid w:val="1DBE046C"/>
    <w:rsid w:val="1DC15F91"/>
    <w:rsid w:val="1DC339D2"/>
    <w:rsid w:val="1DC7329F"/>
    <w:rsid w:val="1DCC3C07"/>
    <w:rsid w:val="1DD43877"/>
    <w:rsid w:val="1DD72904"/>
    <w:rsid w:val="1DDB53EA"/>
    <w:rsid w:val="1DE413DC"/>
    <w:rsid w:val="1DE57225"/>
    <w:rsid w:val="1DEB6B4E"/>
    <w:rsid w:val="1DEE09EF"/>
    <w:rsid w:val="1DF15F7D"/>
    <w:rsid w:val="1E173700"/>
    <w:rsid w:val="1E1D7A2A"/>
    <w:rsid w:val="1E330AF4"/>
    <w:rsid w:val="1E363B2D"/>
    <w:rsid w:val="1E43092C"/>
    <w:rsid w:val="1E5104E2"/>
    <w:rsid w:val="1E61399B"/>
    <w:rsid w:val="1E6B115A"/>
    <w:rsid w:val="1E6F00A1"/>
    <w:rsid w:val="1E76560B"/>
    <w:rsid w:val="1E845440"/>
    <w:rsid w:val="1E852B93"/>
    <w:rsid w:val="1E8E1C3D"/>
    <w:rsid w:val="1E9B0AAB"/>
    <w:rsid w:val="1EA700CC"/>
    <w:rsid w:val="1EA74107"/>
    <w:rsid w:val="1EC24CCF"/>
    <w:rsid w:val="1ECB5DF5"/>
    <w:rsid w:val="1ED21E54"/>
    <w:rsid w:val="1EDF1F43"/>
    <w:rsid w:val="1EEA095B"/>
    <w:rsid w:val="1EEF1D70"/>
    <w:rsid w:val="1EEF6056"/>
    <w:rsid w:val="1EF814A5"/>
    <w:rsid w:val="1F090298"/>
    <w:rsid w:val="1F0923DF"/>
    <w:rsid w:val="1F0B6A8B"/>
    <w:rsid w:val="1F17621C"/>
    <w:rsid w:val="1F1E34F1"/>
    <w:rsid w:val="1F5908BC"/>
    <w:rsid w:val="1F606B65"/>
    <w:rsid w:val="1F6C5A31"/>
    <w:rsid w:val="1F874BA9"/>
    <w:rsid w:val="1F901A88"/>
    <w:rsid w:val="1F93331F"/>
    <w:rsid w:val="1F9525CB"/>
    <w:rsid w:val="1F9E58C3"/>
    <w:rsid w:val="1FA277AE"/>
    <w:rsid w:val="1FAB56CD"/>
    <w:rsid w:val="1FB00003"/>
    <w:rsid w:val="1FCB11EA"/>
    <w:rsid w:val="1FCC7B09"/>
    <w:rsid w:val="1FDF1E99"/>
    <w:rsid w:val="1FF731CD"/>
    <w:rsid w:val="1FFB7F40"/>
    <w:rsid w:val="20020FFF"/>
    <w:rsid w:val="20032C48"/>
    <w:rsid w:val="202E1534"/>
    <w:rsid w:val="20332B04"/>
    <w:rsid w:val="2037532F"/>
    <w:rsid w:val="2039593A"/>
    <w:rsid w:val="203A10EA"/>
    <w:rsid w:val="203A58C3"/>
    <w:rsid w:val="203D501B"/>
    <w:rsid w:val="204975AC"/>
    <w:rsid w:val="2054450A"/>
    <w:rsid w:val="2055747A"/>
    <w:rsid w:val="205712CC"/>
    <w:rsid w:val="205C7FDB"/>
    <w:rsid w:val="20694812"/>
    <w:rsid w:val="20722E3E"/>
    <w:rsid w:val="208433EC"/>
    <w:rsid w:val="20851BEE"/>
    <w:rsid w:val="208C69E1"/>
    <w:rsid w:val="20A83667"/>
    <w:rsid w:val="20B015AD"/>
    <w:rsid w:val="20B17EDF"/>
    <w:rsid w:val="20B45A66"/>
    <w:rsid w:val="20BF129B"/>
    <w:rsid w:val="20BF4157"/>
    <w:rsid w:val="20C672AE"/>
    <w:rsid w:val="20CA1599"/>
    <w:rsid w:val="20CB35B1"/>
    <w:rsid w:val="20CF69B1"/>
    <w:rsid w:val="20D1587C"/>
    <w:rsid w:val="20D82BE0"/>
    <w:rsid w:val="20D90EA5"/>
    <w:rsid w:val="20EB29C6"/>
    <w:rsid w:val="20F8307A"/>
    <w:rsid w:val="20FB5128"/>
    <w:rsid w:val="21083B7E"/>
    <w:rsid w:val="210E19B3"/>
    <w:rsid w:val="211154BE"/>
    <w:rsid w:val="2117037F"/>
    <w:rsid w:val="211838BB"/>
    <w:rsid w:val="21195EA4"/>
    <w:rsid w:val="2137159B"/>
    <w:rsid w:val="213C4B57"/>
    <w:rsid w:val="214A70DD"/>
    <w:rsid w:val="214C1E28"/>
    <w:rsid w:val="21506626"/>
    <w:rsid w:val="21590C92"/>
    <w:rsid w:val="216407A0"/>
    <w:rsid w:val="216C23C2"/>
    <w:rsid w:val="217209EB"/>
    <w:rsid w:val="21741EDE"/>
    <w:rsid w:val="217D26DF"/>
    <w:rsid w:val="217F10E2"/>
    <w:rsid w:val="219D5CED"/>
    <w:rsid w:val="21CD4DED"/>
    <w:rsid w:val="21D0528D"/>
    <w:rsid w:val="21D443B8"/>
    <w:rsid w:val="21D83A4C"/>
    <w:rsid w:val="21ED1832"/>
    <w:rsid w:val="21EE0225"/>
    <w:rsid w:val="21F66810"/>
    <w:rsid w:val="220A1452"/>
    <w:rsid w:val="22195BD5"/>
    <w:rsid w:val="221B0485"/>
    <w:rsid w:val="22236111"/>
    <w:rsid w:val="22236D6F"/>
    <w:rsid w:val="222C13E5"/>
    <w:rsid w:val="2240324F"/>
    <w:rsid w:val="22420654"/>
    <w:rsid w:val="22457A1D"/>
    <w:rsid w:val="22527758"/>
    <w:rsid w:val="225A2D5C"/>
    <w:rsid w:val="22694778"/>
    <w:rsid w:val="2274299A"/>
    <w:rsid w:val="22743327"/>
    <w:rsid w:val="22774552"/>
    <w:rsid w:val="227F7798"/>
    <w:rsid w:val="22834854"/>
    <w:rsid w:val="22B66849"/>
    <w:rsid w:val="22C04AF9"/>
    <w:rsid w:val="22D7712D"/>
    <w:rsid w:val="22F2022F"/>
    <w:rsid w:val="2300097A"/>
    <w:rsid w:val="230B5096"/>
    <w:rsid w:val="23117BEF"/>
    <w:rsid w:val="231628B6"/>
    <w:rsid w:val="23237A89"/>
    <w:rsid w:val="232905E1"/>
    <w:rsid w:val="23300073"/>
    <w:rsid w:val="23357FB2"/>
    <w:rsid w:val="23397AC0"/>
    <w:rsid w:val="23406C41"/>
    <w:rsid w:val="236316A5"/>
    <w:rsid w:val="236456D4"/>
    <w:rsid w:val="236919D8"/>
    <w:rsid w:val="237A2F21"/>
    <w:rsid w:val="238F683A"/>
    <w:rsid w:val="23934A3A"/>
    <w:rsid w:val="23970FB7"/>
    <w:rsid w:val="23B14A15"/>
    <w:rsid w:val="23BC23BE"/>
    <w:rsid w:val="23C018BE"/>
    <w:rsid w:val="23C22966"/>
    <w:rsid w:val="23C457F8"/>
    <w:rsid w:val="23C64D58"/>
    <w:rsid w:val="23D13175"/>
    <w:rsid w:val="23D6244E"/>
    <w:rsid w:val="23EE521C"/>
    <w:rsid w:val="23F921E0"/>
    <w:rsid w:val="24087CAD"/>
    <w:rsid w:val="242B083A"/>
    <w:rsid w:val="242C60DF"/>
    <w:rsid w:val="242C7B35"/>
    <w:rsid w:val="242F5053"/>
    <w:rsid w:val="24431F32"/>
    <w:rsid w:val="244612F8"/>
    <w:rsid w:val="24480BE6"/>
    <w:rsid w:val="244D4C9E"/>
    <w:rsid w:val="24554291"/>
    <w:rsid w:val="24567462"/>
    <w:rsid w:val="24815AA4"/>
    <w:rsid w:val="24885965"/>
    <w:rsid w:val="24A57F4B"/>
    <w:rsid w:val="24AC529F"/>
    <w:rsid w:val="24B52BFD"/>
    <w:rsid w:val="24BA19D4"/>
    <w:rsid w:val="24BE2642"/>
    <w:rsid w:val="24C561C6"/>
    <w:rsid w:val="24C93759"/>
    <w:rsid w:val="24CD1A38"/>
    <w:rsid w:val="24E05FAA"/>
    <w:rsid w:val="24E132AD"/>
    <w:rsid w:val="24E80931"/>
    <w:rsid w:val="24F4352B"/>
    <w:rsid w:val="24FA4B2C"/>
    <w:rsid w:val="25015F38"/>
    <w:rsid w:val="250A26FB"/>
    <w:rsid w:val="251C34C6"/>
    <w:rsid w:val="251F743A"/>
    <w:rsid w:val="252272C8"/>
    <w:rsid w:val="252D4FD9"/>
    <w:rsid w:val="253324F2"/>
    <w:rsid w:val="255F771E"/>
    <w:rsid w:val="256C738D"/>
    <w:rsid w:val="25791DCB"/>
    <w:rsid w:val="25805DD1"/>
    <w:rsid w:val="258C2E52"/>
    <w:rsid w:val="2597422D"/>
    <w:rsid w:val="25A17FDC"/>
    <w:rsid w:val="25A236CE"/>
    <w:rsid w:val="25A83195"/>
    <w:rsid w:val="25B013EB"/>
    <w:rsid w:val="25B27919"/>
    <w:rsid w:val="25BB2C84"/>
    <w:rsid w:val="25BB4049"/>
    <w:rsid w:val="25C2465A"/>
    <w:rsid w:val="25DA6087"/>
    <w:rsid w:val="25DB401C"/>
    <w:rsid w:val="25E303CD"/>
    <w:rsid w:val="25EA6BF5"/>
    <w:rsid w:val="25F15692"/>
    <w:rsid w:val="25F25669"/>
    <w:rsid w:val="25FE683F"/>
    <w:rsid w:val="2603762F"/>
    <w:rsid w:val="26043E43"/>
    <w:rsid w:val="260B5ECA"/>
    <w:rsid w:val="260D4421"/>
    <w:rsid w:val="26142D53"/>
    <w:rsid w:val="26177E67"/>
    <w:rsid w:val="261A56AD"/>
    <w:rsid w:val="262804F3"/>
    <w:rsid w:val="26332151"/>
    <w:rsid w:val="263D2A8F"/>
    <w:rsid w:val="264D2EB7"/>
    <w:rsid w:val="26573C57"/>
    <w:rsid w:val="26650B52"/>
    <w:rsid w:val="266853AE"/>
    <w:rsid w:val="266D0633"/>
    <w:rsid w:val="26735112"/>
    <w:rsid w:val="267F4386"/>
    <w:rsid w:val="26AE7EAD"/>
    <w:rsid w:val="26B2353F"/>
    <w:rsid w:val="26D65054"/>
    <w:rsid w:val="26DE5561"/>
    <w:rsid w:val="26E27C3D"/>
    <w:rsid w:val="26E83527"/>
    <w:rsid w:val="26EC7974"/>
    <w:rsid w:val="26F314F0"/>
    <w:rsid w:val="26F85762"/>
    <w:rsid w:val="26FD6977"/>
    <w:rsid w:val="27180BE1"/>
    <w:rsid w:val="27225B29"/>
    <w:rsid w:val="273067DB"/>
    <w:rsid w:val="27350840"/>
    <w:rsid w:val="2747246E"/>
    <w:rsid w:val="27554405"/>
    <w:rsid w:val="27651E6B"/>
    <w:rsid w:val="276C4FA7"/>
    <w:rsid w:val="276D6C14"/>
    <w:rsid w:val="277E670C"/>
    <w:rsid w:val="27873653"/>
    <w:rsid w:val="27874909"/>
    <w:rsid w:val="279A5200"/>
    <w:rsid w:val="27A3662D"/>
    <w:rsid w:val="27B06FBD"/>
    <w:rsid w:val="27C23036"/>
    <w:rsid w:val="27D44AE8"/>
    <w:rsid w:val="27D66A6D"/>
    <w:rsid w:val="27EC7E49"/>
    <w:rsid w:val="27ED2AF3"/>
    <w:rsid w:val="27F8754F"/>
    <w:rsid w:val="280278F1"/>
    <w:rsid w:val="28140EB7"/>
    <w:rsid w:val="28353A98"/>
    <w:rsid w:val="28386634"/>
    <w:rsid w:val="28456D01"/>
    <w:rsid w:val="285A51EC"/>
    <w:rsid w:val="286B48F8"/>
    <w:rsid w:val="287514DE"/>
    <w:rsid w:val="287A62F4"/>
    <w:rsid w:val="288F1004"/>
    <w:rsid w:val="289044A5"/>
    <w:rsid w:val="28A01F04"/>
    <w:rsid w:val="28A73082"/>
    <w:rsid w:val="28B759C6"/>
    <w:rsid w:val="28C9108B"/>
    <w:rsid w:val="28E9510B"/>
    <w:rsid w:val="28F3212D"/>
    <w:rsid w:val="28F50D48"/>
    <w:rsid w:val="28FF49E3"/>
    <w:rsid w:val="29092622"/>
    <w:rsid w:val="290C3EC6"/>
    <w:rsid w:val="29126EEE"/>
    <w:rsid w:val="29195476"/>
    <w:rsid w:val="291B38FD"/>
    <w:rsid w:val="292802D0"/>
    <w:rsid w:val="29382FF3"/>
    <w:rsid w:val="29480957"/>
    <w:rsid w:val="294C4DE4"/>
    <w:rsid w:val="294F6742"/>
    <w:rsid w:val="29550B72"/>
    <w:rsid w:val="29572599"/>
    <w:rsid w:val="295759FE"/>
    <w:rsid w:val="295947FA"/>
    <w:rsid w:val="297637DB"/>
    <w:rsid w:val="29920A52"/>
    <w:rsid w:val="29956D83"/>
    <w:rsid w:val="299662B0"/>
    <w:rsid w:val="29A820F0"/>
    <w:rsid w:val="29D90781"/>
    <w:rsid w:val="29DA0D44"/>
    <w:rsid w:val="29DB3845"/>
    <w:rsid w:val="29DF66E8"/>
    <w:rsid w:val="2A071046"/>
    <w:rsid w:val="2A080456"/>
    <w:rsid w:val="2A080FB5"/>
    <w:rsid w:val="2A352F8C"/>
    <w:rsid w:val="2A3F5A83"/>
    <w:rsid w:val="2A4878BF"/>
    <w:rsid w:val="2A522B7B"/>
    <w:rsid w:val="2A56648A"/>
    <w:rsid w:val="2A5970EF"/>
    <w:rsid w:val="2A66746B"/>
    <w:rsid w:val="2A68410B"/>
    <w:rsid w:val="2A7A581E"/>
    <w:rsid w:val="2A830A20"/>
    <w:rsid w:val="2A860B63"/>
    <w:rsid w:val="2A885971"/>
    <w:rsid w:val="2A937D46"/>
    <w:rsid w:val="2A9A4ACD"/>
    <w:rsid w:val="2A9D4207"/>
    <w:rsid w:val="2A9F43AD"/>
    <w:rsid w:val="2AA05348"/>
    <w:rsid w:val="2AAC0D24"/>
    <w:rsid w:val="2AC76AA5"/>
    <w:rsid w:val="2AC94307"/>
    <w:rsid w:val="2AD52E64"/>
    <w:rsid w:val="2AD544A7"/>
    <w:rsid w:val="2AD56F27"/>
    <w:rsid w:val="2AD84A19"/>
    <w:rsid w:val="2ADA55D1"/>
    <w:rsid w:val="2ADB4A3B"/>
    <w:rsid w:val="2AE7042C"/>
    <w:rsid w:val="2AEF6F70"/>
    <w:rsid w:val="2AF038EE"/>
    <w:rsid w:val="2B010E5C"/>
    <w:rsid w:val="2B037EB5"/>
    <w:rsid w:val="2B0F33E2"/>
    <w:rsid w:val="2B115B26"/>
    <w:rsid w:val="2B1D00B9"/>
    <w:rsid w:val="2B1D59B3"/>
    <w:rsid w:val="2B2738EF"/>
    <w:rsid w:val="2B276CE0"/>
    <w:rsid w:val="2B285689"/>
    <w:rsid w:val="2B3F539E"/>
    <w:rsid w:val="2B407AB0"/>
    <w:rsid w:val="2B464110"/>
    <w:rsid w:val="2B5C6F2E"/>
    <w:rsid w:val="2B606090"/>
    <w:rsid w:val="2B8721DC"/>
    <w:rsid w:val="2B914922"/>
    <w:rsid w:val="2B9A297C"/>
    <w:rsid w:val="2B9B3227"/>
    <w:rsid w:val="2BA42711"/>
    <w:rsid w:val="2BB34E4D"/>
    <w:rsid w:val="2BB9625B"/>
    <w:rsid w:val="2BD17DCC"/>
    <w:rsid w:val="2BD76A6A"/>
    <w:rsid w:val="2BDE4C53"/>
    <w:rsid w:val="2BE86AEF"/>
    <w:rsid w:val="2BFA048B"/>
    <w:rsid w:val="2C045501"/>
    <w:rsid w:val="2C0C24F8"/>
    <w:rsid w:val="2C0F12E9"/>
    <w:rsid w:val="2C1D1BDB"/>
    <w:rsid w:val="2C243763"/>
    <w:rsid w:val="2C2B423A"/>
    <w:rsid w:val="2C2E7F3A"/>
    <w:rsid w:val="2C355F6C"/>
    <w:rsid w:val="2C491642"/>
    <w:rsid w:val="2C625260"/>
    <w:rsid w:val="2C6A2E60"/>
    <w:rsid w:val="2C6E1401"/>
    <w:rsid w:val="2C75170C"/>
    <w:rsid w:val="2C8503B5"/>
    <w:rsid w:val="2C8A5DE6"/>
    <w:rsid w:val="2C952626"/>
    <w:rsid w:val="2CAC15FA"/>
    <w:rsid w:val="2CBC6D9A"/>
    <w:rsid w:val="2CBE70D3"/>
    <w:rsid w:val="2CC8777E"/>
    <w:rsid w:val="2CCD5ED9"/>
    <w:rsid w:val="2CEA60FF"/>
    <w:rsid w:val="2CEF51D1"/>
    <w:rsid w:val="2CF912E3"/>
    <w:rsid w:val="2CFF066C"/>
    <w:rsid w:val="2D030225"/>
    <w:rsid w:val="2D0E0759"/>
    <w:rsid w:val="2D1A7C35"/>
    <w:rsid w:val="2D1D4A7A"/>
    <w:rsid w:val="2D203E90"/>
    <w:rsid w:val="2D2A1E84"/>
    <w:rsid w:val="2D2E0EF8"/>
    <w:rsid w:val="2D3929EC"/>
    <w:rsid w:val="2D3C1349"/>
    <w:rsid w:val="2D4B75FB"/>
    <w:rsid w:val="2D5D04D4"/>
    <w:rsid w:val="2D7B3D35"/>
    <w:rsid w:val="2D830B88"/>
    <w:rsid w:val="2D842E85"/>
    <w:rsid w:val="2D8558BF"/>
    <w:rsid w:val="2D8C0979"/>
    <w:rsid w:val="2D8D2512"/>
    <w:rsid w:val="2D9B073A"/>
    <w:rsid w:val="2D9C0453"/>
    <w:rsid w:val="2DA163FC"/>
    <w:rsid w:val="2DA648A1"/>
    <w:rsid w:val="2DAA1F48"/>
    <w:rsid w:val="2DAD1687"/>
    <w:rsid w:val="2DB40DCE"/>
    <w:rsid w:val="2DD06D78"/>
    <w:rsid w:val="2DD4649C"/>
    <w:rsid w:val="2DDC34AA"/>
    <w:rsid w:val="2DDF698E"/>
    <w:rsid w:val="2DE109D2"/>
    <w:rsid w:val="2DE113D4"/>
    <w:rsid w:val="2DED5318"/>
    <w:rsid w:val="2DEF2532"/>
    <w:rsid w:val="2DFD77AA"/>
    <w:rsid w:val="2E1936D3"/>
    <w:rsid w:val="2E224CAB"/>
    <w:rsid w:val="2E3F575C"/>
    <w:rsid w:val="2E4A2B03"/>
    <w:rsid w:val="2E4C420F"/>
    <w:rsid w:val="2E5104FF"/>
    <w:rsid w:val="2E6D759A"/>
    <w:rsid w:val="2E7E7BD8"/>
    <w:rsid w:val="2E945C60"/>
    <w:rsid w:val="2E963248"/>
    <w:rsid w:val="2E991C65"/>
    <w:rsid w:val="2EA761E1"/>
    <w:rsid w:val="2EA76EDD"/>
    <w:rsid w:val="2EAA5952"/>
    <w:rsid w:val="2EB04149"/>
    <w:rsid w:val="2EC21A6B"/>
    <w:rsid w:val="2EDD121C"/>
    <w:rsid w:val="2EE11667"/>
    <w:rsid w:val="2EE80B5E"/>
    <w:rsid w:val="2EE953BF"/>
    <w:rsid w:val="2EF40184"/>
    <w:rsid w:val="2EF532A4"/>
    <w:rsid w:val="2EFA6D6B"/>
    <w:rsid w:val="2F173188"/>
    <w:rsid w:val="2F23785C"/>
    <w:rsid w:val="2F2C3DAB"/>
    <w:rsid w:val="2F4E2F1F"/>
    <w:rsid w:val="2F6F619C"/>
    <w:rsid w:val="2F8D44D6"/>
    <w:rsid w:val="2F980294"/>
    <w:rsid w:val="2FBA70F8"/>
    <w:rsid w:val="2FBE29B8"/>
    <w:rsid w:val="2FC521E6"/>
    <w:rsid w:val="2FD33E2B"/>
    <w:rsid w:val="2FD86C5C"/>
    <w:rsid w:val="2FDE0EF1"/>
    <w:rsid w:val="2FDE0FB8"/>
    <w:rsid w:val="2FEB18C0"/>
    <w:rsid w:val="2FEC137B"/>
    <w:rsid w:val="30062DE1"/>
    <w:rsid w:val="30075DC0"/>
    <w:rsid w:val="30083F9F"/>
    <w:rsid w:val="300A19B6"/>
    <w:rsid w:val="30197C97"/>
    <w:rsid w:val="301B6D10"/>
    <w:rsid w:val="302A13F4"/>
    <w:rsid w:val="303F0E98"/>
    <w:rsid w:val="30423C78"/>
    <w:rsid w:val="304A318A"/>
    <w:rsid w:val="30506FF0"/>
    <w:rsid w:val="305765F9"/>
    <w:rsid w:val="30611C29"/>
    <w:rsid w:val="30662EDC"/>
    <w:rsid w:val="3066563F"/>
    <w:rsid w:val="30695030"/>
    <w:rsid w:val="30737EA8"/>
    <w:rsid w:val="30815E64"/>
    <w:rsid w:val="308F24A2"/>
    <w:rsid w:val="308F60D0"/>
    <w:rsid w:val="3096065D"/>
    <w:rsid w:val="30AC42EE"/>
    <w:rsid w:val="30B052B1"/>
    <w:rsid w:val="30BC4D84"/>
    <w:rsid w:val="30CC4224"/>
    <w:rsid w:val="30D1059F"/>
    <w:rsid w:val="30D150A7"/>
    <w:rsid w:val="30E85D9A"/>
    <w:rsid w:val="30F552D2"/>
    <w:rsid w:val="310065E6"/>
    <w:rsid w:val="310336A2"/>
    <w:rsid w:val="31063069"/>
    <w:rsid w:val="310D3357"/>
    <w:rsid w:val="312D40D6"/>
    <w:rsid w:val="31431020"/>
    <w:rsid w:val="31552842"/>
    <w:rsid w:val="3156528A"/>
    <w:rsid w:val="315F76BB"/>
    <w:rsid w:val="316A6EBA"/>
    <w:rsid w:val="31742FCA"/>
    <w:rsid w:val="317953DC"/>
    <w:rsid w:val="318639C4"/>
    <w:rsid w:val="31886C1C"/>
    <w:rsid w:val="318D5C1C"/>
    <w:rsid w:val="318E3C43"/>
    <w:rsid w:val="31C8425B"/>
    <w:rsid w:val="31CC03E9"/>
    <w:rsid w:val="31D32DDB"/>
    <w:rsid w:val="31D70028"/>
    <w:rsid w:val="31D74D2B"/>
    <w:rsid w:val="31EA26F1"/>
    <w:rsid w:val="31EB406B"/>
    <w:rsid w:val="31EC203C"/>
    <w:rsid w:val="31FC2412"/>
    <w:rsid w:val="321063FE"/>
    <w:rsid w:val="321D1D09"/>
    <w:rsid w:val="322217EF"/>
    <w:rsid w:val="32224432"/>
    <w:rsid w:val="32256F9F"/>
    <w:rsid w:val="324035B3"/>
    <w:rsid w:val="3247433B"/>
    <w:rsid w:val="325838DB"/>
    <w:rsid w:val="325F5E35"/>
    <w:rsid w:val="327370F3"/>
    <w:rsid w:val="32753E70"/>
    <w:rsid w:val="32766055"/>
    <w:rsid w:val="328253C2"/>
    <w:rsid w:val="32834318"/>
    <w:rsid w:val="328708A3"/>
    <w:rsid w:val="32935FC0"/>
    <w:rsid w:val="329C2BF6"/>
    <w:rsid w:val="329D50FC"/>
    <w:rsid w:val="329F4A89"/>
    <w:rsid w:val="32A134A3"/>
    <w:rsid w:val="32A41F5B"/>
    <w:rsid w:val="32AE368A"/>
    <w:rsid w:val="32B17047"/>
    <w:rsid w:val="32B17B00"/>
    <w:rsid w:val="32B31CDC"/>
    <w:rsid w:val="32B868BF"/>
    <w:rsid w:val="32BE6B36"/>
    <w:rsid w:val="32C21399"/>
    <w:rsid w:val="32C3793D"/>
    <w:rsid w:val="32D92192"/>
    <w:rsid w:val="32E70D36"/>
    <w:rsid w:val="32F02198"/>
    <w:rsid w:val="32F04C94"/>
    <w:rsid w:val="33062B7E"/>
    <w:rsid w:val="33087F3C"/>
    <w:rsid w:val="330F01FA"/>
    <w:rsid w:val="331F3675"/>
    <w:rsid w:val="33203F6E"/>
    <w:rsid w:val="332059F6"/>
    <w:rsid w:val="33346158"/>
    <w:rsid w:val="333E78C4"/>
    <w:rsid w:val="3341007C"/>
    <w:rsid w:val="33594545"/>
    <w:rsid w:val="335E3DD5"/>
    <w:rsid w:val="336E4060"/>
    <w:rsid w:val="33767461"/>
    <w:rsid w:val="3388428F"/>
    <w:rsid w:val="338E0BE3"/>
    <w:rsid w:val="3395192B"/>
    <w:rsid w:val="339C526F"/>
    <w:rsid w:val="33A10AD5"/>
    <w:rsid w:val="33A50C84"/>
    <w:rsid w:val="33AF0BA1"/>
    <w:rsid w:val="33C05D1C"/>
    <w:rsid w:val="33C67E75"/>
    <w:rsid w:val="33C67F90"/>
    <w:rsid w:val="33D02909"/>
    <w:rsid w:val="33DC02A3"/>
    <w:rsid w:val="33E505BB"/>
    <w:rsid w:val="33F00D2C"/>
    <w:rsid w:val="33F3541C"/>
    <w:rsid w:val="33F76F32"/>
    <w:rsid w:val="33FA6E54"/>
    <w:rsid w:val="33FC1991"/>
    <w:rsid w:val="33FD4C08"/>
    <w:rsid w:val="340A048B"/>
    <w:rsid w:val="3415019E"/>
    <w:rsid w:val="34513A9C"/>
    <w:rsid w:val="34571D7E"/>
    <w:rsid w:val="345F0251"/>
    <w:rsid w:val="34725A3C"/>
    <w:rsid w:val="347A51A8"/>
    <w:rsid w:val="348815B6"/>
    <w:rsid w:val="349E6B0F"/>
    <w:rsid w:val="34B158B7"/>
    <w:rsid w:val="34B759D1"/>
    <w:rsid w:val="34BC08B9"/>
    <w:rsid w:val="34BC71CE"/>
    <w:rsid w:val="34C70739"/>
    <w:rsid w:val="34E71D25"/>
    <w:rsid w:val="34F622E1"/>
    <w:rsid w:val="350B741A"/>
    <w:rsid w:val="351425C9"/>
    <w:rsid w:val="352911D0"/>
    <w:rsid w:val="353F6679"/>
    <w:rsid w:val="354749D0"/>
    <w:rsid w:val="35566D28"/>
    <w:rsid w:val="355E228D"/>
    <w:rsid w:val="356A4EAB"/>
    <w:rsid w:val="357263A3"/>
    <w:rsid w:val="357B4DCC"/>
    <w:rsid w:val="358226A2"/>
    <w:rsid w:val="358C6480"/>
    <w:rsid w:val="358E4263"/>
    <w:rsid w:val="359421AA"/>
    <w:rsid w:val="35A60779"/>
    <w:rsid w:val="35AE7F68"/>
    <w:rsid w:val="35BA2C40"/>
    <w:rsid w:val="35C448BA"/>
    <w:rsid w:val="35D53D52"/>
    <w:rsid w:val="35E01304"/>
    <w:rsid w:val="35E825E5"/>
    <w:rsid w:val="35E9486B"/>
    <w:rsid w:val="35FB77CB"/>
    <w:rsid w:val="360D1CBF"/>
    <w:rsid w:val="361B4D46"/>
    <w:rsid w:val="362A205A"/>
    <w:rsid w:val="362A2555"/>
    <w:rsid w:val="36380BD6"/>
    <w:rsid w:val="36390C1D"/>
    <w:rsid w:val="36394E0A"/>
    <w:rsid w:val="3640148E"/>
    <w:rsid w:val="365D01E5"/>
    <w:rsid w:val="366F7F71"/>
    <w:rsid w:val="36766677"/>
    <w:rsid w:val="36834563"/>
    <w:rsid w:val="36846FAD"/>
    <w:rsid w:val="368F5AB8"/>
    <w:rsid w:val="36912DE6"/>
    <w:rsid w:val="36A5631B"/>
    <w:rsid w:val="36B6669E"/>
    <w:rsid w:val="36BB08C6"/>
    <w:rsid w:val="36BC27CC"/>
    <w:rsid w:val="36C847CF"/>
    <w:rsid w:val="36EF11FC"/>
    <w:rsid w:val="36F277D5"/>
    <w:rsid w:val="36FB0380"/>
    <w:rsid w:val="370F7803"/>
    <w:rsid w:val="37102198"/>
    <w:rsid w:val="37141C3E"/>
    <w:rsid w:val="371B4BA1"/>
    <w:rsid w:val="371C49CC"/>
    <w:rsid w:val="372E0843"/>
    <w:rsid w:val="3730666A"/>
    <w:rsid w:val="373070BF"/>
    <w:rsid w:val="373D27F3"/>
    <w:rsid w:val="37426B20"/>
    <w:rsid w:val="37431485"/>
    <w:rsid w:val="377448E7"/>
    <w:rsid w:val="378B6A03"/>
    <w:rsid w:val="37933D0B"/>
    <w:rsid w:val="37936F55"/>
    <w:rsid w:val="37974492"/>
    <w:rsid w:val="379D17E0"/>
    <w:rsid w:val="379D5C05"/>
    <w:rsid w:val="37A01C19"/>
    <w:rsid w:val="37B12555"/>
    <w:rsid w:val="37B33425"/>
    <w:rsid w:val="37D9344A"/>
    <w:rsid w:val="37ED4E89"/>
    <w:rsid w:val="37F2006D"/>
    <w:rsid w:val="37F31C09"/>
    <w:rsid w:val="38157093"/>
    <w:rsid w:val="383E0C83"/>
    <w:rsid w:val="383E2FEB"/>
    <w:rsid w:val="385965AA"/>
    <w:rsid w:val="385D345E"/>
    <w:rsid w:val="38621F23"/>
    <w:rsid w:val="38776195"/>
    <w:rsid w:val="387C342C"/>
    <w:rsid w:val="387D4E34"/>
    <w:rsid w:val="38B12A39"/>
    <w:rsid w:val="38C5263D"/>
    <w:rsid w:val="38C80707"/>
    <w:rsid w:val="38E00948"/>
    <w:rsid w:val="38E2331B"/>
    <w:rsid w:val="38EC1A9A"/>
    <w:rsid w:val="38EE4976"/>
    <w:rsid w:val="38F6157A"/>
    <w:rsid w:val="39045055"/>
    <w:rsid w:val="390F41CF"/>
    <w:rsid w:val="39263ECB"/>
    <w:rsid w:val="39364E53"/>
    <w:rsid w:val="39427E0D"/>
    <w:rsid w:val="395320EE"/>
    <w:rsid w:val="3966323D"/>
    <w:rsid w:val="39884828"/>
    <w:rsid w:val="39903717"/>
    <w:rsid w:val="399E6030"/>
    <w:rsid w:val="39AD3EA6"/>
    <w:rsid w:val="39C85128"/>
    <w:rsid w:val="39D263A7"/>
    <w:rsid w:val="39E4038F"/>
    <w:rsid w:val="39EC229F"/>
    <w:rsid w:val="3A0612E2"/>
    <w:rsid w:val="3A4A5818"/>
    <w:rsid w:val="3A4D0978"/>
    <w:rsid w:val="3A4D2A17"/>
    <w:rsid w:val="3A52002D"/>
    <w:rsid w:val="3A5B73DB"/>
    <w:rsid w:val="3A6130BC"/>
    <w:rsid w:val="3A731CC1"/>
    <w:rsid w:val="3A80627E"/>
    <w:rsid w:val="3A8A04FD"/>
    <w:rsid w:val="3AAF1923"/>
    <w:rsid w:val="3AB01C62"/>
    <w:rsid w:val="3AB15A7E"/>
    <w:rsid w:val="3AB76930"/>
    <w:rsid w:val="3ACA3A17"/>
    <w:rsid w:val="3AEC7365"/>
    <w:rsid w:val="3AF7647B"/>
    <w:rsid w:val="3AF775AA"/>
    <w:rsid w:val="3B0E4BDE"/>
    <w:rsid w:val="3B1C26B8"/>
    <w:rsid w:val="3B441B9E"/>
    <w:rsid w:val="3B486A83"/>
    <w:rsid w:val="3B493692"/>
    <w:rsid w:val="3B5C0CC6"/>
    <w:rsid w:val="3B652E21"/>
    <w:rsid w:val="3B6976F2"/>
    <w:rsid w:val="3B7229B7"/>
    <w:rsid w:val="3B8667AC"/>
    <w:rsid w:val="3B917200"/>
    <w:rsid w:val="3B967DCE"/>
    <w:rsid w:val="3B9B1955"/>
    <w:rsid w:val="3B9C6609"/>
    <w:rsid w:val="3BB1322E"/>
    <w:rsid w:val="3BCD29FC"/>
    <w:rsid w:val="3BDA2924"/>
    <w:rsid w:val="3BDA47C6"/>
    <w:rsid w:val="3BDB3031"/>
    <w:rsid w:val="3BE745A1"/>
    <w:rsid w:val="3BEE12C0"/>
    <w:rsid w:val="3BF85C52"/>
    <w:rsid w:val="3C0972FA"/>
    <w:rsid w:val="3C0E18DF"/>
    <w:rsid w:val="3C0E46FB"/>
    <w:rsid w:val="3C2D1207"/>
    <w:rsid w:val="3C2D1B90"/>
    <w:rsid w:val="3C2F0D82"/>
    <w:rsid w:val="3C2F4C8D"/>
    <w:rsid w:val="3C3F7C64"/>
    <w:rsid w:val="3C4318C3"/>
    <w:rsid w:val="3C49170C"/>
    <w:rsid w:val="3C4A2B39"/>
    <w:rsid w:val="3C4B0F00"/>
    <w:rsid w:val="3C5B0582"/>
    <w:rsid w:val="3C68445C"/>
    <w:rsid w:val="3C7C6FA6"/>
    <w:rsid w:val="3C885A3C"/>
    <w:rsid w:val="3C921EBB"/>
    <w:rsid w:val="3C9641CE"/>
    <w:rsid w:val="3C9D2F18"/>
    <w:rsid w:val="3CAF3F2C"/>
    <w:rsid w:val="3CB76734"/>
    <w:rsid w:val="3CBD0191"/>
    <w:rsid w:val="3CE30CB5"/>
    <w:rsid w:val="3D07245B"/>
    <w:rsid w:val="3D0B2306"/>
    <w:rsid w:val="3D102973"/>
    <w:rsid w:val="3D246381"/>
    <w:rsid w:val="3D274CC7"/>
    <w:rsid w:val="3D2A743C"/>
    <w:rsid w:val="3D32496D"/>
    <w:rsid w:val="3D356A7E"/>
    <w:rsid w:val="3D375F58"/>
    <w:rsid w:val="3D3C536B"/>
    <w:rsid w:val="3D416075"/>
    <w:rsid w:val="3D5D745F"/>
    <w:rsid w:val="3D654925"/>
    <w:rsid w:val="3D6E28E2"/>
    <w:rsid w:val="3D8B7F79"/>
    <w:rsid w:val="3D9027B9"/>
    <w:rsid w:val="3D963215"/>
    <w:rsid w:val="3DA46C00"/>
    <w:rsid w:val="3DBA1B25"/>
    <w:rsid w:val="3DC6039D"/>
    <w:rsid w:val="3DCB3E2D"/>
    <w:rsid w:val="3DDA65F5"/>
    <w:rsid w:val="3DEC1682"/>
    <w:rsid w:val="3DF433E6"/>
    <w:rsid w:val="3DF72802"/>
    <w:rsid w:val="3DFA6F4A"/>
    <w:rsid w:val="3E044D3E"/>
    <w:rsid w:val="3E174533"/>
    <w:rsid w:val="3E412568"/>
    <w:rsid w:val="3E460843"/>
    <w:rsid w:val="3E4A629A"/>
    <w:rsid w:val="3E502AB5"/>
    <w:rsid w:val="3E5C0C4F"/>
    <w:rsid w:val="3E66087E"/>
    <w:rsid w:val="3E661616"/>
    <w:rsid w:val="3E763A1F"/>
    <w:rsid w:val="3E7E017D"/>
    <w:rsid w:val="3E80404A"/>
    <w:rsid w:val="3E810F84"/>
    <w:rsid w:val="3E8F625B"/>
    <w:rsid w:val="3E9431A8"/>
    <w:rsid w:val="3E970603"/>
    <w:rsid w:val="3E996B99"/>
    <w:rsid w:val="3EA93808"/>
    <w:rsid w:val="3EBF738E"/>
    <w:rsid w:val="3ED35327"/>
    <w:rsid w:val="3EDB4EEC"/>
    <w:rsid w:val="3EE201C7"/>
    <w:rsid w:val="3EF25E95"/>
    <w:rsid w:val="3EFD58F1"/>
    <w:rsid w:val="3F0702B3"/>
    <w:rsid w:val="3F0F34B4"/>
    <w:rsid w:val="3F120FDD"/>
    <w:rsid w:val="3F1C0C63"/>
    <w:rsid w:val="3F1C5781"/>
    <w:rsid w:val="3F2631E5"/>
    <w:rsid w:val="3F3801D7"/>
    <w:rsid w:val="3F404933"/>
    <w:rsid w:val="3F496250"/>
    <w:rsid w:val="3F4D4873"/>
    <w:rsid w:val="3F56074C"/>
    <w:rsid w:val="3F561C01"/>
    <w:rsid w:val="3F564CEF"/>
    <w:rsid w:val="3F7432D2"/>
    <w:rsid w:val="3F7F62C5"/>
    <w:rsid w:val="3F930FE2"/>
    <w:rsid w:val="3F977746"/>
    <w:rsid w:val="3F9C2DDB"/>
    <w:rsid w:val="3FA916C0"/>
    <w:rsid w:val="3FE076E2"/>
    <w:rsid w:val="3FF426F9"/>
    <w:rsid w:val="3FF42A8C"/>
    <w:rsid w:val="3FF51F0C"/>
    <w:rsid w:val="3FFE797F"/>
    <w:rsid w:val="400A1DC9"/>
    <w:rsid w:val="4012152C"/>
    <w:rsid w:val="401307EE"/>
    <w:rsid w:val="40146C8D"/>
    <w:rsid w:val="40173940"/>
    <w:rsid w:val="401D10DD"/>
    <w:rsid w:val="401E37C3"/>
    <w:rsid w:val="40275C8D"/>
    <w:rsid w:val="402A1928"/>
    <w:rsid w:val="4032619B"/>
    <w:rsid w:val="403A141A"/>
    <w:rsid w:val="403E6DD1"/>
    <w:rsid w:val="40416B7A"/>
    <w:rsid w:val="40496597"/>
    <w:rsid w:val="40695C55"/>
    <w:rsid w:val="406C4800"/>
    <w:rsid w:val="406F61E1"/>
    <w:rsid w:val="40757EB7"/>
    <w:rsid w:val="40A23281"/>
    <w:rsid w:val="40AA6F66"/>
    <w:rsid w:val="40B33DB0"/>
    <w:rsid w:val="40C7778D"/>
    <w:rsid w:val="40CB0B39"/>
    <w:rsid w:val="40CD5CF7"/>
    <w:rsid w:val="40CE1740"/>
    <w:rsid w:val="40CE6D21"/>
    <w:rsid w:val="40D84C0F"/>
    <w:rsid w:val="40DB78CE"/>
    <w:rsid w:val="40E272EB"/>
    <w:rsid w:val="40FD4A2D"/>
    <w:rsid w:val="410D3922"/>
    <w:rsid w:val="41212F19"/>
    <w:rsid w:val="412763FB"/>
    <w:rsid w:val="4129237E"/>
    <w:rsid w:val="412E105F"/>
    <w:rsid w:val="41310572"/>
    <w:rsid w:val="413E727C"/>
    <w:rsid w:val="414372AF"/>
    <w:rsid w:val="414B40B0"/>
    <w:rsid w:val="41545E6A"/>
    <w:rsid w:val="415477B3"/>
    <w:rsid w:val="415A7D0B"/>
    <w:rsid w:val="41632BA9"/>
    <w:rsid w:val="4170379F"/>
    <w:rsid w:val="41723974"/>
    <w:rsid w:val="417A51D0"/>
    <w:rsid w:val="417A55C8"/>
    <w:rsid w:val="41880BC3"/>
    <w:rsid w:val="41921860"/>
    <w:rsid w:val="4195076B"/>
    <w:rsid w:val="41A302C1"/>
    <w:rsid w:val="41AD0B2D"/>
    <w:rsid w:val="41CF1708"/>
    <w:rsid w:val="41DA7123"/>
    <w:rsid w:val="41DC7951"/>
    <w:rsid w:val="41DD31BF"/>
    <w:rsid w:val="41DD5729"/>
    <w:rsid w:val="41FB2F29"/>
    <w:rsid w:val="420430D2"/>
    <w:rsid w:val="420544AA"/>
    <w:rsid w:val="42083495"/>
    <w:rsid w:val="42124088"/>
    <w:rsid w:val="421A2534"/>
    <w:rsid w:val="422252B2"/>
    <w:rsid w:val="42275FA6"/>
    <w:rsid w:val="423D2D21"/>
    <w:rsid w:val="42406D66"/>
    <w:rsid w:val="42420C0B"/>
    <w:rsid w:val="4257488B"/>
    <w:rsid w:val="42606C91"/>
    <w:rsid w:val="426E620B"/>
    <w:rsid w:val="42817701"/>
    <w:rsid w:val="42832011"/>
    <w:rsid w:val="42956078"/>
    <w:rsid w:val="4296251C"/>
    <w:rsid w:val="429A57F9"/>
    <w:rsid w:val="429C5E42"/>
    <w:rsid w:val="42B00CBD"/>
    <w:rsid w:val="42B97AB8"/>
    <w:rsid w:val="42CA060B"/>
    <w:rsid w:val="42D537A6"/>
    <w:rsid w:val="42DE14CD"/>
    <w:rsid w:val="42E04AF7"/>
    <w:rsid w:val="42E507B7"/>
    <w:rsid w:val="42EA5494"/>
    <w:rsid w:val="42ED54FA"/>
    <w:rsid w:val="42F746D7"/>
    <w:rsid w:val="430022EA"/>
    <w:rsid w:val="43034860"/>
    <w:rsid w:val="43292FE0"/>
    <w:rsid w:val="432A3E57"/>
    <w:rsid w:val="433E286F"/>
    <w:rsid w:val="4364061F"/>
    <w:rsid w:val="4377624E"/>
    <w:rsid w:val="437A2DB7"/>
    <w:rsid w:val="4386138A"/>
    <w:rsid w:val="43883DE8"/>
    <w:rsid w:val="43884017"/>
    <w:rsid w:val="43961CE6"/>
    <w:rsid w:val="43AC03A9"/>
    <w:rsid w:val="43B577C0"/>
    <w:rsid w:val="43C9011E"/>
    <w:rsid w:val="43D8683C"/>
    <w:rsid w:val="43DA7442"/>
    <w:rsid w:val="43E45475"/>
    <w:rsid w:val="43E95D84"/>
    <w:rsid w:val="43EB73CE"/>
    <w:rsid w:val="43ED674B"/>
    <w:rsid w:val="43F856FD"/>
    <w:rsid w:val="44055C49"/>
    <w:rsid w:val="440B5B7E"/>
    <w:rsid w:val="440B5F91"/>
    <w:rsid w:val="44110203"/>
    <w:rsid w:val="44112A91"/>
    <w:rsid w:val="44125FAE"/>
    <w:rsid w:val="441A57D0"/>
    <w:rsid w:val="441C7E51"/>
    <w:rsid w:val="4426348F"/>
    <w:rsid w:val="443B0875"/>
    <w:rsid w:val="443B1AB2"/>
    <w:rsid w:val="44416F27"/>
    <w:rsid w:val="444C46C1"/>
    <w:rsid w:val="444C6713"/>
    <w:rsid w:val="44504925"/>
    <w:rsid w:val="445C6D60"/>
    <w:rsid w:val="44702CBC"/>
    <w:rsid w:val="448B2AB9"/>
    <w:rsid w:val="44A514B2"/>
    <w:rsid w:val="44AD2B45"/>
    <w:rsid w:val="44AE45CC"/>
    <w:rsid w:val="44B022CD"/>
    <w:rsid w:val="44B70CCF"/>
    <w:rsid w:val="44BC089C"/>
    <w:rsid w:val="44CD3363"/>
    <w:rsid w:val="44D60670"/>
    <w:rsid w:val="44EE534A"/>
    <w:rsid w:val="44EF4775"/>
    <w:rsid w:val="44F734B0"/>
    <w:rsid w:val="44FD2E6C"/>
    <w:rsid w:val="44FF34A7"/>
    <w:rsid w:val="45076CFC"/>
    <w:rsid w:val="450D206A"/>
    <w:rsid w:val="450F1090"/>
    <w:rsid w:val="4528634B"/>
    <w:rsid w:val="45312B8D"/>
    <w:rsid w:val="45527DE8"/>
    <w:rsid w:val="45532760"/>
    <w:rsid w:val="455F4293"/>
    <w:rsid w:val="45625A22"/>
    <w:rsid w:val="456673FC"/>
    <w:rsid w:val="45725B7C"/>
    <w:rsid w:val="457B0B90"/>
    <w:rsid w:val="458508AE"/>
    <w:rsid w:val="459E159E"/>
    <w:rsid w:val="45A02280"/>
    <w:rsid w:val="45A12576"/>
    <w:rsid w:val="45A57E2D"/>
    <w:rsid w:val="45A9509B"/>
    <w:rsid w:val="45AE4E93"/>
    <w:rsid w:val="45C15505"/>
    <w:rsid w:val="45CB3E85"/>
    <w:rsid w:val="45D01424"/>
    <w:rsid w:val="45D06F8E"/>
    <w:rsid w:val="45D47375"/>
    <w:rsid w:val="45D90E5B"/>
    <w:rsid w:val="45E44090"/>
    <w:rsid w:val="45F310AF"/>
    <w:rsid w:val="45F43AC4"/>
    <w:rsid w:val="45F713E5"/>
    <w:rsid w:val="4627712E"/>
    <w:rsid w:val="463D77FC"/>
    <w:rsid w:val="46404B5A"/>
    <w:rsid w:val="46523E20"/>
    <w:rsid w:val="46645944"/>
    <w:rsid w:val="46710CB8"/>
    <w:rsid w:val="46836DB9"/>
    <w:rsid w:val="468576D5"/>
    <w:rsid w:val="46883244"/>
    <w:rsid w:val="469A54D9"/>
    <w:rsid w:val="46AE2665"/>
    <w:rsid w:val="46B1345C"/>
    <w:rsid w:val="46BE2771"/>
    <w:rsid w:val="46C30B72"/>
    <w:rsid w:val="46D47307"/>
    <w:rsid w:val="46E577A3"/>
    <w:rsid w:val="46EB29A5"/>
    <w:rsid w:val="46EB6D1D"/>
    <w:rsid w:val="46EC1711"/>
    <w:rsid w:val="46F86DC4"/>
    <w:rsid w:val="46FC37FA"/>
    <w:rsid w:val="47015BF3"/>
    <w:rsid w:val="470628CB"/>
    <w:rsid w:val="471A63D0"/>
    <w:rsid w:val="47237229"/>
    <w:rsid w:val="472D7BE7"/>
    <w:rsid w:val="472F182C"/>
    <w:rsid w:val="473E3158"/>
    <w:rsid w:val="47403290"/>
    <w:rsid w:val="47430BB8"/>
    <w:rsid w:val="4752632B"/>
    <w:rsid w:val="47613A7F"/>
    <w:rsid w:val="47664E5B"/>
    <w:rsid w:val="476D2B18"/>
    <w:rsid w:val="47702EA5"/>
    <w:rsid w:val="47780F93"/>
    <w:rsid w:val="47827D73"/>
    <w:rsid w:val="4785079C"/>
    <w:rsid w:val="478D6B48"/>
    <w:rsid w:val="4791693B"/>
    <w:rsid w:val="47920698"/>
    <w:rsid w:val="47952D9D"/>
    <w:rsid w:val="47AB1EC5"/>
    <w:rsid w:val="47AF1DE4"/>
    <w:rsid w:val="47B26B47"/>
    <w:rsid w:val="47B40579"/>
    <w:rsid w:val="47B64EC1"/>
    <w:rsid w:val="47B732CA"/>
    <w:rsid w:val="47C2233D"/>
    <w:rsid w:val="47D32ADC"/>
    <w:rsid w:val="47F35EA9"/>
    <w:rsid w:val="47FF0E1B"/>
    <w:rsid w:val="480B5ABB"/>
    <w:rsid w:val="481F0194"/>
    <w:rsid w:val="4824705B"/>
    <w:rsid w:val="482F7AF1"/>
    <w:rsid w:val="48360F8E"/>
    <w:rsid w:val="48403BBB"/>
    <w:rsid w:val="484A1BD2"/>
    <w:rsid w:val="48506C29"/>
    <w:rsid w:val="48542F53"/>
    <w:rsid w:val="48665AA4"/>
    <w:rsid w:val="486830E2"/>
    <w:rsid w:val="486956FF"/>
    <w:rsid w:val="487E055B"/>
    <w:rsid w:val="487E78BC"/>
    <w:rsid w:val="488B6CD8"/>
    <w:rsid w:val="48982832"/>
    <w:rsid w:val="489B4D3C"/>
    <w:rsid w:val="48C67C7E"/>
    <w:rsid w:val="48CE780C"/>
    <w:rsid w:val="48D02088"/>
    <w:rsid w:val="48DE5761"/>
    <w:rsid w:val="48F363A9"/>
    <w:rsid w:val="48F6341B"/>
    <w:rsid w:val="48FE7B22"/>
    <w:rsid w:val="4903083E"/>
    <w:rsid w:val="49036D2E"/>
    <w:rsid w:val="49093D83"/>
    <w:rsid w:val="490D6D69"/>
    <w:rsid w:val="49226461"/>
    <w:rsid w:val="49267254"/>
    <w:rsid w:val="49577ED5"/>
    <w:rsid w:val="495D4386"/>
    <w:rsid w:val="496269C9"/>
    <w:rsid w:val="49664EA9"/>
    <w:rsid w:val="4969309A"/>
    <w:rsid w:val="496B74EE"/>
    <w:rsid w:val="4976022A"/>
    <w:rsid w:val="49853805"/>
    <w:rsid w:val="498A5BAF"/>
    <w:rsid w:val="498D2ADF"/>
    <w:rsid w:val="498F4509"/>
    <w:rsid w:val="499353F1"/>
    <w:rsid w:val="499E413B"/>
    <w:rsid w:val="49A049A4"/>
    <w:rsid w:val="49B30ECE"/>
    <w:rsid w:val="49B97696"/>
    <w:rsid w:val="49BB179A"/>
    <w:rsid w:val="49BC5F12"/>
    <w:rsid w:val="49BF3A1B"/>
    <w:rsid w:val="49C103D4"/>
    <w:rsid w:val="49C232F1"/>
    <w:rsid w:val="49CE0811"/>
    <w:rsid w:val="49CE112B"/>
    <w:rsid w:val="49EA2C03"/>
    <w:rsid w:val="49EE107F"/>
    <w:rsid w:val="49F41B6C"/>
    <w:rsid w:val="4A016425"/>
    <w:rsid w:val="4A0372B8"/>
    <w:rsid w:val="4A042B54"/>
    <w:rsid w:val="4A046112"/>
    <w:rsid w:val="4A0976FE"/>
    <w:rsid w:val="4A0C4F7A"/>
    <w:rsid w:val="4A1268F2"/>
    <w:rsid w:val="4A1C1F75"/>
    <w:rsid w:val="4A1E6A6E"/>
    <w:rsid w:val="4A2974B3"/>
    <w:rsid w:val="4A4017F1"/>
    <w:rsid w:val="4A4C14EE"/>
    <w:rsid w:val="4A4F0782"/>
    <w:rsid w:val="4A60269A"/>
    <w:rsid w:val="4A671210"/>
    <w:rsid w:val="4A7D6573"/>
    <w:rsid w:val="4A853E32"/>
    <w:rsid w:val="4A8E7EF9"/>
    <w:rsid w:val="4AC11580"/>
    <w:rsid w:val="4AC15A4E"/>
    <w:rsid w:val="4ADC4B0E"/>
    <w:rsid w:val="4AE7372B"/>
    <w:rsid w:val="4AEB1CB8"/>
    <w:rsid w:val="4AEE4965"/>
    <w:rsid w:val="4AEF3676"/>
    <w:rsid w:val="4AF15640"/>
    <w:rsid w:val="4AFD3666"/>
    <w:rsid w:val="4AFD4718"/>
    <w:rsid w:val="4B022D78"/>
    <w:rsid w:val="4B135458"/>
    <w:rsid w:val="4B1556C7"/>
    <w:rsid w:val="4B1D152D"/>
    <w:rsid w:val="4B232B07"/>
    <w:rsid w:val="4B3652C6"/>
    <w:rsid w:val="4B3C1BC9"/>
    <w:rsid w:val="4B486267"/>
    <w:rsid w:val="4B494027"/>
    <w:rsid w:val="4B4F3649"/>
    <w:rsid w:val="4B5237E3"/>
    <w:rsid w:val="4B5272D4"/>
    <w:rsid w:val="4B5A5175"/>
    <w:rsid w:val="4B5B330B"/>
    <w:rsid w:val="4B62453E"/>
    <w:rsid w:val="4B631C77"/>
    <w:rsid w:val="4B8206CD"/>
    <w:rsid w:val="4B897789"/>
    <w:rsid w:val="4B966D86"/>
    <w:rsid w:val="4B98690B"/>
    <w:rsid w:val="4B990B66"/>
    <w:rsid w:val="4BAA2B08"/>
    <w:rsid w:val="4BAA4DCE"/>
    <w:rsid w:val="4BB022D7"/>
    <w:rsid w:val="4BB3009C"/>
    <w:rsid w:val="4BC879F1"/>
    <w:rsid w:val="4BD50972"/>
    <w:rsid w:val="4BDB0CCE"/>
    <w:rsid w:val="4BDC40DC"/>
    <w:rsid w:val="4BF25CE4"/>
    <w:rsid w:val="4BF87A6D"/>
    <w:rsid w:val="4C033703"/>
    <w:rsid w:val="4C105A19"/>
    <w:rsid w:val="4C2061DD"/>
    <w:rsid w:val="4C245941"/>
    <w:rsid w:val="4C38071E"/>
    <w:rsid w:val="4C396201"/>
    <w:rsid w:val="4C3D1BE2"/>
    <w:rsid w:val="4C4D1EC8"/>
    <w:rsid w:val="4C516396"/>
    <w:rsid w:val="4C6F6296"/>
    <w:rsid w:val="4C7A6B3C"/>
    <w:rsid w:val="4C816111"/>
    <w:rsid w:val="4C935B3A"/>
    <w:rsid w:val="4C95425E"/>
    <w:rsid w:val="4CBB7E1D"/>
    <w:rsid w:val="4CBF5632"/>
    <w:rsid w:val="4CC505BA"/>
    <w:rsid w:val="4CC85527"/>
    <w:rsid w:val="4CD436E2"/>
    <w:rsid w:val="4CF018B7"/>
    <w:rsid w:val="4D043746"/>
    <w:rsid w:val="4D427EC3"/>
    <w:rsid w:val="4D502340"/>
    <w:rsid w:val="4D6921CC"/>
    <w:rsid w:val="4D75590C"/>
    <w:rsid w:val="4D7713BC"/>
    <w:rsid w:val="4D870D81"/>
    <w:rsid w:val="4D912FAE"/>
    <w:rsid w:val="4D9322F7"/>
    <w:rsid w:val="4D9C0343"/>
    <w:rsid w:val="4D9D0219"/>
    <w:rsid w:val="4DA45B06"/>
    <w:rsid w:val="4DD16F12"/>
    <w:rsid w:val="4DE57185"/>
    <w:rsid w:val="4DEF3FD2"/>
    <w:rsid w:val="4DF53699"/>
    <w:rsid w:val="4DF634EA"/>
    <w:rsid w:val="4E032F00"/>
    <w:rsid w:val="4E0E7812"/>
    <w:rsid w:val="4E131B24"/>
    <w:rsid w:val="4E2A1383"/>
    <w:rsid w:val="4E335CB0"/>
    <w:rsid w:val="4E377377"/>
    <w:rsid w:val="4E39204D"/>
    <w:rsid w:val="4E3F11E5"/>
    <w:rsid w:val="4E4B7997"/>
    <w:rsid w:val="4E684A33"/>
    <w:rsid w:val="4E7628F4"/>
    <w:rsid w:val="4E7C3D10"/>
    <w:rsid w:val="4E853C5F"/>
    <w:rsid w:val="4E9F2EB4"/>
    <w:rsid w:val="4EA5257F"/>
    <w:rsid w:val="4EB955A4"/>
    <w:rsid w:val="4EC11762"/>
    <w:rsid w:val="4EC22273"/>
    <w:rsid w:val="4ECC00AA"/>
    <w:rsid w:val="4ED05701"/>
    <w:rsid w:val="4EEA4880"/>
    <w:rsid w:val="4EEB7C4E"/>
    <w:rsid w:val="4F065A52"/>
    <w:rsid w:val="4F0D1780"/>
    <w:rsid w:val="4F2958DD"/>
    <w:rsid w:val="4F32014F"/>
    <w:rsid w:val="4F4B7D24"/>
    <w:rsid w:val="4F540685"/>
    <w:rsid w:val="4F56045A"/>
    <w:rsid w:val="4F650FF5"/>
    <w:rsid w:val="4F6747D3"/>
    <w:rsid w:val="4F6927ED"/>
    <w:rsid w:val="4F694C67"/>
    <w:rsid w:val="4F6C7E93"/>
    <w:rsid w:val="4F700558"/>
    <w:rsid w:val="4F770F8A"/>
    <w:rsid w:val="4F834505"/>
    <w:rsid w:val="4F8F5488"/>
    <w:rsid w:val="4FCB1647"/>
    <w:rsid w:val="4FCC4892"/>
    <w:rsid w:val="4FD00F7F"/>
    <w:rsid w:val="4FD74093"/>
    <w:rsid w:val="4FDE0813"/>
    <w:rsid w:val="4FE00420"/>
    <w:rsid w:val="4FE030E2"/>
    <w:rsid w:val="4FE2490D"/>
    <w:rsid w:val="4FEA72E7"/>
    <w:rsid w:val="4FF236CE"/>
    <w:rsid w:val="5007155F"/>
    <w:rsid w:val="500E4812"/>
    <w:rsid w:val="50166ECB"/>
    <w:rsid w:val="5019288D"/>
    <w:rsid w:val="50226F4F"/>
    <w:rsid w:val="502604B3"/>
    <w:rsid w:val="502D08E1"/>
    <w:rsid w:val="502E38F9"/>
    <w:rsid w:val="5045161E"/>
    <w:rsid w:val="50583103"/>
    <w:rsid w:val="506A482B"/>
    <w:rsid w:val="506B6AC6"/>
    <w:rsid w:val="50774C77"/>
    <w:rsid w:val="50782FE3"/>
    <w:rsid w:val="508304EF"/>
    <w:rsid w:val="50917274"/>
    <w:rsid w:val="5095081C"/>
    <w:rsid w:val="509A2F79"/>
    <w:rsid w:val="509D55CD"/>
    <w:rsid w:val="50A12326"/>
    <w:rsid w:val="50A54D78"/>
    <w:rsid w:val="50D04F09"/>
    <w:rsid w:val="50D432DF"/>
    <w:rsid w:val="50E43CFE"/>
    <w:rsid w:val="50E93612"/>
    <w:rsid w:val="5101721E"/>
    <w:rsid w:val="51054037"/>
    <w:rsid w:val="51083494"/>
    <w:rsid w:val="511552EC"/>
    <w:rsid w:val="511B7CBC"/>
    <w:rsid w:val="51202A35"/>
    <w:rsid w:val="51493243"/>
    <w:rsid w:val="51524B16"/>
    <w:rsid w:val="5153314F"/>
    <w:rsid w:val="51536C3D"/>
    <w:rsid w:val="515D63DC"/>
    <w:rsid w:val="51732259"/>
    <w:rsid w:val="517B4F01"/>
    <w:rsid w:val="51AE36C5"/>
    <w:rsid w:val="51AE5E5D"/>
    <w:rsid w:val="51B301C3"/>
    <w:rsid w:val="51C036D6"/>
    <w:rsid w:val="51CC5EBF"/>
    <w:rsid w:val="51D30517"/>
    <w:rsid w:val="51D95E45"/>
    <w:rsid w:val="51DC6AB8"/>
    <w:rsid w:val="51EE05B6"/>
    <w:rsid w:val="51F25DEF"/>
    <w:rsid w:val="520C4DEF"/>
    <w:rsid w:val="52171E85"/>
    <w:rsid w:val="522A2A00"/>
    <w:rsid w:val="522C45E0"/>
    <w:rsid w:val="522C7792"/>
    <w:rsid w:val="523479BC"/>
    <w:rsid w:val="5251767B"/>
    <w:rsid w:val="52535AB9"/>
    <w:rsid w:val="52603884"/>
    <w:rsid w:val="52783925"/>
    <w:rsid w:val="527C2318"/>
    <w:rsid w:val="52826353"/>
    <w:rsid w:val="528642F6"/>
    <w:rsid w:val="5294522F"/>
    <w:rsid w:val="529A349E"/>
    <w:rsid w:val="52B34C64"/>
    <w:rsid w:val="52C250C8"/>
    <w:rsid w:val="52C503EC"/>
    <w:rsid w:val="52D17816"/>
    <w:rsid w:val="52D63354"/>
    <w:rsid w:val="52DE69FB"/>
    <w:rsid w:val="52EC11CB"/>
    <w:rsid w:val="52F12D30"/>
    <w:rsid w:val="52F755F7"/>
    <w:rsid w:val="52FC2210"/>
    <w:rsid w:val="5304690D"/>
    <w:rsid w:val="53091A2D"/>
    <w:rsid w:val="532C5643"/>
    <w:rsid w:val="53305343"/>
    <w:rsid w:val="53421FFE"/>
    <w:rsid w:val="53572610"/>
    <w:rsid w:val="535B20A4"/>
    <w:rsid w:val="53610832"/>
    <w:rsid w:val="53762B86"/>
    <w:rsid w:val="53777470"/>
    <w:rsid w:val="537E1079"/>
    <w:rsid w:val="538163F6"/>
    <w:rsid w:val="538A7B71"/>
    <w:rsid w:val="53921FD7"/>
    <w:rsid w:val="53930586"/>
    <w:rsid w:val="53947B04"/>
    <w:rsid w:val="539A6820"/>
    <w:rsid w:val="53A055D3"/>
    <w:rsid w:val="53A205BB"/>
    <w:rsid w:val="53AF50FB"/>
    <w:rsid w:val="53B151E0"/>
    <w:rsid w:val="53B632B8"/>
    <w:rsid w:val="53BB50E8"/>
    <w:rsid w:val="53C04581"/>
    <w:rsid w:val="53D04416"/>
    <w:rsid w:val="53F0393E"/>
    <w:rsid w:val="53F3259A"/>
    <w:rsid w:val="53FD704A"/>
    <w:rsid w:val="540620EE"/>
    <w:rsid w:val="54186DF4"/>
    <w:rsid w:val="541A0545"/>
    <w:rsid w:val="542722EE"/>
    <w:rsid w:val="54374A2A"/>
    <w:rsid w:val="543D3BE0"/>
    <w:rsid w:val="544F4724"/>
    <w:rsid w:val="545C73D7"/>
    <w:rsid w:val="546519DC"/>
    <w:rsid w:val="5469664E"/>
    <w:rsid w:val="54755312"/>
    <w:rsid w:val="54792F89"/>
    <w:rsid w:val="54851816"/>
    <w:rsid w:val="54946212"/>
    <w:rsid w:val="549534E0"/>
    <w:rsid w:val="549E6942"/>
    <w:rsid w:val="54A609F6"/>
    <w:rsid w:val="54CA00E5"/>
    <w:rsid w:val="54CD2DFD"/>
    <w:rsid w:val="54D572D0"/>
    <w:rsid w:val="550A6565"/>
    <w:rsid w:val="550E6C7D"/>
    <w:rsid w:val="550F3FF2"/>
    <w:rsid w:val="55140685"/>
    <w:rsid w:val="55151736"/>
    <w:rsid w:val="55226F8D"/>
    <w:rsid w:val="55264138"/>
    <w:rsid w:val="552E1DE5"/>
    <w:rsid w:val="553C2971"/>
    <w:rsid w:val="554064A8"/>
    <w:rsid w:val="55441E00"/>
    <w:rsid w:val="55447ABD"/>
    <w:rsid w:val="554D0FCE"/>
    <w:rsid w:val="554D126D"/>
    <w:rsid w:val="55543389"/>
    <w:rsid w:val="555D4D2B"/>
    <w:rsid w:val="555F7A9C"/>
    <w:rsid w:val="55670094"/>
    <w:rsid w:val="55716B04"/>
    <w:rsid w:val="55A9520F"/>
    <w:rsid w:val="55AB4BB4"/>
    <w:rsid w:val="55AD618B"/>
    <w:rsid w:val="55C51171"/>
    <w:rsid w:val="55CB0EF4"/>
    <w:rsid w:val="55DC3C25"/>
    <w:rsid w:val="55E06C30"/>
    <w:rsid w:val="55E95FEC"/>
    <w:rsid w:val="55F005E4"/>
    <w:rsid w:val="55F33CD9"/>
    <w:rsid w:val="55F66200"/>
    <w:rsid w:val="55FB00B8"/>
    <w:rsid w:val="55FE2A66"/>
    <w:rsid w:val="55FE762A"/>
    <w:rsid w:val="56163B6A"/>
    <w:rsid w:val="56327C6C"/>
    <w:rsid w:val="564918DE"/>
    <w:rsid w:val="5652429E"/>
    <w:rsid w:val="565247BF"/>
    <w:rsid w:val="56784B96"/>
    <w:rsid w:val="568455E7"/>
    <w:rsid w:val="56883BE3"/>
    <w:rsid w:val="5699661E"/>
    <w:rsid w:val="569D5CA9"/>
    <w:rsid w:val="56B32F05"/>
    <w:rsid w:val="56D96DB8"/>
    <w:rsid w:val="56D97AFB"/>
    <w:rsid w:val="56DB5E37"/>
    <w:rsid w:val="56E122E7"/>
    <w:rsid w:val="56E82906"/>
    <w:rsid w:val="56EC45A2"/>
    <w:rsid w:val="56EC5DF2"/>
    <w:rsid w:val="56F43ADF"/>
    <w:rsid w:val="57103570"/>
    <w:rsid w:val="57165E45"/>
    <w:rsid w:val="571906D8"/>
    <w:rsid w:val="571F7091"/>
    <w:rsid w:val="57292F1D"/>
    <w:rsid w:val="572C330F"/>
    <w:rsid w:val="57336FA1"/>
    <w:rsid w:val="57442C0C"/>
    <w:rsid w:val="575D3E08"/>
    <w:rsid w:val="575E6DF7"/>
    <w:rsid w:val="578A7931"/>
    <w:rsid w:val="579A36B2"/>
    <w:rsid w:val="579D2E1B"/>
    <w:rsid w:val="57B15E16"/>
    <w:rsid w:val="57B61A28"/>
    <w:rsid w:val="57E02122"/>
    <w:rsid w:val="57E04C16"/>
    <w:rsid w:val="57E10282"/>
    <w:rsid w:val="57E10A18"/>
    <w:rsid w:val="57F147F4"/>
    <w:rsid w:val="57F610FA"/>
    <w:rsid w:val="57F97081"/>
    <w:rsid w:val="5813297F"/>
    <w:rsid w:val="58192571"/>
    <w:rsid w:val="5827693E"/>
    <w:rsid w:val="582B531B"/>
    <w:rsid w:val="58321906"/>
    <w:rsid w:val="585E1759"/>
    <w:rsid w:val="586817E4"/>
    <w:rsid w:val="58735841"/>
    <w:rsid w:val="58833B6B"/>
    <w:rsid w:val="589943A6"/>
    <w:rsid w:val="58A0688C"/>
    <w:rsid w:val="58A51347"/>
    <w:rsid w:val="58A942C4"/>
    <w:rsid w:val="58B27DE2"/>
    <w:rsid w:val="58BC340F"/>
    <w:rsid w:val="58C5573F"/>
    <w:rsid w:val="58CF55AD"/>
    <w:rsid w:val="58D04950"/>
    <w:rsid w:val="58E27027"/>
    <w:rsid w:val="58E80ED3"/>
    <w:rsid w:val="58FC58DC"/>
    <w:rsid w:val="590F0D55"/>
    <w:rsid w:val="59492DC5"/>
    <w:rsid w:val="594A4983"/>
    <w:rsid w:val="594B44B2"/>
    <w:rsid w:val="594F3868"/>
    <w:rsid w:val="59577623"/>
    <w:rsid w:val="59590052"/>
    <w:rsid w:val="597A434D"/>
    <w:rsid w:val="59837277"/>
    <w:rsid w:val="59864F37"/>
    <w:rsid w:val="59912B41"/>
    <w:rsid w:val="59A94E13"/>
    <w:rsid w:val="59AA05CF"/>
    <w:rsid w:val="59BE0DE3"/>
    <w:rsid w:val="59C77A85"/>
    <w:rsid w:val="59D3540A"/>
    <w:rsid w:val="59D413B8"/>
    <w:rsid w:val="59D52C1E"/>
    <w:rsid w:val="59D84074"/>
    <w:rsid w:val="59DB7B32"/>
    <w:rsid w:val="59DD105F"/>
    <w:rsid w:val="59FF1AE3"/>
    <w:rsid w:val="5A1164A2"/>
    <w:rsid w:val="5A173237"/>
    <w:rsid w:val="5A1D2E8A"/>
    <w:rsid w:val="5A1D47B4"/>
    <w:rsid w:val="5A35395E"/>
    <w:rsid w:val="5A3D61C7"/>
    <w:rsid w:val="5A4468FC"/>
    <w:rsid w:val="5A4D6E61"/>
    <w:rsid w:val="5A6F63BD"/>
    <w:rsid w:val="5A8A0AE5"/>
    <w:rsid w:val="5A8D2E03"/>
    <w:rsid w:val="5A8D5011"/>
    <w:rsid w:val="5A8E53AC"/>
    <w:rsid w:val="5A904B3D"/>
    <w:rsid w:val="5A910162"/>
    <w:rsid w:val="5AAC6D3A"/>
    <w:rsid w:val="5ABF5647"/>
    <w:rsid w:val="5AC067C1"/>
    <w:rsid w:val="5AC62C29"/>
    <w:rsid w:val="5AD377AF"/>
    <w:rsid w:val="5AD83726"/>
    <w:rsid w:val="5AE43746"/>
    <w:rsid w:val="5AF557D6"/>
    <w:rsid w:val="5AFD1C69"/>
    <w:rsid w:val="5B020790"/>
    <w:rsid w:val="5B026D9C"/>
    <w:rsid w:val="5B034656"/>
    <w:rsid w:val="5B0C4BA8"/>
    <w:rsid w:val="5B107039"/>
    <w:rsid w:val="5B24318B"/>
    <w:rsid w:val="5B345096"/>
    <w:rsid w:val="5B362A81"/>
    <w:rsid w:val="5B406C09"/>
    <w:rsid w:val="5B4252F0"/>
    <w:rsid w:val="5B4672E2"/>
    <w:rsid w:val="5B482991"/>
    <w:rsid w:val="5B522B29"/>
    <w:rsid w:val="5B5A6341"/>
    <w:rsid w:val="5B9000A0"/>
    <w:rsid w:val="5B903647"/>
    <w:rsid w:val="5B923842"/>
    <w:rsid w:val="5B9B44DA"/>
    <w:rsid w:val="5BD13847"/>
    <w:rsid w:val="5BD47E4F"/>
    <w:rsid w:val="5BE616F3"/>
    <w:rsid w:val="5BF4152B"/>
    <w:rsid w:val="5BFE5ECB"/>
    <w:rsid w:val="5C054583"/>
    <w:rsid w:val="5C074BFC"/>
    <w:rsid w:val="5C1F7520"/>
    <w:rsid w:val="5C275553"/>
    <w:rsid w:val="5C28715E"/>
    <w:rsid w:val="5C415FB3"/>
    <w:rsid w:val="5C4D5BAC"/>
    <w:rsid w:val="5C54304E"/>
    <w:rsid w:val="5C575541"/>
    <w:rsid w:val="5C610B58"/>
    <w:rsid w:val="5C8E0C81"/>
    <w:rsid w:val="5C975836"/>
    <w:rsid w:val="5CA11332"/>
    <w:rsid w:val="5CA46AC8"/>
    <w:rsid w:val="5CA854C3"/>
    <w:rsid w:val="5CAE513F"/>
    <w:rsid w:val="5CAF27AA"/>
    <w:rsid w:val="5CB309AF"/>
    <w:rsid w:val="5CB31223"/>
    <w:rsid w:val="5CB744A8"/>
    <w:rsid w:val="5CD50EE5"/>
    <w:rsid w:val="5CD643B3"/>
    <w:rsid w:val="5CE648D9"/>
    <w:rsid w:val="5CEB7461"/>
    <w:rsid w:val="5CF530FC"/>
    <w:rsid w:val="5D1256CE"/>
    <w:rsid w:val="5D2713F9"/>
    <w:rsid w:val="5D3F4307"/>
    <w:rsid w:val="5D4077EE"/>
    <w:rsid w:val="5D6152B6"/>
    <w:rsid w:val="5D644819"/>
    <w:rsid w:val="5D784ECD"/>
    <w:rsid w:val="5D79238A"/>
    <w:rsid w:val="5D795C4C"/>
    <w:rsid w:val="5D7A3771"/>
    <w:rsid w:val="5D8202EA"/>
    <w:rsid w:val="5D844253"/>
    <w:rsid w:val="5D850D53"/>
    <w:rsid w:val="5D881975"/>
    <w:rsid w:val="5D9E336F"/>
    <w:rsid w:val="5DA41EA8"/>
    <w:rsid w:val="5DB1576E"/>
    <w:rsid w:val="5DB434FF"/>
    <w:rsid w:val="5DB92B11"/>
    <w:rsid w:val="5DBB1F5B"/>
    <w:rsid w:val="5DC56E70"/>
    <w:rsid w:val="5DCA02A9"/>
    <w:rsid w:val="5DCB1F86"/>
    <w:rsid w:val="5DD05607"/>
    <w:rsid w:val="5DD313BD"/>
    <w:rsid w:val="5DDB1072"/>
    <w:rsid w:val="5DF27452"/>
    <w:rsid w:val="5E014405"/>
    <w:rsid w:val="5E055233"/>
    <w:rsid w:val="5E0558A5"/>
    <w:rsid w:val="5E1D79D0"/>
    <w:rsid w:val="5E1F3DE8"/>
    <w:rsid w:val="5E1F7B76"/>
    <w:rsid w:val="5E5460C4"/>
    <w:rsid w:val="5E5C5C6D"/>
    <w:rsid w:val="5E5E31B0"/>
    <w:rsid w:val="5E73562F"/>
    <w:rsid w:val="5E803820"/>
    <w:rsid w:val="5E8531E6"/>
    <w:rsid w:val="5E8A4855"/>
    <w:rsid w:val="5E9367A5"/>
    <w:rsid w:val="5E9709BB"/>
    <w:rsid w:val="5E9C0565"/>
    <w:rsid w:val="5E9D2324"/>
    <w:rsid w:val="5EA3451E"/>
    <w:rsid w:val="5EA769BE"/>
    <w:rsid w:val="5EB130B7"/>
    <w:rsid w:val="5EBB2812"/>
    <w:rsid w:val="5EBE40F6"/>
    <w:rsid w:val="5ED74C86"/>
    <w:rsid w:val="5EDE233A"/>
    <w:rsid w:val="5EE14D12"/>
    <w:rsid w:val="5EEA5A85"/>
    <w:rsid w:val="5EF028F7"/>
    <w:rsid w:val="5EFB6FF5"/>
    <w:rsid w:val="5EFD32BF"/>
    <w:rsid w:val="5F076B4E"/>
    <w:rsid w:val="5F0933FB"/>
    <w:rsid w:val="5F1D646F"/>
    <w:rsid w:val="5F225B30"/>
    <w:rsid w:val="5F22731E"/>
    <w:rsid w:val="5F335B1F"/>
    <w:rsid w:val="5F3538F6"/>
    <w:rsid w:val="5F380CA5"/>
    <w:rsid w:val="5F3A5B90"/>
    <w:rsid w:val="5F3A6343"/>
    <w:rsid w:val="5F4204D1"/>
    <w:rsid w:val="5F473B9D"/>
    <w:rsid w:val="5F48614C"/>
    <w:rsid w:val="5F506F4D"/>
    <w:rsid w:val="5F5254AA"/>
    <w:rsid w:val="5F566CC1"/>
    <w:rsid w:val="5F6F50F9"/>
    <w:rsid w:val="5F78417A"/>
    <w:rsid w:val="5F845B9A"/>
    <w:rsid w:val="5F8602E0"/>
    <w:rsid w:val="5F8E4463"/>
    <w:rsid w:val="5FA0565B"/>
    <w:rsid w:val="5FA365FF"/>
    <w:rsid w:val="5FB843FA"/>
    <w:rsid w:val="5FB937AA"/>
    <w:rsid w:val="5FBC33E8"/>
    <w:rsid w:val="5FBC6157"/>
    <w:rsid w:val="5FC65213"/>
    <w:rsid w:val="5FCB581E"/>
    <w:rsid w:val="5FD55C3C"/>
    <w:rsid w:val="5FD66A5E"/>
    <w:rsid w:val="5FD858B3"/>
    <w:rsid w:val="5FE9215F"/>
    <w:rsid w:val="5FEF5234"/>
    <w:rsid w:val="60001244"/>
    <w:rsid w:val="60037B62"/>
    <w:rsid w:val="60066668"/>
    <w:rsid w:val="601B72C2"/>
    <w:rsid w:val="602313F2"/>
    <w:rsid w:val="6023797A"/>
    <w:rsid w:val="602665F6"/>
    <w:rsid w:val="60280C61"/>
    <w:rsid w:val="602A2DA5"/>
    <w:rsid w:val="602C44E4"/>
    <w:rsid w:val="60321412"/>
    <w:rsid w:val="60442EFB"/>
    <w:rsid w:val="606301B2"/>
    <w:rsid w:val="60657B16"/>
    <w:rsid w:val="60671914"/>
    <w:rsid w:val="606C08AE"/>
    <w:rsid w:val="606C5055"/>
    <w:rsid w:val="606E2AF9"/>
    <w:rsid w:val="60764834"/>
    <w:rsid w:val="60773415"/>
    <w:rsid w:val="60813C20"/>
    <w:rsid w:val="609059DE"/>
    <w:rsid w:val="60A03723"/>
    <w:rsid w:val="60B5788C"/>
    <w:rsid w:val="60C53C98"/>
    <w:rsid w:val="60D04085"/>
    <w:rsid w:val="60E73738"/>
    <w:rsid w:val="60F0521B"/>
    <w:rsid w:val="61034502"/>
    <w:rsid w:val="6113273D"/>
    <w:rsid w:val="611B40BF"/>
    <w:rsid w:val="612F24BD"/>
    <w:rsid w:val="61455B2C"/>
    <w:rsid w:val="615272A5"/>
    <w:rsid w:val="61597EC3"/>
    <w:rsid w:val="615E0D50"/>
    <w:rsid w:val="616B08E8"/>
    <w:rsid w:val="6177172C"/>
    <w:rsid w:val="617722EB"/>
    <w:rsid w:val="61A222F0"/>
    <w:rsid w:val="61AA4ED5"/>
    <w:rsid w:val="61B03BF8"/>
    <w:rsid w:val="61B255D5"/>
    <w:rsid w:val="61B626C8"/>
    <w:rsid w:val="61B7173B"/>
    <w:rsid w:val="61B71A29"/>
    <w:rsid w:val="61C273DC"/>
    <w:rsid w:val="61D92741"/>
    <w:rsid w:val="61E77D10"/>
    <w:rsid w:val="622D6ADD"/>
    <w:rsid w:val="623F60CE"/>
    <w:rsid w:val="624E656E"/>
    <w:rsid w:val="62556FA9"/>
    <w:rsid w:val="625D6320"/>
    <w:rsid w:val="626E5569"/>
    <w:rsid w:val="62700D38"/>
    <w:rsid w:val="6282282B"/>
    <w:rsid w:val="628527D0"/>
    <w:rsid w:val="628A2C8C"/>
    <w:rsid w:val="62936538"/>
    <w:rsid w:val="629A142B"/>
    <w:rsid w:val="629D1C2C"/>
    <w:rsid w:val="62C7676C"/>
    <w:rsid w:val="62D4073B"/>
    <w:rsid w:val="62DA389A"/>
    <w:rsid w:val="62DB1422"/>
    <w:rsid w:val="62FC1F47"/>
    <w:rsid w:val="62FD7C7B"/>
    <w:rsid w:val="6300246C"/>
    <w:rsid w:val="630B4617"/>
    <w:rsid w:val="63135989"/>
    <w:rsid w:val="631600B0"/>
    <w:rsid w:val="63240941"/>
    <w:rsid w:val="6337658B"/>
    <w:rsid w:val="633A1660"/>
    <w:rsid w:val="633C67A8"/>
    <w:rsid w:val="63414E40"/>
    <w:rsid w:val="63432674"/>
    <w:rsid w:val="6347657C"/>
    <w:rsid w:val="63477A33"/>
    <w:rsid w:val="635279FD"/>
    <w:rsid w:val="636A3DFC"/>
    <w:rsid w:val="636D1953"/>
    <w:rsid w:val="6388654B"/>
    <w:rsid w:val="63890BC7"/>
    <w:rsid w:val="63914CE7"/>
    <w:rsid w:val="63933E2B"/>
    <w:rsid w:val="639A36E5"/>
    <w:rsid w:val="63A964C2"/>
    <w:rsid w:val="63B247A2"/>
    <w:rsid w:val="63C911B7"/>
    <w:rsid w:val="63D00313"/>
    <w:rsid w:val="63D0752F"/>
    <w:rsid w:val="63DA13ED"/>
    <w:rsid w:val="63E126CE"/>
    <w:rsid w:val="63E276F3"/>
    <w:rsid w:val="63E94056"/>
    <w:rsid w:val="63EF6514"/>
    <w:rsid w:val="63FD6C5C"/>
    <w:rsid w:val="64120E07"/>
    <w:rsid w:val="641B09AC"/>
    <w:rsid w:val="64207BDD"/>
    <w:rsid w:val="64241F26"/>
    <w:rsid w:val="642D4B6C"/>
    <w:rsid w:val="64301FF2"/>
    <w:rsid w:val="64326339"/>
    <w:rsid w:val="64363591"/>
    <w:rsid w:val="644F3C9F"/>
    <w:rsid w:val="645E3128"/>
    <w:rsid w:val="64751C04"/>
    <w:rsid w:val="648452AE"/>
    <w:rsid w:val="649C50B6"/>
    <w:rsid w:val="64A76B97"/>
    <w:rsid w:val="64AA0748"/>
    <w:rsid w:val="64BA5BE6"/>
    <w:rsid w:val="64C050F2"/>
    <w:rsid w:val="64C20E1E"/>
    <w:rsid w:val="64C53F63"/>
    <w:rsid w:val="64D5423E"/>
    <w:rsid w:val="64E32BAC"/>
    <w:rsid w:val="64FF2315"/>
    <w:rsid w:val="650558C6"/>
    <w:rsid w:val="651033F6"/>
    <w:rsid w:val="65123230"/>
    <w:rsid w:val="65142CC1"/>
    <w:rsid w:val="651F242C"/>
    <w:rsid w:val="65393BFE"/>
    <w:rsid w:val="653C1938"/>
    <w:rsid w:val="654F012A"/>
    <w:rsid w:val="655A2481"/>
    <w:rsid w:val="655B3C5E"/>
    <w:rsid w:val="656F445C"/>
    <w:rsid w:val="657725E9"/>
    <w:rsid w:val="65930332"/>
    <w:rsid w:val="65957FD8"/>
    <w:rsid w:val="659D0615"/>
    <w:rsid w:val="65B56BF5"/>
    <w:rsid w:val="65BD6733"/>
    <w:rsid w:val="65C2043B"/>
    <w:rsid w:val="65C75EB9"/>
    <w:rsid w:val="65D9795F"/>
    <w:rsid w:val="65DC601C"/>
    <w:rsid w:val="65DD67A4"/>
    <w:rsid w:val="65DF43B0"/>
    <w:rsid w:val="6602552E"/>
    <w:rsid w:val="66060FC2"/>
    <w:rsid w:val="66115B12"/>
    <w:rsid w:val="661651F5"/>
    <w:rsid w:val="661B189F"/>
    <w:rsid w:val="661D2279"/>
    <w:rsid w:val="66252916"/>
    <w:rsid w:val="66281396"/>
    <w:rsid w:val="6628521C"/>
    <w:rsid w:val="662C05F9"/>
    <w:rsid w:val="66356D6D"/>
    <w:rsid w:val="66434B72"/>
    <w:rsid w:val="664808B0"/>
    <w:rsid w:val="664D326A"/>
    <w:rsid w:val="66513CFA"/>
    <w:rsid w:val="665A396B"/>
    <w:rsid w:val="665A729D"/>
    <w:rsid w:val="66616A64"/>
    <w:rsid w:val="666C6405"/>
    <w:rsid w:val="667674A8"/>
    <w:rsid w:val="66792569"/>
    <w:rsid w:val="667F0E0A"/>
    <w:rsid w:val="667F60C9"/>
    <w:rsid w:val="66832931"/>
    <w:rsid w:val="66836A3F"/>
    <w:rsid w:val="66840988"/>
    <w:rsid w:val="668B262C"/>
    <w:rsid w:val="66B5037E"/>
    <w:rsid w:val="66BA1A79"/>
    <w:rsid w:val="66C63BAD"/>
    <w:rsid w:val="66C8429E"/>
    <w:rsid w:val="66D161B8"/>
    <w:rsid w:val="66D84771"/>
    <w:rsid w:val="66EC2796"/>
    <w:rsid w:val="66F40A22"/>
    <w:rsid w:val="670A56FB"/>
    <w:rsid w:val="6716125E"/>
    <w:rsid w:val="6721522D"/>
    <w:rsid w:val="673E3BE0"/>
    <w:rsid w:val="673F2EE3"/>
    <w:rsid w:val="674214A0"/>
    <w:rsid w:val="675033C0"/>
    <w:rsid w:val="67603D55"/>
    <w:rsid w:val="67627252"/>
    <w:rsid w:val="6770680D"/>
    <w:rsid w:val="67760531"/>
    <w:rsid w:val="67783D88"/>
    <w:rsid w:val="678A5E09"/>
    <w:rsid w:val="67A26DCC"/>
    <w:rsid w:val="67B00BBE"/>
    <w:rsid w:val="67B844AA"/>
    <w:rsid w:val="67E03C92"/>
    <w:rsid w:val="67E45C73"/>
    <w:rsid w:val="67F37D54"/>
    <w:rsid w:val="67F90FFD"/>
    <w:rsid w:val="67F96C52"/>
    <w:rsid w:val="68067BD4"/>
    <w:rsid w:val="681018E3"/>
    <w:rsid w:val="68176D09"/>
    <w:rsid w:val="681D3566"/>
    <w:rsid w:val="6820759B"/>
    <w:rsid w:val="68262975"/>
    <w:rsid w:val="682673B8"/>
    <w:rsid w:val="682845CA"/>
    <w:rsid w:val="68293FBD"/>
    <w:rsid w:val="683F6B0E"/>
    <w:rsid w:val="68515AE5"/>
    <w:rsid w:val="685A0A9B"/>
    <w:rsid w:val="687E6EA9"/>
    <w:rsid w:val="68806EB1"/>
    <w:rsid w:val="688A1F52"/>
    <w:rsid w:val="688F7C7E"/>
    <w:rsid w:val="689A12EE"/>
    <w:rsid w:val="689C2DA1"/>
    <w:rsid w:val="68A07F7A"/>
    <w:rsid w:val="68A13996"/>
    <w:rsid w:val="68A76AA6"/>
    <w:rsid w:val="68B41886"/>
    <w:rsid w:val="68B465AF"/>
    <w:rsid w:val="68C64B00"/>
    <w:rsid w:val="68CC0823"/>
    <w:rsid w:val="68DF3902"/>
    <w:rsid w:val="68EF7EB8"/>
    <w:rsid w:val="68F166D7"/>
    <w:rsid w:val="690302AB"/>
    <w:rsid w:val="690B07B0"/>
    <w:rsid w:val="69295BA1"/>
    <w:rsid w:val="692C5E4F"/>
    <w:rsid w:val="693441D7"/>
    <w:rsid w:val="693574CA"/>
    <w:rsid w:val="693A174A"/>
    <w:rsid w:val="69556D97"/>
    <w:rsid w:val="69592F37"/>
    <w:rsid w:val="69601EB7"/>
    <w:rsid w:val="696459DB"/>
    <w:rsid w:val="697711D0"/>
    <w:rsid w:val="6977269B"/>
    <w:rsid w:val="699149B5"/>
    <w:rsid w:val="69A073DD"/>
    <w:rsid w:val="69A44C7F"/>
    <w:rsid w:val="69BA5C94"/>
    <w:rsid w:val="69C127FB"/>
    <w:rsid w:val="69C74F96"/>
    <w:rsid w:val="69CB51B8"/>
    <w:rsid w:val="69D17399"/>
    <w:rsid w:val="69D471E4"/>
    <w:rsid w:val="69DA5879"/>
    <w:rsid w:val="69DB55D5"/>
    <w:rsid w:val="69DD7ED8"/>
    <w:rsid w:val="69F82C67"/>
    <w:rsid w:val="69FE5D08"/>
    <w:rsid w:val="69FF509F"/>
    <w:rsid w:val="6A025FE6"/>
    <w:rsid w:val="6A041BC0"/>
    <w:rsid w:val="6A056114"/>
    <w:rsid w:val="6A11685E"/>
    <w:rsid w:val="6A251761"/>
    <w:rsid w:val="6A2C70DB"/>
    <w:rsid w:val="6A3134D7"/>
    <w:rsid w:val="6A3A039D"/>
    <w:rsid w:val="6A424E6A"/>
    <w:rsid w:val="6A52572E"/>
    <w:rsid w:val="6A642B0C"/>
    <w:rsid w:val="6A6E0683"/>
    <w:rsid w:val="6A7F3DFE"/>
    <w:rsid w:val="6A8B4EB2"/>
    <w:rsid w:val="6A8B6757"/>
    <w:rsid w:val="6A8D70DE"/>
    <w:rsid w:val="6A916B75"/>
    <w:rsid w:val="6A9A5EDD"/>
    <w:rsid w:val="6A9E73E3"/>
    <w:rsid w:val="6AA22C95"/>
    <w:rsid w:val="6AA575F8"/>
    <w:rsid w:val="6AAB7C2F"/>
    <w:rsid w:val="6AAD5E89"/>
    <w:rsid w:val="6AB46AC7"/>
    <w:rsid w:val="6ABA5A26"/>
    <w:rsid w:val="6AC15B39"/>
    <w:rsid w:val="6ACC0C94"/>
    <w:rsid w:val="6AD644C8"/>
    <w:rsid w:val="6AE31295"/>
    <w:rsid w:val="6AEC109D"/>
    <w:rsid w:val="6AEF08DD"/>
    <w:rsid w:val="6AF82610"/>
    <w:rsid w:val="6AFA4737"/>
    <w:rsid w:val="6AFF272E"/>
    <w:rsid w:val="6B065E84"/>
    <w:rsid w:val="6B143735"/>
    <w:rsid w:val="6B2118A3"/>
    <w:rsid w:val="6B2E654C"/>
    <w:rsid w:val="6B5318D1"/>
    <w:rsid w:val="6B5578F5"/>
    <w:rsid w:val="6B58051E"/>
    <w:rsid w:val="6B5829F9"/>
    <w:rsid w:val="6B642897"/>
    <w:rsid w:val="6B6F1F3D"/>
    <w:rsid w:val="6B781B54"/>
    <w:rsid w:val="6B7F52F1"/>
    <w:rsid w:val="6B900044"/>
    <w:rsid w:val="6B9C38C9"/>
    <w:rsid w:val="6B9C4E74"/>
    <w:rsid w:val="6BA00581"/>
    <w:rsid w:val="6BA36DCB"/>
    <w:rsid w:val="6BA95CD2"/>
    <w:rsid w:val="6BB267CA"/>
    <w:rsid w:val="6BC957BA"/>
    <w:rsid w:val="6BCA05F4"/>
    <w:rsid w:val="6BD55771"/>
    <w:rsid w:val="6BDD130F"/>
    <w:rsid w:val="6BE447FB"/>
    <w:rsid w:val="6BFE1D2C"/>
    <w:rsid w:val="6C151283"/>
    <w:rsid w:val="6C181DDE"/>
    <w:rsid w:val="6C2C121B"/>
    <w:rsid w:val="6C475343"/>
    <w:rsid w:val="6C5A1C75"/>
    <w:rsid w:val="6C7255D0"/>
    <w:rsid w:val="6C8062EC"/>
    <w:rsid w:val="6C89164F"/>
    <w:rsid w:val="6C8C7F87"/>
    <w:rsid w:val="6C922CD0"/>
    <w:rsid w:val="6C9460CE"/>
    <w:rsid w:val="6C9F3D9E"/>
    <w:rsid w:val="6CA413CD"/>
    <w:rsid w:val="6CAB07AF"/>
    <w:rsid w:val="6CAC42E2"/>
    <w:rsid w:val="6CAD423B"/>
    <w:rsid w:val="6CAF304F"/>
    <w:rsid w:val="6CB805E1"/>
    <w:rsid w:val="6CB8067C"/>
    <w:rsid w:val="6CD86D61"/>
    <w:rsid w:val="6CDA1254"/>
    <w:rsid w:val="6CDD2D2A"/>
    <w:rsid w:val="6CE267A4"/>
    <w:rsid w:val="6CEB6460"/>
    <w:rsid w:val="6CF4237C"/>
    <w:rsid w:val="6D01746C"/>
    <w:rsid w:val="6D037748"/>
    <w:rsid w:val="6D0D06AB"/>
    <w:rsid w:val="6D113E8D"/>
    <w:rsid w:val="6D1353A0"/>
    <w:rsid w:val="6D2F6662"/>
    <w:rsid w:val="6D350F65"/>
    <w:rsid w:val="6D396A71"/>
    <w:rsid w:val="6D617F29"/>
    <w:rsid w:val="6D7D4A62"/>
    <w:rsid w:val="6D7E6846"/>
    <w:rsid w:val="6D8023CD"/>
    <w:rsid w:val="6DA005A9"/>
    <w:rsid w:val="6DA767E2"/>
    <w:rsid w:val="6DB449D7"/>
    <w:rsid w:val="6DBE0C52"/>
    <w:rsid w:val="6DC04CD2"/>
    <w:rsid w:val="6DD66781"/>
    <w:rsid w:val="6DEE7DE6"/>
    <w:rsid w:val="6DF47F74"/>
    <w:rsid w:val="6DFA0655"/>
    <w:rsid w:val="6E016E7E"/>
    <w:rsid w:val="6E072901"/>
    <w:rsid w:val="6E084EE2"/>
    <w:rsid w:val="6E174DE0"/>
    <w:rsid w:val="6E1E051D"/>
    <w:rsid w:val="6E233290"/>
    <w:rsid w:val="6E2773CA"/>
    <w:rsid w:val="6E2B6AA1"/>
    <w:rsid w:val="6E2D765A"/>
    <w:rsid w:val="6E394636"/>
    <w:rsid w:val="6E3E614A"/>
    <w:rsid w:val="6E400632"/>
    <w:rsid w:val="6E492579"/>
    <w:rsid w:val="6E4A4582"/>
    <w:rsid w:val="6E531C62"/>
    <w:rsid w:val="6E5F5A09"/>
    <w:rsid w:val="6E691E72"/>
    <w:rsid w:val="6E6C2707"/>
    <w:rsid w:val="6E7861C0"/>
    <w:rsid w:val="6E9321CD"/>
    <w:rsid w:val="6EAB5ACE"/>
    <w:rsid w:val="6EB140B1"/>
    <w:rsid w:val="6EC72090"/>
    <w:rsid w:val="6ED06C88"/>
    <w:rsid w:val="6ED82254"/>
    <w:rsid w:val="6ED926F3"/>
    <w:rsid w:val="6EEA56BC"/>
    <w:rsid w:val="6EED76CA"/>
    <w:rsid w:val="6EFB1E81"/>
    <w:rsid w:val="6EFF1A7B"/>
    <w:rsid w:val="6EFF76D2"/>
    <w:rsid w:val="6F0F1C4D"/>
    <w:rsid w:val="6F184B1D"/>
    <w:rsid w:val="6F3C2F76"/>
    <w:rsid w:val="6F473EFB"/>
    <w:rsid w:val="6F5E2ABC"/>
    <w:rsid w:val="6F65014B"/>
    <w:rsid w:val="6F6925B2"/>
    <w:rsid w:val="6F7C3DCC"/>
    <w:rsid w:val="6F884E95"/>
    <w:rsid w:val="6F893ECF"/>
    <w:rsid w:val="6FA00221"/>
    <w:rsid w:val="6FA824AC"/>
    <w:rsid w:val="6FA8518C"/>
    <w:rsid w:val="6FAA2FED"/>
    <w:rsid w:val="6FAF7AB6"/>
    <w:rsid w:val="6FB31474"/>
    <w:rsid w:val="6FB349B1"/>
    <w:rsid w:val="6FB35398"/>
    <w:rsid w:val="6FB81B1F"/>
    <w:rsid w:val="6FBF04B2"/>
    <w:rsid w:val="6FC96D46"/>
    <w:rsid w:val="6FCB228A"/>
    <w:rsid w:val="6FD73456"/>
    <w:rsid w:val="6FDC7F7A"/>
    <w:rsid w:val="6FDD2D88"/>
    <w:rsid w:val="6FE00A3B"/>
    <w:rsid w:val="6FE17681"/>
    <w:rsid w:val="6FE20D80"/>
    <w:rsid w:val="6FE514E8"/>
    <w:rsid w:val="6FED1D78"/>
    <w:rsid w:val="6FEF482E"/>
    <w:rsid w:val="6FF3186D"/>
    <w:rsid w:val="6FF74231"/>
    <w:rsid w:val="6FF92C1B"/>
    <w:rsid w:val="700F269F"/>
    <w:rsid w:val="70222901"/>
    <w:rsid w:val="702745AC"/>
    <w:rsid w:val="70387A01"/>
    <w:rsid w:val="704775F3"/>
    <w:rsid w:val="706359B8"/>
    <w:rsid w:val="70772F09"/>
    <w:rsid w:val="70912FDF"/>
    <w:rsid w:val="70954D22"/>
    <w:rsid w:val="709A7EBF"/>
    <w:rsid w:val="70BE0431"/>
    <w:rsid w:val="70C43953"/>
    <w:rsid w:val="70FA499F"/>
    <w:rsid w:val="70FE0223"/>
    <w:rsid w:val="70FE21C6"/>
    <w:rsid w:val="7104727C"/>
    <w:rsid w:val="71122C22"/>
    <w:rsid w:val="711E62A1"/>
    <w:rsid w:val="712038D6"/>
    <w:rsid w:val="71237358"/>
    <w:rsid w:val="712B00D1"/>
    <w:rsid w:val="712B38B8"/>
    <w:rsid w:val="712B3F4F"/>
    <w:rsid w:val="71383046"/>
    <w:rsid w:val="71393FFD"/>
    <w:rsid w:val="71443247"/>
    <w:rsid w:val="7157547F"/>
    <w:rsid w:val="716474DD"/>
    <w:rsid w:val="7165065B"/>
    <w:rsid w:val="71771A80"/>
    <w:rsid w:val="71900917"/>
    <w:rsid w:val="719D4CFC"/>
    <w:rsid w:val="71AA6278"/>
    <w:rsid w:val="71B55386"/>
    <w:rsid w:val="71C754DE"/>
    <w:rsid w:val="71D665DE"/>
    <w:rsid w:val="71DD1DF2"/>
    <w:rsid w:val="71E9171C"/>
    <w:rsid w:val="71F452CD"/>
    <w:rsid w:val="72090470"/>
    <w:rsid w:val="720C6BCC"/>
    <w:rsid w:val="72102971"/>
    <w:rsid w:val="72142C7F"/>
    <w:rsid w:val="721B1C5E"/>
    <w:rsid w:val="722A08D8"/>
    <w:rsid w:val="722B5109"/>
    <w:rsid w:val="723458BE"/>
    <w:rsid w:val="723B6A53"/>
    <w:rsid w:val="723D2AFB"/>
    <w:rsid w:val="724B20C6"/>
    <w:rsid w:val="725123C2"/>
    <w:rsid w:val="72793892"/>
    <w:rsid w:val="727A53C8"/>
    <w:rsid w:val="729B2135"/>
    <w:rsid w:val="72AE628D"/>
    <w:rsid w:val="72BB25BD"/>
    <w:rsid w:val="72C83B28"/>
    <w:rsid w:val="72CB546E"/>
    <w:rsid w:val="72CD7F4C"/>
    <w:rsid w:val="72DD2A51"/>
    <w:rsid w:val="72FB7AB5"/>
    <w:rsid w:val="73050017"/>
    <w:rsid w:val="730F0F83"/>
    <w:rsid w:val="73194BF9"/>
    <w:rsid w:val="73253A26"/>
    <w:rsid w:val="73283E93"/>
    <w:rsid w:val="73300F01"/>
    <w:rsid w:val="73483F48"/>
    <w:rsid w:val="734A2C32"/>
    <w:rsid w:val="73575364"/>
    <w:rsid w:val="735A6A75"/>
    <w:rsid w:val="735F09EC"/>
    <w:rsid w:val="7375259B"/>
    <w:rsid w:val="737B7FFF"/>
    <w:rsid w:val="737E5BB5"/>
    <w:rsid w:val="737F3142"/>
    <w:rsid w:val="73897433"/>
    <w:rsid w:val="739100AF"/>
    <w:rsid w:val="73B07652"/>
    <w:rsid w:val="73B10FC1"/>
    <w:rsid w:val="73BD6140"/>
    <w:rsid w:val="73C430A0"/>
    <w:rsid w:val="73C661D1"/>
    <w:rsid w:val="73E32554"/>
    <w:rsid w:val="73E3448D"/>
    <w:rsid w:val="73E821D4"/>
    <w:rsid w:val="74110767"/>
    <w:rsid w:val="74112EA8"/>
    <w:rsid w:val="741C0314"/>
    <w:rsid w:val="742F75C6"/>
    <w:rsid w:val="74367EDD"/>
    <w:rsid w:val="743832BD"/>
    <w:rsid w:val="744066AF"/>
    <w:rsid w:val="74416D33"/>
    <w:rsid w:val="7451046D"/>
    <w:rsid w:val="7451766C"/>
    <w:rsid w:val="746F06FF"/>
    <w:rsid w:val="74710B27"/>
    <w:rsid w:val="747312B1"/>
    <w:rsid w:val="74874E52"/>
    <w:rsid w:val="74897168"/>
    <w:rsid w:val="74950615"/>
    <w:rsid w:val="749A2B60"/>
    <w:rsid w:val="749A521B"/>
    <w:rsid w:val="74E637D3"/>
    <w:rsid w:val="74EB5809"/>
    <w:rsid w:val="74F251FD"/>
    <w:rsid w:val="74F7002D"/>
    <w:rsid w:val="74FD7E56"/>
    <w:rsid w:val="7509067C"/>
    <w:rsid w:val="750E27C7"/>
    <w:rsid w:val="75236C81"/>
    <w:rsid w:val="754A2E68"/>
    <w:rsid w:val="754E271F"/>
    <w:rsid w:val="755F387D"/>
    <w:rsid w:val="756348B4"/>
    <w:rsid w:val="756B62FA"/>
    <w:rsid w:val="758071C6"/>
    <w:rsid w:val="75870319"/>
    <w:rsid w:val="75916EEA"/>
    <w:rsid w:val="75973794"/>
    <w:rsid w:val="75AD3D8E"/>
    <w:rsid w:val="75CC4EB4"/>
    <w:rsid w:val="75E47F54"/>
    <w:rsid w:val="75EE0425"/>
    <w:rsid w:val="75F93E05"/>
    <w:rsid w:val="75FF0922"/>
    <w:rsid w:val="75FF4D67"/>
    <w:rsid w:val="760266C5"/>
    <w:rsid w:val="761C55F2"/>
    <w:rsid w:val="76261B5A"/>
    <w:rsid w:val="76362102"/>
    <w:rsid w:val="763B4A56"/>
    <w:rsid w:val="763C47F4"/>
    <w:rsid w:val="76415E64"/>
    <w:rsid w:val="765359F1"/>
    <w:rsid w:val="76907A67"/>
    <w:rsid w:val="769D3129"/>
    <w:rsid w:val="76A715AA"/>
    <w:rsid w:val="76A92721"/>
    <w:rsid w:val="76A93DF2"/>
    <w:rsid w:val="76B0593D"/>
    <w:rsid w:val="76BC5DCC"/>
    <w:rsid w:val="76C13DE7"/>
    <w:rsid w:val="76C7076F"/>
    <w:rsid w:val="76C864FA"/>
    <w:rsid w:val="76D22345"/>
    <w:rsid w:val="76D3007E"/>
    <w:rsid w:val="76D84EE0"/>
    <w:rsid w:val="76D923B4"/>
    <w:rsid w:val="76D93241"/>
    <w:rsid w:val="76DB270D"/>
    <w:rsid w:val="76DC7998"/>
    <w:rsid w:val="76EE5065"/>
    <w:rsid w:val="76F66A11"/>
    <w:rsid w:val="76FD2E5D"/>
    <w:rsid w:val="771559A3"/>
    <w:rsid w:val="77186057"/>
    <w:rsid w:val="771E3154"/>
    <w:rsid w:val="77280615"/>
    <w:rsid w:val="772F5646"/>
    <w:rsid w:val="77301166"/>
    <w:rsid w:val="7741741A"/>
    <w:rsid w:val="77450687"/>
    <w:rsid w:val="77485DC1"/>
    <w:rsid w:val="77500DB8"/>
    <w:rsid w:val="7753464B"/>
    <w:rsid w:val="77583AF0"/>
    <w:rsid w:val="775F18FA"/>
    <w:rsid w:val="7766173B"/>
    <w:rsid w:val="77663694"/>
    <w:rsid w:val="77665563"/>
    <w:rsid w:val="776A3DB5"/>
    <w:rsid w:val="77724078"/>
    <w:rsid w:val="7779749A"/>
    <w:rsid w:val="7787264A"/>
    <w:rsid w:val="778C59CF"/>
    <w:rsid w:val="77A61ED0"/>
    <w:rsid w:val="77B4330D"/>
    <w:rsid w:val="77C13999"/>
    <w:rsid w:val="77C8129E"/>
    <w:rsid w:val="77CB34B8"/>
    <w:rsid w:val="77D16C91"/>
    <w:rsid w:val="77DA7C81"/>
    <w:rsid w:val="77DE3E8D"/>
    <w:rsid w:val="77EC254F"/>
    <w:rsid w:val="781323B7"/>
    <w:rsid w:val="78300794"/>
    <w:rsid w:val="78447413"/>
    <w:rsid w:val="784638FF"/>
    <w:rsid w:val="78555DE7"/>
    <w:rsid w:val="785610A2"/>
    <w:rsid w:val="785A0DB1"/>
    <w:rsid w:val="7875409D"/>
    <w:rsid w:val="78756100"/>
    <w:rsid w:val="787D2C9A"/>
    <w:rsid w:val="787D5686"/>
    <w:rsid w:val="789F15FA"/>
    <w:rsid w:val="78BB24E8"/>
    <w:rsid w:val="78C07F1E"/>
    <w:rsid w:val="78CB1197"/>
    <w:rsid w:val="78EB2225"/>
    <w:rsid w:val="78FC2A81"/>
    <w:rsid w:val="79035178"/>
    <w:rsid w:val="7906380F"/>
    <w:rsid w:val="79066389"/>
    <w:rsid w:val="790A70CA"/>
    <w:rsid w:val="79157696"/>
    <w:rsid w:val="79175CFA"/>
    <w:rsid w:val="792D4F71"/>
    <w:rsid w:val="79303E5C"/>
    <w:rsid w:val="79363934"/>
    <w:rsid w:val="793D632E"/>
    <w:rsid w:val="7948429A"/>
    <w:rsid w:val="795B24E5"/>
    <w:rsid w:val="795C7FF5"/>
    <w:rsid w:val="79605BB8"/>
    <w:rsid w:val="7964185A"/>
    <w:rsid w:val="7975406D"/>
    <w:rsid w:val="797E5512"/>
    <w:rsid w:val="79801DBD"/>
    <w:rsid w:val="79860355"/>
    <w:rsid w:val="799310EB"/>
    <w:rsid w:val="79AE45BD"/>
    <w:rsid w:val="79B94E1C"/>
    <w:rsid w:val="79BE0C60"/>
    <w:rsid w:val="79D97AE5"/>
    <w:rsid w:val="79DC10E6"/>
    <w:rsid w:val="79E958BD"/>
    <w:rsid w:val="79F95C6D"/>
    <w:rsid w:val="79FB7A40"/>
    <w:rsid w:val="7A017191"/>
    <w:rsid w:val="7A17555D"/>
    <w:rsid w:val="7A1C0933"/>
    <w:rsid w:val="7A210CA6"/>
    <w:rsid w:val="7A294BB5"/>
    <w:rsid w:val="7A3238FA"/>
    <w:rsid w:val="7A3A4611"/>
    <w:rsid w:val="7A491960"/>
    <w:rsid w:val="7A5B3E68"/>
    <w:rsid w:val="7A6479B5"/>
    <w:rsid w:val="7A6E7D80"/>
    <w:rsid w:val="7A7905BB"/>
    <w:rsid w:val="7A8359A4"/>
    <w:rsid w:val="7A8E76F8"/>
    <w:rsid w:val="7AA15B2F"/>
    <w:rsid w:val="7AA3102A"/>
    <w:rsid w:val="7AB62E36"/>
    <w:rsid w:val="7ABF535A"/>
    <w:rsid w:val="7AC509C6"/>
    <w:rsid w:val="7AD20045"/>
    <w:rsid w:val="7AD93B54"/>
    <w:rsid w:val="7ADA59B7"/>
    <w:rsid w:val="7ADB6813"/>
    <w:rsid w:val="7AFC7058"/>
    <w:rsid w:val="7AFD6121"/>
    <w:rsid w:val="7AFD723B"/>
    <w:rsid w:val="7B011A54"/>
    <w:rsid w:val="7B036ACB"/>
    <w:rsid w:val="7B0A506A"/>
    <w:rsid w:val="7B0C6B9C"/>
    <w:rsid w:val="7B1022CC"/>
    <w:rsid w:val="7B14425C"/>
    <w:rsid w:val="7B234F60"/>
    <w:rsid w:val="7B2910FA"/>
    <w:rsid w:val="7B2D04EA"/>
    <w:rsid w:val="7B3D0522"/>
    <w:rsid w:val="7B3D2992"/>
    <w:rsid w:val="7B422DAA"/>
    <w:rsid w:val="7B4707E1"/>
    <w:rsid w:val="7B4B1AA5"/>
    <w:rsid w:val="7B58550F"/>
    <w:rsid w:val="7B60147E"/>
    <w:rsid w:val="7B6D749A"/>
    <w:rsid w:val="7B747F63"/>
    <w:rsid w:val="7B7878F3"/>
    <w:rsid w:val="7B87463D"/>
    <w:rsid w:val="7B89186C"/>
    <w:rsid w:val="7B8B5E20"/>
    <w:rsid w:val="7B8D3E4D"/>
    <w:rsid w:val="7BA619AB"/>
    <w:rsid w:val="7BAB35D7"/>
    <w:rsid w:val="7BAD79C3"/>
    <w:rsid w:val="7BB2383B"/>
    <w:rsid w:val="7BBC75BA"/>
    <w:rsid w:val="7BD362C8"/>
    <w:rsid w:val="7BD54046"/>
    <w:rsid w:val="7BDA5D83"/>
    <w:rsid w:val="7BDF2C08"/>
    <w:rsid w:val="7BEC2E8A"/>
    <w:rsid w:val="7BF30909"/>
    <w:rsid w:val="7BFC7E72"/>
    <w:rsid w:val="7BFF4018"/>
    <w:rsid w:val="7C035C32"/>
    <w:rsid w:val="7C0D1637"/>
    <w:rsid w:val="7C2A49AB"/>
    <w:rsid w:val="7C310EF5"/>
    <w:rsid w:val="7C3A79AF"/>
    <w:rsid w:val="7C54090F"/>
    <w:rsid w:val="7C5C35EE"/>
    <w:rsid w:val="7C723E1C"/>
    <w:rsid w:val="7C7B03BD"/>
    <w:rsid w:val="7C7E46D6"/>
    <w:rsid w:val="7C8E5AD2"/>
    <w:rsid w:val="7C992B5D"/>
    <w:rsid w:val="7C9F63FA"/>
    <w:rsid w:val="7CA611F6"/>
    <w:rsid w:val="7CA80533"/>
    <w:rsid w:val="7CAA7D05"/>
    <w:rsid w:val="7CB37F6C"/>
    <w:rsid w:val="7CB67B32"/>
    <w:rsid w:val="7CC24A7E"/>
    <w:rsid w:val="7CC4597B"/>
    <w:rsid w:val="7CD225FF"/>
    <w:rsid w:val="7CDD45CB"/>
    <w:rsid w:val="7CDE0658"/>
    <w:rsid w:val="7D020CBA"/>
    <w:rsid w:val="7D132607"/>
    <w:rsid w:val="7D17712A"/>
    <w:rsid w:val="7D2E60C5"/>
    <w:rsid w:val="7D3136DA"/>
    <w:rsid w:val="7D3943C9"/>
    <w:rsid w:val="7D3A5894"/>
    <w:rsid w:val="7D5C2388"/>
    <w:rsid w:val="7D6C635E"/>
    <w:rsid w:val="7D7076DB"/>
    <w:rsid w:val="7D7249C5"/>
    <w:rsid w:val="7D732173"/>
    <w:rsid w:val="7D761877"/>
    <w:rsid w:val="7D804EC7"/>
    <w:rsid w:val="7D8625D6"/>
    <w:rsid w:val="7D870821"/>
    <w:rsid w:val="7D915E92"/>
    <w:rsid w:val="7DC96275"/>
    <w:rsid w:val="7DD91E49"/>
    <w:rsid w:val="7DE452B2"/>
    <w:rsid w:val="7E112736"/>
    <w:rsid w:val="7E211009"/>
    <w:rsid w:val="7E2E0B45"/>
    <w:rsid w:val="7E350CB5"/>
    <w:rsid w:val="7E3B55B7"/>
    <w:rsid w:val="7E3B7624"/>
    <w:rsid w:val="7E465CE5"/>
    <w:rsid w:val="7E816B73"/>
    <w:rsid w:val="7E992D34"/>
    <w:rsid w:val="7E9E1039"/>
    <w:rsid w:val="7EB23C5A"/>
    <w:rsid w:val="7EBB717C"/>
    <w:rsid w:val="7EBC6F51"/>
    <w:rsid w:val="7EC71024"/>
    <w:rsid w:val="7ED82FA9"/>
    <w:rsid w:val="7EE11EC5"/>
    <w:rsid w:val="7EED5CE9"/>
    <w:rsid w:val="7EF46ED2"/>
    <w:rsid w:val="7F0A41B9"/>
    <w:rsid w:val="7F2B2B7C"/>
    <w:rsid w:val="7F2B77DE"/>
    <w:rsid w:val="7F300D38"/>
    <w:rsid w:val="7F391559"/>
    <w:rsid w:val="7F417E26"/>
    <w:rsid w:val="7F4365A6"/>
    <w:rsid w:val="7F4671C5"/>
    <w:rsid w:val="7F4E089D"/>
    <w:rsid w:val="7F523E49"/>
    <w:rsid w:val="7F5365AC"/>
    <w:rsid w:val="7F5F21DA"/>
    <w:rsid w:val="7F683C79"/>
    <w:rsid w:val="7F691E73"/>
    <w:rsid w:val="7F6A500E"/>
    <w:rsid w:val="7F78195A"/>
    <w:rsid w:val="7F7C56FC"/>
    <w:rsid w:val="7FB25A93"/>
    <w:rsid w:val="7FBB1AB2"/>
    <w:rsid w:val="7FC22A69"/>
    <w:rsid w:val="7FCA2415"/>
    <w:rsid w:val="7FD72417"/>
    <w:rsid w:val="7FE03D47"/>
    <w:rsid w:val="7FF356A2"/>
    <w:rsid w:val="7FF60015"/>
    <w:rsid w:val="7FFC5A07"/>
    <w:rsid w:val="FEFF2C5B"/>
  </w:rsids>
  <m:mathPr>
    <m:mathFont m:val="Cambria Math"/>
    <m:brkBin m:val="before"/>
    <m:brkBinSub m:val="--"/>
    <m:smallFrac m:val="1"/>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4"/>
    <w:qFormat/>
    <w:uiPriority w:val="99"/>
    <w:pPr>
      <w:keepNext/>
      <w:keepLines/>
      <w:spacing w:before="340" w:after="330" w:line="578" w:lineRule="auto"/>
      <w:outlineLvl w:val="0"/>
    </w:pPr>
    <w:rPr>
      <w:b/>
      <w:bCs/>
      <w:kern w:val="44"/>
      <w:sz w:val="44"/>
      <w:szCs w:val="44"/>
    </w:rPr>
  </w:style>
  <w:style w:type="paragraph" w:styleId="4">
    <w:name w:val="heading 2"/>
    <w:basedOn w:val="1"/>
    <w:next w:val="1"/>
    <w:qFormat/>
    <w:locked/>
    <w:uiPriority w:val="99"/>
    <w:pPr>
      <w:keepNext/>
      <w:keepLines/>
      <w:spacing w:before="260" w:after="260" w:line="416" w:lineRule="auto"/>
      <w:outlineLvl w:val="1"/>
    </w:pPr>
    <w:rPr>
      <w:rFonts w:ascii="Cambria" w:hAnsi="Cambria"/>
      <w:b/>
      <w:bCs/>
      <w:sz w:val="32"/>
      <w:szCs w:val="32"/>
    </w:rPr>
  </w:style>
  <w:style w:type="paragraph" w:styleId="5">
    <w:name w:val="heading 3"/>
    <w:basedOn w:val="1"/>
    <w:next w:val="1"/>
    <w:link w:val="25"/>
    <w:qFormat/>
    <w:uiPriority w:val="99"/>
    <w:pPr>
      <w:keepNext/>
      <w:keepLines/>
      <w:spacing w:before="260" w:after="260" w:line="416" w:lineRule="auto"/>
      <w:outlineLvl w:val="2"/>
    </w:pPr>
    <w:rPr>
      <w:rFonts w:ascii="Times New Roman" w:hAnsi="Times New Roman"/>
      <w:b/>
      <w:bCs/>
      <w:kern w:val="0"/>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45"/>
    <w:qFormat/>
    <w:uiPriority w:val="99"/>
    <w:pPr>
      <w:ind w:left="206"/>
      <w:jc w:val="left"/>
    </w:pPr>
    <w:rPr>
      <w:rFonts w:ascii="宋体" w:hAnsi="宋体"/>
      <w:kern w:val="0"/>
      <w:sz w:val="18"/>
      <w:szCs w:val="18"/>
      <w:lang w:eastAsia="en-US"/>
    </w:rPr>
  </w:style>
  <w:style w:type="paragraph" w:styleId="6">
    <w:name w:val="Document Map"/>
    <w:basedOn w:val="1"/>
    <w:link w:val="43"/>
    <w:semiHidden/>
    <w:unhideWhenUsed/>
    <w:qFormat/>
    <w:uiPriority w:val="99"/>
    <w:rPr>
      <w:rFonts w:ascii="宋体"/>
      <w:sz w:val="18"/>
      <w:szCs w:val="18"/>
    </w:rPr>
  </w:style>
  <w:style w:type="paragraph" w:styleId="7">
    <w:name w:val="annotation text"/>
    <w:basedOn w:val="1"/>
    <w:link w:val="28"/>
    <w:semiHidden/>
    <w:qFormat/>
    <w:uiPriority w:val="99"/>
    <w:pPr>
      <w:jc w:val="left"/>
    </w:pPr>
    <w:rPr>
      <w:kern w:val="0"/>
      <w:sz w:val="24"/>
    </w:rPr>
  </w:style>
  <w:style w:type="paragraph" w:styleId="8">
    <w:name w:val="toc 3"/>
    <w:basedOn w:val="1"/>
    <w:next w:val="1"/>
    <w:qFormat/>
    <w:uiPriority w:val="39"/>
    <w:pPr>
      <w:widowControl/>
      <w:spacing w:after="100" w:line="276" w:lineRule="auto"/>
      <w:ind w:left="440"/>
      <w:jc w:val="left"/>
    </w:pPr>
    <w:rPr>
      <w:kern w:val="0"/>
      <w:sz w:val="22"/>
      <w:szCs w:val="22"/>
    </w:rPr>
  </w:style>
  <w:style w:type="paragraph" w:styleId="9">
    <w:name w:val="Plain Text"/>
    <w:basedOn w:val="1"/>
    <w:link w:val="33"/>
    <w:qFormat/>
    <w:uiPriority w:val="99"/>
    <w:rPr>
      <w:rFonts w:ascii="宋体" w:hAnsi="Courier New"/>
      <w:kern w:val="0"/>
      <w:szCs w:val="21"/>
    </w:rPr>
  </w:style>
  <w:style w:type="paragraph" w:styleId="10">
    <w:name w:val="Date"/>
    <w:basedOn w:val="1"/>
    <w:next w:val="1"/>
    <w:link w:val="42"/>
    <w:qFormat/>
    <w:uiPriority w:val="99"/>
    <w:pPr>
      <w:ind w:left="100" w:leftChars="2500"/>
    </w:pPr>
    <w:rPr>
      <w:szCs w:val="22"/>
    </w:rPr>
  </w:style>
  <w:style w:type="paragraph" w:styleId="11">
    <w:name w:val="Balloon Text"/>
    <w:basedOn w:val="1"/>
    <w:link w:val="30"/>
    <w:semiHidden/>
    <w:qFormat/>
    <w:uiPriority w:val="99"/>
    <w:rPr>
      <w:kern w:val="0"/>
      <w:sz w:val="18"/>
      <w:szCs w:val="18"/>
    </w:rPr>
  </w:style>
  <w:style w:type="paragraph" w:styleId="12">
    <w:name w:val="footer"/>
    <w:basedOn w:val="1"/>
    <w:link w:val="27"/>
    <w:qFormat/>
    <w:uiPriority w:val="99"/>
    <w:pPr>
      <w:tabs>
        <w:tab w:val="center" w:pos="4153"/>
        <w:tab w:val="right" w:pos="8306"/>
      </w:tabs>
      <w:snapToGrid w:val="0"/>
      <w:jc w:val="left"/>
    </w:pPr>
    <w:rPr>
      <w:kern w:val="0"/>
      <w:sz w:val="18"/>
      <w:szCs w:val="18"/>
    </w:rPr>
  </w:style>
  <w:style w:type="paragraph" w:styleId="13">
    <w:name w:val="header"/>
    <w:basedOn w:val="1"/>
    <w:link w:val="26"/>
    <w:qFormat/>
    <w:uiPriority w:val="99"/>
    <w:pPr>
      <w:pBdr>
        <w:bottom w:val="single" w:color="auto" w:sz="6" w:space="1"/>
      </w:pBdr>
      <w:tabs>
        <w:tab w:val="center" w:pos="4153"/>
        <w:tab w:val="right" w:pos="8306"/>
      </w:tabs>
      <w:snapToGrid w:val="0"/>
      <w:jc w:val="center"/>
    </w:pPr>
    <w:rPr>
      <w:kern w:val="0"/>
      <w:sz w:val="18"/>
      <w:szCs w:val="18"/>
    </w:rPr>
  </w:style>
  <w:style w:type="paragraph" w:styleId="14">
    <w:name w:val="toc 1"/>
    <w:basedOn w:val="1"/>
    <w:next w:val="1"/>
    <w:qFormat/>
    <w:uiPriority w:val="39"/>
    <w:pPr>
      <w:widowControl/>
      <w:spacing w:after="100" w:line="276" w:lineRule="auto"/>
      <w:jc w:val="left"/>
    </w:pPr>
    <w:rPr>
      <w:kern w:val="0"/>
      <w:sz w:val="22"/>
      <w:szCs w:val="22"/>
    </w:rPr>
  </w:style>
  <w:style w:type="paragraph" w:styleId="15">
    <w:name w:val="toc 2"/>
    <w:basedOn w:val="1"/>
    <w:next w:val="1"/>
    <w:qFormat/>
    <w:uiPriority w:val="39"/>
    <w:pPr>
      <w:widowControl/>
      <w:spacing w:after="100" w:line="276" w:lineRule="auto"/>
      <w:ind w:left="220"/>
      <w:jc w:val="left"/>
    </w:pPr>
    <w:rPr>
      <w:kern w:val="0"/>
      <w:sz w:val="22"/>
      <w:szCs w:val="22"/>
    </w:rPr>
  </w:style>
  <w:style w:type="paragraph" w:styleId="16">
    <w:name w:val="Normal (Web)"/>
    <w:basedOn w:val="1"/>
    <w:qFormat/>
    <w:uiPriority w:val="99"/>
    <w:pPr>
      <w:jc w:val="left"/>
    </w:pPr>
    <w:rPr>
      <w:kern w:val="0"/>
      <w:sz w:val="24"/>
      <w:szCs w:val="22"/>
    </w:rPr>
  </w:style>
  <w:style w:type="paragraph" w:styleId="17">
    <w:name w:val="Title"/>
    <w:basedOn w:val="1"/>
    <w:next w:val="1"/>
    <w:link w:val="31"/>
    <w:qFormat/>
    <w:uiPriority w:val="0"/>
    <w:pPr>
      <w:spacing w:line="360" w:lineRule="auto"/>
      <w:outlineLvl w:val="0"/>
    </w:pPr>
    <w:rPr>
      <w:rFonts w:ascii="Times New Roman" w:hAnsi="Times New Roman" w:eastAsia="黑体"/>
      <w:bCs/>
      <w:kern w:val="0"/>
      <w:sz w:val="32"/>
      <w:szCs w:val="32"/>
    </w:rPr>
  </w:style>
  <w:style w:type="paragraph" w:styleId="18">
    <w:name w:val="annotation subject"/>
    <w:basedOn w:val="7"/>
    <w:next w:val="7"/>
    <w:link w:val="29"/>
    <w:semiHidden/>
    <w:qFormat/>
    <w:uiPriority w:val="99"/>
    <w:rPr>
      <w:b/>
      <w:bCs/>
    </w:rPr>
  </w:style>
  <w:style w:type="table" w:styleId="20">
    <w:name w:val="Table Grid"/>
    <w:basedOn w:val="19"/>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2">
    <w:name w:val="Hyperlink"/>
    <w:qFormat/>
    <w:uiPriority w:val="99"/>
    <w:rPr>
      <w:rFonts w:cs="Times New Roman"/>
      <w:color w:val="0000FF"/>
      <w:u w:val="single"/>
    </w:rPr>
  </w:style>
  <w:style w:type="character" w:styleId="23">
    <w:name w:val="annotation reference"/>
    <w:semiHidden/>
    <w:qFormat/>
    <w:uiPriority w:val="99"/>
    <w:rPr>
      <w:rFonts w:cs="Times New Roman"/>
      <w:sz w:val="21"/>
      <w:szCs w:val="21"/>
    </w:rPr>
  </w:style>
  <w:style w:type="character" w:customStyle="1" w:styleId="24">
    <w:name w:val="标题 1 Char"/>
    <w:link w:val="3"/>
    <w:qFormat/>
    <w:locked/>
    <w:uiPriority w:val="99"/>
    <w:rPr>
      <w:rFonts w:ascii="Calibri" w:hAnsi="Calibri" w:eastAsia="宋体" w:cs="Times New Roman"/>
      <w:b/>
      <w:bCs/>
      <w:kern w:val="44"/>
      <w:sz w:val="44"/>
      <w:szCs w:val="44"/>
    </w:rPr>
  </w:style>
  <w:style w:type="character" w:customStyle="1" w:styleId="25">
    <w:name w:val="标题 3 Char"/>
    <w:link w:val="5"/>
    <w:qFormat/>
    <w:locked/>
    <w:uiPriority w:val="99"/>
    <w:rPr>
      <w:rFonts w:ascii="Times New Roman" w:hAnsi="Times New Roman" w:eastAsia="宋体" w:cs="Times New Roman"/>
      <w:b/>
      <w:bCs/>
      <w:sz w:val="32"/>
      <w:szCs w:val="32"/>
    </w:rPr>
  </w:style>
  <w:style w:type="character" w:customStyle="1" w:styleId="26">
    <w:name w:val="页眉 Char"/>
    <w:link w:val="13"/>
    <w:qFormat/>
    <w:locked/>
    <w:uiPriority w:val="99"/>
    <w:rPr>
      <w:rFonts w:cs="Times New Roman"/>
      <w:sz w:val="18"/>
      <w:szCs w:val="18"/>
    </w:rPr>
  </w:style>
  <w:style w:type="character" w:customStyle="1" w:styleId="27">
    <w:name w:val="页脚 Char"/>
    <w:link w:val="12"/>
    <w:qFormat/>
    <w:locked/>
    <w:uiPriority w:val="99"/>
    <w:rPr>
      <w:rFonts w:cs="Times New Roman"/>
      <w:sz w:val="18"/>
      <w:szCs w:val="18"/>
    </w:rPr>
  </w:style>
  <w:style w:type="character" w:customStyle="1" w:styleId="28">
    <w:name w:val="批注文字 Char"/>
    <w:link w:val="7"/>
    <w:semiHidden/>
    <w:qFormat/>
    <w:locked/>
    <w:uiPriority w:val="99"/>
    <w:rPr>
      <w:rFonts w:ascii="Calibri" w:hAnsi="Calibri" w:eastAsia="宋体" w:cs="Times New Roman"/>
      <w:sz w:val="24"/>
      <w:szCs w:val="24"/>
    </w:rPr>
  </w:style>
  <w:style w:type="character" w:customStyle="1" w:styleId="29">
    <w:name w:val="批注主题 Char"/>
    <w:link w:val="18"/>
    <w:semiHidden/>
    <w:qFormat/>
    <w:locked/>
    <w:uiPriority w:val="99"/>
    <w:rPr>
      <w:rFonts w:ascii="Calibri" w:hAnsi="Calibri" w:eastAsia="宋体" w:cs="Times New Roman"/>
      <w:b/>
      <w:bCs/>
      <w:sz w:val="24"/>
      <w:szCs w:val="24"/>
    </w:rPr>
  </w:style>
  <w:style w:type="character" w:customStyle="1" w:styleId="30">
    <w:name w:val="批注框文本 Char"/>
    <w:link w:val="11"/>
    <w:semiHidden/>
    <w:qFormat/>
    <w:locked/>
    <w:uiPriority w:val="99"/>
    <w:rPr>
      <w:rFonts w:ascii="Calibri" w:hAnsi="Calibri" w:eastAsia="宋体" w:cs="Times New Roman"/>
      <w:sz w:val="18"/>
      <w:szCs w:val="18"/>
    </w:rPr>
  </w:style>
  <w:style w:type="character" w:customStyle="1" w:styleId="31">
    <w:name w:val="标题 Char1"/>
    <w:link w:val="17"/>
    <w:qFormat/>
    <w:locked/>
    <w:uiPriority w:val="99"/>
    <w:rPr>
      <w:rFonts w:ascii="Times New Roman" w:hAnsi="Times New Roman" w:eastAsia="黑体" w:cs="Times New Roman"/>
      <w:bCs/>
      <w:kern w:val="0"/>
      <w:sz w:val="32"/>
      <w:szCs w:val="32"/>
    </w:rPr>
  </w:style>
  <w:style w:type="character" w:customStyle="1" w:styleId="32">
    <w:name w:val="标题 Char"/>
    <w:qFormat/>
    <w:uiPriority w:val="99"/>
    <w:rPr>
      <w:rFonts w:ascii="Cambria" w:hAnsi="Cambria" w:eastAsia="宋体" w:cs="Times New Roman"/>
      <w:b/>
      <w:bCs/>
      <w:sz w:val="32"/>
      <w:szCs w:val="32"/>
    </w:rPr>
  </w:style>
  <w:style w:type="character" w:customStyle="1" w:styleId="33">
    <w:name w:val="纯文本 Char"/>
    <w:link w:val="9"/>
    <w:qFormat/>
    <w:locked/>
    <w:uiPriority w:val="99"/>
    <w:rPr>
      <w:rFonts w:ascii="宋体" w:hAnsi="Courier New" w:eastAsia="宋体" w:cs="Times New Roman"/>
      <w:sz w:val="21"/>
      <w:szCs w:val="21"/>
    </w:rPr>
  </w:style>
  <w:style w:type="paragraph" w:customStyle="1" w:styleId="34">
    <w:name w:val="列出段落1"/>
    <w:basedOn w:val="1"/>
    <w:qFormat/>
    <w:uiPriority w:val="99"/>
    <w:pPr>
      <w:widowControl/>
      <w:spacing w:after="200" w:line="276" w:lineRule="auto"/>
      <w:ind w:firstLine="420" w:firstLineChars="200"/>
      <w:jc w:val="left"/>
    </w:pPr>
    <w:rPr>
      <w:rFonts w:ascii="Times New Roman" w:hAnsi="Times New Roman"/>
      <w:kern w:val="0"/>
      <w:sz w:val="28"/>
      <w:szCs w:val="22"/>
      <w:lang w:eastAsia="en-US"/>
    </w:rPr>
  </w:style>
  <w:style w:type="character" w:customStyle="1" w:styleId="35">
    <w:name w:val="font01"/>
    <w:qFormat/>
    <w:uiPriority w:val="0"/>
    <w:rPr>
      <w:rFonts w:ascii="Symbol" w:hAnsi="Symbol" w:cs="Times New Roman"/>
      <w:color w:val="000000"/>
      <w:sz w:val="24"/>
      <w:szCs w:val="24"/>
      <w:u w:val="none"/>
    </w:rPr>
  </w:style>
  <w:style w:type="character" w:customStyle="1" w:styleId="36">
    <w:name w:val="font11"/>
    <w:qFormat/>
    <w:uiPriority w:val="0"/>
    <w:rPr>
      <w:rFonts w:ascii="仿宋" w:hAnsi="仿宋" w:eastAsia="仿宋" w:cs="Times New Roman"/>
      <w:color w:val="000000"/>
      <w:sz w:val="24"/>
      <w:szCs w:val="24"/>
      <w:u w:val="none"/>
    </w:rPr>
  </w:style>
  <w:style w:type="character" w:customStyle="1" w:styleId="37">
    <w:name w:val="font31"/>
    <w:qFormat/>
    <w:uiPriority w:val="0"/>
    <w:rPr>
      <w:rFonts w:ascii="宋体" w:hAnsi="宋体" w:eastAsia="宋体" w:cs="Times New Roman"/>
      <w:color w:val="000000"/>
      <w:sz w:val="24"/>
      <w:szCs w:val="24"/>
      <w:u w:val="none"/>
    </w:rPr>
  </w:style>
  <w:style w:type="paragraph" w:customStyle="1" w:styleId="38">
    <w:name w:val="TOC 标题1"/>
    <w:basedOn w:val="3"/>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39">
    <w:name w:val="正文1"/>
    <w:basedOn w:val="1"/>
    <w:link w:val="40"/>
    <w:qFormat/>
    <w:uiPriority w:val="0"/>
    <w:pPr>
      <w:widowControl/>
      <w:spacing w:after="200" w:line="480" w:lineRule="auto"/>
      <w:ind w:firstLine="200" w:firstLineChars="200"/>
      <w:jc w:val="left"/>
    </w:pPr>
    <w:rPr>
      <w:rFonts w:ascii="Times New Roman" w:hAnsi="Times New Roman" w:eastAsia="仿宋"/>
      <w:kern w:val="0"/>
      <w:sz w:val="28"/>
      <w:szCs w:val="22"/>
      <w:lang w:eastAsia="en-US" w:bidi="en-US"/>
    </w:rPr>
  </w:style>
  <w:style w:type="character" w:customStyle="1" w:styleId="40">
    <w:name w:val="正文1 Char"/>
    <w:link w:val="39"/>
    <w:qFormat/>
    <w:uiPriority w:val="0"/>
    <w:rPr>
      <w:rFonts w:ascii="Times New Roman" w:hAnsi="Times New Roman" w:eastAsia="仿宋"/>
      <w:sz w:val="28"/>
      <w:szCs w:val="22"/>
      <w:lang w:eastAsia="en-US" w:bidi="en-US"/>
    </w:rPr>
  </w:style>
  <w:style w:type="paragraph" w:customStyle="1" w:styleId="41">
    <w:name w:val="修订1"/>
    <w:hidden/>
    <w:unhideWhenUsed/>
    <w:qFormat/>
    <w:uiPriority w:val="99"/>
    <w:rPr>
      <w:rFonts w:ascii="Calibri" w:hAnsi="Calibri" w:eastAsia="宋体" w:cs="Times New Roman"/>
      <w:kern w:val="2"/>
      <w:sz w:val="21"/>
      <w:szCs w:val="24"/>
      <w:lang w:val="en-US" w:eastAsia="zh-CN" w:bidi="ar-SA"/>
    </w:rPr>
  </w:style>
  <w:style w:type="character" w:customStyle="1" w:styleId="42">
    <w:name w:val="日期 Char"/>
    <w:basedOn w:val="21"/>
    <w:link w:val="10"/>
    <w:qFormat/>
    <w:uiPriority w:val="99"/>
    <w:rPr>
      <w:rFonts w:ascii="Calibri" w:hAnsi="Calibri"/>
      <w:kern w:val="2"/>
      <w:sz w:val="21"/>
      <w:szCs w:val="22"/>
    </w:rPr>
  </w:style>
  <w:style w:type="character" w:customStyle="1" w:styleId="43">
    <w:name w:val="文档结构图 Char"/>
    <w:basedOn w:val="21"/>
    <w:link w:val="6"/>
    <w:semiHidden/>
    <w:qFormat/>
    <w:uiPriority w:val="99"/>
    <w:rPr>
      <w:rFonts w:ascii="宋体" w:hAnsi="Calibri"/>
      <w:kern w:val="2"/>
      <w:sz w:val="18"/>
      <w:szCs w:val="18"/>
    </w:rPr>
  </w:style>
  <w:style w:type="character" w:customStyle="1" w:styleId="44">
    <w:name w:val="font21"/>
    <w:basedOn w:val="21"/>
    <w:qFormat/>
    <w:uiPriority w:val="0"/>
    <w:rPr>
      <w:rFonts w:hint="default" w:ascii="Arial Narrow" w:hAnsi="Arial Narrow"/>
      <w:color w:val="000000"/>
      <w:sz w:val="20"/>
      <w:szCs w:val="20"/>
      <w:u w:val="none"/>
    </w:rPr>
  </w:style>
  <w:style w:type="character" w:customStyle="1" w:styleId="45">
    <w:name w:val="正文文本 Char"/>
    <w:basedOn w:val="21"/>
    <w:link w:val="2"/>
    <w:qFormat/>
    <w:uiPriority w:val="99"/>
    <w:rPr>
      <w:rFonts w:ascii="宋体" w:hAnsi="宋体"/>
      <w:sz w:val="18"/>
      <w:szCs w:val="18"/>
      <w:lang w:eastAsia="en-US"/>
    </w:rPr>
  </w:style>
  <w:style w:type="character" w:customStyle="1" w:styleId="46">
    <w:name w:val="font61"/>
    <w:basedOn w:val="21"/>
    <w:qFormat/>
    <w:uiPriority w:val="0"/>
    <w:rPr>
      <w:color w:val="000000"/>
      <w:sz w:val="20"/>
      <w:szCs w:val="20"/>
      <w:u w:val="none"/>
    </w:rPr>
  </w:style>
  <w:style w:type="table" w:customStyle="1" w:styleId="47">
    <w:name w:val="网格型11"/>
    <w:basedOn w:val="19"/>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8">
    <w:name w:val="网格型13"/>
    <w:basedOn w:val="19"/>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9">
    <w:name w:val="网格型161"/>
    <w:basedOn w:val="19"/>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0">
    <w:name w:val="网格型17"/>
    <w:basedOn w:val="19"/>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
    <w:name w:val="网格型14"/>
    <w:basedOn w:val="19"/>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
    <w:name w:val="网格型16"/>
    <w:basedOn w:val="19"/>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
    <w:name w:val="网格型171"/>
    <w:basedOn w:val="19"/>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4">
    <w:name w:val="网格型10"/>
    <w:basedOn w:val="19"/>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5">
    <w:name w:val="网格型8"/>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6">
    <w:name w:val="网格型113"/>
    <w:basedOn w:val="1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7">
    <w:name w:val="网格型21"/>
    <w:basedOn w:val="19"/>
    <w:qFormat/>
    <w:uiPriority w:val="9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8">
    <w:name w:val="样式1"/>
    <w:basedOn w:val="1"/>
    <w:qFormat/>
    <w:uiPriority w:val="0"/>
    <w:pPr>
      <w:tabs>
        <w:tab w:val="left" w:pos="630"/>
      </w:tabs>
      <w:ind w:firstLine="640" w:firstLineChars="200"/>
    </w:pPr>
    <w:rPr>
      <w:rFonts w:ascii="仿宋_GB2312" w:eastAsia="仿宋_GB2312" w:cs="黑体"/>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50</Pages>
  <Words>23223</Words>
  <Characters>25676</Characters>
  <Lines>180</Lines>
  <Paragraphs>50</Paragraphs>
  <TotalTime>0</TotalTime>
  <ScaleCrop>false</ScaleCrop>
  <LinksUpToDate>false</LinksUpToDate>
  <CharactersWithSpaces>26478</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2018-09-22T01:55:00Z</dcterms:created>
  <dc:creator>许志敏</dc:creator>
  <cp:lastModifiedBy>greatwall</cp:lastModifiedBy>
  <cp:lastPrinted>2021-03-14T04:09:00Z</cp:lastPrinted>
  <dcterms:modified xsi:type="dcterms:W3CDTF">2024-11-13T16:36:57Z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KSOSaveFontToCloudKey">
    <vt:lpwstr>447626480_btnclosed</vt:lpwstr>
  </property>
  <property fmtid="{D5CDD505-2E9C-101B-9397-08002B2CF9AE}" pid="4" name="ICV">
    <vt:lpwstr>399F92F62248495BA89C2F113E39F921</vt:lpwstr>
  </property>
</Properties>
</file>