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cs="仿宋"/>
          <w:b/>
          <w:bCs/>
          <w:spacing w:val="20"/>
          <w:sz w:val="48"/>
          <w:szCs w:val="48"/>
        </w:rPr>
      </w:pPr>
      <w:bookmarkStart w:id="0" w:name="_Toc514537326"/>
      <w:bookmarkStart w:id="1" w:name="_Toc514537328"/>
    </w:p>
    <w:p>
      <w:pPr>
        <w:jc w:val="both"/>
        <w:rPr>
          <w:rFonts w:ascii="黑体" w:eastAsia="黑体" w:cs="仿宋"/>
          <w:b/>
          <w:bCs/>
          <w:spacing w:val="20"/>
          <w:sz w:val="48"/>
          <w:szCs w:val="48"/>
        </w:rPr>
      </w:pPr>
    </w:p>
    <w:p>
      <w:pPr>
        <w:spacing w:before="158" w:beforeLines="50" w:after="158" w:afterLines="50" w:line="574" w:lineRule="exact"/>
        <w:jc w:val="center"/>
        <w:rPr>
          <w:rFonts w:ascii="Times New Roman" w:hAnsi="Times New Roman" w:eastAsia="仿宋" w:cs="Times New Roman"/>
          <w:b/>
          <w:bCs w:val="0"/>
          <w:kern w:val="0"/>
          <w:sz w:val="44"/>
          <w:szCs w:val="44"/>
          <w:lang w:eastAsia="zh-CN"/>
        </w:rPr>
      </w:pPr>
      <w:r>
        <w:rPr>
          <w:rFonts w:hint="eastAsia" w:ascii="Times New Roman" w:hAnsi="Times New Roman" w:eastAsia="仿宋" w:cs="Times New Roman"/>
          <w:b/>
          <w:bCs w:val="0"/>
          <w:kern w:val="0"/>
          <w:sz w:val="44"/>
          <w:szCs w:val="44"/>
          <w:lang w:val="en-US" w:eastAsia="zh-CN"/>
        </w:rPr>
        <w:t>旧县镇办公楼维修、政务中心大楼日常维护和农业农村局家具配置经费项目</w:t>
      </w:r>
      <w:r>
        <w:rPr>
          <w:rFonts w:ascii="Times New Roman" w:hAnsi="Times New Roman" w:eastAsia="仿宋" w:cs="Times New Roman"/>
          <w:b/>
          <w:bCs w:val="0"/>
          <w:kern w:val="0"/>
          <w:sz w:val="44"/>
          <w:szCs w:val="44"/>
          <w:lang w:val="en-US" w:eastAsia="zh-CN"/>
        </w:rPr>
        <w:t>支出</w:t>
      </w:r>
      <w:r>
        <w:rPr>
          <w:rFonts w:ascii="Times New Roman" w:hAnsi="Times New Roman" w:eastAsia="仿宋" w:cs="Times New Roman"/>
          <w:b/>
          <w:bCs w:val="0"/>
          <w:kern w:val="0"/>
          <w:sz w:val="44"/>
          <w:szCs w:val="44"/>
          <w:lang w:eastAsia="zh-CN"/>
        </w:rPr>
        <w:t>绩效评价</w:t>
      </w:r>
    </w:p>
    <w:p>
      <w:pPr>
        <w:spacing w:before="158" w:beforeLines="50" w:after="158" w:afterLines="50" w:line="574" w:lineRule="exact"/>
        <w:jc w:val="center"/>
        <w:rPr>
          <w:rFonts w:ascii="Times New Roman" w:hAnsi="Times New Roman" w:eastAsia="黑体"/>
          <w:b/>
          <w:sz w:val="44"/>
          <w:szCs w:val="44"/>
        </w:rPr>
      </w:pPr>
      <w:r>
        <w:rPr>
          <w:rFonts w:ascii="Times New Roman" w:hAnsi="Times New Roman" w:eastAsia="仿宋" w:cs="Times New Roman"/>
          <w:b/>
          <w:bCs w:val="0"/>
          <w:kern w:val="0"/>
          <w:sz w:val="44"/>
          <w:szCs w:val="44"/>
          <w:lang w:eastAsia="zh-CN"/>
        </w:rPr>
        <w:t>报告</w:t>
      </w:r>
    </w:p>
    <w:p>
      <w:pPr>
        <w:jc w:val="center"/>
        <w:rPr>
          <w:rFonts w:ascii="仿宋" w:eastAsia="仿宋" w:cs="仿宋"/>
          <w:b/>
          <w:bCs/>
          <w:sz w:val="48"/>
          <w:szCs w:val="48"/>
          <w:highlight w:val="yellow"/>
        </w:rPr>
      </w:pPr>
    </w:p>
    <w:p>
      <w:pPr>
        <w:jc w:val="cente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ind w:right="-168" w:rightChars="-80"/>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pStyle w:val="2"/>
        <w:rPr>
          <w:rFonts w:ascii="仿宋" w:eastAsia="仿宋" w:cs="仿宋"/>
          <w:b/>
          <w:bCs/>
          <w:sz w:val="48"/>
          <w:szCs w:val="48"/>
          <w:highlight w:val="yellow"/>
        </w:rPr>
      </w:pPr>
    </w:p>
    <w:p>
      <w:pPr>
        <w:rPr>
          <w:rFonts w:asci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eastAsia="仿宋" w:cs="仿宋"/>
          <w:b/>
          <w:bCs/>
          <w:kern w:val="0"/>
          <w:sz w:val="28"/>
          <w:szCs w:val="28"/>
          <w:lang w:val="en-US" w:eastAsia="zh-CN"/>
        </w:rPr>
      </w:pPr>
      <w:r>
        <w:rPr>
          <w:rFonts w:hint="eastAsia" w:ascii="仿宋" w:eastAsia="仿宋" w:cs="仿宋"/>
          <w:b/>
          <w:bCs/>
          <w:kern w:val="0"/>
          <w:sz w:val="28"/>
          <w:szCs w:val="28"/>
        </w:rPr>
        <w:t>主管单位：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hint="eastAsia" w:ascii="仿宋" w:eastAsia="仿宋" w:cs="仿宋"/>
          <w:b/>
          <w:bCs/>
          <w:kern w:val="0"/>
          <w:sz w:val="28"/>
          <w:szCs w:val="28"/>
          <w:lang w:val="en-US" w:eastAsia="zh-CN"/>
        </w:rPr>
      </w:pPr>
      <w:r>
        <w:rPr>
          <w:rFonts w:hint="eastAsia" w:ascii="仿宋" w:eastAsia="仿宋" w:cs="仿宋"/>
          <w:b/>
          <w:bCs/>
          <w:kern w:val="0"/>
          <w:sz w:val="28"/>
          <w:szCs w:val="28"/>
        </w:rPr>
        <w:t>实施单位：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ascii="仿宋" w:eastAsia="仿宋" w:cs="仿宋"/>
          <w:b/>
          <w:bCs/>
          <w:kern w:val="0"/>
          <w:sz w:val="28"/>
          <w:szCs w:val="28"/>
          <w:lang w:val="en-US" w:eastAsia="zh-CN"/>
        </w:rPr>
      </w:pPr>
      <w:r>
        <w:rPr>
          <w:rFonts w:hint="eastAsia" w:ascii="仿宋" w:eastAsia="仿宋" w:cs="仿宋"/>
          <w:b/>
          <w:bCs/>
          <w:kern w:val="0"/>
          <w:sz w:val="28"/>
          <w:szCs w:val="28"/>
        </w:rPr>
        <w:t>委托单位：</w:t>
      </w:r>
      <w:r>
        <w:rPr>
          <w:rFonts w:hint="eastAsia" w:asci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720" w:num="1"/>
          <w:rtlGutter w:val="1"/>
          <w:docGrid w:type="lines" w:linePitch="315" w:charSpace="0"/>
        </w:sectPr>
      </w:pPr>
      <w:r>
        <w:rPr>
          <w:rFonts w:hint="eastAsia" w:ascii="仿宋" w:eastAsia="仿宋" w:cs="仿宋"/>
          <w:b/>
          <w:bCs/>
          <w:kern w:val="0"/>
          <w:sz w:val="28"/>
          <w:szCs w:val="28"/>
        </w:rPr>
        <w:t>评价机构：</w:t>
      </w:r>
      <w:r>
        <w:rPr>
          <w:rFonts w:hint="eastAsia" w:ascii="仿宋" w:eastAsia="仿宋" w:cs="仿宋"/>
          <w:b/>
          <w:bCs/>
          <w:kern w:val="0"/>
          <w:sz w:val="28"/>
          <w:szCs w:val="28"/>
          <w:lang w:eastAsia="zh-CN"/>
        </w:rPr>
        <w:t>山西</w:t>
      </w:r>
      <w:r>
        <w:rPr>
          <w:rFonts w:hint="eastAsia" w:ascii="仿宋" w:eastAsia="仿宋" w:cs="仿宋"/>
          <w:b/>
          <w:bCs/>
          <w:kern w:val="0"/>
          <w:sz w:val="28"/>
          <w:szCs w:val="28"/>
          <w:lang w:val="en-US" w:eastAsia="zh-CN"/>
        </w:rPr>
        <w:t>恒略</w:t>
      </w:r>
      <w:r>
        <w:rPr>
          <w:rFonts w:hint="eastAsia" w:asci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eastAsia="仿宋" w:cs="仿宋"/>
          <w:sz w:val="24"/>
          <w:szCs w:val="24"/>
        </w:rPr>
      </w:pPr>
      <w:r>
        <w:rPr>
          <w:rFonts w:hint="eastAsia" w:ascii="仿宋" w:eastAsia="仿宋" w:cs="仿宋"/>
          <w:b/>
          <w:bCs/>
          <w:sz w:val="24"/>
          <w:szCs w:val="24"/>
        </w:rPr>
        <w:t>目</w:t>
      </w:r>
      <w:r>
        <w:rPr>
          <w:rFonts w:hint="eastAsia" w:ascii="仿宋" w:eastAsia="仿宋" w:cs="仿宋"/>
          <w:b/>
          <w:bCs/>
          <w:sz w:val="24"/>
          <w:szCs w:val="24"/>
          <w:lang w:val="en-US" w:eastAsia="zh-CN"/>
        </w:rPr>
        <w:t xml:space="preserve"> </w:t>
      </w:r>
      <w:r>
        <w:rPr>
          <w:rFonts w:hint="eastAsia" w:asci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eastAsia="仿宋" w:cs="仿宋"/>
          <w:sz w:val="24"/>
          <w:szCs w:val="24"/>
          <w:highlight w:val="yellow"/>
        </w:rPr>
      </w:pPr>
    </w:p>
    <w:p>
      <w:pPr>
        <w:pStyle w:val="14"/>
        <w:tabs>
          <w:tab w:val="right" w:leader="dot" w:pos="8306"/>
        </w:tabs>
        <w:rPr>
          <w:rFonts w:hint="eastAsia" w:ascii="仿宋" w:eastAsia="仿宋" w:cs="仿宋"/>
          <w:b/>
          <w:bCs/>
          <w:sz w:val="24"/>
          <w:szCs w:val="24"/>
        </w:rPr>
      </w:pPr>
      <w:r>
        <w:rPr>
          <w:rFonts w:hint="eastAsia" w:ascii="仿宋" w:eastAsia="仿宋" w:cs="仿宋"/>
          <w:b w:val="0"/>
          <w:bCs w:val="0"/>
          <w:sz w:val="24"/>
          <w:szCs w:val="24"/>
          <w:highlight w:val="yellow"/>
        </w:rPr>
        <w:fldChar w:fldCharType="begin"/>
      </w:r>
      <w:r>
        <w:rPr>
          <w:rFonts w:hint="eastAsia" w:ascii="仿宋" w:eastAsia="仿宋" w:cs="仿宋"/>
          <w:b w:val="0"/>
          <w:bCs w:val="0"/>
          <w:sz w:val="24"/>
          <w:szCs w:val="24"/>
          <w:highlight w:val="yellow"/>
        </w:rPr>
        <w:instrText xml:space="preserve"> TOC \o "1-3" \h \z \u </w:instrText>
      </w:r>
      <w:r>
        <w:rPr>
          <w:rFonts w:hint="eastAsia" w:ascii="仿宋" w:eastAsia="仿宋" w:cs="仿宋"/>
          <w:b w:val="0"/>
          <w:bCs w:val="0"/>
          <w:sz w:val="24"/>
          <w:szCs w:val="24"/>
          <w:highlight w:val="yellow"/>
        </w:rPr>
        <w:fldChar w:fldCharType="separate"/>
      </w: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_Toc3630 </w:instrText>
      </w:r>
      <w:r>
        <w:rPr>
          <w:rFonts w:hint="eastAsia" w:ascii="仿宋" w:eastAsia="仿宋" w:cs="仿宋"/>
          <w:b/>
          <w:bCs/>
          <w:sz w:val="24"/>
          <w:szCs w:val="24"/>
          <w:highlight w:val="yellow"/>
        </w:rPr>
        <w:fldChar w:fldCharType="separate"/>
      </w:r>
      <w:r>
        <w:rPr>
          <w:rFonts w:hint="eastAsia" w:ascii="仿宋" w:eastAsia="仿宋" w:cs="仿宋"/>
          <w:b/>
          <w:bCs/>
          <w:kern w:val="2"/>
          <w:sz w:val="24"/>
          <w:szCs w:val="24"/>
        </w:rPr>
        <w:t>报告摘要</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_Toc3630 \h </w:instrText>
      </w:r>
      <w:r>
        <w:rPr>
          <w:rFonts w:hint="eastAsia" w:ascii="仿宋" w:eastAsia="仿宋" w:cs="仿宋"/>
          <w:b/>
          <w:bCs/>
          <w:sz w:val="24"/>
          <w:szCs w:val="24"/>
        </w:rPr>
        <w:fldChar w:fldCharType="separate"/>
      </w:r>
      <w:r>
        <w:rPr>
          <w:rFonts w:hint="eastAsia" w:ascii="仿宋" w:eastAsia="仿宋" w:cs="仿宋"/>
          <w:b/>
          <w:bCs/>
          <w:sz w:val="24"/>
          <w:szCs w:val="24"/>
        </w:rPr>
        <w:t>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_Toc2950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一、项目基本情况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_Toc2950 \h </w:instrText>
      </w:r>
      <w:r>
        <w:rPr>
          <w:rFonts w:hint="eastAsia" w:ascii="仿宋" w:eastAsia="仿宋" w:cs="仿宋"/>
          <w:b/>
          <w:bCs/>
          <w:sz w:val="24"/>
          <w:szCs w:val="24"/>
        </w:rPr>
        <w:fldChar w:fldCharType="separate"/>
      </w:r>
      <w:r>
        <w:rPr>
          <w:rFonts w:hint="eastAsia" w:ascii="仿宋" w:eastAsia="仿宋" w:cs="仿宋"/>
          <w:b/>
          <w:bCs/>
          <w:sz w:val="24"/>
          <w:szCs w:val="24"/>
        </w:rPr>
        <w:t>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_Toc22839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（一）项目背景及概况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_Toc22839 \h </w:instrText>
      </w:r>
      <w:r>
        <w:rPr>
          <w:rFonts w:hint="eastAsia" w:ascii="仿宋" w:eastAsia="仿宋" w:cs="仿宋"/>
          <w:sz w:val="24"/>
          <w:szCs w:val="24"/>
        </w:rPr>
        <w:fldChar w:fldCharType="separate"/>
      </w:r>
      <w:r>
        <w:rPr>
          <w:rFonts w:hint="eastAsia" w:ascii="仿宋" w:eastAsia="仿宋" w:cs="仿宋"/>
          <w:sz w:val="24"/>
          <w:szCs w:val="24"/>
        </w:rPr>
        <w:t>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_Toc9637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（二）预算资金来源与资金使用</w:t>
      </w:r>
      <w:r>
        <w:rPr>
          <w:rFonts w:hint="eastAsia" w:ascii="仿宋" w:eastAsia="仿宋" w:cs="仿宋"/>
          <w:bCs/>
          <w:sz w:val="24"/>
          <w:szCs w:val="24"/>
          <w:lang w:val="en-US" w:eastAsia="zh-CN"/>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_Toc9637 \h </w:instrText>
      </w:r>
      <w:r>
        <w:rPr>
          <w:rFonts w:hint="eastAsia" w:ascii="仿宋" w:eastAsia="仿宋" w:cs="仿宋"/>
          <w:sz w:val="24"/>
          <w:szCs w:val="24"/>
        </w:rPr>
        <w:fldChar w:fldCharType="separate"/>
      </w:r>
      <w:r>
        <w:rPr>
          <w:rFonts w:hint="eastAsia" w:ascii="仿宋" w:eastAsia="仿宋" w:cs="仿宋"/>
          <w:sz w:val="24"/>
          <w:szCs w:val="24"/>
        </w:rPr>
        <w:t>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_Toc29577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三</w:t>
      </w:r>
      <w:r>
        <w:rPr>
          <w:rFonts w:hint="eastAsia" w:ascii="仿宋" w:eastAsia="仿宋" w:cs="仿宋"/>
          <w:bCs/>
          <w:sz w:val="24"/>
          <w:szCs w:val="24"/>
          <w:lang w:eastAsia="zh-CN"/>
        </w:rPr>
        <w:t>）</w:t>
      </w:r>
      <w:r>
        <w:rPr>
          <w:rFonts w:hint="eastAsia" w:ascii="仿宋" w:eastAsia="仿宋" w:cs="仿宋"/>
          <w:bCs/>
          <w:sz w:val="24"/>
          <w:szCs w:val="24"/>
          <w:lang w:val="en-US" w:eastAsia="zh-CN"/>
        </w:rPr>
        <w:t>项目立项依据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_Toc29577 \h </w:instrText>
      </w:r>
      <w:r>
        <w:rPr>
          <w:rFonts w:hint="eastAsia" w:ascii="仿宋" w:eastAsia="仿宋" w:cs="仿宋"/>
          <w:sz w:val="24"/>
          <w:szCs w:val="24"/>
        </w:rPr>
        <w:fldChar w:fldCharType="separate"/>
      </w:r>
      <w:r>
        <w:rPr>
          <w:rFonts w:hint="eastAsia" w:ascii="仿宋" w:eastAsia="仿宋" w:cs="仿宋"/>
          <w:sz w:val="24"/>
          <w:szCs w:val="24"/>
        </w:rPr>
        <w:t>23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_Toc13640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四</w:t>
      </w:r>
      <w:r>
        <w:rPr>
          <w:rFonts w:hint="eastAsia" w:ascii="仿宋" w:eastAsia="仿宋" w:cs="仿宋"/>
          <w:bCs/>
          <w:sz w:val="24"/>
          <w:szCs w:val="24"/>
          <w:lang w:eastAsia="zh-CN"/>
        </w:rPr>
        <w:t>）项目绩效目标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_Toc13640 \h </w:instrText>
      </w:r>
      <w:r>
        <w:rPr>
          <w:rFonts w:hint="eastAsia" w:ascii="仿宋" w:eastAsia="仿宋" w:cs="仿宋"/>
          <w:sz w:val="24"/>
          <w:szCs w:val="24"/>
        </w:rPr>
        <w:fldChar w:fldCharType="separate"/>
      </w:r>
      <w:r>
        <w:rPr>
          <w:rFonts w:hint="eastAsia" w:ascii="仿宋" w:eastAsia="仿宋" w:cs="仿宋"/>
          <w:sz w:val="24"/>
          <w:szCs w:val="24"/>
        </w:rPr>
        <w:t>23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_Toc24315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二、项目组织实施情况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_Toc24315 \h </w:instrText>
      </w:r>
      <w:r>
        <w:rPr>
          <w:rFonts w:hint="eastAsia" w:ascii="仿宋" w:eastAsia="仿宋" w:cs="仿宋"/>
          <w:b/>
          <w:bCs/>
          <w:sz w:val="24"/>
          <w:szCs w:val="24"/>
        </w:rPr>
        <w:fldChar w:fldCharType="separate"/>
      </w:r>
      <w:r>
        <w:rPr>
          <w:rFonts w:hint="eastAsia" w:ascii="仿宋" w:eastAsia="仿宋" w:cs="仿宋"/>
          <w:b/>
          <w:bCs/>
          <w:sz w:val="24"/>
          <w:szCs w:val="24"/>
        </w:rPr>
        <w:t>23</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_Toc383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（一）项目组织情况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_Toc383 \h </w:instrText>
      </w:r>
      <w:r>
        <w:rPr>
          <w:rFonts w:hint="eastAsia" w:ascii="仿宋" w:eastAsia="仿宋" w:cs="仿宋"/>
          <w:sz w:val="24"/>
          <w:szCs w:val="24"/>
        </w:rPr>
        <w:fldChar w:fldCharType="separate"/>
      </w:r>
      <w:r>
        <w:rPr>
          <w:rFonts w:hint="eastAsia" w:ascii="仿宋" w:eastAsia="仿宋" w:cs="仿宋"/>
          <w:sz w:val="24"/>
          <w:szCs w:val="24"/>
        </w:rPr>
        <w:t>23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_Toc13766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（二）项目实施</w:t>
      </w:r>
      <w:r>
        <w:rPr>
          <w:rFonts w:hint="eastAsia" w:ascii="仿宋" w:eastAsia="仿宋" w:cs="仿宋"/>
          <w:bCs/>
          <w:sz w:val="24"/>
          <w:szCs w:val="24"/>
          <w:lang w:val="en-US" w:eastAsia="zh-CN"/>
        </w:rPr>
        <w:t>内容与完成</w:t>
      </w:r>
      <w:r>
        <w:rPr>
          <w:rFonts w:hint="eastAsia" w:ascii="仿宋" w:eastAsia="仿宋" w:cs="仿宋"/>
          <w:bCs/>
          <w:sz w:val="24"/>
          <w:szCs w:val="24"/>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_Toc13766 \h </w:instrText>
      </w:r>
      <w:r>
        <w:rPr>
          <w:rFonts w:hint="eastAsia" w:ascii="仿宋" w:eastAsia="仿宋" w:cs="仿宋"/>
          <w:sz w:val="24"/>
          <w:szCs w:val="24"/>
        </w:rPr>
        <w:fldChar w:fldCharType="separate"/>
      </w:r>
      <w:r>
        <w:rPr>
          <w:rFonts w:hint="eastAsia" w:ascii="仿宋" w:eastAsia="仿宋" w:cs="仿宋"/>
          <w:sz w:val="24"/>
          <w:szCs w:val="24"/>
        </w:rPr>
        <w:t>23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_Toc5479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三、绩效评价工作情况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_Toc5479 \h </w:instrText>
      </w:r>
      <w:r>
        <w:rPr>
          <w:rFonts w:hint="eastAsia" w:ascii="仿宋" w:eastAsia="仿宋" w:cs="仿宋"/>
          <w:b/>
          <w:bCs/>
          <w:sz w:val="24"/>
          <w:szCs w:val="24"/>
        </w:rPr>
        <w:fldChar w:fldCharType="separate"/>
      </w:r>
      <w:r>
        <w:rPr>
          <w:rFonts w:hint="eastAsia" w:ascii="仿宋" w:eastAsia="仿宋" w:cs="仿宋"/>
          <w:b/>
          <w:bCs/>
          <w:sz w:val="24"/>
          <w:szCs w:val="24"/>
        </w:rPr>
        <w:t>24</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_Toc20818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（一）绩效评价的目的</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_Toc20818 \h </w:instrText>
      </w:r>
      <w:r>
        <w:rPr>
          <w:rFonts w:hint="eastAsia" w:ascii="仿宋" w:eastAsia="仿宋" w:cs="仿宋"/>
          <w:sz w:val="24"/>
          <w:szCs w:val="24"/>
        </w:rPr>
        <w:fldChar w:fldCharType="separate"/>
      </w:r>
      <w:r>
        <w:rPr>
          <w:rFonts w:hint="eastAsia" w:ascii="仿宋" w:eastAsia="仿宋" w:cs="仿宋"/>
          <w:sz w:val="24"/>
          <w:szCs w:val="24"/>
        </w:rPr>
        <w:t>24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_Toc23706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（二）绩效评价的依据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_Toc23706 \h </w:instrText>
      </w:r>
      <w:r>
        <w:rPr>
          <w:rFonts w:hint="eastAsia" w:ascii="仿宋" w:eastAsia="仿宋" w:cs="仿宋"/>
          <w:sz w:val="24"/>
          <w:szCs w:val="24"/>
        </w:rPr>
        <w:fldChar w:fldCharType="separate"/>
      </w:r>
      <w:r>
        <w:rPr>
          <w:rFonts w:hint="eastAsia" w:ascii="仿宋" w:eastAsia="仿宋" w:cs="仿宋"/>
          <w:sz w:val="24"/>
          <w:szCs w:val="24"/>
        </w:rPr>
        <w:t>25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_Toc19392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（三）评价对象和范围</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_Toc19392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_Toc21419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（四）绩效评价基准日</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_Toc21419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_Toc28943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（五）绩效评价的原则</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_Toc28943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_Toc27356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（六）绩效评价的方法</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_Toc27356 \h </w:instrText>
      </w:r>
      <w:r>
        <w:rPr>
          <w:rFonts w:hint="eastAsia" w:ascii="仿宋" w:eastAsia="仿宋" w:cs="仿宋"/>
          <w:sz w:val="24"/>
          <w:szCs w:val="24"/>
        </w:rPr>
        <w:fldChar w:fldCharType="separate"/>
      </w:r>
      <w:r>
        <w:rPr>
          <w:rFonts w:hint="eastAsia" w:ascii="仿宋" w:eastAsia="仿宋" w:cs="仿宋"/>
          <w:sz w:val="24"/>
          <w:szCs w:val="24"/>
        </w:rPr>
        <w:t>27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_Toc18733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（七）评价指标体系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_Toc18733 \h </w:instrText>
      </w:r>
      <w:r>
        <w:rPr>
          <w:rFonts w:hint="eastAsia" w:ascii="仿宋" w:eastAsia="仿宋" w:cs="仿宋"/>
          <w:sz w:val="24"/>
          <w:szCs w:val="24"/>
        </w:rPr>
        <w:fldChar w:fldCharType="separate"/>
      </w:r>
      <w:r>
        <w:rPr>
          <w:rFonts w:hint="eastAsia" w:ascii="仿宋" w:eastAsia="仿宋" w:cs="仿宋"/>
          <w:sz w:val="24"/>
          <w:szCs w:val="24"/>
        </w:rPr>
        <w:t>28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_Toc25086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（八）绩效评价工作组织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_Toc25086 \h </w:instrText>
      </w:r>
      <w:r>
        <w:rPr>
          <w:rFonts w:hint="eastAsia" w:ascii="仿宋" w:eastAsia="仿宋" w:cs="仿宋"/>
          <w:sz w:val="24"/>
          <w:szCs w:val="24"/>
        </w:rPr>
        <w:fldChar w:fldCharType="separate"/>
      </w:r>
      <w:r>
        <w:rPr>
          <w:rFonts w:hint="eastAsia" w:ascii="仿宋" w:eastAsia="仿宋" w:cs="仿宋"/>
          <w:sz w:val="24"/>
          <w:szCs w:val="24"/>
        </w:rPr>
        <w:t>29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_Toc30571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九</w:t>
      </w:r>
      <w:r>
        <w:rPr>
          <w:rFonts w:hint="eastAsia" w:ascii="仿宋" w:eastAsia="仿宋" w:cs="仿宋"/>
          <w:bCs/>
          <w:sz w:val="24"/>
          <w:szCs w:val="24"/>
          <w:lang w:eastAsia="zh-CN"/>
        </w:rPr>
        <w:t>）</w:t>
      </w:r>
      <w:r>
        <w:rPr>
          <w:rFonts w:hint="eastAsia" w:ascii="仿宋" w:eastAsia="仿宋" w:cs="仿宋"/>
          <w:bCs/>
          <w:sz w:val="24"/>
          <w:szCs w:val="24"/>
          <w:lang w:val="en-US" w:eastAsia="zh-CN"/>
        </w:rPr>
        <w:t>评价工作安排</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_Toc30571 \h </w:instrText>
      </w:r>
      <w:r>
        <w:rPr>
          <w:rFonts w:hint="eastAsia" w:ascii="仿宋" w:eastAsia="仿宋" w:cs="仿宋"/>
          <w:sz w:val="24"/>
          <w:szCs w:val="24"/>
        </w:rPr>
        <w:fldChar w:fldCharType="separate"/>
      </w:r>
      <w:r>
        <w:rPr>
          <w:rFonts w:hint="eastAsia" w:ascii="仿宋" w:eastAsia="仿宋" w:cs="仿宋"/>
          <w:sz w:val="24"/>
          <w:szCs w:val="24"/>
        </w:rPr>
        <w:t>30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_Toc26099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val="en-US" w:eastAsia="zh-CN"/>
        </w:rPr>
        <w:t>（十）评价等级</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_Toc26099 \h </w:instrText>
      </w:r>
      <w:r>
        <w:rPr>
          <w:rFonts w:hint="eastAsia" w:ascii="仿宋" w:eastAsia="仿宋" w:cs="仿宋"/>
          <w:sz w:val="24"/>
          <w:szCs w:val="24"/>
        </w:rPr>
        <w:fldChar w:fldCharType="separate"/>
      </w:r>
      <w:r>
        <w:rPr>
          <w:rFonts w:hint="eastAsia" w:ascii="仿宋" w:eastAsia="仿宋" w:cs="仿宋"/>
          <w:sz w:val="24"/>
          <w:szCs w:val="24"/>
        </w:rPr>
        <w:t>30</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_Toc25252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四、绩效评价指标分析情况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_Toc25252 \h </w:instrText>
      </w:r>
      <w:r>
        <w:rPr>
          <w:rFonts w:hint="eastAsia" w:ascii="仿宋" w:eastAsia="仿宋" w:cs="仿宋"/>
          <w:b/>
          <w:bCs/>
          <w:sz w:val="24"/>
          <w:szCs w:val="24"/>
        </w:rPr>
        <w:fldChar w:fldCharType="separate"/>
      </w:r>
      <w:r>
        <w:rPr>
          <w:rFonts w:hint="eastAsia" w:ascii="仿宋" w:eastAsia="仿宋" w:cs="仿宋"/>
          <w:b/>
          <w:bCs/>
          <w:sz w:val="24"/>
          <w:szCs w:val="24"/>
        </w:rPr>
        <w:t>31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_Toc21930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（一）分项分析与汇总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_Toc21930 \h </w:instrText>
      </w:r>
      <w:r>
        <w:rPr>
          <w:rFonts w:hint="eastAsia" w:ascii="仿宋" w:eastAsia="仿宋" w:cs="仿宋"/>
          <w:sz w:val="24"/>
          <w:szCs w:val="24"/>
        </w:rPr>
        <w:fldChar w:fldCharType="separate"/>
      </w:r>
      <w:r>
        <w:rPr>
          <w:rFonts w:hint="eastAsia" w:ascii="仿宋" w:eastAsia="仿宋" w:cs="仿宋"/>
          <w:sz w:val="24"/>
          <w:szCs w:val="24"/>
        </w:rPr>
        <w:t>31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_Toc3081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（二）总体得分情况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_Toc3081 \h </w:instrText>
      </w:r>
      <w:r>
        <w:rPr>
          <w:rFonts w:hint="eastAsia" w:ascii="仿宋" w:eastAsia="仿宋" w:cs="仿宋"/>
          <w:sz w:val="24"/>
          <w:szCs w:val="24"/>
        </w:rPr>
        <w:fldChar w:fldCharType="separate"/>
      </w:r>
      <w:r>
        <w:rPr>
          <w:rFonts w:hint="eastAsia" w:ascii="仿宋" w:eastAsia="仿宋" w:cs="仿宋"/>
          <w:sz w:val="24"/>
          <w:szCs w:val="24"/>
        </w:rPr>
        <w:t>37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_Toc31376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五、综合评价情况</w:t>
      </w:r>
      <w:r>
        <w:rPr>
          <w:rFonts w:hint="eastAsia" w:ascii="仿宋" w:eastAsia="仿宋" w:cs="仿宋"/>
          <w:b/>
          <w:bCs/>
          <w:kern w:val="44"/>
          <w:sz w:val="24"/>
          <w:szCs w:val="24"/>
          <w:lang w:val="en-US" w:eastAsia="zh-CN"/>
        </w:rPr>
        <w:t>及结论</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_Toc31376 \h </w:instrText>
      </w:r>
      <w:r>
        <w:rPr>
          <w:rFonts w:hint="eastAsia" w:ascii="仿宋" w:eastAsia="仿宋" w:cs="仿宋"/>
          <w:b/>
          <w:bCs/>
          <w:sz w:val="24"/>
          <w:szCs w:val="24"/>
        </w:rPr>
        <w:fldChar w:fldCharType="separate"/>
      </w:r>
      <w:r>
        <w:rPr>
          <w:rFonts w:hint="eastAsia" w:ascii="仿宋" w:eastAsia="仿宋" w:cs="仿宋"/>
          <w:b/>
          <w:bCs/>
          <w:sz w:val="24"/>
          <w:szCs w:val="24"/>
        </w:rPr>
        <w:t>38</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_Toc20790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（一）评分结果</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_Toc20790 \h </w:instrText>
      </w:r>
      <w:r>
        <w:rPr>
          <w:rFonts w:hint="eastAsia" w:ascii="仿宋" w:eastAsia="仿宋" w:cs="仿宋"/>
          <w:sz w:val="24"/>
          <w:szCs w:val="24"/>
        </w:rPr>
        <w:fldChar w:fldCharType="separate"/>
      </w:r>
      <w:r>
        <w:rPr>
          <w:rFonts w:hint="eastAsia" w:ascii="仿宋" w:eastAsia="仿宋" w:cs="仿宋"/>
          <w:sz w:val="24"/>
          <w:szCs w:val="24"/>
        </w:rPr>
        <w:t>38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_Toc22846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（二）主要结论</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_Toc22846 \h </w:instrText>
      </w:r>
      <w:r>
        <w:rPr>
          <w:rFonts w:hint="eastAsia" w:ascii="仿宋" w:eastAsia="仿宋" w:cs="仿宋"/>
          <w:sz w:val="24"/>
          <w:szCs w:val="24"/>
        </w:rPr>
        <w:fldChar w:fldCharType="separate"/>
      </w:r>
      <w:r>
        <w:rPr>
          <w:rFonts w:hint="eastAsia" w:ascii="仿宋" w:eastAsia="仿宋" w:cs="仿宋"/>
          <w:sz w:val="24"/>
          <w:szCs w:val="24"/>
        </w:rPr>
        <w:t>38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_Toc1323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六</w:t>
      </w:r>
      <w:r>
        <w:rPr>
          <w:rFonts w:hint="eastAsia" w:ascii="仿宋" w:eastAsia="仿宋" w:cs="仿宋"/>
          <w:b/>
          <w:bCs/>
          <w:kern w:val="44"/>
          <w:sz w:val="24"/>
          <w:szCs w:val="24"/>
        </w:rPr>
        <w:t>、存在的问题和改进建议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_Toc1323 \h </w:instrText>
      </w:r>
      <w:r>
        <w:rPr>
          <w:rFonts w:hint="eastAsia" w:ascii="仿宋" w:eastAsia="仿宋" w:cs="仿宋"/>
          <w:b/>
          <w:bCs/>
          <w:sz w:val="24"/>
          <w:szCs w:val="24"/>
        </w:rPr>
        <w:fldChar w:fldCharType="separate"/>
      </w:r>
      <w:r>
        <w:rPr>
          <w:rFonts w:hint="eastAsia" w:ascii="仿宋" w:eastAsia="仿宋" w:cs="仿宋"/>
          <w:b/>
          <w:bCs/>
          <w:sz w:val="24"/>
          <w:szCs w:val="24"/>
        </w:rPr>
        <w:t>39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_Toc15751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（一）存在的问题</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_Toc15751 \h </w:instrText>
      </w:r>
      <w:r>
        <w:rPr>
          <w:rFonts w:hint="eastAsia" w:ascii="仿宋" w:eastAsia="仿宋" w:cs="仿宋"/>
          <w:sz w:val="24"/>
          <w:szCs w:val="24"/>
        </w:rPr>
        <w:fldChar w:fldCharType="separate"/>
      </w:r>
      <w:r>
        <w:rPr>
          <w:rFonts w:hint="eastAsia" w:ascii="仿宋" w:eastAsia="仿宋" w:cs="仿宋"/>
          <w:sz w:val="24"/>
          <w:szCs w:val="24"/>
        </w:rPr>
        <w:t>39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_Toc1914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（二）改进建议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_Toc1914 \h </w:instrText>
      </w:r>
      <w:r>
        <w:rPr>
          <w:rFonts w:hint="eastAsia" w:ascii="仿宋" w:eastAsia="仿宋" w:cs="仿宋"/>
          <w:sz w:val="24"/>
          <w:szCs w:val="24"/>
        </w:rPr>
        <w:fldChar w:fldCharType="separate"/>
      </w:r>
      <w:r>
        <w:rPr>
          <w:rFonts w:hint="eastAsia" w:ascii="仿宋" w:eastAsia="仿宋" w:cs="仿宋"/>
          <w:sz w:val="24"/>
          <w:szCs w:val="24"/>
        </w:rPr>
        <w:t>39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_Toc6717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七、绩效评价结果应用建议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_Toc6717 \h </w:instrText>
      </w:r>
      <w:r>
        <w:rPr>
          <w:rFonts w:hint="eastAsia" w:ascii="仿宋" w:eastAsia="仿宋" w:cs="仿宋"/>
          <w:b/>
          <w:bCs/>
          <w:sz w:val="24"/>
          <w:szCs w:val="24"/>
        </w:rPr>
        <w:fldChar w:fldCharType="separate"/>
      </w:r>
      <w:r>
        <w:rPr>
          <w:rFonts w:hint="eastAsia" w:ascii="仿宋" w:eastAsia="仿宋" w:cs="仿宋"/>
          <w:b/>
          <w:bCs/>
          <w:sz w:val="24"/>
          <w:szCs w:val="24"/>
        </w:rPr>
        <w:t>40</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_Toc3887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附件1：评价指标体系</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_Toc3887 \h </w:instrText>
      </w:r>
      <w:r>
        <w:rPr>
          <w:rFonts w:hint="eastAsia" w:ascii="仿宋" w:eastAsia="仿宋" w:cs="仿宋"/>
          <w:b/>
          <w:bCs/>
          <w:sz w:val="24"/>
          <w:szCs w:val="24"/>
        </w:rPr>
        <w:fldChar w:fldCharType="separate"/>
      </w:r>
      <w:r>
        <w:rPr>
          <w:rFonts w:hint="eastAsia" w:ascii="仿宋" w:eastAsia="仿宋" w:cs="仿宋"/>
          <w:b/>
          <w:bCs/>
          <w:sz w:val="24"/>
          <w:szCs w:val="24"/>
        </w:rPr>
        <w:t>41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_Toc11022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附件2：问卷调查报告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_Toc11022 \h </w:instrText>
      </w:r>
      <w:r>
        <w:rPr>
          <w:rFonts w:hint="eastAsia" w:ascii="仿宋" w:eastAsia="仿宋" w:cs="仿宋"/>
          <w:b/>
          <w:bCs/>
          <w:sz w:val="24"/>
          <w:szCs w:val="24"/>
        </w:rPr>
        <w:fldChar w:fldCharType="separate"/>
      </w:r>
      <w:r>
        <w:rPr>
          <w:rFonts w:hint="eastAsia" w:ascii="仿宋" w:eastAsia="仿宋" w:cs="仿宋"/>
          <w:b/>
          <w:bCs/>
          <w:sz w:val="24"/>
          <w:szCs w:val="24"/>
        </w:rPr>
        <w:t>47</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_Toc30992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附件3：访谈报告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_Toc30992 \h </w:instrText>
      </w:r>
      <w:r>
        <w:rPr>
          <w:rFonts w:hint="eastAsia" w:ascii="仿宋" w:eastAsia="仿宋" w:cs="仿宋"/>
          <w:b/>
          <w:bCs/>
          <w:sz w:val="24"/>
          <w:szCs w:val="24"/>
        </w:rPr>
        <w:fldChar w:fldCharType="separate"/>
      </w:r>
      <w:r>
        <w:rPr>
          <w:rFonts w:hint="eastAsia" w:ascii="仿宋" w:eastAsia="仿宋" w:cs="仿宋"/>
          <w:b/>
          <w:bCs/>
          <w:sz w:val="24"/>
          <w:szCs w:val="24"/>
        </w:rPr>
        <w:t>51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附件4：合规性审查</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_Toc92 \h </w:instrText>
      </w:r>
      <w:r>
        <w:rPr>
          <w:rFonts w:hint="eastAsia" w:ascii="仿宋" w:eastAsia="仿宋" w:cs="仿宋"/>
          <w:b/>
          <w:bCs/>
          <w:sz w:val="24"/>
          <w:szCs w:val="24"/>
        </w:rPr>
        <w:fldChar w:fldCharType="separate"/>
      </w:r>
      <w:r>
        <w:rPr>
          <w:rFonts w:hint="eastAsia" w:ascii="仿宋" w:eastAsia="仿宋" w:cs="仿宋"/>
          <w:b/>
          <w:bCs/>
          <w:sz w:val="24"/>
          <w:szCs w:val="24"/>
        </w:rPr>
        <w:t>52</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val="0"/>
          <w:sz w:val="24"/>
          <w:szCs w:val="24"/>
          <w:highlight w:val="yellow"/>
        </w:rPr>
        <w:fldChar w:fldCharType="end"/>
      </w:r>
      <w:bookmarkStart w:id="2" w:name="_Toc515811929"/>
      <w:bookmarkStart w:id="3" w:name="_Toc516473299"/>
      <w:bookmarkStart w:id="4" w:name="_Toc515810984"/>
      <w:bookmarkStart w:id="5" w:name="_Toc516554764"/>
    </w:p>
    <w:bookmarkEnd w:id="2"/>
    <w:bookmarkEnd w:id="3"/>
    <w:bookmarkEnd w:id="4"/>
    <w:bookmarkEnd w:id="5"/>
    <w:p>
      <w:pPr>
        <w:pStyle w:val="17"/>
        <w:jc w:val="center"/>
        <w:rPr>
          <w:rFonts w:ascii="仿宋_GB2312" w:eastAsia="仿宋_GB2312"/>
          <w:snapToGrid w:val="0"/>
          <w:sz w:val="32"/>
          <w:szCs w:val="32"/>
        </w:rPr>
      </w:pPr>
      <w:bookmarkStart w:id="6" w:name="_Toc528603037"/>
      <w:bookmarkStart w:id="7" w:name="_Toc3630"/>
      <w:bookmarkStart w:id="8" w:name="_Toc8704"/>
      <w:r>
        <w:rPr>
          <w:rFonts w:hint="eastAsia" w:asci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一</w:t>
      </w:r>
      <w:r>
        <w:rPr>
          <w:rFonts w:hint="eastAsia" w:ascii="仿宋" w:eastAsia="仿宋" w:cs="Times New Roman"/>
          <w:b/>
          <w:bCs/>
          <w:sz w:val="32"/>
          <w:szCs w:val="32"/>
          <w:lang w:val="zh-TW" w:eastAsia="zh-CN"/>
        </w:rPr>
        <w:t>）</w:t>
      </w:r>
      <w:r>
        <w:rPr>
          <w:rFonts w:hint="eastAsia" w:ascii="仿宋" w:eastAsia="仿宋" w:cs="Times New Roman"/>
          <w:b/>
          <w:bCs/>
          <w:sz w:val="32"/>
          <w:szCs w:val="32"/>
          <w:lang w:val="zh-TW"/>
        </w:rPr>
        <w:t>立项背景</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古县机关事务服务中心负责县委、县政府后勤保障和安全运行工作，具体是：公务车辆平台管理、日常公务接待、招商引资来客接待、党政事业单位办公用房管理、办公场所维护维修、公共机构节能管理、会务安排、安全保卫、职工食堂、集中统一管理单位的物业管理以及政务中心大楼和文化活动中心安全运行等日常事务性工作。</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管理、服务、保障”是机关事务工作的职能，“管理科学化、保障法制化、服务社会化”是机关事务工作深化改革的基本方向，其目的就是使机关事务工作中结构与规模、数量与质量、需求与供给、公平与效率等关系更趋科学，对机关财务、资产、房屋基建等的管理更加有效，确保以最少的财政投入产生最大的服务保障效益。</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党政机关的工作包括政务和事务两部分。事务工作主要是机关后勤工作，其目的是为政务工作的顺利开展提供有效的后勤保障与服务。“兵马未动，粮草先行”，形象地比喻了后勤工作的重要性。不论是中国或世界其他国家的政府机构都需要后勤服务保障，没有后勤服务保障，党政机关就不能正常运转。</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随着经济社会的不断发展，党政机关对后勤服务的依赖性越来越强。有了可靠的后勤保障服务，各级党政机关就能够从繁杂的、具体的机关事务工作中解脱出来，专心致志抓好经济社会发展的全局性工作。同样，各项后勤保障服务工作只有做好了，服务工作到位了，机关工作人员才没有后顾之忧，才能集中精力做好本职工作，才能促进机关工作的高效运转。因此，机关工作离不开后勤保障服务，后勤工作是机关工作的重要组成部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机关后勤工作的主要任务是为机关服务，这就决定了后勤工作在机关工作中的从属地位，也就是说，机关后勤工作要以促进机关高效运转为目的，服从于、服务于机关的中心工作，机关需要什么样的服务，后勤就提供什么样的服务。衡量、检验后勤工作是否有成效，主要是看机关能否正常运转，机关工作人员是否满意。</w:t>
      </w:r>
    </w:p>
    <w:p>
      <w:pPr>
        <w:spacing w:line="574" w:lineRule="exact"/>
        <w:ind w:firstLine="560" w:firstLineChars="200"/>
        <w:rPr>
          <w:rFonts w:hint="eastAsia" w:ascii="黑体" w:eastAsia="黑体"/>
          <w:snapToGrid w:val="0"/>
          <w:sz w:val="32"/>
          <w:szCs w:val="32"/>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2021年旧县镇办公楼维修、政务中心大楼日常维护和农业农村局家具配置经费项目主要内容是开展旧县镇办公楼维修、政务中心大楼日常维护和农业农村局家具配置</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eastAsia="zh-CN"/>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二</w:t>
      </w:r>
      <w:r>
        <w:rPr>
          <w:rFonts w:hint="eastAsia" w:ascii="仿宋" w:eastAsia="仿宋" w:cs="Times New Roman"/>
          <w:b/>
          <w:bCs/>
          <w:sz w:val="32"/>
          <w:szCs w:val="32"/>
          <w:lang w:val="zh-TW" w:eastAsia="zh-CN"/>
        </w:rPr>
        <w:t>）预算资金内容</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2021年旧县镇办公楼维修、政务中心大楼日常维护和农业农村局家具配置经费项目预算资金526.2167万元。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2021年7月5日，古县财政局《关于下达机关后勤保障资金的通知》（古财预〔2021〕154号）文件下达古县直属机关事务服务中心后勤保障运行经费252.578万元。</w:t>
      </w:r>
    </w:p>
    <w:p>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2021年8月5日，古县财政局《关于下达机关后勤保障资金的通知》（古财预〔2021〕191号）文件下达古县直属机关事务服务中心后勤保障运行经费273.6387万元。</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eastAsia="zh-CN"/>
        </w:rPr>
      </w:pP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）项目绩效目标</w:t>
      </w:r>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机关事务工作中结构与规模、数量与质量、需求与供给、公平与效率等关系更趋科学，对机关财务、资产、房屋基建等的管理更加有效，确保以最少的财政投入产生最大的服务保障效益</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项目内容完成率：100.00%；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完成及时性：根据合同约定及时完成项目，需要验收的项目及时验收；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效益目标：项目实施后，能够有效促进涉及的机关办公条件改善，做好服务保障，机关办公效率有效提升；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服务对象满意度：≥90%</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旧县镇办公楼维修、政务中心大楼日常维护和农业农村局家具配置经费项目支出绩效评价综合得分86.00分，评价等级为“良”。</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决策方面，项目按照规定的程序申请设立，旧县镇办公楼维修、政务中心大楼日常维护和农业农村局家具配置经费项目落实了党的十九大报告指出的绿色发展理念，项目依据充分，立项程序规范，绩效目标合理，绩效指标明确，资金分配合理、预算编制科学。</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项目过程方面，预算资金到位率100.00%，资金使用合规，财务管理制度健全，预算执行率99.99%，但项目实施管理有待加强。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产出方面，2021年旧县镇办公楼维修、政务中心大楼日常维护和农业农村局家具配置经费项目涉及的开展旧县镇办公楼维修、政务中心大楼日常维护和农业农村局家具配置等子项目全部实施完成；但项目质量把控资料缺失。</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bCs w:val="0"/>
          <w:kern w:val="2"/>
          <w:sz w:val="28"/>
          <w:szCs w:val="28"/>
          <w:lang w:val="en-US" w:eastAsia="zh-CN" w:bidi="ar-SA"/>
        </w:rPr>
        <w:t>项目效益方面，项目社会效益良好，项目具备可持续性，受益对象满意度较高</w:t>
      </w:r>
      <w:r>
        <w:rPr>
          <w:rFonts w:hint="eastAsia" w:asci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1、项目实施管理不到位，财务监控缺失。</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旧县镇办公楼维修、政务中心大楼日常维护和农业农村局家具配置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2、项目质量把控不足。</w:t>
      </w:r>
    </w:p>
    <w:p>
      <w:pPr>
        <w:spacing w:line="574" w:lineRule="exact"/>
        <w:ind w:firstLine="560" w:firstLineChars="200"/>
        <w:rPr>
          <w:rFonts w:hint="eastAsia" w:asci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截止2021年12月31日，该项目已完成，但项目涉及的购置类、建设类等子项目检查验收不到位，实施单位相关检查验收资料无法提供，项目质量达标情况支撑依据不足</w:t>
      </w:r>
      <w:r>
        <w:rPr>
          <w:rFonts w:hint="eastAsia" w:asci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start="1"/>
          <w:cols w:space="720" w:num="1"/>
          <w:docGrid w:type="lines" w:linePitch="312" w:charSpace="0"/>
        </w:sectPr>
      </w:pPr>
      <w:bookmarkStart w:id="9" w:name="_Toc516237635"/>
      <w:bookmarkStart w:id="10" w:name="_Toc515811931"/>
      <w:bookmarkStart w:id="11" w:name="_Toc516473301"/>
      <w:bookmarkStart w:id="12" w:name="_Toc515810986"/>
      <w:bookmarkStart w:id="13" w:name="_Toc516554766"/>
      <w:bookmarkStart w:id="14" w:name="_Toc514537327"/>
    </w:p>
    <w:bookmarkEnd w:id="9"/>
    <w:bookmarkEnd w:id="10"/>
    <w:bookmarkEnd w:id="11"/>
    <w:bookmarkEnd w:id="12"/>
    <w:bookmarkEnd w:id="13"/>
    <w:bookmarkEnd w:id="14"/>
    <w:p>
      <w:pPr>
        <w:spacing w:line="574" w:lineRule="exact"/>
        <w:ind w:firstLine="562"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1、加强项目管理制度执行，加强项目财务监控落实。</w:t>
      </w:r>
    </w:p>
    <w:p>
      <w:pPr>
        <w:spacing w:line="574" w:lineRule="exact"/>
        <w:ind w:firstLine="560"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针对经费类项目涉及子项目多、经费种类多的特点，将购置类项目、建设类项目、其他项目进行分类管理，确保项目实施流程合规；（3）建议古县直属机关事务服务中心财务部门加强财务监控，针对经费类项目特点，适时开展财务检查、抽查，确保财政资金使用合法合规。</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2、履行检查验收程序，确保项目质量可控。</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建议古县直属机关事务服务中心在项目完成后，对项目涉及的购置类、建设类等子项目履行检查验收程序，对于检查中发现的问题，及时要求服务方进行整改，确保项目质量达标。</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cols w:space="720"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bookmarkStart w:id="15" w:name="_Toc4980"/>
      <w:bookmarkStart w:id="16" w:name="_Toc23604"/>
      <w:bookmarkStart w:id="17" w:name="_Toc4007"/>
      <w:bookmarkStart w:id="18" w:name="_Toc12847"/>
      <w:bookmarkStart w:id="19" w:name="_Toc13723"/>
      <w:bookmarkStart w:id="20" w:name="_Toc10211"/>
      <w:bookmarkStart w:id="21" w:name="_Toc4940"/>
      <w:r>
        <w:rPr>
          <w:rFonts w:hint="eastAsia" w:ascii="黑体" w:cs="黑体"/>
          <w:b/>
          <w:bCs w:val="0"/>
          <w:kern w:val="2"/>
          <w:sz w:val="44"/>
          <w:szCs w:val="44"/>
          <w:lang w:eastAsia="zh-CN"/>
        </w:rPr>
        <w:t>旧县镇办公楼维修、政务中心大楼日常维护和农业农村局家具配置经费项目</w:t>
      </w:r>
      <w:r>
        <w:rPr>
          <w:rFonts w:hint="eastAsia" w:ascii="黑体" w:cs="黑体"/>
          <w:b/>
          <w:bCs w:val="0"/>
          <w:kern w:val="2"/>
          <w:sz w:val="44"/>
          <w:szCs w:val="44"/>
        </w:rPr>
        <w:t>支出绩效评价报告</w:t>
      </w:r>
      <w:bookmarkEnd w:id="15"/>
      <w:bookmarkEnd w:id="16"/>
      <w:bookmarkEnd w:id="17"/>
      <w:bookmarkEnd w:id="18"/>
      <w:bookmarkEnd w:id="19"/>
      <w:bookmarkEnd w:id="20"/>
      <w:bookmarkEnd w:id="21"/>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旧县镇办公楼维修、政务中心大楼日常维护和农业农村局家具配置经费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旧县镇办公楼维修、政务中心大楼日常维护和农业农村局家具配置经费项目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rPr>
      </w:pPr>
      <w:bookmarkStart w:id="22" w:name="_Toc2950"/>
      <w:r>
        <w:rPr>
          <w:rFonts w:hint="eastAsia" w:ascii="Times New Roman" w:hAnsi="Times New Roman" w:eastAsia="黑体" w:cs="Times New Roman"/>
          <w:bCs/>
          <w:kern w:val="44"/>
          <w:sz w:val="32"/>
          <w:szCs w:val="32"/>
        </w:rPr>
        <w:t>一、项目基本情况</w:t>
      </w:r>
      <w:bookmarkEnd w:id="1"/>
      <w:bookmarkEnd w:id="22"/>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rPr>
      </w:pPr>
      <w:bookmarkStart w:id="23" w:name="_Toc514537329"/>
      <w:bookmarkStart w:id="24" w:name="_Toc22839"/>
      <w:r>
        <w:rPr>
          <w:rFonts w:hint="eastAsia" w:ascii="仿宋" w:eastAsia="仿宋" w:cs="Times New Roman"/>
          <w:b/>
          <w:bCs/>
          <w:sz w:val="32"/>
          <w:szCs w:val="32"/>
        </w:rPr>
        <w:t>（一）项目</w:t>
      </w:r>
      <w:bookmarkEnd w:id="23"/>
      <w:r>
        <w:rPr>
          <w:rFonts w:hint="eastAsia" w:ascii="仿宋" w:eastAsia="仿宋" w:cs="Times New Roman"/>
          <w:b/>
          <w:bCs/>
          <w:sz w:val="32"/>
          <w:szCs w:val="32"/>
        </w:rPr>
        <w:t>背景及概况</w:t>
      </w:r>
      <w:bookmarkEnd w:id="24"/>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bookmarkStart w:id="25" w:name="_Toc514537330"/>
      <w:r>
        <w:rPr>
          <w:rFonts w:ascii="Times New Roman" w:hAnsi="Times New Roman" w:eastAsia="仿宋" w:cs="Times New Roman"/>
          <w:kern w:val="0"/>
          <w:sz w:val="28"/>
          <w:szCs w:val="28"/>
          <w:shd w:val="clear" w:color="auto" w:fill="FFFFFF"/>
        </w:rPr>
        <w:t>古县机关事务服务中心负责县委、县政府后勤保障和安全运行工作，具体是：公务车辆平台管理、日常公务接待、招商引资来客接待、党政事业单位办公用房管理、办公场所维护维修、公共机构节能管理、会务安排、安全保卫、职工食堂、集中统一管理单位的物业管理以及政务中心大楼和文化活动中心安全运行等日常事务性工作。</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管理、服务、保障”是机关事务工作的职能，“管理科学化、保障法制化、服务社会化”是机关事务工作深化改革的基本方向，其目的就是使机关事务工作中结构与规模、数量与质量、需求与供给、公平与效率等关系更趋科学，对机关财务、资产、房屋基建等的管理更加有效，确保以最少的财政投入产生最大的服务保障效益。</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党政机关的工作包括政务和事务两部分。事务工作主要是机关后勤工作，其目的是为政务工作的顺利开展提供有效的后勤保障与服务。“兵马未动，粮草先行”，形象地比喻了后勤工作的重要性。不论是中国或世界其他国家的政府机构都需要后勤服务保障，没有后勤服务保障，党政机关就不能正常运转。</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随着经济社会的不断发展，党政机关对后勤服务的依赖性越来越强。有了可靠的后勤保障服务，各级党政机关就能够从繁杂的、具体的机关事务工作中解脱出来，专心致志抓好经济社会发展的全局性工作。同样，各项后勤保障服务工作只有做好了，服务工作到位了，机关工作人员才没有后顾之忧，才能集中精力做好本职工作，才能促进机关工作的高效运转。因此，机关工作离不开后勤保障服务，后勤工作是机关工作的重要组成部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机关后勤工作的主要任务是为机关服务，这就决定了后勤工作在机关工作中的从属地位，也就是说，机关后勤工作要以促进机关高效运转为目的，服从于、服务于机关的中心工作，机关需要什么样的服务，后勤就提供什么样的服务。衡量、检验后勤工作是否有成效，主要是看机关能否正常运转，机关工作人员是否满意。</w:t>
      </w:r>
    </w:p>
    <w:p>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2021年旧县镇办公楼维修、政务中心大楼日常维护和农业农村局家具配置经费项目主要内容是开展旧县镇办公楼维修、政务中心大楼日常维护和农业农村局家具配置</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26" w:name="_Toc9637"/>
      <w:r>
        <w:rPr>
          <w:rFonts w:hint="eastAsia" w:ascii="仿宋" w:eastAsia="仿宋" w:cs="Times New Roman"/>
          <w:b/>
          <w:bCs/>
          <w:sz w:val="32"/>
          <w:szCs w:val="32"/>
        </w:rPr>
        <w:t>（二）预算资金来源与资金使用</w:t>
      </w:r>
      <w:bookmarkEnd w:id="25"/>
      <w:r>
        <w:rPr>
          <w:rFonts w:hint="eastAsia" w:ascii="仿宋" w:eastAsia="仿宋" w:cs="Times New Roman"/>
          <w:b/>
          <w:bCs/>
          <w:sz w:val="32"/>
          <w:szCs w:val="32"/>
          <w:lang w:val="en-US" w:eastAsia="zh-CN"/>
        </w:rPr>
        <w:t>情况</w:t>
      </w:r>
      <w:bookmarkEnd w:id="26"/>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2021年旧县镇办公楼维修、政务中心大楼日常维护和农业农村局家具配置经费项目预算资金526.2167万元。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2021年7月5日，古县财政局《关于下达机关后勤保障资金的通知》（古财预〔2021〕154号）文件下达古县直属机关事务服务中心后勤保障运行经费252.578万元。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2021年8月5日，古县财政局《关于下达机关后勤保障资金的通知》（古财预〔2021〕191号）文件下达古县直属机关事务服务中心后勤保障运行经费273.6387万元。</w:t>
      </w:r>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使用情况</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截止2021年12月31日，2021年旧县镇办公楼维修、政务中心大楼日常维护和农业农村局家具配置经费项目共计使用资金526.153687万元。</w:t>
      </w:r>
    </w:p>
    <w:p>
      <w:pPr>
        <w:spacing w:line="500" w:lineRule="exact"/>
        <w:ind w:firstLine="560" w:firstLineChars="200"/>
        <w:jc w:val="both"/>
        <w:rPr>
          <w:rFonts w:hint="eastAsia" w:ascii="Times New Roman" w:hAnsi="Times New Roman" w:eastAsia="仿宋_GB2312"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旧县镇办公楼维修、政务中心大楼日常维护和农业农村局家具配置经费项目资金使用情况见下表1-1</w:t>
      </w:r>
      <w:r>
        <w:rPr>
          <w:rFonts w:hint="eastAsia" w:ascii="Times New Roman" w:hAnsi="Times New Roman" w:eastAsia="仿宋_GB2312" w:cs="Times New Roman"/>
          <w:sz w:val="28"/>
          <w:szCs w:val="24"/>
          <w:lang w:val="en-US" w:eastAsia="zh-CN"/>
        </w:rPr>
        <w:t>。</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项目资金使用情况明细表</w:t>
      </w:r>
    </w:p>
    <w:tbl>
      <w:tblPr>
        <w:tblStyle w:val="19"/>
        <w:tblW w:w="842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26"/>
        <w:gridCol w:w="1389"/>
        <w:gridCol w:w="3307"/>
        <w:gridCol w:w="23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日期</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支付金额</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支付摘要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资金文件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12785.00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会议费（招商引资活动）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13011.00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19281.00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263500.00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维修费（旧县镇办公楼维修）</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238641.00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维修费（政务中心上水系统更新改造）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14424.00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维修费（应急局地下室维修电缆）</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24239.00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22627.00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维修费（政务中心一楼电梯厅背景墙改造）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24345.00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其他费用（政协办公室更换窗帘）</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10420.00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15442.00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28934.00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28644.00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21797.00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3613.00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3483.00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611.60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办公费（网络费）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19380.00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17466.00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29611.00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27861.00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公务接待费（日常接待）</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2021-07-23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44145.00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95632.00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55677.00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会议费（日常接待会务费）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323806.00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公务接待费（日常公务接待）</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31845.00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公务接待费（牡丹节开幕式）</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4800.29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公务用车运行维护费（燃油费）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17057.00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公务接待费（牡丹节开幕式）</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15650.00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18594.00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交通费（过路费）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9800.00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交通费（中巴车驾驶员增驾培训费）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1561.00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3707.79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交通费（过路费）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7685.00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2021-08-06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18447.00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1533.00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561.00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20752.00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办公费（制作改革单位牌匾）</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837.00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3166.00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3950.00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5125.00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781.00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1681.00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1097.00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722.64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2850.00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2019.00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6658.00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9254.00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劳务费（食堂服务费）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43200.00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维护费（清洗空调风机盘管）</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107595.00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维修费（旧县镇政府改造暖气主管道）</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4366.00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维修费（电料耗材）</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3191.00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4337.00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办公费（政府购买法律书籍）</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办公费（网络费）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办公费（电话费）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1449.82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交通费（过路费）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14191.13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交通费（车辆保险费）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27143.00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7440.00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2021-08-27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21009.00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3276.00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大病救助</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14080.00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设备（机关食堂使用）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16948.00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物业费（中心公园7月）</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18480.00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5545.00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维修费（维修电脑）</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8688.00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7607.00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8967.00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15892.00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维修费（剧场维修电机）</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9930.00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劳务费（活动中心保洁）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13462.00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9890.00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维修费（维修空调）</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9850.00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维修费（维修音响等设备）</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8364.00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6788.00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文化活动中心电费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政务中心大楼电费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1570.00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2519.00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3835.00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2880.00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3841.00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印刷费（公共节能宣传品）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9459.00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376.00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4880.00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15252.00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劳务费（机关食堂购买服务）</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3376.00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办公费（公共节能宣传）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6159.00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印刷费（公共节能宣传品）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8340.00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维修费（监控）</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2021-09-18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9537.00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12264.00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1753.00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2975.00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4830.00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10853.00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3917.00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其他费用（伙食补助费）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7110.00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3600.00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1692.00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7840.00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2736.00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电话费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2537.96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771.00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其他费用（伙食补助费）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12222.00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2070.00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其他费（建党100周年慰问老党员）</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61768.00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3900.00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8814.00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870.00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9023.00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其他费（建党100周年慰问老党员）</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27789.00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维修费（大楼西侧修复路面）</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91873.00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维修费（活动中心更换维修雨水管道）</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9650.00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维护费（雪松复壮）</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116509.00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维修费（应急局3-6层办公楼粉刷）</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414967.00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公务接待费（7、8月）</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劳务费（移植雪松）</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10642.00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物业管理费（纪委大院8月份）</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38165.00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办公设备（农业农村局会议室）</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7062.00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维修费（应急局3-6层粉刷）</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2021-09-28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61422.00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会议费（招商引资活动）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2955.00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9875.00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2880.00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22155.99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19725.00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邮电费（应急局501室网络）</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1177.01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2021-10-15</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3516.00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公务用车维护费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4142.00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公共节能宣传费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26715.00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会议费（建县50周年活动接待费）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19110.00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会议费（建县50周年活动接待费）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14910.00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劳务费（食堂服务费）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1255.00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3120.00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会议费（建县50周年活动接待费）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1176.00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22294.00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会议费（第九届团代会）</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18392.00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公务接待费（7、8月泰和酒店）</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173861.00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会议费（建县50周年活动接待费）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59452.00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会议费（7-8月招商引资活动费用）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1459.00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14040.00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会议费（建县50周年活动接待费）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342.00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劳务费（食堂服务费）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3564.00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2217.00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1399.00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4275.00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3583.00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4360.00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6347.00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4980.00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12654.00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差旅费（李凡县长赴浙江考察）</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6200.00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其他费（建县50周年活动）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32410.00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物业管理费（应急局9月）</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29395.00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办公家具（农业农村局）</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7356.00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维修费（维修中华灯）</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62590.00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办公设备（农业农村局空调）</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5860.00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维修费（农业局拆装空调）</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3718.00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邮电费（网络费）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23596.00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物业管理费（开发区、公园8月）</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46200.00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维修费（维护花池苗木）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1705.00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14735.00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维修费（政务中心大院雪松养护药品）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8522.00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邮电费（22年度开发区网络费）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101298.00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维修费（广电中心旧楼维修、粉刷）</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51359.74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维修费（古县政府采购中心装饰工程）</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7340.00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工会费（集体观看电影《长津湖》）</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13806.00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交通费（汽修费）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16770.00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33990.00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23160.67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交通费（车辆保险费）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公务用车维护费（燃油费）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157860.00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维修费（应急局大楼楼顶防水）</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4960.00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3841.00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交通费（修理费）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2096.04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交通费（过路费）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维修费（绿地维护）</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17980.00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交通费（汽配费）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47525.00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维修费（卫生监督所楼顶防水）</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12827.26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1259.36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2520.00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800.64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14121.00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交通费（汽配费）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3427.00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3306.00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2021-11-19</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12222.00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物业管理费（农业农村局）</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696.00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749.00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99.40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公共节能宣传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1045.00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891.00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858.00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交通费（燃油、过路）</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2744.00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1123.00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396.00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5772.00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1290.00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高清城市规划图</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1536.00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491.00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408.00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2030.00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3700.00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机关食堂购置冰柜</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861.00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5614.60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公共节能宣传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5450.00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2210.00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9480.00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2984.00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2550.00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1450.00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4955.00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21600.00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2640.00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差旅费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67140.00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物业管理费（应急局大楼）</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1325.00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1894.00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1837.00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工会费（理发室用具用品）</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969.00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工会费（团建道具）</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2021-12-16</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15252.00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劳务费（机关食堂购买社会服务）</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1878.00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办公费（报刊内参选编）</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2021-12-17</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2689.98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办公费（党报党刊）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2021-12-20</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4552.00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4500.00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办公软件（固定资产管理软件）</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3406.00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3771.00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3280.00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工会费（伙食补助费）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1260.00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3600.00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工会费（团建活动费）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15720.00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6893.00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维修费（应急局维修配备灭火器）</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4931.00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706.00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29999.95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水费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268.00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16053.00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办公费（报刊）</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12107.00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古财预〔2021〕154号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60000.00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维修费（政务服务大厅一层改造）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维修费（政务服务大厅一层改造）</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44,553.00 </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129000.00 </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维修费（政府采购中心搬迁建设）</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5261536.87</w:t>
            </w:r>
          </w:p>
        </w:tc>
        <w:tc>
          <w:tcPr>
            <w:tcW w:w="33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2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lang w:val="en-US" w:eastAsia="zh-CN"/>
        </w:rPr>
      </w:pPr>
      <w:bookmarkStart w:id="27" w:name="_Toc29577"/>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项目立项依据</w:t>
      </w:r>
      <w:bookmarkEnd w:id="27"/>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本项目的立项依据包括但不限于：</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1、《山西省机关事务管理办法》；</w:t>
      </w:r>
    </w:p>
    <w:p>
      <w:pPr>
        <w:spacing w:line="574" w:lineRule="exact"/>
        <w:ind w:firstLine="560" w:firstLineChars="200"/>
        <w:rPr>
          <w:rFonts w:ascii="仿宋_GB2312" w:eastAsia="仿宋_GB2312"/>
          <w:snapToGrid w:val="0"/>
          <w:sz w:val="32"/>
          <w:szCs w:val="32"/>
          <w:lang w:val="en-US" w:eastAsia="zh-CN"/>
        </w:rPr>
      </w:pPr>
      <w:r>
        <w:rPr>
          <w:rFonts w:hint="eastAsia" w:ascii="Times New Roman" w:hAnsi="Times New Roman" w:eastAsia="仿宋" w:cs="Times New Roman"/>
          <w:kern w:val="0"/>
          <w:sz w:val="28"/>
          <w:szCs w:val="28"/>
          <w:shd w:val="clear" w:color="auto" w:fill="FFFFFF"/>
          <w:lang w:val="en-US" w:eastAsia="zh-CN"/>
        </w:rPr>
        <w:t>2、《山西省机关运行保障条例》（2020年9月30日山西省第十三届人民代表大会常务委员会第二十次会议通过）</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28" w:name="_Toc514537332"/>
      <w:bookmarkStart w:id="29" w:name="_Toc24315"/>
      <w:r>
        <w:rPr>
          <w:rFonts w:hint="eastAsia" w:ascii="Times New Roman" w:hAnsi="Times New Roman" w:eastAsia="黑体" w:cs="Times New Roman"/>
          <w:bCs/>
          <w:kern w:val="44"/>
          <w:sz w:val="32"/>
          <w:szCs w:val="32"/>
        </w:rPr>
        <w:t>二、项目组织实施情况</w:t>
      </w:r>
      <w:bookmarkEnd w:id="28"/>
      <w:bookmarkEnd w:id="29"/>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0" w:name="_Toc383"/>
      <w:bookmarkStart w:id="31" w:name="_Toc514537333"/>
      <w:r>
        <w:rPr>
          <w:rFonts w:hint="eastAsia" w:ascii="仿宋" w:eastAsia="仿宋" w:cs="Times New Roman"/>
          <w:b/>
          <w:bCs/>
          <w:sz w:val="32"/>
          <w:szCs w:val="32"/>
        </w:rPr>
        <w:t>（一）项目组织情况</w:t>
      </w:r>
      <w:bookmarkEnd w:id="30"/>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直属机关事务服务中心：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32" w:name="_Toc514537331"/>
      <w:bookmarkStart w:id="33" w:name="_Toc13640"/>
      <w:bookmarkStart w:id="34" w:name="_Toc13766"/>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四</w:t>
      </w:r>
      <w:r>
        <w:rPr>
          <w:rFonts w:hint="eastAsia" w:ascii="仿宋" w:eastAsia="仿宋" w:cs="Times New Roman"/>
          <w:b/>
          <w:bCs/>
          <w:sz w:val="32"/>
          <w:szCs w:val="32"/>
          <w:lang w:eastAsia="zh-CN"/>
        </w:rPr>
        <w:t>）项目绩效目标</w:t>
      </w:r>
      <w:bookmarkEnd w:id="32"/>
      <w:bookmarkEnd w:id="33"/>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机关事务工作中结构与规模、数量与质量、需求与供给、公平与效率等关系更趋科学，对机关财务、资产、房屋基建等的管理更加有效，确保以最少的财政投入产生最大的服务保障效益</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项目内容完成率：100.00%；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完成及时性：根据合同约定及时完成项目，需要验收的项目及时验收；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效益目标：项目实施后，能够有效促进涉及的机关办公条件改善，做好服务保障，机关办公效率有效提升；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r>
        <w:rPr>
          <w:rFonts w:hint="eastAsia" w:ascii="仿宋" w:eastAsia="仿宋" w:cs="Times New Roman"/>
          <w:b/>
          <w:bCs/>
          <w:sz w:val="32"/>
          <w:szCs w:val="32"/>
        </w:rPr>
        <w:t>（二）项目实施</w:t>
      </w:r>
      <w:bookmarkEnd w:id="31"/>
      <w:r>
        <w:rPr>
          <w:rFonts w:hint="eastAsia" w:ascii="仿宋" w:eastAsia="仿宋" w:cs="Times New Roman"/>
          <w:b/>
          <w:bCs/>
          <w:sz w:val="32"/>
          <w:szCs w:val="32"/>
          <w:lang w:val="en-US" w:eastAsia="zh-CN"/>
        </w:rPr>
        <w:t>内容与完成</w:t>
      </w:r>
      <w:r>
        <w:rPr>
          <w:rFonts w:hint="eastAsia" w:ascii="仿宋" w:eastAsia="仿宋" w:cs="Times New Roman"/>
          <w:b/>
          <w:bCs/>
          <w:sz w:val="32"/>
          <w:szCs w:val="32"/>
        </w:rPr>
        <w:t>情况</w:t>
      </w:r>
      <w:bookmarkEnd w:id="34"/>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bookmarkStart w:id="35"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2021年旧县镇办公楼维修、政务中心大楼日常维护和农业农村局家具配置经费项目主要内容是开展旧县镇办公楼维修、政务中心大楼日常维护和农业农村局家具配置。</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2021年旧县镇办公楼维修、政务中心大楼日常维护和农业农村局家具配置经费项目涉及的开展旧县镇办公楼维修、政务中心大楼日常维护和农业农村局家具配置等子项目全部实施完成</w:t>
      </w:r>
      <w:r>
        <w:rPr>
          <w:rFonts w:hint="eastAsia" w:ascii="Times New Roman" w:hAnsi="Times New Roman" w:eastAsia="仿宋" w:cs="Times New Roman"/>
          <w:sz w:val="28"/>
          <w:szCs w:val="24"/>
          <w:lang w:val="en-US" w:eastAsia="zh-CN"/>
        </w:rPr>
        <w:t>。</w:t>
      </w:r>
    </w:p>
    <w:bookmarkEnd w:id="35"/>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6" w:name="_Toc514537336"/>
      <w:bookmarkStart w:id="37" w:name="_Toc5479"/>
      <w:r>
        <w:rPr>
          <w:rFonts w:hint="eastAsia" w:ascii="Times New Roman" w:hAnsi="Times New Roman" w:eastAsia="黑体" w:cs="Times New Roman"/>
          <w:bCs/>
          <w:kern w:val="44"/>
          <w:sz w:val="32"/>
          <w:szCs w:val="32"/>
        </w:rPr>
        <w:t>三、绩效评价工作情况</w:t>
      </w:r>
      <w:bookmarkEnd w:id="36"/>
      <w:bookmarkEnd w:id="3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8" w:name="_Toc514537337"/>
      <w:bookmarkStart w:id="39" w:name="_Toc20818"/>
      <w:r>
        <w:rPr>
          <w:rFonts w:hint="eastAsia" w:ascii="仿宋" w:eastAsia="仿宋" w:cs="Times New Roman"/>
          <w:b/>
          <w:bCs/>
          <w:sz w:val="32"/>
          <w:szCs w:val="32"/>
        </w:rPr>
        <w:t>（一）绩效评价的目的</w:t>
      </w:r>
      <w:bookmarkEnd w:id="38"/>
      <w:bookmarkEnd w:id="39"/>
    </w:p>
    <w:p>
      <w:pPr>
        <w:spacing w:line="500" w:lineRule="exact"/>
        <w:ind w:firstLine="560" w:firstLineChars="200"/>
        <w:rPr>
          <w:rFonts w:hint="eastAsia" w:ascii="Times New Roman" w:hAnsi="Times New Roman" w:eastAsia="仿宋" w:cs="Times New Roman"/>
          <w:sz w:val="28"/>
          <w:szCs w:val="24"/>
          <w:lang w:val="en-US" w:eastAsia="zh-CN"/>
        </w:rPr>
      </w:pPr>
      <w:bookmarkStart w:id="40"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旧县镇办公楼维修、政务中心大楼日常维护和农业农村局家具配置经费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旧县镇办公楼维修、政务中心大楼日常维护和农业农村局家具配置经费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41" w:name="_Toc23706"/>
      <w:r>
        <w:rPr>
          <w:rFonts w:hint="eastAsia" w:ascii="仿宋" w:eastAsia="仿宋" w:cs="Times New Roman"/>
          <w:b/>
          <w:bCs/>
          <w:sz w:val="32"/>
          <w:szCs w:val="32"/>
        </w:rPr>
        <w:t>（二）绩效评价的依据</w:t>
      </w:r>
      <w:bookmarkEnd w:id="40"/>
      <w:bookmarkEnd w:id="41"/>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2" w:name="_Toc21230"/>
      <w:bookmarkStart w:id="43" w:name="_Toc29596"/>
      <w:bookmarkStart w:id="44" w:name="_Toc22158"/>
      <w:bookmarkStart w:id="45" w:name="_Toc528684135"/>
      <w:bookmarkStart w:id="46" w:name="_Toc5073"/>
      <w:bookmarkStart w:id="47" w:name="_Toc28002"/>
      <w:bookmarkStart w:id="48" w:name="_Toc13471"/>
      <w:bookmarkStart w:id="49" w:name="_Toc528680460"/>
      <w:bookmarkStart w:id="50" w:name="_Toc18935"/>
      <w:bookmarkStart w:id="51" w:name="_Toc528603069"/>
      <w:bookmarkStart w:id="52" w:name="_Toc18611"/>
      <w:bookmarkStart w:id="53" w:name="_Toc28792"/>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8、《古县财政局关于印发&lt;2022年度财政重点绩效评价实施方案&gt;的通知》（古财字〔2022〕27号）；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ascii="Times New Roman" w:hAnsi="Times New Roman" w:eastAsia="仿宋" w:cs="Times New Roman"/>
          <w:sz w:val="28"/>
          <w:szCs w:val="28"/>
          <w:shd w:val="clear" w:color="auto" w:fill="FFFFFF"/>
        </w:rPr>
        <w:t>。</w:t>
      </w:r>
      <w:bookmarkEnd w:id="42"/>
      <w:bookmarkEnd w:id="43"/>
      <w:bookmarkEnd w:id="44"/>
      <w:bookmarkEnd w:id="45"/>
      <w:bookmarkEnd w:id="46"/>
      <w:bookmarkEnd w:id="47"/>
      <w:bookmarkEnd w:id="48"/>
      <w:bookmarkEnd w:id="49"/>
      <w:bookmarkEnd w:id="50"/>
      <w:bookmarkEnd w:id="51"/>
      <w:bookmarkEnd w:id="52"/>
      <w:bookmarkEnd w:id="5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54" w:name="_Toc19392"/>
      <w:bookmarkStart w:id="55" w:name="_Toc522961240"/>
      <w:r>
        <w:rPr>
          <w:rFonts w:hint="eastAsia" w:ascii="仿宋" w:eastAsia="仿宋" w:cs="Times New Roman"/>
          <w:b/>
          <w:bCs/>
          <w:sz w:val="32"/>
          <w:szCs w:val="32"/>
        </w:rPr>
        <w:t>（三）评价对象和范围</w:t>
      </w:r>
      <w:bookmarkEnd w:id="54"/>
      <w:bookmarkEnd w:id="55"/>
    </w:p>
    <w:p>
      <w:pPr>
        <w:pStyle w:val="16"/>
        <w:shd w:val="clear" w:color="auto" w:fill="auto"/>
        <w:spacing w:line="574" w:lineRule="exact"/>
        <w:ind w:firstLine="562" w:firstLineChars="200"/>
        <w:jc w:val="both"/>
        <w:rPr>
          <w:rFonts w:hint="eastAsia" w:ascii="仿宋" w:eastAsia="仿宋" w:cs="仿宋"/>
          <w:b/>
          <w:bCs w:val="0"/>
          <w:sz w:val="28"/>
          <w:szCs w:val="28"/>
        </w:rPr>
      </w:pPr>
      <w:bookmarkStart w:id="56" w:name="_Toc469065888"/>
      <w:bookmarkStart w:id="57" w:name="_Toc469065546"/>
      <w:bookmarkStart w:id="58" w:name="_Toc469065636"/>
      <w:bookmarkStart w:id="59" w:name="_Toc450549936"/>
      <w:r>
        <w:rPr>
          <w:rFonts w:hint="eastAsia" w:ascii="仿宋" w:eastAsia="仿宋" w:cs="仿宋"/>
          <w:b/>
          <w:bCs w:val="0"/>
          <w:sz w:val="28"/>
          <w:szCs w:val="28"/>
        </w:rPr>
        <w:t>1、评价对象</w:t>
      </w:r>
    </w:p>
    <w:p>
      <w:pPr>
        <w:spacing w:line="500" w:lineRule="exact"/>
        <w:ind w:firstLine="560" w:firstLineChars="200"/>
        <w:rPr>
          <w:rFonts w:hint="eastAsia" w:asci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旧县镇办公楼维修、政务中心大楼日常维护和农业农村局家具配置经费项目</w:t>
      </w:r>
      <w:r>
        <w:rPr>
          <w:rFonts w:hint="eastAsia" w:ascii="Times New Roman" w:hAnsi="Times New Roman" w:eastAsia="仿宋" w:cs="Times New Roman"/>
          <w:sz w:val="28"/>
          <w:szCs w:val="24"/>
          <w:lang w:val="en-US" w:eastAsia="zh-CN"/>
        </w:rPr>
        <w:t>资金526.2167万元</w:t>
      </w:r>
      <w:r>
        <w:rPr>
          <w:rFonts w:hint="eastAsia" w:ascii="Times New Roman" w:hAnsi="Times New Roman" w:eastAsia="仿宋" w:cs="Times New Roman"/>
          <w:sz w:val="28"/>
          <w:szCs w:val="28"/>
        </w:rPr>
        <w:t>”</w:t>
      </w:r>
      <w:r>
        <w:rPr>
          <w:rFonts w:hint="eastAsia" w:ascii="仿宋" w:eastAsia="仿宋" w:cs="仿宋"/>
          <w:b w:val="0"/>
          <w:bCs/>
          <w:sz w:val="28"/>
          <w:szCs w:val="28"/>
        </w:rPr>
        <w:t>。</w:t>
      </w:r>
    </w:p>
    <w:p>
      <w:pPr>
        <w:pStyle w:val="16"/>
        <w:shd w:val="clear" w:color="auto" w:fill="auto"/>
        <w:spacing w:line="574" w:lineRule="exact"/>
        <w:ind w:firstLine="562" w:firstLineChars="200"/>
        <w:jc w:val="both"/>
        <w:rPr>
          <w:rFonts w:hint="eastAsia" w:ascii="仿宋" w:eastAsia="仿宋" w:cs="仿宋"/>
          <w:b/>
          <w:bCs w:val="0"/>
          <w:sz w:val="28"/>
          <w:szCs w:val="28"/>
        </w:rPr>
      </w:pPr>
      <w:r>
        <w:rPr>
          <w:rFonts w:hint="eastAsia" w:ascii="仿宋" w:eastAsia="仿宋" w:cs="仿宋"/>
          <w:b/>
          <w:bCs w:val="0"/>
          <w:sz w:val="28"/>
          <w:szCs w:val="28"/>
        </w:rPr>
        <w:t>2、评价范围</w:t>
      </w:r>
    </w:p>
    <w:p>
      <w:pPr>
        <w:pStyle w:val="16"/>
        <w:shd w:val="clear" w:color="auto" w:fill="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旧县镇办公楼维修、政务中心大楼日常维护和农业农村局家具配置经费项目。评价其绩效目标设定情况，资金投入和使用情况，为实现设定的绩效目标所制定的制度、采取的措施等，以及绩效目标最终的实现程度及效果</w:t>
      </w:r>
      <w:r>
        <w:rPr>
          <w:rFonts w:hint="eastAsia" w:asci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0" w:name="_Toc479102135"/>
      <w:bookmarkStart w:id="61" w:name="_Toc21419"/>
      <w:bookmarkStart w:id="62" w:name="_Toc522961241"/>
      <w:r>
        <w:rPr>
          <w:rFonts w:hint="eastAsia" w:ascii="仿宋" w:eastAsia="仿宋" w:cs="Times New Roman"/>
          <w:b/>
          <w:bCs/>
          <w:sz w:val="32"/>
          <w:szCs w:val="32"/>
        </w:rPr>
        <w:t>（四）</w:t>
      </w:r>
      <w:bookmarkEnd w:id="56"/>
      <w:bookmarkEnd w:id="57"/>
      <w:bookmarkEnd w:id="58"/>
      <w:bookmarkEnd w:id="59"/>
      <w:bookmarkEnd w:id="60"/>
      <w:r>
        <w:rPr>
          <w:rFonts w:hint="eastAsia" w:ascii="仿宋" w:eastAsia="仿宋" w:cs="Times New Roman"/>
          <w:b/>
          <w:bCs/>
          <w:sz w:val="32"/>
          <w:szCs w:val="32"/>
        </w:rPr>
        <w:t>绩效评价基准日</w:t>
      </w:r>
      <w:bookmarkEnd w:id="61"/>
      <w:bookmarkEnd w:id="62"/>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3" w:name="_Toc16028"/>
      <w:bookmarkStart w:id="64" w:name="_Toc1333"/>
      <w:bookmarkStart w:id="65" w:name="_Toc11974"/>
      <w:bookmarkStart w:id="66" w:name="_Toc14966"/>
      <w:bookmarkStart w:id="67" w:name="_Toc6328"/>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2021</w:t>
      </w:r>
      <w:r>
        <w:rPr>
          <w:rFonts w:hint="eastAsia" w:ascii="Times New Roman" w:hAnsi="Times New Roman" w:eastAsia="仿宋" w:cs="Times New Roman"/>
          <w:bCs w:val="0"/>
          <w:kern w:val="2"/>
          <w:sz w:val="28"/>
          <w:szCs w:val="24"/>
          <w:lang w:val="en-US" w:eastAsia="zh-CN" w:bidi="ar-SA"/>
        </w:rPr>
        <w:t>年12月31日</w:t>
      </w:r>
      <w:r>
        <w:rPr>
          <w:rFonts w:hint="eastAsia" w:ascii="Times New Roman" w:hAnsi="Times New Roman" w:eastAsia="仿宋" w:cs="Times New Roman"/>
          <w:bCs/>
          <w:kern w:val="0"/>
          <w:sz w:val="28"/>
          <w:szCs w:val="28"/>
          <w:lang w:val="en-US" w:eastAsia="zh-CN" w:bidi="ar-SA"/>
        </w:rPr>
        <w:t>。</w:t>
      </w:r>
      <w:bookmarkEnd w:id="63"/>
      <w:bookmarkEnd w:id="64"/>
      <w:bookmarkEnd w:id="65"/>
      <w:bookmarkEnd w:id="66"/>
      <w:bookmarkEnd w:id="6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8" w:name="_Toc514537339"/>
      <w:bookmarkStart w:id="69" w:name="_Toc28943"/>
      <w:bookmarkStart w:id="70" w:name="_Toc519354505"/>
      <w:r>
        <w:rPr>
          <w:rFonts w:hint="eastAsia" w:ascii="仿宋" w:eastAsia="仿宋" w:cs="Times New Roman"/>
          <w:b/>
          <w:bCs/>
          <w:sz w:val="32"/>
          <w:szCs w:val="32"/>
        </w:rPr>
        <w:t>（五）</w:t>
      </w:r>
      <w:bookmarkEnd w:id="68"/>
      <w:r>
        <w:rPr>
          <w:rFonts w:hint="eastAsia" w:ascii="仿宋" w:eastAsia="仿宋" w:cs="Times New Roman"/>
          <w:b/>
          <w:bCs/>
          <w:sz w:val="32"/>
          <w:szCs w:val="32"/>
        </w:rPr>
        <w:t>绩效评价的原则</w:t>
      </w:r>
      <w:bookmarkEnd w:id="69"/>
      <w:bookmarkEnd w:id="7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1" w:name="_Toc27356"/>
      <w:bookmarkStart w:id="72" w:name="_Toc519354506"/>
      <w:r>
        <w:rPr>
          <w:rFonts w:hint="eastAsia" w:ascii="仿宋" w:eastAsia="仿宋" w:cs="Times New Roman"/>
          <w:b/>
          <w:bCs/>
          <w:sz w:val="32"/>
          <w:szCs w:val="32"/>
        </w:rPr>
        <w:t>（六）绩效评价的方法</w:t>
      </w:r>
      <w:bookmarkEnd w:id="71"/>
      <w:bookmarkEnd w:id="7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1、成本效益分析法：是指将旧县镇办公楼维修、政务中心大楼日常维护和农业农村局家具配置经费项目的决策与产出、效益进行关联性分析，考察项目预算编制、资金分配对产出、效益的影响。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旧县镇办公楼维修、政务中心大楼日常维护和农业农村局家具配置经费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旧县镇办公楼维修、政务中心大楼日常维护和农业农村局家具配置经费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旧县镇办公楼维修、政务中心大楼日常维护和农业农村局家具配置经费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3" w:name="_Toc18733"/>
      <w:bookmarkStart w:id="74" w:name="_Toc519354507"/>
      <w:bookmarkStart w:id="75" w:name="_Toc514537340"/>
      <w:r>
        <w:rPr>
          <w:rFonts w:hint="eastAsia" w:ascii="仿宋" w:eastAsia="仿宋" w:cs="Times New Roman"/>
          <w:b/>
          <w:bCs/>
          <w:sz w:val="32"/>
          <w:szCs w:val="32"/>
        </w:rPr>
        <w:t>（七）评价指标体系</w:t>
      </w:r>
      <w:bookmarkEnd w:id="73"/>
      <w:bookmarkEnd w:id="74"/>
      <w:bookmarkEnd w:id="75"/>
    </w:p>
    <w:p>
      <w:pPr>
        <w:spacing w:line="500" w:lineRule="exact"/>
        <w:ind w:firstLine="560" w:firstLineChars="200"/>
        <w:rPr>
          <w:rFonts w:ascii="Times New Roman" w:hAnsi="Times New Roman" w:eastAsia="仿宋" w:cs="Times New Roman"/>
          <w:bCs w:val="0"/>
          <w:kern w:val="2"/>
          <w:sz w:val="28"/>
          <w:szCs w:val="28"/>
          <w:lang w:val="en-US" w:eastAsia="zh-CN" w:bidi="ar-SA"/>
        </w:rPr>
      </w:pPr>
      <w:bookmarkStart w:id="76" w:name="_Toc469065895"/>
      <w:bookmarkStart w:id="77" w:name="_Toc450549943"/>
      <w:bookmarkStart w:id="78" w:name="_Toc469065553"/>
      <w:bookmarkStart w:id="79" w:name="_Toc469065643"/>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旧县镇办公楼维修、政务中心大楼日常维护和农业农村局家具配置经费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旧县镇办公楼维修、政务中心大楼日常维护和农业农村局家具配置经费项目资金绩效评价体系主要包括4项一级指标、12项二级指标、18项三级指标。主要内容为：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3、产出指标：主要考核项目是否按计划要求完成，实施进度是否与计划一致，质量达标情况，项目完工及时性，资金是否存在超支。包括4个二级指标，4个三级指标。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4、效益指标：主要从社会效益、可持续影响、服务对象满意度三方面来评价项目效益。具体考核社会效益、可持续影响、服务对象满意度。包括3个二级指标，3个三级指标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184" w:name="_GoBack"/>
      <w:bookmarkEnd w:id="184"/>
      <w:r>
        <w:rPr>
          <w:rFonts w:hint="eastAsia" w:ascii="Times New Roman" w:hAnsi="Times New Roman" w:eastAsia="仿宋" w:cs="Times New Roman"/>
          <w:bCs w:val="0"/>
          <w:kern w:val="2"/>
          <w:sz w:val="28"/>
          <w:szCs w:val="28"/>
          <w:lang w:val="en-US" w:eastAsia="zh-CN" w:bidi="ar-SA"/>
        </w:rPr>
        <w:t>以及对一级指标的影响程度来合理确定评价指标的权重比例结构</w:t>
      </w:r>
      <w:r>
        <w:rPr>
          <w:rFonts w:hint="eastAsia" w:ascii="仿宋" w:eastAsia="仿宋" w:cs="仿宋"/>
          <w:snapToGrid w:val="0"/>
          <w:sz w:val="28"/>
          <w:szCs w:val="28"/>
          <w:lang w:eastAsia="zh-CN"/>
        </w:rPr>
        <w:t>。</w:t>
      </w:r>
    </w:p>
    <w:bookmarkEnd w:id="76"/>
    <w:bookmarkEnd w:id="77"/>
    <w:bookmarkEnd w:id="78"/>
    <w:bookmarkEnd w:id="79"/>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仿宋"/>
          <w:b/>
          <w:snapToGrid w:val="0"/>
          <w:sz w:val="28"/>
          <w:szCs w:val="28"/>
        </w:rPr>
      </w:pPr>
      <w:bookmarkStart w:id="80" w:name="_Toc519354508"/>
      <w:bookmarkStart w:id="81" w:name="_Toc514537341"/>
      <w:bookmarkStart w:id="82" w:name="_Toc25086"/>
      <w:r>
        <w:rPr>
          <w:rFonts w:hint="eastAsia" w:ascii="仿宋" w:eastAsia="仿宋" w:cs="Times New Roman"/>
          <w:b/>
          <w:bCs/>
          <w:sz w:val="32"/>
          <w:szCs w:val="32"/>
        </w:rPr>
        <w:t>（八）绩效评价工作组织</w:t>
      </w:r>
      <w:bookmarkEnd w:id="80"/>
      <w:bookmarkEnd w:id="81"/>
      <w:bookmarkEnd w:id="82"/>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3" w:name="_Toc469065648"/>
      <w:bookmarkStart w:id="84" w:name="_Toc469065558"/>
      <w:bookmarkStart w:id="85" w:name="_Toc469065900"/>
      <w:bookmarkStart w:id="86" w:name="_Toc479102151"/>
      <w:bookmarkStart w:id="87" w:name="_Toc5559623"/>
      <w:bookmarkStart w:id="88" w:name="_Toc19406"/>
      <w:r>
        <w:rPr>
          <w:rFonts w:hint="eastAsia" w:ascii="Times New Roman" w:hAnsi="Times New Roman" w:eastAsia="仿宋" w:cs="Times New Roman"/>
          <w:b/>
          <w:bCs/>
          <w:kern w:val="2"/>
          <w:sz w:val="28"/>
          <w:szCs w:val="28"/>
          <w:lang w:val="en-US" w:eastAsia="zh-CN" w:bidi="ar-SA"/>
        </w:rPr>
        <w:t>1、组织框架</w:t>
      </w:r>
      <w:bookmarkEnd w:id="83"/>
      <w:bookmarkEnd w:id="84"/>
      <w:bookmarkEnd w:id="85"/>
      <w:bookmarkEnd w:id="86"/>
      <w:bookmarkEnd w:id="87"/>
      <w:bookmarkEnd w:id="88"/>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19"/>
        <w:tblpPr w:leftFromText="180" w:rightFromText="180" w:vertAnchor="text" w:tblpXSpec="left" w:tblpY="1"/>
        <w:tblOverlap w:val="never"/>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tcBorders>
              <w:top w:val="single" w:color="auto" w:sz="4" w:space="0"/>
              <w:left w:val="single" w:color="auto" w:sz="4" w:space="0"/>
              <w:bottom w:val="single" w:color="auto" w:sz="4" w:space="0"/>
              <w:right w:val="single" w:color="auto" w:sz="4" w:space="0"/>
            </w:tcBorders>
            <w:shd w:val="clear" w:color="auto" w:fill="BEBEBE"/>
            <w:noWrap/>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89" w:name="_Toc30571"/>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九</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评价工作安排</w:t>
      </w:r>
      <w:bookmarkEnd w:id="89"/>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ascii="Times New Roman" w:hAnsi="Times New Roman" w:eastAsia="仿宋" w:cs="Times New Roman"/>
          <w:b w:val="0"/>
          <w:bCs/>
          <w:sz w:val="28"/>
          <w:szCs w:val="28"/>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val="en-US" w:eastAsia="zh-CN"/>
        </w:rPr>
      </w:pPr>
      <w:bookmarkStart w:id="90" w:name="_Toc26099"/>
      <w:r>
        <w:rPr>
          <w:rFonts w:hint="eastAsia" w:ascii="仿宋" w:eastAsia="仿宋" w:cs="Times New Roman"/>
          <w:b/>
          <w:bCs/>
          <w:sz w:val="32"/>
          <w:szCs w:val="32"/>
          <w:lang w:val="en-US" w:eastAsia="zh-CN"/>
        </w:rPr>
        <w:t>（十）评价等级</w:t>
      </w:r>
      <w:bookmarkEnd w:id="90"/>
    </w:p>
    <w:p>
      <w:pPr>
        <w:spacing w:line="500" w:lineRule="exact"/>
        <w:ind w:firstLine="560" w:firstLineChars="200"/>
        <w:rPr>
          <w:rFonts w:ascii="Times New Roman" w:hAnsi="Times New Roman" w:eastAsia="仿宋" w:cs="Times New Roman"/>
          <w:b w:val="0"/>
          <w:bCs w:val="0"/>
          <w:color w:val="000000"/>
          <w:sz w:val="28"/>
          <w:szCs w:val="28"/>
          <w:lang w:val="en-US" w:eastAsia="zh-CN"/>
        </w:rPr>
      </w:pPr>
      <w:r>
        <w:rPr>
          <w:rFonts w:ascii="Times New Roman" w:hAnsi="Times New Roman" w:eastAsia="仿宋" w:cs="Times New Roman"/>
          <w:b w:val="0"/>
          <w:bCs w:val="0"/>
          <w:color w:val="000000"/>
          <w:sz w:val="28"/>
          <w:szCs w:val="28"/>
        </w:rPr>
        <w:t>根据《项目支出绩效评价管理办法》（财预〔2020〕10号）要求，绩效评价结果采取评分和评级相结合的方式。评价实行百分制，按照综合评分分级。本次绩效评价结果等级划分标准</w:t>
      </w:r>
      <w:r>
        <w:rPr>
          <w:rFonts w:ascii="Times New Roman" w:hAnsi="Times New Roman" w:eastAsia="仿宋" w:cs="Times New Roman"/>
          <w:b w:val="0"/>
          <w:bCs w:val="0"/>
          <w:color w:val="000000"/>
          <w:sz w:val="28"/>
          <w:szCs w:val="28"/>
          <w:lang w:val="en-US" w:eastAsia="zh-CN"/>
        </w:rPr>
        <w:t>如表3-</w:t>
      </w:r>
      <w:r>
        <w:rPr>
          <w:rFonts w:hint="eastAsia" w:ascii="Times New Roman" w:hAnsi="Times New Roman" w:eastAsia="仿宋" w:cs="Times New Roman"/>
          <w:b w:val="0"/>
          <w:bCs w:val="0"/>
          <w:color w:val="000000"/>
          <w:sz w:val="28"/>
          <w:szCs w:val="28"/>
          <w:lang w:val="en-US" w:eastAsia="zh-CN"/>
        </w:rPr>
        <w:t>2</w:t>
      </w:r>
      <w:r>
        <w:rPr>
          <w:rFonts w:ascii="Times New Roman" w:hAnsi="Times New Roman" w:eastAsia="仿宋" w:cs="Times New Roman"/>
          <w:b w:val="0"/>
          <w:bCs w:val="0"/>
          <w:color w:val="000000"/>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分值范围</w:t>
            </w:r>
          </w:p>
        </w:tc>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100≥X≥90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90＞X≥80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80＞X≥60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91" w:name="_Toc25252"/>
      <w:bookmarkStart w:id="92" w:name="_Toc514537342"/>
      <w:bookmarkStart w:id="93" w:name="_Toc519354509"/>
      <w:r>
        <w:rPr>
          <w:rFonts w:hint="eastAsia" w:ascii="Times New Roman" w:hAnsi="Times New Roman" w:eastAsia="黑体" w:cs="Times New Roman"/>
          <w:bCs/>
          <w:kern w:val="44"/>
          <w:sz w:val="32"/>
          <w:szCs w:val="32"/>
        </w:rPr>
        <w:t>四、绩效评价指标分析情况</w:t>
      </w:r>
      <w:bookmarkEnd w:id="91"/>
      <w:bookmarkEnd w:id="92"/>
      <w:bookmarkEnd w:id="9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94" w:name="_Toc514537343"/>
      <w:bookmarkStart w:id="95" w:name="_Toc21930"/>
      <w:r>
        <w:rPr>
          <w:rFonts w:hint="eastAsia" w:ascii="仿宋" w:eastAsia="仿宋" w:cs="Times New Roman"/>
          <w:b/>
          <w:bCs/>
          <w:sz w:val="32"/>
          <w:szCs w:val="32"/>
          <w:lang w:eastAsia="zh-CN"/>
        </w:rPr>
        <w:t>（一）分项分析与汇总</w:t>
      </w:r>
      <w:bookmarkEnd w:id="94"/>
      <w:bookmarkEnd w:id="95"/>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96" w:name="_Toc23016"/>
      <w:bookmarkStart w:id="97" w:name="_Toc27419"/>
      <w:bookmarkStart w:id="98" w:name="_Toc22892"/>
      <w:bookmarkStart w:id="99" w:name="_Toc15229"/>
      <w:bookmarkStart w:id="100" w:name="_Toc12732"/>
      <w:bookmarkStart w:id="101" w:name="_Toc528680466"/>
      <w:bookmarkStart w:id="102" w:name="_Toc15599"/>
      <w:bookmarkStart w:id="103" w:name="_Toc17362"/>
      <w:bookmarkStart w:id="104" w:name="_Toc26264"/>
      <w:bookmarkStart w:id="105" w:name="_Toc5485"/>
      <w:bookmarkStart w:id="106" w:name="_Toc528684141"/>
      <w:r>
        <w:rPr>
          <w:rFonts w:hint="eastAsia" w:ascii="Times New Roman" w:hAnsi="Times New Roman" w:eastAsia="仿宋" w:cs="Times New Roman"/>
          <w:b/>
          <w:bCs/>
          <w:kern w:val="2"/>
          <w:sz w:val="28"/>
          <w:szCs w:val="28"/>
          <w:lang w:val="en-US" w:eastAsia="zh-CN" w:bidi="ar-SA"/>
        </w:rPr>
        <w:t>1、决策分析</w:t>
      </w:r>
      <w:bookmarkEnd w:id="96"/>
      <w:bookmarkEnd w:id="97"/>
      <w:bookmarkEnd w:id="98"/>
      <w:bookmarkEnd w:id="99"/>
      <w:bookmarkEnd w:id="100"/>
      <w:bookmarkEnd w:id="101"/>
      <w:bookmarkEnd w:id="102"/>
      <w:bookmarkEnd w:id="103"/>
      <w:bookmarkEnd w:id="104"/>
      <w:bookmarkEnd w:id="105"/>
      <w:bookmarkEnd w:id="106"/>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0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41"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A1项目立项</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A11</w:t>
            </w:r>
            <w:r>
              <w:rPr>
                <w:rFonts w:hint="eastAsia" w:ascii="仿宋" w:eastAsia="仿宋" w:cs="仿宋"/>
                <w:color w:val="000000"/>
                <w:kern w:val="0"/>
                <w:sz w:val="24"/>
                <w:szCs w:val="24"/>
                <w:lang w:val="en-US" w:eastAsia="zh-CN"/>
              </w:rPr>
              <w:t>立项依据充分性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A12立项程序规范性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A2绩效目标</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21</w:t>
            </w:r>
            <w:r>
              <w:rPr>
                <w:rFonts w:hint="eastAsia" w:ascii="仿宋" w:eastAsia="仿宋" w:cs="仿宋"/>
                <w:color w:val="000000"/>
                <w:kern w:val="0"/>
                <w:sz w:val="24"/>
                <w:szCs w:val="24"/>
              </w:rPr>
              <w:t>绩效目标合理性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22</w:t>
            </w:r>
            <w:r>
              <w:rPr>
                <w:rFonts w:hint="eastAsia" w:ascii="仿宋" w:eastAsia="仿宋" w:cs="仿宋"/>
                <w:color w:val="000000"/>
                <w:kern w:val="0"/>
                <w:sz w:val="24"/>
                <w:szCs w:val="24"/>
              </w:rPr>
              <w:t>绩效指标明确性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w:t>
            </w:r>
            <w:r>
              <w:rPr>
                <w:rFonts w:hint="eastAsia" w:ascii="仿宋" w:eastAsia="仿宋" w:cs="仿宋"/>
                <w:b w:val="0"/>
                <w:bCs w:val="0"/>
                <w:color w:val="000000"/>
                <w:kern w:val="0"/>
                <w:sz w:val="24"/>
                <w:szCs w:val="24"/>
                <w:lang w:val="en-US" w:eastAsia="zh-CN"/>
              </w:rPr>
              <w:t>3</w:t>
            </w:r>
            <w:r>
              <w:rPr>
                <w:rFonts w:hint="eastAsia" w:ascii="仿宋" w:eastAsia="仿宋" w:cs="仿宋"/>
                <w:b w:val="0"/>
                <w:bCs w:val="0"/>
                <w:color w:val="000000"/>
                <w:kern w:val="0"/>
                <w:sz w:val="24"/>
                <w:szCs w:val="24"/>
              </w:rPr>
              <w:t>资金</w:t>
            </w:r>
            <w:r>
              <w:rPr>
                <w:rFonts w:hint="eastAsia" w:ascii="仿宋" w:eastAsia="仿宋" w:cs="仿宋"/>
                <w:b w:val="0"/>
                <w:bCs w:val="0"/>
                <w:color w:val="000000"/>
                <w:kern w:val="0"/>
                <w:sz w:val="24"/>
                <w:szCs w:val="24"/>
                <w:lang w:val="en-US" w:eastAsia="zh-CN"/>
              </w:rPr>
              <w:t>投入</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A31</w:t>
            </w:r>
            <w:r>
              <w:rPr>
                <w:rFonts w:hint="eastAsia" w:ascii="仿宋" w:eastAsia="仿宋" w:cs="仿宋"/>
                <w:color w:val="000000"/>
                <w:kern w:val="0"/>
                <w:sz w:val="24"/>
                <w:szCs w:val="24"/>
              </w:rPr>
              <w:t>预算</w:t>
            </w:r>
            <w:r>
              <w:rPr>
                <w:rFonts w:hint="eastAsia" w:ascii="仿宋" w:eastAsia="仿宋" w:cs="仿宋"/>
                <w:color w:val="000000"/>
                <w:kern w:val="0"/>
                <w:sz w:val="24"/>
                <w:szCs w:val="24"/>
                <w:lang w:val="en-US" w:eastAsia="zh-CN"/>
              </w:rPr>
              <w:t>编制科学性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A32</w:t>
            </w:r>
            <w:r>
              <w:rPr>
                <w:rFonts w:hint="eastAsia" w:ascii="仿宋" w:eastAsia="仿宋" w:cs="仿宋"/>
                <w:color w:val="000000"/>
                <w:kern w:val="0"/>
                <w:sz w:val="24"/>
                <w:szCs w:val="24"/>
              </w:rPr>
              <w:t>资金分配合理性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A11</w:t>
      </w:r>
      <w:r>
        <w:rPr>
          <w:rFonts w:hint="eastAsia" w:ascii="仿宋" w:eastAsia="仿宋" w:cs="仿宋"/>
          <w:b/>
          <w:snapToGrid w:val="0"/>
          <w:sz w:val="28"/>
          <w:szCs w:val="28"/>
          <w:lang w:val="en-US" w:eastAsia="zh-CN"/>
        </w:rPr>
        <w:t>立项依据充分性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山西省机关事务管理办法》、《山西省机关运行保障条例》（2020年9月30日山西省第十三届人民代表大会常务委员会第二十次会议通过）等文件作为依据，项目申报、审核、批复资料齐全、准确、符合相关要求，立项依据充分。根据评分标准，该项得满分。</w:t>
      </w:r>
    </w:p>
    <w:p>
      <w:pPr>
        <w:widowControl/>
        <w:spacing w:line="574" w:lineRule="exact"/>
        <w:ind w:firstLine="562" w:firstLineChars="200"/>
        <w:rPr>
          <w:rFonts w:ascii="仿宋" w:eastAsia="仿宋" w:cs="仿宋"/>
          <w:bCs/>
          <w:snapToGrid w:val="0"/>
          <w:sz w:val="28"/>
          <w:szCs w:val="28"/>
          <w:lang w:val="en-US" w:eastAsia="zh-CN"/>
        </w:rPr>
      </w:pPr>
      <w:r>
        <w:rPr>
          <w:rFonts w:hint="eastAsia" w:asci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旧县镇办公楼维修、政务中心大楼日常维护和农业农村局家具配置经费项目落实了国家、省、市机关事务管理工作政策，古县直属机关事务服务中心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2</w:t>
      </w: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绩效目标</w:t>
      </w:r>
    </w:p>
    <w:p>
      <w:pPr>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满分4.00分，得分4.00分。旧县镇办公楼维修、政务中心大楼日常维护和农业农村局家具配置经费项目绩效目标为：</w:t>
      </w:r>
      <w:r>
        <w:rPr>
          <w:rFonts w:hint="eastAsia" w:ascii="Times New Roman" w:hAnsi="Times New Roman" w:eastAsia="仿宋" w:cs="Times New Roman"/>
          <w:kern w:val="0"/>
          <w:sz w:val="28"/>
          <w:szCs w:val="28"/>
          <w:shd w:val="clear" w:color="auto" w:fill="FFFFFF"/>
          <w:lang w:val="en-US" w:eastAsia="zh-CN"/>
        </w:rPr>
        <w:t>机关事务工作中结构与规模、数量与质量、需求与供给、公平与效率等关系更趋科学，对机关财务、资产、房屋基建等的管理更加有效，确保以最少的财政投入产生最大的服务保障效益</w:t>
      </w:r>
      <w:r>
        <w:rPr>
          <w:rFonts w:hint="eastAsia" w:ascii="Times New Roman" w:hAnsi="Times New Roman" w:eastAsia="仿宋" w:cs="Times New Roman"/>
          <w:bCs w:val="0"/>
          <w:kern w:val="2"/>
          <w:sz w:val="28"/>
          <w:szCs w:val="28"/>
          <w:lang w:val="en-US" w:eastAsia="zh-CN" w:bidi="ar-SA"/>
        </w:rPr>
        <w:t>。项目有绩效目标，项目绩效目标与实际工作内容具有相关性，项目预期产出效益和效果符合正常的业绩水平，与预算确定的项目资金量相匹配。根据评分标准，该项得满分</w:t>
      </w:r>
      <w:r>
        <w:rPr>
          <w:rFonts w:hint="eastAsia" w:ascii="仿宋" w:eastAsia="仿宋" w:cs="仿宋"/>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直属机关事务服务中心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w:t>
      </w:r>
      <w:r>
        <w:rPr>
          <w:rFonts w:hint="eastAsia" w:ascii="仿宋" w:eastAsia="仿宋" w:cs="仿宋"/>
          <w:snapToGrid w:val="0"/>
          <w:sz w:val="28"/>
          <w:szCs w:val="28"/>
          <w:lang w:val="en-US" w:eastAsia="zh-CN"/>
        </w:rPr>
        <w:t>3</w:t>
      </w:r>
      <w:r>
        <w:rPr>
          <w:rFonts w:hint="eastAsia" w:ascii="仿宋" w:eastAsia="仿宋" w:cs="仿宋"/>
          <w:snapToGrid w:val="0"/>
          <w:sz w:val="28"/>
          <w:szCs w:val="28"/>
        </w:rPr>
        <w:t>）资金</w:t>
      </w:r>
      <w:r>
        <w:rPr>
          <w:rFonts w:hint="eastAsia" w:ascii="仿宋" w:eastAsia="仿宋" w:cs="仿宋"/>
          <w:snapToGrid w:val="0"/>
          <w:sz w:val="28"/>
          <w:szCs w:val="28"/>
          <w:lang w:val="en-US" w:eastAsia="zh-CN"/>
        </w:rPr>
        <w:t>投入</w:t>
      </w:r>
    </w:p>
    <w:p>
      <w:pPr>
        <w:ind w:firstLine="562" w:firstLineChars="200"/>
        <w:rPr>
          <w:rFonts w:hint="eastAsia" w:ascii="仿宋" w:eastAsia="仿宋" w:cs="仿宋"/>
          <w:snapToGrid w:val="0"/>
          <w:sz w:val="28"/>
          <w:szCs w:val="28"/>
          <w:lang w:val="en-US" w:eastAsia="zh-CN"/>
        </w:rPr>
      </w:pPr>
      <w:r>
        <w:rPr>
          <w:rFonts w:hint="eastAsia" w:asci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旧县镇办公楼维修、政务中心大楼日常维护和农业农村局家具配置经费项目资金526.2167万元，该项资金是根据工作量综合确定，建设项目预算额度测算有相关依据，预算确定的项目投资额与工作任务相匹配，投资额涵盖本次项目涉及的所有内容。根据评分标准，该项得满分</w:t>
      </w:r>
      <w:r>
        <w:rPr>
          <w:rFonts w:hint="eastAsia" w:asci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32资金分配合理性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旧县镇办公楼维修、政务中心大楼日常维护和农业农村局家具配置经费项目，实际执行过程中，资金分配符合文件要求。根据评分标准，该项得满分。</w:t>
      </w:r>
      <w:bookmarkStart w:id="107" w:name="_Toc528684142"/>
      <w:bookmarkStart w:id="108" w:name="_Toc18414"/>
      <w:bookmarkStart w:id="109" w:name="_Toc8610"/>
      <w:bookmarkStart w:id="110" w:name="_Toc528680467"/>
      <w:bookmarkStart w:id="111" w:name="_Toc19896"/>
    </w:p>
    <w:p>
      <w:pPr>
        <w:ind w:firstLine="562" w:firstLineChars="200"/>
        <w:rPr>
          <w:rFonts w:hint="eastAsia" w:ascii="仿宋" w:eastAsia="仿宋" w:cs="仿宋"/>
          <w:b/>
          <w:snapToGrid w:val="0"/>
          <w:sz w:val="28"/>
          <w:szCs w:val="28"/>
        </w:rPr>
      </w:pPr>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过程分析</w:t>
      </w:r>
      <w:bookmarkEnd w:id="107"/>
      <w:bookmarkEnd w:id="108"/>
      <w:bookmarkEnd w:id="109"/>
      <w:bookmarkEnd w:id="110"/>
      <w:bookmarkEnd w:id="111"/>
    </w:p>
    <w:p>
      <w:pPr>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过程类指标主要从资金到位率、预算执行率、资金使用合规性、管理制度健全性、制度执行有效性5个指标考核该项目资金管理及组织实施情况，过程类指标权重20.00分，实际得分14.00分。指标得分情况如表4-2所示：</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47"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46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4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428"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资金</w:t>
            </w:r>
            <w:r>
              <w:rPr>
                <w:rFonts w:hint="eastAsia" w:ascii="仿宋" w:eastAsia="仿宋" w:cs="仿宋"/>
                <w:b w:val="0"/>
                <w:bCs w:val="0"/>
                <w:color w:val="000000"/>
                <w:kern w:val="0"/>
                <w:sz w:val="24"/>
                <w:szCs w:val="24"/>
              </w:rPr>
              <w:t>管理</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B11</w:t>
            </w:r>
            <w:r>
              <w:rPr>
                <w:rFonts w:hint="eastAsia" w:ascii="仿宋" w:eastAsia="仿宋" w:cs="仿宋"/>
                <w:b w:val="0"/>
                <w:bCs w:val="0"/>
                <w:color w:val="000000"/>
                <w:kern w:val="0"/>
                <w:sz w:val="24"/>
                <w:szCs w:val="24"/>
                <w:lang w:val="en-US" w:eastAsia="zh-CN"/>
              </w:rPr>
              <w:t>资金到位率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B12</w:t>
            </w:r>
            <w:r>
              <w:rPr>
                <w:rFonts w:hint="eastAsia" w:ascii="仿宋" w:eastAsia="仿宋" w:cs="仿宋"/>
                <w:b w:val="0"/>
                <w:bCs w:val="0"/>
                <w:color w:val="000000"/>
                <w:kern w:val="0"/>
                <w:sz w:val="24"/>
                <w:szCs w:val="24"/>
                <w:lang w:val="en-US" w:eastAsia="zh-CN"/>
              </w:rPr>
              <w:t>预算执行率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3资金使用合规性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rPr>
              <w:t>B2</w:t>
            </w:r>
            <w:r>
              <w:rPr>
                <w:rFonts w:hint="eastAsia" w:ascii="仿宋" w:eastAsia="仿宋" w:cs="仿宋"/>
                <w:b w:val="0"/>
                <w:bCs w:val="0"/>
                <w:color w:val="000000"/>
                <w:kern w:val="0"/>
                <w:sz w:val="24"/>
                <w:szCs w:val="24"/>
                <w:lang w:val="en-US" w:eastAsia="zh-CN"/>
              </w:rPr>
              <w:t>组织实施</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B21管理制度健全性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B22</w:t>
            </w:r>
            <w:r>
              <w:rPr>
                <w:rFonts w:hint="eastAsia" w:ascii="仿宋" w:eastAsia="仿宋" w:cs="仿宋"/>
                <w:b w:val="0"/>
                <w:bCs w:val="0"/>
                <w:color w:val="000000"/>
                <w:kern w:val="0"/>
                <w:sz w:val="24"/>
                <w:szCs w:val="24"/>
                <w:lang w:val="en-US" w:eastAsia="zh-CN"/>
              </w:rPr>
              <w:t>制度执行有效</w:t>
            </w:r>
            <w:r>
              <w:rPr>
                <w:rFonts w:hint="eastAsia" w:ascii="仿宋" w:eastAsia="仿宋" w:cs="仿宋"/>
                <w:b w:val="0"/>
                <w:bCs w:val="0"/>
                <w:color w:val="000000"/>
                <w:kern w:val="0"/>
                <w:sz w:val="24"/>
                <w:szCs w:val="24"/>
              </w:rPr>
              <w:t>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rPr>
            </w:pPr>
            <w:r>
              <w:rPr>
                <w:rFonts w:hint="eastAsia" w:ascii="仿宋" w:eastAsia="仿宋" w:cs="仿宋"/>
                <w:b w:val="0"/>
                <w:bCs w:val="0"/>
                <w:color w:val="000000"/>
                <w:kern w:val="0"/>
                <w:sz w:val="24"/>
                <w:szCs w:val="24"/>
                <w:lang w:val="en-US" w:eastAsia="zh-CN"/>
              </w:rPr>
              <w:t>6.00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合计</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w:t>
      </w:r>
    </w:p>
    <w:p>
      <w:pPr>
        <w:widowControl/>
        <w:spacing w:line="574" w:lineRule="exact"/>
        <w:ind w:firstLine="562" w:firstLineChars="200"/>
        <w:rPr>
          <w:rFonts w:hint="eastAsia" w:ascii="仿宋" w:eastAsia="仿宋" w:cs="仿宋"/>
          <w:b/>
          <w:snapToGrid w:val="0"/>
          <w:sz w:val="28"/>
          <w:szCs w:val="28"/>
        </w:rPr>
      </w:pPr>
      <w:r>
        <w:rPr>
          <w:rFonts w:hint="eastAsia" w:ascii="仿宋" w:eastAsia="仿宋" w:cs="仿宋"/>
          <w:b/>
          <w:snapToGrid w:val="0"/>
          <w:sz w:val="28"/>
          <w:szCs w:val="28"/>
          <w:lang w:val="en-US" w:eastAsia="zh-CN"/>
        </w:rPr>
        <w:t>B11</w:t>
      </w:r>
      <w:r>
        <w:rPr>
          <w:rFonts w:hint="eastAsia" w:asci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w:t>
      </w: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2021年旧县镇办公楼维修、政务中心大楼日常维护和农业农村局家具配置经费项目预算资金526.2167万元</w:t>
      </w:r>
      <w:r>
        <w:rPr>
          <w:rFonts w:hint="eastAsia" w:ascii="Times New Roman" w:hAnsi="Times New Roman" w:eastAsia="仿宋" w:cs="Times New Roman"/>
          <w:bCs w:val="0"/>
          <w:kern w:val="2"/>
          <w:sz w:val="28"/>
          <w:szCs w:val="28"/>
          <w:lang w:val="en-US" w:eastAsia="zh-CN" w:bidi="ar-SA"/>
        </w:rPr>
        <w:t>；实际到位资金</w:t>
      </w:r>
      <w:r>
        <w:rPr>
          <w:rFonts w:hint="eastAsia" w:ascii="Times New Roman" w:hAnsi="Times New Roman" w:eastAsia="仿宋" w:cs="Times New Roman"/>
          <w:kern w:val="0"/>
          <w:sz w:val="28"/>
          <w:szCs w:val="28"/>
          <w:shd w:val="clear" w:color="auto" w:fill="FFFFFF"/>
          <w:lang w:val="en-US" w:eastAsia="zh-CN"/>
        </w:rPr>
        <w:t>526.2167万元</w:t>
      </w:r>
      <w:r>
        <w:rPr>
          <w:rFonts w:hint="eastAsia" w:ascii="Times New Roman" w:hAnsi="Times New Roman" w:eastAsia="仿宋" w:cs="Times New Roman"/>
          <w:bCs w:val="0"/>
          <w:kern w:val="2"/>
          <w:sz w:val="28"/>
          <w:szCs w:val="28"/>
          <w:lang w:val="en-US" w:eastAsia="zh-CN" w:bidi="ar-SA"/>
        </w:rPr>
        <w:t>，资金到位率100.00%。根据评分标准，该项得满分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b w:val="0"/>
          <w:bCs/>
          <w:snapToGrid w:val="0"/>
          <w:sz w:val="28"/>
          <w:szCs w:val="28"/>
        </w:rPr>
      </w:pPr>
      <w:r>
        <w:rPr>
          <w:rFonts w:hint="eastAsia" w:ascii="仿宋" w:eastAsia="仿宋" w:cs="仿宋"/>
          <w:b/>
          <w:snapToGrid w:val="0"/>
          <w:sz w:val="28"/>
          <w:szCs w:val="28"/>
          <w:lang w:val="en-US" w:eastAsia="zh-CN"/>
        </w:rPr>
        <w:t>B12预算</w:t>
      </w:r>
      <w:r>
        <w:rPr>
          <w:rFonts w:hint="eastAsia" w:asci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4.00分。根据古县直属机关事务服务中心提供的资料，截止2021年12月31日，2021年旧县镇办公楼维修、政务中心大楼日常维护和农业农村局家具配置经费项目共计使用资金526.153687万元。到位资金执行率99.99%。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lang w:val="en-US" w:eastAsia="zh-CN"/>
        </w:rPr>
        <w:t>B13</w:t>
      </w:r>
      <w:r>
        <w:rPr>
          <w:rFonts w:hint="eastAsia" w:asci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旧县镇办公楼维修、政务中心大楼日常维护和农业农村局家具配置经费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t>（2）组织实施</w:t>
      </w:r>
    </w:p>
    <w:p>
      <w:pPr>
        <w:widowControl/>
        <w:spacing w:line="574" w:lineRule="exact"/>
        <w:ind w:firstLine="562" w:firstLineChars="200"/>
        <w:rPr>
          <w:rFonts w:hint="eastAsia" w:ascii="仿宋" w:eastAsia="仿宋" w:cs="仿宋"/>
          <w:snapToGrid w:val="0"/>
          <w:sz w:val="28"/>
          <w:szCs w:val="28"/>
          <w:highlight w:val="yellow"/>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直属机关事务服务中心在具体执行项目过程中，具有相应的业务、财务管理制度，相关业务、财务管理制度合法、合规、完整。根据评分标准，该项得满分</w:t>
      </w:r>
      <w:r>
        <w:rPr>
          <w:rFonts w:hint="eastAsia" w:ascii="仿宋" w:eastAsia="仿宋" w:cs="仿宋"/>
          <w:snapToGrid w:val="0"/>
          <w:sz w:val="28"/>
          <w:szCs w:val="28"/>
        </w:rPr>
        <w:t>。</w:t>
      </w:r>
    </w:p>
    <w:p>
      <w:pPr>
        <w:widowControl/>
        <w:spacing w:line="574" w:lineRule="exact"/>
        <w:ind w:firstLine="562" w:firstLineChars="200"/>
        <w:rPr>
          <w:rFonts w:ascii="仿宋" w:eastAsia="仿宋" w:cs="仿宋"/>
          <w:snapToGrid w:val="0"/>
          <w:sz w:val="28"/>
          <w:szCs w:val="28"/>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0.00分。该指标分析评价项目实施是否符合相关项目管理规定，是否为达到项目质量要求而采取了必需的措施，用以反映和考核项目管理有效性。根据古县直属机关事务服务中心提供的资料，评价组发现，项目实施管理不到位：（1）2021年旧县镇办公楼维修、政务中心大楼日常维护和农业农村局家具配置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根据评分标准，该项得0.00分</w:t>
      </w:r>
      <w:r>
        <w:rPr>
          <w:rFonts w:hint="eastAsia" w:ascii="仿宋" w:eastAsia="仿宋" w:cs="仿宋"/>
          <w:snapToGrid w:val="0"/>
          <w:sz w:val="28"/>
          <w:szCs w:val="28"/>
        </w:rPr>
        <w:t>。</w:t>
      </w:r>
    </w:p>
    <w:p>
      <w:pPr>
        <w:widowControl/>
        <w:spacing w:line="574" w:lineRule="exact"/>
        <w:ind w:firstLine="562" w:firstLineChars="200"/>
        <w:outlineLvl w:val="2"/>
        <w:rPr>
          <w:rFonts w:hint="eastAsia" w:ascii="仿宋" w:eastAsia="仿宋" w:cs="仿宋"/>
          <w:b/>
          <w:snapToGrid w:val="0"/>
          <w:sz w:val="28"/>
          <w:szCs w:val="28"/>
        </w:rPr>
      </w:pPr>
      <w:bookmarkStart w:id="112" w:name="_Toc27638"/>
      <w:bookmarkStart w:id="113" w:name="_Toc30848"/>
      <w:bookmarkStart w:id="114" w:name="_Toc29696"/>
      <w:bookmarkStart w:id="115" w:name="_Toc11431"/>
      <w:bookmarkStart w:id="116" w:name="_Toc7873"/>
      <w:bookmarkStart w:id="117" w:name="_Toc18832"/>
      <w:bookmarkStart w:id="118" w:name="_Toc16432"/>
      <w:bookmarkStart w:id="119" w:name="_Toc528684143"/>
      <w:bookmarkStart w:id="120" w:name="_Toc23505"/>
      <w:bookmarkStart w:id="121" w:name="_Toc30077"/>
      <w:bookmarkStart w:id="122" w:name="_Toc528680468"/>
      <w:r>
        <w:rPr>
          <w:rFonts w:hint="eastAsia" w:ascii="仿宋" w:eastAsia="仿宋" w:cs="仿宋"/>
          <w:b/>
          <w:snapToGrid w:val="0"/>
          <w:sz w:val="28"/>
          <w:szCs w:val="28"/>
        </w:rPr>
        <w:t>3</w:t>
      </w:r>
      <w:r>
        <w:rPr>
          <w:rFonts w:hint="eastAsia" w:ascii="仿宋" w:eastAsia="仿宋" w:cs="仿宋"/>
          <w:b/>
          <w:snapToGrid w:val="0"/>
          <w:sz w:val="28"/>
          <w:szCs w:val="28"/>
          <w:lang w:eastAsia="zh-CN"/>
        </w:rPr>
        <w:t>、</w:t>
      </w:r>
      <w:r>
        <w:rPr>
          <w:rFonts w:hint="eastAsia" w:ascii="仿宋" w:eastAsia="仿宋" w:cs="仿宋"/>
          <w:b/>
          <w:snapToGrid w:val="0"/>
          <w:sz w:val="28"/>
          <w:szCs w:val="28"/>
        </w:rPr>
        <w:t>产出分析</w:t>
      </w:r>
      <w:bookmarkEnd w:id="112"/>
      <w:bookmarkEnd w:id="113"/>
      <w:bookmarkEnd w:id="114"/>
      <w:bookmarkEnd w:id="115"/>
      <w:bookmarkEnd w:id="116"/>
      <w:bookmarkEnd w:id="117"/>
      <w:bookmarkEnd w:id="118"/>
      <w:bookmarkEnd w:id="119"/>
      <w:bookmarkEnd w:id="120"/>
      <w:bookmarkEnd w:id="121"/>
      <w:bookmarkEnd w:id="122"/>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项目质量达标情况、项目完成及时性、成本节约率4个指标考察该项目产出数量、产出质量、产出时效、产出成本。产出类指标权重30.00分，实际得分22.00分。指标得分情况如表4-3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95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1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86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185"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asci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C21项目质量达标情况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7"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C31项目完成及时性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 计</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22.00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73.33%</w:t>
            </w:r>
          </w:p>
        </w:tc>
      </w:tr>
    </w:tbl>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产出数量</w:t>
      </w:r>
    </w:p>
    <w:p>
      <w:pPr>
        <w:widowControl/>
        <w:spacing w:line="574" w:lineRule="exact"/>
        <w:ind w:firstLine="562" w:firstLineChars="200"/>
        <w:rPr>
          <w:rFonts w:hint="eastAsia" w:ascii="仿宋" w:eastAsia="仿宋" w:cs="仿宋"/>
          <w:b/>
          <w:snapToGrid w:val="0"/>
          <w:sz w:val="28"/>
          <w:szCs w:val="28"/>
          <w:lang w:eastAsia="zh-CN"/>
        </w:rPr>
      </w:pPr>
      <w:r>
        <w:rPr>
          <w:rFonts w:hint="eastAsia" w:ascii="仿宋" w:eastAsia="仿宋" w:cs="仿宋"/>
          <w:b/>
          <w:snapToGrid w:val="0"/>
          <w:sz w:val="28"/>
          <w:szCs w:val="28"/>
          <w:lang w:val="en-US" w:eastAsia="zh-CN"/>
        </w:rPr>
        <w:t>C11项目完成情况</w:t>
      </w:r>
      <w:r>
        <w:rPr>
          <w:rFonts w:hint="eastAsia" w:asci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满分8.00分，得分8.00分。评价组现场调研了解到，</w:t>
      </w: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2021年旧县镇办公楼维修、政务中心大楼日常维护和农业农村局家具配置经费项目涉及的开展旧县镇办公楼维修、政务中心大楼日常维护和农业农村局家具配置等子项目全部实施完成。</w:t>
      </w:r>
      <w:r>
        <w:rPr>
          <w:rFonts w:hint="eastAsia" w:ascii="Times New Roman" w:hAnsi="Times New Roman" w:eastAsia="仿宋" w:cs="Times New Roman"/>
          <w:bCs w:val="0"/>
          <w:kern w:val="2"/>
          <w:sz w:val="28"/>
          <w:szCs w:val="28"/>
          <w:lang w:val="en-US" w:eastAsia="zh-CN" w:bidi="ar-SA"/>
        </w:rPr>
        <w:t>根据评分标准，该项得满分</w:t>
      </w:r>
      <w:r>
        <w:rPr>
          <w:rFonts w:hint="eastAsia" w:ascii="仿宋" w:eastAsia="仿宋" w:cs="仿宋"/>
          <w:b w:val="0"/>
          <w:bCs/>
          <w:snapToGrid w:val="0"/>
          <w:sz w:val="28"/>
          <w:szCs w:val="28"/>
          <w:lang w:val="en-US" w:eastAsia="zh-CN"/>
        </w:rPr>
        <w:t>。</w:t>
      </w:r>
    </w:p>
    <w:p>
      <w:pPr>
        <w:spacing w:line="574" w:lineRule="exact"/>
        <w:ind w:firstLine="560" w:firstLineChars="200"/>
        <w:rPr>
          <w:rFonts w:hint="eastAsia" w:ascii="仿宋" w:eastAsia="仿宋" w:cs="仿宋"/>
          <w:b/>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产出质量</w:t>
      </w:r>
    </w:p>
    <w:p>
      <w:pPr>
        <w:spacing w:line="574" w:lineRule="exact"/>
        <w:ind w:firstLine="562" w:firstLineChars="200"/>
        <w:rPr>
          <w:rFonts w:hint="eastAsia" w:ascii="仿宋" w:eastAsia="仿宋" w:cs="仿宋"/>
          <w:b w:val="0"/>
          <w:bCs/>
          <w:snapToGrid w:val="0"/>
          <w:sz w:val="28"/>
          <w:szCs w:val="28"/>
          <w:lang w:val="en-US" w:eastAsia="zh-CN"/>
        </w:rPr>
      </w:pPr>
      <w:r>
        <w:rPr>
          <w:rFonts w:hint="eastAsia" w:ascii="仿宋" w:eastAsia="仿宋" w:cs="仿宋"/>
          <w:b/>
          <w:bCs/>
          <w:snapToGrid w:val="0"/>
          <w:sz w:val="28"/>
          <w:szCs w:val="28"/>
          <w:lang w:eastAsia="zh-CN"/>
        </w:rPr>
        <w:t>C21</w:t>
      </w:r>
      <w:r>
        <w:rPr>
          <w:rFonts w:hint="eastAsia" w:ascii="仿宋" w:eastAsia="仿宋" w:cs="仿宋"/>
          <w:b/>
          <w:bCs/>
          <w:snapToGrid w:val="0"/>
          <w:sz w:val="28"/>
          <w:szCs w:val="28"/>
          <w:lang w:val="en-US" w:eastAsia="zh-CN"/>
        </w:rPr>
        <w:t>项目质量达标情况</w:t>
      </w:r>
      <w:r>
        <w:rPr>
          <w:rFonts w:hint="eastAsia" w:asci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截止2021年12月31日，该项目已完成，但项目涉及的购置类、建设类等子项目检查验收不到位，实施单位相关检查验收资料无法提供，项目质量达标情况支撑依据不足。根据评分标准，该项得0.00分</w:t>
      </w:r>
      <w:r>
        <w:rPr>
          <w:rFonts w:hint="eastAsia" w:ascii="仿宋" w:eastAsia="仿宋" w:cs="仿宋"/>
          <w:b w:val="0"/>
          <w:bCs/>
          <w:snapToGrid w:val="0"/>
          <w:sz w:val="28"/>
          <w:szCs w:val="28"/>
          <w:lang w:val="en-US" w:eastAsia="zh-CN"/>
        </w:rPr>
        <w:t>。</w:t>
      </w:r>
    </w:p>
    <w:p>
      <w:pPr>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产出时效</w:t>
      </w:r>
    </w:p>
    <w:p>
      <w:pPr>
        <w:widowControl/>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C31项目完成及时性：</w:t>
      </w:r>
      <w:r>
        <w:rPr>
          <w:rFonts w:hint="eastAsia" w:ascii="Times New Roman" w:hAnsi="Times New Roman" w:eastAsia="仿宋" w:cs="Times New Roman"/>
          <w:bCs w:val="0"/>
          <w:kern w:val="2"/>
          <w:sz w:val="28"/>
          <w:szCs w:val="28"/>
          <w:lang w:val="en-US" w:eastAsia="zh-CN" w:bidi="ar-SA"/>
        </w:rPr>
        <w:t>满分8.00分，得分8.00分。</w:t>
      </w: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2021年旧县镇办公楼维修、政务中心大楼日常维护和农业农村局家具配置经费项目涉及的开展旧县镇办公楼维修、政务中心大楼日常维护和农业农村局家具配置等子项目全部及时实施完成</w:t>
      </w:r>
      <w:r>
        <w:rPr>
          <w:rFonts w:hint="eastAsia" w:ascii="Times New Roman" w:hAnsi="Times New Roman" w:eastAsia="仿宋" w:cs="Times New Roman"/>
          <w:bCs w:val="0"/>
          <w:kern w:val="2"/>
          <w:sz w:val="28"/>
          <w:szCs w:val="28"/>
          <w:lang w:val="en-US" w:eastAsia="zh-CN" w:bidi="ar-SA"/>
        </w:rPr>
        <w:t>。根据评分标准，该项得满分。</w:t>
      </w:r>
    </w:p>
    <w:p>
      <w:pPr>
        <w:pStyle w:val="2"/>
        <w:ind w:left="0" w:firstLine="560" w:firstLineChars="200"/>
        <w:rPr>
          <w:rFonts w:hint="eastAsia" w:ascii="仿宋" w:eastAsia="仿宋" w:cs="仿宋"/>
          <w:b w:val="0"/>
          <w:bCs/>
          <w:snapToGrid w:val="0"/>
          <w:sz w:val="28"/>
          <w:szCs w:val="28"/>
          <w:lang w:val="en-US" w:eastAsia="zh-CN"/>
        </w:rPr>
      </w:pPr>
      <w:r>
        <w:rPr>
          <w:rFonts w:hint="eastAsia" w:ascii="仿宋" w:eastAsia="仿宋" w:cs="仿宋"/>
          <w:b w:val="0"/>
          <w:bCs/>
          <w:snapToGrid w:val="0"/>
          <w:sz w:val="28"/>
          <w:szCs w:val="28"/>
          <w:lang w:val="en-US" w:eastAsia="zh-CN"/>
        </w:rPr>
        <w:t>（4）产出成本</w:t>
      </w:r>
    </w:p>
    <w:p>
      <w:pPr>
        <w:pStyle w:val="2"/>
        <w:ind w:left="0" w:firstLine="562" w:firstLineChars="200"/>
        <w:rPr>
          <w:rFonts w:ascii="Times New Roman" w:hAnsi="Times New Roman" w:eastAsia="仿宋" w:cs="Times New Roman"/>
          <w:bCs w:val="0"/>
          <w:kern w:val="2"/>
          <w:sz w:val="28"/>
          <w:szCs w:val="28"/>
          <w:lang w:val="en-US" w:eastAsia="zh-CN" w:bidi="ar-SA"/>
        </w:rPr>
      </w:pPr>
      <w:r>
        <w:rPr>
          <w:rFonts w:hint="eastAsia" w:asci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6.00分。评价组现场调研和查阅相关资料了解到，旧县镇办公楼维修、政务中心大楼日常维护和农业农村局家具配置经费项目实际实施过程中成本有效控制，未发现超支现象。根据评分标准，该项得满分。</w:t>
      </w:r>
    </w:p>
    <w:p>
      <w:pPr>
        <w:spacing w:line="574" w:lineRule="exact"/>
        <w:ind w:firstLine="562" w:firstLineChars="200"/>
        <w:outlineLvl w:val="2"/>
        <w:rPr>
          <w:rFonts w:hint="eastAsia" w:ascii="仿宋" w:eastAsia="仿宋" w:cs="仿宋"/>
          <w:b/>
          <w:snapToGrid w:val="0"/>
          <w:sz w:val="28"/>
          <w:szCs w:val="28"/>
        </w:rPr>
      </w:pPr>
      <w:bookmarkStart w:id="123" w:name="_Toc3853"/>
      <w:bookmarkStart w:id="124" w:name="_Toc28371"/>
      <w:bookmarkStart w:id="125" w:name="_Toc19098"/>
      <w:bookmarkStart w:id="126" w:name="_Toc31873"/>
      <w:bookmarkStart w:id="127" w:name="_Toc8932"/>
      <w:bookmarkStart w:id="128" w:name="_Toc528684144"/>
      <w:bookmarkStart w:id="129" w:name="_Toc29718"/>
      <w:bookmarkStart w:id="130" w:name="_Toc528680469"/>
      <w:bookmarkStart w:id="131" w:name="_Toc22268"/>
      <w:bookmarkStart w:id="132" w:name="_Toc617"/>
      <w:bookmarkStart w:id="133" w:name="_Toc32468"/>
      <w:r>
        <w:rPr>
          <w:rFonts w:hint="eastAsia" w:ascii="仿宋" w:eastAsia="仿宋" w:cs="仿宋"/>
          <w:b/>
          <w:snapToGrid w:val="0"/>
          <w:sz w:val="28"/>
          <w:szCs w:val="28"/>
        </w:rPr>
        <w:t>4</w:t>
      </w:r>
      <w:r>
        <w:rPr>
          <w:rFonts w:hint="eastAsia" w:ascii="仿宋" w:eastAsia="仿宋" w:cs="仿宋"/>
          <w:b/>
          <w:snapToGrid w:val="0"/>
          <w:sz w:val="28"/>
          <w:szCs w:val="28"/>
          <w:lang w:eastAsia="zh-CN"/>
        </w:rPr>
        <w:t>、</w:t>
      </w:r>
      <w:r>
        <w:rPr>
          <w:rFonts w:hint="eastAsia" w:ascii="仿宋" w:eastAsia="仿宋" w:cs="仿宋"/>
          <w:b/>
          <w:snapToGrid w:val="0"/>
          <w:sz w:val="28"/>
          <w:szCs w:val="28"/>
        </w:rPr>
        <w:t>效益分析</w:t>
      </w:r>
      <w:bookmarkEnd w:id="123"/>
      <w:bookmarkEnd w:id="124"/>
      <w:bookmarkEnd w:id="125"/>
      <w:bookmarkEnd w:id="126"/>
      <w:bookmarkEnd w:id="127"/>
      <w:bookmarkEnd w:id="128"/>
      <w:bookmarkEnd w:id="129"/>
      <w:bookmarkEnd w:id="130"/>
      <w:bookmarkEnd w:id="131"/>
      <w:bookmarkEnd w:id="132"/>
      <w:bookmarkEnd w:id="133"/>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效益类指标主要社会效益、可持续影响、受益对象满意度3个指标考察社会效益、可持续影响和满意度情况。效益类指标权重30.00分，实际得分30.00分。指标得分情况如表4-4所示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二级指标</w:t>
            </w:r>
          </w:p>
        </w:tc>
        <w:tc>
          <w:tcPr>
            <w:tcW w:w="3109"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三级指标</w:t>
            </w:r>
          </w:p>
        </w:tc>
        <w:tc>
          <w:tcPr>
            <w:tcW w:w="842"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权重</w:t>
            </w:r>
          </w:p>
        </w:tc>
        <w:tc>
          <w:tcPr>
            <w:tcW w:w="1561"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w:t>
            </w:r>
          </w:p>
        </w:tc>
        <w:tc>
          <w:tcPr>
            <w:tcW w:w="1156"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D1社会效益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D2可持续影响</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D3满意度</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合 计</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bl>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lang w:val="en-US" w:eastAsia="zh-CN"/>
        </w:rPr>
        <w:t>（1）社会</w:t>
      </w:r>
      <w:r>
        <w:rPr>
          <w:rFonts w:hint="eastAsia" w:ascii="仿宋" w:eastAsia="仿宋" w:cs="仿宋"/>
          <w:snapToGrid w:val="0"/>
          <w:sz w:val="28"/>
          <w:szCs w:val="28"/>
        </w:rPr>
        <w:t>效益</w:t>
      </w:r>
    </w:p>
    <w:p>
      <w:pPr>
        <w:widowControl/>
        <w:spacing w:line="574" w:lineRule="exact"/>
        <w:ind w:firstLine="562" w:firstLineChars="200"/>
        <w:rPr>
          <w:rFonts w:hint="eastAsia" w:ascii="仿宋" w:eastAsia="仿宋" w:cs="仿宋"/>
          <w:snapToGrid w:val="0"/>
          <w:sz w:val="28"/>
          <w:szCs w:val="28"/>
          <w:lang w:eastAsia="zh-CN"/>
        </w:rPr>
      </w:pPr>
      <w:r>
        <w:rPr>
          <w:rFonts w:hint="eastAsia" w:ascii="仿宋" w:eastAsia="仿宋" w:cs="仿宋"/>
          <w:b/>
          <w:bCs w:val="0"/>
          <w:snapToGrid w:val="0"/>
          <w:sz w:val="28"/>
          <w:szCs w:val="28"/>
        </w:rPr>
        <w:t>D11</w:t>
      </w:r>
      <w:r>
        <w:rPr>
          <w:rFonts w:hint="eastAsia" w:ascii="仿宋" w:eastAsia="仿宋" w:cs="仿宋"/>
          <w:b/>
          <w:bCs w:val="0"/>
          <w:snapToGrid w:val="0"/>
          <w:sz w:val="28"/>
          <w:szCs w:val="28"/>
          <w:lang w:val="en-US" w:eastAsia="zh-CN"/>
        </w:rPr>
        <w:t>社会效益</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满分10.00分，得分10.00分。</w:t>
      </w:r>
      <w:r>
        <w:rPr>
          <w:rFonts w:hint="eastAsia" w:ascii="Times New Roman" w:hAnsi="Times New Roman" w:eastAsia="仿宋" w:cs="Times New Roman"/>
          <w:kern w:val="0"/>
          <w:sz w:val="28"/>
          <w:szCs w:val="28"/>
          <w:shd w:val="clear" w:color="auto" w:fill="FFFFFF"/>
          <w:lang w:val="en-US" w:eastAsia="zh-CN"/>
        </w:rPr>
        <w:t>项目实施后，能够有效促进涉及的机关办公条件改善，做好服务保障，机关办公效率有效提升，社会效益目标实现较好</w:t>
      </w:r>
      <w:r>
        <w:rPr>
          <w:rFonts w:hint="eastAsia" w:ascii="Times New Roman" w:hAnsi="Times New Roman" w:eastAsia="仿宋" w:cs="Times New Roman"/>
          <w:kern w:val="0"/>
          <w:sz w:val="28"/>
          <w:szCs w:val="24"/>
          <w:lang w:val="en-US" w:eastAsia="zh-CN" w:bidi="ar-SA"/>
        </w:rPr>
        <w:t>。根据评分标准，该项得满分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可持续影响</w:t>
      </w:r>
    </w:p>
    <w:p>
      <w:pPr>
        <w:widowControl/>
        <w:spacing w:line="574" w:lineRule="exact"/>
        <w:ind w:firstLine="562" w:firstLineChars="200"/>
        <w:rPr>
          <w:rFonts w:ascii="仿宋" w:eastAsia="仿宋" w:cs="仿宋"/>
          <w:b w:val="0"/>
          <w:bCs/>
          <w:snapToGrid w:val="0"/>
          <w:sz w:val="28"/>
          <w:szCs w:val="28"/>
          <w:lang w:val="en-US" w:eastAsia="zh-CN"/>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2</w:t>
      </w:r>
      <w:r>
        <w:rPr>
          <w:rFonts w:hint="eastAsia" w:ascii="仿宋" w:eastAsia="仿宋" w:cs="仿宋"/>
          <w:b/>
          <w:bCs w:val="0"/>
          <w:snapToGrid w:val="0"/>
          <w:sz w:val="28"/>
          <w:szCs w:val="28"/>
        </w:rPr>
        <w:t>1项目可持续性</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满分8.00分，得分8.00分。古县直属机关事务服务中心根据机关事务管理相关要求持续开展机关事务服务工作，项目具备可持续性；项目单位后续管理责任落实。根据评分标准，该项得满分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满意度</w:t>
      </w:r>
    </w:p>
    <w:p>
      <w:pPr>
        <w:widowControl/>
        <w:spacing w:line="574" w:lineRule="exact"/>
        <w:ind w:firstLine="562" w:firstLineChars="200"/>
        <w:rPr>
          <w:rFonts w:hint="eastAsia" w:ascii="Times New Roman" w:hAnsi="Times New Roman" w:eastAsia="仿宋" w:cs="Times New Roman"/>
          <w:color w:val="000000"/>
          <w:sz w:val="28"/>
          <w:szCs w:val="28"/>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3</w:t>
      </w:r>
      <w:r>
        <w:rPr>
          <w:rFonts w:hint="eastAsia" w:ascii="仿宋" w:eastAsia="仿宋" w:cs="仿宋"/>
          <w:b/>
          <w:bCs w:val="0"/>
          <w:snapToGrid w:val="0"/>
          <w:sz w:val="28"/>
          <w:szCs w:val="28"/>
        </w:rPr>
        <w:t>1受益对象满意度：</w:t>
      </w:r>
      <w:r>
        <w:rPr>
          <w:rFonts w:hint="eastAsia" w:ascii="Times New Roman" w:hAnsi="Times New Roman" w:eastAsia="仿宋" w:cs="Times New Roman"/>
          <w:kern w:val="0"/>
          <w:sz w:val="28"/>
          <w:szCs w:val="24"/>
          <w:lang w:val="en-US" w:eastAsia="zh-CN" w:bidi="ar-SA"/>
        </w:rPr>
        <w:t>满分12.00分，得分12.00分。旧县镇办公楼维修、政务中心大楼日常维护和农业农村局家具配置经费项目的受益对象满意度分别为：90.00%、93.60%、91.20%、93.40%、91.00%。整体满意度为91.84%。根据评分标准，该项得满分</w:t>
      </w:r>
      <w:r>
        <w:rPr>
          <w:rFonts w:hint="eastAsia" w:ascii="仿宋" w:eastAsia="仿宋" w:cs="仿宋"/>
          <w:b w:val="0"/>
          <w:bCs/>
          <w:snapToGrid w:val="0"/>
          <w:color w:val="000000"/>
          <w:sz w:val="28"/>
          <w:szCs w:val="28"/>
          <w:lang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4" w:name="_Toc514537344"/>
      <w:bookmarkStart w:id="135" w:name="_Toc3081"/>
      <w:r>
        <w:rPr>
          <w:rFonts w:hint="eastAsia" w:ascii="仿宋" w:eastAsia="仿宋" w:cs="Times New Roman"/>
          <w:b/>
          <w:bCs/>
          <w:sz w:val="32"/>
          <w:szCs w:val="32"/>
          <w:lang w:eastAsia="zh-CN"/>
        </w:rPr>
        <w:t>（二）总体得分情况</w:t>
      </w:r>
      <w:bookmarkEnd w:id="134"/>
      <w:bookmarkEnd w:id="135"/>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宋体" w:eastAsia="宋体"/>
          <w:b/>
          <w:snapToGrid w:val="0"/>
          <w:sz w:val="24"/>
        </w:rPr>
      </w:pPr>
      <w:bookmarkStart w:id="136" w:name="_Toc528603080"/>
      <w:bookmarkStart w:id="137" w:name="_Toc514537345"/>
      <w:r>
        <w:rPr>
          <w:rFonts w:hint="eastAsia" w:ascii="Times New Roman" w:hAnsi="Times New Roman" w:eastAsia="仿宋" w:cs="Times New Roman"/>
          <w:b/>
          <w:bCs/>
          <w:color w:val="000000"/>
          <w:kern w:val="0"/>
          <w:sz w:val="24"/>
          <w:szCs w:val="28"/>
        </w:rPr>
        <w:t>表4-5 一级指标得分情况</w:t>
      </w:r>
      <w:bookmarkEnd w:id="136"/>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14.00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22.00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 xml:space="preserve">100.00 </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lang w:val="en-US" w:eastAsia="zh-CN"/>
        </w:rPr>
      </w:pPr>
      <w:bookmarkStart w:id="138" w:name="_Toc31376"/>
      <w:r>
        <w:rPr>
          <w:rFonts w:hint="eastAsia" w:ascii="Times New Roman" w:hAnsi="Times New Roman" w:eastAsia="黑体" w:cs="Times New Roman"/>
          <w:bCs/>
          <w:kern w:val="44"/>
          <w:sz w:val="32"/>
          <w:szCs w:val="32"/>
        </w:rPr>
        <w:t>五、综合评价情况</w:t>
      </w:r>
      <w:bookmarkEnd w:id="137"/>
      <w:r>
        <w:rPr>
          <w:rFonts w:hint="eastAsia" w:ascii="Times New Roman" w:hAnsi="Times New Roman" w:eastAsia="黑体" w:cs="Times New Roman"/>
          <w:bCs/>
          <w:kern w:val="44"/>
          <w:sz w:val="32"/>
          <w:szCs w:val="32"/>
          <w:lang w:val="en-US" w:eastAsia="zh-CN"/>
        </w:rPr>
        <w:t>及结论</w:t>
      </w:r>
      <w:bookmarkEnd w:id="138"/>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9" w:name="_Toc20790"/>
      <w:bookmarkStart w:id="140" w:name="_Toc514537346"/>
      <w:r>
        <w:rPr>
          <w:rFonts w:hint="eastAsia" w:ascii="仿宋" w:eastAsia="仿宋" w:cs="Times New Roman"/>
          <w:b/>
          <w:bCs/>
          <w:sz w:val="32"/>
          <w:szCs w:val="32"/>
          <w:lang w:eastAsia="zh-CN"/>
        </w:rPr>
        <w:t>（一）评分结果</w:t>
      </w:r>
      <w:bookmarkEnd w:id="139"/>
      <w:bookmarkEnd w:id="140"/>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旧县镇办公楼维修、政务中心大楼日常维护和农业农村局家具配置经费项目支出绩效评价综合得分86.00分，评价等级为“良”</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1" w:name="_Toc514537347"/>
      <w:bookmarkStart w:id="142" w:name="_Toc22846"/>
      <w:r>
        <w:rPr>
          <w:rFonts w:hint="eastAsia" w:ascii="仿宋" w:eastAsia="仿宋" w:cs="Times New Roman"/>
          <w:b/>
          <w:bCs/>
          <w:sz w:val="32"/>
          <w:szCs w:val="32"/>
          <w:lang w:eastAsia="zh-CN"/>
        </w:rPr>
        <w:t>（二）主要结论</w:t>
      </w:r>
      <w:bookmarkEnd w:id="141"/>
      <w:bookmarkEnd w:id="142"/>
    </w:p>
    <w:p>
      <w:pPr>
        <w:widowControl/>
        <w:spacing w:line="574" w:lineRule="exact"/>
        <w:ind w:firstLine="560" w:firstLineChars="200"/>
        <w:rPr>
          <w:rFonts w:ascii="Times New Roman" w:hAnsi="Times New Roman" w:eastAsia="仿宋" w:cs="Times New Roman"/>
          <w:kern w:val="0"/>
          <w:sz w:val="28"/>
          <w:szCs w:val="24"/>
          <w:lang w:val="en-US" w:eastAsia="zh-CN" w:bidi="ar-SA"/>
        </w:rPr>
      </w:pPr>
      <w:bookmarkStart w:id="143"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项目按照规定的程序申请设立，旧县镇办公楼维修、政务中心大楼日常维护和农业农村局家具配置经费项目落实了党的十九大报告指出的绿色发展理念</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项目过程方面，预算资金到位率100.00%，资金使用合规，财务管理制度健全，预算执行率99.99%，但项目实施管理有待加强。</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2021年旧县镇办公楼维修、政务中心大楼日常维护和农业农村局家具配置经费项目涉及的开展旧县镇办公楼维修、政务中心大楼日常维护和农业农村局家具配置等子项目全部实施完成；但项目质量把控资料缺失。</w:t>
      </w:r>
    </w:p>
    <w:p>
      <w:pPr>
        <w:widowControl/>
        <w:spacing w:line="574" w:lineRule="exact"/>
        <w:ind w:firstLine="560" w:firstLineChars="200"/>
        <w:rPr>
          <w:rFonts w:asci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项目效益方面，项目社会效益良好，项目具备可持续性，受益对象满意度较高</w:t>
      </w:r>
      <w:r>
        <w:rPr>
          <w:rFonts w:hint="eastAsia" w:ascii="仿宋" w:eastAsia="仿宋" w:cs="仿宋"/>
          <w:snapToGrid w:val="0"/>
          <w:sz w:val="28"/>
          <w:szCs w:val="28"/>
          <w:lang w:val="en-US" w:eastAsia="zh-CN"/>
        </w:rPr>
        <w:t>。</w:t>
      </w:r>
    </w:p>
    <w:bookmarkEnd w:id="143"/>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44" w:name="_Toc514537349"/>
      <w:bookmarkStart w:id="145" w:name="_Toc1323"/>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44"/>
      <w:bookmarkEnd w:id="145"/>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46" w:name="_Toc15751"/>
      <w:bookmarkStart w:id="147" w:name="_Toc514537350"/>
      <w:bookmarkStart w:id="148" w:name="_Toc528680479"/>
      <w:bookmarkStart w:id="149" w:name="_Toc528680328"/>
      <w:bookmarkStart w:id="150" w:name="_Toc528684154"/>
      <w:bookmarkStart w:id="151" w:name="_Toc528603086"/>
      <w:r>
        <w:rPr>
          <w:rFonts w:hint="eastAsia" w:ascii="仿宋" w:eastAsia="仿宋" w:cs="仿宋"/>
          <w:b/>
          <w:bCs/>
          <w:sz w:val="28"/>
          <w:szCs w:val="28"/>
          <w:lang w:eastAsia="zh-CN"/>
        </w:rPr>
        <w:t>（一）存在的问题</w:t>
      </w:r>
      <w:bookmarkEnd w:id="146"/>
      <w:bookmarkEnd w:id="147"/>
      <w:bookmarkEnd w:id="148"/>
      <w:bookmarkEnd w:id="149"/>
      <w:bookmarkEnd w:id="150"/>
      <w:bookmarkEnd w:id="151"/>
    </w:p>
    <w:p>
      <w:pPr>
        <w:spacing w:line="574" w:lineRule="exact"/>
        <w:ind w:firstLine="562" w:firstLineChars="200"/>
        <w:rPr>
          <w:rFonts w:ascii="仿宋" w:eastAsia="仿宋" w:cs="仿宋"/>
          <w:b/>
          <w:bCs w:val="0"/>
          <w:snapToGrid w:val="0"/>
          <w:sz w:val="28"/>
          <w:szCs w:val="28"/>
          <w:lang w:val="en-US" w:eastAsia="zh-CN"/>
        </w:rPr>
      </w:pPr>
      <w:bookmarkStart w:id="152" w:name="_Toc514537351"/>
      <w:bookmarkStart w:id="153" w:name="_Toc528603089"/>
      <w:r>
        <w:rPr>
          <w:rFonts w:hint="eastAsia" w:ascii="仿宋" w:eastAsia="仿宋" w:cs="仿宋"/>
          <w:b/>
          <w:bCs w:val="0"/>
          <w:snapToGrid w:val="0"/>
          <w:sz w:val="28"/>
          <w:szCs w:val="28"/>
          <w:lang w:val="en-US" w:eastAsia="zh-CN"/>
        </w:rPr>
        <w:t>1、项目实施管理不到位，财务监控缺失。</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旧县镇办公楼维修、政务中心大楼日常维护和农业农村局家具配置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2、项目质量把控不足。</w:t>
      </w:r>
    </w:p>
    <w:p>
      <w:pPr>
        <w:spacing w:line="574" w:lineRule="exact"/>
        <w:ind w:left="0"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截止2021年12月31日，该项目已完成，但项目涉及的购置类、建设类等子项目检查验收不到位，实施单位相关检查验收资料无法提供，项目质量达标情况支撑依据不足。</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54" w:name="_Toc528680329"/>
      <w:bookmarkStart w:id="155" w:name="_Toc528680480"/>
      <w:bookmarkStart w:id="156" w:name="_Toc528684155"/>
      <w:bookmarkStart w:id="157" w:name="_Toc1914"/>
      <w:r>
        <w:rPr>
          <w:rFonts w:hint="eastAsia" w:ascii="仿宋" w:eastAsia="仿宋" w:cs="仿宋"/>
          <w:b/>
          <w:bCs/>
          <w:sz w:val="28"/>
          <w:szCs w:val="28"/>
          <w:lang w:eastAsia="zh-CN"/>
        </w:rPr>
        <w:t>（二）改进建议</w:t>
      </w:r>
      <w:bookmarkEnd w:id="152"/>
      <w:bookmarkEnd w:id="153"/>
      <w:bookmarkEnd w:id="154"/>
      <w:bookmarkEnd w:id="155"/>
      <w:bookmarkEnd w:id="156"/>
      <w:bookmarkEnd w:id="157"/>
    </w:p>
    <w:p>
      <w:pPr>
        <w:spacing w:line="574" w:lineRule="exact"/>
        <w:ind w:firstLine="562" w:firstLineChars="200"/>
        <w:rPr>
          <w:rFonts w:ascii="Times New Roman" w:hAnsi="Times New Roman" w:eastAsia="仿宋"/>
          <w:b w:val="0"/>
          <w:bCs/>
          <w:snapToGrid w:val="0"/>
          <w:sz w:val="28"/>
          <w:szCs w:val="32"/>
          <w:lang w:val="en-US" w:eastAsia="zh-CN"/>
        </w:rPr>
      </w:pPr>
      <w:bookmarkStart w:id="158" w:name="_Toc514537353"/>
      <w:r>
        <w:rPr>
          <w:rFonts w:hint="eastAsia" w:ascii="Times New Roman" w:hAnsi="Times New Roman" w:eastAsia="仿宋"/>
          <w:b/>
          <w:bCs w:val="0"/>
          <w:snapToGrid w:val="0"/>
          <w:sz w:val="28"/>
          <w:szCs w:val="32"/>
          <w:lang w:val="en-US" w:eastAsia="zh-CN"/>
        </w:rPr>
        <w:t>1、加强项目管理制度执行，加强项目财务监控落实。</w:t>
      </w:r>
    </w:p>
    <w:p>
      <w:pPr>
        <w:spacing w:line="574" w:lineRule="exact"/>
        <w:ind w:firstLine="560"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针对经费类项目涉及子项目多、经费种类多的特点，将购置类项目、建设类项目、其他项目进行分类管理，确保项目实施流程合规；（3）建议古县直属机关事务服务中心财务部门加强财务监控，针对经费类项目特点，适时开展财务检查、抽查，确保财政资金使用合法合规。</w:t>
      </w:r>
    </w:p>
    <w:p>
      <w:pPr>
        <w:spacing w:line="574" w:lineRule="exact"/>
        <w:ind w:firstLine="562" w:firstLineChars="200"/>
        <w:rPr>
          <w:rFonts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2、履行检查验收程序，确保项目质量可控。</w:t>
      </w:r>
    </w:p>
    <w:p>
      <w:pPr>
        <w:spacing w:line="574" w:lineRule="exact"/>
        <w:ind w:firstLine="560" w:firstLineChars="200"/>
        <w:rPr>
          <w:rFonts w:ascii="仿宋" w:eastAsia="仿宋" w:cs="仿宋"/>
          <w:b w:val="0"/>
          <w:bCs w:val="0"/>
          <w:snapToGrid w:val="0"/>
          <w:sz w:val="28"/>
          <w:szCs w:val="28"/>
          <w:lang w:val="en-US" w:eastAsia="zh-CN"/>
        </w:rPr>
      </w:pPr>
      <w:r>
        <w:rPr>
          <w:rFonts w:hint="eastAsia" w:ascii="仿宋" w:eastAsia="仿宋" w:cs="仿宋"/>
          <w:b w:val="0"/>
          <w:bCs w:val="0"/>
          <w:snapToGrid w:val="0"/>
          <w:sz w:val="28"/>
          <w:szCs w:val="28"/>
          <w:lang w:val="en-US" w:eastAsia="zh-CN"/>
        </w:rPr>
        <w:t>建议古县直属机关事务服务中心在项目完成后，对项目涉及的购置类、建设类等子项目履行检查验收程序，对于检查中发现的问题，及时要求服务方进行整改，确保项目质量达标。</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59" w:name="_Toc6717"/>
      <w:r>
        <w:rPr>
          <w:rFonts w:hint="eastAsia" w:ascii="Times New Roman" w:hAnsi="Times New Roman" w:eastAsia="黑体" w:cs="Times New Roman"/>
          <w:bCs/>
          <w:kern w:val="44"/>
          <w:sz w:val="32"/>
          <w:szCs w:val="32"/>
          <w:lang w:val="en-US" w:eastAsia="zh-CN"/>
        </w:rPr>
        <w:t>七、绩效评价结果应用建议</w:t>
      </w:r>
      <w:bookmarkEnd w:id="158"/>
      <w:bookmarkEnd w:id="159"/>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0" w:name="_Toc29457"/>
      <w:bookmarkStart w:id="161" w:name="_Toc521418325"/>
      <w:r>
        <w:rPr>
          <w:rFonts w:hint="eastAsia" w:ascii="Times New Roman" w:hAnsi="Times New Roman" w:eastAsia="仿宋" w:cs="Times New Roman"/>
          <w:b/>
          <w:bCs/>
          <w:kern w:val="2"/>
          <w:sz w:val="28"/>
          <w:szCs w:val="28"/>
          <w:lang w:val="en-US" w:eastAsia="zh-CN" w:bidi="ar-SA"/>
        </w:rPr>
        <w:t>（一）</w:t>
      </w:r>
      <w:bookmarkEnd w:id="160"/>
      <w:bookmarkEnd w:id="161"/>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2" w:name="_Toc521418326"/>
      <w:bookmarkStart w:id="163" w:name="_Toc517532006"/>
      <w:bookmarkStart w:id="164" w:name="_Toc19568"/>
      <w:r>
        <w:rPr>
          <w:rFonts w:hint="eastAsia" w:ascii="Times New Roman" w:hAnsi="Times New Roman" w:eastAsia="仿宋" w:cs="Times New Roman"/>
          <w:b/>
          <w:bCs/>
          <w:kern w:val="2"/>
          <w:sz w:val="28"/>
          <w:szCs w:val="28"/>
          <w:lang w:val="en-US" w:eastAsia="zh-CN" w:bidi="ar-SA"/>
        </w:rPr>
        <w:t>（二）充分利用绩效结果，</w:t>
      </w:r>
      <w:bookmarkEnd w:id="162"/>
      <w:bookmarkEnd w:id="163"/>
      <w:r>
        <w:rPr>
          <w:rFonts w:hint="eastAsia" w:ascii="Times New Roman" w:hAnsi="Times New Roman" w:eastAsia="仿宋" w:cs="Times New Roman"/>
          <w:b/>
          <w:bCs/>
          <w:kern w:val="2"/>
          <w:sz w:val="28"/>
          <w:szCs w:val="28"/>
          <w:lang w:val="en-US" w:eastAsia="zh-CN" w:bidi="ar-SA"/>
        </w:rPr>
        <w:t>落实问题整改机制。</w:t>
      </w:r>
      <w:bookmarkEnd w:id="164"/>
    </w:p>
    <w:p>
      <w:pPr>
        <w:spacing w:line="574" w:lineRule="exact"/>
        <w:ind w:firstLine="560" w:firstLineChars="200"/>
        <w:rPr>
          <w:rFonts w:ascii="黑体" w:eastAsia="黑体"/>
          <w:snapToGrid w:val="0"/>
          <w:sz w:val="32"/>
          <w:szCs w:val="32"/>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65" w:name="_Toc514537354"/>
      <w:r>
        <w:rPr>
          <w:rFonts w:hint="eastAsia" w:ascii="Times New Roman" w:hAnsi="Times New Roman" w:eastAsia="仿宋" w:cs="Times New Roman"/>
          <w:bCs w:val="0"/>
          <w:kern w:val="2"/>
          <w:sz w:val="28"/>
          <w:szCs w:val="28"/>
          <w:lang w:val="en-US" w:eastAsia="zh-CN" w:bidi="ar-SA"/>
        </w:rPr>
        <w:t>。</w:t>
      </w:r>
      <w:r>
        <w:rPr>
          <w:rFonts w:hint="eastAsia" w:ascii="仿宋_GB2312" w:eastAsia="仿宋_GB2312" w:cs="仿宋_GB2312"/>
          <w:b/>
          <w:sz w:val="32"/>
          <w:szCs w:val="32"/>
        </w:rPr>
        <w:t xml:space="preserve">    </w:t>
      </w:r>
    </w:p>
    <w:p>
      <w:pPr>
        <w:widowControl/>
        <w:spacing w:line="574" w:lineRule="exact"/>
        <w:jc w:val="left"/>
        <w:outlineLvl w:val="0"/>
        <w:rPr>
          <w:rFonts w:ascii="黑体" w:eastAsia="黑体"/>
          <w:snapToGrid w:val="0"/>
          <w:sz w:val="32"/>
          <w:szCs w:val="32"/>
        </w:rPr>
      </w:pPr>
      <w:bookmarkStart w:id="166" w:name="_Toc3887"/>
      <w:r>
        <w:rPr>
          <w:rFonts w:ascii="黑体" w:eastAsia="黑体"/>
          <w:snapToGrid w:val="0"/>
          <w:sz w:val="32"/>
          <w:szCs w:val="32"/>
        </w:rPr>
        <w:t>附件</w:t>
      </w:r>
      <w:r>
        <w:rPr>
          <w:rFonts w:hint="eastAsia" w:ascii="黑体" w:eastAsia="黑体"/>
          <w:snapToGrid w:val="0"/>
          <w:sz w:val="32"/>
          <w:szCs w:val="32"/>
        </w:rPr>
        <w:t>1：评价指标体系</w:t>
      </w:r>
      <w:bookmarkEnd w:id="16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358"/>
        <w:gridCol w:w="633"/>
        <w:gridCol w:w="534"/>
        <w:gridCol w:w="133"/>
        <w:gridCol w:w="168"/>
        <w:gridCol w:w="6081"/>
        <w:gridCol w:w="6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tblHead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noWrap/>
          </w:tcPr>
          <w:p>
            <w:pPr>
              <w:widowControl/>
              <w:spacing w:before="94" w:beforeLines="30" w:after="94" w:afterLines="30" w:line="400" w:lineRule="exact"/>
              <w:jc w:val="center"/>
              <w:textAlignment w:val="center"/>
              <w:rPr>
                <w:rFonts w:ascii="Times New Roman" w:hAnsi="Times New Roman" w:eastAsia="仿宋" w:cs="Times New Roman"/>
                <w:b/>
                <w:color w:val="000000"/>
                <w:sz w:val="24"/>
                <w:szCs w:val="24"/>
                <w:highlight w:val="none"/>
              </w:rPr>
            </w:pPr>
            <w:bookmarkStart w:id="167"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5" w:hRule="atLeast"/>
          <w:tblHeader/>
        </w:trPr>
        <w:tc>
          <w:tcPr>
            <w:tcW w:w="42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一级指标</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二级指标</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三级指标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权重</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目标值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指标解释</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决策（20）</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A1项目立项（6）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A11项目立项充分性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充分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项目立项是否符合法律法规、相关政策、发展规划以及部门职责，用以反映和考核项目立项依据情况。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A12立项依据规范性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规范</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项目申请、设立过程是否符合相关要求，用以反映和考核项目立项的规范情况。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①项目是否按照规定的程序申请设立；②审批文件、材料是否符合相关要求；③事前是否已经过必要的可行性研究、专家论证、风险评估、绩效评估、集体决策</w:t>
            </w:r>
            <w:r>
              <w:rPr>
                <w:rFonts w:hint="eastAsia" w:ascii="宋体" w:eastAsia="宋体" w:cs="宋体"/>
                <w:color w:val="000000"/>
                <w:kern w:val="0"/>
                <w:sz w:val="24"/>
                <w:szCs w:val="24"/>
                <w:highlight w:val="none"/>
              </w:rPr>
              <w:t>。</w:t>
            </w:r>
            <w:r>
              <w:rPr>
                <w:rFonts w:hint="eastAsia" w:ascii="Times New Roman" w:hAnsi="Times New Roman" w:eastAsia="仿宋" w:cs="Times New Roman"/>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A2绩效目标（8）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21</w:t>
            </w:r>
            <w:r>
              <w:rPr>
                <w:rFonts w:ascii="Times New Roman" w:hAnsi="Times New Roman" w:eastAsia="仿宋" w:cs="Times New Roman"/>
                <w:color w:val="000000"/>
                <w:kern w:val="0"/>
                <w:sz w:val="24"/>
                <w:szCs w:val="24"/>
                <w:highlight w:val="none"/>
              </w:rPr>
              <w:t>绩效目标设置合理性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项目所设定的绩效目标是否依据充分，是否符合客观实际，用以反映和考核项目绩效目标与项目实施的相符情况。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bCs/>
                <w:color w:val="000000"/>
                <w:kern w:val="0"/>
                <w:sz w:val="24"/>
                <w:szCs w:val="24"/>
                <w:highlight w:val="none"/>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22</w:t>
            </w:r>
            <w:r>
              <w:rPr>
                <w:rFonts w:ascii="Times New Roman" w:hAnsi="Times New Roman" w:eastAsia="仿宋" w:cs="Times New Roman"/>
                <w:color w:val="000000"/>
                <w:kern w:val="0"/>
                <w:sz w:val="24"/>
                <w:szCs w:val="24"/>
                <w:highlight w:val="none"/>
              </w:rPr>
              <w:t>绩效</w:t>
            </w:r>
            <w:r>
              <w:rPr>
                <w:rFonts w:hint="eastAsia" w:ascii="Times New Roman" w:hAnsi="Times New Roman" w:eastAsia="仿宋" w:cs="Times New Roman"/>
                <w:color w:val="000000"/>
                <w:kern w:val="0"/>
                <w:sz w:val="24"/>
                <w:szCs w:val="24"/>
                <w:highlight w:val="none"/>
              </w:rPr>
              <w:t>指标</w:t>
            </w:r>
            <w:r>
              <w:rPr>
                <w:rFonts w:ascii="Times New Roman" w:hAnsi="Times New Roman" w:eastAsia="仿宋" w:cs="Times New Roman"/>
                <w:color w:val="000000"/>
                <w:kern w:val="0"/>
                <w:sz w:val="24"/>
                <w:szCs w:val="24"/>
                <w:highlight w:val="none"/>
              </w:rPr>
              <w:t>明确性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明确</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kern w:val="0"/>
                <w:sz w:val="24"/>
                <w:szCs w:val="24"/>
                <w:highlight w:val="none"/>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A3资金投入（6）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1</w:t>
            </w:r>
            <w:r>
              <w:rPr>
                <w:rFonts w:hint="eastAsia" w:ascii="Times New Roman" w:hAnsi="Times New Roman" w:eastAsia="仿宋" w:cs="Times New Roman"/>
                <w:color w:val="000000"/>
                <w:kern w:val="0"/>
                <w:sz w:val="24"/>
                <w:szCs w:val="24"/>
                <w:highlight w:val="none"/>
              </w:rPr>
              <w:t>预算编制科学性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科学</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2</w:t>
            </w:r>
            <w:r>
              <w:rPr>
                <w:rFonts w:hint="eastAsia" w:ascii="Times New Roman" w:hAnsi="Times New Roman" w:eastAsia="仿宋" w:cs="Times New Roman"/>
                <w:color w:val="000000"/>
                <w:kern w:val="0"/>
                <w:sz w:val="24"/>
                <w:szCs w:val="24"/>
                <w:highlight w:val="none"/>
              </w:rPr>
              <w:t>资金分配合理性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B过程（20分）</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B1资金管理（12分）</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B11资金到位率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rPr>
              <w:t>②资金到位率=（实际到位资金/预算资金）×100%；③实际到位资金：一定时期（本年度或项目期）内实际落实到具体项目的资金；④预算资金：一定时期（本年度或项目期内预算安排到具体项目的资金。</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B12</w:t>
            </w:r>
            <w:r>
              <w:rPr>
                <w:rFonts w:hint="eastAsia" w:ascii="Times New Roman" w:hAnsi="Times New Roman" w:eastAsia="仿宋" w:cs="Times New Roman"/>
                <w:color w:val="000000"/>
                <w:kern w:val="0"/>
                <w:sz w:val="24"/>
                <w:szCs w:val="24"/>
                <w:highlight w:val="none"/>
              </w:rPr>
              <w:t>预算执行率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①项目预算资金是否按照计划执行，用以反映或考核项目预算执行情况。②预算执行率=（实际支出资金/实际到位资金）×100%；③实际支出资金：一定时期（本年度或项目期）内项目实际拨付的资金。</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rPr>
              <w:t>资金使用合规性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项目资金使用是否符合相关的财务管理制度规定，用以反映和考核项目资金的规范运行情况。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是否符合国家财经法规和财务管理制度以及有关专项资金管理办法的规定；</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资金的拨付是否有完整的审批程序和手续；</w:t>
            </w:r>
            <w:r>
              <w:rPr>
                <w:rFonts w:hint="eastAsia" w:ascii="宋体" w:eastAsia="宋体" w:cs="宋体"/>
                <w:color w:val="000000"/>
                <w:kern w:val="0"/>
                <w:sz w:val="24"/>
                <w:szCs w:val="24"/>
                <w:highlight w:val="none"/>
              </w:rPr>
              <w:t>③</w:t>
            </w:r>
            <w:r>
              <w:rPr>
                <w:rFonts w:ascii="Times New Roman" w:hAnsi="Times New Roman" w:eastAsia="仿宋" w:cs="Times New Roman"/>
                <w:color w:val="000000"/>
                <w:kern w:val="0"/>
                <w:sz w:val="24"/>
                <w:szCs w:val="24"/>
                <w:highlight w:val="none"/>
              </w:rPr>
              <w:t>是否符合项目预算批复或文件规定的用途；</w:t>
            </w:r>
            <w:r>
              <w:rPr>
                <w:rFonts w:hint="eastAsia" w:ascii="宋体" w:eastAsia="宋体" w:cs="宋体"/>
                <w:color w:val="000000"/>
                <w:kern w:val="0"/>
                <w:sz w:val="24"/>
                <w:szCs w:val="24"/>
                <w:highlight w:val="none"/>
              </w:rPr>
              <w:t>④</w:t>
            </w:r>
            <w:r>
              <w:rPr>
                <w:rFonts w:ascii="Times New Roman" w:hAnsi="Times New Roman" w:eastAsia="仿宋" w:cs="Times New Roman"/>
                <w:color w:val="000000"/>
                <w:kern w:val="0"/>
                <w:sz w:val="24"/>
                <w:szCs w:val="24"/>
                <w:highlight w:val="none"/>
              </w:rPr>
              <w:t>是否存在截留、挤占、挪用、虚列支出等情况</w:t>
            </w:r>
            <w:r>
              <w:rPr>
                <w:rFonts w:hint="eastAsia" w:ascii="Times New Roman" w:hAnsi="Times New Roman" w:eastAsia="仿宋" w:cs="Times New Roman"/>
                <w:color w:val="000000"/>
                <w:kern w:val="0"/>
                <w:sz w:val="24"/>
                <w:szCs w:val="24"/>
                <w:highlight w:val="none"/>
              </w:rPr>
              <w:t>。</w:t>
            </w:r>
            <w:r>
              <w:rPr>
                <w:rFonts w:ascii="Times New Roman" w:hAnsi="Times New Roman" w:eastAsia="仿宋" w:cs="Times New Roman"/>
                <w:color w:val="000000"/>
                <w:kern w:val="0"/>
                <w:sz w:val="24"/>
                <w:szCs w:val="24"/>
                <w:highlight w:val="none"/>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B2组织实施（8）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B21管理制度健全性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健全</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B22制度执行有效性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6</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有效</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项目实施是否符合相关管理规定，用以反映和考核相关管理制度的有效执行情况。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rPr>
              <w:t>存在一项未按规定执行的，扣权重分的</w:t>
            </w:r>
            <w:r>
              <w:rPr>
                <w:rFonts w:hint="eastAsia" w:ascii="Times New Roman" w:hAnsi="Times New Roman" w:eastAsia="仿宋" w:cs="Times New Roman"/>
                <w:color w:val="000000"/>
                <w:kern w:val="0"/>
                <w:sz w:val="24"/>
                <w:szCs w:val="24"/>
                <w:highlight w:val="none"/>
              </w:rPr>
              <w:t>25</w:t>
            </w:r>
            <w:r>
              <w:rPr>
                <w:rFonts w:ascii="Times New Roman" w:hAnsi="Times New Roman" w:eastAsia="仿宋" w:cs="Times New Roman"/>
                <w:color w:val="000000"/>
                <w:kern w:val="0"/>
                <w:sz w:val="24"/>
                <w:szCs w:val="24"/>
                <w:highlight w:val="none"/>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子项目全部完成，得满分；出现1个子项目未完成未建成扣20%权重分，扣完为止</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考核项目的质量是否达到国家、省市级</w:t>
            </w:r>
            <w:r>
              <w:rPr>
                <w:rFonts w:hint="eastAsia" w:ascii="Times New Roman" w:hAnsi="Times New Roman" w:eastAsia="仿宋" w:cs="Times New Roman"/>
                <w:color w:val="000000"/>
                <w:kern w:val="0"/>
                <w:sz w:val="24"/>
                <w:szCs w:val="24"/>
                <w:highlight w:val="none"/>
                <w:lang w:val="en-US" w:eastAsia="zh-CN"/>
              </w:rPr>
              <w:t>要求</w:t>
            </w:r>
            <w:r>
              <w:rPr>
                <w:rFonts w:ascii="Times New Roman" w:hAnsi="Times New Roman" w:eastAsia="仿宋" w:cs="Times New Roman"/>
                <w:color w:val="000000"/>
                <w:kern w:val="0"/>
                <w:sz w:val="24"/>
                <w:szCs w:val="24"/>
                <w:highlight w:val="none"/>
              </w:rPr>
              <w:t>、</w:t>
            </w:r>
            <w:r>
              <w:rPr>
                <w:rFonts w:hint="eastAsia" w:ascii="Times New Roman" w:hAnsi="Times New Roman" w:eastAsia="仿宋" w:cs="Times New Roman"/>
                <w:color w:val="000000"/>
                <w:kern w:val="0"/>
                <w:sz w:val="24"/>
                <w:szCs w:val="24"/>
                <w:highlight w:val="none"/>
                <w:lang w:val="en-US" w:eastAsia="zh-CN"/>
              </w:rPr>
              <w:t>是否符合</w:t>
            </w:r>
            <w:r>
              <w:rPr>
                <w:rFonts w:ascii="Times New Roman" w:hAnsi="Times New Roman" w:eastAsia="仿宋" w:cs="Times New Roman"/>
                <w:color w:val="000000"/>
                <w:kern w:val="0"/>
                <w:sz w:val="24"/>
                <w:szCs w:val="24"/>
                <w:highlight w:val="none"/>
              </w:rPr>
              <w:t>合同规定</w:t>
            </w:r>
            <w:r>
              <w:rPr>
                <w:rFonts w:hint="eastAsia" w:ascii="Times New Roman" w:hAnsi="Times New Roman" w:eastAsia="仿宋" w:cs="Times New Roman"/>
                <w:color w:val="000000"/>
                <w:kern w:val="0"/>
                <w:sz w:val="24"/>
                <w:szCs w:val="24"/>
                <w:highlight w:val="none"/>
              </w:rPr>
              <w:t>。</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宋体" w:hAnsi="宋体" w:eastAsia="仿宋" w:cs="宋体"/>
                <w:color w:val="000000"/>
                <w:kern w:val="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项目全部验收质量达标得满分；</w:t>
            </w:r>
            <w:r>
              <w:rPr>
                <w:rFonts w:hint="eastAsia" w:ascii="宋体" w:eastAsia="宋体" w:cs="宋体"/>
                <w:color w:val="000000"/>
                <w:kern w:val="0"/>
                <w:sz w:val="24"/>
                <w:szCs w:val="24"/>
                <w:highlight w:val="none"/>
              </w:rPr>
              <w:t>②</w:t>
            </w:r>
            <w:r>
              <w:rPr>
                <w:rFonts w:hint="eastAsia" w:ascii="Times New Roman" w:hAnsi="Times New Roman" w:eastAsia="仿宋" w:cs="Times New Roman"/>
                <w:color w:val="000000"/>
                <w:kern w:val="0"/>
                <w:sz w:val="24"/>
                <w:szCs w:val="24"/>
                <w:highlight w:val="none"/>
                <w:lang w:val="en-US" w:eastAsia="zh-CN"/>
              </w:rPr>
              <w:t>出现一项质量不合格或者未验收的扣2分</w:t>
            </w:r>
            <w:r>
              <w:rPr>
                <w:rFonts w:hint="eastAsia" w:ascii="Times New Roman" w:hAnsi="Times New Roman" w:eastAsia="仿宋" w:cs="Times New Roman"/>
                <w:color w:val="000000"/>
                <w:sz w:val="24"/>
                <w:szCs w:val="24"/>
                <w:highlight w:val="none"/>
                <w:lang w:eastAsia="zh-CN"/>
              </w:rPr>
              <w:t>，</w:t>
            </w:r>
            <w:r>
              <w:rPr>
                <w:rFonts w:hint="eastAsia" w:ascii="Times New Roman" w:hAnsi="Times New Roman" w:eastAsia="仿宋" w:cs="Times New Roman"/>
                <w:color w:val="000000"/>
                <w:sz w:val="24"/>
                <w:szCs w:val="24"/>
                <w:highlight w:val="none"/>
                <w:lang w:val="en-US" w:eastAsia="zh-CN"/>
              </w:rPr>
              <w:t>扣完为止</w:t>
            </w:r>
            <w:r>
              <w:rPr>
                <w:rFonts w:hint="eastAsia"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w:t>
            </w:r>
            <w:r>
              <w:rPr>
                <w:rFonts w:hint="eastAsia" w:ascii="Times New Roman" w:hAnsi="Times New Roman" w:eastAsia="仿宋" w:cs="Times New Roman"/>
                <w:color w:val="000000"/>
                <w:sz w:val="24"/>
                <w:szCs w:val="24"/>
                <w:highlight w:val="none"/>
                <w:lang w:val="en-US" w:eastAsia="zh-CN"/>
              </w:rPr>
              <w:t>成</w:t>
            </w:r>
            <w:r>
              <w:rPr>
                <w:rFonts w:ascii="Times New Roman" w:hAnsi="Times New Roman" w:eastAsia="仿宋" w:cs="Times New Roman"/>
                <w:color w:val="000000"/>
                <w:sz w:val="24"/>
                <w:szCs w:val="24"/>
                <w:highlight w:val="none"/>
              </w:rPr>
              <w:t>及时性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项目完成及时率=（计划工期/实际工期）*100%；当完成及时率≥100%时得满分，低于60%时得0分，其余情况的实际得分=完成及时率*</w:t>
            </w:r>
            <w:r>
              <w:rPr>
                <w:rFonts w:hint="eastAsia" w:ascii="Times New Roman" w:hAnsi="Times New Roman" w:eastAsia="仿宋" w:cs="Times New Roman"/>
                <w:kern w:val="0"/>
                <w:sz w:val="24"/>
                <w:szCs w:val="24"/>
                <w:highlight w:val="none"/>
                <w:lang w:val="en-US" w:eastAsia="zh-CN"/>
              </w:rPr>
              <w:t>4</w:t>
            </w:r>
            <w:r>
              <w:rPr>
                <w:rFonts w:ascii="Times New Roman" w:hAnsi="Times New Roman" w:eastAsia="仿宋" w:cs="Times New Roman"/>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分析评价项目的成本是否控制在预算内，成本节约率=（总费用预算支出额-费用实际支出额）/总费用预算支出额*100%。</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D1社会效益（</w:t>
            </w:r>
            <w:r>
              <w:rPr>
                <w:rFonts w:hint="eastAsia" w:ascii="Times New Roman" w:hAnsi="Times New Roman" w:eastAsia="仿宋" w:cs="Times New Roman"/>
                <w:color w:val="auto"/>
                <w:sz w:val="24"/>
                <w:szCs w:val="24"/>
                <w:highlight w:val="none"/>
                <w:lang w:val="en-US" w:eastAsia="zh-CN"/>
              </w:rPr>
              <w:t>10</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10</w:t>
            </w:r>
            <w:r>
              <w:rPr>
                <w:rFonts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提升</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评价项目的</w:t>
            </w:r>
            <w:r>
              <w:rPr>
                <w:rFonts w:hint="eastAsia" w:ascii="Times New Roman" w:hAnsi="Times New Roman" w:eastAsia="仿宋" w:cs="Times New Roman"/>
                <w:color w:val="000000"/>
                <w:sz w:val="24"/>
                <w:szCs w:val="24"/>
                <w:highlight w:val="none"/>
                <w:lang w:val="en-US" w:eastAsia="zh-CN"/>
              </w:rPr>
              <w:t>社会效益</w:t>
            </w:r>
            <w:r>
              <w:rPr>
                <w:rFonts w:hint="eastAsia" w:ascii="Times New Roman" w:hAnsi="Times New Roman" w:eastAsia="仿宋" w:cs="Times New Roman"/>
                <w:color w:val="000000"/>
                <w:sz w:val="24"/>
                <w:szCs w:val="24"/>
                <w:highlight w:val="none"/>
              </w:rPr>
              <w:t>。</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bCs/>
                <w:sz w:val="28"/>
                <w:szCs w:val="28"/>
                <w:highlight w:val="none"/>
              </w:rPr>
              <w:t>可持续</w:t>
            </w:r>
            <w:r>
              <w:rPr>
                <w:rFonts w:ascii="Times New Roman" w:hAnsi="Times New Roman" w:eastAsia="仿宋" w:cs="Times New Roman"/>
                <w:bCs/>
                <w:sz w:val="28"/>
                <w:szCs w:val="28"/>
                <w:highlight w:val="none"/>
              </w:rPr>
              <w:t>影响</w:t>
            </w:r>
            <w:r>
              <w:rPr>
                <w:rFonts w:hint="eastAsia" w:ascii="Times New Roman" w:hAnsi="Times New Roman" w:eastAsia="仿宋" w:cs="Times New Roman"/>
                <w:color w:val="000000"/>
                <w:sz w:val="24"/>
                <w:szCs w:val="24"/>
                <w:highlight w:val="none"/>
              </w:rPr>
              <w:t>（</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8</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可持续</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cs="宋体"/>
                <w:sz w:val="24"/>
                <w:szCs w:val="24"/>
                <w:highlight w:val="none"/>
              </w:rPr>
              <w:t>评价项目完成后可持续提供服务的保障情况。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①项目单位后续管护制度健全</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r>
              <w:rPr>
                <w:rFonts w:hint="eastAsia" w:ascii="Times New Roman" w:hAnsi="Times New Roman" w:eastAsia="仿宋" w:cs="Times New Roman"/>
                <w:sz w:val="24"/>
                <w:szCs w:val="24"/>
                <w:highlight w:val="none"/>
                <w:lang w:eastAsia="zh-CN"/>
              </w:rPr>
              <w:t>；</w:t>
            </w:r>
          </w:p>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②项目单位后续管护责任落实，</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ascii="Times New Roman" w:hAnsi="Times New Roman" w:eastAsia="仿宋" w:cs="Times New Roman"/>
                <w:bCs/>
                <w:sz w:val="28"/>
                <w:szCs w:val="28"/>
                <w:highlight w:val="none"/>
              </w:rPr>
              <w:t>服务对象满意度</w:t>
            </w:r>
            <w:r>
              <w:rPr>
                <w:rFonts w:hint="eastAsia" w:ascii="Times New Roman" w:hAnsi="Times New Roman" w:eastAsia="仿宋" w:cs="Times New Roman"/>
                <w:bCs/>
                <w:sz w:val="28"/>
                <w:szCs w:val="28"/>
                <w:highlight w:val="none"/>
              </w:rPr>
              <w:t>（</w:t>
            </w:r>
            <w:r>
              <w:rPr>
                <w:rFonts w:hint="eastAsia" w:ascii="Times New Roman" w:hAnsi="Times New Roman" w:eastAsia="仿宋" w:cs="Times New Roman"/>
                <w:bCs/>
                <w:sz w:val="28"/>
                <w:szCs w:val="28"/>
                <w:highlight w:val="none"/>
                <w:lang w:val="en-US" w:eastAsia="zh-CN"/>
              </w:rPr>
              <w:t>12</w:t>
            </w:r>
            <w:r>
              <w:rPr>
                <w:rFonts w:hint="eastAsia" w:ascii="Times New Roman" w:hAnsi="Times New Roman" w:eastAsia="仿宋" w:cs="Times New Roman"/>
                <w:bCs/>
                <w:sz w:val="28"/>
                <w:szCs w:val="28"/>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12</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w:t>
            </w:r>
            <w:r>
              <w:rPr>
                <w:rFonts w:ascii="Times New Roman" w:hAnsi="Times New Roman" w:eastAsia="仿宋" w:cs="Times New Roman"/>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sz w:val="24"/>
                <w:highlight w:val="none"/>
              </w:rPr>
              <w:t>评价受益对象对项目满意度的情况。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大于等于90%得满分，&lt;60%，不得分；60%（含）-90%之间按比例得分。</w:t>
            </w:r>
          </w:p>
        </w:tc>
      </w:tr>
    </w:tbl>
    <w:p>
      <w:pPr>
        <w:widowControl/>
        <w:spacing w:line="574" w:lineRule="exact"/>
        <w:jc w:val="left"/>
        <w:outlineLvl w:val="0"/>
        <w:rPr>
          <w:rFonts w:ascii="黑体" w:eastAsia="黑体"/>
          <w:snapToGrid w:val="0"/>
          <w:sz w:val="32"/>
          <w:szCs w:val="32"/>
        </w:rPr>
        <w:sectPr>
          <w:headerReference r:id="rId8" w:type="default"/>
          <w:pgSz w:w="16838" w:h="11906" w:orient="landscape"/>
          <w:pgMar w:top="1797" w:right="1440" w:bottom="1797" w:left="1440" w:header="851" w:footer="992" w:gutter="0"/>
          <w:cols w:space="720" w:num="1"/>
          <w:docGrid w:type="lines" w:linePitch="312" w:charSpace="0"/>
        </w:sectPr>
      </w:pPr>
    </w:p>
    <w:p>
      <w:pPr>
        <w:widowControl/>
        <w:spacing w:line="574" w:lineRule="exact"/>
        <w:jc w:val="left"/>
        <w:outlineLvl w:val="0"/>
        <w:rPr>
          <w:rFonts w:ascii="黑体" w:eastAsia="黑体"/>
          <w:snapToGrid w:val="0"/>
          <w:sz w:val="32"/>
          <w:szCs w:val="32"/>
        </w:rPr>
      </w:pPr>
      <w:bookmarkStart w:id="168" w:name="_Toc11022"/>
      <w:r>
        <w:rPr>
          <w:rFonts w:hint="eastAsia" w:ascii="黑体" w:eastAsia="黑体"/>
          <w:snapToGrid w:val="0"/>
          <w:sz w:val="32"/>
          <w:szCs w:val="32"/>
        </w:rPr>
        <w:t>附件2：问卷调查报告</w:t>
      </w:r>
      <w:bookmarkEnd w:id="165"/>
      <w:bookmarkEnd w:id="168"/>
      <w:bookmarkStart w:id="169" w:name="_Toc528603095"/>
      <w:bookmarkStart w:id="170" w:name="_Toc515811021"/>
      <w:bookmarkStart w:id="171" w:name="_Toc528680487"/>
      <w:bookmarkStart w:id="172" w:name="_Toc516473336"/>
      <w:bookmarkStart w:id="173" w:name="_Toc528680333"/>
      <w:bookmarkStart w:id="174" w:name="_Toc515811967"/>
      <w:bookmarkStart w:id="175" w:name="_Toc517361502"/>
      <w:bookmarkStart w:id="176" w:name="_Toc516554801"/>
    </w:p>
    <w:bookmarkEnd w:id="169"/>
    <w:bookmarkEnd w:id="170"/>
    <w:bookmarkEnd w:id="171"/>
    <w:bookmarkEnd w:id="172"/>
    <w:bookmarkEnd w:id="173"/>
    <w:bookmarkEnd w:id="174"/>
    <w:bookmarkEnd w:id="175"/>
    <w:bookmarkEnd w:id="176"/>
    <w:p>
      <w:pPr>
        <w:spacing w:line="574" w:lineRule="exact"/>
        <w:jc w:val="center"/>
        <w:rPr>
          <w:rFonts w:ascii="Times New Roman" w:hAnsi="Times New Roman"/>
          <w:b/>
          <w:snapToGrid w:val="0"/>
          <w:sz w:val="44"/>
          <w:szCs w:val="44"/>
        </w:rPr>
      </w:pPr>
      <w:r>
        <w:rPr>
          <w:rFonts w:hint="eastAsia" w:ascii="仿宋" w:eastAsia="仿宋" w:cs="仿宋"/>
          <w:b/>
          <w:bCs/>
          <w:snapToGrid w:val="0"/>
          <w:sz w:val="32"/>
          <w:szCs w:val="32"/>
          <w:lang w:eastAsia="zh-CN"/>
        </w:rPr>
        <w:t>旧县镇办公楼维修、政务中心大楼日常维护和农业农村局家具配置经费项目经费</w:t>
      </w:r>
      <w:r>
        <w:rPr>
          <w:rFonts w:hint="eastAsia" w:ascii="仿宋" w:eastAsia="仿宋" w:cs="仿宋"/>
          <w:b/>
          <w:bCs/>
          <w:snapToGrid w:val="0"/>
          <w:sz w:val="32"/>
          <w:szCs w:val="32"/>
        </w:rPr>
        <w:t>绩效评价满意度调查报告</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一、调查目的</w:t>
      </w:r>
    </w:p>
    <w:p>
      <w:pPr>
        <w:spacing w:line="574" w:lineRule="exact"/>
        <w:ind w:firstLine="560" w:firstLineChars="200"/>
        <w:rPr>
          <w:rFonts w:hint="eastAsia" w:ascii="仿宋" w:eastAsia="仿宋" w:cs="仿宋"/>
          <w:sz w:val="28"/>
          <w:szCs w:val="28"/>
        </w:rPr>
      </w:pPr>
      <w:bookmarkStart w:id="177" w:name="_Hlk28700570"/>
      <w:r>
        <w:rPr>
          <w:rFonts w:hint="eastAsia" w:ascii="仿宋" w:eastAsia="仿宋" w:cs="仿宋"/>
          <w:sz w:val="28"/>
          <w:szCs w:val="28"/>
        </w:rPr>
        <w:t>相关方满意度调查作为绩效评价中非常重要的环节，为了解</w:t>
      </w:r>
      <w:r>
        <w:rPr>
          <w:rFonts w:hint="eastAsia" w:ascii="仿宋" w:eastAsia="仿宋" w:cs="仿宋"/>
          <w:sz w:val="28"/>
          <w:szCs w:val="28"/>
          <w:lang w:eastAsia="zh-CN"/>
        </w:rPr>
        <w:t>旧县镇办公楼维修、政务中心大楼日常维护和农业农村局家具配置经费项目经费</w:t>
      </w:r>
      <w:r>
        <w:rPr>
          <w:rFonts w:hint="eastAsia" w:ascii="仿宋" w:eastAsia="仿宋" w:cs="仿宋"/>
          <w:sz w:val="28"/>
          <w:szCs w:val="28"/>
        </w:rPr>
        <w:t>的使用管理情况和项目实施情况，准确掌握满意度数据，通过向</w:t>
      </w:r>
      <w:r>
        <w:rPr>
          <w:rFonts w:hint="eastAsia" w:ascii="仿宋" w:eastAsia="仿宋" w:cs="仿宋"/>
          <w:sz w:val="28"/>
          <w:szCs w:val="28"/>
          <w:lang w:val="en-US" w:eastAsia="zh-CN"/>
        </w:rPr>
        <w:t>管理方相关人员、</w:t>
      </w:r>
      <w:r>
        <w:rPr>
          <w:rFonts w:hint="eastAsia" w:ascii="仿宋" w:eastAsia="仿宋" w:cs="仿宋"/>
          <w:sz w:val="28"/>
          <w:szCs w:val="28"/>
        </w:rPr>
        <w:t>受益</w:t>
      </w:r>
      <w:r>
        <w:rPr>
          <w:rFonts w:hint="eastAsia" w:ascii="仿宋" w:eastAsia="仿宋" w:cs="仿宋"/>
          <w:sz w:val="28"/>
          <w:szCs w:val="28"/>
          <w:lang w:val="en-US" w:eastAsia="zh-CN"/>
        </w:rPr>
        <w:t>人员</w:t>
      </w:r>
      <w:r>
        <w:rPr>
          <w:rFonts w:hint="eastAsia" w:ascii="仿宋" w:eastAsia="仿宋" w:cs="仿宋"/>
          <w:sz w:val="28"/>
          <w:szCs w:val="28"/>
        </w:rPr>
        <w:t>发放满意度调查问卷，了解受益</w:t>
      </w:r>
      <w:r>
        <w:rPr>
          <w:rFonts w:hint="eastAsia" w:ascii="仿宋" w:eastAsia="仿宋" w:cs="仿宋"/>
          <w:sz w:val="28"/>
          <w:szCs w:val="28"/>
          <w:lang w:val="en-US" w:eastAsia="zh-CN"/>
        </w:rPr>
        <w:t>群体</w:t>
      </w:r>
      <w:r>
        <w:rPr>
          <w:rFonts w:hint="eastAsia" w:ascii="仿宋" w:eastAsia="仿宋" w:cs="仿宋"/>
          <w:sz w:val="28"/>
          <w:szCs w:val="28"/>
        </w:rPr>
        <w:t>对</w:t>
      </w:r>
      <w:r>
        <w:rPr>
          <w:rFonts w:hint="eastAsia" w:ascii="仿宋" w:eastAsia="仿宋" w:cs="仿宋"/>
          <w:sz w:val="28"/>
          <w:szCs w:val="28"/>
          <w:lang w:val="en-US" w:eastAsia="zh-CN"/>
        </w:rPr>
        <w:t>项目的整体</w:t>
      </w:r>
      <w:r>
        <w:rPr>
          <w:rFonts w:hint="eastAsia" w:ascii="仿宋" w:eastAsia="仿宋" w:cs="仿宋"/>
          <w:sz w:val="28"/>
          <w:szCs w:val="28"/>
        </w:rPr>
        <w:t>满意程度，为绩效评价工作满意度调查提供数据参考。</w:t>
      </w:r>
    </w:p>
    <w:bookmarkEnd w:id="177"/>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二、调查对象</w:t>
      </w:r>
    </w:p>
    <w:p>
      <w:pPr>
        <w:tabs>
          <w:tab w:val="left" w:pos="630"/>
        </w:tabs>
        <w:spacing w:line="574" w:lineRule="exact"/>
        <w:ind w:firstLine="560" w:firstLineChars="200"/>
        <w:rPr>
          <w:rFonts w:hint="eastAsia" w:ascii="仿宋" w:eastAsia="仿宋" w:cs="仿宋"/>
          <w:sz w:val="28"/>
          <w:szCs w:val="28"/>
        </w:rPr>
      </w:pPr>
      <w:bookmarkStart w:id="178" w:name="_Hlk28700584"/>
      <w:r>
        <w:rPr>
          <w:rFonts w:hint="eastAsia" w:ascii="仿宋" w:eastAsia="仿宋" w:cs="仿宋"/>
          <w:sz w:val="28"/>
          <w:szCs w:val="28"/>
        </w:rPr>
        <w:t>本次调查的对象为</w:t>
      </w:r>
      <w:r>
        <w:rPr>
          <w:rFonts w:hint="eastAsia" w:ascii="仿宋" w:eastAsia="仿宋" w:cs="仿宋"/>
          <w:sz w:val="28"/>
          <w:szCs w:val="28"/>
          <w:lang w:val="en-US" w:eastAsia="zh-CN"/>
        </w:rPr>
        <w:t>管理方相关人员和受益人员</w:t>
      </w:r>
      <w:r>
        <w:rPr>
          <w:rFonts w:hint="eastAsia" w:ascii="仿宋" w:eastAsia="仿宋" w:cs="仿宋"/>
          <w:sz w:val="28"/>
          <w:szCs w:val="28"/>
        </w:rPr>
        <w:t>。</w:t>
      </w:r>
    </w:p>
    <w:bookmarkEnd w:id="178"/>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三、调查时间</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2022年6月</w:t>
      </w:r>
      <w:r>
        <w:rPr>
          <w:rFonts w:hint="eastAsia" w:ascii="仿宋" w:eastAsia="仿宋" w:cs="仿宋"/>
          <w:sz w:val="28"/>
          <w:szCs w:val="28"/>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四、调查内容</w:t>
      </w:r>
    </w:p>
    <w:p>
      <w:pPr>
        <w:spacing w:line="574" w:lineRule="exact"/>
        <w:ind w:firstLine="560" w:firstLineChars="200"/>
        <w:rPr>
          <w:rFonts w:hint="eastAsia" w:ascii="仿宋" w:eastAsia="仿宋" w:cs="仿宋"/>
          <w:sz w:val="28"/>
          <w:szCs w:val="28"/>
          <w:lang w:val="en-US" w:eastAsia="zh-CN"/>
        </w:rPr>
      </w:pPr>
      <w:bookmarkStart w:id="179" w:name="_Hlk28700703"/>
      <w:r>
        <w:rPr>
          <w:rFonts w:hint="eastAsia" w:ascii="仿宋" w:eastAsia="仿宋" w:cs="仿宋"/>
          <w:sz w:val="28"/>
          <w:szCs w:val="28"/>
          <w:lang w:val="en-US" w:eastAsia="zh-CN"/>
        </w:rPr>
        <w:t>您对旧县镇办公楼维修、政务中心大楼日常维护和农业农村局家具配置经费项目实施范围的满意程度。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您对旧县镇办公楼维修、政务中心大楼日常维护和农业农村局家具配置经费项目实施质量的满意程度。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您对旧县镇办公楼维修、政务中心大楼日常维护和农业农村局家具配置经费项目实施进度的满意程度。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您对项目实施过程中各部门协调配合的满意程度。</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您对项目实施完成后改善机关办公条件的满意程度</w:t>
      </w:r>
      <w:r>
        <w:rPr>
          <w:rFonts w:hint="eastAsia" w:ascii="仿宋" w:eastAsia="仿宋" w:cs="仿宋"/>
          <w:sz w:val="28"/>
          <w:szCs w:val="28"/>
        </w:rPr>
        <w:t>。</w:t>
      </w:r>
    </w:p>
    <w:bookmarkEnd w:id="179"/>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五、问卷发放与回收</w:t>
      </w:r>
    </w:p>
    <w:p>
      <w:pPr>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rPr>
        <w:t>本次计划发放问卷</w:t>
      </w:r>
      <w:r>
        <w:rPr>
          <w:rFonts w:hint="eastAsia" w:ascii="仿宋" w:eastAsia="仿宋" w:cs="仿宋"/>
          <w:sz w:val="28"/>
          <w:szCs w:val="28"/>
          <w:lang w:val="en-US" w:eastAsia="zh-CN"/>
        </w:rPr>
        <w:t>100</w:t>
      </w:r>
      <w:r>
        <w:rPr>
          <w:rFonts w:hint="eastAsia" w:ascii="仿宋" w:eastAsia="仿宋" w:cs="仿宋"/>
          <w:sz w:val="28"/>
          <w:szCs w:val="28"/>
        </w:rPr>
        <w:t>份</w:t>
      </w:r>
      <w:r>
        <w:rPr>
          <w:rFonts w:hint="eastAsia" w:ascii="仿宋" w:eastAsia="仿宋" w:cs="仿宋"/>
          <w:sz w:val="28"/>
          <w:szCs w:val="28"/>
          <w:lang w:eastAsia="zh-CN"/>
        </w:rPr>
        <w:t>，</w:t>
      </w:r>
      <w:r>
        <w:rPr>
          <w:rFonts w:hint="eastAsia" w:ascii="仿宋" w:eastAsia="仿宋" w:cs="仿宋"/>
          <w:sz w:val="28"/>
          <w:szCs w:val="28"/>
          <w:lang w:val="en-US" w:eastAsia="zh-CN"/>
        </w:rPr>
        <w:t>回收问卷100</w:t>
      </w:r>
      <w:r>
        <w:rPr>
          <w:rFonts w:hint="eastAsia" w:ascii="仿宋" w:eastAsia="仿宋" w:cs="仿宋"/>
          <w:sz w:val="28"/>
          <w:szCs w:val="28"/>
        </w:rPr>
        <w:t>份</w:t>
      </w:r>
      <w:r>
        <w:rPr>
          <w:rFonts w:hint="eastAsia" w:ascii="仿宋" w:eastAsia="仿宋" w:cs="仿宋"/>
          <w:sz w:val="28"/>
          <w:szCs w:val="28"/>
          <w:lang w:val="en-US" w:eastAsia="zh-CN"/>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六、调查结果</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（一）满意度调查</w:t>
      </w:r>
    </w:p>
    <w:p>
      <w:pPr>
        <w:spacing w:line="574" w:lineRule="exact"/>
        <w:ind w:firstLine="562" w:firstLineChars="200"/>
        <w:rPr>
          <w:rFonts w:hint="eastAsia" w:ascii="仿宋" w:eastAsia="仿宋" w:cs="仿宋"/>
          <w:b/>
          <w:bCs/>
          <w:sz w:val="28"/>
          <w:szCs w:val="28"/>
        </w:rPr>
      </w:pPr>
      <w:r>
        <w:rPr>
          <w:rFonts w:hint="eastAsia" w:ascii="仿宋" w:eastAsia="仿宋" w:cs="仿宋"/>
          <w:b/>
          <w:bCs/>
          <w:sz w:val="28"/>
          <w:szCs w:val="28"/>
        </w:rPr>
        <w:t>1.基础信息调查结果</w:t>
      </w:r>
    </w:p>
    <w:p>
      <w:pPr>
        <w:spacing w:line="574" w:lineRule="exact"/>
        <w:ind w:firstLine="560" w:firstLineChars="200"/>
        <w:rPr>
          <w:rFonts w:hint="eastAsia" w:ascii="仿宋" w:eastAsia="仿宋" w:cs="仿宋"/>
          <w:sz w:val="28"/>
          <w:szCs w:val="28"/>
        </w:rPr>
      </w:pPr>
      <w:bookmarkStart w:id="180" w:name="_Hlk43218755"/>
      <w:r>
        <w:rPr>
          <w:rFonts w:hint="eastAsia" w:ascii="仿宋" w:eastAsia="仿宋" w:cs="仿宋"/>
          <w:sz w:val="28"/>
          <w:szCs w:val="28"/>
        </w:rPr>
        <w:t>（1）您对</w:t>
      </w:r>
      <w:r>
        <w:rPr>
          <w:rFonts w:hint="eastAsia" w:ascii="仿宋" w:eastAsia="仿宋" w:cs="仿宋"/>
          <w:sz w:val="28"/>
          <w:szCs w:val="28"/>
          <w:lang w:eastAsia="zh-CN"/>
        </w:rPr>
        <w:t>旧县镇办公楼维修、政务中心大楼日常维护和农业农村局家具配置经费项目</w:t>
      </w:r>
      <w:r>
        <w:rPr>
          <w:rFonts w:hint="eastAsia" w:ascii="仿宋" w:eastAsia="仿宋" w:cs="仿宋"/>
          <w:sz w:val="28"/>
          <w:szCs w:val="28"/>
        </w:rPr>
        <w:t>是否了解？</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从数据分析可知，了解</w:t>
      </w:r>
      <w:r>
        <w:rPr>
          <w:rFonts w:hint="eastAsia" w:ascii="仿宋" w:eastAsia="仿宋" w:cs="仿宋"/>
          <w:sz w:val="28"/>
          <w:szCs w:val="28"/>
          <w:lang w:val="en-US" w:eastAsia="zh-CN"/>
        </w:rPr>
        <w:t>项目</w:t>
      </w:r>
      <w:r>
        <w:rPr>
          <w:rFonts w:hint="eastAsia" w:ascii="仿宋" w:eastAsia="仿宋" w:cs="仿宋"/>
          <w:sz w:val="28"/>
          <w:szCs w:val="28"/>
        </w:rPr>
        <w:t>的占比</w:t>
      </w:r>
      <w:r>
        <w:rPr>
          <w:rFonts w:hint="eastAsia" w:ascii="仿宋" w:eastAsia="仿宋" w:cs="仿宋"/>
          <w:sz w:val="28"/>
          <w:szCs w:val="28"/>
          <w:lang w:val="en-US" w:eastAsia="zh-CN"/>
        </w:rPr>
        <w:t>94.00%</w:t>
      </w:r>
      <w:r>
        <w:rPr>
          <w:rFonts w:hint="eastAsia" w:ascii="仿宋" w:eastAsia="仿宋" w:cs="仿宋"/>
          <w:sz w:val="28"/>
          <w:szCs w:val="28"/>
        </w:rPr>
        <w:t>。</w:t>
      </w:r>
    </w:p>
    <w:bookmarkEnd w:id="180"/>
    <w:p>
      <w:pPr>
        <w:spacing w:line="574" w:lineRule="exact"/>
        <w:ind w:firstLine="562" w:firstLineChars="200"/>
        <w:rPr>
          <w:rFonts w:hint="eastAsia" w:ascii="仿宋" w:eastAsia="仿宋" w:cs="仿宋"/>
          <w:b/>
          <w:bCs/>
          <w:sz w:val="28"/>
          <w:szCs w:val="28"/>
        </w:rPr>
        <w:sectPr>
          <w:footerReference r:id="rId9" w:type="default"/>
          <w:pgSz w:w="11906" w:h="16838"/>
          <w:pgMar w:top="1440" w:right="1797" w:bottom="1440" w:left="1797" w:header="851" w:footer="992" w:gutter="0"/>
          <w:cols w:space="720" w:num="1"/>
          <w:docGrid w:type="lines" w:linePitch="312" w:charSpace="0"/>
        </w:sectPr>
      </w:pPr>
      <w:r>
        <w:rPr>
          <w:rFonts w:hint="eastAsia" w:asci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问卷问题</w:t>
            </w:r>
          </w:p>
        </w:tc>
        <w:tc>
          <w:tcPr>
            <w:tcW w:w="8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总数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人数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满意度系数</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非常满意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eastAsia="zh-CN"/>
              </w:rPr>
            </w:pPr>
            <w:r>
              <w:rPr>
                <w:rFonts w:hint="eastAsia" w:ascii="仿宋" w:eastAsia="仿宋" w:cs="仿宋"/>
                <w:b/>
                <w:bCs/>
                <w:color w:val="auto"/>
                <w:sz w:val="20"/>
                <w:szCs w:val="21"/>
                <w:highlight w:val="none"/>
              </w:rPr>
              <w:t>非常满意</w:t>
            </w:r>
            <w:r>
              <w:rPr>
                <w:rFonts w:hint="eastAsia" w:ascii="仿宋" w:eastAsia="仿宋" w:cs="仿宋"/>
                <w:b/>
                <w:bCs/>
                <w:color w:val="auto"/>
                <w:sz w:val="20"/>
                <w:szCs w:val="21"/>
                <w:highlight w:val="none"/>
                <w:lang w:eastAsia="zh-CN"/>
              </w:rPr>
              <w:t>（</w:t>
            </w:r>
            <w:r>
              <w:rPr>
                <w:rFonts w:hint="eastAsia" w:ascii="仿宋" w:eastAsia="仿宋" w:cs="仿宋"/>
                <w:b/>
                <w:bCs/>
                <w:color w:val="auto"/>
                <w:sz w:val="20"/>
                <w:szCs w:val="21"/>
                <w:highlight w:val="none"/>
                <w:lang w:val="en-US" w:eastAsia="zh-CN"/>
              </w:rPr>
              <w:t>系数</w:t>
            </w:r>
            <w:r>
              <w:rPr>
                <w:rFonts w:hint="eastAsia" w:ascii="仿宋" w:eastAsia="仿宋" w:cs="仿宋"/>
                <w:b/>
                <w:bCs/>
                <w:color w:val="auto"/>
                <w:sz w:val="20"/>
                <w:szCs w:val="21"/>
                <w:highlight w:val="none"/>
                <w:lang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旧县镇办公楼维修、政务中心大楼日常维护和农业农村局家具配置经费项目实施范围的满意程度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85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7</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4</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both"/>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旧县镇办公楼维修、政务中心大楼日常维护和农业农村局家具配置经费项目实施质量的满意程度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旧县镇办公楼维修、政务中心大楼日常维护和农业农村局家具配置经费项目实施进度</w:t>
            </w:r>
            <w:r>
              <w:rPr>
                <w:rFonts w:hint="eastAsia" w:ascii="仿宋" w:eastAsia="仿宋" w:cs="仿宋"/>
                <w:color w:val="auto"/>
                <w:sz w:val="20"/>
                <w:szCs w:val="21"/>
              </w:rPr>
              <w:t>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88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7</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highlight w:val="none"/>
              </w:rPr>
            </w:pPr>
            <w:r>
              <w:rPr>
                <w:rFonts w:hint="eastAsia" w:ascii="仿宋" w:eastAsia="仿宋" w:cs="仿宋"/>
                <w:color w:val="auto"/>
                <w:sz w:val="20"/>
                <w:szCs w:val="21"/>
                <w:lang w:val="en-US" w:eastAsia="zh-CN"/>
              </w:rPr>
              <w:t>您对项目实施过程中各部门协调配合的满意程度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4</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rPr>
            </w:pPr>
            <w:r>
              <w:rPr>
                <w:rFonts w:hint="eastAsia" w:ascii="仿宋" w:eastAsia="仿宋" w:cs="仿宋"/>
                <w:color w:val="auto"/>
                <w:sz w:val="20"/>
                <w:szCs w:val="21"/>
                <w:lang w:val="en-US" w:eastAsia="zh-CN"/>
              </w:rPr>
              <w:t>您对项目实施完成后改善机关办公条件的满意程度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86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7</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4</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总体满意度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91.84%</w:t>
            </w:r>
          </w:p>
        </w:tc>
      </w:tr>
    </w:tbl>
    <w:p>
      <w:pPr>
        <w:pStyle w:val="2"/>
        <w:rPr>
          <w:rFonts w:hint="eastAsia"/>
        </w:rPr>
        <w:sectPr>
          <w:pgSz w:w="16838" w:h="11906" w:orient="landscape"/>
          <w:pgMar w:top="1797" w:right="1440" w:bottom="1797" w:left="1440" w:header="851" w:footer="992" w:gutter="0"/>
          <w:cols w:space="720"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三</w:t>
      </w:r>
      <w:r>
        <w:rPr>
          <w:rFonts w:hint="eastAsia" w:ascii="仿宋" w:eastAsia="仿宋" w:cs="仿宋"/>
          <w:sz w:val="28"/>
          <w:szCs w:val="28"/>
          <w:lang w:eastAsia="zh-CN"/>
        </w:rPr>
        <w:t>）</w:t>
      </w:r>
      <w:r>
        <w:rPr>
          <w:rFonts w:hint="eastAsia" w:ascii="仿宋" w:eastAsia="仿宋" w:cs="仿宋"/>
          <w:sz w:val="28"/>
          <w:szCs w:val="28"/>
        </w:rPr>
        <w:t>总结</w:t>
      </w:r>
    </w:p>
    <w:p>
      <w:pPr>
        <w:tabs>
          <w:tab w:val="left" w:pos="630"/>
        </w:tabs>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lang w:val="en-US" w:eastAsia="zh-CN"/>
        </w:rPr>
        <w:t>受益对象满意度分别为：90.00%、93.60%、91.20%、93.40%、91.00%。整体满意度为91.84%。</w:t>
      </w:r>
    </w:p>
    <w:p>
      <w:pPr>
        <w:rPr>
          <w:rFonts w:hint="eastAsia" w:ascii="黑体" w:eastAsia="黑体"/>
          <w:snapToGrid w:val="0"/>
          <w:sz w:val="32"/>
          <w:szCs w:val="32"/>
          <w:lang w:val="en-US" w:eastAsia="zh-CN"/>
        </w:rPr>
      </w:pPr>
      <w:r>
        <w:rPr>
          <w:rFonts w:hint="eastAsia" w:asci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ascii="黑体" w:eastAsia="黑体"/>
          <w:b/>
          <w:bCs/>
          <w:snapToGrid w:val="0"/>
          <w:sz w:val="32"/>
          <w:szCs w:val="32"/>
          <w:lang w:val="en-US" w:eastAsia="zh-CN"/>
        </w:rPr>
      </w:pPr>
      <w:bookmarkStart w:id="181" w:name="_Toc30992"/>
      <w:r>
        <w:rPr>
          <w:rFonts w:hint="eastAsia" w:ascii="黑体" w:eastAsia="黑体"/>
          <w:snapToGrid w:val="0"/>
          <w:sz w:val="32"/>
          <w:szCs w:val="32"/>
          <w:lang w:val="en-US" w:eastAsia="zh-CN"/>
        </w:rPr>
        <w:t>附件3：访谈报告</w:t>
      </w:r>
      <w:bookmarkEnd w:id="181"/>
    </w:p>
    <w:p>
      <w:pPr>
        <w:spacing w:line="520" w:lineRule="exact"/>
        <w:ind w:firstLine="562" w:firstLineChars="200"/>
        <w:rPr>
          <w:rFonts w:ascii="仿宋" w:eastAsia="仿宋" w:cs="仿宋"/>
          <w:b/>
          <w:bCs/>
          <w:kern w:val="0"/>
          <w:sz w:val="28"/>
          <w:szCs w:val="32"/>
          <w:lang w:val="en-US" w:eastAsia="zh-CN"/>
        </w:rPr>
      </w:pPr>
      <w:r>
        <w:rPr>
          <w:rFonts w:hint="eastAsia" w:ascii="仿宋" w:eastAsia="仿宋" w:cs="仿宋"/>
          <w:b/>
          <w:bCs/>
          <w:kern w:val="0"/>
          <w:sz w:val="28"/>
          <w:szCs w:val="32"/>
          <w:lang w:val="en-US" w:eastAsia="zh-CN"/>
        </w:rPr>
        <w:t>一、项目相关负责人访谈</w:t>
      </w:r>
    </w:p>
    <w:p>
      <w:pPr>
        <w:spacing w:line="52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1、请您简要介绍项目的概况</w:t>
      </w:r>
      <w:r>
        <w:rPr>
          <w:rFonts w:hint="eastAsia" w:ascii="仿宋" w:eastAsia="仿宋" w:cs="仿宋"/>
          <w:b/>
          <w:bCs/>
          <w:kern w:val="0"/>
          <w:sz w:val="28"/>
          <w:szCs w:val="32"/>
          <w:lang w:val="en-US" w:eastAsia="zh-CN"/>
        </w:rPr>
        <w:t>及资金情况</w:t>
      </w:r>
      <w:r>
        <w:rPr>
          <w:rFonts w:hint="eastAsia" w:ascii="仿宋" w:eastAsia="仿宋" w:cs="仿宋"/>
          <w:b/>
          <w:bCs/>
          <w:kern w:val="0"/>
          <w:sz w:val="28"/>
          <w:szCs w:val="32"/>
        </w:rPr>
        <w:t>。</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主要内容是开展旧县镇办公楼维修、政务中心大楼日常维护和农业农村局家具配置。2021年旧县镇办公楼维修、政务中心大楼日常维护和农业农村局家具配置经费项目预算资金526.2167万元。</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2、请您简要介绍项目预期目标及实际完成情况。</w:t>
      </w:r>
    </w:p>
    <w:p>
      <w:pPr>
        <w:spacing w:line="500" w:lineRule="exact"/>
        <w:ind w:firstLine="560" w:firstLineChars="200"/>
        <w:rPr>
          <w:rFonts w:ascii="仿宋" w:eastAsia="仿宋" w:cs="仿宋"/>
          <w:kern w:val="0"/>
          <w:sz w:val="28"/>
          <w:szCs w:val="32"/>
          <w:lang w:val="en-US"/>
        </w:rPr>
      </w:pPr>
      <w:r>
        <w:rPr>
          <w:rFonts w:hint="eastAsia" w:ascii="Times New Roman" w:hAnsi="Times New Roman" w:eastAsia="仿宋" w:cs="Times New Roman"/>
          <w:kern w:val="0"/>
          <w:sz w:val="28"/>
          <w:szCs w:val="28"/>
          <w:shd w:val="clear" w:color="auto" w:fill="FFFFFF"/>
          <w:lang w:val="en-US" w:eastAsia="zh-CN"/>
        </w:rPr>
        <w:t>2021年旧县镇办公楼维修、政务中心大楼日常维护和农业农村局家具配置经费项目涉及的开展旧县镇办公楼维修、政务中心大楼日常维护和农业农村局家具配置等子项目全部实施完成。</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lang w:val="en-US" w:eastAsia="zh-CN"/>
        </w:rPr>
        <w:t>3</w:t>
      </w:r>
      <w:r>
        <w:rPr>
          <w:rFonts w:hint="eastAsia" w:ascii="仿宋" w:eastAsia="仿宋" w:cs="仿宋"/>
          <w:b/>
          <w:bCs/>
          <w:kern w:val="0"/>
          <w:sz w:val="28"/>
          <w:szCs w:val="32"/>
        </w:rPr>
        <w:t>、请您简要介绍资金使用情况。</w:t>
      </w:r>
    </w:p>
    <w:p>
      <w:pPr>
        <w:spacing w:line="500" w:lineRule="exact"/>
        <w:ind w:firstLine="560" w:firstLineChars="200"/>
        <w:rPr>
          <w:rFonts w:hint="eastAsia" w:asci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截止2021年12月31日，2021年旧县镇办公楼维修、政务中心大楼日常维护和农业农村局家具配置经费项目共计使用资金526.153687万元</w:t>
      </w:r>
      <w:r>
        <w:rPr>
          <w:rFonts w:hint="eastAsia" w:ascii="仿宋" w:eastAsia="仿宋" w:cs="仿宋"/>
          <w:color w:val="auto"/>
          <w:kern w:val="0"/>
          <w:sz w:val="28"/>
          <w:szCs w:val="32"/>
          <w:lang w:eastAsia="zh-CN"/>
        </w:rPr>
        <w:t>。</w:t>
      </w:r>
    </w:p>
    <w:p>
      <w:pPr>
        <w:spacing w:line="500" w:lineRule="exact"/>
        <w:ind w:firstLine="562" w:firstLineChars="200"/>
        <w:rPr>
          <w:rFonts w:hint="eastAsia" w:ascii="仿宋" w:eastAsia="仿宋" w:cs="仿宋"/>
          <w:kern w:val="0"/>
          <w:sz w:val="28"/>
          <w:szCs w:val="32"/>
        </w:rPr>
      </w:pPr>
      <w:r>
        <w:rPr>
          <w:rFonts w:hint="eastAsia" w:ascii="仿宋" w:eastAsia="仿宋" w:cs="仿宋"/>
          <w:b/>
          <w:bCs/>
          <w:kern w:val="0"/>
          <w:sz w:val="28"/>
          <w:szCs w:val="32"/>
          <w:lang w:val="en-US" w:eastAsia="zh-CN"/>
        </w:rPr>
        <w:t>4</w:t>
      </w:r>
      <w:r>
        <w:rPr>
          <w:rFonts w:hint="eastAsia" w:asci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eastAsia="仿宋" w:cs="仿宋"/>
          <w:snapToGrid w:val="0"/>
          <w:sz w:val="28"/>
          <w:szCs w:val="28"/>
          <w:lang w:val="en-US" w:eastAsia="zh-CN"/>
        </w:rPr>
      </w:pPr>
      <w:r>
        <w:rPr>
          <w:rFonts w:hint="eastAsia" w:ascii="仿宋" w:eastAsia="仿宋" w:cs="仿宋"/>
          <w:kern w:val="0"/>
          <w:sz w:val="28"/>
          <w:szCs w:val="32"/>
          <w:lang w:val="en-US" w:eastAsia="zh-CN"/>
        </w:rPr>
        <w:t>我单位在项目实施过程中严格把关，制定了相关业务、财务管理制度</w:t>
      </w:r>
      <w:r>
        <w:rPr>
          <w:rFonts w:hint="eastAsia" w:ascii="仿宋" w:eastAsia="仿宋" w:cs="仿宋"/>
          <w:snapToGrid w:val="0"/>
          <w:sz w:val="28"/>
          <w:szCs w:val="28"/>
          <w:lang w:val="en-US" w:eastAsia="zh-CN"/>
        </w:rPr>
        <w:t>。</w:t>
      </w:r>
    </w:p>
    <w:p>
      <w:pPr>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ascii="黑体" w:eastAsia="黑体"/>
          <w:snapToGrid w:val="0"/>
          <w:sz w:val="32"/>
          <w:szCs w:val="32"/>
          <w:lang w:val="en-US" w:eastAsia="zh-CN"/>
        </w:rPr>
      </w:pPr>
      <w:bookmarkStart w:id="182" w:name="_Toc92"/>
      <w:bookmarkStart w:id="183" w:name="_Toc21093"/>
      <w:r>
        <w:rPr>
          <w:rFonts w:hint="eastAsia" w:ascii="黑体" w:eastAsia="黑体"/>
          <w:snapToGrid w:val="0"/>
          <w:sz w:val="32"/>
          <w:szCs w:val="32"/>
          <w:lang w:val="en-US" w:eastAsia="zh-CN"/>
        </w:rPr>
        <w:t>附件4：合规性审查</w:t>
      </w:r>
      <w:bookmarkEnd w:id="182"/>
      <w:bookmarkEnd w:id="183"/>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为保证</w:t>
      </w:r>
      <w:r>
        <w:rPr>
          <w:rFonts w:hint="eastAsia" w:ascii="仿宋" w:eastAsia="仿宋" w:cs="仿宋"/>
          <w:kern w:val="0"/>
          <w:sz w:val="28"/>
          <w:szCs w:val="32"/>
          <w:lang w:val="en-US" w:eastAsia="zh-CN"/>
        </w:rPr>
        <w:t>旧县镇办公楼维修、政务中心大楼日常维护和农业农村局家具配置经费项目资金</w:t>
      </w:r>
      <w:r>
        <w:rPr>
          <w:rFonts w:hint="eastAsia" w:asci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1、合规性检查对象</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本次检查对象为</w:t>
      </w:r>
      <w:r>
        <w:rPr>
          <w:rFonts w:hint="eastAsia" w:ascii="仿宋" w:eastAsia="仿宋" w:cs="仿宋"/>
          <w:kern w:val="0"/>
          <w:sz w:val="28"/>
          <w:szCs w:val="32"/>
          <w:lang w:eastAsia="zh-CN"/>
        </w:rPr>
        <w:t>旧县镇办公楼维修、政务中心大楼日常维护和农业农村局家具配置经费项目资金</w:t>
      </w:r>
      <w:r>
        <w:rPr>
          <w:rFonts w:hint="eastAsia" w:ascii="仿宋" w:eastAsia="仿宋" w:cs="仿宋"/>
          <w:kern w:val="0"/>
          <w:sz w:val="28"/>
          <w:szCs w:val="32"/>
        </w:rPr>
        <w:t>。</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2、合规性检查内容</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eastAsia="仿宋" w:cs="仿宋"/>
          <w:b/>
          <w:kern w:val="0"/>
          <w:sz w:val="24"/>
          <w:szCs w:val="28"/>
        </w:rPr>
      </w:pPr>
      <w:r>
        <w:rPr>
          <w:rFonts w:hint="eastAsia" w:ascii="仿宋" w:eastAsia="仿宋" w:cs="仿宋"/>
          <w:b/>
          <w:kern w:val="0"/>
          <w:sz w:val="24"/>
          <w:szCs w:val="28"/>
        </w:rPr>
        <w:t>附表4-1  合规性审查内容框架</w:t>
      </w:r>
    </w:p>
    <w:tbl>
      <w:tblPr>
        <w:tblStyle w:val="19"/>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序号</w:t>
            </w:r>
          </w:p>
        </w:tc>
        <w:tc>
          <w:tcPr>
            <w:tcW w:w="1313"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项目</w:t>
            </w:r>
          </w:p>
        </w:tc>
        <w:tc>
          <w:tcPr>
            <w:tcW w:w="6727"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1</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2</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资金使用</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资金的拨付有完整的审批程序和手续及符合项目预算批复或合同规定的用途；</w:t>
            </w:r>
            <w:r>
              <w:rPr>
                <w:rFonts w:hint="eastAsia" w:ascii="仿宋" w:eastAsia="仿宋" w:cs="仿宋"/>
                <w:kern w:val="0"/>
                <w:sz w:val="24"/>
                <w:szCs w:val="28"/>
                <w:lang w:val="en-US" w:eastAsia="zh-CN"/>
              </w:rPr>
              <w:t>不</w:t>
            </w:r>
            <w:r>
              <w:rPr>
                <w:rFonts w:hint="eastAsia" w:ascii="仿宋" w:eastAsia="仿宋" w:cs="仿宋"/>
                <w:kern w:val="0"/>
                <w:sz w:val="24"/>
                <w:szCs w:val="28"/>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3</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财务监控</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4</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5</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项目执行</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6</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项目质量</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3、合规性检查方法</w:t>
      </w:r>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eastAsia="仿宋" w:cs="仿宋"/>
          <w:kern w:val="0"/>
          <w:sz w:val="28"/>
          <w:szCs w:val="32"/>
          <w:lang w:eastAsia="zh-CN"/>
        </w:rPr>
        <w:sectPr>
          <w:pgSz w:w="11906" w:h="16838"/>
          <w:pgMar w:top="1440" w:right="1797" w:bottom="1440" w:left="1797" w:header="851" w:footer="992" w:gutter="0"/>
          <w:cols w:space="720" w:num="1"/>
          <w:docGrid w:type="lines" w:linePitch="312" w:charSpace="0"/>
        </w:sectPr>
      </w:pPr>
      <w:r>
        <w:rPr>
          <w:rFonts w:hint="eastAsia" w:ascii="仿宋" w:eastAsia="仿宋" w:cs="仿宋"/>
          <w:kern w:val="0"/>
          <w:sz w:val="28"/>
          <w:szCs w:val="32"/>
        </w:rPr>
        <w:t>合规性具体检查内容见附表4-2所示</w:t>
      </w:r>
      <w:r>
        <w:rPr>
          <w:rFonts w:hint="eastAsia" w:ascii="仿宋" w:eastAsia="仿宋" w:cs="仿宋"/>
          <w:kern w:val="0"/>
          <w:sz w:val="28"/>
          <w:szCs w:val="32"/>
          <w:lang w:eastAsia="zh-CN"/>
        </w:rPr>
        <w:t>。</w:t>
      </w:r>
    </w:p>
    <w:p>
      <w:pPr>
        <w:spacing w:before="156" w:beforeLines="50" w:after="156"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未提供自评报告</w:t>
            </w:r>
          </w:p>
        </w:tc>
      </w:tr>
    </w:tbl>
    <w:p>
      <w:pPr>
        <w:pStyle w:val="2"/>
        <w:rPr>
          <w:lang w:val="en-US" w:eastAsia="zh-CN"/>
        </w:rPr>
      </w:pPr>
    </w:p>
    <w:sectPr>
      <w:footerReference r:id="rId10"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DejaVu Sans"/>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DejaVu Sans"/>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1" name="文本框 3"/>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rect id="文本框 3"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Iqa5Rb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rect>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4" name="文本框 4"/>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39</w:t>
                          </w:r>
                          <w:r>
                            <w:fldChar w:fldCharType="end"/>
                          </w:r>
                        </w:p>
                      </w:txbxContent>
                    </wps:txbx>
                    <wps:bodyPr vert="horz" wrap="none" lIns="0" tIns="0" rIns="0" bIns="0" anchor="t" anchorCtr="false" upright="false">
                      <a:spAutoFit/>
                    </wps:bodyPr>
                  </wps:wsp>
                </a:graphicData>
              </a:graphic>
            </wp:anchor>
          </w:drawing>
        </mc:Choice>
        <mc:Fallback>
          <w:pict>
            <v:rect id="文本框 4"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OqVs33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39</w:t>
                    </w:r>
                    <w:r>
                      <w:fldChar w:fldCharType="end"/>
                    </w:r>
                  </w:p>
                </w:txbxContent>
              </v:textbox>
            </v:rect>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7" name="文本框 5"/>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46</w:t>
                          </w:r>
                          <w:r>
                            <w:fldChar w:fldCharType="end"/>
                          </w:r>
                        </w:p>
                      </w:txbxContent>
                    </wps:txbx>
                    <wps:bodyPr vert="horz" wrap="none" lIns="0" tIns="0" rIns="0" bIns="0" anchor="t" anchorCtr="false" upright="false">
                      <a:spAutoFit/>
                    </wps:bodyPr>
                  </wps:wsp>
                </a:graphicData>
              </a:graphic>
            </wp:anchor>
          </w:drawing>
        </mc:Choice>
        <mc:Fallback>
          <w:pict>
            <v:rect id="文本框 5"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E8MuFX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46</w:t>
                    </w:r>
                    <w:r>
                      <w:fldChar w:fldCharType="end"/>
                    </w:r>
                  </w:p>
                </w:txbxContent>
              </v:textbox>
            </v:rect>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eastAsia="仿宋" w:cs="仿宋"/>
        <w:b w:val="0"/>
        <w:bCs/>
      </w:rPr>
    </w:pPr>
    <w:r>
      <w:rPr>
        <w:rFonts w:hint="eastAsia" w:ascii="仿宋" w:eastAsia="仿宋" w:cs="仿宋"/>
        <w:b w:val="0"/>
        <w:bCs/>
        <w:szCs w:val="18"/>
        <w:lang w:eastAsia="zh-CN"/>
      </w:rPr>
      <w:t>旧县镇办公楼维修、政务中心大楼日常维护和农业农村局家具配置经费项目</w:t>
    </w:r>
    <w:r>
      <w:rPr>
        <w:rFonts w:hint="eastAsia" w:ascii="仿宋" w:eastAsia="仿宋" w:cs="仿宋"/>
        <w:b w:val="0"/>
        <w:bCs/>
        <w:lang w:eastAsia="zh-CN"/>
      </w:rPr>
      <w:t>支出绩效评价</w:t>
    </w:r>
    <w:r>
      <w:rPr>
        <w:rFonts w:hint="eastAsia" w:ascii="仿宋" w:eastAsia="仿宋" w:cs="仿宋"/>
        <w:b w:val="0"/>
        <w:bCs/>
      </w:rPr>
      <w:t>报告</w:t>
    </w:r>
  </w:p>
  <w:p>
    <w:pPr>
      <w:pStyle w:val="13"/>
      <w:pBdr>
        <w:bottom w:val="none" w:color="auto" w:sz="0" w:space="0"/>
      </w:pBdr>
      <w:rPr>
        <w:rFonts w:ascii="仿宋_GB2312"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eastAsia="仿宋_GB2312"/>
      </w:rPr>
    </w:pPr>
    <w:r>
      <w:rPr>
        <w:rFonts w:hint="eastAsia" w:ascii="仿宋_GB2312" w:eastAsia="仿宋_GB2312"/>
        <w:lang w:eastAsia="zh-CN"/>
      </w:rPr>
      <w:t>旧县镇办公楼维修、政务中心大楼日常维护和农业农村局家具配置经费项目经费支出绩效评价</w:t>
    </w:r>
    <w:r>
      <w:rPr>
        <w:rFonts w:hint="eastAsia" w:ascii="仿宋_GB2312"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dit="readOnly" w:enforcement="0"/>
  <w:defaultTabStop w:val="420"/>
  <w:drawingGridHorizontalSpacing w:val="105"/>
  <w:drawingGridVerticalSpacing w:val="158"/>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NmQwYzlhYmVjYmUyMjYzYTI1ZjVhMWE5OTYzZmVlMmIifQ=="/>
  </w:docVars>
  <w:rsids>
    <w:rsidRoot w:val="00000000"/>
    <w:rsid w:val="7FFD29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Cambria" w:hAnsi="Cambria"/>
      <w:b/>
      <w:bCs/>
      <w:sz w:val="32"/>
      <w:szCs w:val="32"/>
    </w:rPr>
  </w:style>
  <w:style w:type="paragraph" w:styleId="5">
    <w:name w:val="heading 3"/>
    <w:basedOn w:val="1"/>
    <w:next w:val="1"/>
    <w:qFormat/>
    <w:uiPriority w:val="0"/>
    <w:pPr>
      <w:keepNext/>
      <w:keepLines/>
      <w:widowControl w:val="0"/>
      <w:spacing w:before="260" w:after="260" w:line="415" w:lineRule="auto"/>
      <w:outlineLvl w:val="2"/>
    </w:pPr>
    <w:rPr>
      <w:rFonts w:ascii="Times New Roman" w:hAnsi="Times New Roman"/>
      <w:b/>
      <w:bCs/>
      <w:kern w:val="0"/>
      <w:sz w:val="32"/>
      <w:szCs w:val="32"/>
    </w:rPr>
  </w:style>
  <w:style w:type="character" w:default="1" w:styleId="20">
    <w:name w:val="Default Paragraph Font"/>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206"/>
      <w:jc w:val="left"/>
    </w:pPr>
    <w:rPr>
      <w:rFonts w:ascii="宋体"/>
      <w:kern w:val="0"/>
      <w:sz w:val="18"/>
      <w:szCs w:val="18"/>
    </w:rPr>
  </w:style>
  <w:style w:type="paragraph" w:styleId="6">
    <w:name w:val="Document Map"/>
    <w:basedOn w:val="1"/>
    <w:qFormat/>
    <w:uiPriority w:val="0"/>
    <w:rPr>
      <w:rFonts w:ascii="宋体"/>
      <w:sz w:val="18"/>
      <w:szCs w:val="18"/>
    </w:rPr>
  </w:style>
  <w:style w:type="paragraph" w:styleId="7">
    <w:name w:val="annotation text"/>
    <w:basedOn w:val="1"/>
    <w:qFormat/>
    <w:uiPriority w:val="0"/>
    <w:pPr>
      <w:jc w:val="left"/>
    </w:pPr>
    <w:rPr>
      <w:kern w:val="0"/>
      <w:sz w:val="24"/>
    </w:rPr>
  </w:style>
  <w:style w:type="paragraph" w:styleId="8">
    <w:name w:val="toc 3"/>
    <w:basedOn w:val="1"/>
    <w:next w:val="1"/>
    <w:qFormat/>
    <w:uiPriority w:val="0"/>
    <w:pPr>
      <w:widowControl/>
      <w:spacing w:after="100" w:line="276" w:lineRule="auto"/>
      <w:ind w:left="440"/>
      <w:jc w:val="left"/>
    </w:pPr>
    <w:rPr>
      <w:kern w:val="0"/>
      <w:sz w:val="22"/>
      <w:szCs w:val="22"/>
    </w:rPr>
  </w:style>
  <w:style w:type="paragraph" w:styleId="9">
    <w:name w:val="Plain Text"/>
    <w:basedOn w:val="1"/>
    <w:qFormat/>
    <w:uiPriority w:val="0"/>
    <w:rPr>
      <w:rFonts w:ascii="宋体"/>
      <w:kern w:val="0"/>
      <w:szCs w:val="21"/>
    </w:rPr>
  </w:style>
  <w:style w:type="paragraph" w:styleId="10">
    <w:name w:val="Date"/>
    <w:basedOn w:val="1"/>
    <w:next w:val="1"/>
    <w:qFormat/>
    <w:uiPriority w:val="0"/>
    <w:pPr>
      <w:ind w:left="2500" w:leftChars="2500"/>
    </w:pPr>
    <w:rPr>
      <w:szCs w:val="22"/>
    </w:rPr>
  </w:style>
  <w:style w:type="paragraph" w:styleId="11">
    <w:name w:val="Balloon Text"/>
    <w:basedOn w:val="1"/>
    <w:qFormat/>
    <w:uiPriority w:val="0"/>
    <w:rPr>
      <w:kern w:val="0"/>
      <w:sz w:val="18"/>
      <w:szCs w:val="18"/>
    </w:rPr>
  </w:style>
  <w:style w:type="paragraph" w:styleId="12">
    <w:name w:val="footer"/>
    <w:basedOn w:val="1"/>
    <w:qFormat/>
    <w:uiPriority w:val="0"/>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0"/>
    <w:pPr>
      <w:widowControl/>
      <w:spacing w:after="100" w:line="276" w:lineRule="auto"/>
      <w:jc w:val="left"/>
    </w:pPr>
    <w:rPr>
      <w:kern w:val="0"/>
      <w:sz w:val="22"/>
      <w:szCs w:val="22"/>
    </w:rPr>
  </w:style>
  <w:style w:type="paragraph" w:styleId="15">
    <w:name w:val="toc 2"/>
    <w:basedOn w:val="1"/>
    <w:next w:val="1"/>
    <w:qFormat/>
    <w:uiPriority w:val="0"/>
    <w:pPr>
      <w:widowControl/>
      <w:spacing w:after="100" w:line="276" w:lineRule="auto"/>
      <w:ind w:left="220"/>
      <w:jc w:val="left"/>
    </w:pPr>
    <w:rPr>
      <w:kern w:val="0"/>
      <w:sz w:val="22"/>
      <w:szCs w:val="22"/>
    </w:rPr>
  </w:style>
  <w:style w:type="paragraph" w:styleId="16">
    <w:name w:val="Normal (Web)"/>
    <w:basedOn w:val="1"/>
    <w:qFormat/>
    <w:uiPriority w:val="0"/>
    <w:pPr>
      <w:jc w:val="left"/>
    </w:pPr>
    <w:rPr>
      <w:kern w:val="0"/>
      <w:sz w:val="24"/>
      <w:szCs w:val="22"/>
    </w:rPr>
  </w:style>
  <w:style w:type="paragraph" w:styleId="17">
    <w:name w:val="Title"/>
    <w:basedOn w:val="1"/>
    <w:next w:val="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qFormat/>
    <w:uiPriority w:val="0"/>
    <w:rPr>
      <w:b/>
      <w:bCs/>
    </w:rPr>
  </w:style>
  <w:style w:type="character" w:styleId="21">
    <w:name w:val="Hyperlink"/>
    <w:qFormat/>
    <w:uiPriority w:val="0"/>
    <w:rPr>
      <w:rFonts w:cs="Times New Roman"/>
      <w:color w:val="0000FF"/>
      <w:u w:val="single"/>
    </w:rPr>
  </w:style>
  <w:style w:type="character" w:styleId="22">
    <w:name w:val="annotation reference"/>
    <w:qFormat/>
    <w:uiPriority w:val="0"/>
    <w:rPr>
      <w:rFonts w:cs="Times New Roman"/>
      <w:sz w:val="21"/>
      <w:szCs w:val="21"/>
    </w:rPr>
  </w:style>
  <w:style w:type="character" w:customStyle="1" w:styleId="23">
    <w:name w:val="标题 Char"/>
    <w:qFormat/>
    <w:uiPriority w:val="0"/>
    <w:rPr>
      <w:rFonts w:ascii="Cambria" w:hAnsi="Cambria" w:eastAsia="宋体" w:cs="Times New Roman"/>
      <w:b/>
      <w:bCs/>
      <w:sz w:val="32"/>
      <w:szCs w:val="32"/>
    </w:rPr>
  </w:style>
  <w:style w:type="paragraph" w:customStyle="1" w:styleId="24">
    <w:name w:val="列出段落1"/>
    <w:basedOn w:val="1"/>
    <w:qFormat/>
    <w:uiPriority w:val="0"/>
    <w:pPr>
      <w:widowControl/>
      <w:spacing w:after="200" w:line="276" w:lineRule="auto"/>
      <w:ind w:firstLine="200" w:firstLineChars="200"/>
      <w:jc w:val="left"/>
    </w:pPr>
    <w:rPr>
      <w:rFonts w:ascii="Times New Roman" w:hAnsi="Times New Roman"/>
      <w:kern w:val="0"/>
      <w:sz w:val="28"/>
      <w:szCs w:val="22"/>
    </w:rPr>
  </w:style>
  <w:style w:type="character" w:customStyle="1" w:styleId="25">
    <w:name w:val="font01"/>
    <w:qFormat/>
    <w:uiPriority w:val="0"/>
    <w:rPr>
      <w:rFonts w:ascii="Symbol" w:hAnsi="Symbol" w:cs="Times New Roman"/>
      <w:color w:val="000000"/>
      <w:sz w:val="24"/>
      <w:szCs w:val="24"/>
      <w:u w:val="none"/>
    </w:rPr>
  </w:style>
  <w:style w:type="character" w:customStyle="1" w:styleId="26">
    <w:name w:val="font11"/>
    <w:qFormat/>
    <w:uiPriority w:val="0"/>
    <w:rPr>
      <w:rFonts w:ascii="仿宋" w:eastAsia="仿宋" w:cs="Times New Roman"/>
      <w:color w:val="000000"/>
      <w:sz w:val="24"/>
      <w:szCs w:val="24"/>
      <w:u w:val="none"/>
    </w:rPr>
  </w:style>
  <w:style w:type="character" w:customStyle="1" w:styleId="27">
    <w:name w:val="font31"/>
    <w:qFormat/>
    <w:uiPriority w:val="0"/>
    <w:rPr>
      <w:rFonts w:ascii="宋体" w:eastAsia="宋体" w:cs="Times New Roman"/>
      <w:color w:val="000000"/>
      <w:sz w:val="24"/>
      <w:szCs w:val="24"/>
      <w:u w:val="none"/>
    </w:rPr>
  </w:style>
  <w:style w:type="paragraph" w:customStyle="1" w:styleId="28">
    <w:name w:val="TOC 标题1"/>
    <w:basedOn w:val="3"/>
    <w:next w:val="1"/>
    <w:qFormat/>
    <w:uiPriority w:val="0"/>
    <w:pPr>
      <w:keepNext/>
      <w:keepLines/>
      <w:widowControl/>
      <w:spacing w:before="480" w:after="0" w:line="276" w:lineRule="auto"/>
      <w:jc w:val="left"/>
      <w:outlineLvl w:val="9"/>
    </w:pPr>
    <w:rPr>
      <w:rFonts w:ascii="Cambria" w:hAnsi="Cambria"/>
      <w:color w:val="365F91"/>
      <w:kern w:val="0"/>
      <w:sz w:val="28"/>
      <w:szCs w:val="28"/>
    </w:rPr>
  </w:style>
  <w:style w:type="paragraph" w:customStyle="1" w:styleId="29">
    <w:name w:val="正文1"/>
    <w:basedOn w:val="1"/>
    <w:qFormat/>
    <w:uiPriority w:val="0"/>
    <w:pPr>
      <w:widowControl/>
      <w:spacing w:after="200" w:line="480" w:lineRule="auto"/>
      <w:ind w:firstLine="200" w:firstLineChars="200"/>
      <w:jc w:val="left"/>
    </w:pPr>
    <w:rPr>
      <w:rFonts w:ascii="Times New Roman" w:hAnsi="Times New Roman" w:eastAsia="仿宋"/>
      <w:kern w:val="0"/>
      <w:sz w:val="28"/>
      <w:szCs w:val="22"/>
      <w:lang w:bidi="en-US"/>
    </w:rPr>
  </w:style>
  <w:style w:type="paragraph" w:customStyle="1" w:styleId="30">
    <w:name w:val="修订1"/>
    <w:qFormat/>
    <w:uiPriority w:val="0"/>
    <w:rPr>
      <w:rFonts w:ascii="Calibri" w:hAnsi="Calibri" w:eastAsia="宋体" w:cs="Times New Roman"/>
      <w:kern w:val="2"/>
      <w:sz w:val="21"/>
      <w:szCs w:val="24"/>
      <w:lang w:val="en-US" w:eastAsia="zh-CN" w:bidi="ar-SA"/>
    </w:rPr>
  </w:style>
  <w:style w:type="character" w:customStyle="1" w:styleId="31">
    <w:name w:val="font21"/>
    <w:basedOn w:val="20"/>
    <w:qFormat/>
    <w:uiPriority w:val="0"/>
    <w:rPr>
      <w:rFonts w:ascii="Arial Narrow" w:hAnsi="Arial Narrow"/>
      <w:color w:val="000000"/>
      <w:sz w:val="20"/>
      <w:szCs w:val="20"/>
      <w:u w:val="none"/>
    </w:rPr>
  </w:style>
  <w:style w:type="character" w:customStyle="1" w:styleId="32">
    <w:name w:val="font61"/>
    <w:basedOn w:val="20"/>
    <w:qFormat/>
    <w:uiPriority w:val="0"/>
    <w:rPr>
      <w:color w:val="000000"/>
      <w:sz w:val="20"/>
      <w:szCs w:val="20"/>
      <w:u w:val="none"/>
    </w:rPr>
  </w:style>
  <w:style w:type="paragraph" w:customStyle="1" w:styleId="33">
    <w:name w:val="样式1"/>
    <w:basedOn w:val="1"/>
    <w:qFormat/>
    <w:uiPriority w:val="0"/>
    <w:pPr>
      <w:tabs>
        <w:tab w:val="left" w:pos="630"/>
      </w:tabs>
      <w:ind w:firstLine="20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57</Pages>
  <Words>24055</Words>
  <Characters>31855</Characters>
  <Lines>2925</Lines>
  <Paragraphs>2044</Paragraphs>
  <TotalTime>1</TotalTime>
  <ScaleCrop>false</ScaleCrop>
  <LinksUpToDate>false</LinksUpToDate>
  <CharactersWithSpaces>32217</CharactersWithSpaces>
  <Application>WPS Office_11.8.2.10195_F1E327BC-269C-435d-A152-05C5408002CA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2021-03-13T20:09:00Z</cp:lastPrinted>
  <dcterms:modified xsi:type="dcterms:W3CDTF">2024-11-13T16:27:58Z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