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96ED4F">
      <w:pPr>
        <w:spacing w:line="500" w:lineRule="exact"/>
        <w:jc w:val="center"/>
        <w:rPr>
          <w:rFonts w:ascii="Times New Roman" w:hAnsi="Times New Roman" w:eastAsia="仿宋"/>
          <w:b/>
          <w:bCs/>
          <w:spacing w:val="20"/>
          <w:sz w:val="48"/>
          <w:szCs w:val="48"/>
        </w:rPr>
      </w:pPr>
      <w:bookmarkStart w:id="0" w:name="_Toc514537326"/>
      <w:bookmarkStart w:id="1" w:name="_Toc514537328"/>
    </w:p>
    <w:p w14:paraId="4F993C69">
      <w:pPr>
        <w:spacing w:line="500" w:lineRule="exact"/>
        <w:rPr>
          <w:rFonts w:ascii="Times New Roman" w:hAnsi="Times New Roman" w:eastAsia="仿宋"/>
          <w:b/>
          <w:bCs/>
          <w:spacing w:val="20"/>
          <w:sz w:val="48"/>
          <w:szCs w:val="48"/>
        </w:rPr>
      </w:pPr>
    </w:p>
    <w:p w14:paraId="71E7E470">
      <w:pPr>
        <w:spacing w:line="500" w:lineRule="exact"/>
        <w:rPr>
          <w:rFonts w:ascii="Times New Roman" w:hAnsi="Times New Roman" w:eastAsia="仿宋"/>
          <w:b/>
          <w:bCs/>
          <w:spacing w:val="20"/>
          <w:sz w:val="48"/>
          <w:szCs w:val="48"/>
        </w:rPr>
      </w:pPr>
    </w:p>
    <w:p w14:paraId="3281F8CC">
      <w:pPr>
        <w:spacing w:line="500" w:lineRule="exact"/>
        <w:rPr>
          <w:rFonts w:ascii="Times New Roman" w:hAnsi="Times New Roman" w:eastAsia="仿宋"/>
          <w:b/>
          <w:bCs/>
          <w:spacing w:val="20"/>
          <w:sz w:val="48"/>
          <w:szCs w:val="48"/>
        </w:rPr>
      </w:pPr>
    </w:p>
    <w:p w14:paraId="3EE0E645">
      <w:pPr>
        <w:autoSpaceDE w:val="0"/>
        <w:autoSpaceDN w:val="0"/>
        <w:adjustRightInd w:val="0"/>
        <w:spacing w:after="312" w:afterLines="100" w:line="520" w:lineRule="exact"/>
        <w:jc w:val="center"/>
        <w:rPr>
          <w:rFonts w:ascii="仿宋" w:hAnsi="仿宋" w:eastAsia="仿宋" w:cs="仿宋"/>
          <w:b/>
          <w:kern w:val="0"/>
          <w:sz w:val="44"/>
          <w:szCs w:val="44"/>
        </w:rPr>
      </w:pPr>
      <w:r>
        <w:rPr>
          <w:rFonts w:hint="eastAsia" w:ascii="仿宋" w:hAnsi="仿宋" w:eastAsia="仿宋" w:cs="仿宋"/>
          <w:b/>
          <w:kern w:val="0"/>
          <w:sz w:val="44"/>
          <w:szCs w:val="44"/>
          <w:lang w:eastAsia="zh-CN"/>
        </w:rPr>
        <w:t>古县旧县镇和南垣乡秦王庙村等8村土地综合整治项目</w:t>
      </w:r>
      <w:r>
        <w:rPr>
          <w:rFonts w:ascii="仿宋" w:hAnsi="仿宋" w:eastAsia="仿宋" w:cs="仿宋"/>
          <w:b/>
          <w:kern w:val="0"/>
          <w:sz w:val="44"/>
          <w:szCs w:val="44"/>
        </w:rPr>
        <w:t>资金财政支出绩效评价报告</w:t>
      </w:r>
    </w:p>
    <w:p w14:paraId="672A89CA">
      <w:pPr>
        <w:spacing w:line="500" w:lineRule="exact"/>
        <w:rPr>
          <w:rFonts w:ascii="Times New Roman" w:hAnsi="Times New Roman" w:eastAsia="仿宋"/>
          <w:b/>
          <w:bCs/>
          <w:sz w:val="48"/>
          <w:szCs w:val="48"/>
          <w:highlight w:val="yellow"/>
        </w:rPr>
      </w:pPr>
    </w:p>
    <w:p w14:paraId="1B260F25">
      <w:pPr>
        <w:spacing w:line="500" w:lineRule="exact"/>
        <w:rPr>
          <w:rFonts w:ascii="Times New Roman" w:hAnsi="Times New Roman" w:eastAsia="仿宋"/>
          <w:b/>
          <w:bCs/>
          <w:sz w:val="48"/>
          <w:szCs w:val="48"/>
          <w:highlight w:val="yellow"/>
        </w:rPr>
      </w:pPr>
    </w:p>
    <w:p w14:paraId="08D8C97E">
      <w:pPr>
        <w:spacing w:line="500" w:lineRule="exact"/>
        <w:rPr>
          <w:rFonts w:ascii="Times New Roman" w:hAnsi="Times New Roman" w:eastAsia="仿宋"/>
          <w:b/>
          <w:bCs/>
          <w:sz w:val="48"/>
          <w:szCs w:val="48"/>
          <w:highlight w:val="yellow"/>
        </w:rPr>
      </w:pPr>
    </w:p>
    <w:p w14:paraId="678DF64A">
      <w:pPr>
        <w:pStyle w:val="20"/>
        <w:rPr>
          <w:rFonts w:ascii="Times New Roman" w:hAnsi="Times New Roman" w:eastAsia="仿宋"/>
          <w:b/>
          <w:bCs/>
          <w:sz w:val="48"/>
          <w:szCs w:val="48"/>
          <w:highlight w:val="yellow"/>
        </w:rPr>
      </w:pPr>
    </w:p>
    <w:p w14:paraId="26DF5195">
      <w:pPr>
        <w:pStyle w:val="20"/>
        <w:rPr>
          <w:rFonts w:ascii="Times New Roman" w:hAnsi="Times New Roman" w:eastAsia="仿宋"/>
          <w:b/>
          <w:bCs/>
          <w:sz w:val="48"/>
          <w:szCs w:val="48"/>
          <w:highlight w:val="yellow"/>
        </w:rPr>
      </w:pPr>
    </w:p>
    <w:p w14:paraId="4925C26A">
      <w:pPr>
        <w:spacing w:line="500" w:lineRule="exact"/>
        <w:rPr>
          <w:rFonts w:ascii="Times New Roman" w:hAnsi="Times New Roman" w:eastAsia="仿宋"/>
          <w:b/>
          <w:bCs/>
          <w:sz w:val="48"/>
          <w:szCs w:val="48"/>
          <w:highlight w:val="yellow"/>
        </w:rPr>
      </w:pPr>
    </w:p>
    <w:p w14:paraId="75E2C04A">
      <w:pPr>
        <w:spacing w:line="500" w:lineRule="exact"/>
        <w:rPr>
          <w:rFonts w:ascii="Times New Roman" w:hAnsi="Times New Roman" w:eastAsia="仿宋"/>
          <w:b/>
          <w:bCs/>
          <w:sz w:val="48"/>
          <w:szCs w:val="48"/>
          <w:highlight w:val="yellow"/>
        </w:rPr>
      </w:pPr>
    </w:p>
    <w:p w14:paraId="5FB6CD41">
      <w:pPr>
        <w:spacing w:line="500" w:lineRule="exact"/>
        <w:rPr>
          <w:rFonts w:ascii="Times New Roman" w:hAnsi="Times New Roman" w:eastAsia="仿宋"/>
          <w:b/>
          <w:bCs/>
          <w:sz w:val="48"/>
          <w:szCs w:val="48"/>
          <w:highlight w:val="yellow"/>
        </w:rPr>
      </w:pPr>
    </w:p>
    <w:p w14:paraId="1D2C2B61">
      <w:pPr>
        <w:spacing w:line="500" w:lineRule="exact"/>
        <w:rPr>
          <w:rFonts w:ascii="Times New Roman" w:hAnsi="Times New Roman" w:eastAsia="仿宋"/>
          <w:b/>
          <w:bCs/>
          <w:sz w:val="48"/>
          <w:szCs w:val="48"/>
          <w:highlight w:val="yellow"/>
        </w:rPr>
      </w:pPr>
    </w:p>
    <w:p w14:paraId="2846484C">
      <w:pPr>
        <w:autoSpaceDE w:val="0"/>
        <w:autoSpaceDN w:val="0"/>
        <w:adjustRightInd w:val="0"/>
        <w:spacing w:line="500" w:lineRule="exact"/>
        <w:ind w:firstLine="1405" w:firstLineChars="500"/>
        <w:jc w:val="left"/>
        <w:rPr>
          <w:rFonts w:hint="eastAsia" w:ascii="Times New Roman" w:hAnsi="Times New Roman" w:eastAsia="仿宋"/>
          <w:b/>
          <w:bCs/>
          <w:kern w:val="0"/>
          <w:sz w:val="28"/>
          <w:szCs w:val="28"/>
          <w:lang w:eastAsia="zh-CN"/>
        </w:rPr>
      </w:pPr>
      <w:r>
        <w:rPr>
          <w:rFonts w:ascii="Times New Roman" w:hAnsi="Times New Roman" w:eastAsia="仿宋"/>
          <w:b/>
          <w:bCs/>
          <w:kern w:val="0"/>
          <w:sz w:val="28"/>
          <w:szCs w:val="28"/>
        </w:rPr>
        <w:t>主管单位：</w:t>
      </w:r>
      <w:r>
        <w:rPr>
          <w:rFonts w:hint="eastAsia" w:ascii="仿宋" w:hAnsi="仿宋" w:eastAsia="仿宋" w:cs="仿宋"/>
          <w:b/>
          <w:bCs/>
          <w:kern w:val="0"/>
          <w:sz w:val="28"/>
          <w:szCs w:val="28"/>
          <w:lang w:eastAsia="zh-CN"/>
        </w:rPr>
        <w:t>古县自然资源局</w:t>
      </w:r>
    </w:p>
    <w:p w14:paraId="32D4EFB3">
      <w:pPr>
        <w:autoSpaceDE w:val="0"/>
        <w:autoSpaceDN w:val="0"/>
        <w:adjustRightInd w:val="0"/>
        <w:spacing w:line="500" w:lineRule="exact"/>
        <w:ind w:firstLine="1405" w:firstLineChars="500"/>
        <w:jc w:val="left"/>
        <w:rPr>
          <w:rFonts w:hint="eastAsia" w:ascii="Times New Roman" w:hAnsi="Times New Roman" w:eastAsia="仿宋"/>
          <w:b/>
          <w:bCs/>
          <w:kern w:val="0"/>
          <w:sz w:val="28"/>
          <w:szCs w:val="28"/>
          <w:lang w:eastAsia="zh-CN"/>
        </w:rPr>
      </w:pPr>
      <w:r>
        <w:rPr>
          <w:rFonts w:ascii="Times New Roman" w:hAnsi="Times New Roman" w:eastAsia="仿宋"/>
          <w:b/>
          <w:bCs/>
          <w:kern w:val="0"/>
          <w:sz w:val="28"/>
          <w:szCs w:val="28"/>
        </w:rPr>
        <w:t>实施单位：</w:t>
      </w:r>
      <w:r>
        <w:rPr>
          <w:rFonts w:hint="eastAsia" w:ascii="仿宋" w:hAnsi="仿宋" w:eastAsia="仿宋" w:cs="仿宋"/>
          <w:b/>
          <w:bCs/>
          <w:kern w:val="0"/>
          <w:sz w:val="28"/>
          <w:szCs w:val="28"/>
          <w:lang w:eastAsia="zh-CN"/>
        </w:rPr>
        <w:t>古县自然资源局</w:t>
      </w:r>
    </w:p>
    <w:p w14:paraId="7FDBFBBB">
      <w:pPr>
        <w:autoSpaceDE w:val="0"/>
        <w:autoSpaceDN w:val="0"/>
        <w:adjustRightInd w:val="0"/>
        <w:spacing w:line="500" w:lineRule="exact"/>
        <w:ind w:firstLine="1405" w:firstLineChars="500"/>
        <w:rPr>
          <w:rFonts w:ascii="Times New Roman" w:hAnsi="Times New Roman" w:eastAsia="仿宋"/>
          <w:b/>
          <w:bCs/>
          <w:kern w:val="0"/>
          <w:sz w:val="28"/>
          <w:szCs w:val="28"/>
        </w:rPr>
      </w:pPr>
      <w:r>
        <w:rPr>
          <w:rFonts w:ascii="Times New Roman" w:hAnsi="Times New Roman" w:eastAsia="仿宋"/>
          <w:b/>
          <w:bCs/>
          <w:kern w:val="0"/>
          <w:sz w:val="28"/>
          <w:szCs w:val="28"/>
        </w:rPr>
        <w:t>委托单位：</w:t>
      </w:r>
      <w:r>
        <w:rPr>
          <w:rFonts w:hint="eastAsia" w:ascii="Times New Roman" w:hAnsi="Times New Roman" w:eastAsia="仿宋"/>
          <w:b/>
          <w:bCs/>
          <w:kern w:val="0"/>
          <w:sz w:val="28"/>
          <w:szCs w:val="28"/>
          <w:lang w:eastAsia="zh-CN"/>
        </w:rPr>
        <w:t>古县</w:t>
      </w:r>
      <w:r>
        <w:rPr>
          <w:rFonts w:ascii="Times New Roman" w:hAnsi="Times New Roman" w:eastAsia="仿宋"/>
          <w:b/>
          <w:bCs/>
          <w:kern w:val="0"/>
          <w:sz w:val="28"/>
          <w:szCs w:val="28"/>
        </w:rPr>
        <w:t>财政局</w:t>
      </w:r>
    </w:p>
    <w:p w14:paraId="3F602129">
      <w:pPr>
        <w:autoSpaceDE w:val="0"/>
        <w:autoSpaceDN w:val="0"/>
        <w:adjustRightInd w:val="0"/>
        <w:spacing w:line="500" w:lineRule="exact"/>
        <w:ind w:firstLine="1405" w:firstLineChars="500"/>
        <w:jc w:val="left"/>
        <w:rPr>
          <w:rFonts w:ascii="Times New Roman" w:hAnsi="Times New Roman" w:eastAsia="仿宋"/>
          <w:b/>
          <w:bCs/>
          <w:kern w:val="0"/>
          <w:sz w:val="28"/>
          <w:szCs w:val="28"/>
        </w:rPr>
      </w:pPr>
      <w:r>
        <w:rPr>
          <w:rFonts w:ascii="Times New Roman" w:hAnsi="Times New Roman" w:eastAsia="仿宋"/>
          <w:b/>
          <w:bCs/>
          <w:kern w:val="0"/>
          <w:sz w:val="28"/>
          <w:szCs w:val="28"/>
        </w:rPr>
        <w:t>评价机构：山西恒略绩效管理咨询有限公司</w:t>
      </w:r>
    </w:p>
    <w:p w14:paraId="5CDEEDEE">
      <w:pPr>
        <w:spacing w:line="500" w:lineRule="exact"/>
        <w:rPr>
          <w:rFonts w:ascii="Times New Roman" w:hAnsi="Times New Roman" w:eastAsia="仿宋"/>
          <w:b/>
          <w:bCs/>
          <w:sz w:val="28"/>
          <w:szCs w:val="28"/>
        </w:rPr>
      </w:pPr>
    </w:p>
    <w:p w14:paraId="4D1B7EA1">
      <w:pPr>
        <w:spacing w:line="500" w:lineRule="exact"/>
        <w:rPr>
          <w:rFonts w:ascii="Times New Roman" w:hAnsi="Times New Roman" w:eastAsia="仿宋"/>
          <w:b/>
          <w:bCs/>
          <w:sz w:val="48"/>
          <w:szCs w:val="48"/>
          <w:highlight w:val="yellow"/>
        </w:rPr>
      </w:pPr>
    </w:p>
    <w:p w14:paraId="4A0E85C6">
      <w:pPr>
        <w:spacing w:line="500" w:lineRule="exact"/>
        <w:jc w:val="center"/>
        <w:rPr>
          <w:rFonts w:ascii="Times New Roman" w:hAnsi="Times New Roman" w:eastAsia="仿宋"/>
          <w:b/>
          <w:bCs/>
          <w:sz w:val="32"/>
          <w:szCs w:val="32"/>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p>
    <w:p w14:paraId="08EADFF9">
      <w:pPr>
        <w:widowControl/>
        <w:spacing w:line="500" w:lineRule="exact"/>
        <w:jc w:val="center"/>
        <w:rPr>
          <w:rFonts w:ascii="Times New Roman" w:hAnsi="Times New Roman" w:eastAsia="仿宋"/>
          <w:sz w:val="44"/>
          <w:szCs w:val="44"/>
        </w:rPr>
      </w:pPr>
    </w:p>
    <w:p w14:paraId="2E52AD91">
      <w:pPr>
        <w:widowControl/>
        <w:spacing w:line="500" w:lineRule="exact"/>
        <w:jc w:val="center"/>
        <w:rPr>
          <w:rFonts w:ascii="Times New Roman" w:hAnsi="Times New Roman" w:eastAsia="仿宋"/>
          <w:sz w:val="44"/>
          <w:szCs w:val="44"/>
        </w:rPr>
      </w:pPr>
    </w:p>
    <w:p w14:paraId="5CE4D3E0">
      <w:pPr>
        <w:keepNext w:val="0"/>
        <w:keepLines w:val="0"/>
        <w:pageBreakBefore w:val="0"/>
        <w:tabs>
          <w:tab w:val="left" w:pos="1020"/>
        </w:tabs>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highlight w:val="yellow"/>
        </w:rPr>
      </w:pPr>
      <w:r>
        <w:rPr>
          <w:rFonts w:ascii="Times New Roman" w:hAnsi="Times New Roman" w:eastAsia="仿宋"/>
          <w:b/>
          <w:bCs/>
          <w:sz w:val="44"/>
          <w:szCs w:val="44"/>
        </w:rPr>
        <w:br w:type="page"/>
      </w:r>
      <w:r>
        <w:rPr>
          <w:rFonts w:hint="eastAsia" w:ascii="仿宋" w:hAnsi="仿宋" w:eastAsia="仿宋" w:cs="仿宋"/>
          <w:b/>
          <w:bCs w:val="0"/>
          <w:sz w:val="24"/>
          <w:szCs w:val="24"/>
        </w:rPr>
        <w:t>目  录</w:t>
      </w:r>
    </w:p>
    <w:p w14:paraId="7F9FF1E0">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TOC \o "1-3" \h \z \u </w:instrText>
      </w:r>
      <w:r>
        <w:rPr>
          <w:rFonts w:hint="eastAsia" w:ascii="仿宋" w:hAnsi="仿宋" w:eastAsia="仿宋" w:cs="仿宋"/>
          <w:sz w:val="24"/>
          <w:szCs w:val="24"/>
          <w:highlight w:val="yellow"/>
        </w:rPr>
        <w:fldChar w:fldCharType="separate"/>
      </w: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_Toc19260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报告摘要</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_Toc19260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1</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3202711C">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_Toc7526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一、项目基本情况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_Toc7526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6</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74270D6B">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_Toc29317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（一）项目背景及概况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_Toc29317 </w:instrText>
      </w:r>
      <w:r>
        <w:rPr>
          <w:rFonts w:hint="eastAsia" w:ascii="仿宋" w:hAnsi="仿宋" w:eastAsia="仿宋" w:cs="仿宋"/>
          <w:sz w:val="24"/>
          <w:szCs w:val="24"/>
        </w:rPr>
        <w:fldChar w:fldCharType="separate"/>
      </w:r>
      <w:r>
        <w:rPr>
          <w:rFonts w:hint="eastAsia" w:ascii="仿宋" w:hAnsi="仿宋" w:eastAsia="仿宋" w:cs="仿宋"/>
          <w:sz w:val="24"/>
          <w:szCs w:val="24"/>
        </w:rPr>
        <w:t>6</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2D5D9336">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_Toc22149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（二）预算资金来源与资金使用范围</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_Toc22149 </w:instrText>
      </w:r>
      <w:r>
        <w:rPr>
          <w:rFonts w:hint="eastAsia" w:ascii="仿宋" w:hAnsi="仿宋" w:eastAsia="仿宋" w:cs="仿宋"/>
          <w:sz w:val="24"/>
          <w:szCs w:val="24"/>
        </w:rPr>
        <w:fldChar w:fldCharType="separate"/>
      </w:r>
      <w:r>
        <w:rPr>
          <w:rFonts w:hint="eastAsia" w:ascii="仿宋" w:hAnsi="仿宋" w:eastAsia="仿宋" w:cs="仿宋"/>
          <w:sz w:val="24"/>
          <w:szCs w:val="24"/>
        </w:rPr>
        <w:t>11</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6C5BD058">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_Toc28125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（三）项目立项依据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_Toc28125 </w:instrText>
      </w:r>
      <w:r>
        <w:rPr>
          <w:rFonts w:hint="eastAsia" w:ascii="仿宋" w:hAnsi="仿宋" w:eastAsia="仿宋" w:cs="仿宋"/>
          <w:sz w:val="24"/>
          <w:szCs w:val="24"/>
        </w:rPr>
        <w:fldChar w:fldCharType="separate"/>
      </w:r>
      <w:r>
        <w:rPr>
          <w:rFonts w:hint="eastAsia" w:ascii="仿宋" w:hAnsi="仿宋" w:eastAsia="仿宋" w:cs="仿宋"/>
          <w:sz w:val="24"/>
          <w:szCs w:val="24"/>
        </w:rPr>
        <w:t>11</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4A0656A3">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_Toc21880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（四）项目绩效目标</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_Toc21880 </w:instrText>
      </w:r>
      <w:r>
        <w:rPr>
          <w:rFonts w:hint="eastAsia" w:ascii="仿宋" w:hAnsi="仿宋" w:eastAsia="仿宋" w:cs="仿宋"/>
          <w:sz w:val="24"/>
          <w:szCs w:val="24"/>
        </w:rPr>
        <w:fldChar w:fldCharType="separate"/>
      </w:r>
      <w:r>
        <w:rPr>
          <w:rFonts w:hint="eastAsia" w:ascii="仿宋" w:hAnsi="仿宋" w:eastAsia="仿宋" w:cs="仿宋"/>
          <w:sz w:val="24"/>
          <w:szCs w:val="24"/>
        </w:rPr>
        <w:t>14</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77F4AE9D">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_Toc28339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二、项目组织实施情况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_Toc28339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15</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509C2F1C">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_Toc26637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（一）项目组织情况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_Toc26637 </w:instrText>
      </w:r>
      <w:r>
        <w:rPr>
          <w:rFonts w:hint="eastAsia" w:ascii="仿宋" w:hAnsi="仿宋" w:eastAsia="仿宋" w:cs="仿宋"/>
          <w:sz w:val="24"/>
          <w:szCs w:val="24"/>
        </w:rPr>
        <w:fldChar w:fldCharType="separate"/>
      </w:r>
      <w:r>
        <w:rPr>
          <w:rFonts w:hint="eastAsia" w:ascii="仿宋" w:hAnsi="仿宋" w:eastAsia="仿宋" w:cs="仿宋"/>
          <w:sz w:val="24"/>
          <w:szCs w:val="24"/>
        </w:rPr>
        <w:t>15</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7C884677">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_Toc19783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（二）项目实施情况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_Toc19783 </w:instrText>
      </w:r>
      <w:r>
        <w:rPr>
          <w:rFonts w:hint="eastAsia" w:ascii="仿宋" w:hAnsi="仿宋" w:eastAsia="仿宋" w:cs="仿宋"/>
          <w:sz w:val="24"/>
          <w:szCs w:val="24"/>
        </w:rPr>
        <w:fldChar w:fldCharType="separate"/>
      </w:r>
      <w:r>
        <w:rPr>
          <w:rFonts w:hint="eastAsia" w:ascii="仿宋" w:hAnsi="仿宋" w:eastAsia="仿宋" w:cs="仿宋"/>
          <w:sz w:val="24"/>
          <w:szCs w:val="24"/>
        </w:rPr>
        <w:t>15</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73BD959F">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_Toc2162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（三）资金使用及管理情况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_Toc2162 </w:instrText>
      </w:r>
      <w:r>
        <w:rPr>
          <w:rFonts w:hint="eastAsia" w:ascii="仿宋" w:hAnsi="仿宋" w:eastAsia="仿宋" w:cs="仿宋"/>
          <w:sz w:val="24"/>
          <w:szCs w:val="24"/>
        </w:rPr>
        <w:fldChar w:fldCharType="separate"/>
      </w:r>
      <w:r>
        <w:rPr>
          <w:rFonts w:hint="eastAsia" w:ascii="仿宋" w:hAnsi="仿宋" w:eastAsia="仿宋" w:cs="仿宋"/>
          <w:sz w:val="24"/>
          <w:szCs w:val="24"/>
        </w:rPr>
        <w:t>23</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4382FE7B">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_Toc14938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三、绩效评价工作情况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_Toc14938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23</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204E9767">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_Toc20123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（一）绩效评价的目的</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_Toc20123 </w:instrText>
      </w:r>
      <w:r>
        <w:rPr>
          <w:rFonts w:hint="eastAsia" w:ascii="仿宋" w:hAnsi="仿宋" w:eastAsia="仿宋" w:cs="仿宋"/>
          <w:sz w:val="24"/>
          <w:szCs w:val="24"/>
        </w:rPr>
        <w:fldChar w:fldCharType="separate"/>
      </w:r>
      <w:r>
        <w:rPr>
          <w:rFonts w:hint="eastAsia" w:ascii="仿宋" w:hAnsi="仿宋" w:eastAsia="仿宋" w:cs="仿宋"/>
          <w:sz w:val="24"/>
          <w:szCs w:val="24"/>
        </w:rPr>
        <w:t>23</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6CBD2ADC">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_Toc22363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（二）绩效评价的依据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_Toc22363 </w:instrText>
      </w:r>
      <w:r>
        <w:rPr>
          <w:rFonts w:hint="eastAsia" w:ascii="仿宋" w:hAnsi="仿宋" w:eastAsia="仿宋" w:cs="仿宋"/>
          <w:sz w:val="24"/>
          <w:szCs w:val="24"/>
        </w:rPr>
        <w:fldChar w:fldCharType="separate"/>
      </w:r>
      <w:r>
        <w:rPr>
          <w:rFonts w:hint="eastAsia" w:ascii="仿宋" w:hAnsi="仿宋" w:eastAsia="仿宋" w:cs="仿宋"/>
          <w:sz w:val="24"/>
          <w:szCs w:val="24"/>
        </w:rPr>
        <w:t>24</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2E65836A">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_Toc8674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（三）评价对象和范围</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_Toc8674 </w:instrText>
      </w:r>
      <w:r>
        <w:rPr>
          <w:rFonts w:hint="eastAsia" w:ascii="仿宋" w:hAnsi="仿宋" w:eastAsia="仿宋" w:cs="仿宋"/>
          <w:sz w:val="24"/>
          <w:szCs w:val="24"/>
        </w:rPr>
        <w:fldChar w:fldCharType="separate"/>
      </w:r>
      <w:r>
        <w:rPr>
          <w:rFonts w:hint="eastAsia" w:ascii="仿宋" w:hAnsi="仿宋" w:eastAsia="仿宋" w:cs="仿宋"/>
          <w:sz w:val="24"/>
          <w:szCs w:val="24"/>
        </w:rPr>
        <w:t>25</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31B455F9">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_Toc18349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（四）绩效评价基准日</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_Toc18349 </w:instrText>
      </w:r>
      <w:r>
        <w:rPr>
          <w:rFonts w:hint="eastAsia" w:ascii="仿宋" w:hAnsi="仿宋" w:eastAsia="仿宋" w:cs="仿宋"/>
          <w:sz w:val="24"/>
          <w:szCs w:val="24"/>
        </w:rPr>
        <w:fldChar w:fldCharType="separate"/>
      </w:r>
      <w:r>
        <w:rPr>
          <w:rFonts w:hint="eastAsia" w:ascii="仿宋" w:hAnsi="仿宋" w:eastAsia="仿宋" w:cs="仿宋"/>
          <w:sz w:val="24"/>
          <w:szCs w:val="24"/>
        </w:rPr>
        <w:t>25</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38E7BF53">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_Toc15388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（五）绩效评价的原则</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_Toc15388 </w:instrText>
      </w:r>
      <w:r>
        <w:rPr>
          <w:rFonts w:hint="eastAsia" w:ascii="仿宋" w:hAnsi="仿宋" w:eastAsia="仿宋" w:cs="仿宋"/>
          <w:sz w:val="24"/>
          <w:szCs w:val="24"/>
        </w:rPr>
        <w:fldChar w:fldCharType="separate"/>
      </w:r>
      <w:r>
        <w:rPr>
          <w:rFonts w:hint="eastAsia" w:ascii="仿宋" w:hAnsi="仿宋" w:eastAsia="仿宋" w:cs="仿宋"/>
          <w:sz w:val="24"/>
          <w:szCs w:val="24"/>
        </w:rPr>
        <w:t>25</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1459946E">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_Toc13168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（六）绩效评价的方法</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_Toc13168 </w:instrText>
      </w:r>
      <w:r>
        <w:rPr>
          <w:rFonts w:hint="eastAsia" w:ascii="仿宋" w:hAnsi="仿宋" w:eastAsia="仿宋" w:cs="仿宋"/>
          <w:sz w:val="24"/>
          <w:szCs w:val="24"/>
        </w:rPr>
        <w:fldChar w:fldCharType="separate"/>
      </w:r>
      <w:r>
        <w:rPr>
          <w:rFonts w:hint="eastAsia" w:ascii="仿宋" w:hAnsi="仿宋" w:eastAsia="仿宋" w:cs="仿宋"/>
          <w:sz w:val="24"/>
          <w:szCs w:val="24"/>
        </w:rPr>
        <w:t>26</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6851F715">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_Toc31178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（七）评价指标体系</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_Toc31178 </w:instrText>
      </w:r>
      <w:r>
        <w:rPr>
          <w:rFonts w:hint="eastAsia" w:ascii="仿宋" w:hAnsi="仿宋" w:eastAsia="仿宋" w:cs="仿宋"/>
          <w:sz w:val="24"/>
          <w:szCs w:val="24"/>
        </w:rPr>
        <w:fldChar w:fldCharType="separate"/>
      </w:r>
      <w:r>
        <w:rPr>
          <w:rFonts w:hint="eastAsia" w:ascii="仿宋" w:hAnsi="仿宋" w:eastAsia="仿宋" w:cs="仿宋"/>
          <w:sz w:val="24"/>
          <w:szCs w:val="24"/>
        </w:rPr>
        <w:t>27</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5269FFA6">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_Toc23147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（八）绩效评价工作组织</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_Toc23147 </w:instrText>
      </w:r>
      <w:r>
        <w:rPr>
          <w:rFonts w:hint="eastAsia" w:ascii="仿宋" w:hAnsi="仿宋" w:eastAsia="仿宋" w:cs="仿宋"/>
          <w:sz w:val="24"/>
          <w:szCs w:val="24"/>
        </w:rPr>
        <w:fldChar w:fldCharType="separate"/>
      </w:r>
      <w:r>
        <w:rPr>
          <w:rFonts w:hint="eastAsia" w:ascii="仿宋" w:hAnsi="仿宋" w:eastAsia="仿宋" w:cs="仿宋"/>
          <w:sz w:val="24"/>
          <w:szCs w:val="24"/>
        </w:rPr>
        <w:t>27</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1F037A05">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_Toc13169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四、绩效评价指标分析情况</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_Toc13169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29</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344BE10B">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_Toc13777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（一）分项分析与汇总</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_Toc13777 </w:instrText>
      </w:r>
      <w:r>
        <w:rPr>
          <w:rFonts w:hint="eastAsia" w:ascii="仿宋" w:hAnsi="仿宋" w:eastAsia="仿宋" w:cs="仿宋"/>
          <w:sz w:val="24"/>
          <w:szCs w:val="24"/>
        </w:rPr>
        <w:fldChar w:fldCharType="separate"/>
      </w:r>
      <w:r>
        <w:rPr>
          <w:rFonts w:hint="eastAsia" w:ascii="仿宋" w:hAnsi="仿宋" w:eastAsia="仿宋" w:cs="仿宋"/>
          <w:sz w:val="24"/>
          <w:szCs w:val="24"/>
        </w:rPr>
        <w:t>29</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12B603C5">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_Toc20446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（二）总体得分情况</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_Toc20446 </w:instrText>
      </w:r>
      <w:r>
        <w:rPr>
          <w:rFonts w:hint="eastAsia" w:ascii="仿宋" w:hAnsi="仿宋" w:eastAsia="仿宋" w:cs="仿宋"/>
          <w:sz w:val="24"/>
          <w:szCs w:val="24"/>
        </w:rPr>
        <w:fldChar w:fldCharType="separate"/>
      </w:r>
      <w:r>
        <w:rPr>
          <w:rFonts w:hint="eastAsia" w:ascii="仿宋" w:hAnsi="仿宋" w:eastAsia="仿宋" w:cs="仿宋"/>
          <w:sz w:val="24"/>
          <w:szCs w:val="24"/>
        </w:rPr>
        <w:t>37</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0D6FF129">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_Toc18990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五、综合评价情况及结论</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_Toc18990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37</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75295940">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_Toc28348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（一）评分结果</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_Toc28348 </w:instrText>
      </w:r>
      <w:r>
        <w:rPr>
          <w:rFonts w:hint="eastAsia" w:ascii="仿宋" w:hAnsi="仿宋" w:eastAsia="仿宋" w:cs="仿宋"/>
          <w:sz w:val="24"/>
          <w:szCs w:val="24"/>
        </w:rPr>
        <w:fldChar w:fldCharType="separate"/>
      </w:r>
      <w:r>
        <w:rPr>
          <w:rFonts w:hint="eastAsia" w:ascii="仿宋" w:hAnsi="仿宋" w:eastAsia="仿宋" w:cs="仿宋"/>
          <w:sz w:val="24"/>
          <w:szCs w:val="24"/>
        </w:rPr>
        <w:t>37</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637E4080">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_Toc646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（二）主要结论</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_Toc646 </w:instrText>
      </w:r>
      <w:r>
        <w:rPr>
          <w:rFonts w:hint="eastAsia" w:ascii="仿宋" w:hAnsi="仿宋" w:eastAsia="仿宋" w:cs="仿宋"/>
          <w:sz w:val="24"/>
          <w:szCs w:val="24"/>
        </w:rPr>
        <w:fldChar w:fldCharType="separate"/>
      </w:r>
      <w:r>
        <w:rPr>
          <w:rFonts w:hint="eastAsia" w:ascii="仿宋" w:hAnsi="仿宋" w:eastAsia="仿宋" w:cs="仿宋"/>
          <w:sz w:val="24"/>
          <w:szCs w:val="24"/>
        </w:rPr>
        <w:t>37</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0493149E">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_Toc20216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六、存在的问题和改进建议</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_Toc20216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38</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4660ABB0">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_Toc28066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（一）存在的问题</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_Toc28066 </w:instrText>
      </w:r>
      <w:r>
        <w:rPr>
          <w:rFonts w:hint="eastAsia" w:ascii="仿宋" w:hAnsi="仿宋" w:eastAsia="仿宋" w:cs="仿宋"/>
          <w:sz w:val="24"/>
          <w:szCs w:val="24"/>
        </w:rPr>
        <w:fldChar w:fldCharType="separate"/>
      </w:r>
      <w:r>
        <w:rPr>
          <w:rFonts w:hint="eastAsia" w:ascii="仿宋" w:hAnsi="仿宋" w:eastAsia="仿宋" w:cs="仿宋"/>
          <w:sz w:val="24"/>
          <w:szCs w:val="24"/>
        </w:rPr>
        <w:t>38</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68D890E5">
      <w:pPr>
        <w:pStyle w:val="16"/>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r>
        <w:rPr>
          <w:rFonts w:hint="eastAsia" w:ascii="仿宋" w:hAnsi="仿宋" w:eastAsia="仿宋" w:cs="仿宋"/>
          <w:sz w:val="24"/>
          <w:szCs w:val="24"/>
          <w:highlight w:val="yellow"/>
        </w:rPr>
        <w:fldChar w:fldCharType="begin"/>
      </w:r>
      <w:r>
        <w:rPr>
          <w:rFonts w:hint="eastAsia" w:ascii="仿宋" w:hAnsi="仿宋" w:eastAsia="仿宋" w:cs="仿宋"/>
          <w:sz w:val="24"/>
          <w:szCs w:val="24"/>
          <w:highlight w:val="yellow"/>
        </w:rPr>
        <w:instrText xml:space="preserve"> HYPERLINK \l _Toc29524 </w:instrText>
      </w:r>
      <w:r>
        <w:rPr>
          <w:rFonts w:hint="eastAsia" w:ascii="仿宋" w:hAnsi="仿宋" w:eastAsia="仿宋" w:cs="仿宋"/>
          <w:sz w:val="24"/>
          <w:szCs w:val="24"/>
          <w:highlight w:val="yellow"/>
        </w:rPr>
        <w:fldChar w:fldCharType="separate"/>
      </w:r>
      <w:r>
        <w:rPr>
          <w:rFonts w:hint="eastAsia" w:ascii="仿宋" w:hAnsi="仿宋" w:eastAsia="仿宋" w:cs="仿宋"/>
          <w:sz w:val="24"/>
          <w:szCs w:val="24"/>
        </w:rPr>
        <w:t>（二）改进建议</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_Toc29524 </w:instrText>
      </w:r>
      <w:r>
        <w:rPr>
          <w:rFonts w:hint="eastAsia" w:ascii="仿宋" w:hAnsi="仿宋" w:eastAsia="仿宋" w:cs="仿宋"/>
          <w:sz w:val="24"/>
          <w:szCs w:val="24"/>
        </w:rPr>
        <w:fldChar w:fldCharType="separate"/>
      </w:r>
      <w:r>
        <w:rPr>
          <w:rFonts w:hint="eastAsia" w:ascii="仿宋" w:hAnsi="仿宋" w:eastAsia="仿宋" w:cs="仿宋"/>
          <w:sz w:val="24"/>
          <w:szCs w:val="24"/>
        </w:rPr>
        <w:t>38</w:t>
      </w:r>
      <w:r>
        <w:rPr>
          <w:rFonts w:hint="eastAsia" w:ascii="仿宋" w:hAnsi="仿宋" w:eastAsia="仿宋" w:cs="仿宋"/>
          <w:sz w:val="24"/>
          <w:szCs w:val="24"/>
        </w:rPr>
        <w:fldChar w:fldCharType="end"/>
      </w:r>
      <w:r>
        <w:rPr>
          <w:rFonts w:hint="eastAsia" w:ascii="仿宋" w:hAnsi="仿宋" w:eastAsia="仿宋" w:cs="仿宋"/>
          <w:sz w:val="24"/>
          <w:szCs w:val="24"/>
          <w:highlight w:val="yellow"/>
        </w:rPr>
        <w:fldChar w:fldCharType="end"/>
      </w:r>
    </w:p>
    <w:p w14:paraId="3A05EC50">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_Toc13340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rPr>
        <w:t>七、绩效评价结果应用建议</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_Toc13340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39</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6BCCB10E">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_Toc22946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0"/>
          <w:sz w:val="24"/>
          <w:szCs w:val="24"/>
        </w:rPr>
        <w:t>附件1：评价指标体系</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_Toc22946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40</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0FC2754C">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_Toc7422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0"/>
          <w:sz w:val="24"/>
          <w:szCs w:val="24"/>
        </w:rPr>
        <w:t>附件2：问卷调查报告</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_Toc7422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44</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37EF39D0">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_Toc5347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kern w:val="0"/>
          <w:sz w:val="24"/>
          <w:szCs w:val="24"/>
        </w:rPr>
        <w:t>附件</w:t>
      </w:r>
      <w:r>
        <w:rPr>
          <w:rFonts w:hint="eastAsia" w:ascii="仿宋" w:hAnsi="仿宋" w:eastAsia="仿宋" w:cs="仿宋"/>
          <w:b/>
          <w:bCs/>
          <w:kern w:val="0"/>
          <w:sz w:val="24"/>
          <w:szCs w:val="24"/>
          <w:lang w:val="en-US" w:eastAsia="zh-CN"/>
        </w:rPr>
        <w:t>3</w:t>
      </w:r>
      <w:r>
        <w:rPr>
          <w:rFonts w:hint="eastAsia" w:ascii="仿宋" w:hAnsi="仿宋" w:eastAsia="仿宋" w:cs="仿宋"/>
          <w:b/>
          <w:bCs/>
          <w:kern w:val="0"/>
          <w:sz w:val="24"/>
          <w:szCs w:val="24"/>
        </w:rPr>
        <w:t>：合规性审查</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_Toc5347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46</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287F54FF">
      <w:pPr>
        <w:pStyle w:val="15"/>
        <w:keepNext w:val="0"/>
        <w:keepLines w:val="0"/>
        <w:pageBreakBefore w:val="0"/>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rPr>
      </w:pPr>
      <w:r>
        <w:rPr>
          <w:rFonts w:hint="eastAsia" w:ascii="仿宋" w:hAnsi="仿宋" w:eastAsia="仿宋" w:cs="仿宋"/>
          <w:b/>
          <w:bCs/>
          <w:sz w:val="24"/>
          <w:szCs w:val="24"/>
          <w:highlight w:val="yellow"/>
        </w:rPr>
        <w:fldChar w:fldCharType="begin"/>
      </w:r>
      <w:r>
        <w:rPr>
          <w:rFonts w:hint="eastAsia" w:ascii="仿宋" w:hAnsi="仿宋" w:eastAsia="仿宋" w:cs="仿宋"/>
          <w:b/>
          <w:bCs/>
          <w:sz w:val="24"/>
          <w:szCs w:val="24"/>
          <w:highlight w:val="yellow"/>
        </w:rPr>
        <w:instrText xml:space="preserve"> HYPERLINK \l _Toc7820 </w:instrText>
      </w:r>
      <w:r>
        <w:rPr>
          <w:rFonts w:hint="eastAsia" w:ascii="仿宋" w:hAnsi="仿宋" w:eastAsia="仿宋" w:cs="仿宋"/>
          <w:b/>
          <w:bCs/>
          <w:sz w:val="24"/>
          <w:szCs w:val="24"/>
          <w:highlight w:val="yellow"/>
        </w:rPr>
        <w:fldChar w:fldCharType="separate"/>
      </w:r>
      <w:r>
        <w:rPr>
          <w:rFonts w:hint="eastAsia" w:ascii="仿宋" w:hAnsi="仿宋" w:eastAsia="仿宋" w:cs="仿宋"/>
          <w:b/>
          <w:bCs/>
          <w:sz w:val="24"/>
          <w:szCs w:val="24"/>
          <w:lang w:val="en-US" w:eastAsia="zh-CN"/>
        </w:rPr>
        <w:t>附件4：访谈记录</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_Toc7820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49</w:t>
      </w:r>
      <w:r>
        <w:rPr>
          <w:rFonts w:hint="eastAsia" w:ascii="仿宋" w:hAnsi="仿宋" w:eastAsia="仿宋" w:cs="仿宋"/>
          <w:b/>
          <w:bCs/>
          <w:sz w:val="24"/>
          <w:szCs w:val="24"/>
        </w:rPr>
        <w:fldChar w:fldCharType="end"/>
      </w:r>
      <w:r>
        <w:rPr>
          <w:rFonts w:hint="eastAsia" w:ascii="仿宋" w:hAnsi="仿宋" w:eastAsia="仿宋" w:cs="仿宋"/>
          <w:b/>
          <w:bCs/>
          <w:sz w:val="24"/>
          <w:szCs w:val="24"/>
          <w:highlight w:val="yellow"/>
        </w:rPr>
        <w:fldChar w:fldCharType="end"/>
      </w:r>
    </w:p>
    <w:p w14:paraId="17115D42">
      <w:pPr>
        <w:pStyle w:val="15"/>
        <w:keepNext w:val="0"/>
        <w:keepLines w:val="0"/>
        <w:pageBreakBefore w:val="0"/>
        <w:tabs>
          <w:tab w:val="right" w:leader="dot" w:pos="8306"/>
        </w:tabs>
        <w:kinsoku/>
        <w:wordWrap/>
        <w:overflowPunct/>
        <w:topLinePunct w:val="0"/>
        <w:autoSpaceDE/>
        <w:autoSpaceDN/>
        <w:bidi w:val="0"/>
        <w:adjustRightInd/>
        <w:snapToGrid/>
        <w:spacing w:after="0" w:line="520" w:lineRule="exact"/>
        <w:textAlignment w:val="auto"/>
        <w:rPr>
          <w:rFonts w:ascii="Times New Roman" w:hAnsi="Times New Roman" w:eastAsia="仿宋"/>
          <w:sz w:val="28"/>
          <w:szCs w:val="24"/>
          <w:highlight w:val="yellow"/>
        </w:rPr>
      </w:pPr>
      <w:r>
        <w:rPr>
          <w:rFonts w:hint="eastAsia" w:ascii="仿宋" w:hAnsi="仿宋" w:eastAsia="仿宋" w:cs="仿宋"/>
          <w:sz w:val="24"/>
          <w:szCs w:val="24"/>
          <w:highlight w:val="yellow"/>
        </w:rPr>
        <w:fldChar w:fldCharType="end"/>
      </w:r>
      <w:bookmarkStart w:id="2" w:name="_Toc516554764"/>
      <w:bookmarkStart w:id="3" w:name="_Toc515810984"/>
      <w:bookmarkStart w:id="4" w:name="_Toc515811929"/>
      <w:bookmarkStart w:id="5" w:name="_Toc516473299"/>
    </w:p>
    <w:p w14:paraId="26352156">
      <w:pPr>
        <w:rPr>
          <w:highlight w:val="yellow"/>
        </w:rPr>
        <w:sectPr>
          <w:headerReference r:id="rId5" w:type="default"/>
          <w:footerReference r:id="rId6" w:type="default"/>
          <w:type w:val="continuous"/>
          <w:pgSz w:w="11906" w:h="16838"/>
          <w:pgMar w:top="1440" w:right="1800" w:bottom="1440" w:left="1800" w:header="851" w:footer="992" w:gutter="0"/>
          <w:cols w:space="425" w:num="1"/>
          <w:docGrid w:type="lines" w:linePitch="312" w:charSpace="0"/>
        </w:sectPr>
      </w:pPr>
    </w:p>
    <w:bookmarkEnd w:id="2"/>
    <w:bookmarkEnd w:id="3"/>
    <w:bookmarkEnd w:id="4"/>
    <w:bookmarkEnd w:id="5"/>
    <w:p w14:paraId="7D536C6A">
      <w:pPr>
        <w:pStyle w:val="3"/>
        <w:spacing w:before="156" w:beforeLines="50" w:after="156" w:afterLines="50" w:line="500" w:lineRule="exact"/>
        <w:jc w:val="center"/>
        <w:rPr>
          <w:rFonts w:ascii="Times New Roman" w:hAnsi="Times New Roman" w:eastAsia="黑体"/>
          <w:b w:val="0"/>
          <w:szCs w:val="32"/>
        </w:rPr>
      </w:pPr>
      <w:bookmarkStart w:id="6" w:name="_Toc19260"/>
      <w:bookmarkStart w:id="7" w:name="_Toc8704"/>
      <w:bookmarkStart w:id="8" w:name="_Toc528603037"/>
      <w:r>
        <w:rPr>
          <w:rFonts w:ascii="Times New Roman" w:hAnsi="Times New Roman" w:eastAsia="黑体"/>
          <w:b w:val="0"/>
          <w:szCs w:val="32"/>
        </w:rPr>
        <w:t>报告摘要</w:t>
      </w:r>
      <w:bookmarkEnd w:id="0"/>
      <w:bookmarkEnd w:id="6"/>
      <w:bookmarkEnd w:id="7"/>
      <w:bookmarkEnd w:id="8"/>
    </w:p>
    <w:p w14:paraId="3BE4007E">
      <w:pPr>
        <w:spacing w:before="312" w:beforeLines="100" w:after="312" w:afterLines="100" w:line="500" w:lineRule="exact"/>
        <w:rPr>
          <w:rFonts w:ascii="黑体" w:hAnsi="黑体" w:eastAsia="黑体"/>
          <w:sz w:val="32"/>
          <w:szCs w:val="28"/>
        </w:rPr>
      </w:pPr>
      <w:r>
        <w:rPr>
          <w:rFonts w:ascii="黑体" w:hAnsi="黑体" w:eastAsia="黑体"/>
          <w:sz w:val="32"/>
          <w:szCs w:val="28"/>
        </w:rPr>
        <w:t>一、项目概况</w:t>
      </w:r>
    </w:p>
    <w:p w14:paraId="7CEA87F1">
      <w:pPr>
        <w:spacing w:before="156" w:beforeLines="50" w:after="156" w:afterLines="50"/>
        <w:ind w:firstLine="643" w:firstLineChars="200"/>
        <w:rPr>
          <w:rFonts w:ascii="仿宋" w:hAnsi="仿宋" w:eastAsia="仿宋" w:cstheme="minorBidi"/>
          <w:b/>
          <w:sz w:val="32"/>
          <w:szCs w:val="22"/>
        </w:rPr>
      </w:pPr>
      <w:r>
        <w:rPr>
          <w:rFonts w:ascii="仿宋" w:hAnsi="仿宋" w:eastAsia="仿宋" w:cstheme="minorBidi"/>
          <w:b/>
          <w:sz w:val="32"/>
          <w:szCs w:val="22"/>
        </w:rPr>
        <w:t>（一）立项背景</w:t>
      </w:r>
    </w:p>
    <w:p w14:paraId="177AF1CA">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农业是第一产业，是国家安定的基础，是人民生活的根本保障。2016年，《中共中央国务院关于落实新理念加快农业现代化实现全面小康目标的若干意见》（中发〔2016〕1号）文件出台，《意见》提出：大规模推进高标准农田建设，加大投入力度，整合建设资金，创新投融资机制，加快建设步伐，到2020年确保建成8亿亩、力争建成10亿亩集中连片、旱涝保收、稳产高产、生态友好的高标准农田。</w:t>
      </w:r>
    </w:p>
    <w:p w14:paraId="1A4EC2A2">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生态兴则文明兴。党的十八大以来，以习近平同志为核心的党中央以前所未有的力度抓生态文明建设，美丽中国建设迈出重大步伐。在赴各地考察调研时，在一次次重要会议上，总书记多次勉励各级各部门：“绿水青山就是金山银山，改善生态环境就是发展生产力”、“只要贯彻新发展理念，绿水青山就可以成为金山银山”、“积极发展生态环保、可持续的产业”、“努力做到低消耗、低排放、高效益”，贯彻落实习近平生态文明思想，实现绿色发展、可持续发展，在绿水青山越来越美的同时，金山银山也越做越大。</w:t>
      </w:r>
    </w:p>
    <w:p w14:paraId="5B131D9D">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2018年6月，党中央、国务院发布《乡村振兴战略规划（2018-2022年）》，提出加快国土综合整治，实施农村土地综合整治重大行动，到2020年开展300个土地综合整治示范村镇建设。《全国国土规划纲要（2016-2030年）》和《全国土地整治规划（2016-2020年）》也分别就实施农村土地综合整治作出具体部署。对此，自然资源部部长陆昊指示，要从自然资源部职责特别是乡村规划、土地综合整治等角度，深入总结浙江经验，做好工作。</w:t>
      </w:r>
    </w:p>
    <w:p w14:paraId="0C6F032C">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从现实来看，近年来，随着工业化、城镇化和农业现代化的快速推进，自然资源和生态环境约束日益</w:t>
      </w:r>
      <w:bookmarkStart w:id="169" w:name="_GoBack"/>
      <w:bookmarkEnd w:id="169"/>
      <w:r>
        <w:rPr>
          <w:rFonts w:hint="eastAsia" w:ascii="Times New Roman" w:hAnsi="Times New Roman" w:eastAsia="仿宋" w:cs="Times New Roman"/>
          <w:sz w:val="28"/>
          <w:szCs w:val="24"/>
          <w:lang w:val="en-US" w:eastAsia="zh-CN"/>
        </w:rPr>
        <w:t>凸显。在同一空间上，乡村耕地碎片化、空间布局无序化、土地资源利用低效化、生态质量退化等多维度问题并存，单一要素、单一手段的土地整治模式已经难以完全解决综合问题。需在国土空间规划的引领下，进行全域规划、整体设计、综合治理、多措并举，用“内涵综合、目标综合、手段综合、效益综合”的综合性整治手段进行整治。统筹农用地、低效建设用地和生态保护修复，促进耕地保护和土地集约节约利用，解决一二三产融合发展用地，改善农村生态环境，助推乡村振兴。</w:t>
      </w:r>
    </w:p>
    <w:p w14:paraId="68D9FC52">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在大的背景与现实需要的推动下，近年来，各地结合区域经济社会发展状况和自然资源禀赋特点，探索推动土地整治与多种要素的综合跨界融合，以“多目标定位、多模式实施、多元化投入”为特点的土地综合整治逐步形成，其中浙江、湖北省政府还先后在全省部署了土地综合整治工作。在浙江、上海、四川等经济相对发达地区，土地综合整治侧重服务城乡融合发展，保障农村新产业新业态发展用地，统筹产业发展空间；在江西、湖北、河南等中部地区，土地综合整治侧重助推乡村振兴战略实施，着重解决现代农业发展、“空心村”整治问题，促进中部崛起；在西部贫困地区，土地综合整治侧重服务国家脱贫攻坚战略，能够较好解决耕地保护、易地扶贫搬迁、农村基础设施建设、产业扶贫用地等问题。各地已经积累了一定经验，探索了不同模式，取得了生态、经济、社会等综合效益。</w:t>
      </w:r>
    </w:p>
    <w:p w14:paraId="2DC9F635">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山西省约有85%以上的土地为黄土和次生黄土所覆盖，水土流失十分严重。从数量上看，全省人均土地分布不均，晋南平川、汾河谷地、上党盆地土地肥沃，人口稠密，人均占有一般为5亩左右，而东西山区，特别是晋西北山区，人均一般在20亩至30亩之间。从质量上看，我省除中南部盆地外，其他土地质量很差。全省土壤有机质含量在1%以上的，仅占耕地总面积的1/4，针对全省开展土地治理工作的现实需要，为了规范和促进土地整治工作，增加有效耕地面积，提高耕地质量，实现耕地占补平衡和总量动态平衡，保障土地资源的可持续利用，根据《中华人民共和国土地管理法》和有关法律、行政法规的规定，结合山西省实际，山西省第十二届人民代表大会常务委员会第10次会议于2014年5月29日通过《山西省土地整治条例》。</w:t>
      </w:r>
    </w:p>
    <w:p w14:paraId="1FEA1879">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山西省耕地后备资源日益匮乏，高标准农田建设任务艰巨而资金严重不足，实现耕地占补平衡尤其是占优补优的难度日益加大，单纯依靠政府财政投资的土地整治管理模式，已难以满足经济社会发展对耕地保护及占补平衡的需求。民间资本是政府开发造地资金的有益补充，鼓励和引导民间资本规范有序开发造地，是新形势下服务全省经济社会发展大局，落实最严格的耕地保护制度的重要举措。</w:t>
      </w:r>
    </w:p>
    <w:p w14:paraId="14F854CF">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2019年3月22日，古县人民政府《关于印发古县社会资本参与土地综合整治实施办法（暂行）的通知》（古政发〔2019〕5号）出台。</w:t>
      </w:r>
    </w:p>
    <w:p w14:paraId="741D3FAF">
      <w:pPr>
        <w:spacing w:line="500" w:lineRule="exact"/>
        <w:ind w:firstLine="560" w:firstLineChars="200"/>
        <w:rPr>
          <w:rFonts w:ascii="Times New Roman" w:hAnsi="Times New Roman" w:eastAsia="仿宋"/>
          <w:snapToGrid w:val="0"/>
          <w:sz w:val="28"/>
          <w:szCs w:val="32"/>
        </w:rPr>
      </w:pPr>
      <w:r>
        <w:rPr>
          <w:rFonts w:hint="eastAsia" w:ascii="Times New Roman" w:hAnsi="Times New Roman" w:eastAsia="仿宋" w:cs="Times New Roman"/>
          <w:sz w:val="28"/>
          <w:szCs w:val="24"/>
          <w:lang w:val="en-US" w:eastAsia="zh-CN"/>
        </w:rPr>
        <w:t>古县旧县镇和南垣乡秦王庙村等八村土地综合整治项目区建设规模649.4722h㎡，新增耕地197.0009h㎡(全部为水浇地），提质改造面积218.2088公顷。主要内容包括：土地平整工程、灌溉与排水工程、田间道路工程、其他工程</w:t>
      </w:r>
      <w:r>
        <w:rPr>
          <w:rFonts w:ascii="Times New Roman" w:hAnsi="Times New Roman" w:eastAsia="仿宋"/>
          <w:sz w:val="28"/>
          <w:szCs w:val="32"/>
        </w:rPr>
        <w:t>。</w:t>
      </w:r>
    </w:p>
    <w:p w14:paraId="70269596">
      <w:pPr>
        <w:spacing w:before="156" w:beforeLines="50" w:after="156" w:afterLines="50"/>
        <w:ind w:firstLine="643" w:firstLineChars="200"/>
        <w:rPr>
          <w:rFonts w:ascii="仿宋" w:hAnsi="仿宋" w:eastAsia="仿宋" w:cstheme="minorBidi"/>
          <w:b/>
          <w:sz w:val="32"/>
          <w:szCs w:val="22"/>
        </w:rPr>
      </w:pPr>
      <w:r>
        <w:rPr>
          <w:rFonts w:ascii="仿宋" w:hAnsi="仿宋" w:eastAsia="仿宋" w:cstheme="minorBidi"/>
          <w:b/>
          <w:sz w:val="32"/>
          <w:szCs w:val="22"/>
        </w:rPr>
        <w:t>（二）预算资金内容及来源</w:t>
      </w:r>
    </w:p>
    <w:p w14:paraId="5B06B6A5">
      <w:pPr>
        <w:spacing w:line="500" w:lineRule="exact"/>
        <w:ind w:firstLine="560" w:firstLineChars="200"/>
        <w:rPr>
          <w:rFonts w:ascii="Times New Roman" w:hAnsi="Times New Roman" w:eastAsia="仿宋"/>
          <w:snapToGrid w:val="0"/>
          <w:sz w:val="28"/>
          <w:szCs w:val="32"/>
        </w:rPr>
      </w:pPr>
      <w:r>
        <w:rPr>
          <w:rFonts w:hint="eastAsia" w:ascii="Times New Roman" w:hAnsi="Times New Roman" w:eastAsia="仿宋" w:cs="Times New Roman"/>
          <w:sz w:val="28"/>
          <w:szCs w:val="24"/>
          <w:lang w:eastAsia="zh-CN"/>
        </w:rPr>
        <w:t>根据《古县旧县镇和南垣乡秦王庙村等八村土地综合整治项目设计及预算报告》，项目区总投资9675.93万元，单位面积投资为14.90万元／h㎡，亩均投资为9932.1元／亩，全部由古县华瑞土地综合整治有限公司投资</w:t>
      </w:r>
      <w:r>
        <w:rPr>
          <w:rFonts w:ascii="Times New Roman" w:hAnsi="Times New Roman" w:eastAsia="仿宋"/>
          <w:sz w:val="28"/>
          <w:szCs w:val="32"/>
        </w:rPr>
        <w:t>。</w:t>
      </w:r>
    </w:p>
    <w:p w14:paraId="51A5EA41">
      <w:pPr>
        <w:spacing w:before="312" w:beforeLines="100" w:after="312" w:afterLines="100" w:line="500" w:lineRule="exact"/>
        <w:rPr>
          <w:rFonts w:ascii="黑体" w:hAnsi="黑体" w:eastAsia="黑体"/>
          <w:sz w:val="32"/>
          <w:szCs w:val="28"/>
        </w:rPr>
      </w:pPr>
      <w:r>
        <w:rPr>
          <w:rFonts w:ascii="黑体" w:hAnsi="黑体" w:eastAsia="黑体"/>
          <w:sz w:val="32"/>
          <w:szCs w:val="28"/>
        </w:rPr>
        <w:t>二、评价结论</w:t>
      </w:r>
    </w:p>
    <w:p w14:paraId="3B909B47">
      <w:pPr>
        <w:widowControl/>
        <w:spacing w:line="500" w:lineRule="exact"/>
        <w:ind w:firstLine="560" w:firstLineChars="200"/>
        <w:rPr>
          <w:rFonts w:hint="eastAsia" w:ascii="Times New Roman" w:hAnsi="Times New Roman" w:eastAsia="仿宋"/>
          <w:snapToGrid w:val="0"/>
          <w:color w:val="auto"/>
          <w:sz w:val="28"/>
          <w:szCs w:val="32"/>
        </w:rPr>
      </w:pPr>
      <w:r>
        <w:rPr>
          <w:rFonts w:hint="eastAsia" w:ascii="Times New Roman" w:hAnsi="Times New Roman" w:eastAsia="仿宋"/>
          <w:snapToGrid w:val="0"/>
          <w:color w:val="auto"/>
          <w:sz w:val="28"/>
          <w:szCs w:val="32"/>
        </w:rPr>
        <w:t>依据项目基础信息统计，结合现场核查结果，按照评价小组制定并经专家组论证的评价指标体系，古县旧县镇和南垣乡秦王庙村等8村土地综合整治项目财政支出绩效评价综合得分85.00分，评价等级为“良”。</w:t>
      </w:r>
    </w:p>
    <w:p w14:paraId="073EF59B">
      <w:pPr>
        <w:widowControl/>
        <w:spacing w:line="500" w:lineRule="exact"/>
        <w:ind w:firstLine="560" w:firstLineChars="200"/>
        <w:rPr>
          <w:rFonts w:hint="eastAsia" w:ascii="Times New Roman" w:hAnsi="Times New Roman" w:eastAsia="仿宋"/>
          <w:snapToGrid w:val="0"/>
          <w:color w:val="auto"/>
          <w:sz w:val="28"/>
          <w:szCs w:val="32"/>
        </w:rPr>
      </w:pPr>
      <w:r>
        <w:rPr>
          <w:rFonts w:hint="eastAsia" w:ascii="Times New Roman" w:hAnsi="Times New Roman" w:eastAsia="仿宋"/>
          <w:snapToGrid w:val="0"/>
          <w:color w:val="auto"/>
          <w:sz w:val="28"/>
          <w:szCs w:val="32"/>
        </w:rPr>
        <w:t>评价结果说明，古县旧县镇和南垣乡秦王庙村等8村土地综合整治项目资金使用的总体情况较好，社会效益、可持续影响显著，资金绩效基本达到了预期目标。</w:t>
      </w:r>
    </w:p>
    <w:p w14:paraId="03DDE3AA">
      <w:pPr>
        <w:widowControl/>
        <w:spacing w:line="500" w:lineRule="exact"/>
        <w:ind w:firstLine="560" w:firstLineChars="200"/>
        <w:rPr>
          <w:rFonts w:hint="eastAsia" w:ascii="Times New Roman" w:hAnsi="Times New Roman" w:eastAsia="仿宋"/>
          <w:snapToGrid w:val="0"/>
          <w:color w:val="auto"/>
          <w:sz w:val="28"/>
          <w:szCs w:val="32"/>
        </w:rPr>
      </w:pPr>
      <w:r>
        <w:rPr>
          <w:rFonts w:hint="eastAsia" w:ascii="Times New Roman" w:hAnsi="Times New Roman" w:eastAsia="仿宋"/>
          <w:snapToGrid w:val="0"/>
          <w:color w:val="auto"/>
          <w:sz w:val="28"/>
          <w:szCs w:val="32"/>
        </w:rPr>
        <w:t>1.决策方面，项目立项依据充分，绩效目标设定符合国家对扶贫项目的需求，资金审批、到位及时，保证了项目总体的实施情况。</w:t>
      </w:r>
    </w:p>
    <w:p w14:paraId="4DC1E9AF">
      <w:pPr>
        <w:widowControl/>
        <w:spacing w:line="500" w:lineRule="exact"/>
        <w:ind w:firstLine="560" w:firstLineChars="200"/>
        <w:rPr>
          <w:rFonts w:hint="eastAsia" w:ascii="Times New Roman" w:hAnsi="Times New Roman" w:eastAsia="仿宋"/>
          <w:snapToGrid w:val="0"/>
          <w:color w:val="auto"/>
          <w:sz w:val="28"/>
          <w:szCs w:val="32"/>
        </w:rPr>
      </w:pPr>
      <w:r>
        <w:rPr>
          <w:rFonts w:hint="eastAsia" w:ascii="Times New Roman" w:hAnsi="Times New Roman" w:eastAsia="仿宋"/>
          <w:snapToGrid w:val="0"/>
          <w:color w:val="auto"/>
          <w:sz w:val="28"/>
          <w:szCs w:val="32"/>
        </w:rPr>
        <w:t>2.过程方面，古县自然资源局机构配置体系全面、工作流程管理等辅助制度完善，项目资金具有专人财务管理，财务管理合规、合法，具有明确专项资金收支账户，资金使用合规。</w:t>
      </w:r>
    </w:p>
    <w:p w14:paraId="748D32ED">
      <w:pPr>
        <w:widowControl/>
        <w:spacing w:line="500" w:lineRule="exact"/>
        <w:ind w:firstLine="560" w:firstLineChars="200"/>
        <w:rPr>
          <w:rFonts w:ascii="Times New Roman" w:hAnsi="Times New Roman" w:eastAsia="仿宋"/>
          <w:snapToGrid w:val="0"/>
          <w:color w:val="auto"/>
          <w:sz w:val="28"/>
          <w:szCs w:val="32"/>
        </w:rPr>
      </w:pPr>
      <w:r>
        <w:rPr>
          <w:rFonts w:hint="eastAsia" w:ascii="Times New Roman" w:hAnsi="Times New Roman" w:eastAsia="仿宋"/>
          <w:snapToGrid w:val="0"/>
          <w:color w:val="auto"/>
          <w:sz w:val="28"/>
          <w:szCs w:val="32"/>
        </w:rPr>
        <w:t>3.产出方面，项目达到了项目计划完成情况，精准使用，实施项目均与土地整治目标紧密挂钩</w:t>
      </w:r>
      <w:r>
        <w:rPr>
          <w:rFonts w:ascii="Times New Roman" w:hAnsi="Times New Roman" w:eastAsia="仿宋"/>
          <w:snapToGrid w:val="0"/>
          <w:color w:val="auto"/>
          <w:sz w:val="28"/>
          <w:szCs w:val="32"/>
        </w:rPr>
        <w:t>。</w:t>
      </w:r>
    </w:p>
    <w:p w14:paraId="64B401D9">
      <w:pPr>
        <w:spacing w:before="312" w:beforeLines="100" w:after="312" w:afterLines="100" w:line="500" w:lineRule="exact"/>
        <w:rPr>
          <w:rFonts w:ascii="黑体" w:hAnsi="黑体" w:eastAsia="黑体"/>
          <w:sz w:val="32"/>
          <w:szCs w:val="28"/>
        </w:rPr>
      </w:pPr>
      <w:r>
        <w:rPr>
          <w:rFonts w:ascii="黑体" w:hAnsi="黑体" w:eastAsia="黑体"/>
          <w:sz w:val="32"/>
          <w:szCs w:val="28"/>
        </w:rPr>
        <w:t>三、存在问题</w:t>
      </w:r>
    </w:p>
    <w:p w14:paraId="03DE6C1C">
      <w:pPr>
        <w:spacing w:line="500" w:lineRule="exact"/>
        <w:ind w:firstLine="562" w:firstLineChars="200"/>
        <w:rPr>
          <w:rFonts w:ascii="Times New Roman" w:hAnsi="Times New Roman" w:eastAsia="仿宋"/>
          <w:b/>
          <w:bCs/>
          <w:snapToGrid w:val="0"/>
          <w:sz w:val="28"/>
          <w:szCs w:val="32"/>
        </w:rPr>
      </w:pPr>
      <w:r>
        <w:rPr>
          <w:rFonts w:ascii="Times New Roman" w:hAnsi="Times New Roman" w:eastAsia="仿宋"/>
          <w:b/>
          <w:bCs/>
          <w:snapToGrid w:val="0"/>
          <w:sz w:val="28"/>
          <w:szCs w:val="32"/>
        </w:rPr>
        <w:t>1.</w:t>
      </w:r>
      <w:r>
        <w:rPr>
          <w:rFonts w:hint="eastAsia" w:ascii="Times New Roman" w:hAnsi="Times New Roman" w:eastAsia="仿宋"/>
          <w:b/>
          <w:bCs/>
          <w:snapToGrid w:val="0"/>
          <w:sz w:val="28"/>
          <w:szCs w:val="32"/>
          <w:lang w:val="en-US" w:eastAsia="zh-CN"/>
        </w:rPr>
        <w:t>项目进度管理不到位，项目未制定明确的实施方案</w:t>
      </w:r>
      <w:r>
        <w:rPr>
          <w:rFonts w:ascii="Times New Roman" w:hAnsi="Times New Roman" w:eastAsia="仿宋"/>
          <w:b/>
          <w:bCs/>
          <w:snapToGrid w:val="0"/>
          <w:sz w:val="28"/>
          <w:szCs w:val="32"/>
        </w:rPr>
        <w:t>。</w:t>
      </w:r>
    </w:p>
    <w:p w14:paraId="4197DDB1">
      <w:pPr>
        <w:spacing w:line="500" w:lineRule="exact"/>
        <w:ind w:firstLine="560" w:firstLineChars="200"/>
        <w:rPr>
          <w:rFonts w:hint="eastAsia" w:ascii="Times New Roman" w:hAnsi="Times New Roman" w:eastAsia="仿宋"/>
          <w:b/>
          <w:snapToGrid w:val="0"/>
          <w:sz w:val="28"/>
          <w:szCs w:val="32"/>
          <w:lang w:val="en-US" w:eastAsia="zh-CN"/>
        </w:rPr>
      </w:pPr>
      <w:r>
        <w:rPr>
          <w:rFonts w:hint="eastAsia" w:ascii="Times New Roman" w:hAnsi="Times New Roman" w:eastAsia="仿宋"/>
          <w:snapToGrid w:val="0"/>
          <w:sz w:val="28"/>
          <w:szCs w:val="32"/>
          <w:lang w:val="en-US" w:eastAsia="zh-CN"/>
        </w:rPr>
        <w:t>（1）该项目进度管理不到位，项目完工后尚未进行结算审计，影响项目整体进度；（2）古县自然资源局、古县土地开发中心未根据项目实施内容、进度、资金保障、组织保障等关键因素编制项目实施方案。</w:t>
      </w:r>
    </w:p>
    <w:p w14:paraId="2BD10F36">
      <w:pPr>
        <w:spacing w:line="500" w:lineRule="exact"/>
        <w:ind w:firstLine="562" w:firstLineChars="200"/>
        <w:rPr>
          <w:rFonts w:hint="default" w:ascii="Times New Roman" w:hAnsi="Times New Roman" w:eastAsia="仿宋"/>
          <w:b/>
          <w:snapToGrid w:val="0"/>
          <w:sz w:val="28"/>
          <w:szCs w:val="32"/>
          <w:lang w:val="en-US" w:eastAsia="zh-CN"/>
        </w:rPr>
      </w:pPr>
      <w:r>
        <w:rPr>
          <w:rFonts w:hint="eastAsia" w:ascii="Times New Roman" w:hAnsi="Times New Roman" w:eastAsia="仿宋"/>
          <w:b/>
          <w:snapToGrid w:val="0"/>
          <w:sz w:val="28"/>
          <w:szCs w:val="32"/>
          <w:lang w:val="en-US" w:eastAsia="zh-CN"/>
        </w:rPr>
        <w:t>2.工程后续管护有待进一步加强。</w:t>
      </w:r>
    </w:p>
    <w:p w14:paraId="2937659D">
      <w:pPr>
        <w:spacing w:line="500" w:lineRule="exact"/>
        <w:ind w:firstLine="560" w:firstLineChars="200"/>
        <w:rPr>
          <w:rFonts w:ascii="Times New Roman" w:hAnsi="Times New Roman" w:eastAsia="仿宋"/>
          <w:bCs/>
          <w:snapToGrid w:val="0"/>
          <w:sz w:val="28"/>
          <w:szCs w:val="32"/>
        </w:rPr>
      </w:pPr>
      <w:r>
        <w:rPr>
          <w:rFonts w:hint="eastAsia" w:ascii="Times New Roman" w:hAnsi="Times New Roman" w:eastAsia="仿宋"/>
          <w:b w:val="0"/>
          <w:bCs/>
          <w:snapToGrid w:val="0"/>
          <w:sz w:val="28"/>
          <w:szCs w:val="32"/>
          <w:lang w:val="en-US" w:eastAsia="zh-CN"/>
        </w:rPr>
        <w:t>运行管理是项目后续管理的重要环节，从制度建设、改革创新、政策保障等方面入手，建立起确保工程长期发挥效益的良好运行机制。应按照“建管用、责权利”相结合和“谁受益、谁管护”的原则。但评价组现场调研也发现，项目后续管理体制机制未建立，项目后续管理责任落实不到位</w:t>
      </w:r>
      <w:r>
        <w:rPr>
          <w:rFonts w:ascii="Times New Roman" w:hAnsi="Times New Roman" w:eastAsia="仿宋"/>
          <w:bCs/>
          <w:snapToGrid w:val="0"/>
          <w:sz w:val="28"/>
          <w:szCs w:val="32"/>
        </w:rPr>
        <w:t xml:space="preserve">。  </w:t>
      </w:r>
    </w:p>
    <w:p w14:paraId="7C42FE4C">
      <w:pPr>
        <w:spacing w:before="312" w:beforeLines="100" w:after="312" w:afterLines="100" w:line="500" w:lineRule="exact"/>
        <w:rPr>
          <w:rFonts w:ascii="黑体" w:hAnsi="黑体" w:eastAsia="黑体"/>
          <w:sz w:val="32"/>
          <w:szCs w:val="28"/>
        </w:rPr>
      </w:pPr>
      <w:r>
        <w:rPr>
          <w:rFonts w:ascii="黑体" w:hAnsi="黑体" w:eastAsia="黑体"/>
          <w:sz w:val="32"/>
          <w:szCs w:val="28"/>
        </w:rPr>
        <w:t>四、改进措施</w:t>
      </w:r>
    </w:p>
    <w:p w14:paraId="7A19C916">
      <w:pPr>
        <w:spacing w:line="600" w:lineRule="exact"/>
        <w:ind w:firstLine="562" w:firstLineChars="200"/>
        <w:jc w:val="left"/>
        <w:rPr>
          <w:rFonts w:hint="eastAsia" w:ascii="Times New Roman" w:hAnsi="Times New Roman" w:eastAsia="仿宋" w:cs="Times New Roman"/>
          <w:b/>
          <w:sz w:val="28"/>
          <w:szCs w:val="28"/>
          <w:lang w:val="en-US" w:eastAsia="zh-CN"/>
        </w:rPr>
      </w:pPr>
      <w:r>
        <w:rPr>
          <w:rFonts w:ascii="Times New Roman" w:hAnsi="Times New Roman" w:eastAsia="仿宋"/>
          <w:b/>
          <w:bCs/>
          <w:snapToGrid w:val="0"/>
          <w:sz w:val="28"/>
          <w:szCs w:val="32"/>
        </w:rPr>
        <w:t>1.</w:t>
      </w:r>
      <w:r>
        <w:rPr>
          <w:rFonts w:hint="eastAsia" w:ascii="Times New Roman" w:hAnsi="Times New Roman" w:eastAsia="仿宋" w:cs="Times New Roman"/>
          <w:b/>
          <w:sz w:val="28"/>
          <w:szCs w:val="28"/>
          <w:lang w:val="en-US" w:eastAsia="zh-CN"/>
        </w:rPr>
        <w:t>建议古县自然资源局加强项目实施进度管理，项目完工验收后尽快组织进行结算审计，及时支付社会资本方各项费用，确保项目长效发挥；建议古县自然资源局、古县土地开发中心完善项目实施方案，并确保项目内容及绩效目标匹配。</w:t>
      </w:r>
    </w:p>
    <w:p w14:paraId="2895C6AD">
      <w:pPr>
        <w:spacing w:line="500" w:lineRule="exact"/>
        <w:ind w:firstLine="562" w:firstLineChars="200"/>
        <w:rPr>
          <w:rFonts w:ascii="Times New Roman" w:hAnsi="Times New Roman" w:eastAsia="仿宋"/>
          <w:b/>
          <w:snapToGrid w:val="0"/>
          <w:sz w:val="28"/>
          <w:szCs w:val="32"/>
        </w:rPr>
      </w:pPr>
      <w:r>
        <w:rPr>
          <w:rFonts w:hint="eastAsia" w:ascii="Times New Roman" w:hAnsi="Times New Roman" w:eastAsia="仿宋" w:cs="Times New Roman"/>
          <w:b/>
          <w:sz w:val="28"/>
          <w:szCs w:val="28"/>
          <w:lang w:val="en-US" w:eastAsia="zh-CN"/>
        </w:rPr>
        <w:t>2.</w:t>
      </w:r>
      <w:r>
        <w:rPr>
          <w:rFonts w:hint="eastAsia" w:ascii="Times New Roman" w:hAnsi="Times New Roman" w:eastAsia="仿宋"/>
          <w:b/>
          <w:snapToGrid w:val="0"/>
          <w:sz w:val="28"/>
          <w:szCs w:val="32"/>
          <w:lang w:val="en-US" w:eastAsia="zh-CN"/>
        </w:rPr>
        <w:t>建立健全后续管护体制机制，确保项目持续发挥效益</w:t>
      </w:r>
      <w:r>
        <w:rPr>
          <w:rFonts w:ascii="Times New Roman" w:hAnsi="Times New Roman" w:eastAsia="仿宋"/>
          <w:b/>
          <w:snapToGrid w:val="0"/>
          <w:sz w:val="28"/>
          <w:szCs w:val="32"/>
        </w:rPr>
        <w:t>。</w:t>
      </w:r>
    </w:p>
    <w:p w14:paraId="6557776F">
      <w:pPr>
        <w:spacing w:line="500" w:lineRule="exact"/>
        <w:ind w:firstLine="560" w:firstLineChars="200"/>
        <w:rPr>
          <w:rFonts w:ascii="Times New Roman" w:hAnsi="Times New Roman" w:eastAsia="仿宋"/>
          <w:bCs/>
          <w:snapToGrid w:val="0"/>
          <w:sz w:val="32"/>
          <w:szCs w:val="32"/>
        </w:rPr>
      </w:pPr>
      <w:r>
        <w:rPr>
          <w:rFonts w:hint="eastAsia" w:ascii="Times New Roman" w:hAnsi="Times New Roman" w:eastAsia="仿宋"/>
          <w:bCs/>
          <w:snapToGrid w:val="0"/>
          <w:sz w:val="28"/>
          <w:szCs w:val="32"/>
        </w:rPr>
        <w:t>建议</w:t>
      </w:r>
      <w:r>
        <w:rPr>
          <w:rFonts w:hint="eastAsia" w:ascii="Times New Roman" w:hAnsi="Times New Roman" w:eastAsia="仿宋"/>
          <w:bCs/>
          <w:snapToGrid w:val="0"/>
          <w:sz w:val="28"/>
          <w:szCs w:val="32"/>
          <w:lang w:val="en-US" w:eastAsia="zh-CN"/>
        </w:rPr>
        <w:t>管护单位</w:t>
      </w:r>
      <w:r>
        <w:rPr>
          <w:rFonts w:hint="eastAsia" w:ascii="Times New Roman" w:hAnsi="Times New Roman" w:eastAsia="仿宋"/>
          <w:bCs/>
          <w:snapToGrid w:val="0"/>
          <w:sz w:val="28"/>
          <w:szCs w:val="32"/>
        </w:rPr>
        <w:t>健全后期管护的体制机制，</w:t>
      </w:r>
      <w:r>
        <w:rPr>
          <w:rFonts w:hint="eastAsia" w:ascii="Times New Roman" w:hAnsi="Times New Roman" w:eastAsia="仿宋"/>
          <w:bCs/>
          <w:snapToGrid w:val="0"/>
          <w:sz w:val="28"/>
          <w:szCs w:val="32"/>
          <w:lang w:val="en-US" w:eastAsia="zh-CN"/>
        </w:rPr>
        <w:t>进一步强化后续管护，</w:t>
      </w:r>
      <w:r>
        <w:rPr>
          <w:rFonts w:hint="eastAsia" w:ascii="Times New Roman" w:hAnsi="Times New Roman" w:eastAsia="仿宋"/>
          <w:bCs/>
          <w:snapToGrid w:val="0"/>
          <w:sz w:val="28"/>
          <w:szCs w:val="32"/>
        </w:rPr>
        <w:t>确保在项目建成并投用后能够持续、稳定发挥作用，减少因后续管理脱节导致的项目使用风险</w:t>
      </w:r>
      <w:r>
        <w:rPr>
          <w:rFonts w:ascii="Times New Roman" w:hAnsi="Times New Roman" w:eastAsia="仿宋"/>
          <w:bCs/>
          <w:snapToGrid w:val="0"/>
          <w:sz w:val="28"/>
          <w:szCs w:val="32"/>
        </w:rPr>
        <w:t>。</w:t>
      </w:r>
    </w:p>
    <w:p w14:paraId="255F8D40">
      <w:pPr>
        <w:pStyle w:val="18"/>
        <w:spacing w:line="500" w:lineRule="exact"/>
        <w:rPr>
          <w:rFonts w:eastAsia="仿宋"/>
          <w:b/>
          <w:bCs w:val="0"/>
          <w:kern w:val="2"/>
          <w:sz w:val="44"/>
          <w:szCs w:val="44"/>
        </w:rPr>
        <w:sectPr>
          <w:footerReference r:id="rId7" w:type="default"/>
          <w:pgSz w:w="11906" w:h="16838"/>
          <w:pgMar w:top="1440" w:right="1800" w:bottom="1440" w:left="1800" w:header="851" w:footer="992" w:gutter="0"/>
          <w:pgNumType w:fmt="decimal" w:start="1"/>
          <w:cols w:space="425" w:num="1"/>
          <w:docGrid w:type="lines" w:linePitch="312" w:charSpace="0"/>
        </w:sectPr>
      </w:pPr>
    </w:p>
    <w:p w14:paraId="1AC41283">
      <w:pPr>
        <w:tabs>
          <w:tab w:val="center" w:pos="4153"/>
          <w:tab w:val="left" w:pos="6812"/>
        </w:tabs>
        <w:spacing w:line="500" w:lineRule="exact"/>
        <w:jc w:val="center"/>
        <w:rPr>
          <w:rFonts w:ascii="Times New Roman" w:hAnsi="Times New Roman" w:eastAsia="仿宋"/>
          <w:b/>
          <w:sz w:val="36"/>
          <w:szCs w:val="22"/>
        </w:rPr>
      </w:pPr>
      <w:bookmarkStart w:id="9" w:name="_Toc4980"/>
      <w:bookmarkStart w:id="10" w:name="_Toc12847"/>
      <w:r>
        <w:rPr>
          <w:rFonts w:hint="eastAsia" w:ascii="黑体" w:hAnsi="黑体" w:eastAsia="黑体" w:cs="黑体"/>
          <w:b/>
          <w:bCs w:val="0"/>
          <w:kern w:val="2"/>
          <w:sz w:val="44"/>
          <w:szCs w:val="44"/>
          <w:lang w:val="en-US" w:eastAsia="zh-CN" w:bidi="ar-SA"/>
        </w:rPr>
        <w:t>古县旧县镇和南垣乡秦王庙村等8村土地综合整治项目资金财政支出绩效评价报告</w:t>
      </w:r>
      <w:bookmarkEnd w:id="9"/>
      <w:bookmarkEnd w:id="10"/>
    </w:p>
    <w:p w14:paraId="7031E6C7">
      <w:pPr>
        <w:spacing w:line="500" w:lineRule="exact"/>
        <w:ind w:firstLine="560" w:firstLineChars="200"/>
        <w:rPr>
          <w:rFonts w:ascii="Times New Roman" w:hAnsi="Times New Roman" w:eastAsia="仿宋"/>
          <w:snapToGrid w:val="0"/>
          <w:sz w:val="28"/>
          <w:szCs w:val="32"/>
          <w:highlight w:val="yellow"/>
        </w:rPr>
      </w:pPr>
      <w:r>
        <w:rPr>
          <w:rFonts w:ascii="Times New Roman" w:hAnsi="Times New Roman" w:eastAsia="仿宋"/>
          <w:snapToGrid w:val="0"/>
          <w:sz w:val="28"/>
          <w:szCs w:val="32"/>
        </w:rPr>
        <w:t>受</w:t>
      </w:r>
      <w:r>
        <w:rPr>
          <w:rFonts w:hint="eastAsia" w:ascii="Times New Roman" w:hAnsi="Times New Roman" w:eastAsia="仿宋"/>
          <w:snapToGrid w:val="0"/>
          <w:sz w:val="28"/>
          <w:szCs w:val="32"/>
          <w:lang w:eastAsia="zh-CN"/>
        </w:rPr>
        <w:t>古县</w:t>
      </w:r>
      <w:r>
        <w:rPr>
          <w:rFonts w:ascii="Times New Roman" w:hAnsi="Times New Roman" w:eastAsia="仿宋"/>
          <w:snapToGrid w:val="0"/>
          <w:sz w:val="28"/>
          <w:szCs w:val="32"/>
        </w:rPr>
        <w:t>财政局委托，山西恒略绩效管理咨询有限公司承担对</w:t>
      </w:r>
      <w:r>
        <w:rPr>
          <w:rFonts w:hint="eastAsia" w:ascii="Times New Roman" w:hAnsi="Times New Roman" w:eastAsia="仿宋"/>
          <w:snapToGrid w:val="0"/>
          <w:sz w:val="28"/>
          <w:szCs w:val="32"/>
          <w:lang w:eastAsia="zh-CN"/>
        </w:rPr>
        <w:t>古县旧县镇和南垣乡秦王庙村等8村土地综合整治项目</w:t>
      </w:r>
      <w:r>
        <w:rPr>
          <w:rFonts w:ascii="Times New Roman" w:hAnsi="Times New Roman" w:eastAsia="仿宋"/>
          <w:snapToGrid w:val="0"/>
          <w:sz w:val="28"/>
          <w:szCs w:val="32"/>
        </w:rPr>
        <w:t>绩效评价工作。根据《中华人民共和国预算法》（2014年8月31日第十二全国人民代表大会常务委员会第十次会议修订）、《财政部关于印发&lt;项目支出绩效评价管理办法&gt;的通知》（财预〔2020〕10号）、中共中央 国务院《关于全面实施预算绩效管理的意见》（中发〔2018〕34号）、财政部《关于贯彻落实&lt;中共中央国务院关于全面实施预算绩效管理的意见&gt;的通知》(财预〔2018〕167号）、中共山西省委 山西省人民政府《关于全面实施预算绩效管理的实施意见》（晋发〔2018〕39号）、</w:t>
      </w:r>
      <w:r>
        <w:rPr>
          <w:rFonts w:hint="eastAsia" w:ascii="Times New Roman" w:hAnsi="Times New Roman" w:eastAsia="仿宋"/>
          <w:snapToGrid w:val="0"/>
          <w:sz w:val="28"/>
          <w:szCs w:val="32"/>
          <w:lang w:eastAsia="zh-CN"/>
        </w:rPr>
        <w:t>《古县财政局关于印发&lt;2022年度财政重点绩效评价实施方案&gt;的通知》（古财字〔2022〕27号）</w:t>
      </w:r>
      <w:r>
        <w:rPr>
          <w:rFonts w:ascii="Times New Roman" w:hAnsi="Times New Roman" w:eastAsia="仿宋"/>
          <w:snapToGrid w:val="0"/>
          <w:sz w:val="28"/>
          <w:szCs w:val="32"/>
        </w:rPr>
        <w:t>等文件精神的要求，我们按照财政支出绩效评价的评价标准、评价方法和依据本项目特点制定的评价指标，对评价对象的绩效情况进行全面的分析和综合评价，形成了本报告</w:t>
      </w:r>
      <w:r>
        <w:rPr>
          <w:rFonts w:ascii="Times New Roman" w:hAnsi="Times New Roman" w:eastAsia="仿宋"/>
          <w:sz w:val="28"/>
          <w:szCs w:val="28"/>
        </w:rPr>
        <w:t>。</w:t>
      </w:r>
    </w:p>
    <w:p w14:paraId="09477170">
      <w:pPr>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本次绩效评价工作反映了</w:t>
      </w:r>
      <w:r>
        <w:rPr>
          <w:rFonts w:hint="eastAsia" w:ascii="Times New Roman" w:hAnsi="Times New Roman" w:eastAsia="仿宋"/>
          <w:sz w:val="28"/>
          <w:szCs w:val="28"/>
          <w:lang w:eastAsia="zh-CN"/>
        </w:rPr>
        <w:t>古县旧县镇和南垣乡秦王庙村等8村土地综合整治项目</w:t>
      </w:r>
      <w:r>
        <w:rPr>
          <w:rFonts w:ascii="Times New Roman" w:hAnsi="Times New Roman" w:eastAsia="仿宋"/>
          <w:sz w:val="28"/>
          <w:szCs w:val="28"/>
        </w:rPr>
        <w:t>资金</w:t>
      </w:r>
      <w:r>
        <w:rPr>
          <w:rFonts w:ascii="Times New Roman" w:hAnsi="Times New Roman" w:eastAsia="仿宋"/>
          <w:snapToGrid w:val="0"/>
          <w:sz w:val="28"/>
          <w:szCs w:val="32"/>
        </w:rPr>
        <w:t>在决策、过程、产出和效益四个方面的情况，并对项目实施中存在的问题提出改进建议，以期在今后的工作中进一步完善工作流程，提高资金绩效水平。现将绩效评价情况及评价结果报告如下：</w:t>
      </w:r>
    </w:p>
    <w:p w14:paraId="6F5EF1D6">
      <w:pPr>
        <w:pStyle w:val="3"/>
        <w:spacing w:before="312" w:beforeLines="100" w:after="312" w:afterLines="100" w:line="500" w:lineRule="exact"/>
        <w:rPr>
          <w:rFonts w:ascii="Times New Roman" w:hAnsi="Times New Roman" w:eastAsia="黑体"/>
          <w:b w:val="0"/>
          <w:sz w:val="32"/>
          <w:szCs w:val="32"/>
        </w:rPr>
      </w:pPr>
      <w:bookmarkStart w:id="11" w:name="_Toc7526"/>
      <w:r>
        <w:rPr>
          <w:rFonts w:ascii="Times New Roman" w:hAnsi="Times New Roman" w:eastAsia="黑体"/>
          <w:b w:val="0"/>
          <w:sz w:val="32"/>
          <w:szCs w:val="32"/>
        </w:rPr>
        <w:t>一、项目基本情况</w:t>
      </w:r>
      <w:bookmarkEnd w:id="1"/>
      <w:bookmarkEnd w:id="11"/>
    </w:p>
    <w:p w14:paraId="53B465A2">
      <w:pPr>
        <w:pStyle w:val="4"/>
        <w:spacing w:before="156" w:beforeLines="50" w:after="156" w:afterLines="50" w:line="500" w:lineRule="exact"/>
        <w:ind w:firstLine="643" w:firstLineChars="200"/>
        <w:rPr>
          <w:rFonts w:ascii="仿宋" w:hAnsi="仿宋" w:eastAsia="仿宋"/>
        </w:rPr>
      </w:pPr>
      <w:bookmarkStart w:id="12" w:name="_Toc514537329"/>
      <w:bookmarkStart w:id="13" w:name="_Toc29317"/>
      <w:r>
        <w:rPr>
          <w:rFonts w:ascii="仿宋" w:hAnsi="仿宋" w:eastAsia="仿宋"/>
        </w:rPr>
        <w:t>（一）项目</w:t>
      </w:r>
      <w:bookmarkEnd w:id="12"/>
      <w:r>
        <w:rPr>
          <w:rFonts w:ascii="仿宋" w:hAnsi="仿宋" w:eastAsia="仿宋"/>
        </w:rPr>
        <w:t>背景及概况</w:t>
      </w:r>
      <w:bookmarkEnd w:id="13"/>
    </w:p>
    <w:p w14:paraId="5E3AE005">
      <w:pPr>
        <w:pStyle w:val="17"/>
        <w:spacing w:line="500" w:lineRule="exact"/>
        <w:ind w:firstLine="560" w:firstLineChars="200"/>
        <w:jc w:val="both"/>
        <w:rPr>
          <w:rFonts w:hint="eastAsia" w:ascii="Times New Roman" w:hAnsi="Times New Roman" w:eastAsia="仿宋" w:cs="Times New Roman"/>
          <w:sz w:val="28"/>
          <w:szCs w:val="24"/>
          <w:lang w:val="en-US" w:eastAsia="zh-CN"/>
        </w:rPr>
      </w:pPr>
      <w:bookmarkStart w:id="14" w:name="_Toc514537330"/>
      <w:r>
        <w:rPr>
          <w:rFonts w:hint="eastAsia" w:ascii="Times New Roman" w:hAnsi="Times New Roman" w:eastAsia="仿宋" w:cs="Times New Roman"/>
          <w:sz w:val="28"/>
          <w:szCs w:val="24"/>
          <w:lang w:val="en-US" w:eastAsia="zh-CN"/>
        </w:rPr>
        <w:t>农业是第一产业，是国家安定的基础，是人民生活的根本保障。2016年，《中共中央国务院关于落实新理念加快农业现代化实现全面小康目标的若干意见》（中发〔2016〕1号）文件出台，《意见》提出：大规模推进高标准农田建设，加大投入力度，整合建设资金，创新投融资机制，加快建设步伐，到2020年确保建成8亿亩、力争建成10亿亩集中连片、旱涝保收、稳产高产、生态友好的高标准农田。</w:t>
      </w:r>
    </w:p>
    <w:p w14:paraId="640F61F6">
      <w:pPr>
        <w:pStyle w:val="17"/>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生态兴则文明兴。党的十八大以来，以习近平同志为核心的党中央以前所未有的力度抓生态文明建设，美丽中国建设迈出重大步伐。在赴各地考察调研时，在一次次重要会议上，总书记多次勉励各级各部门：“绿水青山就是金山银山，改善生态环境就是发展生产力”、“只要贯彻新发展理念，绿水青山就可以成为金山银山”、“积极发展生态环保、可持续的产业”、“努力做到低消耗、低排放、高效益”，贯彻落实习近平生态文明思想，实现绿色发展、可持续发展，在绿水青山越来越美的同时，金山银山也越做越大。</w:t>
      </w:r>
    </w:p>
    <w:p w14:paraId="0BD6A266">
      <w:pPr>
        <w:pStyle w:val="17"/>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2018年6月，党中央、国务院发布《乡村振兴战略规划（2018-2022年）》，提出加快国土综合整治，实施农村土地综合整治重大行动，到2020年开展300个土地综合整治示范村镇建设。《全国国土规划纲要（2016-2030年）》和《全国土地整治规划（2016-2020年）》也分别就实施农村土地综合整治作出具体部署。对此，自然资源部部长陆昊指示，要从自然资源部职责特别是乡村规划、土地综合整治等角度，深入总结浙江经验，做好工作。</w:t>
      </w:r>
    </w:p>
    <w:p w14:paraId="4E3C325B">
      <w:pPr>
        <w:pStyle w:val="17"/>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从现实来看，近年来，随着工业化、城镇化和农业现代化的快速推进，自然资源和生态环境约束日益凸显。在同一空间上，乡村耕地碎片化、空间布局无序化、土地资源利用低效化、生态质量退化等多维度问题并存，单一要素、单一手段的土地整治模式已经难以完全解决综合问题。需在国土空间规划的引领下，进行全域规划、整体设计、综合治理、多措并举，用“内涵综合、目标综合、手段综合、效益综合”的综合性整治手段进行整治。统筹农用地、低效建设用地和生态保护修复，促进耕地保护和土地集约节约利用，解决一二三产融合发展用地，改善农村生态环境，助推乡村振兴。</w:t>
      </w:r>
    </w:p>
    <w:p w14:paraId="2539FED0">
      <w:pPr>
        <w:pStyle w:val="17"/>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在大的背景与现实需要的推动下，近年来，各地结合区域经济社会发展状况和自然资源禀赋特点，探索推动土地整治与多种要素的综合跨界融合，以“多目标定位、多模式实施、多元化投入”为特点的土地综合整治逐步形成，其中浙江、湖北省政府还先后在全省部署了土地综合整治工作。在浙江、上海、四川等经济相对发达地区，土地综合整治侧重服务城乡融合发展，保障农村新产业新业态发展用地，统筹产业发展空间；在江西、湖北、河南等中部地区，土地综合整治侧重助推乡村振兴战略实施，着重解决现代农业发展、“空心村”整治问题，促进中部崛起；在西部贫困地区，土地综合整治侧重服务国家脱贫攻坚战略，能够较好解决耕地保护、易地扶贫搬迁、农村基础设施建设、产业扶贫用地等问题。各地已经积累了一定经验，探索了不同模式，取得了生态、经济、社会等综合效益。</w:t>
      </w:r>
    </w:p>
    <w:p w14:paraId="42C8648F">
      <w:pPr>
        <w:pStyle w:val="17"/>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山西省约有85%以上的土地为黄土和次生黄土所覆盖，水土流失十分严重。从数量上看，全省人均土地分布不均，晋南平川、汾河谷地、上党盆地土地肥沃，人口稠密，人均占有一般为5亩左右，而东西山区，特别是晋西北山区，人均一般在20亩至30亩之间。从质量上看，我省除中南部盆地外，其他土地质量很差。全省土壤有机质含量在1%以上的，仅占耕地总面积的1/4，针对全省开展土地治理工作的现实需要，为了规范和促进土地整治工作，增加有效耕地面积，提高耕地质量，实现耕地占补平衡和总量动态平衡，保障土地资源的可持续利用，根据《中华人民共和国土地管理法》和有关法律、行政法规的规定，结合山西省实际，山西省第十二届人民代表大会常务委员会第10次会议于2014年5月29日通过《山西省土地整治条例》。</w:t>
      </w:r>
    </w:p>
    <w:p w14:paraId="3CB99F2D">
      <w:pPr>
        <w:pStyle w:val="17"/>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山西省耕地后备资源日益匮乏，高标准农田建设任务艰巨而资金严重不足，实现耕地占补平衡尤其是占优补优的难度日益加大，单纯依靠政府财政投资的土地整治管理模式，已难以满足经济社会发展对耕地保护及占补平衡的需求。民间资本是政府开发造地资金的有益补充，鼓励和引导民间资本规范有序开发造地，是新形势下服务全省经济社会发展大局，落实最严格的耕地保护制度的重要举措。</w:t>
      </w:r>
    </w:p>
    <w:p w14:paraId="7E14F192">
      <w:pPr>
        <w:pStyle w:val="17"/>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为切实加强对民间资本开发造地的引导，做好服务和保障工作，根据《山西省土地整治条例》、《国土资源部全国工商联关于进一步鼓励和引导民间资本投资国土资源领域的意见》（国土资发〔2012〕100号），2016年9月16日，山西省国土资源厅出台《关于鼓励和引导民间资本规范有序开发造地的指导意见（试行）》（晋国土资发〔2016〕236号），鼓励和引导民间资本规范有序开发造地。</w:t>
      </w:r>
    </w:p>
    <w:p w14:paraId="5BA64435">
      <w:pPr>
        <w:pStyle w:val="17"/>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为进一步创新土地整治机制，发挥市场作用，鼓励引导社会资本参与土地整治，提高全省土地整治水平，根据《中共中央国务院关于加强耕地保护和改进占补平衡的意见》（中发〔2017〕4号）、《国土资源部关于改进管理方式切实落实耕地占补平衡的通知》（国土资规〔2017〕13号）、《中共山西省委山西省人民政府关于印发&lt;加强耕地保护和改进占补平衡工作实施方案&gt;的通知》（晋发〔2017〕43号）文件要求，2018年1月4日，山西省人民政府印发了《山西省人民政府办公厅关于鼓励引导社会资本参与土地整治的指导意见》（晋政办发〔2018〕1号）文件，《指导意见》提出：（1）总体目标：完善土地整治市场机制，实现土地整治投入多元化、实施模式多样化、途径多种化，进一步激发活力、增加动力，提升土地整治水平，增加耕地数量，提升耕地质量，守住全省5757万亩耕地红线，确保“十三五”期间全省建成1081万亩、力争建成1118万亩一1823万亩的高标准农田，进一步改善农业生产条件，促进生态文明建设；（2）适用范围，社会资本参与土地整治的范围包括：宜耕未利用地开发、高标准农田建设、水土适宜沟谷土地综合整治、建设占用耕地的耕作层剥离再利用、城乡建设用地增减挂钩、移民搬迁村庄土地复垦、闲置凋敝宅基地整治盘活利用、历史遗留工矿废弃地复垦、采煤沉陷区治理等。</w:t>
      </w:r>
    </w:p>
    <w:p w14:paraId="32E007BA">
      <w:pPr>
        <w:pStyle w:val="17"/>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为有效落实耕地占补平衡难题，特别是占优补优难题，拓展补充耕地途径，完善新增耕地指标管理，开创占补平衡指标货币化调剂，规范市场化流转，实现临汾市耕地动态平衡，为临汾市经济社会发展赢得用地空间，2018年2月26日，中共临汾市委、临汾市人民政府《关于印发临汾市项目落地耕地占补平衡实施方案的通知》（临发〔2018〕2号）出台，该文件提出：</w:t>
      </w:r>
    </w:p>
    <w:p w14:paraId="5026CF3A">
      <w:pPr>
        <w:pStyle w:val="17"/>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分类管理，根据山西省国土资源厅《关于规范和加强土地整治项目耕场质量等别评定工作的通知》（晋国土资函〔2017〕443号）和临汾市土地利用总体规划（2006-2020年）》、《临汾市土地整治规划》要求，为确保土地整治项目有效实施，实行分类指导办法。①高标准农田建设。通过土地整治着力建设高标准农田补充耕地，国土资源主管部门组织实施的土地整治、高标准农田建设和其他部门组织实施的高标准农田建设所补充和改造的耕地，均可纳入补充耕地管理，用于耕地占补平衡；②实施宜耕未利用地开发。坚持绿色发展理念，在全市范围内严格控制成片未利用地开发，按照《临汾市年度土地整治计划》，预估耕地质量等级11等（国家利用等）及以上，均可立项；③水土适宜沟谷土地综合整治。以汾西、古县、隰县、永和、吉县、乡宁、大宁为重点，在浮山、古县、安泽以及平川县（市、区）范围内有沟谷条件的地方均可适用，并根据实际情况，预估耕地质量等级11等（国家利用等）及以上，均可立项。④建设占用耕地耕作层剥离。建设占用较高等级耕地的，耕作层应当予以剥离，用于改良新开垦耕地，提高耕地质量。建设用地单位在项目前期论证阶段要充分考虑对拟占用耕地的耕作层土壤剥离利用并做出统筹安排，在申办土地供应手续时应提交由批准供地的国土资源部门审查通过的耕作层剥离利用方案。耕作层土壤剥离、存储管理所发生的费用纳入项目开发成本，由用地单位承担；⑤城乡建设用地增减挂钩和历史遗留工矿废弃地复垦。全市实施的城乡建设用地增减挂钩和历史遗留工矿废弃地复垦等项目形成的新增耕地节余指标，经省国土资源厅审核认定，按照土地整治项目管理办法完善相应资料，并完成项目信息报备后，纳入耕地占补平衡储备库。⑥移民搬迁村庄土地复垦。移民搬迁村庄土地复垦所产生的新增耕地指标可用于占补平衡。⑦采煤沉陷区土地复垦。采煤沉陷区土地复垦所产生的新增耕地指标可用于占补平衡。对复垦为耕地的建设用地，经验收合格后按程序纳入城乡建设用地增减挂钩试点范围，相关土地由治理主体优先使用。</w:t>
      </w:r>
    </w:p>
    <w:p w14:paraId="4FE7B5D7">
      <w:pPr>
        <w:pStyle w:val="17"/>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实施管理，土地整治依据《山西省土地整治条例》和省国土资源厅《关于印发＜山西省土地开发整理项目管理办法（试行）＞》和《＜山西省土地开发整理项目竣工验收暂行办法＞的通知》（晋国土资发〔2012〕25号），按项目实施管理。实行项目法人制、工程招投标制、工程监理制、合同制、公告制、审计制等制度。社会资本可通过政府和社会资本合作（PPP）模式、委托代建模式、先建后补模式参与土地整治。</w:t>
      </w:r>
    </w:p>
    <w:p w14:paraId="5D3BEC4F">
      <w:pPr>
        <w:pStyle w:val="17"/>
        <w:spacing w:line="500" w:lineRule="exact"/>
        <w:ind w:firstLine="560" w:firstLineChars="200"/>
        <w:jc w:val="both"/>
        <w:rPr>
          <w:rFonts w:ascii="Times New Roman" w:hAnsi="Times New Roman" w:eastAsia="仿宋"/>
          <w:snapToGrid w:val="0"/>
          <w:sz w:val="28"/>
          <w:szCs w:val="32"/>
        </w:rPr>
      </w:pPr>
      <w:r>
        <w:rPr>
          <w:rFonts w:hint="eastAsia" w:ascii="Times New Roman" w:hAnsi="Times New Roman" w:eastAsia="仿宋" w:cs="Times New Roman"/>
          <w:sz w:val="28"/>
          <w:szCs w:val="24"/>
          <w:lang w:val="en-US" w:eastAsia="zh-CN"/>
        </w:rPr>
        <w:t>2019年3月22日，古县人民政府《关于印发古县社会资本参与土地综合整治实施办法（暂行）的通知》（古政发〔2019〕5号）出台</w:t>
      </w:r>
      <w:r>
        <w:rPr>
          <w:rFonts w:ascii="Times New Roman" w:hAnsi="Times New Roman" w:eastAsia="仿宋"/>
          <w:snapToGrid w:val="0"/>
          <w:sz w:val="28"/>
          <w:szCs w:val="32"/>
        </w:rPr>
        <w:t>。</w:t>
      </w:r>
    </w:p>
    <w:p w14:paraId="23CD7D76">
      <w:pPr>
        <w:pStyle w:val="4"/>
        <w:spacing w:before="156" w:beforeLines="50" w:after="156" w:afterLines="50" w:line="500" w:lineRule="exact"/>
        <w:ind w:firstLine="643" w:firstLineChars="200"/>
        <w:rPr>
          <w:rFonts w:ascii="仿宋" w:hAnsi="仿宋" w:eastAsia="仿宋"/>
        </w:rPr>
      </w:pPr>
      <w:bookmarkStart w:id="15" w:name="_Toc22149"/>
      <w:r>
        <w:rPr>
          <w:rFonts w:ascii="仿宋" w:hAnsi="仿宋" w:eastAsia="仿宋"/>
        </w:rPr>
        <w:t>（二）预算资金来源与资金使用范围</w:t>
      </w:r>
      <w:bookmarkEnd w:id="14"/>
      <w:bookmarkEnd w:id="15"/>
    </w:p>
    <w:p w14:paraId="1B733ECF">
      <w:pPr>
        <w:spacing w:line="500" w:lineRule="exact"/>
        <w:ind w:firstLine="562" w:firstLineChars="200"/>
        <w:rPr>
          <w:rFonts w:hint="eastAsia" w:ascii="Times New Roman" w:hAnsi="Times New Roman" w:eastAsia="仿宋" w:cs="Times New Roman"/>
          <w:b/>
          <w:sz w:val="28"/>
          <w:szCs w:val="24"/>
          <w:lang w:eastAsia="zh-CN"/>
        </w:rPr>
      </w:pPr>
      <w:bookmarkStart w:id="16" w:name="_Toc28125"/>
      <w:r>
        <w:rPr>
          <w:rFonts w:hint="eastAsia" w:ascii="Times New Roman" w:hAnsi="Times New Roman" w:eastAsia="仿宋" w:cs="Times New Roman"/>
          <w:b/>
          <w:sz w:val="28"/>
          <w:szCs w:val="24"/>
          <w:lang w:val="en-US" w:eastAsia="zh-CN"/>
        </w:rPr>
        <w:t>1、</w:t>
      </w:r>
      <w:r>
        <w:rPr>
          <w:rFonts w:hint="eastAsia" w:ascii="Times New Roman" w:hAnsi="Times New Roman" w:eastAsia="仿宋" w:cs="Times New Roman"/>
          <w:b/>
          <w:sz w:val="28"/>
          <w:szCs w:val="24"/>
        </w:rPr>
        <w:t>项目</w:t>
      </w:r>
      <w:r>
        <w:rPr>
          <w:rFonts w:hint="eastAsia" w:ascii="Times New Roman" w:hAnsi="Times New Roman" w:eastAsia="仿宋" w:cs="Times New Roman"/>
          <w:b/>
          <w:sz w:val="28"/>
          <w:szCs w:val="24"/>
          <w:lang w:val="en-US" w:eastAsia="zh-CN"/>
        </w:rPr>
        <w:t>资金来源</w:t>
      </w:r>
    </w:p>
    <w:p w14:paraId="187B501F">
      <w:pPr>
        <w:spacing w:line="500" w:lineRule="exact"/>
        <w:ind w:firstLine="562" w:firstLineChars="200"/>
        <w:rPr>
          <w:rFonts w:hint="default" w:ascii="Times New Roman" w:hAnsi="Times New Roman" w:eastAsia="仿宋" w:cs="Times New Roman"/>
          <w:b/>
          <w:bCs/>
          <w:sz w:val="28"/>
          <w:szCs w:val="24"/>
          <w:lang w:val="en-US" w:eastAsia="zh-CN"/>
        </w:rPr>
      </w:pPr>
      <w:r>
        <w:rPr>
          <w:rFonts w:hint="eastAsia" w:ascii="Times New Roman" w:hAnsi="Times New Roman" w:eastAsia="仿宋" w:cs="Times New Roman"/>
          <w:b/>
          <w:bCs/>
          <w:sz w:val="28"/>
          <w:szCs w:val="24"/>
          <w:lang w:eastAsia="zh-CN"/>
        </w:rPr>
        <w:t>（</w:t>
      </w:r>
      <w:r>
        <w:rPr>
          <w:rFonts w:hint="eastAsia" w:ascii="Times New Roman" w:hAnsi="Times New Roman" w:eastAsia="仿宋" w:cs="Times New Roman"/>
          <w:b/>
          <w:bCs/>
          <w:sz w:val="28"/>
          <w:szCs w:val="24"/>
          <w:lang w:val="en-US" w:eastAsia="zh-CN"/>
        </w:rPr>
        <w:t>1</w:t>
      </w:r>
      <w:r>
        <w:rPr>
          <w:rFonts w:hint="eastAsia" w:ascii="Times New Roman" w:hAnsi="Times New Roman" w:eastAsia="仿宋" w:cs="Times New Roman"/>
          <w:b/>
          <w:bCs/>
          <w:sz w:val="28"/>
          <w:szCs w:val="24"/>
          <w:lang w:eastAsia="zh-CN"/>
        </w:rPr>
        <w:t>）</w:t>
      </w:r>
      <w:r>
        <w:rPr>
          <w:rFonts w:hint="eastAsia" w:ascii="Times New Roman" w:hAnsi="Times New Roman" w:eastAsia="仿宋" w:cs="Times New Roman"/>
          <w:b/>
          <w:bCs/>
          <w:sz w:val="28"/>
          <w:szCs w:val="24"/>
          <w:lang w:val="en-US" w:eastAsia="zh-CN"/>
        </w:rPr>
        <w:t>项目预算资金</w:t>
      </w:r>
    </w:p>
    <w:p w14:paraId="3D41A93E">
      <w:pPr>
        <w:spacing w:line="500" w:lineRule="exact"/>
        <w:ind w:firstLine="560" w:firstLineChars="200"/>
        <w:rPr>
          <w:rFonts w:hint="default" w:ascii="Times New Roman" w:hAnsi="Times New Roman" w:eastAsia="仿宋" w:cs="Times New Roman"/>
          <w:sz w:val="28"/>
          <w:szCs w:val="24"/>
          <w:lang w:val="en-US"/>
        </w:rPr>
      </w:pPr>
      <w:r>
        <w:rPr>
          <w:rFonts w:hint="eastAsia" w:ascii="Times New Roman" w:hAnsi="Times New Roman" w:eastAsia="仿宋" w:cs="Times New Roman"/>
          <w:sz w:val="28"/>
          <w:szCs w:val="24"/>
          <w:lang w:eastAsia="zh-CN"/>
        </w:rPr>
        <w:t>根据《古县旧县镇和南垣乡秦王庙村等八村土地综合整治项目设计及预算报告》，项目区总投资9675.93万元，单位面积投资为14.90万元／h㎡，亩均投资为9932.1元／亩，全部由古县华瑞土地综合整治有限公司投资</w:t>
      </w:r>
      <w:r>
        <w:rPr>
          <w:rFonts w:hint="eastAsia" w:ascii="Times New Roman" w:hAnsi="Times New Roman" w:eastAsia="仿宋" w:cs="Times New Roman"/>
          <w:sz w:val="28"/>
          <w:szCs w:val="24"/>
          <w:lang w:val="en-US" w:eastAsia="zh-CN"/>
        </w:rPr>
        <w:t>。</w:t>
      </w:r>
    </w:p>
    <w:p w14:paraId="2C628810">
      <w:pPr>
        <w:numPr>
          <w:ilvl w:val="0"/>
          <w:numId w:val="0"/>
        </w:numPr>
        <w:spacing w:line="500" w:lineRule="exact"/>
        <w:ind w:firstLine="562" w:firstLineChars="200"/>
        <w:rPr>
          <w:rFonts w:hint="default" w:ascii="Times New Roman" w:hAnsi="Times New Roman" w:eastAsia="仿宋" w:cs="Times New Roman"/>
          <w:b/>
          <w:sz w:val="28"/>
          <w:szCs w:val="24"/>
          <w:lang w:val="en-US" w:eastAsia="zh-CN"/>
        </w:rPr>
      </w:pPr>
      <w:r>
        <w:rPr>
          <w:rFonts w:hint="eastAsia" w:ascii="Times New Roman" w:hAnsi="Times New Roman" w:eastAsia="仿宋" w:cs="Times New Roman"/>
          <w:b/>
          <w:sz w:val="28"/>
          <w:szCs w:val="24"/>
          <w:lang w:val="en-US" w:eastAsia="zh-CN"/>
        </w:rPr>
        <w:t>（2）结算方式及资金支付要求</w:t>
      </w:r>
    </w:p>
    <w:p w14:paraId="54489A54">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根据古县人民政府《关于印发古县社会资本参与土地综合整治实施办法（暂行）的通知》（古政发〔2019〕5号）文件之规定：</w:t>
      </w:r>
    </w:p>
    <w:p w14:paraId="72BD660A">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1.项目结算方式</w:t>
      </w:r>
    </w:p>
    <w:p w14:paraId="182BCCDD">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按照项目实际成本支出＋合理比例利润模式，除支付项目投资人实际支出成本外，再给予利润奖励。项目的实际支出成本以合同约定和工程投资决算为准。奖励标准为：</w:t>
      </w:r>
    </w:p>
    <w:p w14:paraId="46F534B7">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①新增耕地。具体计算公式为：指标交易价格-实际支出成本=利润。政府获利润的60%，项目投资人给予利润40%的奖励。实际支出成本和奖励利润由项目投资人承担税费，县财政给予支付。</w:t>
      </w:r>
    </w:p>
    <w:p w14:paraId="000F4B47">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②提质改造。每亩提高0.1个质量等别（国家利用等）奖励180元，每亩奖励不超过1800元。</w:t>
      </w:r>
    </w:p>
    <w:p w14:paraId="1D0DB005">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③其它类型。社会资本参与土地整治其它类型，根据实际投资情况和市场交易价格，由县政府领导下实行联席会议研究制定奖励标准。根据实际投资情况，可协商奖励标准，但必须报县政府同意。</w:t>
      </w:r>
    </w:p>
    <w:p w14:paraId="19D5D3F7">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2.资金支付</w:t>
      </w:r>
    </w:p>
    <w:p w14:paraId="12EBAC6F">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耕地占补平衡指标交易后，形成的指标资金入财政局专户，县财政局依据县自然资源局提供的验收报告及投资主体的申请，按照合同约定、工程审核、审计决算及验收情况支付相关费用。</w:t>
      </w:r>
    </w:p>
    <w:p w14:paraId="6F7B6685">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古县旧县镇和南垣乡秦王庙村等八村土地综合整治项目初步设计预算见下表1-1。</w:t>
      </w:r>
    </w:p>
    <w:p w14:paraId="486B3ED8">
      <w:pPr>
        <w:spacing w:line="500" w:lineRule="exact"/>
        <w:jc w:val="center"/>
        <w:rPr>
          <w:rFonts w:hint="eastAsia" w:ascii="Times New Roman" w:hAnsi="Times New Roman" w:eastAsia="仿宋" w:cs="Times New Roman"/>
          <w:b/>
          <w:kern w:val="0"/>
          <w:sz w:val="24"/>
          <w:szCs w:val="28"/>
          <w:lang w:val="en-US" w:eastAsia="zh-CN"/>
        </w:rPr>
      </w:pPr>
      <w:r>
        <w:rPr>
          <w:rFonts w:hint="eastAsia" w:ascii="Times New Roman" w:hAnsi="Times New Roman" w:eastAsia="仿宋" w:cs="Times New Roman"/>
          <w:b/>
          <w:kern w:val="0"/>
          <w:sz w:val="24"/>
          <w:szCs w:val="28"/>
          <w:lang w:val="en-US" w:eastAsia="zh-CN"/>
        </w:rPr>
        <w:t>表1-1古县旧县镇和南垣乡秦王庙村等八村土地综合整治项目初步设计预算</w:t>
      </w:r>
    </w:p>
    <w:p w14:paraId="61F33707">
      <w:pPr>
        <w:spacing w:line="500" w:lineRule="exact"/>
        <w:jc w:val="center"/>
        <w:rPr>
          <w:rFonts w:hint="default" w:ascii="Times New Roman" w:hAnsi="Times New Roman" w:eastAsia="仿宋_GB2312" w:cs="Times New Roman"/>
          <w:b/>
          <w:bCs/>
          <w:color w:val="auto"/>
          <w:kern w:val="0"/>
          <w:sz w:val="24"/>
          <w:szCs w:val="24"/>
          <w:lang w:val="en-US" w:eastAsia="zh-CN"/>
        </w:rPr>
      </w:pPr>
      <w:r>
        <w:rPr>
          <w:rFonts w:hint="eastAsia" w:ascii="Times New Roman" w:hAnsi="Times New Roman" w:eastAsia="仿宋" w:cs="Times New Roman"/>
          <w:b/>
          <w:kern w:val="0"/>
          <w:sz w:val="24"/>
          <w:szCs w:val="28"/>
          <w:lang w:val="en-US" w:eastAsia="zh-CN"/>
        </w:rPr>
        <w:t>总表</w:t>
      </w:r>
    </w:p>
    <w:tbl>
      <w:tblPr>
        <w:tblStyle w:val="53"/>
        <w:tblW w:w="846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4"/>
        <w:gridCol w:w="5333"/>
        <w:gridCol w:w="2398"/>
      </w:tblGrid>
      <w:tr w14:paraId="58CDC0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734" w:type="dxa"/>
            <w:tcBorders>
              <w:top w:val="single" w:color="000000" w:sz="2" w:space="0"/>
              <w:bottom w:val="single" w:color="000000" w:sz="2" w:space="0"/>
            </w:tcBorders>
            <w:vAlign w:val="center"/>
          </w:tcPr>
          <w:p w14:paraId="5DB0CEC4">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序号</w:t>
            </w:r>
          </w:p>
        </w:tc>
        <w:tc>
          <w:tcPr>
            <w:tcW w:w="5333" w:type="dxa"/>
            <w:tcBorders>
              <w:top w:val="single" w:color="000000" w:sz="2" w:space="0"/>
              <w:bottom w:val="single" w:color="000000" w:sz="2" w:space="0"/>
            </w:tcBorders>
            <w:vAlign w:val="center"/>
          </w:tcPr>
          <w:p w14:paraId="0EA4D18E">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工程项目名称</w:t>
            </w:r>
          </w:p>
        </w:tc>
        <w:tc>
          <w:tcPr>
            <w:tcW w:w="2398" w:type="dxa"/>
            <w:tcBorders>
              <w:top w:val="single" w:color="000000" w:sz="2" w:space="0"/>
              <w:bottom w:val="single" w:color="000000" w:sz="2" w:space="0"/>
            </w:tcBorders>
            <w:vAlign w:val="center"/>
          </w:tcPr>
          <w:p w14:paraId="03BE06F8">
            <w:pPr>
              <w:snapToGrid w:val="0"/>
              <w:jc w:val="center"/>
              <w:rPr>
                <w:rFonts w:hint="eastAsia" w:ascii="Times New Roman" w:hAnsi="Times New Roman" w:eastAsia="仿宋" w:cs="Times New Roman"/>
                <w:b/>
                <w:bCs/>
                <w:kern w:val="0"/>
                <w:sz w:val="24"/>
                <w:szCs w:val="32"/>
                <w:lang w:val="en-US" w:eastAsia="zh-CN"/>
              </w:rPr>
            </w:pPr>
            <w:r>
              <w:rPr>
                <w:rFonts w:hint="eastAsia" w:ascii="Times New Roman" w:hAnsi="Times New Roman" w:eastAsia="仿宋" w:cs="Times New Roman"/>
                <w:b/>
                <w:bCs/>
                <w:kern w:val="0"/>
                <w:sz w:val="24"/>
                <w:szCs w:val="32"/>
                <w:lang w:val="en-US" w:eastAsia="zh-CN"/>
              </w:rPr>
              <w:t>金额（万元）</w:t>
            </w:r>
          </w:p>
        </w:tc>
      </w:tr>
      <w:tr w14:paraId="20625F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5" w:hRule="atLeast"/>
          <w:jc w:val="center"/>
        </w:trPr>
        <w:tc>
          <w:tcPr>
            <w:tcW w:w="734" w:type="dxa"/>
            <w:tcBorders>
              <w:top w:val="single" w:color="000000" w:sz="2" w:space="0"/>
              <w:bottom w:val="single" w:color="000000" w:sz="2" w:space="0"/>
            </w:tcBorders>
            <w:vAlign w:val="center"/>
          </w:tcPr>
          <w:p w14:paraId="40613DDE">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1</w:t>
            </w:r>
          </w:p>
        </w:tc>
        <w:tc>
          <w:tcPr>
            <w:tcW w:w="5333" w:type="dxa"/>
            <w:tcBorders>
              <w:top w:val="single" w:color="000000" w:sz="2" w:space="0"/>
              <w:bottom w:val="single" w:color="000000" w:sz="2" w:space="0"/>
            </w:tcBorders>
            <w:vAlign w:val="center"/>
          </w:tcPr>
          <w:p w14:paraId="116E6E27">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工程施工费</w:t>
            </w:r>
          </w:p>
        </w:tc>
        <w:tc>
          <w:tcPr>
            <w:tcW w:w="2398" w:type="dxa"/>
            <w:tcBorders>
              <w:top w:val="single" w:color="000000" w:sz="2" w:space="0"/>
              <w:bottom w:val="single" w:color="000000" w:sz="2" w:space="0"/>
            </w:tcBorders>
            <w:vAlign w:val="center"/>
          </w:tcPr>
          <w:p w14:paraId="4DC4641C">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8395.13</w:t>
            </w:r>
          </w:p>
        </w:tc>
      </w:tr>
      <w:tr w14:paraId="63AB6E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5" w:hRule="atLeast"/>
          <w:jc w:val="center"/>
        </w:trPr>
        <w:tc>
          <w:tcPr>
            <w:tcW w:w="734" w:type="dxa"/>
            <w:tcBorders>
              <w:top w:val="single" w:color="000000" w:sz="2" w:space="0"/>
              <w:bottom w:val="single" w:color="000000" w:sz="2" w:space="0"/>
            </w:tcBorders>
            <w:vAlign w:val="center"/>
          </w:tcPr>
          <w:p w14:paraId="44E9F715">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w:t>
            </w:r>
          </w:p>
        </w:tc>
        <w:tc>
          <w:tcPr>
            <w:tcW w:w="5333" w:type="dxa"/>
            <w:tcBorders>
              <w:top w:val="single" w:color="000000" w:sz="2" w:space="0"/>
              <w:bottom w:val="single" w:color="000000" w:sz="2" w:space="0"/>
            </w:tcBorders>
            <w:vAlign w:val="center"/>
          </w:tcPr>
          <w:p w14:paraId="12640E4B">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设备购置费</w:t>
            </w:r>
          </w:p>
        </w:tc>
        <w:tc>
          <w:tcPr>
            <w:tcW w:w="2398" w:type="dxa"/>
            <w:tcBorders>
              <w:top w:val="single" w:color="000000" w:sz="2" w:space="0"/>
              <w:bottom w:val="single" w:color="000000" w:sz="2" w:space="0"/>
            </w:tcBorders>
            <w:vAlign w:val="center"/>
          </w:tcPr>
          <w:p w14:paraId="43F23799">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54.37</w:t>
            </w:r>
          </w:p>
        </w:tc>
      </w:tr>
      <w:tr w14:paraId="429F65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5" w:hRule="atLeast"/>
          <w:jc w:val="center"/>
        </w:trPr>
        <w:tc>
          <w:tcPr>
            <w:tcW w:w="734" w:type="dxa"/>
            <w:tcBorders>
              <w:top w:val="single" w:color="000000" w:sz="2" w:space="0"/>
              <w:bottom w:val="single" w:color="000000" w:sz="2" w:space="0"/>
            </w:tcBorders>
            <w:vAlign w:val="center"/>
          </w:tcPr>
          <w:p w14:paraId="4D40C83B">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3</w:t>
            </w:r>
          </w:p>
        </w:tc>
        <w:tc>
          <w:tcPr>
            <w:tcW w:w="5333" w:type="dxa"/>
            <w:tcBorders>
              <w:top w:val="single" w:color="000000" w:sz="2" w:space="0"/>
              <w:bottom w:val="single" w:color="000000" w:sz="2" w:space="0"/>
            </w:tcBorders>
            <w:vAlign w:val="center"/>
          </w:tcPr>
          <w:p w14:paraId="09AC9282">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其他费用</w:t>
            </w:r>
          </w:p>
        </w:tc>
        <w:tc>
          <w:tcPr>
            <w:tcW w:w="2398" w:type="dxa"/>
            <w:tcBorders>
              <w:top w:val="single" w:color="000000" w:sz="2" w:space="0"/>
              <w:bottom w:val="single" w:color="000000" w:sz="2" w:space="0"/>
            </w:tcBorders>
            <w:vAlign w:val="center"/>
          </w:tcPr>
          <w:p w14:paraId="28A8106D">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944.60</w:t>
            </w:r>
          </w:p>
        </w:tc>
      </w:tr>
      <w:tr w14:paraId="121B77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5" w:hRule="atLeast"/>
          <w:jc w:val="center"/>
        </w:trPr>
        <w:tc>
          <w:tcPr>
            <w:tcW w:w="734" w:type="dxa"/>
            <w:tcBorders>
              <w:top w:val="single" w:color="000000" w:sz="2" w:space="0"/>
              <w:bottom w:val="single" w:color="000000" w:sz="2" w:space="0"/>
            </w:tcBorders>
            <w:vAlign w:val="center"/>
          </w:tcPr>
          <w:p w14:paraId="6099C355">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4</w:t>
            </w:r>
          </w:p>
        </w:tc>
        <w:tc>
          <w:tcPr>
            <w:tcW w:w="5333" w:type="dxa"/>
            <w:tcBorders>
              <w:top w:val="single" w:color="000000" w:sz="2" w:space="0"/>
              <w:bottom w:val="single" w:color="000000" w:sz="2" w:space="0"/>
            </w:tcBorders>
            <w:vAlign w:val="center"/>
          </w:tcPr>
          <w:p w14:paraId="06934794">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不可预见费</w:t>
            </w:r>
          </w:p>
        </w:tc>
        <w:tc>
          <w:tcPr>
            <w:tcW w:w="2398" w:type="dxa"/>
            <w:tcBorders>
              <w:top w:val="single" w:color="000000" w:sz="2" w:space="0"/>
              <w:bottom w:val="single" w:color="000000" w:sz="2" w:space="0"/>
            </w:tcBorders>
            <w:vAlign w:val="center"/>
          </w:tcPr>
          <w:p w14:paraId="4202BBFC">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281.82</w:t>
            </w:r>
          </w:p>
        </w:tc>
      </w:tr>
      <w:tr w14:paraId="19A244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5" w:hRule="atLeast"/>
          <w:jc w:val="center"/>
        </w:trPr>
        <w:tc>
          <w:tcPr>
            <w:tcW w:w="734" w:type="dxa"/>
            <w:tcBorders>
              <w:top w:val="single" w:color="000000" w:sz="2" w:space="0"/>
              <w:bottom w:val="single" w:color="000000" w:sz="2" w:space="0"/>
            </w:tcBorders>
            <w:vAlign w:val="center"/>
          </w:tcPr>
          <w:p w14:paraId="303889F6">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合计</w:t>
            </w:r>
          </w:p>
        </w:tc>
        <w:tc>
          <w:tcPr>
            <w:tcW w:w="5333" w:type="dxa"/>
            <w:tcBorders>
              <w:top w:val="single" w:color="000000" w:sz="2" w:space="0"/>
              <w:bottom w:val="single" w:color="000000" w:sz="2" w:space="0"/>
            </w:tcBorders>
            <w:vAlign w:val="center"/>
          </w:tcPr>
          <w:p w14:paraId="51D3E111">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w:t>
            </w:r>
          </w:p>
        </w:tc>
        <w:tc>
          <w:tcPr>
            <w:tcW w:w="2398" w:type="dxa"/>
            <w:tcBorders>
              <w:top w:val="single" w:color="000000" w:sz="2" w:space="0"/>
              <w:bottom w:val="single" w:color="000000" w:sz="2" w:space="0"/>
            </w:tcBorders>
            <w:vAlign w:val="center"/>
          </w:tcPr>
          <w:p w14:paraId="50902995">
            <w:pPr>
              <w:snapToGrid w:val="0"/>
              <w:jc w:val="center"/>
              <w:rPr>
                <w:rFonts w:hint="default" w:ascii="Times New Roman" w:hAnsi="Times New Roman" w:eastAsia="仿宋" w:cs="Times New Roman"/>
                <w:kern w:val="0"/>
                <w:sz w:val="24"/>
                <w:szCs w:val="32"/>
                <w:lang w:val="en-US" w:eastAsia="zh-CN"/>
              </w:rPr>
            </w:pPr>
            <w:r>
              <w:rPr>
                <w:rFonts w:hint="eastAsia" w:ascii="Times New Roman" w:hAnsi="Times New Roman" w:eastAsia="仿宋" w:cs="Times New Roman"/>
                <w:kern w:val="0"/>
                <w:sz w:val="24"/>
                <w:szCs w:val="32"/>
                <w:lang w:val="en-US" w:eastAsia="zh-CN"/>
              </w:rPr>
              <w:t>9675.93</w:t>
            </w:r>
          </w:p>
        </w:tc>
      </w:tr>
    </w:tbl>
    <w:p w14:paraId="49F61FA5">
      <w:pPr>
        <w:pStyle w:val="4"/>
        <w:spacing w:before="156" w:beforeLines="50" w:after="156" w:afterLines="50" w:line="500" w:lineRule="exact"/>
        <w:ind w:firstLine="643" w:firstLineChars="200"/>
        <w:rPr>
          <w:rFonts w:ascii="仿宋" w:hAnsi="仿宋" w:eastAsia="仿宋"/>
        </w:rPr>
      </w:pPr>
      <w:r>
        <w:rPr>
          <w:rFonts w:ascii="仿宋" w:hAnsi="仿宋" w:eastAsia="仿宋"/>
        </w:rPr>
        <w:t>（三）项目立项依据</w:t>
      </w:r>
      <w:bookmarkEnd w:id="16"/>
    </w:p>
    <w:p w14:paraId="0995B87D">
      <w:pPr>
        <w:spacing w:line="500" w:lineRule="exact"/>
        <w:ind w:firstLine="562" w:firstLineChars="200"/>
        <w:rPr>
          <w:rFonts w:hint="eastAsia" w:ascii="Times New Roman" w:hAnsi="Times New Roman" w:eastAsia="仿宋" w:cs="Times New Roman"/>
          <w:b/>
          <w:bCs/>
          <w:sz w:val="28"/>
          <w:szCs w:val="24"/>
        </w:rPr>
      </w:pPr>
      <w:r>
        <w:rPr>
          <w:rFonts w:hint="eastAsia" w:ascii="Times New Roman" w:hAnsi="Times New Roman" w:eastAsia="仿宋" w:cs="Times New Roman"/>
          <w:b/>
          <w:bCs/>
          <w:sz w:val="28"/>
          <w:szCs w:val="24"/>
        </w:rPr>
        <w:t>1、国家层面政策依据</w:t>
      </w:r>
    </w:p>
    <w:p w14:paraId="1A8DFD12">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《中共中央国务院关于落实新理念加快农业现代化实现全面小康目标的若干意见》（中发〔2016〕1号）；</w:t>
      </w:r>
    </w:p>
    <w:p w14:paraId="31BCDBDC">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党中央</w:t>
      </w:r>
      <w:r>
        <w:rPr>
          <w:rFonts w:hint="eastAsia" w:ascii="Times New Roman" w:hAnsi="Times New Roman" w:eastAsia="仿宋" w:cs="Times New Roman"/>
          <w:sz w:val="28"/>
          <w:szCs w:val="24"/>
          <w:lang w:eastAsia="zh-CN"/>
        </w:rPr>
        <w:t>、</w:t>
      </w:r>
      <w:r>
        <w:rPr>
          <w:rFonts w:hint="eastAsia" w:ascii="Times New Roman" w:hAnsi="Times New Roman" w:eastAsia="仿宋" w:cs="Times New Roman"/>
          <w:sz w:val="28"/>
          <w:szCs w:val="24"/>
        </w:rPr>
        <w:t>国务院发布《乡村振兴战略规划（2018-2022年）》；</w:t>
      </w:r>
    </w:p>
    <w:p w14:paraId="6BBC8800">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《全国国土规划纲要（2016-2030年）》；</w:t>
      </w:r>
    </w:p>
    <w:p w14:paraId="0F055D4F">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《全国土地整治规划（2016-2020年）》；</w:t>
      </w:r>
    </w:p>
    <w:p w14:paraId="0BB0FD38">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《国土资源部全国工商联关于进一步鼓励和引导民间资本投资国土资源领域的意见》（国土资发〔2012〕100号）；</w:t>
      </w:r>
    </w:p>
    <w:p w14:paraId="04D993F3">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《中共中央国务院关于加强耕地保护和改进占补平衡的意见》（中发〔2017〕4号）；</w:t>
      </w:r>
    </w:p>
    <w:p w14:paraId="63A8553B">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《国土资源部关于改进管理方式切实落实耕地占补平衡的通知》（国土资规〔2017〕13号）。</w:t>
      </w:r>
    </w:p>
    <w:p w14:paraId="39543580">
      <w:pPr>
        <w:spacing w:line="500" w:lineRule="exact"/>
        <w:ind w:firstLine="562" w:firstLineChars="200"/>
        <w:rPr>
          <w:rFonts w:hint="eastAsia" w:ascii="Times New Roman" w:hAnsi="Times New Roman" w:eastAsia="仿宋" w:cs="Times New Roman"/>
          <w:b/>
          <w:bCs/>
          <w:sz w:val="28"/>
          <w:szCs w:val="24"/>
        </w:rPr>
      </w:pPr>
      <w:r>
        <w:rPr>
          <w:rFonts w:hint="eastAsia" w:ascii="Times New Roman" w:hAnsi="Times New Roman" w:eastAsia="仿宋" w:cs="Times New Roman"/>
          <w:b/>
          <w:bCs/>
          <w:sz w:val="28"/>
          <w:szCs w:val="24"/>
        </w:rPr>
        <w:t>2、省级政策依据</w:t>
      </w:r>
    </w:p>
    <w:p w14:paraId="7438BDBF">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《山西省土地整治条例》；</w:t>
      </w:r>
    </w:p>
    <w:p w14:paraId="5CA16B82">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山西省国土资源厅《关于印发＜山西省土地开发整理项目管理办法（试行）＞》；</w:t>
      </w:r>
    </w:p>
    <w:p w14:paraId="1536BA38">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《＜山西省土地开发整理项目竣工验收暂行办法＞的通知》（晋国土资发〔2012〕25号）；</w:t>
      </w:r>
    </w:p>
    <w:p w14:paraId="126DD4F0">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山西省国土资源厅出台《关于鼓励和引导民间资本规范有序开发造地的指导意见（试行）》（晋国土资发〔2016〕236号）；</w:t>
      </w:r>
    </w:p>
    <w:p w14:paraId="7D15C403">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《中共山西省委山西省人民政府关于印发&lt;加强耕地保护和改进占补平衡工作实施方案&gt;的通知》（晋发〔2017〕43号）；</w:t>
      </w:r>
    </w:p>
    <w:p w14:paraId="5A3018ED">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山西省国土资源厅《关于规范和加强土地整治项目耕场质量等别评定工作的通知》（晋国土资函〔2017〕443号）；</w:t>
      </w:r>
    </w:p>
    <w:p w14:paraId="7F4AA986">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《山西省人民政府办公厅关于鼓励引导社会资本参与土地整治的指导意见》（晋政办发〔2018〕1号）；</w:t>
      </w:r>
    </w:p>
    <w:p w14:paraId="31BEE3C6">
      <w:pPr>
        <w:spacing w:line="500" w:lineRule="exact"/>
        <w:ind w:firstLine="562" w:firstLineChars="200"/>
        <w:rPr>
          <w:rFonts w:hint="eastAsia" w:ascii="Times New Roman" w:hAnsi="Times New Roman" w:eastAsia="仿宋" w:cs="Times New Roman"/>
          <w:b/>
          <w:bCs/>
          <w:sz w:val="28"/>
          <w:szCs w:val="24"/>
        </w:rPr>
      </w:pPr>
      <w:r>
        <w:rPr>
          <w:rFonts w:hint="eastAsia" w:ascii="Times New Roman" w:hAnsi="Times New Roman" w:eastAsia="仿宋" w:cs="Times New Roman"/>
          <w:b/>
          <w:bCs/>
          <w:sz w:val="28"/>
          <w:szCs w:val="24"/>
        </w:rPr>
        <w:t>3、市级政策依据</w:t>
      </w:r>
    </w:p>
    <w:p w14:paraId="017E16B3">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临汾市土地利用总体规划（2006-2020年）》；</w:t>
      </w:r>
    </w:p>
    <w:p w14:paraId="3EFFC6C8">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《临汾市土地整治规划》；</w:t>
      </w:r>
    </w:p>
    <w:p w14:paraId="4739C1DE">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《临汾市年度土地整治计划》；</w:t>
      </w:r>
    </w:p>
    <w:p w14:paraId="4CE3435D">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中共临汾市委、临汾市人民政府《关于印发临汾市项目落地耕地占补平衡实施方案的通知》（临发〔2018〕2号）；</w:t>
      </w:r>
    </w:p>
    <w:p w14:paraId="5465FA6E">
      <w:pPr>
        <w:spacing w:line="500" w:lineRule="exact"/>
        <w:ind w:firstLine="562" w:firstLineChars="200"/>
        <w:rPr>
          <w:rFonts w:hint="eastAsia" w:ascii="Times New Roman" w:hAnsi="Times New Roman" w:eastAsia="仿宋" w:cs="Times New Roman"/>
          <w:b/>
          <w:bCs/>
          <w:sz w:val="28"/>
          <w:szCs w:val="24"/>
        </w:rPr>
      </w:pPr>
      <w:r>
        <w:rPr>
          <w:rFonts w:hint="eastAsia" w:ascii="Times New Roman" w:hAnsi="Times New Roman" w:eastAsia="仿宋" w:cs="Times New Roman"/>
          <w:b/>
          <w:bCs/>
          <w:sz w:val="28"/>
          <w:szCs w:val="24"/>
        </w:rPr>
        <w:t>4、县级政策依据</w:t>
      </w:r>
    </w:p>
    <w:p w14:paraId="1555A3BB">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《古县土地利用总体规划（2006-2020年）》；</w:t>
      </w:r>
    </w:p>
    <w:p w14:paraId="61620950">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《古县旧县镇土地利用总体规划（2006-2020年）》；</w:t>
      </w:r>
    </w:p>
    <w:p w14:paraId="071D7D6D">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《古县南垣乡土地利用总体规划（2006-2020年）》；</w:t>
      </w:r>
    </w:p>
    <w:p w14:paraId="19ED7958">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《古县土地整治总体规划（2016-2020年）》；</w:t>
      </w:r>
    </w:p>
    <w:p w14:paraId="75C744E4">
      <w:pPr>
        <w:pStyle w:val="52"/>
        <w:numPr>
          <w:ilvl w:val="0"/>
          <w:numId w:val="0"/>
        </w:numPr>
        <w:spacing w:line="500" w:lineRule="exact"/>
        <w:ind w:firstLine="560" w:firstLineChars="200"/>
        <w:jc w:val="both"/>
        <w:rPr>
          <w:rFonts w:ascii="Times New Roman" w:hAnsi="Times New Roman" w:eastAsia="仿宋"/>
          <w:snapToGrid w:val="0"/>
          <w:sz w:val="28"/>
          <w:szCs w:val="28"/>
        </w:rPr>
      </w:pPr>
      <w:r>
        <w:rPr>
          <w:rFonts w:hint="eastAsia" w:ascii="Times New Roman" w:hAnsi="Times New Roman" w:eastAsia="仿宋" w:cs="Times New Roman"/>
          <w:sz w:val="28"/>
          <w:szCs w:val="24"/>
        </w:rPr>
        <w:t>古县人民政府《关于印发古县社会资本参与土地综合整治实施办法（暂行）的通知》（古政发〔2019〕5号）</w:t>
      </w:r>
      <w:r>
        <w:rPr>
          <w:rFonts w:ascii="Times New Roman" w:hAnsi="Times New Roman" w:eastAsia="仿宋"/>
          <w:snapToGrid w:val="0"/>
          <w:sz w:val="28"/>
          <w:szCs w:val="28"/>
        </w:rPr>
        <w:t>。</w:t>
      </w:r>
    </w:p>
    <w:p w14:paraId="5A9DD1C5">
      <w:pPr>
        <w:pStyle w:val="4"/>
        <w:spacing w:before="156" w:beforeLines="50" w:after="156" w:afterLines="50" w:line="500" w:lineRule="exact"/>
        <w:ind w:firstLine="643" w:firstLineChars="200"/>
        <w:rPr>
          <w:rFonts w:ascii="仿宋" w:hAnsi="仿宋" w:eastAsia="仿宋"/>
        </w:rPr>
      </w:pPr>
      <w:bookmarkStart w:id="17" w:name="_Toc21880"/>
      <w:bookmarkStart w:id="18" w:name="_Toc514537331"/>
      <w:r>
        <w:rPr>
          <w:rFonts w:ascii="仿宋" w:hAnsi="仿宋" w:eastAsia="仿宋"/>
        </w:rPr>
        <w:t>（四）项目绩效目标</w:t>
      </w:r>
      <w:bookmarkEnd w:id="17"/>
      <w:bookmarkEnd w:id="18"/>
    </w:p>
    <w:p w14:paraId="6534BACC">
      <w:pPr>
        <w:spacing w:line="500" w:lineRule="exact"/>
        <w:ind w:firstLine="562"/>
        <w:jc w:val="both"/>
        <w:rPr>
          <w:rFonts w:ascii="仿宋" w:hAnsi="仿宋" w:eastAsia="仿宋" w:cs="仿宋"/>
          <w:b/>
          <w:color w:val="000000"/>
          <w:sz w:val="28"/>
          <w:szCs w:val="28"/>
        </w:rPr>
      </w:pPr>
      <w:bookmarkStart w:id="19" w:name="_Toc514537332"/>
      <w:r>
        <w:rPr>
          <w:rFonts w:hint="eastAsia" w:ascii="仿宋" w:hAnsi="仿宋" w:eastAsia="仿宋" w:cs="仿宋"/>
          <w:b/>
          <w:color w:val="000000"/>
          <w:sz w:val="28"/>
          <w:szCs w:val="28"/>
        </w:rPr>
        <w:t>1、项目总目标</w:t>
      </w:r>
    </w:p>
    <w:p w14:paraId="3A65CB5A">
      <w:pPr>
        <w:spacing w:line="500" w:lineRule="exact"/>
        <w:jc w:val="both"/>
        <w:rPr>
          <w:rFonts w:ascii="仿宋" w:hAnsi="仿宋" w:eastAsia="仿宋" w:cs="仿宋"/>
          <w:sz w:val="28"/>
          <w:szCs w:val="28"/>
        </w:rPr>
      </w:pPr>
      <w:r>
        <w:rPr>
          <w:rFonts w:hint="eastAsia" w:ascii="仿宋" w:hAnsi="仿宋" w:eastAsia="仿宋" w:cs="仿宋"/>
          <w:sz w:val="28"/>
          <w:szCs w:val="28"/>
        </w:rPr>
        <w:t xml:space="preserve">    深入贯彻落实国家、省、市土地整治相关政策要求，优化土地利用结构，加强耕地保护，促进生态环境改善</w:t>
      </w:r>
      <w:r>
        <w:rPr>
          <w:rFonts w:hint="eastAsia" w:ascii="仿宋" w:hAnsi="仿宋" w:eastAsia="仿宋" w:cs="仿宋"/>
          <w:sz w:val="28"/>
          <w:szCs w:val="28"/>
          <w:lang w:eastAsia="zh-CN"/>
        </w:rPr>
        <w:t>；</w:t>
      </w:r>
      <w:r>
        <w:rPr>
          <w:rFonts w:hint="eastAsia" w:ascii="仿宋" w:hAnsi="仿宋" w:eastAsia="仿宋" w:cs="仿宋"/>
          <w:sz w:val="28"/>
          <w:szCs w:val="28"/>
        </w:rPr>
        <w:t>通过</w:t>
      </w:r>
      <w:r>
        <w:rPr>
          <w:rFonts w:hint="eastAsia" w:ascii="仿宋" w:hAnsi="仿宋" w:eastAsia="仿宋" w:cs="仿宋"/>
          <w:sz w:val="28"/>
          <w:szCs w:val="28"/>
          <w:lang w:val="en-US" w:eastAsia="zh-CN"/>
        </w:rPr>
        <w:t>开展土地综合治理</w:t>
      </w:r>
      <w:r>
        <w:rPr>
          <w:rFonts w:hint="eastAsia" w:ascii="仿宋" w:hAnsi="仿宋" w:eastAsia="仿宋" w:cs="仿宋"/>
          <w:sz w:val="28"/>
          <w:szCs w:val="28"/>
        </w:rPr>
        <w:t>，</w:t>
      </w:r>
      <w:r>
        <w:rPr>
          <w:rFonts w:hint="eastAsia" w:ascii="仿宋" w:hAnsi="仿宋" w:eastAsia="仿宋" w:cs="仿宋"/>
          <w:sz w:val="28"/>
          <w:szCs w:val="28"/>
          <w:lang w:val="en-US" w:eastAsia="zh-CN"/>
        </w:rPr>
        <w:t>改善农业生产条件</w:t>
      </w:r>
      <w:r>
        <w:rPr>
          <w:rFonts w:hint="eastAsia" w:ascii="仿宋" w:hAnsi="仿宋" w:eastAsia="仿宋" w:cs="仿宋"/>
          <w:sz w:val="28"/>
          <w:szCs w:val="28"/>
        </w:rPr>
        <w:t>，有力推进当地乡村振兴和农业产业发展。</w:t>
      </w:r>
    </w:p>
    <w:p w14:paraId="7D36E0DB">
      <w:pPr>
        <w:spacing w:line="500" w:lineRule="exact"/>
        <w:ind w:firstLine="562"/>
        <w:jc w:val="both"/>
        <w:rPr>
          <w:rFonts w:ascii="仿宋" w:hAnsi="仿宋" w:eastAsia="仿宋" w:cs="仿宋"/>
          <w:b/>
          <w:color w:val="000000"/>
          <w:sz w:val="28"/>
          <w:szCs w:val="28"/>
        </w:rPr>
      </w:pPr>
      <w:r>
        <w:rPr>
          <w:rFonts w:hint="eastAsia" w:ascii="仿宋" w:hAnsi="仿宋" w:eastAsia="仿宋" w:cs="仿宋"/>
          <w:b/>
          <w:color w:val="000000"/>
          <w:sz w:val="28"/>
          <w:szCs w:val="28"/>
        </w:rPr>
        <w:t>2、项目年度目标</w:t>
      </w:r>
    </w:p>
    <w:p w14:paraId="3E85A896">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eastAsia="zh-CN"/>
        </w:rPr>
        <w:t>（</w:t>
      </w:r>
      <w:r>
        <w:rPr>
          <w:rFonts w:hint="eastAsia" w:ascii="Times New Roman" w:hAnsi="Times New Roman" w:eastAsia="仿宋" w:cs="Times New Roman"/>
          <w:sz w:val="28"/>
          <w:szCs w:val="24"/>
          <w:lang w:val="en-US" w:eastAsia="zh-CN"/>
        </w:rPr>
        <w:t>1</w:t>
      </w:r>
      <w:r>
        <w:rPr>
          <w:rFonts w:hint="eastAsia" w:ascii="Times New Roman" w:hAnsi="Times New Roman" w:eastAsia="仿宋" w:cs="Times New Roman"/>
          <w:sz w:val="28"/>
          <w:szCs w:val="24"/>
          <w:lang w:eastAsia="zh-CN"/>
        </w:rPr>
        <w:t>）</w:t>
      </w:r>
      <w:r>
        <w:rPr>
          <w:rFonts w:hint="eastAsia" w:ascii="Times New Roman" w:hAnsi="Times New Roman" w:eastAsia="仿宋" w:cs="Times New Roman"/>
          <w:sz w:val="28"/>
          <w:szCs w:val="24"/>
        </w:rPr>
        <w:t>古县旧县镇和南垣乡秦王庙村等八村土地综合整治项目区建设规模649.4722h㎡，新增耕地197.0009h㎡(全部为水浇地），提质改造面积218.2088公顷。主要内容包括：土地平整工程、灌溉与排水工程、田间道路工程、其他工程。</w:t>
      </w:r>
    </w:p>
    <w:p w14:paraId="649C9F0F">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①土地平整工程：底土平整820.09万㎡，土方调配277.08万㎡，田埂修筑1.90万㎡，田坎修筑84.61万㎡。</w:t>
      </w:r>
    </w:p>
    <w:p w14:paraId="1650CDA3">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②灌溉与排水工程：新建人字闸1座，新建提水泵站2座，离心泵4台；铺设DN273提水钢管5832m，铺设DN245提水钢管5915m，铺设Φ250PE管3837m，Φ160PE管15222m，Φ110E管37556m;架设高压线3100m，低压线300m，安装变压器4台。</w:t>
      </w:r>
    </w:p>
    <w:p w14:paraId="743CE832">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③田间道路工程：新建53条生产路，共26.49km。</w:t>
      </w:r>
    </w:p>
    <w:p w14:paraId="0CF9FFEE">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④其他工程：草被护坡8.0674公顷，施用精致有机肥1675568kg，施用硫酸亚铁209446kg。</w:t>
      </w:r>
    </w:p>
    <w:p w14:paraId="2347A631">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本项目一标段为（BCDE片区）土地平整工程、田间道路工程、其他工程等。二标段（AB片区）土地平整工程、田间道路工程、灌溉与排水工程、其他工程等。</w:t>
      </w:r>
    </w:p>
    <w:p w14:paraId="79E15D98">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eastAsia="zh-CN"/>
        </w:rPr>
        <w:t>（</w:t>
      </w:r>
      <w:r>
        <w:rPr>
          <w:rFonts w:hint="eastAsia" w:ascii="Times New Roman" w:hAnsi="Times New Roman" w:eastAsia="仿宋" w:cs="Times New Roman"/>
          <w:sz w:val="28"/>
          <w:szCs w:val="24"/>
          <w:lang w:val="en-US" w:eastAsia="zh-CN"/>
        </w:rPr>
        <w:t>2</w:t>
      </w:r>
      <w:r>
        <w:rPr>
          <w:rFonts w:hint="eastAsia" w:ascii="Times New Roman" w:hAnsi="Times New Roman" w:eastAsia="仿宋" w:cs="Times New Roman"/>
          <w:sz w:val="28"/>
          <w:szCs w:val="24"/>
          <w:lang w:eastAsia="zh-CN"/>
        </w:rPr>
        <w:t>）</w:t>
      </w:r>
      <w:r>
        <w:rPr>
          <w:rFonts w:hint="eastAsia" w:ascii="Times New Roman" w:hAnsi="Times New Roman" w:eastAsia="仿宋" w:cs="Times New Roman"/>
          <w:sz w:val="28"/>
          <w:szCs w:val="24"/>
        </w:rPr>
        <w:t>项目建成发挥效益后，一是年可增加粮食产量，农民人均纯收入增加</w:t>
      </w:r>
      <w:r>
        <w:rPr>
          <w:rFonts w:hint="eastAsia" w:ascii="Times New Roman" w:hAnsi="Times New Roman" w:eastAsia="仿宋" w:cs="Times New Roman"/>
          <w:sz w:val="28"/>
          <w:szCs w:val="24"/>
          <w:lang w:val="en-US" w:eastAsia="zh-CN"/>
        </w:rPr>
        <w:t>300元以上</w:t>
      </w:r>
      <w:r>
        <w:rPr>
          <w:rFonts w:hint="eastAsia" w:ascii="Times New Roman" w:hAnsi="Times New Roman" w:eastAsia="仿宋" w:cs="Times New Roman"/>
          <w:sz w:val="28"/>
          <w:szCs w:val="24"/>
        </w:rPr>
        <w:t>；二是可实现村民包括</w:t>
      </w:r>
      <w:r>
        <w:rPr>
          <w:rFonts w:hint="eastAsia" w:ascii="Times New Roman" w:hAnsi="Times New Roman" w:eastAsia="仿宋" w:cs="Times New Roman"/>
          <w:sz w:val="28"/>
          <w:szCs w:val="24"/>
          <w:lang w:val="en-US" w:eastAsia="zh-CN"/>
        </w:rPr>
        <w:t>建档立卡已脱贫</w:t>
      </w:r>
      <w:r>
        <w:rPr>
          <w:rFonts w:hint="eastAsia" w:ascii="Times New Roman" w:hAnsi="Times New Roman" w:eastAsia="仿宋" w:cs="Times New Roman"/>
          <w:sz w:val="28"/>
          <w:szCs w:val="24"/>
        </w:rPr>
        <w:t>人口持续且稳定增收，巩固提升脱贫</w:t>
      </w:r>
      <w:r>
        <w:rPr>
          <w:rFonts w:hint="eastAsia" w:ascii="Times New Roman" w:hAnsi="Times New Roman" w:eastAsia="仿宋" w:cs="Times New Roman"/>
          <w:sz w:val="28"/>
          <w:szCs w:val="24"/>
          <w:lang w:val="en-US" w:eastAsia="zh-CN"/>
        </w:rPr>
        <w:t>成果</w:t>
      </w:r>
      <w:r>
        <w:rPr>
          <w:rFonts w:hint="eastAsia" w:ascii="Times New Roman" w:hAnsi="Times New Roman" w:eastAsia="仿宋" w:cs="Times New Roman"/>
          <w:sz w:val="28"/>
          <w:szCs w:val="24"/>
        </w:rPr>
        <w:t>；三是农业生产条件明显改善，基础设施得到提升，可有力推进当地乡村振兴和农业产业发展。</w:t>
      </w:r>
    </w:p>
    <w:p w14:paraId="4F22E88D">
      <w:pPr>
        <w:spacing w:line="500" w:lineRule="exact"/>
        <w:ind w:firstLine="560" w:firstLineChars="200"/>
        <w:rPr>
          <w:rFonts w:ascii="Times New Roman" w:hAnsi="Times New Roman" w:eastAsia="仿宋"/>
          <w:color w:val="FF0000"/>
          <w:sz w:val="28"/>
          <w:szCs w:val="28"/>
          <w:highlight w:val="yellow"/>
        </w:rPr>
      </w:pPr>
      <w:r>
        <w:rPr>
          <w:rFonts w:hint="eastAsia" w:ascii="Times New Roman" w:hAnsi="Times New Roman" w:eastAsia="仿宋" w:cs="Times New Roman"/>
          <w:sz w:val="28"/>
          <w:szCs w:val="24"/>
        </w:rPr>
        <w:t>（3）受益群众满意度达到90%</w:t>
      </w:r>
      <w:r>
        <w:rPr>
          <w:rFonts w:ascii="Times New Roman" w:hAnsi="Times New Roman" w:eastAsia="仿宋"/>
          <w:sz w:val="28"/>
          <w:szCs w:val="28"/>
        </w:rPr>
        <w:t>。</w:t>
      </w:r>
    </w:p>
    <w:p w14:paraId="0CAF828E">
      <w:pPr>
        <w:pStyle w:val="3"/>
        <w:spacing w:before="312" w:beforeLines="100" w:after="312" w:afterLines="100" w:line="500" w:lineRule="exact"/>
        <w:rPr>
          <w:rFonts w:ascii="Times New Roman" w:hAnsi="Times New Roman" w:eastAsia="黑体"/>
          <w:b w:val="0"/>
          <w:sz w:val="32"/>
          <w:szCs w:val="32"/>
        </w:rPr>
      </w:pPr>
      <w:bookmarkStart w:id="20" w:name="_Toc28339"/>
      <w:r>
        <w:rPr>
          <w:rFonts w:ascii="Times New Roman" w:hAnsi="Times New Roman" w:eastAsia="黑体"/>
          <w:b w:val="0"/>
          <w:sz w:val="32"/>
          <w:szCs w:val="32"/>
        </w:rPr>
        <w:t>二、项目组织实施情况</w:t>
      </w:r>
      <w:bookmarkEnd w:id="19"/>
      <w:bookmarkEnd w:id="20"/>
    </w:p>
    <w:p w14:paraId="1C240CA4">
      <w:pPr>
        <w:pStyle w:val="4"/>
        <w:spacing w:before="156" w:beforeLines="50" w:after="156" w:afterLines="50" w:line="500" w:lineRule="exact"/>
        <w:ind w:firstLine="643" w:firstLineChars="200"/>
        <w:rPr>
          <w:rFonts w:ascii="仿宋" w:hAnsi="仿宋" w:eastAsia="仿宋"/>
        </w:rPr>
      </w:pPr>
      <w:bookmarkStart w:id="21" w:name="_Toc26637"/>
      <w:bookmarkStart w:id="22" w:name="_Toc514537333"/>
      <w:r>
        <w:rPr>
          <w:rFonts w:ascii="仿宋" w:hAnsi="仿宋" w:eastAsia="仿宋"/>
        </w:rPr>
        <w:t>（一）项目组织情况</w:t>
      </w:r>
      <w:bookmarkEnd w:id="21"/>
    </w:p>
    <w:p w14:paraId="171256DB">
      <w:pPr>
        <w:spacing w:line="500" w:lineRule="exact"/>
        <w:ind w:firstLine="560" w:firstLineChars="200"/>
        <w:rPr>
          <w:rFonts w:hint="eastAsia"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项目主管部门：古县自然资源局，主要负责统筹协调土地综合治理项目实施、验收和监督管理工作；</w:t>
      </w:r>
    </w:p>
    <w:p w14:paraId="6AF83882">
      <w:pPr>
        <w:spacing w:line="500" w:lineRule="exact"/>
        <w:ind w:firstLine="560" w:firstLineChars="200"/>
        <w:rPr>
          <w:rFonts w:hint="eastAsia"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项目实施部门：古县自然资源局，主要负责土地综合治理项目设立，预算资金的申请，项目资金的下拨。开展建设工作，督促施工单位按时完成建设任务和工程验收。</w:t>
      </w:r>
    </w:p>
    <w:p w14:paraId="1FE0E1A5">
      <w:pPr>
        <w:spacing w:line="500" w:lineRule="exact"/>
        <w:ind w:firstLine="560" w:firstLineChars="200"/>
        <w:rPr>
          <w:rFonts w:ascii="Times New Roman" w:hAnsi="Times New Roman" w:eastAsia="仿宋"/>
          <w:snapToGrid w:val="0"/>
          <w:sz w:val="28"/>
          <w:szCs w:val="28"/>
        </w:rPr>
      </w:pPr>
      <w:r>
        <w:rPr>
          <w:rFonts w:hint="eastAsia" w:ascii="Times New Roman" w:hAnsi="Times New Roman" w:eastAsia="仿宋" w:cs="Times New Roman"/>
          <w:color w:val="auto"/>
          <w:sz w:val="28"/>
          <w:szCs w:val="28"/>
        </w:rPr>
        <w:t>古县财政局：负责拨付预算资金和财政资金的管理，对资金的分配、下拨、使用等全过程进行规范化管理，对专项经费的使用进行规范，组织开展绩效评价工作等。贯彻执行国家有关法律、法规、方针、政策，做好项目资金的预算、控制和监督，规范财会行为，依法合理、及时筹集使用建设资金、严格控制建设成本，提高投资效益</w:t>
      </w:r>
      <w:r>
        <w:rPr>
          <w:rFonts w:ascii="Times New Roman" w:hAnsi="Times New Roman" w:eastAsia="仿宋"/>
          <w:snapToGrid w:val="0"/>
          <w:sz w:val="28"/>
          <w:szCs w:val="28"/>
        </w:rPr>
        <w:t>。</w:t>
      </w:r>
    </w:p>
    <w:p w14:paraId="5FDAAA8B">
      <w:pPr>
        <w:pStyle w:val="4"/>
        <w:spacing w:before="156" w:beforeLines="50" w:after="156" w:afterLines="50" w:line="500" w:lineRule="exact"/>
        <w:ind w:firstLine="643" w:firstLineChars="200"/>
        <w:rPr>
          <w:rFonts w:ascii="仿宋" w:hAnsi="仿宋" w:eastAsia="仿宋"/>
        </w:rPr>
      </w:pPr>
      <w:bookmarkStart w:id="23" w:name="_Toc19783"/>
      <w:r>
        <w:rPr>
          <w:rFonts w:ascii="仿宋" w:hAnsi="仿宋" w:eastAsia="仿宋"/>
        </w:rPr>
        <w:t>（二）项目实施</w:t>
      </w:r>
      <w:bookmarkEnd w:id="22"/>
      <w:r>
        <w:rPr>
          <w:rFonts w:ascii="仿宋" w:hAnsi="仿宋" w:eastAsia="仿宋"/>
        </w:rPr>
        <w:t>情况</w:t>
      </w:r>
      <w:bookmarkEnd w:id="23"/>
    </w:p>
    <w:p w14:paraId="2A20417F">
      <w:pPr>
        <w:widowControl w:val="0"/>
        <w:numPr>
          <w:ilvl w:val="0"/>
          <w:numId w:val="0"/>
        </w:numPr>
        <w:spacing w:line="500" w:lineRule="exact"/>
        <w:ind w:firstLine="562" w:firstLineChars="200"/>
        <w:jc w:val="both"/>
        <w:rPr>
          <w:rFonts w:hint="eastAsia" w:ascii="Times New Roman" w:hAnsi="Times New Roman" w:eastAsia="仿宋" w:cs="Times New Roman"/>
          <w:b/>
          <w:bCs/>
          <w:sz w:val="28"/>
          <w:szCs w:val="24"/>
          <w:lang w:val="en-US" w:eastAsia="zh-CN"/>
        </w:rPr>
      </w:pPr>
      <w:bookmarkStart w:id="24" w:name="_Toc514537334"/>
      <w:r>
        <w:rPr>
          <w:rFonts w:hint="eastAsia" w:ascii="Times New Roman" w:hAnsi="Times New Roman" w:eastAsia="仿宋" w:cs="Times New Roman"/>
          <w:b/>
          <w:bCs/>
          <w:sz w:val="28"/>
          <w:szCs w:val="24"/>
          <w:lang w:val="en-US" w:eastAsia="zh-CN"/>
        </w:rPr>
        <w:t>1、项目政策内容</w:t>
      </w:r>
    </w:p>
    <w:p w14:paraId="704C6631">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古县人民政府《关于印发古县社会资本参与土地综合整治实施办法（暂行）的通知》（古政发〔2019〕5号）提出：</w:t>
      </w:r>
    </w:p>
    <w:p w14:paraId="52B3524D">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（1）社会资本参与土地综合整治应遵循以下原则：</w:t>
      </w:r>
    </w:p>
    <w:p w14:paraId="46A003D2">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①统筹规划，宏观管理</w:t>
      </w:r>
    </w:p>
    <w:p w14:paraId="3D994ADF">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县人民政府依据现行的土地利用总体规划、土地整治规划、高标准农田建设规划、生态功能区规划及耕地后备资源调查成果，因地制宜、科学合理地确定土地整治项目区域，制定年度土地整治计划。坚持数量、质量并重的原则，优化土地利用结构，加强耕地保护，促进生态环境改善。</w:t>
      </w:r>
    </w:p>
    <w:p w14:paraId="51C30F38">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②政府引导，多元参与。坚持政府推动、社会力量参与和市场机制相结合的原则，创新机制，鼓励引导社会资本规范、有序参与土地整治，注重培育土地整治专业化龙头企业并发挥其示范引领作用，实现土地整治投资多元化和项目实施模式多样化。按照“谁实施谁负责、谁委托谁把关”的原则，增强服务意识，强化监管职能，确保工程建设质量和土地整治市场健康运行。</w:t>
      </w:r>
    </w:p>
    <w:p w14:paraId="06A61A7D">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③明确权责，合作共赢充分发挥市场作用，鼓励各类市场主体通过公开竞争方式参与土地整治项目，破除各种隐性壁垒，营造规范有序的市场环境，在平等协商的基础上订立合同，平衡政府、社会资本、农民、农村集体经济组织等各方利益关系，明确各方参与主体的责任、权利关系和风险分担机制，实现合作共赢。</w:t>
      </w:r>
    </w:p>
    <w:p w14:paraId="017F3562">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社会资本参与土地综合整治工作在县政府领导下实行联席会议制度，负责研究、协调、解决重大疑难问题。联席会议由县自然资源局、县财政局、县发改、县水利局、县农业农村局、县林业局、县文化和旅游局、县环保局、县气象局等单位组成。自然资源局牵头，负责项目立项、监管、验收及指标管理：财政局负责收购资金和收益资金的核算拨付及项目预算书的评审；审计局负责实施项目工程投资决算的审计工作；农业农村局负责制定农业结构调整方案，对项目区田块施肥数量、肥料种类提供技术支撑、新增耕地流转方案、土地承包经营权调整和发证工作；水利局负责项目取水许可证的办理及灌溉系统设计等相关技术指导；环保局负责评估项目区实施后对生态环境的影响并制定环境综合整治方案；发改、林业、文旅、气象等相关单位要全力配合，积极协调解决项目实施中的困难和问题。</w:t>
      </w:r>
    </w:p>
    <w:p w14:paraId="2D1FF43E">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（3）项目实施条件</w:t>
      </w:r>
    </w:p>
    <w:p w14:paraId="0A737E1E">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社会资本参与土地综合整治的范围包括：宜耕未利用地开发、高标准农田建设、水土适宜沟谷土地综合整治、建设占用耕地的耕作层剥离再利用、城乡建设用地增减挂钩、移民搬迁村庄土地复垦、闲置凋敝宅基地整治盘活利用、历史遗留工矿废弃地复垦、采煤沉陷区治理等。严格限制开发11等以下的耕地，未利用地、复垦土地等拟开垦为耕地的，进行土壤污染状况调查，依法进行分类管理。</w:t>
      </w:r>
    </w:p>
    <w:p w14:paraId="177CD9B5">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（4）土地综合整治实施主体：</w:t>
      </w:r>
    </w:p>
    <w:p w14:paraId="0D3F8A24">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具有投资、运营管理能力的社会资本，具备独立法人资格，有保障项目运行的资金储备和抵御项目完成的风险资金。</w:t>
      </w:r>
    </w:p>
    <w:p w14:paraId="679BDE3C">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（5）项目运行程序</w:t>
      </w:r>
    </w:p>
    <w:p w14:paraId="7B06B271">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①项目测量和土地清查。县自然资源局委托有资质的测量单位，对拟实施的土地整治区块进行测量。测量单位出具1：2000测量成果图（地形图）及相应成果，并对地面附着物进行清查、造册，出具成果。</w:t>
      </w:r>
    </w:p>
    <w:p w14:paraId="7F8B3815">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②编制项目可研报告。县自然资源局委托有资质的作业单位，对拟实施的土地整治区块进行可行性研究论证，并编制项目可行性研究报告。</w:t>
      </w:r>
    </w:p>
    <w:p w14:paraId="6FAF1651">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③项目立项。县自然资源局组织相关专家对拟实施整治的区块进行可行性论证，专家组形成论证意见，报经县政府同意后，由县自然资源局下达立项批复。</w:t>
      </w:r>
    </w:p>
    <w:p w14:paraId="510F65AE">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④签订投资合作意向书。有意向的投资方向县自然资源局提出申请，县自然资源局牵头召开联席会议按照各自职责或委托招标代理机构对其进行资信审查，审查通过后，签订投资合作意向书。</w:t>
      </w:r>
    </w:p>
    <w:p w14:paraId="1945BC3D">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⑤确定项目实施主体。县自然资源局依据投资合作意向书，采取公开招标、邀请招标、竞争性谈判等多种形式，择优选择社会资本方作为合作伙伴，确定项目实施主体。</w:t>
      </w:r>
    </w:p>
    <w:p w14:paraId="01AFE8D9">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⑥项目设计和预算审核。项目实施主体负责聘请有资质的单位编制项目初步设计和预算，报县自然资源局。县自然资源局组织相关专家对项目初步设计进行评审，县财政局对项目预算书进行评审，评审通过后，报上级自然资源主管部门备案，同时报经县政府同意后，由县自然资源局与项目实施主体签订土地整治项目实施合同，可以在招标文件中载明或在合同中约定以审计结果作为竣工决算的依据。</w:t>
      </w:r>
    </w:p>
    <w:p w14:paraId="062408A1">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⑦项目实施。项目实施主体具有相应施工资质的，要严格按照批准的项目设计方案和合同约定的内容组织施工；项目实施主体不具备相应施工资质的，应在县自然资源局的监督下，通过公开招标的方式确定施工单位及监理单位。施工中途不得擅自变更设计方案，确需变更的，须编制变更设计报告报经县自然资源局召开联席会议审核同意。县自然资源局土地开发中心对项目进行全程监管和技术指导，并通过公开招标的方式确定竣工勘测定界、工程复核及重估单位。县审计局负责工程投资决算审计。</w:t>
      </w:r>
    </w:p>
    <w:p w14:paraId="0EA0DDFF">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⑧项目验收。项目竣工后，按照《土地整治项目验收规程》，由实施主体组织相关专家对项目进行初验，初验合格后，向县自然资源局申请最终验收，县自然资源局根据实施主体的申请，组织联席会议成员及相关专家进行项目验收。依据相关技术规程组织相关单位对已完工项目的工程数量、质量以及耕地质量等别进行全面认定，验收合格的，出具项目验收报告。</w:t>
      </w:r>
    </w:p>
    <w:p w14:paraId="36EDBAB9">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⑨项目报备。项目通过验收后，实施主体配合县自然资源局向上级主管部门进行报备，录入农村土地整治监测监管系统，形成耕地占补平衡指标。第十六条项目管护。项目竣工后，报经县政府同意，由自然资源局将整治后的土地在当地乡镇政府、经管站监督下移交原土地权利人（村委会）管护，经管中心负责承包经营权调整和发证工作。</w:t>
      </w:r>
    </w:p>
    <w:p w14:paraId="1B5B3797">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⑩农村集体经济组织、农民、新型农业经营主体等以行政村为单元实施投资总额在50万元以内的土地整治项目，采用先建后补模式。自主确定建设范围、工程建设内容和布局，自主筹集建设资金，自主组织项目实施和工程后续管护。工程的数量和质量经验收合格，指标报备入库后，由财政局按照合同约定或工程审核、审计及验收情况支付相关费用。属于高标准农田建设项目的，按照合同约定或相关标准给予全额或部分奖补资金。</w:t>
      </w:r>
    </w:p>
    <w:p w14:paraId="5A72E0F2">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（5）项目结算方式</w:t>
      </w:r>
    </w:p>
    <w:p w14:paraId="30B11CFE">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按照项目实际成本支出＋合理比例利润模式，除支付项目投资人实际支出成本外，再给予利润奖励。项目的实际支出成本以合同约定和工程投资决算为准。奖励标准为：</w:t>
      </w:r>
    </w:p>
    <w:p w14:paraId="12C0F5E1">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①新增耕地。具体计算公式为：指标交易价格-实际支出成本=利润。政府获利润的60%，项目投资人给予利润40%的奖励。实际支出成本和奖励利润由项目投资人承担税费，县财政给予支付。</w:t>
      </w:r>
    </w:p>
    <w:p w14:paraId="7E6E2F0E">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②提质改造。每亩提高0.1个质量等别（国家利用等）奖励180元，每亩奖励不超过1800元。</w:t>
      </w:r>
    </w:p>
    <w:p w14:paraId="0343A50E">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③其它类型。社会资本参与土地整治其它类型，根据实际投资情况和市场交易价格，由县政府领导下实行联席会议研究制定奖励标准。根据实际投资情况，可协商奖励标准，但必须报县政府同意。</w:t>
      </w:r>
    </w:p>
    <w:p w14:paraId="2CBC19D5">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（6）资金支付</w:t>
      </w:r>
    </w:p>
    <w:p w14:paraId="57C075CE">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耕地占补平衡指标交易后，形成的指标资金入财政局专户，县财政局依据县自然资源局提供的验收报告及投资主体的申请，按照合同约定、工程审核、审计决算及验收情况支付相关费用。</w:t>
      </w:r>
    </w:p>
    <w:p w14:paraId="29CA3740">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（7）服务与监管</w:t>
      </w:r>
    </w:p>
    <w:p w14:paraId="3596B63C">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①联席会议成员及各相关单位要强化服务意识，简化和规范操作程序，提高服务水平，确保全县土地整治工作顺利推进。相关乡镇政府和村委会做好宣传动员工作，负责本行政区域内土地调整、土地承包落实和矛盾纠纷化解，确保项目正常施工。</w:t>
      </w:r>
    </w:p>
    <w:p w14:paraId="27CC72D4">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②自然资源局应当根据项目合同（协议）内容及有关规定，建立项目全过程监管机制，严格按照项目实施管理的项目法人制、工程招投标制、工程监理制、合同制、公告制和审计制等制度，督促实施主体按照规划设计组织施工，强化单项工程验收，切实做好项目管理工作。土地综合整治项目社会资本合作方要严格按照规划设计方案及土地整治相关技术规范和质量标准组织工程实施，对项目的工程质量、安全、工期以及项目预期效益负责，并和政府共同承担项目预期风险。交易指标受益如果达不到实际支出成本，交易后的指标受益全部支付给投资方，亏损部分由投资方承担</w:t>
      </w:r>
    </w:p>
    <w:p w14:paraId="7E6C360A">
      <w:pPr>
        <w:widowControl w:val="0"/>
        <w:numPr>
          <w:ilvl w:val="0"/>
          <w:numId w:val="0"/>
        </w:numPr>
        <w:spacing w:line="500" w:lineRule="exact"/>
        <w:ind w:firstLine="562" w:firstLineChars="200"/>
        <w:jc w:val="both"/>
        <w:rPr>
          <w:rFonts w:hint="eastAsia" w:ascii="Times New Roman" w:hAnsi="Times New Roman" w:eastAsia="仿宋" w:cs="Times New Roman"/>
          <w:b/>
          <w:bCs/>
          <w:sz w:val="28"/>
          <w:szCs w:val="24"/>
          <w:lang w:val="en-US" w:eastAsia="zh-CN"/>
        </w:rPr>
      </w:pPr>
      <w:r>
        <w:rPr>
          <w:rFonts w:hint="eastAsia" w:ascii="Times New Roman" w:hAnsi="Times New Roman" w:eastAsia="仿宋" w:cs="Times New Roman"/>
          <w:b/>
          <w:bCs/>
          <w:sz w:val="28"/>
          <w:szCs w:val="24"/>
          <w:lang w:val="en-US" w:eastAsia="zh-CN"/>
        </w:rPr>
        <w:t>2、项目前期立项及实施内容</w:t>
      </w:r>
    </w:p>
    <w:p w14:paraId="528A6B8A">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（1）项目立项申请及批复情况</w:t>
      </w:r>
    </w:p>
    <w:p w14:paraId="6ACA16CA">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古县人民政府关于印发《古县社会资本投资参与土地综合整治实施办法（暂行）的通知》（古政发〔2019〕5号）精神，2019年3月29日古县自然资源局牵头组织水利、农业农村等八部门和项目区所涉乡镇及村集体代表对古县旧县镇和南垣乡秦王庙村等八村生态综合整治项目、古县南垣乡和旧县镇陈香村等六村生态综合整治项目、古县南垣乡佐村和东池村生态综合整治项目进行了踏勘论证，并委托有相关资质的单位对三个项目进行了实地测绘，编制了可行性研究报告，于2019年4月9日通过省级专家组评审。</w:t>
      </w:r>
    </w:p>
    <w:p w14:paraId="254A9425">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2019年4月11日，古县自然资源局向古县人民政府提交《关于对三个生态综合整治项目进行立项的请示》，古县人民政府主要领导于2019年4月12日批复同意项目立项申请。</w:t>
      </w:r>
    </w:p>
    <w:p w14:paraId="3B355225">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2019年4月15日，古县自然资源局向古县土地开发中心下达《关于印发&lt;关于对古县旧县镇和南垣乡秦王庙村等八村土地综合整治项目可行性研究报告的评审意见&gt;及立项的通知》（古自然资发〔2019〕12号）文件，批复如下：①古县旧县镇和南垣乡秦王庙村等八村土地综合整治项目涉及旧县镇秦王庙村、皂角沟村、钱家峪村、安里村、旧县村、西堡村，南垣乡吴家岭村、坡头村共两个乡镇八个行政村。项目区集中连片，属黄土丘陵沟壑区，主要地貌单元有沟壑区的沟底及两侧沟坡，区内沟道切割较深，沟底较为平缓。项目规模为654.91公顷，可提质改造耕地234.08公顷，新增耕地196.56公顷，投资估算为9422.88万元。通过综合整治，不仅可有效增加耕地面积，提升原有耕地质量，提高区内土地利用效率，而且能充分发挥项目区的优势，获得良好的经济、生态和社会效益；②项目符合古县土地利用总体规划，古县土地整治规划；③可研报告拟定的土地平整，灌溉与排水，田问道路和其他工程内容科学，具有可行性，规划方案和布局合理，工程标准、工程措施和施工方案适合当地；④项目投资估算采用国家现行工程定额标准，材料价格合理，投资估算编制科学合理。</w:t>
      </w:r>
    </w:p>
    <w:p w14:paraId="56B65061">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中共古县县委办公室、古县人民政府办公室《关于推进2019年重点工程项目建设的实施方案》（古办发〔2019〕8号），古县旧县镇秦王庙村、南垣乡陈香村、南垣乡佐村三个土地综合整治项目列入了古县2019年重点工程项目。</w:t>
      </w:r>
    </w:p>
    <w:p w14:paraId="66B3BA7F">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2019年7月10日，古县自然资源局向古县人民政府提交《关于对三个土地综合整治项目进行立项和招标的请示》：请示进行项目立项和项目实施主体（社会资本方）招标。古县人民政府主要领导于2019年7月12日批复同意目立项和项目实施主体（社会资本方）招标申请。</w:t>
      </w:r>
    </w:p>
    <w:p w14:paraId="5F6285CA">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2019年7月19日，古县自然资源局向古县土地开发中心出具《委托书》，委托进行招标事宜，确定项目实施主体。</w:t>
      </w:r>
    </w:p>
    <w:p w14:paraId="282EAEA6">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2019年8月25日，古县自然资源局向古县人民政府提交《关于同社会资本方签订投资合同的请示》：三个项目通过临汾市公共资源交易平台对三个项目的社会资本方进行了公开招标，中标方分别为：古县华瑞土地综合整治有限公司、古县储田土地综合治理有限公司、山西京地工程建设有限公司。为尽快开展项目施工单位招标工作，加快项目落地，现需同三个中标的社会资本方签订《古县社会资本参与土地综合整治项目投资主体实施合同》。古县人民政府主要领导于2019年9月8日批复同意按照相关政策要求办理申请事宜。</w:t>
      </w:r>
    </w:p>
    <w:p w14:paraId="77B64DF8">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2020年6月29日，古县旧县镇和南垣乡秦王庙村等八村土地综合整治项目经采购程序确定：五台县第二建筑有限公司（一标段、中标金额35093640.08万元、工期100日历天）、山西景泰鸿建设工程有限责任公司为中标方（二标段、中标金额49282172.21元、工期100日历天）。</w:t>
      </w:r>
    </w:p>
    <w:p w14:paraId="2F06F4F4">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（2）项目具体实施内容</w:t>
      </w:r>
    </w:p>
    <w:p w14:paraId="0AA22700">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古县旧县镇和南垣乡秦王庙村等八村土地综合整治项目区建设规模649.4722h㎡，新增耕地197.0009h㎡(全部为水浇地），提质改造面积218.2088公顷。主要内容包括：土地平整工程、灌溉与排水工程、田间道路工程、其他工程。</w:t>
      </w:r>
    </w:p>
    <w:p w14:paraId="57337467">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①土地平整工程：底土平整820.09万㎡，土方调配277.08万㎡，田埂修筑1.90万㎡，田坎修筑84.61万㎡。</w:t>
      </w:r>
    </w:p>
    <w:p w14:paraId="6963CB1C">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②灌溉与排水工程：新建人字闸1座，新建提水泵站2座，离心泵4台；铺设DN273提水钢管5832m，铺设DN245提水钢管5915m，铺设Φ250PE管3837m，Φ160PE管15222m，Φ110E管37556m;架设高压线3100m，低压线300m，安装变压器4台。</w:t>
      </w:r>
    </w:p>
    <w:p w14:paraId="1BEA0B19">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③田间道路工程：新建53条生产路，共26.49km。</w:t>
      </w:r>
    </w:p>
    <w:p w14:paraId="3D45C5A3">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④其他工程：草被护坡8.0674公顷，施用精致有机肥1675568kg，施用硫酸亚铁209446kg。</w:t>
      </w:r>
    </w:p>
    <w:p w14:paraId="615D1F6A">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本项目一标段为（BCDE片区）土地平整工程、田间道路工程、其他工程等。二标段（AB片区）土地平整工程、田间道路工程、灌溉与排水工程、其他工程等。</w:t>
      </w:r>
    </w:p>
    <w:p w14:paraId="7AE4BC1A">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各标段具体建设内容以该标段施工图纸及工程量清单为准。</w:t>
      </w:r>
    </w:p>
    <w:bookmarkEnd w:id="24"/>
    <w:p w14:paraId="69C86FC5">
      <w:pPr>
        <w:pStyle w:val="4"/>
        <w:spacing w:before="156" w:beforeLines="50" w:after="156" w:afterLines="50" w:line="500" w:lineRule="exact"/>
        <w:ind w:firstLine="643" w:firstLineChars="200"/>
        <w:rPr>
          <w:rFonts w:ascii="仿宋" w:hAnsi="仿宋" w:eastAsia="仿宋"/>
        </w:rPr>
      </w:pPr>
      <w:bookmarkStart w:id="25" w:name="_Toc2162"/>
      <w:bookmarkStart w:id="26" w:name="_Toc514537335"/>
      <w:r>
        <w:rPr>
          <w:rFonts w:ascii="仿宋" w:hAnsi="仿宋" w:eastAsia="仿宋"/>
        </w:rPr>
        <w:t>（三）资金使用及管理情况</w:t>
      </w:r>
      <w:bookmarkEnd w:id="25"/>
      <w:bookmarkEnd w:id="26"/>
    </w:p>
    <w:p w14:paraId="79F30CFB">
      <w:pPr>
        <w:numPr>
          <w:ilvl w:val="0"/>
          <w:numId w:val="1"/>
        </w:numPr>
        <w:spacing w:line="500" w:lineRule="exact"/>
        <w:ind w:left="420" w:leftChars="0" w:firstLineChars="0"/>
        <w:rPr>
          <w:rFonts w:ascii="仿宋" w:hAnsi="仿宋" w:eastAsia="仿宋" w:cs="仿宋"/>
          <w:b/>
          <w:sz w:val="28"/>
          <w:szCs w:val="36"/>
        </w:rPr>
      </w:pPr>
      <w:r>
        <w:rPr>
          <w:rFonts w:hint="eastAsia" w:ascii="仿宋" w:hAnsi="仿宋" w:eastAsia="仿宋" w:cs="仿宋"/>
          <w:b/>
          <w:sz w:val="28"/>
          <w:szCs w:val="36"/>
        </w:rPr>
        <w:t>资金到位情况</w:t>
      </w:r>
    </w:p>
    <w:p w14:paraId="4206FF86">
      <w:pPr>
        <w:spacing w:line="500" w:lineRule="exact"/>
        <w:ind w:firstLine="560" w:firstLineChars="200"/>
        <w:rPr>
          <w:rFonts w:hint="eastAsia" w:ascii="Times New Roman" w:hAnsi="Times New Roman" w:eastAsia="仿宋" w:cs="Times New Roman"/>
          <w:color w:val="FF0000"/>
          <w:sz w:val="28"/>
          <w:szCs w:val="28"/>
          <w:lang w:val="en-US" w:eastAsia="zh-CN"/>
        </w:rPr>
      </w:pPr>
      <w:r>
        <w:rPr>
          <w:rFonts w:hint="eastAsia" w:ascii="Times New Roman" w:hAnsi="Times New Roman" w:eastAsia="仿宋" w:cs="Times New Roman"/>
          <w:sz w:val="28"/>
          <w:szCs w:val="24"/>
          <w:lang w:val="en-US" w:eastAsia="zh-CN"/>
        </w:rPr>
        <w:t>截止2021年12月31日，</w:t>
      </w:r>
      <w:r>
        <w:rPr>
          <w:rFonts w:hint="eastAsia" w:ascii="Times New Roman" w:hAnsi="Times New Roman" w:eastAsia="仿宋" w:cs="Times New Roman"/>
          <w:sz w:val="28"/>
          <w:szCs w:val="24"/>
          <w:lang w:eastAsia="zh-CN"/>
        </w:rPr>
        <w:t>古县旧县镇和南垣乡秦王庙村等8村土地综合整治项目</w:t>
      </w:r>
      <w:r>
        <w:rPr>
          <w:rFonts w:hint="eastAsia" w:ascii="Times New Roman" w:hAnsi="Times New Roman" w:eastAsia="仿宋" w:cs="Times New Roman"/>
          <w:sz w:val="28"/>
          <w:szCs w:val="24"/>
          <w:lang w:val="en-US" w:eastAsia="zh-CN"/>
        </w:rPr>
        <w:t>2021年计划投资额5000.00万元全部到位</w:t>
      </w:r>
      <w:r>
        <w:rPr>
          <w:rFonts w:hint="eastAsia" w:ascii="Times New Roman" w:hAnsi="Times New Roman" w:eastAsia="仿宋" w:cs="Times New Roman"/>
          <w:color w:val="auto"/>
          <w:sz w:val="28"/>
          <w:szCs w:val="28"/>
          <w:lang w:val="en-US" w:eastAsia="zh-CN"/>
        </w:rPr>
        <w:t>。</w:t>
      </w:r>
    </w:p>
    <w:p w14:paraId="6F1EB6A9">
      <w:pPr>
        <w:numPr>
          <w:ilvl w:val="0"/>
          <w:numId w:val="1"/>
        </w:numPr>
        <w:spacing w:line="500" w:lineRule="exact"/>
        <w:ind w:left="420" w:leftChars="0" w:firstLineChars="0"/>
        <w:rPr>
          <w:rFonts w:ascii="仿宋" w:hAnsi="仿宋" w:eastAsia="仿宋" w:cs="仿宋"/>
          <w:b/>
          <w:sz w:val="28"/>
          <w:szCs w:val="36"/>
        </w:rPr>
      </w:pPr>
      <w:r>
        <w:rPr>
          <w:rFonts w:hint="eastAsia" w:ascii="仿宋" w:hAnsi="仿宋" w:eastAsia="仿宋" w:cs="仿宋"/>
          <w:b/>
          <w:sz w:val="28"/>
          <w:szCs w:val="36"/>
        </w:rPr>
        <w:t>资金使用情况</w:t>
      </w:r>
    </w:p>
    <w:p w14:paraId="36C6006A">
      <w:pPr>
        <w:spacing w:line="500" w:lineRule="exact"/>
        <w:ind w:firstLine="560" w:firstLineChars="200"/>
        <w:rPr>
          <w:rFonts w:ascii="Times New Roman" w:hAnsi="Times New Roman" w:eastAsia="仿宋"/>
          <w:snapToGrid w:val="0"/>
          <w:sz w:val="28"/>
          <w:szCs w:val="28"/>
        </w:rPr>
      </w:pPr>
      <w:r>
        <w:rPr>
          <w:rFonts w:hint="eastAsia" w:ascii="Times New Roman" w:hAnsi="Times New Roman" w:eastAsia="仿宋" w:cs="Times New Roman"/>
          <w:sz w:val="28"/>
          <w:szCs w:val="24"/>
          <w:lang w:val="en-US" w:eastAsia="zh-CN"/>
        </w:rPr>
        <w:t>古县旧县镇和南垣乡秦王庙村等8村土地综合整治项目到位资金5000.00万元；截止2021年12月31日，古县旧县镇和南垣乡秦王庙村等8村土地综合整治项目全部完工，资金共计支出5000.00万元</w:t>
      </w:r>
      <w:r>
        <w:rPr>
          <w:rFonts w:hint="eastAsia" w:ascii="Times New Roman" w:hAnsi="Times New Roman" w:eastAsia="仿宋"/>
          <w:snapToGrid w:val="0"/>
          <w:sz w:val="28"/>
          <w:szCs w:val="28"/>
          <w:lang w:eastAsia="zh-CN"/>
        </w:rPr>
        <w:t>。</w:t>
      </w:r>
    </w:p>
    <w:p w14:paraId="25DE7451">
      <w:pPr>
        <w:pStyle w:val="3"/>
        <w:spacing w:before="312" w:beforeLines="100" w:after="312" w:afterLines="100" w:line="500" w:lineRule="exact"/>
        <w:rPr>
          <w:rFonts w:ascii="Times New Roman" w:hAnsi="Times New Roman" w:eastAsia="黑体"/>
          <w:b w:val="0"/>
          <w:sz w:val="32"/>
          <w:szCs w:val="32"/>
        </w:rPr>
      </w:pPr>
      <w:bookmarkStart w:id="27" w:name="_Toc14938"/>
      <w:bookmarkStart w:id="28" w:name="_Toc514537336"/>
      <w:r>
        <w:rPr>
          <w:rFonts w:ascii="Times New Roman" w:hAnsi="Times New Roman" w:eastAsia="黑体"/>
          <w:b w:val="0"/>
          <w:sz w:val="32"/>
          <w:szCs w:val="32"/>
        </w:rPr>
        <w:t>三、绩效评价工作情况</w:t>
      </w:r>
      <w:bookmarkEnd w:id="27"/>
      <w:bookmarkEnd w:id="28"/>
    </w:p>
    <w:p w14:paraId="37AFD449">
      <w:pPr>
        <w:pStyle w:val="4"/>
        <w:spacing w:before="156" w:beforeLines="50" w:after="156" w:afterLines="50" w:line="500" w:lineRule="exact"/>
        <w:ind w:firstLine="643" w:firstLineChars="200"/>
        <w:rPr>
          <w:rFonts w:ascii="仿宋" w:hAnsi="仿宋" w:eastAsia="仿宋"/>
        </w:rPr>
      </w:pPr>
      <w:bookmarkStart w:id="29" w:name="_Toc20123"/>
      <w:bookmarkStart w:id="30" w:name="_Toc514537337"/>
      <w:r>
        <w:rPr>
          <w:rFonts w:ascii="仿宋" w:hAnsi="仿宋" w:eastAsia="仿宋"/>
        </w:rPr>
        <w:t>（一）绩效评价的目的</w:t>
      </w:r>
      <w:bookmarkEnd w:id="29"/>
      <w:bookmarkEnd w:id="30"/>
    </w:p>
    <w:p w14:paraId="1DAC17A1">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财政支出绩效评价旨在通过评价改善预算部门的财政支出管理，优化资源配置及提高公共服务水平。本次绩效评价遵循《财政部关于印发&lt;项目支出绩效评价管理办法&gt;的通知》（财预〔2020〕10号）、</w:t>
      </w:r>
      <w:r>
        <w:rPr>
          <w:rFonts w:hint="eastAsia" w:ascii="Times New Roman" w:hAnsi="Times New Roman" w:eastAsia="仿宋"/>
          <w:snapToGrid w:val="0"/>
          <w:sz w:val="28"/>
          <w:szCs w:val="28"/>
          <w:lang w:eastAsia="zh-CN"/>
        </w:rPr>
        <w:t>《古县财政局关于印发&lt;2022年度财政重点绩效评价实施方案&gt;的通知》（古财字〔2022〕27号）</w:t>
      </w:r>
      <w:r>
        <w:rPr>
          <w:rFonts w:ascii="Times New Roman" w:hAnsi="Times New Roman" w:eastAsia="仿宋"/>
          <w:snapToGrid w:val="0"/>
          <w:sz w:val="28"/>
          <w:szCs w:val="28"/>
        </w:rPr>
        <w:t>的有关规定，客观、全面、公正地评价</w:t>
      </w:r>
      <w:r>
        <w:rPr>
          <w:rFonts w:hint="eastAsia" w:ascii="Times New Roman" w:hAnsi="Times New Roman" w:eastAsia="仿宋"/>
          <w:snapToGrid w:val="0"/>
          <w:sz w:val="28"/>
          <w:szCs w:val="28"/>
          <w:lang w:val="en-US" w:eastAsia="zh-CN"/>
        </w:rPr>
        <w:t>项目</w:t>
      </w:r>
      <w:r>
        <w:rPr>
          <w:rFonts w:ascii="Times New Roman" w:hAnsi="Times New Roman" w:eastAsia="仿宋"/>
          <w:snapToGrid w:val="0"/>
          <w:sz w:val="28"/>
          <w:szCs w:val="28"/>
        </w:rPr>
        <w:t>资金的使用效益，全面反映预算资金产出和结果的经济性、效率性、效益性和公平性。</w:t>
      </w:r>
    </w:p>
    <w:p w14:paraId="798C2770">
      <w:pPr>
        <w:spacing w:line="500" w:lineRule="exact"/>
        <w:ind w:firstLine="560" w:firstLineChars="200"/>
        <w:rPr>
          <w:rFonts w:ascii="Times New Roman" w:hAnsi="Times New Roman" w:eastAsia="仿宋"/>
          <w:snapToGrid w:val="0"/>
          <w:sz w:val="28"/>
          <w:szCs w:val="28"/>
        </w:rPr>
      </w:pPr>
      <w:bookmarkStart w:id="31" w:name="_Toc514537338"/>
      <w:r>
        <w:rPr>
          <w:rFonts w:ascii="Times New Roman" w:hAnsi="Times New Roman" w:eastAsia="仿宋"/>
          <w:snapToGrid w:val="0"/>
          <w:sz w:val="28"/>
          <w:szCs w:val="28"/>
        </w:rPr>
        <w:t>1.具体了解项目所涉及各项内容的进展、资金使用、制度建设及其取得的成效。总结经验，发现问题，并提出改进的意见和建议。</w:t>
      </w:r>
    </w:p>
    <w:p w14:paraId="64028E74">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2.进一步完善相关管理制度、加强财政支出管理、强化监督，保证项目实施、资金使用管理的规范性、安全性和有效性。</w:t>
      </w:r>
    </w:p>
    <w:p w14:paraId="3AF7F5D1">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3.积极探索项目的预算编制、项目申报、资金的分配机制，为以后年度其他相关工作的开展奠定基础。</w:t>
      </w:r>
    </w:p>
    <w:p w14:paraId="16EFC6ED">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4.提出改进建议，为政府作出相关决策及以后年度预算资金安排提供重要参考，促进财政资金分配科学、公正、公平，强化资金使用单位的责任意识和绩效意识。</w:t>
      </w:r>
    </w:p>
    <w:p w14:paraId="69266C47">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5.通过对项目实施情况的调查分析，客观反映政策目标实现程度及项目满意度。</w:t>
      </w:r>
    </w:p>
    <w:p w14:paraId="5975A06A">
      <w:pPr>
        <w:pStyle w:val="4"/>
        <w:spacing w:before="156" w:beforeLines="50" w:after="156" w:afterLines="50" w:line="500" w:lineRule="exact"/>
        <w:ind w:firstLine="643" w:firstLineChars="200"/>
        <w:rPr>
          <w:rFonts w:ascii="仿宋" w:hAnsi="仿宋" w:eastAsia="仿宋"/>
        </w:rPr>
      </w:pPr>
      <w:bookmarkStart w:id="32" w:name="_Toc22363"/>
      <w:r>
        <w:rPr>
          <w:rFonts w:ascii="仿宋" w:hAnsi="仿宋" w:eastAsia="仿宋"/>
        </w:rPr>
        <w:t>（二）绩效评价的依据</w:t>
      </w:r>
      <w:bookmarkEnd w:id="31"/>
      <w:bookmarkEnd w:id="32"/>
    </w:p>
    <w:p w14:paraId="1CC53119">
      <w:pPr>
        <w:pStyle w:val="18"/>
        <w:spacing w:line="500" w:lineRule="exact"/>
        <w:ind w:firstLine="560" w:firstLineChars="200"/>
        <w:outlineLvl w:val="9"/>
        <w:rPr>
          <w:rFonts w:hint="eastAsia" w:eastAsia="仿宋"/>
          <w:sz w:val="28"/>
          <w:szCs w:val="28"/>
          <w:shd w:val="clear" w:color="auto" w:fill="FFFFFF"/>
        </w:rPr>
      </w:pPr>
      <w:bookmarkStart w:id="33" w:name="_Toc13844"/>
      <w:r>
        <w:rPr>
          <w:rFonts w:hint="eastAsia" w:eastAsia="仿宋"/>
          <w:sz w:val="28"/>
          <w:szCs w:val="28"/>
          <w:shd w:val="clear" w:color="auto" w:fill="FFFFFF"/>
        </w:rPr>
        <w:t>1、《中华人民共和国预算法》（2018年12月29日第十三届全国人民代表大会常务委员会第七次会议通过第十三届全国人民代表大会常务委员会第七次会议决定:对《中华人民共和国预算法》作出修改）；</w:t>
      </w:r>
    </w:p>
    <w:p w14:paraId="13D27FFE">
      <w:pPr>
        <w:pStyle w:val="18"/>
        <w:spacing w:line="500" w:lineRule="exact"/>
        <w:ind w:firstLine="560" w:firstLineChars="200"/>
        <w:outlineLvl w:val="9"/>
        <w:rPr>
          <w:rFonts w:hint="eastAsia" w:eastAsia="仿宋"/>
          <w:sz w:val="28"/>
          <w:szCs w:val="28"/>
          <w:shd w:val="clear" w:color="auto" w:fill="FFFFFF"/>
        </w:rPr>
      </w:pPr>
      <w:r>
        <w:rPr>
          <w:rFonts w:hint="eastAsia" w:eastAsia="仿宋"/>
          <w:sz w:val="28"/>
          <w:szCs w:val="28"/>
          <w:shd w:val="clear" w:color="auto" w:fill="FFFFFF"/>
        </w:rPr>
        <w:t>2、《中华人民共和国预算法实施条例》（中华人民共和国国务院令第729号，自2020年10月1日起施行）；</w:t>
      </w:r>
    </w:p>
    <w:p w14:paraId="34A87950">
      <w:pPr>
        <w:pStyle w:val="18"/>
        <w:spacing w:line="500" w:lineRule="exact"/>
        <w:ind w:firstLine="560" w:firstLineChars="200"/>
        <w:outlineLvl w:val="9"/>
        <w:rPr>
          <w:rFonts w:hint="eastAsia" w:eastAsia="仿宋"/>
          <w:sz w:val="28"/>
          <w:szCs w:val="28"/>
          <w:shd w:val="clear" w:color="auto" w:fill="FFFFFF"/>
        </w:rPr>
      </w:pPr>
      <w:r>
        <w:rPr>
          <w:rFonts w:hint="eastAsia" w:eastAsia="仿宋"/>
          <w:sz w:val="28"/>
          <w:szCs w:val="28"/>
          <w:shd w:val="clear" w:color="auto" w:fill="FFFFFF"/>
        </w:rPr>
        <w:t>3、财政部《关于贯彻落实&lt;中共中央 国务院关于全面实施预算绩效管理的意见&gt;的通知》（财预〔2018〕167号）；</w:t>
      </w:r>
    </w:p>
    <w:p w14:paraId="59663523">
      <w:pPr>
        <w:pStyle w:val="18"/>
        <w:spacing w:line="500" w:lineRule="exact"/>
        <w:ind w:firstLine="560" w:firstLineChars="200"/>
        <w:outlineLvl w:val="9"/>
        <w:rPr>
          <w:rFonts w:hint="eastAsia" w:eastAsia="仿宋"/>
          <w:sz w:val="28"/>
          <w:szCs w:val="28"/>
          <w:shd w:val="clear" w:color="auto" w:fill="FFFFFF"/>
        </w:rPr>
      </w:pPr>
      <w:r>
        <w:rPr>
          <w:rFonts w:hint="eastAsia" w:eastAsia="仿宋"/>
          <w:sz w:val="28"/>
          <w:szCs w:val="28"/>
          <w:shd w:val="clear" w:color="auto" w:fill="FFFFFF"/>
        </w:rPr>
        <w:t>4、财政部关于印发《项目支出绩效评价管理办法》的通知（财预〔2020〕10号）；</w:t>
      </w:r>
    </w:p>
    <w:p w14:paraId="0C19FE8F">
      <w:pPr>
        <w:pStyle w:val="18"/>
        <w:spacing w:line="500" w:lineRule="exact"/>
        <w:ind w:firstLine="560" w:firstLineChars="200"/>
        <w:outlineLvl w:val="9"/>
        <w:rPr>
          <w:rFonts w:hint="eastAsia" w:eastAsia="仿宋"/>
          <w:sz w:val="28"/>
          <w:szCs w:val="28"/>
          <w:shd w:val="clear" w:color="auto" w:fill="FFFFFF"/>
        </w:rPr>
      </w:pPr>
      <w:r>
        <w:rPr>
          <w:rFonts w:hint="eastAsia" w:eastAsia="仿宋"/>
          <w:sz w:val="28"/>
          <w:szCs w:val="28"/>
          <w:shd w:val="clear" w:color="auto" w:fill="FFFFFF"/>
        </w:rPr>
        <w:t>5、《中共中央国务院关于全面实施预算绩效管理的意见》(中发〔2018〕34号)；</w:t>
      </w:r>
    </w:p>
    <w:p w14:paraId="3B1ED5A7">
      <w:pPr>
        <w:pStyle w:val="18"/>
        <w:spacing w:line="500" w:lineRule="exact"/>
        <w:ind w:firstLine="560" w:firstLineChars="200"/>
        <w:outlineLvl w:val="9"/>
        <w:rPr>
          <w:rFonts w:hint="eastAsia" w:eastAsia="仿宋"/>
          <w:sz w:val="28"/>
          <w:szCs w:val="28"/>
          <w:shd w:val="clear" w:color="auto" w:fill="FFFFFF"/>
        </w:rPr>
      </w:pPr>
      <w:r>
        <w:rPr>
          <w:rFonts w:hint="eastAsia" w:eastAsia="仿宋"/>
          <w:sz w:val="28"/>
          <w:szCs w:val="28"/>
          <w:shd w:val="clear" w:color="auto" w:fill="FFFFFF"/>
        </w:rPr>
        <w:t>6、《中共山西省委 山西省人民政府关于全面实施预算绩效管理的实施意见》（晋发〔2018〕39号）；</w:t>
      </w:r>
    </w:p>
    <w:p w14:paraId="308A4810">
      <w:pPr>
        <w:pStyle w:val="18"/>
        <w:spacing w:line="500" w:lineRule="exact"/>
        <w:ind w:firstLine="560" w:firstLineChars="200"/>
        <w:outlineLvl w:val="9"/>
        <w:rPr>
          <w:rFonts w:hint="eastAsia" w:eastAsia="仿宋"/>
          <w:sz w:val="28"/>
          <w:szCs w:val="28"/>
          <w:shd w:val="clear" w:color="auto" w:fill="FFFFFF"/>
        </w:rPr>
      </w:pPr>
      <w:r>
        <w:rPr>
          <w:rFonts w:hint="eastAsia" w:eastAsia="仿宋"/>
          <w:sz w:val="28"/>
          <w:szCs w:val="28"/>
          <w:shd w:val="clear" w:color="auto" w:fill="FFFFFF"/>
        </w:rPr>
        <w:t>7、山西省财政厅关于贯彻落实《中共山西省委 山西省人民政府关于全面实施预算绩效管理的实施意见》的通知（晋财绩〔2019〕12号）；</w:t>
      </w:r>
    </w:p>
    <w:p w14:paraId="21C6565F">
      <w:pPr>
        <w:pStyle w:val="18"/>
        <w:spacing w:line="500" w:lineRule="exact"/>
        <w:ind w:firstLine="560" w:firstLineChars="200"/>
        <w:outlineLvl w:val="9"/>
        <w:rPr>
          <w:rFonts w:hint="eastAsia" w:eastAsia="仿宋"/>
          <w:sz w:val="28"/>
          <w:szCs w:val="28"/>
          <w:shd w:val="clear" w:color="auto" w:fill="FFFFFF"/>
        </w:rPr>
      </w:pPr>
      <w:r>
        <w:rPr>
          <w:rFonts w:hint="eastAsia" w:eastAsia="仿宋"/>
          <w:sz w:val="28"/>
          <w:szCs w:val="28"/>
          <w:shd w:val="clear" w:color="auto" w:fill="FFFFFF"/>
        </w:rPr>
        <w:t>8、</w:t>
      </w:r>
      <w:r>
        <w:rPr>
          <w:rFonts w:hint="eastAsia" w:eastAsia="仿宋"/>
          <w:sz w:val="28"/>
          <w:szCs w:val="28"/>
          <w:shd w:val="clear" w:color="auto" w:fill="FFFFFF"/>
          <w:lang w:eastAsia="zh-CN"/>
        </w:rPr>
        <w:t>《古县财政局关于印发&lt;2022年度财政重点绩效评价实施方案&gt;的通知》（古财字〔2022〕27号）</w:t>
      </w:r>
      <w:r>
        <w:rPr>
          <w:rFonts w:hint="eastAsia" w:eastAsia="仿宋"/>
          <w:sz w:val="28"/>
          <w:szCs w:val="28"/>
          <w:shd w:val="clear" w:color="auto" w:fill="FFFFFF"/>
        </w:rPr>
        <w:t>；</w:t>
      </w:r>
    </w:p>
    <w:p w14:paraId="450915E9">
      <w:pPr>
        <w:pStyle w:val="18"/>
        <w:spacing w:line="500" w:lineRule="exact"/>
        <w:ind w:firstLine="560" w:firstLineChars="200"/>
        <w:outlineLvl w:val="9"/>
        <w:rPr>
          <w:rFonts w:hint="eastAsia" w:eastAsia="仿宋"/>
          <w:sz w:val="28"/>
          <w:szCs w:val="28"/>
          <w:shd w:val="clear" w:color="auto" w:fill="FFFFFF"/>
        </w:rPr>
      </w:pPr>
      <w:r>
        <w:rPr>
          <w:rFonts w:hint="eastAsia" w:eastAsia="仿宋"/>
          <w:sz w:val="28"/>
          <w:szCs w:val="28"/>
          <w:shd w:val="clear" w:color="auto" w:fill="FFFFFF"/>
        </w:rPr>
        <w:t>9、评价项目采购人或相关方提供的绩效评价指标体系；</w:t>
      </w:r>
    </w:p>
    <w:p w14:paraId="761B2EC7">
      <w:pPr>
        <w:pStyle w:val="18"/>
        <w:spacing w:line="500" w:lineRule="exact"/>
        <w:ind w:firstLine="560" w:firstLineChars="200"/>
        <w:outlineLvl w:val="9"/>
        <w:rPr>
          <w:rFonts w:hint="eastAsia" w:eastAsia="仿宋"/>
          <w:sz w:val="28"/>
          <w:szCs w:val="28"/>
          <w:shd w:val="clear" w:color="auto" w:fill="FFFFFF"/>
        </w:rPr>
      </w:pPr>
      <w:r>
        <w:rPr>
          <w:rFonts w:hint="eastAsia" w:eastAsia="仿宋"/>
          <w:sz w:val="28"/>
          <w:szCs w:val="28"/>
          <w:shd w:val="clear" w:color="auto" w:fill="FFFFFF"/>
        </w:rPr>
        <w:t>10、其他有关的法律、法规规章、政策文件；</w:t>
      </w:r>
    </w:p>
    <w:p w14:paraId="416EAEDB">
      <w:pPr>
        <w:pStyle w:val="18"/>
        <w:spacing w:line="500" w:lineRule="exact"/>
        <w:ind w:firstLine="560" w:firstLineChars="200"/>
        <w:outlineLvl w:val="9"/>
        <w:rPr>
          <w:rFonts w:hint="eastAsia" w:eastAsia="仿宋"/>
          <w:sz w:val="28"/>
          <w:szCs w:val="28"/>
          <w:shd w:val="clear" w:color="auto" w:fill="FFFFFF"/>
          <w:lang w:eastAsia="zh-CN"/>
        </w:rPr>
      </w:pPr>
      <w:r>
        <w:rPr>
          <w:rFonts w:hint="eastAsia" w:eastAsia="仿宋"/>
          <w:sz w:val="28"/>
          <w:szCs w:val="28"/>
          <w:shd w:val="clear" w:color="auto" w:fill="FFFFFF"/>
        </w:rPr>
        <w:t>11、与绩效评价相关的其他资料</w:t>
      </w:r>
      <w:r>
        <w:rPr>
          <w:rFonts w:hint="eastAsia" w:eastAsia="仿宋"/>
          <w:sz w:val="28"/>
          <w:szCs w:val="28"/>
          <w:shd w:val="clear" w:color="auto" w:fill="FFFFFF"/>
          <w:lang w:eastAsia="zh-CN"/>
        </w:rPr>
        <w:t>。</w:t>
      </w:r>
      <w:bookmarkEnd w:id="33"/>
    </w:p>
    <w:p w14:paraId="3AFABA0D">
      <w:pPr>
        <w:pStyle w:val="4"/>
        <w:spacing w:before="156" w:beforeLines="50" w:after="156" w:afterLines="50" w:line="500" w:lineRule="exact"/>
        <w:ind w:firstLine="643" w:firstLineChars="200"/>
        <w:rPr>
          <w:rFonts w:ascii="仿宋" w:hAnsi="仿宋" w:eastAsia="仿宋"/>
        </w:rPr>
      </w:pPr>
      <w:bookmarkStart w:id="34" w:name="_Toc8674"/>
      <w:bookmarkStart w:id="35" w:name="_Toc522961240"/>
      <w:r>
        <w:rPr>
          <w:rFonts w:ascii="仿宋" w:hAnsi="仿宋" w:eastAsia="仿宋"/>
        </w:rPr>
        <w:t>（三）评价对象和范围</w:t>
      </w:r>
      <w:bookmarkEnd w:id="34"/>
      <w:bookmarkEnd w:id="35"/>
    </w:p>
    <w:p w14:paraId="49A5B404">
      <w:pPr>
        <w:pStyle w:val="18"/>
        <w:spacing w:line="500" w:lineRule="exact"/>
        <w:ind w:firstLine="562" w:firstLineChars="200"/>
        <w:outlineLvl w:val="9"/>
        <w:rPr>
          <w:rFonts w:eastAsia="仿宋"/>
          <w:b/>
          <w:sz w:val="28"/>
          <w:szCs w:val="28"/>
        </w:rPr>
      </w:pPr>
      <w:bookmarkStart w:id="36" w:name="_Toc7045"/>
      <w:bookmarkStart w:id="37" w:name="_Toc27603"/>
      <w:bookmarkStart w:id="38" w:name="_Toc450549936"/>
      <w:bookmarkStart w:id="39" w:name="_Toc469065546"/>
      <w:bookmarkStart w:id="40" w:name="_Toc469065888"/>
      <w:bookmarkStart w:id="41" w:name="_Toc469065636"/>
      <w:r>
        <w:rPr>
          <w:rFonts w:eastAsia="仿宋"/>
          <w:b/>
          <w:sz w:val="28"/>
          <w:szCs w:val="28"/>
        </w:rPr>
        <w:t>1.评价对象</w:t>
      </w:r>
      <w:bookmarkEnd w:id="36"/>
      <w:bookmarkEnd w:id="37"/>
    </w:p>
    <w:p w14:paraId="1C66EF06">
      <w:pPr>
        <w:pStyle w:val="18"/>
        <w:spacing w:line="500" w:lineRule="exact"/>
        <w:ind w:firstLine="560" w:firstLineChars="200"/>
        <w:outlineLvl w:val="9"/>
        <w:rPr>
          <w:rFonts w:eastAsia="仿宋"/>
          <w:sz w:val="28"/>
          <w:szCs w:val="28"/>
          <w:highlight w:val="yellow"/>
        </w:rPr>
      </w:pPr>
      <w:bookmarkStart w:id="42" w:name="_Toc29731"/>
      <w:bookmarkStart w:id="43" w:name="_Toc10146"/>
      <w:r>
        <w:rPr>
          <w:rFonts w:eastAsia="仿宋"/>
          <w:sz w:val="28"/>
          <w:szCs w:val="28"/>
        </w:rPr>
        <w:t>本次绩效评价对象为“</w:t>
      </w:r>
      <w:r>
        <w:rPr>
          <w:rFonts w:hint="eastAsia" w:eastAsia="仿宋"/>
          <w:sz w:val="28"/>
          <w:szCs w:val="28"/>
          <w:shd w:val="clear" w:color="auto" w:fill="FFFFFF"/>
          <w:lang w:eastAsia="zh-CN"/>
        </w:rPr>
        <w:t>古县旧县镇和南垣乡秦王庙村等8村土地综合整治项目</w:t>
      </w:r>
      <w:r>
        <w:rPr>
          <w:rFonts w:eastAsia="仿宋"/>
          <w:sz w:val="28"/>
          <w:szCs w:val="28"/>
          <w:shd w:val="clear" w:color="auto" w:fill="FFFFFF"/>
        </w:rPr>
        <w:t>资金</w:t>
      </w:r>
      <w:r>
        <w:rPr>
          <w:rFonts w:hint="eastAsia" w:eastAsia="仿宋"/>
          <w:sz w:val="28"/>
          <w:szCs w:val="28"/>
          <w:lang w:eastAsia="zh-CN"/>
        </w:rPr>
        <w:t>5000.00万元</w:t>
      </w:r>
      <w:r>
        <w:rPr>
          <w:rFonts w:eastAsia="仿宋"/>
          <w:sz w:val="28"/>
          <w:szCs w:val="28"/>
        </w:rPr>
        <w:t>”。</w:t>
      </w:r>
      <w:bookmarkEnd w:id="42"/>
      <w:bookmarkEnd w:id="43"/>
    </w:p>
    <w:p w14:paraId="7DD0473B">
      <w:pPr>
        <w:pStyle w:val="17"/>
        <w:spacing w:line="500" w:lineRule="exact"/>
        <w:ind w:firstLine="562" w:firstLineChars="200"/>
        <w:jc w:val="both"/>
        <w:rPr>
          <w:rFonts w:ascii="Times New Roman" w:hAnsi="Times New Roman" w:eastAsia="仿宋"/>
          <w:b/>
          <w:sz w:val="28"/>
          <w:szCs w:val="28"/>
        </w:rPr>
      </w:pPr>
      <w:r>
        <w:rPr>
          <w:rFonts w:ascii="Times New Roman" w:hAnsi="Times New Roman" w:eastAsia="仿宋"/>
          <w:b/>
          <w:sz w:val="28"/>
          <w:szCs w:val="28"/>
        </w:rPr>
        <w:t>2.评价范围</w:t>
      </w:r>
    </w:p>
    <w:p w14:paraId="31B606D3">
      <w:pPr>
        <w:pStyle w:val="17"/>
        <w:spacing w:line="500" w:lineRule="exact"/>
        <w:ind w:firstLine="560" w:firstLineChars="200"/>
        <w:jc w:val="both"/>
        <w:rPr>
          <w:rFonts w:ascii="Times New Roman" w:hAnsi="Times New Roman" w:eastAsia="仿宋"/>
          <w:sz w:val="28"/>
          <w:szCs w:val="28"/>
        </w:rPr>
      </w:pPr>
      <w:r>
        <w:rPr>
          <w:rFonts w:ascii="Times New Roman" w:hAnsi="Times New Roman" w:eastAsia="仿宋"/>
          <w:sz w:val="28"/>
          <w:szCs w:val="28"/>
        </w:rPr>
        <w:t>绩效评价范围为</w:t>
      </w:r>
      <w:r>
        <w:rPr>
          <w:rFonts w:hint="eastAsia" w:ascii="Times New Roman" w:hAnsi="Times New Roman" w:eastAsia="仿宋"/>
          <w:sz w:val="28"/>
          <w:szCs w:val="28"/>
          <w:lang w:eastAsia="zh-CN"/>
        </w:rPr>
        <w:t>古县旧县镇和南垣乡秦王庙村等8村土地综合整治项目</w:t>
      </w:r>
      <w:r>
        <w:rPr>
          <w:rFonts w:ascii="Times New Roman" w:hAnsi="Times New Roman" w:eastAsia="仿宋"/>
          <w:sz w:val="28"/>
          <w:szCs w:val="28"/>
        </w:rPr>
        <w:t>，以及项目资金产生的绩效（具体绩效评价范围包括决策、过程、产出、效益）。</w:t>
      </w:r>
    </w:p>
    <w:p w14:paraId="3B2FAF0F">
      <w:pPr>
        <w:pStyle w:val="4"/>
        <w:spacing w:before="156" w:beforeLines="50" w:after="156" w:afterLines="50" w:line="500" w:lineRule="exact"/>
        <w:ind w:firstLine="643" w:firstLineChars="200"/>
        <w:rPr>
          <w:rFonts w:ascii="仿宋" w:hAnsi="仿宋" w:eastAsia="仿宋"/>
        </w:rPr>
      </w:pPr>
      <w:bookmarkStart w:id="44" w:name="_Toc479102135"/>
      <w:bookmarkStart w:id="45" w:name="_Toc18349"/>
      <w:bookmarkStart w:id="46" w:name="_Toc522961241"/>
      <w:r>
        <w:rPr>
          <w:rFonts w:ascii="仿宋" w:hAnsi="仿宋" w:eastAsia="仿宋"/>
        </w:rPr>
        <w:t>（四）</w:t>
      </w:r>
      <w:bookmarkEnd w:id="38"/>
      <w:bookmarkEnd w:id="39"/>
      <w:bookmarkEnd w:id="40"/>
      <w:bookmarkEnd w:id="41"/>
      <w:bookmarkEnd w:id="44"/>
      <w:r>
        <w:rPr>
          <w:rFonts w:ascii="仿宋" w:hAnsi="仿宋" w:eastAsia="仿宋"/>
        </w:rPr>
        <w:t>绩效评价基准日</w:t>
      </w:r>
      <w:bookmarkEnd w:id="45"/>
      <w:bookmarkEnd w:id="46"/>
    </w:p>
    <w:p w14:paraId="1A5F6B83">
      <w:pPr>
        <w:pStyle w:val="18"/>
        <w:spacing w:line="500" w:lineRule="exact"/>
        <w:ind w:firstLine="560" w:firstLineChars="200"/>
        <w:outlineLvl w:val="9"/>
        <w:rPr>
          <w:rFonts w:eastAsia="仿宋"/>
          <w:sz w:val="28"/>
          <w:szCs w:val="28"/>
        </w:rPr>
      </w:pPr>
      <w:bookmarkStart w:id="47" w:name="_Toc469065637"/>
      <w:bookmarkStart w:id="48" w:name="_Toc479102136"/>
      <w:bookmarkStart w:id="49" w:name="_Toc469065547"/>
      <w:bookmarkStart w:id="50" w:name="_Toc27317"/>
      <w:bookmarkStart w:id="51" w:name="_Toc469065973"/>
      <w:bookmarkStart w:id="52" w:name="_Toc469065889"/>
      <w:bookmarkStart w:id="53" w:name="_Toc19481"/>
      <w:r>
        <w:rPr>
          <w:rFonts w:eastAsia="仿宋"/>
          <w:sz w:val="28"/>
          <w:szCs w:val="28"/>
        </w:rPr>
        <w:t>本次绩效评价基准日为</w:t>
      </w:r>
      <w:bookmarkEnd w:id="47"/>
      <w:bookmarkEnd w:id="48"/>
      <w:bookmarkEnd w:id="49"/>
      <w:bookmarkEnd w:id="50"/>
      <w:bookmarkEnd w:id="51"/>
      <w:bookmarkEnd w:id="52"/>
      <w:r>
        <w:rPr>
          <w:rFonts w:hint="eastAsia" w:eastAsia="仿宋"/>
          <w:sz w:val="28"/>
          <w:szCs w:val="28"/>
          <w:lang w:eastAsia="zh-CN"/>
        </w:rPr>
        <w:t>2021年12月31日</w:t>
      </w:r>
      <w:r>
        <w:rPr>
          <w:rFonts w:eastAsia="仿宋"/>
          <w:sz w:val="28"/>
          <w:szCs w:val="28"/>
        </w:rPr>
        <w:t>。</w:t>
      </w:r>
      <w:bookmarkEnd w:id="53"/>
    </w:p>
    <w:p w14:paraId="0020AD02">
      <w:pPr>
        <w:pStyle w:val="4"/>
        <w:spacing w:before="156" w:beforeLines="50" w:after="156" w:afterLines="50" w:line="500" w:lineRule="exact"/>
        <w:ind w:firstLine="643" w:firstLineChars="200"/>
        <w:rPr>
          <w:rFonts w:ascii="仿宋" w:hAnsi="仿宋" w:eastAsia="仿宋"/>
        </w:rPr>
      </w:pPr>
      <w:bookmarkStart w:id="54" w:name="_Toc514537339"/>
      <w:bookmarkStart w:id="55" w:name="_Toc15388"/>
      <w:bookmarkStart w:id="56" w:name="_Toc519354505"/>
      <w:r>
        <w:rPr>
          <w:rFonts w:ascii="仿宋" w:hAnsi="仿宋" w:eastAsia="仿宋"/>
        </w:rPr>
        <w:t>（五）</w:t>
      </w:r>
      <w:bookmarkEnd w:id="54"/>
      <w:r>
        <w:rPr>
          <w:rFonts w:ascii="仿宋" w:hAnsi="仿宋" w:eastAsia="仿宋"/>
        </w:rPr>
        <w:t>绩效评价的原则</w:t>
      </w:r>
      <w:bookmarkEnd w:id="55"/>
      <w:bookmarkEnd w:id="56"/>
    </w:p>
    <w:p w14:paraId="6D702E58">
      <w:pPr>
        <w:spacing w:line="500" w:lineRule="exact"/>
        <w:ind w:firstLine="562" w:firstLineChars="200"/>
        <w:rPr>
          <w:rFonts w:ascii="Times New Roman" w:hAnsi="Times New Roman" w:eastAsia="仿宋"/>
          <w:b/>
          <w:bCs/>
          <w:sz w:val="28"/>
          <w:szCs w:val="28"/>
          <w:shd w:val="clear" w:color="auto" w:fill="FFFFFF"/>
        </w:rPr>
      </w:pPr>
      <w:r>
        <w:rPr>
          <w:rFonts w:ascii="Times New Roman" w:hAnsi="Times New Roman" w:eastAsia="仿宋"/>
          <w:b/>
          <w:bCs/>
          <w:sz w:val="28"/>
          <w:szCs w:val="28"/>
          <w:shd w:val="clear" w:color="auto" w:fill="FFFFFF"/>
        </w:rPr>
        <w:t>1.科学规范原则</w:t>
      </w:r>
    </w:p>
    <w:p w14:paraId="55CE5054">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注重财政支出的经济性、效率性和效益性，采用定量与定性相结合的方法。综合分析资金管理、使用、绩效等因素，规范评价工作流程，科学设置评价指标体系（详见附件1），确保绩效评价结果科学合理。</w:t>
      </w:r>
    </w:p>
    <w:p w14:paraId="714A6DC9">
      <w:pPr>
        <w:spacing w:line="500" w:lineRule="exact"/>
        <w:ind w:firstLine="562" w:firstLineChars="200"/>
        <w:rPr>
          <w:rFonts w:ascii="Times New Roman" w:hAnsi="Times New Roman" w:eastAsia="仿宋"/>
          <w:b/>
          <w:bCs/>
          <w:sz w:val="28"/>
          <w:szCs w:val="28"/>
          <w:shd w:val="clear" w:color="auto" w:fill="FFFFFF"/>
        </w:rPr>
      </w:pPr>
      <w:r>
        <w:rPr>
          <w:rFonts w:ascii="Times New Roman" w:hAnsi="Times New Roman" w:eastAsia="仿宋"/>
          <w:b/>
          <w:bCs/>
          <w:sz w:val="28"/>
          <w:szCs w:val="28"/>
          <w:shd w:val="clear" w:color="auto" w:fill="FFFFFF"/>
        </w:rPr>
        <w:t>2.公平公正原则</w:t>
      </w:r>
    </w:p>
    <w:p w14:paraId="4526EFE9">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本次重点支出项目绩效评价工作全过程公开透明，坚持第三方机构应遵循的公正原则开展绩效评价工作，接受社会的监督。</w:t>
      </w:r>
    </w:p>
    <w:p w14:paraId="657B3E92">
      <w:pPr>
        <w:spacing w:line="500" w:lineRule="exact"/>
        <w:ind w:firstLine="562" w:firstLineChars="200"/>
        <w:rPr>
          <w:rFonts w:ascii="Times New Roman" w:hAnsi="Times New Roman" w:eastAsia="仿宋"/>
          <w:b/>
          <w:snapToGrid w:val="0"/>
          <w:sz w:val="28"/>
          <w:szCs w:val="28"/>
        </w:rPr>
      </w:pPr>
      <w:r>
        <w:rPr>
          <w:rFonts w:ascii="Times New Roman" w:hAnsi="Times New Roman" w:eastAsia="仿宋"/>
          <w:b/>
          <w:snapToGrid w:val="0"/>
          <w:sz w:val="28"/>
          <w:szCs w:val="28"/>
        </w:rPr>
        <w:t>3.分级分类原则</w:t>
      </w:r>
    </w:p>
    <w:p w14:paraId="4D4542F5">
      <w:pPr>
        <w:spacing w:line="500" w:lineRule="exact"/>
        <w:ind w:firstLine="560" w:firstLineChars="200"/>
        <w:rPr>
          <w:rFonts w:ascii="Times New Roman" w:hAnsi="Times New Roman" w:eastAsia="仿宋"/>
          <w:sz w:val="28"/>
          <w:szCs w:val="28"/>
        </w:rPr>
      </w:pPr>
      <w:r>
        <w:rPr>
          <w:rFonts w:ascii="Times New Roman" w:hAnsi="Times New Roman" w:eastAsia="仿宋"/>
          <w:snapToGrid w:val="0"/>
          <w:sz w:val="28"/>
          <w:szCs w:val="28"/>
        </w:rPr>
        <w:t>绩效评价由财政部门、预算部门根据评价对象的特点分类组织实施。本次评价指标分为一级、二级、三级指标对整个项目进行评价，确保评价指标基本涵盖整个项目，保障资金效益。</w:t>
      </w:r>
    </w:p>
    <w:p w14:paraId="5197C7F8">
      <w:pPr>
        <w:spacing w:line="500" w:lineRule="exact"/>
        <w:ind w:firstLine="562" w:firstLineChars="200"/>
        <w:rPr>
          <w:rFonts w:ascii="Times New Roman" w:hAnsi="Times New Roman" w:eastAsia="仿宋"/>
          <w:b/>
          <w:bCs/>
          <w:sz w:val="28"/>
          <w:szCs w:val="28"/>
          <w:shd w:val="clear" w:color="auto" w:fill="FFFFFF"/>
        </w:rPr>
      </w:pPr>
      <w:r>
        <w:rPr>
          <w:rFonts w:ascii="Times New Roman" w:hAnsi="Times New Roman" w:eastAsia="仿宋"/>
          <w:b/>
          <w:bCs/>
          <w:sz w:val="28"/>
          <w:szCs w:val="28"/>
          <w:shd w:val="clear" w:color="auto" w:fill="FFFFFF"/>
        </w:rPr>
        <w:t>4.绩效相关原则</w:t>
      </w:r>
    </w:p>
    <w:p w14:paraId="3FE64E2C">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针对各项支出及其产出绩效进行比较，使评价结果清晰反映支出和产出绩效之间的对应关系。本次评价流程及指标设计，以资金效率最大化为出发点，合理设置考核内容，力求评价内容与强化资金管理、优化资金使用效率相关。</w:t>
      </w:r>
    </w:p>
    <w:p w14:paraId="37BEDCD6">
      <w:pPr>
        <w:pStyle w:val="4"/>
        <w:spacing w:before="156" w:beforeLines="50" w:after="156" w:afterLines="50" w:line="500" w:lineRule="exact"/>
        <w:ind w:firstLine="643" w:firstLineChars="200"/>
        <w:rPr>
          <w:rFonts w:ascii="仿宋" w:hAnsi="仿宋" w:eastAsia="仿宋"/>
        </w:rPr>
      </w:pPr>
      <w:bookmarkStart w:id="57" w:name="_Toc13168"/>
      <w:bookmarkStart w:id="58" w:name="_Toc519354506"/>
      <w:r>
        <w:rPr>
          <w:rFonts w:ascii="仿宋" w:hAnsi="仿宋" w:eastAsia="仿宋"/>
        </w:rPr>
        <w:t>（六）绩效评价的方法</w:t>
      </w:r>
      <w:bookmarkEnd w:id="57"/>
      <w:bookmarkEnd w:id="58"/>
    </w:p>
    <w:p w14:paraId="49267BC8">
      <w:pPr>
        <w:pStyle w:val="17"/>
        <w:spacing w:line="500" w:lineRule="exact"/>
        <w:ind w:firstLine="560" w:firstLineChars="200"/>
        <w:jc w:val="both"/>
        <w:rPr>
          <w:rFonts w:ascii="Times New Roman" w:hAnsi="Times New Roman" w:eastAsia="仿宋"/>
          <w:sz w:val="28"/>
          <w:szCs w:val="28"/>
        </w:rPr>
      </w:pPr>
      <w:r>
        <w:rPr>
          <w:rFonts w:ascii="Times New Roman" w:hAnsi="Times New Roman" w:eastAsia="仿宋"/>
          <w:sz w:val="28"/>
          <w:szCs w:val="28"/>
        </w:rPr>
        <w:t>本次评价工作过程中，将运用因素分析法、比较法、公众评判法、成本效益分析法和综合评价法等方法，坚持定量优先、定量与定性相结合的方式，遵循科学规范、公正公开、分级分类、绩效相关的基本原则，确保评价的科学性与有效性。</w:t>
      </w:r>
    </w:p>
    <w:p w14:paraId="02BDE2A2">
      <w:pPr>
        <w:spacing w:line="500" w:lineRule="exact"/>
        <w:ind w:firstLine="562" w:firstLineChars="200"/>
        <w:rPr>
          <w:rFonts w:ascii="Times New Roman" w:hAnsi="Times New Roman" w:eastAsia="仿宋"/>
          <w:b/>
          <w:snapToGrid w:val="0"/>
          <w:sz w:val="28"/>
          <w:szCs w:val="28"/>
        </w:rPr>
      </w:pPr>
      <w:r>
        <w:rPr>
          <w:rFonts w:ascii="Times New Roman" w:hAnsi="Times New Roman" w:eastAsia="仿宋"/>
          <w:b/>
          <w:snapToGrid w:val="0"/>
          <w:sz w:val="28"/>
          <w:szCs w:val="28"/>
        </w:rPr>
        <w:t>1.因素分析法</w:t>
      </w:r>
    </w:p>
    <w:p w14:paraId="6A5061AB">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因素分析法是指通过综合分析影响绩效目标实现、实施效果的内外因素，评价绩效目标实现程度。本次绩效评价主要从项目立项规范性，绩效目标设定，资金拨付、使用情况，项目管理、完成情况、项目产出、效益等因素进行分析评价。</w:t>
      </w:r>
    </w:p>
    <w:p w14:paraId="59411185">
      <w:pPr>
        <w:pStyle w:val="17"/>
        <w:spacing w:line="500" w:lineRule="exact"/>
        <w:ind w:firstLine="562" w:firstLineChars="200"/>
        <w:jc w:val="both"/>
        <w:rPr>
          <w:rFonts w:ascii="Times New Roman" w:hAnsi="Times New Roman" w:eastAsia="仿宋"/>
          <w:b/>
          <w:sz w:val="28"/>
          <w:szCs w:val="28"/>
        </w:rPr>
      </w:pPr>
      <w:r>
        <w:rPr>
          <w:rFonts w:ascii="Times New Roman" w:hAnsi="Times New Roman" w:eastAsia="仿宋"/>
          <w:b/>
          <w:sz w:val="28"/>
          <w:szCs w:val="28"/>
        </w:rPr>
        <w:t>2.比较法</w:t>
      </w:r>
    </w:p>
    <w:p w14:paraId="5AABAC5F">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比较法是指通过对绩效目标与实施效果、历史与当期情况、不同部门和地区同类支出的比较，综合分析绩效目标实现程度。本次评价将对项目实施情况进行审核、对实施该项目进行现场实地勘察，结合项目单位提供的资料，通过综合分析绩效目标实现程度，将实际产出与该项目的绩效目标进行比较。</w:t>
      </w:r>
    </w:p>
    <w:p w14:paraId="51DD2AFE">
      <w:pPr>
        <w:pStyle w:val="17"/>
        <w:spacing w:line="500" w:lineRule="exact"/>
        <w:ind w:firstLine="562" w:firstLineChars="200"/>
        <w:jc w:val="both"/>
        <w:rPr>
          <w:rFonts w:ascii="Times New Roman" w:hAnsi="Times New Roman" w:eastAsia="仿宋"/>
          <w:b/>
          <w:sz w:val="28"/>
          <w:szCs w:val="28"/>
        </w:rPr>
      </w:pPr>
      <w:r>
        <w:rPr>
          <w:rFonts w:ascii="Times New Roman" w:hAnsi="Times New Roman" w:eastAsia="仿宋"/>
          <w:b/>
          <w:sz w:val="28"/>
          <w:szCs w:val="28"/>
        </w:rPr>
        <w:t>3.公众评判法</w:t>
      </w:r>
    </w:p>
    <w:p w14:paraId="594C4A95">
      <w:pPr>
        <w:pStyle w:val="17"/>
        <w:spacing w:line="500" w:lineRule="exact"/>
        <w:ind w:firstLine="560" w:firstLineChars="200"/>
        <w:jc w:val="both"/>
        <w:rPr>
          <w:rFonts w:ascii="Times New Roman" w:hAnsi="Times New Roman" w:eastAsia="仿宋"/>
          <w:sz w:val="28"/>
          <w:szCs w:val="28"/>
        </w:rPr>
      </w:pPr>
      <w:r>
        <w:rPr>
          <w:rFonts w:ascii="Times New Roman" w:hAnsi="Times New Roman" w:eastAsia="仿宋"/>
          <w:sz w:val="28"/>
          <w:szCs w:val="28"/>
        </w:rPr>
        <w:t>公众评判法是指通过专家评估、公众问卷及抽样调查等对财政支出效果进行评判，评价绩效目标实现程度。本次评价针对被评价对象设置了项目区域周边群体对项目效果满意度问卷，评价绩效目标实现程度。</w:t>
      </w:r>
    </w:p>
    <w:p w14:paraId="0D8042B6">
      <w:pPr>
        <w:spacing w:line="500" w:lineRule="exact"/>
        <w:ind w:firstLine="562" w:firstLineChars="200"/>
        <w:rPr>
          <w:rFonts w:ascii="Times New Roman" w:hAnsi="Times New Roman" w:eastAsia="仿宋"/>
          <w:snapToGrid w:val="0"/>
          <w:sz w:val="28"/>
          <w:szCs w:val="28"/>
        </w:rPr>
      </w:pPr>
      <w:r>
        <w:rPr>
          <w:rFonts w:ascii="Times New Roman" w:hAnsi="Times New Roman" w:eastAsia="仿宋"/>
          <w:b/>
          <w:snapToGrid w:val="0"/>
          <w:sz w:val="28"/>
          <w:szCs w:val="28"/>
        </w:rPr>
        <w:t>4.成本效益分析法</w:t>
      </w:r>
    </w:p>
    <w:p w14:paraId="459631C6">
      <w:pPr>
        <w:spacing w:line="500" w:lineRule="exact"/>
        <w:ind w:firstLine="560" w:firstLineChars="200"/>
        <w:rPr>
          <w:rFonts w:ascii="Times New Roman" w:hAnsi="Times New Roman" w:eastAsia="仿宋"/>
          <w:snapToGrid w:val="0"/>
          <w:sz w:val="28"/>
          <w:szCs w:val="28"/>
        </w:rPr>
      </w:pPr>
      <w:r>
        <w:rPr>
          <w:rFonts w:ascii="Times New Roman" w:hAnsi="Times New Roman" w:eastAsia="仿宋"/>
          <w:snapToGrid w:val="0"/>
          <w:sz w:val="28"/>
          <w:szCs w:val="28"/>
        </w:rPr>
        <w:t>成本效益分析法是指将一定时期内的支出与效益进行对比分析，以评价绩效目标实现程度。本次绩效评价主要从</w:t>
      </w:r>
      <w:r>
        <w:rPr>
          <w:rFonts w:hint="eastAsia" w:ascii="Times New Roman" w:hAnsi="Times New Roman" w:eastAsia="仿宋"/>
          <w:snapToGrid w:val="0"/>
          <w:sz w:val="28"/>
          <w:szCs w:val="28"/>
          <w:lang w:val="en-US" w:eastAsia="zh-CN"/>
        </w:rPr>
        <w:t>项目</w:t>
      </w:r>
      <w:r>
        <w:rPr>
          <w:rFonts w:ascii="Times New Roman" w:hAnsi="Times New Roman" w:eastAsia="仿宋"/>
          <w:snapToGrid w:val="0"/>
          <w:sz w:val="28"/>
          <w:szCs w:val="28"/>
        </w:rPr>
        <w:t>的投入成本和建成后产生的效益进行对比分析。</w:t>
      </w:r>
    </w:p>
    <w:p w14:paraId="168E3836">
      <w:pPr>
        <w:spacing w:line="500" w:lineRule="exact"/>
        <w:ind w:firstLine="562" w:firstLineChars="200"/>
        <w:rPr>
          <w:rFonts w:ascii="Times New Roman" w:hAnsi="Times New Roman" w:eastAsia="仿宋"/>
          <w:b/>
          <w:snapToGrid w:val="0"/>
          <w:sz w:val="28"/>
          <w:szCs w:val="28"/>
        </w:rPr>
      </w:pPr>
      <w:r>
        <w:rPr>
          <w:rFonts w:ascii="Times New Roman" w:hAnsi="Times New Roman" w:eastAsia="仿宋"/>
          <w:b/>
          <w:snapToGrid w:val="0"/>
          <w:sz w:val="28"/>
          <w:szCs w:val="28"/>
        </w:rPr>
        <w:t>5.综合指数评价法</w:t>
      </w:r>
    </w:p>
    <w:p w14:paraId="07E5867E">
      <w:pPr>
        <w:spacing w:line="500" w:lineRule="exact"/>
        <w:ind w:firstLine="560" w:firstLineChars="200"/>
        <w:rPr>
          <w:rFonts w:ascii="Times New Roman" w:hAnsi="Times New Roman" w:eastAsia="仿宋"/>
          <w:snapToGrid w:val="0"/>
          <w:sz w:val="28"/>
          <w:szCs w:val="28"/>
          <w:highlight w:val="yellow"/>
        </w:rPr>
      </w:pPr>
      <w:r>
        <w:rPr>
          <w:rFonts w:ascii="Times New Roman" w:hAnsi="Times New Roman" w:eastAsia="仿宋"/>
          <w:snapToGrid w:val="0"/>
          <w:sz w:val="28"/>
          <w:szCs w:val="28"/>
        </w:rPr>
        <w:t>综合指数评价法是指把各项绩效指标的实际水平，对照评价标准值，分别计算各项指标评价得分，再按照设定的各项指标权数计算出综合评价得分，分析评价绩效目标实现情况的评价方法。本次绩效评价根据评价标准计算得出各项三级指标得分，经过汇总得出综合评价分值。</w:t>
      </w:r>
    </w:p>
    <w:p w14:paraId="2CD116DD">
      <w:pPr>
        <w:pStyle w:val="4"/>
        <w:spacing w:before="156" w:beforeLines="50" w:after="156" w:afterLines="50" w:line="500" w:lineRule="exact"/>
        <w:ind w:firstLine="643" w:firstLineChars="200"/>
        <w:rPr>
          <w:rFonts w:ascii="仿宋" w:hAnsi="仿宋" w:eastAsia="仿宋"/>
        </w:rPr>
      </w:pPr>
      <w:bookmarkStart w:id="59" w:name="_Toc514537340"/>
      <w:bookmarkStart w:id="60" w:name="_Toc31178"/>
      <w:bookmarkStart w:id="61" w:name="_Toc519354507"/>
      <w:r>
        <w:rPr>
          <w:rFonts w:ascii="仿宋" w:hAnsi="仿宋" w:eastAsia="仿宋"/>
        </w:rPr>
        <w:t>（七）评价指标体系</w:t>
      </w:r>
      <w:bookmarkEnd w:id="59"/>
      <w:bookmarkEnd w:id="60"/>
      <w:bookmarkEnd w:id="61"/>
    </w:p>
    <w:p w14:paraId="72DB2B03">
      <w:pPr>
        <w:widowControl/>
        <w:spacing w:line="500" w:lineRule="exact"/>
        <w:ind w:firstLine="560" w:firstLineChars="200"/>
        <w:rPr>
          <w:rFonts w:hint="eastAsia" w:ascii="Times New Roman" w:hAnsi="Times New Roman" w:eastAsia="仿宋"/>
          <w:snapToGrid w:val="0"/>
          <w:sz w:val="28"/>
          <w:szCs w:val="28"/>
          <w:lang w:eastAsia="zh-CN"/>
        </w:rPr>
      </w:pPr>
      <w:bookmarkStart w:id="62" w:name="_Toc469065895"/>
      <w:bookmarkStart w:id="63" w:name="_Toc450549943"/>
      <w:bookmarkStart w:id="64" w:name="_Toc469065553"/>
      <w:bookmarkStart w:id="65" w:name="_Toc469065643"/>
      <w:r>
        <w:rPr>
          <w:rFonts w:ascii="Times New Roman" w:hAnsi="Times New Roman" w:eastAsia="仿宋"/>
          <w:snapToGrid w:val="0"/>
          <w:sz w:val="28"/>
          <w:szCs w:val="28"/>
        </w:rPr>
        <w:t>参照绩效评价的基本原理、原则和项目特点，评价组结合《中华人民共和国预算法》、《财政部关于印发&lt;项目支出绩效评价管理办法&gt;的通知》（财预〔2020〕10号）、</w:t>
      </w:r>
      <w:r>
        <w:rPr>
          <w:rFonts w:hint="eastAsia" w:ascii="Times New Roman" w:hAnsi="Times New Roman" w:eastAsia="仿宋"/>
          <w:snapToGrid w:val="0"/>
          <w:sz w:val="28"/>
          <w:szCs w:val="28"/>
          <w:lang w:eastAsia="zh-CN"/>
        </w:rPr>
        <w:t>《古县财政局关于印发&lt;2022年度财政重点绩效评价实施方案&gt;的通知》（古财字〔2022〕27号）</w:t>
      </w:r>
      <w:r>
        <w:rPr>
          <w:rFonts w:ascii="Times New Roman" w:hAnsi="Times New Roman" w:eastAsia="仿宋"/>
          <w:snapToGrid w:val="0"/>
          <w:sz w:val="28"/>
          <w:szCs w:val="28"/>
        </w:rPr>
        <w:t>，及其他相关文件的要求，从决策（包括项目立项、绩效目标、资金投入）、过程（包括资金管理、组织实施）、产出和效益四个维度进行评价。评价指标体系</w:t>
      </w:r>
      <w:r>
        <w:rPr>
          <w:rFonts w:ascii="Times New Roman" w:hAnsi="Times New Roman" w:eastAsia="仿宋"/>
          <w:snapToGrid w:val="0"/>
          <w:color w:val="000000" w:themeColor="text1"/>
          <w:sz w:val="28"/>
          <w:szCs w:val="28"/>
        </w:rPr>
        <w:t>由</w:t>
      </w:r>
      <w:r>
        <w:rPr>
          <w:rFonts w:hint="eastAsia" w:ascii="Times New Roman" w:hAnsi="Times New Roman" w:eastAsia="仿宋"/>
          <w:snapToGrid w:val="0"/>
          <w:color w:val="000000" w:themeColor="text1"/>
          <w:sz w:val="28"/>
          <w:szCs w:val="28"/>
        </w:rPr>
        <w:t>4项一级指标，</w:t>
      </w:r>
      <w:r>
        <w:rPr>
          <w:rFonts w:hint="eastAsia" w:ascii="Times New Roman" w:hAnsi="Times New Roman" w:eastAsia="仿宋"/>
          <w:snapToGrid w:val="0"/>
          <w:color w:val="000000" w:themeColor="text1"/>
          <w:sz w:val="28"/>
          <w:szCs w:val="28"/>
          <w:lang w:val="en-US" w:eastAsia="zh-CN"/>
        </w:rPr>
        <w:t>13</w:t>
      </w:r>
      <w:r>
        <w:rPr>
          <w:rFonts w:hint="eastAsia" w:ascii="Times New Roman" w:hAnsi="Times New Roman" w:eastAsia="仿宋"/>
          <w:snapToGrid w:val="0"/>
          <w:color w:val="000000" w:themeColor="text1"/>
          <w:sz w:val="28"/>
          <w:szCs w:val="28"/>
        </w:rPr>
        <w:t>项二级指标，</w:t>
      </w:r>
      <w:r>
        <w:rPr>
          <w:rFonts w:hint="eastAsia" w:ascii="Times New Roman" w:hAnsi="Times New Roman" w:eastAsia="仿宋"/>
          <w:snapToGrid w:val="0"/>
          <w:color w:val="000000" w:themeColor="text1"/>
          <w:sz w:val="28"/>
          <w:szCs w:val="28"/>
          <w:lang w:val="en-US" w:eastAsia="zh-CN"/>
        </w:rPr>
        <w:t>22</w:t>
      </w:r>
      <w:r>
        <w:rPr>
          <w:rFonts w:hint="eastAsia" w:ascii="Times New Roman" w:hAnsi="Times New Roman" w:eastAsia="仿宋"/>
          <w:snapToGrid w:val="0"/>
          <w:color w:val="000000" w:themeColor="text1"/>
          <w:sz w:val="28"/>
          <w:szCs w:val="28"/>
        </w:rPr>
        <w:t>项三级指标</w:t>
      </w:r>
      <w:r>
        <w:rPr>
          <w:rFonts w:ascii="Times New Roman" w:hAnsi="Times New Roman" w:eastAsia="仿宋"/>
          <w:snapToGrid w:val="0"/>
          <w:color w:val="000000" w:themeColor="text1"/>
          <w:sz w:val="28"/>
          <w:szCs w:val="28"/>
        </w:rPr>
        <w:t>构成</w:t>
      </w:r>
      <w:r>
        <w:rPr>
          <w:rFonts w:hint="eastAsia" w:ascii="Times New Roman" w:hAnsi="Times New Roman" w:eastAsia="仿宋"/>
          <w:snapToGrid w:val="0"/>
          <w:color w:val="000000" w:themeColor="text1"/>
          <w:sz w:val="28"/>
          <w:szCs w:val="28"/>
          <w:lang w:eastAsia="zh-CN"/>
        </w:rPr>
        <w:t>。</w:t>
      </w:r>
    </w:p>
    <w:bookmarkEnd w:id="62"/>
    <w:bookmarkEnd w:id="63"/>
    <w:bookmarkEnd w:id="64"/>
    <w:bookmarkEnd w:id="65"/>
    <w:p w14:paraId="7C8106D2">
      <w:pPr>
        <w:pStyle w:val="4"/>
        <w:spacing w:before="156" w:beforeLines="50" w:after="156" w:afterLines="50" w:line="500" w:lineRule="exact"/>
        <w:ind w:firstLine="643" w:firstLineChars="200"/>
        <w:rPr>
          <w:rFonts w:ascii="仿宋" w:hAnsi="仿宋" w:eastAsia="仿宋"/>
        </w:rPr>
      </w:pPr>
      <w:bookmarkStart w:id="66" w:name="_Toc514537341"/>
      <w:bookmarkStart w:id="67" w:name="_Toc23147"/>
      <w:bookmarkStart w:id="68" w:name="_Toc519354508"/>
      <w:r>
        <w:rPr>
          <w:rFonts w:ascii="仿宋" w:hAnsi="仿宋" w:eastAsia="仿宋"/>
        </w:rPr>
        <w:t>（八）绩效评价工作组织</w:t>
      </w:r>
      <w:bookmarkEnd w:id="66"/>
      <w:bookmarkEnd w:id="67"/>
      <w:bookmarkEnd w:id="68"/>
    </w:p>
    <w:p w14:paraId="6B805CDA">
      <w:pPr>
        <w:spacing w:line="500" w:lineRule="exact"/>
        <w:ind w:firstLine="562" w:firstLineChars="200"/>
        <w:rPr>
          <w:rFonts w:ascii="Times New Roman" w:hAnsi="Times New Roman" w:eastAsia="仿宋"/>
          <w:b/>
          <w:snapToGrid w:val="0"/>
          <w:sz w:val="28"/>
          <w:szCs w:val="32"/>
        </w:rPr>
      </w:pPr>
      <w:bookmarkStart w:id="69" w:name="_Toc469065648"/>
      <w:bookmarkStart w:id="70" w:name="_Toc469065900"/>
      <w:bookmarkStart w:id="71" w:name="_Toc479102151"/>
      <w:bookmarkStart w:id="72" w:name="_Toc469065558"/>
      <w:bookmarkStart w:id="73" w:name="_Toc510527466"/>
      <w:bookmarkStart w:id="74" w:name="_Toc511654628"/>
      <w:r>
        <w:rPr>
          <w:rFonts w:ascii="Times New Roman" w:hAnsi="Times New Roman" w:eastAsia="仿宋"/>
          <w:b/>
          <w:snapToGrid w:val="0"/>
          <w:sz w:val="28"/>
          <w:szCs w:val="32"/>
        </w:rPr>
        <w:t>1.组织框架</w:t>
      </w:r>
      <w:bookmarkEnd w:id="69"/>
      <w:bookmarkEnd w:id="70"/>
      <w:bookmarkEnd w:id="71"/>
      <w:bookmarkEnd w:id="72"/>
      <w:bookmarkEnd w:id="73"/>
      <w:bookmarkEnd w:id="74"/>
    </w:p>
    <w:p w14:paraId="31179EEE">
      <w:pPr>
        <w:tabs>
          <w:tab w:val="left" w:pos="1276"/>
        </w:tabs>
        <w:spacing w:line="500" w:lineRule="exact"/>
        <w:ind w:firstLine="560" w:firstLineChars="200"/>
        <w:contextualSpacing/>
        <w:rPr>
          <w:rFonts w:ascii="Times New Roman" w:hAnsi="Times New Roman" w:eastAsia="仿宋"/>
          <w:snapToGrid w:val="0"/>
          <w:sz w:val="28"/>
          <w:szCs w:val="32"/>
        </w:rPr>
      </w:pPr>
      <w:r>
        <w:rPr>
          <w:rFonts w:ascii="Times New Roman" w:hAnsi="Times New Roman" w:eastAsia="仿宋"/>
          <w:snapToGrid w:val="0"/>
          <w:sz w:val="28"/>
          <w:szCs w:val="32"/>
        </w:rPr>
        <w:t>为作好本次绩效评价工作，山西恒略绩效管理咨询有限公司成立了专门的绩效评价项目工作组，工作组组织框架情况如下图：</w:t>
      </w:r>
    </w:p>
    <w:p w14:paraId="3EBA6DEC">
      <w:pPr>
        <w:tabs>
          <w:tab w:val="left" w:pos="1276"/>
        </w:tabs>
        <w:contextualSpacing/>
        <w:jc w:val="left"/>
        <w:rPr>
          <w:rFonts w:ascii="Times New Roman" w:hAnsi="Times New Roman" w:eastAsia="仿宋"/>
          <w:snapToGrid w:val="0"/>
          <w:sz w:val="32"/>
          <w:szCs w:val="32"/>
        </w:rPr>
      </w:pPr>
      <w:r>
        <w:rPr>
          <w:rFonts w:ascii="Times New Roman" w:hAnsi="Times New Roman" w:eastAsia="仿宋"/>
          <w:snapToGrid w:val="0"/>
          <w:sz w:val="32"/>
          <w:szCs w:val="32"/>
        </w:rPr>
        <w:drawing>
          <wp:inline distT="0" distB="0" distL="114300" distR="114300">
            <wp:extent cx="5124450" cy="3486150"/>
            <wp:effectExtent l="0" t="0" r="0" b="0"/>
            <wp:docPr id="4" name="图片 4" descr="微信图片_20181204160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181204160335"/>
                    <pic:cNvPicPr>
                      <a:picLocks noChangeAspect="1"/>
                    </pic:cNvPicPr>
                  </pic:nvPicPr>
                  <pic:blipFill>
                    <a:blip r:embed="rId12"/>
                    <a:stretch>
                      <a:fillRect/>
                    </a:stretch>
                  </pic:blipFill>
                  <pic:spPr>
                    <a:xfrm>
                      <a:off x="0" y="0"/>
                      <a:ext cx="5124450" cy="3486150"/>
                    </a:xfrm>
                    <a:prstGeom prst="rect">
                      <a:avLst/>
                    </a:prstGeom>
                  </pic:spPr>
                </pic:pic>
              </a:graphicData>
            </a:graphic>
          </wp:inline>
        </w:drawing>
      </w:r>
    </w:p>
    <w:p w14:paraId="0947E47B">
      <w:pPr>
        <w:tabs>
          <w:tab w:val="left" w:pos="1276"/>
        </w:tabs>
        <w:spacing w:line="500" w:lineRule="exact"/>
        <w:contextualSpacing/>
        <w:jc w:val="center"/>
        <w:rPr>
          <w:rFonts w:ascii="Times New Roman" w:hAnsi="Times New Roman" w:eastAsia="仿宋"/>
          <w:b/>
          <w:snapToGrid w:val="0"/>
          <w:sz w:val="24"/>
        </w:rPr>
      </w:pPr>
      <w:r>
        <w:rPr>
          <w:rFonts w:ascii="Times New Roman" w:hAnsi="Times New Roman" w:eastAsia="仿宋"/>
          <w:b/>
          <w:snapToGrid w:val="0"/>
          <w:sz w:val="24"/>
        </w:rPr>
        <w:t>图3-1 组织框架图</w:t>
      </w:r>
    </w:p>
    <w:p w14:paraId="7E0524B5">
      <w:pPr>
        <w:spacing w:line="500" w:lineRule="exact"/>
        <w:ind w:firstLine="562" w:firstLineChars="200"/>
        <w:rPr>
          <w:rFonts w:ascii="Times New Roman" w:hAnsi="Times New Roman" w:eastAsia="仿宋"/>
          <w:b/>
          <w:snapToGrid w:val="0"/>
          <w:sz w:val="28"/>
          <w:szCs w:val="32"/>
        </w:rPr>
      </w:pPr>
      <w:bookmarkStart w:id="75" w:name="_Toc511654629"/>
      <w:r>
        <w:rPr>
          <w:rFonts w:ascii="Times New Roman" w:hAnsi="Times New Roman" w:eastAsia="仿宋"/>
          <w:b/>
          <w:snapToGrid w:val="0"/>
          <w:sz w:val="28"/>
          <w:szCs w:val="32"/>
        </w:rPr>
        <w:t>2.评价团队成员</w:t>
      </w:r>
      <w:bookmarkEnd w:id="75"/>
    </w:p>
    <w:p w14:paraId="3EBA3904">
      <w:pPr>
        <w:pStyle w:val="17"/>
        <w:spacing w:line="500" w:lineRule="exact"/>
        <w:ind w:firstLine="560" w:firstLineChars="200"/>
        <w:jc w:val="both"/>
        <w:rPr>
          <w:rFonts w:ascii="Times New Roman" w:hAnsi="Times New Roman" w:eastAsia="仿宋"/>
          <w:snapToGrid w:val="0"/>
          <w:kern w:val="2"/>
          <w:sz w:val="28"/>
          <w:szCs w:val="32"/>
        </w:rPr>
      </w:pPr>
      <w:r>
        <w:rPr>
          <w:rFonts w:ascii="Times New Roman" w:hAnsi="Times New Roman" w:eastAsia="仿宋"/>
          <w:snapToGrid w:val="0"/>
          <w:kern w:val="2"/>
          <w:sz w:val="28"/>
          <w:szCs w:val="32"/>
        </w:rPr>
        <w:t>工作组人员情况如下表：</w:t>
      </w:r>
    </w:p>
    <w:p w14:paraId="3473E42F">
      <w:pPr>
        <w:spacing w:line="500" w:lineRule="exact"/>
        <w:ind w:firstLine="482" w:firstLineChars="200"/>
        <w:jc w:val="center"/>
        <w:rPr>
          <w:rFonts w:ascii="Times New Roman" w:hAnsi="Times New Roman" w:eastAsia="仿宋"/>
          <w:b/>
          <w:snapToGrid w:val="0"/>
          <w:sz w:val="24"/>
        </w:rPr>
      </w:pPr>
      <w:r>
        <w:rPr>
          <w:rFonts w:ascii="Times New Roman" w:hAnsi="Times New Roman" w:eastAsia="仿宋"/>
          <w:b/>
          <w:snapToGrid w:val="0"/>
          <w:sz w:val="24"/>
        </w:rPr>
        <w:t>表3-2 绩效评价人员分工及职责</w:t>
      </w:r>
    </w:p>
    <w:tbl>
      <w:tblPr>
        <w:tblStyle w:val="22"/>
        <w:tblpPr w:leftFromText="180" w:rightFromText="180" w:vertAnchor="text"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1843"/>
        <w:gridCol w:w="4678"/>
      </w:tblGrid>
      <w:tr w14:paraId="62060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shd w:val="clear" w:color="auto" w:fill="BEBEBE" w:themeFill="background1" w:themeFillShade="BF"/>
            <w:vAlign w:val="center"/>
          </w:tcPr>
          <w:p w14:paraId="6783A8A5">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姓名</w:t>
            </w:r>
          </w:p>
        </w:tc>
        <w:tc>
          <w:tcPr>
            <w:tcW w:w="1843" w:type="dxa"/>
            <w:shd w:val="clear" w:color="auto" w:fill="BEBEBE" w:themeFill="background1" w:themeFillShade="BF"/>
            <w:vAlign w:val="center"/>
          </w:tcPr>
          <w:p w14:paraId="0770D5BD">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职务</w:t>
            </w:r>
          </w:p>
        </w:tc>
        <w:tc>
          <w:tcPr>
            <w:tcW w:w="4678" w:type="dxa"/>
            <w:shd w:val="clear" w:color="auto" w:fill="BEBEBE" w:themeFill="background1" w:themeFillShade="BF"/>
          </w:tcPr>
          <w:p w14:paraId="3387F3CB">
            <w:pPr>
              <w:autoSpaceDE w:val="0"/>
              <w:autoSpaceDN w:val="0"/>
              <w:adjustRightInd w:val="0"/>
              <w:spacing w:line="400" w:lineRule="exact"/>
              <w:jc w:val="center"/>
              <w:rPr>
                <w:rFonts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工作内容</w:t>
            </w:r>
          </w:p>
        </w:tc>
      </w:tr>
      <w:tr w14:paraId="15681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257A6FF8">
            <w:pPr>
              <w:autoSpaceDE w:val="0"/>
              <w:autoSpaceDN w:val="0"/>
              <w:adjustRightInd w:val="0"/>
              <w:spacing w:line="400" w:lineRule="exact"/>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张文英</w:t>
            </w:r>
          </w:p>
        </w:tc>
        <w:tc>
          <w:tcPr>
            <w:tcW w:w="1843" w:type="dxa"/>
            <w:vAlign w:val="center"/>
          </w:tcPr>
          <w:p w14:paraId="351484B6">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项目负责人</w:t>
            </w:r>
          </w:p>
        </w:tc>
        <w:tc>
          <w:tcPr>
            <w:tcW w:w="4678" w:type="dxa"/>
          </w:tcPr>
          <w:p w14:paraId="7B160FFC">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全面负责本次绩效评价工作，统筹协调，人员培训，绩效评价方案、报告审核等。</w:t>
            </w:r>
          </w:p>
        </w:tc>
      </w:tr>
      <w:tr w14:paraId="757EF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5E1E6C43">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许慧敏</w:t>
            </w:r>
          </w:p>
        </w:tc>
        <w:tc>
          <w:tcPr>
            <w:tcW w:w="1843" w:type="dxa"/>
            <w:vAlign w:val="center"/>
          </w:tcPr>
          <w:p w14:paraId="43D71A87">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组长</w:t>
            </w:r>
          </w:p>
        </w:tc>
        <w:tc>
          <w:tcPr>
            <w:tcW w:w="4678" w:type="dxa"/>
          </w:tcPr>
          <w:p w14:paraId="1EC761F0">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负责设计指标体系、撰写实施方案、访谈方案、评价报告等。</w:t>
            </w:r>
          </w:p>
        </w:tc>
      </w:tr>
      <w:tr w14:paraId="6621A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25192896">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韩俊</w:t>
            </w:r>
          </w:p>
        </w:tc>
        <w:tc>
          <w:tcPr>
            <w:tcW w:w="1843" w:type="dxa"/>
            <w:vAlign w:val="center"/>
          </w:tcPr>
          <w:p w14:paraId="1E4FCE0D">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副组长</w:t>
            </w:r>
          </w:p>
        </w:tc>
        <w:tc>
          <w:tcPr>
            <w:tcW w:w="4678" w:type="dxa"/>
          </w:tcPr>
          <w:p w14:paraId="05890673">
            <w:pPr>
              <w:autoSpaceDE w:val="0"/>
              <w:autoSpaceDN w:val="0"/>
              <w:adjustRightInd w:val="0"/>
              <w:spacing w:line="400" w:lineRule="exact"/>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负责协助组长设计指标体系、撰写实施方案、访谈方案、评价报告等。</w:t>
            </w:r>
          </w:p>
        </w:tc>
      </w:tr>
      <w:tr w14:paraId="5582A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7A341A89">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韩金秀</w:t>
            </w:r>
          </w:p>
        </w:tc>
        <w:tc>
          <w:tcPr>
            <w:tcW w:w="1843" w:type="dxa"/>
            <w:vAlign w:val="center"/>
          </w:tcPr>
          <w:p w14:paraId="563404BC">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1CC0D3CF">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14:paraId="09F75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149F248C">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刘玲玲</w:t>
            </w:r>
          </w:p>
        </w:tc>
        <w:tc>
          <w:tcPr>
            <w:tcW w:w="1843" w:type="dxa"/>
            <w:vAlign w:val="center"/>
          </w:tcPr>
          <w:p w14:paraId="130CF162">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0E20D76C">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14:paraId="08FEB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07089D0B">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杨帆</w:t>
            </w:r>
          </w:p>
        </w:tc>
        <w:tc>
          <w:tcPr>
            <w:tcW w:w="1843" w:type="dxa"/>
            <w:vAlign w:val="center"/>
          </w:tcPr>
          <w:p w14:paraId="05609199">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4D0B6765">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14:paraId="6E0E0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13169A14">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李阳</w:t>
            </w:r>
          </w:p>
        </w:tc>
        <w:tc>
          <w:tcPr>
            <w:tcW w:w="1843" w:type="dxa"/>
            <w:vAlign w:val="center"/>
          </w:tcPr>
          <w:p w14:paraId="65D651B5">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6484F66B">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14:paraId="4F4D8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626CC040">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樊荣荣</w:t>
            </w:r>
          </w:p>
        </w:tc>
        <w:tc>
          <w:tcPr>
            <w:tcW w:w="1843" w:type="dxa"/>
            <w:vAlign w:val="center"/>
          </w:tcPr>
          <w:p w14:paraId="1D315681">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544F765A">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14:paraId="19435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476FC2F5">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常洪强</w:t>
            </w:r>
          </w:p>
        </w:tc>
        <w:tc>
          <w:tcPr>
            <w:tcW w:w="1843" w:type="dxa"/>
            <w:vAlign w:val="center"/>
          </w:tcPr>
          <w:p w14:paraId="4683D2C4">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1603B29E">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14:paraId="4D329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12CEF143">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李金文</w:t>
            </w:r>
          </w:p>
        </w:tc>
        <w:tc>
          <w:tcPr>
            <w:tcW w:w="1843" w:type="dxa"/>
            <w:vAlign w:val="center"/>
          </w:tcPr>
          <w:p w14:paraId="3AE20EC8">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0B5C6FFD">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14:paraId="5E5FB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23F0BDBB">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任帅</w:t>
            </w:r>
          </w:p>
        </w:tc>
        <w:tc>
          <w:tcPr>
            <w:tcW w:w="1843" w:type="dxa"/>
            <w:vAlign w:val="center"/>
          </w:tcPr>
          <w:p w14:paraId="5768093B">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33B0D04D">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r w14:paraId="05ABC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09" w:type="dxa"/>
            <w:vAlign w:val="center"/>
          </w:tcPr>
          <w:p w14:paraId="4B7C4E72">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马鹏飞</w:t>
            </w:r>
          </w:p>
        </w:tc>
        <w:tc>
          <w:tcPr>
            <w:tcW w:w="1843" w:type="dxa"/>
            <w:vAlign w:val="center"/>
          </w:tcPr>
          <w:p w14:paraId="5AE1AA6E">
            <w:pPr>
              <w:autoSpaceDE w:val="0"/>
              <w:autoSpaceDN w:val="0"/>
              <w:adjustRightInd w:val="0"/>
              <w:spacing w:line="400" w:lineRule="exact"/>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成员</w:t>
            </w:r>
          </w:p>
        </w:tc>
        <w:tc>
          <w:tcPr>
            <w:tcW w:w="4678" w:type="dxa"/>
          </w:tcPr>
          <w:p w14:paraId="5316D483">
            <w:pPr>
              <w:autoSpaceDE w:val="0"/>
              <w:autoSpaceDN w:val="0"/>
              <w:adjustRightInd w:val="0"/>
              <w:spacing w:line="400" w:lineRule="exact"/>
              <w:jc w:val="left"/>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bl>
    <w:p w14:paraId="13A8B8FE">
      <w:pPr>
        <w:spacing w:line="500" w:lineRule="exact"/>
        <w:ind w:firstLine="562" w:firstLineChars="200"/>
        <w:rPr>
          <w:rFonts w:ascii="Times New Roman" w:hAnsi="Times New Roman" w:eastAsia="仿宋"/>
          <w:b/>
          <w:snapToGrid w:val="0"/>
          <w:sz w:val="28"/>
          <w:szCs w:val="32"/>
        </w:rPr>
      </w:pPr>
      <w:bookmarkStart w:id="76" w:name="_Toc511654630"/>
      <w:r>
        <w:rPr>
          <w:rFonts w:ascii="Times New Roman" w:hAnsi="Times New Roman" w:eastAsia="仿宋"/>
          <w:b/>
          <w:snapToGrid w:val="0"/>
          <w:sz w:val="28"/>
          <w:szCs w:val="32"/>
        </w:rPr>
        <w:t>3.</w:t>
      </w:r>
      <w:bookmarkEnd w:id="76"/>
      <w:r>
        <w:rPr>
          <w:rFonts w:ascii="Times New Roman" w:hAnsi="Times New Roman" w:eastAsia="仿宋"/>
          <w:b/>
          <w:snapToGrid w:val="0"/>
          <w:sz w:val="28"/>
          <w:szCs w:val="32"/>
        </w:rPr>
        <w:t>评价工作安排</w:t>
      </w:r>
    </w:p>
    <w:p w14:paraId="61696BD8">
      <w:pPr>
        <w:widowControl/>
        <w:spacing w:line="500" w:lineRule="exact"/>
        <w:ind w:firstLine="560" w:firstLineChars="200"/>
        <w:rPr>
          <w:rFonts w:hint="eastAsia" w:ascii="Times New Roman" w:hAnsi="Times New Roman" w:eastAsia="仿宋" w:cs="Times New Roman"/>
          <w:snapToGrid w:val="0"/>
          <w:sz w:val="28"/>
          <w:szCs w:val="28"/>
          <w:lang w:val="en-US" w:eastAsia="zh-CN"/>
        </w:rPr>
      </w:pPr>
      <w:r>
        <w:rPr>
          <w:rFonts w:hint="eastAsia" w:ascii="Times New Roman" w:hAnsi="Times New Roman" w:eastAsia="仿宋" w:cs="Times New Roman"/>
          <w:snapToGrid w:val="0"/>
          <w:sz w:val="28"/>
          <w:szCs w:val="28"/>
          <w:lang w:val="en-US" w:eastAsia="zh-CN"/>
        </w:rPr>
        <w:t>①前期准备阶段（2022年5月上旬至5月中旬）</w:t>
      </w:r>
    </w:p>
    <w:p w14:paraId="675ADD78">
      <w:pPr>
        <w:widowControl/>
        <w:spacing w:line="500" w:lineRule="exact"/>
        <w:ind w:firstLine="560" w:firstLineChars="200"/>
        <w:rPr>
          <w:rFonts w:hint="eastAsia" w:ascii="Times New Roman" w:hAnsi="Times New Roman" w:eastAsia="仿宋" w:cs="Times New Roman"/>
          <w:snapToGrid w:val="0"/>
          <w:sz w:val="28"/>
          <w:szCs w:val="28"/>
          <w:lang w:val="en-US" w:eastAsia="zh-CN"/>
        </w:rPr>
      </w:pPr>
      <w:r>
        <w:rPr>
          <w:rFonts w:hint="eastAsia" w:ascii="Times New Roman" w:hAnsi="Times New Roman" w:eastAsia="仿宋" w:cs="Times New Roman"/>
          <w:snapToGrid w:val="0"/>
          <w:sz w:val="28"/>
          <w:szCs w:val="28"/>
          <w:lang w:val="en-US" w:eastAsia="zh-CN"/>
        </w:rPr>
        <w:t>（1）成立绩效评价工作组，确定评价指标，制定评价工作底稿、评价报告内容；</w:t>
      </w:r>
    </w:p>
    <w:p w14:paraId="72B2D883">
      <w:pPr>
        <w:widowControl/>
        <w:spacing w:line="500" w:lineRule="exact"/>
        <w:ind w:firstLine="560" w:firstLineChars="200"/>
        <w:rPr>
          <w:rFonts w:hint="eastAsia" w:ascii="Times New Roman" w:hAnsi="Times New Roman" w:eastAsia="仿宋" w:cs="Times New Roman"/>
          <w:snapToGrid w:val="0"/>
          <w:sz w:val="28"/>
          <w:szCs w:val="28"/>
          <w:lang w:val="en-US" w:eastAsia="zh-CN"/>
        </w:rPr>
      </w:pPr>
      <w:r>
        <w:rPr>
          <w:rFonts w:hint="eastAsia" w:ascii="Times New Roman" w:hAnsi="Times New Roman" w:eastAsia="仿宋" w:cs="Times New Roman"/>
          <w:snapToGrid w:val="0"/>
          <w:sz w:val="28"/>
          <w:szCs w:val="28"/>
          <w:lang w:val="en-US" w:eastAsia="zh-CN"/>
        </w:rPr>
        <w:t>（2）根据文件规定时间，制定评价实施方案，确定现场评价时间；</w:t>
      </w:r>
    </w:p>
    <w:p w14:paraId="07B7DBBD">
      <w:pPr>
        <w:widowControl/>
        <w:spacing w:line="500" w:lineRule="exact"/>
        <w:ind w:firstLine="560" w:firstLineChars="200"/>
        <w:rPr>
          <w:rFonts w:hint="eastAsia" w:ascii="Times New Roman" w:hAnsi="Times New Roman" w:eastAsia="仿宋" w:cs="Times New Roman"/>
          <w:snapToGrid w:val="0"/>
          <w:sz w:val="28"/>
          <w:szCs w:val="28"/>
          <w:lang w:val="en-US" w:eastAsia="zh-CN"/>
        </w:rPr>
      </w:pPr>
      <w:r>
        <w:rPr>
          <w:rFonts w:hint="eastAsia" w:ascii="Times New Roman" w:hAnsi="Times New Roman" w:eastAsia="仿宋" w:cs="Times New Roman"/>
          <w:snapToGrid w:val="0"/>
          <w:sz w:val="28"/>
          <w:szCs w:val="28"/>
          <w:lang w:val="en-US" w:eastAsia="zh-CN"/>
        </w:rPr>
        <w:t>（3）确定被评单位需要配合的事项；</w:t>
      </w:r>
    </w:p>
    <w:p w14:paraId="46AE5809">
      <w:pPr>
        <w:widowControl/>
        <w:spacing w:line="500" w:lineRule="exact"/>
        <w:ind w:firstLine="560" w:firstLineChars="200"/>
        <w:rPr>
          <w:rFonts w:hint="eastAsia" w:ascii="Times New Roman" w:hAnsi="Times New Roman" w:eastAsia="仿宋" w:cs="Times New Roman"/>
          <w:snapToGrid w:val="0"/>
          <w:sz w:val="28"/>
          <w:szCs w:val="28"/>
          <w:lang w:val="en-US" w:eastAsia="zh-CN"/>
        </w:rPr>
      </w:pPr>
      <w:r>
        <w:rPr>
          <w:rFonts w:hint="eastAsia" w:ascii="Times New Roman" w:hAnsi="Times New Roman" w:eastAsia="仿宋" w:cs="Times New Roman"/>
          <w:snapToGrid w:val="0"/>
          <w:sz w:val="28"/>
          <w:szCs w:val="28"/>
          <w:lang w:val="en-US" w:eastAsia="zh-CN"/>
        </w:rPr>
        <w:t>（4）完成评价人员的培训；</w:t>
      </w:r>
    </w:p>
    <w:p w14:paraId="666C0FEF">
      <w:pPr>
        <w:widowControl/>
        <w:spacing w:line="500" w:lineRule="exact"/>
        <w:ind w:firstLine="560" w:firstLineChars="200"/>
        <w:rPr>
          <w:rFonts w:hint="eastAsia" w:ascii="Times New Roman" w:hAnsi="Times New Roman" w:eastAsia="仿宋" w:cs="Times New Roman"/>
          <w:snapToGrid w:val="0"/>
          <w:sz w:val="28"/>
          <w:szCs w:val="28"/>
          <w:lang w:val="en-US" w:eastAsia="zh-CN"/>
        </w:rPr>
      </w:pPr>
      <w:r>
        <w:rPr>
          <w:rFonts w:hint="eastAsia" w:ascii="Times New Roman" w:hAnsi="Times New Roman" w:eastAsia="仿宋" w:cs="Times New Roman"/>
          <w:snapToGrid w:val="0"/>
          <w:sz w:val="28"/>
          <w:szCs w:val="28"/>
          <w:lang w:val="en-US" w:eastAsia="zh-CN"/>
        </w:rPr>
        <w:t>（5）收集整理被评价单位的相关资料。</w:t>
      </w:r>
    </w:p>
    <w:p w14:paraId="3D194BE0">
      <w:pPr>
        <w:widowControl/>
        <w:spacing w:line="500" w:lineRule="exact"/>
        <w:ind w:firstLine="560" w:firstLineChars="200"/>
        <w:rPr>
          <w:rFonts w:hint="eastAsia" w:ascii="Times New Roman" w:hAnsi="Times New Roman" w:eastAsia="仿宋" w:cs="Times New Roman"/>
          <w:snapToGrid w:val="0"/>
          <w:sz w:val="28"/>
          <w:szCs w:val="28"/>
          <w:lang w:val="en-US" w:eastAsia="zh-CN"/>
        </w:rPr>
      </w:pPr>
      <w:r>
        <w:rPr>
          <w:rFonts w:hint="eastAsia" w:ascii="Times New Roman" w:hAnsi="Times New Roman" w:eastAsia="仿宋" w:cs="Times New Roman"/>
          <w:snapToGrid w:val="0"/>
          <w:sz w:val="28"/>
          <w:szCs w:val="28"/>
          <w:lang w:val="en-US" w:eastAsia="zh-CN"/>
        </w:rPr>
        <w:t>②现场实施阶段（2022年5月下旬至6月上旬）</w:t>
      </w:r>
    </w:p>
    <w:p w14:paraId="098A1726">
      <w:pPr>
        <w:widowControl/>
        <w:spacing w:line="500" w:lineRule="exact"/>
        <w:ind w:firstLine="560" w:firstLineChars="200"/>
        <w:rPr>
          <w:rFonts w:hint="eastAsia" w:ascii="Times New Roman" w:hAnsi="Times New Roman" w:eastAsia="仿宋" w:cs="Times New Roman"/>
          <w:snapToGrid w:val="0"/>
          <w:sz w:val="28"/>
          <w:szCs w:val="28"/>
          <w:lang w:val="en-US" w:eastAsia="zh-CN"/>
        </w:rPr>
      </w:pPr>
      <w:r>
        <w:rPr>
          <w:rFonts w:hint="eastAsia" w:ascii="Times New Roman" w:hAnsi="Times New Roman" w:eastAsia="仿宋" w:cs="Times New Roman"/>
          <w:snapToGrid w:val="0"/>
          <w:sz w:val="28"/>
          <w:szCs w:val="28"/>
          <w:lang w:val="en-US" w:eastAsia="zh-CN"/>
        </w:rPr>
        <w:t>（1）与项目单位进行沟通，确定评价工作组现场工作安排；</w:t>
      </w:r>
    </w:p>
    <w:p w14:paraId="6D288D1D">
      <w:pPr>
        <w:widowControl/>
        <w:spacing w:line="500" w:lineRule="exact"/>
        <w:ind w:firstLine="560" w:firstLineChars="200"/>
        <w:rPr>
          <w:rFonts w:hint="eastAsia" w:ascii="Times New Roman" w:hAnsi="Times New Roman" w:eastAsia="仿宋" w:cs="Times New Roman"/>
          <w:snapToGrid w:val="0"/>
          <w:sz w:val="28"/>
          <w:szCs w:val="28"/>
          <w:lang w:val="en-US" w:eastAsia="zh-CN"/>
        </w:rPr>
      </w:pPr>
      <w:r>
        <w:rPr>
          <w:rFonts w:hint="eastAsia" w:ascii="Times New Roman" w:hAnsi="Times New Roman" w:eastAsia="仿宋" w:cs="Times New Roman"/>
          <w:snapToGrid w:val="0"/>
          <w:sz w:val="28"/>
          <w:szCs w:val="28"/>
          <w:lang w:val="en-US" w:eastAsia="zh-CN"/>
        </w:rPr>
        <w:t>（2）评价工作组对上报的相关资料进行审查、复核和测评；</w:t>
      </w:r>
    </w:p>
    <w:p w14:paraId="0A4251EB">
      <w:pPr>
        <w:widowControl/>
        <w:spacing w:line="500" w:lineRule="exact"/>
        <w:ind w:firstLine="560" w:firstLineChars="200"/>
        <w:rPr>
          <w:rFonts w:hint="eastAsia" w:ascii="Times New Roman" w:hAnsi="Times New Roman" w:eastAsia="仿宋" w:cs="Times New Roman"/>
          <w:snapToGrid w:val="0"/>
          <w:sz w:val="28"/>
          <w:szCs w:val="28"/>
          <w:lang w:val="en-US" w:eastAsia="zh-CN"/>
        </w:rPr>
      </w:pPr>
      <w:r>
        <w:rPr>
          <w:rFonts w:hint="eastAsia" w:ascii="Times New Roman" w:hAnsi="Times New Roman" w:eastAsia="仿宋" w:cs="Times New Roman"/>
          <w:snapToGrid w:val="0"/>
          <w:sz w:val="28"/>
          <w:szCs w:val="28"/>
          <w:lang w:val="en-US" w:eastAsia="zh-CN"/>
        </w:rPr>
        <w:t>（3）评价工作组到现场，按照评价标准和规范，对各项指标进行计算和打分；</w:t>
      </w:r>
    </w:p>
    <w:p w14:paraId="0BEBA532">
      <w:pPr>
        <w:widowControl/>
        <w:spacing w:line="500" w:lineRule="exact"/>
        <w:ind w:firstLine="560" w:firstLineChars="200"/>
        <w:rPr>
          <w:rFonts w:hint="eastAsia" w:ascii="Times New Roman" w:hAnsi="Times New Roman" w:eastAsia="仿宋" w:cs="Times New Roman"/>
          <w:snapToGrid w:val="0"/>
          <w:sz w:val="28"/>
          <w:szCs w:val="28"/>
          <w:lang w:val="en-US" w:eastAsia="zh-CN"/>
        </w:rPr>
      </w:pPr>
      <w:r>
        <w:rPr>
          <w:rFonts w:hint="eastAsia" w:ascii="Times New Roman" w:hAnsi="Times New Roman" w:eastAsia="仿宋" w:cs="Times New Roman"/>
          <w:snapToGrid w:val="0"/>
          <w:sz w:val="28"/>
          <w:szCs w:val="28"/>
          <w:lang w:val="en-US" w:eastAsia="zh-CN"/>
        </w:rPr>
        <w:t>③报告撰写和提交阶段（2022年6月中旬-8月中旬）</w:t>
      </w:r>
    </w:p>
    <w:p w14:paraId="6C80832C">
      <w:pPr>
        <w:widowControl/>
        <w:spacing w:line="500" w:lineRule="exact"/>
        <w:ind w:firstLine="560" w:firstLineChars="200"/>
        <w:rPr>
          <w:rFonts w:hint="eastAsia" w:ascii="Times New Roman" w:hAnsi="Times New Roman" w:eastAsia="仿宋" w:cs="Times New Roman"/>
          <w:snapToGrid w:val="0"/>
          <w:sz w:val="28"/>
          <w:szCs w:val="28"/>
          <w:lang w:val="en-US" w:eastAsia="zh-CN"/>
        </w:rPr>
      </w:pPr>
      <w:r>
        <w:rPr>
          <w:rFonts w:hint="eastAsia" w:ascii="Times New Roman" w:hAnsi="Times New Roman" w:eastAsia="仿宋" w:cs="Times New Roman"/>
          <w:snapToGrid w:val="0"/>
          <w:sz w:val="28"/>
          <w:szCs w:val="28"/>
          <w:lang w:val="en-US" w:eastAsia="zh-CN"/>
        </w:rPr>
        <w:t>（1）评价工作组根据有关规定，整理、综合分析项目相关信息，撰写被评单位的绩效评价报告；与被评价单位就绩效评价报告进行充分沟通并交换意见；</w:t>
      </w:r>
    </w:p>
    <w:p w14:paraId="0D9795FF">
      <w:pPr>
        <w:widowControl/>
        <w:spacing w:line="500" w:lineRule="exact"/>
        <w:ind w:firstLine="560" w:firstLineChars="200"/>
        <w:rPr>
          <w:rFonts w:ascii="Times New Roman" w:hAnsi="Times New Roman" w:eastAsia="仿宋" w:cs="Times New Roman"/>
          <w:snapToGrid w:val="0"/>
          <w:sz w:val="28"/>
          <w:szCs w:val="28"/>
        </w:rPr>
      </w:pPr>
      <w:r>
        <w:rPr>
          <w:rFonts w:hint="eastAsia" w:ascii="Times New Roman" w:hAnsi="Times New Roman" w:eastAsia="仿宋" w:cs="Times New Roman"/>
          <w:snapToGrid w:val="0"/>
          <w:sz w:val="28"/>
          <w:szCs w:val="28"/>
          <w:lang w:val="en-US" w:eastAsia="zh-CN"/>
        </w:rPr>
        <w:t>（2）评价工作组出具报告报送古县财政局，由古县财政局对报告进行评审，评价机构根据古县财政局意见修改评价报告，于8月15日前提交正式评价报告</w:t>
      </w:r>
      <w:r>
        <w:rPr>
          <w:rFonts w:ascii="Times New Roman" w:hAnsi="Times New Roman" w:eastAsia="仿宋" w:cs="Times New Roman"/>
          <w:snapToGrid w:val="0"/>
          <w:sz w:val="28"/>
          <w:szCs w:val="28"/>
        </w:rPr>
        <w:t>。</w:t>
      </w:r>
    </w:p>
    <w:p w14:paraId="6BD82CD4">
      <w:pPr>
        <w:pStyle w:val="3"/>
        <w:spacing w:before="312" w:beforeLines="100" w:after="312" w:afterLines="100" w:line="500" w:lineRule="exact"/>
        <w:rPr>
          <w:rFonts w:ascii="Times New Roman" w:hAnsi="Times New Roman" w:eastAsia="黑体"/>
          <w:b w:val="0"/>
          <w:sz w:val="32"/>
          <w:szCs w:val="32"/>
        </w:rPr>
      </w:pPr>
      <w:bookmarkStart w:id="77" w:name="_Toc514537342"/>
      <w:bookmarkStart w:id="78" w:name="_Toc519354509"/>
      <w:bookmarkStart w:id="79" w:name="_Toc13169"/>
      <w:r>
        <w:rPr>
          <w:rFonts w:ascii="Times New Roman" w:hAnsi="Times New Roman" w:eastAsia="黑体"/>
          <w:b w:val="0"/>
          <w:sz w:val="32"/>
          <w:szCs w:val="32"/>
        </w:rPr>
        <w:t>四、绩效评价指标分析情况</w:t>
      </w:r>
      <w:bookmarkEnd w:id="77"/>
      <w:bookmarkEnd w:id="78"/>
      <w:bookmarkEnd w:id="79"/>
    </w:p>
    <w:p w14:paraId="06343FE8">
      <w:pPr>
        <w:pStyle w:val="4"/>
        <w:spacing w:before="156" w:beforeLines="50" w:after="156" w:afterLines="50" w:line="500" w:lineRule="exact"/>
        <w:ind w:firstLine="643" w:firstLineChars="200"/>
        <w:rPr>
          <w:rFonts w:ascii="仿宋" w:hAnsi="仿宋" w:eastAsia="仿宋"/>
        </w:rPr>
      </w:pPr>
      <w:bookmarkStart w:id="80" w:name="_Toc514537343"/>
      <w:bookmarkStart w:id="81" w:name="_Toc13777"/>
      <w:r>
        <w:rPr>
          <w:rFonts w:ascii="仿宋" w:hAnsi="仿宋" w:eastAsia="仿宋"/>
        </w:rPr>
        <w:t>（一）分项分析与汇总</w:t>
      </w:r>
      <w:bookmarkEnd w:id="80"/>
      <w:bookmarkEnd w:id="81"/>
    </w:p>
    <w:p w14:paraId="77D7EB0C">
      <w:pPr>
        <w:spacing w:line="500" w:lineRule="exact"/>
        <w:ind w:firstLine="562" w:firstLineChars="200"/>
        <w:outlineLvl w:val="2"/>
        <w:rPr>
          <w:rFonts w:ascii="Times New Roman" w:hAnsi="Times New Roman" w:eastAsia="仿宋"/>
          <w:b/>
          <w:snapToGrid w:val="0"/>
          <w:sz w:val="28"/>
          <w:szCs w:val="32"/>
        </w:rPr>
      </w:pPr>
      <w:bookmarkStart w:id="82" w:name="_Toc23016"/>
      <w:bookmarkStart w:id="83" w:name="_Toc19401"/>
      <w:bookmarkStart w:id="84" w:name="_Toc12732"/>
      <w:bookmarkStart w:id="85" w:name="_Toc528684141"/>
      <w:bookmarkStart w:id="86" w:name="_Toc15599"/>
      <w:bookmarkStart w:id="87" w:name="_Toc528680466"/>
      <w:bookmarkStart w:id="88" w:name="_Toc27419"/>
      <w:r>
        <w:rPr>
          <w:rFonts w:ascii="Times New Roman" w:hAnsi="Times New Roman" w:eastAsia="仿宋"/>
          <w:b/>
          <w:snapToGrid w:val="0"/>
          <w:sz w:val="28"/>
          <w:szCs w:val="32"/>
        </w:rPr>
        <w:t>1.决策分析</w:t>
      </w:r>
      <w:bookmarkEnd w:id="82"/>
      <w:bookmarkEnd w:id="83"/>
      <w:bookmarkEnd w:id="84"/>
      <w:bookmarkEnd w:id="85"/>
      <w:bookmarkEnd w:id="86"/>
      <w:bookmarkEnd w:id="87"/>
      <w:bookmarkEnd w:id="88"/>
    </w:p>
    <w:p w14:paraId="594A7D8B">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决策类指标主要从立项依据充分性、立项程序规范性、绩效目标合理性、绩效指标明确性、资金分配合理性、预算编制科学性6个指标考察该项目立项、绩效目标、资金投入情况。决策类指标权重分20.00分，实际得分为</w:t>
      </w:r>
      <w:r>
        <w:rPr>
          <w:rFonts w:hint="eastAsia" w:ascii="Times New Roman" w:hAnsi="Times New Roman" w:eastAsia="仿宋"/>
          <w:snapToGrid w:val="0"/>
          <w:sz w:val="28"/>
          <w:szCs w:val="32"/>
          <w:lang w:val="en-US" w:eastAsia="zh-CN"/>
        </w:rPr>
        <w:t>20</w:t>
      </w:r>
      <w:r>
        <w:rPr>
          <w:rFonts w:ascii="Times New Roman" w:hAnsi="Times New Roman" w:eastAsia="仿宋"/>
          <w:snapToGrid w:val="0"/>
          <w:sz w:val="28"/>
          <w:szCs w:val="32"/>
        </w:rPr>
        <w:t>.00分。指标得分情况表如下：</w:t>
      </w:r>
    </w:p>
    <w:p w14:paraId="0083DC1B">
      <w:pPr>
        <w:widowControl/>
        <w:spacing w:line="500" w:lineRule="exact"/>
        <w:ind w:firstLine="482" w:firstLineChars="200"/>
        <w:jc w:val="center"/>
        <w:rPr>
          <w:rFonts w:ascii="Times New Roman" w:hAnsi="Times New Roman" w:eastAsia="仿宋"/>
          <w:b/>
          <w:snapToGrid w:val="0"/>
          <w:sz w:val="24"/>
        </w:rPr>
      </w:pPr>
      <w:r>
        <w:rPr>
          <w:rFonts w:ascii="Times New Roman" w:hAnsi="Times New Roman" w:eastAsia="仿宋"/>
          <w:b/>
          <w:snapToGrid w:val="0"/>
          <w:sz w:val="24"/>
        </w:rPr>
        <w:t>表4-1 决策类指标得分情况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983"/>
        <w:gridCol w:w="3066"/>
        <w:gridCol w:w="966"/>
        <w:gridCol w:w="966"/>
        <w:gridCol w:w="1541"/>
      </w:tblGrid>
      <w:tr w14:paraId="13C335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shd w:val="clear" w:color="auto" w:fill="BFBFBF"/>
            <w:vAlign w:val="center"/>
          </w:tcPr>
          <w:p w14:paraId="42DC9583">
            <w:pPr>
              <w:jc w:val="center"/>
              <w:rPr>
                <w:rFonts w:ascii="Times New Roman" w:hAnsi="Times New Roman" w:eastAsia="仿宋"/>
                <w:b/>
                <w:bCs/>
                <w:sz w:val="24"/>
              </w:rPr>
            </w:pPr>
            <w:r>
              <w:rPr>
                <w:rFonts w:ascii="Times New Roman" w:hAnsi="Times New Roman" w:eastAsia="仿宋"/>
                <w:b/>
                <w:bCs/>
                <w:sz w:val="24"/>
              </w:rPr>
              <w:t>二级指标</w:t>
            </w:r>
          </w:p>
        </w:tc>
        <w:tc>
          <w:tcPr>
            <w:tcW w:w="3066" w:type="dxa"/>
            <w:shd w:val="clear" w:color="auto" w:fill="BFBFBF"/>
            <w:vAlign w:val="center"/>
          </w:tcPr>
          <w:p w14:paraId="188DCB42">
            <w:pPr>
              <w:jc w:val="center"/>
              <w:rPr>
                <w:rFonts w:ascii="Times New Roman" w:hAnsi="Times New Roman" w:eastAsia="仿宋"/>
                <w:b/>
                <w:bCs/>
                <w:sz w:val="24"/>
              </w:rPr>
            </w:pPr>
            <w:r>
              <w:rPr>
                <w:rFonts w:ascii="Times New Roman" w:hAnsi="Times New Roman" w:eastAsia="仿宋"/>
                <w:b/>
                <w:bCs/>
                <w:sz w:val="24"/>
              </w:rPr>
              <w:t>三级指标</w:t>
            </w:r>
          </w:p>
        </w:tc>
        <w:tc>
          <w:tcPr>
            <w:tcW w:w="966" w:type="dxa"/>
            <w:shd w:val="clear" w:color="auto" w:fill="BFBFBF"/>
            <w:vAlign w:val="center"/>
          </w:tcPr>
          <w:p w14:paraId="0BCF6612">
            <w:pPr>
              <w:jc w:val="center"/>
              <w:rPr>
                <w:rFonts w:ascii="Times New Roman" w:hAnsi="Times New Roman" w:eastAsia="仿宋"/>
                <w:b/>
                <w:bCs/>
                <w:sz w:val="24"/>
              </w:rPr>
            </w:pPr>
            <w:r>
              <w:rPr>
                <w:rFonts w:ascii="Times New Roman" w:hAnsi="Times New Roman" w:eastAsia="仿宋"/>
                <w:b/>
                <w:bCs/>
                <w:sz w:val="24"/>
              </w:rPr>
              <w:t>权重</w:t>
            </w:r>
          </w:p>
        </w:tc>
        <w:tc>
          <w:tcPr>
            <w:tcW w:w="966" w:type="dxa"/>
            <w:shd w:val="clear" w:color="auto" w:fill="BFBFBF"/>
            <w:vAlign w:val="center"/>
          </w:tcPr>
          <w:p w14:paraId="6A70B2CD">
            <w:pPr>
              <w:jc w:val="center"/>
              <w:rPr>
                <w:rFonts w:ascii="Times New Roman" w:hAnsi="Times New Roman" w:eastAsia="仿宋"/>
                <w:b/>
                <w:bCs/>
                <w:sz w:val="24"/>
              </w:rPr>
            </w:pPr>
            <w:r>
              <w:rPr>
                <w:rFonts w:ascii="Times New Roman" w:hAnsi="Times New Roman" w:eastAsia="仿宋"/>
                <w:b/>
                <w:bCs/>
                <w:sz w:val="24"/>
              </w:rPr>
              <w:t>得分</w:t>
            </w:r>
          </w:p>
        </w:tc>
        <w:tc>
          <w:tcPr>
            <w:tcW w:w="1541" w:type="dxa"/>
            <w:shd w:val="clear" w:color="auto" w:fill="BFBFBF"/>
            <w:vAlign w:val="center"/>
          </w:tcPr>
          <w:p w14:paraId="42D529F7">
            <w:pPr>
              <w:jc w:val="center"/>
              <w:rPr>
                <w:rFonts w:ascii="Times New Roman" w:hAnsi="Times New Roman" w:eastAsia="仿宋"/>
                <w:b/>
                <w:bCs/>
                <w:sz w:val="24"/>
              </w:rPr>
            </w:pPr>
            <w:r>
              <w:rPr>
                <w:rFonts w:ascii="Times New Roman" w:hAnsi="Times New Roman" w:eastAsia="仿宋"/>
                <w:b/>
                <w:bCs/>
                <w:sz w:val="24"/>
              </w:rPr>
              <w:t>得分率</w:t>
            </w:r>
          </w:p>
        </w:tc>
      </w:tr>
      <w:tr w14:paraId="3A12F0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14:paraId="742E0306">
            <w:pPr>
              <w:jc w:val="center"/>
              <w:rPr>
                <w:rFonts w:ascii="Times New Roman" w:hAnsi="Times New Roman" w:eastAsia="仿宋"/>
                <w:bCs/>
                <w:sz w:val="24"/>
              </w:rPr>
            </w:pPr>
            <w:r>
              <w:rPr>
                <w:rFonts w:ascii="Times New Roman" w:hAnsi="Times New Roman" w:eastAsia="仿宋"/>
                <w:bCs/>
                <w:sz w:val="24"/>
              </w:rPr>
              <w:t>A1项目立项</w:t>
            </w:r>
          </w:p>
        </w:tc>
        <w:tc>
          <w:tcPr>
            <w:tcW w:w="3066" w:type="dxa"/>
            <w:vAlign w:val="center"/>
          </w:tcPr>
          <w:p w14:paraId="64A365F2">
            <w:pPr>
              <w:jc w:val="center"/>
              <w:rPr>
                <w:rFonts w:ascii="Times New Roman" w:hAnsi="Times New Roman" w:eastAsia="仿宋"/>
                <w:bCs/>
                <w:sz w:val="24"/>
              </w:rPr>
            </w:pPr>
            <w:r>
              <w:rPr>
                <w:rFonts w:ascii="Times New Roman" w:hAnsi="Times New Roman" w:eastAsia="仿宋"/>
                <w:bCs/>
                <w:sz w:val="24"/>
              </w:rPr>
              <w:t>A11立项依据充分性</w:t>
            </w:r>
          </w:p>
        </w:tc>
        <w:tc>
          <w:tcPr>
            <w:tcW w:w="966" w:type="dxa"/>
            <w:vAlign w:val="center"/>
          </w:tcPr>
          <w:p w14:paraId="31C0F563">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14:paraId="264641A7">
            <w:pPr>
              <w:jc w:val="center"/>
              <w:rPr>
                <w:rFonts w:ascii="Times New Roman" w:hAnsi="Times New Roman" w:eastAsia="仿宋"/>
                <w:bCs/>
                <w:sz w:val="24"/>
              </w:rPr>
            </w:pPr>
            <w:r>
              <w:rPr>
                <w:rFonts w:ascii="Times New Roman" w:hAnsi="Times New Roman" w:eastAsia="仿宋"/>
                <w:bCs/>
                <w:sz w:val="24"/>
              </w:rPr>
              <w:t>3.00</w:t>
            </w:r>
          </w:p>
        </w:tc>
        <w:tc>
          <w:tcPr>
            <w:tcW w:w="1541" w:type="dxa"/>
            <w:vAlign w:val="center"/>
          </w:tcPr>
          <w:p w14:paraId="7846E47E">
            <w:pPr>
              <w:jc w:val="center"/>
              <w:rPr>
                <w:rFonts w:ascii="Times New Roman" w:hAnsi="Times New Roman" w:eastAsia="仿宋"/>
                <w:bCs/>
                <w:sz w:val="24"/>
              </w:rPr>
            </w:pPr>
            <w:r>
              <w:rPr>
                <w:rFonts w:ascii="Times New Roman" w:hAnsi="Times New Roman" w:eastAsia="仿宋"/>
                <w:bCs/>
                <w:sz w:val="24"/>
              </w:rPr>
              <w:t>100.00%</w:t>
            </w:r>
          </w:p>
        </w:tc>
      </w:tr>
      <w:tr w14:paraId="004B53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14:paraId="0F067B8E">
            <w:pPr>
              <w:jc w:val="center"/>
              <w:rPr>
                <w:rFonts w:ascii="Times New Roman" w:hAnsi="Times New Roman" w:eastAsia="仿宋"/>
                <w:bCs/>
                <w:sz w:val="24"/>
              </w:rPr>
            </w:pPr>
          </w:p>
        </w:tc>
        <w:tc>
          <w:tcPr>
            <w:tcW w:w="3066" w:type="dxa"/>
            <w:vAlign w:val="center"/>
          </w:tcPr>
          <w:p w14:paraId="7F772148">
            <w:pPr>
              <w:jc w:val="center"/>
              <w:rPr>
                <w:rFonts w:ascii="Times New Roman" w:hAnsi="Times New Roman" w:eastAsia="仿宋"/>
                <w:bCs/>
                <w:sz w:val="24"/>
              </w:rPr>
            </w:pPr>
            <w:r>
              <w:rPr>
                <w:rFonts w:ascii="Times New Roman" w:hAnsi="Times New Roman" w:eastAsia="仿宋"/>
                <w:bCs/>
                <w:sz w:val="24"/>
              </w:rPr>
              <w:t>A12立项程序规范性</w:t>
            </w:r>
          </w:p>
        </w:tc>
        <w:tc>
          <w:tcPr>
            <w:tcW w:w="966" w:type="dxa"/>
            <w:vAlign w:val="center"/>
          </w:tcPr>
          <w:p w14:paraId="4462BEEE">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14:paraId="222E6D22">
            <w:pPr>
              <w:jc w:val="center"/>
              <w:rPr>
                <w:rFonts w:ascii="Times New Roman" w:hAnsi="Times New Roman" w:eastAsia="仿宋"/>
                <w:bCs/>
                <w:sz w:val="24"/>
              </w:rPr>
            </w:pPr>
            <w:r>
              <w:rPr>
                <w:rFonts w:ascii="Times New Roman" w:hAnsi="Times New Roman" w:eastAsia="仿宋"/>
                <w:bCs/>
                <w:sz w:val="24"/>
              </w:rPr>
              <w:t>3.00</w:t>
            </w:r>
          </w:p>
        </w:tc>
        <w:tc>
          <w:tcPr>
            <w:tcW w:w="1541" w:type="dxa"/>
            <w:vAlign w:val="center"/>
          </w:tcPr>
          <w:p w14:paraId="3EBEC37C">
            <w:pPr>
              <w:jc w:val="center"/>
              <w:rPr>
                <w:rFonts w:ascii="Times New Roman" w:hAnsi="Times New Roman" w:eastAsia="仿宋"/>
                <w:bCs/>
                <w:sz w:val="24"/>
              </w:rPr>
            </w:pPr>
            <w:r>
              <w:rPr>
                <w:rFonts w:ascii="Times New Roman" w:hAnsi="Times New Roman" w:eastAsia="仿宋"/>
                <w:bCs/>
                <w:sz w:val="24"/>
              </w:rPr>
              <w:t>100.00%</w:t>
            </w:r>
          </w:p>
        </w:tc>
      </w:tr>
      <w:tr w14:paraId="1EC5EA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14:paraId="527BEEDA">
            <w:pPr>
              <w:jc w:val="center"/>
              <w:rPr>
                <w:rFonts w:ascii="Times New Roman" w:hAnsi="Times New Roman" w:eastAsia="仿宋"/>
                <w:bCs/>
                <w:sz w:val="24"/>
              </w:rPr>
            </w:pPr>
            <w:r>
              <w:rPr>
                <w:rFonts w:ascii="Times New Roman" w:hAnsi="Times New Roman" w:eastAsia="仿宋"/>
                <w:bCs/>
                <w:sz w:val="24"/>
              </w:rPr>
              <w:t>A2绩效目标</w:t>
            </w:r>
          </w:p>
        </w:tc>
        <w:tc>
          <w:tcPr>
            <w:tcW w:w="3066" w:type="dxa"/>
            <w:vAlign w:val="center"/>
          </w:tcPr>
          <w:p w14:paraId="1B89CBBD">
            <w:pPr>
              <w:jc w:val="center"/>
              <w:rPr>
                <w:rFonts w:ascii="Times New Roman" w:hAnsi="Times New Roman" w:eastAsia="仿宋"/>
                <w:bCs/>
                <w:sz w:val="24"/>
              </w:rPr>
            </w:pPr>
            <w:r>
              <w:rPr>
                <w:rFonts w:ascii="Times New Roman" w:hAnsi="Times New Roman" w:eastAsia="仿宋"/>
                <w:bCs/>
                <w:sz w:val="24"/>
              </w:rPr>
              <w:t>A21绩效目标合理性</w:t>
            </w:r>
          </w:p>
        </w:tc>
        <w:tc>
          <w:tcPr>
            <w:tcW w:w="966" w:type="dxa"/>
            <w:vAlign w:val="center"/>
          </w:tcPr>
          <w:p w14:paraId="5A914241">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14:paraId="5031AC70">
            <w:pPr>
              <w:jc w:val="center"/>
              <w:rPr>
                <w:rFonts w:ascii="Times New Roman" w:hAnsi="Times New Roman" w:eastAsia="仿宋"/>
                <w:bCs/>
                <w:sz w:val="24"/>
              </w:rPr>
            </w:pPr>
            <w:r>
              <w:rPr>
                <w:rFonts w:ascii="Times New Roman" w:hAnsi="Times New Roman" w:eastAsia="仿宋"/>
                <w:bCs/>
                <w:sz w:val="24"/>
              </w:rPr>
              <w:t>3.00</w:t>
            </w:r>
          </w:p>
        </w:tc>
        <w:tc>
          <w:tcPr>
            <w:tcW w:w="1541" w:type="dxa"/>
            <w:vAlign w:val="center"/>
          </w:tcPr>
          <w:p w14:paraId="6A20A580">
            <w:pPr>
              <w:jc w:val="center"/>
              <w:rPr>
                <w:rFonts w:ascii="Times New Roman" w:hAnsi="Times New Roman" w:eastAsia="仿宋"/>
                <w:bCs/>
                <w:sz w:val="24"/>
              </w:rPr>
            </w:pPr>
            <w:r>
              <w:rPr>
                <w:rFonts w:ascii="Times New Roman" w:hAnsi="Times New Roman" w:eastAsia="仿宋"/>
                <w:bCs/>
                <w:sz w:val="24"/>
              </w:rPr>
              <w:t>100.00%</w:t>
            </w:r>
          </w:p>
        </w:tc>
      </w:tr>
      <w:tr w14:paraId="054AE2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14:paraId="72529415">
            <w:pPr>
              <w:jc w:val="center"/>
              <w:rPr>
                <w:rFonts w:ascii="Times New Roman" w:hAnsi="Times New Roman" w:eastAsia="仿宋"/>
                <w:bCs/>
                <w:sz w:val="24"/>
              </w:rPr>
            </w:pPr>
          </w:p>
        </w:tc>
        <w:tc>
          <w:tcPr>
            <w:tcW w:w="3066" w:type="dxa"/>
            <w:vAlign w:val="center"/>
          </w:tcPr>
          <w:p w14:paraId="590E1970">
            <w:pPr>
              <w:jc w:val="center"/>
              <w:rPr>
                <w:rFonts w:ascii="Times New Roman" w:hAnsi="Times New Roman" w:eastAsia="仿宋"/>
                <w:bCs/>
                <w:sz w:val="24"/>
              </w:rPr>
            </w:pPr>
            <w:r>
              <w:rPr>
                <w:rFonts w:ascii="Times New Roman" w:hAnsi="Times New Roman" w:eastAsia="仿宋"/>
                <w:bCs/>
                <w:sz w:val="24"/>
              </w:rPr>
              <w:t>A22绩效指标明确性</w:t>
            </w:r>
          </w:p>
        </w:tc>
        <w:tc>
          <w:tcPr>
            <w:tcW w:w="966" w:type="dxa"/>
            <w:vAlign w:val="center"/>
          </w:tcPr>
          <w:p w14:paraId="5736C51F">
            <w:pPr>
              <w:jc w:val="center"/>
              <w:rPr>
                <w:rFonts w:ascii="Times New Roman" w:hAnsi="Times New Roman" w:eastAsia="仿宋"/>
                <w:bCs/>
                <w:sz w:val="24"/>
              </w:rPr>
            </w:pPr>
            <w:r>
              <w:rPr>
                <w:rFonts w:ascii="Times New Roman" w:hAnsi="Times New Roman" w:eastAsia="仿宋"/>
                <w:bCs/>
                <w:sz w:val="24"/>
              </w:rPr>
              <w:t>3.00</w:t>
            </w:r>
          </w:p>
        </w:tc>
        <w:tc>
          <w:tcPr>
            <w:tcW w:w="966" w:type="dxa"/>
            <w:vAlign w:val="center"/>
          </w:tcPr>
          <w:p w14:paraId="3DD2F7CB">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3.00</w:t>
            </w:r>
          </w:p>
        </w:tc>
        <w:tc>
          <w:tcPr>
            <w:tcW w:w="1541" w:type="dxa"/>
            <w:vAlign w:val="center"/>
          </w:tcPr>
          <w:p w14:paraId="3125B98A">
            <w:pPr>
              <w:jc w:val="center"/>
              <w:rPr>
                <w:rFonts w:ascii="Times New Roman" w:hAnsi="Times New Roman" w:eastAsia="仿宋"/>
                <w:bCs/>
                <w:sz w:val="24"/>
              </w:rPr>
            </w:pPr>
            <w:r>
              <w:rPr>
                <w:rFonts w:hint="eastAsia" w:ascii="Times New Roman" w:hAnsi="Times New Roman" w:eastAsia="仿宋"/>
                <w:bCs/>
                <w:sz w:val="24"/>
                <w:lang w:val="en-US" w:eastAsia="zh-CN"/>
              </w:rPr>
              <w:t>10</w:t>
            </w:r>
            <w:r>
              <w:rPr>
                <w:rFonts w:ascii="Times New Roman" w:hAnsi="Times New Roman" w:eastAsia="仿宋"/>
                <w:bCs/>
                <w:sz w:val="24"/>
              </w:rPr>
              <w:t>0.00%</w:t>
            </w:r>
          </w:p>
        </w:tc>
      </w:tr>
      <w:tr w14:paraId="2B6582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14:paraId="49914F46">
            <w:pPr>
              <w:jc w:val="center"/>
              <w:rPr>
                <w:rFonts w:ascii="Times New Roman" w:hAnsi="Times New Roman" w:eastAsia="仿宋"/>
                <w:bCs/>
                <w:sz w:val="24"/>
              </w:rPr>
            </w:pPr>
            <w:r>
              <w:rPr>
                <w:rFonts w:ascii="Times New Roman" w:hAnsi="Times New Roman" w:eastAsia="仿宋"/>
                <w:bCs/>
                <w:sz w:val="24"/>
              </w:rPr>
              <w:t>A3资金投入</w:t>
            </w:r>
          </w:p>
        </w:tc>
        <w:tc>
          <w:tcPr>
            <w:tcW w:w="3066" w:type="dxa"/>
            <w:vAlign w:val="center"/>
          </w:tcPr>
          <w:p w14:paraId="7BC86757">
            <w:pPr>
              <w:jc w:val="center"/>
              <w:rPr>
                <w:rFonts w:ascii="Times New Roman" w:hAnsi="Times New Roman" w:eastAsia="仿宋"/>
                <w:bCs/>
                <w:sz w:val="24"/>
              </w:rPr>
            </w:pPr>
            <w:r>
              <w:rPr>
                <w:rFonts w:ascii="Times New Roman" w:hAnsi="Times New Roman" w:eastAsia="仿宋"/>
                <w:bCs/>
                <w:sz w:val="24"/>
              </w:rPr>
              <w:t>A31资金分配合理性</w:t>
            </w:r>
          </w:p>
        </w:tc>
        <w:tc>
          <w:tcPr>
            <w:tcW w:w="966" w:type="dxa"/>
            <w:vAlign w:val="center"/>
          </w:tcPr>
          <w:p w14:paraId="5519E36D">
            <w:pPr>
              <w:jc w:val="center"/>
              <w:rPr>
                <w:rFonts w:ascii="Times New Roman" w:hAnsi="Times New Roman" w:eastAsia="仿宋"/>
                <w:bCs/>
                <w:sz w:val="24"/>
              </w:rPr>
            </w:pPr>
            <w:r>
              <w:rPr>
                <w:rFonts w:ascii="Times New Roman" w:hAnsi="Times New Roman" w:eastAsia="仿宋"/>
                <w:bCs/>
                <w:sz w:val="24"/>
              </w:rPr>
              <w:t>4.00</w:t>
            </w:r>
          </w:p>
        </w:tc>
        <w:tc>
          <w:tcPr>
            <w:tcW w:w="966" w:type="dxa"/>
            <w:vAlign w:val="center"/>
          </w:tcPr>
          <w:p w14:paraId="06D6E9A0">
            <w:pPr>
              <w:jc w:val="center"/>
              <w:rPr>
                <w:rFonts w:ascii="Times New Roman" w:hAnsi="Times New Roman" w:eastAsia="仿宋"/>
                <w:bCs/>
                <w:sz w:val="24"/>
              </w:rPr>
            </w:pPr>
            <w:r>
              <w:rPr>
                <w:rFonts w:ascii="Times New Roman" w:hAnsi="Times New Roman" w:eastAsia="仿宋"/>
                <w:bCs/>
                <w:sz w:val="24"/>
              </w:rPr>
              <w:t>4.00</w:t>
            </w:r>
          </w:p>
        </w:tc>
        <w:tc>
          <w:tcPr>
            <w:tcW w:w="1541" w:type="dxa"/>
            <w:vAlign w:val="center"/>
          </w:tcPr>
          <w:p w14:paraId="29E7F112">
            <w:pPr>
              <w:jc w:val="center"/>
              <w:rPr>
                <w:rFonts w:ascii="Times New Roman" w:hAnsi="Times New Roman" w:eastAsia="仿宋"/>
                <w:bCs/>
                <w:sz w:val="24"/>
              </w:rPr>
            </w:pPr>
            <w:r>
              <w:rPr>
                <w:rFonts w:ascii="Times New Roman" w:hAnsi="Times New Roman" w:eastAsia="仿宋"/>
                <w:bCs/>
                <w:sz w:val="24"/>
              </w:rPr>
              <w:t>100.00%</w:t>
            </w:r>
          </w:p>
        </w:tc>
      </w:tr>
      <w:tr w14:paraId="6F0BC6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14:paraId="1131CA8E">
            <w:pPr>
              <w:jc w:val="center"/>
              <w:rPr>
                <w:rFonts w:ascii="Times New Roman" w:hAnsi="Times New Roman" w:eastAsia="仿宋"/>
                <w:bCs/>
                <w:sz w:val="24"/>
              </w:rPr>
            </w:pPr>
          </w:p>
        </w:tc>
        <w:tc>
          <w:tcPr>
            <w:tcW w:w="3066" w:type="dxa"/>
            <w:vAlign w:val="center"/>
          </w:tcPr>
          <w:p w14:paraId="4B09A750">
            <w:pPr>
              <w:jc w:val="center"/>
              <w:rPr>
                <w:rFonts w:ascii="Times New Roman" w:hAnsi="Times New Roman" w:eastAsia="仿宋"/>
                <w:bCs/>
                <w:sz w:val="24"/>
              </w:rPr>
            </w:pPr>
            <w:r>
              <w:rPr>
                <w:rFonts w:ascii="Times New Roman" w:hAnsi="Times New Roman" w:eastAsia="仿宋"/>
                <w:bCs/>
                <w:sz w:val="24"/>
              </w:rPr>
              <w:t>A32预算编制科学性</w:t>
            </w:r>
          </w:p>
        </w:tc>
        <w:tc>
          <w:tcPr>
            <w:tcW w:w="966" w:type="dxa"/>
            <w:vAlign w:val="center"/>
          </w:tcPr>
          <w:p w14:paraId="09EACD12">
            <w:pPr>
              <w:jc w:val="center"/>
              <w:rPr>
                <w:rFonts w:ascii="Times New Roman" w:hAnsi="Times New Roman" w:eastAsia="仿宋"/>
                <w:bCs/>
                <w:sz w:val="24"/>
              </w:rPr>
            </w:pPr>
            <w:r>
              <w:rPr>
                <w:rFonts w:ascii="Times New Roman" w:hAnsi="Times New Roman" w:eastAsia="仿宋"/>
                <w:bCs/>
                <w:sz w:val="24"/>
              </w:rPr>
              <w:t>4.00</w:t>
            </w:r>
          </w:p>
        </w:tc>
        <w:tc>
          <w:tcPr>
            <w:tcW w:w="966" w:type="dxa"/>
            <w:vAlign w:val="center"/>
          </w:tcPr>
          <w:p w14:paraId="5792255C">
            <w:pPr>
              <w:jc w:val="center"/>
              <w:rPr>
                <w:rFonts w:ascii="Times New Roman" w:hAnsi="Times New Roman" w:eastAsia="仿宋"/>
                <w:bCs/>
                <w:sz w:val="24"/>
              </w:rPr>
            </w:pPr>
            <w:r>
              <w:rPr>
                <w:rFonts w:ascii="Times New Roman" w:hAnsi="Times New Roman" w:eastAsia="仿宋"/>
                <w:bCs/>
                <w:sz w:val="24"/>
              </w:rPr>
              <w:t>4.00</w:t>
            </w:r>
          </w:p>
        </w:tc>
        <w:tc>
          <w:tcPr>
            <w:tcW w:w="1541" w:type="dxa"/>
            <w:vAlign w:val="center"/>
          </w:tcPr>
          <w:p w14:paraId="2EE0F0A8">
            <w:pPr>
              <w:jc w:val="center"/>
              <w:rPr>
                <w:rFonts w:ascii="Times New Roman" w:hAnsi="Times New Roman" w:eastAsia="仿宋"/>
                <w:bCs/>
                <w:sz w:val="24"/>
              </w:rPr>
            </w:pPr>
            <w:r>
              <w:rPr>
                <w:rFonts w:ascii="Times New Roman" w:hAnsi="Times New Roman" w:eastAsia="仿宋"/>
                <w:bCs/>
                <w:sz w:val="24"/>
              </w:rPr>
              <w:t>100.00%</w:t>
            </w:r>
          </w:p>
        </w:tc>
      </w:tr>
      <w:tr w14:paraId="20496E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5049" w:type="dxa"/>
            <w:gridSpan w:val="2"/>
            <w:vAlign w:val="center"/>
          </w:tcPr>
          <w:p w14:paraId="1BD7B8D0">
            <w:pPr>
              <w:jc w:val="center"/>
              <w:rPr>
                <w:rFonts w:ascii="Times New Roman" w:hAnsi="Times New Roman" w:eastAsia="仿宋"/>
                <w:bCs/>
                <w:sz w:val="24"/>
              </w:rPr>
            </w:pPr>
            <w:r>
              <w:rPr>
                <w:rFonts w:ascii="Times New Roman" w:hAnsi="Times New Roman" w:eastAsia="仿宋"/>
                <w:bCs/>
                <w:sz w:val="24"/>
              </w:rPr>
              <w:t>合计</w:t>
            </w:r>
          </w:p>
        </w:tc>
        <w:tc>
          <w:tcPr>
            <w:tcW w:w="966" w:type="dxa"/>
            <w:vAlign w:val="center"/>
          </w:tcPr>
          <w:p w14:paraId="37CB22C3">
            <w:pPr>
              <w:jc w:val="center"/>
              <w:rPr>
                <w:rFonts w:ascii="Times New Roman" w:hAnsi="Times New Roman" w:eastAsia="仿宋"/>
                <w:bCs/>
                <w:sz w:val="24"/>
              </w:rPr>
            </w:pPr>
            <w:r>
              <w:rPr>
                <w:rFonts w:ascii="Times New Roman" w:hAnsi="Times New Roman" w:eastAsia="仿宋"/>
                <w:bCs/>
                <w:sz w:val="24"/>
              </w:rPr>
              <w:t>20.00</w:t>
            </w:r>
          </w:p>
        </w:tc>
        <w:tc>
          <w:tcPr>
            <w:tcW w:w="966" w:type="dxa"/>
            <w:vAlign w:val="center"/>
          </w:tcPr>
          <w:p w14:paraId="31B269A2">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20.00</w:t>
            </w:r>
          </w:p>
        </w:tc>
        <w:tc>
          <w:tcPr>
            <w:tcW w:w="1541" w:type="dxa"/>
            <w:vAlign w:val="center"/>
          </w:tcPr>
          <w:p w14:paraId="634F1CDD">
            <w:pPr>
              <w:jc w:val="center"/>
              <w:rPr>
                <w:rFonts w:ascii="Times New Roman" w:hAnsi="Times New Roman" w:eastAsia="仿宋"/>
                <w:bCs/>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bl>
    <w:p w14:paraId="7462CDD2">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（1）项目立项</w:t>
      </w:r>
    </w:p>
    <w:p w14:paraId="6E4ABE37">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A11立项依据充分性：</w:t>
      </w:r>
      <w:r>
        <w:rPr>
          <w:rFonts w:ascii="Times New Roman" w:hAnsi="Times New Roman" w:eastAsia="仿宋"/>
          <w:bCs/>
          <w:snapToGrid w:val="0"/>
          <w:sz w:val="28"/>
          <w:szCs w:val="32"/>
        </w:rPr>
        <w:t>满分3.00分，得分3.00分。</w:t>
      </w:r>
      <w:r>
        <w:rPr>
          <w:rFonts w:hint="eastAsia" w:ascii="Times New Roman" w:hAnsi="Times New Roman" w:eastAsia="仿宋"/>
          <w:bCs/>
          <w:snapToGrid w:val="0"/>
          <w:sz w:val="28"/>
          <w:szCs w:val="32"/>
        </w:rPr>
        <w:t>该指标主要分析评价项目是否符合相关政策性文件精神，是否符合国家和地区的战略目标、发展规划、工作计划；项目是否与项目单位职责有关。通过现场查阅项目的立项申请及批复文件，项目以《中华人民共和国预算法》（第十二届全国人民代表大会常务委员会第十次会议在2014年8月31日表决通过了《全国人大常委会关于修改〈预算法〉的决定》，并决议于2015年1月1日起施行）、《中共中央国务院关于落实新理念加快农业现代化实现全面小康目标的若干意见》（中发〔2016〕1号）、党中央</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rPr>
        <w:t>国务院发布《乡村振兴战略规划（2018-2022年）》、《全国国土规划纲要（2016-2030年）》、《全国土地整治规划（2016-2020年）》</w:t>
      </w:r>
      <w:r>
        <w:rPr>
          <w:rFonts w:hint="eastAsia" w:ascii="Times New Roman" w:hAnsi="Times New Roman" w:eastAsia="仿宋"/>
          <w:bCs/>
          <w:snapToGrid w:val="0"/>
          <w:sz w:val="28"/>
          <w:szCs w:val="32"/>
          <w:lang w:val="en-US" w:eastAsia="zh-CN"/>
        </w:rPr>
        <w:t>等</w:t>
      </w:r>
      <w:r>
        <w:rPr>
          <w:rFonts w:hint="eastAsia" w:ascii="Times New Roman" w:hAnsi="Times New Roman" w:eastAsia="仿宋"/>
          <w:bCs/>
          <w:snapToGrid w:val="0"/>
          <w:sz w:val="28"/>
          <w:szCs w:val="32"/>
        </w:rPr>
        <w:t>文件作为依据；</w:t>
      </w:r>
      <w:r>
        <w:rPr>
          <w:rFonts w:ascii="Times New Roman" w:hAnsi="Times New Roman" w:eastAsia="仿宋"/>
          <w:bCs/>
          <w:snapToGrid w:val="0"/>
          <w:sz w:val="28"/>
          <w:szCs w:val="32"/>
        </w:rPr>
        <w:t>项目申报、审核、批复资料基本齐全、准确、符合相关要求，立项依据充分。根据评分标准，该项得满分</w:t>
      </w:r>
      <w:r>
        <w:rPr>
          <w:rFonts w:ascii="Times New Roman" w:hAnsi="Times New Roman" w:eastAsia="仿宋"/>
          <w:snapToGrid w:val="0"/>
          <w:sz w:val="28"/>
          <w:szCs w:val="32"/>
        </w:rPr>
        <w:t>。</w:t>
      </w:r>
    </w:p>
    <w:p w14:paraId="7DA45851">
      <w:pPr>
        <w:widowControl/>
        <w:spacing w:line="500" w:lineRule="exact"/>
        <w:ind w:firstLine="562" w:firstLineChars="200"/>
        <w:rPr>
          <w:rFonts w:ascii="Times New Roman" w:hAnsi="Times New Roman" w:eastAsia="仿宋"/>
          <w:bCs/>
          <w:snapToGrid w:val="0"/>
          <w:sz w:val="28"/>
          <w:szCs w:val="32"/>
        </w:rPr>
      </w:pPr>
      <w:r>
        <w:rPr>
          <w:rFonts w:ascii="Times New Roman" w:hAnsi="Times New Roman" w:eastAsia="仿宋"/>
          <w:b/>
          <w:snapToGrid w:val="0"/>
          <w:sz w:val="28"/>
          <w:szCs w:val="32"/>
        </w:rPr>
        <w:t>A12立项程序规范性：</w:t>
      </w:r>
      <w:r>
        <w:rPr>
          <w:rFonts w:ascii="Times New Roman" w:hAnsi="Times New Roman" w:eastAsia="仿宋"/>
          <w:snapToGrid w:val="0"/>
          <w:sz w:val="28"/>
          <w:szCs w:val="32"/>
        </w:rPr>
        <w:t>满分3</w:t>
      </w:r>
      <w:r>
        <w:rPr>
          <w:rFonts w:ascii="Times New Roman" w:hAnsi="Times New Roman" w:eastAsia="仿宋"/>
          <w:bCs/>
          <w:snapToGrid w:val="0"/>
          <w:sz w:val="28"/>
          <w:szCs w:val="32"/>
        </w:rPr>
        <w:t>.00</w:t>
      </w:r>
      <w:r>
        <w:rPr>
          <w:rFonts w:ascii="Times New Roman" w:hAnsi="Times New Roman" w:eastAsia="仿宋"/>
          <w:snapToGrid w:val="0"/>
          <w:sz w:val="28"/>
          <w:szCs w:val="32"/>
        </w:rPr>
        <w:t>分，得分3</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bCs/>
          <w:snapToGrid w:val="0"/>
          <w:sz w:val="28"/>
          <w:szCs w:val="32"/>
        </w:rPr>
        <w:t>该指标主要分析评价项目</w:t>
      </w:r>
      <w:r>
        <w:rPr>
          <w:rFonts w:hint="eastAsia" w:ascii="Times New Roman" w:hAnsi="Times New Roman" w:eastAsia="仿宋"/>
          <w:bCs/>
          <w:snapToGrid w:val="0"/>
          <w:sz w:val="28"/>
          <w:szCs w:val="32"/>
          <w:lang w:val="en-US" w:eastAsia="zh-CN"/>
        </w:rPr>
        <w:t>立项程序是否规范</w:t>
      </w:r>
      <w:r>
        <w:rPr>
          <w:rFonts w:hint="eastAsia" w:ascii="Times New Roman" w:hAnsi="Times New Roman" w:eastAsia="仿宋"/>
          <w:bCs/>
          <w:snapToGrid w:val="0"/>
          <w:sz w:val="28"/>
          <w:szCs w:val="32"/>
        </w:rPr>
        <w:t>。项目按照规定的程序申请设立，</w:t>
      </w:r>
      <w:r>
        <w:rPr>
          <w:rFonts w:hint="eastAsia" w:ascii="Times New Roman" w:hAnsi="Times New Roman" w:eastAsia="仿宋"/>
          <w:bCs/>
          <w:snapToGrid w:val="0"/>
          <w:sz w:val="28"/>
          <w:szCs w:val="32"/>
          <w:lang w:val="en-US" w:eastAsia="zh-CN"/>
        </w:rPr>
        <w:t>项目实施单位编制了项目实施方案并进行申报；</w:t>
      </w:r>
      <w:r>
        <w:rPr>
          <w:rFonts w:hint="eastAsia" w:ascii="Times New Roman" w:hAnsi="Times New Roman" w:eastAsia="仿宋"/>
          <w:bCs/>
          <w:snapToGrid w:val="0"/>
          <w:sz w:val="28"/>
          <w:szCs w:val="32"/>
        </w:rPr>
        <w:t>审批文件、材料</w:t>
      </w:r>
      <w:r>
        <w:rPr>
          <w:rFonts w:hint="eastAsia" w:ascii="Times New Roman" w:hAnsi="Times New Roman" w:eastAsia="仿宋"/>
          <w:bCs/>
          <w:snapToGrid w:val="0"/>
          <w:sz w:val="28"/>
          <w:szCs w:val="32"/>
          <w:lang w:val="en-US" w:eastAsia="zh-CN"/>
        </w:rPr>
        <w:t>齐全</w:t>
      </w:r>
      <w:r>
        <w:rPr>
          <w:rFonts w:hint="eastAsia" w:ascii="Times New Roman" w:hAnsi="Times New Roman" w:eastAsia="仿宋"/>
          <w:bCs/>
          <w:snapToGrid w:val="0"/>
          <w:sz w:val="28"/>
          <w:szCs w:val="32"/>
          <w:lang w:eastAsia="zh-CN"/>
        </w:rPr>
        <w:t>；</w:t>
      </w:r>
      <w:r>
        <w:rPr>
          <w:rFonts w:hint="eastAsia" w:ascii="Times New Roman" w:hAnsi="Times New Roman" w:eastAsia="仿宋"/>
          <w:bCs/>
          <w:snapToGrid w:val="0"/>
          <w:sz w:val="28"/>
          <w:szCs w:val="32"/>
          <w:lang w:val="en-US" w:eastAsia="zh-CN"/>
        </w:rPr>
        <w:t>项目</w:t>
      </w:r>
      <w:r>
        <w:rPr>
          <w:rFonts w:hint="eastAsia" w:ascii="Times New Roman" w:hAnsi="Times New Roman" w:eastAsia="仿宋"/>
          <w:bCs/>
          <w:snapToGrid w:val="0"/>
          <w:sz w:val="28"/>
          <w:szCs w:val="32"/>
        </w:rPr>
        <w:t>事前已经过</w:t>
      </w:r>
      <w:r>
        <w:rPr>
          <w:rFonts w:hint="eastAsia" w:ascii="Times New Roman" w:hAnsi="Times New Roman" w:eastAsia="仿宋"/>
          <w:bCs/>
          <w:snapToGrid w:val="0"/>
          <w:sz w:val="28"/>
          <w:szCs w:val="32"/>
          <w:lang w:val="en-US" w:eastAsia="zh-CN"/>
        </w:rPr>
        <w:t>古县农业农村局集体决策研究</w:t>
      </w:r>
      <w:r>
        <w:rPr>
          <w:rFonts w:hint="eastAsia" w:ascii="Times New Roman" w:hAnsi="Times New Roman" w:eastAsia="仿宋"/>
          <w:bCs/>
          <w:snapToGrid w:val="0"/>
          <w:sz w:val="28"/>
          <w:szCs w:val="32"/>
        </w:rPr>
        <w:t>。</w:t>
      </w:r>
      <w:r>
        <w:rPr>
          <w:rFonts w:ascii="Times New Roman" w:hAnsi="Times New Roman" w:eastAsia="仿宋"/>
          <w:bCs/>
          <w:snapToGrid w:val="0"/>
          <w:sz w:val="28"/>
          <w:szCs w:val="32"/>
        </w:rPr>
        <w:t>根据评分标准，该项得满分。</w:t>
      </w:r>
    </w:p>
    <w:p w14:paraId="484C84F0">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bCs/>
          <w:snapToGrid w:val="0"/>
          <w:sz w:val="28"/>
          <w:szCs w:val="32"/>
        </w:rPr>
        <w:t>（2）绩效目标</w:t>
      </w:r>
    </w:p>
    <w:p w14:paraId="2EEA66A6">
      <w:pPr>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A12绩效目标合理性：</w:t>
      </w:r>
      <w:r>
        <w:rPr>
          <w:rFonts w:ascii="Times New Roman" w:hAnsi="Times New Roman" w:eastAsia="仿宋"/>
          <w:snapToGrid w:val="0"/>
          <w:sz w:val="28"/>
          <w:szCs w:val="32"/>
        </w:rPr>
        <w:t>满分3</w:t>
      </w:r>
      <w:r>
        <w:rPr>
          <w:rFonts w:ascii="Times New Roman" w:hAnsi="Times New Roman" w:eastAsia="仿宋"/>
          <w:bCs/>
          <w:snapToGrid w:val="0"/>
          <w:sz w:val="28"/>
          <w:szCs w:val="32"/>
        </w:rPr>
        <w:t>.00</w:t>
      </w:r>
      <w:r>
        <w:rPr>
          <w:rFonts w:ascii="Times New Roman" w:hAnsi="Times New Roman" w:eastAsia="仿宋"/>
          <w:snapToGrid w:val="0"/>
          <w:sz w:val="28"/>
          <w:szCs w:val="32"/>
        </w:rPr>
        <w:t>分，得分3</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bCs/>
          <w:snapToGrid w:val="0"/>
          <w:sz w:val="28"/>
          <w:szCs w:val="32"/>
          <w:lang w:eastAsia="zh-CN"/>
        </w:rPr>
        <w:t>该指标主要项目所设定的绩效目标是否依据充分，是否符合客观实际，用以反映和考核项目绩效目标与项目实施的相符情况。绩效评价人员通过查阅申报材料，</w:t>
      </w:r>
      <w:r>
        <w:rPr>
          <w:rFonts w:hint="eastAsia" w:ascii="Times New Roman" w:hAnsi="Times New Roman" w:eastAsia="仿宋"/>
          <w:bCs/>
          <w:snapToGrid w:val="0"/>
          <w:sz w:val="28"/>
          <w:szCs w:val="32"/>
          <w:lang w:val="en-US" w:eastAsia="zh-CN"/>
        </w:rPr>
        <w:t>该项</w:t>
      </w:r>
      <w:r>
        <w:rPr>
          <w:rFonts w:hint="eastAsia" w:ascii="Times New Roman" w:hAnsi="Times New Roman" w:eastAsia="仿宋"/>
          <w:bCs/>
          <w:snapToGrid w:val="0"/>
          <w:sz w:val="28"/>
          <w:szCs w:val="32"/>
          <w:lang w:eastAsia="zh-CN"/>
        </w:rPr>
        <w:t>目有绩效目标，项目绩效目标与实际工作内容具有相关性，项目预期产出效益和效果符合正常的业绩水平；</w:t>
      </w:r>
      <w:r>
        <w:rPr>
          <w:rFonts w:hint="eastAsia" w:ascii="Times New Roman" w:hAnsi="Times New Roman" w:eastAsia="仿宋"/>
          <w:bCs/>
          <w:snapToGrid w:val="0"/>
          <w:sz w:val="28"/>
          <w:szCs w:val="32"/>
          <w:lang w:val="en-US" w:eastAsia="zh-CN"/>
        </w:rPr>
        <w:t>项目</w:t>
      </w:r>
      <w:r>
        <w:rPr>
          <w:rFonts w:hint="eastAsia" w:ascii="Times New Roman" w:hAnsi="Times New Roman" w:eastAsia="仿宋"/>
          <w:bCs/>
          <w:snapToGrid w:val="0"/>
          <w:sz w:val="28"/>
          <w:szCs w:val="32"/>
          <w:lang w:eastAsia="zh-CN"/>
        </w:rPr>
        <w:t>与预算确定的项目投资额或资金量相匹配</w:t>
      </w:r>
      <w:r>
        <w:rPr>
          <w:rFonts w:ascii="Times New Roman" w:hAnsi="Times New Roman" w:eastAsia="仿宋"/>
          <w:snapToGrid w:val="0"/>
          <w:sz w:val="28"/>
          <w:szCs w:val="32"/>
        </w:rPr>
        <w:t>。根据评分标准，该项得满分。</w:t>
      </w:r>
    </w:p>
    <w:p w14:paraId="78A42775">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A13绩效指标明确性：</w:t>
      </w:r>
      <w:r>
        <w:rPr>
          <w:rFonts w:ascii="Times New Roman" w:hAnsi="Times New Roman" w:eastAsia="仿宋"/>
          <w:snapToGrid w:val="0"/>
          <w:sz w:val="28"/>
          <w:szCs w:val="32"/>
        </w:rPr>
        <w:t>满分3</w:t>
      </w:r>
      <w:r>
        <w:rPr>
          <w:rFonts w:ascii="Times New Roman" w:hAnsi="Times New Roman" w:eastAsia="仿宋"/>
          <w:bCs/>
          <w:snapToGrid w:val="0"/>
          <w:sz w:val="28"/>
          <w:szCs w:val="32"/>
        </w:rPr>
        <w:t>.00</w:t>
      </w:r>
      <w:r>
        <w:rPr>
          <w:rFonts w:ascii="Times New Roman" w:hAnsi="Times New Roman" w:eastAsia="仿宋"/>
          <w:snapToGrid w:val="0"/>
          <w:sz w:val="28"/>
          <w:szCs w:val="32"/>
        </w:rPr>
        <w:t>分，得</w:t>
      </w:r>
      <w:r>
        <w:rPr>
          <w:rFonts w:hint="eastAsia" w:ascii="Times New Roman" w:hAnsi="Times New Roman" w:eastAsia="仿宋"/>
          <w:snapToGrid w:val="0"/>
          <w:sz w:val="28"/>
          <w:szCs w:val="32"/>
          <w:lang w:val="en-US" w:eastAsia="zh-CN"/>
        </w:rPr>
        <w:t>3</w:t>
      </w:r>
      <w:r>
        <w:rPr>
          <w:rFonts w:ascii="Times New Roman" w:hAnsi="Times New Roman" w:eastAsia="仿宋"/>
          <w:bCs/>
          <w:snapToGrid w:val="0"/>
          <w:sz w:val="28"/>
          <w:szCs w:val="32"/>
        </w:rPr>
        <w:t>.00</w:t>
      </w:r>
      <w:r>
        <w:rPr>
          <w:rFonts w:ascii="Times New Roman" w:hAnsi="Times New Roman" w:eastAsia="仿宋"/>
          <w:snapToGrid w:val="0"/>
          <w:sz w:val="28"/>
          <w:szCs w:val="32"/>
        </w:rPr>
        <w:t>分。项目立项时</w:t>
      </w:r>
      <w:r>
        <w:rPr>
          <w:rFonts w:hint="eastAsia" w:ascii="Times New Roman" w:hAnsi="Times New Roman" w:eastAsia="仿宋"/>
          <w:snapToGrid w:val="0"/>
          <w:sz w:val="28"/>
          <w:szCs w:val="32"/>
          <w:lang w:val="en-US" w:eastAsia="zh-CN"/>
        </w:rPr>
        <w:t>古县农业农村局</w:t>
      </w:r>
      <w:r>
        <w:rPr>
          <w:rFonts w:hint="eastAsia" w:ascii="Times New Roman" w:hAnsi="Times New Roman" w:eastAsia="仿宋"/>
          <w:snapToGrid w:val="0"/>
          <w:sz w:val="28"/>
          <w:szCs w:val="32"/>
        </w:rPr>
        <w:t>按照预算绩效管理要求设定了总体目标和具体目标，项目相关产出、效益指标也进行了设定，绩效目标做到了细化、量化，能够反映项目实际绩效情况</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p>
    <w:p w14:paraId="00E75B6B">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（3）资金投入</w:t>
      </w:r>
    </w:p>
    <w:p w14:paraId="2C3A2D36">
      <w:pPr>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A31资金分配合理性：</w:t>
      </w:r>
      <w:r>
        <w:rPr>
          <w:rFonts w:ascii="Times New Roman" w:hAnsi="Times New Roman" w:eastAsia="仿宋"/>
          <w:snapToGrid w:val="0"/>
          <w:sz w:val="28"/>
          <w:szCs w:val="32"/>
        </w:rPr>
        <w:t>满分4</w:t>
      </w:r>
      <w:r>
        <w:rPr>
          <w:rFonts w:ascii="Times New Roman" w:hAnsi="Times New Roman" w:eastAsia="仿宋"/>
          <w:bCs/>
          <w:snapToGrid w:val="0"/>
          <w:sz w:val="28"/>
          <w:szCs w:val="32"/>
        </w:rPr>
        <w:t>.00</w:t>
      </w:r>
      <w:r>
        <w:rPr>
          <w:rFonts w:ascii="Times New Roman" w:hAnsi="Times New Roman" w:eastAsia="仿宋"/>
          <w:snapToGrid w:val="0"/>
          <w:sz w:val="28"/>
          <w:szCs w:val="32"/>
        </w:rPr>
        <w:t>分，得分4</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snapToGrid w:val="0"/>
          <w:sz w:val="28"/>
          <w:szCs w:val="32"/>
          <w:lang w:val="en-US" w:eastAsia="zh-CN"/>
        </w:rPr>
        <w:t>古县旧县镇和南垣乡秦王庙村等8村土地综合整治项目</w:t>
      </w:r>
      <w:r>
        <w:rPr>
          <w:rFonts w:hint="eastAsia" w:ascii="Times New Roman" w:hAnsi="Times New Roman" w:eastAsia="仿宋"/>
          <w:snapToGrid w:val="0"/>
          <w:sz w:val="28"/>
          <w:szCs w:val="32"/>
        </w:rPr>
        <w:t>预算资金分配依据充分，</w:t>
      </w:r>
      <w:r>
        <w:rPr>
          <w:rFonts w:hint="eastAsia" w:ascii="Times New Roman" w:hAnsi="Times New Roman" w:eastAsia="仿宋"/>
          <w:snapToGrid w:val="0"/>
          <w:sz w:val="28"/>
          <w:szCs w:val="32"/>
          <w:lang w:val="en-US" w:eastAsia="zh-CN"/>
        </w:rPr>
        <w:t>预算资金依据项目实际中标合同价进行安排，有明确依据</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项目</w:t>
      </w:r>
      <w:r>
        <w:rPr>
          <w:rFonts w:hint="eastAsia" w:ascii="Times New Roman" w:hAnsi="Times New Roman" w:eastAsia="仿宋"/>
          <w:snapToGrid w:val="0"/>
          <w:sz w:val="28"/>
          <w:szCs w:val="32"/>
        </w:rPr>
        <w:t>资金分配额度合理，与项目单位</w:t>
      </w:r>
      <w:r>
        <w:rPr>
          <w:rFonts w:hint="eastAsia" w:ascii="Times New Roman" w:hAnsi="Times New Roman" w:eastAsia="仿宋"/>
          <w:snapToGrid w:val="0"/>
          <w:sz w:val="28"/>
          <w:szCs w:val="32"/>
          <w:lang w:val="en-US" w:eastAsia="zh-CN"/>
        </w:rPr>
        <w:t>实际工作任务及古县</w:t>
      </w:r>
      <w:r>
        <w:rPr>
          <w:rFonts w:hint="eastAsia" w:ascii="Times New Roman" w:hAnsi="Times New Roman" w:eastAsia="仿宋"/>
          <w:snapToGrid w:val="0"/>
          <w:sz w:val="28"/>
          <w:szCs w:val="32"/>
        </w:rPr>
        <w:t>地方实际相适应。</w:t>
      </w:r>
      <w:r>
        <w:rPr>
          <w:rFonts w:ascii="Times New Roman" w:hAnsi="Times New Roman" w:eastAsia="仿宋"/>
          <w:snapToGrid w:val="0"/>
          <w:sz w:val="28"/>
          <w:szCs w:val="32"/>
        </w:rPr>
        <w:t>本次绩效评价项目资金专项用于</w:t>
      </w:r>
      <w:r>
        <w:rPr>
          <w:rFonts w:hint="eastAsia" w:ascii="Times New Roman" w:hAnsi="Times New Roman" w:eastAsia="仿宋"/>
          <w:bCs/>
          <w:snapToGrid w:val="0"/>
          <w:sz w:val="28"/>
          <w:szCs w:val="32"/>
          <w:lang w:eastAsia="zh-CN"/>
        </w:rPr>
        <w:t>古县旧县镇和南垣乡秦王庙村等8村土地综合整治项目</w:t>
      </w:r>
      <w:r>
        <w:rPr>
          <w:rFonts w:ascii="Times New Roman" w:hAnsi="Times New Roman" w:eastAsia="仿宋"/>
          <w:snapToGrid w:val="0"/>
          <w:sz w:val="28"/>
          <w:szCs w:val="32"/>
        </w:rPr>
        <w:t>，实际执行过程中，资金分配符合</w:t>
      </w:r>
      <w:r>
        <w:rPr>
          <w:rFonts w:hint="eastAsia" w:ascii="Times New Roman" w:hAnsi="Times New Roman" w:eastAsia="仿宋"/>
          <w:snapToGrid w:val="0"/>
          <w:sz w:val="28"/>
          <w:szCs w:val="32"/>
          <w:lang w:val="en-US" w:eastAsia="zh-CN"/>
        </w:rPr>
        <w:t>文件</w:t>
      </w:r>
      <w:r>
        <w:rPr>
          <w:rFonts w:ascii="Times New Roman" w:hAnsi="Times New Roman" w:eastAsia="仿宋"/>
          <w:snapToGrid w:val="0"/>
          <w:sz w:val="28"/>
          <w:szCs w:val="32"/>
        </w:rPr>
        <w:t>要求。根据评分标准，该项得满分。</w:t>
      </w:r>
    </w:p>
    <w:p w14:paraId="6CF0FF6A">
      <w:pPr>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A32预算编制科学性：</w:t>
      </w:r>
      <w:r>
        <w:rPr>
          <w:rFonts w:ascii="Times New Roman" w:hAnsi="Times New Roman" w:eastAsia="仿宋"/>
          <w:snapToGrid w:val="0"/>
          <w:sz w:val="28"/>
          <w:szCs w:val="32"/>
        </w:rPr>
        <w:t>满分4</w:t>
      </w:r>
      <w:r>
        <w:rPr>
          <w:rFonts w:ascii="Times New Roman" w:hAnsi="Times New Roman" w:eastAsia="仿宋"/>
          <w:bCs/>
          <w:snapToGrid w:val="0"/>
          <w:sz w:val="28"/>
          <w:szCs w:val="32"/>
        </w:rPr>
        <w:t>.00</w:t>
      </w:r>
      <w:r>
        <w:rPr>
          <w:rFonts w:ascii="Times New Roman" w:hAnsi="Times New Roman" w:eastAsia="仿宋"/>
          <w:snapToGrid w:val="0"/>
          <w:sz w:val="28"/>
          <w:szCs w:val="32"/>
        </w:rPr>
        <w:t>分，得分4</w:t>
      </w:r>
      <w:r>
        <w:rPr>
          <w:rFonts w:ascii="Times New Roman" w:hAnsi="Times New Roman" w:eastAsia="仿宋"/>
          <w:bCs/>
          <w:snapToGrid w:val="0"/>
          <w:sz w:val="28"/>
          <w:szCs w:val="32"/>
        </w:rPr>
        <w:t>.00</w:t>
      </w:r>
      <w:r>
        <w:rPr>
          <w:rFonts w:ascii="Times New Roman" w:hAnsi="Times New Roman" w:eastAsia="仿宋"/>
          <w:snapToGrid w:val="0"/>
          <w:sz w:val="28"/>
          <w:szCs w:val="32"/>
        </w:rPr>
        <w:t>分。</w:t>
      </w:r>
      <w:r>
        <w:rPr>
          <w:rFonts w:hint="eastAsia" w:ascii="Times New Roman" w:hAnsi="Times New Roman" w:eastAsia="仿宋"/>
          <w:snapToGrid w:val="0"/>
          <w:sz w:val="28"/>
          <w:szCs w:val="32"/>
          <w:lang w:val="en-US" w:eastAsia="zh-CN"/>
        </w:rPr>
        <w:t>古县旧县镇和南垣乡秦王庙村等8村土地综合整治项目预算编制经过了科学论证，有相关设计及工程量测算；预算内容与项目内容匹配，根据《古县旧县镇和南垣乡秦王庙村等八村土地综合整治项目设计及预算报告》，项目区总投资9675.93万元，单位面积投资为14.90万元／h㎡，亩均投资为9932.1元／亩，全部由古县华瑞土地综合整治有限公司投资。资金筹措由古县自然资源局申请财政资金投资，预算额度测算依据充分，按照标准编制，项目整体预算9675.93万元，预算编制较为科学:预算确定的项目投资额与工作任务相匹配，投资额涵盖本次项目涉及的所有工程项目</w:t>
      </w:r>
      <w:r>
        <w:rPr>
          <w:rFonts w:ascii="Times New Roman" w:hAnsi="Times New Roman" w:eastAsia="仿宋"/>
          <w:snapToGrid w:val="0"/>
          <w:sz w:val="28"/>
          <w:szCs w:val="32"/>
        </w:rPr>
        <w:t>。该项目预算科学、合理。根据评分标准，该项得满分</w:t>
      </w:r>
      <w:bookmarkStart w:id="89" w:name="_Toc8610"/>
      <w:bookmarkStart w:id="90" w:name="_Toc528680467"/>
      <w:bookmarkStart w:id="91" w:name="_Toc19896"/>
      <w:bookmarkStart w:id="92" w:name="_Toc528684142"/>
      <w:bookmarkStart w:id="93" w:name="_Toc18414"/>
      <w:r>
        <w:rPr>
          <w:rFonts w:ascii="Times New Roman" w:hAnsi="Times New Roman" w:eastAsia="仿宋"/>
          <w:snapToGrid w:val="0"/>
          <w:sz w:val="28"/>
          <w:szCs w:val="32"/>
        </w:rPr>
        <w:t>。</w:t>
      </w:r>
    </w:p>
    <w:p w14:paraId="3931B5E2">
      <w:pPr>
        <w:spacing w:line="500" w:lineRule="exact"/>
        <w:ind w:firstLine="562" w:firstLineChars="200"/>
        <w:rPr>
          <w:rFonts w:ascii="Times New Roman" w:hAnsi="Times New Roman" w:eastAsia="仿宋"/>
          <w:b/>
          <w:snapToGrid w:val="0"/>
          <w:sz w:val="28"/>
          <w:szCs w:val="32"/>
        </w:rPr>
      </w:pPr>
      <w:r>
        <w:rPr>
          <w:rFonts w:ascii="Times New Roman" w:hAnsi="Times New Roman" w:eastAsia="仿宋"/>
          <w:b/>
          <w:snapToGrid w:val="0"/>
          <w:sz w:val="28"/>
          <w:szCs w:val="32"/>
        </w:rPr>
        <w:t>2.过程分析</w:t>
      </w:r>
      <w:bookmarkEnd w:id="89"/>
      <w:bookmarkEnd w:id="90"/>
      <w:bookmarkEnd w:id="91"/>
      <w:bookmarkEnd w:id="92"/>
      <w:bookmarkEnd w:id="93"/>
    </w:p>
    <w:p w14:paraId="5DA0D7C0">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过程类指标主要从资金到位率、预算执行率、资金使用合规性、管理制度健全性、制度执行有效性</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招投标过程规范性、建立过程规范性、安全事故发生率8</w:t>
      </w:r>
      <w:r>
        <w:rPr>
          <w:rFonts w:ascii="Times New Roman" w:hAnsi="Times New Roman" w:eastAsia="仿宋"/>
          <w:snapToGrid w:val="0"/>
          <w:sz w:val="28"/>
          <w:szCs w:val="32"/>
        </w:rPr>
        <w:t>个指标考核该项目资金管理及组织实施情况，过程类指标</w:t>
      </w:r>
      <w:r>
        <w:rPr>
          <w:rFonts w:ascii="Times New Roman" w:hAnsi="Times New Roman" w:eastAsia="仿宋"/>
          <w:snapToGrid w:val="0"/>
          <w:color w:val="auto"/>
          <w:sz w:val="28"/>
          <w:szCs w:val="32"/>
        </w:rPr>
        <w:t>权重20.00分，实际得分</w:t>
      </w:r>
      <w:r>
        <w:rPr>
          <w:rFonts w:hint="eastAsia" w:ascii="Times New Roman" w:hAnsi="Times New Roman" w:eastAsia="仿宋"/>
          <w:snapToGrid w:val="0"/>
          <w:color w:val="auto"/>
          <w:sz w:val="28"/>
          <w:szCs w:val="32"/>
          <w:lang w:val="en-US" w:eastAsia="zh-CN"/>
        </w:rPr>
        <w:t>19.00</w:t>
      </w:r>
      <w:r>
        <w:rPr>
          <w:rFonts w:ascii="Times New Roman" w:hAnsi="Times New Roman" w:eastAsia="仿宋"/>
          <w:snapToGrid w:val="0"/>
          <w:color w:val="auto"/>
          <w:sz w:val="28"/>
          <w:szCs w:val="32"/>
        </w:rPr>
        <w:t>分。</w:t>
      </w:r>
      <w:r>
        <w:rPr>
          <w:rFonts w:ascii="Times New Roman" w:hAnsi="Times New Roman" w:eastAsia="仿宋"/>
          <w:snapToGrid w:val="0"/>
          <w:sz w:val="28"/>
          <w:szCs w:val="32"/>
        </w:rPr>
        <w:t>指标得分情况如表4-2所示：</w:t>
      </w:r>
    </w:p>
    <w:p w14:paraId="7EB9D680">
      <w:pPr>
        <w:widowControl/>
        <w:spacing w:line="500" w:lineRule="exact"/>
        <w:jc w:val="center"/>
        <w:rPr>
          <w:rFonts w:ascii="Times New Roman" w:hAnsi="Times New Roman" w:eastAsia="仿宋"/>
          <w:b/>
          <w:snapToGrid w:val="0"/>
          <w:sz w:val="24"/>
        </w:rPr>
      </w:pPr>
      <w:r>
        <w:rPr>
          <w:rFonts w:ascii="Times New Roman" w:hAnsi="Times New Roman" w:eastAsia="仿宋"/>
          <w:b/>
          <w:snapToGrid w:val="0"/>
          <w:sz w:val="24"/>
        </w:rPr>
        <w:t>表4-2 过程类指标得分情况</w:t>
      </w:r>
    </w:p>
    <w:tbl>
      <w:tblPr>
        <w:tblStyle w:val="21"/>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834"/>
        <w:gridCol w:w="3416"/>
        <w:gridCol w:w="895"/>
        <w:gridCol w:w="949"/>
        <w:gridCol w:w="1428"/>
      </w:tblGrid>
      <w:tr w14:paraId="36BB98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shd w:val="clear" w:color="auto" w:fill="BFBFBF"/>
            <w:vAlign w:val="center"/>
          </w:tcPr>
          <w:p w14:paraId="36103C25">
            <w:pPr>
              <w:jc w:val="center"/>
              <w:rPr>
                <w:rFonts w:ascii="Times New Roman" w:hAnsi="Times New Roman" w:eastAsia="仿宋"/>
                <w:b/>
                <w:bCs/>
                <w:sz w:val="24"/>
              </w:rPr>
            </w:pPr>
            <w:r>
              <w:rPr>
                <w:rFonts w:ascii="Times New Roman" w:hAnsi="Times New Roman" w:eastAsia="仿宋"/>
                <w:b/>
                <w:bCs/>
                <w:sz w:val="24"/>
              </w:rPr>
              <w:t>二级指标</w:t>
            </w:r>
          </w:p>
        </w:tc>
        <w:tc>
          <w:tcPr>
            <w:tcW w:w="3416" w:type="dxa"/>
            <w:shd w:val="clear" w:color="auto" w:fill="BFBFBF"/>
            <w:vAlign w:val="center"/>
          </w:tcPr>
          <w:p w14:paraId="485E8B6E">
            <w:pPr>
              <w:jc w:val="center"/>
              <w:rPr>
                <w:rFonts w:ascii="Times New Roman" w:hAnsi="Times New Roman" w:eastAsia="仿宋"/>
                <w:b/>
                <w:bCs/>
                <w:sz w:val="24"/>
              </w:rPr>
            </w:pPr>
            <w:r>
              <w:rPr>
                <w:rFonts w:ascii="Times New Roman" w:hAnsi="Times New Roman" w:eastAsia="仿宋"/>
                <w:b/>
                <w:bCs/>
                <w:sz w:val="24"/>
              </w:rPr>
              <w:t>三级指标</w:t>
            </w:r>
          </w:p>
        </w:tc>
        <w:tc>
          <w:tcPr>
            <w:tcW w:w="895" w:type="dxa"/>
            <w:shd w:val="clear" w:color="auto" w:fill="BFBFBF"/>
            <w:vAlign w:val="center"/>
          </w:tcPr>
          <w:p w14:paraId="7C1365A1">
            <w:pPr>
              <w:jc w:val="center"/>
              <w:rPr>
                <w:rFonts w:ascii="Times New Roman" w:hAnsi="Times New Roman" w:eastAsia="仿宋"/>
                <w:b/>
                <w:bCs/>
                <w:sz w:val="24"/>
              </w:rPr>
            </w:pPr>
            <w:r>
              <w:rPr>
                <w:rFonts w:ascii="Times New Roman" w:hAnsi="Times New Roman" w:eastAsia="仿宋"/>
                <w:b/>
                <w:bCs/>
                <w:sz w:val="24"/>
              </w:rPr>
              <w:t>权重</w:t>
            </w:r>
          </w:p>
        </w:tc>
        <w:tc>
          <w:tcPr>
            <w:tcW w:w="949" w:type="dxa"/>
            <w:shd w:val="clear" w:color="auto" w:fill="BFBFBF"/>
            <w:vAlign w:val="center"/>
          </w:tcPr>
          <w:p w14:paraId="29519679">
            <w:pPr>
              <w:jc w:val="center"/>
              <w:rPr>
                <w:rFonts w:ascii="Times New Roman" w:hAnsi="Times New Roman" w:eastAsia="仿宋"/>
                <w:b/>
                <w:bCs/>
                <w:sz w:val="24"/>
              </w:rPr>
            </w:pPr>
            <w:r>
              <w:rPr>
                <w:rFonts w:ascii="Times New Roman" w:hAnsi="Times New Roman" w:eastAsia="仿宋"/>
                <w:b/>
                <w:bCs/>
                <w:sz w:val="24"/>
              </w:rPr>
              <w:t>得分</w:t>
            </w:r>
          </w:p>
        </w:tc>
        <w:tc>
          <w:tcPr>
            <w:tcW w:w="1428" w:type="dxa"/>
            <w:shd w:val="clear" w:color="auto" w:fill="BFBFBF"/>
            <w:vAlign w:val="center"/>
          </w:tcPr>
          <w:p w14:paraId="1FD62FE9">
            <w:pPr>
              <w:jc w:val="center"/>
              <w:rPr>
                <w:rFonts w:ascii="Times New Roman" w:hAnsi="Times New Roman" w:eastAsia="仿宋"/>
                <w:b/>
                <w:bCs/>
                <w:sz w:val="24"/>
              </w:rPr>
            </w:pPr>
            <w:r>
              <w:rPr>
                <w:rFonts w:ascii="Times New Roman" w:hAnsi="Times New Roman" w:eastAsia="仿宋"/>
                <w:b/>
                <w:bCs/>
                <w:sz w:val="24"/>
              </w:rPr>
              <w:t>得分率</w:t>
            </w:r>
          </w:p>
        </w:tc>
      </w:tr>
      <w:tr w14:paraId="015D6B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75" w:hRule="atLeast"/>
          <w:jc w:val="center"/>
        </w:trPr>
        <w:tc>
          <w:tcPr>
            <w:tcW w:w="1834" w:type="dxa"/>
            <w:vMerge w:val="restart"/>
            <w:vAlign w:val="center"/>
          </w:tcPr>
          <w:p w14:paraId="56117720">
            <w:pPr>
              <w:jc w:val="center"/>
              <w:rPr>
                <w:rFonts w:ascii="Times New Roman" w:hAnsi="Times New Roman" w:eastAsia="仿宋"/>
                <w:bCs/>
                <w:sz w:val="24"/>
              </w:rPr>
            </w:pPr>
            <w:r>
              <w:rPr>
                <w:rFonts w:ascii="Times New Roman" w:hAnsi="Times New Roman" w:eastAsia="仿宋"/>
                <w:bCs/>
                <w:sz w:val="24"/>
              </w:rPr>
              <w:t>B1资金管理</w:t>
            </w:r>
          </w:p>
        </w:tc>
        <w:tc>
          <w:tcPr>
            <w:tcW w:w="3416" w:type="dxa"/>
            <w:vAlign w:val="center"/>
          </w:tcPr>
          <w:p w14:paraId="36D493C4">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B11资金到位率</w:t>
            </w:r>
          </w:p>
        </w:tc>
        <w:tc>
          <w:tcPr>
            <w:tcW w:w="895" w:type="dxa"/>
            <w:vAlign w:val="center"/>
          </w:tcPr>
          <w:p w14:paraId="60C5CB84">
            <w:pPr>
              <w:jc w:val="center"/>
              <w:rPr>
                <w:rFonts w:ascii="Times New Roman" w:hAnsi="Times New Roman" w:eastAsia="仿宋"/>
                <w:bCs/>
                <w:sz w:val="24"/>
              </w:rPr>
            </w:pPr>
            <w:r>
              <w:rPr>
                <w:rFonts w:ascii="Times New Roman" w:hAnsi="Times New Roman" w:eastAsia="仿宋"/>
                <w:bCs/>
                <w:sz w:val="24"/>
              </w:rPr>
              <w:t>4.00</w:t>
            </w:r>
          </w:p>
        </w:tc>
        <w:tc>
          <w:tcPr>
            <w:tcW w:w="949" w:type="dxa"/>
            <w:vAlign w:val="center"/>
          </w:tcPr>
          <w:p w14:paraId="6FFBD76A">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4.00</w:t>
            </w:r>
          </w:p>
        </w:tc>
        <w:tc>
          <w:tcPr>
            <w:tcW w:w="1428" w:type="dxa"/>
            <w:vAlign w:val="center"/>
          </w:tcPr>
          <w:p w14:paraId="277265EC">
            <w:pPr>
              <w:jc w:val="center"/>
              <w:rPr>
                <w:rFonts w:ascii="Times New Roman" w:hAnsi="Times New Roman" w:eastAsia="仿宋"/>
                <w:bCs/>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r w14:paraId="31D0C8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14:paraId="37A32471">
            <w:pPr>
              <w:jc w:val="center"/>
              <w:rPr>
                <w:rFonts w:ascii="Times New Roman" w:hAnsi="Times New Roman" w:eastAsia="仿宋"/>
                <w:bCs/>
                <w:sz w:val="24"/>
              </w:rPr>
            </w:pPr>
          </w:p>
        </w:tc>
        <w:tc>
          <w:tcPr>
            <w:tcW w:w="3416" w:type="dxa"/>
            <w:vAlign w:val="center"/>
          </w:tcPr>
          <w:p w14:paraId="4D758ECF">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B12预算执行率</w:t>
            </w:r>
          </w:p>
        </w:tc>
        <w:tc>
          <w:tcPr>
            <w:tcW w:w="895" w:type="dxa"/>
            <w:vAlign w:val="center"/>
          </w:tcPr>
          <w:p w14:paraId="7376F350">
            <w:pPr>
              <w:jc w:val="center"/>
              <w:rPr>
                <w:rFonts w:ascii="Times New Roman" w:hAnsi="Times New Roman" w:eastAsia="仿宋"/>
                <w:bCs/>
                <w:color w:val="auto"/>
                <w:sz w:val="24"/>
              </w:rPr>
            </w:pPr>
            <w:r>
              <w:rPr>
                <w:rFonts w:ascii="Times New Roman" w:hAnsi="Times New Roman" w:eastAsia="仿宋"/>
                <w:bCs/>
                <w:color w:val="auto"/>
                <w:sz w:val="24"/>
              </w:rPr>
              <w:t>4.00</w:t>
            </w:r>
          </w:p>
        </w:tc>
        <w:tc>
          <w:tcPr>
            <w:tcW w:w="949" w:type="dxa"/>
            <w:vAlign w:val="center"/>
          </w:tcPr>
          <w:p w14:paraId="070BE43D">
            <w:pPr>
              <w:jc w:val="center"/>
              <w:rPr>
                <w:rFonts w:hint="default" w:ascii="Times New Roman" w:hAnsi="Times New Roman" w:eastAsia="仿宋"/>
                <w:bCs/>
                <w:color w:val="auto"/>
                <w:sz w:val="24"/>
                <w:lang w:val="en-US" w:eastAsia="zh-CN"/>
              </w:rPr>
            </w:pPr>
            <w:r>
              <w:rPr>
                <w:rFonts w:hint="eastAsia" w:ascii="Times New Roman" w:hAnsi="Times New Roman" w:eastAsia="仿宋"/>
                <w:bCs/>
                <w:color w:val="auto"/>
                <w:sz w:val="24"/>
                <w:lang w:val="en-US" w:eastAsia="zh-CN"/>
              </w:rPr>
              <w:t>4.00</w:t>
            </w:r>
          </w:p>
        </w:tc>
        <w:tc>
          <w:tcPr>
            <w:tcW w:w="1428" w:type="dxa"/>
            <w:vAlign w:val="center"/>
          </w:tcPr>
          <w:p w14:paraId="434E638B">
            <w:pPr>
              <w:jc w:val="center"/>
              <w:rPr>
                <w:rFonts w:ascii="Times New Roman" w:hAnsi="Times New Roman" w:eastAsia="仿宋"/>
                <w:bCs/>
                <w:color w:val="auto"/>
                <w:sz w:val="24"/>
              </w:rPr>
            </w:pPr>
            <w:r>
              <w:rPr>
                <w:rFonts w:hint="eastAsia" w:ascii="Times New Roman" w:hAnsi="Times New Roman" w:eastAsia="仿宋"/>
                <w:bCs/>
                <w:color w:val="auto"/>
                <w:sz w:val="24"/>
                <w:lang w:val="en-US" w:eastAsia="zh-CN"/>
              </w:rPr>
              <w:t>100.00</w:t>
            </w:r>
            <w:r>
              <w:rPr>
                <w:rFonts w:ascii="Times New Roman" w:hAnsi="Times New Roman" w:eastAsia="仿宋"/>
                <w:bCs/>
                <w:color w:val="auto"/>
                <w:sz w:val="24"/>
              </w:rPr>
              <w:t>%</w:t>
            </w:r>
          </w:p>
        </w:tc>
      </w:tr>
      <w:tr w14:paraId="2B80EA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834" w:type="dxa"/>
            <w:vMerge w:val="continue"/>
            <w:vAlign w:val="center"/>
          </w:tcPr>
          <w:p w14:paraId="37E3D863">
            <w:pPr>
              <w:jc w:val="center"/>
              <w:rPr>
                <w:rFonts w:ascii="Times New Roman" w:hAnsi="Times New Roman" w:eastAsia="仿宋"/>
                <w:bCs/>
                <w:sz w:val="24"/>
              </w:rPr>
            </w:pPr>
          </w:p>
        </w:tc>
        <w:tc>
          <w:tcPr>
            <w:tcW w:w="3416" w:type="dxa"/>
            <w:vAlign w:val="center"/>
          </w:tcPr>
          <w:p w14:paraId="6EC6F976">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B13资金使用合规性</w:t>
            </w:r>
          </w:p>
        </w:tc>
        <w:tc>
          <w:tcPr>
            <w:tcW w:w="895" w:type="dxa"/>
            <w:vAlign w:val="center"/>
          </w:tcPr>
          <w:p w14:paraId="13A0C3DE">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14:paraId="734A2CDB">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14:paraId="68A4A3D8">
            <w:pPr>
              <w:jc w:val="center"/>
              <w:rPr>
                <w:rFonts w:ascii="Times New Roman" w:hAnsi="Times New Roman" w:eastAsia="仿宋"/>
                <w:bCs/>
                <w:sz w:val="24"/>
              </w:rPr>
            </w:pPr>
            <w:r>
              <w:rPr>
                <w:rFonts w:ascii="Times New Roman" w:hAnsi="Times New Roman" w:eastAsia="仿宋"/>
                <w:bCs/>
                <w:sz w:val="24"/>
              </w:rPr>
              <w:t>100.00%</w:t>
            </w:r>
          </w:p>
        </w:tc>
      </w:tr>
      <w:tr w14:paraId="60E8EB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restart"/>
            <w:vAlign w:val="center"/>
          </w:tcPr>
          <w:p w14:paraId="11EB5667">
            <w:pPr>
              <w:jc w:val="center"/>
              <w:rPr>
                <w:rFonts w:ascii="Times New Roman" w:hAnsi="Times New Roman" w:eastAsia="仿宋"/>
                <w:bCs/>
                <w:sz w:val="24"/>
              </w:rPr>
            </w:pPr>
            <w:r>
              <w:rPr>
                <w:rFonts w:ascii="Times New Roman" w:hAnsi="Times New Roman" w:eastAsia="仿宋"/>
                <w:bCs/>
                <w:sz w:val="24"/>
              </w:rPr>
              <w:t>B2组织实施</w:t>
            </w:r>
          </w:p>
        </w:tc>
        <w:tc>
          <w:tcPr>
            <w:tcW w:w="3416" w:type="dxa"/>
            <w:vAlign w:val="center"/>
          </w:tcPr>
          <w:p w14:paraId="4147A2DD">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B21管理制度健全性</w:t>
            </w:r>
          </w:p>
        </w:tc>
        <w:tc>
          <w:tcPr>
            <w:tcW w:w="895" w:type="dxa"/>
            <w:vAlign w:val="center"/>
          </w:tcPr>
          <w:p w14:paraId="7E4CC6E2">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14:paraId="5AB2C3CC">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14:paraId="428B1AAF">
            <w:pPr>
              <w:jc w:val="center"/>
              <w:rPr>
                <w:rFonts w:ascii="Times New Roman" w:hAnsi="Times New Roman" w:eastAsia="仿宋"/>
                <w:bCs/>
                <w:sz w:val="24"/>
              </w:rPr>
            </w:pPr>
            <w:r>
              <w:rPr>
                <w:rFonts w:ascii="Times New Roman" w:hAnsi="Times New Roman" w:eastAsia="仿宋"/>
                <w:bCs/>
                <w:sz w:val="24"/>
              </w:rPr>
              <w:t>100.00%</w:t>
            </w:r>
          </w:p>
        </w:tc>
      </w:tr>
      <w:tr w14:paraId="756407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14:paraId="1C6B1113">
            <w:pPr>
              <w:jc w:val="center"/>
              <w:rPr>
                <w:rFonts w:ascii="Times New Roman" w:hAnsi="Times New Roman" w:eastAsia="仿宋"/>
                <w:bCs/>
                <w:sz w:val="24"/>
              </w:rPr>
            </w:pPr>
          </w:p>
        </w:tc>
        <w:tc>
          <w:tcPr>
            <w:tcW w:w="3416" w:type="dxa"/>
            <w:vAlign w:val="center"/>
          </w:tcPr>
          <w:p w14:paraId="156D4939">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B22制度执行有效性</w:t>
            </w:r>
          </w:p>
        </w:tc>
        <w:tc>
          <w:tcPr>
            <w:tcW w:w="895" w:type="dxa"/>
            <w:vAlign w:val="center"/>
          </w:tcPr>
          <w:p w14:paraId="20EA5F33">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14:paraId="19E5BCA8">
            <w:pPr>
              <w:jc w:val="center"/>
              <w:rPr>
                <w:rFonts w:ascii="Times New Roman" w:hAnsi="Times New Roman" w:eastAsia="仿宋"/>
                <w:bCs/>
                <w:sz w:val="24"/>
              </w:rPr>
            </w:pPr>
            <w:r>
              <w:rPr>
                <w:rFonts w:hint="eastAsia" w:ascii="Times New Roman" w:hAnsi="Times New Roman" w:eastAsia="仿宋"/>
                <w:bCs/>
                <w:sz w:val="24"/>
                <w:lang w:val="en-US" w:eastAsia="zh-CN"/>
              </w:rPr>
              <w:t>1</w:t>
            </w:r>
            <w:r>
              <w:rPr>
                <w:rFonts w:ascii="Times New Roman" w:hAnsi="Times New Roman" w:eastAsia="仿宋"/>
                <w:bCs/>
                <w:sz w:val="24"/>
              </w:rPr>
              <w:t>.00</w:t>
            </w:r>
          </w:p>
        </w:tc>
        <w:tc>
          <w:tcPr>
            <w:tcW w:w="1428" w:type="dxa"/>
            <w:vAlign w:val="center"/>
          </w:tcPr>
          <w:p w14:paraId="477CABE1">
            <w:pPr>
              <w:jc w:val="center"/>
              <w:rPr>
                <w:rFonts w:ascii="Times New Roman" w:hAnsi="Times New Roman" w:eastAsia="仿宋"/>
                <w:bCs/>
                <w:sz w:val="24"/>
              </w:rPr>
            </w:pPr>
            <w:r>
              <w:rPr>
                <w:rFonts w:hint="eastAsia" w:ascii="Times New Roman" w:hAnsi="Times New Roman" w:eastAsia="仿宋"/>
                <w:bCs/>
                <w:sz w:val="24"/>
                <w:lang w:val="en-US" w:eastAsia="zh-CN"/>
              </w:rPr>
              <w:t>5</w:t>
            </w:r>
            <w:r>
              <w:rPr>
                <w:rFonts w:ascii="Times New Roman" w:hAnsi="Times New Roman" w:eastAsia="仿宋"/>
                <w:bCs/>
                <w:sz w:val="24"/>
              </w:rPr>
              <w:t>0.00%</w:t>
            </w:r>
          </w:p>
        </w:tc>
      </w:tr>
      <w:tr w14:paraId="520667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14:paraId="3960804D">
            <w:pPr>
              <w:jc w:val="center"/>
              <w:rPr>
                <w:rFonts w:ascii="Times New Roman" w:hAnsi="Times New Roman" w:eastAsia="仿宋"/>
                <w:bCs/>
                <w:sz w:val="24"/>
              </w:rPr>
            </w:pPr>
          </w:p>
        </w:tc>
        <w:tc>
          <w:tcPr>
            <w:tcW w:w="3416" w:type="dxa"/>
            <w:vAlign w:val="center"/>
          </w:tcPr>
          <w:p w14:paraId="75244C75">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B23招投标过程规范性</w:t>
            </w:r>
          </w:p>
        </w:tc>
        <w:tc>
          <w:tcPr>
            <w:tcW w:w="895" w:type="dxa"/>
            <w:vAlign w:val="center"/>
          </w:tcPr>
          <w:p w14:paraId="37A5F452">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14:paraId="02A19B5E">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14:paraId="74626016">
            <w:pPr>
              <w:jc w:val="center"/>
              <w:rPr>
                <w:rFonts w:ascii="Times New Roman" w:hAnsi="Times New Roman" w:eastAsia="仿宋"/>
                <w:bCs/>
                <w:sz w:val="24"/>
              </w:rPr>
            </w:pPr>
            <w:r>
              <w:rPr>
                <w:rFonts w:hint="eastAsia" w:ascii="Times New Roman" w:hAnsi="Times New Roman" w:eastAsia="仿宋"/>
                <w:bCs/>
                <w:sz w:val="24"/>
                <w:lang w:val="en-US" w:eastAsia="zh-CN"/>
              </w:rPr>
              <w:t>10</w:t>
            </w:r>
            <w:r>
              <w:rPr>
                <w:rFonts w:ascii="Times New Roman" w:hAnsi="Times New Roman" w:eastAsia="仿宋"/>
                <w:bCs/>
                <w:sz w:val="24"/>
              </w:rPr>
              <w:t>0.00%</w:t>
            </w:r>
          </w:p>
        </w:tc>
      </w:tr>
      <w:tr w14:paraId="31131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14:paraId="56BFAD5D">
            <w:pPr>
              <w:jc w:val="center"/>
              <w:rPr>
                <w:rFonts w:ascii="Times New Roman" w:hAnsi="Times New Roman" w:eastAsia="仿宋"/>
                <w:bCs/>
                <w:sz w:val="24"/>
              </w:rPr>
            </w:pPr>
          </w:p>
        </w:tc>
        <w:tc>
          <w:tcPr>
            <w:tcW w:w="3416" w:type="dxa"/>
            <w:vAlign w:val="center"/>
          </w:tcPr>
          <w:p w14:paraId="47067113">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B24监理过程规范性</w:t>
            </w:r>
          </w:p>
        </w:tc>
        <w:tc>
          <w:tcPr>
            <w:tcW w:w="895" w:type="dxa"/>
            <w:vAlign w:val="center"/>
          </w:tcPr>
          <w:p w14:paraId="2C80B1CA">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949" w:type="dxa"/>
            <w:vAlign w:val="center"/>
          </w:tcPr>
          <w:p w14:paraId="7181A4C7">
            <w:pPr>
              <w:jc w:val="center"/>
              <w:rPr>
                <w:rFonts w:ascii="Times New Roman" w:hAnsi="Times New Roman" w:eastAsia="仿宋"/>
                <w:bCs/>
                <w:sz w:val="24"/>
              </w:rPr>
            </w:pPr>
            <w:r>
              <w:rPr>
                <w:rFonts w:hint="eastAsia" w:ascii="Times New Roman" w:hAnsi="Times New Roman" w:eastAsia="仿宋"/>
                <w:bCs/>
                <w:sz w:val="24"/>
                <w:lang w:val="en-US" w:eastAsia="zh-CN"/>
              </w:rPr>
              <w:t>2</w:t>
            </w:r>
            <w:r>
              <w:rPr>
                <w:rFonts w:ascii="Times New Roman" w:hAnsi="Times New Roman" w:eastAsia="仿宋"/>
                <w:bCs/>
                <w:sz w:val="24"/>
              </w:rPr>
              <w:t>.00</w:t>
            </w:r>
          </w:p>
        </w:tc>
        <w:tc>
          <w:tcPr>
            <w:tcW w:w="1428" w:type="dxa"/>
            <w:vAlign w:val="center"/>
          </w:tcPr>
          <w:p w14:paraId="5A2257B5">
            <w:pPr>
              <w:jc w:val="center"/>
              <w:rPr>
                <w:rFonts w:ascii="Times New Roman" w:hAnsi="Times New Roman" w:eastAsia="仿宋"/>
                <w:bCs/>
                <w:sz w:val="24"/>
              </w:rPr>
            </w:pPr>
            <w:r>
              <w:rPr>
                <w:rFonts w:hint="eastAsia" w:ascii="Times New Roman" w:hAnsi="Times New Roman" w:eastAsia="仿宋"/>
                <w:bCs/>
                <w:sz w:val="24"/>
                <w:lang w:val="en-US" w:eastAsia="zh-CN"/>
              </w:rPr>
              <w:t>100</w:t>
            </w:r>
            <w:r>
              <w:rPr>
                <w:rFonts w:ascii="Times New Roman" w:hAnsi="Times New Roman" w:eastAsia="仿宋"/>
                <w:bCs/>
                <w:sz w:val="24"/>
              </w:rPr>
              <w:t>.00%</w:t>
            </w:r>
          </w:p>
        </w:tc>
      </w:tr>
      <w:tr w14:paraId="6F3331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14:paraId="21B6DC3A">
            <w:pPr>
              <w:jc w:val="center"/>
              <w:rPr>
                <w:rFonts w:ascii="Times New Roman" w:hAnsi="Times New Roman" w:eastAsia="仿宋"/>
                <w:bCs/>
                <w:sz w:val="24"/>
              </w:rPr>
            </w:pPr>
          </w:p>
        </w:tc>
        <w:tc>
          <w:tcPr>
            <w:tcW w:w="3416" w:type="dxa"/>
            <w:vAlign w:val="center"/>
          </w:tcPr>
          <w:p w14:paraId="5F3E818D">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B25安全事故发生率</w:t>
            </w:r>
          </w:p>
        </w:tc>
        <w:tc>
          <w:tcPr>
            <w:tcW w:w="895" w:type="dxa"/>
            <w:vAlign w:val="center"/>
          </w:tcPr>
          <w:p w14:paraId="37B7C0D3">
            <w:pPr>
              <w:jc w:val="center"/>
              <w:rPr>
                <w:rFonts w:ascii="Times New Roman" w:hAnsi="Times New Roman" w:eastAsia="仿宋"/>
                <w:bCs/>
                <w:color w:val="auto"/>
                <w:sz w:val="24"/>
              </w:rPr>
            </w:pPr>
            <w:r>
              <w:rPr>
                <w:rFonts w:hint="eastAsia" w:ascii="Times New Roman" w:hAnsi="Times New Roman" w:eastAsia="仿宋"/>
                <w:bCs/>
                <w:color w:val="auto"/>
                <w:sz w:val="24"/>
                <w:lang w:val="en-US" w:eastAsia="zh-CN"/>
              </w:rPr>
              <w:t>2</w:t>
            </w:r>
            <w:r>
              <w:rPr>
                <w:rFonts w:ascii="Times New Roman" w:hAnsi="Times New Roman" w:eastAsia="仿宋"/>
                <w:bCs/>
                <w:color w:val="auto"/>
                <w:sz w:val="24"/>
              </w:rPr>
              <w:t>.00</w:t>
            </w:r>
          </w:p>
        </w:tc>
        <w:tc>
          <w:tcPr>
            <w:tcW w:w="949" w:type="dxa"/>
            <w:vAlign w:val="center"/>
          </w:tcPr>
          <w:p w14:paraId="28A951AF">
            <w:pPr>
              <w:jc w:val="center"/>
              <w:rPr>
                <w:rFonts w:ascii="Times New Roman" w:hAnsi="Times New Roman" w:eastAsia="仿宋"/>
                <w:bCs/>
                <w:color w:val="auto"/>
                <w:sz w:val="24"/>
              </w:rPr>
            </w:pPr>
            <w:r>
              <w:rPr>
                <w:rFonts w:hint="eastAsia" w:ascii="Times New Roman" w:hAnsi="Times New Roman" w:eastAsia="仿宋"/>
                <w:bCs/>
                <w:color w:val="auto"/>
                <w:sz w:val="24"/>
                <w:lang w:val="en-US" w:eastAsia="zh-CN"/>
              </w:rPr>
              <w:t>2</w:t>
            </w:r>
            <w:r>
              <w:rPr>
                <w:rFonts w:ascii="Times New Roman" w:hAnsi="Times New Roman" w:eastAsia="仿宋"/>
                <w:bCs/>
                <w:color w:val="auto"/>
                <w:sz w:val="24"/>
              </w:rPr>
              <w:t>.00</w:t>
            </w:r>
          </w:p>
        </w:tc>
        <w:tc>
          <w:tcPr>
            <w:tcW w:w="1428" w:type="dxa"/>
            <w:vAlign w:val="center"/>
          </w:tcPr>
          <w:p w14:paraId="704706A8">
            <w:pPr>
              <w:jc w:val="center"/>
              <w:rPr>
                <w:rFonts w:ascii="Times New Roman" w:hAnsi="Times New Roman" w:eastAsia="仿宋"/>
                <w:bCs/>
                <w:color w:val="auto"/>
                <w:sz w:val="24"/>
              </w:rPr>
            </w:pPr>
            <w:r>
              <w:rPr>
                <w:rFonts w:ascii="Times New Roman" w:hAnsi="Times New Roman" w:eastAsia="仿宋"/>
                <w:bCs/>
                <w:color w:val="auto"/>
                <w:sz w:val="24"/>
              </w:rPr>
              <w:t>100.00%</w:t>
            </w:r>
          </w:p>
        </w:tc>
      </w:tr>
      <w:tr w14:paraId="6FAEB1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5250" w:type="dxa"/>
            <w:gridSpan w:val="2"/>
            <w:vAlign w:val="center"/>
          </w:tcPr>
          <w:p w14:paraId="204ABC48">
            <w:pPr>
              <w:jc w:val="center"/>
              <w:rPr>
                <w:rFonts w:ascii="Times New Roman" w:hAnsi="Times New Roman" w:eastAsia="仿宋"/>
                <w:bCs/>
                <w:sz w:val="24"/>
              </w:rPr>
            </w:pPr>
            <w:r>
              <w:rPr>
                <w:rFonts w:ascii="Times New Roman" w:hAnsi="Times New Roman" w:eastAsia="仿宋"/>
                <w:bCs/>
                <w:sz w:val="24"/>
              </w:rPr>
              <w:t>合计</w:t>
            </w:r>
          </w:p>
        </w:tc>
        <w:tc>
          <w:tcPr>
            <w:tcW w:w="895" w:type="dxa"/>
            <w:vAlign w:val="center"/>
          </w:tcPr>
          <w:p w14:paraId="0E1AF7F5">
            <w:pPr>
              <w:jc w:val="center"/>
              <w:rPr>
                <w:rFonts w:ascii="Times New Roman" w:hAnsi="Times New Roman" w:eastAsia="仿宋"/>
                <w:bCs/>
                <w:sz w:val="24"/>
              </w:rPr>
            </w:pPr>
            <w:r>
              <w:rPr>
                <w:rFonts w:ascii="Times New Roman" w:hAnsi="Times New Roman" w:eastAsia="仿宋"/>
                <w:bCs/>
                <w:sz w:val="24"/>
              </w:rPr>
              <w:t>20.00</w:t>
            </w:r>
          </w:p>
        </w:tc>
        <w:tc>
          <w:tcPr>
            <w:tcW w:w="949" w:type="dxa"/>
            <w:vAlign w:val="center"/>
          </w:tcPr>
          <w:p w14:paraId="6EFB4BF3">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19.00</w:t>
            </w:r>
          </w:p>
        </w:tc>
        <w:tc>
          <w:tcPr>
            <w:tcW w:w="1428" w:type="dxa"/>
            <w:vAlign w:val="center"/>
          </w:tcPr>
          <w:p w14:paraId="06D0C934">
            <w:pPr>
              <w:jc w:val="center"/>
              <w:rPr>
                <w:rFonts w:ascii="Times New Roman" w:hAnsi="Times New Roman" w:eastAsia="仿宋"/>
                <w:bCs/>
                <w:sz w:val="24"/>
              </w:rPr>
            </w:pPr>
            <w:r>
              <w:rPr>
                <w:rFonts w:hint="eastAsia" w:ascii="Times New Roman" w:hAnsi="Times New Roman" w:eastAsia="仿宋"/>
                <w:bCs/>
                <w:sz w:val="24"/>
                <w:lang w:val="en-US" w:eastAsia="zh-CN"/>
              </w:rPr>
              <w:t>95.00</w:t>
            </w:r>
            <w:r>
              <w:rPr>
                <w:rFonts w:ascii="Times New Roman" w:hAnsi="Times New Roman" w:eastAsia="仿宋"/>
                <w:bCs/>
                <w:sz w:val="24"/>
              </w:rPr>
              <w:t>%</w:t>
            </w:r>
          </w:p>
        </w:tc>
      </w:tr>
    </w:tbl>
    <w:p w14:paraId="44B9C2D0">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（1）资金管理</w:t>
      </w:r>
    </w:p>
    <w:p w14:paraId="6456EB99">
      <w:pPr>
        <w:widowControl/>
        <w:spacing w:line="500" w:lineRule="exact"/>
        <w:ind w:firstLine="562" w:firstLineChars="200"/>
        <w:rPr>
          <w:rFonts w:ascii="Times New Roman" w:hAnsi="Times New Roman" w:eastAsia="仿宋"/>
          <w:b/>
          <w:snapToGrid w:val="0"/>
          <w:sz w:val="28"/>
          <w:szCs w:val="32"/>
        </w:rPr>
      </w:pPr>
      <w:r>
        <w:rPr>
          <w:rFonts w:ascii="Times New Roman" w:hAnsi="Times New Roman" w:eastAsia="仿宋"/>
          <w:b/>
          <w:snapToGrid w:val="0"/>
          <w:sz w:val="28"/>
          <w:szCs w:val="32"/>
        </w:rPr>
        <w:t>B11资金到位率：</w:t>
      </w:r>
      <w:r>
        <w:rPr>
          <w:rFonts w:ascii="Times New Roman" w:hAnsi="Times New Roman" w:eastAsia="仿宋"/>
          <w:bCs/>
          <w:snapToGrid w:val="0"/>
          <w:sz w:val="28"/>
          <w:szCs w:val="32"/>
        </w:rPr>
        <w:t>满分4.00分，得分</w:t>
      </w:r>
      <w:r>
        <w:rPr>
          <w:rFonts w:hint="eastAsia" w:ascii="Times New Roman" w:hAnsi="Times New Roman" w:eastAsia="仿宋"/>
          <w:bCs/>
          <w:snapToGrid w:val="0"/>
          <w:sz w:val="28"/>
          <w:szCs w:val="32"/>
          <w:lang w:val="en-US" w:eastAsia="zh-CN"/>
        </w:rPr>
        <w:t>4.00</w:t>
      </w:r>
      <w:r>
        <w:rPr>
          <w:rFonts w:ascii="Times New Roman" w:hAnsi="Times New Roman" w:eastAsia="仿宋"/>
          <w:bCs/>
          <w:snapToGrid w:val="0"/>
          <w:sz w:val="28"/>
          <w:szCs w:val="32"/>
        </w:rPr>
        <w:t>分。</w:t>
      </w:r>
      <w:r>
        <w:rPr>
          <w:rFonts w:hint="eastAsia" w:ascii="Times New Roman" w:hAnsi="Times New Roman" w:eastAsia="仿宋"/>
          <w:bCs/>
          <w:snapToGrid w:val="0"/>
          <w:sz w:val="28"/>
          <w:szCs w:val="32"/>
        </w:rPr>
        <w:t>该指标主要分析评价项目资金是否根据文件、计划要求足额拨付</w:t>
      </w:r>
      <w:r>
        <w:rPr>
          <w:rFonts w:hint="eastAsia" w:ascii="Times New Roman" w:hAnsi="Times New Roman" w:eastAsia="仿宋"/>
          <w:bCs/>
          <w:snapToGrid w:val="0"/>
          <w:sz w:val="28"/>
          <w:szCs w:val="32"/>
          <w:lang w:val="en-US" w:eastAsia="zh-CN"/>
        </w:rPr>
        <w:t>到位</w:t>
      </w:r>
      <w:r>
        <w:rPr>
          <w:rFonts w:hint="eastAsia" w:ascii="Times New Roman" w:hAnsi="Times New Roman" w:eastAsia="仿宋"/>
          <w:bCs/>
          <w:snapToGrid w:val="0"/>
          <w:sz w:val="28"/>
          <w:szCs w:val="32"/>
        </w:rPr>
        <w:t>，资金到位率=（实际到位资金/计划到位资金）×100%。</w:t>
      </w:r>
      <w:r>
        <w:rPr>
          <w:rFonts w:hint="eastAsia" w:ascii="Times New Roman" w:hAnsi="Times New Roman" w:eastAsia="仿宋" w:cs="Times New Roman"/>
          <w:sz w:val="28"/>
          <w:szCs w:val="24"/>
          <w:lang w:eastAsia="zh-CN"/>
        </w:rPr>
        <w:t>根据</w:t>
      </w:r>
      <w:r>
        <w:rPr>
          <w:rFonts w:hint="eastAsia" w:ascii="Times New Roman" w:hAnsi="Times New Roman" w:eastAsia="仿宋" w:cs="Times New Roman"/>
          <w:sz w:val="28"/>
          <w:szCs w:val="24"/>
          <w:lang w:val="en-US" w:eastAsia="zh-CN"/>
        </w:rPr>
        <w:t>古县自然资源局提供的资料，古县旧县镇和南垣乡秦王庙村等8村土地综合整治项目2021年计划投资额5000.00万元全部到位。年度</w:t>
      </w:r>
      <w:r>
        <w:rPr>
          <w:rFonts w:hint="eastAsia" w:ascii="Times New Roman" w:hAnsi="Times New Roman" w:eastAsia="仿宋" w:cs="Times New Roman"/>
          <w:sz w:val="28"/>
          <w:szCs w:val="24"/>
          <w:lang w:eastAsia="zh-CN"/>
        </w:rPr>
        <w:t>资金到位率</w:t>
      </w:r>
      <w:r>
        <w:rPr>
          <w:rFonts w:hint="eastAsia" w:ascii="Times New Roman" w:hAnsi="Times New Roman" w:eastAsia="仿宋" w:cs="Times New Roman"/>
          <w:sz w:val="28"/>
          <w:szCs w:val="24"/>
          <w:lang w:val="en-US" w:eastAsia="zh-CN"/>
        </w:rPr>
        <w:t>100.00</w:t>
      </w:r>
      <w:r>
        <w:rPr>
          <w:rFonts w:hint="eastAsia" w:ascii="Times New Roman" w:hAnsi="Times New Roman" w:eastAsia="仿宋" w:cs="Times New Roman"/>
          <w:sz w:val="28"/>
          <w:szCs w:val="24"/>
          <w:lang w:eastAsia="zh-CN"/>
        </w:rPr>
        <w:t>%。根据评分标准，该项得</w:t>
      </w:r>
      <w:r>
        <w:rPr>
          <w:rFonts w:hint="eastAsia" w:ascii="Times New Roman" w:hAnsi="Times New Roman" w:eastAsia="仿宋" w:cs="Times New Roman"/>
          <w:sz w:val="28"/>
          <w:szCs w:val="24"/>
          <w:lang w:val="en-US" w:eastAsia="zh-CN"/>
        </w:rPr>
        <w:t>满</w:t>
      </w:r>
      <w:r>
        <w:rPr>
          <w:rFonts w:hint="eastAsia" w:ascii="Times New Roman" w:hAnsi="Times New Roman" w:eastAsia="仿宋" w:cs="Times New Roman"/>
          <w:sz w:val="28"/>
          <w:szCs w:val="24"/>
          <w:lang w:eastAsia="zh-CN"/>
        </w:rPr>
        <w:t>分</w:t>
      </w:r>
      <w:r>
        <w:rPr>
          <w:rFonts w:ascii="Times New Roman" w:hAnsi="Times New Roman" w:eastAsia="仿宋"/>
          <w:bCs/>
          <w:snapToGrid w:val="0"/>
          <w:sz w:val="28"/>
          <w:szCs w:val="32"/>
        </w:rPr>
        <w:t>。</w:t>
      </w:r>
    </w:p>
    <w:p w14:paraId="75D43A24">
      <w:pPr>
        <w:widowControl/>
        <w:spacing w:line="500" w:lineRule="exact"/>
        <w:ind w:firstLine="562" w:firstLineChars="200"/>
        <w:rPr>
          <w:rFonts w:ascii="Times New Roman" w:hAnsi="Times New Roman" w:eastAsia="仿宋"/>
          <w:bCs/>
          <w:snapToGrid w:val="0"/>
          <w:color w:val="auto"/>
          <w:sz w:val="28"/>
          <w:szCs w:val="32"/>
        </w:rPr>
      </w:pPr>
      <w:r>
        <w:rPr>
          <w:rFonts w:ascii="Times New Roman" w:hAnsi="Times New Roman" w:eastAsia="仿宋"/>
          <w:b/>
          <w:snapToGrid w:val="0"/>
          <w:sz w:val="28"/>
          <w:szCs w:val="32"/>
        </w:rPr>
        <w:t>B12预算执行率：</w:t>
      </w:r>
      <w:r>
        <w:rPr>
          <w:rFonts w:ascii="Times New Roman" w:hAnsi="Times New Roman" w:eastAsia="仿宋"/>
          <w:bCs/>
          <w:snapToGrid w:val="0"/>
          <w:color w:val="auto"/>
          <w:sz w:val="28"/>
          <w:szCs w:val="32"/>
        </w:rPr>
        <w:t>满分4.00分，得分</w:t>
      </w:r>
      <w:r>
        <w:rPr>
          <w:rFonts w:hint="eastAsia" w:ascii="Times New Roman" w:hAnsi="Times New Roman" w:eastAsia="仿宋"/>
          <w:bCs/>
          <w:snapToGrid w:val="0"/>
          <w:color w:val="auto"/>
          <w:sz w:val="28"/>
          <w:szCs w:val="32"/>
          <w:lang w:val="en-US" w:eastAsia="zh-CN"/>
        </w:rPr>
        <w:t>4.00</w:t>
      </w:r>
      <w:r>
        <w:rPr>
          <w:rFonts w:ascii="Times New Roman" w:hAnsi="Times New Roman" w:eastAsia="仿宋"/>
          <w:bCs/>
          <w:snapToGrid w:val="0"/>
          <w:color w:val="auto"/>
          <w:sz w:val="28"/>
          <w:szCs w:val="32"/>
        </w:rPr>
        <w:t>分。通过查阅</w:t>
      </w:r>
      <w:r>
        <w:rPr>
          <w:rFonts w:hint="eastAsia" w:ascii="Times New Roman" w:hAnsi="Times New Roman" w:eastAsia="仿宋"/>
          <w:bCs/>
          <w:snapToGrid w:val="0"/>
          <w:color w:val="auto"/>
          <w:sz w:val="28"/>
          <w:szCs w:val="32"/>
          <w:lang w:eastAsia="zh-CN"/>
        </w:rPr>
        <w:t>古县</w:t>
      </w:r>
      <w:r>
        <w:rPr>
          <w:rFonts w:ascii="Times New Roman" w:hAnsi="Times New Roman" w:eastAsia="仿宋"/>
          <w:bCs/>
          <w:snapToGrid w:val="0"/>
          <w:color w:val="auto"/>
          <w:sz w:val="28"/>
          <w:szCs w:val="32"/>
        </w:rPr>
        <w:t>财政局下达项目资金的文件和项目实施单位财务账簿，</w:t>
      </w:r>
      <w:r>
        <w:rPr>
          <w:rFonts w:hint="eastAsia" w:ascii="Times New Roman" w:hAnsi="Times New Roman" w:eastAsia="仿宋"/>
          <w:bCs/>
          <w:snapToGrid w:val="0"/>
          <w:color w:val="auto"/>
          <w:sz w:val="28"/>
          <w:szCs w:val="32"/>
          <w:lang w:eastAsia="zh-CN"/>
        </w:rPr>
        <w:t>古县旧县镇和南垣乡秦王庙村等8村土地综合整治项目</w:t>
      </w:r>
      <w:r>
        <w:rPr>
          <w:rFonts w:ascii="Times New Roman" w:hAnsi="Times New Roman" w:eastAsia="仿宋"/>
          <w:bCs/>
          <w:snapToGrid w:val="0"/>
          <w:color w:val="auto"/>
          <w:sz w:val="28"/>
          <w:szCs w:val="32"/>
        </w:rPr>
        <w:t>资金由</w:t>
      </w:r>
      <w:r>
        <w:rPr>
          <w:rFonts w:hint="eastAsia" w:ascii="Times New Roman" w:hAnsi="Times New Roman" w:eastAsia="仿宋"/>
          <w:bCs/>
          <w:snapToGrid w:val="0"/>
          <w:color w:val="auto"/>
          <w:sz w:val="28"/>
          <w:szCs w:val="32"/>
          <w:lang w:eastAsia="zh-CN"/>
        </w:rPr>
        <w:t>古县自然资源局</w:t>
      </w:r>
      <w:r>
        <w:rPr>
          <w:rFonts w:ascii="Times New Roman" w:hAnsi="Times New Roman" w:eastAsia="仿宋"/>
          <w:bCs/>
          <w:snapToGrid w:val="0"/>
          <w:color w:val="auto"/>
          <w:sz w:val="28"/>
          <w:szCs w:val="32"/>
        </w:rPr>
        <w:t>申请，由</w:t>
      </w:r>
      <w:r>
        <w:rPr>
          <w:rFonts w:hint="eastAsia" w:ascii="Times New Roman" w:hAnsi="Times New Roman" w:eastAsia="仿宋"/>
          <w:bCs/>
          <w:snapToGrid w:val="0"/>
          <w:color w:val="auto"/>
          <w:sz w:val="28"/>
          <w:szCs w:val="32"/>
          <w:lang w:eastAsia="zh-CN"/>
        </w:rPr>
        <w:t>古县</w:t>
      </w:r>
      <w:r>
        <w:rPr>
          <w:rFonts w:ascii="Times New Roman" w:hAnsi="Times New Roman" w:eastAsia="仿宋"/>
          <w:bCs/>
          <w:snapToGrid w:val="0"/>
          <w:color w:val="auto"/>
          <w:sz w:val="28"/>
          <w:szCs w:val="32"/>
        </w:rPr>
        <w:t>财政局拨付预算资金，截止评价基准日</w:t>
      </w:r>
      <w:r>
        <w:rPr>
          <w:rFonts w:hint="eastAsia" w:ascii="Times New Roman" w:hAnsi="Times New Roman" w:eastAsia="仿宋"/>
          <w:bCs/>
          <w:snapToGrid w:val="0"/>
          <w:color w:val="auto"/>
          <w:sz w:val="28"/>
          <w:szCs w:val="32"/>
          <w:lang w:eastAsia="zh-CN"/>
        </w:rPr>
        <w:t>2021年12月31日</w:t>
      </w:r>
      <w:r>
        <w:rPr>
          <w:rFonts w:ascii="Times New Roman" w:hAnsi="Times New Roman" w:eastAsia="仿宋"/>
          <w:bCs/>
          <w:snapToGrid w:val="0"/>
          <w:color w:val="auto"/>
          <w:sz w:val="28"/>
          <w:szCs w:val="32"/>
        </w:rPr>
        <w:t>，资金实际到位总额为</w:t>
      </w:r>
      <w:r>
        <w:rPr>
          <w:rFonts w:hint="eastAsia" w:ascii="Times New Roman" w:hAnsi="Times New Roman" w:eastAsia="仿宋"/>
          <w:bCs/>
          <w:snapToGrid w:val="0"/>
          <w:color w:val="auto"/>
          <w:sz w:val="28"/>
          <w:szCs w:val="32"/>
          <w:lang w:val="en-US" w:eastAsia="zh-CN"/>
        </w:rPr>
        <w:t>5000.00万元</w:t>
      </w:r>
      <w:r>
        <w:rPr>
          <w:rFonts w:ascii="Times New Roman" w:hAnsi="Times New Roman" w:eastAsia="仿宋"/>
          <w:bCs/>
          <w:snapToGrid w:val="0"/>
          <w:color w:val="auto"/>
          <w:sz w:val="28"/>
          <w:szCs w:val="32"/>
        </w:rPr>
        <w:t>，</w:t>
      </w:r>
      <w:r>
        <w:rPr>
          <w:rFonts w:hint="eastAsia" w:ascii="Times New Roman" w:hAnsi="Times New Roman" w:eastAsia="仿宋"/>
          <w:bCs/>
          <w:snapToGrid w:val="0"/>
          <w:color w:val="auto"/>
          <w:sz w:val="28"/>
          <w:szCs w:val="32"/>
          <w:lang w:val="en-US" w:eastAsia="zh-CN"/>
        </w:rPr>
        <w:t>资金实际支出5000.00万元，</w:t>
      </w:r>
      <w:r>
        <w:rPr>
          <w:rFonts w:ascii="Times New Roman" w:hAnsi="Times New Roman" w:eastAsia="仿宋"/>
          <w:bCs/>
          <w:snapToGrid w:val="0"/>
          <w:color w:val="auto"/>
          <w:sz w:val="28"/>
          <w:szCs w:val="32"/>
        </w:rPr>
        <w:t>到位资金支出率为</w:t>
      </w:r>
      <w:r>
        <w:rPr>
          <w:rFonts w:hint="eastAsia" w:ascii="Times New Roman" w:hAnsi="Times New Roman" w:eastAsia="仿宋"/>
          <w:bCs/>
          <w:snapToGrid w:val="0"/>
          <w:color w:val="auto"/>
          <w:sz w:val="28"/>
          <w:szCs w:val="32"/>
          <w:lang w:val="en-US" w:eastAsia="zh-CN"/>
        </w:rPr>
        <w:t>100.00</w:t>
      </w:r>
      <w:r>
        <w:rPr>
          <w:rFonts w:ascii="Times New Roman" w:hAnsi="Times New Roman" w:eastAsia="仿宋"/>
          <w:bCs/>
          <w:snapToGrid w:val="0"/>
          <w:color w:val="auto"/>
          <w:sz w:val="28"/>
          <w:szCs w:val="32"/>
        </w:rPr>
        <w:t>%。根据评分标准，该项得</w:t>
      </w:r>
      <w:r>
        <w:rPr>
          <w:rFonts w:hint="eastAsia" w:ascii="Times New Roman" w:hAnsi="Times New Roman" w:eastAsia="仿宋"/>
          <w:bCs/>
          <w:snapToGrid w:val="0"/>
          <w:color w:val="auto"/>
          <w:sz w:val="28"/>
          <w:szCs w:val="32"/>
          <w:lang w:val="en-US" w:eastAsia="zh-CN"/>
        </w:rPr>
        <w:t>满</w:t>
      </w:r>
      <w:r>
        <w:rPr>
          <w:rFonts w:ascii="Times New Roman" w:hAnsi="Times New Roman" w:eastAsia="仿宋"/>
          <w:bCs/>
          <w:snapToGrid w:val="0"/>
          <w:color w:val="auto"/>
          <w:sz w:val="28"/>
          <w:szCs w:val="32"/>
        </w:rPr>
        <w:t>分。</w:t>
      </w:r>
    </w:p>
    <w:p w14:paraId="543F42AF">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B13资金使用合规性：</w:t>
      </w:r>
      <w:r>
        <w:rPr>
          <w:rFonts w:ascii="Times New Roman" w:hAnsi="Times New Roman" w:eastAsia="仿宋"/>
          <w:snapToGrid w:val="0"/>
          <w:sz w:val="28"/>
          <w:szCs w:val="32"/>
        </w:rPr>
        <w:t>满分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.00分，得分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.00分。通过对项目实施单位财务资料的现场核实，</w:t>
      </w:r>
      <w:r>
        <w:rPr>
          <w:rFonts w:hint="eastAsia" w:ascii="Times New Roman" w:hAnsi="Times New Roman" w:eastAsia="仿宋"/>
          <w:snapToGrid w:val="0"/>
          <w:sz w:val="28"/>
          <w:szCs w:val="32"/>
          <w:lang w:eastAsia="zh-CN"/>
        </w:rPr>
        <w:t>古县自然资源局</w:t>
      </w:r>
      <w:r>
        <w:rPr>
          <w:rFonts w:hint="eastAsia" w:ascii="Times New Roman" w:hAnsi="Times New Roman" w:eastAsia="仿宋"/>
          <w:snapToGrid w:val="0"/>
          <w:sz w:val="28"/>
          <w:szCs w:val="32"/>
          <w:lang w:val="en-US" w:eastAsia="zh-CN"/>
        </w:rPr>
        <w:t>资金</w:t>
      </w:r>
      <w:r>
        <w:rPr>
          <w:rFonts w:ascii="Times New Roman" w:hAnsi="Times New Roman" w:eastAsia="仿宋"/>
          <w:snapToGrid w:val="0"/>
          <w:sz w:val="28"/>
          <w:szCs w:val="32"/>
        </w:rPr>
        <w:t>使用符合相关财务管理制度，有完整的审批、拨付手续，支出资金符合预算批复要求，未发现套取、截留、挤占、挪用、虚列支出等情况。根据评分标准，该项得满分。</w:t>
      </w:r>
    </w:p>
    <w:p w14:paraId="274B7962">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（2）组织实施</w:t>
      </w:r>
    </w:p>
    <w:p w14:paraId="54B80F84">
      <w:pPr>
        <w:widowControl/>
        <w:spacing w:line="500" w:lineRule="exact"/>
        <w:ind w:firstLine="562" w:firstLineChars="200"/>
        <w:rPr>
          <w:rFonts w:ascii="Times New Roman" w:hAnsi="Times New Roman" w:eastAsia="仿宋"/>
          <w:snapToGrid w:val="0"/>
          <w:sz w:val="28"/>
          <w:szCs w:val="32"/>
          <w:highlight w:val="yellow"/>
        </w:rPr>
      </w:pPr>
      <w:r>
        <w:rPr>
          <w:rFonts w:ascii="Times New Roman" w:hAnsi="Times New Roman" w:eastAsia="仿宋"/>
          <w:b/>
          <w:snapToGrid w:val="0"/>
          <w:sz w:val="28"/>
          <w:szCs w:val="32"/>
        </w:rPr>
        <w:t>B21管理制度健全性：</w:t>
      </w:r>
      <w:r>
        <w:rPr>
          <w:rFonts w:ascii="Times New Roman" w:hAnsi="Times New Roman" w:eastAsia="仿宋"/>
          <w:snapToGrid w:val="0"/>
          <w:sz w:val="28"/>
          <w:szCs w:val="32"/>
        </w:rPr>
        <w:t>满分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.00分，得分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w:t>
      </w:r>
      <w:r>
        <w:rPr>
          <w:rFonts w:hint="eastAsia" w:ascii="Times New Roman" w:hAnsi="Times New Roman" w:eastAsia="仿宋"/>
          <w:snapToGrid w:val="0"/>
          <w:sz w:val="28"/>
          <w:szCs w:val="32"/>
          <w:lang w:eastAsia="zh-CN"/>
        </w:rPr>
        <w:t>该指标分析评价项目单位的项目管理制度是否健全，用以反映和考核项目管理制度对项目安全运行的保障情况。通过查阅资料和现场调查，项目属于工程类项目，</w:t>
      </w:r>
      <w:r>
        <w:rPr>
          <w:rFonts w:hint="eastAsia" w:ascii="Times New Roman" w:hAnsi="Times New Roman" w:eastAsia="仿宋"/>
          <w:snapToGrid w:val="0"/>
          <w:sz w:val="28"/>
          <w:szCs w:val="32"/>
          <w:lang w:val="en-US" w:eastAsia="zh-CN"/>
        </w:rPr>
        <w:t>评价</w:t>
      </w:r>
      <w:r>
        <w:rPr>
          <w:rFonts w:hint="eastAsia" w:ascii="Times New Roman" w:hAnsi="Times New Roman" w:eastAsia="仿宋"/>
          <w:snapToGrid w:val="0"/>
          <w:sz w:val="28"/>
          <w:szCs w:val="32"/>
          <w:lang w:eastAsia="zh-CN"/>
        </w:rPr>
        <w:t>组审核关于项目的进度管理、质量控制、投资控制、合同管理、风险管理、应急管理和档案管理，该项目实施过程中，制度</w:t>
      </w:r>
      <w:r>
        <w:rPr>
          <w:rFonts w:hint="eastAsia" w:ascii="Times New Roman" w:hAnsi="Times New Roman" w:eastAsia="仿宋"/>
          <w:snapToGrid w:val="0"/>
          <w:sz w:val="28"/>
          <w:szCs w:val="32"/>
          <w:lang w:val="en-US" w:eastAsia="zh-CN"/>
        </w:rPr>
        <w:t>健全</w:t>
      </w:r>
      <w:r>
        <w:rPr>
          <w:rFonts w:hint="eastAsia" w:ascii="Times New Roman" w:hAnsi="Times New Roman" w:eastAsia="仿宋"/>
          <w:snapToGrid w:val="0"/>
          <w:sz w:val="28"/>
          <w:szCs w:val="32"/>
          <w:lang w:eastAsia="zh-CN"/>
        </w:rPr>
        <w:t>；项目管理等资料基本完整。</w:t>
      </w:r>
      <w:r>
        <w:rPr>
          <w:rFonts w:ascii="Times New Roman" w:hAnsi="Times New Roman" w:eastAsia="仿宋"/>
          <w:snapToGrid w:val="0"/>
          <w:sz w:val="28"/>
          <w:szCs w:val="32"/>
        </w:rPr>
        <w:t>根据评分标准，该项得满分。</w:t>
      </w:r>
    </w:p>
    <w:p w14:paraId="717093C4">
      <w:pPr>
        <w:widowControl/>
        <w:spacing w:line="500" w:lineRule="exact"/>
        <w:ind w:firstLine="562" w:firstLineChars="200"/>
        <w:rPr>
          <w:rFonts w:ascii="Times New Roman" w:hAnsi="Times New Roman" w:eastAsia="仿宋"/>
          <w:snapToGrid w:val="0"/>
          <w:sz w:val="28"/>
          <w:szCs w:val="32"/>
        </w:rPr>
      </w:pPr>
      <w:r>
        <w:rPr>
          <w:rFonts w:ascii="Times New Roman" w:hAnsi="Times New Roman" w:eastAsia="仿宋"/>
          <w:b/>
          <w:snapToGrid w:val="0"/>
          <w:sz w:val="28"/>
          <w:szCs w:val="32"/>
        </w:rPr>
        <w:t>B22制度执行有效性：</w:t>
      </w:r>
      <w:r>
        <w:rPr>
          <w:rFonts w:ascii="Times New Roman" w:hAnsi="Times New Roman" w:eastAsia="仿宋"/>
          <w:snapToGrid w:val="0"/>
          <w:sz w:val="28"/>
          <w:szCs w:val="32"/>
        </w:rPr>
        <w:t>满分</w:t>
      </w:r>
      <w:r>
        <w:rPr>
          <w:rFonts w:hint="eastAsia" w:ascii="Times New Roman" w:hAnsi="Times New Roman" w:eastAsia="仿宋"/>
          <w:snapToGrid w:val="0"/>
          <w:sz w:val="28"/>
          <w:szCs w:val="32"/>
          <w:lang w:val="en-US" w:eastAsia="zh-CN"/>
        </w:rPr>
        <w:t>2</w:t>
      </w:r>
      <w:r>
        <w:rPr>
          <w:rFonts w:ascii="Times New Roman" w:hAnsi="Times New Roman" w:eastAsia="仿宋"/>
          <w:snapToGrid w:val="0"/>
          <w:sz w:val="28"/>
          <w:szCs w:val="32"/>
        </w:rPr>
        <w:t>.00分，得分</w:t>
      </w:r>
      <w:r>
        <w:rPr>
          <w:rFonts w:hint="eastAsia" w:ascii="Times New Roman" w:hAnsi="Times New Roman" w:eastAsia="仿宋"/>
          <w:snapToGrid w:val="0"/>
          <w:sz w:val="28"/>
          <w:szCs w:val="32"/>
          <w:lang w:val="en-US" w:eastAsia="zh-CN"/>
        </w:rPr>
        <w:t>1</w:t>
      </w:r>
      <w:r>
        <w:rPr>
          <w:rFonts w:ascii="Times New Roman" w:hAnsi="Times New Roman" w:eastAsia="仿宋"/>
          <w:snapToGrid w:val="0"/>
          <w:sz w:val="28"/>
          <w:szCs w:val="32"/>
        </w:rPr>
        <w:t>.00分。</w:t>
      </w:r>
      <w:r>
        <w:rPr>
          <w:rFonts w:hint="eastAsia" w:ascii="Times New Roman" w:hAnsi="Times New Roman" w:eastAsia="仿宋"/>
          <w:snapToGrid w:val="0"/>
          <w:sz w:val="28"/>
          <w:szCs w:val="32"/>
        </w:rPr>
        <w:t>该指标分析评价项目实施是否符合相关项目管理规定，是否为达到项目扶贫质量要求而采取了必需的措施，用以反映和考核项目管理有效性。</w:t>
      </w:r>
      <w:r>
        <w:rPr>
          <w:rFonts w:hint="eastAsia" w:ascii="Times New Roman" w:hAnsi="Times New Roman" w:eastAsia="仿宋"/>
          <w:snapToGrid w:val="0"/>
          <w:sz w:val="28"/>
          <w:szCs w:val="32"/>
          <w:lang w:eastAsia="zh-CN"/>
        </w:rPr>
        <w:t>古县旧县镇和南垣乡秦王庙村等8村土地综合整治项目</w:t>
      </w:r>
      <w:r>
        <w:rPr>
          <w:rFonts w:hint="eastAsia" w:ascii="Times New Roman" w:hAnsi="Times New Roman" w:eastAsia="仿宋"/>
          <w:snapToGrid w:val="0"/>
          <w:sz w:val="28"/>
          <w:szCs w:val="32"/>
          <w:lang w:val="en-US" w:eastAsia="zh-CN"/>
        </w:rPr>
        <w:t>按照工程类项目的管理制度执行；项目开工所需的人员、场地、设备均准备完毕后，施工单位向古县自然资源局申请开工；该项目实施完成后，项目出具验收报告项目资金支付按照财务管理制度执行；但评价组发现，（1）该项目进度管理不到位，项目完工后尚未进行结算审计，影响项目整体进度；（2）古县自然资源局、古县土地开发中心未根据项目实施内容、进度、资金保障、组织保障等关键因素编制项目实施方案。</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1.00</w:t>
      </w:r>
      <w:r>
        <w:rPr>
          <w:rFonts w:ascii="Times New Roman" w:hAnsi="Times New Roman" w:eastAsia="仿宋"/>
          <w:snapToGrid w:val="0"/>
          <w:sz w:val="28"/>
          <w:szCs w:val="32"/>
        </w:rPr>
        <w:t>分。</w:t>
      </w:r>
    </w:p>
    <w:p w14:paraId="244FFD12">
      <w:pPr>
        <w:widowControl/>
        <w:spacing w:line="500" w:lineRule="exact"/>
        <w:ind w:firstLine="562" w:firstLineChars="200"/>
        <w:rPr>
          <w:rFonts w:hint="default" w:ascii="Times New Roman" w:hAnsi="Times New Roman" w:eastAsia="仿宋"/>
          <w:snapToGrid w:val="0"/>
          <w:sz w:val="28"/>
          <w:szCs w:val="32"/>
          <w:lang w:val="en-US" w:eastAsia="zh-CN"/>
        </w:rPr>
      </w:pPr>
      <w:r>
        <w:rPr>
          <w:rFonts w:hint="eastAsia" w:ascii="Times New Roman" w:hAnsi="Times New Roman" w:eastAsia="仿宋"/>
          <w:b/>
          <w:bCs/>
          <w:snapToGrid w:val="0"/>
          <w:sz w:val="28"/>
          <w:szCs w:val="32"/>
          <w:lang w:val="en-US" w:eastAsia="zh-CN"/>
        </w:rPr>
        <w:t>B23招投标过程规范性：</w:t>
      </w:r>
      <w:r>
        <w:rPr>
          <w:rFonts w:hint="eastAsia" w:ascii="Times New Roman" w:hAnsi="Times New Roman" w:eastAsia="仿宋"/>
          <w:snapToGrid w:val="0"/>
          <w:sz w:val="28"/>
          <w:szCs w:val="32"/>
          <w:lang w:val="en-US" w:eastAsia="zh-CN"/>
        </w:rPr>
        <w:t>满分2.00分，得分2.00分。该指标分析评价项目招投标过程是否合规。根据古县自然资源局提供的资料，评价组现场调研了解到，古县旧县镇和南垣乡秦王庙村等8村土地综合整治项目中，</w:t>
      </w:r>
      <w:r>
        <w:rPr>
          <w:rFonts w:hint="eastAsia" w:ascii="Times New Roman" w:hAnsi="Times New Roman" w:eastAsia="仿宋" w:cs="Times New Roman"/>
          <w:bCs/>
          <w:sz w:val="28"/>
          <w:szCs w:val="28"/>
          <w:lang w:val="en-US" w:eastAsia="zh-CN"/>
        </w:rPr>
        <w:t>项目组实地查看和审核项目招投标过程资料，包括招标公告、评标程序、评标方法、评标委员会签字、投标文件，资料完整</w:t>
      </w:r>
      <w:r>
        <w:rPr>
          <w:rFonts w:hint="eastAsia" w:ascii="Times New Roman" w:hAnsi="Times New Roman" w:eastAsia="仿宋"/>
          <w:snapToGrid w:val="0"/>
          <w:sz w:val="28"/>
          <w:szCs w:val="32"/>
          <w:lang w:val="en-US" w:eastAsia="zh-CN"/>
        </w:rPr>
        <w:t>。</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p>
    <w:p w14:paraId="52555C4B">
      <w:pPr>
        <w:widowControl/>
        <w:spacing w:line="500" w:lineRule="exact"/>
        <w:ind w:firstLine="562" w:firstLineChars="200"/>
        <w:rPr>
          <w:rFonts w:hint="default" w:ascii="Times New Roman" w:hAnsi="Times New Roman" w:eastAsia="仿宋"/>
          <w:snapToGrid w:val="0"/>
          <w:sz w:val="28"/>
          <w:szCs w:val="32"/>
          <w:lang w:val="en-US" w:eastAsia="zh-CN"/>
        </w:rPr>
      </w:pPr>
      <w:r>
        <w:rPr>
          <w:rFonts w:hint="eastAsia" w:ascii="Times New Roman" w:hAnsi="Times New Roman" w:eastAsia="仿宋"/>
          <w:b/>
          <w:bCs/>
          <w:snapToGrid w:val="0"/>
          <w:sz w:val="28"/>
          <w:szCs w:val="32"/>
          <w:lang w:val="en-US" w:eastAsia="zh-CN"/>
        </w:rPr>
        <w:t>B24监理过程规范性：</w:t>
      </w:r>
      <w:r>
        <w:rPr>
          <w:rFonts w:hint="eastAsia" w:ascii="Times New Roman" w:hAnsi="Times New Roman" w:eastAsia="仿宋"/>
          <w:snapToGrid w:val="0"/>
          <w:sz w:val="28"/>
          <w:szCs w:val="32"/>
          <w:lang w:val="en-US" w:eastAsia="zh-CN"/>
        </w:rPr>
        <w:t>满分2.00分，得分2.00分。该指标分析评价项目建立过程是否合规。</w:t>
      </w:r>
      <w:r>
        <w:rPr>
          <w:rFonts w:hint="eastAsia" w:ascii="Times New Roman" w:hAnsi="Times New Roman" w:eastAsia="仿宋" w:cs="Times New Roman"/>
          <w:bCs/>
          <w:sz w:val="28"/>
          <w:szCs w:val="28"/>
          <w:lang w:val="en-US" w:eastAsia="zh-CN"/>
        </w:rPr>
        <w:t>审核项目监理过程资料，包括监理日志、监理报告、监理细则、监理人执业证书，资料均齐全；同时项目实施过程中的各分工程的进度申报、验收等资料上均有监理单位监理人的签字和盖章</w:t>
      </w:r>
      <w:r>
        <w:rPr>
          <w:rFonts w:hint="eastAsia" w:ascii="Times New Roman" w:hAnsi="Times New Roman" w:eastAsia="仿宋"/>
          <w:snapToGrid w:val="0"/>
          <w:sz w:val="28"/>
          <w:szCs w:val="32"/>
          <w:lang w:val="en-US" w:eastAsia="zh-CN"/>
        </w:rPr>
        <w:t>。</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p>
    <w:p w14:paraId="58374421">
      <w:pPr>
        <w:widowControl/>
        <w:spacing w:line="500" w:lineRule="exact"/>
        <w:ind w:firstLine="562" w:firstLineChars="200"/>
        <w:rPr>
          <w:rFonts w:ascii="Times New Roman" w:hAnsi="Times New Roman" w:eastAsia="仿宋"/>
          <w:snapToGrid w:val="0"/>
          <w:sz w:val="28"/>
          <w:szCs w:val="32"/>
        </w:rPr>
      </w:pPr>
      <w:r>
        <w:rPr>
          <w:rFonts w:hint="eastAsia" w:ascii="Times New Roman" w:hAnsi="Times New Roman" w:eastAsia="仿宋"/>
          <w:b/>
          <w:bCs/>
          <w:snapToGrid w:val="0"/>
          <w:sz w:val="28"/>
          <w:szCs w:val="32"/>
          <w:lang w:val="en-US" w:eastAsia="zh-CN"/>
        </w:rPr>
        <w:t>B25安全事故发生率：</w:t>
      </w:r>
      <w:r>
        <w:rPr>
          <w:rFonts w:hint="eastAsia" w:ascii="Times New Roman" w:hAnsi="Times New Roman" w:eastAsia="仿宋"/>
          <w:snapToGrid w:val="0"/>
          <w:sz w:val="28"/>
          <w:szCs w:val="32"/>
          <w:lang w:val="en-US" w:eastAsia="zh-CN"/>
        </w:rPr>
        <w:t>满分2.00分，得分2.00分。该指标分析评价项目实施过程中是否存在安全事故发生。根据古县自然资源局提供的资料，评价组现场调研了解到，古县旧县镇和南垣乡秦王庙村等8村土地综合整治项目中，项目单位制定了一系列行之有效的安全管理办法及措施，使安全工作处于制度化、规范化管理之中，整个工程施工过程中没有出现安全责任事故。</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r>
        <w:rPr>
          <w:rFonts w:hint="eastAsia" w:ascii="Times New Roman" w:hAnsi="Times New Roman" w:eastAsia="仿宋"/>
          <w:snapToGrid w:val="0"/>
          <w:sz w:val="28"/>
          <w:szCs w:val="32"/>
          <w:lang w:eastAsia="zh-CN"/>
        </w:rPr>
        <w:t>。</w:t>
      </w:r>
    </w:p>
    <w:p w14:paraId="79FCB881">
      <w:pPr>
        <w:widowControl/>
        <w:spacing w:line="500" w:lineRule="exact"/>
        <w:ind w:firstLine="562" w:firstLineChars="200"/>
        <w:outlineLvl w:val="2"/>
        <w:rPr>
          <w:rFonts w:ascii="Times New Roman" w:hAnsi="Times New Roman" w:eastAsia="仿宋"/>
          <w:b/>
          <w:snapToGrid w:val="0"/>
          <w:sz w:val="28"/>
          <w:szCs w:val="32"/>
        </w:rPr>
      </w:pPr>
      <w:bookmarkStart w:id="94" w:name="_Toc528684143"/>
      <w:bookmarkStart w:id="95" w:name="_Toc29696"/>
      <w:bookmarkStart w:id="96" w:name="_Toc30077"/>
      <w:bookmarkStart w:id="97" w:name="_Toc11431"/>
      <w:bookmarkStart w:id="98" w:name="_Toc8777"/>
      <w:bookmarkStart w:id="99" w:name="_Toc528680468"/>
      <w:bookmarkStart w:id="100" w:name="_Toc18832"/>
      <w:r>
        <w:rPr>
          <w:rFonts w:ascii="Times New Roman" w:hAnsi="Times New Roman" w:eastAsia="仿宋"/>
          <w:b/>
          <w:snapToGrid w:val="0"/>
          <w:sz w:val="28"/>
          <w:szCs w:val="32"/>
        </w:rPr>
        <w:t>3.产出分析</w:t>
      </w:r>
      <w:bookmarkEnd w:id="94"/>
      <w:bookmarkEnd w:id="95"/>
      <w:bookmarkEnd w:id="96"/>
      <w:bookmarkEnd w:id="97"/>
      <w:bookmarkEnd w:id="98"/>
      <w:bookmarkEnd w:id="99"/>
      <w:bookmarkEnd w:id="100"/>
    </w:p>
    <w:p w14:paraId="069A3706">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产出类指标主要从</w:t>
      </w:r>
      <w:r>
        <w:rPr>
          <w:rFonts w:hint="eastAsia" w:ascii="Times New Roman" w:hAnsi="Times New Roman" w:eastAsia="仿宋"/>
          <w:snapToGrid w:val="0"/>
          <w:sz w:val="28"/>
          <w:szCs w:val="32"/>
        </w:rPr>
        <w:t>项目完成情况</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rPr>
        <w:t>质量达标</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rPr>
        <w:t>完成及时性</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rPr>
        <w:t>成本控制能力</w:t>
      </w:r>
      <w:r>
        <w:rPr>
          <w:rFonts w:hint="eastAsia" w:ascii="Times New Roman" w:hAnsi="Times New Roman" w:eastAsia="仿宋"/>
          <w:snapToGrid w:val="0"/>
          <w:sz w:val="28"/>
          <w:szCs w:val="32"/>
          <w:lang w:val="en-US" w:eastAsia="zh-CN"/>
        </w:rPr>
        <w:t>4</w:t>
      </w:r>
      <w:r>
        <w:rPr>
          <w:rFonts w:ascii="Times New Roman" w:hAnsi="Times New Roman" w:eastAsia="仿宋"/>
          <w:snapToGrid w:val="0"/>
          <w:sz w:val="28"/>
          <w:szCs w:val="32"/>
        </w:rPr>
        <w:t>个指标考察该项目产出数量、产出质量、产出时效。产出类指标权重30.00分，实际得分</w:t>
      </w:r>
      <w:r>
        <w:rPr>
          <w:rFonts w:hint="eastAsia" w:ascii="Times New Roman" w:hAnsi="Times New Roman" w:eastAsia="仿宋"/>
          <w:snapToGrid w:val="0"/>
          <w:sz w:val="28"/>
          <w:szCs w:val="32"/>
          <w:lang w:val="en-US" w:eastAsia="zh-CN"/>
        </w:rPr>
        <w:t>26</w:t>
      </w:r>
      <w:r>
        <w:rPr>
          <w:rFonts w:ascii="Times New Roman" w:hAnsi="Times New Roman" w:eastAsia="仿宋"/>
          <w:snapToGrid w:val="0"/>
          <w:sz w:val="28"/>
          <w:szCs w:val="32"/>
        </w:rPr>
        <w:t>.00分。指标得分情况如表4-3所示：</w:t>
      </w:r>
    </w:p>
    <w:p w14:paraId="3EF5B7C3">
      <w:pPr>
        <w:widowControl/>
        <w:spacing w:line="500" w:lineRule="exact"/>
        <w:jc w:val="center"/>
        <w:rPr>
          <w:rFonts w:ascii="Times New Roman" w:hAnsi="Times New Roman" w:eastAsia="仿宋"/>
          <w:b/>
          <w:snapToGrid w:val="0"/>
          <w:sz w:val="24"/>
        </w:rPr>
      </w:pPr>
      <w:r>
        <w:rPr>
          <w:rFonts w:ascii="Times New Roman" w:hAnsi="Times New Roman" w:eastAsia="仿宋"/>
          <w:b/>
          <w:snapToGrid w:val="0"/>
          <w:sz w:val="24"/>
        </w:rPr>
        <w:t>表4-3 产出类指标得分情况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068"/>
        <w:gridCol w:w="2860"/>
        <w:gridCol w:w="1000"/>
        <w:gridCol w:w="1000"/>
        <w:gridCol w:w="1594"/>
      </w:tblGrid>
      <w:tr w14:paraId="46436B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shd w:val="clear" w:color="auto" w:fill="BFBFBF"/>
            <w:vAlign w:val="center"/>
          </w:tcPr>
          <w:p w14:paraId="4DE0BF47">
            <w:pPr>
              <w:jc w:val="center"/>
              <w:rPr>
                <w:rFonts w:ascii="Times New Roman" w:hAnsi="Times New Roman" w:eastAsia="仿宋"/>
                <w:b/>
                <w:bCs/>
                <w:sz w:val="24"/>
              </w:rPr>
            </w:pPr>
            <w:r>
              <w:rPr>
                <w:rFonts w:ascii="Times New Roman" w:hAnsi="Times New Roman" w:eastAsia="仿宋"/>
                <w:b/>
                <w:bCs/>
                <w:sz w:val="24"/>
              </w:rPr>
              <w:t>二级指标</w:t>
            </w:r>
          </w:p>
        </w:tc>
        <w:tc>
          <w:tcPr>
            <w:tcW w:w="2860" w:type="dxa"/>
            <w:shd w:val="clear" w:color="auto" w:fill="BFBFBF"/>
            <w:vAlign w:val="center"/>
          </w:tcPr>
          <w:p w14:paraId="16C562BD">
            <w:pPr>
              <w:jc w:val="center"/>
              <w:rPr>
                <w:rFonts w:ascii="Times New Roman" w:hAnsi="Times New Roman" w:eastAsia="仿宋"/>
                <w:b/>
                <w:bCs/>
                <w:sz w:val="24"/>
              </w:rPr>
            </w:pPr>
            <w:r>
              <w:rPr>
                <w:rFonts w:ascii="Times New Roman" w:hAnsi="Times New Roman" w:eastAsia="仿宋"/>
                <w:b/>
                <w:bCs/>
                <w:sz w:val="24"/>
              </w:rPr>
              <w:t>三级指标</w:t>
            </w:r>
          </w:p>
        </w:tc>
        <w:tc>
          <w:tcPr>
            <w:tcW w:w="1000" w:type="dxa"/>
            <w:shd w:val="clear" w:color="auto" w:fill="BFBFBF"/>
            <w:vAlign w:val="center"/>
          </w:tcPr>
          <w:p w14:paraId="766C3D93">
            <w:pPr>
              <w:jc w:val="center"/>
              <w:rPr>
                <w:rFonts w:ascii="Times New Roman" w:hAnsi="Times New Roman" w:eastAsia="仿宋"/>
                <w:b/>
                <w:bCs/>
                <w:sz w:val="24"/>
              </w:rPr>
            </w:pPr>
            <w:r>
              <w:rPr>
                <w:rFonts w:ascii="Times New Roman" w:hAnsi="Times New Roman" w:eastAsia="仿宋"/>
                <w:b/>
                <w:bCs/>
                <w:sz w:val="24"/>
              </w:rPr>
              <w:t>权重</w:t>
            </w:r>
          </w:p>
        </w:tc>
        <w:tc>
          <w:tcPr>
            <w:tcW w:w="1000" w:type="dxa"/>
            <w:shd w:val="clear" w:color="auto" w:fill="BFBFBF"/>
            <w:vAlign w:val="center"/>
          </w:tcPr>
          <w:p w14:paraId="14610DE0">
            <w:pPr>
              <w:jc w:val="center"/>
              <w:rPr>
                <w:rFonts w:ascii="Times New Roman" w:hAnsi="Times New Roman" w:eastAsia="仿宋"/>
                <w:b/>
                <w:bCs/>
                <w:sz w:val="24"/>
              </w:rPr>
            </w:pPr>
            <w:r>
              <w:rPr>
                <w:rFonts w:ascii="Times New Roman" w:hAnsi="Times New Roman" w:eastAsia="仿宋"/>
                <w:b/>
                <w:bCs/>
                <w:sz w:val="24"/>
              </w:rPr>
              <w:t>得分</w:t>
            </w:r>
          </w:p>
        </w:tc>
        <w:tc>
          <w:tcPr>
            <w:tcW w:w="1594" w:type="dxa"/>
            <w:shd w:val="clear" w:color="auto" w:fill="BFBFBF"/>
            <w:vAlign w:val="center"/>
          </w:tcPr>
          <w:p w14:paraId="01847293">
            <w:pPr>
              <w:jc w:val="center"/>
              <w:rPr>
                <w:rFonts w:ascii="Times New Roman" w:hAnsi="Times New Roman" w:eastAsia="仿宋"/>
                <w:b/>
                <w:bCs/>
                <w:sz w:val="24"/>
              </w:rPr>
            </w:pPr>
            <w:r>
              <w:rPr>
                <w:rFonts w:ascii="Times New Roman" w:hAnsi="Times New Roman" w:eastAsia="仿宋"/>
                <w:b/>
                <w:bCs/>
                <w:sz w:val="24"/>
              </w:rPr>
              <w:t>得分率</w:t>
            </w:r>
          </w:p>
        </w:tc>
      </w:tr>
      <w:tr w14:paraId="503FD4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restart"/>
            <w:vAlign w:val="center"/>
          </w:tcPr>
          <w:p w14:paraId="61005CD3">
            <w:pPr>
              <w:jc w:val="center"/>
              <w:rPr>
                <w:rFonts w:ascii="Times New Roman" w:hAnsi="Times New Roman" w:eastAsia="仿宋"/>
                <w:bCs/>
                <w:sz w:val="24"/>
              </w:rPr>
            </w:pPr>
            <w:r>
              <w:rPr>
                <w:rFonts w:ascii="Times New Roman" w:hAnsi="Times New Roman" w:eastAsia="仿宋"/>
                <w:bCs/>
                <w:sz w:val="24"/>
              </w:rPr>
              <w:t>C1项目产出</w:t>
            </w:r>
          </w:p>
        </w:tc>
        <w:tc>
          <w:tcPr>
            <w:tcW w:w="2860" w:type="dxa"/>
            <w:vAlign w:val="center"/>
          </w:tcPr>
          <w:p w14:paraId="56C9E37D">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C11项目完成情况</w:t>
            </w:r>
          </w:p>
        </w:tc>
        <w:tc>
          <w:tcPr>
            <w:tcW w:w="1000" w:type="dxa"/>
            <w:vAlign w:val="center"/>
          </w:tcPr>
          <w:p w14:paraId="6618F81D">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8.00</w:t>
            </w:r>
          </w:p>
        </w:tc>
        <w:tc>
          <w:tcPr>
            <w:tcW w:w="1000" w:type="dxa"/>
            <w:vAlign w:val="center"/>
          </w:tcPr>
          <w:p w14:paraId="17BCD2D2">
            <w:pPr>
              <w:jc w:val="center"/>
              <w:rPr>
                <w:rFonts w:ascii="Times New Roman" w:hAnsi="Times New Roman" w:eastAsia="仿宋"/>
                <w:bCs/>
                <w:sz w:val="24"/>
              </w:rPr>
            </w:pPr>
            <w:r>
              <w:rPr>
                <w:rFonts w:hint="eastAsia" w:ascii="Times New Roman" w:hAnsi="Times New Roman" w:eastAsia="仿宋"/>
                <w:bCs/>
                <w:sz w:val="24"/>
                <w:lang w:val="en-US" w:eastAsia="zh-CN"/>
              </w:rPr>
              <w:t>8.00</w:t>
            </w:r>
          </w:p>
        </w:tc>
        <w:tc>
          <w:tcPr>
            <w:tcW w:w="1594" w:type="dxa"/>
            <w:vAlign w:val="center"/>
          </w:tcPr>
          <w:p w14:paraId="2ED6850C">
            <w:pPr>
              <w:jc w:val="center"/>
              <w:rPr>
                <w:rFonts w:ascii="Times New Roman" w:hAnsi="Times New Roman" w:eastAsia="仿宋"/>
                <w:bCs/>
                <w:sz w:val="24"/>
              </w:rPr>
            </w:pPr>
            <w:r>
              <w:rPr>
                <w:rFonts w:ascii="Times New Roman" w:hAnsi="Times New Roman" w:eastAsia="仿宋"/>
                <w:bCs/>
                <w:sz w:val="24"/>
              </w:rPr>
              <w:t>100.00%</w:t>
            </w:r>
          </w:p>
        </w:tc>
      </w:tr>
      <w:tr w14:paraId="2EA0E5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continue"/>
            <w:vAlign w:val="center"/>
          </w:tcPr>
          <w:p w14:paraId="189F12B9">
            <w:pPr>
              <w:jc w:val="center"/>
              <w:rPr>
                <w:rFonts w:ascii="Times New Roman" w:hAnsi="Times New Roman" w:eastAsia="仿宋"/>
                <w:bCs/>
                <w:sz w:val="24"/>
              </w:rPr>
            </w:pPr>
          </w:p>
        </w:tc>
        <w:tc>
          <w:tcPr>
            <w:tcW w:w="2860" w:type="dxa"/>
            <w:vAlign w:val="center"/>
          </w:tcPr>
          <w:p w14:paraId="064FF7AF">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C21质量达标</w:t>
            </w:r>
          </w:p>
        </w:tc>
        <w:tc>
          <w:tcPr>
            <w:tcW w:w="1000" w:type="dxa"/>
            <w:vAlign w:val="center"/>
          </w:tcPr>
          <w:p w14:paraId="5AA934BC">
            <w:pPr>
              <w:jc w:val="center"/>
              <w:rPr>
                <w:rFonts w:ascii="Times New Roman" w:hAnsi="Times New Roman" w:eastAsia="仿宋"/>
                <w:bCs/>
                <w:sz w:val="24"/>
              </w:rPr>
            </w:pPr>
            <w:r>
              <w:rPr>
                <w:rFonts w:hint="eastAsia" w:ascii="Times New Roman" w:hAnsi="Times New Roman" w:eastAsia="仿宋"/>
                <w:bCs/>
                <w:sz w:val="24"/>
                <w:lang w:val="en-US" w:eastAsia="zh-CN"/>
              </w:rPr>
              <w:t>8.00</w:t>
            </w:r>
          </w:p>
        </w:tc>
        <w:tc>
          <w:tcPr>
            <w:tcW w:w="1000" w:type="dxa"/>
            <w:vAlign w:val="center"/>
          </w:tcPr>
          <w:p w14:paraId="76978E19">
            <w:pPr>
              <w:jc w:val="center"/>
              <w:rPr>
                <w:rFonts w:ascii="Times New Roman" w:hAnsi="Times New Roman" w:eastAsia="仿宋"/>
                <w:bCs/>
                <w:sz w:val="24"/>
              </w:rPr>
            </w:pPr>
            <w:r>
              <w:rPr>
                <w:rFonts w:hint="eastAsia" w:ascii="Times New Roman" w:hAnsi="Times New Roman" w:eastAsia="仿宋"/>
                <w:bCs/>
                <w:sz w:val="24"/>
                <w:lang w:val="en-US" w:eastAsia="zh-CN"/>
              </w:rPr>
              <w:t>8.00</w:t>
            </w:r>
          </w:p>
        </w:tc>
        <w:tc>
          <w:tcPr>
            <w:tcW w:w="1594" w:type="dxa"/>
            <w:vAlign w:val="center"/>
          </w:tcPr>
          <w:p w14:paraId="4EA3BC74">
            <w:pPr>
              <w:jc w:val="center"/>
              <w:rPr>
                <w:rFonts w:ascii="Times New Roman" w:hAnsi="Times New Roman" w:eastAsia="仿宋"/>
                <w:bCs/>
                <w:sz w:val="24"/>
              </w:rPr>
            </w:pPr>
            <w:r>
              <w:rPr>
                <w:rFonts w:ascii="Times New Roman" w:hAnsi="Times New Roman" w:eastAsia="仿宋"/>
                <w:bCs/>
                <w:sz w:val="24"/>
              </w:rPr>
              <w:t>100.00%</w:t>
            </w:r>
          </w:p>
        </w:tc>
      </w:tr>
      <w:tr w14:paraId="31FBFB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continue"/>
            <w:vAlign w:val="center"/>
          </w:tcPr>
          <w:p w14:paraId="13C7ADB3">
            <w:pPr>
              <w:jc w:val="center"/>
              <w:rPr>
                <w:rFonts w:ascii="Times New Roman" w:hAnsi="Times New Roman" w:eastAsia="仿宋"/>
                <w:bCs/>
                <w:sz w:val="24"/>
              </w:rPr>
            </w:pPr>
          </w:p>
        </w:tc>
        <w:tc>
          <w:tcPr>
            <w:tcW w:w="2860" w:type="dxa"/>
            <w:vAlign w:val="center"/>
          </w:tcPr>
          <w:p w14:paraId="5E5E7883">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C31完成及时性</w:t>
            </w:r>
          </w:p>
        </w:tc>
        <w:tc>
          <w:tcPr>
            <w:tcW w:w="1000" w:type="dxa"/>
            <w:vAlign w:val="center"/>
          </w:tcPr>
          <w:p w14:paraId="6D738FD5">
            <w:pPr>
              <w:jc w:val="center"/>
              <w:rPr>
                <w:rFonts w:ascii="Times New Roman" w:hAnsi="Times New Roman" w:eastAsia="仿宋"/>
                <w:bCs/>
                <w:sz w:val="24"/>
              </w:rPr>
            </w:pPr>
            <w:r>
              <w:rPr>
                <w:rFonts w:hint="eastAsia" w:ascii="Times New Roman" w:hAnsi="Times New Roman" w:eastAsia="仿宋"/>
                <w:bCs/>
                <w:sz w:val="24"/>
                <w:lang w:val="en-US" w:eastAsia="zh-CN"/>
              </w:rPr>
              <w:t>8.00</w:t>
            </w:r>
          </w:p>
        </w:tc>
        <w:tc>
          <w:tcPr>
            <w:tcW w:w="1000" w:type="dxa"/>
            <w:vAlign w:val="center"/>
          </w:tcPr>
          <w:p w14:paraId="7AEE64C5">
            <w:pPr>
              <w:jc w:val="center"/>
              <w:rPr>
                <w:rFonts w:ascii="Times New Roman" w:hAnsi="Times New Roman" w:eastAsia="仿宋"/>
                <w:bCs/>
                <w:sz w:val="24"/>
              </w:rPr>
            </w:pPr>
            <w:r>
              <w:rPr>
                <w:rFonts w:hint="eastAsia" w:ascii="Times New Roman" w:hAnsi="Times New Roman" w:eastAsia="仿宋"/>
                <w:bCs/>
                <w:sz w:val="24"/>
                <w:lang w:val="en-US" w:eastAsia="zh-CN"/>
              </w:rPr>
              <w:t>8.00</w:t>
            </w:r>
          </w:p>
        </w:tc>
        <w:tc>
          <w:tcPr>
            <w:tcW w:w="1594" w:type="dxa"/>
            <w:vAlign w:val="center"/>
          </w:tcPr>
          <w:p w14:paraId="7E6107FB">
            <w:pPr>
              <w:jc w:val="center"/>
              <w:rPr>
                <w:rFonts w:ascii="Times New Roman" w:hAnsi="Times New Roman" w:eastAsia="仿宋"/>
                <w:bCs/>
                <w:sz w:val="24"/>
              </w:rPr>
            </w:pPr>
            <w:r>
              <w:rPr>
                <w:rFonts w:ascii="Times New Roman" w:hAnsi="Times New Roman" w:eastAsia="仿宋"/>
                <w:bCs/>
                <w:sz w:val="24"/>
              </w:rPr>
              <w:t>100.00%</w:t>
            </w:r>
          </w:p>
        </w:tc>
      </w:tr>
      <w:tr w14:paraId="64A37B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continue"/>
            <w:vAlign w:val="center"/>
          </w:tcPr>
          <w:p w14:paraId="4E81798F">
            <w:pPr>
              <w:jc w:val="center"/>
              <w:rPr>
                <w:rFonts w:ascii="Times New Roman" w:hAnsi="Times New Roman" w:eastAsia="仿宋"/>
                <w:bCs/>
                <w:sz w:val="24"/>
              </w:rPr>
            </w:pPr>
          </w:p>
        </w:tc>
        <w:tc>
          <w:tcPr>
            <w:tcW w:w="2860" w:type="dxa"/>
            <w:vAlign w:val="center"/>
          </w:tcPr>
          <w:p w14:paraId="79C1D60D">
            <w:pPr>
              <w:jc w:val="center"/>
              <w:rPr>
                <w:rFonts w:ascii="Times New Roman" w:hAnsi="Times New Roman" w:eastAsia="仿宋"/>
                <w:bCs/>
                <w:sz w:val="24"/>
              </w:rPr>
            </w:pPr>
            <w:r>
              <w:rPr>
                <w:rFonts w:hint="eastAsia" w:ascii="Times New Roman" w:hAnsi="Times New Roman" w:eastAsia="仿宋" w:cs="Times New Roman"/>
                <w:bCs/>
                <w:sz w:val="24"/>
                <w:lang w:val="en-US" w:eastAsia="zh-CN"/>
              </w:rPr>
              <w:t>C41成本控制能力</w:t>
            </w:r>
          </w:p>
        </w:tc>
        <w:tc>
          <w:tcPr>
            <w:tcW w:w="1000" w:type="dxa"/>
            <w:vAlign w:val="center"/>
          </w:tcPr>
          <w:p w14:paraId="10280871">
            <w:pPr>
              <w:jc w:val="center"/>
              <w:rPr>
                <w:rFonts w:ascii="Times New Roman" w:hAnsi="Times New Roman" w:eastAsia="仿宋"/>
                <w:bCs/>
                <w:sz w:val="24"/>
              </w:rPr>
            </w:pPr>
            <w:r>
              <w:rPr>
                <w:rFonts w:hint="eastAsia" w:ascii="Times New Roman" w:hAnsi="Times New Roman" w:eastAsia="仿宋"/>
                <w:bCs/>
                <w:sz w:val="24"/>
                <w:lang w:val="en-US" w:eastAsia="zh-CN"/>
              </w:rPr>
              <w:t>6.00</w:t>
            </w:r>
          </w:p>
        </w:tc>
        <w:tc>
          <w:tcPr>
            <w:tcW w:w="1000" w:type="dxa"/>
            <w:vAlign w:val="center"/>
          </w:tcPr>
          <w:p w14:paraId="70A40C4B">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2.00</w:t>
            </w:r>
          </w:p>
        </w:tc>
        <w:tc>
          <w:tcPr>
            <w:tcW w:w="1594" w:type="dxa"/>
            <w:vAlign w:val="center"/>
          </w:tcPr>
          <w:p w14:paraId="183C67E9">
            <w:pPr>
              <w:jc w:val="center"/>
              <w:rPr>
                <w:rFonts w:ascii="Times New Roman" w:hAnsi="Times New Roman" w:eastAsia="仿宋"/>
                <w:bCs/>
                <w:sz w:val="24"/>
              </w:rPr>
            </w:pPr>
            <w:r>
              <w:rPr>
                <w:rFonts w:hint="eastAsia" w:ascii="Times New Roman" w:hAnsi="Times New Roman" w:eastAsia="仿宋"/>
                <w:bCs/>
                <w:sz w:val="24"/>
                <w:lang w:val="en-US" w:eastAsia="zh-CN"/>
              </w:rPr>
              <w:t>33.33</w:t>
            </w:r>
            <w:r>
              <w:rPr>
                <w:rFonts w:ascii="Times New Roman" w:hAnsi="Times New Roman" w:eastAsia="仿宋"/>
                <w:bCs/>
                <w:sz w:val="24"/>
              </w:rPr>
              <w:t>%</w:t>
            </w:r>
          </w:p>
        </w:tc>
      </w:tr>
      <w:tr w14:paraId="73BB31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4928" w:type="dxa"/>
            <w:gridSpan w:val="2"/>
            <w:vAlign w:val="center"/>
          </w:tcPr>
          <w:p w14:paraId="6D80C310">
            <w:pPr>
              <w:jc w:val="center"/>
              <w:rPr>
                <w:rFonts w:ascii="Times New Roman" w:hAnsi="Times New Roman" w:eastAsia="仿宋"/>
                <w:bCs/>
                <w:sz w:val="24"/>
              </w:rPr>
            </w:pPr>
            <w:r>
              <w:rPr>
                <w:rFonts w:ascii="Times New Roman" w:hAnsi="Times New Roman" w:eastAsia="仿宋"/>
                <w:bCs/>
                <w:sz w:val="24"/>
              </w:rPr>
              <w:t>合计</w:t>
            </w:r>
          </w:p>
        </w:tc>
        <w:tc>
          <w:tcPr>
            <w:tcW w:w="1000" w:type="dxa"/>
            <w:vAlign w:val="center"/>
          </w:tcPr>
          <w:p w14:paraId="29DD2E49">
            <w:pPr>
              <w:jc w:val="center"/>
              <w:rPr>
                <w:rFonts w:ascii="Times New Roman" w:hAnsi="Times New Roman" w:eastAsia="仿宋"/>
                <w:bCs/>
                <w:sz w:val="24"/>
              </w:rPr>
            </w:pPr>
            <w:r>
              <w:rPr>
                <w:rFonts w:ascii="Times New Roman" w:hAnsi="Times New Roman" w:eastAsia="仿宋"/>
                <w:bCs/>
                <w:sz w:val="24"/>
              </w:rPr>
              <w:t>30.00</w:t>
            </w:r>
          </w:p>
        </w:tc>
        <w:tc>
          <w:tcPr>
            <w:tcW w:w="1000" w:type="dxa"/>
            <w:vAlign w:val="center"/>
          </w:tcPr>
          <w:p w14:paraId="7D705AA3">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26.00</w:t>
            </w:r>
          </w:p>
        </w:tc>
        <w:tc>
          <w:tcPr>
            <w:tcW w:w="1594" w:type="dxa"/>
            <w:vAlign w:val="center"/>
          </w:tcPr>
          <w:p w14:paraId="79D85956">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86.67%</w:t>
            </w:r>
          </w:p>
        </w:tc>
      </w:tr>
    </w:tbl>
    <w:p w14:paraId="75522AF7">
      <w:pPr>
        <w:widowControl/>
        <w:spacing w:line="500" w:lineRule="exact"/>
        <w:ind w:firstLine="560" w:firstLineChars="200"/>
        <w:outlineLvl w:val="3"/>
        <w:rPr>
          <w:rFonts w:ascii="Times New Roman" w:hAnsi="Times New Roman" w:eastAsia="仿宋"/>
          <w:snapToGrid w:val="0"/>
          <w:sz w:val="28"/>
          <w:szCs w:val="32"/>
        </w:rPr>
      </w:pPr>
      <w:r>
        <w:rPr>
          <w:rFonts w:ascii="Times New Roman" w:hAnsi="Times New Roman" w:eastAsia="仿宋"/>
          <w:snapToGrid w:val="0"/>
          <w:sz w:val="28"/>
          <w:szCs w:val="32"/>
        </w:rPr>
        <w:t>（1）项目产出</w:t>
      </w:r>
    </w:p>
    <w:p w14:paraId="5FA38393">
      <w:pPr>
        <w:widowControl w:val="0"/>
        <w:numPr>
          <w:ilvl w:val="0"/>
          <w:numId w:val="0"/>
        </w:numPr>
        <w:spacing w:line="500" w:lineRule="exact"/>
        <w:ind w:firstLine="562" w:firstLineChars="200"/>
        <w:jc w:val="both"/>
        <w:rPr>
          <w:rFonts w:hint="eastAsia" w:ascii="Times New Roman" w:hAnsi="Times New Roman" w:eastAsia="仿宋"/>
          <w:b w:val="0"/>
          <w:bCs/>
          <w:snapToGrid w:val="0"/>
          <w:sz w:val="28"/>
          <w:szCs w:val="32"/>
        </w:rPr>
      </w:pPr>
      <w:r>
        <w:rPr>
          <w:rFonts w:hint="eastAsia" w:ascii="Times New Roman" w:hAnsi="Times New Roman" w:eastAsia="仿宋"/>
          <w:b/>
          <w:bCs w:val="0"/>
          <w:snapToGrid w:val="0"/>
          <w:sz w:val="28"/>
          <w:szCs w:val="32"/>
        </w:rPr>
        <w:t>C11项目</w:t>
      </w:r>
      <w:r>
        <w:rPr>
          <w:rFonts w:hint="eastAsia" w:ascii="Times New Roman" w:hAnsi="Times New Roman" w:eastAsia="仿宋"/>
          <w:b/>
          <w:bCs w:val="0"/>
          <w:snapToGrid w:val="0"/>
          <w:sz w:val="28"/>
          <w:szCs w:val="32"/>
          <w:lang w:val="en-US" w:eastAsia="zh-CN"/>
        </w:rPr>
        <w:t>完成情况</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满分8.00分，得分8.00分。</w:t>
      </w:r>
      <w:r>
        <w:rPr>
          <w:rFonts w:hint="eastAsia" w:ascii="Times New Roman" w:hAnsi="Times New Roman" w:eastAsia="仿宋"/>
          <w:b w:val="0"/>
          <w:bCs/>
          <w:snapToGrid w:val="0"/>
          <w:sz w:val="28"/>
          <w:szCs w:val="32"/>
        </w:rPr>
        <w:t>该指标考察项目</w:t>
      </w:r>
      <w:r>
        <w:rPr>
          <w:rFonts w:hint="eastAsia" w:ascii="Times New Roman" w:hAnsi="Times New Roman" w:eastAsia="仿宋"/>
          <w:b w:val="0"/>
          <w:bCs/>
          <w:snapToGrid w:val="0"/>
          <w:sz w:val="28"/>
          <w:szCs w:val="32"/>
          <w:lang w:val="en-US" w:eastAsia="zh-CN"/>
        </w:rPr>
        <w:t>实际完成情况</w:t>
      </w:r>
      <w:r>
        <w:rPr>
          <w:rFonts w:hint="eastAsia" w:ascii="Times New Roman" w:hAnsi="Times New Roman" w:eastAsia="仿宋"/>
          <w:b w:val="0"/>
          <w:bCs/>
          <w:snapToGrid w:val="0"/>
          <w:sz w:val="28"/>
          <w:szCs w:val="32"/>
        </w:rPr>
        <w:t>。</w:t>
      </w:r>
      <w:r>
        <w:rPr>
          <w:rFonts w:hint="eastAsia" w:ascii="Times New Roman" w:hAnsi="Times New Roman" w:eastAsia="仿宋" w:cs="Times New Roman"/>
          <w:sz w:val="28"/>
          <w:szCs w:val="24"/>
          <w:lang w:val="en-US" w:eastAsia="zh-CN"/>
        </w:rPr>
        <w:t>古县旧县镇和南垣乡秦王庙村等八村土地综合整治项目区建设规模649.4722h㎡，新增耕地197.0009h㎡(全部为水浇地），提质改造面积218.2088公顷。主要内容包括：土地平整工程、灌溉与排水工程、田间道路工程、其他工程</w:t>
      </w:r>
      <w:r>
        <w:rPr>
          <w:rFonts w:hint="eastAsia" w:ascii="Times New Roman" w:hAnsi="Times New Roman" w:eastAsia="仿宋"/>
          <w:b w:val="0"/>
          <w:bCs/>
          <w:snapToGrid w:val="0"/>
          <w:sz w:val="28"/>
          <w:szCs w:val="32"/>
        </w:rPr>
        <w:t>。</w:t>
      </w:r>
      <w:r>
        <w:rPr>
          <w:rFonts w:hint="eastAsia" w:ascii="Times New Roman" w:hAnsi="Times New Roman" w:eastAsia="仿宋"/>
          <w:b w:val="0"/>
          <w:bCs/>
          <w:snapToGrid w:val="0"/>
          <w:sz w:val="28"/>
          <w:szCs w:val="32"/>
          <w:lang w:val="en-US" w:eastAsia="zh-CN"/>
        </w:rPr>
        <w:t>截止2021年12月31日，项目实施内容完成。</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r>
        <w:rPr>
          <w:rFonts w:hint="eastAsia" w:ascii="Times New Roman" w:hAnsi="Times New Roman" w:eastAsia="仿宋"/>
          <w:b w:val="0"/>
          <w:bCs/>
          <w:snapToGrid w:val="0"/>
          <w:sz w:val="28"/>
          <w:szCs w:val="32"/>
        </w:rPr>
        <w:t>。</w:t>
      </w:r>
    </w:p>
    <w:p w14:paraId="556DDA7D">
      <w:pPr>
        <w:spacing w:line="500" w:lineRule="exact"/>
        <w:ind w:firstLine="562" w:firstLineChars="200"/>
        <w:rPr>
          <w:rFonts w:hint="eastAsia" w:ascii="Times New Roman" w:hAnsi="Times New Roman" w:eastAsia="仿宋"/>
          <w:b w:val="0"/>
          <w:bCs/>
          <w:snapToGrid w:val="0"/>
          <w:sz w:val="28"/>
          <w:szCs w:val="32"/>
          <w:lang w:val="en-US" w:eastAsia="zh-CN"/>
        </w:rPr>
      </w:pPr>
      <w:r>
        <w:rPr>
          <w:rFonts w:hint="eastAsia" w:ascii="Times New Roman" w:hAnsi="Times New Roman" w:eastAsia="仿宋"/>
          <w:b/>
          <w:bCs w:val="0"/>
          <w:snapToGrid w:val="0"/>
          <w:sz w:val="28"/>
          <w:szCs w:val="32"/>
        </w:rPr>
        <w:t>C</w:t>
      </w:r>
      <w:r>
        <w:rPr>
          <w:rFonts w:hint="eastAsia" w:ascii="Times New Roman" w:hAnsi="Times New Roman" w:eastAsia="仿宋"/>
          <w:b/>
          <w:bCs w:val="0"/>
          <w:snapToGrid w:val="0"/>
          <w:sz w:val="28"/>
          <w:szCs w:val="32"/>
          <w:lang w:val="en-US" w:eastAsia="zh-CN"/>
        </w:rPr>
        <w:t>21质量达标</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满分8.00分，得分8.00分。</w:t>
      </w:r>
      <w:r>
        <w:rPr>
          <w:rFonts w:hint="eastAsia" w:ascii="Times New Roman" w:hAnsi="Times New Roman" w:eastAsia="仿宋"/>
          <w:b w:val="0"/>
          <w:bCs/>
          <w:snapToGrid w:val="0"/>
          <w:sz w:val="28"/>
          <w:szCs w:val="32"/>
        </w:rPr>
        <w:t>该指标分析评价核项目在竣工后，质量是否达到有关规定及设计要求</w:t>
      </w:r>
      <w:r>
        <w:rPr>
          <w:rFonts w:hint="eastAsia" w:ascii="Times New Roman" w:hAnsi="Times New Roman" w:eastAsia="仿宋"/>
          <w:b w:val="0"/>
          <w:bCs/>
          <w:snapToGrid w:val="0"/>
          <w:sz w:val="28"/>
          <w:szCs w:val="32"/>
          <w:lang w:eastAsia="zh-CN"/>
        </w:rPr>
        <w:t>。</w:t>
      </w:r>
      <w:r>
        <w:rPr>
          <w:rFonts w:hint="eastAsia" w:ascii="Times New Roman" w:hAnsi="Times New Roman" w:eastAsia="仿宋"/>
          <w:b w:val="0"/>
          <w:bCs/>
          <w:snapToGrid w:val="0"/>
          <w:sz w:val="28"/>
          <w:szCs w:val="32"/>
        </w:rPr>
        <w:t>根据《山西省农业综合开发项目单项工程验收单》，项目验收合格，工程质量合格</w:t>
      </w:r>
      <w:r>
        <w:rPr>
          <w:rFonts w:hint="eastAsia" w:ascii="Times New Roman" w:hAnsi="Times New Roman" w:eastAsia="仿宋"/>
          <w:b w:val="0"/>
          <w:bCs/>
          <w:snapToGrid w:val="0"/>
          <w:sz w:val="28"/>
          <w:szCs w:val="32"/>
          <w:lang w:val="en-US" w:eastAsia="zh-CN"/>
        </w:rPr>
        <w:t>。根据评分标准，该项得满分。</w:t>
      </w:r>
    </w:p>
    <w:p w14:paraId="0EB81037">
      <w:pPr>
        <w:spacing w:line="500" w:lineRule="exact"/>
        <w:ind w:firstLine="562" w:firstLineChars="200"/>
        <w:rPr>
          <w:rFonts w:hint="eastAsia" w:ascii="Times New Roman" w:hAnsi="Times New Roman" w:eastAsia="仿宋"/>
          <w:b w:val="0"/>
          <w:bCs/>
          <w:snapToGrid w:val="0"/>
          <w:sz w:val="28"/>
          <w:szCs w:val="32"/>
        </w:rPr>
      </w:pPr>
      <w:r>
        <w:rPr>
          <w:rFonts w:hint="eastAsia" w:ascii="Times New Roman" w:hAnsi="Times New Roman" w:eastAsia="仿宋"/>
          <w:b/>
          <w:bCs w:val="0"/>
          <w:snapToGrid w:val="0"/>
          <w:sz w:val="28"/>
          <w:szCs w:val="32"/>
        </w:rPr>
        <w:t>C</w:t>
      </w:r>
      <w:r>
        <w:rPr>
          <w:rFonts w:hint="eastAsia" w:ascii="Times New Roman" w:hAnsi="Times New Roman" w:eastAsia="仿宋"/>
          <w:b/>
          <w:bCs w:val="0"/>
          <w:snapToGrid w:val="0"/>
          <w:sz w:val="28"/>
          <w:szCs w:val="32"/>
          <w:lang w:val="en-US" w:eastAsia="zh-CN"/>
        </w:rPr>
        <w:t>31完成及时性</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满分8.00分，得分8.00分。</w:t>
      </w:r>
      <w:r>
        <w:rPr>
          <w:rFonts w:hint="eastAsia" w:ascii="Times New Roman" w:hAnsi="Times New Roman" w:eastAsia="仿宋"/>
          <w:b w:val="0"/>
          <w:bCs/>
          <w:snapToGrid w:val="0"/>
          <w:sz w:val="28"/>
          <w:szCs w:val="32"/>
        </w:rPr>
        <w:t>该指标考察项目是否在约定时间范围内竣工验收。</w:t>
      </w:r>
      <w:r>
        <w:rPr>
          <w:rFonts w:hint="eastAsia" w:ascii="Times New Roman" w:hAnsi="Times New Roman" w:eastAsia="仿宋"/>
          <w:b w:val="0"/>
          <w:bCs/>
          <w:snapToGrid w:val="0"/>
          <w:sz w:val="28"/>
          <w:szCs w:val="32"/>
          <w:lang w:val="en-US" w:eastAsia="zh-CN"/>
        </w:rPr>
        <w:t>2020年6月29日，古县旧县镇和南垣乡秦王庙村等八村土地综合整治项目经采购程序确定：五台县第二建筑有限公司（一标段、中标金额35093640.08万元、工期100日历天）、山西景泰鸿建设工程有限责任公司为中标方（二标段、中标金额49282172.21元、工期100日历天）</w:t>
      </w:r>
      <w:r>
        <w:rPr>
          <w:rFonts w:hint="eastAsia" w:ascii="Times New Roman" w:hAnsi="Times New Roman" w:eastAsia="仿宋"/>
          <w:b w:val="0"/>
          <w:bCs/>
          <w:snapToGrid w:val="0"/>
          <w:sz w:val="28"/>
          <w:szCs w:val="32"/>
        </w:rPr>
        <w:t>。</w:t>
      </w:r>
      <w:r>
        <w:rPr>
          <w:rFonts w:hint="eastAsia" w:ascii="Times New Roman" w:hAnsi="Times New Roman" w:eastAsia="仿宋"/>
          <w:b w:val="0"/>
          <w:bCs/>
          <w:snapToGrid w:val="0"/>
          <w:sz w:val="28"/>
          <w:szCs w:val="32"/>
          <w:lang w:val="en-US" w:eastAsia="zh-CN"/>
        </w:rPr>
        <w:t>综合评价，该项工程完工及时。</w:t>
      </w:r>
      <w:r>
        <w:rPr>
          <w:rFonts w:ascii="Times New Roman" w:hAnsi="Times New Roman" w:eastAsia="仿宋"/>
          <w:snapToGrid w:val="0"/>
          <w:sz w:val="28"/>
          <w:szCs w:val="32"/>
        </w:rPr>
        <w:t>根据评分标准，该项得</w:t>
      </w:r>
      <w:r>
        <w:rPr>
          <w:rFonts w:hint="eastAsia" w:ascii="Times New Roman" w:hAnsi="Times New Roman" w:eastAsia="仿宋"/>
          <w:snapToGrid w:val="0"/>
          <w:sz w:val="28"/>
          <w:szCs w:val="32"/>
          <w:lang w:val="en-US" w:eastAsia="zh-CN"/>
        </w:rPr>
        <w:t>满</w:t>
      </w:r>
      <w:r>
        <w:rPr>
          <w:rFonts w:ascii="Times New Roman" w:hAnsi="Times New Roman" w:eastAsia="仿宋"/>
          <w:snapToGrid w:val="0"/>
          <w:sz w:val="28"/>
          <w:szCs w:val="32"/>
        </w:rPr>
        <w:t>分</w:t>
      </w:r>
      <w:r>
        <w:rPr>
          <w:rFonts w:hint="eastAsia" w:ascii="Times New Roman" w:hAnsi="Times New Roman" w:eastAsia="仿宋"/>
          <w:b w:val="0"/>
          <w:bCs/>
          <w:snapToGrid w:val="0"/>
          <w:sz w:val="28"/>
          <w:szCs w:val="32"/>
        </w:rPr>
        <w:t>。</w:t>
      </w:r>
    </w:p>
    <w:p w14:paraId="34D3EBA6">
      <w:pPr>
        <w:spacing w:line="500" w:lineRule="exact"/>
        <w:ind w:firstLine="562" w:firstLineChars="200"/>
        <w:rPr>
          <w:rFonts w:hint="default" w:ascii="Times New Roman" w:hAnsi="Times New Roman" w:eastAsia="仿宋"/>
          <w:b w:val="0"/>
          <w:bCs/>
          <w:snapToGrid w:val="0"/>
          <w:sz w:val="28"/>
          <w:szCs w:val="32"/>
          <w:lang w:val="en-US" w:eastAsia="zh-CN"/>
        </w:rPr>
      </w:pPr>
      <w:r>
        <w:rPr>
          <w:rFonts w:hint="eastAsia" w:ascii="Times New Roman" w:hAnsi="Times New Roman" w:eastAsia="仿宋"/>
          <w:b/>
          <w:bCs w:val="0"/>
          <w:snapToGrid w:val="0"/>
          <w:sz w:val="28"/>
          <w:szCs w:val="32"/>
        </w:rPr>
        <w:t>C</w:t>
      </w:r>
      <w:r>
        <w:rPr>
          <w:rFonts w:hint="eastAsia" w:ascii="Times New Roman" w:hAnsi="Times New Roman" w:eastAsia="仿宋"/>
          <w:b/>
          <w:bCs w:val="0"/>
          <w:snapToGrid w:val="0"/>
          <w:sz w:val="28"/>
          <w:szCs w:val="32"/>
          <w:lang w:val="en-US" w:eastAsia="zh-CN"/>
        </w:rPr>
        <w:t>41成本控制能力</w:t>
      </w:r>
      <w:r>
        <w:rPr>
          <w:rFonts w:hint="eastAsia" w:ascii="Times New Roman" w:hAnsi="Times New Roman" w:eastAsia="仿宋"/>
          <w:b/>
          <w:bCs w:val="0"/>
          <w:snapToGrid w:val="0"/>
          <w:sz w:val="28"/>
          <w:szCs w:val="32"/>
        </w:rPr>
        <w:t>：</w:t>
      </w:r>
      <w:r>
        <w:rPr>
          <w:rFonts w:hint="eastAsia" w:ascii="Times New Roman" w:hAnsi="Times New Roman" w:eastAsia="仿宋"/>
          <w:snapToGrid w:val="0"/>
          <w:sz w:val="28"/>
          <w:szCs w:val="32"/>
          <w:lang w:val="en-US" w:eastAsia="zh-CN"/>
        </w:rPr>
        <w:t>满分6.00分，得分2.00分。</w:t>
      </w:r>
      <w:r>
        <w:rPr>
          <w:rFonts w:hint="eastAsia" w:ascii="Times New Roman" w:hAnsi="Times New Roman" w:eastAsia="仿宋"/>
          <w:b w:val="0"/>
          <w:bCs/>
          <w:snapToGrid w:val="0"/>
          <w:sz w:val="28"/>
          <w:szCs w:val="32"/>
        </w:rPr>
        <w:t>该指标考察是否对项目成本进行了有效的控制。</w:t>
      </w:r>
      <w:r>
        <w:rPr>
          <w:rFonts w:hint="eastAsia" w:ascii="Times New Roman" w:hAnsi="Times New Roman" w:eastAsia="仿宋"/>
          <w:b w:val="0"/>
          <w:bCs/>
          <w:snapToGrid w:val="0"/>
          <w:sz w:val="28"/>
          <w:szCs w:val="32"/>
          <w:lang w:val="en-US" w:eastAsia="zh-CN"/>
        </w:rPr>
        <w:t>根据古县自然资源局提供的资料，项目预算价未超概算；但截至2021年12月31日，项目尚未决算审计，项目成本控制情况无法考量。</w:t>
      </w:r>
      <w:r>
        <w:rPr>
          <w:rFonts w:ascii="Times New Roman" w:hAnsi="Times New Roman" w:eastAsia="仿宋"/>
          <w:snapToGrid w:val="0"/>
          <w:sz w:val="28"/>
          <w:szCs w:val="32"/>
        </w:rPr>
        <w:t>根据评分标准，该项</w:t>
      </w:r>
      <w:r>
        <w:rPr>
          <w:rFonts w:hint="eastAsia" w:ascii="Times New Roman" w:hAnsi="Times New Roman" w:eastAsia="仿宋"/>
          <w:snapToGrid w:val="0"/>
          <w:sz w:val="28"/>
          <w:szCs w:val="32"/>
          <w:lang w:val="en-US" w:eastAsia="zh-CN"/>
        </w:rPr>
        <w:t>得2.00</w:t>
      </w:r>
      <w:r>
        <w:rPr>
          <w:rFonts w:ascii="Times New Roman" w:hAnsi="Times New Roman" w:eastAsia="仿宋"/>
          <w:snapToGrid w:val="0"/>
          <w:sz w:val="28"/>
          <w:szCs w:val="32"/>
        </w:rPr>
        <w:t>分</w:t>
      </w:r>
      <w:r>
        <w:rPr>
          <w:rFonts w:hint="eastAsia" w:ascii="Times New Roman" w:hAnsi="Times New Roman" w:eastAsia="仿宋"/>
          <w:b w:val="0"/>
          <w:bCs/>
          <w:snapToGrid w:val="0"/>
          <w:sz w:val="28"/>
          <w:szCs w:val="32"/>
        </w:rPr>
        <w:t>。</w:t>
      </w:r>
    </w:p>
    <w:p w14:paraId="0C82751A">
      <w:pPr>
        <w:spacing w:line="500" w:lineRule="exact"/>
        <w:ind w:firstLine="562" w:firstLineChars="200"/>
        <w:outlineLvl w:val="2"/>
        <w:rPr>
          <w:rFonts w:ascii="Times New Roman" w:hAnsi="Times New Roman" w:eastAsia="仿宋"/>
          <w:b/>
          <w:snapToGrid w:val="0"/>
          <w:sz w:val="28"/>
          <w:szCs w:val="32"/>
        </w:rPr>
      </w:pPr>
      <w:bookmarkStart w:id="101" w:name="_Toc528680469"/>
      <w:bookmarkStart w:id="102" w:name="_Toc528684144"/>
      <w:bookmarkStart w:id="103" w:name="_Toc18049"/>
      <w:bookmarkStart w:id="104" w:name="_Toc22268"/>
      <w:bookmarkStart w:id="105" w:name="_Toc19098"/>
      <w:bookmarkStart w:id="106" w:name="_Toc3853"/>
      <w:bookmarkStart w:id="107" w:name="_Toc31873"/>
      <w:r>
        <w:rPr>
          <w:rFonts w:ascii="Times New Roman" w:hAnsi="Times New Roman" w:eastAsia="仿宋"/>
          <w:b/>
          <w:snapToGrid w:val="0"/>
          <w:sz w:val="28"/>
          <w:szCs w:val="32"/>
        </w:rPr>
        <w:t>4.效益分析</w:t>
      </w:r>
      <w:bookmarkEnd w:id="101"/>
      <w:bookmarkEnd w:id="102"/>
      <w:bookmarkEnd w:id="103"/>
      <w:bookmarkEnd w:id="104"/>
      <w:bookmarkEnd w:id="105"/>
      <w:bookmarkEnd w:id="106"/>
      <w:bookmarkEnd w:id="107"/>
    </w:p>
    <w:p w14:paraId="26A66714">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效益类指标主要从</w:t>
      </w:r>
      <w:r>
        <w:rPr>
          <w:rFonts w:hint="eastAsia" w:ascii="Times New Roman" w:hAnsi="Times New Roman" w:eastAsia="仿宋"/>
          <w:snapToGrid w:val="0"/>
          <w:sz w:val="28"/>
          <w:szCs w:val="32"/>
          <w:lang w:val="en-US" w:eastAsia="zh-CN"/>
        </w:rPr>
        <w:t>经济效益、社会效益</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项目</w:t>
      </w:r>
      <w:r>
        <w:rPr>
          <w:rFonts w:hint="eastAsia" w:ascii="Times New Roman" w:hAnsi="Times New Roman" w:eastAsia="仿宋"/>
          <w:snapToGrid w:val="0"/>
          <w:sz w:val="28"/>
          <w:szCs w:val="32"/>
        </w:rPr>
        <w:t>运行管理</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受益群众</w:t>
      </w:r>
      <w:r>
        <w:rPr>
          <w:rFonts w:hint="eastAsia" w:ascii="Times New Roman" w:hAnsi="Times New Roman" w:eastAsia="仿宋"/>
          <w:snapToGrid w:val="0"/>
          <w:sz w:val="28"/>
          <w:szCs w:val="32"/>
        </w:rPr>
        <w:t>满意度</w:t>
      </w:r>
      <w:r>
        <w:rPr>
          <w:rFonts w:hint="eastAsia" w:ascii="Times New Roman" w:hAnsi="Times New Roman" w:eastAsia="仿宋"/>
          <w:snapToGrid w:val="0"/>
          <w:sz w:val="28"/>
          <w:szCs w:val="32"/>
          <w:lang w:val="en-US" w:eastAsia="zh-CN"/>
        </w:rPr>
        <w:t>4</w:t>
      </w:r>
      <w:r>
        <w:rPr>
          <w:rFonts w:ascii="Times New Roman" w:hAnsi="Times New Roman" w:eastAsia="仿宋"/>
          <w:snapToGrid w:val="0"/>
          <w:sz w:val="28"/>
          <w:szCs w:val="32"/>
        </w:rPr>
        <w:t>个指标考察该项目的</w:t>
      </w:r>
      <w:r>
        <w:rPr>
          <w:rFonts w:hint="eastAsia" w:ascii="Times New Roman" w:hAnsi="Times New Roman" w:eastAsia="仿宋"/>
          <w:snapToGrid w:val="0"/>
          <w:sz w:val="28"/>
          <w:szCs w:val="32"/>
          <w:lang w:val="en-US" w:eastAsia="zh-CN"/>
        </w:rPr>
        <w:t>经济效益、社会效益、</w:t>
      </w:r>
      <w:r>
        <w:rPr>
          <w:rFonts w:ascii="Times New Roman" w:hAnsi="Times New Roman" w:eastAsia="仿宋"/>
          <w:snapToGrid w:val="0"/>
          <w:sz w:val="28"/>
          <w:szCs w:val="32"/>
        </w:rPr>
        <w:t>可持续影响、服务对象满意度情况。效益类指标权重30.00分，实际得分</w:t>
      </w:r>
      <w:r>
        <w:rPr>
          <w:rFonts w:hint="eastAsia" w:ascii="Times New Roman" w:hAnsi="Times New Roman" w:eastAsia="仿宋"/>
          <w:snapToGrid w:val="0"/>
          <w:sz w:val="28"/>
          <w:szCs w:val="32"/>
          <w:lang w:val="en-US" w:eastAsia="zh-CN"/>
        </w:rPr>
        <w:t>20.00</w:t>
      </w:r>
      <w:r>
        <w:rPr>
          <w:rFonts w:ascii="Times New Roman" w:hAnsi="Times New Roman" w:eastAsia="仿宋"/>
          <w:snapToGrid w:val="0"/>
          <w:sz w:val="28"/>
          <w:szCs w:val="32"/>
        </w:rPr>
        <w:t>分。指标得分情况如表4-4所示：</w:t>
      </w:r>
    </w:p>
    <w:p w14:paraId="220F488C">
      <w:pPr>
        <w:widowControl/>
        <w:spacing w:line="500" w:lineRule="exact"/>
        <w:jc w:val="center"/>
        <w:rPr>
          <w:rFonts w:ascii="Times New Roman" w:hAnsi="Times New Roman" w:eastAsia="仿宋"/>
          <w:b/>
          <w:snapToGrid w:val="0"/>
          <w:sz w:val="24"/>
        </w:rPr>
      </w:pPr>
      <w:r>
        <w:rPr>
          <w:rFonts w:ascii="Times New Roman" w:hAnsi="Times New Roman" w:eastAsia="仿宋"/>
          <w:b/>
          <w:snapToGrid w:val="0"/>
          <w:sz w:val="24"/>
        </w:rPr>
        <w:t>表4-4 效益类指标得分情况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552"/>
        <w:gridCol w:w="2950"/>
        <w:gridCol w:w="840"/>
        <w:gridCol w:w="840"/>
        <w:gridCol w:w="1340"/>
      </w:tblGrid>
      <w:tr w14:paraId="6B9754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2552" w:type="dxa"/>
            <w:shd w:val="clear" w:color="auto" w:fill="BFBFBF"/>
            <w:vAlign w:val="center"/>
          </w:tcPr>
          <w:p w14:paraId="4D289CFC">
            <w:pPr>
              <w:jc w:val="center"/>
              <w:rPr>
                <w:rFonts w:ascii="Times New Roman" w:hAnsi="Times New Roman" w:eastAsia="仿宋"/>
                <w:b/>
                <w:bCs/>
                <w:sz w:val="24"/>
              </w:rPr>
            </w:pPr>
            <w:r>
              <w:rPr>
                <w:rFonts w:ascii="Times New Roman" w:hAnsi="Times New Roman" w:eastAsia="仿宋"/>
                <w:b/>
                <w:bCs/>
                <w:sz w:val="24"/>
              </w:rPr>
              <w:t>二级指标</w:t>
            </w:r>
          </w:p>
        </w:tc>
        <w:tc>
          <w:tcPr>
            <w:tcW w:w="2950" w:type="dxa"/>
            <w:shd w:val="clear" w:color="auto" w:fill="BFBFBF"/>
            <w:vAlign w:val="center"/>
          </w:tcPr>
          <w:p w14:paraId="574A7046">
            <w:pPr>
              <w:jc w:val="center"/>
              <w:rPr>
                <w:rFonts w:ascii="Times New Roman" w:hAnsi="Times New Roman" w:eastAsia="仿宋"/>
                <w:b/>
                <w:bCs/>
                <w:sz w:val="24"/>
              </w:rPr>
            </w:pPr>
            <w:r>
              <w:rPr>
                <w:rFonts w:ascii="Times New Roman" w:hAnsi="Times New Roman" w:eastAsia="仿宋"/>
                <w:b/>
                <w:bCs/>
                <w:sz w:val="24"/>
              </w:rPr>
              <w:t>三级指标</w:t>
            </w:r>
          </w:p>
        </w:tc>
        <w:tc>
          <w:tcPr>
            <w:tcW w:w="840" w:type="dxa"/>
            <w:shd w:val="clear" w:color="auto" w:fill="BFBFBF"/>
            <w:vAlign w:val="center"/>
          </w:tcPr>
          <w:p w14:paraId="751AE950">
            <w:pPr>
              <w:jc w:val="center"/>
              <w:rPr>
                <w:rFonts w:ascii="Times New Roman" w:hAnsi="Times New Roman" w:eastAsia="仿宋"/>
                <w:b/>
                <w:bCs/>
                <w:sz w:val="24"/>
              </w:rPr>
            </w:pPr>
            <w:r>
              <w:rPr>
                <w:rFonts w:ascii="Times New Roman" w:hAnsi="Times New Roman" w:eastAsia="仿宋"/>
                <w:b/>
                <w:bCs/>
                <w:sz w:val="24"/>
              </w:rPr>
              <w:t>权重</w:t>
            </w:r>
          </w:p>
        </w:tc>
        <w:tc>
          <w:tcPr>
            <w:tcW w:w="840" w:type="dxa"/>
            <w:shd w:val="clear" w:color="auto" w:fill="BFBFBF"/>
            <w:vAlign w:val="center"/>
          </w:tcPr>
          <w:p w14:paraId="4A890056">
            <w:pPr>
              <w:jc w:val="center"/>
              <w:rPr>
                <w:rFonts w:ascii="Times New Roman" w:hAnsi="Times New Roman" w:eastAsia="仿宋"/>
                <w:b/>
                <w:bCs/>
                <w:sz w:val="24"/>
              </w:rPr>
            </w:pPr>
            <w:r>
              <w:rPr>
                <w:rFonts w:ascii="Times New Roman" w:hAnsi="Times New Roman" w:eastAsia="仿宋"/>
                <w:b/>
                <w:bCs/>
                <w:sz w:val="24"/>
              </w:rPr>
              <w:t>得分</w:t>
            </w:r>
          </w:p>
        </w:tc>
        <w:tc>
          <w:tcPr>
            <w:tcW w:w="1340" w:type="dxa"/>
            <w:shd w:val="clear" w:color="auto" w:fill="BFBFBF"/>
            <w:vAlign w:val="center"/>
          </w:tcPr>
          <w:p w14:paraId="406A6C6F">
            <w:pPr>
              <w:jc w:val="center"/>
              <w:rPr>
                <w:rFonts w:ascii="Times New Roman" w:hAnsi="Times New Roman" w:eastAsia="仿宋"/>
                <w:b/>
                <w:bCs/>
                <w:sz w:val="24"/>
              </w:rPr>
            </w:pPr>
            <w:r>
              <w:rPr>
                <w:rFonts w:ascii="Times New Roman" w:hAnsi="Times New Roman" w:eastAsia="仿宋"/>
                <w:b/>
                <w:bCs/>
                <w:sz w:val="24"/>
              </w:rPr>
              <w:t>得分率</w:t>
            </w:r>
          </w:p>
        </w:tc>
      </w:tr>
      <w:tr w14:paraId="0FD610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552" w:type="dxa"/>
            <w:vAlign w:val="center"/>
          </w:tcPr>
          <w:p w14:paraId="79B0C892">
            <w:pPr>
              <w:jc w:val="center"/>
              <w:rPr>
                <w:rFonts w:ascii="Times New Roman" w:hAnsi="Times New Roman" w:eastAsia="仿宋"/>
                <w:bCs/>
                <w:sz w:val="24"/>
              </w:rPr>
            </w:pPr>
            <w:r>
              <w:rPr>
                <w:rFonts w:ascii="Times New Roman" w:hAnsi="Times New Roman" w:eastAsia="仿宋"/>
                <w:bCs/>
                <w:sz w:val="24"/>
              </w:rPr>
              <w:t>D1</w:t>
            </w:r>
            <w:r>
              <w:rPr>
                <w:rFonts w:hint="eastAsia" w:ascii="Times New Roman" w:hAnsi="Times New Roman" w:eastAsia="仿宋"/>
                <w:bCs/>
                <w:sz w:val="24"/>
                <w:lang w:val="en-US" w:eastAsia="zh-CN"/>
              </w:rPr>
              <w:t>经济</w:t>
            </w:r>
            <w:r>
              <w:rPr>
                <w:rFonts w:ascii="Times New Roman" w:hAnsi="Times New Roman" w:eastAsia="仿宋"/>
                <w:bCs/>
                <w:sz w:val="24"/>
              </w:rPr>
              <w:t>效益</w:t>
            </w:r>
          </w:p>
        </w:tc>
        <w:tc>
          <w:tcPr>
            <w:tcW w:w="2950" w:type="dxa"/>
            <w:vAlign w:val="center"/>
          </w:tcPr>
          <w:p w14:paraId="37D31B34">
            <w:pPr>
              <w:jc w:val="center"/>
              <w:rPr>
                <w:rFonts w:ascii="Times New Roman" w:hAnsi="Times New Roman" w:eastAsia="仿宋"/>
                <w:bCs/>
                <w:sz w:val="24"/>
              </w:rPr>
            </w:pPr>
            <w:r>
              <w:rPr>
                <w:rFonts w:hint="eastAsia" w:ascii="Times New Roman" w:hAnsi="Times New Roman" w:eastAsia="仿宋"/>
                <w:bCs/>
                <w:sz w:val="24"/>
                <w:lang w:val="en-US" w:eastAsia="zh-CN"/>
              </w:rPr>
              <w:t>D11经济</w:t>
            </w:r>
            <w:r>
              <w:rPr>
                <w:rFonts w:ascii="Times New Roman" w:hAnsi="Times New Roman" w:eastAsia="仿宋"/>
                <w:bCs/>
                <w:sz w:val="24"/>
              </w:rPr>
              <w:t>效益</w:t>
            </w:r>
          </w:p>
        </w:tc>
        <w:tc>
          <w:tcPr>
            <w:tcW w:w="840" w:type="dxa"/>
            <w:vAlign w:val="center"/>
          </w:tcPr>
          <w:p w14:paraId="3F61CC8A">
            <w:pPr>
              <w:jc w:val="center"/>
              <w:rPr>
                <w:rFonts w:ascii="Times New Roman" w:hAnsi="Times New Roman" w:eastAsia="仿宋"/>
                <w:bCs/>
                <w:sz w:val="24"/>
              </w:rPr>
            </w:pPr>
            <w:r>
              <w:rPr>
                <w:rFonts w:hint="eastAsia" w:ascii="Times New Roman" w:hAnsi="Times New Roman" w:eastAsia="仿宋"/>
                <w:bCs/>
                <w:sz w:val="24"/>
                <w:lang w:val="en-US" w:eastAsia="zh-CN"/>
              </w:rPr>
              <w:t>5</w:t>
            </w:r>
            <w:r>
              <w:rPr>
                <w:rFonts w:ascii="Times New Roman" w:hAnsi="Times New Roman" w:eastAsia="仿宋"/>
                <w:bCs/>
                <w:sz w:val="24"/>
              </w:rPr>
              <w:t>.00</w:t>
            </w:r>
          </w:p>
        </w:tc>
        <w:tc>
          <w:tcPr>
            <w:tcW w:w="840" w:type="dxa"/>
            <w:vAlign w:val="center"/>
          </w:tcPr>
          <w:p w14:paraId="623BA45A">
            <w:pPr>
              <w:jc w:val="center"/>
              <w:rPr>
                <w:rFonts w:ascii="Times New Roman" w:hAnsi="Times New Roman" w:eastAsia="仿宋"/>
                <w:bCs/>
                <w:sz w:val="24"/>
              </w:rPr>
            </w:pPr>
            <w:r>
              <w:rPr>
                <w:rFonts w:hint="eastAsia" w:ascii="Times New Roman" w:hAnsi="Times New Roman" w:eastAsia="仿宋"/>
                <w:bCs/>
                <w:sz w:val="24"/>
                <w:lang w:val="en-US" w:eastAsia="zh-CN"/>
              </w:rPr>
              <w:t>5</w:t>
            </w:r>
            <w:r>
              <w:rPr>
                <w:rFonts w:ascii="Times New Roman" w:hAnsi="Times New Roman" w:eastAsia="仿宋"/>
                <w:bCs/>
                <w:sz w:val="24"/>
              </w:rPr>
              <w:t>.00</w:t>
            </w:r>
          </w:p>
        </w:tc>
        <w:tc>
          <w:tcPr>
            <w:tcW w:w="1340" w:type="dxa"/>
            <w:vAlign w:val="center"/>
          </w:tcPr>
          <w:p w14:paraId="2B2A8411">
            <w:pPr>
              <w:jc w:val="center"/>
              <w:rPr>
                <w:rFonts w:ascii="Times New Roman" w:hAnsi="Times New Roman" w:eastAsia="仿宋"/>
                <w:bCs/>
                <w:sz w:val="24"/>
              </w:rPr>
            </w:pPr>
            <w:r>
              <w:rPr>
                <w:rFonts w:ascii="Times New Roman" w:hAnsi="Times New Roman" w:eastAsia="仿宋"/>
                <w:bCs/>
                <w:sz w:val="24"/>
              </w:rPr>
              <w:t>100.00%</w:t>
            </w:r>
          </w:p>
        </w:tc>
      </w:tr>
      <w:tr w14:paraId="48857D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552" w:type="dxa"/>
            <w:vAlign w:val="center"/>
          </w:tcPr>
          <w:p w14:paraId="465FD21C">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D2社会效益</w:t>
            </w:r>
          </w:p>
        </w:tc>
        <w:tc>
          <w:tcPr>
            <w:tcW w:w="2950" w:type="dxa"/>
            <w:vAlign w:val="center"/>
          </w:tcPr>
          <w:p w14:paraId="4DEF71B0">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D21社会效益</w:t>
            </w:r>
          </w:p>
        </w:tc>
        <w:tc>
          <w:tcPr>
            <w:tcW w:w="840" w:type="dxa"/>
            <w:vAlign w:val="center"/>
          </w:tcPr>
          <w:p w14:paraId="4369FE71">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5.00</w:t>
            </w:r>
          </w:p>
        </w:tc>
        <w:tc>
          <w:tcPr>
            <w:tcW w:w="840" w:type="dxa"/>
            <w:vAlign w:val="center"/>
          </w:tcPr>
          <w:p w14:paraId="1B88F762">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5.00</w:t>
            </w:r>
          </w:p>
        </w:tc>
        <w:tc>
          <w:tcPr>
            <w:tcW w:w="1340" w:type="dxa"/>
            <w:vAlign w:val="center"/>
          </w:tcPr>
          <w:p w14:paraId="6C4E7720">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100.00%</w:t>
            </w:r>
          </w:p>
        </w:tc>
      </w:tr>
      <w:tr w14:paraId="0DE901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552" w:type="dxa"/>
            <w:vAlign w:val="center"/>
          </w:tcPr>
          <w:p w14:paraId="4C21D96D">
            <w:pPr>
              <w:jc w:val="center"/>
              <w:rPr>
                <w:rFonts w:ascii="Times New Roman" w:hAnsi="Times New Roman" w:eastAsia="仿宋"/>
                <w:bCs/>
                <w:sz w:val="24"/>
              </w:rPr>
            </w:pPr>
            <w:r>
              <w:rPr>
                <w:rFonts w:ascii="Times New Roman" w:hAnsi="Times New Roman" w:eastAsia="仿宋"/>
                <w:bCs/>
                <w:sz w:val="24"/>
              </w:rPr>
              <w:t>D</w:t>
            </w:r>
            <w:r>
              <w:rPr>
                <w:rFonts w:hint="eastAsia" w:ascii="Times New Roman" w:hAnsi="Times New Roman" w:eastAsia="仿宋"/>
                <w:bCs/>
                <w:sz w:val="24"/>
                <w:lang w:val="en-US" w:eastAsia="zh-CN"/>
              </w:rPr>
              <w:t>3</w:t>
            </w:r>
            <w:r>
              <w:rPr>
                <w:rFonts w:ascii="Times New Roman" w:hAnsi="Times New Roman" w:eastAsia="仿宋"/>
                <w:bCs/>
                <w:sz w:val="24"/>
              </w:rPr>
              <w:t>可持续影响</w:t>
            </w:r>
          </w:p>
        </w:tc>
        <w:tc>
          <w:tcPr>
            <w:tcW w:w="2950" w:type="dxa"/>
            <w:vAlign w:val="center"/>
          </w:tcPr>
          <w:p w14:paraId="1DA5B31F">
            <w:pPr>
              <w:jc w:val="center"/>
              <w:rPr>
                <w:rFonts w:ascii="Times New Roman" w:hAnsi="Times New Roman" w:eastAsia="仿宋"/>
                <w:bCs/>
                <w:sz w:val="24"/>
              </w:rPr>
            </w:pPr>
            <w:r>
              <w:rPr>
                <w:rFonts w:hint="eastAsia" w:ascii="Times New Roman" w:hAnsi="Times New Roman" w:eastAsia="仿宋"/>
                <w:bCs/>
                <w:sz w:val="24"/>
                <w:lang w:val="en-US" w:eastAsia="zh-CN"/>
              </w:rPr>
              <w:t>D31项目运行管理</w:t>
            </w:r>
          </w:p>
        </w:tc>
        <w:tc>
          <w:tcPr>
            <w:tcW w:w="840" w:type="dxa"/>
            <w:vAlign w:val="center"/>
          </w:tcPr>
          <w:p w14:paraId="2AF1266B">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w:t>
            </w:r>
          </w:p>
        </w:tc>
        <w:tc>
          <w:tcPr>
            <w:tcW w:w="840" w:type="dxa"/>
            <w:vAlign w:val="center"/>
          </w:tcPr>
          <w:p w14:paraId="1AC632A3">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0.00</w:t>
            </w:r>
          </w:p>
        </w:tc>
        <w:tc>
          <w:tcPr>
            <w:tcW w:w="1340" w:type="dxa"/>
            <w:vAlign w:val="center"/>
          </w:tcPr>
          <w:p w14:paraId="0C6860CE">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0.00%</w:t>
            </w:r>
          </w:p>
        </w:tc>
      </w:tr>
      <w:tr w14:paraId="58866D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552" w:type="dxa"/>
            <w:vAlign w:val="center"/>
          </w:tcPr>
          <w:p w14:paraId="792D0B4F">
            <w:pPr>
              <w:jc w:val="center"/>
              <w:rPr>
                <w:rFonts w:ascii="Times New Roman" w:hAnsi="Times New Roman" w:eastAsia="仿宋"/>
                <w:bCs/>
                <w:sz w:val="24"/>
              </w:rPr>
            </w:pPr>
            <w:r>
              <w:rPr>
                <w:rFonts w:ascii="Times New Roman" w:hAnsi="Times New Roman" w:eastAsia="仿宋"/>
                <w:bCs/>
                <w:sz w:val="24"/>
              </w:rPr>
              <w:t>D</w:t>
            </w:r>
            <w:r>
              <w:rPr>
                <w:rFonts w:hint="eastAsia" w:ascii="Times New Roman" w:hAnsi="Times New Roman" w:eastAsia="仿宋"/>
                <w:bCs/>
                <w:sz w:val="24"/>
                <w:lang w:val="en-US" w:eastAsia="zh-CN"/>
              </w:rPr>
              <w:t>4</w:t>
            </w:r>
            <w:r>
              <w:rPr>
                <w:rFonts w:ascii="Times New Roman" w:hAnsi="Times New Roman" w:eastAsia="仿宋"/>
                <w:bCs/>
                <w:sz w:val="24"/>
              </w:rPr>
              <w:t>服务对象满意度</w:t>
            </w:r>
          </w:p>
        </w:tc>
        <w:tc>
          <w:tcPr>
            <w:tcW w:w="2950" w:type="dxa"/>
            <w:vAlign w:val="center"/>
          </w:tcPr>
          <w:p w14:paraId="59622CF1">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D41保护区域居民满意度</w:t>
            </w:r>
          </w:p>
        </w:tc>
        <w:tc>
          <w:tcPr>
            <w:tcW w:w="840" w:type="dxa"/>
            <w:vAlign w:val="center"/>
          </w:tcPr>
          <w:p w14:paraId="48D63A7B">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w:t>
            </w:r>
          </w:p>
        </w:tc>
        <w:tc>
          <w:tcPr>
            <w:tcW w:w="840" w:type="dxa"/>
            <w:vAlign w:val="center"/>
          </w:tcPr>
          <w:p w14:paraId="359BF8C0">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10.00</w:t>
            </w:r>
          </w:p>
        </w:tc>
        <w:tc>
          <w:tcPr>
            <w:tcW w:w="1340" w:type="dxa"/>
            <w:vAlign w:val="center"/>
          </w:tcPr>
          <w:p w14:paraId="389128B8">
            <w:pPr>
              <w:jc w:val="center"/>
              <w:rPr>
                <w:rFonts w:ascii="Times New Roman" w:hAnsi="Times New Roman" w:eastAsia="仿宋"/>
                <w:bCs/>
                <w:sz w:val="24"/>
              </w:rPr>
            </w:pPr>
            <w:r>
              <w:rPr>
                <w:rFonts w:ascii="Times New Roman" w:hAnsi="Times New Roman" w:eastAsia="仿宋"/>
                <w:bCs/>
                <w:sz w:val="24"/>
              </w:rPr>
              <w:t>100.00%</w:t>
            </w:r>
          </w:p>
        </w:tc>
      </w:tr>
      <w:tr w14:paraId="14F2DF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5502" w:type="dxa"/>
            <w:gridSpan w:val="2"/>
            <w:vAlign w:val="center"/>
          </w:tcPr>
          <w:p w14:paraId="193A9BC5">
            <w:pPr>
              <w:jc w:val="center"/>
              <w:rPr>
                <w:rFonts w:ascii="Times New Roman" w:hAnsi="Times New Roman" w:eastAsia="仿宋"/>
                <w:bCs/>
                <w:sz w:val="24"/>
              </w:rPr>
            </w:pPr>
            <w:r>
              <w:rPr>
                <w:rFonts w:ascii="Times New Roman" w:hAnsi="Times New Roman" w:eastAsia="仿宋"/>
                <w:bCs/>
                <w:sz w:val="24"/>
              </w:rPr>
              <w:t>合计</w:t>
            </w:r>
          </w:p>
        </w:tc>
        <w:tc>
          <w:tcPr>
            <w:tcW w:w="840" w:type="dxa"/>
            <w:vAlign w:val="center"/>
          </w:tcPr>
          <w:p w14:paraId="1DB82211">
            <w:pPr>
              <w:jc w:val="center"/>
              <w:rPr>
                <w:rFonts w:ascii="Times New Roman" w:hAnsi="Times New Roman" w:eastAsia="仿宋"/>
                <w:bCs/>
                <w:sz w:val="24"/>
              </w:rPr>
            </w:pPr>
            <w:r>
              <w:rPr>
                <w:rFonts w:ascii="Times New Roman" w:hAnsi="Times New Roman" w:eastAsia="仿宋"/>
                <w:bCs/>
                <w:sz w:val="24"/>
              </w:rPr>
              <w:t>30.00</w:t>
            </w:r>
          </w:p>
        </w:tc>
        <w:tc>
          <w:tcPr>
            <w:tcW w:w="840" w:type="dxa"/>
            <w:vAlign w:val="center"/>
          </w:tcPr>
          <w:p w14:paraId="7050ABD0">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20.00</w:t>
            </w:r>
          </w:p>
        </w:tc>
        <w:tc>
          <w:tcPr>
            <w:tcW w:w="1340" w:type="dxa"/>
            <w:vAlign w:val="center"/>
          </w:tcPr>
          <w:p w14:paraId="5972538C">
            <w:pPr>
              <w:jc w:val="center"/>
              <w:rPr>
                <w:rFonts w:ascii="Times New Roman" w:hAnsi="Times New Roman" w:eastAsia="仿宋"/>
                <w:bCs/>
                <w:sz w:val="24"/>
              </w:rPr>
            </w:pPr>
            <w:r>
              <w:rPr>
                <w:rFonts w:hint="eastAsia" w:ascii="Times New Roman" w:hAnsi="Times New Roman" w:eastAsia="仿宋"/>
                <w:bCs/>
                <w:sz w:val="24"/>
                <w:lang w:val="en-US" w:eastAsia="zh-CN"/>
              </w:rPr>
              <w:t>66.67</w:t>
            </w:r>
            <w:r>
              <w:rPr>
                <w:rFonts w:ascii="Times New Roman" w:hAnsi="Times New Roman" w:eastAsia="仿宋"/>
                <w:bCs/>
                <w:sz w:val="24"/>
              </w:rPr>
              <w:t>%</w:t>
            </w:r>
          </w:p>
        </w:tc>
      </w:tr>
    </w:tbl>
    <w:p w14:paraId="6B6A2C95">
      <w:pPr>
        <w:widowControl/>
        <w:spacing w:line="500" w:lineRule="exact"/>
        <w:ind w:firstLine="562" w:firstLineChars="200"/>
        <w:rPr>
          <w:rFonts w:hint="eastAsia" w:ascii="Times New Roman" w:hAnsi="Times New Roman" w:eastAsia="仿宋" w:cs="Times New Roman"/>
          <w:snapToGrid w:val="0"/>
          <w:sz w:val="28"/>
          <w:szCs w:val="32"/>
        </w:rPr>
      </w:pPr>
      <w:r>
        <w:rPr>
          <w:rFonts w:hint="eastAsia" w:ascii="Times New Roman" w:hAnsi="Times New Roman" w:eastAsia="仿宋"/>
          <w:b/>
          <w:snapToGrid w:val="0"/>
          <w:sz w:val="28"/>
          <w:szCs w:val="32"/>
        </w:rPr>
        <w:t>D11</w:t>
      </w:r>
      <w:r>
        <w:rPr>
          <w:rFonts w:hint="eastAsia" w:ascii="Times New Roman" w:hAnsi="Times New Roman" w:eastAsia="仿宋"/>
          <w:b/>
          <w:snapToGrid w:val="0"/>
          <w:sz w:val="28"/>
          <w:szCs w:val="32"/>
          <w:lang w:val="en-US" w:eastAsia="zh-CN"/>
        </w:rPr>
        <w:t>经济效益</w:t>
      </w:r>
      <w:r>
        <w:rPr>
          <w:rFonts w:hint="eastAsia" w:ascii="Times New Roman" w:hAnsi="Times New Roman" w:eastAsia="仿宋"/>
          <w:b/>
          <w:snapToGrid w:val="0"/>
          <w:sz w:val="28"/>
          <w:szCs w:val="32"/>
        </w:rPr>
        <w:t>：</w:t>
      </w:r>
      <w:r>
        <w:rPr>
          <w:rFonts w:hint="eastAsia" w:ascii="Times New Roman" w:hAnsi="Times New Roman" w:eastAsia="仿宋" w:cs="Times New Roman"/>
          <w:snapToGrid w:val="0"/>
          <w:sz w:val="28"/>
          <w:szCs w:val="32"/>
          <w:lang w:val="en-US" w:eastAsia="zh-CN"/>
        </w:rPr>
        <w:t>满分5.00分，得分5.00分。项目实施完成后，可增加粮食产量，农民人均纯收入增加300元以上。</w:t>
      </w:r>
      <w:r>
        <w:rPr>
          <w:rFonts w:ascii="Times New Roman" w:hAnsi="Times New Roman" w:eastAsia="仿宋" w:cs="Times New Roman"/>
          <w:snapToGrid w:val="0"/>
          <w:sz w:val="28"/>
          <w:szCs w:val="32"/>
        </w:rPr>
        <w:t>根据评分标准，该项得</w:t>
      </w:r>
      <w:r>
        <w:rPr>
          <w:rFonts w:hint="eastAsia" w:ascii="Times New Roman" w:hAnsi="Times New Roman" w:eastAsia="仿宋" w:cs="Times New Roman"/>
          <w:snapToGrid w:val="0"/>
          <w:sz w:val="28"/>
          <w:szCs w:val="32"/>
          <w:lang w:val="en-US" w:eastAsia="zh-CN"/>
        </w:rPr>
        <w:t>满</w:t>
      </w:r>
      <w:r>
        <w:rPr>
          <w:rFonts w:ascii="Times New Roman" w:hAnsi="Times New Roman" w:eastAsia="仿宋" w:cs="Times New Roman"/>
          <w:snapToGrid w:val="0"/>
          <w:sz w:val="28"/>
          <w:szCs w:val="32"/>
        </w:rPr>
        <w:t>分</w:t>
      </w:r>
      <w:r>
        <w:rPr>
          <w:rFonts w:hint="eastAsia" w:ascii="Times New Roman" w:hAnsi="Times New Roman" w:eastAsia="仿宋" w:cs="Times New Roman"/>
          <w:snapToGrid w:val="0"/>
          <w:sz w:val="28"/>
          <w:szCs w:val="32"/>
        </w:rPr>
        <w:t>。</w:t>
      </w:r>
    </w:p>
    <w:p w14:paraId="577B4819">
      <w:pPr>
        <w:widowControl/>
        <w:spacing w:line="500" w:lineRule="exact"/>
        <w:ind w:firstLine="562" w:firstLineChars="200"/>
        <w:rPr>
          <w:rFonts w:hint="eastAsia" w:ascii="Times New Roman" w:hAnsi="Times New Roman" w:eastAsia="仿宋"/>
          <w:b/>
          <w:snapToGrid w:val="0"/>
          <w:sz w:val="28"/>
          <w:szCs w:val="32"/>
        </w:rPr>
      </w:pPr>
      <w:r>
        <w:rPr>
          <w:rFonts w:hint="eastAsia" w:ascii="Times New Roman" w:hAnsi="Times New Roman" w:eastAsia="仿宋"/>
          <w:b/>
          <w:snapToGrid w:val="0"/>
          <w:sz w:val="28"/>
          <w:szCs w:val="32"/>
        </w:rPr>
        <w:t>D</w:t>
      </w:r>
      <w:r>
        <w:rPr>
          <w:rFonts w:hint="eastAsia" w:ascii="Times New Roman" w:hAnsi="Times New Roman" w:eastAsia="仿宋"/>
          <w:b/>
          <w:snapToGrid w:val="0"/>
          <w:sz w:val="28"/>
          <w:szCs w:val="32"/>
          <w:lang w:val="en-US" w:eastAsia="zh-CN"/>
        </w:rPr>
        <w:t>21社会效益</w:t>
      </w:r>
      <w:r>
        <w:rPr>
          <w:rFonts w:hint="eastAsia" w:ascii="Times New Roman" w:hAnsi="Times New Roman" w:eastAsia="仿宋"/>
          <w:b/>
          <w:snapToGrid w:val="0"/>
          <w:sz w:val="28"/>
          <w:szCs w:val="32"/>
        </w:rPr>
        <w:t>：</w:t>
      </w:r>
      <w:r>
        <w:rPr>
          <w:rFonts w:hint="eastAsia" w:ascii="Times New Roman" w:hAnsi="Times New Roman" w:eastAsia="仿宋"/>
          <w:snapToGrid w:val="0"/>
          <w:sz w:val="28"/>
          <w:szCs w:val="32"/>
          <w:lang w:val="en-US" w:eastAsia="zh-CN"/>
        </w:rPr>
        <w:t>满分5.00分，得分5.00分。</w:t>
      </w:r>
      <w:r>
        <w:rPr>
          <w:rFonts w:hint="eastAsia" w:ascii="Times New Roman" w:hAnsi="Times New Roman" w:eastAsia="仿宋"/>
          <w:b w:val="0"/>
          <w:bCs/>
          <w:snapToGrid w:val="0"/>
          <w:sz w:val="28"/>
          <w:szCs w:val="32"/>
        </w:rPr>
        <w:t>项目完成后</w:t>
      </w:r>
      <w:r>
        <w:rPr>
          <w:rFonts w:hint="eastAsia" w:ascii="Times New Roman" w:hAnsi="Times New Roman" w:eastAsia="仿宋"/>
          <w:b w:val="0"/>
          <w:bCs/>
          <w:snapToGrid w:val="0"/>
          <w:sz w:val="28"/>
          <w:szCs w:val="32"/>
          <w:lang w:eastAsia="zh-CN"/>
        </w:rPr>
        <w:t>，</w:t>
      </w:r>
      <w:r>
        <w:rPr>
          <w:rFonts w:hint="eastAsia" w:ascii="Times New Roman" w:hAnsi="Times New Roman" w:eastAsia="仿宋"/>
          <w:b w:val="0"/>
          <w:bCs/>
          <w:snapToGrid w:val="0"/>
          <w:sz w:val="28"/>
          <w:szCs w:val="32"/>
        </w:rPr>
        <w:t>农业生产条件明显改善，基础设施得到提升，可有力推进当地乡村振兴和农业产业发展</w:t>
      </w:r>
      <w:r>
        <w:rPr>
          <w:rFonts w:hint="eastAsia" w:ascii="Times New Roman" w:hAnsi="Times New Roman" w:eastAsia="仿宋"/>
          <w:b w:val="0"/>
          <w:bCs/>
          <w:snapToGrid w:val="0"/>
          <w:sz w:val="28"/>
          <w:szCs w:val="32"/>
          <w:lang w:val="en-US" w:eastAsia="zh-CN"/>
        </w:rPr>
        <w:t>。根据</w:t>
      </w:r>
      <w:r>
        <w:rPr>
          <w:rFonts w:ascii="Times New Roman" w:hAnsi="Times New Roman" w:eastAsia="仿宋"/>
          <w:b w:val="0"/>
          <w:bCs/>
          <w:snapToGrid w:val="0"/>
          <w:sz w:val="28"/>
          <w:szCs w:val="32"/>
        </w:rPr>
        <w:t>根据评分标准，该项得</w:t>
      </w:r>
      <w:r>
        <w:rPr>
          <w:rFonts w:hint="eastAsia" w:ascii="Times New Roman" w:hAnsi="Times New Roman" w:eastAsia="仿宋"/>
          <w:b w:val="0"/>
          <w:bCs/>
          <w:snapToGrid w:val="0"/>
          <w:sz w:val="28"/>
          <w:szCs w:val="32"/>
          <w:lang w:val="en-US" w:eastAsia="zh-CN"/>
        </w:rPr>
        <w:t>满</w:t>
      </w:r>
      <w:r>
        <w:rPr>
          <w:rFonts w:ascii="Times New Roman" w:hAnsi="Times New Roman" w:eastAsia="仿宋"/>
          <w:b w:val="0"/>
          <w:bCs/>
          <w:snapToGrid w:val="0"/>
          <w:sz w:val="28"/>
          <w:szCs w:val="32"/>
        </w:rPr>
        <w:t>分</w:t>
      </w:r>
      <w:r>
        <w:rPr>
          <w:rFonts w:hint="eastAsia" w:ascii="Times New Roman" w:hAnsi="Times New Roman" w:eastAsia="仿宋"/>
          <w:b w:val="0"/>
          <w:bCs/>
          <w:snapToGrid w:val="0"/>
          <w:sz w:val="28"/>
          <w:szCs w:val="32"/>
        </w:rPr>
        <w:t>。</w:t>
      </w:r>
    </w:p>
    <w:p w14:paraId="2518C619">
      <w:pPr>
        <w:widowControl/>
        <w:spacing w:line="500" w:lineRule="exact"/>
        <w:ind w:firstLine="562" w:firstLineChars="200"/>
        <w:rPr>
          <w:rFonts w:hint="eastAsia" w:ascii="Times New Roman" w:hAnsi="Times New Roman" w:eastAsia="仿宋"/>
          <w:b w:val="0"/>
          <w:bCs/>
          <w:snapToGrid w:val="0"/>
          <w:sz w:val="28"/>
          <w:szCs w:val="32"/>
        </w:rPr>
      </w:pPr>
      <w:r>
        <w:rPr>
          <w:rFonts w:hint="eastAsia" w:ascii="Times New Roman" w:hAnsi="Times New Roman" w:eastAsia="仿宋"/>
          <w:b/>
          <w:snapToGrid w:val="0"/>
          <w:sz w:val="28"/>
          <w:szCs w:val="32"/>
        </w:rPr>
        <w:t>D</w:t>
      </w:r>
      <w:r>
        <w:rPr>
          <w:rFonts w:hint="eastAsia" w:ascii="Times New Roman" w:hAnsi="Times New Roman" w:eastAsia="仿宋"/>
          <w:b/>
          <w:snapToGrid w:val="0"/>
          <w:sz w:val="28"/>
          <w:szCs w:val="32"/>
          <w:lang w:val="en-US" w:eastAsia="zh-CN"/>
        </w:rPr>
        <w:t>31项目运行管理</w:t>
      </w:r>
      <w:r>
        <w:rPr>
          <w:rFonts w:hint="eastAsia" w:ascii="Times New Roman" w:hAnsi="Times New Roman" w:eastAsia="仿宋"/>
          <w:b/>
          <w:snapToGrid w:val="0"/>
          <w:sz w:val="28"/>
          <w:szCs w:val="32"/>
        </w:rPr>
        <w:t>：</w:t>
      </w:r>
      <w:r>
        <w:rPr>
          <w:rFonts w:hint="eastAsia" w:ascii="Times New Roman" w:hAnsi="Times New Roman" w:eastAsia="仿宋"/>
          <w:snapToGrid w:val="0"/>
          <w:sz w:val="28"/>
          <w:szCs w:val="32"/>
          <w:lang w:val="en-US" w:eastAsia="zh-CN"/>
        </w:rPr>
        <w:t>满分10.00分，得分0.00分。</w:t>
      </w:r>
      <w:r>
        <w:rPr>
          <w:rFonts w:hint="eastAsia" w:ascii="Times New Roman" w:hAnsi="Times New Roman" w:eastAsia="仿宋"/>
          <w:b w:val="0"/>
          <w:bCs/>
          <w:snapToGrid w:val="0"/>
          <w:sz w:val="28"/>
          <w:szCs w:val="32"/>
        </w:rPr>
        <w:t>考察项目建成后是否有完善的管护制度，责任是否落实到人。运行管理是</w:t>
      </w:r>
      <w:r>
        <w:rPr>
          <w:rFonts w:hint="eastAsia" w:ascii="Times New Roman" w:hAnsi="Times New Roman" w:eastAsia="仿宋"/>
          <w:b w:val="0"/>
          <w:bCs/>
          <w:snapToGrid w:val="0"/>
          <w:sz w:val="28"/>
          <w:szCs w:val="32"/>
          <w:lang w:val="en-US" w:eastAsia="zh-CN"/>
        </w:rPr>
        <w:t>项目后续管理</w:t>
      </w:r>
      <w:r>
        <w:rPr>
          <w:rFonts w:hint="eastAsia" w:ascii="Times New Roman" w:hAnsi="Times New Roman" w:eastAsia="仿宋"/>
          <w:b w:val="0"/>
          <w:bCs/>
          <w:snapToGrid w:val="0"/>
          <w:sz w:val="28"/>
          <w:szCs w:val="32"/>
        </w:rPr>
        <w:t>的重要环节，从制度建设、改革创新、政策保障等方面入手，建立起确保工程长期发挥效益的良好运行机制。</w:t>
      </w:r>
      <w:r>
        <w:rPr>
          <w:rFonts w:hint="eastAsia" w:ascii="Times New Roman" w:hAnsi="Times New Roman" w:eastAsia="仿宋"/>
          <w:b w:val="0"/>
          <w:bCs/>
          <w:snapToGrid w:val="0"/>
          <w:sz w:val="28"/>
          <w:szCs w:val="32"/>
          <w:lang w:val="en-US" w:eastAsia="zh-CN"/>
        </w:rPr>
        <w:t>应</w:t>
      </w:r>
      <w:r>
        <w:rPr>
          <w:rFonts w:hint="eastAsia" w:ascii="Times New Roman" w:hAnsi="Times New Roman" w:eastAsia="仿宋"/>
          <w:b w:val="0"/>
          <w:bCs/>
          <w:snapToGrid w:val="0"/>
          <w:sz w:val="28"/>
          <w:szCs w:val="32"/>
        </w:rPr>
        <w:t>按照</w:t>
      </w:r>
      <w:r>
        <w:rPr>
          <w:rFonts w:hint="eastAsia" w:ascii="Times New Roman" w:hAnsi="Times New Roman" w:eastAsia="仿宋"/>
          <w:b w:val="0"/>
          <w:bCs/>
          <w:snapToGrid w:val="0"/>
          <w:sz w:val="28"/>
          <w:szCs w:val="32"/>
          <w:lang w:eastAsia="zh-CN"/>
        </w:rPr>
        <w:t>“</w:t>
      </w:r>
      <w:r>
        <w:rPr>
          <w:rFonts w:hint="eastAsia" w:ascii="Times New Roman" w:hAnsi="Times New Roman" w:eastAsia="仿宋"/>
          <w:b w:val="0"/>
          <w:bCs/>
          <w:snapToGrid w:val="0"/>
          <w:sz w:val="28"/>
          <w:szCs w:val="32"/>
          <w:lang w:val="en-US" w:eastAsia="zh-CN"/>
        </w:rPr>
        <w:t>建管用、责权利</w:t>
      </w:r>
      <w:r>
        <w:rPr>
          <w:rFonts w:hint="eastAsia" w:ascii="Times New Roman" w:hAnsi="Times New Roman" w:eastAsia="仿宋"/>
          <w:b w:val="0"/>
          <w:bCs/>
          <w:snapToGrid w:val="0"/>
          <w:sz w:val="28"/>
          <w:szCs w:val="32"/>
          <w:lang w:eastAsia="zh-CN"/>
        </w:rPr>
        <w:t>”</w:t>
      </w:r>
      <w:r>
        <w:rPr>
          <w:rFonts w:hint="eastAsia" w:ascii="Times New Roman" w:hAnsi="Times New Roman" w:eastAsia="仿宋"/>
          <w:b w:val="0"/>
          <w:bCs/>
          <w:snapToGrid w:val="0"/>
          <w:sz w:val="28"/>
          <w:szCs w:val="32"/>
          <w:lang w:val="en-US" w:eastAsia="zh-CN"/>
        </w:rPr>
        <w:t>相结合和</w:t>
      </w:r>
      <w:r>
        <w:rPr>
          <w:rFonts w:hint="eastAsia" w:ascii="Times New Roman" w:hAnsi="Times New Roman" w:eastAsia="仿宋"/>
          <w:b w:val="0"/>
          <w:bCs/>
          <w:snapToGrid w:val="0"/>
          <w:sz w:val="28"/>
          <w:szCs w:val="32"/>
        </w:rPr>
        <w:t>“谁受益、谁管护”的原则。</w:t>
      </w:r>
      <w:r>
        <w:rPr>
          <w:rFonts w:hint="eastAsia" w:ascii="Times New Roman" w:hAnsi="Times New Roman" w:eastAsia="仿宋"/>
          <w:b w:val="0"/>
          <w:bCs/>
          <w:snapToGrid w:val="0"/>
          <w:sz w:val="28"/>
          <w:szCs w:val="32"/>
          <w:lang w:val="en-US" w:eastAsia="zh-CN"/>
        </w:rPr>
        <w:t>但评价组现场调研也发现，项目后续管理体制机制未建立，项目后续管理责任落实不到位。根据</w:t>
      </w:r>
      <w:r>
        <w:rPr>
          <w:rFonts w:ascii="Times New Roman" w:hAnsi="Times New Roman" w:eastAsia="仿宋"/>
          <w:b w:val="0"/>
          <w:bCs/>
          <w:snapToGrid w:val="0"/>
          <w:sz w:val="28"/>
          <w:szCs w:val="32"/>
        </w:rPr>
        <w:t>根据评分标准，该项得</w:t>
      </w:r>
      <w:r>
        <w:rPr>
          <w:rFonts w:hint="eastAsia" w:ascii="Times New Roman" w:hAnsi="Times New Roman" w:eastAsia="仿宋"/>
          <w:b w:val="0"/>
          <w:bCs/>
          <w:snapToGrid w:val="0"/>
          <w:sz w:val="28"/>
          <w:szCs w:val="32"/>
          <w:lang w:val="en-US" w:eastAsia="zh-CN"/>
        </w:rPr>
        <w:t>0.00</w:t>
      </w:r>
      <w:r>
        <w:rPr>
          <w:rFonts w:ascii="Times New Roman" w:hAnsi="Times New Roman" w:eastAsia="仿宋"/>
          <w:b w:val="0"/>
          <w:bCs/>
          <w:snapToGrid w:val="0"/>
          <w:sz w:val="28"/>
          <w:szCs w:val="32"/>
        </w:rPr>
        <w:t>分</w:t>
      </w:r>
      <w:r>
        <w:rPr>
          <w:rFonts w:hint="eastAsia" w:ascii="Times New Roman" w:hAnsi="Times New Roman" w:eastAsia="仿宋"/>
          <w:b w:val="0"/>
          <w:bCs/>
          <w:snapToGrid w:val="0"/>
          <w:sz w:val="28"/>
          <w:szCs w:val="32"/>
        </w:rPr>
        <w:t>。</w:t>
      </w:r>
    </w:p>
    <w:p w14:paraId="0DA11A61">
      <w:pPr>
        <w:widowControl/>
        <w:spacing w:line="500" w:lineRule="exact"/>
        <w:ind w:firstLine="562" w:firstLineChars="200"/>
        <w:rPr>
          <w:rFonts w:hint="eastAsia" w:ascii="Times New Roman" w:hAnsi="Times New Roman" w:eastAsia="仿宋"/>
          <w:b w:val="0"/>
          <w:bCs/>
          <w:snapToGrid w:val="0"/>
          <w:sz w:val="28"/>
          <w:szCs w:val="32"/>
        </w:rPr>
      </w:pPr>
      <w:r>
        <w:rPr>
          <w:rFonts w:hint="eastAsia" w:ascii="Times New Roman" w:hAnsi="Times New Roman" w:eastAsia="仿宋"/>
          <w:b/>
          <w:snapToGrid w:val="0"/>
          <w:sz w:val="28"/>
          <w:szCs w:val="32"/>
        </w:rPr>
        <w:t>D</w:t>
      </w:r>
      <w:r>
        <w:rPr>
          <w:rFonts w:hint="eastAsia" w:ascii="Times New Roman" w:hAnsi="Times New Roman" w:eastAsia="仿宋"/>
          <w:b/>
          <w:snapToGrid w:val="0"/>
          <w:sz w:val="28"/>
          <w:szCs w:val="32"/>
          <w:lang w:val="en-US" w:eastAsia="zh-CN"/>
        </w:rPr>
        <w:t>41</w:t>
      </w:r>
      <w:r>
        <w:rPr>
          <w:rFonts w:hint="eastAsia" w:ascii="Times New Roman" w:hAnsi="Times New Roman" w:eastAsia="仿宋"/>
          <w:b/>
          <w:snapToGrid w:val="0"/>
          <w:sz w:val="28"/>
          <w:szCs w:val="32"/>
        </w:rPr>
        <w:t>保护区域居民满意度：</w:t>
      </w:r>
      <w:r>
        <w:rPr>
          <w:rFonts w:hint="eastAsia" w:ascii="Times New Roman" w:hAnsi="Times New Roman" w:eastAsia="仿宋"/>
          <w:snapToGrid w:val="0"/>
          <w:sz w:val="28"/>
          <w:szCs w:val="32"/>
          <w:lang w:val="en-US" w:eastAsia="zh-CN"/>
        </w:rPr>
        <w:t>满分10.00分，得分10.00分。</w:t>
      </w:r>
      <w:r>
        <w:rPr>
          <w:rFonts w:hint="eastAsia" w:ascii="Times New Roman" w:hAnsi="Times New Roman" w:eastAsia="仿宋"/>
          <w:b w:val="0"/>
          <w:bCs/>
          <w:snapToGrid w:val="0"/>
          <w:sz w:val="28"/>
          <w:szCs w:val="32"/>
        </w:rPr>
        <w:t>通过问卷调查，</w:t>
      </w:r>
      <w:r>
        <w:rPr>
          <w:rFonts w:hint="eastAsia" w:ascii="Times New Roman" w:hAnsi="Times New Roman" w:eastAsia="仿宋"/>
          <w:b w:val="0"/>
          <w:bCs/>
          <w:snapToGrid w:val="0"/>
          <w:sz w:val="28"/>
          <w:szCs w:val="32"/>
          <w:lang w:val="en-US" w:eastAsia="zh-CN"/>
        </w:rPr>
        <w:t>了解</w:t>
      </w:r>
      <w:r>
        <w:rPr>
          <w:rFonts w:hint="eastAsia" w:ascii="Times New Roman" w:hAnsi="Times New Roman" w:eastAsia="仿宋"/>
          <w:b w:val="0"/>
          <w:bCs/>
          <w:snapToGrid w:val="0"/>
          <w:sz w:val="28"/>
          <w:szCs w:val="32"/>
        </w:rPr>
        <w:t>保护区域居民对项目建</w:t>
      </w:r>
      <w:r>
        <w:rPr>
          <w:rFonts w:hint="eastAsia" w:ascii="Times New Roman" w:hAnsi="Times New Roman" w:eastAsia="仿宋"/>
          <w:b w:val="0"/>
          <w:bCs/>
          <w:snapToGrid w:val="0"/>
          <w:color w:val="000000" w:themeColor="text1"/>
          <w:sz w:val="28"/>
          <w:szCs w:val="32"/>
        </w:rPr>
        <w:t>设的总体满意度。本次调查涉及六个问题，整体满意度较高，分别为：97.50%、97.33%、100.00%、90.00%、100.00%、97.33%，整体满意度97.03%，这体现出受益群体整体对该项目比较满意。</w:t>
      </w:r>
      <w:r>
        <w:rPr>
          <w:rFonts w:hint="eastAsia" w:ascii="Times New Roman" w:hAnsi="Times New Roman" w:eastAsia="仿宋"/>
          <w:b w:val="0"/>
          <w:bCs/>
          <w:snapToGrid w:val="0"/>
          <w:color w:val="000000" w:themeColor="text1"/>
          <w:sz w:val="28"/>
          <w:szCs w:val="32"/>
          <w:lang w:val="en-US" w:eastAsia="zh-CN"/>
        </w:rPr>
        <w:t>根据</w:t>
      </w:r>
      <w:r>
        <w:rPr>
          <w:rFonts w:ascii="Times New Roman" w:hAnsi="Times New Roman" w:eastAsia="仿宋"/>
          <w:b w:val="0"/>
          <w:bCs/>
          <w:snapToGrid w:val="0"/>
          <w:color w:val="000000" w:themeColor="text1"/>
          <w:sz w:val="28"/>
          <w:szCs w:val="32"/>
        </w:rPr>
        <w:t>根据评分标准，该项得</w:t>
      </w:r>
      <w:r>
        <w:rPr>
          <w:rFonts w:hint="eastAsia" w:ascii="Times New Roman" w:hAnsi="Times New Roman" w:eastAsia="仿宋"/>
          <w:b w:val="0"/>
          <w:bCs/>
          <w:snapToGrid w:val="0"/>
          <w:color w:val="000000" w:themeColor="text1"/>
          <w:sz w:val="28"/>
          <w:szCs w:val="32"/>
          <w:lang w:val="en-US" w:eastAsia="zh-CN"/>
        </w:rPr>
        <w:t>满</w:t>
      </w:r>
      <w:r>
        <w:rPr>
          <w:rFonts w:ascii="Times New Roman" w:hAnsi="Times New Roman" w:eastAsia="仿宋"/>
          <w:b w:val="0"/>
          <w:bCs/>
          <w:snapToGrid w:val="0"/>
          <w:color w:val="000000" w:themeColor="text1"/>
          <w:sz w:val="28"/>
          <w:szCs w:val="32"/>
        </w:rPr>
        <w:t>分</w:t>
      </w:r>
      <w:r>
        <w:rPr>
          <w:rFonts w:hint="eastAsia" w:ascii="Times New Roman" w:hAnsi="Times New Roman" w:eastAsia="仿宋"/>
          <w:b w:val="0"/>
          <w:bCs/>
          <w:snapToGrid w:val="0"/>
          <w:color w:val="000000" w:themeColor="text1"/>
          <w:sz w:val="28"/>
          <w:szCs w:val="32"/>
        </w:rPr>
        <w:t>。</w:t>
      </w:r>
    </w:p>
    <w:p w14:paraId="101A06AA">
      <w:pPr>
        <w:pStyle w:val="4"/>
        <w:spacing w:before="156" w:beforeLines="50" w:after="156" w:afterLines="50" w:line="500" w:lineRule="exact"/>
        <w:ind w:firstLine="643" w:firstLineChars="200"/>
        <w:rPr>
          <w:rFonts w:ascii="仿宋" w:hAnsi="仿宋" w:eastAsia="仿宋"/>
        </w:rPr>
      </w:pPr>
      <w:bookmarkStart w:id="108" w:name="_Toc514537344"/>
      <w:bookmarkStart w:id="109" w:name="_Toc20446"/>
      <w:r>
        <w:rPr>
          <w:rFonts w:ascii="仿宋" w:hAnsi="仿宋" w:eastAsia="仿宋"/>
        </w:rPr>
        <w:t>（二）总体得分情况</w:t>
      </w:r>
      <w:bookmarkEnd w:id="108"/>
      <w:bookmarkEnd w:id="109"/>
    </w:p>
    <w:p w14:paraId="7E4BF835">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根据上述三级指标分析得分情况，经汇总计算，本次评价涉及四项一级指标总得分情况如下：</w:t>
      </w:r>
    </w:p>
    <w:p w14:paraId="25070EED">
      <w:pPr>
        <w:widowControl/>
        <w:spacing w:line="500" w:lineRule="exact"/>
        <w:jc w:val="center"/>
        <w:rPr>
          <w:rFonts w:ascii="Times New Roman" w:hAnsi="Times New Roman" w:eastAsia="仿宋"/>
          <w:b/>
          <w:snapToGrid w:val="0"/>
          <w:sz w:val="24"/>
        </w:rPr>
      </w:pPr>
      <w:bookmarkStart w:id="110" w:name="_Toc528603080"/>
      <w:bookmarkStart w:id="111" w:name="_Toc514537345"/>
      <w:r>
        <w:rPr>
          <w:rFonts w:ascii="Times New Roman" w:hAnsi="Times New Roman" w:eastAsia="仿宋"/>
          <w:b/>
          <w:snapToGrid w:val="0"/>
          <w:sz w:val="24"/>
        </w:rPr>
        <w:t>表4-5 一级指标得分情况</w:t>
      </w:r>
      <w:bookmarkEnd w:id="110"/>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14:paraId="4481BC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shd w:val="clear" w:color="auto" w:fill="BFBFBF"/>
            <w:vAlign w:val="center"/>
          </w:tcPr>
          <w:p w14:paraId="305A2EB1">
            <w:pPr>
              <w:jc w:val="center"/>
              <w:rPr>
                <w:rFonts w:ascii="Times New Roman" w:hAnsi="Times New Roman" w:eastAsia="仿宋"/>
                <w:bCs/>
                <w:sz w:val="24"/>
              </w:rPr>
            </w:pPr>
            <w:r>
              <w:rPr>
                <w:rFonts w:ascii="Times New Roman" w:hAnsi="Times New Roman" w:eastAsia="仿宋"/>
                <w:bCs/>
                <w:sz w:val="24"/>
              </w:rPr>
              <w:t>一级指标</w:t>
            </w:r>
          </w:p>
        </w:tc>
        <w:tc>
          <w:tcPr>
            <w:tcW w:w="1846" w:type="dxa"/>
            <w:shd w:val="clear" w:color="auto" w:fill="BFBFBF"/>
            <w:vAlign w:val="center"/>
          </w:tcPr>
          <w:p w14:paraId="0A25D6F7">
            <w:pPr>
              <w:jc w:val="center"/>
              <w:rPr>
                <w:rFonts w:ascii="Times New Roman" w:hAnsi="Times New Roman" w:eastAsia="仿宋"/>
                <w:bCs/>
                <w:sz w:val="24"/>
              </w:rPr>
            </w:pPr>
            <w:r>
              <w:rPr>
                <w:rFonts w:ascii="Times New Roman" w:hAnsi="Times New Roman" w:eastAsia="仿宋"/>
                <w:bCs/>
                <w:sz w:val="24"/>
              </w:rPr>
              <w:t>权重</w:t>
            </w:r>
          </w:p>
        </w:tc>
        <w:tc>
          <w:tcPr>
            <w:tcW w:w="1846" w:type="dxa"/>
            <w:shd w:val="clear" w:color="auto" w:fill="BFBFBF"/>
            <w:vAlign w:val="center"/>
          </w:tcPr>
          <w:p w14:paraId="2C3D92F1">
            <w:pPr>
              <w:jc w:val="center"/>
              <w:rPr>
                <w:rFonts w:ascii="Times New Roman" w:hAnsi="Times New Roman" w:eastAsia="仿宋"/>
                <w:bCs/>
                <w:sz w:val="24"/>
              </w:rPr>
            </w:pPr>
            <w:r>
              <w:rPr>
                <w:rFonts w:ascii="Times New Roman" w:hAnsi="Times New Roman" w:eastAsia="仿宋"/>
                <w:bCs/>
                <w:sz w:val="24"/>
              </w:rPr>
              <w:t>得分</w:t>
            </w:r>
          </w:p>
        </w:tc>
        <w:tc>
          <w:tcPr>
            <w:tcW w:w="2374" w:type="dxa"/>
            <w:shd w:val="clear" w:color="auto" w:fill="BFBFBF"/>
            <w:vAlign w:val="center"/>
          </w:tcPr>
          <w:p w14:paraId="53A6B231">
            <w:pPr>
              <w:jc w:val="center"/>
              <w:rPr>
                <w:rFonts w:ascii="Times New Roman" w:hAnsi="Times New Roman" w:eastAsia="仿宋"/>
                <w:bCs/>
                <w:sz w:val="24"/>
              </w:rPr>
            </w:pPr>
            <w:r>
              <w:rPr>
                <w:rFonts w:ascii="Times New Roman" w:hAnsi="Times New Roman" w:eastAsia="仿宋"/>
                <w:bCs/>
                <w:sz w:val="24"/>
              </w:rPr>
              <w:t>得分率</w:t>
            </w:r>
          </w:p>
        </w:tc>
      </w:tr>
      <w:tr w14:paraId="79C133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14:paraId="34090525">
            <w:pPr>
              <w:jc w:val="center"/>
              <w:rPr>
                <w:rFonts w:ascii="Times New Roman" w:hAnsi="Times New Roman" w:eastAsia="仿宋"/>
                <w:bCs/>
                <w:sz w:val="24"/>
              </w:rPr>
            </w:pPr>
            <w:r>
              <w:rPr>
                <w:rFonts w:ascii="Times New Roman" w:hAnsi="Times New Roman" w:eastAsia="仿宋"/>
                <w:bCs/>
                <w:sz w:val="24"/>
              </w:rPr>
              <w:t>A决策</w:t>
            </w:r>
          </w:p>
        </w:tc>
        <w:tc>
          <w:tcPr>
            <w:tcW w:w="1846" w:type="dxa"/>
            <w:vAlign w:val="center"/>
          </w:tcPr>
          <w:p w14:paraId="5C9FFDC6">
            <w:pPr>
              <w:jc w:val="center"/>
              <w:rPr>
                <w:rFonts w:ascii="Times New Roman" w:hAnsi="Times New Roman" w:eastAsia="仿宋"/>
                <w:bCs/>
                <w:sz w:val="24"/>
              </w:rPr>
            </w:pPr>
            <w:r>
              <w:rPr>
                <w:rFonts w:ascii="Times New Roman" w:hAnsi="Times New Roman" w:eastAsia="仿宋"/>
                <w:bCs/>
                <w:sz w:val="24"/>
              </w:rPr>
              <w:t>20.00</w:t>
            </w:r>
          </w:p>
        </w:tc>
        <w:tc>
          <w:tcPr>
            <w:tcW w:w="1846" w:type="dxa"/>
            <w:vAlign w:val="center"/>
          </w:tcPr>
          <w:p w14:paraId="105373F4">
            <w:pPr>
              <w:jc w:val="center"/>
              <w:rPr>
                <w:rFonts w:ascii="Times New Roman" w:hAnsi="Times New Roman" w:eastAsia="仿宋"/>
                <w:bCs/>
                <w:sz w:val="24"/>
              </w:rPr>
            </w:pPr>
            <w:r>
              <w:rPr>
                <w:rFonts w:hint="eastAsia" w:ascii="Times New Roman" w:hAnsi="Times New Roman" w:eastAsia="仿宋"/>
                <w:bCs/>
                <w:sz w:val="24"/>
                <w:lang w:val="en-US" w:eastAsia="zh-CN"/>
              </w:rPr>
              <w:t>20.00</w:t>
            </w:r>
          </w:p>
        </w:tc>
        <w:tc>
          <w:tcPr>
            <w:tcW w:w="2374" w:type="dxa"/>
            <w:vAlign w:val="center"/>
          </w:tcPr>
          <w:p w14:paraId="1950D9E3">
            <w:pPr>
              <w:jc w:val="center"/>
              <w:rPr>
                <w:rFonts w:ascii="Times New Roman" w:hAnsi="Times New Roman" w:eastAsia="仿宋"/>
                <w:bCs/>
                <w:sz w:val="24"/>
              </w:rPr>
            </w:pPr>
            <w:r>
              <w:rPr>
                <w:rFonts w:hint="eastAsia" w:ascii="Times New Roman" w:hAnsi="Times New Roman" w:eastAsia="仿宋"/>
                <w:bCs/>
                <w:sz w:val="24"/>
                <w:lang w:val="en-US" w:eastAsia="zh-CN"/>
              </w:rPr>
              <w:t>100.00</w:t>
            </w:r>
            <w:r>
              <w:rPr>
                <w:rFonts w:ascii="Times New Roman" w:hAnsi="Times New Roman" w:eastAsia="仿宋"/>
                <w:bCs/>
                <w:sz w:val="24"/>
              </w:rPr>
              <w:t>%</w:t>
            </w:r>
          </w:p>
        </w:tc>
      </w:tr>
      <w:tr w14:paraId="55C7DB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14:paraId="20E58AFA">
            <w:pPr>
              <w:jc w:val="center"/>
              <w:rPr>
                <w:rFonts w:ascii="Times New Roman" w:hAnsi="Times New Roman" w:eastAsia="仿宋"/>
                <w:bCs/>
                <w:sz w:val="24"/>
              </w:rPr>
            </w:pPr>
            <w:r>
              <w:rPr>
                <w:rFonts w:ascii="Times New Roman" w:hAnsi="Times New Roman" w:eastAsia="仿宋"/>
                <w:bCs/>
                <w:sz w:val="24"/>
              </w:rPr>
              <w:t>B过程</w:t>
            </w:r>
          </w:p>
        </w:tc>
        <w:tc>
          <w:tcPr>
            <w:tcW w:w="1846" w:type="dxa"/>
            <w:vAlign w:val="center"/>
          </w:tcPr>
          <w:p w14:paraId="34B39128">
            <w:pPr>
              <w:jc w:val="center"/>
              <w:rPr>
                <w:rFonts w:ascii="Times New Roman" w:hAnsi="Times New Roman" w:eastAsia="仿宋"/>
                <w:bCs/>
                <w:sz w:val="24"/>
              </w:rPr>
            </w:pPr>
            <w:r>
              <w:rPr>
                <w:rFonts w:ascii="Times New Roman" w:hAnsi="Times New Roman" w:eastAsia="仿宋"/>
                <w:bCs/>
                <w:sz w:val="24"/>
              </w:rPr>
              <w:t>20.00</w:t>
            </w:r>
          </w:p>
        </w:tc>
        <w:tc>
          <w:tcPr>
            <w:tcW w:w="1846" w:type="dxa"/>
            <w:vAlign w:val="center"/>
          </w:tcPr>
          <w:p w14:paraId="08CB75AD">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19.00</w:t>
            </w:r>
          </w:p>
        </w:tc>
        <w:tc>
          <w:tcPr>
            <w:tcW w:w="2374" w:type="dxa"/>
            <w:vAlign w:val="center"/>
          </w:tcPr>
          <w:p w14:paraId="6F79425B">
            <w:pPr>
              <w:jc w:val="center"/>
              <w:rPr>
                <w:rFonts w:ascii="Times New Roman" w:hAnsi="Times New Roman" w:eastAsia="仿宋"/>
                <w:bCs/>
                <w:sz w:val="24"/>
              </w:rPr>
            </w:pPr>
            <w:r>
              <w:rPr>
                <w:rFonts w:hint="eastAsia" w:ascii="Times New Roman" w:hAnsi="Times New Roman" w:eastAsia="仿宋"/>
                <w:bCs/>
                <w:sz w:val="24"/>
                <w:lang w:val="en-US" w:eastAsia="zh-CN"/>
              </w:rPr>
              <w:t>95.00</w:t>
            </w:r>
            <w:r>
              <w:rPr>
                <w:rFonts w:ascii="Times New Roman" w:hAnsi="Times New Roman" w:eastAsia="仿宋"/>
                <w:bCs/>
                <w:sz w:val="24"/>
              </w:rPr>
              <w:t>%</w:t>
            </w:r>
          </w:p>
        </w:tc>
      </w:tr>
      <w:tr w14:paraId="342469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14:paraId="31EC4F25">
            <w:pPr>
              <w:jc w:val="center"/>
              <w:rPr>
                <w:rFonts w:ascii="Times New Roman" w:hAnsi="Times New Roman" w:eastAsia="仿宋"/>
                <w:bCs/>
                <w:sz w:val="24"/>
              </w:rPr>
            </w:pPr>
            <w:r>
              <w:rPr>
                <w:rFonts w:ascii="Times New Roman" w:hAnsi="Times New Roman" w:eastAsia="仿宋"/>
                <w:bCs/>
                <w:sz w:val="24"/>
              </w:rPr>
              <w:t>C产出</w:t>
            </w:r>
          </w:p>
        </w:tc>
        <w:tc>
          <w:tcPr>
            <w:tcW w:w="1846" w:type="dxa"/>
            <w:vAlign w:val="center"/>
          </w:tcPr>
          <w:p w14:paraId="73A826CF">
            <w:pPr>
              <w:jc w:val="center"/>
              <w:rPr>
                <w:rFonts w:ascii="Times New Roman" w:hAnsi="Times New Roman" w:eastAsia="仿宋"/>
                <w:bCs/>
                <w:sz w:val="24"/>
              </w:rPr>
            </w:pPr>
            <w:r>
              <w:rPr>
                <w:rFonts w:ascii="Times New Roman" w:hAnsi="Times New Roman" w:eastAsia="仿宋"/>
                <w:bCs/>
                <w:sz w:val="24"/>
              </w:rPr>
              <w:t>30.00</w:t>
            </w:r>
          </w:p>
        </w:tc>
        <w:tc>
          <w:tcPr>
            <w:tcW w:w="1846" w:type="dxa"/>
            <w:vAlign w:val="center"/>
          </w:tcPr>
          <w:p w14:paraId="4168F4ED">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26.00</w:t>
            </w:r>
          </w:p>
        </w:tc>
        <w:tc>
          <w:tcPr>
            <w:tcW w:w="2374" w:type="dxa"/>
            <w:vAlign w:val="center"/>
          </w:tcPr>
          <w:p w14:paraId="5605388D">
            <w:pPr>
              <w:jc w:val="center"/>
              <w:rPr>
                <w:rFonts w:ascii="Times New Roman" w:hAnsi="Times New Roman" w:eastAsia="仿宋"/>
                <w:bCs/>
                <w:sz w:val="24"/>
              </w:rPr>
            </w:pPr>
            <w:r>
              <w:rPr>
                <w:rFonts w:hint="eastAsia" w:ascii="Times New Roman" w:hAnsi="Times New Roman" w:eastAsia="仿宋"/>
                <w:bCs/>
                <w:sz w:val="24"/>
                <w:lang w:val="en-US" w:eastAsia="zh-CN"/>
              </w:rPr>
              <w:t>86.67%</w:t>
            </w:r>
          </w:p>
        </w:tc>
      </w:tr>
      <w:tr w14:paraId="25998C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14:paraId="26FE01FB">
            <w:pPr>
              <w:jc w:val="center"/>
              <w:rPr>
                <w:rFonts w:ascii="Times New Roman" w:hAnsi="Times New Roman" w:eastAsia="仿宋"/>
                <w:bCs/>
                <w:sz w:val="24"/>
              </w:rPr>
            </w:pPr>
            <w:r>
              <w:rPr>
                <w:rFonts w:ascii="Times New Roman" w:hAnsi="Times New Roman" w:eastAsia="仿宋"/>
                <w:bCs/>
                <w:sz w:val="24"/>
              </w:rPr>
              <w:t>D效益</w:t>
            </w:r>
          </w:p>
        </w:tc>
        <w:tc>
          <w:tcPr>
            <w:tcW w:w="1846" w:type="dxa"/>
            <w:vAlign w:val="center"/>
          </w:tcPr>
          <w:p w14:paraId="53494F07">
            <w:pPr>
              <w:jc w:val="center"/>
              <w:rPr>
                <w:rFonts w:ascii="Times New Roman" w:hAnsi="Times New Roman" w:eastAsia="仿宋"/>
                <w:bCs/>
                <w:sz w:val="24"/>
              </w:rPr>
            </w:pPr>
            <w:r>
              <w:rPr>
                <w:rFonts w:ascii="Times New Roman" w:hAnsi="Times New Roman" w:eastAsia="仿宋"/>
                <w:bCs/>
                <w:sz w:val="24"/>
              </w:rPr>
              <w:t>30.00</w:t>
            </w:r>
          </w:p>
        </w:tc>
        <w:tc>
          <w:tcPr>
            <w:tcW w:w="1846" w:type="dxa"/>
            <w:vAlign w:val="center"/>
          </w:tcPr>
          <w:p w14:paraId="46E53032">
            <w:pPr>
              <w:jc w:val="center"/>
              <w:rPr>
                <w:rFonts w:hint="default" w:ascii="Times New Roman" w:hAnsi="Times New Roman" w:eastAsia="仿宋"/>
                <w:bCs/>
                <w:sz w:val="24"/>
                <w:lang w:val="en-US"/>
              </w:rPr>
            </w:pPr>
            <w:r>
              <w:rPr>
                <w:rFonts w:hint="eastAsia" w:ascii="Times New Roman" w:hAnsi="Times New Roman" w:eastAsia="仿宋"/>
                <w:bCs/>
                <w:sz w:val="24"/>
                <w:lang w:val="en-US" w:eastAsia="zh-CN"/>
              </w:rPr>
              <w:t>20.00</w:t>
            </w:r>
          </w:p>
        </w:tc>
        <w:tc>
          <w:tcPr>
            <w:tcW w:w="2374" w:type="dxa"/>
            <w:vAlign w:val="center"/>
          </w:tcPr>
          <w:p w14:paraId="287D1A48">
            <w:pPr>
              <w:jc w:val="center"/>
              <w:rPr>
                <w:rFonts w:ascii="Times New Roman" w:hAnsi="Times New Roman" w:eastAsia="仿宋"/>
                <w:bCs/>
                <w:sz w:val="24"/>
              </w:rPr>
            </w:pPr>
            <w:r>
              <w:rPr>
                <w:rFonts w:hint="eastAsia" w:ascii="Times New Roman" w:hAnsi="Times New Roman" w:eastAsia="仿宋"/>
                <w:bCs/>
                <w:sz w:val="24"/>
                <w:lang w:val="en-US" w:eastAsia="zh-CN"/>
              </w:rPr>
              <w:t>66.67</w:t>
            </w:r>
            <w:r>
              <w:rPr>
                <w:rFonts w:ascii="Times New Roman" w:hAnsi="Times New Roman" w:eastAsia="仿宋"/>
                <w:bCs/>
                <w:sz w:val="24"/>
              </w:rPr>
              <w:t>%</w:t>
            </w:r>
          </w:p>
        </w:tc>
      </w:tr>
      <w:tr w14:paraId="1C664F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14:paraId="41CC9EFB">
            <w:pPr>
              <w:jc w:val="center"/>
              <w:rPr>
                <w:rFonts w:ascii="Times New Roman" w:hAnsi="Times New Roman" w:eastAsia="仿宋"/>
                <w:bCs/>
                <w:sz w:val="24"/>
              </w:rPr>
            </w:pPr>
            <w:r>
              <w:rPr>
                <w:rFonts w:ascii="Times New Roman" w:hAnsi="Times New Roman" w:eastAsia="仿宋"/>
                <w:bCs/>
                <w:sz w:val="24"/>
              </w:rPr>
              <w:t>合计</w:t>
            </w:r>
          </w:p>
        </w:tc>
        <w:tc>
          <w:tcPr>
            <w:tcW w:w="1846" w:type="dxa"/>
            <w:vAlign w:val="center"/>
          </w:tcPr>
          <w:p w14:paraId="48B12687">
            <w:pPr>
              <w:jc w:val="center"/>
              <w:rPr>
                <w:rFonts w:ascii="Times New Roman" w:hAnsi="Times New Roman" w:eastAsia="仿宋"/>
                <w:bCs/>
                <w:sz w:val="24"/>
              </w:rPr>
            </w:pPr>
            <w:r>
              <w:rPr>
                <w:rFonts w:ascii="Times New Roman" w:hAnsi="Times New Roman" w:eastAsia="仿宋"/>
                <w:bCs/>
                <w:sz w:val="24"/>
              </w:rPr>
              <w:t xml:space="preserve">100.00 </w:t>
            </w:r>
          </w:p>
        </w:tc>
        <w:tc>
          <w:tcPr>
            <w:tcW w:w="1846" w:type="dxa"/>
            <w:vAlign w:val="center"/>
          </w:tcPr>
          <w:p w14:paraId="37007277">
            <w:pPr>
              <w:jc w:val="center"/>
              <w:rPr>
                <w:rFonts w:hint="default" w:ascii="Times New Roman" w:hAnsi="Times New Roman" w:eastAsia="仿宋"/>
                <w:bCs/>
                <w:sz w:val="24"/>
                <w:lang w:val="en-US" w:eastAsia="zh-CN"/>
              </w:rPr>
            </w:pPr>
            <w:r>
              <w:rPr>
                <w:rFonts w:hint="eastAsia" w:ascii="Times New Roman" w:hAnsi="Times New Roman" w:eastAsia="仿宋"/>
                <w:bCs/>
                <w:sz w:val="24"/>
                <w:lang w:val="en-US" w:eastAsia="zh-CN"/>
              </w:rPr>
              <w:t>85.00</w:t>
            </w:r>
          </w:p>
        </w:tc>
        <w:tc>
          <w:tcPr>
            <w:tcW w:w="2374" w:type="dxa"/>
            <w:vAlign w:val="center"/>
          </w:tcPr>
          <w:p w14:paraId="44800BE8">
            <w:pPr>
              <w:jc w:val="center"/>
              <w:rPr>
                <w:rFonts w:ascii="Times New Roman" w:hAnsi="Times New Roman" w:eastAsia="仿宋"/>
                <w:bCs/>
                <w:sz w:val="24"/>
              </w:rPr>
            </w:pPr>
            <w:r>
              <w:rPr>
                <w:rFonts w:hint="eastAsia" w:ascii="Times New Roman" w:hAnsi="Times New Roman" w:eastAsia="仿宋"/>
                <w:bCs/>
                <w:sz w:val="24"/>
                <w:lang w:val="en-US" w:eastAsia="zh-CN"/>
              </w:rPr>
              <w:t>85.00</w:t>
            </w:r>
            <w:r>
              <w:rPr>
                <w:rFonts w:ascii="Times New Roman" w:hAnsi="Times New Roman" w:eastAsia="仿宋"/>
                <w:bCs/>
                <w:sz w:val="24"/>
              </w:rPr>
              <w:t>%</w:t>
            </w:r>
          </w:p>
        </w:tc>
      </w:tr>
    </w:tbl>
    <w:p w14:paraId="3E174409">
      <w:pPr>
        <w:pStyle w:val="3"/>
        <w:spacing w:before="312" w:beforeLines="100" w:after="312" w:afterLines="100" w:line="500" w:lineRule="exact"/>
        <w:rPr>
          <w:rFonts w:ascii="Times New Roman" w:hAnsi="Times New Roman" w:eastAsia="黑体"/>
          <w:b w:val="0"/>
          <w:sz w:val="32"/>
          <w:szCs w:val="32"/>
        </w:rPr>
      </w:pPr>
      <w:bookmarkStart w:id="112" w:name="_Toc18990"/>
      <w:r>
        <w:rPr>
          <w:rFonts w:ascii="Times New Roman" w:hAnsi="Times New Roman" w:eastAsia="黑体"/>
          <w:b w:val="0"/>
          <w:sz w:val="32"/>
          <w:szCs w:val="32"/>
        </w:rPr>
        <w:t>五、综合评价情况及结论</w:t>
      </w:r>
      <w:bookmarkEnd w:id="111"/>
      <w:bookmarkEnd w:id="112"/>
    </w:p>
    <w:p w14:paraId="72A6A6A5">
      <w:pPr>
        <w:pStyle w:val="4"/>
        <w:spacing w:before="156" w:beforeLines="50" w:after="156" w:afterLines="50" w:line="500" w:lineRule="exact"/>
        <w:ind w:firstLine="643" w:firstLineChars="200"/>
        <w:rPr>
          <w:rFonts w:ascii="仿宋" w:hAnsi="仿宋" w:eastAsia="仿宋"/>
        </w:rPr>
      </w:pPr>
      <w:bookmarkStart w:id="113" w:name="_Toc514537346"/>
      <w:bookmarkStart w:id="114" w:name="_Toc28348"/>
      <w:r>
        <w:rPr>
          <w:rFonts w:ascii="仿宋" w:hAnsi="仿宋" w:eastAsia="仿宋"/>
        </w:rPr>
        <w:t>（一）评分结果</w:t>
      </w:r>
      <w:bookmarkEnd w:id="113"/>
      <w:bookmarkEnd w:id="114"/>
    </w:p>
    <w:p w14:paraId="47A87558">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依据项目基础信息统计，结合现场核查结果，按照评价小组制定并</w:t>
      </w:r>
      <w:r>
        <w:rPr>
          <w:rFonts w:hint="eastAsia" w:ascii="Times New Roman" w:hAnsi="Times New Roman" w:eastAsia="仿宋"/>
          <w:snapToGrid w:val="0"/>
          <w:sz w:val="28"/>
          <w:szCs w:val="32"/>
          <w:lang w:val="en-US" w:eastAsia="zh-CN"/>
        </w:rPr>
        <w:t>经</w:t>
      </w:r>
      <w:r>
        <w:rPr>
          <w:rFonts w:ascii="Times New Roman" w:hAnsi="Times New Roman" w:eastAsia="仿宋"/>
          <w:snapToGrid w:val="0"/>
          <w:sz w:val="28"/>
          <w:szCs w:val="32"/>
        </w:rPr>
        <w:t>专家组论证的评价指标体系，</w:t>
      </w:r>
      <w:r>
        <w:rPr>
          <w:rFonts w:hint="eastAsia" w:ascii="Times New Roman" w:hAnsi="Times New Roman" w:eastAsia="仿宋"/>
          <w:snapToGrid w:val="0"/>
          <w:sz w:val="28"/>
          <w:szCs w:val="32"/>
          <w:lang w:eastAsia="zh-CN"/>
        </w:rPr>
        <w:t>古县旧县镇和南垣乡秦王庙村等8村土地综合整治项目</w:t>
      </w:r>
      <w:r>
        <w:rPr>
          <w:rFonts w:ascii="Times New Roman" w:hAnsi="Times New Roman" w:eastAsia="仿宋"/>
          <w:snapToGrid w:val="0"/>
          <w:sz w:val="28"/>
          <w:szCs w:val="32"/>
        </w:rPr>
        <w:t>财政支出绩效评价综合得分</w:t>
      </w:r>
      <w:r>
        <w:rPr>
          <w:rFonts w:hint="eastAsia" w:ascii="Times New Roman" w:hAnsi="Times New Roman" w:eastAsia="仿宋"/>
          <w:snapToGrid w:val="0"/>
          <w:sz w:val="28"/>
          <w:szCs w:val="32"/>
          <w:lang w:val="en-US" w:eastAsia="zh-CN"/>
        </w:rPr>
        <w:t>85.00</w:t>
      </w:r>
      <w:r>
        <w:rPr>
          <w:rFonts w:ascii="Times New Roman" w:hAnsi="Times New Roman" w:eastAsia="仿宋"/>
          <w:snapToGrid w:val="0"/>
          <w:sz w:val="28"/>
          <w:szCs w:val="32"/>
        </w:rPr>
        <w:t>分，评价等级为</w:t>
      </w:r>
      <w:r>
        <w:rPr>
          <w:rFonts w:hint="eastAsia" w:ascii="Times New Roman" w:hAnsi="Times New Roman" w:eastAsia="仿宋"/>
          <w:snapToGrid w:val="0"/>
          <w:sz w:val="28"/>
          <w:szCs w:val="32"/>
          <w:lang w:eastAsia="zh-CN"/>
        </w:rPr>
        <w:t>“</w:t>
      </w:r>
      <w:r>
        <w:rPr>
          <w:rFonts w:hint="eastAsia" w:ascii="Times New Roman" w:hAnsi="Times New Roman" w:eastAsia="仿宋"/>
          <w:snapToGrid w:val="0"/>
          <w:sz w:val="28"/>
          <w:szCs w:val="32"/>
          <w:lang w:val="en-US" w:eastAsia="zh-CN"/>
        </w:rPr>
        <w:t>良</w:t>
      </w:r>
      <w:r>
        <w:rPr>
          <w:rFonts w:hint="eastAsia" w:ascii="Times New Roman" w:hAnsi="Times New Roman" w:eastAsia="仿宋"/>
          <w:snapToGrid w:val="0"/>
          <w:sz w:val="28"/>
          <w:szCs w:val="32"/>
          <w:lang w:eastAsia="zh-CN"/>
        </w:rPr>
        <w:t>”</w:t>
      </w:r>
      <w:r>
        <w:rPr>
          <w:rFonts w:ascii="Times New Roman" w:hAnsi="Times New Roman" w:eastAsia="仿宋"/>
          <w:snapToGrid w:val="0"/>
          <w:sz w:val="28"/>
          <w:szCs w:val="32"/>
        </w:rPr>
        <w:t>。</w:t>
      </w:r>
    </w:p>
    <w:p w14:paraId="0F85A2A3">
      <w:pPr>
        <w:pStyle w:val="4"/>
        <w:spacing w:before="156" w:beforeLines="50" w:after="156" w:afterLines="50" w:line="500" w:lineRule="exact"/>
        <w:ind w:firstLine="643" w:firstLineChars="200"/>
        <w:rPr>
          <w:rFonts w:ascii="仿宋" w:hAnsi="仿宋" w:eastAsia="仿宋"/>
        </w:rPr>
      </w:pPr>
      <w:bookmarkStart w:id="115" w:name="_Toc514537347"/>
      <w:bookmarkStart w:id="116" w:name="_Toc646"/>
      <w:r>
        <w:rPr>
          <w:rFonts w:ascii="仿宋" w:hAnsi="仿宋" w:eastAsia="仿宋"/>
        </w:rPr>
        <w:t>（二）主要结论</w:t>
      </w:r>
      <w:bookmarkEnd w:id="115"/>
      <w:bookmarkEnd w:id="116"/>
    </w:p>
    <w:p w14:paraId="258EE4F5">
      <w:pPr>
        <w:widowControl/>
        <w:spacing w:line="500" w:lineRule="exact"/>
        <w:ind w:firstLine="560" w:firstLineChars="200"/>
        <w:rPr>
          <w:rFonts w:hint="eastAsia" w:ascii="Times New Roman" w:hAnsi="Times New Roman" w:eastAsia="仿宋"/>
          <w:sz w:val="28"/>
          <w:szCs w:val="32"/>
        </w:rPr>
      </w:pPr>
      <w:bookmarkStart w:id="117" w:name="_Toc514537348"/>
      <w:r>
        <w:rPr>
          <w:rFonts w:hint="eastAsia" w:ascii="Times New Roman" w:hAnsi="Times New Roman" w:eastAsia="仿宋"/>
          <w:sz w:val="28"/>
          <w:szCs w:val="32"/>
        </w:rPr>
        <w:t>评价结果说明，</w:t>
      </w:r>
      <w:r>
        <w:rPr>
          <w:rFonts w:hint="eastAsia" w:ascii="Times New Roman" w:hAnsi="Times New Roman" w:eastAsia="仿宋"/>
          <w:sz w:val="28"/>
          <w:szCs w:val="32"/>
          <w:lang w:eastAsia="zh-CN"/>
        </w:rPr>
        <w:t>古县旧县镇和南垣乡秦王庙村等8村土地综合整治项目</w:t>
      </w:r>
      <w:r>
        <w:rPr>
          <w:rFonts w:hint="eastAsia" w:ascii="Times New Roman" w:hAnsi="Times New Roman" w:eastAsia="仿宋"/>
          <w:sz w:val="28"/>
          <w:szCs w:val="32"/>
        </w:rPr>
        <w:t>资金使用的总体情况较好，社会效益、可持续影响显著，资金绩效基本达到了预期目标。</w:t>
      </w:r>
    </w:p>
    <w:p w14:paraId="612618D3">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lang w:val="en-US" w:eastAsia="zh-CN"/>
        </w:rPr>
        <w:t>1.决策</w:t>
      </w:r>
      <w:r>
        <w:rPr>
          <w:rFonts w:hint="eastAsia" w:ascii="Times New Roman" w:hAnsi="Times New Roman" w:eastAsia="仿宋"/>
          <w:sz w:val="28"/>
          <w:szCs w:val="32"/>
        </w:rPr>
        <w:t>方面，项目立项依据充分，绩效目标设定符合国家对扶贫</w:t>
      </w:r>
      <w:r>
        <w:rPr>
          <w:rFonts w:hint="eastAsia" w:ascii="Times New Roman" w:hAnsi="Times New Roman" w:eastAsia="仿宋"/>
          <w:sz w:val="28"/>
          <w:szCs w:val="32"/>
          <w:lang w:val="en-US" w:eastAsia="zh-CN"/>
        </w:rPr>
        <w:t>项目</w:t>
      </w:r>
      <w:r>
        <w:rPr>
          <w:rFonts w:hint="eastAsia" w:ascii="Times New Roman" w:hAnsi="Times New Roman" w:eastAsia="仿宋"/>
          <w:sz w:val="28"/>
          <w:szCs w:val="32"/>
        </w:rPr>
        <w:t>的需求，资金审批、到位及时，保证了项目总体的实施情况。</w:t>
      </w:r>
    </w:p>
    <w:p w14:paraId="02E6C515">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lang w:val="en-US" w:eastAsia="zh-CN"/>
        </w:rPr>
        <w:t>2.</w:t>
      </w:r>
      <w:r>
        <w:rPr>
          <w:rFonts w:hint="eastAsia" w:ascii="Times New Roman" w:hAnsi="Times New Roman" w:eastAsia="仿宋"/>
          <w:sz w:val="28"/>
          <w:szCs w:val="32"/>
        </w:rPr>
        <w:t>过程方面，</w:t>
      </w:r>
      <w:r>
        <w:rPr>
          <w:rFonts w:hint="eastAsia" w:ascii="Times New Roman" w:hAnsi="Times New Roman" w:eastAsia="仿宋"/>
          <w:sz w:val="28"/>
          <w:szCs w:val="32"/>
          <w:lang w:eastAsia="zh-CN"/>
        </w:rPr>
        <w:t>古县自然资源局</w:t>
      </w:r>
      <w:r>
        <w:rPr>
          <w:rFonts w:hint="eastAsia" w:ascii="Times New Roman" w:hAnsi="Times New Roman" w:eastAsia="仿宋"/>
          <w:sz w:val="28"/>
          <w:szCs w:val="32"/>
        </w:rPr>
        <w:t>机构配置体系全面、工作流程管理等辅助制度完善，项目资金具有专人财务管理，财务管理合规、合法，具有明确专项资金收支账户，资金使用合规。</w:t>
      </w:r>
    </w:p>
    <w:p w14:paraId="069A4F21">
      <w:pPr>
        <w:widowControl/>
        <w:spacing w:line="500" w:lineRule="exact"/>
        <w:ind w:firstLine="560" w:firstLineChars="200"/>
        <w:rPr>
          <w:rFonts w:hint="eastAsia" w:ascii="Times New Roman" w:hAnsi="Times New Roman" w:eastAsia="仿宋"/>
          <w:sz w:val="28"/>
          <w:szCs w:val="32"/>
        </w:rPr>
      </w:pPr>
      <w:r>
        <w:rPr>
          <w:rFonts w:hint="eastAsia" w:ascii="Times New Roman" w:hAnsi="Times New Roman" w:eastAsia="仿宋"/>
          <w:sz w:val="28"/>
          <w:szCs w:val="32"/>
          <w:lang w:val="en-US" w:eastAsia="zh-CN"/>
        </w:rPr>
        <w:t>3.</w:t>
      </w:r>
      <w:r>
        <w:rPr>
          <w:rFonts w:hint="eastAsia" w:ascii="Times New Roman" w:hAnsi="Times New Roman" w:eastAsia="仿宋"/>
          <w:sz w:val="28"/>
          <w:szCs w:val="32"/>
        </w:rPr>
        <w:t>产出方面，项目达到了项目计划完成情况，精准使用，实施项目均与</w:t>
      </w:r>
      <w:r>
        <w:rPr>
          <w:rFonts w:hint="eastAsia" w:ascii="Times New Roman" w:hAnsi="Times New Roman" w:eastAsia="仿宋"/>
          <w:sz w:val="28"/>
          <w:szCs w:val="32"/>
          <w:lang w:val="en-US" w:eastAsia="zh-CN"/>
        </w:rPr>
        <w:t>土地整治目标</w:t>
      </w:r>
      <w:r>
        <w:rPr>
          <w:rFonts w:hint="eastAsia" w:ascii="Times New Roman" w:hAnsi="Times New Roman" w:eastAsia="仿宋"/>
          <w:sz w:val="28"/>
          <w:szCs w:val="32"/>
        </w:rPr>
        <w:t>紧密挂钩。</w:t>
      </w:r>
    </w:p>
    <w:p w14:paraId="75B31B8B">
      <w:pPr>
        <w:widowControl/>
        <w:spacing w:line="500" w:lineRule="exact"/>
        <w:ind w:firstLine="560" w:firstLineChars="200"/>
        <w:rPr>
          <w:rFonts w:ascii="Times New Roman" w:hAnsi="Times New Roman" w:eastAsia="仿宋"/>
          <w:snapToGrid w:val="0"/>
          <w:sz w:val="28"/>
          <w:szCs w:val="32"/>
        </w:rPr>
      </w:pPr>
      <w:r>
        <w:rPr>
          <w:rFonts w:hint="eastAsia" w:ascii="Times New Roman" w:hAnsi="Times New Roman" w:eastAsia="仿宋"/>
          <w:sz w:val="28"/>
          <w:szCs w:val="32"/>
          <w:lang w:val="en-US" w:eastAsia="zh-CN"/>
        </w:rPr>
        <w:t>4.</w:t>
      </w:r>
      <w:r>
        <w:rPr>
          <w:rFonts w:hint="eastAsia" w:ascii="Times New Roman" w:hAnsi="Times New Roman" w:eastAsia="仿宋"/>
          <w:sz w:val="28"/>
          <w:szCs w:val="32"/>
        </w:rPr>
        <w:t>效益方面，</w:t>
      </w:r>
      <w:r>
        <w:rPr>
          <w:rFonts w:hint="eastAsia" w:ascii="Times New Roman" w:hAnsi="Times New Roman" w:eastAsia="仿宋"/>
          <w:sz w:val="28"/>
          <w:szCs w:val="32"/>
          <w:lang w:val="en-US" w:eastAsia="zh-CN"/>
        </w:rPr>
        <w:t>项目社会效益良好，群众满意度高</w:t>
      </w:r>
      <w:r>
        <w:rPr>
          <w:rFonts w:ascii="Times New Roman" w:hAnsi="Times New Roman" w:eastAsia="仿宋"/>
          <w:snapToGrid w:val="0"/>
          <w:sz w:val="28"/>
          <w:szCs w:val="32"/>
        </w:rPr>
        <w:t>。</w:t>
      </w:r>
    </w:p>
    <w:bookmarkEnd w:id="117"/>
    <w:p w14:paraId="309D2D33">
      <w:pPr>
        <w:pStyle w:val="3"/>
        <w:spacing w:before="312" w:beforeLines="100" w:after="312" w:afterLines="100" w:line="500" w:lineRule="exact"/>
        <w:rPr>
          <w:rFonts w:ascii="Times New Roman" w:hAnsi="Times New Roman" w:eastAsia="黑体"/>
          <w:b w:val="0"/>
          <w:sz w:val="32"/>
          <w:szCs w:val="32"/>
        </w:rPr>
      </w:pPr>
      <w:bookmarkStart w:id="118" w:name="_Toc20216"/>
      <w:bookmarkStart w:id="119" w:name="_Toc514537349"/>
      <w:r>
        <w:rPr>
          <w:rFonts w:ascii="Times New Roman" w:hAnsi="Times New Roman" w:eastAsia="黑体"/>
          <w:b w:val="0"/>
          <w:sz w:val="32"/>
          <w:szCs w:val="32"/>
        </w:rPr>
        <w:t>六、存在的问题和改进建议</w:t>
      </w:r>
      <w:bookmarkEnd w:id="118"/>
      <w:bookmarkEnd w:id="119"/>
    </w:p>
    <w:p w14:paraId="4DA425EA">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评价小组在详细查阅项目资料的基础上，结合现场实地勘察，对本次项目建设过程中存在的问题进行总结与分析，并针对问题提出了对应建议。</w:t>
      </w:r>
    </w:p>
    <w:p w14:paraId="1B68BD38">
      <w:pPr>
        <w:pStyle w:val="4"/>
        <w:spacing w:before="156" w:beforeLines="50" w:after="156" w:afterLines="50" w:line="500" w:lineRule="exact"/>
        <w:ind w:firstLine="643" w:firstLineChars="200"/>
        <w:rPr>
          <w:rFonts w:ascii="仿宋" w:hAnsi="仿宋" w:eastAsia="仿宋"/>
        </w:rPr>
      </w:pPr>
      <w:bookmarkStart w:id="120" w:name="_Toc28066"/>
      <w:bookmarkStart w:id="121" w:name="_Toc528603086"/>
      <w:bookmarkStart w:id="122" w:name="_Toc528684154"/>
      <w:bookmarkStart w:id="123" w:name="_Toc528680328"/>
      <w:bookmarkStart w:id="124" w:name="_Toc528680479"/>
      <w:bookmarkStart w:id="125" w:name="_Toc514537350"/>
      <w:r>
        <w:rPr>
          <w:rFonts w:ascii="仿宋" w:hAnsi="仿宋" w:eastAsia="仿宋"/>
        </w:rPr>
        <w:t>（一）存在的问题</w:t>
      </w:r>
      <w:bookmarkEnd w:id="120"/>
      <w:bookmarkEnd w:id="121"/>
      <w:bookmarkEnd w:id="122"/>
      <w:bookmarkEnd w:id="123"/>
      <w:bookmarkEnd w:id="124"/>
      <w:bookmarkEnd w:id="125"/>
    </w:p>
    <w:p w14:paraId="4A88463E">
      <w:pPr>
        <w:spacing w:line="500" w:lineRule="exact"/>
        <w:ind w:firstLine="562" w:firstLineChars="200"/>
        <w:rPr>
          <w:rFonts w:ascii="Times New Roman" w:hAnsi="Times New Roman" w:eastAsia="仿宋"/>
          <w:b/>
          <w:bCs/>
          <w:snapToGrid w:val="0"/>
          <w:sz w:val="28"/>
          <w:szCs w:val="32"/>
        </w:rPr>
      </w:pPr>
      <w:bookmarkStart w:id="126" w:name="_Toc528603087"/>
      <w:bookmarkStart w:id="127" w:name="_Toc514537351"/>
      <w:r>
        <w:rPr>
          <w:rFonts w:ascii="Times New Roman" w:hAnsi="Times New Roman" w:eastAsia="仿宋"/>
          <w:b/>
          <w:bCs/>
          <w:snapToGrid w:val="0"/>
          <w:sz w:val="28"/>
          <w:szCs w:val="32"/>
        </w:rPr>
        <w:t>1.</w:t>
      </w:r>
      <w:bookmarkEnd w:id="126"/>
      <w:bookmarkStart w:id="128" w:name="_Toc528603088"/>
      <w:r>
        <w:rPr>
          <w:rFonts w:hint="eastAsia" w:ascii="Times New Roman" w:hAnsi="Times New Roman" w:eastAsia="仿宋"/>
          <w:b/>
          <w:bCs/>
          <w:snapToGrid w:val="0"/>
          <w:sz w:val="28"/>
          <w:szCs w:val="32"/>
          <w:lang w:val="en-US" w:eastAsia="zh-CN"/>
        </w:rPr>
        <w:t>项目进度管理不到位，项目未制定明确的实施方案</w:t>
      </w:r>
      <w:r>
        <w:rPr>
          <w:rFonts w:ascii="Times New Roman" w:hAnsi="Times New Roman" w:eastAsia="仿宋"/>
          <w:b/>
          <w:bCs/>
          <w:snapToGrid w:val="0"/>
          <w:sz w:val="28"/>
          <w:szCs w:val="32"/>
        </w:rPr>
        <w:t>。</w:t>
      </w:r>
    </w:p>
    <w:bookmarkEnd w:id="128"/>
    <w:p w14:paraId="0E550F6D">
      <w:pPr>
        <w:spacing w:line="500" w:lineRule="exact"/>
        <w:ind w:firstLine="560" w:firstLineChars="200"/>
        <w:rPr>
          <w:rFonts w:hint="eastAsia" w:ascii="Times New Roman" w:hAnsi="Times New Roman" w:eastAsia="仿宋"/>
          <w:b/>
          <w:snapToGrid w:val="0"/>
          <w:sz w:val="28"/>
          <w:szCs w:val="32"/>
          <w:lang w:val="en-US" w:eastAsia="zh-CN"/>
        </w:rPr>
      </w:pPr>
      <w:bookmarkStart w:id="129" w:name="_Toc528603089"/>
      <w:r>
        <w:rPr>
          <w:rFonts w:hint="eastAsia" w:ascii="Times New Roman" w:hAnsi="Times New Roman" w:eastAsia="仿宋"/>
          <w:snapToGrid w:val="0"/>
          <w:sz w:val="28"/>
          <w:szCs w:val="32"/>
          <w:lang w:val="en-US" w:eastAsia="zh-CN"/>
        </w:rPr>
        <w:t>（1）该项目进度管理不到位，项目完工后尚未进行结算审计，影响项目整体进度；（2）古县自然资源局、古县土地开发中心未根据项目实施内容、进度、资金保障、组织保障等关键因素编制项目实施方案。</w:t>
      </w:r>
    </w:p>
    <w:p w14:paraId="64228DAF">
      <w:pPr>
        <w:spacing w:line="500" w:lineRule="exact"/>
        <w:ind w:firstLine="562" w:firstLineChars="200"/>
        <w:rPr>
          <w:rFonts w:hint="default" w:ascii="Times New Roman" w:hAnsi="Times New Roman" w:eastAsia="仿宋"/>
          <w:b/>
          <w:snapToGrid w:val="0"/>
          <w:sz w:val="28"/>
          <w:szCs w:val="32"/>
          <w:lang w:val="en-US" w:eastAsia="zh-CN"/>
        </w:rPr>
      </w:pPr>
      <w:r>
        <w:rPr>
          <w:rFonts w:hint="eastAsia" w:ascii="Times New Roman" w:hAnsi="Times New Roman" w:eastAsia="仿宋"/>
          <w:b/>
          <w:snapToGrid w:val="0"/>
          <w:sz w:val="28"/>
          <w:szCs w:val="32"/>
          <w:lang w:val="en-US" w:eastAsia="zh-CN"/>
        </w:rPr>
        <w:t>2.工程后续管护有待进一步加强。</w:t>
      </w:r>
    </w:p>
    <w:p w14:paraId="4D71CA16">
      <w:pPr>
        <w:spacing w:line="500" w:lineRule="exact"/>
        <w:ind w:firstLine="560" w:firstLineChars="200"/>
        <w:rPr>
          <w:rFonts w:ascii="Times New Roman" w:hAnsi="Times New Roman" w:eastAsia="仿宋"/>
          <w:bCs/>
          <w:snapToGrid w:val="0"/>
          <w:sz w:val="28"/>
          <w:szCs w:val="32"/>
        </w:rPr>
      </w:pPr>
      <w:r>
        <w:rPr>
          <w:rFonts w:hint="eastAsia" w:ascii="Times New Roman" w:hAnsi="Times New Roman" w:eastAsia="仿宋"/>
          <w:b w:val="0"/>
          <w:bCs/>
          <w:snapToGrid w:val="0"/>
          <w:sz w:val="28"/>
          <w:szCs w:val="32"/>
          <w:lang w:val="en-US" w:eastAsia="zh-CN"/>
        </w:rPr>
        <w:t>运行管理是项目后续管理的重要环节，从制度建设、改革创新、政策保障等方面入手，建立起确保工程长期发挥效益的良好运行机制。应按照“建管用、责权利”相结合和“谁受益、谁管护”的原则。但评价组现场调研也发现，项目后续管理体制机制未建立，项目后续管理责任落实不到位</w:t>
      </w:r>
      <w:r>
        <w:rPr>
          <w:rFonts w:hint="eastAsia" w:ascii="Times New Roman" w:hAnsi="Times New Roman" w:eastAsia="仿宋"/>
          <w:b w:val="0"/>
          <w:bCs/>
          <w:snapToGrid w:val="0"/>
          <w:sz w:val="28"/>
          <w:szCs w:val="32"/>
        </w:rPr>
        <w:t>。</w:t>
      </w:r>
    </w:p>
    <w:p w14:paraId="3E90164E">
      <w:pPr>
        <w:pStyle w:val="4"/>
        <w:spacing w:before="156" w:beforeLines="50" w:after="156" w:afterLines="50" w:line="500" w:lineRule="exact"/>
        <w:ind w:firstLine="643" w:firstLineChars="200"/>
        <w:rPr>
          <w:rFonts w:ascii="仿宋" w:hAnsi="仿宋" w:eastAsia="仿宋"/>
        </w:rPr>
      </w:pPr>
      <w:bookmarkStart w:id="130" w:name="_Toc528684155"/>
      <w:bookmarkStart w:id="131" w:name="_Toc528680480"/>
      <w:bookmarkStart w:id="132" w:name="_Toc29524"/>
      <w:bookmarkStart w:id="133" w:name="_Toc528680329"/>
      <w:r>
        <w:rPr>
          <w:rFonts w:ascii="仿宋" w:hAnsi="仿宋" w:eastAsia="仿宋"/>
        </w:rPr>
        <w:t>（二）改进建议</w:t>
      </w:r>
      <w:bookmarkEnd w:id="127"/>
      <w:bookmarkEnd w:id="129"/>
      <w:bookmarkEnd w:id="130"/>
      <w:bookmarkEnd w:id="131"/>
      <w:bookmarkEnd w:id="132"/>
      <w:bookmarkEnd w:id="133"/>
    </w:p>
    <w:p w14:paraId="6F577F08">
      <w:pPr>
        <w:spacing w:line="600" w:lineRule="exact"/>
        <w:ind w:firstLine="562" w:firstLineChars="200"/>
        <w:jc w:val="left"/>
        <w:rPr>
          <w:rFonts w:hint="eastAsia" w:ascii="Times New Roman" w:hAnsi="Times New Roman" w:eastAsia="仿宋" w:cs="Times New Roman"/>
          <w:b/>
          <w:sz w:val="28"/>
          <w:szCs w:val="28"/>
          <w:lang w:val="en-US" w:eastAsia="zh-CN"/>
        </w:rPr>
      </w:pPr>
      <w:bookmarkStart w:id="134" w:name="_Toc528603091"/>
      <w:r>
        <w:rPr>
          <w:rFonts w:ascii="Times New Roman" w:hAnsi="Times New Roman" w:eastAsia="仿宋"/>
          <w:b/>
          <w:bCs/>
          <w:snapToGrid w:val="0"/>
          <w:sz w:val="28"/>
          <w:szCs w:val="32"/>
        </w:rPr>
        <w:t>1.</w:t>
      </w:r>
      <w:r>
        <w:rPr>
          <w:rFonts w:hint="eastAsia" w:ascii="Times New Roman" w:hAnsi="Times New Roman" w:eastAsia="仿宋" w:cs="Times New Roman"/>
          <w:b/>
          <w:sz w:val="28"/>
          <w:szCs w:val="28"/>
          <w:lang w:val="en-US" w:eastAsia="zh-CN"/>
        </w:rPr>
        <w:t>建议古县自然资源局加强项目实施进度管理，项目完工验收后尽快组织进行结算审计，及时支付社会资本方各项费用，确保项目长效发挥；建议古县自然资源局、古县土地开发中心完善项目实施方案，并确保项目内容及绩效目标匹配。</w:t>
      </w:r>
    </w:p>
    <w:bookmarkEnd w:id="134"/>
    <w:p w14:paraId="35E2530A">
      <w:pPr>
        <w:spacing w:line="500" w:lineRule="exact"/>
        <w:ind w:firstLine="562" w:firstLineChars="200"/>
        <w:rPr>
          <w:rFonts w:ascii="Times New Roman" w:hAnsi="Times New Roman" w:eastAsia="仿宋"/>
          <w:b/>
          <w:snapToGrid w:val="0"/>
          <w:sz w:val="28"/>
          <w:szCs w:val="32"/>
        </w:rPr>
      </w:pPr>
      <w:bookmarkStart w:id="135" w:name="_Toc514537353"/>
      <w:r>
        <w:rPr>
          <w:rFonts w:hint="eastAsia" w:ascii="Times New Roman" w:hAnsi="Times New Roman" w:eastAsia="仿宋" w:cs="Times New Roman"/>
          <w:b/>
          <w:sz w:val="28"/>
          <w:szCs w:val="28"/>
          <w:lang w:val="en-US" w:eastAsia="zh-CN"/>
        </w:rPr>
        <w:t>2.</w:t>
      </w:r>
      <w:r>
        <w:rPr>
          <w:rFonts w:hint="eastAsia" w:ascii="Times New Roman" w:hAnsi="Times New Roman" w:eastAsia="仿宋"/>
          <w:b/>
          <w:snapToGrid w:val="0"/>
          <w:sz w:val="28"/>
          <w:szCs w:val="32"/>
          <w:lang w:val="en-US" w:eastAsia="zh-CN"/>
        </w:rPr>
        <w:t>建立健全后续管护体制机制，确保项目持续发挥效益</w:t>
      </w:r>
      <w:r>
        <w:rPr>
          <w:rFonts w:ascii="Times New Roman" w:hAnsi="Times New Roman" w:eastAsia="仿宋"/>
          <w:b/>
          <w:snapToGrid w:val="0"/>
          <w:sz w:val="28"/>
          <w:szCs w:val="32"/>
        </w:rPr>
        <w:t>。</w:t>
      </w:r>
    </w:p>
    <w:p w14:paraId="1EE44F7C">
      <w:pPr>
        <w:spacing w:line="500" w:lineRule="exact"/>
        <w:ind w:firstLine="560" w:firstLineChars="200"/>
        <w:rPr>
          <w:rFonts w:hint="default" w:ascii="Times New Roman" w:hAnsi="Times New Roman" w:eastAsia="仿宋"/>
          <w:bCs/>
          <w:snapToGrid w:val="0"/>
          <w:sz w:val="28"/>
          <w:szCs w:val="32"/>
          <w:lang w:val="en-US" w:eastAsia="zh-CN"/>
        </w:rPr>
      </w:pPr>
      <w:r>
        <w:rPr>
          <w:rFonts w:hint="eastAsia" w:ascii="Times New Roman" w:hAnsi="Times New Roman" w:eastAsia="仿宋"/>
          <w:bCs/>
          <w:snapToGrid w:val="0"/>
          <w:sz w:val="28"/>
          <w:szCs w:val="32"/>
        </w:rPr>
        <w:t>建议</w:t>
      </w:r>
      <w:r>
        <w:rPr>
          <w:rFonts w:hint="eastAsia" w:ascii="Times New Roman" w:hAnsi="Times New Roman" w:eastAsia="仿宋"/>
          <w:bCs/>
          <w:snapToGrid w:val="0"/>
          <w:sz w:val="28"/>
          <w:szCs w:val="32"/>
          <w:lang w:val="en-US" w:eastAsia="zh-CN"/>
        </w:rPr>
        <w:t>管护单位</w:t>
      </w:r>
      <w:r>
        <w:rPr>
          <w:rFonts w:hint="eastAsia" w:ascii="Times New Roman" w:hAnsi="Times New Roman" w:eastAsia="仿宋"/>
          <w:bCs/>
          <w:snapToGrid w:val="0"/>
          <w:sz w:val="28"/>
          <w:szCs w:val="32"/>
        </w:rPr>
        <w:t>健全后期管护的体制机制，</w:t>
      </w:r>
      <w:r>
        <w:rPr>
          <w:rFonts w:hint="eastAsia" w:ascii="Times New Roman" w:hAnsi="Times New Roman" w:eastAsia="仿宋"/>
          <w:bCs/>
          <w:snapToGrid w:val="0"/>
          <w:sz w:val="28"/>
          <w:szCs w:val="32"/>
          <w:lang w:val="en-US" w:eastAsia="zh-CN"/>
        </w:rPr>
        <w:t>进一步强化后续管护，</w:t>
      </w:r>
      <w:r>
        <w:rPr>
          <w:rFonts w:hint="eastAsia" w:ascii="Times New Roman" w:hAnsi="Times New Roman" w:eastAsia="仿宋"/>
          <w:bCs/>
          <w:snapToGrid w:val="0"/>
          <w:sz w:val="28"/>
          <w:szCs w:val="32"/>
        </w:rPr>
        <w:t>确保在项目建成并投用后能够持续、稳定发挥作用，减少因后续管理脱节导致的项目使用风险</w:t>
      </w:r>
      <w:r>
        <w:rPr>
          <w:rFonts w:ascii="Times New Roman" w:hAnsi="Times New Roman" w:eastAsia="仿宋"/>
          <w:bCs/>
          <w:snapToGrid w:val="0"/>
          <w:sz w:val="28"/>
          <w:szCs w:val="32"/>
        </w:rPr>
        <w:t>。</w:t>
      </w:r>
    </w:p>
    <w:p w14:paraId="6CF984AF">
      <w:pPr>
        <w:pStyle w:val="3"/>
        <w:spacing w:before="312" w:beforeLines="100" w:after="312" w:afterLines="100" w:line="500" w:lineRule="exact"/>
        <w:rPr>
          <w:rFonts w:ascii="Times New Roman" w:hAnsi="Times New Roman" w:eastAsia="黑体"/>
          <w:b w:val="0"/>
          <w:sz w:val="32"/>
          <w:szCs w:val="32"/>
        </w:rPr>
      </w:pPr>
      <w:bookmarkStart w:id="136" w:name="_Toc13340"/>
      <w:r>
        <w:rPr>
          <w:rFonts w:ascii="Times New Roman" w:hAnsi="Times New Roman" w:eastAsia="黑体"/>
          <w:b w:val="0"/>
          <w:sz w:val="32"/>
          <w:szCs w:val="32"/>
        </w:rPr>
        <w:t>七、绩效评价结果应用建议</w:t>
      </w:r>
      <w:bookmarkEnd w:id="135"/>
      <w:bookmarkEnd w:id="136"/>
    </w:p>
    <w:p w14:paraId="44D6BA92">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绩效评价结果应用，既是开展绩效评价工作的基本前提，亦是加强财政支出管理、增强资金绩效理念、合理配置公共资源、优化财政支出结构、强化资金管理水平、提高资金使用效益的重要手段。为使绩效评价结果得到合理应用，特提出以下三点建议。</w:t>
      </w:r>
    </w:p>
    <w:p w14:paraId="11C51BAF">
      <w:pPr>
        <w:pStyle w:val="4"/>
        <w:spacing w:before="156" w:beforeLines="50" w:after="156" w:afterLines="50" w:line="500" w:lineRule="exact"/>
        <w:ind w:firstLine="643" w:firstLineChars="200"/>
        <w:rPr>
          <w:rFonts w:ascii="仿宋" w:hAnsi="仿宋" w:eastAsia="仿宋"/>
        </w:rPr>
      </w:pPr>
      <w:bookmarkStart w:id="137" w:name="_Toc22366"/>
      <w:bookmarkStart w:id="138" w:name="_Toc521418325"/>
      <w:r>
        <w:rPr>
          <w:rFonts w:ascii="仿宋" w:hAnsi="仿宋" w:eastAsia="仿宋"/>
        </w:rPr>
        <w:t>（一）以绩效评价促进项目规范管理</w:t>
      </w:r>
      <w:bookmarkEnd w:id="137"/>
      <w:bookmarkEnd w:id="138"/>
    </w:p>
    <w:p w14:paraId="4871E220">
      <w:pPr>
        <w:widowControl/>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根据绩效评价反馈的问题，委托方应进一步加强项目预算管理，并强化对项目实施过程的监督检查力度，督促有关部门加强对项目及绩效情况的追踪管理，促使项目达到既定的绩效目标，并将达标情况作为下一年度资金安排的重要依据。</w:t>
      </w:r>
    </w:p>
    <w:p w14:paraId="3B8620AF">
      <w:pPr>
        <w:pStyle w:val="4"/>
        <w:spacing w:before="156" w:beforeLines="50" w:after="156" w:afterLines="50" w:line="500" w:lineRule="exact"/>
        <w:ind w:firstLine="643" w:firstLineChars="200"/>
        <w:rPr>
          <w:rFonts w:ascii="仿宋" w:hAnsi="仿宋" w:eastAsia="仿宋"/>
        </w:rPr>
      </w:pPr>
      <w:bookmarkStart w:id="139" w:name="_Toc521418326"/>
      <w:bookmarkStart w:id="140" w:name="_Toc517532006"/>
      <w:bookmarkStart w:id="141" w:name="_Toc27452"/>
      <w:r>
        <w:rPr>
          <w:rFonts w:ascii="仿宋" w:hAnsi="仿宋" w:eastAsia="仿宋"/>
        </w:rPr>
        <w:t>（二）充分利用绩效结果，</w:t>
      </w:r>
      <w:bookmarkEnd w:id="139"/>
      <w:bookmarkEnd w:id="140"/>
      <w:r>
        <w:rPr>
          <w:rFonts w:ascii="仿宋" w:hAnsi="仿宋" w:eastAsia="仿宋"/>
        </w:rPr>
        <w:t>落实问题整改机制</w:t>
      </w:r>
      <w:bookmarkEnd w:id="141"/>
    </w:p>
    <w:p w14:paraId="76CCC1D0">
      <w:pPr>
        <w:spacing w:line="500" w:lineRule="exact"/>
        <w:ind w:firstLine="560" w:firstLineChars="200"/>
        <w:rPr>
          <w:rFonts w:ascii="Times New Roman" w:hAnsi="Times New Roman" w:eastAsia="仿宋"/>
          <w:snapToGrid w:val="0"/>
          <w:sz w:val="28"/>
          <w:szCs w:val="32"/>
        </w:rPr>
      </w:pPr>
      <w:r>
        <w:rPr>
          <w:rFonts w:ascii="Times New Roman" w:hAnsi="Times New Roman" w:eastAsia="仿宋"/>
          <w:snapToGrid w:val="0"/>
          <w:sz w:val="28"/>
          <w:szCs w:val="32"/>
        </w:rPr>
        <w:t>委托方应将项目在实施过程中的经验及存在问题以文件形式反馈到相关单位，对于绩效评价中存在的问题提出整改要求。被评价单位要根据具体问题制定整改方案，并将整改结果反馈政府、财政部门。</w:t>
      </w:r>
    </w:p>
    <w:p w14:paraId="27316C0A">
      <w:pPr>
        <w:pStyle w:val="4"/>
        <w:spacing w:before="156" w:beforeLines="50" w:after="156" w:afterLines="50" w:line="500" w:lineRule="exact"/>
        <w:ind w:firstLine="643" w:firstLineChars="200"/>
        <w:rPr>
          <w:rFonts w:ascii="仿宋" w:hAnsi="仿宋" w:eastAsia="仿宋"/>
        </w:rPr>
      </w:pPr>
      <w:bookmarkStart w:id="142" w:name="_Toc521418327"/>
      <w:bookmarkStart w:id="143" w:name="_Toc27490"/>
      <w:r>
        <w:rPr>
          <w:rFonts w:ascii="仿宋" w:hAnsi="仿宋" w:eastAsia="仿宋"/>
        </w:rPr>
        <w:t>（三）公开评价结果，实现社会监督</w:t>
      </w:r>
      <w:bookmarkEnd w:id="142"/>
      <w:bookmarkEnd w:id="143"/>
    </w:p>
    <w:p w14:paraId="2E756B6D">
      <w:pPr>
        <w:widowControl/>
        <w:spacing w:line="500" w:lineRule="exact"/>
        <w:ind w:firstLine="560" w:firstLineChars="200"/>
        <w:rPr>
          <w:rFonts w:ascii="Times New Roman" w:hAnsi="Times New Roman" w:eastAsia="仿宋"/>
          <w:snapToGrid w:val="0"/>
          <w:sz w:val="32"/>
          <w:szCs w:val="32"/>
        </w:rPr>
        <w:sectPr>
          <w:pgSz w:w="11906" w:h="16838"/>
          <w:pgMar w:top="1440" w:right="1800" w:bottom="1440" w:left="1800" w:header="851" w:footer="992" w:gutter="0"/>
          <w:pgNumType w:fmt="decimal"/>
          <w:cols w:space="425" w:num="1"/>
          <w:docGrid w:type="lines" w:linePitch="312" w:charSpace="0"/>
        </w:sectPr>
      </w:pPr>
      <w:r>
        <w:rPr>
          <w:rFonts w:ascii="Times New Roman" w:hAnsi="Times New Roman" w:eastAsia="仿宋"/>
          <w:snapToGrid w:val="0"/>
          <w:sz w:val="28"/>
          <w:szCs w:val="32"/>
        </w:rPr>
        <w:t>委托方应依据《政府信息公开条例》和《山西省政府信息公开规定》等相关规定，将绩效评价情况在一定范围内公开，或在相关网站公开绩效评价结果，以进一步增强资金使用单位的主体责任意识，并形成社会监督机制，促进提高项目资金的使用效率。</w:t>
      </w:r>
      <w:bookmarkStart w:id="144" w:name="_Toc514537354"/>
    </w:p>
    <w:p w14:paraId="39A3372C">
      <w:pPr>
        <w:spacing w:before="156" w:beforeLines="50" w:after="156" w:afterLines="50" w:line="500" w:lineRule="exact"/>
        <w:jc w:val="left"/>
        <w:outlineLvl w:val="0"/>
        <w:rPr>
          <w:rFonts w:ascii="Times New Roman" w:hAnsi="Times New Roman" w:eastAsia="仿宋"/>
          <w:b/>
          <w:kern w:val="0"/>
          <w:sz w:val="32"/>
          <w:szCs w:val="30"/>
        </w:rPr>
      </w:pPr>
      <w:bookmarkStart w:id="145" w:name="_Toc22946"/>
      <w:r>
        <w:rPr>
          <w:rFonts w:ascii="Times New Roman" w:hAnsi="Times New Roman" w:eastAsia="仿宋"/>
          <w:b/>
          <w:kern w:val="0"/>
          <w:sz w:val="32"/>
          <w:szCs w:val="30"/>
        </w:rPr>
        <w:t>附件1：评价指标体系</w:t>
      </w:r>
      <w:bookmarkEnd w:id="145"/>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1"/>
        <w:gridCol w:w="1240"/>
        <w:gridCol w:w="1800"/>
        <w:gridCol w:w="4280"/>
        <w:gridCol w:w="5723"/>
      </w:tblGrid>
      <w:tr w14:paraId="12464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Align w:val="center"/>
          </w:tcPr>
          <w:p w14:paraId="2CD42162">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一级指标</w:t>
            </w:r>
          </w:p>
        </w:tc>
        <w:tc>
          <w:tcPr>
            <w:tcW w:w="1240" w:type="dxa"/>
            <w:vAlign w:val="center"/>
          </w:tcPr>
          <w:p w14:paraId="40C466B4">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二级指标</w:t>
            </w:r>
          </w:p>
        </w:tc>
        <w:tc>
          <w:tcPr>
            <w:tcW w:w="1800" w:type="dxa"/>
            <w:vAlign w:val="center"/>
          </w:tcPr>
          <w:p w14:paraId="0858FFF8">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三级指标</w:t>
            </w:r>
          </w:p>
        </w:tc>
        <w:tc>
          <w:tcPr>
            <w:tcW w:w="4280" w:type="dxa"/>
            <w:vAlign w:val="center"/>
          </w:tcPr>
          <w:p w14:paraId="0FC2181A">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指标解释</w:t>
            </w:r>
          </w:p>
        </w:tc>
        <w:tc>
          <w:tcPr>
            <w:tcW w:w="5723" w:type="dxa"/>
            <w:vAlign w:val="center"/>
          </w:tcPr>
          <w:p w14:paraId="2BCDFA3C">
            <w:pPr>
              <w:widowControl/>
              <w:snapToGrid w:val="0"/>
              <w:jc w:val="center"/>
              <w:rPr>
                <w:rFonts w:hint="eastAsia" w:ascii="仿宋" w:hAnsi="仿宋" w:eastAsia="仿宋" w:cs="仿宋"/>
                <w:b/>
                <w:bCs/>
                <w:color w:val="000000"/>
                <w:kern w:val="0"/>
                <w:sz w:val="24"/>
                <w:szCs w:val="24"/>
                <w:lang w:val="en-US" w:eastAsia="zh-CN"/>
              </w:rPr>
            </w:pPr>
            <w:r>
              <w:rPr>
                <w:rFonts w:hint="eastAsia" w:ascii="仿宋" w:hAnsi="仿宋" w:eastAsia="仿宋" w:cs="仿宋"/>
                <w:b/>
                <w:bCs/>
                <w:color w:val="000000"/>
                <w:kern w:val="0"/>
                <w:sz w:val="24"/>
                <w:szCs w:val="24"/>
                <w:lang w:val="en-US" w:eastAsia="zh-CN"/>
              </w:rPr>
              <w:t>评价标准</w:t>
            </w:r>
          </w:p>
        </w:tc>
      </w:tr>
      <w:tr w14:paraId="5D756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restart"/>
            <w:vAlign w:val="center"/>
          </w:tcPr>
          <w:p w14:paraId="3648F29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A决策（20分）</w:t>
            </w:r>
          </w:p>
        </w:tc>
        <w:tc>
          <w:tcPr>
            <w:tcW w:w="1240" w:type="dxa"/>
            <w:vMerge w:val="restart"/>
            <w:vAlign w:val="center"/>
          </w:tcPr>
          <w:p w14:paraId="549B5E8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A1项目立项（6分）</w:t>
            </w:r>
          </w:p>
        </w:tc>
        <w:tc>
          <w:tcPr>
            <w:tcW w:w="1800" w:type="dxa"/>
            <w:vAlign w:val="center"/>
          </w:tcPr>
          <w:p w14:paraId="0E041F0B">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A11立项依据充分性（3分）</w:t>
            </w:r>
          </w:p>
        </w:tc>
        <w:tc>
          <w:tcPr>
            <w:tcW w:w="4280" w:type="dxa"/>
            <w:vAlign w:val="top"/>
          </w:tcPr>
          <w:p w14:paraId="61783507">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项目立项是否符合法律法规、相关政策、发展规划以及部门职责，用以反映和考核项目立项依据情况。</w:t>
            </w:r>
          </w:p>
        </w:tc>
        <w:tc>
          <w:tcPr>
            <w:tcW w:w="5723" w:type="dxa"/>
            <w:vAlign w:val="top"/>
          </w:tcPr>
          <w:p w14:paraId="2B6A375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①项目立项是否符合国家法律法规、国民经济发展规划和相关政策，0.6分；</w:t>
            </w:r>
          </w:p>
          <w:p w14:paraId="2FDE296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②项目立项是否符合行业发展规划和政策要求，0.6分；</w:t>
            </w:r>
          </w:p>
          <w:p w14:paraId="155568A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③项目立项是否与部门职责范围相符，属于部门履职所需，0.6分: </w:t>
            </w:r>
          </w:p>
          <w:p w14:paraId="1FD12A7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④项目是否属于公共财政支持范围，是否符合中央、地方事权支出责任划分原则，0.6分；</w:t>
            </w:r>
          </w:p>
          <w:p w14:paraId="5F2A1BD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⑤项目是否与相关部门同类项目或部门内部相关项目重复，0.6分。</w:t>
            </w:r>
          </w:p>
        </w:tc>
      </w:tr>
      <w:tr w14:paraId="31DF8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61418E2D">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14:paraId="5A4CF4B0">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14:paraId="0E4DD70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A12立项程序规范性（3分）</w:t>
            </w:r>
          </w:p>
        </w:tc>
        <w:tc>
          <w:tcPr>
            <w:tcW w:w="4280" w:type="dxa"/>
            <w:vAlign w:val="top"/>
          </w:tcPr>
          <w:p w14:paraId="7935851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项目申请、设立过程是否符合相关要求，用以反映和考核项目立项的规范情况。</w:t>
            </w:r>
          </w:p>
        </w:tc>
        <w:tc>
          <w:tcPr>
            <w:tcW w:w="5723" w:type="dxa"/>
            <w:vAlign w:val="top"/>
          </w:tcPr>
          <w:p w14:paraId="475C61F8">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①项目是否按照规定的程序申请设立，1分；</w:t>
            </w:r>
          </w:p>
          <w:p w14:paraId="3ED87A3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②审批文件、材料是否符合相关要求，1分:</w:t>
            </w:r>
          </w:p>
          <w:p w14:paraId="57CA956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③事前是否已经过必要的可行性研究、专家论证、风险评估、绩效评估、集体决策，1分。</w:t>
            </w:r>
          </w:p>
        </w:tc>
      </w:tr>
      <w:tr w14:paraId="5ED62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414FEAD7">
            <w:pPr>
              <w:widowControl/>
              <w:snapToGrid w:val="0"/>
              <w:jc w:val="center"/>
              <w:rPr>
                <w:rFonts w:hint="eastAsia" w:ascii="仿宋" w:hAnsi="仿宋" w:eastAsia="仿宋" w:cs="仿宋"/>
                <w:color w:val="000000"/>
                <w:kern w:val="0"/>
                <w:sz w:val="24"/>
                <w:szCs w:val="24"/>
                <w:lang w:val="en-US" w:eastAsia="zh-CN"/>
              </w:rPr>
            </w:pPr>
          </w:p>
        </w:tc>
        <w:tc>
          <w:tcPr>
            <w:tcW w:w="1240" w:type="dxa"/>
            <w:vMerge w:val="restart"/>
            <w:vAlign w:val="center"/>
          </w:tcPr>
          <w:p w14:paraId="37D9EAB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A2绩效目标（6分）</w:t>
            </w:r>
          </w:p>
        </w:tc>
        <w:tc>
          <w:tcPr>
            <w:tcW w:w="1800" w:type="dxa"/>
            <w:vAlign w:val="center"/>
          </w:tcPr>
          <w:p w14:paraId="00098C3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A21绩效目标合理性（3分）</w:t>
            </w:r>
          </w:p>
        </w:tc>
        <w:tc>
          <w:tcPr>
            <w:tcW w:w="4280" w:type="dxa"/>
            <w:vAlign w:val="top"/>
          </w:tcPr>
          <w:p w14:paraId="5A73FCA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项目所设定的绩效目标是否依据充分，是否符合客观实际，用以反映和考核项目绩效目标与项目实施的相符情况。</w:t>
            </w:r>
          </w:p>
        </w:tc>
        <w:tc>
          <w:tcPr>
            <w:tcW w:w="5723" w:type="dxa"/>
            <w:vAlign w:val="top"/>
          </w:tcPr>
          <w:p w14:paraId="2525F368">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(如未设定预算绩效目标，也可考核其他工作任务目标)</w:t>
            </w:r>
          </w:p>
          <w:p w14:paraId="54841AF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①项目是否有绩效目标，1分:</w:t>
            </w:r>
          </w:p>
          <w:p w14:paraId="6B038EA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②项目绩效目标与实际工作内容是否具有相关性，1分；</w:t>
            </w:r>
          </w:p>
          <w:p w14:paraId="59E1A4B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③项目预期产出效益和效果是否符合正常的业绩水平，0.5分；</w:t>
            </w:r>
          </w:p>
          <w:p w14:paraId="16AA220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④是否与预算确定的项目投资额或资金量相匹配，0.5分。</w:t>
            </w:r>
          </w:p>
        </w:tc>
      </w:tr>
      <w:tr w14:paraId="49F60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22E3E3E4">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14:paraId="73750186">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14:paraId="7B4D2206">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A22绩效指标明确性（3分）</w:t>
            </w:r>
          </w:p>
        </w:tc>
        <w:tc>
          <w:tcPr>
            <w:tcW w:w="4280" w:type="dxa"/>
            <w:vAlign w:val="top"/>
          </w:tcPr>
          <w:p w14:paraId="0604BB9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依据绩效目标设定的绩效指标是否清晰、细化、可衡等， 用以反映和考核项目绩效目标的明细化情况。</w:t>
            </w:r>
          </w:p>
        </w:tc>
        <w:tc>
          <w:tcPr>
            <w:tcW w:w="5723" w:type="dxa"/>
            <w:vAlign w:val="top"/>
          </w:tcPr>
          <w:p w14:paraId="71956AB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①是否将项目绩效目标细化分解为具体的绩效指标，1分:</w:t>
            </w:r>
          </w:p>
          <w:p w14:paraId="16CB7AF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②是否通过清晰、可衡量的指标值予以体现，1分；</w:t>
            </w:r>
          </w:p>
          <w:p w14:paraId="7E48B55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③是否与项目目标任务数或计划数相对应，1分。</w:t>
            </w:r>
          </w:p>
        </w:tc>
      </w:tr>
      <w:tr w14:paraId="21804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6219D453">
            <w:pPr>
              <w:widowControl/>
              <w:snapToGrid w:val="0"/>
              <w:jc w:val="center"/>
              <w:rPr>
                <w:rFonts w:hint="eastAsia" w:ascii="仿宋" w:hAnsi="仿宋" w:eastAsia="仿宋" w:cs="仿宋"/>
                <w:color w:val="000000"/>
                <w:kern w:val="0"/>
                <w:sz w:val="24"/>
                <w:szCs w:val="24"/>
                <w:lang w:val="en-US" w:eastAsia="zh-CN"/>
              </w:rPr>
            </w:pPr>
          </w:p>
        </w:tc>
        <w:tc>
          <w:tcPr>
            <w:tcW w:w="1240" w:type="dxa"/>
            <w:vMerge w:val="restart"/>
            <w:vAlign w:val="center"/>
          </w:tcPr>
          <w:p w14:paraId="3BCFCEC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A3资金投入（8分）</w:t>
            </w:r>
          </w:p>
        </w:tc>
        <w:tc>
          <w:tcPr>
            <w:tcW w:w="1800" w:type="dxa"/>
            <w:vAlign w:val="center"/>
          </w:tcPr>
          <w:p w14:paraId="1C3096D7">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A31预算编制科学性（4分）</w:t>
            </w:r>
          </w:p>
        </w:tc>
        <w:tc>
          <w:tcPr>
            <w:tcW w:w="4280" w:type="dxa"/>
            <w:vAlign w:val="top"/>
          </w:tcPr>
          <w:p w14:paraId="3EA3852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项目预算编制是否经过科学论证、有明确标准，资金额度与年度目标是否相适应，用以反映和考核项目预算编制的科学性、合理性情况。</w:t>
            </w:r>
          </w:p>
        </w:tc>
        <w:tc>
          <w:tcPr>
            <w:tcW w:w="5723" w:type="dxa"/>
            <w:vAlign w:val="top"/>
          </w:tcPr>
          <w:p w14:paraId="2424ACB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①预算编制是否经过科学论证，1分: </w:t>
            </w:r>
          </w:p>
          <w:p w14:paraId="596D071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②预算内容与项目内容是否匹配，1分；</w:t>
            </w:r>
          </w:p>
          <w:p w14:paraId="037D59D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③预算额度测算依据是否充分，是否按照标准编制，1分:</w:t>
            </w:r>
          </w:p>
          <w:p w14:paraId="4660538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④预算确定的项目投资额或资金量是否与工作任务相匹配，1分。</w:t>
            </w:r>
          </w:p>
        </w:tc>
      </w:tr>
      <w:tr w14:paraId="78DA2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51781027">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14:paraId="0DB8EA52">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14:paraId="4EAC919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A32资金分配合理性（4分）</w:t>
            </w:r>
          </w:p>
        </w:tc>
        <w:tc>
          <w:tcPr>
            <w:tcW w:w="4280" w:type="dxa"/>
            <w:vAlign w:val="top"/>
          </w:tcPr>
          <w:p w14:paraId="64E6DBE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项目预算资金分配是否有测算依据，与补助单位或地方实际是否相适应，用以反映和考核项目预算资金分配的科学性、合理性情况。</w:t>
            </w:r>
          </w:p>
        </w:tc>
        <w:tc>
          <w:tcPr>
            <w:tcW w:w="5723" w:type="dxa"/>
            <w:vAlign w:val="top"/>
          </w:tcPr>
          <w:p w14:paraId="35B36F6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①预算资金分配依据是否充分，2分；</w:t>
            </w:r>
          </w:p>
          <w:p w14:paraId="2AFB1F3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②资金分配额度是否合理，与项目单位或地方实际是否相适应，2分。</w:t>
            </w:r>
          </w:p>
        </w:tc>
      </w:tr>
      <w:tr w14:paraId="767A5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restart"/>
            <w:vAlign w:val="center"/>
          </w:tcPr>
          <w:p w14:paraId="7C10A8A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B过程（20分）</w:t>
            </w:r>
          </w:p>
        </w:tc>
        <w:tc>
          <w:tcPr>
            <w:tcW w:w="1240" w:type="dxa"/>
            <w:vMerge w:val="restart"/>
            <w:vAlign w:val="center"/>
          </w:tcPr>
          <w:p w14:paraId="742B43F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B1资金管理（10分）</w:t>
            </w:r>
          </w:p>
        </w:tc>
        <w:tc>
          <w:tcPr>
            <w:tcW w:w="1800" w:type="dxa"/>
            <w:vAlign w:val="center"/>
          </w:tcPr>
          <w:p w14:paraId="191FF71B">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B11资金到位率（4分）</w:t>
            </w:r>
          </w:p>
        </w:tc>
        <w:tc>
          <w:tcPr>
            <w:tcW w:w="4280" w:type="dxa"/>
            <w:vAlign w:val="top"/>
          </w:tcPr>
          <w:p w14:paraId="5DEB37AB">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实际到位资金与预算资金的比率，用以反映和考核资金落实情况对项目实施的总体保障程度。</w:t>
            </w:r>
          </w:p>
        </w:tc>
        <w:tc>
          <w:tcPr>
            <w:tcW w:w="5723" w:type="dxa"/>
            <w:vAlign w:val="top"/>
          </w:tcPr>
          <w:p w14:paraId="20C2705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资金到位率= (实际到位资金/预算资金) X 100%。</w:t>
            </w:r>
          </w:p>
          <w:p w14:paraId="467FC0B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实际到位资金:一定时期(本年度或项目期)内落实到具体项目的资金。</w:t>
            </w:r>
          </w:p>
          <w:p w14:paraId="7E0F61F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预算资金:一 定时期(本年度或项目期)内预算安排到具体项目的资金。得分=资金到位率×4分。</w:t>
            </w:r>
          </w:p>
        </w:tc>
      </w:tr>
      <w:tr w14:paraId="602A0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3A5BBDAB">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14:paraId="23F87481">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14:paraId="29698B5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B12预算执行率（4分）</w:t>
            </w:r>
          </w:p>
        </w:tc>
        <w:tc>
          <w:tcPr>
            <w:tcW w:w="4280" w:type="dxa"/>
            <w:vAlign w:val="top"/>
          </w:tcPr>
          <w:p w14:paraId="13798DE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项目预算资金是否按照计划执行，用以反映或考核项目预算执行情况。</w:t>
            </w:r>
          </w:p>
        </w:tc>
        <w:tc>
          <w:tcPr>
            <w:tcW w:w="5723" w:type="dxa"/>
            <w:vAlign w:val="top"/>
          </w:tcPr>
          <w:p w14:paraId="41E106E6">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预算执行率= (实际支出资金/实际到位资金) X 100%。</w:t>
            </w:r>
          </w:p>
          <w:p w14:paraId="79D03BE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实际支出资金:一定时期(本年度或项目期)内项目实际拨付的资金。得分=预算执行率×4分。</w:t>
            </w:r>
          </w:p>
        </w:tc>
      </w:tr>
      <w:tr w14:paraId="71B60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13ABA763">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14:paraId="3273CD75">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14:paraId="30BF4AE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B13资金使用合规性（2分）</w:t>
            </w:r>
          </w:p>
        </w:tc>
        <w:tc>
          <w:tcPr>
            <w:tcW w:w="4280" w:type="dxa"/>
            <w:vAlign w:val="top"/>
          </w:tcPr>
          <w:p w14:paraId="14B2B3E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项目资金使用是否符合相关的财务管理制度规定，用以反映和考核项目资金的规范运行情况。</w:t>
            </w:r>
          </w:p>
        </w:tc>
        <w:tc>
          <w:tcPr>
            <w:tcW w:w="5723" w:type="dxa"/>
            <w:vAlign w:val="top"/>
          </w:tcPr>
          <w:p w14:paraId="4D5F54D8">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①是否符合国家财经法规和财务管理制度以及有关专项资金管理办法的规定，1分:</w:t>
            </w:r>
          </w:p>
          <w:p w14:paraId="1A5982D7">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②资金的拨付是否有完整的审批程序和手续，0.5分:</w:t>
            </w:r>
          </w:p>
          <w:p w14:paraId="1A1DE34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③是否符合项目预算批复或合同规定的用途，0.5分:</w:t>
            </w:r>
          </w:p>
          <w:p w14:paraId="2BEADC6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④存在藏留、挤占、挪用、虚列支出等情况，本项得0分。</w:t>
            </w:r>
          </w:p>
        </w:tc>
      </w:tr>
      <w:tr w14:paraId="293EE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2C22628F">
            <w:pPr>
              <w:widowControl/>
              <w:snapToGrid w:val="0"/>
              <w:jc w:val="center"/>
              <w:rPr>
                <w:rFonts w:hint="eastAsia" w:ascii="仿宋" w:hAnsi="仿宋" w:eastAsia="仿宋" w:cs="仿宋"/>
                <w:color w:val="000000"/>
                <w:kern w:val="0"/>
                <w:sz w:val="24"/>
                <w:szCs w:val="24"/>
                <w:lang w:val="en-US" w:eastAsia="zh-CN"/>
              </w:rPr>
            </w:pPr>
          </w:p>
        </w:tc>
        <w:tc>
          <w:tcPr>
            <w:tcW w:w="1240" w:type="dxa"/>
            <w:vMerge w:val="restart"/>
            <w:vAlign w:val="center"/>
          </w:tcPr>
          <w:p w14:paraId="2D02C01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B2组织实施（10分）</w:t>
            </w:r>
          </w:p>
        </w:tc>
        <w:tc>
          <w:tcPr>
            <w:tcW w:w="1800" w:type="dxa"/>
            <w:vAlign w:val="center"/>
          </w:tcPr>
          <w:p w14:paraId="231FB5D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B21管理制度健全性（2分）</w:t>
            </w:r>
          </w:p>
        </w:tc>
        <w:tc>
          <w:tcPr>
            <w:tcW w:w="4280" w:type="dxa"/>
            <w:vAlign w:val="top"/>
          </w:tcPr>
          <w:p w14:paraId="2D0C863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项目实施单位的财务和业务管理制度是否健全，用以反映和考核财务和业务管理制度对项目顺利实施的保障情况。</w:t>
            </w:r>
          </w:p>
        </w:tc>
        <w:tc>
          <w:tcPr>
            <w:tcW w:w="5723" w:type="dxa"/>
            <w:vAlign w:val="top"/>
          </w:tcPr>
          <w:p w14:paraId="38B4D81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①是否已制定或具有相应的财务和业务管理制度，1分；</w:t>
            </w:r>
          </w:p>
          <w:p w14:paraId="705A744B">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②财务和业务管理制度是否合法、合规、完整，1分。</w:t>
            </w:r>
          </w:p>
        </w:tc>
      </w:tr>
      <w:tr w14:paraId="7C380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4F176D6B">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14:paraId="04F3B9C7">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14:paraId="23B33CC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B22制度执行有效性（2分）</w:t>
            </w:r>
          </w:p>
        </w:tc>
        <w:tc>
          <w:tcPr>
            <w:tcW w:w="4280" w:type="dxa"/>
            <w:vAlign w:val="top"/>
          </w:tcPr>
          <w:p w14:paraId="283632C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项目实施是否符合相关管理规定，用以反映和考核相关管理制度的有效执行情况。</w:t>
            </w:r>
          </w:p>
        </w:tc>
        <w:tc>
          <w:tcPr>
            <w:tcW w:w="5723" w:type="dxa"/>
            <w:vAlign w:val="top"/>
          </w:tcPr>
          <w:p w14:paraId="637B5F00">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项目严格按照制度执行，2分；涉及调整的，调整手续完善，1分；未按照制度执行，且手续不完善的，不得分。总得分=∑各项目得分*项目预算占总预算的比值。</w:t>
            </w:r>
          </w:p>
        </w:tc>
      </w:tr>
      <w:tr w14:paraId="376E0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78542B26">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14:paraId="2DB94CCD">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14:paraId="2F7176DA">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B23招投标过程规范性（2分）</w:t>
            </w:r>
          </w:p>
        </w:tc>
        <w:tc>
          <w:tcPr>
            <w:tcW w:w="4280" w:type="dxa"/>
            <w:vAlign w:val="center"/>
          </w:tcPr>
          <w:p w14:paraId="2EF8361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考察招投标过程是否合规。</w:t>
            </w:r>
          </w:p>
        </w:tc>
        <w:tc>
          <w:tcPr>
            <w:tcW w:w="5723" w:type="dxa"/>
            <w:vAlign w:val="center"/>
          </w:tcPr>
          <w:p w14:paraId="39E9A61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①选择有资质的招标代理公司编制招标文件；②评标方法适合本项目；③有专业的评标委员会；④评标委员会按照规定和要求评标。每满足1项得0.5分。 </w:t>
            </w:r>
          </w:p>
        </w:tc>
      </w:tr>
      <w:tr w14:paraId="3F12D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4A1097E7">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14:paraId="2DC3AC75">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14:paraId="03959BC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B24监理过程规范性（2分）</w:t>
            </w:r>
          </w:p>
        </w:tc>
        <w:tc>
          <w:tcPr>
            <w:tcW w:w="4280" w:type="dxa"/>
            <w:vAlign w:val="center"/>
          </w:tcPr>
          <w:p w14:paraId="28976EA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考察项目实施过程中监理是否规范。</w:t>
            </w:r>
          </w:p>
        </w:tc>
        <w:tc>
          <w:tcPr>
            <w:tcW w:w="5723" w:type="dxa"/>
            <w:vAlign w:val="center"/>
          </w:tcPr>
          <w:p w14:paraId="68531F20">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①监理单位应当依法取得相应等级的资质证书、监理人员持有监理工程师岗位证书；②有监理月报告或监理日志，监理报告能反映当月或当日的监理工作情况。每满足1项得1分。</w:t>
            </w:r>
          </w:p>
        </w:tc>
      </w:tr>
      <w:tr w14:paraId="17246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19C989E9">
            <w:pPr>
              <w:widowControl/>
              <w:snapToGrid w:val="0"/>
              <w:jc w:val="center"/>
              <w:rPr>
                <w:rFonts w:hint="eastAsia" w:ascii="仿宋" w:hAnsi="仿宋" w:eastAsia="仿宋" w:cs="仿宋"/>
                <w:color w:val="000000"/>
                <w:kern w:val="0"/>
                <w:sz w:val="24"/>
                <w:szCs w:val="24"/>
                <w:lang w:val="en-US" w:eastAsia="zh-CN"/>
              </w:rPr>
            </w:pPr>
          </w:p>
        </w:tc>
        <w:tc>
          <w:tcPr>
            <w:tcW w:w="1240" w:type="dxa"/>
            <w:vMerge w:val="continue"/>
          </w:tcPr>
          <w:p w14:paraId="578D3B46">
            <w:pPr>
              <w:widowControl/>
              <w:snapToGrid w:val="0"/>
              <w:jc w:val="center"/>
              <w:rPr>
                <w:rFonts w:hint="eastAsia" w:ascii="仿宋" w:hAnsi="仿宋" w:eastAsia="仿宋" w:cs="仿宋"/>
                <w:color w:val="000000"/>
                <w:kern w:val="0"/>
                <w:sz w:val="24"/>
                <w:szCs w:val="24"/>
                <w:lang w:val="en-US" w:eastAsia="zh-CN"/>
              </w:rPr>
            </w:pPr>
          </w:p>
        </w:tc>
        <w:tc>
          <w:tcPr>
            <w:tcW w:w="1800" w:type="dxa"/>
            <w:vAlign w:val="center"/>
          </w:tcPr>
          <w:p w14:paraId="10DD85B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B25安全事故发生率（2分）</w:t>
            </w:r>
          </w:p>
        </w:tc>
        <w:tc>
          <w:tcPr>
            <w:tcW w:w="4280" w:type="dxa"/>
            <w:vAlign w:val="center"/>
          </w:tcPr>
          <w:p w14:paraId="50004DD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考察项目实施过程中是否存在安全事故发生。</w:t>
            </w:r>
          </w:p>
        </w:tc>
        <w:tc>
          <w:tcPr>
            <w:tcW w:w="5723" w:type="dxa"/>
            <w:vAlign w:val="center"/>
          </w:tcPr>
          <w:p w14:paraId="7EF61C1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无事故发生，得满分；存在一起事故发生，不得分。</w:t>
            </w:r>
          </w:p>
        </w:tc>
      </w:tr>
      <w:tr w14:paraId="7318E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restart"/>
          </w:tcPr>
          <w:p w14:paraId="26823131">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C产出</w:t>
            </w:r>
          </w:p>
          <w:p w14:paraId="156D1946">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（30）</w:t>
            </w:r>
          </w:p>
        </w:tc>
        <w:tc>
          <w:tcPr>
            <w:tcW w:w="1240" w:type="dxa"/>
            <w:vAlign w:val="center"/>
          </w:tcPr>
          <w:p w14:paraId="72A5F718">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C1产出数量</w:t>
            </w:r>
          </w:p>
          <w:p w14:paraId="371B5876">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8</w:t>
            </w:r>
            <w:r>
              <w:rPr>
                <w:rFonts w:ascii="Times New Roman" w:hAnsi="Times New Roman" w:eastAsia="仿宋"/>
                <w:color w:val="000000"/>
                <w:kern w:val="0"/>
                <w:sz w:val="24"/>
                <w:szCs w:val="24"/>
              </w:rPr>
              <w:t>）</w:t>
            </w:r>
          </w:p>
        </w:tc>
        <w:tc>
          <w:tcPr>
            <w:tcW w:w="1800" w:type="dxa"/>
            <w:vAlign w:val="center"/>
          </w:tcPr>
          <w:p w14:paraId="7475388A">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C11项目完成情况</w:t>
            </w:r>
          </w:p>
          <w:p w14:paraId="5752E108">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（8分）</w:t>
            </w:r>
          </w:p>
        </w:tc>
        <w:tc>
          <w:tcPr>
            <w:tcW w:w="4280" w:type="dxa"/>
            <w:vAlign w:val="center"/>
          </w:tcPr>
          <w:p w14:paraId="37BB883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已完成工程数量/应完成的工程数量×100%，用以反映和考核项目建设完成情况</w:t>
            </w:r>
          </w:p>
        </w:tc>
        <w:tc>
          <w:tcPr>
            <w:tcW w:w="5723" w:type="dxa"/>
            <w:vAlign w:val="center"/>
          </w:tcPr>
          <w:p w14:paraId="641EC62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实际完成率得分=已完成项目数量/计划总里程×100%×8（分）。</w:t>
            </w:r>
          </w:p>
          <w:p w14:paraId="0A2BA4F4">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完成项目的设计（2分）、监理（2分）、施工（2分）、验收（2分）等。实际完成率得分=已完成项目数量/应完成项目数量×100%×12（分）。</w:t>
            </w:r>
          </w:p>
        </w:tc>
      </w:tr>
      <w:tr w14:paraId="5C914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024974B7">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14:paraId="7838FA1A">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C2产出质量（8）</w:t>
            </w:r>
          </w:p>
        </w:tc>
        <w:tc>
          <w:tcPr>
            <w:tcW w:w="1800" w:type="dxa"/>
            <w:vAlign w:val="center"/>
          </w:tcPr>
          <w:p w14:paraId="11B46D2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C21质量达标（8分）</w:t>
            </w:r>
          </w:p>
        </w:tc>
        <w:tc>
          <w:tcPr>
            <w:tcW w:w="4280" w:type="dxa"/>
            <w:vAlign w:val="center"/>
          </w:tcPr>
          <w:p w14:paraId="5822EB7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主要考核项目在竣工后，质量是否达到有关规定及设计要求</w:t>
            </w:r>
          </w:p>
        </w:tc>
        <w:tc>
          <w:tcPr>
            <w:tcW w:w="5723" w:type="dxa"/>
            <w:vAlign w:val="center"/>
          </w:tcPr>
          <w:p w14:paraId="4F81101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项目竣工后，提供质量检测相关资料证明质量合格，8分，否则不得分。</w:t>
            </w:r>
          </w:p>
        </w:tc>
      </w:tr>
      <w:tr w14:paraId="58744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43DABB75">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14:paraId="3B7695F8">
            <w:pPr>
              <w:widowControl/>
              <w:snapToGrid w:val="0"/>
              <w:jc w:val="center"/>
              <w:rPr>
                <w:rFonts w:hint="default" w:ascii="Times New Roman" w:hAnsi="Times New Roman" w:eastAsia="仿宋"/>
                <w:color w:val="000000"/>
                <w:kern w:val="0"/>
                <w:sz w:val="24"/>
                <w:szCs w:val="24"/>
                <w:lang w:val="en-US" w:eastAsia="zh-CN"/>
              </w:rPr>
            </w:pPr>
            <w:r>
              <w:rPr>
                <w:rFonts w:ascii="Times New Roman" w:hAnsi="Times New Roman" w:eastAsia="仿宋"/>
                <w:color w:val="000000"/>
                <w:kern w:val="0"/>
                <w:sz w:val="24"/>
                <w:szCs w:val="24"/>
              </w:rPr>
              <w:t>C</w:t>
            </w:r>
            <w:r>
              <w:rPr>
                <w:rFonts w:hint="eastAsia" w:ascii="Times New Roman" w:hAnsi="Times New Roman" w:eastAsia="仿宋"/>
                <w:color w:val="000000"/>
                <w:kern w:val="0"/>
                <w:sz w:val="24"/>
                <w:szCs w:val="24"/>
                <w:lang w:val="en-US" w:eastAsia="zh-CN"/>
              </w:rPr>
              <w:t>3产出时效</w:t>
            </w:r>
          </w:p>
          <w:p w14:paraId="59F53EF3">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8</w:t>
            </w:r>
            <w:r>
              <w:rPr>
                <w:rFonts w:ascii="Times New Roman" w:hAnsi="Times New Roman" w:eastAsia="仿宋"/>
                <w:color w:val="000000"/>
                <w:kern w:val="0"/>
                <w:sz w:val="24"/>
                <w:szCs w:val="24"/>
              </w:rPr>
              <w:t>）</w:t>
            </w:r>
          </w:p>
        </w:tc>
        <w:tc>
          <w:tcPr>
            <w:tcW w:w="1800" w:type="dxa"/>
            <w:vAlign w:val="center"/>
          </w:tcPr>
          <w:p w14:paraId="334E573B">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C31完成及时性</w:t>
            </w:r>
          </w:p>
          <w:p w14:paraId="3FD8AB4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（8分）</w:t>
            </w:r>
          </w:p>
        </w:tc>
        <w:tc>
          <w:tcPr>
            <w:tcW w:w="4280" w:type="dxa"/>
            <w:vAlign w:val="center"/>
          </w:tcPr>
          <w:p w14:paraId="76DED58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主要考核项目是否在约定时间范围内竣工验收</w:t>
            </w:r>
          </w:p>
        </w:tc>
        <w:tc>
          <w:tcPr>
            <w:tcW w:w="5723" w:type="dxa"/>
            <w:vAlign w:val="center"/>
          </w:tcPr>
          <w:p w14:paraId="6271C1E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在合同规定时间完工，得8分；项目每延期10天扣1分，扣完为止。</w:t>
            </w:r>
          </w:p>
        </w:tc>
      </w:tr>
      <w:tr w14:paraId="00452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347F643C">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14:paraId="56EE1D76">
            <w:pPr>
              <w:widowControl/>
              <w:snapToGrid w:val="0"/>
              <w:jc w:val="center"/>
              <w:rPr>
                <w:rFonts w:hint="eastAsia" w:ascii="Times New Roman" w:hAnsi="Times New Roman" w:eastAsia="仿宋"/>
                <w:color w:val="000000"/>
                <w:kern w:val="0"/>
                <w:sz w:val="24"/>
                <w:szCs w:val="24"/>
                <w:lang w:eastAsia="zh-CN"/>
              </w:rPr>
            </w:pPr>
            <w:r>
              <w:rPr>
                <w:rFonts w:ascii="Times New Roman" w:hAnsi="Times New Roman" w:eastAsia="仿宋"/>
                <w:color w:val="000000"/>
                <w:kern w:val="0"/>
                <w:sz w:val="24"/>
                <w:szCs w:val="24"/>
              </w:rPr>
              <w:t>C</w:t>
            </w:r>
            <w:r>
              <w:rPr>
                <w:rFonts w:hint="eastAsia" w:ascii="Times New Roman" w:hAnsi="Times New Roman" w:eastAsia="仿宋"/>
                <w:color w:val="000000"/>
                <w:kern w:val="0"/>
                <w:sz w:val="24"/>
                <w:szCs w:val="24"/>
                <w:lang w:val="en-US" w:eastAsia="zh-CN"/>
              </w:rPr>
              <w:t>4</w:t>
            </w:r>
            <w:r>
              <w:rPr>
                <w:rFonts w:ascii="Times New Roman" w:hAnsi="Times New Roman" w:eastAsia="仿宋"/>
                <w:color w:val="000000"/>
                <w:kern w:val="0"/>
                <w:sz w:val="24"/>
                <w:szCs w:val="24"/>
              </w:rPr>
              <w:t>产出</w:t>
            </w:r>
            <w:r>
              <w:rPr>
                <w:rFonts w:hint="eastAsia" w:ascii="Times New Roman" w:hAnsi="Times New Roman" w:eastAsia="仿宋"/>
                <w:color w:val="000000"/>
                <w:kern w:val="0"/>
                <w:sz w:val="24"/>
                <w:szCs w:val="24"/>
                <w:lang w:val="en-US" w:eastAsia="zh-CN"/>
              </w:rPr>
              <w:t>成本</w:t>
            </w:r>
          </w:p>
          <w:p w14:paraId="0B4D6A65">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6</w:t>
            </w:r>
            <w:r>
              <w:rPr>
                <w:rFonts w:ascii="Times New Roman" w:hAnsi="Times New Roman" w:eastAsia="仿宋"/>
                <w:color w:val="000000"/>
                <w:kern w:val="0"/>
                <w:sz w:val="24"/>
                <w:szCs w:val="24"/>
              </w:rPr>
              <w:t>）</w:t>
            </w:r>
          </w:p>
        </w:tc>
        <w:tc>
          <w:tcPr>
            <w:tcW w:w="1800" w:type="dxa"/>
            <w:vAlign w:val="center"/>
          </w:tcPr>
          <w:p w14:paraId="364B574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C41成本控制能力</w:t>
            </w:r>
          </w:p>
          <w:p w14:paraId="6F921E3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（6分）</w:t>
            </w:r>
          </w:p>
        </w:tc>
        <w:tc>
          <w:tcPr>
            <w:tcW w:w="4280" w:type="dxa"/>
            <w:vAlign w:val="center"/>
          </w:tcPr>
          <w:p w14:paraId="2D73A1C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考核是否对项目成本进行了有效的控制，项目概算、预算价、决算价及审定价的最大差异比率是否在合理范围内。</w:t>
            </w:r>
          </w:p>
        </w:tc>
        <w:tc>
          <w:tcPr>
            <w:tcW w:w="5723" w:type="dxa"/>
            <w:vAlign w:val="center"/>
          </w:tcPr>
          <w:p w14:paraId="30D9EFE5">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①项目预算价未超过概算，2分；</w:t>
            </w:r>
          </w:p>
          <w:p w14:paraId="497A1EC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②项目决算价未超过预算价，2分；</w:t>
            </w:r>
          </w:p>
          <w:p w14:paraId="222592A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③项目概算、预算价、决算价及审定价的最大差异比率在合理范围内，2分。</w:t>
            </w:r>
          </w:p>
        </w:tc>
      </w:tr>
      <w:tr w14:paraId="2ED16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restart"/>
          </w:tcPr>
          <w:p w14:paraId="460DE079">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D效益</w:t>
            </w:r>
          </w:p>
          <w:p w14:paraId="13965740">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（30）</w:t>
            </w:r>
          </w:p>
        </w:tc>
        <w:tc>
          <w:tcPr>
            <w:tcW w:w="1240" w:type="dxa"/>
            <w:vAlign w:val="center"/>
          </w:tcPr>
          <w:p w14:paraId="36A1A498">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D1</w:t>
            </w:r>
            <w:r>
              <w:rPr>
                <w:rFonts w:hint="eastAsia" w:ascii="Times New Roman" w:hAnsi="Times New Roman" w:eastAsia="仿宋"/>
                <w:color w:val="000000"/>
                <w:kern w:val="0"/>
                <w:sz w:val="24"/>
                <w:szCs w:val="24"/>
                <w:lang w:val="en-US" w:eastAsia="zh-CN"/>
              </w:rPr>
              <w:t>经济</w:t>
            </w:r>
            <w:r>
              <w:rPr>
                <w:rFonts w:ascii="Times New Roman" w:hAnsi="Times New Roman" w:eastAsia="仿宋"/>
                <w:color w:val="000000"/>
                <w:kern w:val="0"/>
                <w:sz w:val="24"/>
                <w:szCs w:val="24"/>
              </w:rPr>
              <w:t>效益</w:t>
            </w:r>
          </w:p>
          <w:p w14:paraId="2D6D4699">
            <w:pPr>
              <w:snapToGrid w:val="0"/>
              <w:jc w:val="left"/>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5分</w:t>
            </w:r>
            <w:r>
              <w:rPr>
                <w:rFonts w:ascii="Times New Roman" w:hAnsi="Times New Roman" w:eastAsia="仿宋"/>
                <w:color w:val="000000"/>
                <w:kern w:val="0"/>
                <w:sz w:val="24"/>
                <w:szCs w:val="24"/>
              </w:rPr>
              <w:t>）</w:t>
            </w:r>
          </w:p>
        </w:tc>
        <w:tc>
          <w:tcPr>
            <w:tcW w:w="1800" w:type="dxa"/>
            <w:vAlign w:val="center"/>
          </w:tcPr>
          <w:p w14:paraId="7D1D4C28">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D11经济效益</w:t>
            </w:r>
          </w:p>
          <w:p w14:paraId="75C40C1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w:t>
            </w:r>
          </w:p>
        </w:tc>
        <w:tc>
          <w:tcPr>
            <w:tcW w:w="4280" w:type="dxa"/>
            <w:vAlign w:val="center"/>
          </w:tcPr>
          <w:p w14:paraId="7EA4862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主要考核项目完成后是否对耕地得到保护</w:t>
            </w:r>
          </w:p>
        </w:tc>
        <w:tc>
          <w:tcPr>
            <w:tcW w:w="5723" w:type="dxa"/>
            <w:vAlign w:val="center"/>
          </w:tcPr>
          <w:p w14:paraId="75BA51C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年可增加粮食产量20万公斤，农民人均纯收入增加305元，得满分；未达到按完成比例得分。</w:t>
            </w:r>
          </w:p>
        </w:tc>
      </w:tr>
      <w:tr w14:paraId="171EA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0711CF4B">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14:paraId="2E5A176D">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D2社会效益（5分）</w:t>
            </w:r>
          </w:p>
        </w:tc>
        <w:tc>
          <w:tcPr>
            <w:tcW w:w="1800" w:type="dxa"/>
            <w:vAlign w:val="center"/>
          </w:tcPr>
          <w:p w14:paraId="5C11626F">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D21社会效益</w:t>
            </w:r>
          </w:p>
          <w:p w14:paraId="3F0C3020">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w:t>
            </w:r>
          </w:p>
        </w:tc>
        <w:tc>
          <w:tcPr>
            <w:tcW w:w="4280" w:type="dxa"/>
            <w:vAlign w:val="center"/>
          </w:tcPr>
          <w:p w14:paraId="606465A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主要考核项目完成后是否对塬面得到保护</w:t>
            </w:r>
          </w:p>
        </w:tc>
        <w:tc>
          <w:tcPr>
            <w:tcW w:w="5723" w:type="dxa"/>
            <w:vAlign w:val="center"/>
          </w:tcPr>
          <w:p w14:paraId="23E12877">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农业生产条件明显改善，基础设施得到提升，可有力推进当地乡村振兴和农业产业发展，得满分；未达到按完成比例得分。</w:t>
            </w:r>
          </w:p>
        </w:tc>
      </w:tr>
      <w:tr w14:paraId="4D244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2EF6A66D">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14:paraId="33DC7FF3">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w:t>
            </w:r>
            <w:r>
              <w:rPr>
                <w:rFonts w:hint="eastAsia" w:ascii="Times New Roman" w:hAnsi="Times New Roman" w:eastAsia="仿宋"/>
                <w:color w:val="000000"/>
                <w:kern w:val="0"/>
                <w:sz w:val="24"/>
                <w:szCs w:val="24"/>
                <w:lang w:val="en-US" w:eastAsia="zh-CN"/>
              </w:rPr>
              <w:t>3</w:t>
            </w:r>
            <w:r>
              <w:rPr>
                <w:rFonts w:ascii="Times New Roman" w:hAnsi="Times New Roman" w:eastAsia="仿宋"/>
                <w:color w:val="000000"/>
                <w:kern w:val="0"/>
                <w:sz w:val="24"/>
                <w:szCs w:val="24"/>
              </w:rPr>
              <w:t>可持续影响</w:t>
            </w:r>
          </w:p>
          <w:p w14:paraId="7E037400">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10分</w:t>
            </w:r>
            <w:r>
              <w:rPr>
                <w:rFonts w:ascii="Times New Roman" w:hAnsi="Times New Roman" w:eastAsia="仿宋"/>
                <w:color w:val="000000"/>
                <w:kern w:val="0"/>
                <w:sz w:val="24"/>
                <w:szCs w:val="24"/>
              </w:rPr>
              <w:t>）</w:t>
            </w:r>
          </w:p>
        </w:tc>
        <w:tc>
          <w:tcPr>
            <w:tcW w:w="1800" w:type="dxa"/>
            <w:vAlign w:val="center"/>
          </w:tcPr>
          <w:p w14:paraId="18A1E44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D31项目运行管理</w:t>
            </w:r>
          </w:p>
          <w:p w14:paraId="6636072D">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w:t>
            </w:r>
          </w:p>
        </w:tc>
        <w:tc>
          <w:tcPr>
            <w:tcW w:w="4280" w:type="dxa"/>
            <w:vAlign w:val="center"/>
          </w:tcPr>
          <w:p w14:paraId="4327F24A">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项目建成后是否有完善的管护制度，责任是否落实到人</w:t>
            </w:r>
          </w:p>
        </w:tc>
        <w:tc>
          <w:tcPr>
            <w:tcW w:w="5723" w:type="dxa"/>
            <w:vAlign w:val="center"/>
          </w:tcPr>
          <w:p w14:paraId="18F42D8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fldChar w:fldCharType="begin"/>
            </w:r>
            <w:r>
              <w:rPr>
                <w:rFonts w:hint="eastAsia" w:ascii="仿宋" w:hAnsi="仿宋" w:eastAsia="仿宋" w:cs="仿宋"/>
                <w:color w:val="000000"/>
                <w:kern w:val="0"/>
                <w:sz w:val="24"/>
                <w:szCs w:val="24"/>
                <w:lang w:val="en-US" w:eastAsia="zh-CN"/>
              </w:rPr>
              <w:instrText xml:space="preserve"> = 1 \* GB3 \* MERGEFORMAT </w:instrText>
            </w:r>
            <w:r>
              <w:rPr>
                <w:rFonts w:hint="eastAsia" w:ascii="仿宋" w:hAnsi="仿宋" w:eastAsia="仿宋" w:cs="仿宋"/>
                <w:color w:val="000000"/>
                <w:kern w:val="0"/>
                <w:sz w:val="24"/>
                <w:szCs w:val="24"/>
                <w:lang w:val="en-US" w:eastAsia="zh-CN"/>
              </w:rPr>
              <w:fldChar w:fldCharType="separate"/>
            </w:r>
            <w:r>
              <w:rPr>
                <w:rFonts w:hint="eastAsia" w:ascii="仿宋" w:hAnsi="仿宋" w:eastAsia="仿宋" w:cs="仿宋"/>
                <w:color w:val="000000"/>
                <w:kern w:val="0"/>
                <w:sz w:val="24"/>
                <w:szCs w:val="24"/>
                <w:lang w:val="en-US" w:eastAsia="zh-CN"/>
              </w:rPr>
              <w:t>①</w:t>
            </w:r>
            <w:r>
              <w:rPr>
                <w:rFonts w:hint="eastAsia" w:ascii="仿宋" w:hAnsi="仿宋" w:eastAsia="仿宋" w:cs="仿宋"/>
                <w:color w:val="000000"/>
                <w:kern w:val="0"/>
                <w:sz w:val="24"/>
                <w:szCs w:val="24"/>
                <w:lang w:val="en-US" w:eastAsia="zh-CN"/>
              </w:rPr>
              <w:fldChar w:fldCharType="end"/>
            </w:r>
            <w:r>
              <w:rPr>
                <w:rFonts w:hint="eastAsia" w:ascii="仿宋" w:hAnsi="仿宋" w:eastAsia="仿宋" w:cs="仿宋"/>
                <w:color w:val="000000"/>
                <w:kern w:val="0"/>
                <w:sz w:val="24"/>
                <w:szCs w:val="24"/>
                <w:lang w:val="en-US" w:eastAsia="zh-CN"/>
              </w:rPr>
              <w:t>制定管护制度，4分；</w:t>
            </w:r>
            <w:r>
              <w:rPr>
                <w:rFonts w:hint="eastAsia" w:ascii="仿宋" w:hAnsi="仿宋" w:eastAsia="仿宋" w:cs="仿宋"/>
                <w:color w:val="000000"/>
                <w:kern w:val="0"/>
                <w:sz w:val="24"/>
                <w:szCs w:val="24"/>
                <w:lang w:val="en-US" w:eastAsia="zh-CN"/>
              </w:rPr>
              <w:fldChar w:fldCharType="begin"/>
            </w:r>
            <w:r>
              <w:rPr>
                <w:rFonts w:hint="eastAsia" w:ascii="仿宋" w:hAnsi="仿宋" w:eastAsia="仿宋" w:cs="仿宋"/>
                <w:color w:val="000000"/>
                <w:kern w:val="0"/>
                <w:sz w:val="24"/>
                <w:szCs w:val="24"/>
                <w:lang w:val="en-US" w:eastAsia="zh-CN"/>
              </w:rPr>
              <w:instrText xml:space="preserve"> = 2 \* GB3 \* MERGEFORMAT </w:instrText>
            </w:r>
            <w:r>
              <w:rPr>
                <w:rFonts w:hint="eastAsia" w:ascii="仿宋" w:hAnsi="仿宋" w:eastAsia="仿宋" w:cs="仿宋"/>
                <w:color w:val="000000"/>
                <w:kern w:val="0"/>
                <w:sz w:val="24"/>
                <w:szCs w:val="24"/>
                <w:lang w:val="en-US" w:eastAsia="zh-CN"/>
              </w:rPr>
              <w:fldChar w:fldCharType="separate"/>
            </w:r>
            <w:r>
              <w:rPr>
                <w:rFonts w:hint="eastAsia" w:ascii="仿宋" w:hAnsi="仿宋" w:eastAsia="仿宋" w:cs="仿宋"/>
                <w:color w:val="000000"/>
                <w:kern w:val="0"/>
                <w:sz w:val="24"/>
                <w:szCs w:val="24"/>
                <w:lang w:val="en-US" w:eastAsia="zh-CN"/>
              </w:rPr>
              <w:t>②</w:t>
            </w:r>
            <w:r>
              <w:rPr>
                <w:rFonts w:hint="eastAsia" w:ascii="仿宋" w:hAnsi="仿宋" w:eastAsia="仿宋" w:cs="仿宋"/>
                <w:color w:val="000000"/>
                <w:kern w:val="0"/>
                <w:sz w:val="24"/>
                <w:szCs w:val="24"/>
                <w:lang w:val="en-US" w:eastAsia="zh-CN"/>
              </w:rPr>
              <w:fldChar w:fldCharType="end"/>
            </w:r>
            <w:r>
              <w:rPr>
                <w:rFonts w:hint="eastAsia" w:ascii="仿宋" w:hAnsi="仿宋" w:eastAsia="仿宋" w:cs="仿宋"/>
                <w:color w:val="000000"/>
                <w:kern w:val="0"/>
                <w:sz w:val="24"/>
                <w:szCs w:val="24"/>
                <w:lang w:val="en-US" w:eastAsia="zh-CN"/>
              </w:rPr>
              <w:t>明确管护任务，管护任务落实到人，6分。</w:t>
            </w:r>
          </w:p>
        </w:tc>
      </w:tr>
      <w:tr w14:paraId="181FD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1" w:type="dxa"/>
            <w:vMerge w:val="continue"/>
          </w:tcPr>
          <w:p w14:paraId="655B190D">
            <w:pPr>
              <w:widowControl/>
              <w:snapToGrid w:val="0"/>
              <w:jc w:val="center"/>
              <w:rPr>
                <w:rFonts w:hint="eastAsia" w:ascii="仿宋" w:hAnsi="仿宋" w:eastAsia="仿宋" w:cs="仿宋"/>
                <w:color w:val="000000"/>
                <w:kern w:val="0"/>
                <w:sz w:val="24"/>
                <w:szCs w:val="24"/>
                <w:lang w:val="en-US" w:eastAsia="zh-CN"/>
              </w:rPr>
            </w:pPr>
          </w:p>
        </w:tc>
        <w:tc>
          <w:tcPr>
            <w:tcW w:w="1240" w:type="dxa"/>
            <w:vAlign w:val="center"/>
          </w:tcPr>
          <w:p w14:paraId="063A686F">
            <w:pPr>
              <w:widowControl/>
              <w:snapToGrid w:val="0"/>
              <w:jc w:val="center"/>
              <w:rPr>
                <w:rFonts w:ascii="Times New Roman" w:hAnsi="Times New Roman" w:eastAsia="仿宋"/>
                <w:color w:val="000000"/>
                <w:kern w:val="0"/>
                <w:sz w:val="24"/>
                <w:szCs w:val="24"/>
              </w:rPr>
            </w:pPr>
            <w:r>
              <w:rPr>
                <w:rFonts w:ascii="Times New Roman" w:hAnsi="Times New Roman" w:eastAsia="仿宋"/>
                <w:color w:val="000000"/>
                <w:kern w:val="0"/>
                <w:sz w:val="24"/>
                <w:szCs w:val="24"/>
              </w:rPr>
              <w:t>D</w:t>
            </w:r>
            <w:r>
              <w:rPr>
                <w:rFonts w:hint="eastAsia" w:ascii="Times New Roman" w:hAnsi="Times New Roman" w:eastAsia="仿宋"/>
                <w:color w:val="000000"/>
                <w:kern w:val="0"/>
                <w:sz w:val="24"/>
                <w:szCs w:val="24"/>
                <w:lang w:val="en-US" w:eastAsia="zh-CN"/>
              </w:rPr>
              <w:t>4</w:t>
            </w:r>
            <w:r>
              <w:rPr>
                <w:rFonts w:ascii="Times New Roman" w:hAnsi="Times New Roman" w:eastAsia="仿宋"/>
                <w:color w:val="000000"/>
                <w:kern w:val="0"/>
                <w:sz w:val="24"/>
                <w:szCs w:val="24"/>
              </w:rPr>
              <w:t>服务对象满意度</w:t>
            </w:r>
          </w:p>
          <w:p w14:paraId="2A67A66B">
            <w:pPr>
              <w:widowControl/>
              <w:snapToGrid w:val="0"/>
              <w:jc w:val="center"/>
              <w:rPr>
                <w:rFonts w:hint="eastAsia" w:ascii="仿宋" w:hAnsi="仿宋" w:eastAsia="仿宋" w:cs="仿宋"/>
                <w:color w:val="000000"/>
                <w:kern w:val="0"/>
                <w:sz w:val="24"/>
                <w:szCs w:val="24"/>
                <w:lang w:val="en-US" w:eastAsia="zh-CN"/>
              </w:rPr>
            </w:pPr>
            <w:r>
              <w:rPr>
                <w:rFonts w:ascii="Times New Roman" w:hAnsi="Times New Roman" w:eastAsia="仿宋"/>
                <w:color w:val="000000"/>
                <w:kern w:val="0"/>
                <w:sz w:val="24"/>
                <w:szCs w:val="24"/>
              </w:rPr>
              <w:t>（</w:t>
            </w:r>
            <w:r>
              <w:rPr>
                <w:rFonts w:hint="eastAsia" w:ascii="Times New Roman" w:hAnsi="Times New Roman" w:eastAsia="仿宋"/>
                <w:color w:val="000000"/>
                <w:kern w:val="0"/>
                <w:sz w:val="24"/>
                <w:szCs w:val="24"/>
                <w:lang w:val="en-US" w:eastAsia="zh-CN"/>
              </w:rPr>
              <w:t>10分</w:t>
            </w:r>
            <w:r>
              <w:rPr>
                <w:rFonts w:ascii="Times New Roman" w:hAnsi="Times New Roman" w:eastAsia="仿宋"/>
                <w:color w:val="000000"/>
                <w:kern w:val="0"/>
                <w:sz w:val="24"/>
                <w:szCs w:val="24"/>
              </w:rPr>
              <w:t>）</w:t>
            </w:r>
          </w:p>
        </w:tc>
        <w:tc>
          <w:tcPr>
            <w:tcW w:w="1800" w:type="dxa"/>
            <w:vAlign w:val="center"/>
          </w:tcPr>
          <w:p w14:paraId="1012DF2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D41受益群众满意度（10）</w:t>
            </w:r>
          </w:p>
        </w:tc>
        <w:tc>
          <w:tcPr>
            <w:tcW w:w="4280" w:type="dxa"/>
            <w:vAlign w:val="center"/>
          </w:tcPr>
          <w:p w14:paraId="236D3947">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通过问卷调查，保护区域居民对项目建设的总体满意度。</w:t>
            </w:r>
          </w:p>
        </w:tc>
        <w:tc>
          <w:tcPr>
            <w:tcW w:w="5723" w:type="dxa"/>
            <w:vAlign w:val="center"/>
          </w:tcPr>
          <w:p w14:paraId="455123C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满意度≥90%，10分，每降低10%，扣1分，扣完为止。</w:t>
            </w:r>
          </w:p>
        </w:tc>
      </w:tr>
      <w:tr w14:paraId="42BA1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4" w:type="dxa"/>
            <w:gridSpan w:val="5"/>
          </w:tcPr>
          <w:p w14:paraId="344DFB9B">
            <w:pPr>
              <w:widowControl/>
              <w:snapToGrid w:val="0"/>
              <w:jc w:val="left"/>
              <w:rPr>
                <w:rFonts w:ascii="Times New Roman" w:hAnsi="Times New Roman" w:eastAsia="仿宋"/>
                <w:color w:val="000000"/>
                <w:kern w:val="0"/>
                <w:sz w:val="24"/>
                <w:szCs w:val="24"/>
              </w:rPr>
            </w:pPr>
            <w:r>
              <w:rPr>
                <w:rFonts w:ascii="Times New Roman" w:hAnsi="Times New Roman" w:eastAsia="仿宋"/>
                <w:color w:val="000000"/>
                <w:kern w:val="0"/>
                <w:sz w:val="24"/>
                <w:szCs w:val="24"/>
              </w:rPr>
              <w:t>注：绩效评价结果等级划分标准为：90分（含）以上的为“优”，80分（含）</w:t>
            </w:r>
            <w:r>
              <w:rPr>
                <w:rFonts w:hint="eastAsia" w:ascii="Times New Roman" w:hAnsi="Times New Roman" w:eastAsia="仿宋"/>
                <w:color w:val="000000"/>
                <w:kern w:val="0"/>
                <w:sz w:val="24"/>
                <w:szCs w:val="24"/>
                <w:lang w:val="en-US" w:eastAsia="zh-CN"/>
              </w:rPr>
              <w:t>-90</w:t>
            </w:r>
            <w:r>
              <w:rPr>
                <w:rFonts w:ascii="Times New Roman" w:hAnsi="Times New Roman" w:eastAsia="仿宋"/>
                <w:color w:val="000000"/>
                <w:kern w:val="0"/>
                <w:sz w:val="24"/>
                <w:szCs w:val="24"/>
              </w:rPr>
              <w:t>分的为“良”，60分（含）-</w:t>
            </w:r>
            <w:r>
              <w:rPr>
                <w:rFonts w:hint="eastAsia" w:ascii="Times New Roman" w:hAnsi="Times New Roman" w:eastAsia="仿宋"/>
                <w:color w:val="000000"/>
                <w:kern w:val="0"/>
                <w:sz w:val="24"/>
                <w:szCs w:val="24"/>
                <w:lang w:val="en-US" w:eastAsia="zh-CN"/>
              </w:rPr>
              <w:t>80</w:t>
            </w:r>
            <w:r>
              <w:rPr>
                <w:rFonts w:ascii="Times New Roman" w:hAnsi="Times New Roman" w:eastAsia="仿宋"/>
                <w:color w:val="000000"/>
                <w:kern w:val="0"/>
                <w:sz w:val="24"/>
                <w:szCs w:val="24"/>
              </w:rPr>
              <w:t>分的为“中”，60分以下的为“差”。</w:t>
            </w:r>
          </w:p>
        </w:tc>
      </w:tr>
    </w:tbl>
    <w:p w14:paraId="6D109D06">
      <w:pPr>
        <w:widowControl/>
        <w:spacing w:line="500" w:lineRule="exact"/>
        <w:jc w:val="left"/>
        <w:outlineLvl w:val="0"/>
        <w:rPr>
          <w:rFonts w:ascii="Times New Roman" w:hAnsi="Times New Roman" w:eastAsia="仿宋"/>
          <w:snapToGrid w:val="0"/>
          <w:sz w:val="32"/>
          <w:szCs w:val="32"/>
        </w:rPr>
        <w:sectPr>
          <w:headerReference r:id="rId8" w:type="default"/>
          <w:pgSz w:w="16838" w:h="11906" w:orient="landscape"/>
          <w:pgMar w:top="1797" w:right="1440" w:bottom="1797" w:left="1440" w:header="851" w:footer="992" w:gutter="0"/>
          <w:pgNumType w:fmt="decimal"/>
          <w:cols w:space="425" w:num="1"/>
          <w:docGrid w:type="lines" w:linePitch="312" w:charSpace="0"/>
        </w:sectPr>
      </w:pPr>
    </w:p>
    <w:p w14:paraId="771E6449">
      <w:pPr>
        <w:spacing w:before="156" w:beforeLines="50" w:after="156" w:afterLines="50" w:line="500" w:lineRule="exact"/>
        <w:jc w:val="left"/>
        <w:outlineLvl w:val="0"/>
        <w:rPr>
          <w:rFonts w:ascii="Times New Roman" w:hAnsi="Times New Roman" w:eastAsia="仿宋"/>
          <w:b/>
          <w:kern w:val="0"/>
          <w:sz w:val="32"/>
          <w:szCs w:val="30"/>
        </w:rPr>
      </w:pPr>
      <w:bookmarkStart w:id="146" w:name="_Toc7422"/>
      <w:r>
        <w:rPr>
          <w:rFonts w:ascii="Times New Roman" w:hAnsi="Times New Roman" w:eastAsia="仿宋"/>
          <w:b/>
          <w:kern w:val="0"/>
          <w:sz w:val="32"/>
          <w:szCs w:val="30"/>
        </w:rPr>
        <w:t>附件2：问卷调查报告</w:t>
      </w:r>
      <w:bookmarkEnd w:id="144"/>
      <w:bookmarkEnd w:id="146"/>
      <w:bookmarkStart w:id="147" w:name="_Toc528680333"/>
      <w:bookmarkStart w:id="148" w:name="_Toc528680487"/>
      <w:bookmarkStart w:id="149" w:name="_Toc528603095"/>
      <w:bookmarkStart w:id="150" w:name="_Toc515811021"/>
      <w:bookmarkStart w:id="151" w:name="_Toc517361502"/>
      <w:bookmarkStart w:id="152" w:name="_Toc516554801"/>
      <w:bookmarkStart w:id="153" w:name="_Toc516473336"/>
      <w:bookmarkStart w:id="154" w:name="_Toc515811967"/>
    </w:p>
    <w:bookmarkEnd w:id="147"/>
    <w:bookmarkEnd w:id="148"/>
    <w:bookmarkEnd w:id="149"/>
    <w:p w14:paraId="05DC411C">
      <w:pPr>
        <w:pStyle w:val="18"/>
        <w:spacing w:line="500" w:lineRule="exact"/>
        <w:jc w:val="center"/>
        <w:outlineLvl w:val="9"/>
        <w:rPr>
          <w:rFonts w:hint="eastAsia" w:eastAsia="仿宋"/>
          <w:b/>
          <w:bCs w:val="0"/>
          <w:kern w:val="2"/>
          <w:sz w:val="28"/>
          <w:szCs w:val="44"/>
          <w:lang w:eastAsia="zh-CN"/>
        </w:rPr>
      </w:pPr>
      <w:bookmarkStart w:id="155" w:name="_Toc29141"/>
      <w:bookmarkStart w:id="156" w:name="_Toc528680334"/>
      <w:bookmarkStart w:id="157" w:name="_Toc528684163"/>
      <w:bookmarkStart w:id="158" w:name="_Toc528603096"/>
      <w:bookmarkStart w:id="159" w:name="_Toc28401"/>
      <w:bookmarkStart w:id="160" w:name="_Toc5640"/>
      <w:bookmarkStart w:id="161" w:name="_Toc27702"/>
      <w:bookmarkStart w:id="162" w:name="_Toc528680488"/>
      <w:r>
        <w:rPr>
          <w:rFonts w:hint="eastAsia" w:eastAsia="仿宋"/>
          <w:b/>
          <w:bCs w:val="0"/>
          <w:kern w:val="2"/>
          <w:sz w:val="28"/>
          <w:szCs w:val="44"/>
          <w:lang w:eastAsia="zh-CN"/>
        </w:rPr>
        <w:t>古县旧县镇和南垣乡秦王庙村等8村土地综合整治项目</w:t>
      </w:r>
    </w:p>
    <w:p w14:paraId="3BBEF9F7">
      <w:pPr>
        <w:pStyle w:val="18"/>
        <w:spacing w:line="500" w:lineRule="exact"/>
        <w:jc w:val="center"/>
        <w:outlineLvl w:val="9"/>
        <w:rPr>
          <w:rFonts w:eastAsia="仿宋"/>
          <w:b/>
          <w:bCs w:val="0"/>
          <w:kern w:val="2"/>
          <w:sz w:val="28"/>
          <w:szCs w:val="44"/>
        </w:rPr>
      </w:pPr>
      <w:bookmarkStart w:id="163" w:name="_Toc14694"/>
      <w:r>
        <w:rPr>
          <w:rFonts w:eastAsia="仿宋"/>
          <w:b/>
          <w:bCs w:val="0"/>
          <w:kern w:val="2"/>
          <w:sz w:val="28"/>
          <w:szCs w:val="44"/>
        </w:rPr>
        <w:t>社会公众</w:t>
      </w:r>
      <w:r>
        <w:rPr>
          <w:rFonts w:eastAsia="仿宋"/>
          <w:b/>
          <w:snapToGrid w:val="0"/>
          <w:sz w:val="28"/>
          <w:szCs w:val="44"/>
        </w:rPr>
        <w:t>满意度调查报告</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38AA5DDD">
      <w:pPr>
        <w:spacing w:line="500" w:lineRule="exact"/>
        <w:ind w:firstLine="562" w:firstLineChars="200"/>
        <w:rPr>
          <w:rFonts w:ascii="Times New Roman" w:hAnsi="Times New Roman" w:eastAsia="仿宋"/>
          <w:b/>
          <w:sz w:val="28"/>
          <w:szCs w:val="32"/>
        </w:rPr>
      </w:pPr>
      <w:r>
        <w:rPr>
          <w:rFonts w:ascii="Times New Roman" w:hAnsi="Times New Roman" w:eastAsia="仿宋"/>
          <w:b/>
          <w:sz w:val="28"/>
          <w:szCs w:val="32"/>
        </w:rPr>
        <w:t>（一）调查目的</w:t>
      </w:r>
    </w:p>
    <w:p w14:paraId="48D479AB">
      <w:pPr>
        <w:spacing w:line="500" w:lineRule="exact"/>
        <w:ind w:firstLine="560" w:firstLineChars="200"/>
        <w:rPr>
          <w:rFonts w:ascii="Times New Roman" w:hAnsi="Times New Roman" w:eastAsia="仿宋"/>
          <w:sz w:val="28"/>
          <w:szCs w:val="32"/>
        </w:rPr>
      </w:pPr>
      <w:r>
        <w:rPr>
          <w:rFonts w:ascii="Times New Roman" w:hAnsi="Times New Roman" w:eastAsia="仿宋"/>
          <w:sz w:val="28"/>
          <w:szCs w:val="32"/>
        </w:rPr>
        <w:t>满意度调查是绩效评价中非常重要的环节，为实际了解资金的使用管理情况和项目实施情况，准确掌握社会公众及服务对象满意度数据具有重要作用。通过向受益群体发放满意度调查问卷，了解群众对</w:t>
      </w:r>
      <w:r>
        <w:rPr>
          <w:rFonts w:hint="eastAsia" w:ascii="Times New Roman" w:hAnsi="Times New Roman" w:eastAsia="仿宋"/>
          <w:sz w:val="28"/>
          <w:szCs w:val="32"/>
          <w:lang w:eastAsia="zh-CN"/>
        </w:rPr>
        <w:t>古县旧县镇和南垣乡秦王庙村等8村土地综合整治项目</w:t>
      </w:r>
      <w:r>
        <w:rPr>
          <w:rFonts w:ascii="Times New Roman" w:hAnsi="Times New Roman" w:eastAsia="仿宋"/>
          <w:sz w:val="28"/>
          <w:szCs w:val="32"/>
        </w:rPr>
        <w:t>的整体满意度，为绩效评价工作提供数据参考。</w:t>
      </w:r>
    </w:p>
    <w:p w14:paraId="376D4C9C">
      <w:pPr>
        <w:spacing w:before="156" w:beforeLines="50" w:line="500" w:lineRule="exact"/>
        <w:ind w:firstLine="562" w:firstLineChars="200"/>
        <w:rPr>
          <w:rFonts w:ascii="Times New Roman" w:hAnsi="Times New Roman" w:eastAsia="仿宋"/>
          <w:b/>
          <w:sz w:val="24"/>
          <w:szCs w:val="28"/>
        </w:rPr>
      </w:pPr>
      <w:bookmarkStart w:id="164" w:name="_Toc469588896"/>
      <w:r>
        <w:rPr>
          <w:rFonts w:ascii="Times New Roman" w:hAnsi="Times New Roman" w:eastAsia="仿宋"/>
          <w:b/>
          <w:sz w:val="28"/>
          <w:szCs w:val="32"/>
        </w:rPr>
        <w:t>（二）调查对象</w:t>
      </w:r>
      <w:bookmarkEnd w:id="164"/>
    </w:p>
    <w:p w14:paraId="33B719F6">
      <w:pPr>
        <w:spacing w:line="500" w:lineRule="exact"/>
        <w:ind w:firstLine="560" w:firstLineChars="200"/>
        <w:rPr>
          <w:rFonts w:ascii="Times New Roman" w:hAnsi="Times New Roman" w:eastAsia="仿宋"/>
          <w:sz w:val="28"/>
          <w:szCs w:val="32"/>
        </w:rPr>
      </w:pPr>
      <w:bookmarkStart w:id="165" w:name="_Toc469588897"/>
      <w:r>
        <w:rPr>
          <w:rFonts w:hint="eastAsia" w:ascii="Times New Roman" w:hAnsi="Times New Roman" w:eastAsia="仿宋"/>
          <w:sz w:val="28"/>
          <w:szCs w:val="32"/>
          <w:lang w:eastAsia="zh-CN"/>
        </w:rPr>
        <w:t>古县旧县镇和南垣乡秦王庙村等8村土地综合整治项目</w:t>
      </w:r>
      <w:r>
        <w:rPr>
          <w:rFonts w:ascii="Times New Roman" w:hAnsi="Times New Roman" w:eastAsia="仿宋"/>
          <w:sz w:val="28"/>
          <w:szCs w:val="32"/>
        </w:rPr>
        <w:t>涉及的群众。</w:t>
      </w:r>
      <w:bookmarkEnd w:id="165"/>
    </w:p>
    <w:p w14:paraId="3149C407">
      <w:pPr>
        <w:spacing w:before="156" w:beforeLines="50" w:line="500" w:lineRule="exact"/>
        <w:ind w:firstLine="562" w:firstLineChars="200"/>
        <w:rPr>
          <w:rFonts w:hint="eastAsia" w:ascii="Times New Roman" w:hAnsi="Times New Roman" w:eastAsia="仿宋"/>
          <w:b/>
          <w:sz w:val="28"/>
          <w:szCs w:val="32"/>
        </w:rPr>
      </w:pPr>
      <w:r>
        <w:rPr>
          <w:rFonts w:hint="eastAsia" w:ascii="Times New Roman" w:hAnsi="Times New Roman" w:eastAsia="仿宋"/>
          <w:b/>
          <w:sz w:val="28"/>
          <w:szCs w:val="32"/>
          <w:lang w:eastAsia="zh-CN"/>
        </w:rPr>
        <w:t>（</w:t>
      </w:r>
      <w:r>
        <w:rPr>
          <w:rFonts w:hint="eastAsia" w:ascii="Times New Roman" w:hAnsi="Times New Roman" w:eastAsia="仿宋"/>
          <w:b/>
          <w:sz w:val="28"/>
          <w:szCs w:val="32"/>
          <w:lang w:val="en-US" w:eastAsia="zh-CN"/>
        </w:rPr>
        <w:t>三</w:t>
      </w:r>
      <w:r>
        <w:rPr>
          <w:rFonts w:hint="eastAsia" w:ascii="Times New Roman" w:hAnsi="Times New Roman" w:eastAsia="仿宋"/>
          <w:b/>
          <w:sz w:val="28"/>
          <w:szCs w:val="32"/>
          <w:lang w:eastAsia="zh-CN"/>
        </w:rPr>
        <w:t>）</w:t>
      </w:r>
      <w:r>
        <w:rPr>
          <w:rFonts w:hint="eastAsia" w:ascii="Times New Roman" w:hAnsi="Times New Roman" w:eastAsia="仿宋"/>
          <w:b/>
          <w:sz w:val="28"/>
          <w:szCs w:val="32"/>
        </w:rPr>
        <w:t>问卷发放/回收情况</w:t>
      </w:r>
    </w:p>
    <w:p w14:paraId="29959CC1">
      <w:pPr>
        <w:spacing w:beforeLines="0" w:afterLines="0" w:line="600" w:lineRule="exact"/>
        <w:ind w:firstLine="560"/>
        <w:rPr>
          <w:rFonts w:hint="eastAsia" w:ascii="仿宋" w:hAnsi="仿宋" w:eastAsia="仿宋" w:cs="仿宋"/>
          <w:sz w:val="28"/>
          <w:szCs w:val="28"/>
        </w:rPr>
      </w:pPr>
      <w:r>
        <w:rPr>
          <w:rFonts w:hint="eastAsia" w:ascii="仿宋" w:hAnsi="仿宋" w:eastAsia="仿宋" w:cs="仿宋"/>
          <w:sz w:val="28"/>
          <w:szCs w:val="28"/>
        </w:rPr>
        <w:t>依据公共支出绩效评价的效应原则，</w:t>
      </w:r>
      <w:r>
        <w:rPr>
          <w:rFonts w:hint="eastAsia" w:ascii="仿宋" w:hAnsi="仿宋" w:eastAsia="仿宋" w:cs="仿宋"/>
          <w:sz w:val="28"/>
          <w:szCs w:val="28"/>
          <w:lang w:val="en-US" w:eastAsia="zh-CN"/>
        </w:rPr>
        <w:t>对</w:t>
      </w:r>
      <w:r>
        <w:rPr>
          <w:rFonts w:hint="eastAsia" w:ascii="仿宋" w:hAnsi="仿宋" w:eastAsia="仿宋" w:cs="仿宋"/>
          <w:kern w:val="0"/>
          <w:sz w:val="28"/>
          <w:szCs w:val="28"/>
          <w:shd w:val="clear" w:color="auto" w:fill="FFFFFF"/>
          <w:lang w:eastAsia="zh-CN"/>
        </w:rPr>
        <w:t>涉及的</w:t>
      </w:r>
      <w:r>
        <w:rPr>
          <w:rFonts w:hint="eastAsia" w:ascii="仿宋" w:hAnsi="仿宋" w:eastAsia="仿宋" w:cs="仿宋"/>
          <w:b w:val="0"/>
          <w:bCs w:val="0"/>
          <w:color w:val="000000"/>
          <w:kern w:val="0"/>
          <w:sz w:val="28"/>
          <w:szCs w:val="28"/>
          <w:lang w:val="en-US" w:eastAsia="zh-CN"/>
        </w:rPr>
        <w:t>村委</w:t>
      </w:r>
      <w:r>
        <w:rPr>
          <w:rFonts w:hint="eastAsia" w:ascii="仿宋" w:hAnsi="仿宋" w:eastAsia="仿宋" w:cs="仿宋"/>
          <w:sz w:val="28"/>
          <w:szCs w:val="28"/>
        </w:rPr>
        <w:t>开展社会调查。</w:t>
      </w:r>
    </w:p>
    <w:p w14:paraId="32733250">
      <w:pPr>
        <w:widowControl w:val="0"/>
        <w:numPr>
          <w:ilvl w:val="0"/>
          <w:numId w:val="0"/>
        </w:numPr>
        <w:spacing w:line="500" w:lineRule="exact"/>
        <w:ind w:firstLine="560" w:firstLineChars="200"/>
        <w:jc w:val="both"/>
        <w:rPr>
          <w:rFonts w:hint="eastAsia" w:ascii="仿宋" w:hAnsi="仿宋" w:eastAsia="仿宋" w:cs="仿宋"/>
          <w:sz w:val="28"/>
          <w:szCs w:val="28"/>
        </w:rPr>
      </w:pPr>
      <w:r>
        <w:rPr>
          <w:rFonts w:hint="eastAsia" w:ascii="Times New Roman" w:hAnsi="Times New Roman" w:eastAsia="仿宋" w:cs="Times New Roman"/>
          <w:sz w:val="28"/>
          <w:szCs w:val="24"/>
          <w:lang w:val="en-US" w:eastAsia="zh-CN"/>
        </w:rPr>
        <w:t>古县旧县镇和南垣乡秦王庙村等8村土地综合整治项目预算资金5000.00万元。</w:t>
      </w:r>
    </w:p>
    <w:p w14:paraId="7DAF3AEE">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本次社会调查采用随机问卷的方式，评价组将按照抽样调查的形式发放问卷，计划发放问卷150份，问卷主体是项目区域受益群众。</w:t>
      </w:r>
    </w:p>
    <w:p w14:paraId="65D02ABA">
      <w:pPr>
        <w:spacing w:before="156" w:beforeLines="50" w:line="500" w:lineRule="exact"/>
        <w:ind w:firstLine="562" w:firstLineChars="200"/>
        <w:rPr>
          <w:rFonts w:hint="eastAsia" w:ascii="Times New Roman" w:hAnsi="Times New Roman" w:eastAsia="仿宋"/>
          <w:b/>
          <w:sz w:val="28"/>
          <w:szCs w:val="32"/>
          <w:lang w:eastAsia="zh-CN"/>
        </w:rPr>
      </w:pPr>
      <w:r>
        <w:rPr>
          <w:rFonts w:hint="eastAsia" w:ascii="Times New Roman" w:hAnsi="Times New Roman" w:eastAsia="仿宋"/>
          <w:b/>
          <w:sz w:val="28"/>
          <w:szCs w:val="32"/>
          <w:lang w:eastAsia="zh-CN"/>
        </w:rPr>
        <w:t>（</w:t>
      </w:r>
      <w:r>
        <w:rPr>
          <w:rFonts w:hint="eastAsia" w:ascii="Times New Roman" w:hAnsi="Times New Roman" w:eastAsia="仿宋"/>
          <w:b/>
          <w:sz w:val="28"/>
          <w:szCs w:val="32"/>
          <w:lang w:val="en-US" w:eastAsia="zh-CN"/>
        </w:rPr>
        <w:t>四</w:t>
      </w:r>
      <w:r>
        <w:rPr>
          <w:rFonts w:hint="eastAsia" w:ascii="Times New Roman" w:hAnsi="Times New Roman" w:eastAsia="仿宋"/>
          <w:b/>
          <w:sz w:val="28"/>
          <w:szCs w:val="32"/>
          <w:lang w:eastAsia="zh-CN"/>
        </w:rPr>
        <w:t>）问卷满意度问题结果</w:t>
      </w:r>
    </w:p>
    <w:p w14:paraId="0172692F">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1.您对山中乡塬面保护工程建设的满意程度。</w:t>
      </w:r>
    </w:p>
    <w:p w14:paraId="6ED18806">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根据调查数据分析得出，在总样本150份调查问卷中，回答非常满意的135人，一般的60人，不满意的5人。受访者满意度为97.50%。</w:t>
      </w:r>
    </w:p>
    <w:p w14:paraId="5875E60E">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2.您对黄土高原塬面保护项目公示情况的满意程度。</w:t>
      </w:r>
    </w:p>
    <w:p w14:paraId="053B4C52">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根据调查数据分析得出，在总样本150份调查问卷中，回答非常满意的122人，一般的24人，不满意的4人。受访者满意度为97.33%。</w:t>
      </w:r>
    </w:p>
    <w:p w14:paraId="157F8572">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3.您对古县旧县镇和南垣乡秦王庙村等8村土地综合整治项目对塬面保护状况的满意程度。</w:t>
      </w:r>
    </w:p>
    <w:p w14:paraId="04364191">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根据调查数据分析得出，在总样本150份调查问卷中，回答非常满意的149人，一般的1人，不满意的0人。受访者满意度为100.00%。</w:t>
      </w:r>
    </w:p>
    <w:p w14:paraId="2A950F6F">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4.您对古县旧县镇和南垣乡秦王庙村等8村土地综合整治项目宣传工作的满意程度。</w:t>
      </w:r>
    </w:p>
    <w:p w14:paraId="02895C71">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根据调查数据分析得出，在总样本150份调查问卷中，回答非常满意的120人，一般的15人，不满意的15人。受访者满意度为90.00%。</w:t>
      </w:r>
    </w:p>
    <w:p w14:paraId="60E5C68E">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5.您对古县旧县镇和南垣乡秦王庙村等8村土地综合整治项目建成后生态环境改善的满意程度。</w:t>
      </w:r>
    </w:p>
    <w:p w14:paraId="35C94762">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根据调查数据分析得出，在总样本150份调查问卷中，回答非常满意的150人，一般的0人，不满意的0人。受访者满意度为100.00%。</w:t>
      </w:r>
    </w:p>
    <w:p w14:paraId="49DC9EF7">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6.您对古县旧县镇和南垣乡秦王庙村等8村土地综合整治项目总体的满意程度。</w:t>
      </w:r>
    </w:p>
    <w:p w14:paraId="6B2EA5DF">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根据调查数据分析得出，在总样本150份调查问卷中，回答非常满意的118人，一般的28人，不满意的4人。受访者满意度为97.33%。</w:t>
      </w:r>
    </w:p>
    <w:p w14:paraId="06E197C4">
      <w:pPr>
        <w:spacing w:beforeLines="0" w:afterLines="0" w:line="600" w:lineRule="exact"/>
        <w:ind w:firstLine="560"/>
        <w:rPr>
          <w:rFonts w:hint="eastAsia" w:ascii="仿宋" w:hAnsi="仿宋" w:eastAsia="仿宋" w:cs="仿宋"/>
          <w:b/>
          <w:bCs/>
          <w:sz w:val="28"/>
          <w:szCs w:val="28"/>
        </w:rPr>
      </w:pP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五</w:t>
      </w:r>
      <w:r>
        <w:rPr>
          <w:rFonts w:hint="eastAsia" w:ascii="仿宋" w:hAnsi="仿宋" w:eastAsia="仿宋" w:cs="仿宋"/>
          <w:b/>
          <w:bCs/>
          <w:sz w:val="28"/>
          <w:szCs w:val="28"/>
          <w:lang w:eastAsia="zh-CN"/>
        </w:rPr>
        <w:t>）</w:t>
      </w:r>
      <w:r>
        <w:rPr>
          <w:rFonts w:hint="eastAsia" w:ascii="仿宋" w:hAnsi="仿宋" w:eastAsia="仿宋" w:cs="仿宋"/>
          <w:b/>
          <w:bCs/>
          <w:sz w:val="28"/>
          <w:szCs w:val="28"/>
        </w:rPr>
        <w:t>结果分析</w:t>
      </w:r>
    </w:p>
    <w:p w14:paraId="56589A83">
      <w:pPr>
        <w:spacing w:line="500" w:lineRule="exact"/>
        <w:ind w:firstLine="560" w:firstLineChars="200"/>
        <w:rPr>
          <w:rFonts w:hint="eastAsia" w:ascii="仿宋" w:hAnsi="仿宋" w:eastAsia="仿宋" w:cs="仿宋"/>
          <w:sz w:val="28"/>
          <w:szCs w:val="28"/>
        </w:rPr>
      </w:pPr>
      <w:r>
        <w:rPr>
          <w:rFonts w:hint="eastAsia" w:ascii="Times New Roman" w:hAnsi="Times New Roman" w:eastAsia="仿宋" w:cs="Times New Roman"/>
          <w:sz w:val="28"/>
          <w:szCs w:val="24"/>
          <w:lang w:val="en-US" w:eastAsia="zh-CN"/>
        </w:rPr>
        <w:t>本次调查涉及六个问题，整体满意度较高，分别为：97.50%、97.33%、100.00%、90.00%、100.00%、97.33%，整体满意度97.03%，这体现出受益群体整体对该项目比较满意。</w:t>
      </w:r>
    </w:p>
    <w:p w14:paraId="5CE8A7C8">
      <w:pPr>
        <w:keepNext w:val="0"/>
        <w:keepLines w:val="0"/>
        <w:pageBreakBefore w:val="0"/>
        <w:widowControl w:val="0"/>
        <w:kinsoku/>
        <w:wordWrap/>
        <w:overflowPunct/>
        <w:topLinePunct w:val="0"/>
        <w:autoSpaceDE/>
        <w:autoSpaceDN/>
        <w:bidi w:val="0"/>
        <w:adjustRightInd/>
        <w:snapToGrid/>
        <w:spacing w:before="156" w:beforeLines="50" w:after="156" w:afterLines="50" w:line="500" w:lineRule="exact"/>
        <w:jc w:val="left"/>
        <w:textAlignment w:val="auto"/>
        <w:outlineLvl w:val="0"/>
        <w:rPr>
          <w:rFonts w:hint="eastAsia" w:ascii="仿宋" w:hAnsi="仿宋" w:eastAsia="仿宋" w:cs="仿宋"/>
          <w:b/>
          <w:kern w:val="0"/>
          <w:sz w:val="28"/>
          <w:szCs w:val="28"/>
        </w:rPr>
      </w:pPr>
      <w:r>
        <w:rPr>
          <w:rFonts w:ascii="Times New Roman" w:hAnsi="Times New Roman" w:eastAsia="仿宋"/>
          <w:sz w:val="28"/>
          <w:szCs w:val="28"/>
        </w:rPr>
        <w:br w:type="page"/>
      </w:r>
      <w:bookmarkStart w:id="166" w:name="_Toc5440634"/>
      <w:bookmarkStart w:id="167" w:name="_Toc5347"/>
      <w:r>
        <w:rPr>
          <w:rFonts w:hint="eastAsia" w:ascii="仿宋" w:hAnsi="仿宋" w:eastAsia="仿宋" w:cs="仿宋"/>
          <w:b/>
          <w:kern w:val="0"/>
          <w:sz w:val="28"/>
          <w:szCs w:val="28"/>
        </w:rPr>
        <w:t>附件</w:t>
      </w:r>
      <w:r>
        <w:rPr>
          <w:rFonts w:hint="eastAsia" w:ascii="仿宋" w:hAnsi="仿宋" w:eastAsia="仿宋" w:cs="仿宋"/>
          <w:b/>
          <w:kern w:val="0"/>
          <w:sz w:val="28"/>
          <w:szCs w:val="28"/>
          <w:lang w:val="en-US" w:eastAsia="zh-CN"/>
        </w:rPr>
        <w:t>3</w:t>
      </w:r>
      <w:r>
        <w:rPr>
          <w:rFonts w:hint="eastAsia" w:ascii="仿宋" w:hAnsi="仿宋" w:eastAsia="仿宋" w:cs="仿宋"/>
          <w:b/>
          <w:kern w:val="0"/>
          <w:sz w:val="28"/>
          <w:szCs w:val="28"/>
        </w:rPr>
        <w:t>：合规性审查</w:t>
      </w:r>
      <w:bookmarkEnd w:id="166"/>
      <w:bookmarkEnd w:id="167"/>
    </w:p>
    <w:p w14:paraId="06056A0D">
      <w:pPr>
        <w:spacing w:line="50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为保证</w:t>
      </w:r>
      <w:r>
        <w:rPr>
          <w:rFonts w:hint="eastAsia" w:ascii="仿宋" w:hAnsi="仿宋" w:eastAsia="仿宋" w:cs="仿宋"/>
          <w:kern w:val="0"/>
          <w:sz w:val="28"/>
          <w:szCs w:val="28"/>
          <w:lang w:val="en-US" w:eastAsia="zh-CN"/>
        </w:rPr>
        <w:t>古县旧县镇和南垣乡秦王庙村等8村土地综合整治项目</w:t>
      </w:r>
      <w:r>
        <w:rPr>
          <w:rFonts w:hint="eastAsia" w:ascii="仿宋" w:hAnsi="仿宋" w:eastAsia="仿宋" w:cs="仿宋"/>
          <w:kern w:val="0"/>
          <w:sz w:val="28"/>
          <w:szCs w:val="28"/>
          <w:shd w:val="clear" w:color="auto" w:fill="FFFFFF"/>
        </w:rPr>
        <w:t>资金</w:t>
      </w:r>
      <w:r>
        <w:rPr>
          <w:rFonts w:hint="eastAsia" w:ascii="仿宋" w:hAnsi="仿宋" w:eastAsia="仿宋" w:cs="仿宋"/>
          <w:kern w:val="0"/>
          <w:sz w:val="28"/>
          <w:szCs w:val="28"/>
        </w:rPr>
        <w:t>在资金拨付、资金支出、财务管理等方面的规范性，评价小组对资金的投入、执行、管理等方面开展合规性检查。</w:t>
      </w:r>
    </w:p>
    <w:p w14:paraId="56BFCAA2">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1.合规性检查对象</w:t>
      </w:r>
    </w:p>
    <w:p w14:paraId="4C013F9E">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本次检查对象为古县旧县镇和南垣乡秦王庙村等8村土地综合整治项目资金，共计5000.00万元。</w:t>
      </w:r>
    </w:p>
    <w:p w14:paraId="0C3AC757">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2.合规性检查内容</w:t>
      </w:r>
    </w:p>
    <w:p w14:paraId="3B74ED0B">
      <w:pPr>
        <w:spacing w:line="500" w:lineRule="exact"/>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本次合规性检查内容包括资金拨付、资金支出、财务管理等，目的在于深入了解项目资金使用是否符合相关法律法规、制度和规定，用以发现配套资金在资金使用的规范性和安全性上存在的问题。内容如下表：</w:t>
      </w:r>
    </w:p>
    <w:p w14:paraId="4DADB77F">
      <w:pPr>
        <w:spacing w:line="500" w:lineRule="exact"/>
        <w:ind w:firstLine="482" w:firstLineChars="200"/>
        <w:jc w:val="center"/>
        <w:rPr>
          <w:rFonts w:hint="eastAsia" w:ascii="仿宋" w:hAnsi="仿宋" w:eastAsia="仿宋" w:cs="仿宋"/>
          <w:b/>
          <w:kern w:val="0"/>
          <w:sz w:val="24"/>
          <w:szCs w:val="28"/>
        </w:rPr>
      </w:pPr>
      <w:r>
        <w:rPr>
          <w:rFonts w:hint="eastAsia" w:ascii="仿宋" w:hAnsi="仿宋" w:eastAsia="仿宋" w:cs="仿宋"/>
          <w:b/>
          <w:kern w:val="0"/>
          <w:sz w:val="24"/>
          <w:szCs w:val="28"/>
        </w:rPr>
        <w:t>附表</w:t>
      </w:r>
      <w:r>
        <w:rPr>
          <w:rFonts w:hint="eastAsia" w:ascii="仿宋" w:hAnsi="仿宋" w:eastAsia="仿宋" w:cs="仿宋"/>
          <w:b/>
          <w:kern w:val="0"/>
          <w:sz w:val="24"/>
          <w:szCs w:val="28"/>
          <w:lang w:val="en-US" w:eastAsia="zh-CN"/>
        </w:rPr>
        <w:t>4</w:t>
      </w:r>
      <w:r>
        <w:rPr>
          <w:rFonts w:hint="eastAsia" w:ascii="仿宋" w:hAnsi="仿宋" w:eastAsia="仿宋" w:cs="仿宋"/>
          <w:b/>
          <w:kern w:val="0"/>
          <w:sz w:val="24"/>
          <w:szCs w:val="28"/>
        </w:rPr>
        <w:t>-1  合规性审查内容框架</w:t>
      </w:r>
    </w:p>
    <w:tbl>
      <w:tblPr>
        <w:tblStyle w:val="51"/>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5"/>
        <w:gridCol w:w="1313"/>
        <w:gridCol w:w="6727"/>
      </w:tblGrid>
      <w:tr w14:paraId="53B24D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trPr>
        <w:tc>
          <w:tcPr>
            <w:tcW w:w="715" w:type="dxa"/>
            <w:shd w:val="clear" w:color="auto" w:fill="BEBEBE" w:themeFill="background1" w:themeFillShade="BF"/>
            <w:vAlign w:val="center"/>
          </w:tcPr>
          <w:p w14:paraId="24E812C5">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序号</w:t>
            </w:r>
          </w:p>
        </w:tc>
        <w:tc>
          <w:tcPr>
            <w:tcW w:w="1313" w:type="dxa"/>
            <w:shd w:val="clear" w:color="auto" w:fill="BEBEBE" w:themeFill="background1" w:themeFillShade="BF"/>
            <w:vAlign w:val="center"/>
          </w:tcPr>
          <w:p w14:paraId="34A92FEE">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项目</w:t>
            </w:r>
          </w:p>
        </w:tc>
        <w:tc>
          <w:tcPr>
            <w:tcW w:w="6727" w:type="dxa"/>
            <w:shd w:val="clear" w:color="auto" w:fill="BEBEBE" w:themeFill="background1" w:themeFillShade="BF"/>
            <w:vAlign w:val="center"/>
          </w:tcPr>
          <w:p w14:paraId="33E8C14B">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内容</w:t>
            </w:r>
          </w:p>
        </w:tc>
      </w:tr>
      <w:tr w14:paraId="552169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14:paraId="5F870DB5">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32"/>
              </w:rPr>
              <w:t>1</w:t>
            </w:r>
          </w:p>
        </w:tc>
        <w:tc>
          <w:tcPr>
            <w:tcW w:w="1313" w:type="dxa"/>
            <w:shd w:val="clear" w:color="auto" w:fill="auto"/>
            <w:vAlign w:val="center"/>
          </w:tcPr>
          <w:p w14:paraId="68F366E3">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资金管理</w:t>
            </w:r>
          </w:p>
        </w:tc>
        <w:tc>
          <w:tcPr>
            <w:tcW w:w="6727" w:type="dxa"/>
            <w:shd w:val="clear" w:color="auto" w:fill="auto"/>
          </w:tcPr>
          <w:p w14:paraId="1E9C42BB">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制定或具有相应的项目资金管理办法及是否符合相关财务会计制度的规定。</w:t>
            </w:r>
          </w:p>
        </w:tc>
      </w:tr>
      <w:tr w14:paraId="01DC52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14:paraId="261B7AAE">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32"/>
              </w:rPr>
              <w:t>2</w:t>
            </w:r>
          </w:p>
        </w:tc>
        <w:tc>
          <w:tcPr>
            <w:tcW w:w="1313" w:type="dxa"/>
            <w:shd w:val="clear" w:color="auto" w:fill="auto"/>
            <w:vAlign w:val="center"/>
          </w:tcPr>
          <w:p w14:paraId="289558BD">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资金使用</w:t>
            </w:r>
          </w:p>
        </w:tc>
        <w:tc>
          <w:tcPr>
            <w:tcW w:w="6727" w:type="dxa"/>
            <w:shd w:val="clear" w:color="auto" w:fill="auto"/>
          </w:tcPr>
          <w:p w14:paraId="4862A8F6">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资金的拨付有完整的审批程序和手续及符合项目预算批复或合同规定的用途；存在截留、挤占、挪用、虚列支出等情况。</w:t>
            </w:r>
          </w:p>
        </w:tc>
      </w:tr>
      <w:tr w14:paraId="105866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14:paraId="0AC0AC21">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3</w:t>
            </w:r>
          </w:p>
        </w:tc>
        <w:tc>
          <w:tcPr>
            <w:tcW w:w="1313" w:type="dxa"/>
            <w:shd w:val="clear" w:color="auto" w:fill="auto"/>
            <w:vAlign w:val="center"/>
          </w:tcPr>
          <w:p w14:paraId="44207BF0">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财务监控</w:t>
            </w:r>
          </w:p>
        </w:tc>
        <w:tc>
          <w:tcPr>
            <w:tcW w:w="6727" w:type="dxa"/>
            <w:shd w:val="clear" w:color="auto" w:fill="auto"/>
          </w:tcPr>
          <w:p w14:paraId="23D3A744">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已制定或具有相应的监控机制，采取了相应的财务检查等必要的监控措施或手段。</w:t>
            </w:r>
          </w:p>
        </w:tc>
      </w:tr>
      <w:tr w14:paraId="6E0059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14:paraId="4F767558">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4</w:t>
            </w:r>
          </w:p>
        </w:tc>
        <w:tc>
          <w:tcPr>
            <w:tcW w:w="1313" w:type="dxa"/>
            <w:shd w:val="clear" w:color="auto" w:fill="auto"/>
            <w:vAlign w:val="center"/>
          </w:tcPr>
          <w:p w14:paraId="5823937F">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项目管理</w:t>
            </w:r>
          </w:p>
        </w:tc>
        <w:tc>
          <w:tcPr>
            <w:tcW w:w="6727" w:type="dxa"/>
            <w:shd w:val="clear" w:color="auto" w:fill="auto"/>
          </w:tcPr>
          <w:p w14:paraId="5E6FFBA4">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已制定或具有相应的业务管理制度及合法、合规、完整性。</w:t>
            </w:r>
          </w:p>
        </w:tc>
      </w:tr>
      <w:tr w14:paraId="2D9D20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14:paraId="73C61134">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5</w:t>
            </w:r>
          </w:p>
        </w:tc>
        <w:tc>
          <w:tcPr>
            <w:tcW w:w="1313" w:type="dxa"/>
            <w:shd w:val="clear" w:color="auto" w:fill="auto"/>
            <w:vAlign w:val="center"/>
          </w:tcPr>
          <w:p w14:paraId="489CA12F">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项目执行</w:t>
            </w:r>
          </w:p>
        </w:tc>
        <w:tc>
          <w:tcPr>
            <w:tcW w:w="6727" w:type="dxa"/>
            <w:shd w:val="clear" w:color="auto" w:fill="auto"/>
          </w:tcPr>
          <w:p w14:paraId="0FDE4ABA">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遵守相关法律法规和业务管理规定，项目调整及支出调整手续完备。</w:t>
            </w:r>
          </w:p>
        </w:tc>
      </w:tr>
      <w:tr w14:paraId="395265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14:paraId="60AD0BDB">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6</w:t>
            </w:r>
          </w:p>
        </w:tc>
        <w:tc>
          <w:tcPr>
            <w:tcW w:w="1313" w:type="dxa"/>
            <w:shd w:val="clear" w:color="auto" w:fill="auto"/>
            <w:vAlign w:val="center"/>
          </w:tcPr>
          <w:p w14:paraId="0880CFF3">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项目质量</w:t>
            </w:r>
          </w:p>
        </w:tc>
        <w:tc>
          <w:tcPr>
            <w:tcW w:w="6727" w:type="dxa"/>
            <w:shd w:val="clear" w:color="auto" w:fill="auto"/>
          </w:tcPr>
          <w:p w14:paraId="53575B59">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已制定或其有相应的项目质量要求或标准，采取了相应的项目质量检查、验收等必需的控制措施或手段。</w:t>
            </w:r>
          </w:p>
        </w:tc>
      </w:tr>
    </w:tbl>
    <w:p w14:paraId="36866F5C">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3.合规性检查方法</w:t>
      </w:r>
    </w:p>
    <w:p w14:paraId="1A9D223C">
      <w:pPr>
        <w:spacing w:line="50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本次合规性检查通过现场核查的方式开展，现场核实核查对象提供的资料。</w:t>
      </w:r>
    </w:p>
    <w:p w14:paraId="3AE31250">
      <w:pPr>
        <w:spacing w:line="500" w:lineRule="exact"/>
        <w:ind w:firstLine="560" w:firstLineChars="200"/>
        <w:jc w:val="both"/>
        <w:rPr>
          <w:rFonts w:hint="eastAsia" w:ascii="仿宋" w:hAnsi="仿宋" w:eastAsia="仿宋" w:cs="仿宋"/>
          <w:kern w:val="0"/>
          <w:sz w:val="28"/>
          <w:szCs w:val="28"/>
        </w:rPr>
        <w:sectPr>
          <w:headerReference r:id="rId9" w:type="default"/>
          <w:footerReference r:id="rId10" w:type="default"/>
          <w:pgSz w:w="11906" w:h="16838"/>
          <w:pgMar w:top="1440" w:right="1797" w:bottom="1440" w:left="1797" w:header="851" w:footer="992" w:gutter="0"/>
          <w:pgNumType w:fmt="decimal"/>
          <w:cols w:space="425" w:num="1"/>
          <w:docGrid w:type="lines" w:linePitch="312" w:charSpace="0"/>
        </w:sectPr>
      </w:pPr>
      <w:r>
        <w:rPr>
          <w:rFonts w:hint="eastAsia" w:ascii="仿宋" w:hAnsi="仿宋" w:eastAsia="仿宋" w:cs="仿宋"/>
          <w:kern w:val="0"/>
          <w:sz w:val="28"/>
          <w:szCs w:val="28"/>
        </w:rPr>
        <w:t>合规性具体检查内容见附表</w:t>
      </w:r>
      <w:r>
        <w:rPr>
          <w:rFonts w:hint="eastAsia" w:ascii="仿宋" w:hAnsi="仿宋" w:eastAsia="仿宋" w:cs="仿宋"/>
          <w:kern w:val="0"/>
          <w:sz w:val="28"/>
          <w:szCs w:val="28"/>
          <w:lang w:val="en-US" w:eastAsia="zh-CN"/>
        </w:rPr>
        <w:t>4</w:t>
      </w:r>
      <w:r>
        <w:rPr>
          <w:rFonts w:hint="eastAsia" w:ascii="仿宋" w:hAnsi="仿宋" w:eastAsia="仿宋" w:cs="仿宋"/>
          <w:kern w:val="0"/>
          <w:sz w:val="28"/>
          <w:szCs w:val="28"/>
        </w:rPr>
        <w:t>-2所示。</w:t>
      </w:r>
    </w:p>
    <w:p w14:paraId="7FB38154">
      <w:pPr>
        <w:pStyle w:val="20"/>
        <w:ind w:left="0" w:leftChars="0" w:firstLine="0" w:firstLineChars="0"/>
        <w:jc w:val="center"/>
      </w:pPr>
      <w:r>
        <w:rPr>
          <w:rFonts w:hint="eastAsia" w:ascii="仿宋" w:hAnsi="仿宋" w:eastAsia="仿宋" w:cs="仿宋"/>
          <w:b/>
          <w:bCs/>
          <w:sz w:val="24"/>
          <w:szCs w:val="24"/>
        </w:rPr>
        <w:t>附表</w:t>
      </w:r>
      <w:r>
        <w:rPr>
          <w:rFonts w:hint="eastAsia" w:ascii="仿宋" w:hAnsi="仿宋" w:eastAsia="仿宋" w:cs="仿宋"/>
          <w:b/>
          <w:bCs/>
          <w:sz w:val="24"/>
          <w:szCs w:val="24"/>
          <w:lang w:val="en-US" w:eastAsia="zh-CN"/>
        </w:rPr>
        <w:t>4</w:t>
      </w:r>
      <w:r>
        <w:rPr>
          <w:rFonts w:hint="eastAsia" w:ascii="仿宋" w:hAnsi="仿宋" w:eastAsia="仿宋" w:cs="仿宋"/>
          <w:b/>
          <w:bCs/>
          <w:sz w:val="24"/>
          <w:szCs w:val="24"/>
        </w:rPr>
        <w:t xml:space="preserve">-2 </w:t>
      </w:r>
      <w:r>
        <w:rPr>
          <w:rFonts w:hint="eastAsia" w:ascii="仿宋" w:hAnsi="仿宋" w:eastAsia="仿宋" w:cs="仿宋"/>
          <w:b/>
          <w:bCs/>
          <w:sz w:val="24"/>
          <w:szCs w:val="24"/>
          <w:lang w:val="en-US" w:eastAsia="zh-CN"/>
        </w:rPr>
        <w:t xml:space="preserve"> 古县旧县镇和南垣乡秦王庙村等8村土地综合整治项目</w:t>
      </w:r>
      <w:r>
        <w:rPr>
          <w:rFonts w:hint="eastAsia" w:ascii="仿宋" w:hAnsi="仿宋" w:eastAsia="仿宋" w:cs="仿宋"/>
          <w:b/>
          <w:bCs/>
          <w:sz w:val="24"/>
          <w:szCs w:val="24"/>
        </w:rPr>
        <w:t>资金绩效评价合规性检查表</w:t>
      </w:r>
    </w:p>
    <w:tbl>
      <w:tblPr>
        <w:tblStyle w:val="21"/>
        <w:tblW w:w="1303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935"/>
        <w:gridCol w:w="4591"/>
        <w:gridCol w:w="2240"/>
        <w:gridCol w:w="1541"/>
        <w:gridCol w:w="731"/>
      </w:tblGrid>
      <w:tr w14:paraId="699550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4" w:hRule="atLeast"/>
          <w:tblHeader/>
          <w:jc w:val="center"/>
        </w:trPr>
        <w:tc>
          <w:tcPr>
            <w:tcW w:w="3935" w:type="dxa"/>
            <w:shd w:val="clear" w:color="auto" w:fill="BEBEBE" w:themeFill="background1" w:themeFillShade="BF"/>
            <w:vAlign w:val="center"/>
          </w:tcPr>
          <w:p w14:paraId="27131164">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项目</w:t>
            </w:r>
          </w:p>
        </w:tc>
        <w:tc>
          <w:tcPr>
            <w:tcW w:w="4591" w:type="dxa"/>
            <w:shd w:val="clear" w:color="auto" w:fill="BEBEBE" w:themeFill="background1" w:themeFillShade="BF"/>
            <w:vAlign w:val="center"/>
          </w:tcPr>
          <w:p w14:paraId="55327F35">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需提供资料</w:t>
            </w:r>
          </w:p>
        </w:tc>
        <w:tc>
          <w:tcPr>
            <w:tcW w:w="2240" w:type="dxa"/>
            <w:shd w:val="clear" w:color="auto" w:fill="BEBEBE" w:themeFill="background1" w:themeFillShade="BF"/>
            <w:vAlign w:val="center"/>
          </w:tcPr>
          <w:p w14:paraId="3FAF9633">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检查内容</w:t>
            </w:r>
          </w:p>
        </w:tc>
        <w:tc>
          <w:tcPr>
            <w:tcW w:w="1541" w:type="dxa"/>
            <w:shd w:val="clear" w:color="auto" w:fill="BEBEBE" w:themeFill="background1" w:themeFillShade="BF"/>
            <w:vAlign w:val="center"/>
          </w:tcPr>
          <w:p w14:paraId="6811F457">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是否提供有效原件（√/×）</w:t>
            </w:r>
          </w:p>
        </w:tc>
        <w:tc>
          <w:tcPr>
            <w:tcW w:w="731" w:type="dxa"/>
            <w:shd w:val="clear" w:color="auto" w:fill="BEBEBE" w:themeFill="background1" w:themeFillShade="BF"/>
            <w:vAlign w:val="center"/>
          </w:tcPr>
          <w:p w14:paraId="2BADF118">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检查结果</w:t>
            </w:r>
          </w:p>
        </w:tc>
      </w:tr>
      <w:tr w14:paraId="5D1377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3935" w:type="dxa"/>
            <w:vMerge w:val="restart"/>
            <w:shd w:val="clear" w:color="auto" w:fill="auto"/>
            <w:vAlign w:val="center"/>
          </w:tcPr>
          <w:p w14:paraId="10E997AC">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w:t>
            </w:r>
          </w:p>
        </w:tc>
        <w:tc>
          <w:tcPr>
            <w:tcW w:w="4591" w:type="dxa"/>
            <w:shd w:val="clear" w:color="auto" w:fill="auto"/>
            <w:vAlign w:val="center"/>
          </w:tcPr>
          <w:p w14:paraId="681EDDC8">
            <w:pPr>
              <w:widowControl/>
              <w:snapToGrid w:val="0"/>
              <w:spacing w:line="300" w:lineRule="auto"/>
              <w:jc w:val="left"/>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lang w:val="en-US" w:eastAsia="zh-CN"/>
              </w:rPr>
              <w:t>古县旧县镇和南垣乡秦王庙村等8村土地综合整治项目</w:t>
            </w:r>
            <w:r>
              <w:rPr>
                <w:rFonts w:ascii="Times New Roman" w:hAnsi="Times New Roman" w:eastAsia="仿宋" w:cs="Times New Roman"/>
                <w:kern w:val="0"/>
                <w:sz w:val="24"/>
                <w:szCs w:val="24"/>
              </w:rPr>
              <w:t>资金的申请资料（项目经费调整申请及批复）</w:t>
            </w:r>
          </w:p>
        </w:tc>
        <w:tc>
          <w:tcPr>
            <w:tcW w:w="2240" w:type="dxa"/>
            <w:shd w:val="clear" w:color="auto" w:fill="auto"/>
            <w:vAlign w:val="center"/>
          </w:tcPr>
          <w:p w14:paraId="49158CC0">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是否有资金申请报告、</w:t>
            </w:r>
          </w:p>
          <w:p w14:paraId="3257E887">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资金调整情况</w:t>
            </w:r>
          </w:p>
        </w:tc>
        <w:tc>
          <w:tcPr>
            <w:tcW w:w="1541" w:type="dxa"/>
            <w:shd w:val="clear" w:color="auto" w:fill="auto"/>
            <w:vAlign w:val="center"/>
          </w:tcPr>
          <w:p w14:paraId="50BCF577">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14:paraId="5E8F691C">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5F2622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14:paraId="2291B03A">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14:paraId="05EA43E4">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财政资金下达通知及相关文件</w:t>
            </w:r>
          </w:p>
        </w:tc>
        <w:tc>
          <w:tcPr>
            <w:tcW w:w="2240" w:type="dxa"/>
            <w:shd w:val="clear" w:color="auto" w:fill="auto"/>
            <w:vAlign w:val="center"/>
          </w:tcPr>
          <w:p w14:paraId="619169C6">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资金拨付是否合规</w:t>
            </w:r>
          </w:p>
        </w:tc>
        <w:tc>
          <w:tcPr>
            <w:tcW w:w="1541" w:type="dxa"/>
            <w:shd w:val="clear" w:color="auto" w:fill="auto"/>
            <w:vAlign w:val="center"/>
          </w:tcPr>
          <w:p w14:paraId="4BA01013">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14:paraId="427A0CF0">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6C8B62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14:paraId="06E9A7DC">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14:paraId="4D759713">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资金到账的会计账页、记账凭证及附件</w:t>
            </w:r>
          </w:p>
        </w:tc>
        <w:tc>
          <w:tcPr>
            <w:tcW w:w="2240" w:type="dxa"/>
            <w:shd w:val="clear" w:color="auto" w:fill="auto"/>
            <w:vAlign w:val="center"/>
          </w:tcPr>
          <w:p w14:paraId="6CCFC4F1">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资金拨付明细</w:t>
            </w:r>
          </w:p>
        </w:tc>
        <w:tc>
          <w:tcPr>
            <w:tcW w:w="1541" w:type="dxa"/>
            <w:shd w:val="clear" w:color="auto" w:fill="auto"/>
            <w:vAlign w:val="center"/>
          </w:tcPr>
          <w:p w14:paraId="585708FF">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14:paraId="2B7E4164">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446F09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8" w:hRule="atLeast"/>
          <w:jc w:val="center"/>
        </w:trPr>
        <w:tc>
          <w:tcPr>
            <w:tcW w:w="3935" w:type="dxa"/>
            <w:shd w:val="clear" w:color="auto" w:fill="auto"/>
            <w:vAlign w:val="center"/>
          </w:tcPr>
          <w:p w14:paraId="74B66CA8">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资金支出</w:t>
            </w:r>
          </w:p>
        </w:tc>
        <w:tc>
          <w:tcPr>
            <w:tcW w:w="4591" w:type="dxa"/>
            <w:shd w:val="clear" w:color="auto" w:fill="auto"/>
            <w:vAlign w:val="center"/>
          </w:tcPr>
          <w:p w14:paraId="69734412">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专项资金核算科目的会计账页、支付凭证、资金支出明细、重大项目开支的审批资料</w:t>
            </w:r>
          </w:p>
        </w:tc>
        <w:tc>
          <w:tcPr>
            <w:tcW w:w="2240" w:type="dxa"/>
            <w:shd w:val="clear" w:color="auto" w:fill="auto"/>
            <w:vAlign w:val="center"/>
          </w:tcPr>
          <w:p w14:paraId="270A6A29">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资金使用是否合规</w:t>
            </w:r>
          </w:p>
        </w:tc>
        <w:tc>
          <w:tcPr>
            <w:tcW w:w="1541" w:type="dxa"/>
            <w:shd w:val="clear" w:color="auto" w:fill="auto"/>
            <w:vAlign w:val="center"/>
          </w:tcPr>
          <w:p w14:paraId="6DBFD2DB">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14:paraId="51B07779">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61A44B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restart"/>
            <w:shd w:val="clear" w:color="auto" w:fill="auto"/>
            <w:vAlign w:val="center"/>
          </w:tcPr>
          <w:p w14:paraId="3D0A8A47">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w:t>
            </w:r>
          </w:p>
        </w:tc>
        <w:tc>
          <w:tcPr>
            <w:tcW w:w="4591" w:type="dxa"/>
            <w:shd w:val="clear" w:color="auto" w:fill="auto"/>
            <w:vAlign w:val="center"/>
          </w:tcPr>
          <w:p w14:paraId="46A01BAF">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专项资金管理制度或相关财务管理办法等</w:t>
            </w:r>
          </w:p>
        </w:tc>
        <w:tc>
          <w:tcPr>
            <w:tcW w:w="2240" w:type="dxa"/>
            <w:shd w:val="clear" w:color="auto" w:fill="auto"/>
            <w:vAlign w:val="center"/>
          </w:tcPr>
          <w:p w14:paraId="393C55D0">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财务管理制度是否健全</w:t>
            </w:r>
          </w:p>
        </w:tc>
        <w:tc>
          <w:tcPr>
            <w:tcW w:w="1541" w:type="dxa"/>
            <w:shd w:val="clear" w:color="auto" w:fill="auto"/>
            <w:vAlign w:val="center"/>
          </w:tcPr>
          <w:p w14:paraId="24F4E3C5">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14:paraId="7F908A1A">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4F0032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14:paraId="2A2B3328">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14:paraId="3B1D83FD">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资金监控制度（措施）、记录或文件（专项审计报告）</w:t>
            </w:r>
          </w:p>
        </w:tc>
        <w:tc>
          <w:tcPr>
            <w:tcW w:w="2240" w:type="dxa"/>
            <w:shd w:val="clear" w:color="auto" w:fill="auto"/>
            <w:vAlign w:val="center"/>
          </w:tcPr>
          <w:p w14:paraId="582FEBC9">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资金监管情况</w:t>
            </w:r>
          </w:p>
        </w:tc>
        <w:tc>
          <w:tcPr>
            <w:tcW w:w="1541" w:type="dxa"/>
            <w:shd w:val="clear" w:color="auto" w:fill="auto"/>
            <w:vAlign w:val="center"/>
          </w:tcPr>
          <w:p w14:paraId="30A550C4">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14:paraId="5B25F7EF">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647CAC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restart"/>
            <w:shd w:val="clear" w:color="auto" w:fill="auto"/>
            <w:vAlign w:val="center"/>
          </w:tcPr>
          <w:p w14:paraId="31B9A395">
            <w:pPr>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w:t>
            </w:r>
          </w:p>
        </w:tc>
        <w:tc>
          <w:tcPr>
            <w:tcW w:w="4591" w:type="dxa"/>
            <w:shd w:val="clear" w:color="auto" w:fill="auto"/>
            <w:vAlign w:val="center"/>
          </w:tcPr>
          <w:p w14:paraId="4B3C9705">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立项背景、依据文件、申请及批复</w:t>
            </w:r>
          </w:p>
        </w:tc>
        <w:tc>
          <w:tcPr>
            <w:tcW w:w="2240" w:type="dxa"/>
            <w:shd w:val="clear" w:color="auto" w:fill="auto"/>
            <w:vAlign w:val="center"/>
          </w:tcPr>
          <w:p w14:paraId="1704BE4A">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项目立项的规范性</w:t>
            </w:r>
          </w:p>
        </w:tc>
        <w:tc>
          <w:tcPr>
            <w:tcW w:w="1541" w:type="dxa"/>
            <w:shd w:val="clear" w:color="auto" w:fill="auto"/>
            <w:vAlign w:val="center"/>
          </w:tcPr>
          <w:p w14:paraId="13DEE436">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14:paraId="53E9BD93">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72D804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3935" w:type="dxa"/>
            <w:vMerge w:val="continue"/>
            <w:shd w:val="clear" w:color="auto" w:fill="auto"/>
            <w:vAlign w:val="center"/>
          </w:tcPr>
          <w:p w14:paraId="6D898D3C">
            <w:pPr>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14:paraId="116AB682">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项目管理机构成立证明资料、项目实施方案、部门沟通、协商机制（各自职责、协作制度等）</w:t>
            </w:r>
          </w:p>
        </w:tc>
        <w:tc>
          <w:tcPr>
            <w:tcW w:w="2240" w:type="dxa"/>
            <w:shd w:val="clear" w:color="auto" w:fill="auto"/>
            <w:vAlign w:val="center"/>
          </w:tcPr>
          <w:p w14:paraId="53839D9C">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保障项目实施的相关管理机构和制度</w:t>
            </w:r>
          </w:p>
        </w:tc>
        <w:tc>
          <w:tcPr>
            <w:tcW w:w="1541" w:type="dxa"/>
            <w:shd w:val="clear" w:color="auto" w:fill="auto"/>
            <w:vAlign w:val="center"/>
          </w:tcPr>
          <w:p w14:paraId="26810532">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14:paraId="70365F0D">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1B5355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14:paraId="34FFFCCC">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14:paraId="3BABD207">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项目管理制度文件（项目管理制度或相关管理办法等）</w:t>
            </w:r>
          </w:p>
        </w:tc>
        <w:tc>
          <w:tcPr>
            <w:tcW w:w="2240" w:type="dxa"/>
            <w:shd w:val="clear" w:color="auto" w:fill="auto"/>
            <w:vAlign w:val="center"/>
          </w:tcPr>
          <w:p w14:paraId="1B56D8EB">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项目管理是否规范</w:t>
            </w:r>
          </w:p>
        </w:tc>
        <w:tc>
          <w:tcPr>
            <w:tcW w:w="1541" w:type="dxa"/>
            <w:shd w:val="clear" w:color="auto" w:fill="auto"/>
            <w:vAlign w:val="center"/>
          </w:tcPr>
          <w:p w14:paraId="52AA5349">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14:paraId="0275D8EA">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48B00C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14:paraId="30A71290">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14:paraId="5E40279F">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项目资料归档的相关资料</w:t>
            </w:r>
          </w:p>
        </w:tc>
        <w:tc>
          <w:tcPr>
            <w:tcW w:w="2240" w:type="dxa"/>
            <w:shd w:val="clear" w:color="auto" w:fill="auto"/>
            <w:vAlign w:val="center"/>
          </w:tcPr>
          <w:p w14:paraId="18645B6D">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项目档案管理情况</w:t>
            </w:r>
          </w:p>
        </w:tc>
        <w:tc>
          <w:tcPr>
            <w:tcW w:w="1541" w:type="dxa"/>
            <w:shd w:val="clear" w:color="auto" w:fill="auto"/>
            <w:vAlign w:val="center"/>
          </w:tcPr>
          <w:p w14:paraId="597AB794">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14:paraId="61DBE9C9">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14:paraId="15E2A2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14:paraId="7E3F5A0D">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14:paraId="5BD9E54B">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项目监督制度、记录或文件、项目检查验收报告</w:t>
            </w:r>
          </w:p>
        </w:tc>
        <w:tc>
          <w:tcPr>
            <w:tcW w:w="2240" w:type="dxa"/>
            <w:shd w:val="clear" w:color="auto" w:fill="auto"/>
            <w:vAlign w:val="center"/>
          </w:tcPr>
          <w:p w14:paraId="79BD5C23">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项目监管情况</w:t>
            </w:r>
          </w:p>
        </w:tc>
        <w:tc>
          <w:tcPr>
            <w:tcW w:w="1541" w:type="dxa"/>
            <w:shd w:val="clear" w:color="auto" w:fill="auto"/>
            <w:vAlign w:val="center"/>
          </w:tcPr>
          <w:p w14:paraId="45FB5BFF">
            <w:pPr>
              <w:widowControl/>
              <w:snapToGrid w:val="0"/>
              <w:spacing w:line="300" w:lineRule="auto"/>
              <w:jc w:val="center"/>
              <w:rPr>
                <w:rFonts w:hint="eastAsia" w:ascii="Times New Roman" w:hAnsi="Times New Roman" w:eastAsia="仿宋" w:cs="Times New Roman"/>
                <w:kern w:val="0"/>
                <w:sz w:val="24"/>
                <w:szCs w:val="24"/>
                <w:lang w:eastAsia="zh-CN"/>
              </w:rPr>
            </w:pPr>
            <w:r>
              <w:rPr>
                <w:rFonts w:hint="eastAsia" w:ascii="Times New Roman" w:hAnsi="Times New Roman" w:eastAsia="仿宋" w:cs="Times New Roman"/>
                <w:kern w:val="0"/>
                <w:sz w:val="24"/>
                <w:szCs w:val="24"/>
                <w:lang w:val="en-US" w:eastAsia="zh-CN"/>
              </w:rPr>
              <w:t>-</w:t>
            </w:r>
          </w:p>
        </w:tc>
        <w:tc>
          <w:tcPr>
            <w:tcW w:w="731" w:type="dxa"/>
            <w:shd w:val="clear" w:color="auto" w:fill="auto"/>
            <w:vAlign w:val="center"/>
          </w:tcPr>
          <w:p w14:paraId="2511CF33">
            <w:pPr>
              <w:widowControl/>
              <w:snapToGrid w:val="0"/>
              <w:spacing w:line="300" w:lineRule="auto"/>
              <w:jc w:val="center"/>
              <w:rPr>
                <w:rFonts w:hint="default"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不齐全</w:t>
            </w:r>
          </w:p>
        </w:tc>
      </w:tr>
      <w:tr w14:paraId="2A0FF0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atLeast"/>
          <w:jc w:val="center"/>
        </w:trPr>
        <w:tc>
          <w:tcPr>
            <w:tcW w:w="3935" w:type="dxa"/>
            <w:vMerge w:val="continue"/>
            <w:shd w:val="clear" w:color="auto" w:fill="auto"/>
            <w:vAlign w:val="center"/>
          </w:tcPr>
          <w:p w14:paraId="13CD7679">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14:paraId="7989B12F">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工作总结及自评报告</w:t>
            </w:r>
          </w:p>
        </w:tc>
        <w:tc>
          <w:tcPr>
            <w:tcW w:w="2240" w:type="dxa"/>
            <w:shd w:val="clear" w:color="auto" w:fill="auto"/>
            <w:vAlign w:val="center"/>
          </w:tcPr>
          <w:p w14:paraId="0F4A63BB">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项目绩效目标完成情况</w:t>
            </w:r>
          </w:p>
        </w:tc>
        <w:tc>
          <w:tcPr>
            <w:tcW w:w="1541" w:type="dxa"/>
            <w:shd w:val="clear" w:color="auto" w:fill="auto"/>
            <w:vAlign w:val="center"/>
          </w:tcPr>
          <w:p w14:paraId="78ABA4AB">
            <w:pPr>
              <w:widowControl/>
              <w:snapToGrid w:val="0"/>
              <w:spacing w:line="300" w:lineRule="auto"/>
              <w:jc w:val="center"/>
              <w:rPr>
                <w:rFonts w:ascii="Times New Roman" w:hAnsi="Times New Roman" w:eastAsia="仿宋" w:cs="Times New Roman"/>
                <w:kern w:val="0"/>
                <w:sz w:val="24"/>
                <w:szCs w:val="24"/>
              </w:rPr>
            </w:pPr>
            <w:r>
              <w:rPr>
                <w:rFonts w:hint="default" w:ascii="Arial" w:hAnsi="Arial" w:eastAsia="仿宋" w:cs="Arial"/>
                <w:kern w:val="0"/>
                <w:sz w:val="24"/>
                <w:szCs w:val="24"/>
              </w:rPr>
              <w:t>×</w:t>
            </w:r>
          </w:p>
        </w:tc>
        <w:tc>
          <w:tcPr>
            <w:tcW w:w="731" w:type="dxa"/>
            <w:shd w:val="clear" w:color="auto" w:fill="auto"/>
            <w:vAlign w:val="center"/>
          </w:tcPr>
          <w:p w14:paraId="18C18C5D">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未提供</w:t>
            </w:r>
          </w:p>
        </w:tc>
      </w:tr>
    </w:tbl>
    <w:p w14:paraId="506CF5D9">
      <w:pPr>
        <w:pStyle w:val="20"/>
        <w:ind w:left="0" w:leftChars="0" w:firstLine="0" w:firstLineChars="0"/>
        <w:jc w:val="center"/>
      </w:pPr>
    </w:p>
    <w:p w14:paraId="362F8479">
      <w:pPr>
        <w:pStyle w:val="20"/>
        <w:ind w:left="0" w:leftChars="0" w:firstLine="0" w:firstLineChars="0"/>
        <w:jc w:val="center"/>
        <w:sectPr>
          <w:pgSz w:w="16838" w:h="11906" w:orient="landscape"/>
          <w:pgMar w:top="1797" w:right="1440" w:bottom="1797" w:left="1440" w:header="851" w:footer="992" w:gutter="0"/>
          <w:pgNumType w:fmt="decimal"/>
          <w:cols w:space="425" w:num="1"/>
          <w:docGrid w:type="lines" w:linePitch="312" w:charSpace="0"/>
        </w:sectPr>
      </w:pPr>
    </w:p>
    <w:p w14:paraId="6D6DA6F4">
      <w:pPr>
        <w:pStyle w:val="20"/>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outlineLvl w:val="0"/>
        <w:rPr>
          <w:rFonts w:hint="default" w:eastAsia="宋体"/>
          <w:lang w:val="en-US" w:eastAsia="zh-CN"/>
        </w:rPr>
      </w:pPr>
      <w:bookmarkStart w:id="168" w:name="_Toc7820"/>
      <w:r>
        <w:rPr>
          <w:rFonts w:hint="eastAsia" w:ascii="仿宋" w:hAnsi="仿宋" w:eastAsia="仿宋" w:cs="仿宋"/>
          <w:b/>
          <w:bCs/>
          <w:sz w:val="28"/>
          <w:szCs w:val="28"/>
          <w:lang w:val="en-US" w:eastAsia="zh-CN"/>
        </w:rPr>
        <w:t>附件4：访谈记录</w:t>
      </w:r>
      <w:bookmarkEnd w:id="168"/>
    </w:p>
    <w:tbl>
      <w:tblPr>
        <w:tblStyle w:val="21"/>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6804"/>
      </w:tblGrid>
      <w:tr w14:paraId="694BD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668" w:type="dxa"/>
            <w:vAlign w:val="center"/>
          </w:tcPr>
          <w:p w14:paraId="646AC49B">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对象：</w:t>
            </w:r>
          </w:p>
        </w:tc>
        <w:tc>
          <w:tcPr>
            <w:tcW w:w="6804" w:type="dxa"/>
            <w:vAlign w:val="center"/>
          </w:tcPr>
          <w:p w14:paraId="376E50E9">
            <w:pPr>
              <w:spacing w:line="500" w:lineRule="exact"/>
              <w:ind w:firstLine="480" w:firstLineChars="200"/>
              <w:jc w:val="center"/>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项目相关</w:t>
            </w:r>
            <w:r>
              <w:rPr>
                <w:rFonts w:ascii="Times New Roman" w:hAnsi="Times New Roman" w:eastAsia="仿宋" w:cs="Times New Roman"/>
                <w:sz w:val="24"/>
                <w:szCs w:val="24"/>
              </w:rPr>
              <w:t>负责人</w:t>
            </w:r>
          </w:p>
        </w:tc>
      </w:tr>
      <w:tr w14:paraId="48772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668" w:type="dxa"/>
            <w:vAlign w:val="center"/>
          </w:tcPr>
          <w:p w14:paraId="67ABA8CD">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时间：</w:t>
            </w:r>
          </w:p>
        </w:tc>
        <w:tc>
          <w:tcPr>
            <w:tcW w:w="6804" w:type="dxa"/>
            <w:vAlign w:val="center"/>
          </w:tcPr>
          <w:p w14:paraId="7BB4E8E7">
            <w:pPr>
              <w:spacing w:line="500" w:lineRule="exact"/>
              <w:ind w:firstLine="480" w:firstLineChars="200"/>
              <w:jc w:val="center"/>
              <w:rPr>
                <w:rFonts w:ascii="Times New Roman" w:hAnsi="Times New Roman" w:eastAsia="仿宋" w:cs="Times New Roman"/>
                <w:sz w:val="24"/>
                <w:szCs w:val="24"/>
                <w:highlight w:val="yellow"/>
              </w:rPr>
            </w:pPr>
            <w:r>
              <w:rPr>
                <w:rFonts w:ascii="Times New Roman" w:hAnsi="Times New Roman" w:eastAsia="仿宋" w:cs="Times New Roman"/>
                <w:sz w:val="24"/>
                <w:szCs w:val="24"/>
              </w:rPr>
              <w:t>20</w:t>
            </w:r>
            <w:r>
              <w:rPr>
                <w:rFonts w:hint="eastAsia" w:ascii="Times New Roman" w:hAnsi="Times New Roman" w:eastAsia="仿宋" w:cs="Times New Roman"/>
                <w:sz w:val="24"/>
                <w:szCs w:val="24"/>
                <w:lang w:val="en-US" w:eastAsia="zh-CN"/>
              </w:rPr>
              <w:t>22</w:t>
            </w:r>
            <w:r>
              <w:rPr>
                <w:rFonts w:ascii="Times New Roman" w:hAnsi="Times New Roman" w:eastAsia="仿宋" w:cs="Times New Roman"/>
                <w:sz w:val="24"/>
                <w:szCs w:val="24"/>
              </w:rPr>
              <w:t>年</w:t>
            </w:r>
            <w:r>
              <w:rPr>
                <w:rFonts w:hint="eastAsia" w:ascii="Times New Roman" w:hAnsi="Times New Roman" w:eastAsia="仿宋" w:cs="Times New Roman"/>
                <w:sz w:val="24"/>
                <w:szCs w:val="24"/>
                <w:lang w:val="en-US" w:eastAsia="zh-CN"/>
              </w:rPr>
              <w:t>6</w:t>
            </w:r>
            <w:r>
              <w:rPr>
                <w:rFonts w:ascii="Times New Roman" w:hAnsi="Times New Roman" w:eastAsia="仿宋" w:cs="Times New Roman"/>
                <w:sz w:val="24"/>
                <w:szCs w:val="24"/>
              </w:rPr>
              <w:t>月</w:t>
            </w:r>
          </w:p>
        </w:tc>
      </w:tr>
      <w:tr w14:paraId="47BA8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668" w:type="dxa"/>
            <w:vAlign w:val="center"/>
          </w:tcPr>
          <w:p w14:paraId="6C354B68">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地点：</w:t>
            </w:r>
          </w:p>
        </w:tc>
        <w:tc>
          <w:tcPr>
            <w:tcW w:w="6804" w:type="dxa"/>
            <w:vAlign w:val="center"/>
          </w:tcPr>
          <w:p w14:paraId="5278436D">
            <w:pPr>
              <w:spacing w:line="500" w:lineRule="exact"/>
              <w:ind w:firstLine="480" w:firstLineChars="200"/>
              <w:jc w:val="center"/>
              <w:rPr>
                <w:rFonts w:hint="default" w:ascii="Times New Roman" w:hAnsi="Times New Roman" w:eastAsia="仿宋" w:cs="Times New Roman"/>
                <w:sz w:val="24"/>
                <w:szCs w:val="24"/>
                <w:highlight w:val="yellow"/>
                <w:lang w:val="en-US" w:eastAsia="zh-CN"/>
              </w:rPr>
            </w:pPr>
            <w:r>
              <w:rPr>
                <w:rFonts w:hint="eastAsia" w:ascii="Times New Roman" w:hAnsi="Times New Roman" w:eastAsia="仿宋" w:cs="Times New Roman"/>
                <w:sz w:val="24"/>
                <w:szCs w:val="24"/>
                <w:lang w:val="en-US" w:eastAsia="zh-CN"/>
              </w:rPr>
              <w:t>古县自然资源局</w:t>
            </w:r>
          </w:p>
        </w:tc>
      </w:tr>
      <w:tr w14:paraId="70E8E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8472" w:type="dxa"/>
            <w:gridSpan w:val="2"/>
            <w:vAlign w:val="center"/>
          </w:tcPr>
          <w:p w14:paraId="0E7C69C4">
            <w:pPr>
              <w:spacing w:line="500" w:lineRule="exact"/>
              <w:ind w:firstLine="482" w:firstLineChars="200"/>
              <w:rPr>
                <w:rFonts w:ascii="Times New Roman" w:hAnsi="Times New Roman" w:eastAsia="仿宋" w:cs="Times New Roman"/>
                <w:b/>
                <w:sz w:val="24"/>
                <w:szCs w:val="24"/>
              </w:rPr>
            </w:pPr>
            <w:r>
              <w:rPr>
                <w:rFonts w:hint="eastAsia" w:ascii="仿宋" w:hAnsi="仿宋" w:eastAsia="仿宋" w:cs="仿宋"/>
                <w:b/>
                <w:sz w:val="24"/>
                <w:szCs w:val="24"/>
              </w:rPr>
              <w:t>问题1：请您简要介绍</w:t>
            </w:r>
            <w:r>
              <w:rPr>
                <w:rFonts w:hint="eastAsia" w:ascii="仿宋" w:hAnsi="仿宋" w:eastAsia="仿宋" w:cs="仿宋"/>
                <w:b/>
                <w:sz w:val="24"/>
                <w:szCs w:val="24"/>
                <w:lang w:eastAsia="zh-CN"/>
              </w:rPr>
              <w:t>古县旧县镇和南垣乡秦王庙村等8村土地综合整治项目</w:t>
            </w:r>
            <w:r>
              <w:rPr>
                <w:rFonts w:hint="eastAsia" w:ascii="仿宋" w:hAnsi="仿宋" w:eastAsia="仿宋" w:cs="仿宋"/>
                <w:b/>
                <w:sz w:val="24"/>
                <w:szCs w:val="24"/>
              </w:rPr>
              <w:t>的概况，项目涉及部门及各部门的职责。</w:t>
            </w:r>
          </w:p>
        </w:tc>
      </w:tr>
      <w:tr w14:paraId="725BF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trPr>
        <w:tc>
          <w:tcPr>
            <w:tcW w:w="8472" w:type="dxa"/>
            <w:gridSpan w:val="2"/>
            <w:vAlign w:val="center"/>
          </w:tcPr>
          <w:p w14:paraId="647D4B34">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根据古县人民政府关于印发《古县社会资本投资参与土地综合整治实施办法（暂行）的通知》（古政发〔2019〕5号）精神，2019年3月29日古县自然资源局牵头组织水利、农业农村等八部门和项目区所涉乡镇及村集体代表对古县旧县镇和南垣乡秦王庙村等八村生态综合整治项目、古县南垣乡和旧县镇陈香村等六村生态综合整治项目、古县南垣乡佐村和东池村生态综合整治项目进行了踏勘论证，并委托有相关资质的单位对三个项目进行了实地测绘，编制了可行性研究报告，于2019年4月9日通过省级专家组评审。</w:t>
            </w:r>
          </w:p>
          <w:p w14:paraId="752B6EC5">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2019年4月11日，古县自然资源局向古县人民政府提交《关于对三个生态综合整治项目进行立项的请示》，古县人民政府主要领导于2019年4月12日批复同意项目立项申请。</w:t>
            </w:r>
          </w:p>
          <w:p w14:paraId="55FC6A12">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2019年4月15日，古县自然资源局向古县土地开发中心下达《关于印发&lt;关于对古县旧县镇和南垣乡秦王庙村等八村土地综合整治项目可行性研究报告的评审意见&gt;及立项的通知》（古自然资发〔2019〕12号）文件，批复如下：①古县旧县镇和南垣乡秦王庙村等八村土地综合整治项目涉及旧县镇秦王庙村、皂角沟村、钱家峪村、安里村、旧县村、西堡村，南垣乡吴家岭村、坡头村共两个乡镇八个行政村。项目区集中连片，属黄土丘陵沟壑区，主要地貌单元有沟壑区的沟底及两侧沟坡，区内沟道切割较深，沟底较为平缓。项目规模为654.91公顷，可提质改造耕地234.08公顷，新增耕地196.56公顷，投资估算为9422.88万元。通过综合整治，不仅可有效增加耕地面积，提升原有耕地质量，提高区内土地利用效率，而且能充分发挥项目区的优势，获得良好的经济、生态和社会效益；②项目符合古县土地利用总体规划，古县土地整治规划；③可研报告拟定的土地平整，灌溉与排水，田问道路和其他工程内容科学，具有可行性，规划方案和布局合理，工程标准、工程措施和施工方案适合当地；④项目投资估算采用国家现行工程定额标准，材料价格合理，投资估算编制科学合理。</w:t>
            </w:r>
          </w:p>
          <w:p w14:paraId="5C57743F">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根据中共古县县委办公室、古县人民政府办公室《关于推进2019年重点工程项目建设的实施方案》（古办发〔2019〕8号），古县旧县镇秦王庙村、南垣乡陈香村、南垣乡佐村三个土地综合整治项目列入了古县2019年重点工程项目。</w:t>
            </w:r>
          </w:p>
          <w:p w14:paraId="3D9D3C27">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2019年7月10日，古县自然资源局向古县人民政府提交《关于对三个土地综合整治项目进行立项和招标的请示》：请示进行项目立项和项目实施主体（社会资本方）招标。古县人民政府主要领导于2019年7月12日批复同意目立项和项目实施主体（社会资本方）招标申请。</w:t>
            </w:r>
          </w:p>
          <w:p w14:paraId="59C4BFF3">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2019年7月19日，古县自然资源局向古县土地开发中心出具《委托书》，委托进行招标事宜，确定项目实施主体。</w:t>
            </w:r>
          </w:p>
          <w:p w14:paraId="7E0F9B8C">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2019年8月25日，古县自然资源局向古县人民政府提交《关于同社会资本方签订投资合同的请示》：三个项目通过临汾市公共资源交易平台对三个项目的社会资本方进行了公开招标，中标方分别为：古县华瑞土地综合整治有限公司、古县储田土地综合治理有限公司、山西京地工程建设有限公司。为尽快开展项目施工单位招标工作，加快项目落地，现需同三个中标的社会资本方签订《古县社会资本参与土地综合整治项目投资主体实施合同》。古县人民政府主要领导于2019年9月8日批复同意按照相关政策要求办理申请事宜。</w:t>
            </w:r>
          </w:p>
          <w:p w14:paraId="5000879C">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2020年6月29日，古县旧县镇和南垣乡秦王庙村等八村土地综合整治项目经采购程序确定：五台县第二建筑有限公司（一标段、中标金额35093640.08万元、工期100日历天）、山西景泰鸿建设工程有限责任公司为中标方（二标段、中标金额49282172.21元、工期100日历天）。</w:t>
            </w:r>
          </w:p>
          <w:p w14:paraId="4499E8E7">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项目主管部门：古县自然资源局，主要负责统筹协调土地综合治理项目实施、验收和监督管理工作；</w:t>
            </w:r>
          </w:p>
          <w:p w14:paraId="73FBCD41">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项目实施部门：古县自然资源局，主要负责土地综合治理项目设立，预算资金的申请，项目资金的下拨。开展建设工作，督促施工单位按时完成建设任务和工程验收。</w:t>
            </w:r>
          </w:p>
          <w:p w14:paraId="63D8E97B">
            <w:pPr>
              <w:spacing w:line="500" w:lineRule="exact"/>
              <w:ind w:firstLine="480" w:firstLineChars="200"/>
            </w:pPr>
            <w:r>
              <w:rPr>
                <w:rFonts w:hint="eastAsia" w:ascii="Times New Roman" w:hAnsi="Times New Roman" w:eastAsia="仿宋" w:cs="Times New Roman"/>
                <w:sz w:val="24"/>
                <w:szCs w:val="24"/>
                <w:lang w:val="en-US" w:eastAsia="zh-CN"/>
              </w:rPr>
              <w:t>古县财政局：负责拨付预算资金和财政资金的管理，对资金的分配、下拨、使用等全过程进行规范化管理，对专项经费的使用进行规范，组织开展绩效评价工作等。贯彻执行国家有关法律、法规、方针、政策，做好项目资金的预算、控制和监督，规范财会行为，依法合理、及时筹集使用建设资金、严格控制建设成本，提高投资效益。</w:t>
            </w:r>
          </w:p>
        </w:tc>
      </w:tr>
      <w:tr w14:paraId="10423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8472" w:type="dxa"/>
            <w:gridSpan w:val="2"/>
            <w:vAlign w:val="center"/>
          </w:tcPr>
          <w:p w14:paraId="3FE28742">
            <w:pPr>
              <w:spacing w:line="500" w:lineRule="exact"/>
              <w:ind w:firstLine="482" w:firstLineChars="200"/>
              <w:rPr>
                <w:rFonts w:ascii="Times New Roman" w:hAnsi="Times New Roman" w:eastAsia="仿宋" w:cs="Times New Roman"/>
                <w:b/>
                <w:sz w:val="24"/>
                <w:szCs w:val="24"/>
              </w:rPr>
            </w:pPr>
            <w:r>
              <w:rPr>
                <w:rFonts w:ascii="Times New Roman" w:hAnsi="Times New Roman" w:eastAsia="仿宋" w:cs="Times New Roman"/>
                <w:b/>
                <w:sz w:val="24"/>
                <w:szCs w:val="24"/>
              </w:rPr>
              <w:t>问题2：请您简要介绍项目预期目标及实际完成情况</w:t>
            </w:r>
            <w:r>
              <w:rPr>
                <w:rFonts w:hint="eastAsia" w:ascii="Times New Roman" w:hAnsi="Times New Roman" w:eastAsia="仿宋" w:cs="Times New Roman"/>
                <w:b/>
                <w:sz w:val="24"/>
                <w:szCs w:val="24"/>
              </w:rPr>
              <w:t>。</w:t>
            </w:r>
          </w:p>
        </w:tc>
      </w:tr>
      <w:tr w14:paraId="15E06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trPr>
        <w:tc>
          <w:tcPr>
            <w:tcW w:w="8472" w:type="dxa"/>
            <w:gridSpan w:val="2"/>
            <w:vAlign w:val="center"/>
          </w:tcPr>
          <w:p w14:paraId="47558DD7">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古县旧县镇和南垣乡秦王庙村等八村土地综合整治项目区建设规模649.4722h㎡，新增耕地197.0009h㎡(全部为水浇地），提质改造面积218.2088公顷。主要内容包括：土地平整工程、灌溉与排水工程、田间道路工程、其他工程。</w:t>
            </w:r>
          </w:p>
          <w:p w14:paraId="00A6A283">
            <w:pPr>
              <w:spacing w:line="500" w:lineRule="exact"/>
              <w:ind w:firstLine="480" w:firstLineChars="200"/>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项目建设内容完成。</w:t>
            </w:r>
          </w:p>
        </w:tc>
      </w:tr>
      <w:tr w14:paraId="2C8D9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8472" w:type="dxa"/>
            <w:gridSpan w:val="2"/>
            <w:vAlign w:val="center"/>
          </w:tcPr>
          <w:p w14:paraId="7DD1E933">
            <w:pPr>
              <w:spacing w:line="500" w:lineRule="exact"/>
              <w:ind w:firstLine="482" w:firstLineChars="200"/>
              <w:rPr>
                <w:rFonts w:ascii="Times New Roman" w:hAnsi="Times New Roman" w:eastAsia="仿宋" w:cs="Times New Roman"/>
                <w:b/>
                <w:sz w:val="24"/>
                <w:szCs w:val="24"/>
              </w:rPr>
            </w:pPr>
            <w:r>
              <w:rPr>
                <w:rFonts w:ascii="Times New Roman" w:hAnsi="Times New Roman" w:eastAsia="仿宋" w:cs="Times New Roman"/>
                <w:b/>
                <w:sz w:val="24"/>
                <w:szCs w:val="24"/>
              </w:rPr>
              <w:t>问题</w:t>
            </w:r>
            <w:r>
              <w:rPr>
                <w:rFonts w:hint="eastAsia" w:ascii="Times New Roman" w:hAnsi="Times New Roman" w:eastAsia="仿宋" w:cs="Times New Roman"/>
                <w:b/>
                <w:sz w:val="24"/>
                <w:szCs w:val="24"/>
                <w:lang w:val="en-US" w:eastAsia="zh-CN"/>
              </w:rPr>
              <w:t>3</w:t>
            </w:r>
            <w:r>
              <w:rPr>
                <w:rFonts w:ascii="Times New Roman" w:hAnsi="Times New Roman" w:eastAsia="仿宋" w:cs="Times New Roman"/>
                <w:b/>
                <w:sz w:val="24"/>
                <w:szCs w:val="24"/>
              </w:rPr>
              <w:t>：是否有专门的扶贫资金监管机构？如何监管</w:t>
            </w:r>
            <w:r>
              <w:rPr>
                <w:rFonts w:hint="eastAsia" w:ascii="Times New Roman" w:hAnsi="Times New Roman" w:eastAsia="仿宋" w:cs="Times New Roman"/>
                <w:b/>
                <w:sz w:val="24"/>
                <w:szCs w:val="24"/>
              </w:rPr>
              <w:t>。</w:t>
            </w:r>
          </w:p>
        </w:tc>
      </w:tr>
      <w:tr w14:paraId="1058F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8472" w:type="dxa"/>
            <w:gridSpan w:val="2"/>
            <w:vAlign w:val="center"/>
          </w:tcPr>
          <w:p w14:paraId="5444ECD1">
            <w:pPr>
              <w:spacing w:line="500" w:lineRule="exact"/>
              <w:ind w:firstLine="480" w:firstLineChars="200"/>
              <w:rPr>
                <w:rFonts w:ascii="Times New Roman" w:hAnsi="Times New Roman" w:eastAsia="仿宋" w:cs="Times New Roman"/>
                <w:sz w:val="24"/>
                <w:szCs w:val="24"/>
              </w:rPr>
            </w:pPr>
            <w:r>
              <w:rPr>
                <w:rFonts w:ascii="Times New Roman" w:hAnsi="Times New Roman" w:eastAsia="仿宋" w:cs="Times New Roman"/>
                <w:sz w:val="24"/>
                <w:szCs w:val="24"/>
              </w:rPr>
              <w:t>项目单独建账、独立核算、专人管理，财政部门根据政府意见对项目资金进行审核拨付。</w:t>
            </w:r>
          </w:p>
        </w:tc>
      </w:tr>
      <w:tr w14:paraId="0BEC7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8472" w:type="dxa"/>
            <w:gridSpan w:val="2"/>
            <w:vAlign w:val="center"/>
          </w:tcPr>
          <w:p w14:paraId="771AA637">
            <w:pPr>
              <w:spacing w:line="500" w:lineRule="exact"/>
              <w:ind w:firstLine="482" w:firstLineChars="200"/>
              <w:rPr>
                <w:rFonts w:ascii="Times New Roman" w:hAnsi="Times New Roman" w:eastAsia="仿宋" w:cs="Times New Roman"/>
                <w:b/>
                <w:sz w:val="24"/>
                <w:szCs w:val="24"/>
              </w:rPr>
            </w:pPr>
            <w:r>
              <w:rPr>
                <w:rFonts w:hint="eastAsia" w:ascii="仿宋" w:hAnsi="仿宋" w:eastAsia="仿宋" w:cs="仿宋"/>
                <w:b/>
                <w:sz w:val="24"/>
                <w:szCs w:val="24"/>
              </w:rPr>
              <w:t>问题</w:t>
            </w:r>
            <w:r>
              <w:rPr>
                <w:rFonts w:hint="eastAsia" w:ascii="仿宋" w:hAnsi="仿宋" w:eastAsia="仿宋" w:cs="仿宋"/>
                <w:b/>
                <w:sz w:val="24"/>
                <w:szCs w:val="24"/>
                <w:lang w:val="en-US" w:eastAsia="zh-CN"/>
              </w:rPr>
              <w:t>4</w:t>
            </w:r>
            <w:r>
              <w:rPr>
                <w:rFonts w:hint="eastAsia" w:ascii="仿宋" w:hAnsi="仿宋" w:eastAsia="仿宋" w:cs="仿宋"/>
                <w:b/>
                <w:sz w:val="24"/>
                <w:szCs w:val="24"/>
              </w:rPr>
              <w:t>：请您简要介绍为保障项目的顺利实施所制定的制度、措施有哪些？</w:t>
            </w:r>
          </w:p>
        </w:tc>
      </w:tr>
      <w:tr w14:paraId="10533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8472" w:type="dxa"/>
            <w:gridSpan w:val="2"/>
            <w:vAlign w:val="center"/>
          </w:tcPr>
          <w:p w14:paraId="51C2E7C6">
            <w:pPr>
              <w:spacing w:line="500" w:lineRule="exact"/>
              <w:ind w:firstLine="480" w:firstLineChars="200"/>
              <w:rPr>
                <w:rFonts w:ascii="Times New Roman" w:hAnsi="Times New Roman" w:eastAsia="仿宋" w:cs="Times New Roman"/>
                <w:sz w:val="24"/>
                <w:szCs w:val="24"/>
              </w:rPr>
            </w:pPr>
            <w:r>
              <w:rPr>
                <w:rFonts w:hint="eastAsia" w:ascii="仿宋" w:hAnsi="仿宋" w:eastAsia="仿宋" w:cs="仿宋"/>
                <w:sz w:val="24"/>
                <w:szCs w:val="24"/>
              </w:rPr>
              <w:t>为保障</w:t>
            </w:r>
            <w:r>
              <w:rPr>
                <w:rFonts w:hint="eastAsia" w:ascii="仿宋" w:hAnsi="仿宋" w:eastAsia="仿宋" w:cs="仿宋"/>
                <w:sz w:val="24"/>
                <w:szCs w:val="24"/>
                <w:lang w:val="en-US" w:eastAsia="zh-CN"/>
              </w:rPr>
              <w:t>项目</w:t>
            </w:r>
            <w:r>
              <w:rPr>
                <w:rFonts w:hint="eastAsia" w:ascii="仿宋" w:hAnsi="仿宋" w:eastAsia="仿宋" w:cs="仿宋"/>
                <w:sz w:val="24"/>
                <w:szCs w:val="24"/>
              </w:rPr>
              <w:t>的顺利实施，</w:t>
            </w:r>
            <w:r>
              <w:rPr>
                <w:rFonts w:hint="eastAsia" w:ascii="仿宋" w:hAnsi="仿宋" w:eastAsia="仿宋" w:cs="仿宋"/>
                <w:sz w:val="24"/>
                <w:szCs w:val="24"/>
                <w:lang w:val="en-US" w:eastAsia="zh-CN"/>
              </w:rPr>
              <w:t>古县自然资源局制定了相关业务管理制度及财务管理制度</w:t>
            </w:r>
            <w:r>
              <w:rPr>
                <w:rFonts w:hint="eastAsia" w:ascii="仿宋" w:hAnsi="仿宋" w:eastAsia="仿宋" w:cs="仿宋"/>
                <w:sz w:val="24"/>
                <w:szCs w:val="24"/>
              </w:rPr>
              <w:t>。</w:t>
            </w:r>
          </w:p>
        </w:tc>
      </w:tr>
      <w:tr w14:paraId="505DB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72" w:type="dxa"/>
            <w:gridSpan w:val="2"/>
            <w:vAlign w:val="center"/>
          </w:tcPr>
          <w:p w14:paraId="11EBE6D3">
            <w:pPr>
              <w:spacing w:line="500" w:lineRule="exact"/>
              <w:ind w:firstLine="482" w:firstLineChars="200"/>
              <w:rPr>
                <w:rFonts w:ascii="Times New Roman" w:hAnsi="Times New Roman" w:eastAsia="仿宋" w:cs="Times New Roman"/>
                <w:b/>
                <w:sz w:val="24"/>
                <w:szCs w:val="24"/>
              </w:rPr>
            </w:pPr>
            <w:r>
              <w:rPr>
                <w:rFonts w:ascii="Times New Roman" w:hAnsi="Times New Roman" w:eastAsia="仿宋" w:cs="Times New Roman"/>
                <w:b/>
                <w:sz w:val="24"/>
                <w:szCs w:val="24"/>
              </w:rPr>
              <w:t>问题</w:t>
            </w:r>
            <w:r>
              <w:rPr>
                <w:rFonts w:hint="eastAsia" w:ascii="Times New Roman" w:hAnsi="Times New Roman" w:eastAsia="仿宋" w:cs="Times New Roman"/>
                <w:b/>
                <w:sz w:val="24"/>
                <w:szCs w:val="24"/>
                <w:lang w:val="en-US" w:eastAsia="zh-CN"/>
              </w:rPr>
              <w:t>5</w:t>
            </w:r>
            <w:r>
              <w:rPr>
                <w:rFonts w:ascii="Times New Roman" w:hAnsi="Times New Roman" w:eastAsia="仿宋" w:cs="Times New Roman"/>
                <w:b/>
                <w:sz w:val="24"/>
                <w:szCs w:val="24"/>
              </w:rPr>
              <w:t>：请您简要介绍项目任务完成情况</w:t>
            </w:r>
            <w:r>
              <w:rPr>
                <w:rFonts w:hint="eastAsia" w:ascii="Times New Roman" w:hAnsi="Times New Roman" w:eastAsia="仿宋" w:cs="Times New Roman"/>
                <w:b/>
                <w:sz w:val="24"/>
                <w:szCs w:val="24"/>
              </w:rPr>
              <w:t>。</w:t>
            </w:r>
          </w:p>
        </w:tc>
      </w:tr>
      <w:tr w14:paraId="2E6D3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8472" w:type="dxa"/>
            <w:gridSpan w:val="2"/>
            <w:vAlign w:val="center"/>
          </w:tcPr>
          <w:p w14:paraId="04A1DD79">
            <w:pPr>
              <w:spacing w:line="500" w:lineRule="exact"/>
              <w:ind w:firstLine="480" w:firstLineChars="200"/>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截止2021年12月31日，古县旧县镇和南垣乡秦王庙村等8村土地综合整治项目全部完工</w:t>
            </w:r>
            <w:r>
              <w:rPr>
                <w:rFonts w:hint="eastAsia" w:ascii="仿宋" w:hAnsi="仿宋" w:eastAsia="仿宋" w:cs="仿宋"/>
                <w:sz w:val="24"/>
                <w:szCs w:val="24"/>
              </w:rPr>
              <w:t>。</w:t>
            </w:r>
          </w:p>
        </w:tc>
      </w:tr>
    </w:tbl>
    <w:p w14:paraId="0D618155">
      <w:pPr>
        <w:pStyle w:val="20"/>
        <w:ind w:left="0" w:leftChars="0" w:firstLine="0" w:firstLineChars="0"/>
        <w:jc w:val="both"/>
        <w:rPr>
          <w:rFonts w:hint="default" w:eastAsia="宋体"/>
          <w:lang w:val="en-US" w:eastAsia="zh-CN"/>
        </w:rPr>
      </w:pPr>
    </w:p>
    <w:sectPr>
      <w:pgSz w:w="11906" w:h="16838"/>
      <w:pgMar w:top="1440" w:right="1797" w:bottom="1440" w:left="179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C9C1E">
    <w:pPr>
      <w:pStyle w:val="13"/>
      <w:jc w:val="both"/>
    </w:pPr>
  </w:p>
  <w:p w14:paraId="4FFA60F3">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AE11B3">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3BE93">
    <w:pPr>
      <w:pStyle w:val="13"/>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1ADE586F">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074EC">
    <w:pPr>
      <w:pStyle w:val="13"/>
    </w:pPr>
    <w:r>
      <w:rPr>
        <w:sz w:val="18"/>
      </w:rP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57E5CBC5">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96</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D31C8">
    <w:pPr>
      <w:pStyle w:val="14"/>
      <w:pBdr>
        <w:bottom w:val="none" w:color="auto" w:sz="0" w:space="0"/>
      </w:pBdr>
      <w:rPr>
        <w:rFonts w:ascii="仿宋_GB2312" w:hAnsi="宋体"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8ADA3F">
    <w:pPr>
      <w:pBdr>
        <w:bottom w:val="thinThickSmallGap" w:color="auto" w:sz="24" w:space="1"/>
      </w:pBdr>
      <w:tabs>
        <w:tab w:val="center" w:pos="4153"/>
        <w:tab w:val="right" w:pos="8306"/>
      </w:tabs>
      <w:snapToGrid w:val="0"/>
      <w:jc w:val="center"/>
      <w:rPr>
        <w:rFonts w:ascii="仿宋" w:hAnsi="仿宋" w:eastAsia="仿宋"/>
        <w:b/>
        <w:szCs w:val="21"/>
      </w:rPr>
    </w:pPr>
    <w:r>
      <w:rPr>
        <w:rFonts w:hint="eastAsia" w:ascii="仿宋" w:hAnsi="仿宋" w:eastAsia="仿宋"/>
        <w:b/>
        <w:szCs w:val="21"/>
        <w:lang w:eastAsia="zh-CN"/>
      </w:rPr>
      <w:t>古县旧县镇和南垣乡秦王庙村等8村土地综合整治项目</w:t>
    </w:r>
    <w:r>
      <w:rPr>
        <w:rFonts w:hint="eastAsia" w:ascii="仿宋" w:hAnsi="仿宋" w:eastAsia="仿宋"/>
        <w:b/>
        <w:szCs w:val="21"/>
      </w:rPr>
      <w:t>支出绩效</w:t>
    </w:r>
    <w:r>
      <w:rPr>
        <w:rFonts w:ascii="仿宋" w:hAnsi="仿宋" w:eastAsia="仿宋"/>
        <w:b/>
        <w:szCs w:val="21"/>
      </w:rPr>
      <w:t>评价报告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4FE05">
    <w:pPr>
      <w:pBdr>
        <w:bottom w:val="thinThickSmallGap" w:color="auto" w:sz="24" w:space="1"/>
      </w:pBdr>
      <w:tabs>
        <w:tab w:val="center" w:pos="4153"/>
        <w:tab w:val="right" w:pos="8306"/>
      </w:tabs>
      <w:snapToGrid w:val="0"/>
      <w:jc w:val="center"/>
      <w:rPr>
        <w:rFonts w:ascii="仿宋" w:hAnsi="仿宋" w:eastAsia="仿宋"/>
        <w:b/>
        <w:szCs w:val="21"/>
      </w:rPr>
    </w:pPr>
    <w:r>
      <w:rPr>
        <w:rFonts w:hint="eastAsia" w:ascii="仿宋" w:hAnsi="仿宋" w:eastAsia="仿宋"/>
        <w:b/>
        <w:szCs w:val="21"/>
        <w:lang w:eastAsia="zh-CN"/>
      </w:rPr>
      <w:t>古县旧县镇和南垣乡秦王庙村等8村土地综合整治项目</w:t>
    </w:r>
    <w:r>
      <w:rPr>
        <w:rFonts w:hint="eastAsia" w:ascii="仿宋" w:hAnsi="仿宋" w:eastAsia="仿宋"/>
        <w:b/>
        <w:szCs w:val="21"/>
      </w:rPr>
      <w:t>支出绩效</w:t>
    </w:r>
    <w:r>
      <w:rPr>
        <w:rFonts w:ascii="仿宋" w:hAnsi="仿宋" w:eastAsia="仿宋"/>
        <w:b/>
        <w:szCs w:val="21"/>
      </w:rPr>
      <w:t>评价报告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B86E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AAEBE8"/>
    <w:multiLevelType w:val="singleLevel"/>
    <w:tmpl w:val="EEAAEBE8"/>
    <w:lvl w:ilvl="0" w:tentative="0">
      <w:start w:val="1"/>
      <w:numFmt w:val="decimal"/>
      <w:suff w:val="nothing"/>
      <w:lvlText w:val="（%1）"/>
      <w:lvlJc w:val="left"/>
      <w:pPr>
        <w:ind w:left="42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mQwYzlhYmVjYmUyMjYzYTI1ZjVhMWE5OTYzZmVlMmIifQ=="/>
  </w:docVars>
  <w:rsids>
    <w:rsidRoot w:val="00345DA1"/>
    <w:rsid w:val="00000665"/>
    <w:rsid w:val="000015E1"/>
    <w:rsid w:val="0000285E"/>
    <w:rsid w:val="00002FA7"/>
    <w:rsid w:val="000030A6"/>
    <w:rsid w:val="0000318C"/>
    <w:rsid w:val="000046D4"/>
    <w:rsid w:val="000053F8"/>
    <w:rsid w:val="00005D06"/>
    <w:rsid w:val="00011DAD"/>
    <w:rsid w:val="000124C6"/>
    <w:rsid w:val="000135F8"/>
    <w:rsid w:val="000139D8"/>
    <w:rsid w:val="00013F81"/>
    <w:rsid w:val="0001513C"/>
    <w:rsid w:val="00015E21"/>
    <w:rsid w:val="00016DF8"/>
    <w:rsid w:val="0002054A"/>
    <w:rsid w:val="000209C8"/>
    <w:rsid w:val="0002220E"/>
    <w:rsid w:val="0002265E"/>
    <w:rsid w:val="00023051"/>
    <w:rsid w:val="000236BE"/>
    <w:rsid w:val="00023C53"/>
    <w:rsid w:val="00023D8C"/>
    <w:rsid w:val="0002403D"/>
    <w:rsid w:val="000251FD"/>
    <w:rsid w:val="000258C4"/>
    <w:rsid w:val="00025A7C"/>
    <w:rsid w:val="00025D33"/>
    <w:rsid w:val="00026619"/>
    <w:rsid w:val="00027D7C"/>
    <w:rsid w:val="000306A5"/>
    <w:rsid w:val="0003256E"/>
    <w:rsid w:val="000327BC"/>
    <w:rsid w:val="0003723B"/>
    <w:rsid w:val="00040F9E"/>
    <w:rsid w:val="00043717"/>
    <w:rsid w:val="00044990"/>
    <w:rsid w:val="0004539F"/>
    <w:rsid w:val="000463EA"/>
    <w:rsid w:val="00046673"/>
    <w:rsid w:val="00047350"/>
    <w:rsid w:val="000508AF"/>
    <w:rsid w:val="00052524"/>
    <w:rsid w:val="000527D1"/>
    <w:rsid w:val="00053C33"/>
    <w:rsid w:val="000558C7"/>
    <w:rsid w:val="00055AA9"/>
    <w:rsid w:val="00056376"/>
    <w:rsid w:val="00057000"/>
    <w:rsid w:val="00057123"/>
    <w:rsid w:val="00057A4E"/>
    <w:rsid w:val="00060E07"/>
    <w:rsid w:val="00062EFA"/>
    <w:rsid w:val="0006376F"/>
    <w:rsid w:val="00064BFA"/>
    <w:rsid w:val="0006521C"/>
    <w:rsid w:val="00065589"/>
    <w:rsid w:val="000669E5"/>
    <w:rsid w:val="00070C65"/>
    <w:rsid w:val="0007241E"/>
    <w:rsid w:val="000725F3"/>
    <w:rsid w:val="00073335"/>
    <w:rsid w:val="00073D19"/>
    <w:rsid w:val="00074D0D"/>
    <w:rsid w:val="000753C8"/>
    <w:rsid w:val="000758C5"/>
    <w:rsid w:val="00076220"/>
    <w:rsid w:val="00076335"/>
    <w:rsid w:val="000768C4"/>
    <w:rsid w:val="0007772D"/>
    <w:rsid w:val="000801E5"/>
    <w:rsid w:val="00080B1C"/>
    <w:rsid w:val="00080C5F"/>
    <w:rsid w:val="00080ED8"/>
    <w:rsid w:val="00081B3E"/>
    <w:rsid w:val="000823B4"/>
    <w:rsid w:val="00085386"/>
    <w:rsid w:val="00086E4B"/>
    <w:rsid w:val="0009067D"/>
    <w:rsid w:val="000907B4"/>
    <w:rsid w:val="00090DCB"/>
    <w:rsid w:val="00092BAE"/>
    <w:rsid w:val="00093107"/>
    <w:rsid w:val="00093115"/>
    <w:rsid w:val="000943C2"/>
    <w:rsid w:val="00097835"/>
    <w:rsid w:val="00097EC5"/>
    <w:rsid w:val="000A05B9"/>
    <w:rsid w:val="000A1DB1"/>
    <w:rsid w:val="000A1F60"/>
    <w:rsid w:val="000A206A"/>
    <w:rsid w:val="000A351A"/>
    <w:rsid w:val="000A40C5"/>
    <w:rsid w:val="000A521A"/>
    <w:rsid w:val="000A647C"/>
    <w:rsid w:val="000A7706"/>
    <w:rsid w:val="000B0BE2"/>
    <w:rsid w:val="000B2270"/>
    <w:rsid w:val="000B24FB"/>
    <w:rsid w:val="000B50DD"/>
    <w:rsid w:val="000C05F6"/>
    <w:rsid w:val="000C19BA"/>
    <w:rsid w:val="000C1B19"/>
    <w:rsid w:val="000C1C48"/>
    <w:rsid w:val="000C230D"/>
    <w:rsid w:val="000C2B52"/>
    <w:rsid w:val="000C38E0"/>
    <w:rsid w:val="000C47E5"/>
    <w:rsid w:val="000C4B97"/>
    <w:rsid w:val="000C5014"/>
    <w:rsid w:val="000C5269"/>
    <w:rsid w:val="000C6078"/>
    <w:rsid w:val="000C6944"/>
    <w:rsid w:val="000C7EC8"/>
    <w:rsid w:val="000D0747"/>
    <w:rsid w:val="000D0F75"/>
    <w:rsid w:val="000D287E"/>
    <w:rsid w:val="000D58B0"/>
    <w:rsid w:val="000D7CE6"/>
    <w:rsid w:val="000D7E5C"/>
    <w:rsid w:val="000E07C2"/>
    <w:rsid w:val="000E10E2"/>
    <w:rsid w:val="000E234A"/>
    <w:rsid w:val="000E2824"/>
    <w:rsid w:val="000E28AB"/>
    <w:rsid w:val="000E2AC9"/>
    <w:rsid w:val="000E34D6"/>
    <w:rsid w:val="000E36D4"/>
    <w:rsid w:val="000E680B"/>
    <w:rsid w:val="000F016E"/>
    <w:rsid w:val="000F08DE"/>
    <w:rsid w:val="000F10E7"/>
    <w:rsid w:val="000F22FC"/>
    <w:rsid w:val="000F489D"/>
    <w:rsid w:val="000F63BE"/>
    <w:rsid w:val="000F6DBB"/>
    <w:rsid w:val="000F7B56"/>
    <w:rsid w:val="00101473"/>
    <w:rsid w:val="00101D37"/>
    <w:rsid w:val="0010211C"/>
    <w:rsid w:val="0010351E"/>
    <w:rsid w:val="00103DC5"/>
    <w:rsid w:val="0011001F"/>
    <w:rsid w:val="00113842"/>
    <w:rsid w:val="0011387B"/>
    <w:rsid w:val="00115C93"/>
    <w:rsid w:val="00117DE1"/>
    <w:rsid w:val="0012004C"/>
    <w:rsid w:val="0012111C"/>
    <w:rsid w:val="001211F6"/>
    <w:rsid w:val="001212ED"/>
    <w:rsid w:val="00121663"/>
    <w:rsid w:val="00122A44"/>
    <w:rsid w:val="00123DAB"/>
    <w:rsid w:val="00124E66"/>
    <w:rsid w:val="00124E8C"/>
    <w:rsid w:val="00125CA6"/>
    <w:rsid w:val="00125D60"/>
    <w:rsid w:val="00125FF7"/>
    <w:rsid w:val="00126493"/>
    <w:rsid w:val="00127034"/>
    <w:rsid w:val="00127073"/>
    <w:rsid w:val="00131415"/>
    <w:rsid w:val="00131F6D"/>
    <w:rsid w:val="00132BBB"/>
    <w:rsid w:val="00133990"/>
    <w:rsid w:val="00133C45"/>
    <w:rsid w:val="00133D36"/>
    <w:rsid w:val="00134902"/>
    <w:rsid w:val="00135405"/>
    <w:rsid w:val="0013550A"/>
    <w:rsid w:val="0013625A"/>
    <w:rsid w:val="001366CB"/>
    <w:rsid w:val="00137023"/>
    <w:rsid w:val="00140599"/>
    <w:rsid w:val="001409E6"/>
    <w:rsid w:val="00142304"/>
    <w:rsid w:val="00142AB1"/>
    <w:rsid w:val="00142ED6"/>
    <w:rsid w:val="00144605"/>
    <w:rsid w:val="0014735B"/>
    <w:rsid w:val="001474B6"/>
    <w:rsid w:val="00147519"/>
    <w:rsid w:val="0015002F"/>
    <w:rsid w:val="001509EA"/>
    <w:rsid w:val="00151930"/>
    <w:rsid w:val="00151AFC"/>
    <w:rsid w:val="0015240D"/>
    <w:rsid w:val="0015246F"/>
    <w:rsid w:val="001539B7"/>
    <w:rsid w:val="00153A09"/>
    <w:rsid w:val="00154353"/>
    <w:rsid w:val="00154FC7"/>
    <w:rsid w:val="001560C5"/>
    <w:rsid w:val="001572B3"/>
    <w:rsid w:val="00157627"/>
    <w:rsid w:val="001577B7"/>
    <w:rsid w:val="00161822"/>
    <w:rsid w:val="001618C8"/>
    <w:rsid w:val="00161DCF"/>
    <w:rsid w:val="00161E79"/>
    <w:rsid w:val="0016219C"/>
    <w:rsid w:val="0016317D"/>
    <w:rsid w:val="001634B2"/>
    <w:rsid w:val="00166259"/>
    <w:rsid w:val="00166365"/>
    <w:rsid w:val="001700DA"/>
    <w:rsid w:val="00172C5B"/>
    <w:rsid w:val="00173A44"/>
    <w:rsid w:val="00174AA8"/>
    <w:rsid w:val="0017521A"/>
    <w:rsid w:val="00175C09"/>
    <w:rsid w:val="00177298"/>
    <w:rsid w:val="0017748F"/>
    <w:rsid w:val="00177F3B"/>
    <w:rsid w:val="0018037E"/>
    <w:rsid w:val="0018070F"/>
    <w:rsid w:val="00182520"/>
    <w:rsid w:val="00182552"/>
    <w:rsid w:val="00182AD1"/>
    <w:rsid w:val="0018368C"/>
    <w:rsid w:val="00183CFB"/>
    <w:rsid w:val="00184B1B"/>
    <w:rsid w:val="00184D59"/>
    <w:rsid w:val="00187F87"/>
    <w:rsid w:val="001911AF"/>
    <w:rsid w:val="001932B2"/>
    <w:rsid w:val="00193748"/>
    <w:rsid w:val="00194623"/>
    <w:rsid w:val="001949A6"/>
    <w:rsid w:val="00195D02"/>
    <w:rsid w:val="001A06DF"/>
    <w:rsid w:val="001A1E93"/>
    <w:rsid w:val="001A2610"/>
    <w:rsid w:val="001A473B"/>
    <w:rsid w:val="001A60FA"/>
    <w:rsid w:val="001A6279"/>
    <w:rsid w:val="001B1846"/>
    <w:rsid w:val="001B1DC3"/>
    <w:rsid w:val="001B3696"/>
    <w:rsid w:val="001B3704"/>
    <w:rsid w:val="001B42BE"/>
    <w:rsid w:val="001B4324"/>
    <w:rsid w:val="001B6078"/>
    <w:rsid w:val="001B60EC"/>
    <w:rsid w:val="001B74EF"/>
    <w:rsid w:val="001B7808"/>
    <w:rsid w:val="001B78F9"/>
    <w:rsid w:val="001B7EC2"/>
    <w:rsid w:val="001C0556"/>
    <w:rsid w:val="001C25FE"/>
    <w:rsid w:val="001C2C81"/>
    <w:rsid w:val="001C364E"/>
    <w:rsid w:val="001C3957"/>
    <w:rsid w:val="001C4BD4"/>
    <w:rsid w:val="001C5BD6"/>
    <w:rsid w:val="001C5E7A"/>
    <w:rsid w:val="001C5F85"/>
    <w:rsid w:val="001C6A47"/>
    <w:rsid w:val="001C7D6F"/>
    <w:rsid w:val="001D45E9"/>
    <w:rsid w:val="001D4EB7"/>
    <w:rsid w:val="001D5767"/>
    <w:rsid w:val="001D5C9F"/>
    <w:rsid w:val="001D7291"/>
    <w:rsid w:val="001E0DC7"/>
    <w:rsid w:val="001E189B"/>
    <w:rsid w:val="001E1F91"/>
    <w:rsid w:val="001E22BC"/>
    <w:rsid w:val="001E3D26"/>
    <w:rsid w:val="001E4392"/>
    <w:rsid w:val="001E43E5"/>
    <w:rsid w:val="001E4475"/>
    <w:rsid w:val="001E461E"/>
    <w:rsid w:val="001E46C5"/>
    <w:rsid w:val="001E57F6"/>
    <w:rsid w:val="001E68FE"/>
    <w:rsid w:val="001E70AF"/>
    <w:rsid w:val="001E74EF"/>
    <w:rsid w:val="001F01D8"/>
    <w:rsid w:val="001F0C4B"/>
    <w:rsid w:val="001F132F"/>
    <w:rsid w:val="001F2612"/>
    <w:rsid w:val="001F29F0"/>
    <w:rsid w:val="001F2D2F"/>
    <w:rsid w:val="001F3328"/>
    <w:rsid w:val="001F3873"/>
    <w:rsid w:val="001F3AD6"/>
    <w:rsid w:val="001F4D13"/>
    <w:rsid w:val="001F6905"/>
    <w:rsid w:val="001F70C8"/>
    <w:rsid w:val="001F7607"/>
    <w:rsid w:val="001F7AB7"/>
    <w:rsid w:val="00200668"/>
    <w:rsid w:val="002007AD"/>
    <w:rsid w:val="0020165C"/>
    <w:rsid w:val="002029CC"/>
    <w:rsid w:val="00202C35"/>
    <w:rsid w:val="00202FAE"/>
    <w:rsid w:val="002033E4"/>
    <w:rsid w:val="00204AC8"/>
    <w:rsid w:val="002054AB"/>
    <w:rsid w:val="00206A97"/>
    <w:rsid w:val="00210125"/>
    <w:rsid w:val="002106E7"/>
    <w:rsid w:val="002112D7"/>
    <w:rsid w:val="00212298"/>
    <w:rsid w:val="00212695"/>
    <w:rsid w:val="0021452E"/>
    <w:rsid w:val="00216473"/>
    <w:rsid w:val="00216DCB"/>
    <w:rsid w:val="002204C6"/>
    <w:rsid w:val="0022078C"/>
    <w:rsid w:val="00220C84"/>
    <w:rsid w:val="00221A62"/>
    <w:rsid w:val="00222559"/>
    <w:rsid w:val="00222D4F"/>
    <w:rsid w:val="00222F3B"/>
    <w:rsid w:val="002235A3"/>
    <w:rsid w:val="00223C68"/>
    <w:rsid w:val="0022460E"/>
    <w:rsid w:val="0022556E"/>
    <w:rsid w:val="0022583E"/>
    <w:rsid w:val="00225B0A"/>
    <w:rsid w:val="002269B8"/>
    <w:rsid w:val="00227481"/>
    <w:rsid w:val="00227709"/>
    <w:rsid w:val="00230627"/>
    <w:rsid w:val="0023109A"/>
    <w:rsid w:val="00231695"/>
    <w:rsid w:val="00232D1A"/>
    <w:rsid w:val="00232EB9"/>
    <w:rsid w:val="00232FA5"/>
    <w:rsid w:val="00234950"/>
    <w:rsid w:val="00235519"/>
    <w:rsid w:val="002359FC"/>
    <w:rsid w:val="00235CEF"/>
    <w:rsid w:val="0023705C"/>
    <w:rsid w:val="002377A2"/>
    <w:rsid w:val="0024177D"/>
    <w:rsid w:val="00241FD9"/>
    <w:rsid w:val="002422AD"/>
    <w:rsid w:val="00243C91"/>
    <w:rsid w:val="0024416B"/>
    <w:rsid w:val="00244EF5"/>
    <w:rsid w:val="00252526"/>
    <w:rsid w:val="002528F2"/>
    <w:rsid w:val="00252C2D"/>
    <w:rsid w:val="00254634"/>
    <w:rsid w:val="00254A7F"/>
    <w:rsid w:val="00254EEA"/>
    <w:rsid w:val="00255388"/>
    <w:rsid w:val="002555F5"/>
    <w:rsid w:val="00255663"/>
    <w:rsid w:val="00256596"/>
    <w:rsid w:val="0025702A"/>
    <w:rsid w:val="00257A48"/>
    <w:rsid w:val="0026031E"/>
    <w:rsid w:val="00261C76"/>
    <w:rsid w:val="00262D11"/>
    <w:rsid w:val="0026444C"/>
    <w:rsid w:val="002658C1"/>
    <w:rsid w:val="00265CBE"/>
    <w:rsid w:val="0026718B"/>
    <w:rsid w:val="00267A3C"/>
    <w:rsid w:val="00271BA7"/>
    <w:rsid w:val="00271EA6"/>
    <w:rsid w:val="00274061"/>
    <w:rsid w:val="00274AA4"/>
    <w:rsid w:val="00276ADC"/>
    <w:rsid w:val="00277A95"/>
    <w:rsid w:val="0028057A"/>
    <w:rsid w:val="002808CE"/>
    <w:rsid w:val="002823C0"/>
    <w:rsid w:val="002845B2"/>
    <w:rsid w:val="0028471E"/>
    <w:rsid w:val="00284F94"/>
    <w:rsid w:val="0028504C"/>
    <w:rsid w:val="00285846"/>
    <w:rsid w:val="00286220"/>
    <w:rsid w:val="00286A5D"/>
    <w:rsid w:val="00287CC8"/>
    <w:rsid w:val="00290454"/>
    <w:rsid w:val="0029157B"/>
    <w:rsid w:val="00292016"/>
    <w:rsid w:val="002946D5"/>
    <w:rsid w:val="002946F0"/>
    <w:rsid w:val="0029519D"/>
    <w:rsid w:val="00295509"/>
    <w:rsid w:val="0029678C"/>
    <w:rsid w:val="00296A98"/>
    <w:rsid w:val="00297264"/>
    <w:rsid w:val="002A1110"/>
    <w:rsid w:val="002A1D7A"/>
    <w:rsid w:val="002A2286"/>
    <w:rsid w:val="002A22EF"/>
    <w:rsid w:val="002A3455"/>
    <w:rsid w:val="002A3986"/>
    <w:rsid w:val="002A4B6B"/>
    <w:rsid w:val="002A5DED"/>
    <w:rsid w:val="002A61CF"/>
    <w:rsid w:val="002A6A90"/>
    <w:rsid w:val="002A7476"/>
    <w:rsid w:val="002B011A"/>
    <w:rsid w:val="002B20F4"/>
    <w:rsid w:val="002B245F"/>
    <w:rsid w:val="002B2B08"/>
    <w:rsid w:val="002B33D6"/>
    <w:rsid w:val="002B44DC"/>
    <w:rsid w:val="002B49BB"/>
    <w:rsid w:val="002C026F"/>
    <w:rsid w:val="002C0B75"/>
    <w:rsid w:val="002C0F7A"/>
    <w:rsid w:val="002C34BC"/>
    <w:rsid w:val="002C3D7C"/>
    <w:rsid w:val="002C43B7"/>
    <w:rsid w:val="002C4527"/>
    <w:rsid w:val="002C6035"/>
    <w:rsid w:val="002C6991"/>
    <w:rsid w:val="002C70B2"/>
    <w:rsid w:val="002C72E9"/>
    <w:rsid w:val="002D017C"/>
    <w:rsid w:val="002D086D"/>
    <w:rsid w:val="002D0D6D"/>
    <w:rsid w:val="002D1944"/>
    <w:rsid w:val="002D1E08"/>
    <w:rsid w:val="002D233A"/>
    <w:rsid w:val="002D304A"/>
    <w:rsid w:val="002D4646"/>
    <w:rsid w:val="002D6596"/>
    <w:rsid w:val="002D7706"/>
    <w:rsid w:val="002D79CE"/>
    <w:rsid w:val="002E0C1F"/>
    <w:rsid w:val="002E1CA5"/>
    <w:rsid w:val="002E238F"/>
    <w:rsid w:val="002E32EC"/>
    <w:rsid w:val="002E44DB"/>
    <w:rsid w:val="002E5208"/>
    <w:rsid w:val="002E59DB"/>
    <w:rsid w:val="002E607B"/>
    <w:rsid w:val="002E6BB0"/>
    <w:rsid w:val="002E78E9"/>
    <w:rsid w:val="002E7C12"/>
    <w:rsid w:val="002F26EA"/>
    <w:rsid w:val="002F5CBA"/>
    <w:rsid w:val="002F7039"/>
    <w:rsid w:val="002F745B"/>
    <w:rsid w:val="002F79C7"/>
    <w:rsid w:val="003001CA"/>
    <w:rsid w:val="0030061C"/>
    <w:rsid w:val="0030075D"/>
    <w:rsid w:val="00301603"/>
    <w:rsid w:val="00301B46"/>
    <w:rsid w:val="00302399"/>
    <w:rsid w:val="00304A1F"/>
    <w:rsid w:val="00305E19"/>
    <w:rsid w:val="0030657C"/>
    <w:rsid w:val="00306CF7"/>
    <w:rsid w:val="00306FBD"/>
    <w:rsid w:val="00307A39"/>
    <w:rsid w:val="00307C7A"/>
    <w:rsid w:val="00312FB1"/>
    <w:rsid w:val="00313A66"/>
    <w:rsid w:val="00314337"/>
    <w:rsid w:val="00314A06"/>
    <w:rsid w:val="00315040"/>
    <w:rsid w:val="0031513C"/>
    <w:rsid w:val="00315533"/>
    <w:rsid w:val="00316800"/>
    <w:rsid w:val="003178F8"/>
    <w:rsid w:val="00320905"/>
    <w:rsid w:val="00321BDF"/>
    <w:rsid w:val="00321CD3"/>
    <w:rsid w:val="00322FF1"/>
    <w:rsid w:val="003245B7"/>
    <w:rsid w:val="003252B6"/>
    <w:rsid w:val="003256BD"/>
    <w:rsid w:val="00325D6B"/>
    <w:rsid w:val="003266C4"/>
    <w:rsid w:val="003268EA"/>
    <w:rsid w:val="00327126"/>
    <w:rsid w:val="00331EF8"/>
    <w:rsid w:val="00332004"/>
    <w:rsid w:val="003333C5"/>
    <w:rsid w:val="00333D80"/>
    <w:rsid w:val="00334559"/>
    <w:rsid w:val="00334EB4"/>
    <w:rsid w:val="003361E6"/>
    <w:rsid w:val="00336D4A"/>
    <w:rsid w:val="00336DFF"/>
    <w:rsid w:val="00337DB6"/>
    <w:rsid w:val="003408BD"/>
    <w:rsid w:val="00340921"/>
    <w:rsid w:val="00341522"/>
    <w:rsid w:val="003441F2"/>
    <w:rsid w:val="00344BDB"/>
    <w:rsid w:val="00344C23"/>
    <w:rsid w:val="003451F7"/>
    <w:rsid w:val="00345DA1"/>
    <w:rsid w:val="0034693B"/>
    <w:rsid w:val="00350773"/>
    <w:rsid w:val="003511D8"/>
    <w:rsid w:val="00352081"/>
    <w:rsid w:val="00352CED"/>
    <w:rsid w:val="00353407"/>
    <w:rsid w:val="003542A4"/>
    <w:rsid w:val="00354C9B"/>
    <w:rsid w:val="00356291"/>
    <w:rsid w:val="00356BF5"/>
    <w:rsid w:val="00356C3A"/>
    <w:rsid w:val="00360451"/>
    <w:rsid w:val="00360A22"/>
    <w:rsid w:val="0036157F"/>
    <w:rsid w:val="00362325"/>
    <w:rsid w:val="003640A0"/>
    <w:rsid w:val="00364B8E"/>
    <w:rsid w:val="00365C31"/>
    <w:rsid w:val="00367E8C"/>
    <w:rsid w:val="003724BA"/>
    <w:rsid w:val="00372F10"/>
    <w:rsid w:val="0037397F"/>
    <w:rsid w:val="00374932"/>
    <w:rsid w:val="003766E2"/>
    <w:rsid w:val="00377A40"/>
    <w:rsid w:val="00377D73"/>
    <w:rsid w:val="003806C1"/>
    <w:rsid w:val="00380AA3"/>
    <w:rsid w:val="00380CB0"/>
    <w:rsid w:val="00380DA4"/>
    <w:rsid w:val="0038188C"/>
    <w:rsid w:val="0038275F"/>
    <w:rsid w:val="00382FE2"/>
    <w:rsid w:val="00384D48"/>
    <w:rsid w:val="0038557C"/>
    <w:rsid w:val="003867E7"/>
    <w:rsid w:val="003868F6"/>
    <w:rsid w:val="003869C7"/>
    <w:rsid w:val="003902BC"/>
    <w:rsid w:val="0039101D"/>
    <w:rsid w:val="00391244"/>
    <w:rsid w:val="003914E1"/>
    <w:rsid w:val="00391F73"/>
    <w:rsid w:val="00392E88"/>
    <w:rsid w:val="0039664C"/>
    <w:rsid w:val="00396689"/>
    <w:rsid w:val="0039670B"/>
    <w:rsid w:val="00396945"/>
    <w:rsid w:val="003973FF"/>
    <w:rsid w:val="0039746C"/>
    <w:rsid w:val="003A1172"/>
    <w:rsid w:val="003A4963"/>
    <w:rsid w:val="003A7BD4"/>
    <w:rsid w:val="003B09C6"/>
    <w:rsid w:val="003B1BC6"/>
    <w:rsid w:val="003B30BE"/>
    <w:rsid w:val="003B3114"/>
    <w:rsid w:val="003B34B0"/>
    <w:rsid w:val="003B40D3"/>
    <w:rsid w:val="003B46F8"/>
    <w:rsid w:val="003B5149"/>
    <w:rsid w:val="003B5460"/>
    <w:rsid w:val="003B7304"/>
    <w:rsid w:val="003B78FB"/>
    <w:rsid w:val="003C0E5C"/>
    <w:rsid w:val="003C0E62"/>
    <w:rsid w:val="003C137B"/>
    <w:rsid w:val="003C14FC"/>
    <w:rsid w:val="003C16DB"/>
    <w:rsid w:val="003C1F87"/>
    <w:rsid w:val="003C43C4"/>
    <w:rsid w:val="003C49B0"/>
    <w:rsid w:val="003C552F"/>
    <w:rsid w:val="003C5AA0"/>
    <w:rsid w:val="003C5AEE"/>
    <w:rsid w:val="003C6642"/>
    <w:rsid w:val="003C6727"/>
    <w:rsid w:val="003C6AEA"/>
    <w:rsid w:val="003C75B3"/>
    <w:rsid w:val="003C7A7A"/>
    <w:rsid w:val="003D032A"/>
    <w:rsid w:val="003D2417"/>
    <w:rsid w:val="003D2664"/>
    <w:rsid w:val="003D2D73"/>
    <w:rsid w:val="003D2F65"/>
    <w:rsid w:val="003D3CDE"/>
    <w:rsid w:val="003D54E9"/>
    <w:rsid w:val="003D5839"/>
    <w:rsid w:val="003D5ABE"/>
    <w:rsid w:val="003D630B"/>
    <w:rsid w:val="003D65BE"/>
    <w:rsid w:val="003D66A2"/>
    <w:rsid w:val="003D7B38"/>
    <w:rsid w:val="003D7CD5"/>
    <w:rsid w:val="003E0CE2"/>
    <w:rsid w:val="003E1DA3"/>
    <w:rsid w:val="003E2F29"/>
    <w:rsid w:val="003E2F36"/>
    <w:rsid w:val="003E3727"/>
    <w:rsid w:val="003E3869"/>
    <w:rsid w:val="003E40E8"/>
    <w:rsid w:val="003E4486"/>
    <w:rsid w:val="003E4892"/>
    <w:rsid w:val="003E562E"/>
    <w:rsid w:val="003E6500"/>
    <w:rsid w:val="003E7B27"/>
    <w:rsid w:val="003F16DD"/>
    <w:rsid w:val="003F2C70"/>
    <w:rsid w:val="003F2FFF"/>
    <w:rsid w:val="003F3026"/>
    <w:rsid w:val="003F5611"/>
    <w:rsid w:val="003F5694"/>
    <w:rsid w:val="003F627F"/>
    <w:rsid w:val="003F6382"/>
    <w:rsid w:val="003F6DDB"/>
    <w:rsid w:val="00400AD9"/>
    <w:rsid w:val="00401512"/>
    <w:rsid w:val="00401E3B"/>
    <w:rsid w:val="00402283"/>
    <w:rsid w:val="00402817"/>
    <w:rsid w:val="00404FA8"/>
    <w:rsid w:val="00405F0F"/>
    <w:rsid w:val="0040651F"/>
    <w:rsid w:val="00406701"/>
    <w:rsid w:val="00406A25"/>
    <w:rsid w:val="00407CB7"/>
    <w:rsid w:val="00410A57"/>
    <w:rsid w:val="00410E12"/>
    <w:rsid w:val="00412A2E"/>
    <w:rsid w:val="004139F8"/>
    <w:rsid w:val="00414413"/>
    <w:rsid w:val="004144C5"/>
    <w:rsid w:val="0041451F"/>
    <w:rsid w:val="00414920"/>
    <w:rsid w:val="004151FB"/>
    <w:rsid w:val="004152A5"/>
    <w:rsid w:val="0041535D"/>
    <w:rsid w:val="00415540"/>
    <w:rsid w:val="004157A2"/>
    <w:rsid w:val="004161AB"/>
    <w:rsid w:val="004212B6"/>
    <w:rsid w:val="00423401"/>
    <w:rsid w:val="00424E79"/>
    <w:rsid w:val="004252B0"/>
    <w:rsid w:val="00425631"/>
    <w:rsid w:val="004273A7"/>
    <w:rsid w:val="00427431"/>
    <w:rsid w:val="00431078"/>
    <w:rsid w:val="00431662"/>
    <w:rsid w:val="00431D37"/>
    <w:rsid w:val="00433801"/>
    <w:rsid w:val="004343C0"/>
    <w:rsid w:val="004367E3"/>
    <w:rsid w:val="00436A30"/>
    <w:rsid w:val="00436B29"/>
    <w:rsid w:val="00437340"/>
    <w:rsid w:val="00437CDE"/>
    <w:rsid w:val="00441A43"/>
    <w:rsid w:val="00444408"/>
    <w:rsid w:val="0044471F"/>
    <w:rsid w:val="00445906"/>
    <w:rsid w:val="00445A97"/>
    <w:rsid w:val="00445C38"/>
    <w:rsid w:val="00445CCE"/>
    <w:rsid w:val="004461BD"/>
    <w:rsid w:val="004478A4"/>
    <w:rsid w:val="0045038D"/>
    <w:rsid w:val="00452057"/>
    <w:rsid w:val="0045230E"/>
    <w:rsid w:val="004526A4"/>
    <w:rsid w:val="00453218"/>
    <w:rsid w:val="00453DB1"/>
    <w:rsid w:val="00453E13"/>
    <w:rsid w:val="0045482A"/>
    <w:rsid w:val="0045692C"/>
    <w:rsid w:val="0045799E"/>
    <w:rsid w:val="00460AB9"/>
    <w:rsid w:val="00462776"/>
    <w:rsid w:val="00465120"/>
    <w:rsid w:val="00465F3C"/>
    <w:rsid w:val="00466359"/>
    <w:rsid w:val="004670CF"/>
    <w:rsid w:val="00467179"/>
    <w:rsid w:val="0047036D"/>
    <w:rsid w:val="00471295"/>
    <w:rsid w:val="0047129E"/>
    <w:rsid w:val="0047378F"/>
    <w:rsid w:val="00475283"/>
    <w:rsid w:val="00476EC9"/>
    <w:rsid w:val="00477DF4"/>
    <w:rsid w:val="0048018C"/>
    <w:rsid w:val="004802BB"/>
    <w:rsid w:val="004813A4"/>
    <w:rsid w:val="00481D0C"/>
    <w:rsid w:val="00482870"/>
    <w:rsid w:val="00482EF8"/>
    <w:rsid w:val="0048312C"/>
    <w:rsid w:val="00484B6C"/>
    <w:rsid w:val="00484DE6"/>
    <w:rsid w:val="004868A5"/>
    <w:rsid w:val="00486AB6"/>
    <w:rsid w:val="00486B18"/>
    <w:rsid w:val="00487D78"/>
    <w:rsid w:val="00490DAE"/>
    <w:rsid w:val="00491B43"/>
    <w:rsid w:val="00491DC9"/>
    <w:rsid w:val="00492366"/>
    <w:rsid w:val="00492525"/>
    <w:rsid w:val="00492971"/>
    <w:rsid w:val="00492B07"/>
    <w:rsid w:val="00492E08"/>
    <w:rsid w:val="0049339B"/>
    <w:rsid w:val="004937FE"/>
    <w:rsid w:val="004938B9"/>
    <w:rsid w:val="00493A32"/>
    <w:rsid w:val="00494450"/>
    <w:rsid w:val="00496FD2"/>
    <w:rsid w:val="0049717D"/>
    <w:rsid w:val="00497D18"/>
    <w:rsid w:val="004A1726"/>
    <w:rsid w:val="004A226E"/>
    <w:rsid w:val="004A23C5"/>
    <w:rsid w:val="004A24B6"/>
    <w:rsid w:val="004A2717"/>
    <w:rsid w:val="004A355A"/>
    <w:rsid w:val="004A4475"/>
    <w:rsid w:val="004A4D73"/>
    <w:rsid w:val="004A4F60"/>
    <w:rsid w:val="004A5DE5"/>
    <w:rsid w:val="004A5E05"/>
    <w:rsid w:val="004A7024"/>
    <w:rsid w:val="004B0015"/>
    <w:rsid w:val="004B11F9"/>
    <w:rsid w:val="004B2CEC"/>
    <w:rsid w:val="004B53C3"/>
    <w:rsid w:val="004B5835"/>
    <w:rsid w:val="004B58F7"/>
    <w:rsid w:val="004B7A15"/>
    <w:rsid w:val="004B7F62"/>
    <w:rsid w:val="004C1E2E"/>
    <w:rsid w:val="004C1EEC"/>
    <w:rsid w:val="004C37D8"/>
    <w:rsid w:val="004C4949"/>
    <w:rsid w:val="004C547F"/>
    <w:rsid w:val="004C5FB7"/>
    <w:rsid w:val="004C6EFE"/>
    <w:rsid w:val="004C77BE"/>
    <w:rsid w:val="004C7949"/>
    <w:rsid w:val="004D05D8"/>
    <w:rsid w:val="004D0EF4"/>
    <w:rsid w:val="004D1FCE"/>
    <w:rsid w:val="004D3BC2"/>
    <w:rsid w:val="004D40D1"/>
    <w:rsid w:val="004D4A16"/>
    <w:rsid w:val="004E02E3"/>
    <w:rsid w:val="004E1650"/>
    <w:rsid w:val="004E42E6"/>
    <w:rsid w:val="004E4602"/>
    <w:rsid w:val="004E688E"/>
    <w:rsid w:val="004E6A27"/>
    <w:rsid w:val="004F09AC"/>
    <w:rsid w:val="004F1581"/>
    <w:rsid w:val="004F1AB4"/>
    <w:rsid w:val="004F469C"/>
    <w:rsid w:val="0050184F"/>
    <w:rsid w:val="005022B7"/>
    <w:rsid w:val="005027CB"/>
    <w:rsid w:val="00502B5D"/>
    <w:rsid w:val="005030FF"/>
    <w:rsid w:val="00503474"/>
    <w:rsid w:val="0050349F"/>
    <w:rsid w:val="00505045"/>
    <w:rsid w:val="005054F8"/>
    <w:rsid w:val="00505826"/>
    <w:rsid w:val="00506ABF"/>
    <w:rsid w:val="00506D9C"/>
    <w:rsid w:val="0050718F"/>
    <w:rsid w:val="005100E6"/>
    <w:rsid w:val="0051014E"/>
    <w:rsid w:val="00511632"/>
    <w:rsid w:val="005125B1"/>
    <w:rsid w:val="00514369"/>
    <w:rsid w:val="005145D9"/>
    <w:rsid w:val="00515DF2"/>
    <w:rsid w:val="00516346"/>
    <w:rsid w:val="0051792D"/>
    <w:rsid w:val="0052141D"/>
    <w:rsid w:val="00521E2A"/>
    <w:rsid w:val="005229B7"/>
    <w:rsid w:val="00525E04"/>
    <w:rsid w:val="00526268"/>
    <w:rsid w:val="00526921"/>
    <w:rsid w:val="00526CBB"/>
    <w:rsid w:val="005277F8"/>
    <w:rsid w:val="0052781B"/>
    <w:rsid w:val="00531242"/>
    <w:rsid w:val="00531424"/>
    <w:rsid w:val="005321A7"/>
    <w:rsid w:val="0053220E"/>
    <w:rsid w:val="00532B0D"/>
    <w:rsid w:val="00534271"/>
    <w:rsid w:val="00534926"/>
    <w:rsid w:val="00535391"/>
    <w:rsid w:val="00536FDB"/>
    <w:rsid w:val="00541919"/>
    <w:rsid w:val="00543536"/>
    <w:rsid w:val="005449B7"/>
    <w:rsid w:val="00547AC9"/>
    <w:rsid w:val="00547DB4"/>
    <w:rsid w:val="00550420"/>
    <w:rsid w:val="00550D75"/>
    <w:rsid w:val="00551330"/>
    <w:rsid w:val="005544F1"/>
    <w:rsid w:val="00560021"/>
    <w:rsid w:val="005607E4"/>
    <w:rsid w:val="005608A0"/>
    <w:rsid w:val="00562192"/>
    <w:rsid w:val="0056295A"/>
    <w:rsid w:val="0056462C"/>
    <w:rsid w:val="00564B98"/>
    <w:rsid w:val="00566A63"/>
    <w:rsid w:val="005672E7"/>
    <w:rsid w:val="00570048"/>
    <w:rsid w:val="00571221"/>
    <w:rsid w:val="0057313B"/>
    <w:rsid w:val="00575969"/>
    <w:rsid w:val="00576677"/>
    <w:rsid w:val="00576A54"/>
    <w:rsid w:val="00576CAB"/>
    <w:rsid w:val="005804A8"/>
    <w:rsid w:val="0058081D"/>
    <w:rsid w:val="00580CBD"/>
    <w:rsid w:val="00581867"/>
    <w:rsid w:val="005828B5"/>
    <w:rsid w:val="0058413F"/>
    <w:rsid w:val="00584CA7"/>
    <w:rsid w:val="0058508E"/>
    <w:rsid w:val="0058636A"/>
    <w:rsid w:val="00586A6B"/>
    <w:rsid w:val="005900C4"/>
    <w:rsid w:val="00590183"/>
    <w:rsid w:val="0059019C"/>
    <w:rsid w:val="00591FD9"/>
    <w:rsid w:val="00592F7A"/>
    <w:rsid w:val="005931F2"/>
    <w:rsid w:val="00593634"/>
    <w:rsid w:val="0059381E"/>
    <w:rsid w:val="0059635B"/>
    <w:rsid w:val="00596A2F"/>
    <w:rsid w:val="00597486"/>
    <w:rsid w:val="005A0E27"/>
    <w:rsid w:val="005A10B6"/>
    <w:rsid w:val="005A232D"/>
    <w:rsid w:val="005A2341"/>
    <w:rsid w:val="005A3781"/>
    <w:rsid w:val="005A37AB"/>
    <w:rsid w:val="005A3B6D"/>
    <w:rsid w:val="005A3F8B"/>
    <w:rsid w:val="005A4C50"/>
    <w:rsid w:val="005A6A12"/>
    <w:rsid w:val="005A6AAA"/>
    <w:rsid w:val="005A7F05"/>
    <w:rsid w:val="005B34B1"/>
    <w:rsid w:val="005B4575"/>
    <w:rsid w:val="005B45F0"/>
    <w:rsid w:val="005B5296"/>
    <w:rsid w:val="005B533F"/>
    <w:rsid w:val="005B63C0"/>
    <w:rsid w:val="005B6652"/>
    <w:rsid w:val="005B6B5E"/>
    <w:rsid w:val="005B7426"/>
    <w:rsid w:val="005C0614"/>
    <w:rsid w:val="005C103F"/>
    <w:rsid w:val="005C1297"/>
    <w:rsid w:val="005C1AE7"/>
    <w:rsid w:val="005C1D54"/>
    <w:rsid w:val="005C33E1"/>
    <w:rsid w:val="005C49AC"/>
    <w:rsid w:val="005C49FB"/>
    <w:rsid w:val="005C5A4E"/>
    <w:rsid w:val="005C656F"/>
    <w:rsid w:val="005C6C51"/>
    <w:rsid w:val="005C6EE6"/>
    <w:rsid w:val="005D042D"/>
    <w:rsid w:val="005D09DB"/>
    <w:rsid w:val="005D1956"/>
    <w:rsid w:val="005D2292"/>
    <w:rsid w:val="005D4205"/>
    <w:rsid w:val="005D4BCC"/>
    <w:rsid w:val="005D6187"/>
    <w:rsid w:val="005D6D3C"/>
    <w:rsid w:val="005D74C8"/>
    <w:rsid w:val="005E0759"/>
    <w:rsid w:val="005E1481"/>
    <w:rsid w:val="005E276F"/>
    <w:rsid w:val="005E4F4E"/>
    <w:rsid w:val="005E7873"/>
    <w:rsid w:val="005F18FC"/>
    <w:rsid w:val="005F22B8"/>
    <w:rsid w:val="005F27E3"/>
    <w:rsid w:val="005F350D"/>
    <w:rsid w:val="005F49E7"/>
    <w:rsid w:val="005F5D9A"/>
    <w:rsid w:val="005F60CC"/>
    <w:rsid w:val="005F62AC"/>
    <w:rsid w:val="005F6902"/>
    <w:rsid w:val="005F745A"/>
    <w:rsid w:val="00600385"/>
    <w:rsid w:val="00600396"/>
    <w:rsid w:val="00600DB3"/>
    <w:rsid w:val="006021DA"/>
    <w:rsid w:val="00602BC1"/>
    <w:rsid w:val="00602FFD"/>
    <w:rsid w:val="0060322D"/>
    <w:rsid w:val="006038D3"/>
    <w:rsid w:val="00603B9A"/>
    <w:rsid w:val="00603E81"/>
    <w:rsid w:val="00605621"/>
    <w:rsid w:val="00606128"/>
    <w:rsid w:val="00610807"/>
    <w:rsid w:val="00610A6A"/>
    <w:rsid w:val="006141A5"/>
    <w:rsid w:val="00614513"/>
    <w:rsid w:val="00615090"/>
    <w:rsid w:val="006155B7"/>
    <w:rsid w:val="00615E61"/>
    <w:rsid w:val="0061644B"/>
    <w:rsid w:val="00617667"/>
    <w:rsid w:val="006207C4"/>
    <w:rsid w:val="006211CC"/>
    <w:rsid w:val="00621C52"/>
    <w:rsid w:val="0062359D"/>
    <w:rsid w:val="0062398A"/>
    <w:rsid w:val="0062404E"/>
    <w:rsid w:val="006245AF"/>
    <w:rsid w:val="006249FD"/>
    <w:rsid w:val="00624DBF"/>
    <w:rsid w:val="00627872"/>
    <w:rsid w:val="00630071"/>
    <w:rsid w:val="00630502"/>
    <w:rsid w:val="00633F94"/>
    <w:rsid w:val="00637755"/>
    <w:rsid w:val="00637835"/>
    <w:rsid w:val="00641203"/>
    <w:rsid w:val="00642F1E"/>
    <w:rsid w:val="006449E8"/>
    <w:rsid w:val="006454D1"/>
    <w:rsid w:val="00645C20"/>
    <w:rsid w:val="0064631E"/>
    <w:rsid w:val="00647F84"/>
    <w:rsid w:val="00650A9C"/>
    <w:rsid w:val="00650C6E"/>
    <w:rsid w:val="00652356"/>
    <w:rsid w:val="006532E9"/>
    <w:rsid w:val="00653C9F"/>
    <w:rsid w:val="006577F5"/>
    <w:rsid w:val="00660A74"/>
    <w:rsid w:val="0066108A"/>
    <w:rsid w:val="00661512"/>
    <w:rsid w:val="00661568"/>
    <w:rsid w:val="00661F2A"/>
    <w:rsid w:val="0066243B"/>
    <w:rsid w:val="00662664"/>
    <w:rsid w:val="00662F03"/>
    <w:rsid w:val="00663E70"/>
    <w:rsid w:val="00664277"/>
    <w:rsid w:val="006647DC"/>
    <w:rsid w:val="006661FA"/>
    <w:rsid w:val="00666AF5"/>
    <w:rsid w:val="00667ED9"/>
    <w:rsid w:val="006700B5"/>
    <w:rsid w:val="006729B2"/>
    <w:rsid w:val="00674411"/>
    <w:rsid w:val="00674473"/>
    <w:rsid w:val="00676A6C"/>
    <w:rsid w:val="006774C8"/>
    <w:rsid w:val="006774E0"/>
    <w:rsid w:val="006807DA"/>
    <w:rsid w:val="00681950"/>
    <w:rsid w:val="00681B45"/>
    <w:rsid w:val="00682BF2"/>
    <w:rsid w:val="00684FEA"/>
    <w:rsid w:val="00685640"/>
    <w:rsid w:val="006857CD"/>
    <w:rsid w:val="00685EC2"/>
    <w:rsid w:val="00686399"/>
    <w:rsid w:val="00686BD0"/>
    <w:rsid w:val="00687E7D"/>
    <w:rsid w:val="0069019C"/>
    <w:rsid w:val="00690258"/>
    <w:rsid w:val="00691B34"/>
    <w:rsid w:val="00691C86"/>
    <w:rsid w:val="006922C2"/>
    <w:rsid w:val="00693050"/>
    <w:rsid w:val="006944B8"/>
    <w:rsid w:val="00695FF0"/>
    <w:rsid w:val="00696015"/>
    <w:rsid w:val="00696EA3"/>
    <w:rsid w:val="00697029"/>
    <w:rsid w:val="006A00ED"/>
    <w:rsid w:val="006A0183"/>
    <w:rsid w:val="006A0A94"/>
    <w:rsid w:val="006A0A98"/>
    <w:rsid w:val="006A0CD3"/>
    <w:rsid w:val="006A24C5"/>
    <w:rsid w:val="006A2EAC"/>
    <w:rsid w:val="006A349F"/>
    <w:rsid w:val="006A4AF5"/>
    <w:rsid w:val="006A68C4"/>
    <w:rsid w:val="006B0CEE"/>
    <w:rsid w:val="006B0E88"/>
    <w:rsid w:val="006B1FE3"/>
    <w:rsid w:val="006B35CF"/>
    <w:rsid w:val="006B3EA6"/>
    <w:rsid w:val="006B416E"/>
    <w:rsid w:val="006B6B08"/>
    <w:rsid w:val="006B6CBB"/>
    <w:rsid w:val="006B77A9"/>
    <w:rsid w:val="006B7DD4"/>
    <w:rsid w:val="006C03BF"/>
    <w:rsid w:val="006C0A5A"/>
    <w:rsid w:val="006C1137"/>
    <w:rsid w:val="006C26C9"/>
    <w:rsid w:val="006C2B10"/>
    <w:rsid w:val="006C3746"/>
    <w:rsid w:val="006C3DDB"/>
    <w:rsid w:val="006C3E9C"/>
    <w:rsid w:val="006C5665"/>
    <w:rsid w:val="006C5954"/>
    <w:rsid w:val="006D0AFC"/>
    <w:rsid w:val="006D1C45"/>
    <w:rsid w:val="006D2091"/>
    <w:rsid w:val="006D2881"/>
    <w:rsid w:val="006D30FC"/>
    <w:rsid w:val="006D33D8"/>
    <w:rsid w:val="006D56DC"/>
    <w:rsid w:val="006D5944"/>
    <w:rsid w:val="006D5E16"/>
    <w:rsid w:val="006D5FD7"/>
    <w:rsid w:val="006D6EDB"/>
    <w:rsid w:val="006D7D17"/>
    <w:rsid w:val="006E106B"/>
    <w:rsid w:val="006E2104"/>
    <w:rsid w:val="006E2E59"/>
    <w:rsid w:val="006E5C03"/>
    <w:rsid w:val="006E5E77"/>
    <w:rsid w:val="006E642D"/>
    <w:rsid w:val="006E681C"/>
    <w:rsid w:val="006E74F8"/>
    <w:rsid w:val="006F0B6D"/>
    <w:rsid w:val="006F0E13"/>
    <w:rsid w:val="006F1889"/>
    <w:rsid w:val="006F3277"/>
    <w:rsid w:val="006F3301"/>
    <w:rsid w:val="006F47FB"/>
    <w:rsid w:val="006F4C16"/>
    <w:rsid w:val="006F5119"/>
    <w:rsid w:val="006F53FC"/>
    <w:rsid w:val="006F579C"/>
    <w:rsid w:val="006F5F75"/>
    <w:rsid w:val="006F6339"/>
    <w:rsid w:val="006F66DB"/>
    <w:rsid w:val="006F68B3"/>
    <w:rsid w:val="006F6BD7"/>
    <w:rsid w:val="006F6F5F"/>
    <w:rsid w:val="00700E95"/>
    <w:rsid w:val="00701781"/>
    <w:rsid w:val="00702890"/>
    <w:rsid w:val="0070339E"/>
    <w:rsid w:val="00704424"/>
    <w:rsid w:val="007048A2"/>
    <w:rsid w:val="007051CD"/>
    <w:rsid w:val="00705426"/>
    <w:rsid w:val="00705753"/>
    <w:rsid w:val="00705CB0"/>
    <w:rsid w:val="007078EA"/>
    <w:rsid w:val="00707A56"/>
    <w:rsid w:val="007102E7"/>
    <w:rsid w:val="00710D5F"/>
    <w:rsid w:val="00711ABB"/>
    <w:rsid w:val="00712421"/>
    <w:rsid w:val="00712915"/>
    <w:rsid w:val="00712FC7"/>
    <w:rsid w:val="007150C7"/>
    <w:rsid w:val="00715200"/>
    <w:rsid w:val="007158F1"/>
    <w:rsid w:val="00715964"/>
    <w:rsid w:val="0071782E"/>
    <w:rsid w:val="007179F7"/>
    <w:rsid w:val="00717CBA"/>
    <w:rsid w:val="00720128"/>
    <w:rsid w:val="0072058E"/>
    <w:rsid w:val="00720AFD"/>
    <w:rsid w:val="0072102F"/>
    <w:rsid w:val="00721C31"/>
    <w:rsid w:val="007221C1"/>
    <w:rsid w:val="00722D61"/>
    <w:rsid w:val="00723CC7"/>
    <w:rsid w:val="00723D5B"/>
    <w:rsid w:val="00723F65"/>
    <w:rsid w:val="00725753"/>
    <w:rsid w:val="00726360"/>
    <w:rsid w:val="00726566"/>
    <w:rsid w:val="0073009F"/>
    <w:rsid w:val="00733326"/>
    <w:rsid w:val="00733813"/>
    <w:rsid w:val="00734667"/>
    <w:rsid w:val="00734924"/>
    <w:rsid w:val="00735999"/>
    <w:rsid w:val="00736448"/>
    <w:rsid w:val="007369EE"/>
    <w:rsid w:val="00741420"/>
    <w:rsid w:val="00742258"/>
    <w:rsid w:val="00742892"/>
    <w:rsid w:val="00743B56"/>
    <w:rsid w:val="00744F02"/>
    <w:rsid w:val="00745E27"/>
    <w:rsid w:val="00747993"/>
    <w:rsid w:val="00747CC2"/>
    <w:rsid w:val="007504D8"/>
    <w:rsid w:val="007517D1"/>
    <w:rsid w:val="0075260A"/>
    <w:rsid w:val="007545C5"/>
    <w:rsid w:val="0075521A"/>
    <w:rsid w:val="00755729"/>
    <w:rsid w:val="00755ABE"/>
    <w:rsid w:val="00756212"/>
    <w:rsid w:val="00757106"/>
    <w:rsid w:val="007607A0"/>
    <w:rsid w:val="007607E3"/>
    <w:rsid w:val="007611BC"/>
    <w:rsid w:val="00761DC1"/>
    <w:rsid w:val="00761FBE"/>
    <w:rsid w:val="00762F38"/>
    <w:rsid w:val="00762F6D"/>
    <w:rsid w:val="00764CAD"/>
    <w:rsid w:val="0076645C"/>
    <w:rsid w:val="00766A89"/>
    <w:rsid w:val="00766AD4"/>
    <w:rsid w:val="00770A33"/>
    <w:rsid w:val="007713F3"/>
    <w:rsid w:val="0077157E"/>
    <w:rsid w:val="00772391"/>
    <w:rsid w:val="00772D42"/>
    <w:rsid w:val="007731A2"/>
    <w:rsid w:val="0077343D"/>
    <w:rsid w:val="00773C6C"/>
    <w:rsid w:val="00775EDD"/>
    <w:rsid w:val="0077661B"/>
    <w:rsid w:val="0077663C"/>
    <w:rsid w:val="00780295"/>
    <w:rsid w:val="0078145C"/>
    <w:rsid w:val="00782522"/>
    <w:rsid w:val="007828BF"/>
    <w:rsid w:val="00783089"/>
    <w:rsid w:val="00783790"/>
    <w:rsid w:val="007846D2"/>
    <w:rsid w:val="007852A1"/>
    <w:rsid w:val="00790153"/>
    <w:rsid w:val="00791723"/>
    <w:rsid w:val="00791A86"/>
    <w:rsid w:val="00791DE8"/>
    <w:rsid w:val="007921AC"/>
    <w:rsid w:val="00792249"/>
    <w:rsid w:val="0079456E"/>
    <w:rsid w:val="00794874"/>
    <w:rsid w:val="00795F5C"/>
    <w:rsid w:val="007968E2"/>
    <w:rsid w:val="00797022"/>
    <w:rsid w:val="00797A2F"/>
    <w:rsid w:val="007A12F5"/>
    <w:rsid w:val="007A178F"/>
    <w:rsid w:val="007A1AC9"/>
    <w:rsid w:val="007A1F92"/>
    <w:rsid w:val="007A2218"/>
    <w:rsid w:val="007A3260"/>
    <w:rsid w:val="007A3817"/>
    <w:rsid w:val="007A3BAD"/>
    <w:rsid w:val="007A560F"/>
    <w:rsid w:val="007A59FA"/>
    <w:rsid w:val="007A5AF8"/>
    <w:rsid w:val="007A68B7"/>
    <w:rsid w:val="007A7238"/>
    <w:rsid w:val="007B0B48"/>
    <w:rsid w:val="007B2110"/>
    <w:rsid w:val="007B21E3"/>
    <w:rsid w:val="007B3836"/>
    <w:rsid w:val="007B3DD5"/>
    <w:rsid w:val="007B4141"/>
    <w:rsid w:val="007B4348"/>
    <w:rsid w:val="007B5927"/>
    <w:rsid w:val="007B6E52"/>
    <w:rsid w:val="007B71C2"/>
    <w:rsid w:val="007B767A"/>
    <w:rsid w:val="007B7E30"/>
    <w:rsid w:val="007C08D3"/>
    <w:rsid w:val="007C0F2A"/>
    <w:rsid w:val="007C2468"/>
    <w:rsid w:val="007C3882"/>
    <w:rsid w:val="007C3C7C"/>
    <w:rsid w:val="007C4A0E"/>
    <w:rsid w:val="007C5110"/>
    <w:rsid w:val="007C5F43"/>
    <w:rsid w:val="007C7472"/>
    <w:rsid w:val="007D0773"/>
    <w:rsid w:val="007D0D1A"/>
    <w:rsid w:val="007D0F9A"/>
    <w:rsid w:val="007D1F30"/>
    <w:rsid w:val="007D2C94"/>
    <w:rsid w:val="007D3496"/>
    <w:rsid w:val="007D4A5E"/>
    <w:rsid w:val="007D6692"/>
    <w:rsid w:val="007D7FC5"/>
    <w:rsid w:val="007E0297"/>
    <w:rsid w:val="007E0398"/>
    <w:rsid w:val="007E1DD6"/>
    <w:rsid w:val="007E330A"/>
    <w:rsid w:val="007E46DF"/>
    <w:rsid w:val="007E56A1"/>
    <w:rsid w:val="007E5B1E"/>
    <w:rsid w:val="007E6A2E"/>
    <w:rsid w:val="007E6E7A"/>
    <w:rsid w:val="007E7E6B"/>
    <w:rsid w:val="007F0B9F"/>
    <w:rsid w:val="007F1881"/>
    <w:rsid w:val="007F50FE"/>
    <w:rsid w:val="007F55D4"/>
    <w:rsid w:val="007F6E3B"/>
    <w:rsid w:val="007F7023"/>
    <w:rsid w:val="007F7B77"/>
    <w:rsid w:val="00801B7D"/>
    <w:rsid w:val="00802CEC"/>
    <w:rsid w:val="00803409"/>
    <w:rsid w:val="00803BA5"/>
    <w:rsid w:val="00805BA9"/>
    <w:rsid w:val="00805BF8"/>
    <w:rsid w:val="00805C28"/>
    <w:rsid w:val="00806308"/>
    <w:rsid w:val="008064D5"/>
    <w:rsid w:val="008073AF"/>
    <w:rsid w:val="00807C4D"/>
    <w:rsid w:val="00810766"/>
    <w:rsid w:val="00810CC9"/>
    <w:rsid w:val="008110D7"/>
    <w:rsid w:val="00811539"/>
    <w:rsid w:val="0081172E"/>
    <w:rsid w:val="00811BEA"/>
    <w:rsid w:val="008121E4"/>
    <w:rsid w:val="0081230F"/>
    <w:rsid w:val="0081277B"/>
    <w:rsid w:val="0081506C"/>
    <w:rsid w:val="008160F9"/>
    <w:rsid w:val="00816210"/>
    <w:rsid w:val="008167E3"/>
    <w:rsid w:val="00816DC6"/>
    <w:rsid w:val="008177D9"/>
    <w:rsid w:val="00817B30"/>
    <w:rsid w:val="00817CCE"/>
    <w:rsid w:val="00820336"/>
    <w:rsid w:val="00821DFB"/>
    <w:rsid w:val="00822AA1"/>
    <w:rsid w:val="00822F46"/>
    <w:rsid w:val="0082423E"/>
    <w:rsid w:val="00825E83"/>
    <w:rsid w:val="0082639C"/>
    <w:rsid w:val="0082695E"/>
    <w:rsid w:val="0082735D"/>
    <w:rsid w:val="0083053A"/>
    <w:rsid w:val="008306AC"/>
    <w:rsid w:val="0083128C"/>
    <w:rsid w:val="008319AF"/>
    <w:rsid w:val="00832378"/>
    <w:rsid w:val="00833285"/>
    <w:rsid w:val="00833B9F"/>
    <w:rsid w:val="008363FA"/>
    <w:rsid w:val="00836EEB"/>
    <w:rsid w:val="00837EDC"/>
    <w:rsid w:val="0084094F"/>
    <w:rsid w:val="0084097C"/>
    <w:rsid w:val="00840BE2"/>
    <w:rsid w:val="00840F0A"/>
    <w:rsid w:val="00841B3E"/>
    <w:rsid w:val="00843278"/>
    <w:rsid w:val="00844345"/>
    <w:rsid w:val="00844668"/>
    <w:rsid w:val="008446D5"/>
    <w:rsid w:val="0084499B"/>
    <w:rsid w:val="008451C2"/>
    <w:rsid w:val="00847FB2"/>
    <w:rsid w:val="008503A8"/>
    <w:rsid w:val="008526D0"/>
    <w:rsid w:val="008528F9"/>
    <w:rsid w:val="00852B0A"/>
    <w:rsid w:val="008534B0"/>
    <w:rsid w:val="008536BC"/>
    <w:rsid w:val="008546C2"/>
    <w:rsid w:val="00854987"/>
    <w:rsid w:val="0085675A"/>
    <w:rsid w:val="00856C61"/>
    <w:rsid w:val="00856CBA"/>
    <w:rsid w:val="008573EF"/>
    <w:rsid w:val="00857487"/>
    <w:rsid w:val="00857F27"/>
    <w:rsid w:val="00860454"/>
    <w:rsid w:val="00860905"/>
    <w:rsid w:val="00862D13"/>
    <w:rsid w:val="0086466D"/>
    <w:rsid w:val="008649A4"/>
    <w:rsid w:val="0086529C"/>
    <w:rsid w:val="00865C22"/>
    <w:rsid w:val="00865DEB"/>
    <w:rsid w:val="00867A00"/>
    <w:rsid w:val="00867FE8"/>
    <w:rsid w:val="0087079E"/>
    <w:rsid w:val="00871362"/>
    <w:rsid w:val="0087167A"/>
    <w:rsid w:val="00872A63"/>
    <w:rsid w:val="00875481"/>
    <w:rsid w:val="00876450"/>
    <w:rsid w:val="0087674E"/>
    <w:rsid w:val="008774AE"/>
    <w:rsid w:val="008806DB"/>
    <w:rsid w:val="00881A2A"/>
    <w:rsid w:val="00883CA7"/>
    <w:rsid w:val="00884865"/>
    <w:rsid w:val="00884FF1"/>
    <w:rsid w:val="0088666F"/>
    <w:rsid w:val="008870B5"/>
    <w:rsid w:val="008872F4"/>
    <w:rsid w:val="008874CA"/>
    <w:rsid w:val="00893139"/>
    <w:rsid w:val="0089399D"/>
    <w:rsid w:val="00893DF6"/>
    <w:rsid w:val="00894836"/>
    <w:rsid w:val="008962C4"/>
    <w:rsid w:val="0089759C"/>
    <w:rsid w:val="00897870"/>
    <w:rsid w:val="00897B60"/>
    <w:rsid w:val="008A02C0"/>
    <w:rsid w:val="008A129C"/>
    <w:rsid w:val="008A3788"/>
    <w:rsid w:val="008A3A23"/>
    <w:rsid w:val="008A436C"/>
    <w:rsid w:val="008A4F44"/>
    <w:rsid w:val="008A5B20"/>
    <w:rsid w:val="008A65EB"/>
    <w:rsid w:val="008B1A18"/>
    <w:rsid w:val="008B2B72"/>
    <w:rsid w:val="008B2E13"/>
    <w:rsid w:val="008B3589"/>
    <w:rsid w:val="008B3AD4"/>
    <w:rsid w:val="008B3FFF"/>
    <w:rsid w:val="008B4E01"/>
    <w:rsid w:val="008B61EF"/>
    <w:rsid w:val="008B652B"/>
    <w:rsid w:val="008B66C8"/>
    <w:rsid w:val="008B6718"/>
    <w:rsid w:val="008B7662"/>
    <w:rsid w:val="008C0304"/>
    <w:rsid w:val="008C0371"/>
    <w:rsid w:val="008C140B"/>
    <w:rsid w:val="008C186E"/>
    <w:rsid w:val="008C2309"/>
    <w:rsid w:val="008C2D06"/>
    <w:rsid w:val="008C3B8C"/>
    <w:rsid w:val="008C44D0"/>
    <w:rsid w:val="008C51BD"/>
    <w:rsid w:val="008C6391"/>
    <w:rsid w:val="008C7498"/>
    <w:rsid w:val="008D0C3D"/>
    <w:rsid w:val="008D1812"/>
    <w:rsid w:val="008D19DF"/>
    <w:rsid w:val="008D1CFE"/>
    <w:rsid w:val="008D1FC5"/>
    <w:rsid w:val="008D251D"/>
    <w:rsid w:val="008D28DC"/>
    <w:rsid w:val="008D2949"/>
    <w:rsid w:val="008D4026"/>
    <w:rsid w:val="008D5C17"/>
    <w:rsid w:val="008D76D1"/>
    <w:rsid w:val="008D7C21"/>
    <w:rsid w:val="008E076B"/>
    <w:rsid w:val="008E231C"/>
    <w:rsid w:val="008E2374"/>
    <w:rsid w:val="008E2637"/>
    <w:rsid w:val="008E36E8"/>
    <w:rsid w:val="008E4C11"/>
    <w:rsid w:val="008E5E82"/>
    <w:rsid w:val="008E6817"/>
    <w:rsid w:val="008E6B0C"/>
    <w:rsid w:val="008E7A08"/>
    <w:rsid w:val="008F0B14"/>
    <w:rsid w:val="008F30EE"/>
    <w:rsid w:val="008F3403"/>
    <w:rsid w:val="008F37C5"/>
    <w:rsid w:val="008F3C88"/>
    <w:rsid w:val="008F3F30"/>
    <w:rsid w:val="008F4110"/>
    <w:rsid w:val="008F52F8"/>
    <w:rsid w:val="008F581F"/>
    <w:rsid w:val="008F78CC"/>
    <w:rsid w:val="0090091F"/>
    <w:rsid w:val="00900CB5"/>
    <w:rsid w:val="00900ECE"/>
    <w:rsid w:val="00901522"/>
    <w:rsid w:val="00903488"/>
    <w:rsid w:val="00904466"/>
    <w:rsid w:val="00904D92"/>
    <w:rsid w:val="00904FC3"/>
    <w:rsid w:val="00905839"/>
    <w:rsid w:val="00907352"/>
    <w:rsid w:val="00907914"/>
    <w:rsid w:val="00907F89"/>
    <w:rsid w:val="00910AE2"/>
    <w:rsid w:val="00910FEC"/>
    <w:rsid w:val="00911197"/>
    <w:rsid w:val="009119C8"/>
    <w:rsid w:val="009123CA"/>
    <w:rsid w:val="00912AA2"/>
    <w:rsid w:val="009144E4"/>
    <w:rsid w:val="0091525F"/>
    <w:rsid w:val="00920608"/>
    <w:rsid w:val="00921D31"/>
    <w:rsid w:val="00922B1F"/>
    <w:rsid w:val="00922E54"/>
    <w:rsid w:val="00922FD5"/>
    <w:rsid w:val="0092306F"/>
    <w:rsid w:val="00923642"/>
    <w:rsid w:val="00923E92"/>
    <w:rsid w:val="00923FAB"/>
    <w:rsid w:val="00924396"/>
    <w:rsid w:val="009244B6"/>
    <w:rsid w:val="00924F42"/>
    <w:rsid w:val="00924F7D"/>
    <w:rsid w:val="0092508E"/>
    <w:rsid w:val="00925409"/>
    <w:rsid w:val="00926676"/>
    <w:rsid w:val="009269F3"/>
    <w:rsid w:val="0093130C"/>
    <w:rsid w:val="00932D06"/>
    <w:rsid w:val="00933E6A"/>
    <w:rsid w:val="00934AD2"/>
    <w:rsid w:val="00934D85"/>
    <w:rsid w:val="009353E2"/>
    <w:rsid w:val="00935D76"/>
    <w:rsid w:val="0093639A"/>
    <w:rsid w:val="00936734"/>
    <w:rsid w:val="00936E0D"/>
    <w:rsid w:val="0093770A"/>
    <w:rsid w:val="00940E45"/>
    <w:rsid w:val="00941B22"/>
    <w:rsid w:val="0094232C"/>
    <w:rsid w:val="0094239D"/>
    <w:rsid w:val="00942A31"/>
    <w:rsid w:val="00942D71"/>
    <w:rsid w:val="00943385"/>
    <w:rsid w:val="009445F5"/>
    <w:rsid w:val="00944957"/>
    <w:rsid w:val="0094516B"/>
    <w:rsid w:val="00946073"/>
    <w:rsid w:val="009462E7"/>
    <w:rsid w:val="0094634D"/>
    <w:rsid w:val="00946952"/>
    <w:rsid w:val="00947857"/>
    <w:rsid w:val="00947F71"/>
    <w:rsid w:val="0095076F"/>
    <w:rsid w:val="00951B34"/>
    <w:rsid w:val="009529A2"/>
    <w:rsid w:val="00953264"/>
    <w:rsid w:val="009548A3"/>
    <w:rsid w:val="00954B15"/>
    <w:rsid w:val="0095534D"/>
    <w:rsid w:val="00955ABF"/>
    <w:rsid w:val="00957290"/>
    <w:rsid w:val="00957C5A"/>
    <w:rsid w:val="0096190D"/>
    <w:rsid w:val="00962526"/>
    <w:rsid w:val="00963566"/>
    <w:rsid w:val="009640D7"/>
    <w:rsid w:val="00964A8D"/>
    <w:rsid w:val="00964CB2"/>
    <w:rsid w:val="00965E7D"/>
    <w:rsid w:val="0096644B"/>
    <w:rsid w:val="0096667F"/>
    <w:rsid w:val="00966721"/>
    <w:rsid w:val="00966A88"/>
    <w:rsid w:val="00967222"/>
    <w:rsid w:val="00970D62"/>
    <w:rsid w:val="009716AD"/>
    <w:rsid w:val="00973359"/>
    <w:rsid w:val="009744A8"/>
    <w:rsid w:val="009766AB"/>
    <w:rsid w:val="009771EC"/>
    <w:rsid w:val="0097759C"/>
    <w:rsid w:val="00980178"/>
    <w:rsid w:val="00981FAA"/>
    <w:rsid w:val="00982391"/>
    <w:rsid w:val="00982770"/>
    <w:rsid w:val="0098297A"/>
    <w:rsid w:val="00983380"/>
    <w:rsid w:val="009834FE"/>
    <w:rsid w:val="0098350D"/>
    <w:rsid w:val="009837F6"/>
    <w:rsid w:val="00985C48"/>
    <w:rsid w:val="00987111"/>
    <w:rsid w:val="00987249"/>
    <w:rsid w:val="00987393"/>
    <w:rsid w:val="00987677"/>
    <w:rsid w:val="00987CEC"/>
    <w:rsid w:val="00987D53"/>
    <w:rsid w:val="009908E3"/>
    <w:rsid w:val="0099173A"/>
    <w:rsid w:val="009919DB"/>
    <w:rsid w:val="00994166"/>
    <w:rsid w:val="009960FD"/>
    <w:rsid w:val="00997A97"/>
    <w:rsid w:val="009A2097"/>
    <w:rsid w:val="009A26EE"/>
    <w:rsid w:val="009A3B3F"/>
    <w:rsid w:val="009A4918"/>
    <w:rsid w:val="009A58BC"/>
    <w:rsid w:val="009A6398"/>
    <w:rsid w:val="009A7713"/>
    <w:rsid w:val="009A7853"/>
    <w:rsid w:val="009A7E91"/>
    <w:rsid w:val="009B06D7"/>
    <w:rsid w:val="009B2015"/>
    <w:rsid w:val="009B27E7"/>
    <w:rsid w:val="009B6DDD"/>
    <w:rsid w:val="009B7445"/>
    <w:rsid w:val="009B7EB3"/>
    <w:rsid w:val="009C387D"/>
    <w:rsid w:val="009C45A4"/>
    <w:rsid w:val="009C4919"/>
    <w:rsid w:val="009C505C"/>
    <w:rsid w:val="009C51B0"/>
    <w:rsid w:val="009C5C34"/>
    <w:rsid w:val="009C63D8"/>
    <w:rsid w:val="009C6D0F"/>
    <w:rsid w:val="009C7063"/>
    <w:rsid w:val="009D003B"/>
    <w:rsid w:val="009D0511"/>
    <w:rsid w:val="009D14B3"/>
    <w:rsid w:val="009D15FC"/>
    <w:rsid w:val="009D267B"/>
    <w:rsid w:val="009D348A"/>
    <w:rsid w:val="009D4A13"/>
    <w:rsid w:val="009D5511"/>
    <w:rsid w:val="009D6288"/>
    <w:rsid w:val="009D79D9"/>
    <w:rsid w:val="009E18DA"/>
    <w:rsid w:val="009E1BCF"/>
    <w:rsid w:val="009E21EA"/>
    <w:rsid w:val="009E473B"/>
    <w:rsid w:val="009E5E8C"/>
    <w:rsid w:val="009E73B4"/>
    <w:rsid w:val="009F04E8"/>
    <w:rsid w:val="009F0B7E"/>
    <w:rsid w:val="009F117D"/>
    <w:rsid w:val="009F132B"/>
    <w:rsid w:val="009F1541"/>
    <w:rsid w:val="009F17CC"/>
    <w:rsid w:val="009F1FA3"/>
    <w:rsid w:val="009F20B3"/>
    <w:rsid w:val="009F2DB5"/>
    <w:rsid w:val="009F305C"/>
    <w:rsid w:val="009F4013"/>
    <w:rsid w:val="009F43DA"/>
    <w:rsid w:val="009F6031"/>
    <w:rsid w:val="009F77BA"/>
    <w:rsid w:val="00A01706"/>
    <w:rsid w:val="00A02861"/>
    <w:rsid w:val="00A03024"/>
    <w:rsid w:val="00A03C63"/>
    <w:rsid w:val="00A046D8"/>
    <w:rsid w:val="00A052E0"/>
    <w:rsid w:val="00A05378"/>
    <w:rsid w:val="00A05720"/>
    <w:rsid w:val="00A05E4D"/>
    <w:rsid w:val="00A06CA0"/>
    <w:rsid w:val="00A07172"/>
    <w:rsid w:val="00A07E41"/>
    <w:rsid w:val="00A103A7"/>
    <w:rsid w:val="00A11417"/>
    <w:rsid w:val="00A11595"/>
    <w:rsid w:val="00A13FBD"/>
    <w:rsid w:val="00A1581C"/>
    <w:rsid w:val="00A164F5"/>
    <w:rsid w:val="00A17156"/>
    <w:rsid w:val="00A20026"/>
    <w:rsid w:val="00A20201"/>
    <w:rsid w:val="00A207BD"/>
    <w:rsid w:val="00A218B9"/>
    <w:rsid w:val="00A22020"/>
    <w:rsid w:val="00A22234"/>
    <w:rsid w:val="00A232D8"/>
    <w:rsid w:val="00A2338E"/>
    <w:rsid w:val="00A246C8"/>
    <w:rsid w:val="00A25585"/>
    <w:rsid w:val="00A26550"/>
    <w:rsid w:val="00A2729E"/>
    <w:rsid w:val="00A27AD6"/>
    <w:rsid w:val="00A27C7D"/>
    <w:rsid w:val="00A31843"/>
    <w:rsid w:val="00A31951"/>
    <w:rsid w:val="00A31B07"/>
    <w:rsid w:val="00A3202B"/>
    <w:rsid w:val="00A32BAC"/>
    <w:rsid w:val="00A3440D"/>
    <w:rsid w:val="00A346FE"/>
    <w:rsid w:val="00A3668F"/>
    <w:rsid w:val="00A36795"/>
    <w:rsid w:val="00A4094F"/>
    <w:rsid w:val="00A43202"/>
    <w:rsid w:val="00A444BD"/>
    <w:rsid w:val="00A466F9"/>
    <w:rsid w:val="00A47677"/>
    <w:rsid w:val="00A476C2"/>
    <w:rsid w:val="00A5036B"/>
    <w:rsid w:val="00A50823"/>
    <w:rsid w:val="00A50B56"/>
    <w:rsid w:val="00A50BB9"/>
    <w:rsid w:val="00A513FF"/>
    <w:rsid w:val="00A51DDB"/>
    <w:rsid w:val="00A520F9"/>
    <w:rsid w:val="00A52E0A"/>
    <w:rsid w:val="00A5356A"/>
    <w:rsid w:val="00A53822"/>
    <w:rsid w:val="00A53AD1"/>
    <w:rsid w:val="00A53C0E"/>
    <w:rsid w:val="00A53CEC"/>
    <w:rsid w:val="00A542F5"/>
    <w:rsid w:val="00A543A7"/>
    <w:rsid w:val="00A56003"/>
    <w:rsid w:val="00A60ADE"/>
    <w:rsid w:val="00A610E3"/>
    <w:rsid w:val="00A63035"/>
    <w:rsid w:val="00A65E27"/>
    <w:rsid w:val="00A6738F"/>
    <w:rsid w:val="00A7031C"/>
    <w:rsid w:val="00A70DB6"/>
    <w:rsid w:val="00A725B9"/>
    <w:rsid w:val="00A72D84"/>
    <w:rsid w:val="00A73136"/>
    <w:rsid w:val="00A73C06"/>
    <w:rsid w:val="00A74460"/>
    <w:rsid w:val="00A75C3D"/>
    <w:rsid w:val="00A8017D"/>
    <w:rsid w:val="00A80F93"/>
    <w:rsid w:val="00A82AC1"/>
    <w:rsid w:val="00A83178"/>
    <w:rsid w:val="00A83413"/>
    <w:rsid w:val="00A84657"/>
    <w:rsid w:val="00A846A9"/>
    <w:rsid w:val="00A857EC"/>
    <w:rsid w:val="00A85D91"/>
    <w:rsid w:val="00A85E58"/>
    <w:rsid w:val="00A865C9"/>
    <w:rsid w:val="00A86E24"/>
    <w:rsid w:val="00A878FF"/>
    <w:rsid w:val="00A87CCC"/>
    <w:rsid w:val="00A914AE"/>
    <w:rsid w:val="00A92341"/>
    <w:rsid w:val="00A92428"/>
    <w:rsid w:val="00A931D5"/>
    <w:rsid w:val="00A946F0"/>
    <w:rsid w:val="00A94B0F"/>
    <w:rsid w:val="00A96EFD"/>
    <w:rsid w:val="00A97530"/>
    <w:rsid w:val="00AA042E"/>
    <w:rsid w:val="00AA3D00"/>
    <w:rsid w:val="00AA4F39"/>
    <w:rsid w:val="00AA5332"/>
    <w:rsid w:val="00AB1E47"/>
    <w:rsid w:val="00AB3352"/>
    <w:rsid w:val="00AB335E"/>
    <w:rsid w:val="00AB3A0B"/>
    <w:rsid w:val="00AB3B84"/>
    <w:rsid w:val="00AB4CF9"/>
    <w:rsid w:val="00AB4E2F"/>
    <w:rsid w:val="00AB5073"/>
    <w:rsid w:val="00AB602F"/>
    <w:rsid w:val="00AB6C25"/>
    <w:rsid w:val="00AB7138"/>
    <w:rsid w:val="00AB7BE0"/>
    <w:rsid w:val="00AC0775"/>
    <w:rsid w:val="00AC1A75"/>
    <w:rsid w:val="00AC4C3D"/>
    <w:rsid w:val="00AC50BB"/>
    <w:rsid w:val="00AC6A6C"/>
    <w:rsid w:val="00AC78B4"/>
    <w:rsid w:val="00AD0457"/>
    <w:rsid w:val="00AD0795"/>
    <w:rsid w:val="00AD081D"/>
    <w:rsid w:val="00AD11AD"/>
    <w:rsid w:val="00AD16DF"/>
    <w:rsid w:val="00AD2506"/>
    <w:rsid w:val="00AD31C2"/>
    <w:rsid w:val="00AD3C06"/>
    <w:rsid w:val="00AD4A54"/>
    <w:rsid w:val="00AD4C0D"/>
    <w:rsid w:val="00AD4D60"/>
    <w:rsid w:val="00AD5FA4"/>
    <w:rsid w:val="00AD6023"/>
    <w:rsid w:val="00AE080E"/>
    <w:rsid w:val="00AE09E8"/>
    <w:rsid w:val="00AE1EF5"/>
    <w:rsid w:val="00AE3700"/>
    <w:rsid w:val="00AE56BC"/>
    <w:rsid w:val="00AE5DBC"/>
    <w:rsid w:val="00AE5DCD"/>
    <w:rsid w:val="00AE6593"/>
    <w:rsid w:val="00AE7248"/>
    <w:rsid w:val="00AE782A"/>
    <w:rsid w:val="00AE7846"/>
    <w:rsid w:val="00AE78B1"/>
    <w:rsid w:val="00AE79C4"/>
    <w:rsid w:val="00AE7A11"/>
    <w:rsid w:val="00AF12FE"/>
    <w:rsid w:val="00AF1FD5"/>
    <w:rsid w:val="00AF2768"/>
    <w:rsid w:val="00AF2FDA"/>
    <w:rsid w:val="00AF5BCF"/>
    <w:rsid w:val="00AF5C4C"/>
    <w:rsid w:val="00AF6546"/>
    <w:rsid w:val="00AF6AA5"/>
    <w:rsid w:val="00AF735C"/>
    <w:rsid w:val="00AF77F2"/>
    <w:rsid w:val="00B00699"/>
    <w:rsid w:val="00B00CD5"/>
    <w:rsid w:val="00B04069"/>
    <w:rsid w:val="00B04E42"/>
    <w:rsid w:val="00B04EFC"/>
    <w:rsid w:val="00B053BF"/>
    <w:rsid w:val="00B05E18"/>
    <w:rsid w:val="00B06752"/>
    <w:rsid w:val="00B069A2"/>
    <w:rsid w:val="00B07D53"/>
    <w:rsid w:val="00B12507"/>
    <w:rsid w:val="00B1326F"/>
    <w:rsid w:val="00B15146"/>
    <w:rsid w:val="00B15296"/>
    <w:rsid w:val="00B15EA6"/>
    <w:rsid w:val="00B163A2"/>
    <w:rsid w:val="00B163FE"/>
    <w:rsid w:val="00B1772E"/>
    <w:rsid w:val="00B2056C"/>
    <w:rsid w:val="00B22488"/>
    <w:rsid w:val="00B2436D"/>
    <w:rsid w:val="00B2571B"/>
    <w:rsid w:val="00B30015"/>
    <w:rsid w:val="00B310F4"/>
    <w:rsid w:val="00B3137B"/>
    <w:rsid w:val="00B313F5"/>
    <w:rsid w:val="00B339DC"/>
    <w:rsid w:val="00B34499"/>
    <w:rsid w:val="00B3467A"/>
    <w:rsid w:val="00B34FD6"/>
    <w:rsid w:val="00B35D70"/>
    <w:rsid w:val="00B3648E"/>
    <w:rsid w:val="00B366AF"/>
    <w:rsid w:val="00B37655"/>
    <w:rsid w:val="00B37F56"/>
    <w:rsid w:val="00B40530"/>
    <w:rsid w:val="00B41256"/>
    <w:rsid w:val="00B4198F"/>
    <w:rsid w:val="00B43042"/>
    <w:rsid w:val="00B43446"/>
    <w:rsid w:val="00B4485E"/>
    <w:rsid w:val="00B451A9"/>
    <w:rsid w:val="00B45218"/>
    <w:rsid w:val="00B45D53"/>
    <w:rsid w:val="00B45E24"/>
    <w:rsid w:val="00B466F4"/>
    <w:rsid w:val="00B46779"/>
    <w:rsid w:val="00B47DE9"/>
    <w:rsid w:val="00B51E7D"/>
    <w:rsid w:val="00B526C9"/>
    <w:rsid w:val="00B52CF4"/>
    <w:rsid w:val="00B53FED"/>
    <w:rsid w:val="00B54685"/>
    <w:rsid w:val="00B55362"/>
    <w:rsid w:val="00B55475"/>
    <w:rsid w:val="00B56C79"/>
    <w:rsid w:val="00B57052"/>
    <w:rsid w:val="00B5732C"/>
    <w:rsid w:val="00B579B8"/>
    <w:rsid w:val="00B60805"/>
    <w:rsid w:val="00B61187"/>
    <w:rsid w:val="00B627C6"/>
    <w:rsid w:val="00B635D3"/>
    <w:rsid w:val="00B63BA4"/>
    <w:rsid w:val="00B648F9"/>
    <w:rsid w:val="00B6557B"/>
    <w:rsid w:val="00B65A6B"/>
    <w:rsid w:val="00B665FD"/>
    <w:rsid w:val="00B66794"/>
    <w:rsid w:val="00B66B66"/>
    <w:rsid w:val="00B70EA6"/>
    <w:rsid w:val="00B714AD"/>
    <w:rsid w:val="00B71CD5"/>
    <w:rsid w:val="00B71CDE"/>
    <w:rsid w:val="00B72241"/>
    <w:rsid w:val="00B7392E"/>
    <w:rsid w:val="00B73AA7"/>
    <w:rsid w:val="00B73D33"/>
    <w:rsid w:val="00B746AC"/>
    <w:rsid w:val="00B74E04"/>
    <w:rsid w:val="00B767B2"/>
    <w:rsid w:val="00B775C2"/>
    <w:rsid w:val="00B77C4C"/>
    <w:rsid w:val="00B77F68"/>
    <w:rsid w:val="00B833D9"/>
    <w:rsid w:val="00B84512"/>
    <w:rsid w:val="00B858D9"/>
    <w:rsid w:val="00B85B7C"/>
    <w:rsid w:val="00B85EC3"/>
    <w:rsid w:val="00B8709F"/>
    <w:rsid w:val="00B8711F"/>
    <w:rsid w:val="00B87282"/>
    <w:rsid w:val="00B872B8"/>
    <w:rsid w:val="00B876B6"/>
    <w:rsid w:val="00B929B9"/>
    <w:rsid w:val="00B9697D"/>
    <w:rsid w:val="00B96D50"/>
    <w:rsid w:val="00B96FDD"/>
    <w:rsid w:val="00B9715C"/>
    <w:rsid w:val="00BA0279"/>
    <w:rsid w:val="00BA045D"/>
    <w:rsid w:val="00BA0755"/>
    <w:rsid w:val="00BA1E04"/>
    <w:rsid w:val="00BA2674"/>
    <w:rsid w:val="00BA31A3"/>
    <w:rsid w:val="00BA31F3"/>
    <w:rsid w:val="00BA35A3"/>
    <w:rsid w:val="00BA4927"/>
    <w:rsid w:val="00BA4935"/>
    <w:rsid w:val="00BA5CF1"/>
    <w:rsid w:val="00BA7206"/>
    <w:rsid w:val="00BA7B04"/>
    <w:rsid w:val="00BB13C8"/>
    <w:rsid w:val="00BB18E5"/>
    <w:rsid w:val="00BB331B"/>
    <w:rsid w:val="00BB49D6"/>
    <w:rsid w:val="00BB4C2F"/>
    <w:rsid w:val="00BB50CA"/>
    <w:rsid w:val="00BB50DD"/>
    <w:rsid w:val="00BB563B"/>
    <w:rsid w:val="00BB5A94"/>
    <w:rsid w:val="00BB5EAD"/>
    <w:rsid w:val="00BB7072"/>
    <w:rsid w:val="00BB766D"/>
    <w:rsid w:val="00BC13D5"/>
    <w:rsid w:val="00BC1D6D"/>
    <w:rsid w:val="00BC2C7E"/>
    <w:rsid w:val="00BC3594"/>
    <w:rsid w:val="00BC6319"/>
    <w:rsid w:val="00BC6C96"/>
    <w:rsid w:val="00BC6D9C"/>
    <w:rsid w:val="00BC7C66"/>
    <w:rsid w:val="00BD0038"/>
    <w:rsid w:val="00BD29FF"/>
    <w:rsid w:val="00BD36DB"/>
    <w:rsid w:val="00BD4B54"/>
    <w:rsid w:val="00BD6513"/>
    <w:rsid w:val="00BD7BF5"/>
    <w:rsid w:val="00BE00CD"/>
    <w:rsid w:val="00BE0B46"/>
    <w:rsid w:val="00BE0B97"/>
    <w:rsid w:val="00BE0FAE"/>
    <w:rsid w:val="00BE10AF"/>
    <w:rsid w:val="00BE1BC7"/>
    <w:rsid w:val="00BE1D4C"/>
    <w:rsid w:val="00BE23F9"/>
    <w:rsid w:val="00BE25F0"/>
    <w:rsid w:val="00BE28B8"/>
    <w:rsid w:val="00BE2BF5"/>
    <w:rsid w:val="00BE3B47"/>
    <w:rsid w:val="00BE3FA0"/>
    <w:rsid w:val="00BE4843"/>
    <w:rsid w:val="00BE4C1D"/>
    <w:rsid w:val="00BE52B7"/>
    <w:rsid w:val="00BE5DC4"/>
    <w:rsid w:val="00BE6B00"/>
    <w:rsid w:val="00BF0787"/>
    <w:rsid w:val="00BF1112"/>
    <w:rsid w:val="00BF1514"/>
    <w:rsid w:val="00BF3D75"/>
    <w:rsid w:val="00BF503D"/>
    <w:rsid w:val="00BF53B1"/>
    <w:rsid w:val="00C008FB"/>
    <w:rsid w:val="00C01AA0"/>
    <w:rsid w:val="00C02F01"/>
    <w:rsid w:val="00C0390F"/>
    <w:rsid w:val="00C03A0B"/>
    <w:rsid w:val="00C04C9E"/>
    <w:rsid w:val="00C068B9"/>
    <w:rsid w:val="00C06DB7"/>
    <w:rsid w:val="00C079C4"/>
    <w:rsid w:val="00C10284"/>
    <w:rsid w:val="00C11834"/>
    <w:rsid w:val="00C12A6D"/>
    <w:rsid w:val="00C137F3"/>
    <w:rsid w:val="00C13937"/>
    <w:rsid w:val="00C143E7"/>
    <w:rsid w:val="00C14462"/>
    <w:rsid w:val="00C1458C"/>
    <w:rsid w:val="00C1470E"/>
    <w:rsid w:val="00C148ED"/>
    <w:rsid w:val="00C14984"/>
    <w:rsid w:val="00C1568F"/>
    <w:rsid w:val="00C15B64"/>
    <w:rsid w:val="00C163C9"/>
    <w:rsid w:val="00C16978"/>
    <w:rsid w:val="00C16DD4"/>
    <w:rsid w:val="00C16F91"/>
    <w:rsid w:val="00C1737C"/>
    <w:rsid w:val="00C175D7"/>
    <w:rsid w:val="00C1767D"/>
    <w:rsid w:val="00C20C4D"/>
    <w:rsid w:val="00C21813"/>
    <w:rsid w:val="00C229A8"/>
    <w:rsid w:val="00C22DE7"/>
    <w:rsid w:val="00C2417C"/>
    <w:rsid w:val="00C25240"/>
    <w:rsid w:val="00C258DB"/>
    <w:rsid w:val="00C2610A"/>
    <w:rsid w:val="00C263BA"/>
    <w:rsid w:val="00C26A06"/>
    <w:rsid w:val="00C30DC8"/>
    <w:rsid w:val="00C31098"/>
    <w:rsid w:val="00C317D9"/>
    <w:rsid w:val="00C32862"/>
    <w:rsid w:val="00C32AF5"/>
    <w:rsid w:val="00C3348E"/>
    <w:rsid w:val="00C34712"/>
    <w:rsid w:val="00C35758"/>
    <w:rsid w:val="00C36E09"/>
    <w:rsid w:val="00C37E7E"/>
    <w:rsid w:val="00C37F25"/>
    <w:rsid w:val="00C40568"/>
    <w:rsid w:val="00C41760"/>
    <w:rsid w:val="00C44E4A"/>
    <w:rsid w:val="00C459E8"/>
    <w:rsid w:val="00C474C0"/>
    <w:rsid w:val="00C47959"/>
    <w:rsid w:val="00C50973"/>
    <w:rsid w:val="00C511EE"/>
    <w:rsid w:val="00C5473F"/>
    <w:rsid w:val="00C557B5"/>
    <w:rsid w:val="00C57190"/>
    <w:rsid w:val="00C60973"/>
    <w:rsid w:val="00C612BC"/>
    <w:rsid w:val="00C61E74"/>
    <w:rsid w:val="00C634DF"/>
    <w:rsid w:val="00C63C6F"/>
    <w:rsid w:val="00C65BE2"/>
    <w:rsid w:val="00C66072"/>
    <w:rsid w:val="00C67D5C"/>
    <w:rsid w:val="00C70B87"/>
    <w:rsid w:val="00C70F29"/>
    <w:rsid w:val="00C719E9"/>
    <w:rsid w:val="00C71A29"/>
    <w:rsid w:val="00C71BD9"/>
    <w:rsid w:val="00C71D3C"/>
    <w:rsid w:val="00C72940"/>
    <w:rsid w:val="00C74D19"/>
    <w:rsid w:val="00C75133"/>
    <w:rsid w:val="00C75185"/>
    <w:rsid w:val="00C76097"/>
    <w:rsid w:val="00C761F4"/>
    <w:rsid w:val="00C766D9"/>
    <w:rsid w:val="00C7709F"/>
    <w:rsid w:val="00C800F9"/>
    <w:rsid w:val="00C805DA"/>
    <w:rsid w:val="00C81E6A"/>
    <w:rsid w:val="00C8244C"/>
    <w:rsid w:val="00C83E4A"/>
    <w:rsid w:val="00C83EA8"/>
    <w:rsid w:val="00C83FF0"/>
    <w:rsid w:val="00C855AD"/>
    <w:rsid w:val="00C85609"/>
    <w:rsid w:val="00C863D0"/>
    <w:rsid w:val="00C87755"/>
    <w:rsid w:val="00C8797D"/>
    <w:rsid w:val="00C87F05"/>
    <w:rsid w:val="00C90F17"/>
    <w:rsid w:val="00C911B3"/>
    <w:rsid w:val="00C91D6D"/>
    <w:rsid w:val="00C91E73"/>
    <w:rsid w:val="00C92CBD"/>
    <w:rsid w:val="00C95A4B"/>
    <w:rsid w:val="00C95BA5"/>
    <w:rsid w:val="00C9603C"/>
    <w:rsid w:val="00C96825"/>
    <w:rsid w:val="00C96DA4"/>
    <w:rsid w:val="00C97CB0"/>
    <w:rsid w:val="00CA1CC5"/>
    <w:rsid w:val="00CA2043"/>
    <w:rsid w:val="00CA2A3E"/>
    <w:rsid w:val="00CA38A5"/>
    <w:rsid w:val="00CA3FC9"/>
    <w:rsid w:val="00CA4A85"/>
    <w:rsid w:val="00CA5462"/>
    <w:rsid w:val="00CA6065"/>
    <w:rsid w:val="00CA6C1B"/>
    <w:rsid w:val="00CB0A2A"/>
    <w:rsid w:val="00CB0C04"/>
    <w:rsid w:val="00CB148A"/>
    <w:rsid w:val="00CB1617"/>
    <w:rsid w:val="00CB3248"/>
    <w:rsid w:val="00CB3896"/>
    <w:rsid w:val="00CB3A4E"/>
    <w:rsid w:val="00CB3F76"/>
    <w:rsid w:val="00CB4F0E"/>
    <w:rsid w:val="00CB5101"/>
    <w:rsid w:val="00CB5221"/>
    <w:rsid w:val="00CB5509"/>
    <w:rsid w:val="00CB596D"/>
    <w:rsid w:val="00CC0171"/>
    <w:rsid w:val="00CC0BD4"/>
    <w:rsid w:val="00CC10C7"/>
    <w:rsid w:val="00CC11FC"/>
    <w:rsid w:val="00CC400A"/>
    <w:rsid w:val="00CC6D66"/>
    <w:rsid w:val="00CC7A6F"/>
    <w:rsid w:val="00CD0EF0"/>
    <w:rsid w:val="00CD12FC"/>
    <w:rsid w:val="00CD19BE"/>
    <w:rsid w:val="00CD26B7"/>
    <w:rsid w:val="00CD30F7"/>
    <w:rsid w:val="00CD3F35"/>
    <w:rsid w:val="00CD56DD"/>
    <w:rsid w:val="00CD58B9"/>
    <w:rsid w:val="00CD6002"/>
    <w:rsid w:val="00CD74AB"/>
    <w:rsid w:val="00CD7D10"/>
    <w:rsid w:val="00CE00A5"/>
    <w:rsid w:val="00CE0C3F"/>
    <w:rsid w:val="00CE46C0"/>
    <w:rsid w:val="00CE7800"/>
    <w:rsid w:val="00CF00A4"/>
    <w:rsid w:val="00CF092C"/>
    <w:rsid w:val="00CF18BD"/>
    <w:rsid w:val="00CF2D0A"/>
    <w:rsid w:val="00CF3595"/>
    <w:rsid w:val="00CF3D3E"/>
    <w:rsid w:val="00CF479B"/>
    <w:rsid w:val="00CF4899"/>
    <w:rsid w:val="00CF4E32"/>
    <w:rsid w:val="00CF7DE0"/>
    <w:rsid w:val="00D005DD"/>
    <w:rsid w:val="00D0102B"/>
    <w:rsid w:val="00D016F6"/>
    <w:rsid w:val="00D01ED8"/>
    <w:rsid w:val="00D0297F"/>
    <w:rsid w:val="00D031E7"/>
    <w:rsid w:val="00D0357F"/>
    <w:rsid w:val="00D061A7"/>
    <w:rsid w:val="00D0667C"/>
    <w:rsid w:val="00D12CBA"/>
    <w:rsid w:val="00D130DD"/>
    <w:rsid w:val="00D13C1F"/>
    <w:rsid w:val="00D1709E"/>
    <w:rsid w:val="00D2065B"/>
    <w:rsid w:val="00D21700"/>
    <w:rsid w:val="00D258C6"/>
    <w:rsid w:val="00D25D9F"/>
    <w:rsid w:val="00D260E3"/>
    <w:rsid w:val="00D26289"/>
    <w:rsid w:val="00D31F0C"/>
    <w:rsid w:val="00D32096"/>
    <w:rsid w:val="00D32E77"/>
    <w:rsid w:val="00D358D0"/>
    <w:rsid w:val="00D363D3"/>
    <w:rsid w:val="00D374F3"/>
    <w:rsid w:val="00D379DE"/>
    <w:rsid w:val="00D40461"/>
    <w:rsid w:val="00D43585"/>
    <w:rsid w:val="00D4567D"/>
    <w:rsid w:val="00D45ACF"/>
    <w:rsid w:val="00D462F8"/>
    <w:rsid w:val="00D50589"/>
    <w:rsid w:val="00D508DF"/>
    <w:rsid w:val="00D51101"/>
    <w:rsid w:val="00D523FB"/>
    <w:rsid w:val="00D52C3B"/>
    <w:rsid w:val="00D52D75"/>
    <w:rsid w:val="00D5305B"/>
    <w:rsid w:val="00D537B9"/>
    <w:rsid w:val="00D537F5"/>
    <w:rsid w:val="00D54C87"/>
    <w:rsid w:val="00D54FEE"/>
    <w:rsid w:val="00D55238"/>
    <w:rsid w:val="00D56D48"/>
    <w:rsid w:val="00D572D7"/>
    <w:rsid w:val="00D57B96"/>
    <w:rsid w:val="00D6021B"/>
    <w:rsid w:val="00D61572"/>
    <w:rsid w:val="00D61817"/>
    <w:rsid w:val="00D6185F"/>
    <w:rsid w:val="00D6228F"/>
    <w:rsid w:val="00D63462"/>
    <w:rsid w:val="00D63C6D"/>
    <w:rsid w:val="00D65A71"/>
    <w:rsid w:val="00D6683D"/>
    <w:rsid w:val="00D6696C"/>
    <w:rsid w:val="00D66ABD"/>
    <w:rsid w:val="00D66DD4"/>
    <w:rsid w:val="00D705E7"/>
    <w:rsid w:val="00D70F62"/>
    <w:rsid w:val="00D75959"/>
    <w:rsid w:val="00D75F82"/>
    <w:rsid w:val="00D76037"/>
    <w:rsid w:val="00D760C0"/>
    <w:rsid w:val="00D804FB"/>
    <w:rsid w:val="00D8080F"/>
    <w:rsid w:val="00D81346"/>
    <w:rsid w:val="00D82E4B"/>
    <w:rsid w:val="00D83980"/>
    <w:rsid w:val="00D83A88"/>
    <w:rsid w:val="00D84166"/>
    <w:rsid w:val="00D846FE"/>
    <w:rsid w:val="00D852AE"/>
    <w:rsid w:val="00D85497"/>
    <w:rsid w:val="00D859E9"/>
    <w:rsid w:val="00D85FC5"/>
    <w:rsid w:val="00D90537"/>
    <w:rsid w:val="00D909E1"/>
    <w:rsid w:val="00D9154F"/>
    <w:rsid w:val="00D91932"/>
    <w:rsid w:val="00D92C01"/>
    <w:rsid w:val="00D93841"/>
    <w:rsid w:val="00D9489E"/>
    <w:rsid w:val="00D94CFA"/>
    <w:rsid w:val="00D9794E"/>
    <w:rsid w:val="00D97A80"/>
    <w:rsid w:val="00DA0500"/>
    <w:rsid w:val="00DA141F"/>
    <w:rsid w:val="00DA18F6"/>
    <w:rsid w:val="00DA1D46"/>
    <w:rsid w:val="00DA4DBA"/>
    <w:rsid w:val="00DA5260"/>
    <w:rsid w:val="00DA6678"/>
    <w:rsid w:val="00DB06BD"/>
    <w:rsid w:val="00DB0E74"/>
    <w:rsid w:val="00DB1506"/>
    <w:rsid w:val="00DB1958"/>
    <w:rsid w:val="00DB25E9"/>
    <w:rsid w:val="00DB2F6D"/>
    <w:rsid w:val="00DB3170"/>
    <w:rsid w:val="00DB3C2D"/>
    <w:rsid w:val="00DB3FB1"/>
    <w:rsid w:val="00DB4884"/>
    <w:rsid w:val="00DB4BC6"/>
    <w:rsid w:val="00DB5F7A"/>
    <w:rsid w:val="00DB7DEC"/>
    <w:rsid w:val="00DC022B"/>
    <w:rsid w:val="00DC04E9"/>
    <w:rsid w:val="00DC055E"/>
    <w:rsid w:val="00DC179E"/>
    <w:rsid w:val="00DC190C"/>
    <w:rsid w:val="00DC1A09"/>
    <w:rsid w:val="00DC3212"/>
    <w:rsid w:val="00DC3700"/>
    <w:rsid w:val="00DC3BF3"/>
    <w:rsid w:val="00DC4485"/>
    <w:rsid w:val="00DC4FDB"/>
    <w:rsid w:val="00DC5699"/>
    <w:rsid w:val="00DC5731"/>
    <w:rsid w:val="00DC78D3"/>
    <w:rsid w:val="00DD0C72"/>
    <w:rsid w:val="00DD1505"/>
    <w:rsid w:val="00DD1A1A"/>
    <w:rsid w:val="00DD3438"/>
    <w:rsid w:val="00DD579F"/>
    <w:rsid w:val="00DD660E"/>
    <w:rsid w:val="00DE06E4"/>
    <w:rsid w:val="00DE0BC8"/>
    <w:rsid w:val="00DE0C23"/>
    <w:rsid w:val="00DE19B1"/>
    <w:rsid w:val="00DE4058"/>
    <w:rsid w:val="00DE424A"/>
    <w:rsid w:val="00DE45A6"/>
    <w:rsid w:val="00DE4AF0"/>
    <w:rsid w:val="00DE518B"/>
    <w:rsid w:val="00DE561A"/>
    <w:rsid w:val="00DE5DE9"/>
    <w:rsid w:val="00DE67E6"/>
    <w:rsid w:val="00DE74CD"/>
    <w:rsid w:val="00DF0157"/>
    <w:rsid w:val="00DF12B3"/>
    <w:rsid w:val="00DF2124"/>
    <w:rsid w:val="00DF21C9"/>
    <w:rsid w:val="00DF26BE"/>
    <w:rsid w:val="00DF337A"/>
    <w:rsid w:val="00DF4977"/>
    <w:rsid w:val="00DF4A9C"/>
    <w:rsid w:val="00DF56F3"/>
    <w:rsid w:val="00DF5B2C"/>
    <w:rsid w:val="00DF5EC4"/>
    <w:rsid w:val="00DF6BE8"/>
    <w:rsid w:val="00DF7593"/>
    <w:rsid w:val="00DF76AB"/>
    <w:rsid w:val="00E00360"/>
    <w:rsid w:val="00E0036E"/>
    <w:rsid w:val="00E00518"/>
    <w:rsid w:val="00E00F0C"/>
    <w:rsid w:val="00E01278"/>
    <w:rsid w:val="00E01B98"/>
    <w:rsid w:val="00E027BC"/>
    <w:rsid w:val="00E03B09"/>
    <w:rsid w:val="00E052DC"/>
    <w:rsid w:val="00E05305"/>
    <w:rsid w:val="00E05FBF"/>
    <w:rsid w:val="00E06380"/>
    <w:rsid w:val="00E0795D"/>
    <w:rsid w:val="00E108D8"/>
    <w:rsid w:val="00E10FCD"/>
    <w:rsid w:val="00E11735"/>
    <w:rsid w:val="00E120EB"/>
    <w:rsid w:val="00E13CE4"/>
    <w:rsid w:val="00E14950"/>
    <w:rsid w:val="00E162BF"/>
    <w:rsid w:val="00E2079B"/>
    <w:rsid w:val="00E209D9"/>
    <w:rsid w:val="00E21D6C"/>
    <w:rsid w:val="00E22A63"/>
    <w:rsid w:val="00E2391A"/>
    <w:rsid w:val="00E23945"/>
    <w:rsid w:val="00E23A83"/>
    <w:rsid w:val="00E24810"/>
    <w:rsid w:val="00E3000B"/>
    <w:rsid w:val="00E32E1B"/>
    <w:rsid w:val="00E330FC"/>
    <w:rsid w:val="00E33129"/>
    <w:rsid w:val="00E3356E"/>
    <w:rsid w:val="00E33632"/>
    <w:rsid w:val="00E33B00"/>
    <w:rsid w:val="00E35593"/>
    <w:rsid w:val="00E35A7C"/>
    <w:rsid w:val="00E37CB0"/>
    <w:rsid w:val="00E37FA1"/>
    <w:rsid w:val="00E40844"/>
    <w:rsid w:val="00E410CB"/>
    <w:rsid w:val="00E416BE"/>
    <w:rsid w:val="00E42BAA"/>
    <w:rsid w:val="00E42BC6"/>
    <w:rsid w:val="00E43BDA"/>
    <w:rsid w:val="00E44629"/>
    <w:rsid w:val="00E45D23"/>
    <w:rsid w:val="00E51350"/>
    <w:rsid w:val="00E5142F"/>
    <w:rsid w:val="00E51B54"/>
    <w:rsid w:val="00E51E79"/>
    <w:rsid w:val="00E51EB1"/>
    <w:rsid w:val="00E52C53"/>
    <w:rsid w:val="00E52C9F"/>
    <w:rsid w:val="00E54D5A"/>
    <w:rsid w:val="00E54E9F"/>
    <w:rsid w:val="00E557F0"/>
    <w:rsid w:val="00E56D50"/>
    <w:rsid w:val="00E56FE0"/>
    <w:rsid w:val="00E57089"/>
    <w:rsid w:val="00E57557"/>
    <w:rsid w:val="00E578EE"/>
    <w:rsid w:val="00E57924"/>
    <w:rsid w:val="00E607C9"/>
    <w:rsid w:val="00E614F6"/>
    <w:rsid w:val="00E61E4D"/>
    <w:rsid w:val="00E62144"/>
    <w:rsid w:val="00E6611F"/>
    <w:rsid w:val="00E6795A"/>
    <w:rsid w:val="00E71C68"/>
    <w:rsid w:val="00E7244E"/>
    <w:rsid w:val="00E7384B"/>
    <w:rsid w:val="00E73BA8"/>
    <w:rsid w:val="00E74177"/>
    <w:rsid w:val="00E74331"/>
    <w:rsid w:val="00E7525D"/>
    <w:rsid w:val="00E752B8"/>
    <w:rsid w:val="00E75326"/>
    <w:rsid w:val="00E77198"/>
    <w:rsid w:val="00E771D6"/>
    <w:rsid w:val="00E81D34"/>
    <w:rsid w:val="00E8270E"/>
    <w:rsid w:val="00E82BE1"/>
    <w:rsid w:val="00E83893"/>
    <w:rsid w:val="00E83E43"/>
    <w:rsid w:val="00E84C5C"/>
    <w:rsid w:val="00E85551"/>
    <w:rsid w:val="00E864FB"/>
    <w:rsid w:val="00E90C56"/>
    <w:rsid w:val="00E912E4"/>
    <w:rsid w:val="00E923D0"/>
    <w:rsid w:val="00E94B46"/>
    <w:rsid w:val="00E94EFC"/>
    <w:rsid w:val="00E95600"/>
    <w:rsid w:val="00E961F6"/>
    <w:rsid w:val="00E96319"/>
    <w:rsid w:val="00E96911"/>
    <w:rsid w:val="00E96CA4"/>
    <w:rsid w:val="00E97D06"/>
    <w:rsid w:val="00EA0525"/>
    <w:rsid w:val="00EA13AC"/>
    <w:rsid w:val="00EA3803"/>
    <w:rsid w:val="00EA422F"/>
    <w:rsid w:val="00EA4D95"/>
    <w:rsid w:val="00EA5AD7"/>
    <w:rsid w:val="00EA5D3F"/>
    <w:rsid w:val="00EA6200"/>
    <w:rsid w:val="00EA6A11"/>
    <w:rsid w:val="00EA7AAA"/>
    <w:rsid w:val="00EA7DBF"/>
    <w:rsid w:val="00EB0164"/>
    <w:rsid w:val="00EB1022"/>
    <w:rsid w:val="00EB2A79"/>
    <w:rsid w:val="00EB3461"/>
    <w:rsid w:val="00EB3F7A"/>
    <w:rsid w:val="00EB460A"/>
    <w:rsid w:val="00EB48DF"/>
    <w:rsid w:val="00EB549E"/>
    <w:rsid w:val="00EB5668"/>
    <w:rsid w:val="00EB641D"/>
    <w:rsid w:val="00EB6C71"/>
    <w:rsid w:val="00EB6FF5"/>
    <w:rsid w:val="00EB72F3"/>
    <w:rsid w:val="00EC063B"/>
    <w:rsid w:val="00EC0D39"/>
    <w:rsid w:val="00EC0E8D"/>
    <w:rsid w:val="00EC2A17"/>
    <w:rsid w:val="00EC48F7"/>
    <w:rsid w:val="00EC602E"/>
    <w:rsid w:val="00EC707B"/>
    <w:rsid w:val="00ED08D3"/>
    <w:rsid w:val="00ED098C"/>
    <w:rsid w:val="00ED1588"/>
    <w:rsid w:val="00ED2056"/>
    <w:rsid w:val="00ED2726"/>
    <w:rsid w:val="00ED3FB9"/>
    <w:rsid w:val="00ED47F2"/>
    <w:rsid w:val="00ED482B"/>
    <w:rsid w:val="00ED6420"/>
    <w:rsid w:val="00ED680A"/>
    <w:rsid w:val="00ED7BE4"/>
    <w:rsid w:val="00EE02DA"/>
    <w:rsid w:val="00EE03D6"/>
    <w:rsid w:val="00EE1074"/>
    <w:rsid w:val="00EE1418"/>
    <w:rsid w:val="00EE1BC5"/>
    <w:rsid w:val="00EE1E18"/>
    <w:rsid w:val="00EE27CD"/>
    <w:rsid w:val="00EE4884"/>
    <w:rsid w:val="00EE53FD"/>
    <w:rsid w:val="00EE592F"/>
    <w:rsid w:val="00EE638E"/>
    <w:rsid w:val="00EE6ECF"/>
    <w:rsid w:val="00EE704D"/>
    <w:rsid w:val="00EE78FA"/>
    <w:rsid w:val="00EF05A9"/>
    <w:rsid w:val="00EF20FF"/>
    <w:rsid w:val="00EF30D3"/>
    <w:rsid w:val="00EF3D47"/>
    <w:rsid w:val="00EF5759"/>
    <w:rsid w:val="00EF5A82"/>
    <w:rsid w:val="00EF5C40"/>
    <w:rsid w:val="00EF61BE"/>
    <w:rsid w:val="00EF683B"/>
    <w:rsid w:val="00EF694D"/>
    <w:rsid w:val="00EF7B7D"/>
    <w:rsid w:val="00F008AF"/>
    <w:rsid w:val="00F01AC1"/>
    <w:rsid w:val="00F02234"/>
    <w:rsid w:val="00F02E68"/>
    <w:rsid w:val="00F038AC"/>
    <w:rsid w:val="00F03EC6"/>
    <w:rsid w:val="00F0447F"/>
    <w:rsid w:val="00F04C94"/>
    <w:rsid w:val="00F05F1F"/>
    <w:rsid w:val="00F06B96"/>
    <w:rsid w:val="00F10B42"/>
    <w:rsid w:val="00F13B2C"/>
    <w:rsid w:val="00F2106E"/>
    <w:rsid w:val="00F212E6"/>
    <w:rsid w:val="00F21EAA"/>
    <w:rsid w:val="00F231D1"/>
    <w:rsid w:val="00F24E08"/>
    <w:rsid w:val="00F26877"/>
    <w:rsid w:val="00F2720A"/>
    <w:rsid w:val="00F27A98"/>
    <w:rsid w:val="00F27C11"/>
    <w:rsid w:val="00F27C33"/>
    <w:rsid w:val="00F30B64"/>
    <w:rsid w:val="00F319C0"/>
    <w:rsid w:val="00F32999"/>
    <w:rsid w:val="00F3510C"/>
    <w:rsid w:val="00F356E0"/>
    <w:rsid w:val="00F35835"/>
    <w:rsid w:val="00F360B4"/>
    <w:rsid w:val="00F36322"/>
    <w:rsid w:val="00F3657A"/>
    <w:rsid w:val="00F36D93"/>
    <w:rsid w:val="00F379BE"/>
    <w:rsid w:val="00F40AD0"/>
    <w:rsid w:val="00F40AD1"/>
    <w:rsid w:val="00F41197"/>
    <w:rsid w:val="00F42D23"/>
    <w:rsid w:val="00F434A3"/>
    <w:rsid w:val="00F4530F"/>
    <w:rsid w:val="00F46428"/>
    <w:rsid w:val="00F4705D"/>
    <w:rsid w:val="00F4792C"/>
    <w:rsid w:val="00F47C8F"/>
    <w:rsid w:val="00F50EB6"/>
    <w:rsid w:val="00F52205"/>
    <w:rsid w:val="00F53D50"/>
    <w:rsid w:val="00F55B56"/>
    <w:rsid w:val="00F55C38"/>
    <w:rsid w:val="00F55FCD"/>
    <w:rsid w:val="00F56046"/>
    <w:rsid w:val="00F60A55"/>
    <w:rsid w:val="00F61C39"/>
    <w:rsid w:val="00F61FF0"/>
    <w:rsid w:val="00F63DCC"/>
    <w:rsid w:val="00F650BC"/>
    <w:rsid w:val="00F66145"/>
    <w:rsid w:val="00F66893"/>
    <w:rsid w:val="00F67AAC"/>
    <w:rsid w:val="00F67F42"/>
    <w:rsid w:val="00F7087D"/>
    <w:rsid w:val="00F70A58"/>
    <w:rsid w:val="00F7242A"/>
    <w:rsid w:val="00F72456"/>
    <w:rsid w:val="00F73354"/>
    <w:rsid w:val="00F736DE"/>
    <w:rsid w:val="00F73CC8"/>
    <w:rsid w:val="00F7451A"/>
    <w:rsid w:val="00F7567B"/>
    <w:rsid w:val="00F757FE"/>
    <w:rsid w:val="00F75A1D"/>
    <w:rsid w:val="00F75A3B"/>
    <w:rsid w:val="00F75FD9"/>
    <w:rsid w:val="00F76EA4"/>
    <w:rsid w:val="00F7767F"/>
    <w:rsid w:val="00F80687"/>
    <w:rsid w:val="00F8159B"/>
    <w:rsid w:val="00F819B5"/>
    <w:rsid w:val="00F83A64"/>
    <w:rsid w:val="00F84B55"/>
    <w:rsid w:val="00F850C3"/>
    <w:rsid w:val="00F86FEF"/>
    <w:rsid w:val="00F92929"/>
    <w:rsid w:val="00F9300D"/>
    <w:rsid w:val="00F93046"/>
    <w:rsid w:val="00F93ADE"/>
    <w:rsid w:val="00F93ED2"/>
    <w:rsid w:val="00F94275"/>
    <w:rsid w:val="00F9540C"/>
    <w:rsid w:val="00F96909"/>
    <w:rsid w:val="00F96BE7"/>
    <w:rsid w:val="00F97860"/>
    <w:rsid w:val="00FA0144"/>
    <w:rsid w:val="00FA04C8"/>
    <w:rsid w:val="00FA0C3B"/>
    <w:rsid w:val="00FA15DE"/>
    <w:rsid w:val="00FA1892"/>
    <w:rsid w:val="00FA1A4D"/>
    <w:rsid w:val="00FA22E8"/>
    <w:rsid w:val="00FA242E"/>
    <w:rsid w:val="00FA3246"/>
    <w:rsid w:val="00FA32A3"/>
    <w:rsid w:val="00FA3CD9"/>
    <w:rsid w:val="00FA5360"/>
    <w:rsid w:val="00FA56AE"/>
    <w:rsid w:val="00FA57BD"/>
    <w:rsid w:val="00FA6263"/>
    <w:rsid w:val="00FA67A2"/>
    <w:rsid w:val="00FA7377"/>
    <w:rsid w:val="00FB07E8"/>
    <w:rsid w:val="00FB0AB7"/>
    <w:rsid w:val="00FB0D4B"/>
    <w:rsid w:val="00FB1D76"/>
    <w:rsid w:val="00FB3AF9"/>
    <w:rsid w:val="00FB41D0"/>
    <w:rsid w:val="00FB5057"/>
    <w:rsid w:val="00FB563A"/>
    <w:rsid w:val="00FB5974"/>
    <w:rsid w:val="00FB5EFC"/>
    <w:rsid w:val="00FB693F"/>
    <w:rsid w:val="00FB6CCD"/>
    <w:rsid w:val="00FB6E50"/>
    <w:rsid w:val="00FB77F8"/>
    <w:rsid w:val="00FB781D"/>
    <w:rsid w:val="00FB797D"/>
    <w:rsid w:val="00FB7F10"/>
    <w:rsid w:val="00FC17D1"/>
    <w:rsid w:val="00FC2989"/>
    <w:rsid w:val="00FC317B"/>
    <w:rsid w:val="00FC4180"/>
    <w:rsid w:val="00FC44DA"/>
    <w:rsid w:val="00FC563E"/>
    <w:rsid w:val="00FC5A79"/>
    <w:rsid w:val="00FC70C6"/>
    <w:rsid w:val="00FC7461"/>
    <w:rsid w:val="00FD0147"/>
    <w:rsid w:val="00FD0D52"/>
    <w:rsid w:val="00FD3722"/>
    <w:rsid w:val="00FD3968"/>
    <w:rsid w:val="00FD5BCD"/>
    <w:rsid w:val="00FD5F6F"/>
    <w:rsid w:val="00FD6B50"/>
    <w:rsid w:val="00FD7653"/>
    <w:rsid w:val="00FE0B1F"/>
    <w:rsid w:val="00FE133A"/>
    <w:rsid w:val="00FE1700"/>
    <w:rsid w:val="00FE19B4"/>
    <w:rsid w:val="00FE1F24"/>
    <w:rsid w:val="00FE2F91"/>
    <w:rsid w:val="00FE36D9"/>
    <w:rsid w:val="00FE3E45"/>
    <w:rsid w:val="00FE3FF0"/>
    <w:rsid w:val="00FE4996"/>
    <w:rsid w:val="00FE60E1"/>
    <w:rsid w:val="00FF0399"/>
    <w:rsid w:val="00FF19FF"/>
    <w:rsid w:val="00FF27E1"/>
    <w:rsid w:val="00FF2BD6"/>
    <w:rsid w:val="00FF51B5"/>
    <w:rsid w:val="00FF583F"/>
    <w:rsid w:val="00FF6C25"/>
    <w:rsid w:val="00FF75F0"/>
    <w:rsid w:val="013B64B5"/>
    <w:rsid w:val="014454E4"/>
    <w:rsid w:val="0148466A"/>
    <w:rsid w:val="017A00DB"/>
    <w:rsid w:val="017A0FBF"/>
    <w:rsid w:val="01977E8B"/>
    <w:rsid w:val="01AE3620"/>
    <w:rsid w:val="01CA46E1"/>
    <w:rsid w:val="01CB6255"/>
    <w:rsid w:val="01DA6C0D"/>
    <w:rsid w:val="01DF0C11"/>
    <w:rsid w:val="01E00BEF"/>
    <w:rsid w:val="01E47572"/>
    <w:rsid w:val="01E769FD"/>
    <w:rsid w:val="01E801F1"/>
    <w:rsid w:val="01F83619"/>
    <w:rsid w:val="020A5807"/>
    <w:rsid w:val="022B2149"/>
    <w:rsid w:val="02303658"/>
    <w:rsid w:val="02366B06"/>
    <w:rsid w:val="023C5F0B"/>
    <w:rsid w:val="023E3C73"/>
    <w:rsid w:val="02594A4D"/>
    <w:rsid w:val="02643DF6"/>
    <w:rsid w:val="026C3627"/>
    <w:rsid w:val="02A67224"/>
    <w:rsid w:val="02AA5981"/>
    <w:rsid w:val="02AB0A25"/>
    <w:rsid w:val="02AB6DC3"/>
    <w:rsid w:val="02B259CF"/>
    <w:rsid w:val="02C144E8"/>
    <w:rsid w:val="02C44F2B"/>
    <w:rsid w:val="02E9492F"/>
    <w:rsid w:val="02F61A18"/>
    <w:rsid w:val="02FB31DA"/>
    <w:rsid w:val="02FD474C"/>
    <w:rsid w:val="0318037A"/>
    <w:rsid w:val="031C5327"/>
    <w:rsid w:val="031C616A"/>
    <w:rsid w:val="031D016B"/>
    <w:rsid w:val="033B0069"/>
    <w:rsid w:val="036A299C"/>
    <w:rsid w:val="036B2AEA"/>
    <w:rsid w:val="038635E3"/>
    <w:rsid w:val="038C5CF7"/>
    <w:rsid w:val="03AC4D3B"/>
    <w:rsid w:val="03D21333"/>
    <w:rsid w:val="03E90E66"/>
    <w:rsid w:val="03EC36A4"/>
    <w:rsid w:val="03EF3ED4"/>
    <w:rsid w:val="03F15753"/>
    <w:rsid w:val="04031DEC"/>
    <w:rsid w:val="041605C9"/>
    <w:rsid w:val="042B06F2"/>
    <w:rsid w:val="04413EA9"/>
    <w:rsid w:val="0447540E"/>
    <w:rsid w:val="044D0D34"/>
    <w:rsid w:val="04643D6F"/>
    <w:rsid w:val="046F07F9"/>
    <w:rsid w:val="04793642"/>
    <w:rsid w:val="04886C9F"/>
    <w:rsid w:val="048B4E1B"/>
    <w:rsid w:val="04A34BA2"/>
    <w:rsid w:val="04A6014B"/>
    <w:rsid w:val="04AB5770"/>
    <w:rsid w:val="04C379F1"/>
    <w:rsid w:val="04E54758"/>
    <w:rsid w:val="04F759E8"/>
    <w:rsid w:val="04FE5A5E"/>
    <w:rsid w:val="0513374D"/>
    <w:rsid w:val="05296AA2"/>
    <w:rsid w:val="053503DF"/>
    <w:rsid w:val="053A1805"/>
    <w:rsid w:val="05421E3E"/>
    <w:rsid w:val="05553C63"/>
    <w:rsid w:val="055579F4"/>
    <w:rsid w:val="057C37EC"/>
    <w:rsid w:val="05935FD9"/>
    <w:rsid w:val="05B47FC2"/>
    <w:rsid w:val="05DC24C5"/>
    <w:rsid w:val="05E85464"/>
    <w:rsid w:val="05F60C0C"/>
    <w:rsid w:val="060E052E"/>
    <w:rsid w:val="06114AEE"/>
    <w:rsid w:val="06122036"/>
    <w:rsid w:val="061C5BF2"/>
    <w:rsid w:val="063321F2"/>
    <w:rsid w:val="06507617"/>
    <w:rsid w:val="065145E0"/>
    <w:rsid w:val="06541F9F"/>
    <w:rsid w:val="0673416D"/>
    <w:rsid w:val="067F04FE"/>
    <w:rsid w:val="068C7071"/>
    <w:rsid w:val="069C4DF3"/>
    <w:rsid w:val="069E0344"/>
    <w:rsid w:val="06C06944"/>
    <w:rsid w:val="06C72778"/>
    <w:rsid w:val="06CD0F45"/>
    <w:rsid w:val="06D82CA4"/>
    <w:rsid w:val="07101A0D"/>
    <w:rsid w:val="07102A00"/>
    <w:rsid w:val="07183A27"/>
    <w:rsid w:val="072926C4"/>
    <w:rsid w:val="073A1CF8"/>
    <w:rsid w:val="074D2406"/>
    <w:rsid w:val="075500D4"/>
    <w:rsid w:val="075950A2"/>
    <w:rsid w:val="076F5DB3"/>
    <w:rsid w:val="07736BBF"/>
    <w:rsid w:val="079447BC"/>
    <w:rsid w:val="079D1E06"/>
    <w:rsid w:val="07B427B3"/>
    <w:rsid w:val="07DB1424"/>
    <w:rsid w:val="07DB3767"/>
    <w:rsid w:val="07DD4C94"/>
    <w:rsid w:val="07DE5A61"/>
    <w:rsid w:val="07EE31EA"/>
    <w:rsid w:val="07EE5028"/>
    <w:rsid w:val="080A17B2"/>
    <w:rsid w:val="08111275"/>
    <w:rsid w:val="081A5936"/>
    <w:rsid w:val="08220E1B"/>
    <w:rsid w:val="082C03AD"/>
    <w:rsid w:val="08436B33"/>
    <w:rsid w:val="084C72FC"/>
    <w:rsid w:val="0861002C"/>
    <w:rsid w:val="08893F27"/>
    <w:rsid w:val="08FD2A5F"/>
    <w:rsid w:val="0922288B"/>
    <w:rsid w:val="095A10AA"/>
    <w:rsid w:val="09817A41"/>
    <w:rsid w:val="098418F8"/>
    <w:rsid w:val="09935A78"/>
    <w:rsid w:val="099F3AD2"/>
    <w:rsid w:val="09CA5FDD"/>
    <w:rsid w:val="0A151164"/>
    <w:rsid w:val="0A2C00AF"/>
    <w:rsid w:val="0A440816"/>
    <w:rsid w:val="0A4B26FA"/>
    <w:rsid w:val="0A5C460A"/>
    <w:rsid w:val="0A6744F2"/>
    <w:rsid w:val="0A863F7B"/>
    <w:rsid w:val="0A893404"/>
    <w:rsid w:val="0A8A1890"/>
    <w:rsid w:val="0A9C28D0"/>
    <w:rsid w:val="0AB1033C"/>
    <w:rsid w:val="0AB50304"/>
    <w:rsid w:val="0B113448"/>
    <w:rsid w:val="0B290F1F"/>
    <w:rsid w:val="0B413222"/>
    <w:rsid w:val="0B614F2E"/>
    <w:rsid w:val="0BCF188E"/>
    <w:rsid w:val="0BEB5B47"/>
    <w:rsid w:val="0C2B52CF"/>
    <w:rsid w:val="0C660965"/>
    <w:rsid w:val="0C761D1B"/>
    <w:rsid w:val="0C78622B"/>
    <w:rsid w:val="0CC70892"/>
    <w:rsid w:val="0CCA5ECC"/>
    <w:rsid w:val="0D04225C"/>
    <w:rsid w:val="0D0C5139"/>
    <w:rsid w:val="0D1300F1"/>
    <w:rsid w:val="0D683DC5"/>
    <w:rsid w:val="0D740BB5"/>
    <w:rsid w:val="0D8C65C7"/>
    <w:rsid w:val="0D9D2876"/>
    <w:rsid w:val="0DAF67D6"/>
    <w:rsid w:val="0DC82492"/>
    <w:rsid w:val="0DC84890"/>
    <w:rsid w:val="0DF7188C"/>
    <w:rsid w:val="0E0000B1"/>
    <w:rsid w:val="0E12568D"/>
    <w:rsid w:val="0E1C68F3"/>
    <w:rsid w:val="0E211DA4"/>
    <w:rsid w:val="0E3434E7"/>
    <w:rsid w:val="0E3F3055"/>
    <w:rsid w:val="0E421288"/>
    <w:rsid w:val="0E612F58"/>
    <w:rsid w:val="0E994EEE"/>
    <w:rsid w:val="0EA11865"/>
    <w:rsid w:val="0EA12E4D"/>
    <w:rsid w:val="0EAA5DEF"/>
    <w:rsid w:val="0EAD751F"/>
    <w:rsid w:val="0EB16A71"/>
    <w:rsid w:val="0EB17323"/>
    <w:rsid w:val="0EB43DBB"/>
    <w:rsid w:val="0ED675BA"/>
    <w:rsid w:val="0EDF0DA8"/>
    <w:rsid w:val="0F016A7C"/>
    <w:rsid w:val="0F3425AD"/>
    <w:rsid w:val="0F40373C"/>
    <w:rsid w:val="0F4C442D"/>
    <w:rsid w:val="0F52076A"/>
    <w:rsid w:val="0F5C7BFF"/>
    <w:rsid w:val="0F6F2D00"/>
    <w:rsid w:val="0F7312CF"/>
    <w:rsid w:val="0F7930DB"/>
    <w:rsid w:val="0F843DD3"/>
    <w:rsid w:val="0F854118"/>
    <w:rsid w:val="0F8C091B"/>
    <w:rsid w:val="0FAA777F"/>
    <w:rsid w:val="0FAF39DA"/>
    <w:rsid w:val="0FD95B6D"/>
    <w:rsid w:val="0FE930F6"/>
    <w:rsid w:val="1012169A"/>
    <w:rsid w:val="10185736"/>
    <w:rsid w:val="103A31A0"/>
    <w:rsid w:val="108735A8"/>
    <w:rsid w:val="10A154D4"/>
    <w:rsid w:val="10B771D4"/>
    <w:rsid w:val="10C672B3"/>
    <w:rsid w:val="10C97F19"/>
    <w:rsid w:val="10F14166"/>
    <w:rsid w:val="11101983"/>
    <w:rsid w:val="11477CDE"/>
    <w:rsid w:val="11600CCE"/>
    <w:rsid w:val="11614276"/>
    <w:rsid w:val="116F731A"/>
    <w:rsid w:val="11A51BFB"/>
    <w:rsid w:val="11A92569"/>
    <w:rsid w:val="11B31254"/>
    <w:rsid w:val="11C3155A"/>
    <w:rsid w:val="11C4360F"/>
    <w:rsid w:val="11D97A28"/>
    <w:rsid w:val="11DB4844"/>
    <w:rsid w:val="11DC7679"/>
    <w:rsid w:val="11EA37F8"/>
    <w:rsid w:val="11F03ABA"/>
    <w:rsid w:val="11F20BA2"/>
    <w:rsid w:val="12170E35"/>
    <w:rsid w:val="126E71F3"/>
    <w:rsid w:val="1274117C"/>
    <w:rsid w:val="12827FB6"/>
    <w:rsid w:val="12A8148F"/>
    <w:rsid w:val="12A97DFA"/>
    <w:rsid w:val="12AF178B"/>
    <w:rsid w:val="12B369EB"/>
    <w:rsid w:val="12B657E3"/>
    <w:rsid w:val="12C44A5B"/>
    <w:rsid w:val="130472E9"/>
    <w:rsid w:val="130A2A3F"/>
    <w:rsid w:val="13264807"/>
    <w:rsid w:val="133607ED"/>
    <w:rsid w:val="1340265F"/>
    <w:rsid w:val="13403909"/>
    <w:rsid w:val="139A4724"/>
    <w:rsid w:val="13A311E4"/>
    <w:rsid w:val="13A7651F"/>
    <w:rsid w:val="13AF7487"/>
    <w:rsid w:val="13B55C54"/>
    <w:rsid w:val="13B933D5"/>
    <w:rsid w:val="13BA67A7"/>
    <w:rsid w:val="13CA369D"/>
    <w:rsid w:val="14436DC0"/>
    <w:rsid w:val="14707359"/>
    <w:rsid w:val="147F4D7E"/>
    <w:rsid w:val="14DD7F14"/>
    <w:rsid w:val="14F93A80"/>
    <w:rsid w:val="150D3204"/>
    <w:rsid w:val="15243BDB"/>
    <w:rsid w:val="153B6BE8"/>
    <w:rsid w:val="1545763E"/>
    <w:rsid w:val="15595F34"/>
    <w:rsid w:val="1562281F"/>
    <w:rsid w:val="156D0120"/>
    <w:rsid w:val="15A54A7C"/>
    <w:rsid w:val="15AB4CC7"/>
    <w:rsid w:val="15DC7D47"/>
    <w:rsid w:val="15EA3945"/>
    <w:rsid w:val="15F86E89"/>
    <w:rsid w:val="15FA525E"/>
    <w:rsid w:val="15FB3334"/>
    <w:rsid w:val="15FB7968"/>
    <w:rsid w:val="160A48B6"/>
    <w:rsid w:val="160A6500"/>
    <w:rsid w:val="160D2152"/>
    <w:rsid w:val="16102D71"/>
    <w:rsid w:val="16302F4C"/>
    <w:rsid w:val="16316383"/>
    <w:rsid w:val="16373297"/>
    <w:rsid w:val="163F4A03"/>
    <w:rsid w:val="167130A6"/>
    <w:rsid w:val="16752047"/>
    <w:rsid w:val="16825C85"/>
    <w:rsid w:val="169F2532"/>
    <w:rsid w:val="16A073BE"/>
    <w:rsid w:val="16B05DF5"/>
    <w:rsid w:val="16D20DC8"/>
    <w:rsid w:val="17065138"/>
    <w:rsid w:val="171021FA"/>
    <w:rsid w:val="171259C8"/>
    <w:rsid w:val="17262B24"/>
    <w:rsid w:val="17296C52"/>
    <w:rsid w:val="172E68F7"/>
    <w:rsid w:val="173C5E79"/>
    <w:rsid w:val="1760497A"/>
    <w:rsid w:val="177A5A2B"/>
    <w:rsid w:val="178756D8"/>
    <w:rsid w:val="179771BA"/>
    <w:rsid w:val="17A97DC9"/>
    <w:rsid w:val="17DD6795"/>
    <w:rsid w:val="17FA2B86"/>
    <w:rsid w:val="17FC734C"/>
    <w:rsid w:val="17FD64EB"/>
    <w:rsid w:val="1804296F"/>
    <w:rsid w:val="180E629B"/>
    <w:rsid w:val="184233FC"/>
    <w:rsid w:val="18CA0EE6"/>
    <w:rsid w:val="18CC680E"/>
    <w:rsid w:val="18D535DB"/>
    <w:rsid w:val="18D60A6E"/>
    <w:rsid w:val="18DE7CDB"/>
    <w:rsid w:val="18E04D61"/>
    <w:rsid w:val="1907506E"/>
    <w:rsid w:val="190C20A7"/>
    <w:rsid w:val="19242963"/>
    <w:rsid w:val="193D5C55"/>
    <w:rsid w:val="1952108D"/>
    <w:rsid w:val="196151A9"/>
    <w:rsid w:val="197A7C78"/>
    <w:rsid w:val="1985709D"/>
    <w:rsid w:val="199832A2"/>
    <w:rsid w:val="19A17E05"/>
    <w:rsid w:val="19A852F2"/>
    <w:rsid w:val="19AA797D"/>
    <w:rsid w:val="19B14D60"/>
    <w:rsid w:val="19BB57C9"/>
    <w:rsid w:val="19BD0514"/>
    <w:rsid w:val="19D62E09"/>
    <w:rsid w:val="19E4797E"/>
    <w:rsid w:val="19EB653D"/>
    <w:rsid w:val="19F63A93"/>
    <w:rsid w:val="19F7259E"/>
    <w:rsid w:val="19FA2EBE"/>
    <w:rsid w:val="19FB0226"/>
    <w:rsid w:val="19FF602A"/>
    <w:rsid w:val="1A106B09"/>
    <w:rsid w:val="1A744F8D"/>
    <w:rsid w:val="1A76471B"/>
    <w:rsid w:val="1A8D59C2"/>
    <w:rsid w:val="1AAD024C"/>
    <w:rsid w:val="1AB5234F"/>
    <w:rsid w:val="1AD20279"/>
    <w:rsid w:val="1AEE4FE5"/>
    <w:rsid w:val="1B017C12"/>
    <w:rsid w:val="1B152811"/>
    <w:rsid w:val="1B1F6F2A"/>
    <w:rsid w:val="1B263796"/>
    <w:rsid w:val="1B2E36B8"/>
    <w:rsid w:val="1B2F67A3"/>
    <w:rsid w:val="1B3321B3"/>
    <w:rsid w:val="1B456DDE"/>
    <w:rsid w:val="1B477F5B"/>
    <w:rsid w:val="1B687F3D"/>
    <w:rsid w:val="1B694E2A"/>
    <w:rsid w:val="1B6F73E2"/>
    <w:rsid w:val="1B824367"/>
    <w:rsid w:val="1BB94B75"/>
    <w:rsid w:val="1BBE6C1F"/>
    <w:rsid w:val="1BEB357C"/>
    <w:rsid w:val="1BEF7785"/>
    <w:rsid w:val="1C017601"/>
    <w:rsid w:val="1C0536BD"/>
    <w:rsid w:val="1C1C2B4A"/>
    <w:rsid w:val="1C1F5A93"/>
    <w:rsid w:val="1C7B7942"/>
    <w:rsid w:val="1C9922C8"/>
    <w:rsid w:val="1CAF0758"/>
    <w:rsid w:val="1CD24E95"/>
    <w:rsid w:val="1CE77484"/>
    <w:rsid w:val="1CEE1A27"/>
    <w:rsid w:val="1D025CFB"/>
    <w:rsid w:val="1D274E3D"/>
    <w:rsid w:val="1D353599"/>
    <w:rsid w:val="1D374E75"/>
    <w:rsid w:val="1D505374"/>
    <w:rsid w:val="1D5E685F"/>
    <w:rsid w:val="1D856627"/>
    <w:rsid w:val="1D8E6BBA"/>
    <w:rsid w:val="1D9346F0"/>
    <w:rsid w:val="1D9674A2"/>
    <w:rsid w:val="1DA23729"/>
    <w:rsid w:val="1DA74AFE"/>
    <w:rsid w:val="1DC339D2"/>
    <w:rsid w:val="1DC64EC8"/>
    <w:rsid w:val="1DD10939"/>
    <w:rsid w:val="1DD43877"/>
    <w:rsid w:val="1DDB53EA"/>
    <w:rsid w:val="1DE57225"/>
    <w:rsid w:val="1DEB6B4E"/>
    <w:rsid w:val="1DEE09EF"/>
    <w:rsid w:val="1DF15F7D"/>
    <w:rsid w:val="1E363B2D"/>
    <w:rsid w:val="1E596D1F"/>
    <w:rsid w:val="1E655DB0"/>
    <w:rsid w:val="1E6F00A1"/>
    <w:rsid w:val="1E76560B"/>
    <w:rsid w:val="1E9151DA"/>
    <w:rsid w:val="1E9B0AAB"/>
    <w:rsid w:val="1EA700CC"/>
    <w:rsid w:val="1EB05CCB"/>
    <w:rsid w:val="1EB57327"/>
    <w:rsid w:val="1EEF3F13"/>
    <w:rsid w:val="1EF814A5"/>
    <w:rsid w:val="1F0923DF"/>
    <w:rsid w:val="1F0B6A8B"/>
    <w:rsid w:val="1F3B0BB8"/>
    <w:rsid w:val="1F4D6859"/>
    <w:rsid w:val="1F5908BC"/>
    <w:rsid w:val="1F6C5A31"/>
    <w:rsid w:val="1F6E5E24"/>
    <w:rsid w:val="1F901A88"/>
    <w:rsid w:val="1FDF1E99"/>
    <w:rsid w:val="1FE304FD"/>
    <w:rsid w:val="1FEA23D9"/>
    <w:rsid w:val="1FFE1183"/>
    <w:rsid w:val="203A10EA"/>
    <w:rsid w:val="203A58C3"/>
    <w:rsid w:val="205712CC"/>
    <w:rsid w:val="20694812"/>
    <w:rsid w:val="20696FBE"/>
    <w:rsid w:val="207F58CA"/>
    <w:rsid w:val="208B43E4"/>
    <w:rsid w:val="208C69E1"/>
    <w:rsid w:val="20B015AD"/>
    <w:rsid w:val="20CF7D78"/>
    <w:rsid w:val="20D91650"/>
    <w:rsid w:val="20E42900"/>
    <w:rsid w:val="20EB29C6"/>
    <w:rsid w:val="20FB5128"/>
    <w:rsid w:val="20FF5D97"/>
    <w:rsid w:val="21083B7E"/>
    <w:rsid w:val="21195EA4"/>
    <w:rsid w:val="214A70DD"/>
    <w:rsid w:val="21533217"/>
    <w:rsid w:val="21566D51"/>
    <w:rsid w:val="216407A0"/>
    <w:rsid w:val="217209EB"/>
    <w:rsid w:val="21C17A96"/>
    <w:rsid w:val="21C45D20"/>
    <w:rsid w:val="21D0528D"/>
    <w:rsid w:val="21EE0225"/>
    <w:rsid w:val="220A1452"/>
    <w:rsid w:val="222B7CD7"/>
    <w:rsid w:val="2240324F"/>
    <w:rsid w:val="225A2D5C"/>
    <w:rsid w:val="225C386E"/>
    <w:rsid w:val="2274299A"/>
    <w:rsid w:val="22834854"/>
    <w:rsid w:val="22B66849"/>
    <w:rsid w:val="22D7712D"/>
    <w:rsid w:val="22DE209C"/>
    <w:rsid w:val="22F2022F"/>
    <w:rsid w:val="230B5096"/>
    <w:rsid w:val="231628B6"/>
    <w:rsid w:val="23237A89"/>
    <w:rsid w:val="23300073"/>
    <w:rsid w:val="23357FB2"/>
    <w:rsid w:val="23366D23"/>
    <w:rsid w:val="23397AC0"/>
    <w:rsid w:val="23406C41"/>
    <w:rsid w:val="236316A5"/>
    <w:rsid w:val="236919D8"/>
    <w:rsid w:val="239007BA"/>
    <w:rsid w:val="23970FB7"/>
    <w:rsid w:val="23A86A71"/>
    <w:rsid w:val="23B14A15"/>
    <w:rsid w:val="23BC23BE"/>
    <w:rsid w:val="23C64D58"/>
    <w:rsid w:val="23D13175"/>
    <w:rsid w:val="23D149AF"/>
    <w:rsid w:val="23D86783"/>
    <w:rsid w:val="23F921E0"/>
    <w:rsid w:val="24087CAD"/>
    <w:rsid w:val="241632FB"/>
    <w:rsid w:val="2440306F"/>
    <w:rsid w:val="24431F32"/>
    <w:rsid w:val="24497071"/>
    <w:rsid w:val="244D4C9E"/>
    <w:rsid w:val="24554291"/>
    <w:rsid w:val="24567462"/>
    <w:rsid w:val="247D4D86"/>
    <w:rsid w:val="24885965"/>
    <w:rsid w:val="24A57F4B"/>
    <w:rsid w:val="24AC529F"/>
    <w:rsid w:val="24AD1551"/>
    <w:rsid w:val="24B52BFD"/>
    <w:rsid w:val="24C561C6"/>
    <w:rsid w:val="24C765DA"/>
    <w:rsid w:val="24D41E45"/>
    <w:rsid w:val="24E132AD"/>
    <w:rsid w:val="24F4352B"/>
    <w:rsid w:val="251F743A"/>
    <w:rsid w:val="255956FC"/>
    <w:rsid w:val="255F771E"/>
    <w:rsid w:val="256C738D"/>
    <w:rsid w:val="25805DD1"/>
    <w:rsid w:val="25807324"/>
    <w:rsid w:val="25887E7D"/>
    <w:rsid w:val="258C2E52"/>
    <w:rsid w:val="2597422D"/>
    <w:rsid w:val="25A67137"/>
    <w:rsid w:val="25A83195"/>
    <w:rsid w:val="25B83A93"/>
    <w:rsid w:val="25BB2C84"/>
    <w:rsid w:val="25DB401C"/>
    <w:rsid w:val="25E66023"/>
    <w:rsid w:val="25EA6BF5"/>
    <w:rsid w:val="2603762F"/>
    <w:rsid w:val="26043E43"/>
    <w:rsid w:val="26177E67"/>
    <w:rsid w:val="261A56AD"/>
    <w:rsid w:val="262804F3"/>
    <w:rsid w:val="263D2A8F"/>
    <w:rsid w:val="264A07A7"/>
    <w:rsid w:val="26573C57"/>
    <w:rsid w:val="266853AE"/>
    <w:rsid w:val="266C1E48"/>
    <w:rsid w:val="267F4386"/>
    <w:rsid w:val="269B728F"/>
    <w:rsid w:val="26A10F5A"/>
    <w:rsid w:val="26B75F67"/>
    <w:rsid w:val="26D8044F"/>
    <w:rsid w:val="26E83527"/>
    <w:rsid w:val="26EC7974"/>
    <w:rsid w:val="273244D8"/>
    <w:rsid w:val="277E670C"/>
    <w:rsid w:val="278C34E1"/>
    <w:rsid w:val="27B06FBD"/>
    <w:rsid w:val="27BA0F35"/>
    <w:rsid w:val="27C23036"/>
    <w:rsid w:val="27C74D7E"/>
    <w:rsid w:val="27D44AE8"/>
    <w:rsid w:val="27D66A6D"/>
    <w:rsid w:val="27E05851"/>
    <w:rsid w:val="27E63EAC"/>
    <w:rsid w:val="27E72E2A"/>
    <w:rsid w:val="27EC7E49"/>
    <w:rsid w:val="27ED2AF3"/>
    <w:rsid w:val="27EF219B"/>
    <w:rsid w:val="28017251"/>
    <w:rsid w:val="280278F1"/>
    <w:rsid w:val="280F447B"/>
    <w:rsid w:val="28386634"/>
    <w:rsid w:val="28456D01"/>
    <w:rsid w:val="285A51EC"/>
    <w:rsid w:val="28626FE7"/>
    <w:rsid w:val="287514DE"/>
    <w:rsid w:val="287A62F4"/>
    <w:rsid w:val="28856267"/>
    <w:rsid w:val="288A6D38"/>
    <w:rsid w:val="288F1004"/>
    <w:rsid w:val="289044A5"/>
    <w:rsid w:val="28A01F04"/>
    <w:rsid w:val="28AB0764"/>
    <w:rsid w:val="28B761D3"/>
    <w:rsid w:val="28E9510B"/>
    <w:rsid w:val="28FA4A05"/>
    <w:rsid w:val="29092622"/>
    <w:rsid w:val="290C3EC6"/>
    <w:rsid w:val="291B38FD"/>
    <w:rsid w:val="29241174"/>
    <w:rsid w:val="29316EB8"/>
    <w:rsid w:val="29480957"/>
    <w:rsid w:val="295759FE"/>
    <w:rsid w:val="2985065F"/>
    <w:rsid w:val="29920A52"/>
    <w:rsid w:val="299662B0"/>
    <w:rsid w:val="299A4C52"/>
    <w:rsid w:val="29CF249B"/>
    <w:rsid w:val="29E16438"/>
    <w:rsid w:val="29EB4C4D"/>
    <w:rsid w:val="2A071046"/>
    <w:rsid w:val="2A4878BF"/>
    <w:rsid w:val="2A56648A"/>
    <w:rsid w:val="2A5970EF"/>
    <w:rsid w:val="2A66746B"/>
    <w:rsid w:val="2A860B63"/>
    <w:rsid w:val="2A885971"/>
    <w:rsid w:val="2A9A4ACD"/>
    <w:rsid w:val="2AAC0D24"/>
    <w:rsid w:val="2AC94307"/>
    <w:rsid w:val="2AD544A7"/>
    <w:rsid w:val="2ADB4A3B"/>
    <w:rsid w:val="2AF038EE"/>
    <w:rsid w:val="2B010E5C"/>
    <w:rsid w:val="2B0C6536"/>
    <w:rsid w:val="2B1D00B9"/>
    <w:rsid w:val="2B276CE0"/>
    <w:rsid w:val="2B3F539E"/>
    <w:rsid w:val="2B416E9F"/>
    <w:rsid w:val="2B606090"/>
    <w:rsid w:val="2B8D25C0"/>
    <w:rsid w:val="2BD76A6A"/>
    <w:rsid w:val="2BDE4C53"/>
    <w:rsid w:val="2BFA048B"/>
    <w:rsid w:val="2C0C24F8"/>
    <w:rsid w:val="2C1D1BDB"/>
    <w:rsid w:val="2C243763"/>
    <w:rsid w:val="2C2B423A"/>
    <w:rsid w:val="2C491642"/>
    <w:rsid w:val="2C625260"/>
    <w:rsid w:val="2C684E67"/>
    <w:rsid w:val="2C8503B5"/>
    <w:rsid w:val="2C952626"/>
    <w:rsid w:val="2CA46F1B"/>
    <w:rsid w:val="2CBC6D9A"/>
    <w:rsid w:val="2CE97B37"/>
    <w:rsid w:val="2CEA5F0C"/>
    <w:rsid w:val="2CF912E3"/>
    <w:rsid w:val="2D06714B"/>
    <w:rsid w:val="2D0A0B2E"/>
    <w:rsid w:val="2D237F9C"/>
    <w:rsid w:val="2D2A1E84"/>
    <w:rsid w:val="2D3929EC"/>
    <w:rsid w:val="2D7B3D35"/>
    <w:rsid w:val="2D830B88"/>
    <w:rsid w:val="2D842E85"/>
    <w:rsid w:val="2D8C0979"/>
    <w:rsid w:val="2DA648A1"/>
    <w:rsid w:val="2DC86DE8"/>
    <w:rsid w:val="2DD4649C"/>
    <w:rsid w:val="2DDF698E"/>
    <w:rsid w:val="2DED5318"/>
    <w:rsid w:val="2DEF2532"/>
    <w:rsid w:val="2DF80F56"/>
    <w:rsid w:val="2DFD77AA"/>
    <w:rsid w:val="2DFF106E"/>
    <w:rsid w:val="2E1936D3"/>
    <w:rsid w:val="2E221C9C"/>
    <w:rsid w:val="2E224CAB"/>
    <w:rsid w:val="2E2C1D00"/>
    <w:rsid w:val="2E3F575C"/>
    <w:rsid w:val="2E6D759A"/>
    <w:rsid w:val="2E7E7BD8"/>
    <w:rsid w:val="2E8314D3"/>
    <w:rsid w:val="2E945C60"/>
    <w:rsid w:val="2E963248"/>
    <w:rsid w:val="2EA761E1"/>
    <w:rsid w:val="2EAA5952"/>
    <w:rsid w:val="2EDD121C"/>
    <w:rsid w:val="2EE11667"/>
    <w:rsid w:val="2EE3268C"/>
    <w:rsid w:val="2EE80B5E"/>
    <w:rsid w:val="2F173188"/>
    <w:rsid w:val="2F4F4098"/>
    <w:rsid w:val="2F8D44D6"/>
    <w:rsid w:val="2F9779D7"/>
    <w:rsid w:val="2F980294"/>
    <w:rsid w:val="2FBE29B8"/>
    <w:rsid w:val="2FCA5FDF"/>
    <w:rsid w:val="2FD33E2B"/>
    <w:rsid w:val="30062DE1"/>
    <w:rsid w:val="30111B91"/>
    <w:rsid w:val="301303F6"/>
    <w:rsid w:val="302A13F4"/>
    <w:rsid w:val="30423C78"/>
    <w:rsid w:val="304F1B16"/>
    <w:rsid w:val="30611C29"/>
    <w:rsid w:val="30683883"/>
    <w:rsid w:val="30695030"/>
    <w:rsid w:val="30815E64"/>
    <w:rsid w:val="308F24A2"/>
    <w:rsid w:val="30A22E44"/>
    <w:rsid w:val="30AC42EE"/>
    <w:rsid w:val="30B058B8"/>
    <w:rsid w:val="30CD44D0"/>
    <w:rsid w:val="30CE111B"/>
    <w:rsid w:val="30E019DA"/>
    <w:rsid w:val="30F552D2"/>
    <w:rsid w:val="310065E6"/>
    <w:rsid w:val="312654AD"/>
    <w:rsid w:val="312F16DF"/>
    <w:rsid w:val="31552842"/>
    <w:rsid w:val="31742FCA"/>
    <w:rsid w:val="31812DBB"/>
    <w:rsid w:val="31886C1C"/>
    <w:rsid w:val="318E3C43"/>
    <w:rsid w:val="31CC03E9"/>
    <w:rsid w:val="31D32DDB"/>
    <w:rsid w:val="31D460A3"/>
    <w:rsid w:val="31EA26F1"/>
    <w:rsid w:val="31EC203C"/>
    <w:rsid w:val="31FC2412"/>
    <w:rsid w:val="320642C3"/>
    <w:rsid w:val="3207532E"/>
    <w:rsid w:val="321063FE"/>
    <w:rsid w:val="321D1D09"/>
    <w:rsid w:val="32256F9F"/>
    <w:rsid w:val="322D3B4C"/>
    <w:rsid w:val="324035B3"/>
    <w:rsid w:val="3260397A"/>
    <w:rsid w:val="32783914"/>
    <w:rsid w:val="328253C2"/>
    <w:rsid w:val="32935FC0"/>
    <w:rsid w:val="32A41F5B"/>
    <w:rsid w:val="32AE368A"/>
    <w:rsid w:val="32B17B00"/>
    <w:rsid w:val="32DF701F"/>
    <w:rsid w:val="32E24098"/>
    <w:rsid w:val="32E70D36"/>
    <w:rsid w:val="32F04C94"/>
    <w:rsid w:val="33203F6E"/>
    <w:rsid w:val="33266928"/>
    <w:rsid w:val="3341007C"/>
    <w:rsid w:val="336E4060"/>
    <w:rsid w:val="3395192B"/>
    <w:rsid w:val="3395308C"/>
    <w:rsid w:val="33FA6E54"/>
    <w:rsid w:val="33FD4C08"/>
    <w:rsid w:val="33FF4E0A"/>
    <w:rsid w:val="341C72C9"/>
    <w:rsid w:val="34225B6E"/>
    <w:rsid w:val="342A40C0"/>
    <w:rsid w:val="34350233"/>
    <w:rsid w:val="34597E10"/>
    <w:rsid w:val="34650257"/>
    <w:rsid w:val="34725A3C"/>
    <w:rsid w:val="348815B6"/>
    <w:rsid w:val="34A02F4E"/>
    <w:rsid w:val="34B158B7"/>
    <w:rsid w:val="34BC71CE"/>
    <w:rsid w:val="34C70739"/>
    <w:rsid w:val="34CE1D50"/>
    <w:rsid w:val="34DB4884"/>
    <w:rsid w:val="350B741A"/>
    <w:rsid w:val="35280196"/>
    <w:rsid w:val="353B5B88"/>
    <w:rsid w:val="353F6679"/>
    <w:rsid w:val="357263A3"/>
    <w:rsid w:val="35784E71"/>
    <w:rsid w:val="357B4DCC"/>
    <w:rsid w:val="35A60779"/>
    <w:rsid w:val="35D53D52"/>
    <w:rsid w:val="35DB5A6A"/>
    <w:rsid w:val="35E01304"/>
    <w:rsid w:val="35E9486B"/>
    <w:rsid w:val="35FB77CB"/>
    <w:rsid w:val="360532BD"/>
    <w:rsid w:val="360C2B3A"/>
    <w:rsid w:val="360D1CBF"/>
    <w:rsid w:val="361B4D46"/>
    <w:rsid w:val="362A205A"/>
    <w:rsid w:val="366F7F71"/>
    <w:rsid w:val="368F5AB8"/>
    <w:rsid w:val="36912DE6"/>
    <w:rsid w:val="36B6669E"/>
    <w:rsid w:val="36B76E7C"/>
    <w:rsid w:val="36BC27CC"/>
    <w:rsid w:val="36C847CF"/>
    <w:rsid w:val="36D73FDE"/>
    <w:rsid w:val="36E13874"/>
    <w:rsid w:val="36FB0380"/>
    <w:rsid w:val="36FD39FB"/>
    <w:rsid w:val="37141C3E"/>
    <w:rsid w:val="37284F74"/>
    <w:rsid w:val="372E0843"/>
    <w:rsid w:val="3730666A"/>
    <w:rsid w:val="373070BF"/>
    <w:rsid w:val="37335A3C"/>
    <w:rsid w:val="37426B20"/>
    <w:rsid w:val="376A3DCC"/>
    <w:rsid w:val="37933D0B"/>
    <w:rsid w:val="37936F55"/>
    <w:rsid w:val="37974492"/>
    <w:rsid w:val="379D5C05"/>
    <w:rsid w:val="37B12555"/>
    <w:rsid w:val="37BC0D91"/>
    <w:rsid w:val="37BE768E"/>
    <w:rsid w:val="37D9344A"/>
    <w:rsid w:val="37ED4E89"/>
    <w:rsid w:val="37F01B84"/>
    <w:rsid w:val="38057A3D"/>
    <w:rsid w:val="38525A0D"/>
    <w:rsid w:val="387D4E34"/>
    <w:rsid w:val="38AA7384"/>
    <w:rsid w:val="38B12A39"/>
    <w:rsid w:val="38C5263D"/>
    <w:rsid w:val="38E00948"/>
    <w:rsid w:val="38E33FE3"/>
    <w:rsid w:val="38EC1A9A"/>
    <w:rsid w:val="38F6157A"/>
    <w:rsid w:val="39045055"/>
    <w:rsid w:val="3915719D"/>
    <w:rsid w:val="392378C6"/>
    <w:rsid w:val="39250C7A"/>
    <w:rsid w:val="39427E0D"/>
    <w:rsid w:val="395E497A"/>
    <w:rsid w:val="39884828"/>
    <w:rsid w:val="39AD3EA6"/>
    <w:rsid w:val="39B029FA"/>
    <w:rsid w:val="39C85128"/>
    <w:rsid w:val="39D263A7"/>
    <w:rsid w:val="39E4038F"/>
    <w:rsid w:val="39F94530"/>
    <w:rsid w:val="3A0612E2"/>
    <w:rsid w:val="3A105151"/>
    <w:rsid w:val="3A2156FD"/>
    <w:rsid w:val="3A2B7FBC"/>
    <w:rsid w:val="3A2C20E8"/>
    <w:rsid w:val="3A414974"/>
    <w:rsid w:val="3A4A5818"/>
    <w:rsid w:val="3A731CC1"/>
    <w:rsid w:val="3A7C5BCA"/>
    <w:rsid w:val="3AB15A7E"/>
    <w:rsid w:val="3ACA3A17"/>
    <w:rsid w:val="3AF775AA"/>
    <w:rsid w:val="3B1955CB"/>
    <w:rsid w:val="3B4221F3"/>
    <w:rsid w:val="3B483ED0"/>
    <w:rsid w:val="3B493692"/>
    <w:rsid w:val="3B4F4DC8"/>
    <w:rsid w:val="3B526AA2"/>
    <w:rsid w:val="3B652E21"/>
    <w:rsid w:val="3B7E21B0"/>
    <w:rsid w:val="3B821B43"/>
    <w:rsid w:val="3B825A47"/>
    <w:rsid w:val="3B8667AC"/>
    <w:rsid w:val="3B967DCE"/>
    <w:rsid w:val="3B9C6609"/>
    <w:rsid w:val="3C0853AF"/>
    <w:rsid w:val="3C0972FA"/>
    <w:rsid w:val="3C0B65AC"/>
    <w:rsid w:val="3C0E18DF"/>
    <w:rsid w:val="3C2D1B90"/>
    <w:rsid w:val="3C3950FC"/>
    <w:rsid w:val="3C4318C3"/>
    <w:rsid w:val="3C49170C"/>
    <w:rsid w:val="3C4B0F00"/>
    <w:rsid w:val="3C885A3C"/>
    <w:rsid w:val="3C921EBB"/>
    <w:rsid w:val="3CAF3F2C"/>
    <w:rsid w:val="3CBD0191"/>
    <w:rsid w:val="3CDA3AC9"/>
    <w:rsid w:val="3CEC0DCB"/>
    <w:rsid w:val="3D07245B"/>
    <w:rsid w:val="3D256621"/>
    <w:rsid w:val="3D274CC7"/>
    <w:rsid w:val="3D32496D"/>
    <w:rsid w:val="3D3C536B"/>
    <w:rsid w:val="3D4F603C"/>
    <w:rsid w:val="3D5F4DC7"/>
    <w:rsid w:val="3D676F6B"/>
    <w:rsid w:val="3D6E28E2"/>
    <w:rsid w:val="3DA02763"/>
    <w:rsid w:val="3DBA1B25"/>
    <w:rsid w:val="3DC72AFE"/>
    <w:rsid w:val="3DD93FC5"/>
    <w:rsid w:val="3DEB02ED"/>
    <w:rsid w:val="3DEC1682"/>
    <w:rsid w:val="3DF72802"/>
    <w:rsid w:val="3E044D3E"/>
    <w:rsid w:val="3E08400D"/>
    <w:rsid w:val="3E3863AC"/>
    <w:rsid w:val="3E460843"/>
    <w:rsid w:val="3E661616"/>
    <w:rsid w:val="3E677A49"/>
    <w:rsid w:val="3E763A1F"/>
    <w:rsid w:val="3E8F7279"/>
    <w:rsid w:val="3E9431A8"/>
    <w:rsid w:val="3E996B99"/>
    <w:rsid w:val="3EA93808"/>
    <w:rsid w:val="3EBF738E"/>
    <w:rsid w:val="3EDB4EEC"/>
    <w:rsid w:val="3EFD58F1"/>
    <w:rsid w:val="3F0777D7"/>
    <w:rsid w:val="3F120FDD"/>
    <w:rsid w:val="3F1C5781"/>
    <w:rsid w:val="3F2631E5"/>
    <w:rsid w:val="3F297829"/>
    <w:rsid w:val="3F3801D7"/>
    <w:rsid w:val="3F404933"/>
    <w:rsid w:val="3F496250"/>
    <w:rsid w:val="3F561C01"/>
    <w:rsid w:val="3F70168F"/>
    <w:rsid w:val="3F755780"/>
    <w:rsid w:val="3FA46AF6"/>
    <w:rsid w:val="3FF426F9"/>
    <w:rsid w:val="3FFD04C4"/>
    <w:rsid w:val="3FFE797F"/>
    <w:rsid w:val="400F1770"/>
    <w:rsid w:val="40307DD1"/>
    <w:rsid w:val="4032619B"/>
    <w:rsid w:val="405D12FB"/>
    <w:rsid w:val="40695C55"/>
    <w:rsid w:val="406C4800"/>
    <w:rsid w:val="408F0E1E"/>
    <w:rsid w:val="40962FDF"/>
    <w:rsid w:val="409D1A0B"/>
    <w:rsid w:val="40A23281"/>
    <w:rsid w:val="40CD5CF7"/>
    <w:rsid w:val="40D84C0F"/>
    <w:rsid w:val="40DC1646"/>
    <w:rsid w:val="40E346A5"/>
    <w:rsid w:val="410617FD"/>
    <w:rsid w:val="413E727C"/>
    <w:rsid w:val="41545E6A"/>
    <w:rsid w:val="415477B3"/>
    <w:rsid w:val="417A51D0"/>
    <w:rsid w:val="41880BC3"/>
    <w:rsid w:val="41921860"/>
    <w:rsid w:val="4195076B"/>
    <w:rsid w:val="41A302C1"/>
    <w:rsid w:val="41A85E6B"/>
    <w:rsid w:val="41DC7951"/>
    <w:rsid w:val="41F026AF"/>
    <w:rsid w:val="41FB2F29"/>
    <w:rsid w:val="421B09AB"/>
    <w:rsid w:val="422252B2"/>
    <w:rsid w:val="42275FA6"/>
    <w:rsid w:val="4231155A"/>
    <w:rsid w:val="423D2D21"/>
    <w:rsid w:val="42420C0B"/>
    <w:rsid w:val="428F60E2"/>
    <w:rsid w:val="42956078"/>
    <w:rsid w:val="429C5E42"/>
    <w:rsid w:val="42B00CBD"/>
    <w:rsid w:val="42BC08F5"/>
    <w:rsid w:val="42C82900"/>
    <w:rsid w:val="42D537A6"/>
    <w:rsid w:val="42E507B7"/>
    <w:rsid w:val="42E604EA"/>
    <w:rsid w:val="42EA5494"/>
    <w:rsid w:val="430022EA"/>
    <w:rsid w:val="4319070F"/>
    <w:rsid w:val="43270FEF"/>
    <w:rsid w:val="432855FB"/>
    <w:rsid w:val="43301FAB"/>
    <w:rsid w:val="4339209C"/>
    <w:rsid w:val="433E286F"/>
    <w:rsid w:val="4364061F"/>
    <w:rsid w:val="4377624E"/>
    <w:rsid w:val="43883DE8"/>
    <w:rsid w:val="43961CE6"/>
    <w:rsid w:val="43B577C0"/>
    <w:rsid w:val="43C54F8D"/>
    <w:rsid w:val="43C9011E"/>
    <w:rsid w:val="43C94577"/>
    <w:rsid w:val="43CB426B"/>
    <w:rsid w:val="43D8683C"/>
    <w:rsid w:val="43DA7442"/>
    <w:rsid w:val="43E95D84"/>
    <w:rsid w:val="43EB73CE"/>
    <w:rsid w:val="43F856FD"/>
    <w:rsid w:val="44045356"/>
    <w:rsid w:val="44055C49"/>
    <w:rsid w:val="440B5F91"/>
    <w:rsid w:val="44112A91"/>
    <w:rsid w:val="441634F9"/>
    <w:rsid w:val="4418579A"/>
    <w:rsid w:val="44232C91"/>
    <w:rsid w:val="4425558C"/>
    <w:rsid w:val="44416F27"/>
    <w:rsid w:val="444C46C1"/>
    <w:rsid w:val="444D12C7"/>
    <w:rsid w:val="445F6C42"/>
    <w:rsid w:val="44702CBC"/>
    <w:rsid w:val="44784C95"/>
    <w:rsid w:val="44813158"/>
    <w:rsid w:val="44A514B2"/>
    <w:rsid w:val="44AD2B45"/>
    <w:rsid w:val="44AE45CC"/>
    <w:rsid w:val="44CF5C9B"/>
    <w:rsid w:val="44FD2E6C"/>
    <w:rsid w:val="450D206A"/>
    <w:rsid w:val="451421B3"/>
    <w:rsid w:val="45312B8D"/>
    <w:rsid w:val="453B3E33"/>
    <w:rsid w:val="45532760"/>
    <w:rsid w:val="455D73B7"/>
    <w:rsid w:val="455F4293"/>
    <w:rsid w:val="45625A22"/>
    <w:rsid w:val="45725B7C"/>
    <w:rsid w:val="457B0B90"/>
    <w:rsid w:val="459144AF"/>
    <w:rsid w:val="459D1FC0"/>
    <w:rsid w:val="459E159E"/>
    <w:rsid w:val="45A932EF"/>
    <w:rsid w:val="45D01424"/>
    <w:rsid w:val="45D90E5B"/>
    <w:rsid w:val="45DA4A72"/>
    <w:rsid w:val="45F713E5"/>
    <w:rsid w:val="45FC549B"/>
    <w:rsid w:val="463D77FC"/>
    <w:rsid w:val="46544346"/>
    <w:rsid w:val="46612DFC"/>
    <w:rsid w:val="467E1B2E"/>
    <w:rsid w:val="467E3C2F"/>
    <w:rsid w:val="46836DB9"/>
    <w:rsid w:val="46B1345C"/>
    <w:rsid w:val="46C13779"/>
    <w:rsid w:val="46CF305C"/>
    <w:rsid w:val="46D47307"/>
    <w:rsid w:val="46E577A3"/>
    <w:rsid w:val="46E9185D"/>
    <w:rsid w:val="46EB29A5"/>
    <w:rsid w:val="46F86DC4"/>
    <w:rsid w:val="47430BB8"/>
    <w:rsid w:val="47664E5B"/>
    <w:rsid w:val="476D2B18"/>
    <w:rsid w:val="477806D8"/>
    <w:rsid w:val="47780F93"/>
    <w:rsid w:val="47827D73"/>
    <w:rsid w:val="47952D9D"/>
    <w:rsid w:val="47A30A4D"/>
    <w:rsid w:val="47B64EC1"/>
    <w:rsid w:val="47B732CA"/>
    <w:rsid w:val="47C80E00"/>
    <w:rsid w:val="47CD7E1D"/>
    <w:rsid w:val="47F40BB1"/>
    <w:rsid w:val="480B38DA"/>
    <w:rsid w:val="480B5ABB"/>
    <w:rsid w:val="48137CDD"/>
    <w:rsid w:val="48267394"/>
    <w:rsid w:val="486956FF"/>
    <w:rsid w:val="487E055B"/>
    <w:rsid w:val="488E35E4"/>
    <w:rsid w:val="48920313"/>
    <w:rsid w:val="48A1005B"/>
    <w:rsid w:val="48AE7E5F"/>
    <w:rsid w:val="48CA08B8"/>
    <w:rsid w:val="48D02088"/>
    <w:rsid w:val="48F811C9"/>
    <w:rsid w:val="48FE7B22"/>
    <w:rsid w:val="496269C9"/>
    <w:rsid w:val="496B74EE"/>
    <w:rsid w:val="49910937"/>
    <w:rsid w:val="49944EDE"/>
    <w:rsid w:val="499E413B"/>
    <w:rsid w:val="49A049A4"/>
    <w:rsid w:val="49BB179A"/>
    <w:rsid w:val="49BC5F12"/>
    <w:rsid w:val="49C232F1"/>
    <w:rsid w:val="49CA5E32"/>
    <w:rsid w:val="49D824E4"/>
    <w:rsid w:val="4A0372B8"/>
    <w:rsid w:val="4A042B54"/>
    <w:rsid w:val="4A046112"/>
    <w:rsid w:val="4A1268F2"/>
    <w:rsid w:val="4A1C1F75"/>
    <w:rsid w:val="4A1E6A6E"/>
    <w:rsid w:val="4A2974B3"/>
    <w:rsid w:val="4A3F3E15"/>
    <w:rsid w:val="4A4017F1"/>
    <w:rsid w:val="4A4C14EE"/>
    <w:rsid w:val="4A60269A"/>
    <w:rsid w:val="4A6F02B5"/>
    <w:rsid w:val="4A7D6573"/>
    <w:rsid w:val="4A861787"/>
    <w:rsid w:val="4A92284C"/>
    <w:rsid w:val="4AA1405E"/>
    <w:rsid w:val="4AEB1CB8"/>
    <w:rsid w:val="4AF32A2D"/>
    <w:rsid w:val="4B135458"/>
    <w:rsid w:val="4B147193"/>
    <w:rsid w:val="4B1556C7"/>
    <w:rsid w:val="4B1D152D"/>
    <w:rsid w:val="4B3652C6"/>
    <w:rsid w:val="4B3C1BC9"/>
    <w:rsid w:val="4B486267"/>
    <w:rsid w:val="4B494027"/>
    <w:rsid w:val="4B5B330B"/>
    <w:rsid w:val="4B62453E"/>
    <w:rsid w:val="4B6A4EBC"/>
    <w:rsid w:val="4B792D2F"/>
    <w:rsid w:val="4B7A6C5A"/>
    <w:rsid w:val="4B897789"/>
    <w:rsid w:val="4B990B66"/>
    <w:rsid w:val="4B9D293F"/>
    <w:rsid w:val="4BAA4DCE"/>
    <w:rsid w:val="4BD201F0"/>
    <w:rsid w:val="4BDB0CCE"/>
    <w:rsid w:val="4BDC40DC"/>
    <w:rsid w:val="4C396201"/>
    <w:rsid w:val="4C4B699D"/>
    <w:rsid w:val="4C6F6296"/>
    <w:rsid w:val="4C935B3A"/>
    <w:rsid w:val="4CBD0827"/>
    <w:rsid w:val="4CBF5632"/>
    <w:rsid w:val="4CD436E2"/>
    <w:rsid w:val="4CF018B7"/>
    <w:rsid w:val="4D043746"/>
    <w:rsid w:val="4D502340"/>
    <w:rsid w:val="4D75590C"/>
    <w:rsid w:val="4D870D81"/>
    <w:rsid w:val="4D9322F7"/>
    <w:rsid w:val="4D985196"/>
    <w:rsid w:val="4DD16F12"/>
    <w:rsid w:val="4DF634EA"/>
    <w:rsid w:val="4E131B24"/>
    <w:rsid w:val="4E1F3964"/>
    <w:rsid w:val="4E2A1383"/>
    <w:rsid w:val="4E39204D"/>
    <w:rsid w:val="4E3F11E5"/>
    <w:rsid w:val="4E684A33"/>
    <w:rsid w:val="4E853C5F"/>
    <w:rsid w:val="4E970FDA"/>
    <w:rsid w:val="4EA5257F"/>
    <w:rsid w:val="4ECC00AA"/>
    <w:rsid w:val="4EEB7C4E"/>
    <w:rsid w:val="4F065A52"/>
    <w:rsid w:val="4F0D1780"/>
    <w:rsid w:val="4F32014F"/>
    <w:rsid w:val="4F6747D3"/>
    <w:rsid w:val="4F674FE2"/>
    <w:rsid w:val="4F700558"/>
    <w:rsid w:val="4F787814"/>
    <w:rsid w:val="4F9F6CF5"/>
    <w:rsid w:val="4FCF1DED"/>
    <w:rsid w:val="4FD861C7"/>
    <w:rsid w:val="4FDE0813"/>
    <w:rsid w:val="4FE00420"/>
    <w:rsid w:val="4FE710C0"/>
    <w:rsid w:val="4FF753B5"/>
    <w:rsid w:val="5007155F"/>
    <w:rsid w:val="50163A63"/>
    <w:rsid w:val="502604B3"/>
    <w:rsid w:val="5045161E"/>
    <w:rsid w:val="504D7313"/>
    <w:rsid w:val="506A470D"/>
    <w:rsid w:val="50774C77"/>
    <w:rsid w:val="508302AF"/>
    <w:rsid w:val="508304EF"/>
    <w:rsid w:val="50A61610"/>
    <w:rsid w:val="50C8351C"/>
    <w:rsid w:val="50D04F09"/>
    <w:rsid w:val="50E43CFE"/>
    <w:rsid w:val="5101721E"/>
    <w:rsid w:val="51054037"/>
    <w:rsid w:val="51083494"/>
    <w:rsid w:val="511552EC"/>
    <w:rsid w:val="512B713D"/>
    <w:rsid w:val="51493243"/>
    <w:rsid w:val="51524B16"/>
    <w:rsid w:val="517B4F01"/>
    <w:rsid w:val="51954DCB"/>
    <w:rsid w:val="51AE5E5D"/>
    <w:rsid w:val="51B301C3"/>
    <w:rsid w:val="51C036D6"/>
    <w:rsid w:val="51D757C0"/>
    <w:rsid w:val="51D95E45"/>
    <w:rsid w:val="51F3761D"/>
    <w:rsid w:val="51FB7080"/>
    <w:rsid w:val="52171E85"/>
    <w:rsid w:val="522C45E0"/>
    <w:rsid w:val="523F7E42"/>
    <w:rsid w:val="524C05D4"/>
    <w:rsid w:val="525A2504"/>
    <w:rsid w:val="52603884"/>
    <w:rsid w:val="5278094F"/>
    <w:rsid w:val="52783925"/>
    <w:rsid w:val="527C2318"/>
    <w:rsid w:val="52826353"/>
    <w:rsid w:val="528642F6"/>
    <w:rsid w:val="528B6A6C"/>
    <w:rsid w:val="528C4241"/>
    <w:rsid w:val="52B309E2"/>
    <w:rsid w:val="52B34C64"/>
    <w:rsid w:val="52D17816"/>
    <w:rsid w:val="52D63354"/>
    <w:rsid w:val="52EC11CB"/>
    <w:rsid w:val="52F755F7"/>
    <w:rsid w:val="532C5643"/>
    <w:rsid w:val="53305343"/>
    <w:rsid w:val="535B0C23"/>
    <w:rsid w:val="53777470"/>
    <w:rsid w:val="538A7B71"/>
    <w:rsid w:val="53947B04"/>
    <w:rsid w:val="53A81060"/>
    <w:rsid w:val="542722EE"/>
    <w:rsid w:val="54374A2A"/>
    <w:rsid w:val="544F4724"/>
    <w:rsid w:val="545A641C"/>
    <w:rsid w:val="54755312"/>
    <w:rsid w:val="54991F8F"/>
    <w:rsid w:val="549E6942"/>
    <w:rsid w:val="54CD2DFD"/>
    <w:rsid w:val="54FC1AA3"/>
    <w:rsid w:val="550A6565"/>
    <w:rsid w:val="550B3F87"/>
    <w:rsid w:val="550E6C7D"/>
    <w:rsid w:val="55140685"/>
    <w:rsid w:val="55226F8D"/>
    <w:rsid w:val="552D548D"/>
    <w:rsid w:val="553F545C"/>
    <w:rsid w:val="55441E00"/>
    <w:rsid w:val="55447ABD"/>
    <w:rsid w:val="55543389"/>
    <w:rsid w:val="555D4D2B"/>
    <w:rsid w:val="557A1C97"/>
    <w:rsid w:val="55AD618B"/>
    <w:rsid w:val="55BC1684"/>
    <w:rsid w:val="55C51171"/>
    <w:rsid w:val="55E06C30"/>
    <w:rsid w:val="55F005E4"/>
    <w:rsid w:val="55FE762A"/>
    <w:rsid w:val="56163B6A"/>
    <w:rsid w:val="562135C9"/>
    <w:rsid w:val="5652429E"/>
    <w:rsid w:val="56647615"/>
    <w:rsid w:val="566D06F8"/>
    <w:rsid w:val="569D5CA9"/>
    <w:rsid w:val="56B32F05"/>
    <w:rsid w:val="56C153EC"/>
    <w:rsid w:val="56D97AFB"/>
    <w:rsid w:val="56E61DBB"/>
    <w:rsid w:val="56E82906"/>
    <w:rsid w:val="570C3519"/>
    <w:rsid w:val="57140C13"/>
    <w:rsid w:val="575D3E08"/>
    <w:rsid w:val="575E6DF7"/>
    <w:rsid w:val="578959D3"/>
    <w:rsid w:val="57B15E16"/>
    <w:rsid w:val="57B61A28"/>
    <w:rsid w:val="57C551E3"/>
    <w:rsid w:val="57CF2EAD"/>
    <w:rsid w:val="57D63F9E"/>
    <w:rsid w:val="57DF47C2"/>
    <w:rsid w:val="57E04C16"/>
    <w:rsid w:val="57E10282"/>
    <w:rsid w:val="57E10A18"/>
    <w:rsid w:val="57F610FA"/>
    <w:rsid w:val="57F97081"/>
    <w:rsid w:val="58054D73"/>
    <w:rsid w:val="58321906"/>
    <w:rsid w:val="585E1759"/>
    <w:rsid w:val="586817E4"/>
    <w:rsid w:val="58735841"/>
    <w:rsid w:val="588B067B"/>
    <w:rsid w:val="58B93B0C"/>
    <w:rsid w:val="58CF55AD"/>
    <w:rsid w:val="58D04950"/>
    <w:rsid w:val="58E80ED3"/>
    <w:rsid w:val="5907392D"/>
    <w:rsid w:val="59132FC9"/>
    <w:rsid w:val="594A4983"/>
    <w:rsid w:val="594B44B2"/>
    <w:rsid w:val="59660025"/>
    <w:rsid w:val="59837277"/>
    <w:rsid w:val="59864F37"/>
    <w:rsid w:val="599E6BDB"/>
    <w:rsid w:val="59A94E13"/>
    <w:rsid w:val="59C60070"/>
    <w:rsid w:val="59C77A85"/>
    <w:rsid w:val="59D413B8"/>
    <w:rsid w:val="59D54E22"/>
    <w:rsid w:val="59DB3EE9"/>
    <w:rsid w:val="59DB7B32"/>
    <w:rsid w:val="59DD105F"/>
    <w:rsid w:val="59FF1AE3"/>
    <w:rsid w:val="5A1164A2"/>
    <w:rsid w:val="5A1D47B4"/>
    <w:rsid w:val="5A4D6E61"/>
    <w:rsid w:val="5A6972A9"/>
    <w:rsid w:val="5A6F63BD"/>
    <w:rsid w:val="5A8A0AE5"/>
    <w:rsid w:val="5A8D2E03"/>
    <w:rsid w:val="5A8E53AC"/>
    <w:rsid w:val="5ABD4F04"/>
    <w:rsid w:val="5ABF5647"/>
    <w:rsid w:val="5AC067C1"/>
    <w:rsid w:val="5AF557D6"/>
    <w:rsid w:val="5AFD1C69"/>
    <w:rsid w:val="5B107039"/>
    <w:rsid w:val="5B2C004A"/>
    <w:rsid w:val="5B522B29"/>
    <w:rsid w:val="5B567D98"/>
    <w:rsid w:val="5B5A6341"/>
    <w:rsid w:val="5B9000A0"/>
    <w:rsid w:val="5B903647"/>
    <w:rsid w:val="5B9B44DA"/>
    <w:rsid w:val="5BC21AD9"/>
    <w:rsid w:val="5BD13847"/>
    <w:rsid w:val="5BE616F3"/>
    <w:rsid w:val="5BFE5ECB"/>
    <w:rsid w:val="5C054583"/>
    <w:rsid w:val="5C074BFC"/>
    <w:rsid w:val="5C0E1FA1"/>
    <w:rsid w:val="5C275553"/>
    <w:rsid w:val="5C415FB3"/>
    <w:rsid w:val="5C4D5BAC"/>
    <w:rsid w:val="5C54304E"/>
    <w:rsid w:val="5C575541"/>
    <w:rsid w:val="5C610B58"/>
    <w:rsid w:val="5C90034B"/>
    <w:rsid w:val="5CA11332"/>
    <w:rsid w:val="5CA46AC8"/>
    <w:rsid w:val="5CB744A8"/>
    <w:rsid w:val="5CD643B3"/>
    <w:rsid w:val="5CF05C2B"/>
    <w:rsid w:val="5D017E8E"/>
    <w:rsid w:val="5D371D66"/>
    <w:rsid w:val="5D3F4307"/>
    <w:rsid w:val="5D4077EE"/>
    <w:rsid w:val="5D652D61"/>
    <w:rsid w:val="5D79238A"/>
    <w:rsid w:val="5D795C4C"/>
    <w:rsid w:val="5D850D53"/>
    <w:rsid w:val="5D881975"/>
    <w:rsid w:val="5D8B5E38"/>
    <w:rsid w:val="5DA012CD"/>
    <w:rsid w:val="5DB1576E"/>
    <w:rsid w:val="5DB434FF"/>
    <w:rsid w:val="5DB92B11"/>
    <w:rsid w:val="5DCA02A9"/>
    <w:rsid w:val="5DCB1F86"/>
    <w:rsid w:val="5DD05607"/>
    <w:rsid w:val="5DF27452"/>
    <w:rsid w:val="5E127950"/>
    <w:rsid w:val="5E1F7B76"/>
    <w:rsid w:val="5E4B6FE0"/>
    <w:rsid w:val="5E5460C4"/>
    <w:rsid w:val="5E581806"/>
    <w:rsid w:val="5E73562F"/>
    <w:rsid w:val="5E8531E6"/>
    <w:rsid w:val="5E905B39"/>
    <w:rsid w:val="5E9C0565"/>
    <w:rsid w:val="5EBB2812"/>
    <w:rsid w:val="5EBE40F6"/>
    <w:rsid w:val="5EC27F7D"/>
    <w:rsid w:val="5EDE233A"/>
    <w:rsid w:val="5EDF0ECB"/>
    <w:rsid w:val="5EE60887"/>
    <w:rsid w:val="5EEA5A85"/>
    <w:rsid w:val="5EF833BA"/>
    <w:rsid w:val="5EFB6FF5"/>
    <w:rsid w:val="5EFD32BF"/>
    <w:rsid w:val="5F047BC3"/>
    <w:rsid w:val="5F076B4E"/>
    <w:rsid w:val="5F126655"/>
    <w:rsid w:val="5F225B30"/>
    <w:rsid w:val="5F22731E"/>
    <w:rsid w:val="5F2F375B"/>
    <w:rsid w:val="5F380CA5"/>
    <w:rsid w:val="5F3A5B90"/>
    <w:rsid w:val="5F4204D1"/>
    <w:rsid w:val="5F437DD4"/>
    <w:rsid w:val="5F48614C"/>
    <w:rsid w:val="5F566CC1"/>
    <w:rsid w:val="5F575BE6"/>
    <w:rsid w:val="5FB843FA"/>
    <w:rsid w:val="5FBC33E8"/>
    <w:rsid w:val="5FBF181F"/>
    <w:rsid w:val="5FC65213"/>
    <w:rsid w:val="5FD55C3C"/>
    <w:rsid w:val="5FD66A5E"/>
    <w:rsid w:val="5FD858B3"/>
    <w:rsid w:val="5FE9215F"/>
    <w:rsid w:val="5FEF5234"/>
    <w:rsid w:val="5FF562FF"/>
    <w:rsid w:val="601901FB"/>
    <w:rsid w:val="60227CB0"/>
    <w:rsid w:val="6023797A"/>
    <w:rsid w:val="602665F6"/>
    <w:rsid w:val="60280C61"/>
    <w:rsid w:val="602A2DA5"/>
    <w:rsid w:val="60636625"/>
    <w:rsid w:val="60671914"/>
    <w:rsid w:val="606C08AE"/>
    <w:rsid w:val="60764834"/>
    <w:rsid w:val="608537C7"/>
    <w:rsid w:val="60A03723"/>
    <w:rsid w:val="60B5788C"/>
    <w:rsid w:val="60C53C98"/>
    <w:rsid w:val="61034502"/>
    <w:rsid w:val="61114121"/>
    <w:rsid w:val="615272A5"/>
    <w:rsid w:val="61597EC3"/>
    <w:rsid w:val="616B08E8"/>
    <w:rsid w:val="6177172C"/>
    <w:rsid w:val="617722EB"/>
    <w:rsid w:val="618239FF"/>
    <w:rsid w:val="61A222F0"/>
    <w:rsid w:val="61BF242D"/>
    <w:rsid w:val="61C908C8"/>
    <w:rsid w:val="61D32381"/>
    <w:rsid w:val="61D92741"/>
    <w:rsid w:val="622D6ADD"/>
    <w:rsid w:val="625D6320"/>
    <w:rsid w:val="62936538"/>
    <w:rsid w:val="62982C0D"/>
    <w:rsid w:val="62A52046"/>
    <w:rsid w:val="62DB1422"/>
    <w:rsid w:val="62E46272"/>
    <w:rsid w:val="62FC1F47"/>
    <w:rsid w:val="63135989"/>
    <w:rsid w:val="63240941"/>
    <w:rsid w:val="6337658B"/>
    <w:rsid w:val="63381258"/>
    <w:rsid w:val="633A1660"/>
    <w:rsid w:val="63432674"/>
    <w:rsid w:val="6347657C"/>
    <w:rsid w:val="636A3DFC"/>
    <w:rsid w:val="63914CE7"/>
    <w:rsid w:val="639A36E5"/>
    <w:rsid w:val="63A31971"/>
    <w:rsid w:val="63A538C7"/>
    <w:rsid w:val="63A964C2"/>
    <w:rsid w:val="63C911B7"/>
    <w:rsid w:val="63D022A5"/>
    <w:rsid w:val="63E276F3"/>
    <w:rsid w:val="641B09AC"/>
    <w:rsid w:val="64207BDD"/>
    <w:rsid w:val="64241F26"/>
    <w:rsid w:val="64800636"/>
    <w:rsid w:val="649D3B1C"/>
    <w:rsid w:val="64BA5BE6"/>
    <w:rsid w:val="64C53F63"/>
    <w:rsid w:val="64CC6575"/>
    <w:rsid w:val="64CD73CD"/>
    <w:rsid w:val="64D5423E"/>
    <w:rsid w:val="64FF2315"/>
    <w:rsid w:val="65142CC1"/>
    <w:rsid w:val="651E5E94"/>
    <w:rsid w:val="651F242C"/>
    <w:rsid w:val="65393BFE"/>
    <w:rsid w:val="653C1938"/>
    <w:rsid w:val="657725E9"/>
    <w:rsid w:val="65930332"/>
    <w:rsid w:val="65957FD8"/>
    <w:rsid w:val="65BC23C8"/>
    <w:rsid w:val="65DF43B0"/>
    <w:rsid w:val="65F05EA6"/>
    <w:rsid w:val="661651F5"/>
    <w:rsid w:val="66170CCB"/>
    <w:rsid w:val="66356D6D"/>
    <w:rsid w:val="664513AC"/>
    <w:rsid w:val="665A729D"/>
    <w:rsid w:val="66616A64"/>
    <w:rsid w:val="667674A8"/>
    <w:rsid w:val="667F60C9"/>
    <w:rsid w:val="66832931"/>
    <w:rsid w:val="66836A3F"/>
    <w:rsid w:val="66840988"/>
    <w:rsid w:val="668B262C"/>
    <w:rsid w:val="66A339B1"/>
    <w:rsid w:val="66B5037E"/>
    <w:rsid w:val="66BA1A79"/>
    <w:rsid w:val="66C01ED2"/>
    <w:rsid w:val="66D161B8"/>
    <w:rsid w:val="66EC2796"/>
    <w:rsid w:val="67056B5C"/>
    <w:rsid w:val="670A56FB"/>
    <w:rsid w:val="6716125E"/>
    <w:rsid w:val="673242B9"/>
    <w:rsid w:val="673F2EE3"/>
    <w:rsid w:val="6741768B"/>
    <w:rsid w:val="674214A0"/>
    <w:rsid w:val="675033C0"/>
    <w:rsid w:val="675107A4"/>
    <w:rsid w:val="675251A2"/>
    <w:rsid w:val="67760531"/>
    <w:rsid w:val="67783D88"/>
    <w:rsid w:val="67A26DCC"/>
    <w:rsid w:val="67B00BBE"/>
    <w:rsid w:val="67B844AA"/>
    <w:rsid w:val="67F90FFD"/>
    <w:rsid w:val="680240FD"/>
    <w:rsid w:val="681729B2"/>
    <w:rsid w:val="6820759B"/>
    <w:rsid w:val="68293FBD"/>
    <w:rsid w:val="682A04B8"/>
    <w:rsid w:val="682C5C7D"/>
    <w:rsid w:val="683F6B0E"/>
    <w:rsid w:val="68515AE5"/>
    <w:rsid w:val="685A0A9B"/>
    <w:rsid w:val="68655A58"/>
    <w:rsid w:val="688F7C7E"/>
    <w:rsid w:val="689A12EE"/>
    <w:rsid w:val="689C2DA1"/>
    <w:rsid w:val="68A76AA6"/>
    <w:rsid w:val="68AA41EF"/>
    <w:rsid w:val="68CC0823"/>
    <w:rsid w:val="68D542A3"/>
    <w:rsid w:val="68DE319C"/>
    <w:rsid w:val="68F166D7"/>
    <w:rsid w:val="68FD54FF"/>
    <w:rsid w:val="693574CA"/>
    <w:rsid w:val="693A174A"/>
    <w:rsid w:val="69556D97"/>
    <w:rsid w:val="69592F37"/>
    <w:rsid w:val="69605096"/>
    <w:rsid w:val="6978083C"/>
    <w:rsid w:val="697868BA"/>
    <w:rsid w:val="69987260"/>
    <w:rsid w:val="69B679A2"/>
    <w:rsid w:val="69C127FB"/>
    <w:rsid w:val="69C74F96"/>
    <w:rsid w:val="69D17399"/>
    <w:rsid w:val="69DD7ED8"/>
    <w:rsid w:val="69F017EC"/>
    <w:rsid w:val="6A041BC0"/>
    <w:rsid w:val="6A3134D7"/>
    <w:rsid w:val="6A48318E"/>
    <w:rsid w:val="6A52572E"/>
    <w:rsid w:val="6A5B0A47"/>
    <w:rsid w:val="6A704AD9"/>
    <w:rsid w:val="6A7F3DFE"/>
    <w:rsid w:val="6A864681"/>
    <w:rsid w:val="6A8B4EB2"/>
    <w:rsid w:val="6A8D70DE"/>
    <w:rsid w:val="6A916B75"/>
    <w:rsid w:val="6A9916DC"/>
    <w:rsid w:val="6AA575F8"/>
    <w:rsid w:val="6AB46AC7"/>
    <w:rsid w:val="6ACC0C94"/>
    <w:rsid w:val="6ADF5164"/>
    <w:rsid w:val="6AEC109D"/>
    <w:rsid w:val="6AEF08DD"/>
    <w:rsid w:val="6AF47359"/>
    <w:rsid w:val="6AFF272E"/>
    <w:rsid w:val="6B0611BC"/>
    <w:rsid w:val="6B065E84"/>
    <w:rsid w:val="6B192A29"/>
    <w:rsid w:val="6B2118A3"/>
    <w:rsid w:val="6B2E654C"/>
    <w:rsid w:val="6B494415"/>
    <w:rsid w:val="6B5318D1"/>
    <w:rsid w:val="6B5578F5"/>
    <w:rsid w:val="6B5829F9"/>
    <w:rsid w:val="6B5B0623"/>
    <w:rsid w:val="6B781B54"/>
    <w:rsid w:val="6B8219E5"/>
    <w:rsid w:val="6B900044"/>
    <w:rsid w:val="6BA36DCB"/>
    <w:rsid w:val="6BDD130F"/>
    <w:rsid w:val="6BE447FB"/>
    <w:rsid w:val="6C181DDE"/>
    <w:rsid w:val="6C2C121B"/>
    <w:rsid w:val="6C8062EC"/>
    <w:rsid w:val="6C8C7F87"/>
    <w:rsid w:val="6C9460CE"/>
    <w:rsid w:val="6C9D5743"/>
    <w:rsid w:val="6C9F3D9E"/>
    <w:rsid w:val="6C9F6240"/>
    <w:rsid w:val="6CAB07AF"/>
    <w:rsid w:val="6CAF304F"/>
    <w:rsid w:val="6CB8067C"/>
    <w:rsid w:val="6CBC4747"/>
    <w:rsid w:val="6CE267A4"/>
    <w:rsid w:val="6CE26DB7"/>
    <w:rsid w:val="6CE41BD1"/>
    <w:rsid w:val="6CEB6460"/>
    <w:rsid w:val="6D037748"/>
    <w:rsid w:val="6D0863E8"/>
    <w:rsid w:val="6D0D06AB"/>
    <w:rsid w:val="6D1353A0"/>
    <w:rsid w:val="6D1C44A2"/>
    <w:rsid w:val="6D2F6662"/>
    <w:rsid w:val="6D396A71"/>
    <w:rsid w:val="6D5F126C"/>
    <w:rsid w:val="6D961B6A"/>
    <w:rsid w:val="6DA04048"/>
    <w:rsid w:val="6DB449D7"/>
    <w:rsid w:val="6DD66781"/>
    <w:rsid w:val="6DF4693F"/>
    <w:rsid w:val="6E035019"/>
    <w:rsid w:val="6E084EE2"/>
    <w:rsid w:val="6E0A59CB"/>
    <w:rsid w:val="6E174DE0"/>
    <w:rsid w:val="6E2773CA"/>
    <w:rsid w:val="6E394636"/>
    <w:rsid w:val="6E3E614A"/>
    <w:rsid w:val="6E400632"/>
    <w:rsid w:val="6E492579"/>
    <w:rsid w:val="6E4A4582"/>
    <w:rsid w:val="6E5F5A09"/>
    <w:rsid w:val="6E774098"/>
    <w:rsid w:val="6EAA3C44"/>
    <w:rsid w:val="6EAB5ACE"/>
    <w:rsid w:val="6EB67906"/>
    <w:rsid w:val="6EC438AB"/>
    <w:rsid w:val="6EEA56BC"/>
    <w:rsid w:val="6EED76CA"/>
    <w:rsid w:val="6EFB1E81"/>
    <w:rsid w:val="6F0E5BB7"/>
    <w:rsid w:val="6F2F5A93"/>
    <w:rsid w:val="6F5B430E"/>
    <w:rsid w:val="6F654945"/>
    <w:rsid w:val="6F884E95"/>
    <w:rsid w:val="6F893ECF"/>
    <w:rsid w:val="6F9F785E"/>
    <w:rsid w:val="6FA00221"/>
    <w:rsid w:val="6FA15072"/>
    <w:rsid w:val="6FA824AC"/>
    <w:rsid w:val="6FAF7AB6"/>
    <w:rsid w:val="6FC4447C"/>
    <w:rsid w:val="6FDC7F7A"/>
    <w:rsid w:val="6FDD2D88"/>
    <w:rsid w:val="6FE20D80"/>
    <w:rsid w:val="6FE514E8"/>
    <w:rsid w:val="6FF74231"/>
    <w:rsid w:val="700B4E4F"/>
    <w:rsid w:val="70222901"/>
    <w:rsid w:val="704C2EB1"/>
    <w:rsid w:val="7083706C"/>
    <w:rsid w:val="708945CA"/>
    <w:rsid w:val="70912FDF"/>
    <w:rsid w:val="709A7EBF"/>
    <w:rsid w:val="70AB7406"/>
    <w:rsid w:val="70BE0431"/>
    <w:rsid w:val="70FE21C6"/>
    <w:rsid w:val="710D2969"/>
    <w:rsid w:val="71110524"/>
    <w:rsid w:val="712B00D1"/>
    <w:rsid w:val="712B3F4F"/>
    <w:rsid w:val="71383046"/>
    <w:rsid w:val="714945A6"/>
    <w:rsid w:val="71593C12"/>
    <w:rsid w:val="7165065B"/>
    <w:rsid w:val="71655D9A"/>
    <w:rsid w:val="71771A80"/>
    <w:rsid w:val="71792857"/>
    <w:rsid w:val="718254C5"/>
    <w:rsid w:val="719D4CFC"/>
    <w:rsid w:val="71B55386"/>
    <w:rsid w:val="71B85671"/>
    <w:rsid w:val="71DD1DF2"/>
    <w:rsid w:val="71E9171C"/>
    <w:rsid w:val="71FA7E9B"/>
    <w:rsid w:val="72090470"/>
    <w:rsid w:val="722B5109"/>
    <w:rsid w:val="723458BE"/>
    <w:rsid w:val="724E0D0E"/>
    <w:rsid w:val="72584870"/>
    <w:rsid w:val="727A53C8"/>
    <w:rsid w:val="728F6D86"/>
    <w:rsid w:val="729B2135"/>
    <w:rsid w:val="72C709A1"/>
    <w:rsid w:val="72C83B28"/>
    <w:rsid w:val="72CD7F4C"/>
    <w:rsid w:val="72DD2A51"/>
    <w:rsid w:val="72FB7AB5"/>
    <w:rsid w:val="73194BF9"/>
    <w:rsid w:val="73253A26"/>
    <w:rsid w:val="733E188C"/>
    <w:rsid w:val="7355320E"/>
    <w:rsid w:val="73575364"/>
    <w:rsid w:val="735E6AA6"/>
    <w:rsid w:val="7375259B"/>
    <w:rsid w:val="737B7FFF"/>
    <w:rsid w:val="73B10FC1"/>
    <w:rsid w:val="73C430A0"/>
    <w:rsid w:val="73CB538A"/>
    <w:rsid w:val="73E32554"/>
    <w:rsid w:val="73E821D4"/>
    <w:rsid w:val="73EF6000"/>
    <w:rsid w:val="740A4783"/>
    <w:rsid w:val="74110767"/>
    <w:rsid w:val="74112EA8"/>
    <w:rsid w:val="743158F3"/>
    <w:rsid w:val="743832BD"/>
    <w:rsid w:val="7451766C"/>
    <w:rsid w:val="746F06FF"/>
    <w:rsid w:val="748267C6"/>
    <w:rsid w:val="74874E52"/>
    <w:rsid w:val="749A2B60"/>
    <w:rsid w:val="74F7002D"/>
    <w:rsid w:val="75207B29"/>
    <w:rsid w:val="754A2E68"/>
    <w:rsid w:val="755F387D"/>
    <w:rsid w:val="75632A29"/>
    <w:rsid w:val="756B62FA"/>
    <w:rsid w:val="757973C6"/>
    <w:rsid w:val="75870319"/>
    <w:rsid w:val="759157B4"/>
    <w:rsid w:val="75916EEA"/>
    <w:rsid w:val="75A43FB3"/>
    <w:rsid w:val="75A80E5C"/>
    <w:rsid w:val="75B20A5B"/>
    <w:rsid w:val="75C0584D"/>
    <w:rsid w:val="75CC4EB4"/>
    <w:rsid w:val="75EE0425"/>
    <w:rsid w:val="76261B5A"/>
    <w:rsid w:val="76326FFA"/>
    <w:rsid w:val="76340F9B"/>
    <w:rsid w:val="76362102"/>
    <w:rsid w:val="765359F1"/>
    <w:rsid w:val="7671410E"/>
    <w:rsid w:val="76A715AA"/>
    <w:rsid w:val="76A93DF2"/>
    <w:rsid w:val="76B0593D"/>
    <w:rsid w:val="76BC5DCC"/>
    <w:rsid w:val="76BF4C45"/>
    <w:rsid w:val="76C13DE7"/>
    <w:rsid w:val="76C864FA"/>
    <w:rsid w:val="76D3007E"/>
    <w:rsid w:val="76D84EE0"/>
    <w:rsid w:val="76D923B4"/>
    <w:rsid w:val="76DC7998"/>
    <w:rsid w:val="76E964ED"/>
    <w:rsid w:val="76F66A11"/>
    <w:rsid w:val="770F42D0"/>
    <w:rsid w:val="77280615"/>
    <w:rsid w:val="772F5646"/>
    <w:rsid w:val="77301166"/>
    <w:rsid w:val="77450687"/>
    <w:rsid w:val="77485DC1"/>
    <w:rsid w:val="77583AF0"/>
    <w:rsid w:val="7766173B"/>
    <w:rsid w:val="77711F47"/>
    <w:rsid w:val="778C59CF"/>
    <w:rsid w:val="779206BB"/>
    <w:rsid w:val="77AA1C81"/>
    <w:rsid w:val="77B22529"/>
    <w:rsid w:val="77B4330D"/>
    <w:rsid w:val="77C36C67"/>
    <w:rsid w:val="77C8129E"/>
    <w:rsid w:val="77D4617E"/>
    <w:rsid w:val="77DA7C81"/>
    <w:rsid w:val="77DE3E8D"/>
    <w:rsid w:val="780E536D"/>
    <w:rsid w:val="785A0DB1"/>
    <w:rsid w:val="785F3693"/>
    <w:rsid w:val="78756100"/>
    <w:rsid w:val="787D5686"/>
    <w:rsid w:val="78846B58"/>
    <w:rsid w:val="788E0C1D"/>
    <w:rsid w:val="78BB24E8"/>
    <w:rsid w:val="78C07F1E"/>
    <w:rsid w:val="78CB4E13"/>
    <w:rsid w:val="79066389"/>
    <w:rsid w:val="790A70CA"/>
    <w:rsid w:val="79157696"/>
    <w:rsid w:val="792D4F71"/>
    <w:rsid w:val="7948429A"/>
    <w:rsid w:val="795C7FF5"/>
    <w:rsid w:val="7964185A"/>
    <w:rsid w:val="797E5512"/>
    <w:rsid w:val="799310EB"/>
    <w:rsid w:val="79D60053"/>
    <w:rsid w:val="79E958BD"/>
    <w:rsid w:val="79F95C6D"/>
    <w:rsid w:val="7A1601F8"/>
    <w:rsid w:val="7A3A4611"/>
    <w:rsid w:val="7A7905BB"/>
    <w:rsid w:val="7AA15B2F"/>
    <w:rsid w:val="7AFD6121"/>
    <w:rsid w:val="7B011A54"/>
    <w:rsid w:val="7B0C6B9C"/>
    <w:rsid w:val="7B14425C"/>
    <w:rsid w:val="7B234F60"/>
    <w:rsid w:val="7B2910FA"/>
    <w:rsid w:val="7B2D04EA"/>
    <w:rsid w:val="7B422DAA"/>
    <w:rsid w:val="7B60147E"/>
    <w:rsid w:val="7B7D3205"/>
    <w:rsid w:val="7BD54046"/>
    <w:rsid w:val="7BEC2E8A"/>
    <w:rsid w:val="7BEF5B5F"/>
    <w:rsid w:val="7BFC7E72"/>
    <w:rsid w:val="7C0D1637"/>
    <w:rsid w:val="7C723E1C"/>
    <w:rsid w:val="7C7B03BD"/>
    <w:rsid w:val="7C8E5AD2"/>
    <w:rsid w:val="7C992B5D"/>
    <w:rsid w:val="7CA611F6"/>
    <w:rsid w:val="7CB67B32"/>
    <w:rsid w:val="7CB70341"/>
    <w:rsid w:val="7CC4597B"/>
    <w:rsid w:val="7CCE42B5"/>
    <w:rsid w:val="7CFF3506"/>
    <w:rsid w:val="7D246F93"/>
    <w:rsid w:val="7D3136DA"/>
    <w:rsid w:val="7D3943C9"/>
    <w:rsid w:val="7D4A270F"/>
    <w:rsid w:val="7D5A04F3"/>
    <w:rsid w:val="7D5C2388"/>
    <w:rsid w:val="7D7076DB"/>
    <w:rsid w:val="7D732173"/>
    <w:rsid w:val="7D761877"/>
    <w:rsid w:val="7D804EC7"/>
    <w:rsid w:val="7D81074D"/>
    <w:rsid w:val="7DBA4D71"/>
    <w:rsid w:val="7DD111DB"/>
    <w:rsid w:val="7DD91E49"/>
    <w:rsid w:val="7DEE4ECA"/>
    <w:rsid w:val="7E136100"/>
    <w:rsid w:val="7E465CE5"/>
    <w:rsid w:val="7E69609B"/>
    <w:rsid w:val="7E6E6856"/>
    <w:rsid w:val="7E816B73"/>
    <w:rsid w:val="7EA00C5A"/>
    <w:rsid w:val="7EA209B7"/>
    <w:rsid w:val="7EB23C5A"/>
    <w:rsid w:val="7EBC6F51"/>
    <w:rsid w:val="7EC546E7"/>
    <w:rsid w:val="7EC71024"/>
    <w:rsid w:val="7ED82FA9"/>
    <w:rsid w:val="7EED5CE9"/>
    <w:rsid w:val="7EF03963"/>
    <w:rsid w:val="7F0A41B9"/>
    <w:rsid w:val="7F1814C5"/>
    <w:rsid w:val="7F1C6A1B"/>
    <w:rsid w:val="7F417E26"/>
    <w:rsid w:val="7F433504"/>
    <w:rsid w:val="7F4365A6"/>
    <w:rsid w:val="7F4671C5"/>
    <w:rsid w:val="7F66009D"/>
    <w:rsid w:val="7F683C79"/>
    <w:rsid w:val="7F9635D5"/>
    <w:rsid w:val="7FBA385E"/>
    <w:rsid w:val="7FBB1AB2"/>
    <w:rsid w:val="7FCF1AC7"/>
    <w:rsid w:val="7FE03D47"/>
    <w:rsid w:val="7FEC6E26"/>
    <w:rsid w:val="7FF356A2"/>
    <w:rsid w:val="7FF457CC"/>
  </w:rsids>
  <m:mathPr>
    <m:mathFont m:val="Cambria Math"/>
    <m:brkBin m:val="before"/>
    <m:brkBinSub m:val="--"/>
    <m:smallFrac m:val="1"/>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6"/>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49"/>
    <w:qFormat/>
    <w:locked/>
    <w:uiPriority w:val="9"/>
    <w:pPr>
      <w:keepNext/>
      <w:keepLines/>
      <w:spacing w:before="260" w:after="260" w:line="416" w:lineRule="auto"/>
      <w:outlineLvl w:val="1"/>
    </w:pPr>
    <w:rPr>
      <w:rFonts w:ascii="Cambria" w:hAnsi="Cambria"/>
      <w:b/>
      <w:bCs/>
      <w:sz w:val="32"/>
      <w:szCs w:val="32"/>
    </w:rPr>
  </w:style>
  <w:style w:type="paragraph" w:styleId="5">
    <w:name w:val="heading 3"/>
    <w:basedOn w:val="1"/>
    <w:next w:val="1"/>
    <w:link w:val="27"/>
    <w:qFormat/>
    <w:uiPriority w:val="99"/>
    <w:pPr>
      <w:keepNext/>
      <w:keepLines/>
      <w:spacing w:before="260" w:after="260" w:line="416" w:lineRule="auto"/>
      <w:outlineLvl w:val="2"/>
    </w:pPr>
    <w:rPr>
      <w:rFonts w:ascii="Times New Roman" w:hAnsi="Times New Roman"/>
      <w:b/>
      <w:bCs/>
      <w:kern w:val="0"/>
      <w:sz w:val="32"/>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7"/>
    <w:qFormat/>
    <w:uiPriority w:val="99"/>
    <w:pPr>
      <w:ind w:left="206"/>
      <w:jc w:val="left"/>
    </w:pPr>
    <w:rPr>
      <w:rFonts w:ascii="宋体" w:hAnsi="宋体"/>
      <w:kern w:val="0"/>
      <w:sz w:val="18"/>
      <w:szCs w:val="18"/>
      <w:lang w:eastAsia="en-US"/>
    </w:rPr>
  </w:style>
  <w:style w:type="paragraph" w:styleId="6">
    <w:name w:val="Document Map"/>
    <w:basedOn w:val="1"/>
    <w:link w:val="45"/>
    <w:semiHidden/>
    <w:unhideWhenUsed/>
    <w:qFormat/>
    <w:uiPriority w:val="99"/>
    <w:rPr>
      <w:rFonts w:ascii="宋体"/>
      <w:sz w:val="18"/>
      <w:szCs w:val="18"/>
    </w:rPr>
  </w:style>
  <w:style w:type="paragraph" w:styleId="7">
    <w:name w:val="annotation text"/>
    <w:basedOn w:val="1"/>
    <w:link w:val="30"/>
    <w:semiHidden/>
    <w:qFormat/>
    <w:uiPriority w:val="99"/>
    <w:pPr>
      <w:jc w:val="left"/>
    </w:pPr>
    <w:rPr>
      <w:kern w:val="0"/>
      <w:sz w:val="24"/>
    </w:rPr>
  </w:style>
  <w:style w:type="paragraph" w:styleId="8">
    <w:name w:val="Body Text Indent"/>
    <w:basedOn w:val="1"/>
    <w:qFormat/>
    <w:uiPriority w:val="0"/>
    <w:pPr>
      <w:spacing w:after="120"/>
      <w:ind w:left="420" w:leftChars="200"/>
    </w:pPr>
  </w:style>
  <w:style w:type="paragraph" w:styleId="9">
    <w:name w:val="toc 3"/>
    <w:basedOn w:val="1"/>
    <w:next w:val="1"/>
    <w:qFormat/>
    <w:uiPriority w:val="39"/>
    <w:pPr>
      <w:widowControl/>
      <w:spacing w:after="100" w:line="276" w:lineRule="auto"/>
      <w:ind w:left="440"/>
      <w:jc w:val="left"/>
    </w:pPr>
    <w:rPr>
      <w:kern w:val="0"/>
      <w:sz w:val="22"/>
      <w:szCs w:val="22"/>
    </w:rPr>
  </w:style>
  <w:style w:type="paragraph" w:styleId="10">
    <w:name w:val="Plain Text"/>
    <w:basedOn w:val="1"/>
    <w:link w:val="35"/>
    <w:qFormat/>
    <w:uiPriority w:val="99"/>
    <w:rPr>
      <w:rFonts w:ascii="宋体" w:hAnsi="Courier New"/>
      <w:kern w:val="0"/>
      <w:szCs w:val="21"/>
    </w:rPr>
  </w:style>
  <w:style w:type="paragraph" w:styleId="11">
    <w:name w:val="Date"/>
    <w:basedOn w:val="1"/>
    <w:next w:val="1"/>
    <w:link w:val="44"/>
    <w:qFormat/>
    <w:uiPriority w:val="99"/>
    <w:pPr>
      <w:ind w:left="100" w:leftChars="2500"/>
    </w:pPr>
    <w:rPr>
      <w:szCs w:val="22"/>
    </w:rPr>
  </w:style>
  <w:style w:type="paragraph" w:styleId="12">
    <w:name w:val="Balloon Text"/>
    <w:basedOn w:val="1"/>
    <w:link w:val="32"/>
    <w:semiHidden/>
    <w:qFormat/>
    <w:uiPriority w:val="99"/>
    <w:rPr>
      <w:kern w:val="0"/>
      <w:sz w:val="18"/>
      <w:szCs w:val="18"/>
    </w:rPr>
  </w:style>
  <w:style w:type="paragraph" w:styleId="13">
    <w:name w:val="footer"/>
    <w:basedOn w:val="1"/>
    <w:link w:val="29"/>
    <w:qFormat/>
    <w:uiPriority w:val="99"/>
    <w:pPr>
      <w:tabs>
        <w:tab w:val="center" w:pos="4153"/>
        <w:tab w:val="right" w:pos="8306"/>
      </w:tabs>
      <w:snapToGrid w:val="0"/>
      <w:jc w:val="left"/>
    </w:pPr>
    <w:rPr>
      <w:kern w:val="0"/>
      <w:sz w:val="18"/>
      <w:szCs w:val="18"/>
    </w:rPr>
  </w:style>
  <w:style w:type="paragraph" w:styleId="14">
    <w:name w:val="header"/>
    <w:basedOn w:val="1"/>
    <w:link w:val="28"/>
    <w:qFormat/>
    <w:uiPriority w:val="99"/>
    <w:pPr>
      <w:pBdr>
        <w:bottom w:val="single" w:color="auto" w:sz="6" w:space="1"/>
      </w:pBdr>
      <w:tabs>
        <w:tab w:val="center" w:pos="4153"/>
        <w:tab w:val="right" w:pos="8306"/>
      </w:tabs>
      <w:snapToGrid w:val="0"/>
      <w:jc w:val="center"/>
    </w:pPr>
    <w:rPr>
      <w:kern w:val="0"/>
      <w:sz w:val="18"/>
      <w:szCs w:val="18"/>
    </w:rPr>
  </w:style>
  <w:style w:type="paragraph" w:styleId="15">
    <w:name w:val="toc 1"/>
    <w:basedOn w:val="1"/>
    <w:next w:val="1"/>
    <w:qFormat/>
    <w:uiPriority w:val="39"/>
    <w:pPr>
      <w:widowControl/>
      <w:spacing w:after="100" w:line="276" w:lineRule="auto"/>
      <w:jc w:val="left"/>
    </w:pPr>
    <w:rPr>
      <w:kern w:val="0"/>
      <w:sz w:val="22"/>
      <w:szCs w:val="22"/>
    </w:rPr>
  </w:style>
  <w:style w:type="paragraph" w:styleId="16">
    <w:name w:val="toc 2"/>
    <w:basedOn w:val="1"/>
    <w:next w:val="1"/>
    <w:qFormat/>
    <w:uiPriority w:val="39"/>
    <w:pPr>
      <w:widowControl/>
      <w:spacing w:after="100" w:line="276" w:lineRule="auto"/>
      <w:ind w:left="220"/>
      <w:jc w:val="left"/>
    </w:pPr>
    <w:rPr>
      <w:kern w:val="0"/>
      <w:sz w:val="22"/>
      <w:szCs w:val="22"/>
    </w:rPr>
  </w:style>
  <w:style w:type="paragraph" w:styleId="17">
    <w:name w:val="Normal (Web)"/>
    <w:basedOn w:val="1"/>
    <w:qFormat/>
    <w:uiPriority w:val="99"/>
    <w:pPr>
      <w:jc w:val="left"/>
    </w:pPr>
    <w:rPr>
      <w:kern w:val="0"/>
      <w:sz w:val="24"/>
      <w:szCs w:val="22"/>
    </w:rPr>
  </w:style>
  <w:style w:type="paragraph" w:styleId="18">
    <w:name w:val="Title"/>
    <w:basedOn w:val="1"/>
    <w:next w:val="1"/>
    <w:link w:val="33"/>
    <w:qFormat/>
    <w:uiPriority w:val="0"/>
    <w:pPr>
      <w:spacing w:line="360" w:lineRule="auto"/>
      <w:outlineLvl w:val="0"/>
    </w:pPr>
    <w:rPr>
      <w:rFonts w:ascii="Times New Roman" w:hAnsi="Times New Roman" w:eastAsia="黑体"/>
      <w:bCs/>
      <w:kern w:val="0"/>
      <w:sz w:val="32"/>
      <w:szCs w:val="32"/>
    </w:rPr>
  </w:style>
  <w:style w:type="paragraph" w:styleId="19">
    <w:name w:val="annotation subject"/>
    <w:basedOn w:val="7"/>
    <w:next w:val="7"/>
    <w:link w:val="31"/>
    <w:semiHidden/>
    <w:qFormat/>
    <w:uiPriority w:val="99"/>
    <w:rPr>
      <w:b/>
      <w:bCs/>
    </w:rPr>
  </w:style>
  <w:style w:type="paragraph" w:styleId="20">
    <w:name w:val="Body Text First Indent 2"/>
    <w:basedOn w:val="8"/>
    <w:qFormat/>
    <w:uiPriority w:val="0"/>
    <w:pPr>
      <w:ind w:firstLine="420" w:firstLineChars="200"/>
    </w:pPr>
  </w:style>
  <w:style w:type="table" w:styleId="22">
    <w:name w:val="Table Grid"/>
    <w:basedOn w:val="21"/>
    <w:qFormat/>
    <w:locked/>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4">
    <w:name w:val="Hyperlink"/>
    <w:qFormat/>
    <w:uiPriority w:val="99"/>
    <w:rPr>
      <w:rFonts w:cs="Times New Roman"/>
      <w:color w:val="0000FF"/>
      <w:u w:val="single"/>
    </w:rPr>
  </w:style>
  <w:style w:type="character" w:styleId="25">
    <w:name w:val="annotation reference"/>
    <w:semiHidden/>
    <w:qFormat/>
    <w:uiPriority w:val="99"/>
    <w:rPr>
      <w:rFonts w:cs="Times New Roman"/>
      <w:sz w:val="21"/>
      <w:szCs w:val="21"/>
    </w:rPr>
  </w:style>
  <w:style w:type="character" w:customStyle="1" w:styleId="26">
    <w:name w:val="标题 1 Char"/>
    <w:link w:val="3"/>
    <w:qFormat/>
    <w:locked/>
    <w:uiPriority w:val="0"/>
    <w:rPr>
      <w:rFonts w:ascii="Calibri" w:hAnsi="Calibri" w:eastAsia="宋体" w:cs="Times New Roman"/>
      <w:b/>
      <w:bCs/>
      <w:kern w:val="44"/>
      <w:sz w:val="44"/>
      <w:szCs w:val="44"/>
    </w:rPr>
  </w:style>
  <w:style w:type="character" w:customStyle="1" w:styleId="27">
    <w:name w:val="标题 3 Char"/>
    <w:link w:val="5"/>
    <w:qFormat/>
    <w:locked/>
    <w:uiPriority w:val="99"/>
    <w:rPr>
      <w:rFonts w:ascii="Times New Roman" w:hAnsi="Times New Roman" w:eastAsia="宋体" w:cs="Times New Roman"/>
      <w:b/>
      <w:bCs/>
      <w:sz w:val="32"/>
      <w:szCs w:val="32"/>
    </w:rPr>
  </w:style>
  <w:style w:type="character" w:customStyle="1" w:styleId="28">
    <w:name w:val="页眉 Char"/>
    <w:link w:val="14"/>
    <w:qFormat/>
    <w:locked/>
    <w:uiPriority w:val="99"/>
    <w:rPr>
      <w:rFonts w:cs="Times New Roman"/>
      <w:sz w:val="18"/>
      <w:szCs w:val="18"/>
    </w:rPr>
  </w:style>
  <w:style w:type="character" w:customStyle="1" w:styleId="29">
    <w:name w:val="页脚 Char"/>
    <w:link w:val="13"/>
    <w:qFormat/>
    <w:locked/>
    <w:uiPriority w:val="99"/>
    <w:rPr>
      <w:rFonts w:cs="Times New Roman"/>
      <w:sz w:val="18"/>
      <w:szCs w:val="18"/>
    </w:rPr>
  </w:style>
  <w:style w:type="character" w:customStyle="1" w:styleId="30">
    <w:name w:val="批注文字 Char"/>
    <w:link w:val="7"/>
    <w:semiHidden/>
    <w:qFormat/>
    <w:locked/>
    <w:uiPriority w:val="99"/>
    <w:rPr>
      <w:rFonts w:ascii="Calibri" w:hAnsi="Calibri" w:eastAsia="宋体" w:cs="Times New Roman"/>
      <w:sz w:val="24"/>
      <w:szCs w:val="24"/>
    </w:rPr>
  </w:style>
  <w:style w:type="character" w:customStyle="1" w:styleId="31">
    <w:name w:val="批注主题 Char"/>
    <w:link w:val="19"/>
    <w:semiHidden/>
    <w:qFormat/>
    <w:locked/>
    <w:uiPriority w:val="99"/>
    <w:rPr>
      <w:rFonts w:ascii="Calibri" w:hAnsi="Calibri" w:eastAsia="宋体" w:cs="Times New Roman"/>
      <w:b/>
      <w:bCs/>
      <w:sz w:val="24"/>
      <w:szCs w:val="24"/>
    </w:rPr>
  </w:style>
  <w:style w:type="character" w:customStyle="1" w:styleId="32">
    <w:name w:val="批注框文本 Char"/>
    <w:link w:val="12"/>
    <w:semiHidden/>
    <w:qFormat/>
    <w:locked/>
    <w:uiPriority w:val="99"/>
    <w:rPr>
      <w:rFonts w:ascii="Calibri" w:hAnsi="Calibri" w:eastAsia="宋体" w:cs="Times New Roman"/>
      <w:sz w:val="18"/>
      <w:szCs w:val="18"/>
    </w:rPr>
  </w:style>
  <w:style w:type="character" w:customStyle="1" w:styleId="33">
    <w:name w:val="标题 Char1"/>
    <w:link w:val="18"/>
    <w:qFormat/>
    <w:locked/>
    <w:uiPriority w:val="99"/>
    <w:rPr>
      <w:rFonts w:ascii="Times New Roman" w:hAnsi="Times New Roman" w:eastAsia="黑体" w:cs="Times New Roman"/>
      <w:bCs/>
      <w:kern w:val="0"/>
      <w:sz w:val="32"/>
      <w:szCs w:val="32"/>
    </w:rPr>
  </w:style>
  <w:style w:type="character" w:customStyle="1" w:styleId="34">
    <w:name w:val="标题 Char"/>
    <w:qFormat/>
    <w:uiPriority w:val="99"/>
    <w:rPr>
      <w:rFonts w:ascii="Cambria" w:hAnsi="Cambria" w:eastAsia="宋体" w:cs="Times New Roman"/>
      <w:b/>
      <w:bCs/>
      <w:sz w:val="32"/>
      <w:szCs w:val="32"/>
    </w:rPr>
  </w:style>
  <w:style w:type="character" w:customStyle="1" w:styleId="35">
    <w:name w:val="纯文本 Char"/>
    <w:link w:val="10"/>
    <w:qFormat/>
    <w:locked/>
    <w:uiPriority w:val="99"/>
    <w:rPr>
      <w:rFonts w:ascii="宋体" w:hAnsi="Courier New" w:eastAsia="宋体" w:cs="Times New Roman"/>
      <w:sz w:val="21"/>
      <w:szCs w:val="21"/>
    </w:rPr>
  </w:style>
  <w:style w:type="paragraph" w:customStyle="1" w:styleId="36">
    <w:name w:val="列出段落1"/>
    <w:basedOn w:val="1"/>
    <w:qFormat/>
    <w:uiPriority w:val="99"/>
    <w:pPr>
      <w:widowControl/>
      <w:spacing w:after="200" w:line="276" w:lineRule="auto"/>
      <w:ind w:firstLine="420" w:firstLineChars="200"/>
      <w:jc w:val="left"/>
    </w:pPr>
    <w:rPr>
      <w:rFonts w:ascii="Times New Roman" w:hAnsi="Times New Roman"/>
      <w:kern w:val="0"/>
      <w:sz w:val="28"/>
      <w:szCs w:val="22"/>
      <w:lang w:eastAsia="en-US"/>
    </w:rPr>
  </w:style>
  <w:style w:type="character" w:customStyle="1" w:styleId="37">
    <w:name w:val="font01"/>
    <w:qFormat/>
    <w:uiPriority w:val="0"/>
    <w:rPr>
      <w:rFonts w:ascii="Symbol" w:hAnsi="Symbol" w:cs="Times New Roman"/>
      <w:color w:val="000000"/>
      <w:sz w:val="24"/>
      <w:szCs w:val="24"/>
      <w:u w:val="none"/>
    </w:rPr>
  </w:style>
  <w:style w:type="character" w:customStyle="1" w:styleId="38">
    <w:name w:val="font11"/>
    <w:qFormat/>
    <w:uiPriority w:val="0"/>
    <w:rPr>
      <w:rFonts w:ascii="仿宋" w:hAnsi="仿宋" w:eastAsia="仿宋" w:cs="Times New Roman"/>
      <w:color w:val="000000"/>
      <w:sz w:val="24"/>
      <w:szCs w:val="24"/>
      <w:u w:val="none"/>
    </w:rPr>
  </w:style>
  <w:style w:type="character" w:customStyle="1" w:styleId="39">
    <w:name w:val="font31"/>
    <w:qFormat/>
    <w:uiPriority w:val="0"/>
    <w:rPr>
      <w:rFonts w:ascii="宋体" w:hAnsi="宋体" w:eastAsia="宋体" w:cs="Times New Roman"/>
      <w:color w:val="000000"/>
      <w:sz w:val="24"/>
      <w:szCs w:val="24"/>
      <w:u w:val="none"/>
    </w:rPr>
  </w:style>
  <w:style w:type="paragraph" w:customStyle="1" w:styleId="40">
    <w:name w:val="TOC 标题1"/>
    <w:basedOn w:val="3"/>
    <w:next w:val="1"/>
    <w:qFormat/>
    <w:uiPriority w:val="99"/>
    <w:pPr>
      <w:widowControl/>
      <w:spacing w:before="480" w:after="0" w:line="276" w:lineRule="auto"/>
      <w:jc w:val="left"/>
      <w:outlineLvl w:val="9"/>
    </w:pPr>
    <w:rPr>
      <w:rFonts w:ascii="Cambria" w:hAnsi="Cambria"/>
      <w:color w:val="365F91"/>
      <w:kern w:val="0"/>
      <w:sz w:val="28"/>
      <w:szCs w:val="28"/>
    </w:rPr>
  </w:style>
  <w:style w:type="paragraph" w:customStyle="1" w:styleId="41">
    <w:name w:val="正文1"/>
    <w:basedOn w:val="1"/>
    <w:link w:val="42"/>
    <w:qFormat/>
    <w:uiPriority w:val="0"/>
    <w:pPr>
      <w:widowControl/>
      <w:spacing w:after="200" w:line="480" w:lineRule="auto"/>
      <w:ind w:firstLine="200" w:firstLineChars="200"/>
      <w:jc w:val="left"/>
    </w:pPr>
    <w:rPr>
      <w:rFonts w:ascii="Times New Roman" w:hAnsi="Times New Roman" w:eastAsia="仿宋"/>
      <w:kern w:val="0"/>
      <w:sz w:val="28"/>
      <w:szCs w:val="22"/>
      <w:lang w:eastAsia="en-US" w:bidi="en-US"/>
    </w:rPr>
  </w:style>
  <w:style w:type="character" w:customStyle="1" w:styleId="42">
    <w:name w:val="正文1 Char"/>
    <w:link w:val="41"/>
    <w:qFormat/>
    <w:uiPriority w:val="0"/>
    <w:rPr>
      <w:rFonts w:ascii="Times New Roman" w:hAnsi="Times New Roman" w:eastAsia="仿宋"/>
      <w:sz w:val="28"/>
      <w:szCs w:val="22"/>
      <w:lang w:eastAsia="en-US" w:bidi="en-US"/>
    </w:rPr>
  </w:style>
  <w:style w:type="paragraph" w:customStyle="1" w:styleId="43">
    <w:name w:val="修订1"/>
    <w:hidden/>
    <w:unhideWhenUsed/>
    <w:qFormat/>
    <w:uiPriority w:val="99"/>
    <w:rPr>
      <w:rFonts w:ascii="Calibri" w:hAnsi="Calibri" w:eastAsia="宋体" w:cs="Times New Roman"/>
      <w:kern w:val="2"/>
      <w:sz w:val="21"/>
      <w:szCs w:val="24"/>
      <w:lang w:val="en-US" w:eastAsia="zh-CN" w:bidi="ar-SA"/>
    </w:rPr>
  </w:style>
  <w:style w:type="character" w:customStyle="1" w:styleId="44">
    <w:name w:val="日期 Char"/>
    <w:basedOn w:val="23"/>
    <w:link w:val="11"/>
    <w:qFormat/>
    <w:uiPriority w:val="99"/>
    <w:rPr>
      <w:rFonts w:ascii="Calibri" w:hAnsi="Calibri"/>
      <w:kern w:val="2"/>
      <w:sz w:val="21"/>
      <w:szCs w:val="22"/>
    </w:rPr>
  </w:style>
  <w:style w:type="character" w:customStyle="1" w:styleId="45">
    <w:name w:val="文档结构图 Char"/>
    <w:basedOn w:val="23"/>
    <w:link w:val="6"/>
    <w:semiHidden/>
    <w:qFormat/>
    <w:uiPriority w:val="99"/>
    <w:rPr>
      <w:rFonts w:ascii="宋体" w:hAnsi="Calibri"/>
      <w:kern w:val="2"/>
      <w:sz w:val="18"/>
      <w:szCs w:val="18"/>
    </w:rPr>
  </w:style>
  <w:style w:type="character" w:customStyle="1" w:styleId="46">
    <w:name w:val="font21"/>
    <w:basedOn w:val="23"/>
    <w:qFormat/>
    <w:uiPriority w:val="0"/>
    <w:rPr>
      <w:rFonts w:hint="default" w:ascii="Arial Narrow" w:hAnsi="Arial Narrow"/>
      <w:color w:val="000000"/>
      <w:sz w:val="20"/>
      <w:szCs w:val="20"/>
      <w:u w:val="none"/>
    </w:rPr>
  </w:style>
  <w:style w:type="character" w:customStyle="1" w:styleId="47">
    <w:name w:val="正文文本 Char"/>
    <w:basedOn w:val="23"/>
    <w:link w:val="2"/>
    <w:qFormat/>
    <w:uiPriority w:val="99"/>
    <w:rPr>
      <w:rFonts w:ascii="宋体" w:hAnsi="宋体"/>
      <w:sz w:val="18"/>
      <w:szCs w:val="18"/>
      <w:lang w:eastAsia="en-US"/>
    </w:rPr>
  </w:style>
  <w:style w:type="character" w:customStyle="1" w:styleId="48">
    <w:name w:val="font61"/>
    <w:basedOn w:val="23"/>
    <w:qFormat/>
    <w:uiPriority w:val="0"/>
    <w:rPr>
      <w:color w:val="000000"/>
      <w:sz w:val="20"/>
      <w:szCs w:val="20"/>
      <w:u w:val="none"/>
    </w:rPr>
  </w:style>
  <w:style w:type="character" w:customStyle="1" w:styleId="49">
    <w:name w:val="标题 2 Char"/>
    <w:basedOn w:val="23"/>
    <w:link w:val="4"/>
    <w:qFormat/>
    <w:uiPriority w:val="9"/>
    <w:rPr>
      <w:rFonts w:ascii="Cambria" w:hAnsi="Cambria" w:eastAsia="宋体" w:cs="Times New Roman"/>
      <w:b/>
      <w:bCs/>
      <w:kern w:val="2"/>
      <w:sz w:val="32"/>
      <w:szCs w:val="32"/>
    </w:rPr>
  </w:style>
  <w:style w:type="table" w:customStyle="1" w:styleId="50">
    <w:name w:val="网格型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
    <w:name w:val="网格型2"/>
    <w:basedOn w:val="21"/>
    <w:qFormat/>
    <w:uiPriority w:val="9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2">
    <w:name w:val="List Paragraph"/>
    <w:basedOn w:val="1"/>
    <w:qFormat/>
    <w:uiPriority w:val="34"/>
    <w:pPr>
      <w:ind w:firstLine="420" w:firstLineChars="200"/>
    </w:pPr>
  </w:style>
  <w:style w:type="table" w:customStyle="1" w:styleId="5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54</Pages>
  <Words>18174</Words>
  <Characters>19270</Characters>
  <Lines>194</Lines>
  <Paragraphs>54</Paragraphs>
  <TotalTime>1</TotalTime>
  <ScaleCrop>false</ScaleCrop>
  <LinksUpToDate>false</LinksUpToDate>
  <CharactersWithSpaces>19319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2018-09-21T17:55:00Z</dcterms:created>
  <dc:creator>许志敏</dc:creator>
  <cp:lastModifiedBy>山海相逢</cp:lastModifiedBy>
  <cp:lastPrinted>2018-12-10T18:43:00Z</cp:lastPrinted>
  <dcterms:modified xsi:type="dcterms:W3CDTF">2025-02-19T01:19:26Z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294C7E4EE3B44E0DABB989BE62320C2F</vt:lpwstr>
  </property>
  <property fmtid="{D5CDD505-2E9C-101B-9397-08002B2CF9AE}" pid="4" name="KSOTemplateDocerSaveRecord">
    <vt:lpwstr>eyJoZGlkIjoiYjQwZTFiN2U1NDg2OTc0NjkzOTlhODk1NzU3Y2Q2ZjYiLCJ1c2VySWQiOiI3NzUzODU0MTUifQ==</vt:lpwstr>
  </property>
</Properties>
</file>