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eastAsia="仿宋"/>
          <w:b/>
          <w:bCs/>
          <w:spacing w:val="20"/>
          <w:sz w:val="48"/>
          <w:szCs w:val="48"/>
        </w:rPr>
      </w:pPr>
      <w:bookmarkStart w:id="0" w:name="_Toc514537326"/>
      <w:bookmarkStart w:id="1" w:name="_Toc514537328"/>
    </w:p>
    <w:p>
      <w:pPr>
        <w:spacing w:line="500" w:lineRule="exact"/>
        <w:rPr>
          <w:rFonts w:ascii="Times New Roman" w:hAnsi="Times New Roman" w:eastAsia="仿宋"/>
          <w:b/>
          <w:bCs/>
          <w:spacing w:val="20"/>
          <w:sz w:val="48"/>
          <w:szCs w:val="48"/>
        </w:rPr>
      </w:pPr>
    </w:p>
    <w:p>
      <w:pPr>
        <w:spacing w:line="500" w:lineRule="exact"/>
        <w:rPr>
          <w:rFonts w:ascii="Times New Roman" w:hAnsi="Times New Roman" w:eastAsia="仿宋"/>
          <w:b/>
          <w:bCs/>
          <w:spacing w:val="20"/>
          <w:sz w:val="48"/>
          <w:szCs w:val="48"/>
        </w:rPr>
      </w:pPr>
    </w:p>
    <w:p>
      <w:pPr>
        <w:spacing w:line="500" w:lineRule="exact"/>
        <w:rPr>
          <w:rFonts w:ascii="Times New Roman" w:hAnsi="Times New Roman" w:eastAsia="仿宋"/>
          <w:b/>
          <w:bCs/>
          <w:spacing w:val="20"/>
          <w:sz w:val="48"/>
          <w:szCs w:val="48"/>
        </w:rPr>
      </w:pPr>
    </w:p>
    <w:p>
      <w:pPr>
        <w:autoSpaceDE w:val="0"/>
        <w:autoSpaceDN w:val="0"/>
        <w:adjustRightInd w:val="0"/>
        <w:spacing w:after="312" w:afterLines="100" w:line="520" w:lineRule="exact"/>
        <w:jc w:val="center"/>
        <w:rPr>
          <w:rFonts w:ascii="仿宋" w:hAnsi="仿宋" w:eastAsia="仿宋" w:cs="仿宋"/>
          <w:b/>
          <w:kern w:val="0"/>
          <w:sz w:val="44"/>
          <w:szCs w:val="44"/>
        </w:rPr>
      </w:pPr>
      <w:r>
        <w:rPr>
          <w:rFonts w:hint="eastAsia" w:ascii="仿宋" w:hAnsi="仿宋" w:eastAsia="仿宋" w:cs="仿宋"/>
          <w:b/>
          <w:kern w:val="0"/>
          <w:sz w:val="44"/>
          <w:szCs w:val="44"/>
          <w:lang w:eastAsia="zh-CN"/>
        </w:rPr>
        <w:t>旧县镇“四好农村路”建设项目</w:t>
      </w:r>
      <w:r>
        <w:rPr>
          <w:rFonts w:ascii="仿宋" w:hAnsi="仿宋" w:eastAsia="仿宋" w:cs="仿宋"/>
          <w:b/>
          <w:kern w:val="0"/>
          <w:sz w:val="44"/>
          <w:szCs w:val="44"/>
        </w:rPr>
        <w:t>支出</w:t>
      </w:r>
    </w:p>
    <w:p>
      <w:pPr>
        <w:autoSpaceDE w:val="0"/>
        <w:autoSpaceDN w:val="0"/>
        <w:adjustRightInd w:val="0"/>
        <w:spacing w:after="312" w:afterLines="100" w:line="520" w:lineRule="exact"/>
        <w:jc w:val="center"/>
        <w:rPr>
          <w:rFonts w:ascii="仿宋" w:hAnsi="仿宋" w:eastAsia="仿宋" w:cs="仿宋"/>
          <w:b/>
          <w:kern w:val="0"/>
          <w:sz w:val="44"/>
          <w:szCs w:val="44"/>
        </w:rPr>
      </w:pPr>
      <w:r>
        <w:rPr>
          <w:rFonts w:ascii="仿宋" w:hAnsi="仿宋" w:eastAsia="仿宋" w:cs="仿宋"/>
          <w:b/>
          <w:kern w:val="0"/>
          <w:sz w:val="44"/>
          <w:szCs w:val="44"/>
        </w:rPr>
        <w:t>绩效评价报告</w:t>
      </w: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pStyle w:val="20"/>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spacing w:line="500" w:lineRule="exact"/>
        <w:rPr>
          <w:rFonts w:ascii="Times New Roman" w:hAnsi="Times New Roman" w:eastAsia="仿宋"/>
          <w:b/>
          <w:bCs/>
          <w:sz w:val="48"/>
          <w:szCs w:val="48"/>
          <w:highlight w:val="yellow"/>
        </w:rPr>
      </w:pP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主管单位：</w:t>
      </w:r>
      <w:r>
        <w:rPr>
          <w:rFonts w:hint="eastAsia" w:ascii="仿宋" w:hAnsi="仿宋" w:eastAsia="仿宋" w:cs="仿宋"/>
          <w:b/>
          <w:bCs/>
          <w:kern w:val="0"/>
          <w:sz w:val="28"/>
          <w:szCs w:val="28"/>
          <w:lang w:eastAsia="zh-CN"/>
        </w:rPr>
        <w:t>古县交通运输局</w:t>
      </w:r>
    </w:p>
    <w:p>
      <w:pPr>
        <w:autoSpaceDE w:val="0"/>
        <w:autoSpaceDN w:val="0"/>
        <w:adjustRightInd w:val="0"/>
        <w:spacing w:line="500" w:lineRule="exact"/>
        <w:ind w:firstLine="1405" w:firstLineChars="500"/>
        <w:jc w:val="left"/>
        <w:rPr>
          <w:rFonts w:hint="default" w:ascii="Times New Roman" w:hAnsi="Times New Roman" w:eastAsia="仿宋"/>
          <w:b/>
          <w:bCs/>
          <w:kern w:val="0"/>
          <w:sz w:val="28"/>
          <w:szCs w:val="28"/>
          <w:lang w:val="en-US" w:eastAsia="zh-CN"/>
        </w:rPr>
      </w:pPr>
      <w:r>
        <w:rPr>
          <w:rFonts w:ascii="Times New Roman" w:hAnsi="Times New Roman" w:eastAsia="仿宋"/>
          <w:b/>
          <w:bCs/>
          <w:kern w:val="0"/>
          <w:sz w:val="28"/>
          <w:szCs w:val="28"/>
        </w:rPr>
        <w:t>实施单位：</w:t>
      </w:r>
      <w:r>
        <w:rPr>
          <w:rFonts w:hint="eastAsia" w:ascii="仿宋" w:hAnsi="仿宋" w:eastAsia="仿宋" w:cs="仿宋"/>
          <w:b/>
          <w:bCs/>
          <w:kern w:val="0"/>
          <w:sz w:val="28"/>
          <w:szCs w:val="28"/>
          <w:lang w:val="en-US" w:eastAsia="zh-CN"/>
        </w:rPr>
        <w:t>旧县镇人民政府</w:t>
      </w:r>
    </w:p>
    <w:p>
      <w:pPr>
        <w:autoSpaceDE w:val="0"/>
        <w:autoSpaceDN w:val="0"/>
        <w:adjustRightInd w:val="0"/>
        <w:spacing w:line="500" w:lineRule="exact"/>
        <w:ind w:firstLine="1405" w:firstLineChars="500"/>
        <w:rPr>
          <w:rFonts w:ascii="Times New Roman" w:hAnsi="Times New Roman" w:eastAsia="仿宋"/>
          <w:b/>
          <w:bCs/>
          <w:kern w:val="0"/>
          <w:sz w:val="28"/>
          <w:szCs w:val="28"/>
        </w:rPr>
      </w:pPr>
      <w:r>
        <w:rPr>
          <w:rFonts w:ascii="Times New Roman" w:hAnsi="Times New Roman" w:eastAsia="仿宋"/>
          <w:b/>
          <w:bCs/>
          <w:kern w:val="0"/>
          <w:sz w:val="28"/>
          <w:szCs w:val="28"/>
        </w:rPr>
        <w:t>委托单位：</w:t>
      </w:r>
      <w:r>
        <w:rPr>
          <w:rFonts w:hint="eastAsia" w:ascii="Times New Roman" w:hAnsi="Times New Roman" w:eastAsia="仿宋"/>
          <w:b/>
          <w:bCs/>
          <w:kern w:val="0"/>
          <w:sz w:val="28"/>
          <w:szCs w:val="28"/>
          <w:lang w:eastAsia="zh-CN"/>
        </w:rPr>
        <w:t>古县</w:t>
      </w:r>
      <w:r>
        <w:rPr>
          <w:rFonts w:ascii="Times New Roman" w:hAnsi="Times New Roman" w:eastAsia="仿宋"/>
          <w:b/>
          <w:bCs/>
          <w:kern w:val="0"/>
          <w:sz w:val="28"/>
          <w:szCs w:val="28"/>
        </w:rPr>
        <w:t>财政局</w:t>
      </w:r>
    </w:p>
    <w:p>
      <w:pPr>
        <w:autoSpaceDE w:val="0"/>
        <w:autoSpaceDN w:val="0"/>
        <w:adjustRightInd w:val="0"/>
        <w:spacing w:line="500" w:lineRule="exact"/>
        <w:ind w:firstLine="1405" w:firstLineChars="500"/>
        <w:jc w:val="left"/>
        <w:rPr>
          <w:rFonts w:ascii="Times New Roman" w:hAnsi="Times New Roman" w:eastAsia="仿宋"/>
          <w:b/>
          <w:bCs/>
          <w:kern w:val="0"/>
          <w:sz w:val="28"/>
          <w:szCs w:val="28"/>
        </w:rPr>
      </w:pPr>
      <w:r>
        <w:rPr>
          <w:rFonts w:ascii="Times New Roman" w:hAnsi="Times New Roman" w:eastAsia="仿宋"/>
          <w:b/>
          <w:bCs/>
          <w:kern w:val="0"/>
          <w:sz w:val="28"/>
          <w:szCs w:val="28"/>
        </w:rPr>
        <w:t>评价机构：山西恒略绩效管理咨询有限公司</w:t>
      </w:r>
    </w:p>
    <w:p>
      <w:pPr>
        <w:spacing w:line="500" w:lineRule="exact"/>
        <w:rPr>
          <w:rFonts w:ascii="Times New Roman" w:hAnsi="Times New Roman" w:eastAsia="仿宋"/>
          <w:b/>
          <w:bCs/>
          <w:sz w:val="28"/>
          <w:szCs w:val="28"/>
        </w:rPr>
      </w:pPr>
    </w:p>
    <w:p>
      <w:pPr>
        <w:spacing w:line="500" w:lineRule="exact"/>
        <w:jc w:val="center"/>
        <w:rPr>
          <w:rFonts w:ascii="Times New Roman" w:hAnsi="Times New Roman" w:eastAsia="仿宋"/>
          <w:b/>
          <w:bCs/>
          <w:sz w:val="48"/>
          <w:szCs w:val="48"/>
          <w:highlight w:val="yellow"/>
        </w:rPr>
      </w:pPr>
    </w:p>
    <w:p>
      <w:pPr>
        <w:spacing w:line="500" w:lineRule="exact"/>
        <w:jc w:val="center"/>
        <w:rPr>
          <w:rFonts w:ascii="Times New Roman" w:hAnsi="Times New Roman" w:eastAsia="仿宋"/>
          <w:b/>
          <w:bCs/>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widowControl/>
        <w:spacing w:line="500" w:lineRule="exact"/>
        <w:jc w:val="both"/>
        <w:rPr>
          <w:rFonts w:ascii="Times New Roman" w:hAnsi="Times New Roman" w:eastAsia="仿宋"/>
          <w:sz w:val="44"/>
          <w:szCs w:val="44"/>
        </w:rPr>
      </w:pPr>
    </w:p>
    <w:p>
      <w:pPr>
        <w:keepNext w:val="0"/>
        <w:keepLines w:val="0"/>
        <w:pageBreakBefore w:val="0"/>
        <w:tabs>
          <w:tab w:val="left" w:pos="1020"/>
        </w:tabs>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8"/>
          <w:szCs w:val="28"/>
          <w:highlight w:val="yellow"/>
        </w:rPr>
      </w:pPr>
      <w:r>
        <w:rPr>
          <w:rFonts w:ascii="Times New Roman" w:hAnsi="Times New Roman" w:eastAsia="仿宋"/>
          <w:b/>
          <w:bCs/>
          <w:sz w:val="44"/>
          <w:szCs w:val="44"/>
        </w:rPr>
        <w:br w:type="page"/>
      </w:r>
      <w:r>
        <w:rPr>
          <w:rFonts w:hint="eastAsia" w:ascii="仿宋" w:hAnsi="仿宋" w:eastAsia="仿宋" w:cs="仿宋"/>
          <w:b/>
          <w:bCs w:val="0"/>
          <w:sz w:val="28"/>
          <w:szCs w:val="28"/>
        </w:rPr>
        <w:t>目  录</w:t>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TOC \o "1-3" \h \z \u </w:instrText>
      </w:r>
      <w:r>
        <w:rPr>
          <w:rFonts w:hint="eastAsia" w:ascii="仿宋" w:hAnsi="仿宋" w:eastAsia="仿宋" w:cs="仿宋"/>
          <w:sz w:val="28"/>
          <w:szCs w:val="28"/>
          <w:highlight w:val="yellow"/>
        </w:rPr>
        <w:fldChar w:fldCharType="separate"/>
      </w: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_Toc6171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z w:val="28"/>
          <w:szCs w:val="28"/>
        </w:rPr>
        <w:t>报告摘要</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_Toc6171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1</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_Toc16931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z w:val="28"/>
          <w:szCs w:val="28"/>
        </w:rPr>
        <w:t>一、项目基本情况</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_Toc16931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6</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_Toc4288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（一）项目背景及概况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_Toc4288 </w:instrText>
      </w:r>
      <w:r>
        <w:rPr>
          <w:rFonts w:hint="eastAsia" w:ascii="仿宋" w:hAnsi="仿宋" w:eastAsia="仿宋" w:cs="仿宋"/>
          <w:sz w:val="28"/>
          <w:szCs w:val="28"/>
        </w:rPr>
        <w:fldChar w:fldCharType="separate"/>
      </w:r>
      <w:r>
        <w:rPr>
          <w:rFonts w:hint="eastAsia" w:ascii="仿宋" w:hAnsi="仿宋" w:eastAsia="仿宋" w:cs="仿宋"/>
          <w:sz w:val="28"/>
          <w:szCs w:val="28"/>
        </w:rPr>
        <w:t>6</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_Toc19194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（二）预算资金来源与资金使用</w:t>
      </w:r>
      <w:r>
        <w:rPr>
          <w:rFonts w:hint="eastAsia" w:ascii="仿宋" w:hAnsi="仿宋" w:eastAsia="仿宋" w:cs="仿宋"/>
          <w:sz w:val="28"/>
          <w:szCs w:val="28"/>
          <w:lang w:val="en-US" w:eastAsia="zh-CN"/>
        </w:rPr>
        <w:t>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_Toc19194 </w:instrText>
      </w:r>
      <w:r>
        <w:rPr>
          <w:rFonts w:hint="eastAsia" w:ascii="仿宋" w:hAnsi="仿宋" w:eastAsia="仿宋" w:cs="仿宋"/>
          <w:sz w:val="28"/>
          <w:szCs w:val="28"/>
        </w:rPr>
        <w:fldChar w:fldCharType="separate"/>
      </w:r>
      <w:r>
        <w:rPr>
          <w:rFonts w:hint="eastAsia" w:ascii="仿宋" w:hAnsi="仿宋" w:eastAsia="仿宋" w:cs="仿宋"/>
          <w:sz w:val="28"/>
          <w:szCs w:val="28"/>
        </w:rPr>
        <w:t>8</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_Toc17803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（三）项目立项依据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_Toc17803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_Toc18376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（四）项目绩效目标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_Toc18376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_Toc25135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z w:val="28"/>
          <w:szCs w:val="28"/>
        </w:rPr>
        <w:t>二、项目组织实施情况</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_Toc25135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11</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_Toc2771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（一）项目组织情况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_Toc2771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_Toc22477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（二）项目实施情况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_Toc22477 </w:instrText>
      </w:r>
      <w:r>
        <w:rPr>
          <w:rFonts w:hint="eastAsia" w:ascii="仿宋" w:hAnsi="仿宋" w:eastAsia="仿宋" w:cs="仿宋"/>
          <w:sz w:val="28"/>
          <w:szCs w:val="28"/>
        </w:rPr>
        <w:fldChar w:fldCharType="separate"/>
      </w:r>
      <w:r>
        <w:rPr>
          <w:rFonts w:hint="eastAsia" w:ascii="仿宋" w:hAnsi="仿宋" w:eastAsia="仿宋" w:cs="仿宋"/>
          <w:sz w:val="28"/>
          <w:szCs w:val="28"/>
        </w:rPr>
        <w:t>12</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_Toc20702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z w:val="28"/>
          <w:szCs w:val="28"/>
        </w:rPr>
        <w:t>三、绩效评价工作情况</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_Toc20702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15</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_Toc26523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（一）绩效评价的目的</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_Toc26523 </w:instrText>
      </w:r>
      <w:r>
        <w:rPr>
          <w:rFonts w:hint="eastAsia" w:ascii="仿宋" w:hAnsi="仿宋" w:eastAsia="仿宋" w:cs="仿宋"/>
          <w:sz w:val="28"/>
          <w:szCs w:val="28"/>
        </w:rPr>
        <w:fldChar w:fldCharType="separate"/>
      </w:r>
      <w:r>
        <w:rPr>
          <w:rFonts w:hint="eastAsia" w:ascii="仿宋" w:hAnsi="仿宋" w:eastAsia="仿宋" w:cs="仿宋"/>
          <w:sz w:val="28"/>
          <w:szCs w:val="28"/>
        </w:rPr>
        <w:t>15</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_Toc30658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（二）绩效评价的依据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_Toc30658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_Toc30773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（三）评价对象和范围</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_Toc30773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_Toc16505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（四）绩效评价基准日</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_Toc16505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_Toc17466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（五）绩效评价的原则</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_Toc17466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_Toc18594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（六）绩效评价的方法</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_Toc18594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_Toc31650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（七）评价指标体系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_Toc31650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_Toc29287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（八）绩效评价工作组织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_Toc29287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_Toc11643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lang w:val="en-US" w:eastAsia="zh-CN"/>
        </w:rPr>
        <w:t>（九）评价工作安排</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_Toc11643 </w:instrText>
      </w:r>
      <w:r>
        <w:rPr>
          <w:rFonts w:hint="eastAsia" w:ascii="仿宋" w:hAnsi="仿宋" w:eastAsia="仿宋" w:cs="仿宋"/>
          <w:sz w:val="28"/>
          <w:szCs w:val="28"/>
        </w:rPr>
        <w:fldChar w:fldCharType="separate"/>
      </w:r>
      <w:r>
        <w:rPr>
          <w:rFonts w:hint="eastAsia" w:ascii="仿宋" w:hAnsi="仿宋" w:eastAsia="仿宋" w:cs="仿宋"/>
          <w:sz w:val="28"/>
          <w:szCs w:val="28"/>
        </w:rPr>
        <w:t>21</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_Toc29189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z w:val="28"/>
          <w:szCs w:val="28"/>
        </w:rPr>
        <w:t>四、绩效评价指标分析情况</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_Toc29189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22</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_Toc1869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（一）分项分析与汇总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_Toc1869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_Toc28203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（二）总体得分情况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_Toc28203 </w:instrText>
      </w:r>
      <w:r>
        <w:rPr>
          <w:rFonts w:hint="eastAsia" w:ascii="仿宋" w:hAnsi="仿宋" w:eastAsia="仿宋" w:cs="仿宋"/>
          <w:sz w:val="28"/>
          <w:szCs w:val="28"/>
        </w:rPr>
        <w:fldChar w:fldCharType="separate"/>
      </w:r>
      <w:r>
        <w:rPr>
          <w:rFonts w:hint="eastAsia" w:ascii="仿宋" w:hAnsi="仿宋" w:eastAsia="仿宋" w:cs="仿宋"/>
          <w:sz w:val="28"/>
          <w:szCs w:val="28"/>
        </w:rPr>
        <w:t>30</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_Toc14573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z w:val="28"/>
          <w:szCs w:val="28"/>
        </w:rPr>
        <w:t>五、综合评价情况及结论</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_Toc14573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30</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_Toc17932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（一）评分结果</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_Toc17932 </w:instrText>
      </w:r>
      <w:r>
        <w:rPr>
          <w:rFonts w:hint="eastAsia" w:ascii="仿宋" w:hAnsi="仿宋" w:eastAsia="仿宋" w:cs="仿宋"/>
          <w:sz w:val="28"/>
          <w:szCs w:val="28"/>
        </w:rPr>
        <w:fldChar w:fldCharType="separate"/>
      </w:r>
      <w:r>
        <w:rPr>
          <w:rFonts w:hint="eastAsia" w:ascii="仿宋" w:hAnsi="仿宋" w:eastAsia="仿宋" w:cs="仿宋"/>
          <w:sz w:val="28"/>
          <w:szCs w:val="28"/>
        </w:rPr>
        <w:t>30</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_Toc4206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（二）主要结论</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_Toc4206 </w:instrText>
      </w:r>
      <w:r>
        <w:rPr>
          <w:rFonts w:hint="eastAsia" w:ascii="仿宋" w:hAnsi="仿宋" w:eastAsia="仿宋" w:cs="仿宋"/>
          <w:sz w:val="28"/>
          <w:szCs w:val="28"/>
        </w:rPr>
        <w:fldChar w:fldCharType="separate"/>
      </w:r>
      <w:r>
        <w:rPr>
          <w:rFonts w:hint="eastAsia" w:ascii="仿宋" w:hAnsi="仿宋" w:eastAsia="仿宋" w:cs="仿宋"/>
          <w:sz w:val="28"/>
          <w:szCs w:val="28"/>
        </w:rPr>
        <w:t>31</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_Toc28219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z w:val="28"/>
          <w:szCs w:val="28"/>
        </w:rPr>
        <w:t>六、存在的问题和改进建议</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_Toc28219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31</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_Toc10088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（一）存在的问题</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_Toc10088 </w:instrText>
      </w:r>
      <w:r>
        <w:rPr>
          <w:rFonts w:hint="eastAsia" w:ascii="仿宋" w:hAnsi="仿宋" w:eastAsia="仿宋" w:cs="仿宋"/>
          <w:sz w:val="28"/>
          <w:szCs w:val="28"/>
        </w:rPr>
        <w:fldChar w:fldCharType="separate"/>
      </w:r>
      <w:r>
        <w:rPr>
          <w:rFonts w:hint="eastAsia" w:ascii="仿宋" w:hAnsi="仿宋" w:eastAsia="仿宋" w:cs="仿宋"/>
          <w:sz w:val="28"/>
          <w:szCs w:val="28"/>
        </w:rPr>
        <w:t>31</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sz w:val="28"/>
          <w:szCs w:val="28"/>
          <w:highlight w:val="yellow"/>
        </w:rPr>
        <w:fldChar w:fldCharType="begin"/>
      </w:r>
      <w:r>
        <w:rPr>
          <w:rFonts w:hint="eastAsia" w:ascii="仿宋" w:hAnsi="仿宋" w:eastAsia="仿宋" w:cs="仿宋"/>
          <w:sz w:val="28"/>
          <w:szCs w:val="28"/>
          <w:highlight w:val="yellow"/>
        </w:rPr>
        <w:instrText xml:space="preserve"> HYPERLINK \l _Toc10194 </w:instrText>
      </w:r>
      <w:r>
        <w:rPr>
          <w:rFonts w:hint="eastAsia" w:ascii="仿宋" w:hAnsi="仿宋" w:eastAsia="仿宋" w:cs="仿宋"/>
          <w:sz w:val="28"/>
          <w:szCs w:val="28"/>
          <w:highlight w:val="yellow"/>
        </w:rPr>
        <w:fldChar w:fldCharType="separate"/>
      </w:r>
      <w:r>
        <w:rPr>
          <w:rFonts w:hint="eastAsia" w:ascii="仿宋" w:hAnsi="仿宋" w:eastAsia="仿宋" w:cs="仿宋"/>
          <w:sz w:val="28"/>
          <w:szCs w:val="28"/>
        </w:rPr>
        <w:t>（二）改进建议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_Toc10194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_Toc30643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z w:val="28"/>
          <w:szCs w:val="28"/>
        </w:rPr>
        <w:t>七、绩效评价结果应用建议</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_Toc30643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33</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_Toc10059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0"/>
          <w:sz w:val="28"/>
          <w:szCs w:val="28"/>
        </w:rPr>
        <w:t>附件1：评价指标体系</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_Toc10059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34</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_Toc14145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0"/>
          <w:sz w:val="28"/>
          <w:szCs w:val="28"/>
        </w:rPr>
        <w:t>附件2：问卷调查报告</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_Toc14145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39</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_Toc18849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0"/>
          <w:sz w:val="28"/>
          <w:szCs w:val="28"/>
        </w:rPr>
        <w:t>附件</w:t>
      </w:r>
      <w:r>
        <w:rPr>
          <w:rFonts w:hint="eastAsia" w:ascii="仿宋" w:hAnsi="仿宋" w:eastAsia="仿宋" w:cs="仿宋"/>
          <w:b/>
          <w:bCs/>
          <w:kern w:val="0"/>
          <w:sz w:val="28"/>
          <w:szCs w:val="28"/>
          <w:lang w:val="en-US" w:eastAsia="zh-CN"/>
        </w:rPr>
        <w:t>3</w:t>
      </w:r>
      <w:r>
        <w:rPr>
          <w:rFonts w:hint="eastAsia" w:ascii="仿宋" w:hAnsi="仿宋" w:eastAsia="仿宋" w:cs="仿宋"/>
          <w:b/>
          <w:bCs/>
          <w:kern w:val="0"/>
          <w:sz w:val="28"/>
          <w:szCs w:val="28"/>
        </w:rPr>
        <w:t>：合规性审查</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_Toc18849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42</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_Toc20505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z w:val="28"/>
          <w:szCs w:val="28"/>
          <w:lang w:val="en-US" w:eastAsia="zh-CN"/>
        </w:rPr>
        <w:t>附件4：访谈记录</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_Toc20505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45</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tabs>
          <w:tab w:val="right" w:leader="dot" w:pos="8306"/>
        </w:tabs>
        <w:kinsoku/>
        <w:wordWrap/>
        <w:overflowPunct/>
        <w:topLinePunct w:val="0"/>
        <w:autoSpaceDE/>
        <w:autoSpaceDN/>
        <w:bidi w:val="0"/>
        <w:adjustRightInd/>
        <w:snapToGrid/>
        <w:spacing w:after="0" w:line="520" w:lineRule="exact"/>
        <w:textAlignment w:val="auto"/>
        <w:rPr>
          <w:rFonts w:ascii="Times New Roman" w:hAnsi="Times New Roman" w:eastAsia="仿宋"/>
          <w:sz w:val="28"/>
          <w:szCs w:val="24"/>
          <w:highlight w:val="yellow"/>
        </w:rPr>
      </w:pPr>
      <w:r>
        <w:rPr>
          <w:rFonts w:hint="eastAsia" w:ascii="仿宋" w:hAnsi="仿宋" w:eastAsia="仿宋" w:cs="仿宋"/>
          <w:sz w:val="28"/>
          <w:szCs w:val="28"/>
          <w:highlight w:val="yellow"/>
        </w:rPr>
        <w:fldChar w:fldCharType="end"/>
      </w:r>
      <w:bookmarkStart w:id="2" w:name="_Toc516473299"/>
      <w:bookmarkStart w:id="3" w:name="_Toc515810984"/>
      <w:bookmarkStart w:id="4" w:name="_Toc515811929"/>
      <w:bookmarkStart w:id="5" w:name="_Toc516554764"/>
    </w:p>
    <w:p>
      <w:pPr>
        <w:rPr>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p>
    <w:bookmarkEnd w:id="2"/>
    <w:bookmarkEnd w:id="3"/>
    <w:bookmarkEnd w:id="4"/>
    <w:bookmarkEnd w:id="5"/>
    <w:p>
      <w:pPr>
        <w:pStyle w:val="3"/>
        <w:spacing w:before="156" w:beforeLines="50" w:after="156" w:afterLines="50" w:line="500" w:lineRule="exact"/>
        <w:jc w:val="center"/>
        <w:rPr>
          <w:rFonts w:ascii="Times New Roman" w:hAnsi="Times New Roman" w:eastAsia="黑体"/>
          <w:b w:val="0"/>
          <w:szCs w:val="32"/>
        </w:rPr>
      </w:pPr>
      <w:bookmarkStart w:id="6" w:name="_Toc6171"/>
      <w:bookmarkStart w:id="7" w:name="_Toc528603037"/>
      <w:bookmarkStart w:id="8" w:name="_Toc8704"/>
      <w:r>
        <w:rPr>
          <w:rFonts w:ascii="Times New Roman" w:hAnsi="Times New Roman" w:eastAsia="黑体"/>
          <w:b w:val="0"/>
          <w:szCs w:val="32"/>
        </w:rPr>
        <w:t>报告摘要</w:t>
      </w:r>
      <w:bookmarkEnd w:id="0"/>
      <w:bookmarkEnd w:id="6"/>
      <w:bookmarkEnd w:id="7"/>
      <w:bookmarkEnd w:id="8"/>
    </w:p>
    <w:p>
      <w:pPr>
        <w:spacing w:before="312" w:beforeLines="100" w:after="312" w:afterLines="100" w:line="500" w:lineRule="exact"/>
        <w:rPr>
          <w:rFonts w:ascii="黑体" w:hAnsi="黑体" w:eastAsia="黑体"/>
          <w:sz w:val="32"/>
          <w:szCs w:val="28"/>
        </w:rPr>
      </w:pPr>
      <w:r>
        <w:rPr>
          <w:rFonts w:ascii="黑体" w:hAnsi="黑体" w:eastAsia="黑体"/>
          <w:sz w:val="32"/>
          <w:szCs w:val="28"/>
        </w:rPr>
        <w:t>一、项目概况</w:t>
      </w:r>
    </w:p>
    <w:p>
      <w:pPr>
        <w:spacing w:before="156" w:beforeLines="50" w:after="156" w:afterLines="50"/>
        <w:ind w:firstLine="642" w:firstLineChars="200"/>
        <w:rPr>
          <w:rFonts w:ascii="仿宋" w:hAnsi="仿宋" w:eastAsia="仿宋" w:cstheme="minorBidi"/>
          <w:b/>
          <w:sz w:val="32"/>
          <w:szCs w:val="22"/>
        </w:rPr>
      </w:pPr>
      <w:r>
        <w:rPr>
          <w:rFonts w:ascii="仿宋" w:hAnsi="仿宋" w:eastAsia="仿宋" w:cstheme="minorBidi"/>
          <w:b/>
          <w:sz w:val="32"/>
          <w:szCs w:val="22"/>
        </w:rPr>
        <w:t>（一）立项背景</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村公路是保障农民群众生产生活的基本条件，是农业和农村发展的先导性、基础性设施，是社会主义新农村建设的重要支撑。2003年，交通运输部根据中央“三农”工作的部署要求，提出了“修好农村路，服务城镇化，让农民走上油路和水泥路”的建设目标。2013年，按照党的十八大全面建成小康社会的战略部署，交通运输部进一步提出了“小康路上，绝不让任何一个地方因农村交通而掉队”的新目标。11年来，全国新改建农村公路333万公里，新增通车里程117万公里，通车总里程达到388.2万公里，乡镇和建制村通公路率分别达到99.98%和99.82%，通硬化路率分别达到98.08%和91.76%。但是，目前农村公路发展依然存在着基础不牢固、安全设施少、运输服务水平不高等突出问题，与全面建成小康社会的要求还存在较大差距。因此，习近平总书记多次就农村公路发展作出重要指示，在充分肯定农村公路建设成绩的同时，要求农村公路建设要因地制宜、以人为本，与优化村镇布局、农村经济发展和广大农民安全便捷出行相适应，要进一步把农村公路建好、管好、护好、运营好，逐步消除制约农村发展的交通瓶颈，为广大农民脱贫致富奔小康提供更好的保障。</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委、省政府高度重视“四好农村路”建设，省委在贯彻落实习近平总书记在深度贫困地区脱贫攻坚座谈会讲话精神的意见中明确提出，利用三年时间新改建农村公路6万公里，为此山西省政府专门出台了关于深入推进“四好农村路”建设的实施意见。楼阳生省长多次听取有关情况汇报，要求认真贯彻落实习近平总书记重要指示批示和中央1号文件精神，结合山西省实际，围绕脱贫攻坚工作、转型发展目标，全面推进“四好农村路”建设，为实现乡村振兴、打赢脱贫攻坚战、推动全省转型发展提供交通支撑。山西省交通厅制定了“四好农村路”建设总体规划和规划纲要，并且已经付诸实施。</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近年来，临汾市委市政府深化“四好农村路”建设对服务乡村振兴战略重要意义的认识，加快推进“四好农村路”建设。2015年，为了贯彻落实上级领导就农村公路发展的重要指示，临汾市交通局因地制宜、以人为本、优化布局制定了《临汾市“四好农村路”建设实施方案》，明确要求各县区交通局加快完成集中连片特困地区县乡公路改造和建制村通硬化路任务；组织实施好村通水泥（油）路完善提质工程；到2020年，建制村通硬化路率达到100%；到2020年，县乡道安全隐患治理率基本达到100%等，推进农村公路提质增效、为广大农民脱贫致富奔小康提供更好的保障。《2018年临汾市人民政府工作报告》中提出：扎实推进“四好农村路”建设，开展国家级、省级示范县创建工作。《临汾市人民政府关于2018年市政府工作报告重点工作任务分工的通知》中明确提出：新建改建“四好农村路”2000公里（十件为民实事之一）。</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农村公路由于建设起步早、投入少、标准低等原因，不同程度出现路面破损、不平，路基破坏，水沟不畅，部分道路是断头路等问题，导致公路通畅水平不高，且缺乏标识标牌、警示标志和安保设施，存在安全隐患。这都是制约乡发展的客观条件。同时，一些农村旅游公路通达深度不够、网络化程度不高，与群众便捷出行的需求还有很大差距。</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古县旧县镇“四好农村路”建设项目涉及11条路，其中：①旧县道窄路基拓宽部分、旧县道畅返不畅建设6条路；②2019年畅返不畅整治工程5条路</w:t>
      </w:r>
      <w:r>
        <w:rPr>
          <w:rFonts w:ascii="Times New Roman" w:hAnsi="Times New Roman" w:eastAsia="仿宋"/>
          <w:sz w:val="28"/>
          <w:szCs w:val="32"/>
        </w:rPr>
        <w:t>。</w:t>
      </w:r>
    </w:p>
    <w:p>
      <w:pPr>
        <w:spacing w:before="156" w:beforeLines="50" w:after="156" w:afterLines="50"/>
        <w:ind w:firstLine="642" w:firstLineChars="200"/>
        <w:rPr>
          <w:rFonts w:ascii="仿宋" w:hAnsi="仿宋" w:eastAsia="仿宋" w:cstheme="minorBidi"/>
          <w:b/>
          <w:sz w:val="32"/>
          <w:szCs w:val="22"/>
        </w:rPr>
      </w:pPr>
      <w:r>
        <w:rPr>
          <w:rFonts w:ascii="仿宋" w:hAnsi="仿宋" w:eastAsia="仿宋" w:cstheme="minorBidi"/>
          <w:b/>
          <w:sz w:val="32"/>
          <w:szCs w:val="22"/>
        </w:rPr>
        <w:t>（二）预算资金内容及来源</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eastAsia="zh-CN"/>
        </w:rPr>
        <w:t>截止2022年3月1日，项目资金到位2165.3435万元。</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eastAsia="zh-CN"/>
        </w:rPr>
        <w:t>截止2022年3月1日，旧县镇“四好农村路”建设项目共计支出资金2165.3435万元</w:t>
      </w:r>
      <w:r>
        <w:rPr>
          <w:rFonts w:ascii="Times New Roman" w:hAnsi="Times New Roman" w:eastAsia="仿宋"/>
          <w:sz w:val="28"/>
          <w:szCs w:val="32"/>
        </w:rPr>
        <w:t>。</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二、评价结论</w:t>
      </w:r>
    </w:p>
    <w:p>
      <w:pPr>
        <w:widowControl/>
        <w:spacing w:line="500" w:lineRule="exact"/>
        <w:ind w:firstLine="560" w:firstLineChars="200"/>
        <w:rPr>
          <w:rFonts w:ascii="Times New Roman" w:hAnsi="Times New Roman" w:eastAsia="仿宋"/>
          <w:color w:val="auto"/>
          <w:sz w:val="28"/>
          <w:szCs w:val="28"/>
        </w:rPr>
      </w:pPr>
      <w:r>
        <w:rPr>
          <w:rFonts w:ascii="Times New Roman" w:hAnsi="Times New Roman" w:eastAsia="仿宋"/>
          <w:snapToGrid w:val="0"/>
          <w:color w:val="auto"/>
          <w:sz w:val="28"/>
          <w:szCs w:val="32"/>
        </w:rPr>
        <w:t>依据项目基础信息统计，结合现场核查结果，按照评价小组制定并</w:t>
      </w:r>
      <w:r>
        <w:rPr>
          <w:rFonts w:hint="eastAsia" w:ascii="Times New Roman" w:hAnsi="Times New Roman" w:eastAsia="仿宋"/>
          <w:snapToGrid w:val="0"/>
          <w:color w:val="auto"/>
          <w:sz w:val="28"/>
          <w:szCs w:val="32"/>
          <w:lang w:val="en-US" w:eastAsia="zh-CN"/>
        </w:rPr>
        <w:t>经</w:t>
      </w:r>
      <w:r>
        <w:rPr>
          <w:rFonts w:ascii="Times New Roman" w:hAnsi="Times New Roman" w:eastAsia="仿宋"/>
          <w:snapToGrid w:val="0"/>
          <w:color w:val="auto"/>
          <w:sz w:val="28"/>
          <w:szCs w:val="32"/>
        </w:rPr>
        <w:t>专家组论证的评价指标体系，</w:t>
      </w:r>
      <w:r>
        <w:rPr>
          <w:rFonts w:hint="eastAsia" w:ascii="Times New Roman" w:hAnsi="Times New Roman" w:eastAsia="仿宋"/>
          <w:snapToGrid w:val="0"/>
          <w:color w:val="auto"/>
          <w:sz w:val="28"/>
          <w:szCs w:val="32"/>
          <w:lang w:eastAsia="zh-CN"/>
        </w:rPr>
        <w:t>旧县镇“四好农村路”建设项目</w:t>
      </w:r>
      <w:r>
        <w:rPr>
          <w:rFonts w:ascii="Times New Roman" w:hAnsi="Times New Roman" w:eastAsia="仿宋"/>
          <w:snapToGrid w:val="0"/>
          <w:color w:val="auto"/>
          <w:sz w:val="28"/>
          <w:szCs w:val="32"/>
        </w:rPr>
        <w:t>财政支出绩效评价综合得分</w:t>
      </w:r>
      <w:r>
        <w:rPr>
          <w:rFonts w:hint="eastAsia" w:ascii="Times New Roman" w:hAnsi="Times New Roman" w:eastAsia="仿宋"/>
          <w:snapToGrid w:val="0"/>
          <w:color w:val="auto"/>
          <w:sz w:val="28"/>
          <w:szCs w:val="32"/>
          <w:lang w:val="en-US" w:eastAsia="zh-CN"/>
        </w:rPr>
        <w:t>87.00</w:t>
      </w:r>
      <w:r>
        <w:rPr>
          <w:rFonts w:ascii="Times New Roman" w:hAnsi="Times New Roman" w:eastAsia="仿宋"/>
          <w:snapToGrid w:val="0"/>
          <w:color w:val="auto"/>
          <w:sz w:val="28"/>
          <w:szCs w:val="32"/>
        </w:rPr>
        <w:t>分，评价等级为</w:t>
      </w:r>
      <w:r>
        <w:rPr>
          <w:rFonts w:hint="eastAsia" w:ascii="Times New Roman" w:hAnsi="Times New Roman" w:eastAsia="仿宋"/>
          <w:snapToGrid w:val="0"/>
          <w:color w:val="auto"/>
          <w:sz w:val="28"/>
          <w:szCs w:val="32"/>
          <w:lang w:eastAsia="zh-CN"/>
        </w:rPr>
        <w:t>“</w:t>
      </w:r>
      <w:r>
        <w:rPr>
          <w:rFonts w:hint="eastAsia" w:ascii="Times New Roman" w:hAnsi="Times New Roman" w:eastAsia="仿宋"/>
          <w:snapToGrid w:val="0"/>
          <w:color w:val="auto"/>
          <w:sz w:val="28"/>
          <w:szCs w:val="32"/>
          <w:lang w:val="en-US" w:eastAsia="zh-CN"/>
        </w:rPr>
        <w:t>良</w:t>
      </w:r>
      <w:r>
        <w:rPr>
          <w:rFonts w:hint="eastAsia" w:ascii="Times New Roman" w:hAnsi="Times New Roman" w:eastAsia="仿宋"/>
          <w:snapToGrid w:val="0"/>
          <w:color w:val="auto"/>
          <w:sz w:val="28"/>
          <w:szCs w:val="32"/>
          <w:lang w:eastAsia="zh-CN"/>
        </w:rPr>
        <w:t>”</w:t>
      </w:r>
      <w:r>
        <w:rPr>
          <w:rFonts w:ascii="Times New Roman" w:hAnsi="Times New Roman" w:eastAsia="仿宋"/>
          <w:color w:val="auto"/>
          <w:sz w:val="28"/>
          <w:szCs w:val="28"/>
        </w:rPr>
        <w:t>。</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rPr>
        <w:t>评价结果说明，</w:t>
      </w:r>
      <w:r>
        <w:rPr>
          <w:rFonts w:hint="eastAsia" w:ascii="Times New Roman" w:hAnsi="Times New Roman" w:eastAsia="仿宋"/>
          <w:sz w:val="28"/>
          <w:szCs w:val="32"/>
          <w:lang w:eastAsia="zh-CN"/>
        </w:rPr>
        <w:t>旧县镇“四好农村路”建设项目</w:t>
      </w:r>
      <w:r>
        <w:rPr>
          <w:rFonts w:hint="eastAsia" w:ascii="Times New Roman" w:hAnsi="Times New Roman" w:eastAsia="仿宋"/>
          <w:sz w:val="28"/>
          <w:szCs w:val="32"/>
        </w:rPr>
        <w:t>资金使用的总体情况较好，社会效益、可持续影响显著，资金绩效基本达到了预期目标。</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1.决策</w:t>
      </w:r>
      <w:r>
        <w:rPr>
          <w:rFonts w:hint="eastAsia" w:ascii="Times New Roman" w:hAnsi="Times New Roman" w:eastAsia="仿宋"/>
          <w:sz w:val="28"/>
          <w:szCs w:val="32"/>
        </w:rPr>
        <w:t>方面，项目立项依据充分，绩效目标设定符合国家对扶贫</w:t>
      </w:r>
      <w:r>
        <w:rPr>
          <w:rFonts w:hint="eastAsia" w:ascii="Times New Roman" w:hAnsi="Times New Roman" w:eastAsia="仿宋"/>
          <w:sz w:val="28"/>
          <w:szCs w:val="32"/>
          <w:lang w:val="en-US" w:eastAsia="zh-CN"/>
        </w:rPr>
        <w:t>项目</w:t>
      </w:r>
      <w:r>
        <w:rPr>
          <w:rFonts w:hint="eastAsia" w:ascii="Times New Roman" w:hAnsi="Times New Roman" w:eastAsia="仿宋"/>
          <w:sz w:val="28"/>
          <w:szCs w:val="32"/>
        </w:rPr>
        <w:t>的需求，资金审批、到位及时，保证了项目总体的实施情况。</w:t>
      </w:r>
    </w:p>
    <w:p>
      <w:pPr>
        <w:widowControl/>
        <w:spacing w:line="500" w:lineRule="exact"/>
        <w:ind w:firstLine="560" w:firstLineChars="200"/>
        <w:rPr>
          <w:rFonts w:hint="default" w:ascii="Times New Roman" w:hAnsi="Times New Roman" w:eastAsia="仿宋"/>
          <w:sz w:val="28"/>
          <w:szCs w:val="32"/>
          <w:lang w:val="en-US" w:eastAsia="zh-CN"/>
        </w:rPr>
      </w:pPr>
      <w:r>
        <w:rPr>
          <w:rFonts w:hint="eastAsia" w:ascii="Times New Roman" w:hAnsi="Times New Roman" w:eastAsia="仿宋"/>
          <w:sz w:val="28"/>
          <w:szCs w:val="32"/>
          <w:lang w:val="en-US" w:eastAsia="zh-CN"/>
        </w:rPr>
        <w:t>2.</w:t>
      </w:r>
      <w:r>
        <w:rPr>
          <w:rFonts w:hint="eastAsia" w:ascii="Times New Roman" w:hAnsi="Times New Roman" w:eastAsia="仿宋"/>
          <w:sz w:val="28"/>
          <w:szCs w:val="32"/>
        </w:rPr>
        <w:t>过程方面，</w:t>
      </w:r>
      <w:r>
        <w:rPr>
          <w:rFonts w:hint="eastAsia" w:ascii="Times New Roman" w:hAnsi="Times New Roman" w:eastAsia="仿宋"/>
          <w:sz w:val="28"/>
          <w:szCs w:val="32"/>
          <w:lang w:eastAsia="zh-CN"/>
        </w:rPr>
        <w:t>古县交通运输局</w:t>
      </w:r>
      <w:r>
        <w:rPr>
          <w:rFonts w:hint="eastAsia" w:ascii="Times New Roman" w:hAnsi="Times New Roman" w:eastAsia="仿宋"/>
          <w:sz w:val="28"/>
          <w:szCs w:val="32"/>
        </w:rPr>
        <w:t>机构配置体系全面、工作流程管理等辅助制度完善，项目资金具有专人财务管理，财务管理合规、合法，具有明确专项资金收支账户，资金使用合规。</w:t>
      </w:r>
      <w:r>
        <w:rPr>
          <w:rFonts w:hint="eastAsia" w:ascii="Times New Roman" w:hAnsi="Times New Roman" w:eastAsia="仿宋"/>
          <w:sz w:val="28"/>
          <w:szCs w:val="32"/>
          <w:lang w:val="en-US" w:eastAsia="zh-CN"/>
        </w:rPr>
        <w:t>但项目制度执行存在不足。</w:t>
      </w:r>
    </w:p>
    <w:p>
      <w:pPr>
        <w:widowControl/>
        <w:spacing w:line="500" w:lineRule="exact"/>
        <w:ind w:firstLine="560" w:firstLineChars="200"/>
        <w:rPr>
          <w:rFonts w:hint="default" w:ascii="Times New Roman" w:hAnsi="Times New Roman" w:eastAsia="仿宋"/>
          <w:sz w:val="28"/>
          <w:szCs w:val="32"/>
          <w:lang w:val="en-US" w:eastAsia="zh-CN"/>
        </w:rPr>
      </w:pPr>
      <w:r>
        <w:rPr>
          <w:rFonts w:hint="eastAsia" w:ascii="Times New Roman" w:hAnsi="Times New Roman" w:eastAsia="仿宋"/>
          <w:sz w:val="28"/>
          <w:szCs w:val="32"/>
          <w:lang w:val="en-US" w:eastAsia="zh-CN"/>
        </w:rPr>
        <w:t>3.</w:t>
      </w:r>
      <w:r>
        <w:rPr>
          <w:rFonts w:hint="eastAsia" w:ascii="Times New Roman" w:hAnsi="Times New Roman" w:eastAsia="仿宋"/>
          <w:sz w:val="28"/>
          <w:szCs w:val="32"/>
        </w:rPr>
        <w:t>产出方面，古县旧县镇“四好农村路”建设项目涉及11条路全部完成，其中：①旧县道窄路基拓宽部分、旧县道畅返不畅建设6条路；②2019年畅返不畅整治工程5条路</w:t>
      </w:r>
      <w:r>
        <w:rPr>
          <w:rFonts w:hint="eastAsia" w:ascii="Times New Roman" w:hAnsi="Times New Roman" w:eastAsia="仿宋"/>
          <w:sz w:val="28"/>
          <w:szCs w:val="32"/>
          <w:lang w:eastAsia="zh-CN"/>
        </w:rPr>
        <w:t>；</w:t>
      </w:r>
      <w:r>
        <w:rPr>
          <w:rFonts w:hint="eastAsia" w:ascii="Times New Roman" w:hAnsi="Times New Roman" w:eastAsia="仿宋"/>
          <w:sz w:val="28"/>
          <w:szCs w:val="32"/>
          <w:lang w:val="en-US" w:eastAsia="zh-CN"/>
        </w:rPr>
        <w:t>但旧县道窄路基拓宽部分、旧县道畅返不畅建设6条路超期。</w:t>
      </w:r>
    </w:p>
    <w:p>
      <w:pPr>
        <w:widowControl/>
        <w:spacing w:line="500" w:lineRule="exact"/>
        <w:ind w:firstLine="560" w:firstLineChars="200"/>
        <w:rPr>
          <w:rFonts w:ascii="Times New Roman" w:hAnsi="Times New Roman" w:eastAsia="仿宋"/>
          <w:snapToGrid w:val="0"/>
          <w:color w:val="auto"/>
          <w:sz w:val="28"/>
          <w:szCs w:val="32"/>
        </w:rPr>
      </w:pPr>
      <w:r>
        <w:rPr>
          <w:rFonts w:hint="eastAsia" w:ascii="Times New Roman" w:hAnsi="Times New Roman" w:eastAsia="仿宋"/>
          <w:sz w:val="28"/>
          <w:szCs w:val="32"/>
          <w:lang w:val="en-US" w:eastAsia="zh-CN"/>
        </w:rPr>
        <w:t>4.</w:t>
      </w:r>
      <w:r>
        <w:rPr>
          <w:rFonts w:hint="eastAsia" w:ascii="Times New Roman" w:hAnsi="Times New Roman" w:eastAsia="仿宋"/>
          <w:sz w:val="28"/>
          <w:szCs w:val="32"/>
        </w:rPr>
        <w:t>效益方面，</w:t>
      </w:r>
      <w:r>
        <w:rPr>
          <w:rFonts w:hint="eastAsia" w:ascii="Times New Roman" w:hAnsi="Times New Roman" w:eastAsia="仿宋"/>
          <w:sz w:val="28"/>
          <w:szCs w:val="32"/>
          <w:lang w:val="en-US" w:eastAsia="zh-CN"/>
        </w:rPr>
        <w:t>项目社会效益、生态效益良好，群众满意度高</w:t>
      </w:r>
      <w:r>
        <w:rPr>
          <w:rFonts w:ascii="Times New Roman" w:hAnsi="Times New Roman" w:eastAsia="仿宋"/>
          <w:snapToGrid w:val="0"/>
          <w:sz w:val="28"/>
          <w:szCs w:val="32"/>
        </w:rPr>
        <w:t>。</w:t>
      </w:r>
      <w:r>
        <w:rPr>
          <w:rFonts w:hint="eastAsia" w:ascii="Times New Roman" w:hAnsi="Times New Roman" w:eastAsia="仿宋"/>
          <w:snapToGrid w:val="0"/>
          <w:sz w:val="28"/>
          <w:szCs w:val="32"/>
          <w:lang w:val="en-US" w:eastAsia="zh-CN"/>
        </w:rPr>
        <w:t>但项目可持续性体制机制尚未建立健全</w:t>
      </w:r>
      <w:r>
        <w:rPr>
          <w:rFonts w:ascii="Times New Roman" w:hAnsi="Times New Roman" w:eastAsia="仿宋"/>
          <w:snapToGrid w:val="0"/>
          <w:color w:val="auto"/>
          <w:sz w:val="28"/>
          <w:szCs w:val="32"/>
        </w:rPr>
        <w:t>。</w:t>
      </w:r>
    </w:p>
    <w:p>
      <w:pPr>
        <w:widowControl/>
        <w:spacing w:line="500" w:lineRule="exact"/>
        <w:jc w:val="center"/>
        <w:rPr>
          <w:rFonts w:ascii="Times New Roman" w:hAnsi="Times New Roman" w:eastAsia="仿宋"/>
          <w:b/>
          <w:snapToGrid w:val="0"/>
          <w:color w:val="auto"/>
          <w:sz w:val="24"/>
        </w:rPr>
      </w:pPr>
      <w:r>
        <w:rPr>
          <w:rFonts w:ascii="Times New Roman" w:hAnsi="Times New Roman" w:eastAsia="仿宋"/>
          <w:b/>
          <w:snapToGrid w:val="0"/>
          <w:color w:val="auto"/>
          <w:sz w:val="24"/>
        </w:rPr>
        <w:t>表1-1 一级指标得分情况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spacing w:line="360" w:lineRule="exact"/>
              <w:jc w:val="center"/>
              <w:rPr>
                <w:rFonts w:ascii="Times New Roman" w:hAnsi="Times New Roman" w:eastAsia="仿宋"/>
                <w:b/>
                <w:bCs/>
                <w:color w:val="auto"/>
                <w:kern w:val="0"/>
                <w:sz w:val="24"/>
                <w:szCs w:val="20"/>
              </w:rPr>
            </w:pPr>
            <w:r>
              <w:rPr>
                <w:rFonts w:ascii="Times New Roman" w:hAnsi="Times New Roman" w:eastAsia="仿宋"/>
                <w:b/>
                <w:bCs/>
                <w:color w:val="auto"/>
                <w:kern w:val="0"/>
                <w:sz w:val="24"/>
                <w:szCs w:val="20"/>
              </w:rPr>
              <w:t>一级指标</w:t>
            </w:r>
          </w:p>
        </w:tc>
        <w:tc>
          <w:tcPr>
            <w:tcW w:w="1846" w:type="dxa"/>
            <w:shd w:val="clear" w:color="auto" w:fill="BFBFBF"/>
            <w:vAlign w:val="center"/>
          </w:tcPr>
          <w:p>
            <w:pPr>
              <w:widowControl/>
              <w:snapToGrid w:val="0"/>
              <w:spacing w:line="360" w:lineRule="exact"/>
              <w:jc w:val="center"/>
              <w:rPr>
                <w:rFonts w:ascii="Times New Roman" w:hAnsi="Times New Roman" w:eastAsia="仿宋"/>
                <w:b/>
                <w:bCs/>
                <w:color w:val="auto"/>
                <w:kern w:val="0"/>
                <w:sz w:val="24"/>
                <w:szCs w:val="20"/>
              </w:rPr>
            </w:pPr>
            <w:r>
              <w:rPr>
                <w:rFonts w:ascii="Times New Roman" w:hAnsi="Times New Roman" w:eastAsia="仿宋"/>
                <w:b/>
                <w:bCs/>
                <w:color w:val="auto"/>
                <w:kern w:val="0"/>
                <w:sz w:val="24"/>
                <w:szCs w:val="20"/>
              </w:rPr>
              <w:t>权重</w:t>
            </w:r>
          </w:p>
        </w:tc>
        <w:tc>
          <w:tcPr>
            <w:tcW w:w="1846" w:type="dxa"/>
            <w:shd w:val="clear" w:color="auto" w:fill="BFBFBF"/>
            <w:vAlign w:val="center"/>
          </w:tcPr>
          <w:p>
            <w:pPr>
              <w:widowControl/>
              <w:snapToGrid w:val="0"/>
              <w:spacing w:line="360" w:lineRule="exact"/>
              <w:jc w:val="center"/>
              <w:rPr>
                <w:rFonts w:ascii="Times New Roman" w:hAnsi="Times New Roman" w:eastAsia="仿宋"/>
                <w:b/>
                <w:bCs/>
                <w:color w:val="auto"/>
                <w:kern w:val="0"/>
                <w:sz w:val="24"/>
                <w:szCs w:val="20"/>
              </w:rPr>
            </w:pPr>
            <w:r>
              <w:rPr>
                <w:rFonts w:ascii="Times New Roman" w:hAnsi="Times New Roman" w:eastAsia="仿宋"/>
                <w:b/>
                <w:bCs/>
                <w:color w:val="auto"/>
                <w:kern w:val="0"/>
                <w:sz w:val="24"/>
                <w:szCs w:val="20"/>
              </w:rPr>
              <w:t>得分</w:t>
            </w:r>
          </w:p>
        </w:tc>
        <w:tc>
          <w:tcPr>
            <w:tcW w:w="2374" w:type="dxa"/>
            <w:shd w:val="clear" w:color="auto" w:fill="BFBFBF"/>
            <w:vAlign w:val="center"/>
          </w:tcPr>
          <w:p>
            <w:pPr>
              <w:widowControl/>
              <w:snapToGrid w:val="0"/>
              <w:spacing w:line="360" w:lineRule="exact"/>
              <w:jc w:val="center"/>
              <w:rPr>
                <w:rFonts w:ascii="Times New Roman" w:hAnsi="Times New Roman" w:eastAsia="仿宋"/>
                <w:b/>
                <w:bCs/>
                <w:color w:val="auto"/>
                <w:kern w:val="0"/>
                <w:sz w:val="24"/>
                <w:szCs w:val="20"/>
              </w:rPr>
            </w:pPr>
            <w:r>
              <w:rPr>
                <w:rFonts w:ascii="Times New Roman" w:hAnsi="Times New Roman" w:eastAsia="仿宋"/>
                <w:b/>
                <w:bCs/>
                <w:color w:val="auto"/>
                <w:kern w:val="0"/>
                <w:sz w:val="24"/>
                <w:szCs w:val="20"/>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color w:val="auto"/>
                <w:kern w:val="0"/>
                <w:sz w:val="24"/>
                <w:szCs w:val="20"/>
              </w:rPr>
            </w:pPr>
            <w:r>
              <w:rPr>
                <w:rFonts w:ascii="Times New Roman" w:hAnsi="Times New Roman" w:eastAsia="仿宋"/>
                <w:bCs/>
                <w:sz w:val="24"/>
              </w:rPr>
              <w:t>A决策</w:t>
            </w:r>
          </w:p>
        </w:tc>
        <w:tc>
          <w:tcPr>
            <w:tcW w:w="1846" w:type="dxa"/>
            <w:vAlign w:val="center"/>
          </w:tcPr>
          <w:p>
            <w:pPr>
              <w:jc w:val="center"/>
              <w:rPr>
                <w:rFonts w:ascii="Times New Roman" w:hAnsi="Times New Roman" w:eastAsia="仿宋"/>
                <w:color w:val="auto"/>
                <w:kern w:val="0"/>
                <w:sz w:val="24"/>
                <w:szCs w:val="20"/>
              </w:rPr>
            </w:pPr>
            <w:r>
              <w:rPr>
                <w:rFonts w:ascii="Times New Roman" w:hAnsi="Times New Roman" w:eastAsia="仿宋"/>
                <w:bCs/>
                <w:sz w:val="24"/>
              </w:rPr>
              <w:t xml:space="preserve">20.00 </w:t>
            </w:r>
          </w:p>
        </w:tc>
        <w:tc>
          <w:tcPr>
            <w:tcW w:w="1846" w:type="dxa"/>
            <w:vAlign w:val="center"/>
          </w:tcPr>
          <w:p>
            <w:pPr>
              <w:jc w:val="center"/>
              <w:rPr>
                <w:rFonts w:ascii="Times New Roman" w:hAnsi="Times New Roman" w:eastAsia="仿宋"/>
                <w:color w:val="auto"/>
                <w:kern w:val="0"/>
                <w:sz w:val="24"/>
                <w:szCs w:val="20"/>
              </w:rPr>
            </w:pPr>
            <w:r>
              <w:rPr>
                <w:rFonts w:hint="eastAsia" w:ascii="Times New Roman" w:hAnsi="Times New Roman" w:eastAsia="仿宋"/>
                <w:bCs/>
                <w:sz w:val="24"/>
                <w:lang w:val="en-US" w:eastAsia="zh-CN"/>
              </w:rPr>
              <w:t>17.</w:t>
            </w:r>
            <w:r>
              <w:rPr>
                <w:rFonts w:ascii="Times New Roman" w:hAnsi="Times New Roman" w:eastAsia="仿宋"/>
                <w:bCs/>
                <w:sz w:val="24"/>
              </w:rPr>
              <w:t>00</w:t>
            </w:r>
          </w:p>
        </w:tc>
        <w:tc>
          <w:tcPr>
            <w:tcW w:w="2374" w:type="dxa"/>
            <w:vAlign w:val="center"/>
          </w:tcPr>
          <w:p>
            <w:pPr>
              <w:jc w:val="center"/>
              <w:rPr>
                <w:rFonts w:ascii="Times New Roman" w:hAnsi="Times New Roman" w:eastAsia="仿宋"/>
                <w:color w:val="auto"/>
                <w:kern w:val="0"/>
                <w:sz w:val="24"/>
                <w:szCs w:val="20"/>
              </w:rPr>
            </w:pPr>
            <w:r>
              <w:rPr>
                <w:rFonts w:hint="eastAsia" w:ascii="Times New Roman" w:hAnsi="Times New Roman" w:eastAsia="仿宋"/>
                <w:bCs/>
                <w:sz w:val="24"/>
                <w:lang w:val="en-US" w:eastAsia="zh-CN"/>
              </w:rPr>
              <w:t>85</w:t>
            </w:r>
            <w:r>
              <w:rPr>
                <w:rFonts w:ascii="Times New Roman" w:hAnsi="Times New Roman" w:eastAsia="仿宋"/>
                <w:bCs/>
                <w:sz w:val="24"/>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color w:val="auto"/>
                <w:kern w:val="0"/>
                <w:sz w:val="24"/>
                <w:szCs w:val="20"/>
              </w:rPr>
            </w:pPr>
            <w:r>
              <w:rPr>
                <w:rFonts w:ascii="Times New Roman" w:hAnsi="Times New Roman" w:eastAsia="仿宋"/>
                <w:bCs/>
                <w:sz w:val="24"/>
              </w:rPr>
              <w:t>B过程</w:t>
            </w:r>
          </w:p>
        </w:tc>
        <w:tc>
          <w:tcPr>
            <w:tcW w:w="1846" w:type="dxa"/>
            <w:vAlign w:val="center"/>
          </w:tcPr>
          <w:p>
            <w:pPr>
              <w:jc w:val="center"/>
              <w:rPr>
                <w:rFonts w:ascii="Times New Roman" w:hAnsi="Times New Roman" w:eastAsia="仿宋"/>
                <w:color w:val="auto"/>
                <w:kern w:val="0"/>
                <w:sz w:val="24"/>
                <w:szCs w:val="20"/>
              </w:rPr>
            </w:pPr>
            <w:r>
              <w:rPr>
                <w:rFonts w:ascii="Times New Roman" w:hAnsi="Times New Roman" w:eastAsia="仿宋"/>
                <w:bCs/>
                <w:sz w:val="24"/>
              </w:rPr>
              <w:t>20.00</w:t>
            </w:r>
          </w:p>
        </w:tc>
        <w:tc>
          <w:tcPr>
            <w:tcW w:w="1846" w:type="dxa"/>
            <w:vAlign w:val="center"/>
          </w:tcPr>
          <w:p>
            <w:pPr>
              <w:jc w:val="center"/>
              <w:rPr>
                <w:rFonts w:ascii="Times New Roman" w:hAnsi="Times New Roman" w:eastAsia="仿宋"/>
                <w:color w:val="auto"/>
                <w:kern w:val="0"/>
                <w:sz w:val="24"/>
                <w:szCs w:val="20"/>
              </w:rPr>
            </w:pPr>
            <w:r>
              <w:rPr>
                <w:rFonts w:hint="eastAsia" w:ascii="Times New Roman" w:hAnsi="Times New Roman" w:eastAsia="仿宋"/>
                <w:bCs/>
                <w:sz w:val="24"/>
                <w:lang w:val="en-US" w:eastAsia="zh-CN"/>
              </w:rPr>
              <w:t>19.00</w:t>
            </w:r>
          </w:p>
        </w:tc>
        <w:tc>
          <w:tcPr>
            <w:tcW w:w="2374" w:type="dxa"/>
            <w:vAlign w:val="center"/>
          </w:tcPr>
          <w:p>
            <w:pPr>
              <w:jc w:val="center"/>
              <w:rPr>
                <w:rFonts w:ascii="Times New Roman" w:hAnsi="Times New Roman" w:eastAsia="仿宋"/>
                <w:color w:val="auto"/>
                <w:kern w:val="0"/>
                <w:sz w:val="24"/>
                <w:szCs w:val="20"/>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blHeader/>
        </w:trPr>
        <w:tc>
          <w:tcPr>
            <w:tcW w:w="2456" w:type="dxa"/>
            <w:vAlign w:val="center"/>
          </w:tcPr>
          <w:p>
            <w:pPr>
              <w:jc w:val="center"/>
              <w:rPr>
                <w:rFonts w:ascii="Times New Roman" w:hAnsi="Times New Roman" w:eastAsia="仿宋"/>
                <w:color w:val="FF0000"/>
                <w:kern w:val="0"/>
                <w:sz w:val="24"/>
                <w:szCs w:val="20"/>
              </w:rPr>
            </w:pPr>
            <w:r>
              <w:rPr>
                <w:rFonts w:ascii="Times New Roman" w:hAnsi="Times New Roman" w:eastAsia="仿宋"/>
                <w:bCs/>
                <w:sz w:val="24"/>
              </w:rPr>
              <w:t>C产出</w:t>
            </w:r>
          </w:p>
        </w:tc>
        <w:tc>
          <w:tcPr>
            <w:tcW w:w="1846" w:type="dxa"/>
            <w:vAlign w:val="center"/>
          </w:tcPr>
          <w:p>
            <w:pPr>
              <w:jc w:val="center"/>
              <w:rPr>
                <w:rFonts w:ascii="Times New Roman" w:hAnsi="Times New Roman" w:eastAsia="仿宋"/>
                <w:color w:val="FF0000"/>
                <w:kern w:val="0"/>
                <w:sz w:val="24"/>
                <w:szCs w:val="20"/>
              </w:rPr>
            </w:pPr>
            <w:r>
              <w:rPr>
                <w:rFonts w:ascii="Times New Roman" w:hAnsi="Times New Roman" w:eastAsia="仿宋"/>
                <w:bCs/>
                <w:sz w:val="24"/>
              </w:rPr>
              <w:t>30.00</w:t>
            </w:r>
          </w:p>
        </w:tc>
        <w:tc>
          <w:tcPr>
            <w:tcW w:w="1846" w:type="dxa"/>
            <w:vAlign w:val="center"/>
          </w:tcPr>
          <w:p>
            <w:pPr>
              <w:jc w:val="center"/>
              <w:rPr>
                <w:rFonts w:ascii="Times New Roman" w:hAnsi="Times New Roman" w:eastAsia="仿宋"/>
                <w:color w:val="FF0000"/>
                <w:kern w:val="0"/>
                <w:sz w:val="24"/>
                <w:szCs w:val="20"/>
              </w:rPr>
            </w:pPr>
            <w:r>
              <w:rPr>
                <w:rFonts w:hint="eastAsia" w:ascii="Times New Roman" w:hAnsi="Times New Roman" w:eastAsia="仿宋"/>
                <w:bCs/>
                <w:sz w:val="24"/>
                <w:lang w:val="en-US" w:eastAsia="zh-CN"/>
              </w:rPr>
              <w:t>26.00</w:t>
            </w:r>
          </w:p>
        </w:tc>
        <w:tc>
          <w:tcPr>
            <w:tcW w:w="2374" w:type="dxa"/>
            <w:vAlign w:val="center"/>
          </w:tcPr>
          <w:p>
            <w:pPr>
              <w:jc w:val="center"/>
              <w:rPr>
                <w:rFonts w:ascii="Times New Roman" w:hAnsi="Times New Roman" w:eastAsia="仿宋"/>
                <w:color w:val="FF0000"/>
                <w:kern w:val="0"/>
                <w:sz w:val="24"/>
                <w:szCs w:val="20"/>
              </w:rPr>
            </w:pPr>
            <w:r>
              <w:rPr>
                <w:rFonts w:hint="eastAsia" w:ascii="Times New Roman" w:hAnsi="Times New Roman" w:eastAsia="仿宋"/>
                <w:bCs/>
                <w:sz w:val="24"/>
                <w:lang w:val="en-US" w:eastAsia="zh-CN"/>
              </w:rPr>
              <w:t>86.67%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color w:val="FF0000"/>
                <w:kern w:val="0"/>
                <w:sz w:val="24"/>
                <w:szCs w:val="20"/>
              </w:rPr>
            </w:pPr>
            <w:r>
              <w:rPr>
                <w:rFonts w:ascii="Times New Roman" w:hAnsi="Times New Roman" w:eastAsia="仿宋"/>
                <w:bCs/>
                <w:sz w:val="24"/>
              </w:rPr>
              <w:t>D效益</w:t>
            </w:r>
          </w:p>
        </w:tc>
        <w:tc>
          <w:tcPr>
            <w:tcW w:w="1846" w:type="dxa"/>
            <w:vAlign w:val="center"/>
          </w:tcPr>
          <w:p>
            <w:pPr>
              <w:jc w:val="center"/>
              <w:rPr>
                <w:rFonts w:ascii="Times New Roman" w:hAnsi="Times New Roman" w:eastAsia="仿宋"/>
                <w:color w:val="FF0000"/>
                <w:kern w:val="0"/>
                <w:sz w:val="24"/>
                <w:szCs w:val="20"/>
              </w:rPr>
            </w:pPr>
            <w:r>
              <w:rPr>
                <w:rFonts w:ascii="Times New Roman" w:hAnsi="Times New Roman" w:eastAsia="仿宋"/>
                <w:bCs/>
                <w:sz w:val="24"/>
              </w:rPr>
              <w:t>30.00</w:t>
            </w:r>
          </w:p>
        </w:tc>
        <w:tc>
          <w:tcPr>
            <w:tcW w:w="1846" w:type="dxa"/>
            <w:vAlign w:val="center"/>
          </w:tcPr>
          <w:p>
            <w:pPr>
              <w:jc w:val="center"/>
              <w:rPr>
                <w:rFonts w:ascii="Times New Roman" w:hAnsi="Times New Roman" w:eastAsia="仿宋"/>
                <w:color w:val="FF0000"/>
                <w:kern w:val="0"/>
                <w:sz w:val="24"/>
                <w:szCs w:val="20"/>
              </w:rPr>
            </w:pPr>
            <w:r>
              <w:rPr>
                <w:rFonts w:hint="eastAsia" w:ascii="Times New Roman" w:hAnsi="Times New Roman" w:eastAsia="仿宋"/>
                <w:bCs/>
                <w:sz w:val="24"/>
                <w:lang w:val="en-US" w:eastAsia="zh-CN"/>
              </w:rPr>
              <w:t>25.00</w:t>
            </w:r>
          </w:p>
        </w:tc>
        <w:tc>
          <w:tcPr>
            <w:tcW w:w="2374" w:type="dxa"/>
            <w:vAlign w:val="center"/>
          </w:tcPr>
          <w:p>
            <w:pPr>
              <w:jc w:val="center"/>
              <w:rPr>
                <w:rFonts w:ascii="Times New Roman" w:hAnsi="Times New Roman" w:eastAsia="仿宋"/>
                <w:color w:val="FF0000"/>
                <w:kern w:val="0"/>
                <w:sz w:val="24"/>
                <w:szCs w:val="20"/>
              </w:rPr>
            </w:pPr>
            <w:r>
              <w:rPr>
                <w:rFonts w:hint="eastAsia" w:ascii="Times New Roman" w:hAnsi="Times New Roman" w:eastAsia="仿宋"/>
                <w:bCs/>
                <w:sz w:val="24"/>
                <w:lang w:val="en-US" w:eastAsia="zh-CN"/>
              </w:rPr>
              <w:t>83.33</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color w:val="FF0000"/>
                <w:kern w:val="0"/>
                <w:sz w:val="24"/>
                <w:szCs w:val="20"/>
              </w:rPr>
            </w:pPr>
            <w:r>
              <w:rPr>
                <w:rFonts w:ascii="Times New Roman" w:hAnsi="Times New Roman" w:eastAsia="仿宋"/>
                <w:bCs/>
                <w:sz w:val="24"/>
              </w:rPr>
              <w:t>合计</w:t>
            </w:r>
          </w:p>
        </w:tc>
        <w:tc>
          <w:tcPr>
            <w:tcW w:w="1846" w:type="dxa"/>
            <w:vAlign w:val="center"/>
          </w:tcPr>
          <w:p>
            <w:pPr>
              <w:jc w:val="center"/>
              <w:rPr>
                <w:rFonts w:ascii="Times New Roman" w:hAnsi="Times New Roman" w:eastAsia="仿宋"/>
                <w:color w:val="FF0000"/>
                <w:kern w:val="0"/>
                <w:sz w:val="24"/>
                <w:szCs w:val="20"/>
              </w:rPr>
            </w:pPr>
            <w:r>
              <w:rPr>
                <w:rFonts w:ascii="Times New Roman" w:hAnsi="Times New Roman" w:eastAsia="仿宋"/>
                <w:bCs/>
                <w:sz w:val="24"/>
              </w:rPr>
              <w:t xml:space="preserve">100.00 </w:t>
            </w:r>
          </w:p>
        </w:tc>
        <w:tc>
          <w:tcPr>
            <w:tcW w:w="1846" w:type="dxa"/>
            <w:vAlign w:val="center"/>
          </w:tcPr>
          <w:p>
            <w:pPr>
              <w:jc w:val="center"/>
              <w:rPr>
                <w:rFonts w:ascii="Times New Roman" w:hAnsi="Times New Roman" w:eastAsia="仿宋"/>
                <w:color w:val="FF0000"/>
                <w:kern w:val="0"/>
                <w:sz w:val="24"/>
                <w:szCs w:val="20"/>
              </w:rPr>
            </w:pPr>
            <w:r>
              <w:rPr>
                <w:rFonts w:hint="eastAsia" w:ascii="Times New Roman" w:hAnsi="Times New Roman" w:eastAsia="仿宋"/>
                <w:bCs/>
                <w:sz w:val="24"/>
                <w:lang w:val="en-US" w:eastAsia="zh-CN"/>
              </w:rPr>
              <w:t>87.00</w:t>
            </w:r>
          </w:p>
        </w:tc>
        <w:tc>
          <w:tcPr>
            <w:tcW w:w="2374" w:type="dxa"/>
            <w:vAlign w:val="center"/>
          </w:tcPr>
          <w:p>
            <w:pPr>
              <w:jc w:val="center"/>
              <w:rPr>
                <w:rFonts w:ascii="Times New Roman" w:hAnsi="Times New Roman" w:eastAsia="仿宋"/>
                <w:color w:val="FF0000"/>
                <w:kern w:val="0"/>
                <w:sz w:val="24"/>
                <w:szCs w:val="20"/>
              </w:rPr>
            </w:pPr>
            <w:r>
              <w:rPr>
                <w:rFonts w:hint="eastAsia" w:ascii="Times New Roman" w:hAnsi="Times New Roman" w:eastAsia="仿宋"/>
                <w:bCs/>
                <w:sz w:val="24"/>
                <w:lang w:val="en-US" w:eastAsia="zh-CN"/>
              </w:rPr>
              <w:t>87.00</w:t>
            </w:r>
            <w:r>
              <w:rPr>
                <w:rFonts w:ascii="Times New Roman" w:hAnsi="Times New Roman" w:eastAsia="仿宋"/>
                <w:bCs/>
                <w:sz w:val="24"/>
              </w:rPr>
              <w:t>%</w:t>
            </w:r>
          </w:p>
        </w:tc>
      </w:tr>
    </w:tbl>
    <w:p>
      <w:pPr>
        <w:spacing w:before="312" w:beforeLines="100" w:after="312" w:afterLines="100" w:line="500" w:lineRule="exact"/>
        <w:rPr>
          <w:rFonts w:ascii="黑体" w:hAnsi="黑体" w:eastAsia="黑体"/>
          <w:sz w:val="32"/>
          <w:szCs w:val="28"/>
        </w:rPr>
      </w:pPr>
      <w:r>
        <w:rPr>
          <w:rFonts w:ascii="黑体" w:hAnsi="黑体" w:eastAsia="黑体"/>
          <w:sz w:val="32"/>
          <w:szCs w:val="28"/>
        </w:rPr>
        <w:t>三、存在问题</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1.旧县镇人民政府档案管理不到位，项目实施资料与资金支付资料未进行统一保管，相关负责人对项目情况不熟悉。</w:t>
      </w:r>
    </w:p>
    <w:p>
      <w:pPr>
        <w:spacing w:line="500" w:lineRule="exact"/>
        <w:ind w:firstLine="562" w:firstLineChars="200"/>
        <w:rPr>
          <w:rFonts w:ascii="Times New Roman" w:hAnsi="Times New Roman" w:eastAsia="仿宋"/>
          <w:b/>
          <w:bCs/>
          <w:snapToGrid w:val="0"/>
          <w:sz w:val="28"/>
          <w:szCs w:val="32"/>
        </w:rPr>
      </w:pPr>
      <w:r>
        <w:rPr>
          <w:rFonts w:hint="eastAsia" w:ascii="Times New Roman" w:hAnsi="Times New Roman" w:eastAsia="仿宋"/>
          <w:b/>
          <w:bCs/>
          <w:snapToGrid w:val="0"/>
          <w:sz w:val="28"/>
          <w:szCs w:val="32"/>
          <w:lang w:val="en-US" w:eastAsia="zh-CN"/>
        </w:rPr>
        <w:t>2</w:t>
      </w:r>
      <w:r>
        <w:rPr>
          <w:rFonts w:ascii="Times New Roman" w:hAnsi="Times New Roman" w:eastAsia="仿宋"/>
          <w:b/>
          <w:bCs/>
          <w:snapToGrid w:val="0"/>
          <w:sz w:val="28"/>
          <w:szCs w:val="32"/>
        </w:rPr>
        <w:t>.</w:t>
      </w:r>
      <w:r>
        <w:rPr>
          <w:rFonts w:hint="eastAsia" w:ascii="Times New Roman" w:hAnsi="Times New Roman" w:eastAsia="仿宋"/>
          <w:b/>
          <w:bCs/>
          <w:snapToGrid w:val="0"/>
          <w:sz w:val="28"/>
          <w:szCs w:val="32"/>
          <w:lang w:val="en-US" w:eastAsia="zh-CN"/>
        </w:rPr>
        <w:t>旧县道窄路基拓宽部分、旧县道畅返不畅建设6条路超期</w:t>
      </w:r>
      <w:r>
        <w:rPr>
          <w:rFonts w:ascii="Times New Roman" w:hAnsi="Times New Roman" w:eastAsia="仿宋"/>
          <w:b/>
          <w:bCs/>
          <w:snapToGrid w:val="0"/>
          <w:sz w:val="28"/>
          <w:szCs w:val="32"/>
        </w:rPr>
        <w:t>。</w:t>
      </w:r>
    </w:p>
    <w:p>
      <w:pPr>
        <w:spacing w:line="500" w:lineRule="exact"/>
        <w:ind w:firstLine="560" w:firstLineChars="200"/>
        <w:rPr>
          <w:rFonts w:hint="eastAsia" w:ascii="Times New Roman" w:hAnsi="Times New Roman" w:eastAsia="仿宋"/>
          <w:bCs/>
          <w:snapToGrid w:val="0"/>
          <w:sz w:val="28"/>
          <w:szCs w:val="32"/>
        </w:rPr>
      </w:pPr>
      <w:r>
        <w:rPr>
          <w:rFonts w:hint="eastAsia" w:ascii="Times New Roman" w:hAnsi="Times New Roman" w:eastAsia="仿宋"/>
          <w:bCs/>
          <w:snapToGrid w:val="0"/>
          <w:sz w:val="28"/>
          <w:szCs w:val="32"/>
        </w:rPr>
        <w:t>古县旧县镇“四好农村路”建设项目涉及11条路，分为两个部分；其中：①旧县道窄路基拓宽部分、旧县道畅返不畅建设6条路：合同工期：180天、实际工期：270天，项目超期；②2019年畅返不畅整治工程5条路：合同工期：180天，实际工期：80天，项目完成及时。</w:t>
      </w:r>
    </w:p>
    <w:p>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3.项目可持续性体制机制尚未建立健全。</w:t>
      </w:r>
    </w:p>
    <w:p>
      <w:pPr>
        <w:spacing w:line="500" w:lineRule="exact"/>
        <w:ind w:firstLine="560" w:firstLineChars="200"/>
        <w:rPr>
          <w:rFonts w:ascii="Times New Roman" w:hAnsi="Times New Roman" w:eastAsia="仿宋"/>
          <w:bCs/>
          <w:snapToGrid w:val="0"/>
          <w:sz w:val="28"/>
          <w:szCs w:val="32"/>
        </w:rPr>
      </w:pPr>
      <w:r>
        <w:rPr>
          <w:rFonts w:hint="eastAsia" w:ascii="Times New Roman" w:hAnsi="Times New Roman" w:eastAsia="仿宋"/>
          <w:b w:val="0"/>
          <w:bCs/>
          <w:snapToGrid w:val="0"/>
          <w:sz w:val="28"/>
          <w:szCs w:val="32"/>
          <w:lang w:val="en-US" w:eastAsia="zh-CN"/>
        </w:rPr>
        <w:t>旧县镇人民政府尚未建</w:t>
      </w:r>
      <w:r>
        <w:rPr>
          <w:rFonts w:hint="eastAsia" w:ascii="Times New Roman" w:hAnsi="Times New Roman" w:eastAsia="仿宋"/>
          <w:b w:val="0"/>
          <w:bCs/>
          <w:snapToGrid w:val="0"/>
          <w:sz w:val="28"/>
          <w:szCs w:val="32"/>
        </w:rPr>
        <w:t>立农村公路养护管理相关制度，</w:t>
      </w:r>
      <w:r>
        <w:rPr>
          <w:rFonts w:hint="eastAsia" w:ascii="Times New Roman" w:hAnsi="Times New Roman" w:eastAsia="仿宋"/>
          <w:b w:val="0"/>
          <w:bCs/>
          <w:snapToGrid w:val="0"/>
          <w:sz w:val="28"/>
          <w:szCs w:val="32"/>
          <w:lang w:val="en-US" w:eastAsia="zh-CN"/>
        </w:rPr>
        <w:t>未提供</w:t>
      </w:r>
      <w:r>
        <w:rPr>
          <w:rFonts w:hint="eastAsia" w:ascii="Times New Roman" w:hAnsi="Times New Roman" w:eastAsia="仿宋"/>
          <w:b w:val="0"/>
          <w:bCs/>
          <w:snapToGrid w:val="0"/>
          <w:sz w:val="28"/>
          <w:szCs w:val="32"/>
        </w:rPr>
        <w:t>明确</w:t>
      </w:r>
      <w:r>
        <w:rPr>
          <w:rFonts w:hint="eastAsia" w:ascii="Times New Roman" w:hAnsi="Times New Roman" w:eastAsia="仿宋"/>
          <w:b w:val="0"/>
          <w:bCs/>
          <w:snapToGrid w:val="0"/>
          <w:sz w:val="28"/>
          <w:szCs w:val="32"/>
          <w:lang w:val="en-US" w:eastAsia="zh-CN"/>
        </w:rPr>
        <w:t>的</w:t>
      </w:r>
      <w:r>
        <w:rPr>
          <w:rFonts w:hint="eastAsia" w:ascii="Times New Roman" w:hAnsi="Times New Roman" w:eastAsia="仿宋"/>
          <w:b w:val="0"/>
          <w:bCs/>
          <w:snapToGrid w:val="0"/>
          <w:sz w:val="28"/>
          <w:szCs w:val="32"/>
        </w:rPr>
        <w:t>养护人员及职责；养护资金</w:t>
      </w:r>
      <w:r>
        <w:rPr>
          <w:rFonts w:hint="eastAsia" w:ascii="Times New Roman" w:hAnsi="Times New Roman" w:eastAsia="仿宋"/>
          <w:b w:val="0"/>
          <w:bCs/>
          <w:snapToGrid w:val="0"/>
          <w:sz w:val="28"/>
          <w:szCs w:val="32"/>
          <w:lang w:val="en-US" w:eastAsia="zh-CN"/>
        </w:rPr>
        <w:t>落实情况未进行说明</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lang w:val="en-US" w:eastAsia="zh-CN"/>
        </w:rPr>
        <w:t>项目可持续性体制机制尚未建立健全</w:t>
      </w:r>
      <w:r>
        <w:rPr>
          <w:rFonts w:ascii="Times New Roman" w:hAnsi="Times New Roman" w:eastAsia="仿宋"/>
          <w:bCs/>
          <w:snapToGrid w:val="0"/>
          <w:sz w:val="28"/>
          <w:szCs w:val="32"/>
        </w:rPr>
        <w:t xml:space="preserve">。  </w:t>
      </w:r>
    </w:p>
    <w:p>
      <w:pPr>
        <w:spacing w:before="312" w:beforeLines="100" w:after="312" w:afterLines="100" w:line="500" w:lineRule="exact"/>
        <w:rPr>
          <w:rFonts w:ascii="黑体" w:hAnsi="黑体" w:eastAsia="黑体"/>
          <w:sz w:val="32"/>
          <w:szCs w:val="28"/>
        </w:rPr>
      </w:pPr>
      <w:r>
        <w:rPr>
          <w:rFonts w:ascii="黑体" w:hAnsi="黑体" w:eastAsia="黑体"/>
          <w:sz w:val="32"/>
          <w:szCs w:val="28"/>
        </w:rPr>
        <w:t>四、改进措施</w:t>
      </w:r>
    </w:p>
    <w:p>
      <w:pPr>
        <w:pStyle w:val="53"/>
        <w:numPr>
          <w:ilvl w:val="0"/>
          <w:numId w:val="0"/>
        </w:numPr>
        <w:ind w:firstLine="562" w:firstLineChars="200"/>
        <w:rPr>
          <w:rFonts w:hint="default" w:ascii="Times New Roman" w:hAnsi="Times New Roman" w:eastAsia="仿宋" w:cs="Times New Roman"/>
          <w:b/>
        </w:rPr>
      </w:pPr>
      <w:r>
        <w:rPr>
          <w:rFonts w:hint="eastAsia" w:ascii="Times New Roman" w:hAnsi="Times New Roman" w:eastAsia="仿宋" w:cs="Times New Roman"/>
          <w:b/>
          <w:lang w:val="en-US" w:eastAsia="zh-CN"/>
        </w:rPr>
        <w:t>1.加强项目档案管理，确保项目资料有据可查</w:t>
      </w:r>
      <w:r>
        <w:rPr>
          <w:rFonts w:hint="default" w:ascii="Times New Roman" w:hAnsi="Times New Roman" w:eastAsia="仿宋" w:cs="Times New Roman"/>
          <w:b/>
        </w:rPr>
        <w:t>。</w:t>
      </w:r>
    </w:p>
    <w:p>
      <w:pPr>
        <w:spacing w:line="600" w:lineRule="exact"/>
        <w:ind w:firstLine="560" w:firstLineChars="200"/>
        <w:jc w:val="left"/>
        <w:rPr>
          <w:rFonts w:hint="eastAsia" w:ascii="仿宋" w:hAnsi="仿宋" w:eastAsia="仿宋" w:cs="仿宋"/>
          <w:bCs/>
          <w:snapToGrid w:val="0"/>
          <w:sz w:val="28"/>
          <w:szCs w:val="28"/>
          <w:lang w:val="en-US" w:eastAsia="zh-CN"/>
        </w:rPr>
      </w:pPr>
      <w:r>
        <w:rPr>
          <w:rFonts w:hint="eastAsia" w:ascii="仿宋" w:hAnsi="仿宋" w:eastAsia="仿宋" w:cs="仿宋"/>
          <w:bCs/>
          <w:snapToGrid w:val="0"/>
          <w:sz w:val="28"/>
          <w:szCs w:val="28"/>
          <w:lang w:val="en-US" w:eastAsia="zh-CN"/>
        </w:rPr>
        <w:t>建议旧县镇人民政府加强项目档案管理，项目实施完成后，项目按进度进行资金支付印证资料及其他项目相关财务资料等与项目实施资料统一装订，方便查阅及梳理项目全流程实施及管理情况。</w:t>
      </w:r>
    </w:p>
    <w:p>
      <w:pPr>
        <w:spacing w:line="600" w:lineRule="exact"/>
        <w:ind w:firstLine="562" w:firstLineChars="200"/>
        <w:jc w:val="left"/>
        <w:rPr>
          <w:rFonts w:hint="eastAsia" w:ascii="Times New Roman" w:hAnsi="Times New Roman" w:eastAsia="仿宋" w:cs="Times New Roman"/>
          <w:b/>
          <w:sz w:val="28"/>
          <w:szCs w:val="28"/>
          <w:lang w:eastAsia="zh-CN"/>
        </w:rPr>
      </w:pPr>
      <w:r>
        <w:rPr>
          <w:rFonts w:hint="eastAsia" w:ascii="Times New Roman" w:hAnsi="Times New Roman" w:eastAsia="仿宋"/>
          <w:b/>
          <w:bCs/>
          <w:snapToGrid w:val="0"/>
          <w:sz w:val="28"/>
          <w:szCs w:val="32"/>
          <w:lang w:val="en-US" w:eastAsia="zh-CN"/>
        </w:rPr>
        <w:t>2</w:t>
      </w:r>
      <w:r>
        <w:rPr>
          <w:rFonts w:ascii="Times New Roman" w:hAnsi="Times New Roman" w:eastAsia="仿宋"/>
          <w:b/>
          <w:bCs/>
          <w:snapToGrid w:val="0"/>
          <w:sz w:val="28"/>
          <w:szCs w:val="32"/>
        </w:rPr>
        <w:t>.</w:t>
      </w:r>
      <w:r>
        <w:rPr>
          <w:rFonts w:hint="eastAsia" w:ascii="Times New Roman" w:hAnsi="Times New Roman" w:eastAsia="仿宋" w:cs="Times New Roman"/>
          <w:b/>
          <w:sz w:val="28"/>
          <w:szCs w:val="28"/>
          <w:lang w:val="en-US" w:eastAsia="zh-CN"/>
        </w:rPr>
        <w:t>加强项目进度管理，避免项目超期现象发生</w:t>
      </w:r>
      <w:r>
        <w:rPr>
          <w:rFonts w:hint="eastAsia" w:ascii="Times New Roman" w:hAnsi="Times New Roman" w:eastAsia="仿宋" w:cs="Times New Roman"/>
          <w:b/>
          <w:sz w:val="28"/>
          <w:szCs w:val="28"/>
          <w:lang w:eastAsia="zh-CN"/>
        </w:rPr>
        <w:t>。</w:t>
      </w:r>
    </w:p>
    <w:p>
      <w:pPr>
        <w:spacing w:line="600" w:lineRule="exact"/>
        <w:ind w:firstLine="560" w:firstLineChars="200"/>
        <w:jc w:val="left"/>
        <w:rPr>
          <w:rFonts w:hint="default" w:ascii="Times New Roman" w:hAnsi="Times New Roman" w:eastAsia="仿宋"/>
          <w:bCs/>
          <w:snapToGrid w:val="0"/>
          <w:sz w:val="28"/>
          <w:szCs w:val="32"/>
          <w:lang w:val="en-US" w:eastAsia="zh-CN"/>
        </w:rPr>
      </w:pPr>
      <w:r>
        <w:rPr>
          <w:rFonts w:hint="eastAsia" w:ascii="Times New Roman" w:hAnsi="Times New Roman" w:eastAsia="仿宋"/>
          <w:bCs/>
          <w:snapToGrid w:val="0"/>
          <w:sz w:val="28"/>
          <w:szCs w:val="32"/>
          <w:lang w:val="en-US" w:eastAsia="zh-CN"/>
        </w:rPr>
        <w:t>建议主管部门、实施单位加强项目进度管理，针对“四好农村路”项目涉及子项目多的特点，统筹全局、倒排工期，明确各阶段实施内容与完成时间，督促施工方按计划工期实施项目，确保项目整体进度达标。</w:t>
      </w:r>
    </w:p>
    <w:p>
      <w:pPr>
        <w:spacing w:line="600" w:lineRule="exact"/>
        <w:ind w:firstLine="562" w:firstLineChars="200"/>
        <w:jc w:val="left"/>
        <w:rPr>
          <w:rFonts w:hint="default" w:ascii="Times New Roman" w:hAnsi="Times New Roman" w:eastAsia="仿宋"/>
          <w:b/>
          <w:bCs/>
          <w:snapToGrid w:val="0"/>
          <w:sz w:val="28"/>
          <w:szCs w:val="32"/>
          <w:lang w:val="en-US" w:eastAsia="zh-CN"/>
        </w:rPr>
      </w:pPr>
      <w:r>
        <w:rPr>
          <w:rFonts w:hint="eastAsia" w:ascii="Times New Roman" w:hAnsi="Times New Roman" w:eastAsia="仿宋"/>
          <w:b/>
          <w:bCs/>
          <w:snapToGrid w:val="0"/>
          <w:sz w:val="28"/>
          <w:szCs w:val="32"/>
          <w:lang w:val="en-US" w:eastAsia="zh-CN"/>
        </w:rPr>
        <w:t>3.建立健全后续管护体制机制，落实后续管护责任，明确后续管护资金，确保项目长效发挥。</w:t>
      </w:r>
    </w:p>
    <w:p>
      <w:pPr>
        <w:spacing w:line="500" w:lineRule="exact"/>
        <w:ind w:firstLine="560" w:firstLineChars="200"/>
        <w:rPr>
          <w:rFonts w:ascii="Times New Roman" w:hAnsi="Times New Roman" w:eastAsia="仿宋"/>
          <w:bCs/>
          <w:snapToGrid w:val="0"/>
          <w:sz w:val="32"/>
          <w:szCs w:val="32"/>
        </w:rPr>
      </w:pPr>
      <w:r>
        <w:rPr>
          <w:rFonts w:hint="eastAsia" w:ascii="Times New Roman" w:hAnsi="Times New Roman" w:eastAsia="仿宋"/>
          <w:b w:val="0"/>
          <w:bCs w:val="0"/>
          <w:snapToGrid w:val="0"/>
          <w:sz w:val="28"/>
          <w:szCs w:val="32"/>
          <w:lang w:val="en-US" w:eastAsia="zh-CN"/>
        </w:rPr>
        <w:t>建议旧县镇人民政府建立健全后续管护体制机制，落实后续管护责任，明确后续管护资金，确保项目长效发挥</w:t>
      </w:r>
      <w:r>
        <w:rPr>
          <w:rFonts w:ascii="Times New Roman" w:hAnsi="Times New Roman" w:eastAsia="仿宋"/>
          <w:bCs/>
          <w:snapToGrid w:val="0"/>
          <w:sz w:val="28"/>
          <w:szCs w:val="32"/>
        </w:rPr>
        <w:t>。</w:t>
      </w:r>
    </w:p>
    <w:p>
      <w:pPr>
        <w:pStyle w:val="18"/>
        <w:spacing w:line="500" w:lineRule="exact"/>
        <w:rPr>
          <w:rFonts w:eastAsia="仿宋"/>
          <w:b/>
          <w:bCs w:val="0"/>
          <w:kern w:val="2"/>
          <w:sz w:val="44"/>
          <w:szCs w:val="44"/>
        </w:rPr>
        <w:sectPr>
          <w:footerReference r:id="rId7" w:type="default"/>
          <w:pgSz w:w="11906" w:h="16838"/>
          <w:pgMar w:top="1440" w:right="1800" w:bottom="1440" w:left="1800" w:header="851" w:footer="992" w:gutter="0"/>
          <w:pgNumType w:fmt="decimal" w:start="1"/>
          <w:cols w:space="425" w:num="1"/>
          <w:docGrid w:type="lines" w:linePitch="312" w:charSpace="0"/>
        </w:sectPr>
      </w:pPr>
    </w:p>
    <w:p>
      <w:pPr>
        <w:tabs>
          <w:tab w:val="center" w:pos="4153"/>
          <w:tab w:val="left" w:pos="6812"/>
        </w:tabs>
        <w:spacing w:line="500" w:lineRule="exact"/>
        <w:jc w:val="center"/>
        <w:rPr>
          <w:rFonts w:hint="eastAsia" w:ascii="黑体" w:hAnsi="黑体" w:eastAsia="黑体" w:cs="黑体"/>
          <w:b/>
          <w:bCs w:val="0"/>
          <w:kern w:val="2"/>
          <w:sz w:val="44"/>
          <w:szCs w:val="44"/>
          <w:lang w:val="en-US" w:eastAsia="zh-CN" w:bidi="ar-SA"/>
        </w:rPr>
      </w:pPr>
      <w:bookmarkStart w:id="9" w:name="_Toc12847"/>
      <w:bookmarkStart w:id="10" w:name="_Toc4980"/>
      <w:r>
        <w:rPr>
          <w:rFonts w:hint="eastAsia" w:ascii="黑体" w:hAnsi="黑体" w:eastAsia="黑体" w:cs="黑体"/>
          <w:b/>
          <w:bCs w:val="0"/>
          <w:kern w:val="2"/>
          <w:sz w:val="44"/>
          <w:szCs w:val="44"/>
          <w:lang w:val="en-US" w:eastAsia="zh-CN" w:bidi="ar-SA"/>
        </w:rPr>
        <w:t>旧县镇“四好农村路”建设项目支出</w:t>
      </w:r>
    </w:p>
    <w:p>
      <w:pPr>
        <w:tabs>
          <w:tab w:val="center" w:pos="4153"/>
          <w:tab w:val="left" w:pos="6812"/>
        </w:tabs>
        <w:spacing w:line="500" w:lineRule="exact"/>
        <w:jc w:val="center"/>
        <w:rPr>
          <w:rFonts w:ascii="Times New Roman" w:hAnsi="Times New Roman" w:eastAsia="仿宋"/>
          <w:b/>
          <w:sz w:val="36"/>
          <w:szCs w:val="22"/>
        </w:rPr>
      </w:pPr>
      <w:r>
        <w:rPr>
          <w:rFonts w:hint="eastAsia" w:ascii="黑体" w:hAnsi="黑体" w:eastAsia="黑体" w:cs="黑体"/>
          <w:b/>
          <w:bCs w:val="0"/>
          <w:kern w:val="2"/>
          <w:sz w:val="44"/>
          <w:szCs w:val="44"/>
          <w:lang w:val="en-US" w:eastAsia="zh-CN" w:bidi="ar-SA"/>
        </w:rPr>
        <w:t>绩效评价报告</w:t>
      </w:r>
      <w:bookmarkEnd w:id="9"/>
      <w:bookmarkEnd w:id="10"/>
    </w:p>
    <w:p>
      <w:pPr>
        <w:spacing w:line="500" w:lineRule="exact"/>
        <w:ind w:firstLine="560" w:firstLineChars="200"/>
        <w:rPr>
          <w:rFonts w:hint="eastAsia" w:ascii="Times New Roman" w:hAnsi="Times New Roman" w:eastAsia="仿宋"/>
          <w:snapToGrid w:val="0"/>
          <w:sz w:val="28"/>
          <w:szCs w:val="32"/>
        </w:rPr>
      </w:pPr>
      <w:r>
        <w:rPr>
          <w:rFonts w:hint="eastAsia" w:ascii="Times New Roman" w:hAnsi="Times New Roman" w:eastAsia="仿宋"/>
          <w:snapToGrid w:val="0"/>
          <w:sz w:val="28"/>
          <w:szCs w:val="32"/>
        </w:rPr>
        <w:t>受古县财政局委托，山西恒略绩效管理咨询有限公司承担对</w:t>
      </w:r>
      <w:r>
        <w:rPr>
          <w:rFonts w:hint="eastAsia" w:ascii="Times New Roman" w:hAnsi="Times New Roman" w:eastAsia="仿宋"/>
          <w:snapToGrid w:val="0"/>
          <w:sz w:val="28"/>
          <w:szCs w:val="32"/>
          <w:lang w:eastAsia="zh-CN"/>
        </w:rPr>
        <w:t>旧县镇“四好农村路”建设项目</w:t>
      </w:r>
      <w:r>
        <w:rPr>
          <w:rFonts w:hint="eastAsia" w:ascii="Times New Roman" w:hAnsi="Times New Roman" w:eastAsia="仿宋"/>
          <w:snapToGrid w:val="0"/>
          <w:sz w:val="28"/>
          <w:szCs w:val="32"/>
        </w:rPr>
        <w:t>支出绩效评价工作。根据《中华人民共和国预算法》、《财政部关于印发&lt;项目支出绩效评价管理办法&gt;的通知》（财预〔2020〕10号）、《中共中央 国务院关于全面实施预算绩效管理的意见》（中发〔2018〕34号）、《中共山西省委 山西省人民政府关于全面实施预算绩效管理的实施意见》（晋发〔2018〕39号）、临汾市财政局《市级项目支出绩效评价管理办法（试行）》（临财绩〔2021〕6号）、《古县财政局关于印发&lt;2022年度财政重点绩效评价实施方案&gt;的通知》（古财字〔2022〕27号）等文件的要求，我们按照项目支出绩效评价的评价标准、评价方法和依据本项目特点制定的评价指标，对评价对象的绩效情况进行全面的分析和综合评价，形成了本报告。</w:t>
      </w:r>
    </w:p>
    <w:p>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snapToGrid w:val="0"/>
          <w:sz w:val="28"/>
          <w:szCs w:val="32"/>
        </w:rPr>
        <w:t>本次绩效评价工作反映了</w:t>
      </w:r>
      <w:r>
        <w:rPr>
          <w:rFonts w:hint="eastAsia" w:ascii="Times New Roman" w:hAnsi="Times New Roman" w:eastAsia="仿宋"/>
          <w:snapToGrid w:val="0"/>
          <w:sz w:val="28"/>
          <w:szCs w:val="32"/>
          <w:lang w:eastAsia="zh-CN"/>
        </w:rPr>
        <w:t>旧县镇“四好农村路”建设项目</w:t>
      </w:r>
      <w:r>
        <w:rPr>
          <w:rFonts w:hint="eastAsia" w:ascii="Times New Roman" w:hAnsi="Times New Roman" w:eastAsia="仿宋"/>
          <w:snapToGrid w:val="0"/>
          <w:sz w:val="28"/>
          <w:szCs w:val="32"/>
        </w:rPr>
        <w:t>在决策、过程、产出和效益四个方面的情况，并对项目实施中存在的问题提出改进建议，以期在今后的工作中进一步完善工作流程，提高资金绩效水平。现将绩效评价情况及评价结果报告如下</w:t>
      </w:r>
      <w:r>
        <w:rPr>
          <w:rFonts w:ascii="Times New Roman" w:hAnsi="Times New Roman" w:eastAsia="仿宋"/>
          <w:snapToGrid w:val="0"/>
          <w:sz w:val="28"/>
          <w:szCs w:val="32"/>
        </w:rPr>
        <w:t>：</w:t>
      </w:r>
    </w:p>
    <w:p>
      <w:pPr>
        <w:pStyle w:val="3"/>
        <w:spacing w:before="312" w:beforeLines="100" w:after="312" w:afterLines="100" w:line="500" w:lineRule="exact"/>
        <w:rPr>
          <w:rFonts w:ascii="Times New Roman" w:hAnsi="Times New Roman" w:eastAsia="黑体"/>
          <w:b w:val="0"/>
          <w:sz w:val="32"/>
          <w:szCs w:val="32"/>
        </w:rPr>
      </w:pPr>
      <w:bookmarkStart w:id="11" w:name="_Toc16931"/>
      <w:r>
        <w:rPr>
          <w:rFonts w:ascii="Times New Roman" w:hAnsi="Times New Roman" w:eastAsia="黑体"/>
          <w:b w:val="0"/>
          <w:sz w:val="32"/>
          <w:szCs w:val="32"/>
        </w:rPr>
        <w:t>一、项目基本情况</w:t>
      </w:r>
      <w:bookmarkEnd w:id="1"/>
      <w:bookmarkEnd w:id="11"/>
    </w:p>
    <w:p>
      <w:pPr>
        <w:pStyle w:val="4"/>
        <w:spacing w:before="156" w:beforeLines="50" w:after="156" w:afterLines="50" w:line="500" w:lineRule="exact"/>
        <w:ind w:firstLine="642" w:firstLineChars="200"/>
        <w:rPr>
          <w:rFonts w:ascii="仿宋" w:hAnsi="仿宋" w:eastAsia="仿宋"/>
        </w:rPr>
      </w:pPr>
      <w:bookmarkStart w:id="12" w:name="_Toc514537329"/>
      <w:bookmarkStart w:id="13" w:name="_Toc4288"/>
      <w:r>
        <w:rPr>
          <w:rFonts w:ascii="仿宋" w:hAnsi="仿宋" w:eastAsia="仿宋"/>
        </w:rPr>
        <w:t>（一）项目</w:t>
      </w:r>
      <w:bookmarkEnd w:id="12"/>
      <w:r>
        <w:rPr>
          <w:rFonts w:ascii="仿宋" w:hAnsi="仿宋" w:eastAsia="仿宋"/>
        </w:rPr>
        <w:t>背景及概况</w:t>
      </w:r>
      <w:bookmarkEnd w:id="13"/>
    </w:p>
    <w:p>
      <w:pPr>
        <w:spacing w:line="500" w:lineRule="exact"/>
        <w:ind w:firstLine="560" w:firstLineChars="200"/>
        <w:rPr>
          <w:rFonts w:hint="eastAsia" w:ascii="Times New Roman" w:hAnsi="Times New Roman" w:eastAsia="仿宋" w:cs="Times New Roman"/>
          <w:sz w:val="28"/>
          <w:szCs w:val="24"/>
          <w:lang w:val="en-US" w:eastAsia="zh-CN"/>
        </w:rPr>
      </w:pPr>
      <w:bookmarkStart w:id="14" w:name="_Toc514537330"/>
      <w:r>
        <w:rPr>
          <w:rFonts w:hint="eastAsia" w:ascii="Times New Roman" w:hAnsi="Times New Roman" w:eastAsia="仿宋" w:cs="Times New Roman"/>
          <w:sz w:val="28"/>
          <w:szCs w:val="24"/>
          <w:lang w:val="en-US" w:eastAsia="zh-CN"/>
        </w:rPr>
        <w:t>农村公路是保障农民群众生产生活的基本条件，是农业和农村发展的先导性、基础性设施，是社会主义新农村建设的重要支撑。2003年，交通运输部根据中央“三农”工作的部署要求，提出了“修好农村路，服务城镇化，让农民走上油路和水泥路”的建设目标。2013年，按照党的十八大全面建成小康社会的战略部署，交通运输部进一步提出了“小康路上，绝不让任何一个地方因农村交通而掉队”的新目标。11年来，全国新改建农村公路333万公里，新增通车里程117万公里，通车总里程达到388.2万公里，乡镇和建制村通公路率分别达到99.98%和99.82%，通硬化路率分别达到98.08%和91.76%。但是，目前农村公路发展依然存在着基础不牢固、安全设施少、运输服务水平不高等突出问题，与全面建成小康社会的要求还存在较大差距。因此，习近平总书记多次就农村公路发展作出重要指示，在充分肯定农村公路建设成绩的同时，要求农村公路建设要因地制宜、以人为本，与优化村镇布局、农村经济发展和广大农民安全便捷出行相适应，要进一步把农村公路建好、管好、护好、运营好，逐步消除制约农村发展的交通瓶颈，为广大农民脱贫致富奔小康提供更好的保障。</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委、省政府高度重视“四好农村路”建设，省委在贯彻落实习近平总书记在深度贫困地区脱贫攻坚座谈会讲话精神的意见中明确提出，利用三年时间新改建农村公路6万公里，为此山西省政府专门出台了关于深入推进“四好农村路”建设的实施意见。楼阳生省长多次听取有关情况汇报，要求认真贯彻落实习近平总书记重要指示批示和中央1号文件精神，结合山西省实际，围绕脱贫攻坚工作、转型发展目标，全面推进“四好农村路”建设，为实现乡村振兴、打赢脱贫攻坚战、推动全省转型发展提供交通支撑。山西省交通厅制定了“四好农村路”建设总体规划和规划纲要，并且已经付诸实施。</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近年来，临汾市委市政府深化“四好农村路”建设对服务乡村振兴战略重要意义的认识，加快推进“四好农村路”建设。2015年，为了贯彻落实上级领导就农村公路发展的重要指示，临汾市交通局因地制宜、以人为本、优化布局制定了《临汾市“四好农村路”建设实施方案》，明确要求各县区交通局加快完成集中连片特困地区县乡公路改造和建制村通硬化路任务；组织实施好村通水泥（油）路完善提质工程；到2020年，建制村通硬化路率达到100%；到2020年，县乡道安全隐患治理率基本达到100%等，推进农村公路提质增效、为广大农民脱贫致富奔小康提供更好的保障。《2018年临汾市人民政府工作报告》中提出：扎实推进“四好农村路”建设，开展国家级、省级示范县创建工作。《临汾市人民政府关于2018年市政府工作报告重点工作任务分工的通知》中明确提出：新建改建“四好农村路”2000公里（十件为民实事之一）。</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农村公路由于建设起步早、投入少、标准低等原因，不同程度出现路面破损、不平，路基破坏，水沟不畅，部分道路是断头路等问题，导致公路通畅水平不高，且缺乏标识标牌、警示标志和安保设施，存在安全隐患。这都是制约乡发展的客观条件。同时，一些农村旅游公路通达深度不够、网络化程度不高，与群众便捷出行的需求还有很大差距。</w:t>
      </w:r>
    </w:p>
    <w:p>
      <w:pPr>
        <w:pStyle w:val="17"/>
        <w:spacing w:line="500" w:lineRule="exact"/>
        <w:ind w:firstLine="560" w:firstLineChars="200"/>
        <w:jc w:val="both"/>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古县旧县镇“四好农村路”建设项目涉及11条路，其中：①旧县道窄路基拓宽部分、旧县道畅返不畅建设6条路；②2019年畅返不畅整治工程5条路</w:t>
      </w:r>
      <w:r>
        <w:rPr>
          <w:rFonts w:ascii="Times New Roman" w:hAnsi="Times New Roman" w:eastAsia="仿宋"/>
          <w:snapToGrid w:val="0"/>
          <w:sz w:val="28"/>
          <w:szCs w:val="32"/>
        </w:rPr>
        <w:t>。</w:t>
      </w:r>
    </w:p>
    <w:p>
      <w:pPr>
        <w:pStyle w:val="4"/>
        <w:spacing w:before="156" w:beforeLines="50" w:after="156" w:afterLines="50" w:line="500" w:lineRule="exact"/>
        <w:ind w:firstLine="642" w:firstLineChars="200"/>
        <w:rPr>
          <w:rFonts w:hint="eastAsia" w:ascii="仿宋" w:hAnsi="仿宋" w:eastAsia="仿宋"/>
          <w:lang w:val="en-US" w:eastAsia="zh-CN"/>
        </w:rPr>
      </w:pPr>
      <w:bookmarkStart w:id="15" w:name="_Toc19194"/>
      <w:r>
        <w:rPr>
          <w:rFonts w:ascii="仿宋" w:hAnsi="仿宋" w:eastAsia="仿宋"/>
        </w:rPr>
        <w:t>（二）预算资金来源与资金使用</w:t>
      </w:r>
      <w:bookmarkEnd w:id="14"/>
      <w:r>
        <w:rPr>
          <w:rFonts w:hint="eastAsia" w:ascii="仿宋" w:hAnsi="仿宋" w:eastAsia="仿宋"/>
          <w:lang w:val="en-US" w:eastAsia="zh-CN"/>
        </w:rPr>
        <w:t>情况</w:t>
      </w:r>
      <w:bookmarkEnd w:id="15"/>
    </w:p>
    <w:p>
      <w:pPr>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1.预算资金来源</w:t>
      </w:r>
    </w:p>
    <w:p>
      <w:pPr>
        <w:spacing w:line="500" w:lineRule="exact"/>
        <w:ind w:firstLine="560" w:firstLineChars="200"/>
        <w:rPr>
          <w:rFonts w:hint="default" w:ascii="Times New Roman" w:hAnsi="Times New Roman" w:eastAsia="仿宋" w:cs="Times New Roman"/>
          <w:sz w:val="28"/>
          <w:szCs w:val="24"/>
          <w:lang w:val="en-US"/>
        </w:rPr>
      </w:pPr>
      <w:r>
        <w:rPr>
          <w:rFonts w:hint="eastAsia" w:ascii="Times New Roman" w:hAnsi="Times New Roman" w:eastAsia="仿宋" w:cs="Times New Roman"/>
          <w:sz w:val="28"/>
          <w:szCs w:val="24"/>
          <w:lang w:val="en-US" w:eastAsia="zh-CN"/>
        </w:rPr>
        <w:t>截止2022年3月1日，项目资金到位2165.3435万元。</w:t>
      </w:r>
    </w:p>
    <w:p>
      <w:pPr>
        <w:spacing w:line="500" w:lineRule="exact"/>
        <w:ind w:firstLine="562" w:firstLineChars="200"/>
        <w:rPr>
          <w:rFonts w:hint="default" w:ascii="Times New Roman" w:hAnsi="Times New Roman" w:eastAsia="仿宋"/>
          <w:b/>
          <w:snapToGrid w:val="0"/>
          <w:sz w:val="28"/>
          <w:szCs w:val="28"/>
          <w:lang w:val="en-US" w:eastAsia="zh-CN"/>
        </w:rPr>
      </w:pPr>
      <w:r>
        <w:rPr>
          <w:rFonts w:ascii="Times New Roman" w:hAnsi="Times New Roman" w:eastAsia="仿宋"/>
          <w:b/>
          <w:snapToGrid w:val="0"/>
          <w:sz w:val="28"/>
          <w:szCs w:val="28"/>
        </w:rPr>
        <w:t>2.资金使用范围</w:t>
      </w:r>
      <w:r>
        <w:rPr>
          <w:rFonts w:hint="eastAsia" w:ascii="Times New Roman" w:hAnsi="Times New Roman" w:eastAsia="仿宋"/>
          <w:b/>
          <w:snapToGrid w:val="0"/>
          <w:sz w:val="28"/>
          <w:szCs w:val="28"/>
          <w:lang w:val="en-US" w:eastAsia="zh-CN"/>
        </w:rPr>
        <w:t>及支付情况</w:t>
      </w:r>
    </w:p>
    <w:p>
      <w:pPr>
        <w:widowControl w:val="0"/>
        <w:numPr>
          <w:ilvl w:val="0"/>
          <w:numId w:val="0"/>
        </w:numPr>
        <w:spacing w:line="500" w:lineRule="exact"/>
        <w:ind w:firstLine="560" w:firstLineChars="200"/>
        <w:jc w:val="both"/>
        <w:rPr>
          <w:rFonts w:hint="default" w:ascii="Times New Roman" w:hAnsi="Times New Roman" w:eastAsia="仿宋" w:cs="Times New Roman"/>
          <w:color w:val="000000" w:themeColor="text1"/>
          <w:sz w:val="28"/>
          <w:szCs w:val="24"/>
          <w:lang w:val="en-US" w:eastAsia="zh-CN"/>
          <w14:textFill>
            <w14:solidFill>
              <w14:schemeClr w14:val="tx1"/>
            </w14:solidFill>
          </w14:textFill>
        </w:rPr>
      </w:pPr>
      <w:r>
        <w:rPr>
          <w:rFonts w:hint="eastAsia" w:ascii="Times New Roman" w:hAnsi="Times New Roman" w:eastAsia="仿宋" w:cs="Times New Roman"/>
          <w:color w:val="000000" w:themeColor="text1"/>
          <w:sz w:val="28"/>
          <w:szCs w:val="24"/>
          <w:lang w:val="en-US" w:eastAsia="zh-CN"/>
          <w14:textFill>
            <w14:solidFill>
              <w14:schemeClr w14:val="tx1"/>
            </w14:solidFill>
          </w14:textFill>
        </w:rPr>
        <w:t>截止2022年3月1日，旧县镇“四好农村路”建设项目共计支出资金2165.3435万元。</w:t>
      </w:r>
    </w:p>
    <w:p>
      <w:pPr>
        <w:widowControl w:val="0"/>
        <w:numPr>
          <w:ilvl w:val="0"/>
          <w:numId w:val="0"/>
        </w:numPr>
        <w:spacing w:line="500" w:lineRule="exact"/>
        <w:ind w:firstLine="560" w:firstLineChars="200"/>
        <w:jc w:val="both"/>
        <w:rPr>
          <w:rFonts w:hint="eastAsia" w:ascii="Times New Roman" w:hAnsi="Times New Roman" w:eastAsia="仿宋" w:cs="Times New Roman"/>
          <w:color w:val="000000" w:themeColor="text1"/>
          <w:sz w:val="28"/>
          <w:szCs w:val="24"/>
          <w:lang w:val="en-US" w:eastAsia="zh-CN"/>
          <w14:textFill>
            <w14:solidFill>
              <w14:schemeClr w14:val="tx1"/>
            </w14:solidFill>
          </w14:textFill>
        </w:rPr>
      </w:pPr>
      <w:r>
        <w:rPr>
          <w:rFonts w:hint="eastAsia" w:ascii="Times New Roman" w:hAnsi="Times New Roman" w:eastAsia="仿宋" w:cs="Times New Roman"/>
          <w:color w:val="000000" w:themeColor="text1"/>
          <w:sz w:val="28"/>
          <w:szCs w:val="24"/>
          <w:lang w:val="en-US" w:eastAsia="zh-CN"/>
          <w14:textFill>
            <w14:solidFill>
              <w14:schemeClr w14:val="tx1"/>
            </w14:solidFill>
          </w14:textFill>
        </w:rPr>
        <w:t>资金使用明细表详见表1-1。</w:t>
      </w:r>
    </w:p>
    <w:p>
      <w:pPr>
        <w:widowControl w:val="0"/>
        <w:numPr>
          <w:ilvl w:val="0"/>
          <w:numId w:val="0"/>
        </w:numPr>
        <w:spacing w:line="500" w:lineRule="exact"/>
        <w:jc w:val="center"/>
        <w:rPr>
          <w:rFonts w:hint="eastAsia" w:ascii="Times New Roman" w:hAnsi="Times New Roman" w:eastAsia="仿宋" w:cs="Times New Roman"/>
          <w:b/>
          <w:sz w:val="24"/>
          <w:szCs w:val="24"/>
          <w:lang w:val="en-US" w:eastAsia="zh-CN"/>
        </w:rPr>
      </w:pPr>
      <w:r>
        <w:rPr>
          <w:rFonts w:hint="eastAsia" w:ascii="Times New Roman" w:hAnsi="Times New Roman" w:eastAsia="仿宋" w:cs="Times New Roman"/>
          <w:b/>
          <w:sz w:val="24"/>
          <w:szCs w:val="24"/>
          <w:lang w:val="en-US" w:eastAsia="zh-CN"/>
        </w:rPr>
        <w:t>表1-1 项目资金使用明细表</w:t>
      </w:r>
    </w:p>
    <w:tbl>
      <w:tblPr>
        <w:tblStyle w:val="21"/>
        <w:tblW w:w="805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885"/>
        <w:gridCol w:w="1558"/>
        <w:gridCol w:w="2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3885" w:type="dxa"/>
            <w:shd w:val="clear" w:color="auto" w:fill="auto"/>
            <w:noWrap/>
            <w:vAlign w:val="center"/>
          </w:tcPr>
          <w:p>
            <w:pPr>
              <w:spacing w:line="400" w:lineRule="exact"/>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施工单位</w:t>
            </w:r>
          </w:p>
        </w:tc>
        <w:tc>
          <w:tcPr>
            <w:tcW w:w="1558" w:type="dxa"/>
            <w:shd w:val="clear" w:color="auto" w:fill="auto"/>
            <w:noWrap/>
            <w:vAlign w:val="center"/>
          </w:tcPr>
          <w:p>
            <w:pPr>
              <w:spacing w:line="400" w:lineRule="exact"/>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支出明细</w:t>
            </w:r>
          </w:p>
        </w:tc>
        <w:tc>
          <w:tcPr>
            <w:tcW w:w="2616" w:type="dxa"/>
            <w:shd w:val="clear" w:color="auto" w:fill="auto"/>
            <w:noWrap/>
            <w:vAlign w:val="center"/>
          </w:tcPr>
          <w:p>
            <w:pPr>
              <w:spacing w:line="400" w:lineRule="exact"/>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支出时间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山西亿承建设工程有限公司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3582397.00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2019.5.13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山西亿承建设工程有限公司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5000000.00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2019.11.26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山西亿承建设工程有限公司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654603.00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2019.11.26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山西巨衡达建设工程有限公司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1143900.00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2020.5.27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山西亿承建设工程有限公司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1272535.00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2020.11.10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山西巨衡达建设工程有限公司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2000000.00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2020.12.28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山西巨衡达建设工程有限公司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1580292.00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2021.9.28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山西力通路桥工程有限公司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419708.00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2021.9.28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山西亿承建设工程有限公司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4300000.00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2022.1.21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3" w:hRule="atLeast"/>
        </w:trPr>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山西亿承建设工程有限公司</w:t>
            </w:r>
          </w:p>
        </w:tc>
        <w:tc>
          <w:tcPr>
            <w:tcW w:w="0" w:type="auto"/>
            <w:shd w:val="clear" w:color="auto" w:fill="auto"/>
            <w:noWrap/>
            <w:vAlign w:val="bottom"/>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1700000.00 </w:t>
            </w:r>
          </w:p>
        </w:tc>
        <w:tc>
          <w:tcPr>
            <w:tcW w:w="2616" w:type="dxa"/>
            <w:shd w:val="clear" w:color="auto" w:fill="auto"/>
            <w:vAlign w:val="center"/>
          </w:tcPr>
          <w:p>
            <w:pPr>
              <w:spacing w:line="4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2022.2.17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3" w:hRule="atLeast"/>
        </w:trPr>
        <w:tc>
          <w:tcPr>
            <w:tcW w:w="0" w:type="auto"/>
            <w:shd w:val="clear" w:color="auto" w:fill="auto"/>
            <w:noWrap/>
            <w:vAlign w:val="bottom"/>
          </w:tcPr>
          <w:p>
            <w:pPr>
              <w:spacing w:line="400" w:lineRule="exact"/>
              <w:jc w:val="center"/>
              <w:rPr>
                <w:rFonts w:hint="default" w:ascii="仿宋" w:hAnsi="仿宋" w:eastAsia="仿宋" w:cs="仿宋"/>
                <w:b/>
                <w:bCs/>
                <w:sz w:val="21"/>
                <w:szCs w:val="21"/>
                <w:lang w:val="en-US" w:eastAsia="zh-CN"/>
              </w:rPr>
            </w:pPr>
            <w:r>
              <w:rPr>
                <w:rFonts w:hint="eastAsia" w:ascii="仿宋" w:hAnsi="仿宋" w:eastAsia="仿宋" w:cs="仿宋"/>
                <w:b/>
                <w:bCs/>
                <w:sz w:val="21"/>
                <w:szCs w:val="21"/>
                <w:lang w:val="en-US" w:eastAsia="zh-CN"/>
              </w:rPr>
              <w:t>合计</w:t>
            </w:r>
          </w:p>
        </w:tc>
        <w:tc>
          <w:tcPr>
            <w:tcW w:w="0" w:type="auto"/>
            <w:shd w:val="clear" w:color="auto" w:fill="auto"/>
            <w:noWrap/>
            <w:vAlign w:val="bottom"/>
          </w:tcPr>
          <w:p>
            <w:pPr>
              <w:spacing w:line="400" w:lineRule="exact"/>
              <w:jc w:val="center"/>
              <w:rPr>
                <w:rFonts w:hint="default" w:ascii="仿宋" w:hAnsi="仿宋" w:eastAsia="仿宋" w:cs="仿宋"/>
                <w:b/>
                <w:bCs/>
                <w:sz w:val="21"/>
                <w:szCs w:val="21"/>
                <w:lang w:val="en-US" w:eastAsia="zh-CN"/>
              </w:rPr>
            </w:pPr>
            <w:r>
              <w:rPr>
                <w:rFonts w:hint="eastAsia" w:ascii="仿宋" w:hAnsi="仿宋" w:eastAsia="仿宋" w:cs="仿宋"/>
                <w:b/>
                <w:bCs/>
                <w:sz w:val="21"/>
                <w:szCs w:val="21"/>
                <w:lang w:val="en-US" w:eastAsia="zh-CN"/>
              </w:rPr>
              <w:t>21653435.00</w:t>
            </w:r>
          </w:p>
        </w:tc>
        <w:tc>
          <w:tcPr>
            <w:tcW w:w="2616" w:type="dxa"/>
            <w:shd w:val="clear" w:color="auto" w:fill="auto"/>
            <w:vAlign w:val="center"/>
          </w:tcPr>
          <w:p>
            <w:pPr>
              <w:spacing w:line="400" w:lineRule="exact"/>
              <w:jc w:val="center"/>
              <w:rPr>
                <w:rFonts w:hint="default" w:ascii="仿宋" w:hAnsi="仿宋" w:eastAsia="仿宋" w:cs="仿宋"/>
                <w:b/>
                <w:bCs/>
                <w:sz w:val="21"/>
                <w:szCs w:val="21"/>
                <w:lang w:val="en-US" w:eastAsia="zh-CN"/>
              </w:rPr>
            </w:pPr>
            <w:r>
              <w:rPr>
                <w:rFonts w:hint="eastAsia" w:ascii="仿宋" w:hAnsi="仿宋" w:eastAsia="仿宋" w:cs="仿宋"/>
                <w:b/>
                <w:bCs/>
                <w:sz w:val="21"/>
                <w:szCs w:val="21"/>
                <w:lang w:val="en-US" w:eastAsia="zh-CN"/>
              </w:rPr>
              <w:t>-</w:t>
            </w:r>
          </w:p>
        </w:tc>
      </w:tr>
    </w:tbl>
    <w:p>
      <w:pPr>
        <w:pStyle w:val="4"/>
        <w:spacing w:before="156" w:beforeLines="50" w:after="156" w:afterLines="50" w:line="500" w:lineRule="exact"/>
        <w:ind w:firstLine="642" w:firstLineChars="200"/>
        <w:rPr>
          <w:rFonts w:ascii="仿宋" w:hAnsi="仿宋" w:eastAsia="仿宋"/>
        </w:rPr>
      </w:pPr>
      <w:bookmarkStart w:id="16" w:name="_Toc17803"/>
      <w:r>
        <w:rPr>
          <w:rFonts w:ascii="仿宋" w:hAnsi="仿宋" w:eastAsia="仿宋"/>
        </w:rPr>
        <w:t>（三）项目立项依据</w:t>
      </w:r>
      <w:bookmarkEnd w:id="16"/>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本项目的立项依据包括但不限于：</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1、《关于打赢脱贫攻坚战的决定》（中发〔2015〕34号）;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2、《中华人民共和国预算法》（第十二届全国人民代表大会常务委员会第十次会议在2014年8月31日表决通过了《全国人大常委会关于修改〈预算法〉的决定》，并决议于2015年1月1日起施行）；</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3、财政部、国务院扶贫办《关于做好2019年贫困县涉农资金整合试点工作的通知》（财农〔2019〕7号）；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4、《中共山西省委、山西省人民政府关于坚决打赢全省脱贫攻坚战的实施意见》(晋发〔2016〕23号)；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5、山西省政府办公厅《关于统筹整合使用财政资金实施精准扶贫的意见》（晋政办发〔2016〕101号）；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6、山西省财政厅 山西省扶贫开发办公室 山西省发展和改革委员会 山西省民族事务委员会 山西省农业厅 山西省林业厅关于印发&lt;财政专项扶贫资金管理办法&gt;的通知》（晋财农〔2017〕124号）；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7、《交通运输部关于推进"四好农村路"建设的意见》（交公路发〔2015〕73号）；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8、《山西省人民政府关于印发&lt;山西省“十三五”综合交通运输体系规划&gt;的通知》（晋政发〔2016〕40号）；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9、《山西省交通运输厅"四好农村路"建设实施方案》（晋交建管发〔2015〕331号）；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10、《山西省交通运输厅关于印发&lt;山西省”四好农村路”建设推进方案（2017-2020年）&gt;的通知》（晋交建管发〔2017〕164号）；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11、《山西省政府办公厅关于深入推进“四好农村路”建设实施意见》（晋政办发〔2018〕54号）；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12、《山西省人民政府办公厅关于印发&lt;山西省黄河、长城、太行三大旅游发展总体规划&gt;的通知》（晋政办发〔2018〕58号）；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13、《山西省黄河、长城、太行三大板块旅游公路规划（2018-2027年）》；</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14、《市、县共建四好农村路协议》；</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15、《临汾市交通运输局关于印发&lt; “四好农村路”建设实施方案&gt;的通知》（临市交公字〔2015〕157号）；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16、《临汾市交通运输局关于转发山西省交通运输厅印发&lt;山西省”四好农村路”建设推进方案（2017-2020年）的函》（临市交函字〔2017〕71号）；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17、临汾市政府办公厅《关于统筹整合使用财政涉农资金实施精准扶贫的通知》（临政办发〔2016〕65号）；</w:t>
      </w:r>
    </w:p>
    <w:p>
      <w:pPr>
        <w:pStyle w:val="52"/>
        <w:numPr>
          <w:ilvl w:val="0"/>
          <w:numId w:val="0"/>
        </w:num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18、古县发展改革和经济信息化局《关于古县交通运输局“四好农村路”建设项目工程可行性研究报告的批复》（古发改审批〔2018〕3号）；</w:t>
      </w:r>
    </w:p>
    <w:p>
      <w:pPr>
        <w:pStyle w:val="52"/>
        <w:numPr>
          <w:ilvl w:val="0"/>
          <w:numId w:val="0"/>
        </w:numPr>
        <w:spacing w:line="500" w:lineRule="exact"/>
        <w:ind w:firstLine="560" w:firstLineChars="200"/>
        <w:jc w:val="both"/>
        <w:rPr>
          <w:rFonts w:ascii="Times New Roman" w:hAnsi="Times New Roman" w:eastAsia="仿宋"/>
          <w:snapToGrid w:val="0"/>
          <w:sz w:val="28"/>
          <w:szCs w:val="28"/>
        </w:rPr>
      </w:pPr>
      <w:r>
        <w:rPr>
          <w:rFonts w:hint="eastAsia" w:ascii="Times New Roman" w:hAnsi="Times New Roman" w:eastAsia="仿宋" w:cs="Times New Roman"/>
          <w:sz w:val="28"/>
          <w:szCs w:val="24"/>
        </w:rPr>
        <w:t>19、其他相关政策法规</w:t>
      </w:r>
      <w:r>
        <w:rPr>
          <w:rFonts w:ascii="Times New Roman" w:hAnsi="Times New Roman" w:eastAsia="仿宋"/>
          <w:snapToGrid w:val="0"/>
          <w:sz w:val="28"/>
          <w:szCs w:val="28"/>
        </w:rPr>
        <w:t>。</w:t>
      </w:r>
    </w:p>
    <w:p>
      <w:pPr>
        <w:pStyle w:val="4"/>
        <w:spacing w:before="156" w:beforeLines="50" w:after="156" w:afterLines="50" w:line="500" w:lineRule="exact"/>
        <w:ind w:firstLine="642" w:firstLineChars="200"/>
        <w:rPr>
          <w:rFonts w:ascii="仿宋" w:hAnsi="仿宋" w:eastAsia="仿宋"/>
        </w:rPr>
      </w:pPr>
      <w:bookmarkStart w:id="17" w:name="_Toc514537331"/>
      <w:bookmarkStart w:id="18" w:name="_Toc18376"/>
      <w:r>
        <w:rPr>
          <w:rFonts w:ascii="仿宋" w:hAnsi="仿宋" w:eastAsia="仿宋"/>
        </w:rPr>
        <w:t>（四）项目绩效目标</w:t>
      </w:r>
      <w:bookmarkEnd w:id="17"/>
      <w:bookmarkEnd w:id="18"/>
    </w:p>
    <w:p>
      <w:pPr>
        <w:spacing w:line="500" w:lineRule="exact"/>
        <w:ind w:firstLine="562" w:firstLineChars="200"/>
        <w:rPr>
          <w:rFonts w:ascii="Times New Roman" w:hAnsi="Times New Roman" w:eastAsia="仿宋" w:cs="Times New Roman"/>
          <w:b/>
          <w:sz w:val="28"/>
          <w:szCs w:val="24"/>
        </w:rPr>
      </w:pPr>
      <w:bookmarkStart w:id="19" w:name="_Toc514537332"/>
      <w:r>
        <w:rPr>
          <w:rFonts w:ascii="Times New Roman" w:hAnsi="Times New Roman" w:eastAsia="仿宋" w:cs="Times New Roman"/>
          <w:b/>
          <w:sz w:val="28"/>
          <w:szCs w:val="24"/>
        </w:rPr>
        <w:t>1、绩效总目标</w:t>
      </w:r>
    </w:p>
    <w:p>
      <w:pPr>
        <w:spacing w:line="500" w:lineRule="exact"/>
        <w:ind w:firstLine="560" w:firstLineChars="200"/>
        <w:rPr>
          <w:rFonts w:hint="default" w:ascii="Times New Roman" w:hAnsi="Times New Roman" w:eastAsia="仿宋" w:cs="Times New Roman"/>
          <w:color w:val="000000"/>
          <w:kern w:val="0"/>
          <w:sz w:val="28"/>
          <w:szCs w:val="24"/>
          <w:lang w:val="en-US" w:eastAsia="zh-CN"/>
        </w:rPr>
      </w:pPr>
      <w:r>
        <w:rPr>
          <w:rFonts w:hint="eastAsia" w:ascii="Times New Roman" w:hAnsi="Times New Roman" w:eastAsia="仿宋" w:cs="Times New Roman"/>
          <w:color w:val="000000"/>
          <w:kern w:val="0"/>
          <w:sz w:val="28"/>
          <w:szCs w:val="24"/>
          <w:lang w:val="en-US" w:eastAsia="zh-CN"/>
        </w:rPr>
        <w:t>在古县各级各部门的大力支持下，有序推进低等级公路升级改造,解决农村公路等级低、路网不完善等问题，实现农村公路的提档升级，全力推动农村公路建、管、养、运协调发展，为实施乡村振兴、脱贫攻坚等重大战略提供交通支撑。</w:t>
      </w:r>
    </w:p>
    <w:p>
      <w:pPr>
        <w:spacing w:line="500" w:lineRule="exact"/>
        <w:ind w:firstLine="562" w:firstLineChars="200"/>
        <w:rPr>
          <w:rFonts w:hint="eastAsia" w:ascii="Times New Roman" w:hAnsi="Times New Roman" w:eastAsia="仿宋" w:cs="Times New Roman"/>
          <w:sz w:val="28"/>
          <w:szCs w:val="24"/>
          <w:lang w:val="en-US"/>
        </w:rPr>
      </w:pPr>
      <w:r>
        <w:rPr>
          <w:rFonts w:ascii="Times New Roman" w:hAnsi="Times New Roman" w:eastAsia="仿宋" w:cs="Times New Roman"/>
          <w:b/>
          <w:sz w:val="28"/>
          <w:szCs w:val="24"/>
        </w:rPr>
        <w:t>2、阶段性目标</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数量目标：窄路拓宽12.1km（韩村－泥木台4.2km；旧县－安里线2.2km；X540-皂角沟5.7km）；畅返不畅10.463Km（交口河－曲庄线4.61km；花椒岭－柳寨线3.007km；小曲－前垣线2.846Km），2019年畅返不畅整治工程6.169km（X597-马节：1.106km；和寨－红寨：2.431km；孔家垣－鸭儿崖：0.838km；西堡－狮子庄：1.285km；钱家峪－柳树垣：1.536km）。</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质量目标：公路工程按照《山西省农村公路建设技术标准》等相关工程标准进行验收，一次交工验收合格率达到98%以上。公路设计符合《公路工程技术标准》（JTGB01-2014）等有关规定和要求，同时施工无较大变动，且满足沿线村民生产生活需要。</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（3）实效目标：根据工程施工合同、设计合同、监理合同等要求，在规定时间内完成道路施工、设计、监理等；</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（4）成本目标：成本有效控制；</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社会效益：改善农村交通出行条件，完善路网结构，减少拥堵、通行时间缩短10%以上；改善区域投资环境，促进城乡协调发展，维护社会发展公平，提高政府威信等，为实施乡村振兴、脱贫攻坚重大战略提供交通支撑；</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（6）生态效益：项目建成后道路通畅，路面整洁，减少车辆扬尘；注重生态环境保护和水土保持，无周边群众对生态环境方面的投诉；</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（7）可持续影响：建立农村公路养护管理相关制度，明确养护人员及职责；养护资金纳入公共预算，落实养护资金；养护管理纳入县乡两级政府目标责任考核；</w:t>
      </w:r>
    </w:p>
    <w:p>
      <w:pPr>
        <w:spacing w:line="500" w:lineRule="exact"/>
        <w:ind w:firstLine="560" w:firstLineChars="200"/>
        <w:rPr>
          <w:rFonts w:ascii="Times New Roman" w:hAnsi="Times New Roman" w:eastAsia="仿宋"/>
          <w:color w:val="FF0000"/>
          <w:sz w:val="28"/>
          <w:szCs w:val="28"/>
          <w:highlight w:val="yellow"/>
        </w:rPr>
      </w:pPr>
      <w:r>
        <w:rPr>
          <w:rFonts w:hint="eastAsia" w:ascii="Times New Roman" w:hAnsi="Times New Roman" w:eastAsia="仿宋" w:cs="Times New Roman"/>
          <w:sz w:val="28"/>
          <w:szCs w:val="24"/>
          <w:lang w:val="en-US" w:eastAsia="zh-CN"/>
        </w:rPr>
        <w:t>（8）受益群众满意度达到90%</w:t>
      </w:r>
      <w:r>
        <w:rPr>
          <w:rFonts w:ascii="Times New Roman" w:hAnsi="Times New Roman" w:eastAsia="仿宋"/>
          <w:sz w:val="28"/>
          <w:szCs w:val="28"/>
        </w:rPr>
        <w:t>。</w:t>
      </w:r>
    </w:p>
    <w:p>
      <w:pPr>
        <w:pStyle w:val="3"/>
        <w:spacing w:before="312" w:beforeLines="100" w:after="312" w:afterLines="100" w:line="500" w:lineRule="exact"/>
        <w:rPr>
          <w:rFonts w:ascii="Times New Roman" w:hAnsi="Times New Roman" w:eastAsia="黑体"/>
          <w:b w:val="0"/>
          <w:sz w:val="32"/>
          <w:szCs w:val="32"/>
        </w:rPr>
      </w:pPr>
      <w:bookmarkStart w:id="20" w:name="_Toc25135"/>
      <w:r>
        <w:rPr>
          <w:rFonts w:ascii="Times New Roman" w:hAnsi="Times New Roman" w:eastAsia="黑体"/>
          <w:b w:val="0"/>
          <w:sz w:val="32"/>
          <w:szCs w:val="32"/>
        </w:rPr>
        <w:t>二、项目组织实施情况</w:t>
      </w:r>
      <w:bookmarkEnd w:id="19"/>
      <w:bookmarkEnd w:id="20"/>
    </w:p>
    <w:p>
      <w:pPr>
        <w:pStyle w:val="4"/>
        <w:spacing w:before="156" w:beforeLines="50" w:after="156" w:afterLines="50" w:line="500" w:lineRule="exact"/>
        <w:ind w:firstLine="642" w:firstLineChars="200"/>
        <w:rPr>
          <w:rFonts w:ascii="仿宋" w:hAnsi="仿宋" w:eastAsia="仿宋"/>
        </w:rPr>
      </w:pPr>
      <w:bookmarkStart w:id="21" w:name="_Toc2771"/>
      <w:bookmarkStart w:id="22" w:name="_Toc514537333"/>
      <w:r>
        <w:rPr>
          <w:rFonts w:ascii="仿宋" w:hAnsi="仿宋" w:eastAsia="仿宋"/>
        </w:rPr>
        <w:t>（一）项目组织情况</w:t>
      </w:r>
      <w:bookmarkEnd w:id="21"/>
    </w:p>
    <w:p>
      <w:pPr>
        <w:spacing w:line="500" w:lineRule="exact"/>
        <w:ind w:firstLine="560" w:firstLineChars="200"/>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项目主管部门：古县交通运输局，主要负责统筹协调农村公路改造项目实施、验收和监督管理工作。</w:t>
      </w:r>
    </w:p>
    <w:p>
      <w:pPr>
        <w:spacing w:line="500" w:lineRule="exact"/>
        <w:ind w:firstLine="560" w:firstLineChars="200"/>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项目实施部门：</w:t>
      </w:r>
      <w:r>
        <w:rPr>
          <w:rFonts w:hint="eastAsia" w:ascii="Times New Roman" w:hAnsi="Times New Roman" w:eastAsia="仿宋" w:cs="Times New Roman"/>
          <w:sz w:val="28"/>
          <w:szCs w:val="24"/>
          <w:lang w:val="en-US" w:eastAsia="zh-CN"/>
        </w:rPr>
        <w:t>旧县镇人民政府</w:t>
      </w:r>
      <w:r>
        <w:rPr>
          <w:rFonts w:hint="eastAsia" w:ascii="Times New Roman" w:hAnsi="Times New Roman" w:eastAsia="仿宋" w:cs="Times New Roman"/>
          <w:sz w:val="28"/>
          <w:szCs w:val="24"/>
        </w:rPr>
        <w:t>，主要负责</w:t>
      </w:r>
      <w:r>
        <w:rPr>
          <w:rFonts w:hint="eastAsia" w:ascii="Times New Roman" w:hAnsi="Times New Roman" w:eastAsia="仿宋" w:cs="Times New Roman"/>
          <w:sz w:val="28"/>
          <w:szCs w:val="24"/>
          <w:lang w:val="en-US" w:eastAsia="zh-CN"/>
        </w:rPr>
        <w:t>辖区</w:t>
      </w:r>
      <w:r>
        <w:rPr>
          <w:rFonts w:hint="eastAsia" w:ascii="Times New Roman" w:hAnsi="Times New Roman" w:eastAsia="仿宋" w:cs="Times New Roman"/>
          <w:sz w:val="28"/>
          <w:szCs w:val="24"/>
        </w:rPr>
        <w:t>农村公路改造项目设立，预算资金的申请，项目资金的下拨，以中央、省、市、县相关文件为指导，严格按照规章制度要求实施项目，资金设立专账，实行分项核算，确保专款专用；按照国家和行业有关工程建设法律、法规、技术标准、规范和批复设计文件实施工程质量监督，对施工现场影响工程质量的行为和做法进行旁站式监督检查</w:t>
      </w:r>
      <w:r>
        <w:rPr>
          <w:rFonts w:hint="eastAsia" w:ascii="Times New Roman" w:hAnsi="Times New Roman" w:eastAsia="仿宋" w:cs="Times New Roman"/>
          <w:color w:val="auto"/>
          <w:sz w:val="28"/>
          <w:szCs w:val="28"/>
        </w:rPr>
        <w:t>。</w:t>
      </w:r>
    </w:p>
    <w:p>
      <w:pPr>
        <w:spacing w:line="500" w:lineRule="exact"/>
        <w:ind w:firstLine="560" w:firstLineChars="200"/>
        <w:rPr>
          <w:rFonts w:ascii="Times New Roman" w:hAnsi="Times New Roman" w:eastAsia="仿宋"/>
          <w:snapToGrid w:val="0"/>
          <w:sz w:val="28"/>
          <w:szCs w:val="28"/>
        </w:rPr>
      </w:pPr>
      <w:r>
        <w:rPr>
          <w:rFonts w:hint="eastAsia" w:ascii="Times New Roman" w:hAnsi="Times New Roman" w:eastAsia="仿宋" w:cs="Times New Roman"/>
          <w:color w:val="auto"/>
          <w:sz w:val="28"/>
          <w:szCs w:val="28"/>
        </w:rPr>
        <w:t>古县财政局：负责拨付预算资金和财政资金的管理，对资金的分配、下拨、使用等全过程进行规范化管理，对专项经费的使用进行规范，组织开展绩效评价工作等。贯彻执行国家有关法律、法规、方针、政策，做好项目资金的预算、控制和监督，规范财会行为，依法合理、及时筹集使用建设资金、严格控制建设成本，提高投资效益</w:t>
      </w:r>
      <w:r>
        <w:rPr>
          <w:rFonts w:ascii="Times New Roman" w:hAnsi="Times New Roman" w:eastAsia="仿宋"/>
          <w:snapToGrid w:val="0"/>
          <w:sz w:val="28"/>
          <w:szCs w:val="28"/>
        </w:rPr>
        <w:t>。</w:t>
      </w:r>
    </w:p>
    <w:p>
      <w:pPr>
        <w:pStyle w:val="4"/>
        <w:spacing w:before="156" w:beforeLines="50" w:after="156" w:afterLines="50" w:line="500" w:lineRule="exact"/>
        <w:ind w:firstLine="642" w:firstLineChars="200"/>
        <w:rPr>
          <w:rFonts w:ascii="仿宋" w:hAnsi="仿宋" w:eastAsia="仿宋"/>
        </w:rPr>
      </w:pPr>
      <w:bookmarkStart w:id="23" w:name="_Toc22477"/>
      <w:r>
        <w:rPr>
          <w:rFonts w:ascii="仿宋" w:hAnsi="仿宋" w:eastAsia="仿宋"/>
        </w:rPr>
        <w:t>（二）项目实施</w:t>
      </w:r>
      <w:bookmarkEnd w:id="22"/>
      <w:r>
        <w:rPr>
          <w:rFonts w:ascii="仿宋" w:hAnsi="仿宋" w:eastAsia="仿宋"/>
        </w:rPr>
        <w:t>情况</w:t>
      </w:r>
      <w:bookmarkEnd w:id="23"/>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bookmarkStart w:id="24" w:name="_Toc514537334"/>
      <w:r>
        <w:rPr>
          <w:rFonts w:hint="eastAsia" w:ascii="Times New Roman" w:hAnsi="Times New Roman" w:eastAsia="仿宋" w:cs="Times New Roman"/>
          <w:sz w:val="28"/>
          <w:szCs w:val="24"/>
          <w:lang w:val="en-US" w:eastAsia="zh-CN"/>
        </w:rPr>
        <w:t>古县旧县镇“四好农村路”建设项目涉及11条路，其中：①旧县道窄路基拓宽部分、旧县道畅返不畅建设6条路；②2019年畅返不畅整治工程5条路。</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截止2022年3月1日，古县农村公路改造工程涉及11条路全部交工验收。</w:t>
      </w:r>
    </w:p>
    <w:p>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1、旧县道窄路基拓宽部分、旧县道畅返不畅建设6条路</w:t>
      </w:r>
    </w:p>
    <w:p>
      <w:pPr>
        <w:widowControl w:val="0"/>
        <w:numPr>
          <w:ilvl w:val="0"/>
          <w:numId w:val="0"/>
        </w:numPr>
        <w:spacing w:line="500" w:lineRule="exact"/>
        <w:ind w:firstLine="562" w:firstLineChars="200"/>
        <w:jc w:val="both"/>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bCs/>
          <w:sz w:val="28"/>
          <w:szCs w:val="24"/>
          <w:lang w:val="en-US" w:eastAsia="zh-CN"/>
        </w:rPr>
        <w:t>施工单位：</w:t>
      </w:r>
      <w:r>
        <w:rPr>
          <w:rFonts w:hint="eastAsia" w:ascii="Times New Roman" w:hAnsi="Times New Roman" w:eastAsia="仿宋" w:cs="Times New Roman"/>
          <w:b w:val="0"/>
          <w:bCs w:val="0"/>
          <w:sz w:val="28"/>
          <w:szCs w:val="24"/>
          <w:lang w:val="en-US" w:eastAsia="zh-CN"/>
        </w:rPr>
        <w:t>山西亿承建设工程有限公司</w:t>
      </w:r>
    </w:p>
    <w:p>
      <w:pPr>
        <w:widowControl w:val="0"/>
        <w:numPr>
          <w:ilvl w:val="0"/>
          <w:numId w:val="0"/>
        </w:numPr>
        <w:spacing w:line="500" w:lineRule="exact"/>
        <w:ind w:firstLine="562" w:firstLineChars="200"/>
        <w:jc w:val="both"/>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bCs/>
          <w:sz w:val="28"/>
          <w:szCs w:val="24"/>
          <w:lang w:val="en-US" w:eastAsia="zh-CN"/>
        </w:rPr>
        <w:t>开工日期：</w:t>
      </w:r>
      <w:r>
        <w:rPr>
          <w:rFonts w:hint="eastAsia" w:ascii="Times New Roman" w:hAnsi="Times New Roman" w:eastAsia="仿宋" w:cs="Times New Roman"/>
          <w:b w:val="0"/>
          <w:bCs w:val="0"/>
          <w:sz w:val="28"/>
          <w:szCs w:val="24"/>
          <w:lang w:val="en-US" w:eastAsia="zh-CN"/>
        </w:rPr>
        <w:t>2019年3月1日</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完工日期：</w:t>
      </w:r>
      <w:r>
        <w:rPr>
          <w:rFonts w:hint="eastAsia" w:ascii="Times New Roman" w:hAnsi="Times New Roman" w:eastAsia="仿宋" w:cs="Times New Roman"/>
          <w:b w:val="0"/>
          <w:bCs w:val="0"/>
          <w:sz w:val="28"/>
          <w:szCs w:val="24"/>
          <w:lang w:val="en-US" w:eastAsia="zh-CN"/>
        </w:rPr>
        <w:t>2019年11月30日</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合同工期：</w:t>
      </w:r>
      <w:r>
        <w:rPr>
          <w:rFonts w:hint="eastAsia" w:ascii="Times New Roman" w:hAnsi="Times New Roman" w:eastAsia="仿宋" w:cs="Times New Roman"/>
          <w:b w:val="0"/>
          <w:bCs w:val="0"/>
          <w:sz w:val="28"/>
          <w:szCs w:val="24"/>
          <w:lang w:val="en-US" w:eastAsia="zh-CN"/>
        </w:rPr>
        <w:t>180天</w:t>
      </w:r>
    </w:p>
    <w:p>
      <w:pPr>
        <w:widowControl w:val="0"/>
        <w:numPr>
          <w:ilvl w:val="0"/>
          <w:numId w:val="0"/>
        </w:numPr>
        <w:spacing w:line="500" w:lineRule="exact"/>
        <w:ind w:firstLine="562" w:firstLineChars="200"/>
        <w:jc w:val="both"/>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bCs/>
          <w:sz w:val="28"/>
          <w:szCs w:val="24"/>
          <w:lang w:val="en-US" w:eastAsia="zh-CN"/>
        </w:rPr>
        <w:t>实际工期：</w:t>
      </w:r>
      <w:r>
        <w:rPr>
          <w:rFonts w:hint="eastAsia" w:ascii="Times New Roman" w:hAnsi="Times New Roman" w:eastAsia="仿宋" w:cs="Times New Roman"/>
          <w:b w:val="0"/>
          <w:bCs w:val="0"/>
          <w:sz w:val="28"/>
          <w:szCs w:val="24"/>
          <w:lang w:val="en-US" w:eastAsia="zh-CN"/>
        </w:rPr>
        <w:t>270天</w:t>
      </w:r>
    </w:p>
    <w:p>
      <w:pPr>
        <w:widowControl w:val="0"/>
        <w:numPr>
          <w:ilvl w:val="0"/>
          <w:numId w:val="0"/>
        </w:numPr>
        <w:spacing w:line="500" w:lineRule="exact"/>
        <w:ind w:firstLine="562" w:firstLineChars="200"/>
        <w:jc w:val="both"/>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bCs/>
          <w:sz w:val="28"/>
          <w:szCs w:val="24"/>
          <w:lang w:val="en-US" w:eastAsia="zh-CN"/>
        </w:rPr>
        <w:t>主要内容：</w:t>
      </w:r>
      <w:r>
        <w:rPr>
          <w:rFonts w:hint="eastAsia" w:ascii="Times New Roman" w:hAnsi="Times New Roman" w:eastAsia="仿宋" w:cs="Times New Roman"/>
          <w:b w:val="0"/>
          <w:bCs w:val="0"/>
          <w:sz w:val="28"/>
          <w:szCs w:val="24"/>
          <w:lang w:val="en-US" w:eastAsia="zh-CN"/>
        </w:rPr>
        <w:t>窄路拓宽12.1km（韩村－泥木台4.2km；旧县－安里线2.2km；X540-皂角沟5.7km）；畅返不畅10.463Km（交口河－曲庄线4.61km；花椒岭－柳寨线3.007km；小曲－前垣线2.846Km）。</w:t>
      </w:r>
    </w:p>
    <w:p>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主要工程量：</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一、韩村－泥木台（1）挖土方53324.6m；（2）挖石方5886.4㎡；（3）C20现浇混凝土边沟1425.6㎡；（4）C25钢筋混凝土盖板10.9㎡；（5）水泥稳定碎石基层厚180mml4584.1㎡；（6）乳化沥青19573.1㎡；（7）C30水泥混凝土面板厚180mm19573.1㎡'；（8）36cm培土路肩2715.722㎡；（9）单孔钢筋混凝土管涵1-01.0m40m；（10）单孔钢筋混凝土管涵1-01.5m32m；</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二、旧县－安里线（1)挖土方6949㎡；(2)挖石方1682㎡；(3)C20现浇混凝土边沟401㎡；(4)C25钢筋混凝土盖板6.9m；(5)水泥稳定碎石基层厚180mm7743.1m'；(6)乳化沥青10615.3㎡；(7)C30水泥混凝土面板厚180m10615.3m'；(8)36cm培土路1705.861㎡；(9)单孔钢筋混凝土管涵1-01.0m8m(10)钢筋混凝土盖板涵1.5-2.0m6m；</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三、X540-皂角沟（1)挖土方36890m；(2)C20现浇混凝土边沟913.5m；(3)C25钢筋混凝土盖板16.9m'；(4)M7.5浆砌片石挡土墙154.1㎡；(5)水泥稳定碎石基层厚180mm18438.1㎡；(6)乳化沥青26243.6㎡；（7)C30水泥混凝土面板厚180m26243.6㎡；(8)36cm培土路5110.028㎡；(9)单孔钢筋混凝土管涵1-ø1.0m56m,1-Φ1.5m16m；(10)Φ300波纹排水管12m。</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四、交口河－曲庄线（1)挖土方17984.4㎡；(2)挖石方1829㎡；(3)C20现浇混凝土边沟120.4㎡；(4)C25钢筋混凝土盖板2.6㎡；(5)M7.5浆砌片石挡土墙60.01m；(6)砂砾垫层厚150mm13488.8㎡；(7)C30水泥混凝土面板厚180m17911.8㎡；(8)33cm培土路肩2395㎡；18cm培土路肩2213㎡；(9)单孔钢筋混凝土管涵1-ø1.0m56m。</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五、花椒岭－柳寨线（1)挖土方13782m；(2)利用土方60m；(3)C20现浇混凝土边沟71.4㎡；(4)C30钢筋混凝土盖1.2㎡；(5)砂砾垫层厚150mm12900㎡；(7)C30水泥混凝土面板厚180ml1320㎡；(8)33cm培士路肩2432㎡'；18cm培土路246㎡。</w:t>
      </w:r>
    </w:p>
    <w:p>
      <w:pPr>
        <w:widowControl w:val="0"/>
        <w:numPr>
          <w:ilvl w:val="0"/>
          <w:numId w:val="0"/>
        </w:numPr>
        <w:spacing w:line="500" w:lineRule="exact"/>
        <w:ind w:firstLine="560" w:firstLineChars="200"/>
        <w:jc w:val="both"/>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六、小曲－前垣线（1)挖土方14355.3㎡；(2)回填砂砾1135.2㎡；(5)砂砾垫层厚150mm13602.2㎡'；(7)C30水泥混凝土面板厚180ml1179㎡；(8)33cm培土路肩2741.273㎡。</w:t>
      </w:r>
    </w:p>
    <w:p>
      <w:pPr>
        <w:widowControl w:val="0"/>
        <w:numPr>
          <w:ilvl w:val="0"/>
          <w:numId w:val="0"/>
        </w:numPr>
        <w:spacing w:line="500" w:lineRule="exact"/>
        <w:ind w:firstLine="560" w:firstLineChars="200"/>
        <w:jc w:val="both"/>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项目已交工验收，质量合格。</w:t>
      </w:r>
    </w:p>
    <w:p>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2、2019年畅返不畅整治工程5条路</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施工单位：山西巨衡达建设工程有限公司</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开工日期：</w:t>
      </w:r>
      <w:r>
        <w:rPr>
          <w:rFonts w:hint="eastAsia" w:ascii="Times New Roman" w:hAnsi="Times New Roman" w:eastAsia="仿宋" w:cs="Times New Roman"/>
          <w:b w:val="0"/>
          <w:bCs w:val="0"/>
          <w:sz w:val="28"/>
          <w:szCs w:val="24"/>
          <w:lang w:val="en-US" w:eastAsia="zh-CN"/>
        </w:rPr>
        <w:t>2020年3月18日</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完工日期：</w:t>
      </w:r>
      <w:r>
        <w:rPr>
          <w:rFonts w:hint="eastAsia" w:ascii="Times New Roman" w:hAnsi="Times New Roman" w:eastAsia="仿宋" w:cs="Times New Roman"/>
          <w:b w:val="0"/>
          <w:bCs w:val="0"/>
          <w:sz w:val="28"/>
          <w:szCs w:val="24"/>
          <w:lang w:val="en-US" w:eastAsia="zh-CN"/>
        </w:rPr>
        <w:t>2020年6月6日</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合同工期：</w:t>
      </w:r>
      <w:r>
        <w:rPr>
          <w:rFonts w:hint="eastAsia" w:ascii="Times New Roman" w:hAnsi="Times New Roman" w:eastAsia="仿宋" w:cs="Times New Roman"/>
          <w:b w:val="0"/>
          <w:bCs w:val="0"/>
          <w:sz w:val="28"/>
          <w:szCs w:val="24"/>
          <w:lang w:val="en-US" w:eastAsia="zh-CN"/>
        </w:rPr>
        <w:t>180天</w:t>
      </w:r>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实际工期：</w:t>
      </w:r>
      <w:r>
        <w:rPr>
          <w:rFonts w:hint="eastAsia" w:ascii="Times New Roman" w:hAnsi="Times New Roman" w:eastAsia="仿宋" w:cs="Times New Roman"/>
          <w:b w:val="0"/>
          <w:bCs w:val="0"/>
          <w:sz w:val="28"/>
          <w:szCs w:val="24"/>
          <w:lang w:val="en-US" w:eastAsia="zh-CN"/>
        </w:rPr>
        <w:t>80天</w:t>
      </w:r>
    </w:p>
    <w:p>
      <w:pPr>
        <w:widowControl w:val="0"/>
        <w:numPr>
          <w:ilvl w:val="0"/>
          <w:numId w:val="0"/>
        </w:numPr>
        <w:spacing w:line="500" w:lineRule="exact"/>
        <w:ind w:firstLine="562" w:firstLineChars="200"/>
        <w:jc w:val="both"/>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bCs/>
          <w:sz w:val="28"/>
          <w:szCs w:val="24"/>
          <w:lang w:val="en-US" w:eastAsia="zh-CN"/>
        </w:rPr>
        <w:t>主要内容：</w:t>
      </w:r>
      <w:r>
        <w:rPr>
          <w:rFonts w:hint="eastAsia" w:ascii="Times New Roman" w:hAnsi="Times New Roman" w:eastAsia="仿宋" w:cs="Times New Roman"/>
          <w:b w:val="0"/>
          <w:bCs w:val="0"/>
          <w:sz w:val="28"/>
          <w:szCs w:val="24"/>
          <w:lang w:val="en-US" w:eastAsia="zh-CN"/>
        </w:rPr>
        <w:t>X597-马节：1.106km；和寨－红寨：2.431km；孔家垣－鸭儿崖：0.838km；西堡－狮子庄：1.285km；钱家峪－柳树垣：1.536km。</w:t>
      </w:r>
    </w:p>
    <w:p>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主要工程量：</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一、X597-马节：路基工程：挖除旧路面384.5㎡、路基挖土方634.7㎡、利用土方324m；路面工程：砂砾垫层1247.2㎡、水泥砼面板4221.6㎡、培土路肩425.590㎡。</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二、和寨－红寨：路基工程：伐砍树木1080棵、挖除树根1080棵、路基挖土方8155.5㎡、利用土方5068.0㎡、结构物台背回填116.4㎡、路基回填砂砾207.90㎡、回填片石549㎡、回填砂砾247.5㎡、C20砼边沟289.240㎡；路面工程：砂砾垫层11720㎡、水泥砼面板9390㎡、培土路肩736.320㎡；涵洞：1-Φ1.0m圆管涵18m,2-Φ1.0m圆管涵6m3、</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三、孔家垣－鸭儿崖：路基工程：伐砍树木213棵、挖除树根213棵、挖除旧路面85.9㎡、路基挖土方1777.0㎡、利用土方453.0㎡.路面工程：砂砾垫层754.8㎡、水泥砼面板3416.8㎡、培土路肩322.240㎡。</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四、西堡－狮子庄：路基工程：挖除旧路面282.150m、路基挖土方6613.24㎡、利用土方2650㎡、借土填方227.8㎡.路面工程：砂砾垫层6353.5㎡、水泥砼面板5143.5㎡、培土路肩494.210m、砼拦水带52m。</w:t>
      </w:r>
    </w:p>
    <w:p>
      <w:pPr>
        <w:widowControl w:val="0"/>
        <w:numPr>
          <w:ilvl w:val="0"/>
          <w:numId w:val="0"/>
        </w:numPr>
        <w:spacing w:line="500" w:lineRule="exact"/>
        <w:ind w:firstLine="560" w:firstLineChars="200"/>
        <w:jc w:val="both"/>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五、钱家峪－柳树垣：路基工程：伐砍树木350棵、挖除树根350棵、路基挖土方11449㎡、利用土方114㎡、结构物台背回填228.33㎡、C20砼边沟293.440㎡、M7.5浆砌片石挡土墙121.8㎡.路面工程：砂砾垫层6725.77㎡、180mm厚C30水泥砼面板6085.25㎡、120mm厚C30水泥砼面板234.72㎡、培土路肩979.96㎡、砼拦水带60m。</w:t>
      </w:r>
    </w:p>
    <w:p>
      <w:pPr>
        <w:widowControl w:val="0"/>
        <w:numPr>
          <w:ilvl w:val="0"/>
          <w:numId w:val="0"/>
        </w:numPr>
        <w:spacing w:line="500" w:lineRule="exact"/>
        <w:ind w:firstLine="560" w:firstLineChars="200"/>
        <w:jc w:val="both"/>
        <w:rPr>
          <w:rFonts w:hint="default" w:ascii="Times New Roman" w:hAnsi="Times New Roman" w:eastAsia="仿宋" w:cs="Times New Roman"/>
          <w:b w:val="0"/>
          <w:bCs w:val="0"/>
          <w:sz w:val="28"/>
          <w:szCs w:val="24"/>
          <w:lang w:val="en-US" w:eastAsia="zh-CN"/>
        </w:rPr>
      </w:pPr>
      <w:r>
        <w:rPr>
          <w:rFonts w:hint="eastAsia" w:ascii="Times New Roman" w:hAnsi="Times New Roman" w:eastAsia="仿宋" w:cs="Times New Roman"/>
          <w:b w:val="0"/>
          <w:bCs w:val="0"/>
          <w:sz w:val="28"/>
          <w:szCs w:val="24"/>
          <w:lang w:val="en-US" w:eastAsia="zh-CN"/>
        </w:rPr>
        <w:t>涵洞：1-Φ1.0m圆管涵28m。</w:t>
      </w:r>
    </w:p>
    <w:p>
      <w:pPr>
        <w:numPr>
          <w:ilvl w:val="0"/>
          <w:numId w:val="0"/>
        </w:num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b w:val="0"/>
          <w:bCs w:val="0"/>
          <w:sz w:val="28"/>
          <w:szCs w:val="24"/>
          <w:lang w:val="en-US" w:eastAsia="zh-CN"/>
        </w:rPr>
        <w:t>项目已交工验收，质量合格。</w:t>
      </w:r>
    </w:p>
    <w:bookmarkEnd w:id="24"/>
    <w:p>
      <w:pPr>
        <w:pStyle w:val="3"/>
        <w:spacing w:before="312" w:beforeLines="100" w:after="312" w:afterLines="100" w:line="500" w:lineRule="exact"/>
        <w:rPr>
          <w:rFonts w:ascii="Times New Roman" w:hAnsi="Times New Roman" w:eastAsia="黑体"/>
          <w:b w:val="0"/>
          <w:sz w:val="32"/>
          <w:szCs w:val="32"/>
        </w:rPr>
      </w:pPr>
      <w:bookmarkStart w:id="25" w:name="_Toc514537336"/>
      <w:bookmarkStart w:id="26" w:name="_Toc20702"/>
      <w:r>
        <w:rPr>
          <w:rFonts w:ascii="Times New Roman" w:hAnsi="Times New Roman" w:eastAsia="黑体"/>
          <w:b w:val="0"/>
          <w:sz w:val="32"/>
          <w:szCs w:val="32"/>
        </w:rPr>
        <w:t>三、绩效评价工作情况</w:t>
      </w:r>
      <w:bookmarkEnd w:id="25"/>
      <w:bookmarkEnd w:id="26"/>
    </w:p>
    <w:p>
      <w:pPr>
        <w:pStyle w:val="4"/>
        <w:spacing w:before="156" w:beforeLines="50" w:after="156" w:afterLines="50" w:line="500" w:lineRule="exact"/>
        <w:ind w:firstLine="642" w:firstLineChars="200"/>
        <w:rPr>
          <w:rFonts w:ascii="仿宋" w:hAnsi="仿宋" w:eastAsia="仿宋"/>
        </w:rPr>
      </w:pPr>
      <w:bookmarkStart w:id="27" w:name="_Toc26523"/>
      <w:bookmarkStart w:id="28" w:name="_Toc514537337"/>
      <w:r>
        <w:rPr>
          <w:rFonts w:ascii="仿宋" w:hAnsi="仿宋" w:eastAsia="仿宋"/>
        </w:rPr>
        <w:t>（一）绩效评价的目的</w:t>
      </w:r>
      <w:bookmarkEnd w:id="27"/>
      <w:bookmarkEnd w:id="28"/>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财政支出绩效评价旨在通过评价改善预算部门的财政支出管理，优化资源配置及提高公共服务水平。本次绩效评价遵循《财政部关于印发&lt;项目支出绩效评价管理办法&gt;的通知》（财预〔2020〕10号）、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《古县财政局关于印发&lt;2022年度财政重点绩效评价实施方案&gt;的通知》（古财字〔2022〕27号）</w:t>
      </w:r>
      <w:r>
        <w:rPr>
          <w:rFonts w:ascii="Times New Roman" w:hAnsi="Times New Roman" w:eastAsia="仿宋"/>
          <w:snapToGrid w:val="0"/>
          <w:sz w:val="28"/>
          <w:szCs w:val="28"/>
        </w:rPr>
        <w:t>的有关规定，客观、全面、公正地评价</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资金的使用效益，全面反映预算资金产出和结果的经济性、效率性、效益性和公平性。</w:t>
      </w:r>
    </w:p>
    <w:p>
      <w:pPr>
        <w:spacing w:line="500" w:lineRule="exact"/>
        <w:ind w:firstLine="560" w:firstLineChars="200"/>
        <w:rPr>
          <w:rFonts w:ascii="Times New Roman" w:hAnsi="Times New Roman" w:eastAsia="仿宋"/>
          <w:snapToGrid w:val="0"/>
          <w:sz w:val="28"/>
          <w:szCs w:val="28"/>
        </w:rPr>
      </w:pPr>
      <w:bookmarkStart w:id="29" w:name="_Toc514537338"/>
      <w:r>
        <w:rPr>
          <w:rFonts w:ascii="Times New Roman" w:hAnsi="Times New Roman" w:eastAsia="仿宋"/>
          <w:snapToGrid w:val="0"/>
          <w:sz w:val="28"/>
          <w:szCs w:val="28"/>
        </w:rPr>
        <w:t>1.具体了解项目所涉及各项内容的进展、资金使用、制度建设及其取得的成效。总结经验，发现问题，并提出改进的意见和建议。</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2.进一步完善相关管理制度、加强财政支出管理、强化监督，保证项目实施、资金使用管理的规范性、安全性和有效性。</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3.积极探索项目的预算编制、项目申报、资金的分配机制，为以后年度其他相关工作的开展奠定基础。</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4.提出改进建议，为政府作出相关决策及以后年度预算资金安排提供重要参考，促进财政资金分配科学、公正、公平，强化资金使用单位的责任意识和绩效意识。</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5.通过对项目实施情况的调查分析，客观反映政策目标实现程度及项目满意度。</w:t>
      </w:r>
    </w:p>
    <w:p>
      <w:pPr>
        <w:pStyle w:val="4"/>
        <w:spacing w:before="156" w:beforeLines="50" w:after="156" w:afterLines="50" w:line="500" w:lineRule="exact"/>
        <w:ind w:firstLine="642" w:firstLineChars="200"/>
        <w:rPr>
          <w:rFonts w:ascii="仿宋" w:hAnsi="仿宋" w:eastAsia="仿宋"/>
        </w:rPr>
      </w:pPr>
      <w:bookmarkStart w:id="30" w:name="_Toc30658"/>
      <w:r>
        <w:rPr>
          <w:rFonts w:ascii="仿宋" w:hAnsi="仿宋" w:eastAsia="仿宋"/>
        </w:rPr>
        <w:t>（二）绩效评价的依据</w:t>
      </w:r>
      <w:bookmarkEnd w:id="29"/>
      <w:bookmarkEnd w:id="30"/>
    </w:p>
    <w:p>
      <w:pPr>
        <w:pStyle w:val="18"/>
        <w:spacing w:line="500" w:lineRule="exact"/>
        <w:ind w:firstLine="560" w:firstLineChars="200"/>
        <w:outlineLvl w:val="9"/>
        <w:rPr>
          <w:rFonts w:hint="eastAsia" w:eastAsia="仿宋"/>
          <w:sz w:val="28"/>
          <w:szCs w:val="28"/>
          <w:shd w:val="clear" w:color="auto" w:fill="FFFFFF"/>
        </w:rPr>
      </w:pPr>
      <w:bookmarkStart w:id="31" w:name="_Toc31653"/>
      <w:bookmarkStart w:id="32" w:name="_Toc20239"/>
      <w:bookmarkStart w:id="33" w:name="_Toc25156"/>
      <w:bookmarkStart w:id="34" w:name="_Toc8473"/>
      <w:bookmarkStart w:id="35" w:name="_Toc28937"/>
      <w:bookmarkStart w:id="36" w:name="_Toc528680459"/>
      <w:bookmarkStart w:id="37" w:name="_Toc13598"/>
      <w:bookmarkStart w:id="38" w:name="_Toc528684134"/>
      <w:bookmarkStart w:id="39" w:name="_Toc528603068"/>
      <w:bookmarkStart w:id="40" w:name="_Toc16565"/>
      <w:r>
        <w:rPr>
          <w:rFonts w:hint="eastAsia" w:eastAsia="仿宋"/>
          <w:sz w:val="28"/>
          <w:szCs w:val="28"/>
          <w:shd w:val="clear" w:color="auto" w:fill="FFFFFF"/>
        </w:rPr>
        <w:t>1</w:t>
      </w:r>
      <w:r>
        <w:rPr>
          <w:rFonts w:hint="eastAsia" w:eastAsia="仿宋"/>
          <w:sz w:val="28"/>
          <w:szCs w:val="28"/>
          <w:shd w:val="clear" w:color="auto" w:fill="FFFFFF"/>
          <w:lang w:val="en-US" w:eastAsia="zh-CN"/>
        </w:rPr>
        <w:t>.</w:t>
      </w:r>
      <w:r>
        <w:rPr>
          <w:rFonts w:hint="eastAsia" w:eastAsia="仿宋"/>
          <w:sz w:val="28"/>
          <w:szCs w:val="28"/>
          <w:shd w:val="clear" w:color="auto" w:fill="FFFFFF"/>
        </w:rPr>
        <w:t>《中华人民共和国预算法》（2014年8月31日第十二全国人民代表大会常务委员会第十次会议修订）；</w:t>
      </w:r>
      <w:bookmarkEnd w:id="31"/>
      <w:bookmarkEnd w:id="32"/>
      <w:bookmarkEnd w:id="33"/>
    </w:p>
    <w:p>
      <w:pPr>
        <w:pStyle w:val="18"/>
        <w:spacing w:line="500" w:lineRule="exact"/>
        <w:ind w:firstLine="560" w:firstLineChars="200"/>
        <w:outlineLvl w:val="9"/>
        <w:rPr>
          <w:rFonts w:hint="eastAsia" w:eastAsia="仿宋"/>
          <w:sz w:val="28"/>
          <w:szCs w:val="28"/>
          <w:shd w:val="clear" w:color="auto" w:fill="FFFFFF"/>
        </w:rPr>
      </w:pPr>
      <w:bookmarkStart w:id="41" w:name="_Toc12538"/>
      <w:bookmarkStart w:id="42" w:name="_Toc5556"/>
      <w:bookmarkStart w:id="43" w:name="_Toc32424"/>
      <w:r>
        <w:rPr>
          <w:rFonts w:hint="eastAsia" w:eastAsia="仿宋"/>
          <w:sz w:val="28"/>
          <w:szCs w:val="28"/>
          <w:shd w:val="clear" w:color="auto" w:fill="FFFFFF"/>
        </w:rPr>
        <w:t>2</w:t>
      </w:r>
      <w:r>
        <w:rPr>
          <w:rFonts w:hint="eastAsia" w:eastAsia="仿宋"/>
          <w:sz w:val="28"/>
          <w:szCs w:val="28"/>
          <w:shd w:val="clear" w:color="auto" w:fill="FFFFFF"/>
          <w:lang w:val="en-US" w:eastAsia="zh-CN"/>
        </w:rPr>
        <w:t>.</w:t>
      </w:r>
      <w:r>
        <w:rPr>
          <w:rFonts w:hint="eastAsia" w:eastAsia="仿宋"/>
          <w:sz w:val="28"/>
          <w:szCs w:val="28"/>
          <w:shd w:val="clear" w:color="auto" w:fill="FFFFFF"/>
        </w:rPr>
        <w:t>中共中央 国务院《关于全面实施预算绩效管理的意见》（中发〔2018〕34号）；</w:t>
      </w:r>
      <w:bookmarkEnd w:id="41"/>
      <w:bookmarkEnd w:id="42"/>
      <w:bookmarkEnd w:id="43"/>
    </w:p>
    <w:p>
      <w:pPr>
        <w:pStyle w:val="18"/>
        <w:spacing w:line="500" w:lineRule="exact"/>
        <w:ind w:firstLine="560" w:firstLineChars="200"/>
        <w:outlineLvl w:val="9"/>
        <w:rPr>
          <w:rFonts w:hint="eastAsia" w:eastAsia="仿宋"/>
          <w:sz w:val="28"/>
          <w:szCs w:val="28"/>
          <w:shd w:val="clear" w:color="auto" w:fill="FFFFFF"/>
        </w:rPr>
      </w:pPr>
      <w:bookmarkStart w:id="44" w:name="_Toc15722"/>
      <w:bookmarkStart w:id="45" w:name="_Toc6585"/>
      <w:bookmarkStart w:id="46" w:name="_Toc1678"/>
      <w:r>
        <w:rPr>
          <w:rFonts w:hint="eastAsia" w:eastAsia="仿宋"/>
          <w:sz w:val="28"/>
          <w:szCs w:val="28"/>
          <w:shd w:val="clear" w:color="auto" w:fill="FFFFFF"/>
        </w:rPr>
        <w:t>3</w:t>
      </w:r>
      <w:r>
        <w:rPr>
          <w:rFonts w:hint="eastAsia" w:eastAsia="仿宋"/>
          <w:sz w:val="28"/>
          <w:szCs w:val="28"/>
          <w:shd w:val="clear" w:color="auto" w:fill="FFFFFF"/>
          <w:lang w:val="en-US" w:eastAsia="zh-CN"/>
        </w:rPr>
        <w:t>.</w:t>
      </w:r>
      <w:r>
        <w:rPr>
          <w:rFonts w:hint="eastAsia" w:eastAsia="仿宋"/>
          <w:sz w:val="28"/>
          <w:szCs w:val="28"/>
          <w:shd w:val="clear" w:color="auto" w:fill="FFFFFF"/>
        </w:rPr>
        <w:t>财政部《关于贯彻落实&lt;中共中央国务院关于全面实施预算绩效管理的意见&gt;的通知》(财预〔2018〕167号）；</w:t>
      </w:r>
      <w:bookmarkEnd w:id="44"/>
      <w:bookmarkEnd w:id="45"/>
      <w:bookmarkEnd w:id="46"/>
    </w:p>
    <w:p>
      <w:pPr>
        <w:pStyle w:val="18"/>
        <w:spacing w:line="500" w:lineRule="exact"/>
        <w:ind w:firstLine="560" w:firstLineChars="200"/>
        <w:outlineLvl w:val="9"/>
        <w:rPr>
          <w:rFonts w:hint="eastAsia" w:eastAsia="仿宋"/>
          <w:sz w:val="28"/>
          <w:szCs w:val="28"/>
          <w:shd w:val="clear" w:color="auto" w:fill="FFFFFF"/>
        </w:rPr>
      </w:pPr>
      <w:bookmarkStart w:id="47" w:name="_Toc14149"/>
      <w:bookmarkStart w:id="48" w:name="_Toc17723"/>
      <w:bookmarkStart w:id="49" w:name="_Toc7428"/>
      <w:r>
        <w:rPr>
          <w:rFonts w:hint="eastAsia" w:eastAsia="仿宋"/>
          <w:sz w:val="28"/>
          <w:szCs w:val="28"/>
          <w:shd w:val="clear" w:color="auto" w:fill="FFFFFF"/>
        </w:rPr>
        <w:t>4</w:t>
      </w:r>
      <w:r>
        <w:rPr>
          <w:rFonts w:hint="eastAsia" w:eastAsia="仿宋"/>
          <w:sz w:val="28"/>
          <w:szCs w:val="28"/>
          <w:shd w:val="clear" w:color="auto" w:fill="FFFFFF"/>
          <w:lang w:val="en-US" w:eastAsia="zh-CN"/>
        </w:rPr>
        <w:t>.</w:t>
      </w:r>
      <w:r>
        <w:rPr>
          <w:rFonts w:hint="eastAsia" w:eastAsia="仿宋"/>
          <w:sz w:val="28"/>
          <w:szCs w:val="28"/>
          <w:shd w:val="clear" w:color="auto" w:fill="FFFFFF"/>
        </w:rPr>
        <w:t>《财政部关于印发&lt;项目支出绩效评价管理办法&gt;的通知》（财预〔2020〕10号）；</w:t>
      </w:r>
      <w:bookmarkEnd w:id="47"/>
      <w:bookmarkEnd w:id="48"/>
      <w:bookmarkEnd w:id="49"/>
    </w:p>
    <w:p>
      <w:pPr>
        <w:pStyle w:val="18"/>
        <w:spacing w:line="500" w:lineRule="exact"/>
        <w:ind w:firstLine="560" w:firstLineChars="200"/>
        <w:outlineLvl w:val="9"/>
        <w:rPr>
          <w:rFonts w:hint="eastAsia" w:eastAsia="仿宋"/>
          <w:sz w:val="28"/>
          <w:szCs w:val="28"/>
          <w:shd w:val="clear" w:color="auto" w:fill="FFFFFF"/>
        </w:rPr>
      </w:pPr>
      <w:bookmarkStart w:id="50" w:name="_Toc23795"/>
      <w:bookmarkStart w:id="51" w:name="_Toc10890"/>
      <w:bookmarkStart w:id="52" w:name="_Toc5115"/>
      <w:r>
        <w:rPr>
          <w:rFonts w:hint="eastAsia" w:eastAsia="仿宋"/>
          <w:sz w:val="28"/>
          <w:szCs w:val="28"/>
          <w:shd w:val="clear" w:color="auto" w:fill="FFFFFF"/>
        </w:rPr>
        <w:t>5</w:t>
      </w:r>
      <w:r>
        <w:rPr>
          <w:rFonts w:hint="eastAsia" w:eastAsia="仿宋"/>
          <w:sz w:val="28"/>
          <w:szCs w:val="28"/>
          <w:shd w:val="clear" w:color="auto" w:fill="FFFFFF"/>
          <w:lang w:val="en-US" w:eastAsia="zh-CN"/>
        </w:rPr>
        <w:t>.</w:t>
      </w:r>
      <w:r>
        <w:rPr>
          <w:rFonts w:hint="eastAsia" w:eastAsia="仿宋"/>
          <w:sz w:val="28"/>
          <w:szCs w:val="28"/>
          <w:shd w:val="clear" w:color="auto" w:fill="FFFFFF"/>
        </w:rPr>
        <w:t>山西省政府《关于深化预算管理制度改革的实施意见》（晋政发[2015]19号）；</w:t>
      </w:r>
      <w:bookmarkEnd w:id="50"/>
      <w:bookmarkEnd w:id="51"/>
      <w:bookmarkEnd w:id="52"/>
    </w:p>
    <w:p>
      <w:pPr>
        <w:pStyle w:val="18"/>
        <w:spacing w:line="500" w:lineRule="exact"/>
        <w:ind w:firstLine="560" w:firstLineChars="200"/>
        <w:outlineLvl w:val="9"/>
        <w:rPr>
          <w:rFonts w:hint="eastAsia" w:eastAsia="仿宋"/>
          <w:sz w:val="28"/>
          <w:szCs w:val="28"/>
          <w:shd w:val="clear" w:color="auto" w:fill="FFFFFF"/>
        </w:rPr>
      </w:pPr>
      <w:bookmarkStart w:id="53" w:name="_Toc6177"/>
      <w:bookmarkStart w:id="54" w:name="_Toc26958"/>
      <w:bookmarkStart w:id="55" w:name="_Toc26554"/>
      <w:r>
        <w:rPr>
          <w:rFonts w:hint="eastAsia" w:eastAsia="仿宋"/>
          <w:sz w:val="28"/>
          <w:szCs w:val="28"/>
          <w:shd w:val="clear" w:color="auto" w:fill="FFFFFF"/>
        </w:rPr>
        <w:t>6</w:t>
      </w:r>
      <w:r>
        <w:rPr>
          <w:rFonts w:hint="eastAsia" w:eastAsia="仿宋"/>
          <w:sz w:val="28"/>
          <w:szCs w:val="28"/>
          <w:shd w:val="clear" w:color="auto" w:fill="FFFFFF"/>
          <w:lang w:val="en-US" w:eastAsia="zh-CN"/>
        </w:rPr>
        <w:t>.</w:t>
      </w:r>
      <w:r>
        <w:rPr>
          <w:rFonts w:hint="eastAsia" w:eastAsia="仿宋"/>
          <w:sz w:val="28"/>
          <w:szCs w:val="28"/>
          <w:shd w:val="clear" w:color="auto" w:fill="FFFFFF"/>
        </w:rPr>
        <w:t>《山西省财政厅关于印发&lt;山西省预算绩效评价管理办法&gt;的通知》（晋财资[2014]36号）；</w:t>
      </w:r>
      <w:bookmarkEnd w:id="53"/>
      <w:bookmarkEnd w:id="54"/>
      <w:bookmarkEnd w:id="55"/>
    </w:p>
    <w:p>
      <w:pPr>
        <w:pStyle w:val="18"/>
        <w:spacing w:line="500" w:lineRule="exact"/>
        <w:ind w:firstLine="560" w:firstLineChars="200"/>
        <w:outlineLvl w:val="9"/>
        <w:rPr>
          <w:rFonts w:hint="eastAsia" w:eastAsia="仿宋"/>
          <w:sz w:val="28"/>
          <w:szCs w:val="28"/>
          <w:shd w:val="clear" w:color="auto" w:fill="FFFFFF"/>
        </w:rPr>
      </w:pPr>
      <w:bookmarkStart w:id="56" w:name="_Toc20741"/>
      <w:bookmarkStart w:id="57" w:name="_Toc28693"/>
      <w:bookmarkStart w:id="58" w:name="_Toc10462"/>
      <w:r>
        <w:rPr>
          <w:rFonts w:hint="eastAsia" w:eastAsia="仿宋"/>
          <w:sz w:val="28"/>
          <w:szCs w:val="28"/>
          <w:shd w:val="clear" w:color="auto" w:fill="FFFFFF"/>
        </w:rPr>
        <w:t>7</w:t>
      </w:r>
      <w:r>
        <w:rPr>
          <w:rFonts w:hint="eastAsia" w:eastAsia="仿宋"/>
          <w:sz w:val="28"/>
          <w:szCs w:val="28"/>
          <w:shd w:val="clear" w:color="auto" w:fill="FFFFFF"/>
          <w:lang w:val="en-US" w:eastAsia="zh-CN"/>
        </w:rPr>
        <w:t>.</w:t>
      </w:r>
      <w:r>
        <w:rPr>
          <w:rFonts w:hint="eastAsia" w:eastAsia="仿宋"/>
          <w:sz w:val="28"/>
          <w:szCs w:val="28"/>
          <w:shd w:val="clear" w:color="auto" w:fill="FFFFFF"/>
        </w:rPr>
        <w:t>中共山西省委 山西省人民政府《关于全面实施预算绩效管理的实施意见》（晋发[2018]39号）；</w:t>
      </w:r>
      <w:bookmarkEnd w:id="56"/>
      <w:bookmarkEnd w:id="57"/>
      <w:bookmarkEnd w:id="58"/>
    </w:p>
    <w:p>
      <w:pPr>
        <w:pStyle w:val="18"/>
        <w:spacing w:line="500" w:lineRule="exact"/>
        <w:ind w:firstLine="560" w:firstLineChars="200"/>
        <w:outlineLvl w:val="9"/>
        <w:rPr>
          <w:rFonts w:hint="eastAsia" w:eastAsia="仿宋"/>
          <w:sz w:val="28"/>
          <w:szCs w:val="28"/>
          <w:shd w:val="clear" w:color="auto" w:fill="FFFFFF"/>
        </w:rPr>
      </w:pPr>
      <w:bookmarkStart w:id="59" w:name="_Toc16637"/>
      <w:bookmarkStart w:id="60" w:name="_Toc24263"/>
      <w:bookmarkStart w:id="61" w:name="_Toc7284"/>
      <w:r>
        <w:rPr>
          <w:rFonts w:hint="eastAsia" w:eastAsia="仿宋"/>
          <w:sz w:val="28"/>
          <w:szCs w:val="28"/>
          <w:shd w:val="clear" w:color="auto" w:fill="FFFFFF"/>
        </w:rPr>
        <w:t>8</w:t>
      </w:r>
      <w:r>
        <w:rPr>
          <w:rFonts w:hint="eastAsia" w:eastAsia="仿宋"/>
          <w:sz w:val="28"/>
          <w:szCs w:val="28"/>
          <w:shd w:val="clear" w:color="auto" w:fill="FFFFFF"/>
          <w:lang w:val="en-US" w:eastAsia="zh-CN"/>
        </w:rPr>
        <w:t>.</w:t>
      </w:r>
      <w:r>
        <w:rPr>
          <w:rFonts w:hint="eastAsia" w:eastAsia="仿宋"/>
          <w:sz w:val="28"/>
          <w:szCs w:val="28"/>
          <w:shd w:val="clear" w:color="auto" w:fill="FFFFFF"/>
        </w:rPr>
        <w:t>《临汾市预算绩效管理办法》（临政办发〔2014〕6号）；</w:t>
      </w:r>
      <w:bookmarkEnd w:id="59"/>
      <w:bookmarkEnd w:id="60"/>
      <w:bookmarkEnd w:id="61"/>
    </w:p>
    <w:p>
      <w:pPr>
        <w:pStyle w:val="18"/>
        <w:spacing w:line="500" w:lineRule="exact"/>
        <w:ind w:firstLine="560" w:firstLineChars="200"/>
        <w:outlineLvl w:val="9"/>
        <w:rPr>
          <w:rFonts w:hint="eastAsia" w:eastAsia="仿宋"/>
          <w:sz w:val="28"/>
          <w:szCs w:val="28"/>
          <w:shd w:val="clear" w:color="auto" w:fill="FFFFFF"/>
        </w:rPr>
      </w:pPr>
      <w:bookmarkStart w:id="62" w:name="_Toc26284"/>
      <w:bookmarkStart w:id="63" w:name="_Toc18583"/>
      <w:bookmarkStart w:id="64" w:name="_Toc8505"/>
      <w:r>
        <w:rPr>
          <w:rFonts w:hint="eastAsia" w:eastAsia="仿宋"/>
          <w:sz w:val="28"/>
          <w:szCs w:val="28"/>
          <w:shd w:val="clear" w:color="auto" w:fill="FFFFFF"/>
        </w:rPr>
        <w:t>9</w:t>
      </w:r>
      <w:r>
        <w:rPr>
          <w:rFonts w:hint="eastAsia" w:eastAsia="仿宋"/>
          <w:sz w:val="28"/>
          <w:szCs w:val="28"/>
          <w:shd w:val="clear" w:color="auto" w:fill="FFFFFF"/>
          <w:lang w:val="en-US" w:eastAsia="zh-CN"/>
        </w:rPr>
        <w:t>.</w:t>
      </w:r>
      <w:r>
        <w:rPr>
          <w:rFonts w:hint="eastAsia" w:eastAsia="仿宋"/>
          <w:sz w:val="28"/>
          <w:szCs w:val="28"/>
          <w:shd w:val="clear" w:color="auto" w:fill="FFFFFF"/>
          <w:lang w:eastAsia="zh-CN"/>
        </w:rPr>
        <w:t>《古县财政局关于印发&lt;2022年度财政重点绩效评价实施方案&gt;的通知》（古财字〔2022〕27号）</w:t>
      </w:r>
      <w:r>
        <w:rPr>
          <w:rFonts w:hint="eastAsia" w:eastAsia="仿宋"/>
          <w:sz w:val="28"/>
          <w:szCs w:val="28"/>
          <w:shd w:val="clear" w:color="auto" w:fill="FFFFFF"/>
        </w:rPr>
        <w:t>；</w:t>
      </w:r>
      <w:bookmarkEnd w:id="62"/>
      <w:bookmarkEnd w:id="63"/>
      <w:bookmarkEnd w:id="64"/>
    </w:p>
    <w:p>
      <w:pPr>
        <w:pStyle w:val="18"/>
        <w:spacing w:line="500" w:lineRule="exact"/>
        <w:ind w:firstLine="560" w:firstLineChars="200"/>
        <w:outlineLvl w:val="9"/>
        <w:rPr>
          <w:rFonts w:hint="eastAsia" w:eastAsia="仿宋"/>
          <w:sz w:val="28"/>
          <w:szCs w:val="28"/>
          <w:shd w:val="clear" w:color="auto" w:fill="FFFFFF"/>
        </w:rPr>
      </w:pPr>
      <w:bookmarkStart w:id="65" w:name="_Toc31697"/>
      <w:bookmarkStart w:id="66" w:name="_Toc5385"/>
      <w:bookmarkStart w:id="67" w:name="_Toc1694"/>
      <w:r>
        <w:rPr>
          <w:rFonts w:hint="eastAsia" w:eastAsia="仿宋"/>
          <w:sz w:val="28"/>
          <w:szCs w:val="28"/>
          <w:shd w:val="clear" w:color="auto" w:fill="FFFFFF"/>
        </w:rPr>
        <w:t>10</w:t>
      </w:r>
      <w:r>
        <w:rPr>
          <w:rFonts w:hint="eastAsia" w:eastAsia="仿宋"/>
          <w:sz w:val="28"/>
          <w:szCs w:val="28"/>
          <w:shd w:val="clear" w:color="auto" w:fill="FFFFFF"/>
          <w:lang w:val="en-US" w:eastAsia="zh-CN"/>
        </w:rPr>
        <w:t>.</w:t>
      </w:r>
      <w:r>
        <w:rPr>
          <w:rFonts w:hint="eastAsia" w:eastAsia="仿宋"/>
          <w:sz w:val="28"/>
          <w:szCs w:val="28"/>
          <w:shd w:val="clear" w:color="auto" w:fill="FFFFFF"/>
        </w:rPr>
        <w:t>评价项目采购人或相关方提供的绩效评价指标体系；</w:t>
      </w:r>
      <w:bookmarkEnd w:id="65"/>
      <w:bookmarkEnd w:id="66"/>
      <w:bookmarkEnd w:id="67"/>
    </w:p>
    <w:p>
      <w:pPr>
        <w:pStyle w:val="18"/>
        <w:spacing w:line="500" w:lineRule="exact"/>
        <w:ind w:firstLine="560" w:firstLineChars="200"/>
        <w:outlineLvl w:val="9"/>
        <w:rPr>
          <w:rFonts w:hint="eastAsia" w:eastAsia="仿宋"/>
          <w:sz w:val="28"/>
          <w:szCs w:val="28"/>
          <w:shd w:val="clear" w:color="auto" w:fill="FFFFFF"/>
        </w:rPr>
      </w:pPr>
      <w:bookmarkStart w:id="68" w:name="_Toc17064"/>
      <w:bookmarkStart w:id="69" w:name="_Toc19776"/>
      <w:bookmarkStart w:id="70" w:name="_Toc30933"/>
      <w:r>
        <w:rPr>
          <w:rFonts w:hint="eastAsia" w:eastAsia="仿宋"/>
          <w:sz w:val="28"/>
          <w:szCs w:val="28"/>
          <w:shd w:val="clear" w:color="auto" w:fill="FFFFFF"/>
        </w:rPr>
        <w:t>11</w:t>
      </w:r>
      <w:r>
        <w:rPr>
          <w:rFonts w:hint="eastAsia" w:eastAsia="仿宋"/>
          <w:sz w:val="28"/>
          <w:szCs w:val="28"/>
          <w:shd w:val="clear" w:color="auto" w:fill="FFFFFF"/>
          <w:lang w:val="en-US" w:eastAsia="zh-CN"/>
        </w:rPr>
        <w:t>.</w:t>
      </w:r>
      <w:r>
        <w:rPr>
          <w:rFonts w:hint="eastAsia" w:eastAsia="仿宋"/>
          <w:sz w:val="28"/>
          <w:szCs w:val="28"/>
          <w:shd w:val="clear" w:color="auto" w:fill="FFFFFF"/>
        </w:rPr>
        <w:t>其他有关的法律、法规规章、政策文件；</w:t>
      </w:r>
      <w:bookmarkEnd w:id="68"/>
      <w:bookmarkEnd w:id="69"/>
      <w:bookmarkEnd w:id="70"/>
    </w:p>
    <w:p>
      <w:pPr>
        <w:pStyle w:val="18"/>
        <w:spacing w:line="500" w:lineRule="exact"/>
        <w:ind w:firstLine="560" w:firstLineChars="200"/>
        <w:outlineLvl w:val="9"/>
        <w:rPr>
          <w:rFonts w:hint="eastAsia" w:eastAsia="仿宋"/>
          <w:sz w:val="28"/>
          <w:szCs w:val="28"/>
          <w:shd w:val="clear" w:color="auto" w:fill="FFFFFF"/>
          <w:lang w:eastAsia="zh-CN"/>
        </w:rPr>
      </w:pPr>
      <w:bookmarkStart w:id="71" w:name="_Toc13279"/>
      <w:bookmarkStart w:id="72" w:name="_Toc13844"/>
      <w:bookmarkStart w:id="73" w:name="_Toc17311"/>
      <w:r>
        <w:rPr>
          <w:rFonts w:hint="eastAsia" w:eastAsia="仿宋"/>
          <w:sz w:val="28"/>
          <w:szCs w:val="28"/>
          <w:shd w:val="clear" w:color="auto" w:fill="FFFFFF"/>
        </w:rPr>
        <w:t>12</w:t>
      </w:r>
      <w:r>
        <w:rPr>
          <w:rFonts w:hint="eastAsia" w:eastAsia="仿宋"/>
          <w:sz w:val="28"/>
          <w:szCs w:val="28"/>
          <w:shd w:val="clear" w:color="auto" w:fill="FFFFFF"/>
          <w:lang w:val="en-US" w:eastAsia="zh-CN"/>
        </w:rPr>
        <w:t>.</w:t>
      </w:r>
      <w:r>
        <w:rPr>
          <w:rFonts w:hint="eastAsia" w:eastAsia="仿宋"/>
          <w:sz w:val="28"/>
          <w:szCs w:val="28"/>
          <w:shd w:val="clear" w:color="auto" w:fill="FFFFFF"/>
        </w:rPr>
        <w:t>与绩效评价相关的其他资料</w:t>
      </w:r>
      <w:bookmarkEnd w:id="34"/>
      <w:bookmarkEnd w:id="35"/>
      <w:bookmarkEnd w:id="36"/>
      <w:bookmarkEnd w:id="37"/>
      <w:bookmarkEnd w:id="38"/>
      <w:bookmarkEnd w:id="39"/>
      <w:bookmarkEnd w:id="40"/>
      <w:r>
        <w:rPr>
          <w:rFonts w:hint="eastAsia" w:eastAsia="仿宋"/>
          <w:sz w:val="28"/>
          <w:szCs w:val="28"/>
          <w:shd w:val="clear" w:color="auto" w:fill="FFFFFF"/>
          <w:lang w:eastAsia="zh-CN"/>
        </w:rPr>
        <w:t>。</w:t>
      </w:r>
      <w:bookmarkEnd w:id="71"/>
      <w:bookmarkEnd w:id="72"/>
      <w:bookmarkEnd w:id="73"/>
    </w:p>
    <w:p>
      <w:pPr>
        <w:pStyle w:val="4"/>
        <w:spacing w:before="156" w:beforeLines="50" w:after="156" w:afterLines="50" w:line="500" w:lineRule="exact"/>
        <w:ind w:firstLine="642" w:firstLineChars="200"/>
        <w:rPr>
          <w:rFonts w:ascii="仿宋" w:hAnsi="仿宋" w:eastAsia="仿宋"/>
        </w:rPr>
      </w:pPr>
      <w:bookmarkStart w:id="74" w:name="_Toc30773"/>
      <w:bookmarkStart w:id="75" w:name="_Toc522961240"/>
      <w:r>
        <w:rPr>
          <w:rFonts w:ascii="仿宋" w:hAnsi="仿宋" w:eastAsia="仿宋"/>
        </w:rPr>
        <w:t>（三）评价对象和范围</w:t>
      </w:r>
      <w:bookmarkEnd w:id="74"/>
      <w:bookmarkEnd w:id="75"/>
    </w:p>
    <w:p>
      <w:pPr>
        <w:pStyle w:val="18"/>
        <w:spacing w:line="500" w:lineRule="exact"/>
        <w:ind w:firstLine="562" w:firstLineChars="200"/>
        <w:outlineLvl w:val="9"/>
        <w:rPr>
          <w:rFonts w:eastAsia="仿宋"/>
          <w:b/>
          <w:sz w:val="28"/>
          <w:szCs w:val="28"/>
        </w:rPr>
      </w:pPr>
      <w:bookmarkStart w:id="76" w:name="_Toc27603"/>
      <w:bookmarkStart w:id="77" w:name="_Toc19524"/>
      <w:bookmarkStart w:id="78" w:name="_Toc942"/>
      <w:bookmarkStart w:id="79" w:name="_Toc7045"/>
      <w:bookmarkStart w:id="80" w:name="_Toc450549936"/>
      <w:bookmarkStart w:id="81" w:name="_Toc469065546"/>
      <w:bookmarkStart w:id="82" w:name="_Toc469065636"/>
      <w:bookmarkStart w:id="83" w:name="_Toc469065888"/>
      <w:r>
        <w:rPr>
          <w:rFonts w:eastAsia="仿宋"/>
          <w:b/>
          <w:sz w:val="28"/>
          <w:szCs w:val="28"/>
        </w:rPr>
        <w:t>1.评价对象</w:t>
      </w:r>
      <w:bookmarkEnd w:id="76"/>
      <w:bookmarkEnd w:id="77"/>
      <w:bookmarkEnd w:id="78"/>
      <w:bookmarkEnd w:id="79"/>
    </w:p>
    <w:p>
      <w:pPr>
        <w:pStyle w:val="18"/>
        <w:spacing w:line="500" w:lineRule="exact"/>
        <w:ind w:firstLine="560" w:firstLineChars="200"/>
        <w:outlineLvl w:val="9"/>
        <w:rPr>
          <w:rFonts w:eastAsia="仿宋"/>
          <w:sz w:val="28"/>
          <w:szCs w:val="28"/>
          <w:highlight w:val="yellow"/>
        </w:rPr>
      </w:pPr>
      <w:bookmarkStart w:id="84" w:name="_Toc10146"/>
      <w:bookmarkStart w:id="85" w:name="_Toc25960"/>
      <w:bookmarkStart w:id="86" w:name="_Toc29731"/>
      <w:bookmarkStart w:id="87" w:name="_Toc10382"/>
      <w:r>
        <w:rPr>
          <w:rFonts w:eastAsia="仿宋"/>
          <w:sz w:val="28"/>
          <w:szCs w:val="28"/>
        </w:rPr>
        <w:t>本次绩效评价对象为“</w:t>
      </w:r>
      <w:r>
        <w:rPr>
          <w:rFonts w:hint="eastAsia" w:ascii="Times New Roman" w:hAnsi="Times New Roman" w:eastAsia="仿宋" w:cs="Times New Roman"/>
          <w:sz w:val="28"/>
          <w:szCs w:val="28"/>
          <w:lang w:eastAsia="zh-CN"/>
        </w:rPr>
        <w:t>旧县镇“四好农村路”建设项目资金2165.3435万元</w:t>
      </w:r>
      <w:r>
        <w:rPr>
          <w:rFonts w:eastAsia="仿宋"/>
          <w:sz w:val="28"/>
          <w:szCs w:val="28"/>
        </w:rPr>
        <w:t>”。</w:t>
      </w:r>
      <w:bookmarkEnd w:id="84"/>
      <w:bookmarkEnd w:id="85"/>
      <w:bookmarkEnd w:id="86"/>
      <w:bookmarkEnd w:id="87"/>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2.评价范围</w:t>
      </w:r>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绩效评价范围为</w:t>
      </w:r>
      <w:r>
        <w:rPr>
          <w:rFonts w:hint="eastAsia" w:ascii="Times New Roman" w:hAnsi="Times New Roman" w:eastAsia="仿宋"/>
          <w:sz w:val="28"/>
          <w:szCs w:val="28"/>
          <w:lang w:eastAsia="zh-CN"/>
        </w:rPr>
        <w:t>旧县镇“四好农村路”建设项目</w:t>
      </w:r>
      <w:r>
        <w:rPr>
          <w:rFonts w:ascii="Times New Roman" w:hAnsi="Times New Roman" w:eastAsia="仿宋"/>
          <w:sz w:val="28"/>
          <w:szCs w:val="28"/>
        </w:rPr>
        <w:t>，以及项目资金产生的绩效（具体绩效评价范围包括决策、过程、产出、效益）。</w:t>
      </w:r>
    </w:p>
    <w:p>
      <w:pPr>
        <w:pStyle w:val="4"/>
        <w:spacing w:before="156" w:beforeLines="50" w:after="156" w:afterLines="50" w:line="500" w:lineRule="exact"/>
        <w:ind w:firstLine="642" w:firstLineChars="200"/>
        <w:rPr>
          <w:rFonts w:ascii="仿宋" w:hAnsi="仿宋" w:eastAsia="仿宋"/>
        </w:rPr>
      </w:pPr>
      <w:bookmarkStart w:id="88" w:name="_Toc479102135"/>
      <w:bookmarkStart w:id="89" w:name="_Toc522961241"/>
      <w:bookmarkStart w:id="90" w:name="_Toc16505"/>
      <w:r>
        <w:rPr>
          <w:rFonts w:ascii="仿宋" w:hAnsi="仿宋" w:eastAsia="仿宋"/>
        </w:rPr>
        <w:t>（四）</w:t>
      </w:r>
      <w:bookmarkEnd w:id="80"/>
      <w:bookmarkEnd w:id="81"/>
      <w:bookmarkEnd w:id="82"/>
      <w:bookmarkEnd w:id="83"/>
      <w:bookmarkEnd w:id="88"/>
      <w:r>
        <w:rPr>
          <w:rFonts w:ascii="仿宋" w:hAnsi="仿宋" w:eastAsia="仿宋"/>
        </w:rPr>
        <w:t>绩效评价基准日</w:t>
      </w:r>
      <w:bookmarkEnd w:id="89"/>
      <w:bookmarkEnd w:id="90"/>
    </w:p>
    <w:p>
      <w:pPr>
        <w:pStyle w:val="18"/>
        <w:spacing w:line="500" w:lineRule="exact"/>
        <w:ind w:firstLine="560" w:firstLineChars="200"/>
        <w:outlineLvl w:val="9"/>
        <w:rPr>
          <w:rFonts w:eastAsia="仿宋"/>
          <w:sz w:val="28"/>
          <w:szCs w:val="28"/>
        </w:rPr>
      </w:pPr>
      <w:bookmarkStart w:id="91" w:name="_Toc27317"/>
      <w:bookmarkStart w:id="92" w:name="_Toc479102136"/>
      <w:bookmarkStart w:id="93" w:name="_Toc469065637"/>
      <w:bookmarkStart w:id="94" w:name="_Toc469065889"/>
      <w:bookmarkStart w:id="95" w:name="_Toc469065973"/>
      <w:bookmarkStart w:id="96" w:name="_Toc469065547"/>
      <w:bookmarkStart w:id="97" w:name="_Toc4047"/>
      <w:bookmarkStart w:id="98" w:name="_Toc28083"/>
      <w:bookmarkStart w:id="99" w:name="_Toc19481"/>
      <w:r>
        <w:rPr>
          <w:rFonts w:eastAsia="仿宋"/>
          <w:sz w:val="28"/>
          <w:szCs w:val="28"/>
        </w:rPr>
        <w:t>本次绩效评价基准日为</w:t>
      </w:r>
      <w:bookmarkEnd w:id="91"/>
      <w:bookmarkEnd w:id="92"/>
      <w:bookmarkEnd w:id="93"/>
      <w:bookmarkEnd w:id="94"/>
      <w:bookmarkEnd w:id="95"/>
      <w:bookmarkEnd w:id="96"/>
      <w:r>
        <w:rPr>
          <w:rFonts w:hint="eastAsia" w:eastAsia="仿宋"/>
          <w:sz w:val="28"/>
          <w:szCs w:val="28"/>
          <w:lang w:eastAsia="zh-CN"/>
        </w:rPr>
        <w:t>2022年3月1日</w:t>
      </w:r>
      <w:r>
        <w:rPr>
          <w:rFonts w:eastAsia="仿宋"/>
          <w:sz w:val="28"/>
          <w:szCs w:val="28"/>
        </w:rPr>
        <w:t>。</w:t>
      </w:r>
      <w:bookmarkEnd w:id="97"/>
      <w:bookmarkEnd w:id="98"/>
      <w:bookmarkEnd w:id="99"/>
    </w:p>
    <w:p>
      <w:pPr>
        <w:pStyle w:val="4"/>
        <w:spacing w:before="156" w:beforeLines="50" w:after="156" w:afterLines="50" w:line="500" w:lineRule="exact"/>
        <w:ind w:firstLine="642" w:firstLineChars="200"/>
        <w:rPr>
          <w:rFonts w:ascii="仿宋" w:hAnsi="仿宋" w:eastAsia="仿宋"/>
        </w:rPr>
      </w:pPr>
      <w:bookmarkStart w:id="100" w:name="_Toc514537339"/>
      <w:bookmarkStart w:id="101" w:name="_Toc519354505"/>
      <w:bookmarkStart w:id="102" w:name="_Toc17466"/>
      <w:r>
        <w:rPr>
          <w:rFonts w:ascii="仿宋" w:hAnsi="仿宋" w:eastAsia="仿宋"/>
        </w:rPr>
        <w:t>（五）</w:t>
      </w:r>
      <w:bookmarkEnd w:id="100"/>
      <w:r>
        <w:rPr>
          <w:rFonts w:ascii="仿宋" w:hAnsi="仿宋" w:eastAsia="仿宋"/>
        </w:rPr>
        <w:t>绩效评价的原则</w:t>
      </w:r>
      <w:bookmarkEnd w:id="101"/>
      <w:bookmarkEnd w:id="102"/>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1.科学规范原则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注重财政支出的经济性、效率性和效益性，采用定量与定性相结合的方法。综合分析资金管理、使用、绩效等因素，规范评价工作流程，科学设置评价指标体系（详见附件1），确保绩效评价结果科学合理。</w:t>
      </w:r>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2.公平公正原则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本次重点支出项目绩效评价工作全过程公开透明，坚持第三方机构应遵循的公正原则开展绩效评价工作，接受社会的监督。</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3.分级分类原则</w:t>
      </w:r>
    </w:p>
    <w:p>
      <w:pPr>
        <w:spacing w:line="500" w:lineRule="exact"/>
        <w:ind w:firstLine="560" w:firstLineChars="200"/>
        <w:rPr>
          <w:rFonts w:ascii="Times New Roman" w:hAnsi="Times New Roman" w:eastAsia="仿宋"/>
          <w:sz w:val="28"/>
          <w:szCs w:val="28"/>
        </w:rPr>
      </w:pPr>
      <w:r>
        <w:rPr>
          <w:rFonts w:ascii="Times New Roman" w:hAnsi="Times New Roman" w:eastAsia="仿宋"/>
          <w:snapToGrid w:val="0"/>
          <w:sz w:val="28"/>
          <w:szCs w:val="28"/>
        </w:rPr>
        <w:t>绩效评价由财政部门、预算部门根据评价对象的特点分类组织实施。本次评价指标分为一级、二级、三级指标对整个项目进行评价，确保评价指标基本涵盖整个项目，保障资金效益。</w:t>
      </w:r>
    </w:p>
    <w:p>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4.绩效相关原则</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针对各项支出及其产出绩效进行比较，使评价结果清晰反映支出和产出绩效之间的对应关系。本次评价流程及指标设计，以资金效率最大化为出发点，合理设置考核内容，力求评价内容与强化资金管理、优化资金使用效率相关。</w:t>
      </w:r>
    </w:p>
    <w:p>
      <w:pPr>
        <w:pStyle w:val="4"/>
        <w:spacing w:before="156" w:beforeLines="50" w:after="156" w:afterLines="50" w:line="500" w:lineRule="exact"/>
        <w:ind w:firstLine="642" w:firstLineChars="200"/>
        <w:rPr>
          <w:rFonts w:ascii="仿宋" w:hAnsi="仿宋" w:eastAsia="仿宋"/>
        </w:rPr>
      </w:pPr>
      <w:bookmarkStart w:id="103" w:name="_Toc519354506"/>
      <w:bookmarkStart w:id="104" w:name="_Toc18594"/>
      <w:r>
        <w:rPr>
          <w:rFonts w:ascii="仿宋" w:hAnsi="仿宋" w:eastAsia="仿宋"/>
        </w:rPr>
        <w:t>（六）绩效评价的方法</w:t>
      </w:r>
      <w:bookmarkEnd w:id="103"/>
      <w:bookmarkEnd w:id="104"/>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本次评价工作过程中，将运用因素分析法、比较法、公众评判法、成本效益分析法和综合评价法等方法，坚持定量优先、定量与定性相结合的方式，遵循科学规范、公正公开、分级分类、绩效相关的基本原则，确保评价的科学性与有效性。</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1.因素分析法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因素分析法是指通过综合分析影响绩效目标实现、实施效果的内外因素，评价绩效目标实现程度。本次绩效评价主要从项目立项规范性，绩效目标设定，资金拨付、使用情况，项目管理、完成情况、项目产出、效益等因素进行分析评价。</w:t>
      </w:r>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2.比较法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比较法是指通过对绩效目标与实施效果、历史与当期情况、不同部门和地区同类支出的比较，综合分析绩效目标实现程度。本次评价将对项目实施情况进行审核、对实施该项目进行现场实地勘察，结合项目单位提供的资料，通过综合分析绩效目标实现程度，将实际产出与该项目的绩效目标进行比较。</w:t>
      </w:r>
    </w:p>
    <w:p>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3.公众评判法</w:t>
      </w:r>
    </w:p>
    <w:p>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公众评判法是指通过专家评估、公众问卷及抽样调查等对财政支出效果进行评判，评价绩效目标实现程度。本次评价针对被评价对象设置了项目区域周边群体对项目效果满意度问卷，评价绩效目标实现程度。</w:t>
      </w:r>
    </w:p>
    <w:p>
      <w:pPr>
        <w:spacing w:line="500" w:lineRule="exact"/>
        <w:ind w:firstLine="562" w:firstLineChars="200"/>
        <w:rPr>
          <w:rFonts w:ascii="Times New Roman" w:hAnsi="Times New Roman" w:eastAsia="仿宋"/>
          <w:snapToGrid w:val="0"/>
          <w:sz w:val="28"/>
          <w:szCs w:val="28"/>
        </w:rPr>
      </w:pPr>
      <w:r>
        <w:rPr>
          <w:rFonts w:ascii="Times New Roman" w:hAnsi="Times New Roman" w:eastAsia="仿宋"/>
          <w:b/>
          <w:snapToGrid w:val="0"/>
          <w:sz w:val="28"/>
          <w:szCs w:val="28"/>
        </w:rPr>
        <w:t>4.成本效益分析法</w:t>
      </w:r>
    </w:p>
    <w:p>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成本效益分析法是指将一定时期内的支出与效益进行对比分析，以评价绩效目标实现程度。本次绩效评价主要从</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的投入成本和建成后产生的效益进行对比分析。</w:t>
      </w:r>
    </w:p>
    <w:p>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5.综合指数评价法</w:t>
      </w:r>
    </w:p>
    <w:p>
      <w:pPr>
        <w:spacing w:line="500" w:lineRule="exact"/>
        <w:ind w:firstLine="560" w:firstLineChars="200"/>
        <w:rPr>
          <w:rFonts w:ascii="Times New Roman" w:hAnsi="Times New Roman" w:eastAsia="仿宋"/>
          <w:snapToGrid w:val="0"/>
          <w:sz w:val="28"/>
          <w:szCs w:val="28"/>
          <w:highlight w:val="yellow"/>
        </w:rPr>
      </w:pPr>
      <w:r>
        <w:rPr>
          <w:rFonts w:ascii="Times New Roman" w:hAnsi="Times New Roman" w:eastAsia="仿宋"/>
          <w:snapToGrid w:val="0"/>
          <w:sz w:val="28"/>
          <w:szCs w:val="28"/>
        </w:rPr>
        <w:t>综合指数评价法是指把各项绩效指标的实际水平，对照评价标准值，分别计算各项指标评价得分，再按照设定的各项指标权数计算出综合评价得分，分析评价绩效目标实现情况的评价方法。本次绩效评价根据评价标准计算得出各项三级指标得分，经过汇总得出综合评价分值。</w:t>
      </w:r>
    </w:p>
    <w:p>
      <w:pPr>
        <w:pStyle w:val="4"/>
        <w:spacing w:before="156" w:beforeLines="50" w:after="156" w:afterLines="50" w:line="500" w:lineRule="exact"/>
        <w:ind w:firstLine="642" w:firstLineChars="200"/>
        <w:rPr>
          <w:rFonts w:ascii="仿宋" w:hAnsi="仿宋" w:eastAsia="仿宋"/>
        </w:rPr>
      </w:pPr>
      <w:bookmarkStart w:id="105" w:name="_Toc514537340"/>
      <w:bookmarkStart w:id="106" w:name="_Toc31650"/>
      <w:bookmarkStart w:id="107" w:name="_Toc519354507"/>
      <w:r>
        <w:rPr>
          <w:rFonts w:ascii="仿宋" w:hAnsi="仿宋" w:eastAsia="仿宋"/>
        </w:rPr>
        <w:t>（七）评价指标体系</w:t>
      </w:r>
      <w:bookmarkEnd w:id="105"/>
      <w:bookmarkEnd w:id="106"/>
      <w:bookmarkEnd w:id="107"/>
    </w:p>
    <w:p>
      <w:pPr>
        <w:widowControl/>
        <w:spacing w:line="500" w:lineRule="exact"/>
        <w:ind w:firstLine="560" w:firstLineChars="200"/>
        <w:rPr>
          <w:rFonts w:ascii="Times New Roman" w:hAnsi="Times New Roman" w:eastAsia="仿宋"/>
          <w:snapToGrid w:val="0"/>
          <w:sz w:val="28"/>
          <w:szCs w:val="28"/>
          <w:highlight w:val="yellow"/>
        </w:rPr>
      </w:pPr>
      <w:bookmarkStart w:id="108" w:name="_Toc469065895"/>
      <w:bookmarkStart w:id="109" w:name="_Toc469065643"/>
      <w:bookmarkStart w:id="110" w:name="_Toc450549943"/>
      <w:bookmarkStart w:id="111" w:name="_Toc469065553"/>
      <w:r>
        <w:rPr>
          <w:rFonts w:ascii="Times New Roman" w:hAnsi="Times New Roman" w:eastAsia="仿宋"/>
          <w:snapToGrid w:val="0"/>
          <w:sz w:val="28"/>
          <w:szCs w:val="28"/>
        </w:rPr>
        <w:t>参照绩效评价的基本原理、原则和项目特点，评价组结合《中华人民共和国预算法》、《财政部关于印发&lt;项目支出绩效评价管理办法&gt;的通知》（财预〔2020〕10号）、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《古县财政局关于印发&lt;2022年度财政重点绩效评价实施方案&gt;的通知》（古财字〔2022〕27号）</w:t>
      </w:r>
      <w:r>
        <w:rPr>
          <w:rFonts w:ascii="Times New Roman" w:hAnsi="Times New Roman" w:eastAsia="仿宋"/>
          <w:snapToGrid w:val="0"/>
          <w:sz w:val="28"/>
          <w:szCs w:val="28"/>
        </w:rPr>
        <w:t>，及其他相关文件的要求，从决策（包括项目立项、绩效目标、资金投入）、过程（包括资金管理、组织实施）、产出和效益四个维度进行评价。</w:t>
      </w:r>
    </w:p>
    <w:p>
      <w:pPr>
        <w:spacing w:line="500" w:lineRule="exact"/>
        <w:ind w:firstLine="560" w:firstLineChars="200"/>
        <w:rPr>
          <w:rFonts w:hint="eastAsia" w:ascii="Times New Roman" w:hAnsi="Times New Roman" w:eastAsia="仿宋"/>
          <w:snapToGrid w:val="0"/>
          <w:sz w:val="28"/>
          <w:szCs w:val="28"/>
        </w:rPr>
      </w:pPr>
      <w:r>
        <w:rPr>
          <w:rFonts w:hint="eastAsia" w:ascii="Times New Roman" w:hAnsi="Times New Roman" w:eastAsia="仿宋"/>
          <w:snapToGrid w:val="0"/>
          <w:sz w:val="28"/>
          <w:szCs w:val="28"/>
          <w:lang w:eastAsia="zh-CN"/>
        </w:rPr>
        <w:t>旧县镇“四好农村路”建设项目</w:t>
      </w:r>
      <w:r>
        <w:rPr>
          <w:rFonts w:hint="eastAsia" w:ascii="Times New Roman" w:hAnsi="Times New Roman" w:eastAsia="仿宋"/>
          <w:snapToGrid w:val="0"/>
          <w:sz w:val="28"/>
          <w:szCs w:val="28"/>
        </w:rPr>
        <w:t>资金绩效评价体系主要包括4项一级指标，13项二级指标，22项三级指标。主要内容为：</w:t>
      </w:r>
    </w:p>
    <w:p>
      <w:pPr>
        <w:spacing w:line="500" w:lineRule="exact"/>
        <w:ind w:firstLine="560" w:firstLineChars="200"/>
        <w:rPr>
          <w:rFonts w:hint="eastAsia" w:ascii="Times New Roman" w:hAnsi="Times New Roman" w:eastAsia="仿宋"/>
          <w:snapToGrid w:val="0"/>
          <w:sz w:val="28"/>
          <w:szCs w:val="28"/>
        </w:rPr>
      </w:pPr>
      <w:r>
        <w:rPr>
          <w:rFonts w:hint="eastAsia" w:ascii="Times New Roman" w:hAnsi="Times New Roman" w:eastAsia="仿宋"/>
          <w:snapToGrid w:val="0"/>
          <w:sz w:val="28"/>
          <w:szCs w:val="28"/>
        </w:rPr>
        <w:t>（1）决策指标：主要考核立项依据充分性、立项程序规范性、绩效目标合理性、绩效指标明确性、预算编制科学性、资金分配合理性。包括3个二级指标，6个三级指标。</w:t>
      </w:r>
    </w:p>
    <w:p>
      <w:pPr>
        <w:spacing w:line="500" w:lineRule="exact"/>
        <w:ind w:firstLine="560" w:firstLineChars="200"/>
        <w:rPr>
          <w:rFonts w:hint="eastAsia" w:ascii="Times New Roman" w:hAnsi="Times New Roman" w:eastAsia="仿宋"/>
          <w:snapToGrid w:val="0"/>
          <w:sz w:val="28"/>
          <w:szCs w:val="28"/>
        </w:rPr>
      </w:pPr>
      <w:r>
        <w:rPr>
          <w:rFonts w:hint="eastAsia" w:ascii="Times New Roman" w:hAnsi="Times New Roman" w:eastAsia="仿宋"/>
          <w:snapToGrid w:val="0"/>
          <w:sz w:val="28"/>
          <w:szCs w:val="28"/>
        </w:rPr>
        <w:t>（2）过程指标：主要考核资金到位率、预算执行率、资金使用合规性、管理制度健全性、制度执行有效性、招投标过程规范性、监理过程规范性、安全事故发生率。包括2个二级指标，8个三级指标。</w:t>
      </w:r>
    </w:p>
    <w:p>
      <w:pPr>
        <w:spacing w:line="500" w:lineRule="exact"/>
        <w:ind w:firstLine="560" w:firstLineChars="200"/>
        <w:rPr>
          <w:rFonts w:hint="eastAsia" w:ascii="Times New Roman" w:hAnsi="Times New Roman" w:eastAsia="仿宋"/>
          <w:snapToGrid w:val="0"/>
          <w:sz w:val="28"/>
          <w:szCs w:val="28"/>
        </w:rPr>
      </w:pPr>
      <w:r>
        <w:rPr>
          <w:rFonts w:hint="eastAsia" w:ascii="Times New Roman" w:hAnsi="Times New Roman" w:eastAsia="仿宋"/>
          <w:snapToGrid w:val="0"/>
          <w:sz w:val="28"/>
          <w:szCs w:val="28"/>
        </w:rPr>
        <w:t>（3）产出指标：主要考察项目完成情况、质量达标、完成及时性、成本控制能力。包括4个二级指标，4个三级指标。</w:t>
      </w:r>
    </w:p>
    <w:p>
      <w:pPr>
        <w:spacing w:line="500" w:lineRule="exact"/>
        <w:ind w:firstLine="560" w:firstLineChars="200"/>
        <w:rPr>
          <w:rFonts w:hint="eastAsia" w:ascii="Times New Roman" w:hAnsi="Times New Roman" w:eastAsia="仿宋"/>
          <w:snapToGrid w:val="0"/>
          <w:sz w:val="28"/>
          <w:szCs w:val="28"/>
          <w:lang w:eastAsia="zh-CN"/>
        </w:rPr>
      </w:pPr>
      <w:r>
        <w:rPr>
          <w:rFonts w:hint="eastAsia" w:ascii="Times New Roman" w:hAnsi="Times New Roman" w:eastAsia="仿宋"/>
          <w:snapToGrid w:val="0"/>
          <w:sz w:val="28"/>
          <w:szCs w:val="28"/>
        </w:rPr>
        <w:t>（4）效益指标：主要从社会效益、生态效益、可持续影响、服务对象满意度四方面来评价项目效益。具体考解决社会效益、生态效益、工程运行管理、受益群众满意度。包括4个二级指标，4个三级指标</w:t>
      </w:r>
      <w:r>
        <w:rPr>
          <w:rFonts w:hint="eastAsia" w:ascii="Times New Roman" w:hAnsi="Times New Roman" w:eastAsia="仿宋"/>
          <w:snapToGrid w:val="0"/>
          <w:sz w:val="28"/>
          <w:szCs w:val="28"/>
          <w:lang w:eastAsia="zh-CN"/>
        </w:rPr>
        <w:t>。</w:t>
      </w:r>
    </w:p>
    <w:p>
      <w:pPr>
        <w:pStyle w:val="2"/>
        <w:ind w:left="0" w:leftChars="0" w:firstLine="560" w:firstLineChars="200"/>
        <w:rPr>
          <w:rFonts w:hint="eastAsia"/>
          <w:lang w:eastAsia="zh-CN"/>
        </w:rPr>
      </w:pPr>
      <w:r>
        <w:rPr>
          <w:rFonts w:hint="eastAsia" w:ascii="Times New Roman" w:hAnsi="Times New Roman" w:eastAsia="仿宋" w:cs="Times New Roman"/>
          <w:snapToGrid w:val="0"/>
          <w:kern w:val="2"/>
          <w:sz w:val="28"/>
          <w:szCs w:val="28"/>
          <w:lang w:val="en-US" w:eastAsia="zh-CN" w:bidi="ar-SA"/>
        </w:rPr>
        <w:t>本次绩效评价项目根据财政部关于印发《项目支出绩效评价管理办法》的通知（财预〔2020〕10号）要求，及以往项目财政支出绩效评价指标体系权重的工作经验对评价指标所代表的价值进行判断，重点考核项目产出和效益，最终确定决策类指标权重占比20%，过程类指标权重占比20%，产出类指标权重占比30%，效益类指标权重占比30%。并根据二、三级指标与绩效目标的匹配性、在指标中的重要性</w:t>
      </w:r>
      <w:bookmarkStart w:id="221" w:name="_GoBack"/>
      <w:bookmarkEnd w:id="221"/>
      <w:r>
        <w:rPr>
          <w:rFonts w:hint="eastAsia" w:ascii="Times New Roman" w:hAnsi="Times New Roman" w:eastAsia="仿宋" w:cs="Times New Roman"/>
          <w:snapToGrid w:val="0"/>
          <w:kern w:val="2"/>
          <w:sz w:val="28"/>
          <w:szCs w:val="28"/>
          <w:lang w:val="en-US" w:eastAsia="zh-CN" w:bidi="ar-SA"/>
        </w:rPr>
        <w:t>以及对一级指标的影响程度来合理确定评价指标的权重比例结构。</w:t>
      </w:r>
    </w:p>
    <w:bookmarkEnd w:id="108"/>
    <w:bookmarkEnd w:id="109"/>
    <w:bookmarkEnd w:id="110"/>
    <w:bookmarkEnd w:id="111"/>
    <w:p>
      <w:pPr>
        <w:pStyle w:val="4"/>
        <w:spacing w:before="156" w:beforeLines="50" w:after="156" w:afterLines="50" w:line="500" w:lineRule="exact"/>
        <w:ind w:firstLine="642" w:firstLineChars="200"/>
        <w:rPr>
          <w:rFonts w:ascii="仿宋" w:hAnsi="仿宋" w:eastAsia="仿宋"/>
        </w:rPr>
      </w:pPr>
      <w:bookmarkStart w:id="112" w:name="_Toc514537341"/>
      <w:bookmarkStart w:id="113" w:name="_Toc29287"/>
      <w:bookmarkStart w:id="114" w:name="_Toc519354508"/>
      <w:r>
        <w:rPr>
          <w:rFonts w:ascii="仿宋" w:hAnsi="仿宋" w:eastAsia="仿宋"/>
        </w:rPr>
        <w:t>（八）绩效评价工作组织</w:t>
      </w:r>
      <w:bookmarkEnd w:id="112"/>
      <w:bookmarkEnd w:id="113"/>
      <w:bookmarkEnd w:id="114"/>
    </w:p>
    <w:p>
      <w:pPr>
        <w:spacing w:line="500" w:lineRule="exact"/>
        <w:ind w:firstLine="562" w:firstLineChars="200"/>
        <w:rPr>
          <w:rFonts w:ascii="Times New Roman" w:hAnsi="Times New Roman" w:eastAsia="仿宋"/>
          <w:b/>
          <w:snapToGrid w:val="0"/>
          <w:sz w:val="28"/>
          <w:szCs w:val="32"/>
        </w:rPr>
      </w:pPr>
      <w:bookmarkStart w:id="115" w:name="_Toc469065648"/>
      <w:bookmarkStart w:id="116" w:name="_Toc511654628"/>
      <w:bookmarkStart w:id="117" w:name="_Toc510527466"/>
      <w:bookmarkStart w:id="118" w:name="_Toc479102151"/>
      <w:bookmarkStart w:id="119" w:name="_Toc469065558"/>
      <w:bookmarkStart w:id="120" w:name="_Toc469065900"/>
      <w:r>
        <w:rPr>
          <w:rFonts w:ascii="Times New Roman" w:hAnsi="Times New Roman" w:eastAsia="仿宋"/>
          <w:b/>
          <w:snapToGrid w:val="0"/>
          <w:sz w:val="28"/>
          <w:szCs w:val="32"/>
        </w:rPr>
        <w:t>1.组织框架</w:t>
      </w:r>
      <w:bookmarkEnd w:id="115"/>
      <w:bookmarkEnd w:id="116"/>
      <w:bookmarkEnd w:id="117"/>
      <w:bookmarkEnd w:id="118"/>
      <w:bookmarkEnd w:id="119"/>
      <w:bookmarkEnd w:id="120"/>
    </w:p>
    <w:p>
      <w:pPr>
        <w:tabs>
          <w:tab w:val="left" w:pos="1276"/>
        </w:tabs>
        <w:spacing w:line="500" w:lineRule="exact"/>
        <w:ind w:firstLine="560" w:firstLineChars="200"/>
        <w:contextualSpacing/>
        <w:rPr>
          <w:rFonts w:ascii="Times New Roman" w:hAnsi="Times New Roman" w:eastAsia="仿宋"/>
          <w:snapToGrid w:val="0"/>
          <w:sz w:val="28"/>
          <w:szCs w:val="32"/>
        </w:rPr>
      </w:pPr>
      <w:r>
        <w:rPr>
          <w:rFonts w:ascii="Times New Roman" w:hAnsi="Times New Roman" w:eastAsia="仿宋"/>
          <w:snapToGrid w:val="0"/>
          <w:sz w:val="28"/>
          <w:szCs w:val="32"/>
        </w:rPr>
        <w:t>为作好本次绩效评价工作，山西恒略绩效管理咨询有限公司成立了专门的绩效评价项目工作组，工作组组织框架情况如下图：</w:t>
      </w:r>
    </w:p>
    <w:p>
      <w:pPr>
        <w:tabs>
          <w:tab w:val="left" w:pos="1276"/>
        </w:tabs>
        <w:contextualSpacing/>
        <w:jc w:val="left"/>
        <w:rPr>
          <w:rFonts w:ascii="Times New Roman" w:hAnsi="Times New Roman" w:eastAsia="仿宋"/>
          <w:snapToGrid w:val="0"/>
          <w:sz w:val="32"/>
          <w:szCs w:val="32"/>
        </w:rPr>
      </w:pPr>
      <w:r>
        <w:rPr>
          <w:rFonts w:ascii="Times New Roman" w:hAnsi="Times New Roman" w:eastAsia="仿宋"/>
          <w:snapToGrid w:val="0"/>
          <w:sz w:val="32"/>
          <w:szCs w:val="32"/>
        </w:rPr>
        <w:drawing>
          <wp:inline distT="0" distB="0" distL="114300" distR="114300">
            <wp:extent cx="5124450" cy="3486150"/>
            <wp:effectExtent l="0" t="0" r="0" b="0"/>
            <wp:docPr id="4" name="图片 4" descr="微信图片_2018120416033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微信图片_20181204160335"/>
                    <pic:cNvPicPr>
                      <a:picLocks noChangeAspect="true"/>
                    </pic:cNvPicPr>
                  </pic:nvPicPr>
                  <pic:blipFill>
                    <a:blip r:embed="rId12"/>
                    <a:stretch>
                      <a:fillRect/>
                    </a:stretch>
                  </pic:blipFill>
                  <pic:spPr>
                    <a:xfrm>
                      <a:off x="0" y="0"/>
                      <a:ext cx="5124450" cy="3486150"/>
                    </a:xfrm>
                    <a:prstGeom prst="rect">
                      <a:avLst/>
                    </a:prstGeom>
                  </pic:spPr>
                </pic:pic>
              </a:graphicData>
            </a:graphic>
          </wp:inline>
        </w:drawing>
      </w:r>
    </w:p>
    <w:p>
      <w:pPr>
        <w:tabs>
          <w:tab w:val="left" w:pos="1276"/>
        </w:tabs>
        <w:spacing w:line="500" w:lineRule="exact"/>
        <w:contextualSpacing/>
        <w:jc w:val="center"/>
        <w:rPr>
          <w:rFonts w:ascii="Times New Roman" w:hAnsi="Times New Roman" w:eastAsia="仿宋"/>
          <w:b/>
          <w:snapToGrid w:val="0"/>
          <w:sz w:val="24"/>
        </w:rPr>
      </w:pPr>
      <w:r>
        <w:rPr>
          <w:rFonts w:ascii="Times New Roman" w:hAnsi="Times New Roman" w:eastAsia="仿宋"/>
          <w:b/>
          <w:snapToGrid w:val="0"/>
          <w:sz w:val="24"/>
        </w:rPr>
        <w:t>图3-1 组织框架图</w:t>
      </w:r>
    </w:p>
    <w:p>
      <w:pPr>
        <w:spacing w:line="500" w:lineRule="exact"/>
        <w:ind w:firstLine="562" w:firstLineChars="200"/>
        <w:rPr>
          <w:rFonts w:ascii="Times New Roman" w:hAnsi="Times New Roman" w:eastAsia="仿宋"/>
          <w:b/>
          <w:snapToGrid w:val="0"/>
          <w:sz w:val="28"/>
          <w:szCs w:val="32"/>
        </w:rPr>
      </w:pPr>
      <w:bookmarkStart w:id="121" w:name="_Toc511654629"/>
      <w:r>
        <w:rPr>
          <w:rFonts w:ascii="Times New Roman" w:hAnsi="Times New Roman" w:eastAsia="仿宋"/>
          <w:b/>
          <w:snapToGrid w:val="0"/>
          <w:sz w:val="28"/>
          <w:szCs w:val="32"/>
        </w:rPr>
        <w:t>2.评价团队成员</w:t>
      </w:r>
      <w:bookmarkEnd w:id="121"/>
    </w:p>
    <w:p>
      <w:pPr>
        <w:pStyle w:val="17"/>
        <w:spacing w:line="500" w:lineRule="exact"/>
        <w:ind w:firstLine="560" w:firstLineChars="200"/>
        <w:jc w:val="both"/>
        <w:rPr>
          <w:rFonts w:ascii="Times New Roman" w:hAnsi="Times New Roman" w:eastAsia="仿宋"/>
          <w:snapToGrid w:val="0"/>
          <w:kern w:val="2"/>
          <w:sz w:val="28"/>
          <w:szCs w:val="32"/>
        </w:rPr>
      </w:pPr>
      <w:r>
        <w:rPr>
          <w:rFonts w:ascii="Times New Roman" w:hAnsi="Times New Roman" w:eastAsia="仿宋"/>
          <w:snapToGrid w:val="0"/>
          <w:kern w:val="2"/>
          <w:sz w:val="28"/>
          <w:szCs w:val="32"/>
        </w:rPr>
        <w:t>工作组人员情况如下表：</w:t>
      </w:r>
    </w:p>
    <w:p>
      <w:pPr>
        <w:spacing w:line="500" w:lineRule="exact"/>
        <w:ind w:firstLine="481" w:firstLineChars="200"/>
        <w:jc w:val="center"/>
        <w:rPr>
          <w:rFonts w:ascii="Times New Roman" w:hAnsi="Times New Roman" w:eastAsia="仿宋"/>
          <w:b/>
          <w:snapToGrid w:val="0"/>
          <w:sz w:val="24"/>
        </w:rPr>
      </w:pPr>
      <w:r>
        <w:rPr>
          <w:rFonts w:ascii="Times New Roman" w:hAnsi="Times New Roman" w:eastAsia="仿宋"/>
          <w:b/>
          <w:snapToGrid w:val="0"/>
          <w:sz w:val="24"/>
        </w:rPr>
        <w:t>表3-2 绩效评价人员分工及职责</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78"/>
        <w:gridCol w:w="2006"/>
        <w:gridCol w:w="47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职务（职称）</w:t>
            </w:r>
          </w:p>
        </w:tc>
        <w:tc>
          <w:tcPr>
            <w:tcW w:w="473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lang w:val="en-US" w:eastAsia="zh-CN"/>
              </w:rPr>
              <w:t>张文英</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项目负责人</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许慧敏</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组长</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韩俊</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副组长</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韩金秀</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刘玲玲</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杨帆</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李阳</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樊荣荣</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常洪强</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李金文</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任帅</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马鹏飞</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pStyle w:val="4"/>
        <w:spacing w:before="156" w:beforeLines="50" w:after="156" w:afterLines="50" w:line="500" w:lineRule="exact"/>
        <w:ind w:firstLine="642" w:firstLineChars="200"/>
        <w:rPr>
          <w:rFonts w:ascii="仿宋" w:hAnsi="仿宋" w:eastAsia="仿宋"/>
          <w:lang w:val="en-US" w:eastAsia="zh-CN"/>
        </w:rPr>
      </w:pPr>
      <w:bookmarkStart w:id="122" w:name="_Toc11643"/>
      <w:r>
        <w:rPr>
          <w:rFonts w:hint="eastAsia" w:ascii="仿宋" w:hAnsi="仿宋" w:eastAsia="仿宋"/>
          <w:lang w:val="en-US" w:eastAsia="zh-CN"/>
        </w:rPr>
        <w:t>（九）</w:t>
      </w:r>
      <w:r>
        <w:rPr>
          <w:rFonts w:ascii="仿宋" w:hAnsi="仿宋" w:eastAsia="仿宋"/>
          <w:lang w:val="en-US" w:eastAsia="zh-CN"/>
        </w:rPr>
        <w:t>评价工作安排</w:t>
      </w:r>
      <w:bookmarkEnd w:id="122"/>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1、前期准备阶段（2022年5月上旬至5月中旬）</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（1）成立绩效评价工作组，确定评价指标，制定评价工作底稿、评价报告内容；</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（2）根据文件规定时间，制定评价实施方案，确定现场评价时间；</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（3）确定被评单位需要配合的事项；</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（4）完成评价人员的培训；</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（5）收集整理被评价单位的相关资料。</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2、现场实施阶段（2022年5月下旬至6月上旬）</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（1）与项目单位进行沟通，确定评价工作组现场工作安排；</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（2）评价工作组对上报的相关资料进行审查、复核和测评；</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（3）评价工作组到现场，按照评价标准和规范，对各项指标进行计算和打分；</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3、报告撰写和提交阶段（2022年6月中旬-8月中旬）</w:t>
      </w:r>
    </w:p>
    <w:p>
      <w:pPr>
        <w:spacing w:line="500" w:lineRule="exact"/>
        <w:ind w:firstLine="560" w:firstLineChars="200"/>
        <w:contextualSpacing/>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（1）评价工作组根据有关规定，整理、综合分析项目相关信息，撰写被评单位的绩效评价报告；与被评价单位就绩效评价报告进行充分沟通并交换意见；</w:t>
      </w:r>
    </w:p>
    <w:p>
      <w:pPr>
        <w:tabs>
          <w:tab w:val="left" w:pos="1276"/>
        </w:tabs>
        <w:spacing w:line="500" w:lineRule="exact"/>
        <w:ind w:firstLine="560" w:firstLineChars="200"/>
        <w:contextualSpacing/>
        <w:rPr>
          <w:rFonts w:ascii="Times New Roman" w:hAnsi="Times New Roman" w:eastAsia="仿宋_GB2312"/>
          <w:snapToGrid w:val="0"/>
          <w:sz w:val="28"/>
          <w:szCs w:val="32"/>
        </w:rPr>
      </w:pPr>
      <w:r>
        <w:rPr>
          <w:rFonts w:hint="eastAsia" w:ascii="Times New Roman" w:hAnsi="Times New Roman" w:eastAsia="仿宋" w:cs="Times New Roman"/>
          <w:kern w:val="0"/>
          <w:sz w:val="28"/>
          <w:szCs w:val="28"/>
          <w:shd w:val="clear" w:color="auto" w:fill="FFFFFF"/>
          <w:lang w:val="en-US" w:eastAsia="zh-CN"/>
        </w:rPr>
        <w:t>（2）评价工作组出具报告报送古县财政局，由古县财政局对报告进行评审，评价机构根据古县财政局意见修改评价报告，于8月15日前提交正式评价报告</w:t>
      </w:r>
      <w:r>
        <w:rPr>
          <w:rFonts w:ascii="Times New Roman" w:hAnsi="Times New Roman" w:eastAsia="仿宋_GB2312"/>
          <w:sz w:val="28"/>
          <w:szCs w:val="32"/>
        </w:rPr>
        <w:t>。</w:t>
      </w:r>
    </w:p>
    <w:p>
      <w:pPr>
        <w:pStyle w:val="3"/>
        <w:spacing w:before="312" w:beforeLines="100" w:after="312" w:afterLines="100" w:line="500" w:lineRule="exact"/>
        <w:rPr>
          <w:rFonts w:ascii="Times New Roman" w:hAnsi="Times New Roman" w:eastAsia="黑体"/>
          <w:b w:val="0"/>
          <w:sz w:val="32"/>
          <w:szCs w:val="32"/>
        </w:rPr>
      </w:pPr>
      <w:bookmarkStart w:id="123" w:name="_Toc519354509"/>
      <w:bookmarkStart w:id="124" w:name="_Toc29189"/>
      <w:bookmarkStart w:id="125" w:name="_Toc514537342"/>
      <w:r>
        <w:rPr>
          <w:rFonts w:ascii="Times New Roman" w:hAnsi="Times New Roman" w:eastAsia="黑体"/>
          <w:b w:val="0"/>
          <w:sz w:val="32"/>
          <w:szCs w:val="32"/>
        </w:rPr>
        <w:t>四、绩效评价指标分析情况</w:t>
      </w:r>
      <w:bookmarkEnd w:id="123"/>
      <w:bookmarkEnd w:id="124"/>
      <w:bookmarkEnd w:id="125"/>
    </w:p>
    <w:p>
      <w:pPr>
        <w:pStyle w:val="4"/>
        <w:spacing w:before="156" w:beforeLines="50" w:after="156" w:afterLines="50" w:line="500" w:lineRule="exact"/>
        <w:ind w:firstLine="642" w:firstLineChars="200"/>
        <w:rPr>
          <w:rFonts w:ascii="仿宋" w:hAnsi="仿宋" w:eastAsia="仿宋"/>
        </w:rPr>
      </w:pPr>
      <w:bookmarkStart w:id="126" w:name="_Toc514537343"/>
      <w:bookmarkStart w:id="127" w:name="_Toc1869"/>
      <w:r>
        <w:rPr>
          <w:rFonts w:ascii="仿宋" w:hAnsi="仿宋" w:eastAsia="仿宋"/>
        </w:rPr>
        <w:t>（一）分项分析与汇总</w:t>
      </w:r>
      <w:bookmarkEnd w:id="126"/>
      <w:bookmarkEnd w:id="127"/>
    </w:p>
    <w:p>
      <w:pPr>
        <w:spacing w:line="500" w:lineRule="exact"/>
        <w:ind w:firstLine="562" w:firstLineChars="200"/>
        <w:outlineLvl w:val="2"/>
        <w:rPr>
          <w:rFonts w:ascii="Times New Roman" w:hAnsi="Times New Roman" w:eastAsia="仿宋"/>
          <w:b/>
          <w:snapToGrid w:val="0"/>
          <w:sz w:val="28"/>
          <w:szCs w:val="32"/>
        </w:rPr>
      </w:pPr>
      <w:bookmarkStart w:id="128" w:name="_Toc528680466"/>
      <w:bookmarkStart w:id="129" w:name="_Toc19401"/>
      <w:bookmarkStart w:id="130" w:name="_Toc528684141"/>
      <w:bookmarkStart w:id="131" w:name="_Toc28189"/>
      <w:bookmarkStart w:id="132" w:name="_Toc4657"/>
      <w:bookmarkStart w:id="133" w:name="_Toc27419"/>
      <w:bookmarkStart w:id="134" w:name="_Toc12732"/>
      <w:bookmarkStart w:id="135" w:name="_Toc15599"/>
      <w:bookmarkStart w:id="136" w:name="_Toc23016"/>
      <w:r>
        <w:rPr>
          <w:rFonts w:ascii="Times New Roman" w:hAnsi="Times New Roman" w:eastAsia="仿宋"/>
          <w:b/>
          <w:snapToGrid w:val="0"/>
          <w:sz w:val="28"/>
          <w:szCs w:val="32"/>
        </w:rPr>
        <w:t>1.决策分析</w:t>
      </w:r>
      <w:bookmarkEnd w:id="128"/>
      <w:bookmarkEnd w:id="129"/>
      <w:bookmarkEnd w:id="130"/>
      <w:bookmarkEnd w:id="131"/>
      <w:bookmarkEnd w:id="132"/>
      <w:bookmarkEnd w:id="133"/>
      <w:bookmarkEnd w:id="134"/>
      <w:bookmarkEnd w:id="135"/>
      <w:bookmarkEnd w:id="136"/>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决策类指标主要从立项依据充分性、立项程序规范性、绩效目标合理性、绩效指标明确性、资金分配合理性、预算编制科学性6个指标考察该项目立项、绩效目标、资金投入情况。决策类指标权重分20.00分，实际得分为</w:t>
      </w:r>
      <w:r>
        <w:rPr>
          <w:rFonts w:hint="eastAsia" w:ascii="Times New Roman" w:hAnsi="Times New Roman" w:eastAsia="仿宋"/>
          <w:snapToGrid w:val="0"/>
          <w:sz w:val="28"/>
          <w:szCs w:val="32"/>
          <w:lang w:val="en-US" w:eastAsia="zh-CN"/>
        </w:rPr>
        <w:t>20</w:t>
      </w:r>
      <w:r>
        <w:rPr>
          <w:rFonts w:ascii="Times New Roman" w:hAnsi="Times New Roman" w:eastAsia="仿宋"/>
          <w:snapToGrid w:val="0"/>
          <w:sz w:val="28"/>
          <w:szCs w:val="32"/>
        </w:rPr>
        <w:t>.00分。指标得分情况表如下：</w:t>
      </w:r>
    </w:p>
    <w:p>
      <w:pPr>
        <w:widowControl/>
        <w:spacing w:line="500" w:lineRule="exact"/>
        <w:ind w:firstLine="481" w:firstLineChars="200"/>
        <w:jc w:val="center"/>
        <w:rPr>
          <w:rFonts w:ascii="Times New Roman" w:hAnsi="Times New Roman" w:eastAsia="仿宋"/>
          <w:b/>
          <w:snapToGrid w:val="0"/>
          <w:sz w:val="24"/>
        </w:rPr>
      </w:pPr>
      <w:r>
        <w:rPr>
          <w:rFonts w:ascii="Times New Roman" w:hAnsi="Times New Roman" w:eastAsia="仿宋"/>
          <w:b/>
          <w:snapToGrid w:val="0"/>
          <w:sz w:val="24"/>
        </w:rPr>
        <w:t>表4-1 决策类指标得分情况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30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9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96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541"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A1项目立项</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A11立项依据充分性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A12立项程序规范性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A2绩效目标</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A21绩效目标合理性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A22绩效指标明确性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w:t>
            </w:r>
          </w:p>
        </w:tc>
        <w:tc>
          <w:tcPr>
            <w:tcW w:w="1541"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jc w:val="center"/>
              <w:rPr>
                <w:rFonts w:ascii="Times New Roman" w:hAnsi="Times New Roman" w:eastAsia="仿宋"/>
                <w:bCs/>
                <w:sz w:val="24"/>
              </w:rPr>
            </w:pPr>
            <w:r>
              <w:rPr>
                <w:rFonts w:ascii="Times New Roman" w:hAnsi="Times New Roman" w:eastAsia="仿宋"/>
                <w:bCs/>
                <w:sz w:val="24"/>
              </w:rPr>
              <w:t>A3资金投入</w:t>
            </w: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A31资金分配合理性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jc w:val="center"/>
              <w:rPr>
                <w:rFonts w:ascii="Times New Roman" w:hAnsi="Times New Roman" w:eastAsia="仿宋"/>
                <w:bCs/>
                <w:sz w:val="24"/>
              </w:rPr>
            </w:pPr>
          </w:p>
        </w:tc>
        <w:tc>
          <w:tcPr>
            <w:tcW w:w="3066" w:type="dxa"/>
            <w:vAlign w:val="center"/>
          </w:tcPr>
          <w:p>
            <w:pPr>
              <w:jc w:val="center"/>
              <w:rPr>
                <w:rFonts w:ascii="Times New Roman" w:hAnsi="Times New Roman" w:eastAsia="仿宋"/>
                <w:bCs/>
                <w:sz w:val="24"/>
              </w:rPr>
            </w:pPr>
            <w:r>
              <w:rPr>
                <w:rFonts w:ascii="Times New Roman" w:hAnsi="Times New Roman" w:eastAsia="仿宋"/>
                <w:bCs/>
                <w:sz w:val="24"/>
              </w:rPr>
              <w:t>A32预算编制科学性</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96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96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20.00</w:t>
            </w:r>
          </w:p>
        </w:tc>
        <w:tc>
          <w:tcPr>
            <w:tcW w:w="1541"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（1）项目立项</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A11立项依据充分性：</w:t>
      </w:r>
      <w:r>
        <w:rPr>
          <w:rFonts w:ascii="Times New Roman" w:hAnsi="Times New Roman" w:eastAsia="仿宋"/>
          <w:bCs/>
          <w:snapToGrid w:val="0"/>
          <w:sz w:val="28"/>
          <w:szCs w:val="32"/>
        </w:rPr>
        <w:t>满分3.00分，得分3.00分。</w:t>
      </w:r>
      <w:r>
        <w:rPr>
          <w:rFonts w:hint="eastAsia" w:ascii="Times New Roman" w:hAnsi="Times New Roman" w:eastAsia="仿宋"/>
          <w:bCs/>
          <w:snapToGrid w:val="0"/>
          <w:sz w:val="28"/>
          <w:szCs w:val="32"/>
        </w:rPr>
        <w:t>该指标主要分析评价项目是否符合相关政策性文件精神，是否符合国家和地区的战略目标、发展规划、工作计划；项目是否与项目单位职责有关。通过现场查阅项目的立项申请及批复文件，项目以《关于打赢脱贫攻坚战的决定》（中发〔2015〕34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《中华人民共和国预算法》（第十二届全国人民代表大会常务委员会第十次会议在2014年8月31日表决通过了《全国人大常委会关于修改〈预算法〉的决定》，并决议于2015年1月1日起施行）</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财政部、国务院扶贫办《关于做好2019年贫困县涉农资金整合试点工作的通知》（财农〔2019〕7号）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《中共山西省委、山西省人民政府关于坚决打赢全省脱贫攻坚战的实施意见》(晋发〔2016〕23号)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山西省政府办公厅《关于统筹整合使用财政资金实施精准扶贫的意见》（晋政办发〔2016〕101号）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山西省财政厅 山西省扶贫开发办公室 山西省发展和改革委员会 山西省民族事务委员会 山西省农业厅 山西省林业厅关于印发&lt;财政专项扶贫资金管理办法&gt;的通知》（晋财农〔2017〕124号）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《交通运输部关于推进"四好农村路"建设的意见》（交公路发〔2015〕73号）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《山西省人民政府关于印发&lt;山西省“十三五”综合交通运输体系规划&gt;的通知》（晋政发〔2016〕40号）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《山西省交通运输厅"四好农村路"建设实施方案》（晋交建管发〔2015〕331号）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《山西省交通运输厅关于印发&lt;山西省”四好农村路”建设推进方案（2017-2020年）&gt;的通知》（晋交建管发〔2017〕164号）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《山西省政府办公厅关于深入推进“四好农村路”建设实施意见》（晋政办发〔2018〕54号）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《山西省人民政府办公厅关于印发&lt;山西省黄河、长城、太行三大旅游发展总体规划&gt;的通知》（晋政办发〔2018〕58号）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《山西省黄河、长城、太行三大板块旅游公路规划（2018-2027年）》</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《市、县共建四好农村路协议》</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《临汾市交通运输局关于印发&lt; “四好农村路”建设实施方案&gt;的通知》（临市交公字〔2015〕157号）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《临汾市交通运输局关于转发山西省交通运输厅印发&lt;山西省”四好农村路”建设推进方案（2017-2020年）的函》（临市交函字〔2017〕71号）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临汾市政府办公厅《关于统筹整合使用财政涉农资金实施精准扶贫的通知》（临政办发〔2016〕65号）</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古县发展改革和经济信息化局《关于古县交通运输局“四好农村路”建设项目工程可行性研究报告的批复》（古发改审批〔2018〕3号）</w:t>
      </w:r>
      <w:r>
        <w:rPr>
          <w:rFonts w:hint="eastAsia" w:ascii="Times New Roman" w:hAnsi="Times New Roman" w:eastAsia="仿宋"/>
          <w:bCs/>
          <w:snapToGrid w:val="0"/>
          <w:sz w:val="28"/>
          <w:szCs w:val="32"/>
          <w:lang w:val="en-US" w:eastAsia="zh-CN"/>
        </w:rPr>
        <w:t>等</w:t>
      </w:r>
      <w:r>
        <w:rPr>
          <w:rFonts w:hint="eastAsia" w:ascii="Times New Roman" w:hAnsi="Times New Roman" w:eastAsia="仿宋"/>
          <w:bCs/>
          <w:snapToGrid w:val="0"/>
          <w:sz w:val="28"/>
          <w:szCs w:val="32"/>
        </w:rPr>
        <w:t>文件作为依据；</w:t>
      </w:r>
      <w:r>
        <w:rPr>
          <w:rFonts w:ascii="Times New Roman" w:hAnsi="Times New Roman" w:eastAsia="仿宋"/>
          <w:bCs/>
          <w:snapToGrid w:val="0"/>
          <w:sz w:val="28"/>
          <w:szCs w:val="32"/>
        </w:rPr>
        <w:t>项目申报、审核、批复资料基本齐全、准确、符合相关要求，立项依据充分。根据评分标准，该项得满分</w:t>
      </w:r>
      <w:r>
        <w:rPr>
          <w:rFonts w:ascii="Times New Roman" w:hAnsi="Times New Roman" w:eastAsia="仿宋"/>
          <w:snapToGrid w:val="0"/>
          <w:sz w:val="28"/>
          <w:szCs w:val="32"/>
        </w:rPr>
        <w:t>。</w:t>
      </w:r>
    </w:p>
    <w:p>
      <w:pPr>
        <w:widowControl/>
        <w:spacing w:line="500" w:lineRule="exact"/>
        <w:ind w:firstLine="562" w:firstLineChars="200"/>
        <w:rPr>
          <w:rFonts w:ascii="Times New Roman" w:hAnsi="Times New Roman" w:eastAsia="仿宋"/>
          <w:bCs/>
          <w:snapToGrid w:val="0"/>
          <w:sz w:val="28"/>
          <w:szCs w:val="32"/>
        </w:rPr>
      </w:pPr>
      <w:r>
        <w:rPr>
          <w:rFonts w:ascii="Times New Roman" w:hAnsi="Times New Roman" w:eastAsia="仿宋"/>
          <w:b/>
          <w:snapToGrid w:val="0"/>
          <w:sz w:val="28"/>
          <w:szCs w:val="32"/>
        </w:rPr>
        <w:t>A12立项程序规范性：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rPr>
        <w:t>项目按照规定的程序申请设立，旧县镇“四好农村路”建设项目落实了</w:t>
      </w:r>
      <w:r>
        <w:rPr>
          <w:rFonts w:hint="eastAsia" w:ascii="Times New Roman" w:hAnsi="Times New Roman" w:eastAsia="仿宋"/>
          <w:bCs/>
          <w:snapToGrid w:val="0"/>
          <w:sz w:val="28"/>
          <w:szCs w:val="32"/>
          <w:lang w:val="en-US" w:eastAsia="zh-CN"/>
        </w:rPr>
        <w:t>中央、省、市</w:t>
      </w:r>
      <w:r>
        <w:rPr>
          <w:rFonts w:hint="eastAsia" w:ascii="Times New Roman" w:hAnsi="Times New Roman" w:eastAsia="仿宋"/>
          <w:bCs/>
          <w:snapToGrid w:val="0"/>
          <w:sz w:val="28"/>
          <w:szCs w:val="32"/>
        </w:rPr>
        <w:t>“四好农村路”</w:t>
      </w:r>
      <w:r>
        <w:rPr>
          <w:rFonts w:hint="eastAsia" w:ascii="Times New Roman" w:hAnsi="Times New Roman" w:eastAsia="仿宋"/>
          <w:bCs/>
          <w:snapToGrid w:val="0"/>
          <w:sz w:val="28"/>
          <w:szCs w:val="32"/>
          <w:lang w:val="en-US" w:eastAsia="zh-CN"/>
        </w:rPr>
        <w:t>建设要求</w:t>
      </w:r>
      <w:r>
        <w:rPr>
          <w:rFonts w:hint="eastAsia" w:ascii="Times New Roman" w:hAnsi="Times New Roman" w:eastAsia="仿宋"/>
          <w:bCs/>
          <w:snapToGrid w:val="0"/>
          <w:sz w:val="28"/>
          <w:szCs w:val="32"/>
        </w:rPr>
        <w:t>，</w:t>
      </w:r>
      <w:r>
        <w:rPr>
          <w:rFonts w:hint="eastAsia" w:ascii="Times New Roman" w:hAnsi="Times New Roman" w:eastAsia="仿宋"/>
          <w:bCs/>
          <w:snapToGrid w:val="0"/>
          <w:sz w:val="28"/>
          <w:szCs w:val="32"/>
          <w:lang w:val="en-US" w:eastAsia="zh-CN"/>
        </w:rPr>
        <w:t>古县交通运输局、旧县镇人民政府</w:t>
      </w:r>
      <w:r>
        <w:rPr>
          <w:rFonts w:hint="eastAsia" w:ascii="Times New Roman" w:hAnsi="Times New Roman" w:eastAsia="仿宋"/>
          <w:bCs/>
          <w:snapToGrid w:val="0"/>
          <w:sz w:val="28"/>
          <w:szCs w:val="32"/>
        </w:rPr>
        <w:t>关于项目的申请及批复等审批文件、材料完整，符合相关要求；项目实施单位提交的项目前期资料符合相关文件要求，事前已经过必要的集体决策程序。根据评分标准，该项得满分</w:t>
      </w:r>
      <w:r>
        <w:rPr>
          <w:rFonts w:ascii="Times New Roman" w:hAnsi="Times New Roman" w:eastAsia="仿宋"/>
          <w:bCs/>
          <w:snapToGrid w:val="0"/>
          <w:sz w:val="28"/>
          <w:szCs w:val="32"/>
        </w:rPr>
        <w:t>。</w:t>
      </w:r>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bCs/>
          <w:snapToGrid w:val="0"/>
          <w:sz w:val="28"/>
          <w:szCs w:val="32"/>
        </w:rPr>
        <w:t>（2）绩效目标</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w:t>
      </w:r>
      <w:r>
        <w:rPr>
          <w:rFonts w:hint="eastAsia" w:ascii="Times New Roman" w:hAnsi="Times New Roman" w:eastAsia="仿宋"/>
          <w:b/>
          <w:snapToGrid w:val="0"/>
          <w:sz w:val="28"/>
          <w:szCs w:val="32"/>
          <w:lang w:val="en-US" w:eastAsia="zh-CN"/>
        </w:rPr>
        <w:t>21</w:t>
      </w:r>
      <w:r>
        <w:rPr>
          <w:rFonts w:ascii="Times New Roman" w:hAnsi="Times New Roman" w:eastAsia="仿宋"/>
          <w:b/>
          <w:snapToGrid w:val="0"/>
          <w:sz w:val="28"/>
          <w:szCs w:val="32"/>
        </w:rPr>
        <w:t>绩效目标合理性：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lang w:eastAsia="zh-CN"/>
        </w:rPr>
        <w:t>该指标主要项目所设定的绩效目标是否依据充分，是否符合客观实际，用以反映和考核项目绩效目标与项目实施的相符情况。</w:t>
      </w:r>
      <w:r>
        <w:rPr>
          <w:rFonts w:hint="eastAsia" w:ascii="Times New Roman" w:hAnsi="Times New Roman" w:eastAsia="仿宋"/>
          <w:bCs/>
          <w:snapToGrid w:val="0"/>
          <w:sz w:val="28"/>
          <w:szCs w:val="32"/>
          <w:lang w:val="en-US" w:eastAsia="zh-CN"/>
        </w:rPr>
        <w:t>该项目</w:t>
      </w:r>
      <w:r>
        <w:rPr>
          <w:rFonts w:hint="eastAsia" w:ascii="Times New Roman" w:hAnsi="Times New Roman" w:eastAsia="仿宋"/>
          <w:bCs/>
          <w:snapToGrid w:val="0"/>
          <w:sz w:val="28"/>
          <w:szCs w:val="32"/>
          <w:lang w:eastAsia="zh-CN"/>
        </w:rPr>
        <w:t>绩效总目标为：在</w:t>
      </w:r>
      <w:r>
        <w:rPr>
          <w:rFonts w:hint="eastAsia" w:ascii="Times New Roman" w:hAnsi="Times New Roman" w:eastAsia="仿宋"/>
          <w:bCs/>
          <w:snapToGrid w:val="0"/>
          <w:sz w:val="28"/>
          <w:szCs w:val="32"/>
          <w:lang w:val="en-US" w:eastAsia="zh-CN"/>
        </w:rPr>
        <w:t>古县</w:t>
      </w:r>
      <w:r>
        <w:rPr>
          <w:rFonts w:hint="eastAsia" w:ascii="Times New Roman" w:hAnsi="Times New Roman" w:eastAsia="仿宋"/>
          <w:bCs/>
          <w:snapToGrid w:val="0"/>
          <w:sz w:val="28"/>
          <w:szCs w:val="32"/>
          <w:lang w:eastAsia="zh-CN"/>
        </w:rPr>
        <w:t>各级各部门的大力支持下，有序推进低等级公路升级改造,解决农村公路等级低、路网不完善等问题，实现农村公路的提档升级，全力推动农村公路建、管、养、运协调发展，为实施乡村振兴、脱贫攻坚等重大战略提供交通支撑。绩效总目标符合临汾市《“四好农村路”建设实施方案》、</w:t>
      </w:r>
      <w:r>
        <w:rPr>
          <w:rFonts w:hint="eastAsia" w:ascii="Times New Roman" w:hAnsi="Times New Roman" w:eastAsia="仿宋"/>
          <w:bCs/>
          <w:snapToGrid w:val="0"/>
          <w:sz w:val="28"/>
          <w:szCs w:val="32"/>
          <w:lang w:val="en-US" w:eastAsia="zh-CN"/>
        </w:rPr>
        <w:t>古县</w:t>
      </w:r>
      <w:r>
        <w:rPr>
          <w:rFonts w:hint="eastAsia" w:ascii="Times New Roman" w:hAnsi="Times New Roman" w:eastAsia="仿宋"/>
          <w:bCs/>
          <w:snapToGrid w:val="0"/>
          <w:sz w:val="28"/>
          <w:szCs w:val="32"/>
          <w:lang w:eastAsia="zh-CN"/>
        </w:rPr>
        <w:t>”四好农村路”建设</w:t>
      </w:r>
      <w:r>
        <w:rPr>
          <w:rFonts w:hint="eastAsia" w:ascii="Times New Roman" w:hAnsi="Times New Roman" w:eastAsia="仿宋"/>
          <w:bCs/>
          <w:snapToGrid w:val="0"/>
          <w:sz w:val="28"/>
          <w:szCs w:val="32"/>
          <w:lang w:val="en-US" w:eastAsia="zh-CN"/>
        </w:rPr>
        <w:t>相关规划</w:t>
      </w:r>
      <w:r>
        <w:rPr>
          <w:rFonts w:hint="eastAsia" w:ascii="Times New Roman" w:hAnsi="Times New Roman" w:eastAsia="仿宋"/>
          <w:bCs/>
          <w:snapToGrid w:val="0"/>
          <w:sz w:val="28"/>
          <w:szCs w:val="32"/>
          <w:lang w:eastAsia="zh-CN"/>
        </w:rPr>
        <w:t>等法规及政策，与项目实施单位职责密切相关，项目设定的绩效目标符合项目实际情况，且能客观反映项目实施效果</w:t>
      </w:r>
      <w:r>
        <w:rPr>
          <w:rFonts w:ascii="Times New Roman" w:hAnsi="Times New Roman" w:eastAsia="仿宋"/>
          <w:snapToGrid w:val="0"/>
          <w:sz w:val="28"/>
          <w:szCs w:val="32"/>
        </w:rPr>
        <w:t>。根据评分标准，该项得满分。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w:t>
      </w:r>
      <w:r>
        <w:rPr>
          <w:rFonts w:hint="eastAsia" w:ascii="Times New Roman" w:hAnsi="Times New Roman" w:eastAsia="仿宋"/>
          <w:b/>
          <w:snapToGrid w:val="0"/>
          <w:sz w:val="28"/>
          <w:szCs w:val="32"/>
          <w:lang w:val="en-US" w:eastAsia="zh-CN"/>
        </w:rPr>
        <w:t>22</w:t>
      </w:r>
      <w:r>
        <w:rPr>
          <w:rFonts w:ascii="Times New Roman" w:hAnsi="Times New Roman" w:eastAsia="仿宋"/>
          <w:b/>
          <w:snapToGrid w:val="0"/>
          <w:sz w:val="28"/>
          <w:szCs w:val="32"/>
        </w:rPr>
        <w:t>绩效指标明确性：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w:t>
      </w:r>
      <w:r>
        <w:rPr>
          <w:rFonts w:hint="eastAsia" w:ascii="Times New Roman" w:hAnsi="Times New Roman" w:eastAsia="仿宋"/>
          <w:snapToGrid w:val="0"/>
          <w:sz w:val="28"/>
          <w:szCs w:val="32"/>
          <w:lang w:val="en-US" w:eastAsia="zh-CN"/>
        </w:rPr>
        <w:t>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cs="Times New Roman"/>
          <w:bCs w:val="0"/>
          <w:kern w:val="2"/>
          <w:sz w:val="28"/>
          <w:szCs w:val="28"/>
          <w:lang w:val="en-US" w:eastAsia="zh-CN" w:bidi="ar-SA"/>
        </w:rPr>
        <w:t>项目立项时古县交通运输局设定了相关产出、效益目标，并按照财政资金预算绩效管理的要求根据项目内容进行绩效目标申报，项目绩效目标根据总体绩效目标细化、量化为具体的绩效指标</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（3）资金投入</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A31资金分配合理性：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旧县镇“四好农村路”建设项目</w:t>
      </w:r>
      <w:r>
        <w:rPr>
          <w:rFonts w:hint="eastAsia" w:ascii="Times New Roman" w:hAnsi="Times New Roman" w:eastAsia="仿宋"/>
          <w:snapToGrid w:val="0"/>
          <w:sz w:val="28"/>
          <w:szCs w:val="32"/>
        </w:rPr>
        <w:t>预算资金分配依据充分，</w:t>
      </w:r>
      <w:r>
        <w:rPr>
          <w:rFonts w:hint="eastAsia" w:ascii="Times New Roman" w:hAnsi="Times New Roman" w:eastAsia="仿宋"/>
          <w:snapToGrid w:val="0"/>
          <w:sz w:val="28"/>
          <w:szCs w:val="32"/>
          <w:lang w:val="en-US" w:eastAsia="zh-CN"/>
        </w:rPr>
        <w:t>预算资金依据项目实际分标段中标合同价进行安排，有明确依据</w:t>
      </w:r>
      <w:r>
        <w:rPr>
          <w:rFonts w:hint="eastAsia" w:ascii="Times New Roman" w:hAnsi="Times New Roman" w:eastAsia="仿宋"/>
          <w:snapToGrid w:val="0"/>
          <w:sz w:val="28"/>
          <w:szCs w:val="32"/>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资金分配额度合理，与项目单位</w:t>
      </w:r>
      <w:r>
        <w:rPr>
          <w:rFonts w:hint="eastAsia" w:ascii="Times New Roman" w:hAnsi="Times New Roman" w:eastAsia="仿宋"/>
          <w:snapToGrid w:val="0"/>
          <w:sz w:val="28"/>
          <w:szCs w:val="32"/>
          <w:lang w:val="en-US" w:eastAsia="zh-CN"/>
        </w:rPr>
        <w:t>实际工作任务及古县</w:t>
      </w:r>
      <w:r>
        <w:rPr>
          <w:rFonts w:hint="eastAsia" w:ascii="Times New Roman" w:hAnsi="Times New Roman" w:eastAsia="仿宋"/>
          <w:snapToGrid w:val="0"/>
          <w:sz w:val="28"/>
          <w:szCs w:val="32"/>
        </w:rPr>
        <w:t>地方实际相适应。</w:t>
      </w:r>
      <w:r>
        <w:rPr>
          <w:rFonts w:ascii="Times New Roman" w:hAnsi="Times New Roman" w:eastAsia="仿宋"/>
          <w:snapToGrid w:val="0"/>
          <w:sz w:val="28"/>
          <w:szCs w:val="32"/>
        </w:rPr>
        <w:t>本次绩效评价项目资金专项用于</w:t>
      </w:r>
      <w:r>
        <w:rPr>
          <w:rFonts w:hint="eastAsia" w:ascii="Times New Roman" w:hAnsi="Times New Roman" w:eastAsia="仿宋"/>
          <w:bCs/>
          <w:snapToGrid w:val="0"/>
          <w:sz w:val="28"/>
          <w:szCs w:val="32"/>
          <w:lang w:eastAsia="zh-CN"/>
        </w:rPr>
        <w:t>旧县镇“四好农村路”建设项目</w:t>
      </w:r>
      <w:r>
        <w:rPr>
          <w:rFonts w:ascii="Times New Roman" w:hAnsi="Times New Roman" w:eastAsia="仿宋"/>
          <w:snapToGrid w:val="0"/>
          <w:sz w:val="28"/>
          <w:szCs w:val="32"/>
        </w:rPr>
        <w:t>，实际执行过程中，资金分配符合</w:t>
      </w:r>
      <w:r>
        <w:rPr>
          <w:rFonts w:hint="eastAsia" w:ascii="Times New Roman" w:hAnsi="Times New Roman" w:eastAsia="仿宋"/>
          <w:snapToGrid w:val="0"/>
          <w:sz w:val="28"/>
          <w:szCs w:val="32"/>
          <w:lang w:val="en-US" w:eastAsia="zh-CN"/>
        </w:rPr>
        <w:t>文件</w:t>
      </w:r>
      <w:r>
        <w:rPr>
          <w:rFonts w:ascii="Times New Roman" w:hAnsi="Times New Roman" w:eastAsia="仿宋"/>
          <w:snapToGrid w:val="0"/>
          <w:sz w:val="28"/>
          <w:szCs w:val="32"/>
        </w:rPr>
        <w:t>要求。根据评分标准，该项得满分。</w:t>
      </w:r>
    </w:p>
    <w:p>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A32预算编制科学性：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旧县镇“四好农村路”建设项目预算编制经过了科学论证，有相关设计及工程量测算，预算内容与项目内容匹配，预算额度测算依据充分，按照标准编制，项目预算编制科学；预算确定的项目投资额与工作任务相匹配，投资额涵盖本次项目涉及的所有工程项目</w:t>
      </w:r>
      <w:r>
        <w:rPr>
          <w:rFonts w:ascii="Times New Roman" w:hAnsi="Times New Roman" w:eastAsia="仿宋"/>
          <w:snapToGrid w:val="0"/>
          <w:sz w:val="28"/>
          <w:szCs w:val="32"/>
        </w:rPr>
        <w:t>。该项目预算科学、合理。根据评分标准，该项得满分</w:t>
      </w:r>
      <w:bookmarkStart w:id="137" w:name="_Toc528684142"/>
      <w:bookmarkStart w:id="138" w:name="_Toc19896"/>
      <w:bookmarkStart w:id="139" w:name="_Toc18414"/>
      <w:bookmarkStart w:id="140" w:name="_Toc8610"/>
      <w:bookmarkStart w:id="141" w:name="_Toc528680467"/>
      <w:r>
        <w:rPr>
          <w:rFonts w:ascii="Times New Roman" w:hAnsi="Times New Roman" w:eastAsia="仿宋"/>
          <w:snapToGrid w:val="0"/>
          <w:sz w:val="28"/>
          <w:szCs w:val="32"/>
        </w:rPr>
        <w:t>。</w:t>
      </w:r>
    </w:p>
    <w:p>
      <w:pPr>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2.过程分析</w:t>
      </w:r>
      <w:bookmarkEnd w:id="137"/>
      <w:bookmarkEnd w:id="138"/>
      <w:bookmarkEnd w:id="139"/>
      <w:bookmarkEnd w:id="140"/>
      <w:bookmarkEnd w:id="141"/>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过程类指标主要从资金到位率、预算执行率、资金使用合规性、管理制度健全性、制度执行有效性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招投标过程规范性、监理过程规范性、安全事故发生率8</w:t>
      </w:r>
      <w:r>
        <w:rPr>
          <w:rFonts w:ascii="Times New Roman" w:hAnsi="Times New Roman" w:eastAsia="仿宋"/>
          <w:snapToGrid w:val="0"/>
          <w:sz w:val="28"/>
          <w:szCs w:val="32"/>
        </w:rPr>
        <w:t>个指标考核该项目资金管理及组织实施情况，过程类指标</w:t>
      </w:r>
      <w:r>
        <w:rPr>
          <w:rFonts w:ascii="Times New Roman" w:hAnsi="Times New Roman" w:eastAsia="仿宋"/>
          <w:snapToGrid w:val="0"/>
          <w:color w:val="auto"/>
          <w:sz w:val="28"/>
          <w:szCs w:val="32"/>
        </w:rPr>
        <w:t>权重20.00分，实际得分</w:t>
      </w:r>
      <w:r>
        <w:rPr>
          <w:rFonts w:hint="eastAsia" w:ascii="Times New Roman" w:hAnsi="Times New Roman" w:eastAsia="仿宋"/>
          <w:snapToGrid w:val="0"/>
          <w:color w:val="auto"/>
          <w:sz w:val="28"/>
          <w:szCs w:val="32"/>
          <w:lang w:val="en-US" w:eastAsia="zh-CN"/>
        </w:rPr>
        <w:t>19.00</w:t>
      </w:r>
      <w:r>
        <w:rPr>
          <w:rFonts w:ascii="Times New Roman" w:hAnsi="Times New Roman" w:eastAsia="仿宋"/>
          <w:snapToGrid w:val="0"/>
          <w:color w:val="auto"/>
          <w:sz w:val="28"/>
          <w:szCs w:val="32"/>
        </w:rPr>
        <w:t>分。</w:t>
      </w:r>
      <w:r>
        <w:rPr>
          <w:rFonts w:ascii="Times New Roman" w:hAnsi="Times New Roman" w:eastAsia="仿宋"/>
          <w:snapToGrid w:val="0"/>
          <w:sz w:val="28"/>
          <w:szCs w:val="32"/>
        </w:rPr>
        <w:t>指标得分情况如表4-2所示：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3416"/>
        <w:gridCol w:w="895"/>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3416"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895"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949"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428"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jc w:val="center"/>
              <w:rPr>
                <w:rFonts w:ascii="Times New Roman" w:hAnsi="Times New Roman" w:eastAsia="仿宋"/>
                <w:bCs/>
                <w:sz w:val="24"/>
              </w:rPr>
            </w:pPr>
            <w:r>
              <w:rPr>
                <w:rFonts w:ascii="Times New Roman" w:hAnsi="Times New Roman" w:eastAsia="仿宋"/>
                <w:bCs/>
                <w:sz w:val="24"/>
              </w:rPr>
              <w:t>B1资金管理</w:t>
            </w: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B11资金到位率</w:t>
            </w:r>
          </w:p>
        </w:tc>
        <w:tc>
          <w:tcPr>
            <w:tcW w:w="895" w:type="dxa"/>
            <w:vAlign w:val="center"/>
          </w:tcPr>
          <w:p>
            <w:pPr>
              <w:jc w:val="center"/>
              <w:rPr>
                <w:rFonts w:ascii="Times New Roman" w:hAnsi="Times New Roman" w:eastAsia="仿宋"/>
                <w:bCs/>
                <w:sz w:val="24"/>
              </w:rPr>
            </w:pPr>
            <w:r>
              <w:rPr>
                <w:rFonts w:ascii="Times New Roman" w:hAnsi="Times New Roman" w:eastAsia="仿宋"/>
                <w:bCs/>
                <w:sz w:val="24"/>
              </w:rPr>
              <w:t>4.00</w:t>
            </w:r>
          </w:p>
        </w:tc>
        <w:tc>
          <w:tcPr>
            <w:tcW w:w="949"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4.00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B12预算执行率</w:t>
            </w:r>
          </w:p>
        </w:tc>
        <w:tc>
          <w:tcPr>
            <w:tcW w:w="895" w:type="dxa"/>
            <w:vAlign w:val="center"/>
          </w:tcPr>
          <w:p>
            <w:pPr>
              <w:jc w:val="center"/>
              <w:rPr>
                <w:rFonts w:ascii="Times New Roman" w:hAnsi="Times New Roman" w:eastAsia="仿宋"/>
                <w:bCs/>
                <w:color w:val="auto"/>
                <w:sz w:val="24"/>
              </w:rPr>
            </w:pPr>
            <w:r>
              <w:rPr>
                <w:rFonts w:ascii="Times New Roman" w:hAnsi="Times New Roman" w:eastAsia="仿宋"/>
                <w:bCs/>
                <w:color w:val="auto"/>
                <w:sz w:val="24"/>
              </w:rPr>
              <w:t>4.00</w:t>
            </w:r>
          </w:p>
        </w:tc>
        <w:tc>
          <w:tcPr>
            <w:tcW w:w="949" w:type="dxa"/>
            <w:vAlign w:val="center"/>
          </w:tcPr>
          <w:p>
            <w:pPr>
              <w:jc w:val="center"/>
              <w:rPr>
                <w:rFonts w:hint="default" w:ascii="Times New Roman" w:hAnsi="Times New Roman" w:eastAsia="仿宋"/>
                <w:bCs/>
                <w:color w:val="auto"/>
                <w:sz w:val="24"/>
                <w:lang w:val="en-US" w:eastAsia="zh-CN"/>
              </w:rPr>
            </w:pPr>
            <w:r>
              <w:rPr>
                <w:rFonts w:hint="eastAsia" w:ascii="Times New Roman" w:hAnsi="Times New Roman" w:eastAsia="仿宋"/>
                <w:bCs/>
                <w:color w:val="auto"/>
                <w:sz w:val="24"/>
                <w:lang w:val="en-US" w:eastAsia="zh-CN"/>
              </w:rPr>
              <w:t>4.00</w:t>
            </w:r>
          </w:p>
        </w:tc>
        <w:tc>
          <w:tcPr>
            <w:tcW w:w="1428"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100.00</w:t>
            </w:r>
            <w:r>
              <w:rPr>
                <w:rFonts w:ascii="Times New Roman" w:hAnsi="Times New Roman" w:eastAsia="仿宋"/>
                <w:bCs/>
                <w:color w:val="auto"/>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B13资金使用合规性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jc w:val="center"/>
              <w:rPr>
                <w:rFonts w:ascii="Times New Roman" w:hAnsi="Times New Roman" w:eastAsia="仿宋"/>
                <w:bCs/>
                <w:sz w:val="24"/>
              </w:rPr>
            </w:pPr>
            <w:r>
              <w:rPr>
                <w:rFonts w:ascii="Times New Roman" w:hAnsi="Times New Roman" w:eastAsia="仿宋"/>
                <w:bCs/>
                <w:sz w:val="24"/>
              </w:rPr>
              <w:t>B2组织实施</w:t>
            </w: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B21管理制度健全性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B22制度执行有效性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B23招投标过程规范性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B24监理过程规范性</w:t>
            </w:r>
          </w:p>
        </w:tc>
        <w:tc>
          <w:tcPr>
            <w:tcW w:w="895"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w:t>
            </w:r>
            <w:r>
              <w:rPr>
                <w:rFonts w:ascii="Times New Roman" w:hAnsi="Times New Roman" w:eastAsia="仿宋"/>
                <w:bCs/>
                <w:sz w:val="24"/>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jc w:val="center"/>
              <w:rPr>
                <w:rFonts w:ascii="Times New Roman" w:hAnsi="Times New Roman" w:eastAsia="仿宋"/>
                <w:bCs/>
                <w:sz w:val="24"/>
              </w:rPr>
            </w:pPr>
          </w:p>
        </w:tc>
        <w:tc>
          <w:tcPr>
            <w:tcW w:w="3416"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B25安全事故发生率</w:t>
            </w:r>
          </w:p>
        </w:tc>
        <w:tc>
          <w:tcPr>
            <w:tcW w:w="895"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949" w:type="dxa"/>
            <w:vAlign w:val="center"/>
          </w:tcPr>
          <w:p>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1428" w:type="dxa"/>
            <w:vAlign w:val="center"/>
          </w:tcPr>
          <w:p>
            <w:pPr>
              <w:jc w:val="center"/>
              <w:rPr>
                <w:rFonts w:ascii="Times New Roman" w:hAnsi="Times New Roman" w:eastAsia="仿宋"/>
                <w:bCs/>
                <w:color w:val="auto"/>
                <w:sz w:val="24"/>
              </w:rPr>
            </w:pPr>
            <w:r>
              <w:rPr>
                <w:rFonts w:ascii="Times New Roman" w:hAnsi="Times New Roman" w:eastAsia="仿宋"/>
                <w:bCs/>
                <w:color w:val="auto"/>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5250"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895"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949"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1428"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（1）资金管理</w:t>
      </w:r>
    </w:p>
    <w:p>
      <w:pPr>
        <w:widowControl/>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B11资金到位率：</w:t>
      </w:r>
      <w:r>
        <w:rPr>
          <w:rFonts w:ascii="Times New Roman" w:hAnsi="Times New Roman" w:eastAsia="仿宋"/>
          <w:bCs/>
          <w:snapToGrid w:val="0"/>
          <w:sz w:val="28"/>
          <w:szCs w:val="32"/>
        </w:rPr>
        <w:t>满分4.00分，得分</w:t>
      </w:r>
      <w:r>
        <w:rPr>
          <w:rFonts w:hint="eastAsia" w:ascii="Times New Roman" w:hAnsi="Times New Roman" w:eastAsia="仿宋"/>
          <w:bCs/>
          <w:snapToGrid w:val="0"/>
          <w:sz w:val="28"/>
          <w:szCs w:val="32"/>
          <w:lang w:val="en-US" w:eastAsia="zh-CN"/>
        </w:rPr>
        <w:t>4.00</w:t>
      </w:r>
      <w:r>
        <w:rPr>
          <w:rFonts w:ascii="Times New Roman" w:hAnsi="Times New Roman" w:eastAsia="仿宋"/>
          <w:bCs/>
          <w:snapToGrid w:val="0"/>
          <w:sz w:val="28"/>
          <w:szCs w:val="32"/>
        </w:rPr>
        <w:t>分。</w:t>
      </w:r>
      <w:r>
        <w:rPr>
          <w:rFonts w:hint="eastAsia" w:ascii="Times New Roman" w:hAnsi="Times New Roman" w:eastAsia="仿宋"/>
          <w:bCs/>
          <w:snapToGrid w:val="0"/>
          <w:sz w:val="28"/>
          <w:szCs w:val="32"/>
        </w:rPr>
        <w:t>该指标主要分析评价项目资金是否根据文件、计划要求足额拨付</w:t>
      </w:r>
      <w:r>
        <w:rPr>
          <w:rFonts w:hint="eastAsia" w:ascii="Times New Roman" w:hAnsi="Times New Roman" w:eastAsia="仿宋"/>
          <w:bCs/>
          <w:snapToGrid w:val="0"/>
          <w:sz w:val="28"/>
          <w:szCs w:val="32"/>
          <w:lang w:val="en-US" w:eastAsia="zh-CN"/>
        </w:rPr>
        <w:t>到位</w:t>
      </w:r>
      <w:r>
        <w:rPr>
          <w:rFonts w:hint="eastAsia" w:ascii="Times New Roman" w:hAnsi="Times New Roman" w:eastAsia="仿宋"/>
          <w:bCs/>
          <w:snapToGrid w:val="0"/>
          <w:sz w:val="28"/>
          <w:szCs w:val="32"/>
        </w:rPr>
        <w:t>，资金到位率=（实际到位资金/计划到位资金）×100%。根据资金下达文件、入账凭证</w:t>
      </w:r>
      <w:r>
        <w:rPr>
          <w:rFonts w:hint="eastAsia" w:ascii="Times New Roman" w:hAnsi="Times New Roman" w:eastAsia="仿宋"/>
          <w:bCs/>
          <w:snapToGrid w:val="0"/>
          <w:sz w:val="28"/>
          <w:szCs w:val="32"/>
          <w:lang w:val="en-US" w:eastAsia="zh-CN"/>
        </w:rPr>
        <w:t>，</w:t>
      </w:r>
      <w:r>
        <w:rPr>
          <w:rFonts w:hint="eastAsia" w:ascii="Times New Roman" w:hAnsi="Times New Roman" w:eastAsia="仿宋" w:cs="Times New Roman"/>
          <w:sz w:val="28"/>
          <w:szCs w:val="24"/>
          <w:lang w:eastAsia="zh-CN"/>
        </w:rPr>
        <w:t>旧县镇“四好农村路”建设项目</w:t>
      </w:r>
      <w:r>
        <w:rPr>
          <w:rFonts w:hint="eastAsia" w:ascii="Times New Roman" w:hAnsi="Times New Roman" w:eastAsia="仿宋" w:cs="Times New Roman"/>
          <w:sz w:val="28"/>
          <w:szCs w:val="24"/>
          <w:lang w:val="en-US" w:eastAsia="zh-CN"/>
        </w:rPr>
        <w:t>2019-2022年计划投资2165.3435万元</w:t>
      </w:r>
      <w:r>
        <w:rPr>
          <w:rFonts w:hint="eastAsia" w:ascii="Times New Roman" w:hAnsi="Times New Roman" w:eastAsia="仿宋"/>
          <w:bCs/>
          <w:snapToGrid w:val="0"/>
          <w:sz w:val="28"/>
          <w:szCs w:val="32"/>
        </w:rPr>
        <w:t>，</w:t>
      </w:r>
      <w:r>
        <w:rPr>
          <w:rFonts w:hint="eastAsia" w:ascii="Times New Roman" w:hAnsi="Times New Roman" w:eastAsia="仿宋"/>
          <w:bCs/>
          <w:snapToGrid w:val="0"/>
          <w:sz w:val="28"/>
          <w:szCs w:val="32"/>
          <w:lang w:val="en-US" w:eastAsia="zh-CN"/>
        </w:rPr>
        <w:t>2019年-2022年实际到位资金2165.3435万元，</w:t>
      </w:r>
      <w:r>
        <w:rPr>
          <w:rFonts w:hint="eastAsia" w:ascii="Times New Roman" w:hAnsi="Times New Roman" w:eastAsia="仿宋"/>
          <w:bCs/>
          <w:snapToGrid w:val="0"/>
          <w:sz w:val="28"/>
          <w:szCs w:val="32"/>
        </w:rPr>
        <w:t>资金到位率</w:t>
      </w:r>
      <w:r>
        <w:rPr>
          <w:rFonts w:hint="eastAsia" w:ascii="Times New Roman" w:hAnsi="Times New Roman" w:eastAsia="仿宋"/>
          <w:bCs/>
          <w:snapToGrid w:val="0"/>
          <w:sz w:val="28"/>
          <w:szCs w:val="32"/>
          <w:lang w:val="en-US" w:eastAsia="zh-CN"/>
        </w:rPr>
        <w:t>100.00</w:t>
      </w:r>
      <w:r>
        <w:rPr>
          <w:rFonts w:hint="eastAsia" w:ascii="Times New Roman" w:hAnsi="Times New Roman" w:eastAsia="仿宋"/>
          <w:bCs/>
          <w:snapToGrid w:val="0"/>
          <w:sz w:val="28"/>
          <w:szCs w:val="32"/>
        </w:rPr>
        <w:t>%</w:t>
      </w:r>
      <w:r>
        <w:rPr>
          <w:rFonts w:ascii="Times New Roman" w:hAnsi="Times New Roman" w:eastAsia="仿宋"/>
          <w:bCs/>
          <w:snapToGrid w:val="0"/>
          <w:sz w:val="28"/>
          <w:szCs w:val="32"/>
        </w:rPr>
        <w:t>。根据评分标准，该项得</w:t>
      </w:r>
      <w:r>
        <w:rPr>
          <w:rFonts w:hint="eastAsia" w:ascii="Times New Roman" w:hAnsi="Times New Roman" w:eastAsia="仿宋"/>
          <w:bCs/>
          <w:snapToGrid w:val="0"/>
          <w:sz w:val="28"/>
          <w:szCs w:val="32"/>
          <w:lang w:val="en-US" w:eastAsia="zh-CN"/>
        </w:rPr>
        <w:t>满</w:t>
      </w:r>
      <w:r>
        <w:rPr>
          <w:rFonts w:ascii="Times New Roman" w:hAnsi="Times New Roman" w:eastAsia="仿宋"/>
          <w:bCs/>
          <w:snapToGrid w:val="0"/>
          <w:sz w:val="28"/>
          <w:szCs w:val="32"/>
        </w:rPr>
        <w:t>分。</w:t>
      </w:r>
    </w:p>
    <w:p>
      <w:pPr>
        <w:widowControl/>
        <w:spacing w:line="500" w:lineRule="exact"/>
        <w:ind w:firstLine="562" w:firstLineChars="200"/>
        <w:rPr>
          <w:rFonts w:ascii="Times New Roman" w:hAnsi="Times New Roman" w:eastAsia="仿宋"/>
          <w:bCs/>
          <w:snapToGrid w:val="0"/>
          <w:color w:val="auto"/>
          <w:sz w:val="28"/>
          <w:szCs w:val="32"/>
        </w:rPr>
      </w:pPr>
      <w:r>
        <w:rPr>
          <w:rFonts w:ascii="Times New Roman" w:hAnsi="Times New Roman" w:eastAsia="仿宋"/>
          <w:b/>
          <w:snapToGrid w:val="0"/>
          <w:sz w:val="28"/>
          <w:szCs w:val="32"/>
        </w:rPr>
        <w:t>B12预算执行率：</w:t>
      </w:r>
      <w:r>
        <w:rPr>
          <w:rFonts w:ascii="Times New Roman" w:hAnsi="Times New Roman" w:eastAsia="仿宋"/>
          <w:bCs/>
          <w:snapToGrid w:val="0"/>
          <w:color w:val="auto"/>
          <w:sz w:val="28"/>
          <w:szCs w:val="32"/>
        </w:rPr>
        <w:t>满分4.00分，得分</w:t>
      </w:r>
      <w:r>
        <w:rPr>
          <w:rFonts w:hint="eastAsia" w:ascii="Times New Roman" w:hAnsi="Times New Roman" w:eastAsia="仿宋"/>
          <w:bCs/>
          <w:snapToGrid w:val="0"/>
          <w:color w:val="auto"/>
          <w:sz w:val="28"/>
          <w:szCs w:val="32"/>
          <w:lang w:val="en-US" w:eastAsia="zh-CN"/>
        </w:rPr>
        <w:t>4.00</w:t>
      </w:r>
      <w:r>
        <w:rPr>
          <w:rFonts w:ascii="Times New Roman" w:hAnsi="Times New Roman" w:eastAsia="仿宋"/>
          <w:bCs/>
          <w:snapToGrid w:val="0"/>
          <w:color w:val="auto"/>
          <w:sz w:val="28"/>
          <w:szCs w:val="32"/>
        </w:rPr>
        <w:t>分。通过查阅</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财政局下达项目资金的文件和项目实施单位财务账簿，</w:t>
      </w:r>
      <w:r>
        <w:rPr>
          <w:rFonts w:hint="eastAsia" w:ascii="Times New Roman" w:hAnsi="Times New Roman" w:eastAsia="仿宋"/>
          <w:bCs/>
          <w:snapToGrid w:val="0"/>
          <w:color w:val="auto"/>
          <w:sz w:val="28"/>
          <w:szCs w:val="32"/>
          <w:lang w:eastAsia="zh-CN"/>
        </w:rPr>
        <w:t>旧县镇“四好农村路”建设项目</w:t>
      </w:r>
      <w:r>
        <w:rPr>
          <w:rFonts w:ascii="Times New Roman" w:hAnsi="Times New Roman" w:eastAsia="仿宋"/>
          <w:bCs/>
          <w:snapToGrid w:val="0"/>
          <w:color w:val="auto"/>
          <w:sz w:val="28"/>
          <w:szCs w:val="32"/>
        </w:rPr>
        <w:t>资金由</w:t>
      </w:r>
      <w:r>
        <w:rPr>
          <w:rFonts w:hint="eastAsia" w:ascii="Times New Roman" w:hAnsi="Times New Roman" w:eastAsia="仿宋"/>
          <w:bCs/>
          <w:snapToGrid w:val="0"/>
          <w:color w:val="auto"/>
          <w:sz w:val="28"/>
          <w:szCs w:val="32"/>
          <w:lang w:val="en-US" w:eastAsia="zh-CN"/>
        </w:rPr>
        <w:t>旧县镇人民政府</w:t>
      </w:r>
      <w:r>
        <w:rPr>
          <w:rFonts w:ascii="Times New Roman" w:hAnsi="Times New Roman" w:eastAsia="仿宋"/>
          <w:bCs/>
          <w:snapToGrid w:val="0"/>
          <w:color w:val="auto"/>
          <w:sz w:val="28"/>
          <w:szCs w:val="32"/>
        </w:rPr>
        <w:t>申请，由</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财政局拨付预算资金，截止评价基准日</w:t>
      </w:r>
      <w:r>
        <w:rPr>
          <w:rFonts w:hint="eastAsia" w:ascii="Times New Roman" w:hAnsi="Times New Roman" w:eastAsia="仿宋"/>
          <w:bCs/>
          <w:snapToGrid w:val="0"/>
          <w:color w:val="auto"/>
          <w:sz w:val="28"/>
          <w:szCs w:val="32"/>
          <w:lang w:eastAsia="zh-CN"/>
        </w:rPr>
        <w:t>2022年3月1日</w:t>
      </w:r>
      <w:r>
        <w:rPr>
          <w:rFonts w:ascii="Times New Roman" w:hAnsi="Times New Roman" w:eastAsia="仿宋"/>
          <w:bCs/>
          <w:snapToGrid w:val="0"/>
          <w:color w:val="auto"/>
          <w:sz w:val="28"/>
          <w:szCs w:val="32"/>
        </w:rPr>
        <w:t>，资金实际到位总额为</w:t>
      </w:r>
      <w:r>
        <w:rPr>
          <w:rFonts w:hint="eastAsia" w:ascii="Times New Roman" w:hAnsi="Times New Roman" w:eastAsia="仿宋"/>
          <w:bCs/>
          <w:snapToGrid w:val="0"/>
          <w:color w:val="auto"/>
          <w:sz w:val="28"/>
          <w:szCs w:val="32"/>
          <w:lang w:val="en-US" w:eastAsia="zh-CN"/>
        </w:rPr>
        <w:t>2165.3435万元</w:t>
      </w:r>
      <w:r>
        <w:rPr>
          <w:rFonts w:ascii="Times New Roman" w:hAnsi="Times New Roman" w:eastAsia="仿宋"/>
          <w:bCs/>
          <w:snapToGrid w:val="0"/>
          <w:color w:val="auto"/>
          <w:sz w:val="28"/>
          <w:szCs w:val="32"/>
        </w:rPr>
        <w:t>，</w:t>
      </w:r>
      <w:r>
        <w:rPr>
          <w:rFonts w:hint="eastAsia" w:ascii="Times New Roman" w:hAnsi="Times New Roman" w:eastAsia="仿宋"/>
          <w:bCs/>
          <w:snapToGrid w:val="0"/>
          <w:color w:val="auto"/>
          <w:sz w:val="28"/>
          <w:szCs w:val="32"/>
          <w:lang w:val="en-US" w:eastAsia="zh-CN"/>
        </w:rPr>
        <w:t>2019年项目</w:t>
      </w:r>
      <w:r>
        <w:rPr>
          <w:rFonts w:ascii="Times New Roman" w:hAnsi="Times New Roman" w:eastAsia="仿宋"/>
          <w:bCs/>
          <w:snapToGrid w:val="0"/>
          <w:color w:val="auto"/>
          <w:sz w:val="28"/>
          <w:szCs w:val="32"/>
        </w:rPr>
        <w:t>实</w:t>
      </w:r>
      <w:r>
        <w:rPr>
          <w:rFonts w:hint="eastAsia" w:ascii="Times New Roman" w:hAnsi="Times New Roman" w:eastAsia="仿宋"/>
          <w:bCs/>
          <w:snapToGrid w:val="0"/>
          <w:color w:val="auto"/>
          <w:sz w:val="28"/>
          <w:szCs w:val="32"/>
          <w:lang w:val="en-US" w:eastAsia="zh-CN"/>
        </w:rPr>
        <w:t>际支出2165.3435万元，</w:t>
      </w:r>
      <w:r>
        <w:rPr>
          <w:rFonts w:ascii="Times New Roman" w:hAnsi="Times New Roman" w:eastAsia="仿宋"/>
          <w:bCs/>
          <w:snapToGrid w:val="0"/>
          <w:color w:val="auto"/>
          <w:sz w:val="28"/>
          <w:szCs w:val="32"/>
        </w:rPr>
        <w:t>到位资金支出率为</w:t>
      </w:r>
      <w:r>
        <w:rPr>
          <w:rFonts w:hint="eastAsia" w:ascii="Times New Roman" w:hAnsi="Times New Roman" w:eastAsia="仿宋"/>
          <w:bCs/>
          <w:snapToGrid w:val="0"/>
          <w:color w:val="auto"/>
          <w:sz w:val="28"/>
          <w:szCs w:val="32"/>
          <w:lang w:val="en-US" w:eastAsia="zh-CN"/>
        </w:rPr>
        <w:t>100.00</w:t>
      </w:r>
      <w:r>
        <w:rPr>
          <w:rFonts w:ascii="Times New Roman" w:hAnsi="Times New Roman" w:eastAsia="仿宋"/>
          <w:bCs/>
          <w:snapToGrid w:val="0"/>
          <w:color w:val="auto"/>
          <w:sz w:val="28"/>
          <w:szCs w:val="32"/>
        </w:rPr>
        <w:t>%。根据评分标准，该项得</w:t>
      </w:r>
      <w:r>
        <w:rPr>
          <w:rFonts w:hint="eastAsia" w:ascii="Times New Roman" w:hAnsi="Times New Roman" w:eastAsia="仿宋"/>
          <w:bCs/>
          <w:snapToGrid w:val="0"/>
          <w:color w:val="auto"/>
          <w:sz w:val="28"/>
          <w:szCs w:val="32"/>
          <w:lang w:val="en-US" w:eastAsia="zh-CN"/>
        </w:rPr>
        <w:t>满</w:t>
      </w:r>
      <w:r>
        <w:rPr>
          <w:rFonts w:ascii="Times New Roman" w:hAnsi="Times New Roman" w:eastAsia="仿宋"/>
          <w:bCs/>
          <w:snapToGrid w:val="0"/>
          <w:color w:val="auto"/>
          <w:sz w:val="28"/>
          <w:szCs w:val="32"/>
        </w:rPr>
        <w:t>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B13资金使用合规性：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.00分。通过对项目实施单位财务资料的现场核实，</w:t>
      </w:r>
      <w:r>
        <w:rPr>
          <w:rFonts w:hint="eastAsia" w:ascii="Times New Roman" w:hAnsi="Times New Roman" w:eastAsia="仿宋"/>
          <w:snapToGrid w:val="0"/>
          <w:sz w:val="28"/>
          <w:szCs w:val="32"/>
          <w:lang w:eastAsia="zh-CN"/>
        </w:rPr>
        <w:t>古县交通运输局</w:t>
      </w:r>
      <w:r>
        <w:rPr>
          <w:rFonts w:hint="eastAsia" w:ascii="Times New Roman" w:hAnsi="Times New Roman" w:eastAsia="仿宋"/>
          <w:snapToGrid w:val="0"/>
          <w:sz w:val="28"/>
          <w:szCs w:val="32"/>
          <w:lang w:val="en-US" w:eastAsia="zh-CN"/>
        </w:rPr>
        <w:t>资金</w:t>
      </w:r>
      <w:r>
        <w:rPr>
          <w:rFonts w:ascii="Times New Roman" w:hAnsi="Times New Roman" w:eastAsia="仿宋"/>
          <w:snapToGrid w:val="0"/>
          <w:sz w:val="28"/>
          <w:szCs w:val="32"/>
        </w:rPr>
        <w:t>使用符合相关财务管理制度，有完整的审批、拨付手续，支出资金符合预算批复要求，未发现套取、截留、挤占、挪用、虚列支出等情况。根据评分标准，该项得满分。</w:t>
      </w:r>
    </w:p>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（2）组织实施</w:t>
      </w:r>
    </w:p>
    <w:p>
      <w:pPr>
        <w:widowControl/>
        <w:spacing w:line="500" w:lineRule="exact"/>
        <w:ind w:firstLine="562" w:firstLineChars="200"/>
        <w:rPr>
          <w:rFonts w:ascii="Times New Roman" w:hAnsi="Times New Roman" w:eastAsia="仿宋"/>
          <w:snapToGrid w:val="0"/>
          <w:sz w:val="28"/>
          <w:szCs w:val="32"/>
          <w:highlight w:val="yellow"/>
        </w:rPr>
      </w:pPr>
      <w:r>
        <w:rPr>
          <w:rFonts w:ascii="Times New Roman" w:hAnsi="Times New Roman" w:eastAsia="仿宋"/>
          <w:b/>
          <w:snapToGrid w:val="0"/>
          <w:sz w:val="28"/>
          <w:szCs w:val="32"/>
        </w:rPr>
        <w:t>B21管理制度健全性：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w:t>
      </w:r>
      <w:r>
        <w:rPr>
          <w:rFonts w:hint="eastAsia" w:ascii="Times New Roman" w:hAnsi="Times New Roman" w:eastAsia="仿宋"/>
          <w:snapToGrid w:val="0"/>
          <w:sz w:val="28"/>
          <w:szCs w:val="32"/>
          <w:lang w:eastAsia="zh-CN"/>
        </w:rPr>
        <w:t>该指标分析评价项目单位的项目管理制度是否健全，用以反映和考核项目管理制度对项目安全运行的保障情况。通过查阅资料和现场调查，项目属于工程类项目，</w:t>
      </w:r>
      <w:r>
        <w:rPr>
          <w:rFonts w:hint="eastAsia" w:ascii="Times New Roman" w:hAnsi="Times New Roman" w:eastAsia="仿宋"/>
          <w:snapToGrid w:val="0"/>
          <w:sz w:val="28"/>
          <w:szCs w:val="32"/>
          <w:lang w:val="en-US" w:eastAsia="zh-CN"/>
        </w:rPr>
        <w:t>评价</w:t>
      </w:r>
      <w:r>
        <w:rPr>
          <w:rFonts w:hint="eastAsia" w:ascii="Times New Roman" w:hAnsi="Times New Roman" w:eastAsia="仿宋"/>
          <w:snapToGrid w:val="0"/>
          <w:sz w:val="28"/>
          <w:szCs w:val="32"/>
          <w:lang w:eastAsia="zh-CN"/>
        </w:rPr>
        <w:t>组审核关于项目的进度管理、质量控制、投资控制、合同管理、风险管理、应急管理和档案管理，该项目实施过程中，制度</w:t>
      </w:r>
      <w:r>
        <w:rPr>
          <w:rFonts w:hint="eastAsia" w:ascii="Times New Roman" w:hAnsi="Times New Roman" w:eastAsia="仿宋"/>
          <w:snapToGrid w:val="0"/>
          <w:sz w:val="28"/>
          <w:szCs w:val="32"/>
          <w:lang w:val="en-US" w:eastAsia="zh-CN"/>
        </w:rPr>
        <w:t>健全</w:t>
      </w:r>
      <w:r>
        <w:rPr>
          <w:rFonts w:hint="eastAsia" w:ascii="Times New Roman" w:hAnsi="Times New Roman" w:eastAsia="仿宋"/>
          <w:snapToGrid w:val="0"/>
          <w:sz w:val="28"/>
          <w:szCs w:val="32"/>
          <w:lang w:eastAsia="zh-CN"/>
        </w:rPr>
        <w:t>；项目管理等资料基本完整。</w:t>
      </w:r>
      <w:r>
        <w:rPr>
          <w:rFonts w:ascii="Times New Roman" w:hAnsi="Times New Roman" w:eastAsia="仿宋"/>
          <w:snapToGrid w:val="0"/>
          <w:sz w:val="28"/>
          <w:szCs w:val="32"/>
        </w:rPr>
        <w:t>根据评分标准，该项得满分。</w:t>
      </w:r>
    </w:p>
    <w:p>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B22制度执行有效性：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1</w:t>
      </w:r>
      <w:r>
        <w:rPr>
          <w:rFonts w:ascii="Times New Roman" w:hAnsi="Times New Roman" w:eastAsia="仿宋"/>
          <w:snapToGrid w:val="0"/>
          <w:sz w:val="28"/>
          <w:szCs w:val="32"/>
        </w:rPr>
        <w:t>.00分。</w:t>
      </w:r>
      <w:r>
        <w:rPr>
          <w:rFonts w:hint="eastAsia" w:ascii="Times New Roman" w:hAnsi="Times New Roman" w:eastAsia="仿宋"/>
          <w:snapToGrid w:val="0"/>
          <w:sz w:val="28"/>
          <w:szCs w:val="32"/>
        </w:rPr>
        <w:t>该指标分析评价项目实施是否符合相关项目管理规定，是否为达到项目质量要求而采取了必需的措施，用以反映和考核项目管理有效性。</w:t>
      </w:r>
      <w:r>
        <w:rPr>
          <w:rFonts w:hint="eastAsia" w:ascii="Times New Roman" w:hAnsi="Times New Roman" w:eastAsia="仿宋"/>
          <w:snapToGrid w:val="0"/>
          <w:sz w:val="28"/>
          <w:szCs w:val="32"/>
          <w:lang w:eastAsia="zh-CN"/>
        </w:rPr>
        <w:t>旧县镇“四好农村路”建设项目</w:t>
      </w:r>
      <w:r>
        <w:rPr>
          <w:rFonts w:hint="eastAsia" w:ascii="Times New Roman" w:hAnsi="Times New Roman" w:eastAsia="仿宋"/>
          <w:snapToGrid w:val="0"/>
          <w:sz w:val="28"/>
          <w:szCs w:val="32"/>
          <w:lang w:val="en-US" w:eastAsia="zh-CN"/>
        </w:rPr>
        <w:t>按照工程类项目的管理制度执行；项目开工所需的人员、场地、设备均准备完毕后，施工单位向古县交通运输局申请开工。但评价组也发现，旧县镇人民政府档案管理不到位，项目实施资料与资金支付资料未进行统一保管，相关负责人对项目情况不熟悉。</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1.00</w:t>
      </w:r>
      <w:r>
        <w:rPr>
          <w:rFonts w:ascii="Times New Roman" w:hAnsi="Times New Roman" w:eastAsia="仿宋"/>
          <w:snapToGrid w:val="0"/>
          <w:sz w:val="28"/>
          <w:szCs w:val="32"/>
        </w:rPr>
        <w:t>分。</w:t>
      </w:r>
    </w:p>
    <w:p>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B23招投标过程规范性：</w:t>
      </w:r>
      <w:r>
        <w:rPr>
          <w:rFonts w:hint="eastAsia" w:ascii="Times New Roman" w:hAnsi="Times New Roman" w:eastAsia="仿宋"/>
          <w:snapToGrid w:val="0"/>
          <w:sz w:val="28"/>
          <w:szCs w:val="32"/>
          <w:lang w:val="en-US" w:eastAsia="zh-CN"/>
        </w:rPr>
        <w:t>满分2.00分，得分2.00分。该指标分析评价项目招投标过程是否合规。根据古县交通运输局、旧县镇人民政府提供的资料，评价组现场调研了解到，旧县镇“四好农村路”建设项目中，</w:t>
      </w:r>
      <w:r>
        <w:rPr>
          <w:rFonts w:hint="eastAsia" w:ascii="Times New Roman" w:hAnsi="Times New Roman" w:eastAsia="仿宋" w:cs="Times New Roman"/>
          <w:bCs/>
          <w:sz w:val="28"/>
          <w:szCs w:val="28"/>
          <w:lang w:val="en-US" w:eastAsia="zh-CN"/>
        </w:rPr>
        <w:t>项目组实地查看和审核项目招投标过程资料，包括招标公告、评标程序、评标方法、评标委员会签字、投标文件，资料完整</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B24监理过程规范性：</w:t>
      </w:r>
      <w:r>
        <w:rPr>
          <w:rFonts w:hint="eastAsia" w:ascii="Times New Roman" w:hAnsi="Times New Roman" w:eastAsia="仿宋"/>
          <w:snapToGrid w:val="0"/>
          <w:sz w:val="28"/>
          <w:szCs w:val="32"/>
          <w:lang w:val="en-US" w:eastAsia="zh-CN"/>
        </w:rPr>
        <w:t>满分2.00分，得分2.00分。该指标分析评价项目建立过程是否合规。</w:t>
      </w:r>
      <w:r>
        <w:rPr>
          <w:rFonts w:hint="eastAsia" w:ascii="Times New Roman" w:hAnsi="Times New Roman" w:eastAsia="仿宋" w:cs="Times New Roman"/>
          <w:bCs/>
          <w:sz w:val="28"/>
          <w:szCs w:val="28"/>
          <w:lang w:val="en-US" w:eastAsia="zh-CN"/>
        </w:rPr>
        <w:t>审核项目监理过程资料，包括监理日志、监理报告、监理细则、监理人执业证书，资料均齐全；同时项目实施过程中的各分工程的进度申报等资料上均有监理单位监理人的签字和盖章</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pPr>
        <w:widowControl/>
        <w:spacing w:line="500" w:lineRule="exact"/>
        <w:ind w:firstLine="562" w:firstLineChars="200"/>
        <w:rPr>
          <w:rFonts w:ascii="Times New Roman" w:hAnsi="Times New Roman" w:eastAsia="仿宋"/>
          <w:snapToGrid w:val="0"/>
          <w:sz w:val="28"/>
          <w:szCs w:val="32"/>
        </w:rPr>
      </w:pPr>
      <w:r>
        <w:rPr>
          <w:rFonts w:hint="eastAsia" w:ascii="Times New Roman" w:hAnsi="Times New Roman" w:eastAsia="仿宋"/>
          <w:b/>
          <w:bCs/>
          <w:snapToGrid w:val="0"/>
          <w:sz w:val="28"/>
          <w:szCs w:val="32"/>
          <w:lang w:val="en-US" w:eastAsia="zh-CN"/>
        </w:rPr>
        <w:t>B25安全事故发生率：</w:t>
      </w:r>
      <w:r>
        <w:rPr>
          <w:rFonts w:hint="eastAsia" w:ascii="Times New Roman" w:hAnsi="Times New Roman" w:eastAsia="仿宋"/>
          <w:snapToGrid w:val="0"/>
          <w:sz w:val="28"/>
          <w:szCs w:val="32"/>
          <w:lang w:val="en-US" w:eastAsia="zh-CN"/>
        </w:rPr>
        <w:t>满分2.00分，得分2.00分。该指标分析评价项目实施过程中是否存在安全事故发生。根据古县交通运输局提供的资料，评价组现场调研了解到，旧县镇“四好农村路”建设项目中，项目单位制定了一系列行之有效的安全管理办法及措施，使安全工作处于制度化、规范化管理之中，整个工程施工过程中没有出现安全责任事故。</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snapToGrid w:val="0"/>
          <w:sz w:val="28"/>
          <w:szCs w:val="32"/>
          <w:lang w:eastAsia="zh-CN"/>
        </w:rPr>
        <w:t>。</w:t>
      </w:r>
    </w:p>
    <w:p>
      <w:pPr>
        <w:widowControl/>
        <w:spacing w:line="500" w:lineRule="exact"/>
        <w:ind w:firstLine="562" w:firstLineChars="200"/>
        <w:outlineLvl w:val="2"/>
        <w:rPr>
          <w:rFonts w:ascii="Times New Roman" w:hAnsi="Times New Roman" w:eastAsia="仿宋"/>
          <w:b/>
          <w:snapToGrid w:val="0"/>
          <w:sz w:val="28"/>
          <w:szCs w:val="32"/>
        </w:rPr>
      </w:pPr>
      <w:bookmarkStart w:id="142" w:name="_Toc29696"/>
      <w:bookmarkStart w:id="143" w:name="_Toc528684143"/>
      <w:bookmarkStart w:id="144" w:name="_Toc528680468"/>
      <w:bookmarkStart w:id="145" w:name="_Toc18832"/>
      <w:bookmarkStart w:id="146" w:name="_Toc30077"/>
      <w:bookmarkStart w:id="147" w:name="_Toc30459"/>
      <w:bookmarkStart w:id="148" w:name="_Toc11431"/>
      <w:bookmarkStart w:id="149" w:name="_Toc18513"/>
      <w:bookmarkStart w:id="150" w:name="_Toc8777"/>
      <w:r>
        <w:rPr>
          <w:rFonts w:ascii="Times New Roman" w:hAnsi="Times New Roman" w:eastAsia="仿宋"/>
          <w:b/>
          <w:snapToGrid w:val="0"/>
          <w:sz w:val="28"/>
          <w:szCs w:val="32"/>
        </w:rPr>
        <w:t>3.产出分析</w:t>
      </w:r>
      <w:bookmarkEnd w:id="142"/>
      <w:bookmarkEnd w:id="143"/>
      <w:bookmarkEnd w:id="144"/>
      <w:bookmarkEnd w:id="145"/>
      <w:bookmarkEnd w:id="146"/>
      <w:bookmarkEnd w:id="147"/>
      <w:bookmarkEnd w:id="148"/>
      <w:bookmarkEnd w:id="149"/>
      <w:bookmarkEnd w:id="150"/>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产出类指标主要从</w:t>
      </w:r>
      <w:r>
        <w:rPr>
          <w:rFonts w:hint="eastAsia" w:ascii="Times New Roman" w:hAnsi="Times New Roman" w:eastAsia="仿宋"/>
          <w:snapToGrid w:val="0"/>
          <w:sz w:val="28"/>
          <w:szCs w:val="32"/>
        </w:rPr>
        <w:t>项目完成情况</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质量达标</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完成及时性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成本控制能力</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个指标考察该项目产出数量、产出质量、产出时效。产出类指标权重30.00分，实际得分</w:t>
      </w:r>
      <w:r>
        <w:rPr>
          <w:rFonts w:hint="eastAsia" w:ascii="Times New Roman" w:hAnsi="Times New Roman" w:eastAsia="仿宋"/>
          <w:snapToGrid w:val="0"/>
          <w:sz w:val="28"/>
          <w:szCs w:val="32"/>
          <w:lang w:val="en-US" w:eastAsia="zh-CN"/>
        </w:rPr>
        <w:t>26.</w:t>
      </w:r>
      <w:r>
        <w:rPr>
          <w:rFonts w:ascii="Times New Roman" w:hAnsi="Times New Roman" w:eastAsia="仿宋"/>
          <w:snapToGrid w:val="0"/>
          <w:sz w:val="28"/>
          <w:szCs w:val="32"/>
        </w:rPr>
        <w:t>00分。指标得分情况如表4-3所示：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068"/>
        <w:gridCol w:w="2860"/>
        <w:gridCol w:w="1000"/>
        <w:gridCol w:w="1000"/>
        <w:gridCol w:w="15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286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100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100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594"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vAlign w:val="center"/>
          </w:tcPr>
          <w:p>
            <w:pPr>
              <w:jc w:val="center"/>
              <w:rPr>
                <w:rFonts w:ascii="Times New Roman" w:hAnsi="Times New Roman" w:eastAsia="仿宋"/>
                <w:bCs/>
                <w:sz w:val="24"/>
              </w:rPr>
            </w:pPr>
            <w:r>
              <w:rPr>
                <w:rFonts w:ascii="Times New Roman" w:hAnsi="Times New Roman" w:eastAsia="仿宋"/>
                <w:bCs/>
                <w:sz w:val="24"/>
              </w:rPr>
              <w:t>C1项目产出</w:t>
            </w: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C11项目完成情况</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594"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C21质量达标</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59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C31完成及时性</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4.00</w:t>
            </w:r>
          </w:p>
        </w:tc>
        <w:tc>
          <w:tcPr>
            <w:tcW w:w="159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jc w:val="center"/>
              <w:rPr>
                <w:rFonts w:ascii="Times New Roman" w:hAnsi="Times New Roman" w:eastAsia="仿宋"/>
                <w:bCs/>
                <w:sz w:val="24"/>
              </w:rPr>
            </w:pPr>
          </w:p>
        </w:tc>
        <w:tc>
          <w:tcPr>
            <w:tcW w:w="2860" w:type="dxa"/>
            <w:vAlign w:val="center"/>
          </w:tcPr>
          <w:p>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C41成本控制能力</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6.00</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6.00</w:t>
            </w:r>
          </w:p>
        </w:tc>
        <w:tc>
          <w:tcPr>
            <w:tcW w:w="159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4928"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1000"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00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26.00</w:t>
            </w:r>
          </w:p>
        </w:tc>
        <w:tc>
          <w:tcPr>
            <w:tcW w:w="1594"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86.67%</w:t>
            </w:r>
          </w:p>
        </w:tc>
      </w:tr>
    </w:tbl>
    <w:p>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（1）项目产出</w:t>
      </w:r>
    </w:p>
    <w:p>
      <w:pPr>
        <w:widowControl w:val="0"/>
        <w:numPr>
          <w:ilvl w:val="0"/>
          <w:numId w:val="0"/>
        </w:numPr>
        <w:spacing w:line="500" w:lineRule="exact"/>
        <w:ind w:firstLine="562"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b/>
          <w:bCs w:val="0"/>
          <w:snapToGrid w:val="0"/>
          <w:sz w:val="28"/>
          <w:szCs w:val="32"/>
        </w:rPr>
        <w:t>C11项目</w:t>
      </w:r>
      <w:r>
        <w:rPr>
          <w:rFonts w:hint="eastAsia" w:ascii="Times New Roman" w:hAnsi="Times New Roman" w:eastAsia="仿宋"/>
          <w:b/>
          <w:bCs w:val="0"/>
          <w:snapToGrid w:val="0"/>
          <w:sz w:val="28"/>
          <w:szCs w:val="32"/>
          <w:lang w:val="en-US" w:eastAsia="zh-CN"/>
        </w:rPr>
        <w:t>完成情况</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该指标考察项目</w:t>
      </w:r>
      <w:r>
        <w:rPr>
          <w:rFonts w:hint="eastAsia" w:ascii="Times New Roman" w:hAnsi="Times New Roman" w:eastAsia="仿宋"/>
          <w:b w:val="0"/>
          <w:bCs/>
          <w:snapToGrid w:val="0"/>
          <w:sz w:val="28"/>
          <w:szCs w:val="32"/>
          <w:lang w:val="en-US" w:eastAsia="zh-CN"/>
        </w:rPr>
        <w:t>实际完成情况</w:t>
      </w:r>
      <w:r>
        <w:rPr>
          <w:rFonts w:hint="eastAsia" w:ascii="Times New Roman" w:hAnsi="Times New Roman" w:eastAsia="仿宋"/>
          <w:b w:val="0"/>
          <w:bCs/>
          <w:snapToGrid w:val="0"/>
          <w:sz w:val="28"/>
          <w:szCs w:val="32"/>
        </w:rPr>
        <w:t>。</w:t>
      </w:r>
      <w:r>
        <w:rPr>
          <w:rFonts w:hint="eastAsia" w:ascii="Times New Roman" w:hAnsi="Times New Roman" w:eastAsia="仿宋" w:cs="Times New Roman"/>
          <w:sz w:val="28"/>
          <w:szCs w:val="24"/>
          <w:lang w:val="en-US" w:eastAsia="zh-CN"/>
        </w:rPr>
        <w:t>古县旧县镇“四好农村路”建设项目涉及11条路全部完成，其中：①旧县道窄路基拓宽部分、旧县道畅返不畅建设6条路；②2019年畅返不畅整治工程5条路。</w:t>
      </w:r>
    </w:p>
    <w:p>
      <w:pPr>
        <w:widowControl w:val="0"/>
        <w:numPr>
          <w:ilvl w:val="0"/>
          <w:numId w:val="0"/>
        </w:numPr>
        <w:spacing w:line="500" w:lineRule="exact"/>
        <w:ind w:firstLine="560" w:firstLineChars="200"/>
        <w:jc w:val="both"/>
        <w:rPr>
          <w:rFonts w:hint="eastAsia" w:ascii="Times New Roman" w:hAnsi="Times New Roman" w:eastAsia="仿宋"/>
          <w:b w:val="0"/>
          <w:bCs/>
          <w:snapToGrid w:val="0"/>
          <w:sz w:val="28"/>
          <w:szCs w:val="32"/>
        </w:rPr>
      </w:pPr>
      <w:r>
        <w:rPr>
          <w:rFonts w:hint="eastAsia" w:ascii="Times New Roman" w:hAnsi="Times New Roman" w:eastAsia="仿宋" w:cs="Times New Roman"/>
          <w:sz w:val="28"/>
          <w:szCs w:val="24"/>
          <w:lang w:val="en-US" w:eastAsia="zh-CN"/>
        </w:rPr>
        <w:t>截止2022年3月1日，项目涉及11条路全部交工验收。</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21质量达标</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该指标分析评价核项目在竣工后，质量是否达到有关规定及设计要求</w:t>
      </w:r>
      <w:r>
        <w:rPr>
          <w:rFonts w:hint="eastAsia" w:ascii="Times New Roman" w:hAnsi="Times New Roman" w:eastAsia="仿宋"/>
          <w:b w:val="0"/>
          <w:bCs/>
          <w:snapToGrid w:val="0"/>
          <w:sz w:val="28"/>
          <w:szCs w:val="32"/>
          <w:lang w:val="en-US" w:eastAsia="zh-CN"/>
        </w:rPr>
        <w:t>。旧县镇“四好农村路”建设项目公路设计符合《公路工程技术标准》（JTGB01-2014）、《公路沥青路面设计规范》（JTG50-2006）、《公路水泥混凝土设计规范》（JTGD40-2011）等有关规定和要求，同时施工无较大变动，且满足沿线村民生产生活需要；公路监理按照监理职责，保障工程施工符合《山西省农村公路建设技术标准》等相关工程标准，并且施工过程中无重大事故发生；项目验收质量合格。根据评分标准，该项得满分。</w:t>
      </w:r>
    </w:p>
    <w:p>
      <w:pPr>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31完成及时性</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满分8.00分，得分4.00分。</w:t>
      </w:r>
      <w:r>
        <w:rPr>
          <w:rFonts w:hint="eastAsia" w:ascii="Times New Roman" w:hAnsi="Times New Roman" w:eastAsia="仿宋"/>
          <w:b w:val="0"/>
          <w:bCs/>
          <w:snapToGrid w:val="0"/>
          <w:sz w:val="28"/>
          <w:szCs w:val="32"/>
        </w:rPr>
        <w:t>该指标考察项目是否在约定时间范围内</w:t>
      </w:r>
      <w:r>
        <w:rPr>
          <w:rFonts w:hint="eastAsia" w:ascii="Times New Roman" w:hAnsi="Times New Roman" w:eastAsia="仿宋"/>
          <w:b w:val="0"/>
          <w:bCs/>
          <w:snapToGrid w:val="0"/>
          <w:sz w:val="28"/>
          <w:szCs w:val="32"/>
          <w:lang w:val="en-US" w:eastAsia="zh-CN"/>
        </w:rPr>
        <w:t>完成</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根据古县交通运输局、旧县镇人民政府提供的资料，评价组现场调研了解到，古县旧县镇“四好农村路”建设项目涉及11条路，分为两个部分；其中：①旧县道窄路基拓宽部分、旧县道畅返不畅建设6条路：合同工期：180天、实际工期：270天，项目超期；②2019年畅返不畅整治工程5条路：合同工期：180天，实际工期：80天，项目完成及时。</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4.00</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41成本控制能力</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满分6.00分，得分6.00分。</w:t>
      </w:r>
      <w:r>
        <w:rPr>
          <w:rFonts w:hint="eastAsia" w:ascii="Times New Roman" w:hAnsi="Times New Roman" w:eastAsia="仿宋"/>
          <w:b w:val="0"/>
          <w:bCs/>
          <w:snapToGrid w:val="0"/>
          <w:sz w:val="28"/>
          <w:szCs w:val="32"/>
        </w:rPr>
        <w:t>该指标考察是否对项目成本进行了有效的控制。</w:t>
      </w:r>
      <w:r>
        <w:rPr>
          <w:rFonts w:hint="eastAsia" w:ascii="Times New Roman" w:hAnsi="Times New Roman" w:eastAsia="仿宋"/>
          <w:b w:val="0"/>
          <w:bCs/>
          <w:snapToGrid w:val="0"/>
          <w:sz w:val="28"/>
          <w:szCs w:val="32"/>
          <w:lang w:val="en-US" w:eastAsia="zh-CN"/>
        </w:rPr>
        <w:t>根据古县交通运输局提供的资料，评价组现场调研了解到，旧县镇“四好农村路”建设项目未发现超支现象</w:t>
      </w:r>
      <w:r>
        <w:rPr>
          <w:rFonts w:hint="eastAsia" w:ascii="仿宋" w:hAnsi="仿宋" w:eastAsia="仿宋" w:cs="仿宋"/>
          <w:b w:val="0"/>
          <w:bCs w:val="0"/>
          <w:color w:val="000000"/>
          <w:kern w:val="0"/>
          <w:sz w:val="28"/>
          <w:szCs w:val="28"/>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pPr>
        <w:spacing w:line="500" w:lineRule="exact"/>
        <w:ind w:firstLine="562" w:firstLineChars="200"/>
        <w:outlineLvl w:val="2"/>
        <w:rPr>
          <w:rFonts w:ascii="Times New Roman" w:hAnsi="Times New Roman" w:eastAsia="仿宋"/>
          <w:b/>
          <w:snapToGrid w:val="0"/>
          <w:sz w:val="28"/>
          <w:szCs w:val="32"/>
        </w:rPr>
      </w:pPr>
      <w:bookmarkStart w:id="151" w:name="_Toc528680469"/>
      <w:bookmarkStart w:id="152" w:name="_Toc22268"/>
      <w:bookmarkStart w:id="153" w:name="_Toc31873"/>
      <w:bookmarkStart w:id="154" w:name="_Toc18218"/>
      <w:bookmarkStart w:id="155" w:name="_Toc528684144"/>
      <w:bookmarkStart w:id="156" w:name="_Toc18049"/>
      <w:bookmarkStart w:id="157" w:name="_Toc3665"/>
      <w:bookmarkStart w:id="158" w:name="_Toc19098"/>
      <w:bookmarkStart w:id="159" w:name="_Toc3853"/>
      <w:r>
        <w:rPr>
          <w:rFonts w:ascii="Times New Roman" w:hAnsi="Times New Roman" w:eastAsia="仿宋"/>
          <w:b/>
          <w:snapToGrid w:val="0"/>
          <w:sz w:val="28"/>
          <w:szCs w:val="32"/>
        </w:rPr>
        <w:t>4.效益分析</w:t>
      </w:r>
      <w:bookmarkEnd w:id="151"/>
      <w:bookmarkEnd w:id="152"/>
      <w:bookmarkEnd w:id="153"/>
      <w:bookmarkEnd w:id="154"/>
      <w:bookmarkEnd w:id="155"/>
      <w:bookmarkEnd w:id="156"/>
      <w:bookmarkEnd w:id="157"/>
      <w:bookmarkEnd w:id="158"/>
      <w:bookmarkEnd w:id="159"/>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效益类指标主要从</w:t>
      </w:r>
      <w:r>
        <w:rPr>
          <w:rFonts w:hint="eastAsia" w:ascii="Times New Roman" w:hAnsi="Times New Roman" w:eastAsia="仿宋"/>
          <w:snapToGrid w:val="0"/>
          <w:sz w:val="28"/>
          <w:szCs w:val="32"/>
          <w:lang w:val="en-US" w:eastAsia="zh-CN"/>
        </w:rPr>
        <w:t>社会效益、生态效益</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工程运行管理</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受益群众</w:t>
      </w:r>
      <w:r>
        <w:rPr>
          <w:rFonts w:hint="eastAsia" w:ascii="Times New Roman" w:hAnsi="Times New Roman" w:eastAsia="仿宋"/>
          <w:snapToGrid w:val="0"/>
          <w:sz w:val="28"/>
          <w:szCs w:val="32"/>
        </w:rPr>
        <w:t>满意度</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个指标考察该项目的社会效益、</w:t>
      </w:r>
      <w:r>
        <w:rPr>
          <w:rFonts w:hint="eastAsia" w:ascii="Times New Roman" w:hAnsi="Times New Roman" w:eastAsia="仿宋"/>
          <w:snapToGrid w:val="0"/>
          <w:sz w:val="28"/>
          <w:szCs w:val="32"/>
          <w:lang w:val="en-US" w:eastAsia="zh-CN"/>
        </w:rPr>
        <w:t>生态效益、</w:t>
      </w:r>
      <w:r>
        <w:rPr>
          <w:rFonts w:ascii="Times New Roman" w:hAnsi="Times New Roman" w:eastAsia="仿宋"/>
          <w:snapToGrid w:val="0"/>
          <w:sz w:val="28"/>
          <w:szCs w:val="32"/>
        </w:rPr>
        <w:t>可持续影响、服务对象满意度情况。效益类指标权重30.00分，实际得分</w:t>
      </w:r>
      <w:r>
        <w:rPr>
          <w:rFonts w:hint="eastAsia" w:ascii="Times New Roman" w:hAnsi="Times New Roman" w:eastAsia="仿宋"/>
          <w:snapToGrid w:val="0"/>
          <w:sz w:val="28"/>
          <w:szCs w:val="32"/>
          <w:lang w:val="en-US" w:eastAsia="zh-CN"/>
        </w:rPr>
        <w:t>25.00</w:t>
      </w:r>
      <w:r>
        <w:rPr>
          <w:rFonts w:ascii="Times New Roman" w:hAnsi="Times New Roman" w:eastAsia="仿宋"/>
          <w:snapToGrid w:val="0"/>
          <w:sz w:val="28"/>
          <w:szCs w:val="32"/>
        </w:rPr>
        <w:t>分。指标得分情况如表4-4所示：</w:t>
      </w:r>
    </w:p>
    <w:p>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表4-4 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552"/>
        <w:gridCol w:w="2950"/>
        <w:gridCol w:w="840"/>
        <w:gridCol w:w="840"/>
        <w:gridCol w:w="13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二级指标</w:t>
            </w:r>
          </w:p>
        </w:tc>
        <w:tc>
          <w:tcPr>
            <w:tcW w:w="295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三级指标</w:t>
            </w:r>
          </w:p>
        </w:tc>
        <w:tc>
          <w:tcPr>
            <w:tcW w:w="8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权重</w:t>
            </w:r>
          </w:p>
        </w:tc>
        <w:tc>
          <w:tcPr>
            <w:tcW w:w="8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w:t>
            </w:r>
          </w:p>
        </w:tc>
        <w:tc>
          <w:tcPr>
            <w:tcW w:w="1340" w:type="dxa"/>
            <w:shd w:val="clear" w:color="auto" w:fill="BFBFBF"/>
            <w:vAlign w:val="center"/>
          </w:tcPr>
          <w:p>
            <w:pPr>
              <w:jc w:val="center"/>
              <w:rPr>
                <w:rFonts w:ascii="Times New Roman" w:hAnsi="Times New Roman" w:eastAsia="仿宋"/>
                <w:b/>
                <w:bCs/>
                <w:sz w:val="24"/>
              </w:rPr>
            </w:pPr>
            <w:r>
              <w:rPr>
                <w:rFonts w:ascii="Times New Roman" w:hAnsi="Times New Roman" w:eastAsia="仿宋"/>
                <w:b/>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pPr>
              <w:jc w:val="center"/>
              <w:rPr>
                <w:rFonts w:ascii="Times New Roman" w:hAnsi="Times New Roman" w:eastAsia="仿宋"/>
                <w:bCs/>
                <w:sz w:val="24"/>
              </w:rPr>
            </w:pPr>
            <w:r>
              <w:rPr>
                <w:rFonts w:ascii="Times New Roman" w:hAnsi="Times New Roman" w:eastAsia="仿宋"/>
                <w:bCs/>
                <w:sz w:val="24"/>
              </w:rPr>
              <w:t>D1社会效益</w:t>
            </w:r>
          </w:p>
        </w:tc>
        <w:tc>
          <w:tcPr>
            <w:tcW w:w="295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D11社会效益</w:t>
            </w:r>
          </w:p>
        </w:tc>
        <w:tc>
          <w:tcPr>
            <w:tcW w:w="8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8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1340"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D2生态效益</w:t>
            </w:r>
          </w:p>
        </w:tc>
        <w:tc>
          <w:tcPr>
            <w:tcW w:w="295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D21生态效益</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13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552" w:type="dxa"/>
            <w:vAlign w:val="center"/>
          </w:tcPr>
          <w:p>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3</w:t>
            </w:r>
            <w:r>
              <w:rPr>
                <w:rFonts w:ascii="Times New Roman" w:hAnsi="Times New Roman" w:eastAsia="仿宋"/>
                <w:bCs/>
                <w:sz w:val="24"/>
              </w:rPr>
              <w:t>可持续影响</w:t>
            </w:r>
          </w:p>
        </w:tc>
        <w:tc>
          <w:tcPr>
            <w:tcW w:w="295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D31工程运行管理</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13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4</w:t>
            </w:r>
            <w:r>
              <w:rPr>
                <w:rFonts w:ascii="Times New Roman" w:hAnsi="Times New Roman" w:eastAsia="仿宋"/>
                <w:bCs/>
                <w:sz w:val="24"/>
              </w:rPr>
              <w:t>服务对象满意度</w:t>
            </w:r>
          </w:p>
        </w:tc>
        <w:tc>
          <w:tcPr>
            <w:tcW w:w="295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D41受益群众满意度</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1340" w:type="dxa"/>
            <w:vAlign w:val="center"/>
          </w:tcPr>
          <w:p>
            <w:pPr>
              <w:jc w:val="center"/>
              <w:rPr>
                <w:rFonts w:ascii="Times New Roman" w:hAnsi="Times New Roman" w:eastAsia="仿宋"/>
                <w:bCs/>
                <w:sz w:val="24"/>
              </w:rPr>
            </w:pPr>
            <w:r>
              <w:rPr>
                <w:rFonts w:ascii="Times New Roman" w:hAnsi="Times New Roman" w:eastAsia="仿宋"/>
                <w:bCs/>
                <w:sz w:val="24"/>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502" w:type="dxa"/>
            <w:gridSpan w:val="2"/>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840"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840"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25.00</w:t>
            </w:r>
          </w:p>
        </w:tc>
        <w:tc>
          <w:tcPr>
            <w:tcW w:w="1340"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83.33</w:t>
            </w:r>
            <w:r>
              <w:rPr>
                <w:rFonts w:ascii="Times New Roman" w:hAnsi="Times New Roman" w:eastAsia="仿宋"/>
                <w:bCs/>
                <w:sz w:val="24"/>
              </w:rPr>
              <w:t>%</w:t>
            </w:r>
          </w:p>
        </w:tc>
      </w:tr>
    </w:tbl>
    <w:p>
      <w:pPr>
        <w:widowControl/>
        <w:spacing w:line="500" w:lineRule="exact"/>
        <w:ind w:firstLine="562" w:firstLineChars="200"/>
        <w:rPr>
          <w:rFonts w:hint="eastAsia" w:ascii="Times New Roman" w:hAnsi="Times New Roman" w:eastAsia="仿宋"/>
          <w:b/>
          <w:snapToGrid w:val="0"/>
          <w:sz w:val="28"/>
          <w:szCs w:val="32"/>
        </w:rPr>
      </w:pPr>
      <w:r>
        <w:rPr>
          <w:rFonts w:hint="eastAsia" w:ascii="Times New Roman" w:hAnsi="Times New Roman" w:eastAsia="仿宋"/>
          <w:b/>
          <w:snapToGrid w:val="0"/>
          <w:sz w:val="28"/>
          <w:szCs w:val="32"/>
        </w:rPr>
        <w:t>D11</w:t>
      </w:r>
      <w:r>
        <w:rPr>
          <w:rFonts w:hint="eastAsia" w:ascii="Times New Roman" w:hAnsi="Times New Roman" w:eastAsia="仿宋"/>
          <w:b/>
          <w:snapToGrid w:val="0"/>
          <w:sz w:val="28"/>
          <w:szCs w:val="32"/>
          <w:lang w:val="en-US" w:eastAsia="zh-CN"/>
        </w:rPr>
        <w:t>社会效益</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满分5.00分，得分5.00分。该指标</w:t>
      </w:r>
      <w:r>
        <w:rPr>
          <w:rFonts w:hint="eastAsia" w:ascii="Times New Roman" w:hAnsi="Times New Roman" w:eastAsia="仿宋"/>
          <w:b w:val="0"/>
          <w:bCs/>
          <w:snapToGrid w:val="0"/>
          <w:sz w:val="28"/>
          <w:szCs w:val="32"/>
        </w:rPr>
        <w:t>主要考核项目完成后</w:t>
      </w:r>
      <w:r>
        <w:rPr>
          <w:rFonts w:hint="eastAsia" w:ascii="Times New Roman" w:hAnsi="Times New Roman" w:eastAsia="仿宋"/>
          <w:b w:val="0"/>
          <w:bCs/>
          <w:snapToGrid w:val="0"/>
          <w:sz w:val="28"/>
          <w:szCs w:val="32"/>
          <w:lang w:val="en-US" w:eastAsia="zh-CN"/>
        </w:rPr>
        <w:t>的社会效益</w:t>
      </w:r>
      <w:r>
        <w:rPr>
          <w:rFonts w:hint="eastAsia" w:ascii="Times New Roman" w:hAnsi="Times New Roman" w:eastAsia="仿宋"/>
          <w:b w:val="0"/>
          <w:bCs/>
          <w:snapToGrid w:val="0"/>
          <w:sz w:val="28"/>
          <w:szCs w:val="32"/>
        </w:rPr>
        <w:t>。根据</w:t>
      </w:r>
      <w:r>
        <w:rPr>
          <w:rFonts w:hint="eastAsia" w:ascii="Times New Roman" w:hAnsi="Times New Roman" w:eastAsia="仿宋"/>
          <w:b w:val="0"/>
          <w:bCs/>
          <w:snapToGrid w:val="0"/>
          <w:sz w:val="28"/>
          <w:szCs w:val="32"/>
          <w:lang w:eastAsia="zh-CN"/>
        </w:rPr>
        <w:t>古县交通运输局</w:t>
      </w:r>
      <w:r>
        <w:rPr>
          <w:rFonts w:hint="eastAsia" w:ascii="Times New Roman" w:hAnsi="Times New Roman" w:eastAsia="仿宋"/>
          <w:b w:val="0"/>
          <w:bCs/>
          <w:snapToGrid w:val="0"/>
          <w:sz w:val="28"/>
          <w:szCs w:val="32"/>
        </w:rPr>
        <w:t>提供的资料，评价组现场调研了解到，</w:t>
      </w:r>
      <w:r>
        <w:rPr>
          <w:rFonts w:hint="eastAsia" w:ascii="Times New Roman" w:hAnsi="Times New Roman" w:eastAsia="仿宋"/>
          <w:b w:val="0"/>
          <w:bCs/>
          <w:snapToGrid w:val="0"/>
          <w:sz w:val="28"/>
          <w:szCs w:val="32"/>
          <w:lang w:eastAsia="zh-CN"/>
        </w:rPr>
        <w:t>旧县镇“四好农村路”建设项目</w:t>
      </w:r>
      <w:r>
        <w:rPr>
          <w:rFonts w:hint="eastAsia" w:ascii="Times New Roman" w:hAnsi="Times New Roman" w:eastAsia="仿宋"/>
          <w:b w:val="0"/>
          <w:bCs/>
          <w:snapToGrid w:val="0"/>
          <w:sz w:val="28"/>
          <w:szCs w:val="32"/>
          <w:lang w:val="en-US" w:eastAsia="zh-CN"/>
        </w:rPr>
        <w:t>实施完成后，能有效改善农村交通出行条件，完善路网结构，减少拥堵、通行时间缩短10%以上；改善区域投资环境，促进城乡协调发展，维护社会发展公平，提高政府威信等，为实施乡村振兴、脱贫攻坚重大战略提供交通支撑。根据</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b w:val="0"/>
          <w:bCs w:val="0"/>
          <w:snapToGrid w:val="0"/>
          <w:sz w:val="28"/>
          <w:szCs w:val="32"/>
        </w:rPr>
        <w:t>分</w:t>
      </w:r>
      <w:r>
        <w:rPr>
          <w:rFonts w:hint="eastAsia" w:ascii="Times New Roman" w:hAnsi="Times New Roman" w:eastAsia="仿宋"/>
          <w:b w:val="0"/>
          <w:bCs w:val="0"/>
          <w:snapToGrid w:val="0"/>
          <w:sz w:val="28"/>
          <w:szCs w:val="32"/>
        </w:rPr>
        <w:t>。</w:t>
      </w:r>
    </w:p>
    <w:p>
      <w:pPr>
        <w:widowControl/>
        <w:spacing w:line="500" w:lineRule="exact"/>
        <w:ind w:firstLine="562" w:firstLineChars="200"/>
        <w:rPr>
          <w:rFonts w:hint="eastAsia" w:ascii="Times New Roman" w:hAnsi="Times New Roman" w:eastAsia="仿宋"/>
          <w:b/>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21生态效益</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满分5.00分，得分5.00分。</w:t>
      </w:r>
      <w:r>
        <w:rPr>
          <w:rFonts w:hint="eastAsia" w:ascii="Times New Roman" w:hAnsi="Times New Roman" w:eastAsia="仿宋"/>
          <w:b w:val="0"/>
          <w:bCs/>
          <w:snapToGrid w:val="0"/>
          <w:sz w:val="28"/>
          <w:szCs w:val="32"/>
        </w:rPr>
        <w:t>该指标项目完成后是否对</w:t>
      </w:r>
      <w:r>
        <w:rPr>
          <w:rFonts w:hint="eastAsia" w:ascii="Times New Roman" w:hAnsi="Times New Roman" w:eastAsia="仿宋"/>
          <w:b w:val="0"/>
          <w:bCs/>
          <w:snapToGrid w:val="0"/>
          <w:sz w:val="28"/>
          <w:szCs w:val="32"/>
          <w:lang w:val="en-US" w:eastAsia="zh-CN"/>
        </w:rPr>
        <w:t>生态环境有益</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项目实施完成后，道路通畅，路面整洁，减少车辆扬尘；注重生态环境保护和水土保持，周边群众对生态环境方面的投诉减少。根据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满</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31工程运行管理</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满分10.00分，得分5.00分。</w:t>
      </w:r>
      <w:r>
        <w:rPr>
          <w:rFonts w:hint="eastAsia" w:ascii="Times New Roman" w:hAnsi="Times New Roman" w:eastAsia="仿宋"/>
          <w:b w:val="0"/>
          <w:bCs/>
          <w:snapToGrid w:val="0"/>
          <w:sz w:val="28"/>
          <w:szCs w:val="32"/>
        </w:rPr>
        <w:t>考察项目建成后是否有完善的管护制度，责任是否落实到人。</w:t>
      </w:r>
      <w:r>
        <w:rPr>
          <w:rFonts w:hint="eastAsia" w:ascii="Times New Roman" w:hAnsi="Times New Roman" w:eastAsia="仿宋"/>
          <w:b w:val="0"/>
          <w:bCs/>
          <w:snapToGrid w:val="0"/>
          <w:sz w:val="28"/>
          <w:szCs w:val="32"/>
          <w:lang w:val="en-US" w:eastAsia="zh-CN"/>
        </w:rPr>
        <w:t>根据古县交通运输局、旧县镇人民政府提供的资料，评价组现场调研了解到，项目交工验收后，由项目法人单位旧县镇人民政府负责后续管护；但旧县镇人民政府尚未建</w:t>
      </w:r>
      <w:r>
        <w:rPr>
          <w:rFonts w:hint="eastAsia" w:ascii="Times New Roman" w:hAnsi="Times New Roman" w:eastAsia="仿宋"/>
          <w:b w:val="0"/>
          <w:bCs/>
          <w:snapToGrid w:val="0"/>
          <w:sz w:val="28"/>
          <w:szCs w:val="32"/>
        </w:rPr>
        <w:t>立农村公路养护管理相关制度，</w:t>
      </w:r>
      <w:r>
        <w:rPr>
          <w:rFonts w:hint="eastAsia" w:ascii="Times New Roman" w:hAnsi="Times New Roman" w:eastAsia="仿宋"/>
          <w:b w:val="0"/>
          <w:bCs/>
          <w:snapToGrid w:val="0"/>
          <w:sz w:val="28"/>
          <w:szCs w:val="32"/>
          <w:lang w:val="en-US" w:eastAsia="zh-CN"/>
        </w:rPr>
        <w:t>未提供</w:t>
      </w:r>
      <w:r>
        <w:rPr>
          <w:rFonts w:hint="eastAsia" w:ascii="Times New Roman" w:hAnsi="Times New Roman" w:eastAsia="仿宋"/>
          <w:b w:val="0"/>
          <w:bCs/>
          <w:snapToGrid w:val="0"/>
          <w:sz w:val="28"/>
          <w:szCs w:val="32"/>
        </w:rPr>
        <w:t>明确</w:t>
      </w:r>
      <w:r>
        <w:rPr>
          <w:rFonts w:hint="eastAsia" w:ascii="Times New Roman" w:hAnsi="Times New Roman" w:eastAsia="仿宋"/>
          <w:b w:val="0"/>
          <w:bCs/>
          <w:snapToGrid w:val="0"/>
          <w:sz w:val="28"/>
          <w:szCs w:val="32"/>
          <w:lang w:val="en-US" w:eastAsia="zh-CN"/>
        </w:rPr>
        <w:t>的</w:t>
      </w:r>
      <w:r>
        <w:rPr>
          <w:rFonts w:hint="eastAsia" w:ascii="Times New Roman" w:hAnsi="Times New Roman" w:eastAsia="仿宋"/>
          <w:b w:val="0"/>
          <w:bCs/>
          <w:snapToGrid w:val="0"/>
          <w:sz w:val="28"/>
          <w:szCs w:val="32"/>
        </w:rPr>
        <w:t>养护人员及职责；养护资金</w:t>
      </w:r>
      <w:r>
        <w:rPr>
          <w:rFonts w:hint="eastAsia" w:ascii="Times New Roman" w:hAnsi="Times New Roman" w:eastAsia="仿宋"/>
          <w:b w:val="0"/>
          <w:bCs/>
          <w:snapToGrid w:val="0"/>
          <w:sz w:val="28"/>
          <w:szCs w:val="32"/>
          <w:lang w:val="en-US" w:eastAsia="zh-CN"/>
        </w:rPr>
        <w:t>落实情况未进行说明</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lang w:val="en-US" w:eastAsia="zh-CN"/>
        </w:rPr>
        <w:t>项目可持续性体制机制尚未建立健全。根据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5.00</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41受益群众</w:t>
      </w:r>
      <w:r>
        <w:rPr>
          <w:rFonts w:hint="eastAsia" w:ascii="Times New Roman" w:hAnsi="Times New Roman" w:eastAsia="仿宋"/>
          <w:b/>
          <w:snapToGrid w:val="0"/>
          <w:sz w:val="28"/>
          <w:szCs w:val="32"/>
        </w:rPr>
        <w:t>满意度：</w:t>
      </w:r>
      <w:r>
        <w:rPr>
          <w:rFonts w:hint="eastAsia" w:ascii="Times New Roman" w:hAnsi="Times New Roman" w:eastAsia="仿宋"/>
          <w:snapToGrid w:val="0"/>
          <w:sz w:val="28"/>
          <w:szCs w:val="32"/>
          <w:lang w:val="en-US" w:eastAsia="zh-CN"/>
        </w:rPr>
        <w:t>满分10.00分，得分10.00分。</w:t>
      </w:r>
      <w:r>
        <w:rPr>
          <w:rFonts w:hint="eastAsia" w:ascii="Times New Roman" w:hAnsi="Times New Roman" w:eastAsia="仿宋"/>
          <w:b w:val="0"/>
          <w:bCs/>
          <w:snapToGrid w:val="0"/>
          <w:sz w:val="28"/>
          <w:szCs w:val="32"/>
        </w:rPr>
        <w:t>本次调查问卷涉及的六个满意度分别为：95.60%、96.20%、98.53%、96.40%、96.07%、95.07%，整体满意度96.31%，这体现出受益群体整体对该项目比较满意</w:t>
      </w:r>
      <w:r>
        <w:rPr>
          <w:rFonts w:hint="eastAsia" w:ascii="Times New Roman" w:hAnsi="Times New Roman" w:eastAsia="仿宋"/>
          <w:b w:val="0"/>
          <w:bCs/>
          <w:snapToGrid w:val="0"/>
          <w:color w:val="000000" w:themeColor="text1"/>
          <w:sz w:val="28"/>
          <w:szCs w:val="32"/>
          <w14:textFill>
            <w14:solidFill>
              <w14:schemeClr w14:val="tx1"/>
            </w14:solidFill>
          </w14:textFill>
        </w:rPr>
        <w:t>。</w:t>
      </w:r>
      <w:r>
        <w:rPr>
          <w:rFonts w:hint="eastAsia" w:ascii="Times New Roman" w:hAnsi="Times New Roman" w:eastAsia="仿宋"/>
          <w:b w:val="0"/>
          <w:bCs/>
          <w:snapToGrid w:val="0"/>
          <w:color w:val="000000" w:themeColor="text1"/>
          <w:sz w:val="28"/>
          <w:szCs w:val="32"/>
          <w:lang w:val="en-US" w:eastAsia="zh-CN"/>
          <w14:textFill>
            <w14:solidFill>
              <w14:schemeClr w14:val="tx1"/>
            </w14:solidFill>
          </w14:textFill>
        </w:rPr>
        <w:t>根据</w:t>
      </w:r>
      <w:r>
        <w:rPr>
          <w:rFonts w:ascii="Times New Roman" w:hAnsi="Times New Roman" w:eastAsia="仿宋"/>
          <w:b w:val="0"/>
          <w:bCs/>
          <w:snapToGrid w:val="0"/>
          <w:color w:val="000000" w:themeColor="text1"/>
          <w:sz w:val="28"/>
          <w:szCs w:val="32"/>
          <w14:textFill>
            <w14:solidFill>
              <w14:schemeClr w14:val="tx1"/>
            </w14:solidFill>
          </w14:textFill>
        </w:rPr>
        <w:t>根据评分标准，该项得</w:t>
      </w:r>
      <w:r>
        <w:rPr>
          <w:rFonts w:hint="eastAsia" w:ascii="Times New Roman" w:hAnsi="Times New Roman" w:eastAsia="仿宋"/>
          <w:b w:val="0"/>
          <w:bCs/>
          <w:snapToGrid w:val="0"/>
          <w:color w:val="000000" w:themeColor="text1"/>
          <w:sz w:val="28"/>
          <w:szCs w:val="32"/>
          <w:lang w:val="en-US" w:eastAsia="zh-CN"/>
          <w14:textFill>
            <w14:solidFill>
              <w14:schemeClr w14:val="tx1"/>
            </w14:solidFill>
          </w14:textFill>
        </w:rPr>
        <w:t>满</w:t>
      </w:r>
      <w:r>
        <w:rPr>
          <w:rFonts w:ascii="Times New Roman" w:hAnsi="Times New Roman" w:eastAsia="仿宋"/>
          <w:b w:val="0"/>
          <w:bCs/>
          <w:snapToGrid w:val="0"/>
          <w:color w:val="000000" w:themeColor="text1"/>
          <w:sz w:val="28"/>
          <w:szCs w:val="32"/>
          <w14:textFill>
            <w14:solidFill>
              <w14:schemeClr w14:val="tx1"/>
            </w14:solidFill>
          </w14:textFill>
        </w:rPr>
        <w:t>分</w:t>
      </w:r>
      <w:r>
        <w:rPr>
          <w:rFonts w:hint="eastAsia" w:ascii="Times New Roman" w:hAnsi="Times New Roman" w:eastAsia="仿宋"/>
          <w:b w:val="0"/>
          <w:bCs/>
          <w:snapToGrid w:val="0"/>
          <w:color w:val="000000" w:themeColor="text1"/>
          <w:sz w:val="28"/>
          <w:szCs w:val="32"/>
          <w14:textFill>
            <w14:solidFill>
              <w14:schemeClr w14:val="tx1"/>
            </w14:solidFill>
          </w14:textFill>
        </w:rPr>
        <w:t>。</w:t>
      </w:r>
    </w:p>
    <w:p>
      <w:pPr>
        <w:pStyle w:val="4"/>
        <w:spacing w:before="156" w:beforeLines="50" w:after="156" w:afterLines="50" w:line="500" w:lineRule="exact"/>
        <w:ind w:firstLine="642" w:firstLineChars="200"/>
        <w:rPr>
          <w:rFonts w:ascii="仿宋" w:hAnsi="仿宋" w:eastAsia="仿宋"/>
        </w:rPr>
      </w:pPr>
      <w:bookmarkStart w:id="160" w:name="_Toc514537344"/>
      <w:bookmarkStart w:id="161" w:name="_Toc28203"/>
      <w:r>
        <w:rPr>
          <w:rFonts w:ascii="仿宋" w:hAnsi="仿宋" w:eastAsia="仿宋"/>
        </w:rPr>
        <w:t>（二）总体得分情况</w:t>
      </w:r>
      <w:bookmarkEnd w:id="160"/>
      <w:bookmarkEnd w:id="161"/>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根据上述三级指标分析得分情况，经汇总计算，本次评价涉及四项一级指标总得分情况如下：</w:t>
      </w:r>
    </w:p>
    <w:p>
      <w:pPr>
        <w:widowControl/>
        <w:spacing w:line="500" w:lineRule="exact"/>
        <w:jc w:val="center"/>
        <w:rPr>
          <w:rFonts w:ascii="Times New Roman" w:hAnsi="Times New Roman" w:eastAsia="仿宋"/>
          <w:b/>
          <w:snapToGrid w:val="0"/>
          <w:sz w:val="24"/>
        </w:rPr>
      </w:pPr>
      <w:bookmarkStart w:id="162" w:name="_Toc528603080"/>
      <w:bookmarkStart w:id="163" w:name="_Toc514537345"/>
      <w:r>
        <w:rPr>
          <w:rFonts w:ascii="Times New Roman" w:hAnsi="Times New Roman" w:eastAsia="仿宋"/>
          <w:b/>
          <w:snapToGrid w:val="0"/>
          <w:sz w:val="24"/>
        </w:rPr>
        <w:t>表4-5 一级指标得分情况</w:t>
      </w:r>
      <w:bookmarkEnd w:id="162"/>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一级指标</w:t>
            </w:r>
          </w:p>
        </w:tc>
        <w:tc>
          <w:tcPr>
            <w:tcW w:w="184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权重</w:t>
            </w:r>
          </w:p>
        </w:tc>
        <w:tc>
          <w:tcPr>
            <w:tcW w:w="1846"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得分</w:t>
            </w:r>
          </w:p>
        </w:tc>
        <w:tc>
          <w:tcPr>
            <w:tcW w:w="2374" w:type="dxa"/>
            <w:shd w:val="clear" w:color="auto" w:fill="BFBFBF"/>
            <w:vAlign w:val="center"/>
          </w:tcPr>
          <w:p>
            <w:pPr>
              <w:jc w:val="center"/>
              <w:rPr>
                <w:rFonts w:ascii="Times New Roman" w:hAnsi="Times New Roman" w:eastAsia="仿宋"/>
                <w:bCs/>
                <w:sz w:val="24"/>
              </w:rPr>
            </w:pPr>
            <w:r>
              <w:rPr>
                <w:rFonts w:ascii="Times New Roman" w:hAnsi="Times New Roman" w:eastAsia="仿宋"/>
                <w:bCs/>
                <w:sz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A决策</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 xml:space="preserve">20.00 </w:t>
            </w:r>
          </w:p>
        </w:tc>
        <w:tc>
          <w:tcPr>
            <w:tcW w:w="1846"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17.</w:t>
            </w:r>
            <w:r>
              <w:rPr>
                <w:rFonts w:ascii="Times New Roman" w:hAnsi="Times New Roman" w:eastAsia="仿宋"/>
                <w:bCs/>
                <w:sz w:val="24"/>
              </w:rPr>
              <w:t>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85</w:t>
            </w:r>
            <w:r>
              <w:rPr>
                <w:rFonts w:ascii="Times New Roman" w:hAnsi="Times New Roman" w:eastAsia="仿宋"/>
                <w:bCs/>
                <w:sz w:val="24"/>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B过程</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C产出</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26.00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86.67%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D效益</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25.00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83.33</w:t>
            </w:r>
            <w:r>
              <w:rPr>
                <w:rFonts w:ascii="Times New Roman" w:hAnsi="Times New Roman" w:eastAsia="仿宋"/>
                <w:bCs/>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jc w:val="center"/>
              <w:rPr>
                <w:rFonts w:ascii="Times New Roman" w:hAnsi="Times New Roman" w:eastAsia="仿宋"/>
                <w:bCs/>
                <w:sz w:val="24"/>
              </w:rPr>
            </w:pPr>
            <w:r>
              <w:rPr>
                <w:rFonts w:ascii="Times New Roman" w:hAnsi="Times New Roman" w:eastAsia="仿宋"/>
                <w:bCs/>
                <w:sz w:val="24"/>
              </w:rPr>
              <w:t>合计</w:t>
            </w:r>
          </w:p>
        </w:tc>
        <w:tc>
          <w:tcPr>
            <w:tcW w:w="1846" w:type="dxa"/>
            <w:vAlign w:val="center"/>
          </w:tcPr>
          <w:p>
            <w:pPr>
              <w:jc w:val="center"/>
              <w:rPr>
                <w:rFonts w:ascii="Times New Roman" w:hAnsi="Times New Roman" w:eastAsia="仿宋"/>
                <w:bCs/>
                <w:sz w:val="24"/>
              </w:rPr>
            </w:pPr>
            <w:r>
              <w:rPr>
                <w:rFonts w:ascii="Times New Roman" w:hAnsi="Times New Roman" w:eastAsia="仿宋"/>
                <w:bCs/>
                <w:sz w:val="24"/>
              </w:rPr>
              <w:t xml:space="preserve">100.00 </w:t>
            </w:r>
          </w:p>
        </w:tc>
        <w:tc>
          <w:tcPr>
            <w:tcW w:w="1846" w:type="dxa"/>
            <w:vAlign w:val="center"/>
          </w:tcPr>
          <w:p>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87.00</w:t>
            </w:r>
          </w:p>
        </w:tc>
        <w:tc>
          <w:tcPr>
            <w:tcW w:w="2374" w:type="dxa"/>
            <w:vAlign w:val="center"/>
          </w:tcPr>
          <w:p>
            <w:pPr>
              <w:jc w:val="center"/>
              <w:rPr>
                <w:rFonts w:ascii="Times New Roman" w:hAnsi="Times New Roman" w:eastAsia="仿宋"/>
                <w:bCs/>
                <w:sz w:val="24"/>
              </w:rPr>
            </w:pPr>
            <w:r>
              <w:rPr>
                <w:rFonts w:hint="eastAsia" w:ascii="Times New Roman" w:hAnsi="Times New Roman" w:eastAsia="仿宋"/>
                <w:bCs/>
                <w:sz w:val="24"/>
                <w:lang w:val="en-US" w:eastAsia="zh-CN"/>
              </w:rPr>
              <w:t>87.00</w:t>
            </w:r>
            <w:r>
              <w:rPr>
                <w:rFonts w:ascii="Times New Roman" w:hAnsi="Times New Roman" w:eastAsia="仿宋"/>
                <w:bCs/>
                <w:sz w:val="24"/>
              </w:rPr>
              <w:t>%</w:t>
            </w:r>
          </w:p>
        </w:tc>
      </w:tr>
    </w:tbl>
    <w:p>
      <w:pPr>
        <w:pStyle w:val="3"/>
        <w:spacing w:before="312" w:beforeLines="100" w:after="312" w:afterLines="100" w:line="500" w:lineRule="exact"/>
        <w:rPr>
          <w:rFonts w:ascii="Times New Roman" w:hAnsi="Times New Roman" w:eastAsia="黑体"/>
          <w:b w:val="0"/>
          <w:sz w:val="32"/>
          <w:szCs w:val="32"/>
        </w:rPr>
      </w:pPr>
      <w:bookmarkStart w:id="164" w:name="_Toc14573"/>
      <w:r>
        <w:rPr>
          <w:rFonts w:ascii="Times New Roman" w:hAnsi="Times New Roman" w:eastAsia="黑体"/>
          <w:b w:val="0"/>
          <w:sz w:val="32"/>
          <w:szCs w:val="32"/>
        </w:rPr>
        <w:t>五、综合评价情况及结论</w:t>
      </w:r>
      <w:bookmarkEnd w:id="163"/>
      <w:bookmarkEnd w:id="164"/>
    </w:p>
    <w:p>
      <w:pPr>
        <w:pStyle w:val="4"/>
        <w:spacing w:before="156" w:beforeLines="50" w:after="156" w:afterLines="50" w:line="500" w:lineRule="exact"/>
        <w:ind w:firstLine="642" w:firstLineChars="200"/>
        <w:rPr>
          <w:rFonts w:ascii="仿宋" w:hAnsi="仿宋" w:eastAsia="仿宋"/>
        </w:rPr>
      </w:pPr>
      <w:bookmarkStart w:id="165" w:name="_Toc17932"/>
      <w:bookmarkStart w:id="166" w:name="_Toc514537346"/>
      <w:r>
        <w:rPr>
          <w:rFonts w:ascii="仿宋" w:hAnsi="仿宋" w:eastAsia="仿宋"/>
        </w:rPr>
        <w:t>（一）评分结果</w:t>
      </w:r>
      <w:bookmarkEnd w:id="165"/>
      <w:bookmarkEnd w:id="166"/>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依据项目基础信息统计，结合现场核查结果，按照评价小组制定并</w:t>
      </w:r>
      <w:r>
        <w:rPr>
          <w:rFonts w:hint="eastAsia" w:ascii="Times New Roman" w:hAnsi="Times New Roman" w:eastAsia="仿宋"/>
          <w:snapToGrid w:val="0"/>
          <w:sz w:val="28"/>
          <w:szCs w:val="32"/>
          <w:lang w:val="en-US" w:eastAsia="zh-CN"/>
        </w:rPr>
        <w:t>经</w:t>
      </w:r>
      <w:r>
        <w:rPr>
          <w:rFonts w:ascii="Times New Roman" w:hAnsi="Times New Roman" w:eastAsia="仿宋"/>
          <w:snapToGrid w:val="0"/>
          <w:sz w:val="28"/>
          <w:szCs w:val="32"/>
        </w:rPr>
        <w:t>专家组论证的评价指标体系，</w:t>
      </w:r>
      <w:r>
        <w:rPr>
          <w:rFonts w:hint="eastAsia" w:ascii="Times New Roman" w:hAnsi="Times New Roman" w:eastAsia="仿宋"/>
          <w:snapToGrid w:val="0"/>
          <w:sz w:val="28"/>
          <w:szCs w:val="32"/>
          <w:lang w:eastAsia="zh-CN"/>
        </w:rPr>
        <w:t>旧县镇“四好农村路”建设项目</w:t>
      </w:r>
      <w:r>
        <w:rPr>
          <w:rFonts w:ascii="Times New Roman" w:hAnsi="Times New Roman" w:eastAsia="仿宋"/>
          <w:snapToGrid w:val="0"/>
          <w:sz w:val="28"/>
          <w:szCs w:val="32"/>
        </w:rPr>
        <w:t>财政支出绩效评价综合得分</w:t>
      </w:r>
      <w:r>
        <w:rPr>
          <w:rFonts w:hint="eastAsia" w:ascii="Times New Roman" w:hAnsi="Times New Roman" w:eastAsia="仿宋"/>
          <w:snapToGrid w:val="0"/>
          <w:sz w:val="28"/>
          <w:szCs w:val="32"/>
          <w:lang w:val="en-US" w:eastAsia="zh-CN"/>
        </w:rPr>
        <w:t>87.00</w:t>
      </w:r>
      <w:r>
        <w:rPr>
          <w:rFonts w:ascii="Times New Roman" w:hAnsi="Times New Roman" w:eastAsia="仿宋"/>
          <w:snapToGrid w:val="0"/>
          <w:sz w:val="28"/>
          <w:szCs w:val="32"/>
        </w:rPr>
        <w:t>分，评价等级为</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良</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w:t>
      </w:r>
    </w:p>
    <w:p>
      <w:pPr>
        <w:pStyle w:val="4"/>
        <w:spacing w:before="156" w:beforeLines="50" w:after="156" w:afterLines="50" w:line="500" w:lineRule="exact"/>
        <w:ind w:firstLine="642" w:firstLineChars="200"/>
        <w:rPr>
          <w:rFonts w:ascii="仿宋" w:hAnsi="仿宋" w:eastAsia="仿宋"/>
        </w:rPr>
      </w:pPr>
      <w:bookmarkStart w:id="167" w:name="_Toc4206"/>
      <w:bookmarkStart w:id="168" w:name="_Toc514537347"/>
      <w:r>
        <w:rPr>
          <w:rFonts w:ascii="仿宋" w:hAnsi="仿宋" w:eastAsia="仿宋"/>
        </w:rPr>
        <w:t>（二）主要结论</w:t>
      </w:r>
      <w:bookmarkEnd w:id="167"/>
      <w:bookmarkEnd w:id="168"/>
    </w:p>
    <w:p>
      <w:pPr>
        <w:widowControl/>
        <w:spacing w:line="500" w:lineRule="exact"/>
        <w:ind w:firstLine="560" w:firstLineChars="200"/>
        <w:rPr>
          <w:rFonts w:hint="eastAsia" w:ascii="Times New Roman" w:hAnsi="Times New Roman" w:eastAsia="仿宋"/>
          <w:sz w:val="28"/>
          <w:szCs w:val="32"/>
        </w:rPr>
      </w:pPr>
      <w:bookmarkStart w:id="169" w:name="_Toc514537348"/>
      <w:r>
        <w:rPr>
          <w:rFonts w:hint="eastAsia" w:ascii="Times New Roman" w:hAnsi="Times New Roman" w:eastAsia="仿宋"/>
          <w:sz w:val="28"/>
          <w:szCs w:val="32"/>
        </w:rPr>
        <w:t>评价结果说明，</w:t>
      </w:r>
      <w:r>
        <w:rPr>
          <w:rFonts w:hint="eastAsia" w:ascii="Times New Roman" w:hAnsi="Times New Roman" w:eastAsia="仿宋"/>
          <w:sz w:val="28"/>
          <w:szCs w:val="32"/>
          <w:lang w:eastAsia="zh-CN"/>
        </w:rPr>
        <w:t>旧县镇“四好农村路”建设项目</w:t>
      </w:r>
      <w:r>
        <w:rPr>
          <w:rFonts w:hint="eastAsia" w:ascii="Times New Roman" w:hAnsi="Times New Roman" w:eastAsia="仿宋"/>
          <w:sz w:val="28"/>
          <w:szCs w:val="32"/>
        </w:rPr>
        <w:t>资金使用的总体情况较好，社会效益、可持续影响显著，资金绩效基本达到了预期目标。</w:t>
      </w:r>
    </w:p>
    <w:p>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1.决策</w:t>
      </w:r>
      <w:r>
        <w:rPr>
          <w:rFonts w:hint="eastAsia" w:ascii="Times New Roman" w:hAnsi="Times New Roman" w:eastAsia="仿宋"/>
          <w:sz w:val="28"/>
          <w:szCs w:val="32"/>
        </w:rPr>
        <w:t>方面，项目立项依据充分，绩效目标设定符合国家对扶贫</w:t>
      </w:r>
      <w:r>
        <w:rPr>
          <w:rFonts w:hint="eastAsia" w:ascii="Times New Roman" w:hAnsi="Times New Roman" w:eastAsia="仿宋"/>
          <w:sz w:val="28"/>
          <w:szCs w:val="32"/>
          <w:lang w:val="en-US" w:eastAsia="zh-CN"/>
        </w:rPr>
        <w:t>项目</w:t>
      </w:r>
      <w:r>
        <w:rPr>
          <w:rFonts w:hint="eastAsia" w:ascii="Times New Roman" w:hAnsi="Times New Roman" w:eastAsia="仿宋"/>
          <w:sz w:val="28"/>
          <w:szCs w:val="32"/>
        </w:rPr>
        <w:t>的需求，资金审批、到位及时，保证了项目总体的实施情况。</w:t>
      </w:r>
    </w:p>
    <w:p>
      <w:pPr>
        <w:widowControl/>
        <w:spacing w:line="500" w:lineRule="exact"/>
        <w:ind w:firstLine="560" w:firstLineChars="200"/>
        <w:rPr>
          <w:rFonts w:hint="default" w:ascii="Times New Roman" w:hAnsi="Times New Roman" w:eastAsia="仿宋"/>
          <w:sz w:val="28"/>
          <w:szCs w:val="32"/>
          <w:lang w:val="en-US" w:eastAsia="zh-CN"/>
        </w:rPr>
      </w:pPr>
      <w:r>
        <w:rPr>
          <w:rFonts w:hint="eastAsia" w:ascii="Times New Roman" w:hAnsi="Times New Roman" w:eastAsia="仿宋"/>
          <w:sz w:val="28"/>
          <w:szCs w:val="32"/>
          <w:lang w:val="en-US" w:eastAsia="zh-CN"/>
        </w:rPr>
        <w:t>2.</w:t>
      </w:r>
      <w:r>
        <w:rPr>
          <w:rFonts w:hint="eastAsia" w:ascii="Times New Roman" w:hAnsi="Times New Roman" w:eastAsia="仿宋"/>
          <w:sz w:val="28"/>
          <w:szCs w:val="32"/>
        </w:rPr>
        <w:t>过程方面，</w:t>
      </w:r>
      <w:r>
        <w:rPr>
          <w:rFonts w:hint="eastAsia" w:ascii="Times New Roman" w:hAnsi="Times New Roman" w:eastAsia="仿宋"/>
          <w:sz w:val="28"/>
          <w:szCs w:val="32"/>
          <w:lang w:eastAsia="zh-CN"/>
        </w:rPr>
        <w:t>古县交通运输局</w:t>
      </w:r>
      <w:r>
        <w:rPr>
          <w:rFonts w:hint="eastAsia" w:ascii="Times New Roman" w:hAnsi="Times New Roman" w:eastAsia="仿宋"/>
          <w:sz w:val="28"/>
          <w:szCs w:val="32"/>
        </w:rPr>
        <w:t>机构配置体系全面、工作流程管理等辅助制度完善，项目资金具有专人财务管理，财务管理合规、合法，具有明确专项资金收支账户，资金使用合规。</w:t>
      </w:r>
      <w:r>
        <w:rPr>
          <w:rFonts w:hint="eastAsia" w:ascii="Times New Roman" w:hAnsi="Times New Roman" w:eastAsia="仿宋"/>
          <w:sz w:val="28"/>
          <w:szCs w:val="32"/>
          <w:lang w:val="en-US" w:eastAsia="zh-CN"/>
        </w:rPr>
        <w:t>但项目制度执行存在不足。</w:t>
      </w:r>
    </w:p>
    <w:p>
      <w:pPr>
        <w:widowControl/>
        <w:spacing w:line="500" w:lineRule="exact"/>
        <w:ind w:firstLine="560" w:firstLineChars="200"/>
        <w:rPr>
          <w:rFonts w:hint="default" w:ascii="Times New Roman" w:hAnsi="Times New Roman" w:eastAsia="仿宋"/>
          <w:sz w:val="28"/>
          <w:szCs w:val="32"/>
          <w:lang w:val="en-US" w:eastAsia="zh-CN"/>
        </w:rPr>
      </w:pPr>
      <w:r>
        <w:rPr>
          <w:rFonts w:hint="eastAsia" w:ascii="Times New Roman" w:hAnsi="Times New Roman" w:eastAsia="仿宋"/>
          <w:sz w:val="28"/>
          <w:szCs w:val="32"/>
          <w:lang w:val="en-US" w:eastAsia="zh-CN"/>
        </w:rPr>
        <w:t>3.</w:t>
      </w:r>
      <w:r>
        <w:rPr>
          <w:rFonts w:hint="eastAsia" w:ascii="Times New Roman" w:hAnsi="Times New Roman" w:eastAsia="仿宋"/>
          <w:sz w:val="28"/>
          <w:szCs w:val="32"/>
        </w:rPr>
        <w:t>产出方面，古县旧县镇“四好农村路”建设项目涉及11条路全部完成，其中：①旧县道窄路基拓宽部分、旧县道畅返不畅建设6条路；②2019年畅返不畅整治工程5条路</w:t>
      </w:r>
      <w:r>
        <w:rPr>
          <w:rFonts w:hint="eastAsia" w:ascii="Times New Roman" w:hAnsi="Times New Roman" w:eastAsia="仿宋"/>
          <w:sz w:val="28"/>
          <w:szCs w:val="32"/>
          <w:lang w:eastAsia="zh-CN"/>
        </w:rPr>
        <w:t>；</w:t>
      </w:r>
      <w:r>
        <w:rPr>
          <w:rFonts w:hint="eastAsia" w:ascii="Times New Roman" w:hAnsi="Times New Roman" w:eastAsia="仿宋"/>
          <w:sz w:val="28"/>
          <w:szCs w:val="32"/>
          <w:lang w:val="en-US" w:eastAsia="zh-CN"/>
        </w:rPr>
        <w:t>但旧县道窄路基拓宽部分、旧县道畅返不畅建设6条路超期。</w:t>
      </w:r>
    </w:p>
    <w:p>
      <w:pPr>
        <w:widowControl/>
        <w:spacing w:line="500" w:lineRule="exact"/>
        <w:ind w:firstLine="560" w:firstLineChars="200"/>
        <w:rPr>
          <w:rFonts w:hint="default" w:ascii="Times New Roman" w:hAnsi="Times New Roman" w:eastAsia="仿宋"/>
          <w:snapToGrid w:val="0"/>
          <w:sz w:val="28"/>
          <w:szCs w:val="32"/>
          <w:lang w:val="en-US" w:eastAsia="zh-CN"/>
        </w:rPr>
      </w:pPr>
      <w:r>
        <w:rPr>
          <w:rFonts w:hint="eastAsia" w:ascii="Times New Roman" w:hAnsi="Times New Roman" w:eastAsia="仿宋"/>
          <w:sz w:val="28"/>
          <w:szCs w:val="32"/>
          <w:lang w:val="en-US" w:eastAsia="zh-CN"/>
        </w:rPr>
        <w:t>4.</w:t>
      </w:r>
      <w:r>
        <w:rPr>
          <w:rFonts w:hint="eastAsia" w:ascii="Times New Roman" w:hAnsi="Times New Roman" w:eastAsia="仿宋"/>
          <w:sz w:val="28"/>
          <w:szCs w:val="32"/>
        </w:rPr>
        <w:t>效益方面，</w:t>
      </w:r>
      <w:r>
        <w:rPr>
          <w:rFonts w:hint="eastAsia" w:ascii="Times New Roman" w:hAnsi="Times New Roman" w:eastAsia="仿宋"/>
          <w:sz w:val="28"/>
          <w:szCs w:val="32"/>
          <w:lang w:val="en-US" w:eastAsia="zh-CN"/>
        </w:rPr>
        <w:t>项目社会效益、生态效益良好，群众满意度高</w:t>
      </w:r>
      <w:r>
        <w:rPr>
          <w:rFonts w:ascii="Times New Roman" w:hAnsi="Times New Roman" w:eastAsia="仿宋"/>
          <w:snapToGrid w:val="0"/>
          <w:sz w:val="28"/>
          <w:szCs w:val="32"/>
        </w:rPr>
        <w:t>。</w:t>
      </w:r>
      <w:r>
        <w:rPr>
          <w:rFonts w:hint="eastAsia" w:ascii="Times New Roman" w:hAnsi="Times New Roman" w:eastAsia="仿宋"/>
          <w:snapToGrid w:val="0"/>
          <w:sz w:val="28"/>
          <w:szCs w:val="32"/>
          <w:lang w:val="en-US" w:eastAsia="zh-CN"/>
        </w:rPr>
        <w:t>但项目可持续性体制机制尚未建立健全。</w:t>
      </w:r>
    </w:p>
    <w:bookmarkEnd w:id="169"/>
    <w:p>
      <w:pPr>
        <w:pStyle w:val="3"/>
        <w:spacing w:before="312" w:beforeLines="100" w:after="312" w:afterLines="100" w:line="500" w:lineRule="exact"/>
        <w:rPr>
          <w:rFonts w:ascii="Times New Roman" w:hAnsi="Times New Roman" w:eastAsia="黑体"/>
          <w:b w:val="0"/>
          <w:sz w:val="32"/>
          <w:szCs w:val="32"/>
        </w:rPr>
      </w:pPr>
      <w:bookmarkStart w:id="170" w:name="_Toc28219"/>
      <w:bookmarkStart w:id="171" w:name="_Toc514537349"/>
      <w:r>
        <w:rPr>
          <w:rFonts w:ascii="Times New Roman" w:hAnsi="Times New Roman" w:eastAsia="黑体"/>
          <w:b w:val="0"/>
          <w:sz w:val="32"/>
          <w:szCs w:val="32"/>
        </w:rPr>
        <w:t>六、存在的问题和改进建议</w:t>
      </w:r>
      <w:bookmarkEnd w:id="170"/>
      <w:bookmarkEnd w:id="171"/>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评价小组在详细查阅项目资料的基础上，结合现场实地勘察，对本次项目建设过程中存在的问题进行总结与分析，并针对问题提出了对应建议。</w:t>
      </w:r>
    </w:p>
    <w:p>
      <w:pPr>
        <w:pStyle w:val="4"/>
        <w:spacing w:before="156" w:beforeLines="50" w:after="156" w:afterLines="50" w:line="500" w:lineRule="exact"/>
        <w:ind w:firstLine="642" w:firstLineChars="200"/>
        <w:rPr>
          <w:rFonts w:ascii="仿宋" w:hAnsi="仿宋" w:eastAsia="仿宋"/>
        </w:rPr>
      </w:pPr>
      <w:bookmarkStart w:id="172" w:name="_Toc528603086"/>
      <w:bookmarkStart w:id="173" w:name="_Toc514537350"/>
      <w:bookmarkStart w:id="174" w:name="_Toc10088"/>
      <w:bookmarkStart w:id="175" w:name="_Toc528680479"/>
      <w:bookmarkStart w:id="176" w:name="_Toc528680328"/>
      <w:bookmarkStart w:id="177" w:name="_Toc528684154"/>
      <w:r>
        <w:rPr>
          <w:rFonts w:ascii="仿宋" w:hAnsi="仿宋" w:eastAsia="仿宋"/>
        </w:rPr>
        <w:t>（一）存在的问题</w:t>
      </w:r>
      <w:bookmarkEnd w:id="172"/>
      <w:bookmarkEnd w:id="173"/>
      <w:bookmarkEnd w:id="174"/>
      <w:bookmarkEnd w:id="175"/>
      <w:bookmarkEnd w:id="176"/>
      <w:bookmarkEnd w:id="177"/>
    </w:p>
    <w:p>
      <w:pPr>
        <w:spacing w:line="574" w:lineRule="exact"/>
        <w:ind w:firstLine="562" w:firstLineChars="200"/>
        <w:rPr>
          <w:rFonts w:hint="eastAsia" w:ascii="仿宋" w:hAnsi="仿宋" w:eastAsia="仿宋" w:cs="仿宋"/>
          <w:b/>
          <w:bCs w:val="0"/>
          <w:snapToGrid w:val="0"/>
          <w:sz w:val="28"/>
          <w:szCs w:val="28"/>
          <w:lang w:val="en-US" w:eastAsia="zh-CN"/>
        </w:rPr>
      </w:pPr>
      <w:bookmarkStart w:id="178" w:name="_Toc528603087"/>
      <w:bookmarkStart w:id="179" w:name="_Toc514537351"/>
      <w:r>
        <w:rPr>
          <w:rFonts w:hint="eastAsia" w:ascii="仿宋" w:hAnsi="仿宋" w:eastAsia="仿宋" w:cs="仿宋"/>
          <w:b/>
          <w:bCs w:val="0"/>
          <w:snapToGrid w:val="0"/>
          <w:sz w:val="28"/>
          <w:szCs w:val="28"/>
          <w:lang w:val="en-US" w:eastAsia="zh-CN"/>
        </w:rPr>
        <w:t>1.旧县镇人民政府档案管理不到位，项目实施资料与资金支付资料未进行统一保管，相关负责人对项目情况不熟悉。</w:t>
      </w:r>
    </w:p>
    <w:p>
      <w:pPr>
        <w:spacing w:line="500" w:lineRule="exact"/>
        <w:ind w:firstLine="562" w:firstLineChars="200"/>
        <w:rPr>
          <w:rFonts w:ascii="Times New Roman" w:hAnsi="Times New Roman" w:eastAsia="仿宋"/>
          <w:b/>
          <w:bCs/>
          <w:snapToGrid w:val="0"/>
          <w:sz w:val="28"/>
          <w:szCs w:val="32"/>
        </w:rPr>
      </w:pPr>
      <w:r>
        <w:rPr>
          <w:rFonts w:hint="eastAsia" w:ascii="Times New Roman" w:hAnsi="Times New Roman" w:eastAsia="仿宋"/>
          <w:b/>
          <w:bCs/>
          <w:snapToGrid w:val="0"/>
          <w:sz w:val="28"/>
          <w:szCs w:val="32"/>
          <w:lang w:val="en-US" w:eastAsia="zh-CN"/>
        </w:rPr>
        <w:t>2</w:t>
      </w:r>
      <w:r>
        <w:rPr>
          <w:rFonts w:ascii="Times New Roman" w:hAnsi="Times New Roman" w:eastAsia="仿宋"/>
          <w:b/>
          <w:bCs/>
          <w:snapToGrid w:val="0"/>
          <w:sz w:val="28"/>
          <w:szCs w:val="32"/>
        </w:rPr>
        <w:t>.</w:t>
      </w:r>
      <w:bookmarkEnd w:id="178"/>
      <w:bookmarkStart w:id="180" w:name="_Toc528603088"/>
      <w:r>
        <w:rPr>
          <w:rFonts w:hint="eastAsia" w:ascii="Times New Roman" w:hAnsi="Times New Roman" w:eastAsia="仿宋"/>
          <w:b/>
          <w:bCs/>
          <w:snapToGrid w:val="0"/>
          <w:sz w:val="28"/>
          <w:szCs w:val="32"/>
          <w:lang w:val="en-US" w:eastAsia="zh-CN"/>
        </w:rPr>
        <w:t>旧县道窄路基拓宽部分、旧县道畅返不畅建设6条路超期</w:t>
      </w:r>
      <w:r>
        <w:rPr>
          <w:rFonts w:ascii="Times New Roman" w:hAnsi="Times New Roman" w:eastAsia="仿宋"/>
          <w:b/>
          <w:bCs/>
          <w:snapToGrid w:val="0"/>
          <w:sz w:val="28"/>
          <w:szCs w:val="32"/>
        </w:rPr>
        <w:t>。</w:t>
      </w:r>
    </w:p>
    <w:bookmarkEnd w:id="180"/>
    <w:p>
      <w:pPr>
        <w:spacing w:line="500" w:lineRule="exact"/>
        <w:ind w:firstLine="560" w:firstLineChars="200"/>
        <w:rPr>
          <w:rFonts w:hint="eastAsia" w:ascii="Times New Roman" w:hAnsi="Times New Roman" w:eastAsia="仿宋"/>
          <w:bCs/>
          <w:snapToGrid w:val="0"/>
          <w:sz w:val="28"/>
          <w:szCs w:val="32"/>
        </w:rPr>
      </w:pPr>
      <w:bookmarkStart w:id="181" w:name="_Toc528603089"/>
      <w:r>
        <w:rPr>
          <w:rFonts w:hint="eastAsia" w:ascii="Times New Roman" w:hAnsi="Times New Roman" w:eastAsia="仿宋"/>
          <w:bCs/>
          <w:snapToGrid w:val="0"/>
          <w:sz w:val="28"/>
          <w:szCs w:val="32"/>
        </w:rPr>
        <w:t>古县旧县镇“四好农村路”建设项目涉及11条路，分为两个部分；其中：①旧县道窄路基拓宽部分、旧县道畅返不畅建设6条路：合同工期：180天、实际工期：270天，项目超期；②2019年畅返不畅整治工程5条路：合同工期：180天，实际工期：80天，项目完成及时。</w:t>
      </w:r>
    </w:p>
    <w:p>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3.项目可持续性体制机制尚未建立健全。</w:t>
      </w:r>
    </w:p>
    <w:p>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b w:val="0"/>
          <w:bCs/>
          <w:snapToGrid w:val="0"/>
          <w:sz w:val="28"/>
          <w:szCs w:val="32"/>
          <w:lang w:val="en-US" w:eastAsia="zh-CN"/>
        </w:rPr>
        <w:t>旧县镇人民政府尚未建</w:t>
      </w:r>
      <w:r>
        <w:rPr>
          <w:rFonts w:hint="eastAsia" w:ascii="Times New Roman" w:hAnsi="Times New Roman" w:eastAsia="仿宋"/>
          <w:b w:val="0"/>
          <w:bCs/>
          <w:snapToGrid w:val="0"/>
          <w:sz w:val="28"/>
          <w:szCs w:val="32"/>
        </w:rPr>
        <w:t>立农村公路养护管理相关制度，</w:t>
      </w:r>
      <w:r>
        <w:rPr>
          <w:rFonts w:hint="eastAsia" w:ascii="Times New Roman" w:hAnsi="Times New Roman" w:eastAsia="仿宋"/>
          <w:b w:val="0"/>
          <w:bCs/>
          <w:snapToGrid w:val="0"/>
          <w:sz w:val="28"/>
          <w:szCs w:val="32"/>
          <w:lang w:val="en-US" w:eastAsia="zh-CN"/>
        </w:rPr>
        <w:t>未提供</w:t>
      </w:r>
      <w:r>
        <w:rPr>
          <w:rFonts w:hint="eastAsia" w:ascii="Times New Roman" w:hAnsi="Times New Roman" w:eastAsia="仿宋"/>
          <w:b w:val="0"/>
          <w:bCs/>
          <w:snapToGrid w:val="0"/>
          <w:sz w:val="28"/>
          <w:szCs w:val="32"/>
        </w:rPr>
        <w:t>明确</w:t>
      </w:r>
      <w:r>
        <w:rPr>
          <w:rFonts w:hint="eastAsia" w:ascii="Times New Roman" w:hAnsi="Times New Roman" w:eastAsia="仿宋"/>
          <w:b w:val="0"/>
          <w:bCs/>
          <w:snapToGrid w:val="0"/>
          <w:sz w:val="28"/>
          <w:szCs w:val="32"/>
          <w:lang w:val="en-US" w:eastAsia="zh-CN"/>
        </w:rPr>
        <w:t>的</w:t>
      </w:r>
      <w:r>
        <w:rPr>
          <w:rFonts w:hint="eastAsia" w:ascii="Times New Roman" w:hAnsi="Times New Roman" w:eastAsia="仿宋"/>
          <w:b w:val="0"/>
          <w:bCs/>
          <w:snapToGrid w:val="0"/>
          <w:sz w:val="28"/>
          <w:szCs w:val="32"/>
        </w:rPr>
        <w:t>养护人员及职责；养护资金</w:t>
      </w:r>
      <w:r>
        <w:rPr>
          <w:rFonts w:hint="eastAsia" w:ascii="Times New Roman" w:hAnsi="Times New Roman" w:eastAsia="仿宋"/>
          <w:b w:val="0"/>
          <w:bCs/>
          <w:snapToGrid w:val="0"/>
          <w:sz w:val="28"/>
          <w:szCs w:val="32"/>
          <w:lang w:val="en-US" w:eastAsia="zh-CN"/>
        </w:rPr>
        <w:t>落实情况未进行说明</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lang w:val="en-US" w:eastAsia="zh-CN"/>
        </w:rPr>
        <w:t>项目可持续性体制机制尚未建立健全。</w:t>
      </w:r>
    </w:p>
    <w:p>
      <w:pPr>
        <w:pStyle w:val="4"/>
        <w:spacing w:before="156" w:beforeLines="50" w:after="156" w:afterLines="50" w:line="500" w:lineRule="exact"/>
        <w:ind w:firstLine="642" w:firstLineChars="200"/>
        <w:rPr>
          <w:rFonts w:ascii="仿宋" w:hAnsi="仿宋" w:eastAsia="仿宋"/>
        </w:rPr>
      </w:pPr>
      <w:bookmarkStart w:id="182" w:name="_Toc528680329"/>
      <w:bookmarkStart w:id="183" w:name="_Toc528680480"/>
      <w:bookmarkStart w:id="184" w:name="_Toc528684155"/>
      <w:bookmarkStart w:id="185" w:name="_Toc10194"/>
      <w:r>
        <w:rPr>
          <w:rFonts w:ascii="仿宋" w:hAnsi="仿宋" w:eastAsia="仿宋"/>
        </w:rPr>
        <w:t>（二）改进建议</w:t>
      </w:r>
      <w:bookmarkEnd w:id="179"/>
      <w:bookmarkEnd w:id="181"/>
      <w:bookmarkEnd w:id="182"/>
      <w:bookmarkEnd w:id="183"/>
      <w:bookmarkEnd w:id="184"/>
      <w:bookmarkEnd w:id="185"/>
    </w:p>
    <w:p>
      <w:pPr>
        <w:pStyle w:val="53"/>
        <w:numPr>
          <w:ilvl w:val="0"/>
          <w:numId w:val="0"/>
        </w:numPr>
        <w:ind w:firstLine="562" w:firstLineChars="200"/>
        <w:rPr>
          <w:rFonts w:hint="default" w:ascii="Times New Roman" w:hAnsi="Times New Roman" w:eastAsia="仿宋" w:cs="Times New Roman"/>
          <w:b/>
        </w:rPr>
      </w:pPr>
      <w:bookmarkStart w:id="186" w:name="_Toc528603091"/>
      <w:r>
        <w:rPr>
          <w:rFonts w:hint="eastAsia" w:ascii="Times New Roman" w:hAnsi="Times New Roman" w:eastAsia="仿宋" w:cs="Times New Roman"/>
          <w:b/>
          <w:lang w:val="en-US" w:eastAsia="zh-CN"/>
        </w:rPr>
        <w:t>1.加强项目档案管理，确保项目资料有据可查</w:t>
      </w:r>
      <w:r>
        <w:rPr>
          <w:rFonts w:hint="default" w:ascii="Times New Roman" w:hAnsi="Times New Roman" w:eastAsia="仿宋" w:cs="Times New Roman"/>
          <w:b/>
        </w:rPr>
        <w:t>。</w:t>
      </w:r>
    </w:p>
    <w:p>
      <w:pPr>
        <w:spacing w:line="600" w:lineRule="exact"/>
        <w:ind w:firstLine="560" w:firstLineChars="200"/>
        <w:jc w:val="left"/>
        <w:rPr>
          <w:rFonts w:hint="eastAsia" w:ascii="仿宋" w:hAnsi="仿宋" w:eastAsia="仿宋" w:cs="仿宋"/>
          <w:bCs/>
          <w:snapToGrid w:val="0"/>
          <w:sz w:val="28"/>
          <w:szCs w:val="28"/>
          <w:lang w:val="en-US" w:eastAsia="zh-CN"/>
        </w:rPr>
      </w:pPr>
      <w:r>
        <w:rPr>
          <w:rFonts w:hint="eastAsia" w:ascii="仿宋" w:hAnsi="仿宋" w:eastAsia="仿宋" w:cs="仿宋"/>
          <w:bCs/>
          <w:snapToGrid w:val="0"/>
          <w:sz w:val="28"/>
          <w:szCs w:val="28"/>
          <w:lang w:val="en-US" w:eastAsia="zh-CN"/>
        </w:rPr>
        <w:t>建议旧县镇人民政府加强项目档案管理，项目实施完成后，项目按进度进行资金支付印证资料及其他项目相关财务资料等与项目实施资料统一装订，方便查阅及梳理项目全流程实施及管理情况。</w:t>
      </w:r>
    </w:p>
    <w:p>
      <w:pPr>
        <w:spacing w:line="600" w:lineRule="exact"/>
        <w:ind w:firstLine="562" w:firstLineChars="200"/>
        <w:jc w:val="left"/>
        <w:rPr>
          <w:rFonts w:hint="eastAsia" w:ascii="Times New Roman" w:hAnsi="Times New Roman" w:eastAsia="仿宋" w:cs="Times New Roman"/>
          <w:b/>
          <w:sz w:val="28"/>
          <w:szCs w:val="28"/>
          <w:lang w:eastAsia="zh-CN"/>
        </w:rPr>
      </w:pPr>
      <w:r>
        <w:rPr>
          <w:rFonts w:hint="eastAsia" w:ascii="Times New Roman" w:hAnsi="Times New Roman" w:eastAsia="仿宋"/>
          <w:b/>
          <w:bCs/>
          <w:snapToGrid w:val="0"/>
          <w:sz w:val="28"/>
          <w:szCs w:val="32"/>
          <w:lang w:val="en-US" w:eastAsia="zh-CN"/>
        </w:rPr>
        <w:t>2</w:t>
      </w:r>
      <w:r>
        <w:rPr>
          <w:rFonts w:ascii="Times New Roman" w:hAnsi="Times New Roman" w:eastAsia="仿宋"/>
          <w:b/>
          <w:bCs/>
          <w:snapToGrid w:val="0"/>
          <w:sz w:val="28"/>
          <w:szCs w:val="32"/>
        </w:rPr>
        <w:t>.</w:t>
      </w:r>
      <w:r>
        <w:rPr>
          <w:rFonts w:hint="eastAsia" w:ascii="Times New Roman" w:hAnsi="Times New Roman" w:eastAsia="仿宋" w:cs="Times New Roman"/>
          <w:b/>
          <w:sz w:val="28"/>
          <w:szCs w:val="28"/>
          <w:lang w:val="en-US" w:eastAsia="zh-CN"/>
        </w:rPr>
        <w:t>加强项目进度管理，避免项目超期现象发生</w:t>
      </w:r>
      <w:r>
        <w:rPr>
          <w:rFonts w:hint="eastAsia" w:ascii="Times New Roman" w:hAnsi="Times New Roman" w:eastAsia="仿宋" w:cs="Times New Roman"/>
          <w:b/>
          <w:sz w:val="28"/>
          <w:szCs w:val="28"/>
          <w:lang w:eastAsia="zh-CN"/>
        </w:rPr>
        <w:t>。</w:t>
      </w:r>
    </w:p>
    <w:p>
      <w:pPr>
        <w:spacing w:line="600" w:lineRule="exact"/>
        <w:ind w:firstLine="560" w:firstLineChars="200"/>
        <w:jc w:val="left"/>
        <w:rPr>
          <w:rFonts w:hint="default" w:ascii="Times New Roman" w:hAnsi="Times New Roman" w:eastAsia="仿宋"/>
          <w:bCs/>
          <w:snapToGrid w:val="0"/>
          <w:sz w:val="28"/>
          <w:szCs w:val="32"/>
          <w:lang w:val="en-US" w:eastAsia="zh-CN"/>
        </w:rPr>
      </w:pPr>
      <w:r>
        <w:rPr>
          <w:rFonts w:hint="eastAsia" w:ascii="Times New Roman" w:hAnsi="Times New Roman" w:eastAsia="仿宋"/>
          <w:bCs/>
          <w:snapToGrid w:val="0"/>
          <w:sz w:val="28"/>
          <w:szCs w:val="32"/>
          <w:lang w:val="en-US" w:eastAsia="zh-CN"/>
        </w:rPr>
        <w:t>建议主管部门、实施单位加强项目进度管理，针对“四好农村路”项目涉及子项目多的特点，统筹全局、倒排工期，明确各阶段实施内容与完成时间，督促施工方按计划工期实施项目，确保项目整体进度达标。</w:t>
      </w:r>
    </w:p>
    <w:p>
      <w:pPr>
        <w:spacing w:line="600" w:lineRule="exact"/>
        <w:ind w:firstLine="562" w:firstLineChars="200"/>
        <w:jc w:val="left"/>
        <w:rPr>
          <w:rFonts w:hint="default" w:ascii="Times New Roman" w:hAnsi="Times New Roman" w:eastAsia="仿宋"/>
          <w:b/>
          <w:bCs/>
          <w:snapToGrid w:val="0"/>
          <w:sz w:val="28"/>
          <w:szCs w:val="32"/>
          <w:lang w:val="en-US" w:eastAsia="zh-CN"/>
        </w:rPr>
      </w:pPr>
      <w:r>
        <w:rPr>
          <w:rFonts w:hint="eastAsia" w:ascii="Times New Roman" w:hAnsi="Times New Roman" w:eastAsia="仿宋"/>
          <w:b/>
          <w:bCs/>
          <w:snapToGrid w:val="0"/>
          <w:sz w:val="28"/>
          <w:szCs w:val="32"/>
          <w:lang w:val="en-US" w:eastAsia="zh-CN"/>
        </w:rPr>
        <w:t>3.建立健全后续管护体制机制，落实后续管护责任，明确后续管护资金，确保项目长效发挥。</w:t>
      </w:r>
    </w:p>
    <w:p>
      <w:pPr>
        <w:spacing w:line="600" w:lineRule="exact"/>
        <w:ind w:firstLine="560" w:firstLineChars="200"/>
        <w:jc w:val="left"/>
        <w:rPr>
          <w:rFonts w:hint="default" w:ascii="Times New Roman" w:hAnsi="Times New Roman" w:eastAsia="仿宋"/>
          <w:b w:val="0"/>
          <w:bCs w:val="0"/>
          <w:snapToGrid w:val="0"/>
          <w:sz w:val="28"/>
          <w:szCs w:val="32"/>
          <w:lang w:val="en-US" w:eastAsia="zh-CN"/>
        </w:rPr>
      </w:pPr>
      <w:r>
        <w:rPr>
          <w:rFonts w:hint="eastAsia" w:ascii="Times New Roman" w:hAnsi="Times New Roman" w:eastAsia="仿宋"/>
          <w:b w:val="0"/>
          <w:bCs w:val="0"/>
          <w:snapToGrid w:val="0"/>
          <w:sz w:val="28"/>
          <w:szCs w:val="32"/>
          <w:lang w:val="en-US" w:eastAsia="zh-CN"/>
        </w:rPr>
        <w:t>建议旧县镇人民政府建立健全后续管护体制机制，落实后续管护责任，明确后续管护资金，确保项目长效发挥。</w:t>
      </w:r>
    </w:p>
    <w:bookmarkEnd w:id="186"/>
    <w:p>
      <w:pPr>
        <w:pStyle w:val="3"/>
        <w:spacing w:before="312" w:beforeLines="100" w:after="312" w:afterLines="100" w:line="500" w:lineRule="exact"/>
        <w:rPr>
          <w:rFonts w:ascii="Times New Roman" w:hAnsi="Times New Roman" w:eastAsia="黑体"/>
          <w:b w:val="0"/>
          <w:sz w:val="32"/>
          <w:szCs w:val="32"/>
        </w:rPr>
      </w:pPr>
      <w:bookmarkStart w:id="187" w:name="_Toc30643"/>
      <w:bookmarkStart w:id="188" w:name="_Toc514537353"/>
      <w:r>
        <w:rPr>
          <w:rFonts w:ascii="Times New Roman" w:hAnsi="Times New Roman" w:eastAsia="黑体"/>
          <w:b w:val="0"/>
          <w:sz w:val="32"/>
          <w:szCs w:val="32"/>
        </w:rPr>
        <w:t>七、绩效评价结果应用建议</w:t>
      </w:r>
      <w:bookmarkEnd w:id="187"/>
      <w:bookmarkEnd w:id="188"/>
    </w:p>
    <w:p>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w:t>
      </w:r>
      <w:r>
        <w:rPr>
          <w:rFonts w:hint="eastAsia" w:ascii="Times New Roman" w:hAnsi="Times New Roman" w:eastAsia="仿宋"/>
          <w:snapToGrid w:val="0"/>
          <w:sz w:val="28"/>
          <w:szCs w:val="32"/>
          <w:lang w:val="en-US" w:eastAsia="zh-CN"/>
        </w:rPr>
        <w:t>两</w:t>
      </w:r>
      <w:r>
        <w:rPr>
          <w:rFonts w:ascii="Times New Roman" w:hAnsi="Times New Roman" w:eastAsia="仿宋"/>
          <w:snapToGrid w:val="0"/>
          <w:sz w:val="28"/>
          <w:szCs w:val="32"/>
        </w:rPr>
        <w:t>点建议。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89" w:name="_Toc29457"/>
      <w:bookmarkStart w:id="190" w:name="_Toc521418325"/>
      <w:r>
        <w:rPr>
          <w:rFonts w:hint="eastAsia" w:ascii="Times New Roman" w:hAnsi="Times New Roman" w:eastAsia="仿宋" w:cs="Times New Roman"/>
          <w:b/>
          <w:bCs/>
          <w:kern w:val="2"/>
          <w:sz w:val="28"/>
          <w:szCs w:val="28"/>
          <w:lang w:val="en-US" w:eastAsia="zh-CN" w:bidi="ar-SA"/>
        </w:rPr>
        <w:t>（一）</w:t>
      </w:r>
      <w:bookmarkEnd w:id="189"/>
      <w:bookmarkEnd w:id="190"/>
      <w:r>
        <w:rPr>
          <w:rFonts w:hint="eastAsia" w:ascii="Times New Roman" w:hAnsi="Times New Roman" w:eastAsia="仿宋" w:cs="Times New Roman"/>
          <w:b/>
          <w:bCs/>
          <w:kern w:val="2"/>
          <w:sz w:val="28"/>
          <w:szCs w:val="28"/>
          <w:lang w:val="en-US" w:eastAsia="zh-CN" w:bidi="ar-SA"/>
        </w:rPr>
        <w:t>以绩效评价促进项目规范管理。</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根据绩效评价反馈的问题，委托方应进一步加强项目预算管理，并强化对项目实施过程的监督检查力度，督促有关部门加强对项目及绩效情况的追踪管理，促使项目达到既定的绩效目标，并将达标情况作为下一年度专项资金安排的重要依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91" w:name="_Toc517532006"/>
      <w:bookmarkStart w:id="192" w:name="_Toc521418326"/>
      <w:bookmarkStart w:id="193" w:name="_Toc19568"/>
      <w:r>
        <w:rPr>
          <w:rFonts w:hint="eastAsia" w:ascii="Times New Roman" w:hAnsi="Times New Roman" w:eastAsia="仿宋" w:cs="Times New Roman"/>
          <w:b/>
          <w:bCs/>
          <w:kern w:val="2"/>
          <w:sz w:val="28"/>
          <w:szCs w:val="28"/>
          <w:lang w:val="en-US" w:eastAsia="zh-CN" w:bidi="ar-SA"/>
        </w:rPr>
        <w:t>（二）充分利用绩效结果，</w:t>
      </w:r>
      <w:bookmarkEnd w:id="191"/>
      <w:bookmarkEnd w:id="192"/>
      <w:r>
        <w:rPr>
          <w:rFonts w:hint="eastAsia" w:ascii="Times New Roman" w:hAnsi="Times New Roman" w:eastAsia="仿宋" w:cs="Times New Roman"/>
          <w:b/>
          <w:bCs/>
          <w:kern w:val="2"/>
          <w:sz w:val="28"/>
          <w:szCs w:val="28"/>
          <w:lang w:val="en-US" w:eastAsia="zh-CN" w:bidi="ar-SA"/>
        </w:rPr>
        <w:t>落实问题整改机制。</w:t>
      </w:r>
      <w:bookmarkEnd w:id="193"/>
    </w:p>
    <w:p>
      <w:pPr>
        <w:widowControl/>
        <w:spacing w:line="500" w:lineRule="exact"/>
        <w:ind w:firstLine="560" w:firstLineChars="200"/>
        <w:rPr>
          <w:rFonts w:ascii="Times New Roman" w:hAnsi="Times New Roman" w:eastAsia="仿宋"/>
          <w:snapToGrid w:val="0"/>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仿宋" w:cs="Times New Roman"/>
          <w:bCs w:val="0"/>
          <w:kern w:val="2"/>
          <w:sz w:val="28"/>
          <w:szCs w:val="28"/>
          <w:lang w:val="en-US" w:eastAsia="zh-CN" w:bidi="ar-SA"/>
        </w:rPr>
        <w:t>古县财政局应将项目在实施过程中的经验及存在问题以文件形式反馈到相关单位，对于绩效评价中存在的问题提出整改要求。被评价单位要根据具体问题制定整改方案，并将整改结果反馈政府、财政部门</w:t>
      </w:r>
      <w:r>
        <w:rPr>
          <w:rFonts w:ascii="Times New Roman" w:hAnsi="Times New Roman" w:eastAsia="仿宋"/>
          <w:snapToGrid w:val="0"/>
          <w:sz w:val="28"/>
          <w:szCs w:val="32"/>
        </w:rPr>
        <w:t>。</w:t>
      </w:r>
      <w:bookmarkStart w:id="194" w:name="_Toc514537354"/>
    </w:p>
    <w:p>
      <w:pPr>
        <w:spacing w:before="156" w:beforeLines="50" w:after="156" w:afterLines="50" w:line="500" w:lineRule="exact"/>
        <w:jc w:val="left"/>
        <w:outlineLvl w:val="0"/>
        <w:rPr>
          <w:rFonts w:ascii="Times New Roman" w:hAnsi="Times New Roman" w:eastAsia="仿宋"/>
          <w:b/>
          <w:kern w:val="0"/>
          <w:sz w:val="32"/>
          <w:szCs w:val="30"/>
        </w:rPr>
      </w:pPr>
      <w:bookmarkStart w:id="195" w:name="_Toc10059"/>
      <w:r>
        <w:rPr>
          <w:rFonts w:ascii="Times New Roman" w:hAnsi="Times New Roman" w:eastAsia="仿宋"/>
          <w:b/>
          <w:kern w:val="0"/>
          <w:sz w:val="32"/>
          <w:szCs w:val="30"/>
        </w:rPr>
        <w:t>附件1：评价指标体系</w:t>
      </w:r>
      <w:bookmarkEnd w:id="195"/>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1"/>
        <w:gridCol w:w="1240"/>
        <w:gridCol w:w="1800"/>
        <w:gridCol w:w="4280"/>
        <w:gridCol w:w="5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一级指标</w:t>
            </w:r>
          </w:p>
        </w:tc>
        <w:tc>
          <w:tcPr>
            <w:tcW w:w="124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180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4280"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指标解释</w:t>
            </w:r>
          </w:p>
        </w:tc>
        <w:tc>
          <w:tcPr>
            <w:tcW w:w="5723" w:type="dxa"/>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A决策（20分）</w:t>
            </w: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A1项目立项（6分）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A11立项依据充分性（3分）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项目立项是否符合法律法规、相关政策、发展规划以及部门职责，用以反映和考核项目立项依据情况。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①项目立项是否符合国家法律法规、国民经济发展规划和相关政策，0.6分；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②项目立项是否符合行业发展规划和政策要求，0.6分；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③项目立项是否与部门职责范围相符，属于部门履职所需，0.6分； </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④项目是否属于公共财政支持范围，是否符合中央、地方事权支出责任划分原则，0.6分；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⑤项目是否与相关部门同类项目或部门内部相关项目重复，0.6分。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项目申请、设立过程是否符合相关要求，用以反映和考核项目立项的规范情况。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①项目是否按照规定的程序申请设立，1分；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②审批文件、材料是否符合相关要求，1分；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③事前是否已经过必要的可行性研究、专家论证、风险评估、绩效评估、集体决策，1分。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A2绩效目标（6分）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A21绩效目标合理性（3分）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项目所设定的绩效目标是否依据充分，是否符合客观实际，用以反映和考核项目绩效目标与项目实施的相符情况。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(如未设定预算绩效目标，也可考核其他工作任务目标)</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①项目是否有绩效目标，1分；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②项目绩效目标与实际工作内容是否具有相关性，1分；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③项目预期产出效益和效果是否符合正常的业绩水平，0.5分；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④是否与预算确定的项目投资额或资金量相匹配，0.5分。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A22绩效指标明确性（3分）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依据绩效目标设定的绩效指标是否清晰、细化、可衡等， 用以反映和考核项目绩效目标的明细化情况。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①是否将项目绩效目标细化分解为具体的绩效指标，1分；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②是否通过清晰、可衡量的指标值予以体现，1分；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③是否与项目目标任务数或计划数相对应，1分。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A3资金投入（8分）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A31预算编制科学性（4分）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项目预算编制是否经过科学论证、有明确标准，资金额度与年度目标是否相适应，用以反映和考核项目预算编制的科学性、合理性情况。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①预算编制是否经过科学论证，1分； </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②预算内容与项目内容是否匹配，1分；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③预算额度测算依据是否充分，是否按照标准编制，1分；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④预算确定的项目投资额或资金量是否与工作任务相匹配，1分。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A32资金分配合理性（4分）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项目预算资金分配是否有测算依据，与补助单位或地方实际是否相适应，用以反映和考核项目预算资金分配的科学性、合理性情况。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①预算资金分配依据是否充分，2分；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②资金分配额度是否合理，与项目单位或地方实际是否相适应，2分。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1"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B过程（20分）</w:t>
            </w: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B1资金管理（10分）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B11资金到位率（4分）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实际到位资金与预算资金的比率，用以反映和考核资金落实情况对项目实施的总体保障程度。</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资金到位率= (实际到位资金/预算资金) X 100%。</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实际到位资金；一定时期(本年度或项目期)内落实到具体项目的资金。</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预算资金；一 定时期(本年度或项目期)内预算安排到具体项目的资金。得分=资金到位率×4分。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B12预算执行率（4分）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项目预算资金是否按照计划执行，用以反映或考核项目预算执行情况。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预算执行率= (实际支出资金/实际到位资金) X 100%。</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实际支出资金；一定时期(本年度或项目期)内项目实际拨付的资金。得分=预算执行率×4分。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B13资金使用合规性（2分）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项目资金使用是否符合相关的财务管理制度规定，用以反映和考核项目资金的规范运行情况。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①是否符合国家财经法规和财务管理制度以及有关专项资金管理办法的规定，1分；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②资金的拨付是否有完整的审批程序和手续，0.5分；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③是否符合项目预算批复或合同规定的用途，0.5分；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④存在藏留、挤占、挪用、虚列支出等情况，本项得0分。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B2组织实施（10分）</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B21管理制度健全性（2分）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项目实施单位的财务和业务管理制度是否健全，用以反映和考核财务和业务管理制度对项目顺利实施的保障情况。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①是否已制定或具有相应的财务和业务管理制度，1分；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②财务和业务管理制度是否合法、合规、完整，1分。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B22制度执行有效性（2分）</w:t>
            </w:r>
          </w:p>
        </w:tc>
        <w:tc>
          <w:tcPr>
            <w:tcW w:w="4280"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项目实施是否符合相关管理规定，用以反映和考核相关管理制度的有效执行情况。</w:t>
            </w:r>
          </w:p>
        </w:tc>
        <w:tc>
          <w:tcPr>
            <w:tcW w:w="5723" w:type="dxa"/>
            <w:vAlign w:val="top"/>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项目严格按照制度执行，2分；涉及调整的，调整手续完善，1分；未按照制度执行，且手续不完善的，不得分。总得分=∑各项目得分*项目预算占总预算的比值。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B23招投标过程规范性（2分）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考察招投标过程是否合规。</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①选择有资质的招标代理公司编制招标文件；②评标方法适合本项目；③有专业的评标委员会；④评标委员会按照规定和要求评标。每满足1项得0.5分。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B24监理过程规范性（2分）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考察项目实施过程中监理是否规范。</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①监理单位应当依法取得相应等级的资质证书、监理人员持有监理工程师岗位证书；②有监理月报告或监理日志，监理报告能反映当月或当日的监理工作情况。每满足1项得1分。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B25安全事故发生率（2分）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考察项目实施过程中是否存在安全事故发生。</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无事故发生，得满分；存在一起事故发生，不得分。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1" w:type="dxa"/>
            <w:vMerge w:val="restart"/>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C产出</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C1产出数量</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12</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C11项目完成情况（8分）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已完成工程数量/应完成的工程数量×100%，用以反映和考核项目建设完成情况</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实际完成率得分=已完成项目数量/计划总里程×100%×12（分）。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完成11条 “四好农村路”的设计（2分）、监理（2分）、施工（2分）、验收（2分）等。实际完成率得分=已完成项目数量/应完成项目数量×100%×12（分）。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C2产出质量（8）</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C21质量达标（8分）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考核项目是否按照合同签订工期及时完成</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①公路工程按照《公路工程技术标准》（JTGB01-2014）、《山西省农村公路建设技术标准》等相关工程标准进行验收，一次交工验收合格率达到98%以上得满分，每降低1个百分比扣1分，扣完为止；（2分）</w:t>
            </w:r>
          </w:p>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公路设计符合《公路工程技术标准》（JTGB01-2014）、《公路沥青路面设计规范》（JTG50-2006）、《公路水泥混凝土设计规范》（JTGD40-2011）等有关规定和要求，同时施工无较大变动，且满足沿线村民生产生活需要，得满分，出现一项不符合扣2分，扣完为止；（2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③公路监理按照监理职责，保障工程施工符合《山西省农村公路建设技术标准》等相关工程标准，并且施工过程中无重大事故发生得满分，否则为0分。（4分）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Times New Roman" w:hAnsi="Times New Roman" w:eastAsia="仿宋"/>
                <w:color w:val="000000"/>
                <w:kern w:val="0"/>
                <w:sz w:val="24"/>
                <w:szCs w:val="24"/>
                <w:lang w:val="en-US"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3产出时效</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C31完成及时性</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质量达标率反映和考核项目完成的质量标准。项目产出质量符合相关行业标准、规范、符合验收标准。</w:t>
            </w:r>
          </w:p>
        </w:tc>
        <w:tc>
          <w:tcPr>
            <w:tcW w:w="5723"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工程如期完成（4分），未如期完成拖延一月扣0.2分，扣完为止；工程竣工验收（4分），一项未竣工验收扣0.2分，扣完为止。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eastAsia" w:ascii="Times New Roman" w:hAnsi="Times New Roman" w:eastAsia="仿宋"/>
                <w:color w:val="000000"/>
                <w:kern w:val="0"/>
                <w:sz w:val="24"/>
                <w:szCs w:val="24"/>
                <w:lang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产出</w:t>
            </w:r>
            <w:r>
              <w:rPr>
                <w:rFonts w:hint="eastAsia" w:ascii="Times New Roman" w:hAnsi="Times New Roman" w:eastAsia="仿宋"/>
                <w:color w:val="000000"/>
                <w:kern w:val="0"/>
                <w:sz w:val="24"/>
                <w:szCs w:val="24"/>
                <w:lang w:val="en-US" w:eastAsia="zh-CN"/>
              </w:rPr>
              <w:t>成本</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6</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C41成本控制能力</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（6分）</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主要考核产出成本是否按预算目标控制。</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成本节约率=[(计划成本-实际成本)/计划成本]×100%。节约率≥0%为6分，超支5%以内得4分，5%≤超支&lt;10%得2分，超支≥10%得0分。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1" w:type="dxa"/>
            <w:vMerge w:val="restart"/>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D效益</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D1社会效益</w:t>
            </w:r>
          </w:p>
          <w:p>
            <w:pPr>
              <w:snapToGrid w:val="0"/>
              <w:jc w:val="left"/>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5分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D11社会效益</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考核项目实施后对社会发展所带来的见解或直接影响情况</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改善农村交通出行条件，完善路网结构，减少拥堵、通行时间缩短10%以上（2分）；改善区域投资环境，促进城乡协调发展，维护社会发展公平，提高政府威信等，为实施乡村振兴、脱贫攻坚重大战略提供交通支撑（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D2生态效益（5分）</w:t>
            </w:r>
          </w:p>
        </w:tc>
        <w:tc>
          <w:tcPr>
            <w:tcW w:w="18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D21生态效益</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考核项目实施后对生态环境所带来的间接或直接影响情况</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项目建成后道路通畅，路面整洁，减少车辆扬尘（2.5分）；注重生态环境保护和水土保持，无周边群众对生态环境方面的投诉（2.5分）。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3</w:t>
            </w:r>
            <w:r>
              <w:rPr>
                <w:rFonts w:ascii="Times New Roman" w:hAnsi="Times New Roman" w:eastAsia="仿宋"/>
                <w:color w:val="000000"/>
                <w:kern w:val="0"/>
                <w:sz w:val="24"/>
                <w:szCs w:val="24"/>
              </w:rPr>
              <w:t>可持续影响</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D31工程运行管理</w:t>
            </w:r>
          </w:p>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考核项目实施后可持续发展效益</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建立农村公路养护管理相关制度，明确养护人员及职责（2分）；养护资金纳入公共预算，落实养护资金（3分）；项目可持续性和后续管理制度执行有效性（5分）。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服务对象满意度</w:t>
            </w:r>
          </w:p>
          <w:p>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D41受益群众满意度（10）</w:t>
            </w:r>
          </w:p>
        </w:tc>
        <w:tc>
          <w:tcPr>
            <w:tcW w:w="428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工作人员对项目实施的满意程度。</w:t>
            </w:r>
          </w:p>
        </w:tc>
        <w:tc>
          <w:tcPr>
            <w:tcW w:w="5723"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满意度达到或超过90%为10分；90%~60%（含）按其满意度为权重计算得分，60%以下不得分。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74" w:type="dxa"/>
            <w:gridSpan w:val="5"/>
          </w:tcPr>
          <w:p>
            <w:pPr>
              <w:widowControl/>
              <w:snapToGrid w:val="0"/>
              <w:jc w:val="left"/>
              <w:rPr>
                <w:rFonts w:ascii="Times New Roman" w:hAnsi="Times New Roman" w:eastAsia="仿宋"/>
                <w:color w:val="000000"/>
                <w:kern w:val="0"/>
                <w:sz w:val="24"/>
                <w:szCs w:val="24"/>
              </w:rPr>
            </w:pPr>
            <w:r>
              <w:rPr>
                <w:rFonts w:ascii="Times New Roman" w:hAnsi="Times New Roman" w:eastAsia="仿宋"/>
                <w:color w:val="000000"/>
                <w:kern w:val="0"/>
                <w:sz w:val="24"/>
                <w:szCs w:val="24"/>
              </w:rPr>
              <w:t>注：绩效评价结果等级划分标准为：90分（含）以上的为“优”，80分（含）</w:t>
            </w:r>
            <w:r>
              <w:rPr>
                <w:rFonts w:hint="eastAsia" w:ascii="Times New Roman" w:hAnsi="Times New Roman" w:eastAsia="仿宋"/>
                <w:color w:val="000000"/>
                <w:kern w:val="0"/>
                <w:sz w:val="24"/>
                <w:szCs w:val="24"/>
                <w:lang w:val="en-US" w:eastAsia="zh-CN"/>
              </w:rPr>
              <w:t>-90</w:t>
            </w:r>
            <w:r>
              <w:rPr>
                <w:rFonts w:ascii="Times New Roman" w:hAnsi="Times New Roman" w:eastAsia="仿宋"/>
                <w:color w:val="000000"/>
                <w:kern w:val="0"/>
                <w:sz w:val="24"/>
                <w:szCs w:val="24"/>
              </w:rPr>
              <w:t>分的为“良”，60分（含）-</w:t>
            </w:r>
            <w:r>
              <w:rPr>
                <w:rFonts w:hint="eastAsia" w:ascii="Times New Roman" w:hAnsi="Times New Roman" w:eastAsia="仿宋"/>
                <w:color w:val="000000"/>
                <w:kern w:val="0"/>
                <w:sz w:val="24"/>
                <w:szCs w:val="24"/>
                <w:lang w:val="en-US" w:eastAsia="zh-CN"/>
              </w:rPr>
              <w:t>80</w:t>
            </w:r>
            <w:r>
              <w:rPr>
                <w:rFonts w:ascii="Times New Roman" w:hAnsi="Times New Roman" w:eastAsia="仿宋"/>
                <w:color w:val="000000"/>
                <w:kern w:val="0"/>
                <w:sz w:val="24"/>
                <w:szCs w:val="24"/>
              </w:rPr>
              <w:t>分的为“中”，60分以下的为“差”。</w:t>
            </w:r>
          </w:p>
        </w:tc>
      </w:tr>
    </w:tbl>
    <w:p>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left"/>
        <w:textAlignment w:val="auto"/>
        <w:outlineLvl w:val="9"/>
        <w:rPr>
          <w:rFonts w:ascii="Times New Roman" w:hAnsi="Times New Roman" w:eastAsia="仿宋"/>
          <w:b/>
          <w:kern w:val="0"/>
          <w:sz w:val="32"/>
          <w:szCs w:val="30"/>
        </w:rPr>
      </w:pPr>
    </w:p>
    <w:p>
      <w:pPr>
        <w:widowControl/>
        <w:spacing w:line="500" w:lineRule="exact"/>
        <w:jc w:val="left"/>
        <w:outlineLvl w:val="0"/>
        <w:rPr>
          <w:rFonts w:ascii="Times New Roman" w:hAnsi="Times New Roman" w:eastAsia="仿宋"/>
          <w:snapToGrid w:val="0"/>
          <w:sz w:val="32"/>
          <w:szCs w:val="32"/>
        </w:rPr>
        <w:sectPr>
          <w:headerReference r:id="rId8" w:type="default"/>
          <w:pgSz w:w="16838" w:h="11906" w:orient="landscape"/>
          <w:pgMar w:top="1797" w:right="1440" w:bottom="1797" w:left="1440" w:header="851" w:footer="992" w:gutter="0"/>
          <w:pgNumType w:fmt="decimal"/>
          <w:cols w:space="425" w:num="1"/>
          <w:docGrid w:type="lines" w:linePitch="312" w:charSpace="0"/>
        </w:sectPr>
      </w:pPr>
    </w:p>
    <w:p>
      <w:pPr>
        <w:spacing w:before="156" w:beforeLines="50" w:after="156" w:afterLines="50" w:line="500" w:lineRule="exact"/>
        <w:jc w:val="left"/>
        <w:outlineLvl w:val="0"/>
        <w:rPr>
          <w:rFonts w:ascii="Times New Roman" w:hAnsi="Times New Roman" w:eastAsia="仿宋"/>
          <w:b/>
          <w:kern w:val="0"/>
          <w:sz w:val="32"/>
          <w:szCs w:val="30"/>
        </w:rPr>
      </w:pPr>
      <w:bookmarkStart w:id="196" w:name="_Toc14145"/>
      <w:r>
        <w:rPr>
          <w:rFonts w:ascii="Times New Roman" w:hAnsi="Times New Roman" w:eastAsia="仿宋"/>
          <w:b/>
          <w:kern w:val="0"/>
          <w:sz w:val="32"/>
          <w:szCs w:val="30"/>
        </w:rPr>
        <w:t>附件2：问卷调查报告</w:t>
      </w:r>
      <w:bookmarkEnd w:id="194"/>
      <w:bookmarkEnd w:id="196"/>
      <w:bookmarkStart w:id="197" w:name="_Toc528680487"/>
      <w:bookmarkStart w:id="198" w:name="_Toc528603095"/>
      <w:bookmarkStart w:id="199" w:name="_Toc528680333"/>
      <w:bookmarkStart w:id="200" w:name="_Toc516473336"/>
      <w:bookmarkStart w:id="201" w:name="_Toc515811021"/>
      <w:bookmarkStart w:id="202" w:name="_Toc516554801"/>
      <w:bookmarkStart w:id="203" w:name="_Toc517361502"/>
      <w:bookmarkStart w:id="204" w:name="_Toc515811967"/>
    </w:p>
    <w:bookmarkEnd w:id="197"/>
    <w:bookmarkEnd w:id="198"/>
    <w:bookmarkEnd w:id="199"/>
    <w:p>
      <w:pPr>
        <w:pStyle w:val="18"/>
        <w:spacing w:line="500" w:lineRule="exact"/>
        <w:jc w:val="center"/>
        <w:outlineLvl w:val="9"/>
        <w:rPr>
          <w:rFonts w:eastAsia="仿宋"/>
          <w:b/>
          <w:bCs w:val="0"/>
          <w:kern w:val="2"/>
          <w:sz w:val="28"/>
          <w:szCs w:val="44"/>
        </w:rPr>
      </w:pPr>
      <w:bookmarkStart w:id="205" w:name="_Toc528603096"/>
      <w:bookmarkStart w:id="206" w:name="_Toc528684163"/>
      <w:bookmarkStart w:id="207" w:name="_Toc28401"/>
      <w:bookmarkStart w:id="208" w:name="_Toc32556"/>
      <w:bookmarkStart w:id="209" w:name="_Toc528680334"/>
      <w:bookmarkStart w:id="210" w:name="_Toc27702"/>
      <w:bookmarkStart w:id="211" w:name="_Toc1021"/>
      <w:bookmarkStart w:id="212" w:name="_Toc5640"/>
      <w:bookmarkStart w:id="213" w:name="_Toc29141"/>
      <w:bookmarkStart w:id="214" w:name="_Toc528680488"/>
      <w:bookmarkStart w:id="215" w:name="_Toc14694"/>
      <w:r>
        <w:rPr>
          <w:rFonts w:hint="eastAsia" w:eastAsia="仿宋"/>
          <w:b/>
          <w:bCs w:val="0"/>
          <w:kern w:val="2"/>
          <w:sz w:val="28"/>
          <w:szCs w:val="44"/>
          <w:lang w:eastAsia="zh-CN"/>
        </w:rPr>
        <w:t>旧县镇“四好农村路”建设项目</w:t>
      </w:r>
      <w:r>
        <w:rPr>
          <w:rFonts w:eastAsia="仿宋"/>
          <w:b/>
          <w:bCs w:val="0"/>
          <w:kern w:val="2"/>
          <w:sz w:val="28"/>
          <w:szCs w:val="44"/>
        </w:rPr>
        <w:t>社会公众</w:t>
      </w:r>
      <w:r>
        <w:rPr>
          <w:rFonts w:eastAsia="仿宋"/>
          <w:b/>
          <w:snapToGrid w:val="0"/>
          <w:sz w:val="28"/>
          <w:szCs w:val="44"/>
        </w:rPr>
        <w:t>满意度调查报告</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pPr>
        <w:spacing w:line="500" w:lineRule="exact"/>
        <w:ind w:firstLine="560" w:firstLineChars="200"/>
        <w:rPr>
          <w:rFonts w:ascii="Times New Roman" w:hAnsi="Times New Roman" w:eastAsia="仿宋"/>
          <w:b w:val="0"/>
          <w:bCs/>
          <w:sz w:val="28"/>
          <w:szCs w:val="32"/>
        </w:rPr>
      </w:pPr>
      <w:r>
        <w:rPr>
          <w:rFonts w:ascii="Times New Roman" w:hAnsi="Times New Roman" w:eastAsia="仿宋"/>
          <w:b w:val="0"/>
          <w:bCs/>
          <w:sz w:val="28"/>
          <w:szCs w:val="32"/>
        </w:rPr>
        <w:t>（一）调查目的</w:t>
      </w:r>
    </w:p>
    <w:p>
      <w:pPr>
        <w:spacing w:line="500" w:lineRule="exact"/>
        <w:ind w:firstLine="560" w:firstLineChars="200"/>
        <w:rPr>
          <w:rFonts w:ascii="Times New Roman" w:hAnsi="Times New Roman" w:eastAsia="仿宋"/>
          <w:b w:val="0"/>
          <w:bCs/>
          <w:sz w:val="28"/>
          <w:szCs w:val="32"/>
        </w:rPr>
      </w:pPr>
      <w:r>
        <w:rPr>
          <w:rFonts w:ascii="Times New Roman" w:hAnsi="Times New Roman" w:eastAsia="仿宋"/>
          <w:b w:val="0"/>
          <w:bCs/>
          <w:sz w:val="28"/>
          <w:szCs w:val="32"/>
        </w:rPr>
        <w:t>满意度调查是绩效评价中非常重要的环节，为实际了解资金的使用管理情况和项目实施情况，准确掌握社会公众及服务对象满意度数据具有重要作用。通过向受益群体发放满意度调查问卷，了解群众对</w:t>
      </w:r>
      <w:r>
        <w:rPr>
          <w:rFonts w:hint="eastAsia" w:ascii="Times New Roman" w:hAnsi="Times New Roman" w:eastAsia="仿宋"/>
          <w:b w:val="0"/>
          <w:bCs/>
          <w:sz w:val="28"/>
          <w:szCs w:val="32"/>
          <w:lang w:eastAsia="zh-CN"/>
        </w:rPr>
        <w:t>旧县镇“四好农村路”建设项目</w:t>
      </w:r>
      <w:r>
        <w:rPr>
          <w:rFonts w:ascii="Times New Roman" w:hAnsi="Times New Roman" w:eastAsia="仿宋"/>
          <w:b w:val="0"/>
          <w:bCs/>
          <w:sz w:val="28"/>
          <w:szCs w:val="32"/>
        </w:rPr>
        <w:t>的整体满意度，为绩效评价工作提供数据参考。</w:t>
      </w:r>
    </w:p>
    <w:p>
      <w:pPr>
        <w:spacing w:before="156" w:beforeLines="50" w:line="500" w:lineRule="exact"/>
        <w:ind w:firstLine="560" w:firstLineChars="200"/>
        <w:rPr>
          <w:rFonts w:ascii="Times New Roman" w:hAnsi="Times New Roman" w:eastAsia="仿宋"/>
          <w:b w:val="0"/>
          <w:bCs/>
          <w:sz w:val="24"/>
          <w:szCs w:val="28"/>
        </w:rPr>
      </w:pPr>
      <w:bookmarkStart w:id="216" w:name="_Toc469588896"/>
      <w:r>
        <w:rPr>
          <w:rFonts w:ascii="Times New Roman" w:hAnsi="Times New Roman" w:eastAsia="仿宋"/>
          <w:b w:val="0"/>
          <w:bCs/>
          <w:sz w:val="28"/>
          <w:szCs w:val="32"/>
        </w:rPr>
        <w:t>（二）调查对象</w:t>
      </w:r>
      <w:bookmarkEnd w:id="216"/>
    </w:p>
    <w:p>
      <w:pPr>
        <w:spacing w:line="500" w:lineRule="exact"/>
        <w:ind w:firstLine="560" w:firstLineChars="200"/>
        <w:rPr>
          <w:rFonts w:ascii="Times New Roman" w:hAnsi="Times New Roman" w:eastAsia="仿宋"/>
          <w:b w:val="0"/>
          <w:bCs/>
          <w:sz w:val="28"/>
          <w:szCs w:val="32"/>
        </w:rPr>
      </w:pPr>
      <w:bookmarkStart w:id="217" w:name="_Toc469588897"/>
      <w:r>
        <w:rPr>
          <w:rFonts w:hint="eastAsia" w:ascii="Times New Roman" w:hAnsi="Times New Roman" w:eastAsia="仿宋"/>
          <w:b w:val="0"/>
          <w:bCs/>
          <w:sz w:val="28"/>
          <w:szCs w:val="32"/>
          <w:lang w:eastAsia="zh-CN"/>
        </w:rPr>
        <w:t>旧县镇“四好农村路”建设项目</w:t>
      </w:r>
      <w:r>
        <w:rPr>
          <w:rFonts w:ascii="Times New Roman" w:hAnsi="Times New Roman" w:eastAsia="仿宋"/>
          <w:b w:val="0"/>
          <w:bCs/>
          <w:sz w:val="28"/>
          <w:szCs w:val="32"/>
        </w:rPr>
        <w:t>涉及的群众。</w:t>
      </w:r>
      <w:bookmarkEnd w:id="217"/>
    </w:p>
    <w:p>
      <w:pPr>
        <w:spacing w:before="156" w:beforeLines="50" w:line="500" w:lineRule="exact"/>
        <w:ind w:firstLine="560" w:firstLineChars="200"/>
        <w:rPr>
          <w:rFonts w:hint="eastAsia" w:ascii="Times New Roman" w:hAnsi="Times New Roman" w:eastAsia="仿宋"/>
          <w:b w:val="0"/>
          <w:bCs/>
          <w:sz w:val="28"/>
          <w:szCs w:val="32"/>
        </w:rPr>
      </w:pPr>
      <w:r>
        <w:rPr>
          <w:rFonts w:hint="eastAsia" w:ascii="Times New Roman" w:hAnsi="Times New Roman" w:eastAsia="仿宋"/>
          <w:b w:val="0"/>
          <w:bCs/>
          <w:sz w:val="28"/>
          <w:szCs w:val="32"/>
          <w:lang w:eastAsia="zh-CN"/>
        </w:rPr>
        <w:t>（</w:t>
      </w:r>
      <w:r>
        <w:rPr>
          <w:rFonts w:hint="eastAsia" w:ascii="Times New Roman" w:hAnsi="Times New Roman" w:eastAsia="仿宋"/>
          <w:b w:val="0"/>
          <w:bCs/>
          <w:sz w:val="28"/>
          <w:szCs w:val="32"/>
          <w:lang w:val="en-US" w:eastAsia="zh-CN"/>
        </w:rPr>
        <w:t>三</w:t>
      </w:r>
      <w:r>
        <w:rPr>
          <w:rFonts w:hint="eastAsia" w:ascii="Times New Roman" w:hAnsi="Times New Roman" w:eastAsia="仿宋"/>
          <w:b w:val="0"/>
          <w:bCs/>
          <w:sz w:val="28"/>
          <w:szCs w:val="32"/>
          <w:lang w:eastAsia="zh-CN"/>
        </w:rPr>
        <w:t>）</w:t>
      </w:r>
      <w:r>
        <w:rPr>
          <w:rFonts w:hint="eastAsia" w:ascii="Times New Roman" w:hAnsi="Times New Roman" w:eastAsia="仿宋"/>
          <w:b w:val="0"/>
          <w:bCs/>
          <w:sz w:val="28"/>
          <w:szCs w:val="32"/>
        </w:rPr>
        <w:t>问卷发放/回收情况</w:t>
      </w:r>
    </w:p>
    <w:p>
      <w:pPr>
        <w:spacing w:beforeLines="0" w:afterLines="0" w:line="600" w:lineRule="exact"/>
        <w:ind w:firstLine="560"/>
        <w:rPr>
          <w:rFonts w:hint="eastAsia" w:ascii="仿宋" w:hAnsi="仿宋" w:eastAsia="仿宋" w:cs="仿宋"/>
          <w:b w:val="0"/>
          <w:bCs/>
          <w:sz w:val="28"/>
          <w:szCs w:val="28"/>
        </w:rPr>
      </w:pPr>
      <w:r>
        <w:rPr>
          <w:rFonts w:hint="eastAsia" w:ascii="仿宋" w:hAnsi="仿宋" w:eastAsia="仿宋" w:cs="仿宋"/>
          <w:b w:val="0"/>
          <w:bCs/>
          <w:sz w:val="28"/>
          <w:szCs w:val="28"/>
        </w:rPr>
        <w:t>依据公共支出绩效评价的效应原则，</w:t>
      </w:r>
      <w:r>
        <w:rPr>
          <w:rFonts w:hint="eastAsia" w:ascii="仿宋" w:hAnsi="仿宋" w:eastAsia="仿宋" w:cs="仿宋"/>
          <w:b w:val="0"/>
          <w:bCs/>
          <w:sz w:val="28"/>
          <w:szCs w:val="28"/>
          <w:lang w:val="en-US" w:eastAsia="zh-CN"/>
        </w:rPr>
        <w:t>对</w:t>
      </w:r>
      <w:r>
        <w:rPr>
          <w:rFonts w:hint="eastAsia" w:ascii="仿宋" w:hAnsi="仿宋" w:eastAsia="仿宋" w:cs="仿宋"/>
          <w:b w:val="0"/>
          <w:bCs/>
          <w:kern w:val="0"/>
          <w:sz w:val="28"/>
          <w:szCs w:val="28"/>
          <w:shd w:val="clear" w:color="auto" w:fill="FFFFFF"/>
          <w:lang w:eastAsia="zh-CN"/>
        </w:rPr>
        <w:t>涉及的</w:t>
      </w:r>
      <w:r>
        <w:rPr>
          <w:rFonts w:hint="eastAsia" w:ascii="仿宋" w:hAnsi="仿宋" w:eastAsia="仿宋" w:cs="仿宋"/>
          <w:b w:val="0"/>
          <w:bCs/>
          <w:color w:val="000000"/>
          <w:kern w:val="0"/>
          <w:sz w:val="28"/>
          <w:szCs w:val="28"/>
          <w:lang w:val="en-US" w:eastAsia="zh-CN"/>
        </w:rPr>
        <w:t>受益群众</w:t>
      </w:r>
      <w:r>
        <w:rPr>
          <w:rFonts w:hint="eastAsia" w:ascii="仿宋" w:hAnsi="仿宋" w:eastAsia="仿宋" w:cs="仿宋"/>
          <w:b w:val="0"/>
          <w:bCs/>
          <w:sz w:val="28"/>
          <w:szCs w:val="28"/>
        </w:rPr>
        <w:t>开展社会调查。</w:t>
      </w:r>
    </w:p>
    <w:p>
      <w:pPr>
        <w:spacing w:beforeLines="0" w:afterLines="0" w:line="600" w:lineRule="exact"/>
        <w:ind w:firstLine="560"/>
        <w:rPr>
          <w:rFonts w:hint="eastAsia" w:ascii="仿宋" w:hAnsi="仿宋" w:eastAsia="仿宋" w:cs="仿宋"/>
          <w:b w:val="0"/>
          <w:bCs/>
          <w:sz w:val="28"/>
          <w:szCs w:val="28"/>
        </w:rPr>
      </w:pPr>
      <w:r>
        <w:rPr>
          <w:rFonts w:hint="eastAsia" w:ascii="仿宋" w:hAnsi="仿宋" w:eastAsia="仿宋" w:cs="仿宋"/>
          <w:b w:val="0"/>
          <w:bCs/>
          <w:sz w:val="28"/>
          <w:szCs w:val="28"/>
        </w:rPr>
        <w:t>本次社会调查采用随机问卷的方式，评价组将按照抽样调查的形式发放问卷，计划发放问卷</w:t>
      </w:r>
      <w:r>
        <w:rPr>
          <w:rFonts w:hint="eastAsia" w:ascii="仿宋" w:hAnsi="仿宋" w:eastAsia="仿宋" w:cs="仿宋"/>
          <w:b w:val="0"/>
          <w:bCs/>
          <w:sz w:val="28"/>
          <w:szCs w:val="28"/>
          <w:lang w:val="en-US" w:eastAsia="zh-CN"/>
        </w:rPr>
        <w:t>300</w:t>
      </w:r>
      <w:r>
        <w:rPr>
          <w:rFonts w:hint="eastAsia" w:ascii="仿宋" w:hAnsi="仿宋" w:eastAsia="仿宋" w:cs="仿宋"/>
          <w:b w:val="0"/>
          <w:bCs/>
          <w:sz w:val="28"/>
          <w:szCs w:val="28"/>
        </w:rPr>
        <w:t>份，问卷主体是</w:t>
      </w:r>
      <w:r>
        <w:rPr>
          <w:rFonts w:hint="eastAsia" w:ascii="仿宋" w:hAnsi="仿宋" w:eastAsia="仿宋" w:cs="仿宋"/>
          <w:b w:val="0"/>
          <w:bCs/>
          <w:sz w:val="28"/>
          <w:szCs w:val="28"/>
          <w:lang w:val="en-US" w:eastAsia="zh-CN"/>
        </w:rPr>
        <w:t>项目区域</w:t>
      </w:r>
      <w:r>
        <w:rPr>
          <w:rFonts w:hint="eastAsia" w:ascii="仿宋" w:hAnsi="仿宋" w:eastAsia="仿宋" w:cs="仿宋"/>
          <w:b w:val="0"/>
          <w:bCs/>
          <w:color w:val="000000"/>
          <w:kern w:val="0"/>
          <w:sz w:val="28"/>
          <w:szCs w:val="28"/>
          <w:lang w:val="en-US" w:eastAsia="zh-CN"/>
        </w:rPr>
        <w:t>受益群众</w:t>
      </w:r>
      <w:r>
        <w:rPr>
          <w:rFonts w:hint="eastAsia" w:ascii="仿宋" w:hAnsi="仿宋" w:eastAsia="仿宋" w:cs="仿宋"/>
          <w:b w:val="0"/>
          <w:bCs/>
          <w:sz w:val="28"/>
          <w:szCs w:val="28"/>
        </w:rPr>
        <w:t>。</w:t>
      </w:r>
    </w:p>
    <w:p>
      <w:pPr>
        <w:spacing w:beforeLines="0" w:afterLines="0" w:line="600" w:lineRule="exact"/>
        <w:ind w:firstLine="560"/>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w:t>
      </w:r>
      <w:r>
        <w:rPr>
          <w:rFonts w:hint="eastAsia" w:ascii="仿宋" w:hAnsi="仿宋" w:eastAsia="仿宋" w:cs="仿宋"/>
          <w:b w:val="0"/>
          <w:bCs/>
          <w:sz w:val="28"/>
          <w:szCs w:val="28"/>
          <w:lang w:val="en-US" w:eastAsia="zh-CN"/>
        </w:rPr>
        <w:t>四</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lang w:val="en-US" w:eastAsia="zh-CN"/>
        </w:rPr>
        <w:t>问卷问题</w:t>
      </w:r>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问卷从对农村公路改造项目建成后改善老百姓出行效果的满意程度、对农村公路改造项目建成后改善当地百姓的生产、生活效果的满意程度、对农村公路改造项目建设质量的满意程度、对农村公路改造项目建设施工进度安排的满意程度、对农村公路改造项目通车后，管理养护工作安排的满意程度、对政府出台的农村公路改造项目相关政策的满意程度等六</w:t>
      </w:r>
      <w:r>
        <w:rPr>
          <w:rFonts w:hint="eastAsia" w:ascii="仿宋" w:hAnsi="仿宋" w:eastAsia="仿宋" w:cs="仿宋"/>
          <w:kern w:val="0"/>
          <w:sz w:val="28"/>
          <w:szCs w:val="28"/>
        </w:rPr>
        <w:t>个问题</w:t>
      </w:r>
      <w:r>
        <w:rPr>
          <w:rFonts w:hint="eastAsia" w:ascii="仿宋" w:hAnsi="仿宋" w:eastAsia="仿宋" w:cs="仿宋"/>
          <w:kern w:val="0"/>
          <w:sz w:val="28"/>
          <w:szCs w:val="28"/>
          <w:lang w:val="en-US" w:eastAsia="zh-CN"/>
        </w:rPr>
        <w:t>进行了调查</w:t>
      </w:r>
      <w:r>
        <w:rPr>
          <w:rFonts w:hint="eastAsia" w:ascii="仿宋" w:hAnsi="仿宋" w:eastAsia="仿宋" w:cs="仿宋"/>
          <w:kern w:val="0"/>
          <w:sz w:val="28"/>
          <w:szCs w:val="28"/>
        </w:rPr>
        <w:t>，</w:t>
      </w:r>
    </w:p>
    <w:p>
      <w:pPr>
        <w:spacing w:line="500" w:lineRule="exact"/>
        <w:ind w:firstLine="560" w:firstLineChars="200"/>
        <w:rPr>
          <w:rFonts w:hint="default" w:ascii="仿宋" w:hAnsi="仿宋" w:eastAsia="仿宋" w:cs="仿宋"/>
          <w:kern w:val="0"/>
          <w:sz w:val="28"/>
          <w:szCs w:val="28"/>
          <w:lang w:val="en-US" w:eastAsia="zh-CN"/>
        </w:rPr>
      </w:pP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五</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满意度</w:t>
      </w:r>
    </w:p>
    <w:p>
      <w:pPr>
        <w:spacing w:line="500" w:lineRule="exact"/>
        <w:ind w:firstLine="560" w:firstLineChars="200"/>
        <w:rPr>
          <w:rFonts w:hint="eastAsia" w:ascii="仿宋" w:hAnsi="仿宋" w:eastAsia="仿宋" w:cs="仿宋"/>
          <w:kern w:val="0"/>
          <w:sz w:val="28"/>
          <w:szCs w:val="28"/>
          <w:lang w:val="en-US" w:eastAsia="zh-CN"/>
        </w:rPr>
        <w:sectPr>
          <w:headerReference r:id="rId9" w:type="default"/>
          <w:footerReference r:id="rId10" w:type="default"/>
          <w:pgSz w:w="11906" w:h="16838"/>
          <w:pgMar w:top="1440" w:right="1797" w:bottom="1440" w:left="1797" w:header="851" w:footer="992" w:gutter="0"/>
          <w:pgNumType w:fmt="decimal"/>
          <w:cols w:space="425" w:num="1"/>
          <w:docGrid w:type="lines" w:linePitch="312" w:charSpace="0"/>
        </w:sectPr>
      </w:pPr>
    </w:p>
    <w:tbl>
      <w:tblPr>
        <w:tblStyle w:val="21"/>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问卷问题</w:t>
            </w:r>
          </w:p>
        </w:tc>
        <w:tc>
          <w:tcPr>
            <w:tcW w:w="872"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总数</w:t>
            </w:r>
          </w:p>
        </w:tc>
        <w:tc>
          <w:tcPr>
            <w:tcW w:w="3490" w:type="dxa"/>
            <w:gridSpan w:val="4"/>
            <w:shd w:val="clear" w:color="auto" w:fill="auto"/>
            <w:vAlign w:val="top"/>
          </w:tcPr>
          <w:p>
            <w:pPr>
              <w:snapToGrid w:val="0"/>
              <w:jc w:val="center"/>
              <w:rPr>
                <w:rFonts w:hint="default"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人数</w:t>
            </w:r>
          </w:p>
        </w:tc>
        <w:tc>
          <w:tcPr>
            <w:tcW w:w="3490" w:type="dxa"/>
            <w:gridSpan w:val="4"/>
            <w:shd w:val="clear" w:color="auto" w:fill="auto"/>
            <w:vAlign w:val="top"/>
          </w:tcPr>
          <w:p>
            <w:pPr>
              <w:snapToGrid w:val="0"/>
              <w:jc w:val="center"/>
              <w:rPr>
                <w:rFonts w:hint="eastAsia"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满意度系数</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非常满意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lang w:eastAsia="zh-CN"/>
              </w:rPr>
            </w:pPr>
            <w:r>
              <w:rPr>
                <w:rFonts w:hint="eastAsia" w:ascii="仿宋" w:hAnsi="仿宋" w:eastAsia="仿宋" w:cs="仿宋"/>
                <w:b/>
                <w:bCs/>
                <w:color w:val="auto"/>
                <w:sz w:val="20"/>
                <w:szCs w:val="21"/>
                <w:highlight w:val="none"/>
              </w:rPr>
              <w:t>非常满意</w:t>
            </w:r>
            <w:r>
              <w:rPr>
                <w:rFonts w:hint="eastAsia" w:ascii="仿宋" w:hAnsi="仿宋" w:eastAsia="仿宋" w:cs="仿宋"/>
                <w:b/>
                <w:bCs/>
                <w:color w:val="auto"/>
                <w:sz w:val="20"/>
                <w:szCs w:val="21"/>
                <w:highlight w:val="none"/>
                <w:lang w:eastAsia="zh-CN"/>
              </w:rPr>
              <w:t>（</w:t>
            </w:r>
            <w:r>
              <w:rPr>
                <w:rFonts w:hint="eastAsia" w:ascii="仿宋" w:hAnsi="仿宋" w:eastAsia="仿宋" w:cs="仿宋"/>
                <w:b/>
                <w:bCs/>
                <w:color w:val="auto"/>
                <w:sz w:val="20"/>
                <w:szCs w:val="21"/>
                <w:highlight w:val="none"/>
                <w:lang w:val="en-US" w:eastAsia="zh-CN"/>
              </w:rPr>
              <w:t>系数</w:t>
            </w:r>
            <w:r>
              <w:rPr>
                <w:rFonts w:hint="eastAsia" w:ascii="仿宋" w:hAnsi="仿宋" w:eastAsia="仿宋" w:cs="仿宋"/>
                <w:b/>
                <w:bCs/>
                <w:color w:val="auto"/>
                <w:sz w:val="20"/>
                <w:szCs w:val="21"/>
                <w:highlight w:val="none"/>
                <w:lang w:eastAsia="zh-CN"/>
              </w:rPr>
              <w:t>）</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shd w:val="clear" w:color="auto" w:fill="auto"/>
            <w:vAlign w:val="center"/>
          </w:tcPr>
          <w:p>
            <w:pPr>
              <w:snapToGrid w:val="0"/>
              <w:jc w:val="left"/>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项目规划和理性的满意程度、</w:t>
            </w:r>
          </w:p>
        </w:tc>
        <w:tc>
          <w:tcPr>
            <w:tcW w:w="872" w:type="dxa"/>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300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274</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8</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shd w:val="clear" w:color="auto" w:fill="auto"/>
            <w:vAlign w:val="center"/>
          </w:tcPr>
          <w:p>
            <w:pPr>
              <w:snapToGrid w:val="0"/>
              <w:jc w:val="both"/>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项目实施内容范围的满意程度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300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265</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10</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pPr>
              <w:snapToGrid w:val="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项目实施过程中各子项目进度的满意程度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300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289</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rPr>
              <w:t>您对建制镇生活污水治理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项目施工过程中各服务方（施工方、监理方、设计方、咨询方）专业水平的满意程度</w:t>
            </w:r>
          </w:p>
        </w:tc>
        <w:tc>
          <w:tcPr>
            <w:tcW w:w="872" w:type="dxa"/>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300</w:t>
            </w:r>
          </w:p>
        </w:tc>
        <w:tc>
          <w:tcPr>
            <w:tcW w:w="872"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276</w:t>
            </w:r>
          </w:p>
        </w:tc>
        <w:tc>
          <w:tcPr>
            <w:tcW w:w="872"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15</w:t>
            </w:r>
          </w:p>
        </w:tc>
        <w:tc>
          <w:tcPr>
            <w:tcW w:w="872"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w:t>
            </w:r>
          </w:p>
        </w:tc>
        <w:tc>
          <w:tcPr>
            <w:tcW w:w="874"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7</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96.40%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项目改善区域水环境治理水平的满意程度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300</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280</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8</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3</w:t>
            </w:r>
          </w:p>
        </w:tc>
        <w:tc>
          <w:tcPr>
            <w:tcW w:w="874"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9</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rPr>
              <w:t>对建制镇生活污水治理</w:t>
            </w:r>
            <w:r>
              <w:rPr>
                <w:rFonts w:hint="eastAsia" w:ascii="仿宋" w:hAnsi="仿宋" w:eastAsia="仿宋" w:cs="仿宋"/>
                <w:color w:val="auto"/>
                <w:sz w:val="20"/>
                <w:szCs w:val="21"/>
                <w:highlight w:val="none"/>
                <w:lang w:eastAsia="zh-CN"/>
              </w:rPr>
              <w:t>（北平镇）</w:t>
            </w:r>
            <w:r>
              <w:rPr>
                <w:rFonts w:hint="eastAsia" w:ascii="仿宋" w:hAnsi="仿宋" w:eastAsia="仿宋" w:cs="仿宋"/>
                <w:color w:val="auto"/>
                <w:sz w:val="20"/>
                <w:szCs w:val="21"/>
                <w:highlight w:val="none"/>
              </w:rPr>
              <w:t>项目推进过程中其他政府部门协调配合情况的满意程度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300</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269</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15</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7</w:t>
            </w:r>
          </w:p>
        </w:tc>
        <w:tc>
          <w:tcPr>
            <w:tcW w:w="874"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9</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总体满意度</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4"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4"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1185" w:type="dxa"/>
            <w:shd w:val="clear" w:color="auto" w:fill="auto"/>
            <w:noWrap/>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96.31%</w:t>
            </w:r>
          </w:p>
        </w:tc>
      </w:tr>
    </w:tbl>
    <w:p>
      <w:pPr>
        <w:pStyle w:val="2"/>
        <w:rPr>
          <w:rFonts w:hint="eastAsia"/>
          <w:lang w:val="en-US" w:eastAsia="zh-CN"/>
        </w:rPr>
        <w:sectPr>
          <w:pgSz w:w="16838" w:h="11906" w:orient="landscape"/>
          <w:pgMar w:top="1797" w:right="1440" w:bottom="1797" w:left="1440" w:header="851" w:footer="992" w:gutter="0"/>
          <w:pgNumType w:fmt="decimal"/>
          <w:cols w:space="425" w:num="1"/>
          <w:docGrid w:type="lines" w:linePitch="312" w:charSpace="0"/>
        </w:sectPr>
      </w:pPr>
    </w:p>
    <w:p>
      <w:pPr>
        <w:rPr>
          <w:rFonts w:hint="eastAsia"/>
          <w:lang w:val="en-US" w:eastAsia="zh-CN"/>
        </w:rPr>
      </w:pP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en-US" w:eastAsia="zh-CN"/>
        </w:rPr>
        <w:t>本次调查问卷涉及的六个</w:t>
      </w:r>
      <w:r>
        <w:rPr>
          <w:rFonts w:hint="eastAsia" w:ascii="仿宋" w:hAnsi="仿宋" w:eastAsia="仿宋" w:cs="仿宋"/>
          <w:kern w:val="0"/>
          <w:sz w:val="28"/>
          <w:szCs w:val="28"/>
        </w:rPr>
        <w:t>满意度分别为：</w:t>
      </w:r>
      <w:r>
        <w:rPr>
          <w:rFonts w:hint="eastAsia" w:ascii="仿宋" w:hAnsi="仿宋" w:eastAsia="仿宋" w:cs="仿宋"/>
          <w:kern w:val="0"/>
          <w:sz w:val="28"/>
          <w:szCs w:val="28"/>
          <w:lang w:val="en-US" w:eastAsia="zh-CN"/>
        </w:rPr>
        <w:t>95.60%、96.20%、98.53%、96.40%、96.07%、95.07%</w:t>
      </w:r>
      <w:r>
        <w:rPr>
          <w:rFonts w:hint="eastAsia" w:ascii="仿宋" w:hAnsi="仿宋" w:eastAsia="仿宋" w:cs="仿宋"/>
          <w:sz w:val="28"/>
          <w:szCs w:val="28"/>
        </w:rPr>
        <w:t>，整体满意度</w:t>
      </w:r>
      <w:r>
        <w:rPr>
          <w:rFonts w:hint="eastAsia" w:ascii="仿宋" w:hAnsi="仿宋" w:eastAsia="仿宋" w:cs="仿宋"/>
          <w:sz w:val="28"/>
          <w:szCs w:val="28"/>
          <w:lang w:val="en-US" w:eastAsia="zh-CN"/>
        </w:rPr>
        <w:t>96.31</w:t>
      </w:r>
      <w:r>
        <w:rPr>
          <w:rFonts w:hint="eastAsia" w:ascii="仿宋" w:hAnsi="仿宋" w:eastAsia="仿宋" w:cs="仿宋"/>
          <w:sz w:val="28"/>
          <w:szCs w:val="28"/>
        </w:rPr>
        <w:t>%，这体现出受益群体整体对该项</w:t>
      </w:r>
      <w:r>
        <w:rPr>
          <w:rFonts w:hint="eastAsia" w:ascii="仿宋" w:hAnsi="仿宋" w:eastAsia="仿宋" w:cs="仿宋"/>
          <w:sz w:val="28"/>
          <w:szCs w:val="28"/>
          <w:lang w:val="en-US" w:eastAsia="zh-CN"/>
        </w:rPr>
        <w:t>目比较</w:t>
      </w:r>
      <w:r>
        <w:rPr>
          <w:rFonts w:hint="eastAsia" w:ascii="仿宋" w:hAnsi="仿宋" w:eastAsia="仿宋" w:cs="仿宋"/>
          <w:sz w:val="28"/>
          <w:szCs w:val="28"/>
        </w:rPr>
        <w:t>满意。</w:t>
      </w: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after="156" w:afterLines="50" w:line="500" w:lineRule="exact"/>
        <w:jc w:val="left"/>
        <w:textAlignment w:val="auto"/>
        <w:outlineLvl w:val="0"/>
        <w:rPr>
          <w:rFonts w:hint="eastAsia" w:ascii="仿宋" w:hAnsi="仿宋" w:eastAsia="仿宋" w:cs="仿宋"/>
          <w:b/>
          <w:kern w:val="0"/>
          <w:sz w:val="28"/>
          <w:szCs w:val="28"/>
        </w:rPr>
      </w:pPr>
      <w:r>
        <w:rPr>
          <w:rFonts w:ascii="Times New Roman" w:hAnsi="Times New Roman" w:eastAsia="仿宋"/>
          <w:sz w:val="28"/>
          <w:szCs w:val="28"/>
        </w:rPr>
        <w:br w:type="page"/>
      </w:r>
      <w:bookmarkStart w:id="218" w:name="_Toc18849"/>
      <w:bookmarkStart w:id="219" w:name="_Toc5440634"/>
      <w:r>
        <w:rPr>
          <w:rFonts w:hint="eastAsia" w:ascii="仿宋" w:hAnsi="仿宋" w:eastAsia="仿宋" w:cs="仿宋"/>
          <w:b/>
          <w:kern w:val="0"/>
          <w:sz w:val="28"/>
          <w:szCs w:val="28"/>
        </w:rPr>
        <w:t>附件</w:t>
      </w:r>
      <w:r>
        <w:rPr>
          <w:rFonts w:hint="eastAsia" w:ascii="仿宋" w:hAnsi="仿宋" w:eastAsia="仿宋" w:cs="仿宋"/>
          <w:b/>
          <w:kern w:val="0"/>
          <w:sz w:val="28"/>
          <w:szCs w:val="28"/>
          <w:lang w:val="en-US" w:eastAsia="zh-CN"/>
        </w:rPr>
        <w:t>3</w:t>
      </w:r>
      <w:r>
        <w:rPr>
          <w:rFonts w:hint="eastAsia" w:ascii="仿宋" w:hAnsi="仿宋" w:eastAsia="仿宋" w:cs="仿宋"/>
          <w:b/>
          <w:kern w:val="0"/>
          <w:sz w:val="28"/>
          <w:szCs w:val="28"/>
        </w:rPr>
        <w:t>：合规性审查</w:t>
      </w:r>
      <w:bookmarkEnd w:id="218"/>
      <w:bookmarkEnd w:id="219"/>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为保证</w:t>
      </w:r>
      <w:r>
        <w:rPr>
          <w:rFonts w:hint="eastAsia" w:ascii="仿宋" w:hAnsi="仿宋" w:eastAsia="仿宋" w:cs="仿宋"/>
          <w:kern w:val="0"/>
          <w:sz w:val="28"/>
          <w:szCs w:val="28"/>
          <w:lang w:val="en-US" w:eastAsia="zh-CN"/>
        </w:rPr>
        <w:t>旧县镇“四好农村路”建设项目</w:t>
      </w:r>
      <w:r>
        <w:rPr>
          <w:rFonts w:hint="eastAsia" w:ascii="仿宋" w:hAnsi="仿宋" w:eastAsia="仿宋" w:cs="仿宋"/>
          <w:kern w:val="0"/>
          <w:sz w:val="28"/>
          <w:szCs w:val="28"/>
          <w:shd w:val="clear" w:color="auto" w:fill="FFFFFF"/>
        </w:rPr>
        <w:t>资金</w:t>
      </w:r>
      <w:r>
        <w:rPr>
          <w:rFonts w:hint="eastAsia" w:ascii="仿宋" w:hAnsi="仿宋" w:eastAsia="仿宋" w:cs="仿宋"/>
          <w:kern w:val="0"/>
          <w:sz w:val="28"/>
          <w:szCs w:val="28"/>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1.合规性检查对象</w:t>
      </w:r>
    </w:p>
    <w:p>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本次检查对象为</w:t>
      </w:r>
      <w:r>
        <w:rPr>
          <w:rFonts w:hint="eastAsia" w:ascii="仿宋" w:hAnsi="仿宋" w:eastAsia="仿宋" w:cs="仿宋"/>
          <w:kern w:val="0"/>
          <w:sz w:val="28"/>
          <w:szCs w:val="28"/>
          <w:shd w:val="clear" w:color="auto" w:fill="FFFFFF"/>
          <w:lang w:val="en-US" w:eastAsia="zh-CN"/>
        </w:rPr>
        <w:t>旧县镇“四好农村路”建设项目</w:t>
      </w:r>
      <w:r>
        <w:rPr>
          <w:rFonts w:hint="eastAsia" w:ascii="仿宋" w:hAnsi="仿宋" w:eastAsia="仿宋" w:cs="仿宋"/>
          <w:kern w:val="0"/>
          <w:sz w:val="28"/>
          <w:szCs w:val="28"/>
          <w:shd w:val="clear" w:color="auto" w:fill="FFFFFF"/>
        </w:rPr>
        <w:t>资金</w:t>
      </w:r>
      <w:r>
        <w:rPr>
          <w:rFonts w:hint="eastAsia" w:ascii="仿宋" w:hAnsi="仿宋" w:eastAsia="仿宋" w:cs="仿宋"/>
          <w:kern w:val="0"/>
          <w:sz w:val="28"/>
          <w:szCs w:val="28"/>
        </w:rPr>
        <w:t>，共计</w:t>
      </w:r>
      <w:r>
        <w:rPr>
          <w:rFonts w:hint="eastAsia" w:ascii="仿宋" w:hAnsi="仿宋" w:eastAsia="仿宋" w:cs="仿宋"/>
          <w:kern w:val="0"/>
          <w:sz w:val="28"/>
          <w:szCs w:val="28"/>
          <w:lang w:val="en-US" w:eastAsia="zh-CN"/>
        </w:rPr>
        <w:t>2165.3435万元</w:t>
      </w:r>
      <w:r>
        <w:rPr>
          <w:rFonts w:hint="eastAsia" w:ascii="仿宋" w:hAnsi="仿宋" w:eastAsia="仿宋" w:cs="仿宋"/>
          <w:kern w:val="0"/>
          <w:sz w:val="28"/>
          <w:szCs w:val="28"/>
        </w:rPr>
        <w:t>。</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2.合规性检查内容</w:t>
      </w:r>
    </w:p>
    <w:p>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1"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4</w:t>
      </w:r>
      <w:r>
        <w:rPr>
          <w:rFonts w:hint="eastAsia" w:ascii="仿宋" w:hAnsi="仿宋" w:eastAsia="仿宋" w:cs="仿宋"/>
          <w:b/>
          <w:kern w:val="0"/>
          <w:sz w:val="24"/>
          <w:szCs w:val="28"/>
        </w:rPr>
        <w:t>-1  合规性审查内容框架</w:t>
      </w:r>
    </w:p>
    <w:tbl>
      <w:tblPr>
        <w:tblStyle w:val="5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资金的拨付有完整的审批程序和手续及符合项目预算批复或合同规定的用途；</w:t>
            </w:r>
            <w:r>
              <w:rPr>
                <w:rFonts w:hint="eastAsia" w:ascii="Times New Roman" w:hAnsi="Times New Roman" w:eastAsia="仿宋" w:cs="Times New Roman"/>
                <w:kern w:val="0"/>
                <w:sz w:val="24"/>
                <w:szCs w:val="28"/>
                <w:lang w:val="en-US" w:eastAsia="zh-CN" w:bidi="ar"/>
              </w:rPr>
              <w:t>不</w:t>
            </w:r>
            <w:r>
              <w:rPr>
                <w:rFonts w:ascii="Times New Roman" w:hAnsi="Times New Roman" w:eastAsia="仿宋" w:cs="Times New Roman"/>
                <w:kern w:val="0"/>
                <w:sz w:val="24"/>
                <w:szCs w:val="28"/>
                <w:lang w:bidi="ar"/>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本次合规性检查通过现场核查的方式开展，现场核实核查对象提供的资料。</w:t>
      </w:r>
    </w:p>
    <w:p>
      <w:pPr>
        <w:spacing w:line="500" w:lineRule="exact"/>
        <w:ind w:firstLine="560" w:firstLineChars="200"/>
        <w:jc w:val="both"/>
        <w:rPr>
          <w:rFonts w:hint="eastAsia" w:ascii="仿宋" w:hAnsi="仿宋" w:eastAsia="仿宋" w:cs="仿宋"/>
          <w:kern w:val="0"/>
          <w:sz w:val="28"/>
          <w:szCs w:val="28"/>
        </w:rPr>
        <w:sectPr>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kern w:val="0"/>
          <w:sz w:val="28"/>
          <w:szCs w:val="28"/>
        </w:rPr>
        <w:t>合规性具体检查内容见附表</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-2所示。</w:t>
      </w:r>
    </w:p>
    <w:p>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旧县镇“四好农村路”建设项目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旧县镇“四好农村路”建设项目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hint="default" w:ascii="Arial" w:hAnsi="Arial" w:eastAsia="仿宋" w:cs="Arial"/>
                <w:kern w:val="0"/>
                <w:sz w:val="24"/>
                <w:szCs w:val="24"/>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pPr>
        <w:pStyle w:val="20"/>
        <w:ind w:left="0" w:leftChars="0" w:firstLine="0" w:firstLineChars="0"/>
        <w:jc w:val="center"/>
      </w:pPr>
    </w:p>
    <w:p>
      <w:pPr>
        <w:pStyle w:val="20"/>
        <w:ind w:left="0" w:leftChars="0" w:firstLine="0" w:firstLineChars="0"/>
        <w:jc w:val="center"/>
        <w:sectPr>
          <w:pgSz w:w="16838" w:h="11906" w:orient="landscape"/>
          <w:pgMar w:top="1797" w:right="1440" w:bottom="1797" w:left="1440" w:header="851" w:footer="992" w:gutter="0"/>
          <w:pgNumType w:fmt="decimal"/>
          <w:cols w:space="425" w:num="1"/>
          <w:docGrid w:type="lines" w:linePitch="312" w:charSpace="0"/>
        </w:sectPr>
      </w:pPr>
    </w:p>
    <w:p>
      <w:pPr>
        <w:pStyle w:val="20"/>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outlineLvl w:val="0"/>
        <w:rPr>
          <w:rFonts w:hint="default" w:eastAsia="宋体"/>
          <w:lang w:val="en-US" w:eastAsia="zh-CN"/>
        </w:rPr>
      </w:pPr>
      <w:bookmarkStart w:id="220" w:name="_Toc20505"/>
      <w:r>
        <w:rPr>
          <w:rFonts w:hint="eastAsia" w:ascii="仿宋" w:hAnsi="仿宋" w:eastAsia="仿宋" w:cs="仿宋"/>
          <w:b/>
          <w:bCs/>
          <w:sz w:val="28"/>
          <w:szCs w:val="28"/>
          <w:lang w:val="en-US" w:eastAsia="zh-CN"/>
        </w:rPr>
        <w:t>附件4：访谈记录</w:t>
      </w:r>
      <w:bookmarkEnd w:id="220"/>
    </w:p>
    <w:tbl>
      <w:tblPr>
        <w:tblStyle w:val="2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对象：</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项目相关</w:t>
            </w:r>
            <w:r>
              <w:rPr>
                <w:rFonts w:ascii="Times New Roman" w:hAnsi="Times New Roman" w:eastAsia="仿宋" w:cs="Times New Roman"/>
                <w:sz w:val="24"/>
                <w:szCs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时间：</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highlight w:val="yellow"/>
              </w:rPr>
            </w:pPr>
            <w:r>
              <w:rPr>
                <w:rFonts w:ascii="Times New Roman" w:hAnsi="Times New Roman" w:eastAsia="仿宋" w:cs="Times New Roman"/>
                <w:sz w:val="24"/>
                <w:szCs w:val="24"/>
              </w:rPr>
              <w:t>20</w:t>
            </w:r>
            <w:r>
              <w:rPr>
                <w:rFonts w:hint="eastAsia" w:ascii="Times New Roman" w:hAnsi="Times New Roman" w:eastAsia="仿宋" w:cs="Times New Roman"/>
                <w:sz w:val="24"/>
                <w:szCs w:val="24"/>
                <w:lang w:val="en-US" w:eastAsia="zh-CN"/>
              </w:rPr>
              <w:t>22</w:t>
            </w:r>
            <w:r>
              <w:rPr>
                <w:rFonts w:ascii="Times New Roman" w:hAnsi="Times New Roman" w:eastAsia="仿宋" w:cs="Times New Roman"/>
                <w:sz w:val="24"/>
                <w:szCs w:val="24"/>
              </w:rPr>
              <w:t>年</w:t>
            </w:r>
            <w:r>
              <w:rPr>
                <w:rFonts w:hint="eastAsia" w:ascii="Times New Roman" w:hAnsi="Times New Roman" w:eastAsia="仿宋" w:cs="Times New Roman"/>
                <w:sz w:val="24"/>
                <w:szCs w:val="24"/>
                <w:lang w:val="en-US" w:eastAsia="zh-CN"/>
              </w:rPr>
              <w:t>6</w:t>
            </w:r>
            <w:r>
              <w:rPr>
                <w:rFonts w:ascii="Times New Roman" w:hAnsi="Times New Roman" w:eastAsia="仿宋" w:cs="Times New Roman"/>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地点：</w:t>
            </w:r>
          </w:p>
        </w:tc>
        <w:tc>
          <w:tcPr>
            <w:tcW w:w="6804" w:type="dxa"/>
            <w:vAlign w:val="center"/>
          </w:tcPr>
          <w:p>
            <w:pPr>
              <w:spacing w:line="500" w:lineRule="exact"/>
              <w:ind w:firstLine="480" w:firstLineChars="200"/>
              <w:jc w:val="center"/>
              <w:rPr>
                <w:rFonts w:hint="default" w:ascii="Times New Roman" w:hAnsi="Times New Roman" w:eastAsia="仿宋" w:cs="Times New Roman"/>
                <w:sz w:val="24"/>
                <w:szCs w:val="24"/>
                <w:highlight w:val="yellow"/>
                <w:lang w:val="en-US" w:eastAsia="zh-CN"/>
              </w:rPr>
            </w:pPr>
            <w:r>
              <w:rPr>
                <w:rFonts w:hint="eastAsia" w:ascii="Times New Roman" w:hAnsi="Times New Roman" w:eastAsia="仿宋" w:cs="Times New Roman"/>
                <w:sz w:val="24"/>
                <w:szCs w:val="24"/>
                <w:lang w:val="en-US" w:eastAsia="zh-CN"/>
              </w:rPr>
              <w:t>古县交通运输局、旧县镇人民政府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8472" w:type="dxa"/>
            <w:gridSpan w:val="2"/>
            <w:vAlign w:val="center"/>
          </w:tcPr>
          <w:p>
            <w:pPr>
              <w:spacing w:line="500" w:lineRule="exact"/>
              <w:ind w:firstLine="481" w:firstLineChars="200"/>
              <w:rPr>
                <w:rFonts w:ascii="Times New Roman" w:hAnsi="Times New Roman" w:eastAsia="仿宋" w:cs="Times New Roman"/>
                <w:b/>
                <w:sz w:val="24"/>
                <w:szCs w:val="24"/>
              </w:rPr>
            </w:pPr>
            <w:r>
              <w:rPr>
                <w:rFonts w:hint="eastAsia" w:ascii="仿宋" w:hAnsi="仿宋" w:eastAsia="仿宋" w:cs="仿宋"/>
                <w:b/>
                <w:sz w:val="24"/>
                <w:szCs w:val="24"/>
              </w:rPr>
              <w:t>问题1：请您简要介绍</w:t>
            </w:r>
            <w:r>
              <w:rPr>
                <w:rFonts w:hint="eastAsia" w:ascii="仿宋" w:hAnsi="仿宋" w:eastAsia="仿宋" w:cs="仿宋"/>
                <w:b/>
                <w:sz w:val="24"/>
                <w:szCs w:val="24"/>
                <w:lang w:eastAsia="zh-CN"/>
              </w:rPr>
              <w:t>旧县镇“四好农村路”建设项目</w:t>
            </w:r>
            <w:r>
              <w:rPr>
                <w:rFonts w:hint="eastAsia" w:ascii="仿宋" w:hAnsi="仿宋" w:eastAsia="仿宋" w:cs="仿宋"/>
                <w:b/>
                <w:sz w:val="24"/>
                <w:szCs w:val="24"/>
              </w:rPr>
              <w:t>的概况，项目涉及部门及各部门的职责。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古县旧县镇“四好农村路”建设项目涉及11条路，其中：①旧县道窄路基拓宽部分、旧县道畅返不畅建设6条路；②2019年畅返不畅整治工程5条路。</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项目主管部门：古县交通运输局，主要负责统筹协调农村公路改造项目实施、验收和监督管理工作；</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部门：旧县镇人民政府，主要负责辖区农村公路改造项目设立，预算资金的申请，项目资金的下拨，以中央、省、市、县相关文件为指导，严格按照规章制度要求实施项目，资金设立专账，实行分项核算，确保专款专用；按照国家和行业有关工程建设法律、法规、技术标准、规范和批复设计文件实施工程质量监督，对施工现场影响工程质量的行为和做法进行旁站式监督检查。</w:t>
            </w:r>
          </w:p>
          <w:p>
            <w:pPr>
              <w:spacing w:line="500" w:lineRule="exact"/>
              <w:ind w:firstLine="480" w:firstLineChars="200"/>
            </w:pPr>
            <w:r>
              <w:rPr>
                <w:rFonts w:hint="eastAsia" w:ascii="Times New Roman" w:hAnsi="Times New Roman" w:eastAsia="仿宋" w:cs="Times New Roman"/>
                <w:sz w:val="24"/>
                <w:szCs w:val="24"/>
                <w:lang w:val="en-US" w:eastAsia="zh-CN"/>
              </w:rPr>
              <w:t>古县财政局：负责拨付预算资金和财政资金的管理，对资金的分配、下拨、使用等全过程进行规范化管理，对专项经费的使用进行规范，组织开展绩效评价工作等。贯彻执行国家有关法律、法规、方针、政策，做好项目资金的预算、控制和监督，规范财会行为，依法合理、及时筹集使用建设资金、严格控制建设成本，提高投资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472" w:type="dxa"/>
            <w:gridSpan w:val="2"/>
            <w:vAlign w:val="center"/>
          </w:tcPr>
          <w:p>
            <w:pPr>
              <w:spacing w:line="500" w:lineRule="exact"/>
              <w:ind w:firstLine="481"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问题2：请您简要介绍项目预期目标及实际完成情况</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古县旧县镇“四好农村路”建设项目涉及11条路全部完成，其中：①旧县道窄路基拓宽部分、旧县道畅返不畅建设6条路；②2019年畅返不畅整治工程5条路。</w:t>
            </w:r>
          </w:p>
          <w:p>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截止2022年3月1日，项目涉及11条路全部交工验收。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8472" w:type="dxa"/>
            <w:gridSpan w:val="2"/>
            <w:vAlign w:val="center"/>
          </w:tcPr>
          <w:p>
            <w:pPr>
              <w:spacing w:line="500" w:lineRule="exact"/>
              <w:ind w:firstLine="481"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3</w:t>
            </w:r>
            <w:r>
              <w:rPr>
                <w:rFonts w:ascii="Times New Roman" w:hAnsi="Times New Roman" w:eastAsia="仿宋" w:cs="Times New Roman"/>
                <w:b/>
                <w:sz w:val="24"/>
                <w:szCs w:val="24"/>
              </w:rPr>
              <w:t>：</w:t>
            </w:r>
            <w:r>
              <w:rPr>
                <w:rFonts w:hint="eastAsia" w:ascii="Times New Roman" w:hAnsi="Times New Roman" w:eastAsia="仿宋" w:cs="Times New Roman"/>
                <w:b/>
                <w:sz w:val="24"/>
                <w:szCs w:val="24"/>
              </w:rPr>
              <w:t>请您简要介绍项目资金到位与支出情况。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截止2022年3月1日，项目资金到位2165.3435万元。</w:t>
            </w:r>
          </w:p>
          <w:p>
            <w:pPr>
              <w:spacing w:line="500" w:lineRule="exact"/>
              <w:ind w:firstLine="480" w:firstLineChars="200"/>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截止2022年3月1日，旧县镇“四好农村路”建设项目共计支出资金2165.3435万元</w:t>
            </w:r>
            <w:r>
              <w:rPr>
                <w:rFonts w:hint="eastAsia" w:ascii="Times New Roman" w:hAnsi="Times New Roman" w:eastAsia="仿宋" w:cs="Times New Roman"/>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8472" w:type="dxa"/>
            <w:gridSpan w:val="2"/>
            <w:vAlign w:val="center"/>
          </w:tcPr>
          <w:p>
            <w:pPr>
              <w:spacing w:line="500" w:lineRule="exact"/>
              <w:ind w:firstLine="481" w:firstLineChars="200"/>
              <w:rPr>
                <w:rFonts w:ascii="Times New Roman" w:hAnsi="Times New Roman" w:eastAsia="仿宋" w:cs="Times New Roman"/>
                <w:b/>
                <w:sz w:val="24"/>
                <w:szCs w:val="24"/>
              </w:rPr>
            </w:pPr>
            <w:r>
              <w:rPr>
                <w:rFonts w:hint="eastAsia" w:ascii="仿宋" w:hAnsi="仿宋" w:eastAsia="仿宋" w:cs="仿宋"/>
                <w:b/>
                <w:sz w:val="24"/>
                <w:szCs w:val="24"/>
              </w:rPr>
              <w:t>问题</w:t>
            </w:r>
            <w:r>
              <w:rPr>
                <w:rFonts w:hint="eastAsia" w:ascii="仿宋" w:hAnsi="仿宋" w:eastAsia="仿宋" w:cs="仿宋"/>
                <w:b/>
                <w:sz w:val="24"/>
                <w:szCs w:val="24"/>
                <w:lang w:val="en-US" w:eastAsia="zh-CN"/>
              </w:rPr>
              <w:t>4</w:t>
            </w:r>
            <w:r>
              <w:rPr>
                <w:rFonts w:hint="eastAsia" w:ascii="仿宋" w:hAnsi="仿宋" w:eastAsia="仿宋" w:cs="仿宋"/>
                <w:b/>
                <w:sz w:val="24"/>
                <w:szCs w:val="24"/>
              </w:rPr>
              <w:t>：请您简要介绍为保障项目的顺利实施所制定的制度、措施有哪些？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仿宋" w:hAnsi="仿宋" w:eastAsia="仿宋" w:cs="仿宋"/>
                <w:sz w:val="24"/>
                <w:szCs w:val="24"/>
              </w:rPr>
              <w:t>为保障</w:t>
            </w:r>
            <w:r>
              <w:rPr>
                <w:rFonts w:hint="eastAsia" w:ascii="仿宋" w:hAnsi="仿宋" w:eastAsia="仿宋" w:cs="仿宋"/>
                <w:sz w:val="24"/>
                <w:szCs w:val="24"/>
                <w:lang w:val="en-US" w:eastAsia="zh-CN"/>
              </w:rPr>
              <w:t>项目</w:t>
            </w:r>
            <w:r>
              <w:rPr>
                <w:rFonts w:hint="eastAsia" w:ascii="仿宋" w:hAnsi="仿宋" w:eastAsia="仿宋" w:cs="仿宋"/>
                <w:sz w:val="24"/>
                <w:szCs w:val="24"/>
              </w:rPr>
              <w:t>的顺利实施，</w:t>
            </w:r>
            <w:r>
              <w:rPr>
                <w:rFonts w:hint="eastAsia" w:ascii="仿宋" w:hAnsi="仿宋" w:eastAsia="仿宋" w:cs="仿宋"/>
                <w:sz w:val="24"/>
                <w:szCs w:val="24"/>
                <w:lang w:val="en-US" w:eastAsia="zh-CN"/>
              </w:rPr>
              <w:t>古县交通运输局、旧县镇人民政府制定了相关业务管理制度及财务管理制度</w:t>
            </w:r>
            <w:r>
              <w:rPr>
                <w:rFonts w:hint="eastAsia" w:ascii="仿宋" w:hAnsi="仿宋" w:eastAsia="仿宋" w:cs="仿宋"/>
                <w:sz w:val="24"/>
                <w:szCs w:val="24"/>
              </w:rPr>
              <w:t>。</w:t>
            </w:r>
          </w:p>
        </w:tc>
      </w:tr>
    </w:tbl>
    <w:p>
      <w:pPr>
        <w:pStyle w:val="20"/>
        <w:ind w:left="0" w:leftChars="0" w:firstLine="0" w:firstLineChars="0"/>
        <w:jc w:val="both"/>
        <w:rPr>
          <w:rFonts w:hint="default" w:eastAsia="宋体"/>
          <w:lang w:val="en-US" w:eastAsia="zh-CN"/>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Times New Roman"/>
    <w:panose1 w:val="020B0606020202030204"/>
    <w:charset w:val="00"/>
    <w:family w:val="swiss"/>
    <w:pitch w:val="default"/>
    <w:sig w:usb0="00000000" w:usb1="00000000" w:usb2="00000000" w:usb3="00000000" w:csb0="0000009F"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39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旧县镇“四好农村路”建设项目</w:t>
    </w:r>
    <w:r>
      <w:rPr>
        <w:rFonts w:hint="eastAsia" w:ascii="仿宋" w:hAnsi="仿宋" w:eastAsia="仿宋"/>
        <w:b/>
        <w:szCs w:val="21"/>
      </w:rPr>
      <w:t>支出绩效</w:t>
    </w:r>
    <w:r>
      <w:rPr>
        <w:rFonts w:ascii="仿宋" w:hAnsi="仿宋" w:eastAsia="仿宋"/>
        <w:b/>
        <w:szCs w:val="21"/>
      </w:rPr>
      <w:t>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旧县镇“四好农村路”建设项目</w:t>
    </w:r>
    <w:r>
      <w:rPr>
        <w:rFonts w:hint="eastAsia" w:ascii="仿宋" w:hAnsi="仿宋" w:eastAsia="仿宋"/>
        <w:b/>
        <w:szCs w:val="21"/>
      </w:rPr>
      <w:t>支出绩效</w:t>
    </w:r>
    <w:r>
      <w:rPr>
        <w:rFonts w:ascii="仿宋" w:hAnsi="仿宋" w:eastAsia="仿宋"/>
        <w:b/>
        <w:szCs w:val="21"/>
      </w:rPr>
      <w:t>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NotTrackMove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wYzlhYmVjYmUyMjYzYTI1ZjVhMWE5OTYzZmVlMmIifQ=="/>
  </w:docVars>
  <w:rsids>
    <w:rsidRoot w:val="00345DA1"/>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08AF"/>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76"/>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328"/>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0627"/>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1C76"/>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11D8"/>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37CDE"/>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B9A"/>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1FF"/>
    <w:rsid w:val="007B4348"/>
    <w:rsid w:val="007B5927"/>
    <w:rsid w:val="007B6E52"/>
    <w:rsid w:val="007B71C2"/>
    <w:rsid w:val="007B767A"/>
    <w:rsid w:val="007B7E30"/>
    <w:rsid w:val="007C08D3"/>
    <w:rsid w:val="007C0F2A"/>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CB5"/>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5F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77BA"/>
    <w:rsid w:val="00A01706"/>
    <w:rsid w:val="00A02861"/>
    <w:rsid w:val="00A03024"/>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EA8"/>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6D4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3AF9"/>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2BD6"/>
    <w:rsid w:val="00FF51B5"/>
    <w:rsid w:val="00FF583F"/>
    <w:rsid w:val="00FF6C25"/>
    <w:rsid w:val="00FF75F0"/>
    <w:rsid w:val="013B64B5"/>
    <w:rsid w:val="013B7602"/>
    <w:rsid w:val="014454E4"/>
    <w:rsid w:val="0148466A"/>
    <w:rsid w:val="017A00DB"/>
    <w:rsid w:val="017A0FBF"/>
    <w:rsid w:val="018F1327"/>
    <w:rsid w:val="01977E8B"/>
    <w:rsid w:val="01AE3620"/>
    <w:rsid w:val="01CA46E1"/>
    <w:rsid w:val="01CB6255"/>
    <w:rsid w:val="01DA6C0D"/>
    <w:rsid w:val="01DF0C11"/>
    <w:rsid w:val="01E00BEF"/>
    <w:rsid w:val="01E47572"/>
    <w:rsid w:val="01E769FD"/>
    <w:rsid w:val="01E801F1"/>
    <w:rsid w:val="01F83619"/>
    <w:rsid w:val="020A5807"/>
    <w:rsid w:val="022B2149"/>
    <w:rsid w:val="02303658"/>
    <w:rsid w:val="02366B06"/>
    <w:rsid w:val="023C5F0B"/>
    <w:rsid w:val="023E3C73"/>
    <w:rsid w:val="02594A4D"/>
    <w:rsid w:val="02616EA9"/>
    <w:rsid w:val="02643DF6"/>
    <w:rsid w:val="026C3627"/>
    <w:rsid w:val="02A67224"/>
    <w:rsid w:val="02AA5981"/>
    <w:rsid w:val="02AB0A25"/>
    <w:rsid w:val="02AB6DC3"/>
    <w:rsid w:val="02B259CF"/>
    <w:rsid w:val="02C144E8"/>
    <w:rsid w:val="02C44F2B"/>
    <w:rsid w:val="02E9492F"/>
    <w:rsid w:val="02F61A18"/>
    <w:rsid w:val="02FB31DA"/>
    <w:rsid w:val="02FD474C"/>
    <w:rsid w:val="0311502D"/>
    <w:rsid w:val="0318037A"/>
    <w:rsid w:val="031C5327"/>
    <w:rsid w:val="031C616A"/>
    <w:rsid w:val="031D016B"/>
    <w:rsid w:val="033B0069"/>
    <w:rsid w:val="03536C39"/>
    <w:rsid w:val="036A299C"/>
    <w:rsid w:val="036B2AEA"/>
    <w:rsid w:val="038635E3"/>
    <w:rsid w:val="038C5CF7"/>
    <w:rsid w:val="03AC4D3B"/>
    <w:rsid w:val="03CC3FCD"/>
    <w:rsid w:val="03D21333"/>
    <w:rsid w:val="03E90E66"/>
    <w:rsid w:val="03EC36A4"/>
    <w:rsid w:val="03EF3ED4"/>
    <w:rsid w:val="03F15753"/>
    <w:rsid w:val="03F3567A"/>
    <w:rsid w:val="04031DEC"/>
    <w:rsid w:val="041605C9"/>
    <w:rsid w:val="042B06F2"/>
    <w:rsid w:val="04413EA9"/>
    <w:rsid w:val="0447540E"/>
    <w:rsid w:val="044D0D34"/>
    <w:rsid w:val="044D515E"/>
    <w:rsid w:val="04643D6F"/>
    <w:rsid w:val="046F07F9"/>
    <w:rsid w:val="04793642"/>
    <w:rsid w:val="04886C9F"/>
    <w:rsid w:val="048B4E1B"/>
    <w:rsid w:val="04A34BA2"/>
    <w:rsid w:val="04A6014B"/>
    <w:rsid w:val="04AB5770"/>
    <w:rsid w:val="04B13451"/>
    <w:rsid w:val="04C379F1"/>
    <w:rsid w:val="04E54758"/>
    <w:rsid w:val="04F759E8"/>
    <w:rsid w:val="04FE5A5E"/>
    <w:rsid w:val="0513374D"/>
    <w:rsid w:val="05296AA2"/>
    <w:rsid w:val="053503DF"/>
    <w:rsid w:val="053A1805"/>
    <w:rsid w:val="05421E3E"/>
    <w:rsid w:val="054C3364"/>
    <w:rsid w:val="05553C63"/>
    <w:rsid w:val="055579F4"/>
    <w:rsid w:val="057C37EC"/>
    <w:rsid w:val="05935FD9"/>
    <w:rsid w:val="05B47FC2"/>
    <w:rsid w:val="05DC24C5"/>
    <w:rsid w:val="05E85464"/>
    <w:rsid w:val="05F60C0C"/>
    <w:rsid w:val="060E052E"/>
    <w:rsid w:val="06114AEE"/>
    <w:rsid w:val="06122036"/>
    <w:rsid w:val="061C5BF2"/>
    <w:rsid w:val="063321F2"/>
    <w:rsid w:val="06507617"/>
    <w:rsid w:val="065145E0"/>
    <w:rsid w:val="06544A45"/>
    <w:rsid w:val="0673416D"/>
    <w:rsid w:val="067F04FE"/>
    <w:rsid w:val="068C7071"/>
    <w:rsid w:val="069C4DF3"/>
    <w:rsid w:val="069E0344"/>
    <w:rsid w:val="06C06944"/>
    <w:rsid w:val="06C72778"/>
    <w:rsid w:val="06CD0F45"/>
    <w:rsid w:val="06D82CA4"/>
    <w:rsid w:val="06F07780"/>
    <w:rsid w:val="06FB5E58"/>
    <w:rsid w:val="07101A0D"/>
    <w:rsid w:val="07102A00"/>
    <w:rsid w:val="07183A27"/>
    <w:rsid w:val="072926C4"/>
    <w:rsid w:val="073A1CF8"/>
    <w:rsid w:val="074D2406"/>
    <w:rsid w:val="075500D4"/>
    <w:rsid w:val="075950A2"/>
    <w:rsid w:val="0769322F"/>
    <w:rsid w:val="076F5DB3"/>
    <w:rsid w:val="07736BBF"/>
    <w:rsid w:val="079447BC"/>
    <w:rsid w:val="079D1E06"/>
    <w:rsid w:val="07B427B3"/>
    <w:rsid w:val="07D77428"/>
    <w:rsid w:val="07DB1424"/>
    <w:rsid w:val="07DB3767"/>
    <w:rsid w:val="07DD4C94"/>
    <w:rsid w:val="07DE5A61"/>
    <w:rsid w:val="07EE31EA"/>
    <w:rsid w:val="07EE5028"/>
    <w:rsid w:val="080A17B2"/>
    <w:rsid w:val="08111275"/>
    <w:rsid w:val="081A5936"/>
    <w:rsid w:val="08220E1B"/>
    <w:rsid w:val="082C03AD"/>
    <w:rsid w:val="08436B33"/>
    <w:rsid w:val="084C72FC"/>
    <w:rsid w:val="0861002C"/>
    <w:rsid w:val="08893F27"/>
    <w:rsid w:val="08FD2A5F"/>
    <w:rsid w:val="0922288B"/>
    <w:rsid w:val="095A10AA"/>
    <w:rsid w:val="09817A41"/>
    <w:rsid w:val="098418F8"/>
    <w:rsid w:val="09935A78"/>
    <w:rsid w:val="099F3AD2"/>
    <w:rsid w:val="0A151164"/>
    <w:rsid w:val="0A2C00AF"/>
    <w:rsid w:val="0A440816"/>
    <w:rsid w:val="0A4B26FA"/>
    <w:rsid w:val="0A5C460A"/>
    <w:rsid w:val="0A6744F2"/>
    <w:rsid w:val="0A6D7882"/>
    <w:rsid w:val="0A863F7B"/>
    <w:rsid w:val="0A893404"/>
    <w:rsid w:val="0A8A1890"/>
    <w:rsid w:val="0A9C28D0"/>
    <w:rsid w:val="0AB1033C"/>
    <w:rsid w:val="0AB50304"/>
    <w:rsid w:val="0B113448"/>
    <w:rsid w:val="0B290F1F"/>
    <w:rsid w:val="0B413222"/>
    <w:rsid w:val="0B614F2E"/>
    <w:rsid w:val="0BCF188E"/>
    <w:rsid w:val="0BEB5B47"/>
    <w:rsid w:val="0C2B52CF"/>
    <w:rsid w:val="0C660965"/>
    <w:rsid w:val="0C761D1B"/>
    <w:rsid w:val="0C78622B"/>
    <w:rsid w:val="0CB43602"/>
    <w:rsid w:val="0CC70892"/>
    <w:rsid w:val="0CCA5ECC"/>
    <w:rsid w:val="0CCC3010"/>
    <w:rsid w:val="0CCF3CEE"/>
    <w:rsid w:val="0D04225C"/>
    <w:rsid w:val="0D0C5139"/>
    <w:rsid w:val="0D1300F1"/>
    <w:rsid w:val="0D683DC5"/>
    <w:rsid w:val="0D740BB5"/>
    <w:rsid w:val="0D8C65C7"/>
    <w:rsid w:val="0D9D2876"/>
    <w:rsid w:val="0DAF67D6"/>
    <w:rsid w:val="0DC82492"/>
    <w:rsid w:val="0DC84890"/>
    <w:rsid w:val="0DF7188C"/>
    <w:rsid w:val="0E0000B1"/>
    <w:rsid w:val="0E021E54"/>
    <w:rsid w:val="0E12568D"/>
    <w:rsid w:val="0E1A1C79"/>
    <w:rsid w:val="0E1C68F3"/>
    <w:rsid w:val="0E211DA4"/>
    <w:rsid w:val="0E3434E7"/>
    <w:rsid w:val="0E39690D"/>
    <w:rsid w:val="0E3F3055"/>
    <w:rsid w:val="0E421288"/>
    <w:rsid w:val="0E994EEE"/>
    <w:rsid w:val="0EA11865"/>
    <w:rsid w:val="0EA12E4D"/>
    <w:rsid w:val="0EAD751F"/>
    <w:rsid w:val="0EB16A71"/>
    <w:rsid w:val="0EB17323"/>
    <w:rsid w:val="0EB43DBB"/>
    <w:rsid w:val="0ED675BA"/>
    <w:rsid w:val="0EDF0DA8"/>
    <w:rsid w:val="0F016A7C"/>
    <w:rsid w:val="0F3425AD"/>
    <w:rsid w:val="0F3439D0"/>
    <w:rsid w:val="0F40373C"/>
    <w:rsid w:val="0F4C442D"/>
    <w:rsid w:val="0F52076A"/>
    <w:rsid w:val="0F5C7BFF"/>
    <w:rsid w:val="0F6F2D00"/>
    <w:rsid w:val="0F7312CF"/>
    <w:rsid w:val="0F7930DB"/>
    <w:rsid w:val="0F843DD3"/>
    <w:rsid w:val="0F854118"/>
    <w:rsid w:val="0F9C154A"/>
    <w:rsid w:val="0FAA777F"/>
    <w:rsid w:val="0FAF39DA"/>
    <w:rsid w:val="0FD95B6D"/>
    <w:rsid w:val="0FE930F6"/>
    <w:rsid w:val="1012169A"/>
    <w:rsid w:val="10185736"/>
    <w:rsid w:val="103A31A0"/>
    <w:rsid w:val="108735A8"/>
    <w:rsid w:val="10A154D4"/>
    <w:rsid w:val="10C672B3"/>
    <w:rsid w:val="10C97F19"/>
    <w:rsid w:val="10F14166"/>
    <w:rsid w:val="11101983"/>
    <w:rsid w:val="11477CDE"/>
    <w:rsid w:val="11600CCE"/>
    <w:rsid w:val="11614276"/>
    <w:rsid w:val="116F731A"/>
    <w:rsid w:val="118F437E"/>
    <w:rsid w:val="11A51BFB"/>
    <w:rsid w:val="11A92569"/>
    <w:rsid w:val="11B31254"/>
    <w:rsid w:val="11C3155A"/>
    <w:rsid w:val="11C4360F"/>
    <w:rsid w:val="11D86662"/>
    <w:rsid w:val="11D97A28"/>
    <w:rsid w:val="11DB4844"/>
    <w:rsid w:val="11DC7679"/>
    <w:rsid w:val="11EA37F8"/>
    <w:rsid w:val="11F03ABA"/>
    <w:rsid w:val="11F20BA2"/>
    <w:rsid w:val="11F46E39"/>
    <w:rsid w:val="12170E35"/>
    <w:rsid w:val="1243013C"/>
    <w:rsid w:val="126E71F3"/>
    <w:rsid w:val="1274117C"/>
    <w:rsid w:val="12827FB6"/>
    <w:rsid w:val="12A8148F"/>
    <w:rsid w:val="12A97DFA"/>
    <w:rsid w:val="12AF178B"/>
    <w:rsid w:val="12B369EB"/>
    <w:rsid w:val="12B657E3"/>
    <w:rsid w:val="12C44A5B"/>
    <w:rsid w:val="12FB41FD"/>
    <w:rsid w:val="130472E9"/>
    <w:rsid w:val="130A2A3F"/>
    <w:rsid w:val="13264807"/>
    <w:rsid w:val="133607ED"/>
    <w:rsid w:val="1340265F"/>
    <w:rsid w:val="13403909"/>
    <w:rsid w:val="139A4724"/>
    <w:rsid w:val="13A311E4"/>
    <w:rsid w:val="13A7651F"/>
    <w:rsid w:val="13AF7487"/>
    <w:rsid w:val="13B55C54"/>
    <w:rsid w:val="13B933D5"/>
    <w:rsid w:val="13BA67A7"/>
    <w:rsid w:val="13CA369D"/>
    <w:rsid w:val="14436DC0"/>
    <w:rsid w:val="14707359"/>
    <w:rsid w:val="147F4D7E"/>
    <w:rsid w:val="1499378A"/>
    <w:rsid w:val="14DD7F14"/>
    <w:rsid w:val="14F93A80"/>
    <w:rsid w:val="150D3204"/>
    <w:rsid w:val="1514539D"/>
    <w:rsid w:val="15243BDB"/>
    <w:rsid w:val="153B6BE8"/>
    <w:rsid w:val="1545763E"/>
    <w:rsid w:val="15595F34"/>
    <w:rsid w:val="1562281F"/>
    <w:rsid w:val="156D0120"/>
    <w:rsid w:val="15A54A7C"/>
    <w:rsid w:val="15AB4CC7"/>
    <w:rsid w:val="15DC7D47"/>
    <w:rsid w:val="15EA3945"/>
    <w:rsid w:val="15F86E89"/>
    <w:rsid w:val="15FA525E"/>
    <w:rsid w:val="15FB3334"/>
    <w:rsid w:val="15FB7968"/>
    <w:rsid w:val="15FD29F4"/>
    <w:rsid w:val="160A48B6"/>
    <w:rsid w:val="160A6500"/>
    <w:rsid w:val="160D2152"/>
    <w:rsid w:val="16102D71"/>
    <w:rsid w:val="16302F4C"/>
    <w:rsid w:val="16316383"/>
    <w:rsid w:val="16373297"/>
    <w:rsid w:val="163F4A03"/>
    <w:rsid w:val="16595902"/>
    <w:rsid w:val="167130A6"/>
    <w:rsid w:val="16752047"/>
    <w:rsid w:val="16825C85"/>
    <w:rsid w:val="169F2532"/>
    <w:rsid w:val="16A073BE"/>
    <w:rsid w:val="16B05DF5"/>
    <w:rsid w:val="16D20DC8"/>
    <w:rsid w:val="171021FA"/>
    <w:rsid w:val="171259C8"/>
    <w:rsid w:val="17262B24"/>
    <w:rsid w:val="17296C52"/>
    <w:rsid w:val="172E68F7"/>
    <w:rsid w:val="173C5E79"/>
    <w:rsid w:val="1760497A"/>
    <w:rsid w:val="177A5A2B"/>
    <w:rsid w:val="17817A65"/>
    <w:rsid w:val="178756D8"/>
    <w:rsid w:val="179771BA"/>
    <w:rsid w:val="17A97DC9"/>
    <w:rsid w:val="17DD6795"/>
    <w:rsid w:val="17FA2B86"/>
    <w:rsid w:val="17FC734C"/>
    <w:rsid w:val="17FD64EB"/>
    <w:rsid w:val="1804296F"/>
    <w:rsid w:val="180E629B"/>
    <w:rsid w:val="184233FC"/>
    <w:rsid w:val="189B154D"/>
    <w:rsid w:val="18CA0EE6"/>
    <w:rsid w:val="18CC680E"/>
    <w:rsid w:val="18D535DB"/>
    <w:rsid w:val="18D60A6E"/>
    <w:rsid w:val="18DE7CDB"/>
    <w:rsid w:val="18E04D61"/>
    <w:rsid w:val="1907506E"/>
    <w:rsid w:val="190C20A7"/>
    <w:rsid w:val="190D2B31"/>
    <w:rsid w:val="19242963"/>
    <w:rsid w:val="193D5C55"/>
    <w:rsid w:val="19424E9F"/>
    <w:rsid w:val="19503C53"/>
    <w:rsid w:val="1952108D"/>
    <w:rsid w:val="196151A9"/>
    <w:rsid w:val="197A7C78"/>
    <w:rsid w:val="198402BB"/>
    <w:rsid w:val="1985709D"/>
    <w:rsid w:val="199832A2"/>
    <w:rsid w:val="19A17E05"/>
    <w:rsid w:val="19A852F2"/>
    <w:rsid w:val="19AA797D"/>
    <w:rsid w:val="19B14D60"/>
    <w:rsid w:val="19BD0514"/>
    <w:rsid w:val="19D62E09"/>
    <w:rsid w:val="19E4797E"/>
    <w:rsid w:val="19EB653D"/>
    <w:rsid w:val="19F63A93"/>
    <w:rsid w:val="19F7259E"/>
    <w:rsid w:val="19FA2EBE"/>
    <w:rsid w:val="19FB0226"/>
    <w:rsid w:val="19FF602A"/>
    <w:rsid w:val="1A106B09"/>
    <w:rsid w:val="1A3F696A"/>
    <w:rsid w:val="1A572202"/>
    <w:rsid w:val="1A744F8D"/>
    <w:rsid w:val="1A76471B"/>
    <w:rsid w:val="1A8D59C2"/>
    <w:rsid w:val="1AAD024C"/>
    <w:rsid w:val="1AB5234F"/>
    <w:rsid w:val="1AD20279"/>
    <w:rsid w:val="1AEE4FE5"/>
    <w:rsid w:val="1B017C12"/>
    <w:rsid w:val="1B152811"/>
    <w:rsid w:val="1B1F6F2A"/>
    <w:rsid w:val="1B263796"/>
    <w:rsid w:val="1B2E36B8"/>
    <w:rsid w:val="1B2F67A3"/>
    <w:rsid w:val="1B3321B3"/>
    <w:rsid w:val="1B456DDE"/>
    <w:rsid w:val="1B477F5B"/>
    <w:rsid w:val="1B687F3D"/>
    <w:rsid w:val="1B694E2A"/>
    <w:rsid w:val="1B6F73E2"/>
    <w:rsid w:val="1B824367"/>
    <w:rsid w:val="1BB94B75"/>
    <w:rsid w:val="1BBE6C1F"/>
    <w:rsid w:val="1BEB357C"/>
    <w:rsid w:val="1BEF7785"/>
    <w:rsid w:val="1C017601"/>
    <w:rsid w:val="1C0536BD"/>
    <w:rsid w:val="1C18642A"/>
    <w:rsid w:val="1C1C2B4A"/>
    <w:rsid w:val="1C1F5A93"/>
    <w:rsid w:val="1C7B7942"/>
    <w:rsid w:val="1C9922C8"/>
    <w:rsid w:val="1CA6679C"/>
    <w:rsid w:val="1CAF0758"/>
    <w:rsid w:val="1CD24E95"/>
    <w:rsid w:val="1CE16A64"/>
    <w:rsid w:val="1CE77484"/>
    <w:rsid w:val="1CEE1A27"/>
    <w:rsid w:val="1D025CFB"/>
    <w:rsid w:val="1D2269F8"/>
    <w:rsid w:val="1D274E3D"/>
    <w:rsid w:val="1D353599"/>
    <w:rsid w:val="1D374E75"/>
    <w:rsid w:val="1D5028F5"/>
    <w:rsid w:val="1D505374"/>
    <w:rsid w:val="1D5805C7"/>
    <w:rsid w:val="1D5E685F"/>
    <w:rsid w:val="1D856627"/>
    <w:rsid w:val="1D8E6BBA"/>
    <w:rsid w:val="1D9346F0"/>
    <w:rsid w:val="1D9674A2"/>
    <w:rsid w:val="1DA23729"/>
    <w:rsid w:val="1DA74AFE"/>
    <w:rsid w:val="1DC339D2"/>
    <w:rsid w:val="1DC64EC8"/>
    <w:rsid w:val="1DCC01A4"/>
    <w:rsid w:val="1DD10939"/>
    <w:rsid w:val="1DD43877"/>
    <w:rsid w:val="1DDB53EA"/>
    <w:rsid w:val="1DE57225"/>
    <w:rsid w:val="1DEB6B4E"/>
    <w:rsid w:val="1DEE09EF"/>
    <w:rsid w:val="1DF15F7D"/>
    <w:rsid w:val="1E1353EE"/>
    <w:rsid w:val="1E363B2D"/>
    <w:rsid w:val="1E596D1F"/>
    <w:rsid w:val="1E655DB0"/>
    <w:rsid w:val="1E6F00A1"/>
    <w:rsid w:val="1E76560B"/>
    <w:rsid w:val="1E9151DA"/>
    <w:rsid w:val="1E9B0AAB"/>
    <w:rsid w:val="1EA07668"/>
    <w:rsid w:val="1EA700CC"/>
    <w:rsid w:val="1EB05CCB"/>
    <w:rsid w:val="1EB57327"/>
    <w:rsid w:val="1EEF3F13"/>
    <w:rsid w:val="1EF814A5"/>
    <w:rsid w:val="1F0923DF"/>
    <w:rsid w:val="1F0B6A8B"/>
    <w:rsid w:val="1F4D6859"/>
    <w:rsid w:val="1F5908BC"/>
    <w:rsid w:val="1F6C5A31"/>
    <w:rsid w:val="1F6E5E24"/>
    <w:rsid w:val="1F901A88"/>
    <w:rsid w:val="1F910EDA"/>
    <w:rsid w:val="1FCA77E8"/>
    <w:rsid w:val="1FDF1E99"/>
    <w:rsid w:val="1FE304FD"/>
    <w:rsid w:val="1FEA23D9"/>
    <w:rsid w:val="1FFE1183"/>
    <w:rsid w:val="20087C3E"/>
    <w:rsid w:val="200E56F2"/>
    <w:rsid w:val="203A10EA"/>
    <w:rsid w:val="203A58C3"/>
    <w:rsid w:val="205712CC"/>
    <w:rsid w:val="20694812"/>
    <w:rsid w:val="20696FBE"/>
    <w:rsid w:val="207F58CA"/>
    <w:rsid w:val="208B43E4"/>
    <w:rsid w:val="208C69E1"/>
    <w:rsid w:val="20B015AD"/>
    <w:rsid w:val="20CF7D78"/>
    <w:rsid w:val="20D91650"/>
    <w:rsid w:val="20E42900"/>
    <w:rsid w:val="20EB29C6"/>
    <w:rsid w:val="20FB5128"/>
    <w:rsid w:val="20FF5D97"/>
    <w:rsid w:val="21083B7E"/>
    <w:rsid w:val="21195EA4"/>
    <w:rsid w:val="214A70DD"/>
    <w:rsid w:val="21533217"/>
    <w:rsid w:val="21566D51"/>
    <w:rsid w:val="216407A0"/>
    <w:rsid w:val="21670B37"/>
    <w:rsid w:val="217209EB"/>
    <w:rsid w:val="21C17A96"/>
    <w:rsid w:val="21C45D20"/>
    <w:rsid w:val="21D0528D"/>
    <w:rsid w:val="21EE0225"/>
    <w:rsid w:val="220A1452"/>
    <w:rsid w:val="222B7CD7"/>
    <w:rsid w:val="2240324F"/>
    <w:rsid w:val="225A2D5C"/>
    <w:rsid w:val="225C386E"/>
    <w:rsid w:val="2274299A"/>
    <w:rsid w:val="22834854"/>
    <w:rsid w:val="22B66849"/>
    <w:rsid w:val="22B93A2B"/>
    <w:rsid w:val="22D7712D"/>
    <w:rsid w:val="22DE209C"/>
    <w:rsid w:val="22F2022F"/>
    <w:rsid w:val="230B5096"/>
    <w:rsid w:val="231628B6"/>
    <w:rsid w:val="23237A89"/>
    <w:rsid w:val="23300073"/>
    <w:rsid w:val="23357FB2"/>
    <w:rsid w:val="23366D23"/>
    <w:rsid w:val="23397AC0"/>
    <w:rsid w:val="23406C41"/>
    <w:rsid w:val="236316A5"/>
    <w:rsid w:val="236919D8"/>
    <w:rsid w:val="239007BA"/>
    <w:rsid w:val="23970FB7"/>
    <w:rsid w:val="23A86A71"/>
    <w:rsid w:val="23B14A15"/>
    <w:rsid w:val="23BC23BE"/>
    <w:rsid w:val="23C64D58"/>
    <w:rsid w:val="23C95FDB"/>
    <w:rsid w:val="23D13175"/>
    <w:rsid w:val="23D149AF"/>
    <w:rsid w:val="23D86783"/>
    <w:rsid w:val="23F921E0"/>
    <w:rsid w:val="24087CAD"/>
    <w:rsid w:val="241632FB"/>
    <w:rsid w:val="2440306F"/>
    <w:rsid w:val="24431F32"/>
    <w:rsid w:val="244D4C9E"/>
    <w:rsid w:val="24554291"/>
    <w:rsid w:val="24567462"/>
    <w:rsid w:val="247D4D86"/>
    <w:rsid w:val="24885965"/>
    <w:rsid w:val="24A57F4B"/>
    <w:rsid w:val="24AC529F"/>
    <w:rsid w:val="24AD1551"/>
    <w:rsid w:val="24B52BFD"/>
    <w:rsid w:val="24C561C6"/>
    <w:rsid w:val="24C765DA"/>
    <w:rsid w:val="24D41E45"/>
    <w:rsid w:val="24E132AD"/>
    <w:rsid w:val="24EB2378"/>
    <w:rsid w:val="24F4352B"/>
    <w:rsid w:val="2515214B"/>
    <w:rsid w:val="251F743A"/>
    <w:rsid w:val="25296B4A"/>
    <w:rsid w:val="255956FC"/>
    <w:rsid w:val="255F771E"/>
    <w:rsid w:val="256C738D"/>
    <w:rsid w:val="25805DD1"/>
    <w:rsid w:val="258C2E52"/>
    <w:rsid w:val="2597422D"/>
    <w:rsid w:val="25A67137"/>
    <w:rsid w:val="25A83195"/>
    <w:rsid w:val="25B83A93"/>
    <w:rsid w:val="25BB2C84"/>
    <w:rsid w:val="25DB401C"/>
    <w:rsid w:val="25EA6BF5"/>
    <w:rsid w:val="2603762F"/>
    <w:rsid w:val="26043E43"/>
    <w:rsid w:val="26177E67"/>
    <w:rsid w:val="261A56AD"/>
    <w:rsid w:val="262804F3"/>
    <w:rsid w:val="263D2A8F"/>
    <w:rsid w:val="264A07A7"/>
    <w:rsid w:val="26573C57"/>
    <w:rsid w:val="266853AE"/>
    <w:rsid w:val="266C1E48"/>
    <w:rsid w:val="267F4386"/>
    <w:rsid w:val="269B728F"/>
    <w:rsid w:val="26A10F5A"/>
    <w:rsid w:val="26B75F67"/>
    <w:rsid w:val="26D8044F"/>
    <w:rsid w:val="26E83527"/>
    <w:rsid w:val="26EC7974"/>
    <w:rsid w:val="273244D8"/>
    <w:rsid w:val="277E670C"/>
    <w:rsid w:val="278C34E1"/>
    <w:rsid w:val="27B06FBD"/>
    <w:rsid w:val="27BA0F35"/>
    <w:rsid w:val="27C23036"/>
    <w:rsid w:val="27C74D7E"/>
    <w:rsid w:val="27D44AE8"/>
    <w:rsid w:val="27D66A6D"/>
    <w:rsid w:val="27E05851"/>
    <w:rsid w:val="27E63EAC"/>
    <w:rsid w:val="27E72E2A"/>
    <w:rsid w:val="27EC7E49"/>
    <w:rsid w:val="27ED2AF3"/>
    <w:rsid w:val="27EF219B"/>
    <w:rsid w:val="28017251"/>
    <w:rsid w:val="280278F1"/>
    <w:rsid w:val="280F447B"/>
    <w:rsid w:val="28386634"/>
    <w:rsid w:val="28456D01"/>
    <w:rsid w:val="285A51EC"/>
    <w:rsid w:val="28626FE7"/>
    <w:rsid w:val="287514DE"/>
    <w:rsid w:val="287A62F4"/>
    <w:rsid w:val="28856267"/>
    <w:rsid w:val="288A6D38"/>
    <w:rsid w:val="288F1004"/>
    <w:rsid w:val="289044A5"/>
    <w:rsid w:val="28975534"/>
    <w:rsid w:val="28A01F04"/>
    <w:rsid w:val="28AB0764"/>
    <w:rsid w:val="28B551AE"/>
    <w:rsid w:val="28B761D3"/>
    <w:rsid w:val="28E9510B"/>
    <w:rsid w:val="28FA4A05"/>
    <w:rsid w:val="29092622"/>
    <w:rsid w:val="290C3EC6"/>
    <w:rsid w:val="291B38FD"/>
    <w:rsid w:val="29241174"/>
    <w:rsid w:val="29316EB8"/>
    <w:rsid w:val="29480957"/>
    <w:rsid w:val="295759FE"/>
    <w:rsid w:val="2985065F"/>
    <w:rsid w:val="29920A52"/>
    <w:rsid w:val="299662B0"/>
    <w:rsid w:val="299A4C52"/>
    <w:rsid w:val="29CF249B"/>
    <w:rsid w:val="29E16438"/>
    <w:rsid w:val="29EB4C4D"/>
    <w:rsid w:val="2A071046"/>
    <w:rsid w:val="2A4878BF"/>
    <w:rsid w:val="2A56648A"/>
    <w:rsid w:val="2A5970EF"/>
    <w:rsid w:val="2A66746B"/>
    <w:rsid w:val="2A860B63"/>
    <w:rsid w:val="2A885971"/>
    <w:rsid w:val="2A9A4ACD"/>
    <w:rsid w:val="2AAC0D24"/>
    <w:rsid w:val="2AC94307"/>
    <w:rsid w:val="2AD544A7"/>
    <w:rsid w:val="2ADB4A3B"/>
    <w:rsid w:val="2AF038EE"/>
    <w:rsid w:val="2B010E5C"/>
    <w:rsid w:val="2B0C6536"/>
    <w:rsid w:val="2B1D00B9"/>
    <w:rsid w:val="2B276CE0"/>
    <w:rsid w:val="2B3D0708"/>
    <w:rsid w:val="2B3F539E"/>
    <w:rsid w:val="2B416E9F"/>
    <w:rsid w:val="2B606090"/>
    <w:rsid w:val="2B820F1B"/>
    <w:rsid w:val="2B8D25C0"/>
    <w:rsid w:val="2B8F3C58"/>
    <w:rsid w:val="2BD76A6A"/>
    <w:rsid w:val="2BDE4C53"/>
    <w:rsid w:val="2BFA048B"/>
    <w:rsid w:val="2C0C24F8"/>
    <w:rsid w:val="2C1D1BDB"/>
    <w:rsid w:val="2C243763"/>
    <w:rsid w:val="2C2B423A"/>
    <w:rsid w:val="2C3248E6"/>
    <w:rsid w:val="2C491642"/>
    <w:rsid w:val="2C625260"/>
    <w:rsid w:val="2C684E67"/>
    <w:rsid w:val="2C722338"/>
    <w:rsid w:val="2C8503B5"/>
    <w:rsid w:val="2C952626"/>
    <w:rsid w:val="2CA46F1B"/>
    <w:rsid w:val="2CBC6D9A"/>
    <w:rsid w:val="2CE97B37"/>
    <w:rsid w:val="2CEA5F0C"/>
    <w:rsid w:val="2CF62649"/>
    <w:rsid w:val="2CF912E3"/>
    <w:rsid w:val="2D06714B"/>
    <w:rsid w:val="2D0A0B2E"/>
    <w:rsid w:val="2D1C0367"/>
    <w:rsid w:val="2D237F9C"/>
    <w:rsid w:val="2D2A1E84"/>
    <w:rsid w:val="2D3929EC"/>
    <w:rsid w:val="2D7B3D35"/>
    <w:rsid w:val="2D830B88"/>
    <w:rsid w:val="2D842E85"/>
    <w:rsid w:val="2D8C0979"/>
    <w:rsid w:val="2DA648A1"/>
    <w:rsid w:val="2DC86DE8"/>
    <w:rsid w:val="2DD4649C"/>
    <w:rsid w:val="2DDF698E"/>
    <w:rsid w:val="2DED5318"/>
    <w:rsid w:val="2DEF2532"/>
    <w:rsid w:val="2DF80F56"/>
    <w:rsid w:val="2DFD77AA"/>
    <w:rsid w:val="2DFF106E"/>
    <w:rsid w:val="2E1936D3"/>
    <w:rsid w:val="2E224CAB"/>
    <w:rsid w:val="2E2C1D00"/>
    <w:rsid w:val="2E353E2E"/>
    <w:rsid w:val="2E3F575C"/>
    <w:rsid w:val="2E6D759A"/>
    <w:rsid w:val="2E7E7BD8"/>
    <w:rsid w:val="2E945C60"/>
    <w:rsid w:val="2E963248"/>
    <w:rsid w:val="2EA761E1"/>
    <w:rsid w:val="2EAA5952"/>
    <w:rsid w:val="2EC64A6B"/>
    <w:rsid w:val="2EDD121C"/>
    <w:rsid w:val="2EE11667"/>
    <w:rsid w:val="2EE3268C"/>
    <w:rsid w:val="2EE80B5E"/>
    <w:rsid w:val="2F173188"/>
    <w:rsid w:val="2F4F4098"/>
    <w:rsid w:val="2F6214D9"/>
    <w:rsid w:val="2F8D44D6"/>
    <w:rsid w:val="2F9779D7"/>
    <w:rsid w:val="2F980294"/>
    <w:rsid w:val="2FBE29B8"/>
    <w:rsid w:val="2FC918A6"/>
    <w:rsid w:val="2FCA5FDF"/>
    <w:rsid w:val="2FD33E2B"/>
    <w:rsid w:val="2FEB1956"/>
    <w:rsid w:val="30062DE1"/>
    <w:rsid w:val="30111B91"/>
    <w:rsid w:val="302A13F4"/>
    <w:rsid w:val="30423C78"/>
    <w:rsid w:val="304F1B16"/>
    <w:rsid w:val="30574B4A"/>
    <w:rsid w:val="30611C29"/>
    <w:rsid w:val="30683883"/>
    <w:rsid w:val="30695030"/>
    <w:rsid w:val="30815E64"/>
    <w:rsid w:val="308F24A2"/>
    <w:rsid w:val="30A22E44"/>
    <w:rsid w:val="30AC42EE"/>
    <w:rsid w:val="30B058B8"/>
    <w:rsid w:val="30CD5297"/>
    <w:rsid w:val="30CE111B"/>
    <w:rsid w:val="30E019DA"/>
    <w:rsid w:val="30F552D2"/>
    <w:rsid w:val="310065E6"/>
    <w:rsid w:val="312654AD"/>
    <w:rsid w:val="312F16DF"/>
    <w:rsid w:val="31552842"/>
    <w:rsid w:val="316C65C1"/>
    <w:rsid w:val="31742FCA"/>
    <w:rsid w:val="31812DBB"/>
    <w:rsid w:val="31886C1C"/>
    <w:rsid w:val="318E3C43"/>
    <w:rsid w:val="31CC03E9"/>
    <w:rsid w:val="31D32DDB"/>
    <w:rsid w:val="31D460A3"/>
    <w:rsid w:val="31EA26F1"/>
    <w:rsid w:val="31EC203C"/>
    <w:rsid w:val="31FC2412"/>
    <w:rsid w:val="320642C3"/>
    <w:rsid w:val="3207532E"/>
    <w:rsid w:val="321063FE"/>
    <w:rsid w:val="321D1D09"/>
    <w:rsid w:val="32256F9F"/>
    <w:rsid w:val="322D3B4C"/>
    <w:rsid w:val="324035B3"/>
    <w:rsid w:val="3260397A"/>
    <w:rsid w:val="32783914"/>
    <w:rsid w:val="328253C2"/>
    <w:rsid w:val="32935FC0"/>
    <w:rsid w:val="32A41F5B"/>
    <w:rsid w:val="32AE368A"/>
    <w:rsid w:val="32B17B00"/>
    <w:rsid w:val="32DF701F"/>
    <w:rsid w:val="32E24098"/>
    <w:rsid w:val="32E70D36"/>
    <w:rsid w:val="32F04C94"/>
    <w:rsid w:val="33177E81"/>
    <w:rsid w:val="33203F6E"/>
    <w:rsid w:val="33266928"/>
    <w:rsid w:val="333359F2"/>
    <w:rsid w:val="3341007C"/>
    <w:rsid w:val="336E4060"/>
    <w:rsid w:val="3395192B"/>
    <w:rsid w:val="3395308C"/>
    <w:rsid w:val="33A76D1B"/>
    <w:rsid w:val="33FA6E54"/>
    <w:rsid w:val="33FD4C08"/>
    <w:rsid w:val="34225B6E"/>
    <w:rsid w:val="342A40C0"/>
    <w:rsid w:val="34350233"/>
    <w:rsid w:val="34597E10"/>
    <w:rsid w:val="34650257"/>
    <w:rsid w:val="34725A3C"/>
    <w:rsid w:val="348815B6"/>
    <w:rsid w:val="34A02F4E"/>
    <w:rsid w:val="34B158B7"/>
    <w:rsid w:val="34BC71CE"/>
    <w:rsid w:val="34C70739"/>
    <w:rsid w:val="34DB4884"/>
    <w:rsid w:val="350B741A"/>
    <w:rsid w:val="35280196"/>
    <w:rsid w:val="353B5B88"/>
    <w:rsid w:val="353F6679"/>
    <w:rsid w:val="357263A3"/>
    <w:rsid w:val="35784E71"/>
    <w:rsid w:val="357B4DCC"/>
    <w:rsid w:val="35A60779"/>
    <w:rsid w:val="35D53D52"/>
    <w:rsid w:val="35DB5A6A"/>
    <w:rsid w:val="35E01304"/>
    <w:rsid w:val="35E9486B"/>
    <w:rsid w:val="35FB77CB"/>
    <w:rsid w:val="360532BD"/>
    <w:rsid w:val="360C2B3A"/>
    <w:rsid w:val="360D1CBF"/>
    <w:rsid w:val="361B4D46"/>
    <w:rsid w:val="362A205A"/>
    <w:rsid w:val="366F7F71"/>
    <w:rsid w:val="368F5AB8"/>
    <w:rsid w:val="36912DE6"/>
    <w:rsid w:val="36B6669E"/>
    <w:rsid w:val="36B76E7C"/>
    <w:rsid w:val="36BC27CC"/>
    <w:rsid w:val="36C847CF"/>
    <w:rsid w:val="36D017E4"/>
    <w:rsid w:val="36D73FDE"/>
    <w:rsid w:val="36E13874"/>
    <w:rsid w:val="36FB0380"/>
    <w:rsid w:val="36FD39FB"/>
    <w:rsid w:val="37141C3E"/>
    <w:rsid w:val="37284F74"/>
    <w:rsid w:val="372E0843"/>
    <w:rsid w:val="3730666A"/>
    <w:rsid w:val="373070BF"/>
    <w:rsid w:val="37335A3C"/>
    <w:rsid w:val="37426B20"/>
    <w:rsid w:val="376A3DCC"/>
    <w:rsid w:val="37933D0B"/>
    <w:rsid w:val="37936F55"/>
    <w:rsid w:val="37974492"/>
    <w:rsid w:val="379D5C05"/>
    <w:rsid w:val="37B12555"/>
    <w:rsid w:val="37BC0D91"/>
    <w:rsid w:val="37BE768E"/>
    <w:rsid w:val="37D9344A"/>
    <w:rsid w:val="37ED4E89"/>
    <w:rsid w:val="37F83682"/>
    <w:rsid w:val="38057A3D"/>
    <w:rsid w:val="38525A0D"/>
    <w:rsid w:val="387D4E34"/>
    <w:rsid w:val="38AA7384"/>
    <w:rsid w:val="38B12A39"/>
    <w:rsid w:val="38C5263D"/>
    <w:rsid w:val="38DC1A22"/>
    <w:rsid w:val="38E00948"/>
    <w:rsid w:val="38E33FE3"/>
    <w:rsid w:val="38EC1A9A"/>
    <w:rsid w:val="38F6157A"/>
    <w:rsid w:val="39045055"/>
    <w:rsid w:val="3905397C"/>
    <w:rsid w:val="3915719D"/>
    <w:rsid w:val="392378C6"/>
    <w:rsid w:val="39250C7A"/>
    <w:rsid w:val="39427E0D"/>
    <w:rsid w:val="395E497A"/>
    <w:rsid w:val="39884828"/>
    <w:rsid w:val="39AD3EA6"/>
    <w:rsid w:val="39B029FA"/>
    <w:rsid w:val="39C704A7"/>
    <w:rsid w:val="39C85128"/>
    <w:rsid w:val="39D263A7"/>
    <w:rsid w:val="39E4038F"/>
    <w:rsid w:val="39F94530"/>
    <w:rsid w:val="3A056805"/>
    <w:rsid w:val="3A0612E2"/>
    <w:rsid w:val="3A105151"/>
    <w:rsid w:val="3A2156FD"/>
    <w:rsid w:val="3A2B7FBC"/>
    <w:rsid w:val="3A2C20E8"/>
    <w:rsid w:val="3A414974"/>
    <w:rsid w:val="3A4A5818"/>
    <w:rsid w:val="3A731CC1"/>
    <w:rsid w:val="3A7C5BCA"/>
    <w:rsid w:val="3AB15A7E"/>
    <w:rsid w:val="3ACA3A17"/>
    <w:rsid w:val="3AEC04C2"/>
    <w:rsid w:val="3AF775AA"/>
    <w:rsid w:val="3B1955CB"/>
    <w:rsid w:val="3B4221F3"/>
    <w:rsid w:val="3B483ED0"/>
    <w:rsid w:val="3B493692"/>
    <w:rsid w:val="3B4F4DC8"/>
    <w:rsid w:val="3B526AA2"/>
    <w:rsid w:val="3B652E21"/>
    <w:rsid w:val="3B7E21B0"/>
    <w:rsid w:val="3B821B43"/>
    <w:rsid w:val="3B825A47"/>
    <w:rsid w:val="3B8667AC"/>
    <w:rsid w:val="3B967DCE"/>
    <w:rsid w:val="3B9C6609"/>
    <w:rsid w:val="3BA302B2"/>
    <w:rsid w:val="3C0853AF"/>
    <w:rsid w:val="3C0972FA"/>
    <w:rsid w:val="3C0B65AC"/>
    <w:rsid w:val="3C0E18DF"/>
    <w:rsid w:val="3C2D1B90"/>
    <w:rsid w:val="3C3950FC"/>
    <w:rsid w:val="3C4318C3"/>
    <w:rsid w:val="3C49170C"/>
    <w:rsid w:val="3C4B0F00"/>
    <w:rsid w:val="3C885A3C"/>
    <w:rsid w:val="3C921EBB"/>
    <w:rsid w:val="3CAF3F2C"/>
    <w:rsid w:val="3CBD0191"/>
    <w:rsid w:val="3CDA3AC9"/>
    <w:rsid w:val="3D07245B"/>
    <w:rsid w:val="3D256621"/>
    <w:rsid w:val="3D274CC7"/>
    <w:rsid w:val="3D32496D"/>
    <w:rsid w:val="3D3C536B"/>
    <w:rsid w:val="3D4F603C"/>
    <w:rsid w:val="3D5F4DC7"/>
    <w:rsid w:val="3D676F6B"/>
    <w:rsid w:val="3D6E28E2"/>
    <w:rsid w:val="3DA02763"/>
    <w:rsid w:val="3DBA1B25"/>
    <w:rsid w:val="3DC72AFE"/>
    <w:rsid w:val="3DC93068"/>
    <w:rsid w:val="3DD93FC5"/>
    <w:rsid w:val="3DEB02ED"/>
    <w:rsid w:val="3DEC1682"/>
    <w:rsid w:val="3DF72802"/>
    <w:rsid w:val="3E044D3E"/>
    <w:rsid w:val="3E08400D"/>
    <w:rsid w:val="3E3863AC"/>
    <w:rsid w:val="3E415A74"/>
    <w:rsid w:val="3E460843"/>
    <w:rsid w:val="3E661616"/>
    <w:rsid w:val="3E677A49"/>
    <w:rsid w:val="3E763A1F"/>
    <w:rsid w:val="3E8F7279"/>
    <w:rsid w:val="3E9431A8"/>
    <w:rsid w:val="3E996B99"/>
    <w:rsid w:val="3EA93808"/>
    <w:rsid w:val="3EBF738E"/>
    <w:rsid w:val="3EC51518"/>
    <w:rsid w:val="3EDB4EEC"/>
    <w:rsid w:val="3EFD58F1"/>
    <w:rsid w:val="3F0777D7"/>
    <w:rsid w:val="3F120FDD"/>
    <w:rsid w:val="3F1C5781"/>
    <w:rsid w:val="3F233355"/>
    <w:rsid w:val="3F2631E5"/>
    <w:rsid w:val="3F297829"/>
    <w:rsid w:val="3F3767F7"/>
    <w:rsid w:val="3F3801D7"/>
    <w:rsid w:val="3F404933"/>
    <w:rsid w:val="3F496250"/>
    <w:rsid w:val="3F561C01"/>
    <w:rsid w:val="3F70168F"/>
    <w:rsid w:val="3F755780"/>
    <w:rsid w:val="3FA46AF6"/>
    <w:rsid w:val="3FF426F9"/>
    <w:rsid w:val="3FFD04C4"/>
    <w:rsid w:val="3FFE797F"/>
    <w:rsid w:val="400F1770"/>
    <w:rsid w:val="40307DD1"/>
    <w:rsid w:val="4032619B"/>
    <w:rsid w:val="405D12FB"/>
    <w:rsid w:val="40695C55"/>
    <w:rsid w:val="406C4800"/>
    <w:rsid w:val="408F0E1E"/>
    <w:rsid w:val="40962FDF"/>
    <w:rsid w:val="409D1A0B"/>
    <w:rsid w:val="40A23281"/>
    <w:rsid w:val="40CD5CF7"/>
    <w:rsid w:val="40D84C0F"/>
    <w:rsid w:val="40DC1646"/>
    <w:rsid w:val="40E0375B"/>
    <w:rsid w:val="40E346A5"/>
    <w:rsid w:val="410617FD"/>
    <w:rsid w:val="413E727C"/>
    <w:rsid w:val="41545E6A"/>
    <w:rsid w:val="415477B3"/>
    <w:rsid w:val="417A51D0"/>
    <w:rsid w:val="41880BC3"/>
    <w:rsid w:val="41921860"/>
    <w:rsid w:val="4195076B"/>
    <w:rsid w:val="41A302C1"/>
    <w:rsid w:val="41A85E6B"/>
    <w:rsid w:val="41DC7951"/>
    <w:rsid w:val="41EE3183"/>
    <w:rsid w:val="41F026AF"/>
    <w:rsid w:val="41FB2F29"/>
    <w:rsid w:val="421B09AB"/>
    <w:rsid w:val="422252B2"/>
    <w:rsid w:val="42275FA6"/>
    <w:rsid w:val="423D2D21"/>
    <w:rsid w:val="42420C0B"/>
    <w:rsid w:val="42495A60"/>
    <w:rsid w:val="428F60E2"/>
    <w:rsid w:val="42956078"/>
    <w:rsid w:val="429C5E42"/>
    <w:rsid w:val="42B00CBD"/>
    <w:rsid w:val="42BC08F5"/>
    <w:rsid w:val="42C82900"/>
    <w:rsid w:val="42D537A6"/>
    <w:rsid w:val="42E507B7"/>
    <w:rsid w:val="42E604EA"/>
    <w:rsid w:val="42EA5494"/>
    <w:rsid w:val="430022EA"/>
    <w:rsid w:val="4319070F"/>
    <w:rsid w:val="43270FEF"/>
    <w:rsid w:val="432855FB"/>
    <w:rsid w:val="43301FAB"/>
    <w:rsid w:val="4339209C"/>
    <w:rsid w:val="433E286F"/>
    <w:rsid w:val="4364061F"/>
    <w:rsid w:val="4377624E"/>
    <w:rsid w:val="43883DE8"/>
    <w:rsid w:val="43961CE6"/>
    <w:rsid w:val="43B30D22"/>
    <w:rsid w:val="43B577C0"/>
    <w:rsid w:val="43C54F8D"/>
    <w:rsid w:val="43C9011E"/>
    <w:rsid w:val="43C94577"/>
    <w:rsid w:val="43CB426B"/>
    <w:rsid w:val="43D8683C"/>
    <w:rsid w:val="43DA7442"/>
    <w:rsid w:val="43E5312A"/>
    <w:rsid w:val="43E95D84"/>
    <w:rsid w:val="43EB73CE"/>
    <w:rsid w:val="43F856FD"/>
    <w:rsid w:val="44055C49"/>
    <w:rsid w:val="440B5F91"/>
    <w:rsid w:val="44112A91"/>
    <w:rsid w:val="441634F9"/>
    <w:rsid w:val="44232C91"/>
    <w:rsid w:val="4425558C"/>
    <w:rsid w:val="44416F27"/>
    <w:rsid w:val="444C46C1"/>
    <w:rsid w:val="444D12C7"/>
    <w:rsid w:val="445F6C42"/>
    <w:rsid w:val="44702CBC"/>
    <w:rsid w:val="44784C95"/>
    <w:rsid w:val="44813158"/>
    <w:rsid w:val="44A514B2"/>
    <w:rsid w:val="44AD2B45"/>
    <w:rsid w:val="44AE45CC"/>
    <w:rsid w:val="44CF5C9B"/>
    <w:rsid w:val="44FD2E6C"/>
    <w:rsid w:val="450D206A"/>
    <w:rsid w:val="451421B3"/>
    <w:rsid w:val="45312B8D"/>
    <w:rsid w:val="453636F3"/>
    <w:rsid w:val="453B3E33"/>
    <w:rsid w:val="45532760"/>
    <w:rsid w:val="455D73B7"/>
    <w:rsid w:val="455F4293"/>
    <w:rsid w:val="45625A22"/>
    <w:rsid w:val="45725B7C"/>
    <w:rsid w:val="457B0B90"/>
    <w:rsid w:val="459144AF"/>
    <w:rsid w:val="459D1FC0"/>
    <w:rsid w:val="459E159E"/>
    <w:rsid w:val="45A932EF"/>
    <w:rsid w:val="45D01424"/>
    <w:rsid w:val="45D90E5B"/>
    <w:rsid w:val="45F713E5"/>
    <w:rsid w:val="45FC549B"/>
    <w:rsid w:val="463D77FC"/>
    <w:rsid w:val="46544346"/>
    <w:rsid w:val="46612DFC"/>
    <w:rsid w:val="467E1B2E"/>
    <w:rsid w:val="467E3C2F"/>
    <w:rsid w:val="46836DB9"/>
    <w:rsid w:val="46B1345C"/>
    <w:rsid w:val="46C13779"/>
    <w:rsid w:val="46D47307"/>
    <w:rsid w:val="46E577A3"/>
    <w:rsid w:val="46E9185D"/>
    <w:rsid w:val="46EB29A5"/>
    <w:rsid w:val="46F35B6F"/>
    <w:rsid w:val="46F86DC4"/>
    <w:rsid w:val="470C79FF"/>
    <w:rsid w:val="47430BB8"/>
    <w:rsid w:val="474C108C"/>
    <w:rsid w:val="47664E5B"/>
    <w:rsid w:val="476D2B18"/>
    <w:rsid w:val="477806D8"/>
    <w:rsid w:val="47780F93"/>
    <w:rsid w:val="47827D73"/>
    <w:rsid w:val="47952D9D"/>
    <w:rsid w:val="47A30A4D"/>
    <w:rsid w:val="47B64EC1"/>
    <w:rsid w:val="47B732CA"/>
    <w:rsid w:val="47C80E00"/>
    <w:rsid w:val="47CD7E1D"/>
    <w:rsid w:val="47F40BB1"/>
    <w:rsid w:val="47F85439"/>
    <w:rsid w:val="480B38DA"/>
    <w:rsid w:val="480B5ABB"/>
    <w:rsid w:val="48137CDD"/>
    <w:rsid w:val="48267394"/>
    <w:rsid w:val="486956FF"/>
    <w:rsid w:val="487E055B"/>
    <w:rsid w:val="488E35E4"/>
    <w:rsid w:val="48920313"/>
    <w:rsid w:val="48AE7E5F"/>
    <w:rsid w:val="48D02088"/>
    <w:rsid w:val="48F811C9"/>
    <w:rsid w:val="48FE7B22"/>
    <w:rsid w:val="496269C9"/>
    <w:rsid w:val="496B74EE"/>
    <w:rsid w:val="49910937"/>
    <w:rsid w:val="499E413B"/>
    <w:rsid w:val="49A049A4"/>
    <w:rsid w:val="49BB179A"/>
    <w:rsid w:val="49BC5F12"/>
    <w:rsid w:val="49C232F1"/>
    <w:rsid w:val="49D824E4"/>
    <w:rsid w:val="4A0372B8"/>
    <w:rsid w:val="4A042B54"/>
    <w:rsid w:val="4A046112"/>
    <w:rsid w:val="4A1268F2"/>
    <w:rsid w:val="4A1C1F75"/>
    <w:rsid w:val="4A1E6A6E"/>
    <w:rsid w:val="4A2974B3"/>
    <w:rsid w:val="4A3F3E15"/>
    <w:rsid w:val="4A4017F1"/>
    <w:rsid w:val="4A4C14EE"/>
    <w:rsid w:val="4A60269A"/>
    <w:rsid w:val="4A6F02B5"/>
    <w:rsid w:val="4A7D6573"/>
    <w:rsid w:val="4A861787"/>
    <w:rsid w:val="4A92284C"/>
    <w:rsid w:val="4AA1405E"/>
    <w:rsid w:val="4AEB1CB8"/>
    <w:rsid w:val="4AF32A2D"/>
    <w:rsid w:val="4B135458"/>
    <w:rsid w:val="4B147193"/>
    <w:rsid w:val="4B1556C7"/>
    <w:rsid w:val="4B1D152D"/>
    <w:rsid w:val="4B3652C6"/>
    <w:rsid w:val="4B3C1BC9"/>
    <w:rsid w:val="4B486267"/>
    <w:rsid w:val="4B494027"/>
    <w:rsid w:val="4B5B330B"/>
    <w:rsid w:val="4B62453E"/>
    <w:rsid w:val="4B6A4EBC"/>
    <w:rsid w:val="4B792D2F"/>
    <w:rsid w:val="4B7A6C5A"/>
    <w:rsid w:val="4B897789"/>
    <w:rsid w:val="4B990B66"/>
    <w:rsid w:val="4B9D293F"/>
    <w:rsid w:val="4BAA4DCE"/>
    <w:rsid w:val="4BD201F0"/>
    <w:rsid w:val="4BDB0CCE"/>
    <w:rsid w:val="4BDC40DC"/>
    <w:rsid w:val="4C0D4BF9"/>
    <w:rsid w:val="4C396201"/>
    <w:rsid w:val="4C4B699D"/>
    <w:rsid w:val="4C6F6296"/>
    <w:rsid w:val="4C935B3A"/>
    <w:rsid w:val="4C9D383B"/>
    <w:rsid w:val="4CA910ED"/>
    <w:rsid w:val="4CBD0827"/>
    <w:rsid w:val="4CBF5632"/>
    <w:rsid w:val="4CD436E2"/>
    <w:rsid w:val="4CF018B7"/>
    <w:rsid w:val="4D043746"/>
    <w:rsid w:val="4D405FB6"/>
    <w:rsid w:val="4D502340"/>
    <w:rsid w:val="4D75590C"/>
    <w:rsid w:val="4D870D81"/>
    <w:rsid w:val="4D8D72D7"/>
    <w:rsid w:val="4D9322F7"/>
    <w:rsid w:val="4D985196"/>
    <w:rsid w:val="4DD16F12"/>
    <w:rsid w:val="4DF634EA"/>
    <w:rsid w:val="4E131B24"/>
    <w:rsid w:val="4E1F3964"/>
    <w:rsid w:val="4E2A1383"/>
    <w:rsid w:val="4E39204D"/>
    <w:rsid w:val="4E3F11E5"/>
    <w:rsid w:val="4E637226"/>
    <w:rsid w:val="4E684A33"/>
    <w:rsid w:val="4E853C5F"/>
    <w:rsid w:val="4E970FDA"/>
    <w:rsid w:val="4EA5257F"/>
    <w:rsid w:val="4ECC00AA"/>
    <w:rsid w:val="4EEB7C4E"/>
    <w:rsid w:val="4F065A52"/>
    <w:rsid w:val="4F0D1780"/>
    <w:rsid w:val="4F32014F"/>
    <w:rsid w:val="4F535139"/>
    <w:rsid w:val="4F667FEA"/>
    <w:rsid w:val="4F6747D3"/>
    <w:rsid w:val="4F674FE2"/>
    <w:rsid w:val="4F700558"/>
    <w:rsid w:val="4F787814"/>
    <w:rsid w:val="4F9207EF"/>
    <w:rsid w:val="4F9F6CF5"/>
    <w:rsid w:val="4FC03B0A"/>
    <w:rsid w:val="4FCF1DED"/>
    <w:rsid w:val="4FD861C7"/>
    <w:rsid w:val="4FDE0813"/>
    <w:rsid w:val="4FE00420"/>
    <w:rsid w:val="4FE01FE5"/>
    <w:rsid w:val="4FE710C0"/>
    <w:rsid w:val="4FF753B5"/>
    <w:rsid w:val="5007155F"/>
    <w:rsid w:val="500C25B9"/>
    <w:rsid w:val="50163A63"/>
    <w:rsid w:val="502604B3"/>
    <w:rsid w:val="5045161E"/>
    <w:rsid w:val="504D7313"/>
    <w:rsid w:val="506A470D"/>
    <w:rsid w:val="50774C77"/>
    <w:rsid w:val="508302AF"/>
    <w:rsid w:val="508304EF"/>
    <w:rsid w:val="50A61610"/>
    <w:rsid w:val="50BC5CA9"/>
    <w:rsid w:val="50C8351C"/>
    <w:rsid w:val="50D04F09"/>
    <w:rsid w:val="50E43CFE"/>
    <w:rsid w:val="5101721E"/>
    <w:rsid w:val="51054037"/>
    <w:rsid w:val="51083494"/>
    <w:rsid w:val="511552EC"/>
    <w:rsid w:val="512B713D"/>
    <w:rsid w:val="51493243"/>
    <w:rsid w:val="51524B16"/>
    <w:rsid w:val="516A5DAC"/>
    <w:rsid w:val="517B4F01"/>
    <w:rsid w:val="51954DCB"/>
    <w:rsid w:val="51AE5E5D"/>
    <w:rsid w:val="51B301C3"/>
    <w:rsid w:val="51C036D6"/>
    <w:rsid w:val="51D757C0"/>
    <w:rsid w:val="51D95E45"/>
    <w:rsid w:val="51F3761D"/>
    <w:rsid w:val="51FB7080"/>
    <w:rsid w:val="52101BA6"/>
    <w:rsid w:val="52171E85"/>
    <w:rsid w:val="522C45E0"/>
    <w:rsid w:val="523F7E42"/>
    <w:rsid w:val="524C05D4"/>
    <w:rsid w:val="525A2504"/>
    <w:rsid w:val="52603884"/>
    <w:rsid w:val="5278094F"/>
    <w:rsid w:val="52783925"/>
    <w:rsid w:val="527C2318"/>
    <w:rsid w:val="52826353"/>
    <w:rsid w:val="528642F6"/>
    <w:rsid w:val="528B6A6C"/>
    <w:rsid w:val="528C4241"/>
    <w:rsid w:val="52B309E2"/>
    <w:rsid w:val="52B34C64"/>
    <w:rsid w:val="52B842EF"/>
    <w:rsid w:val="52D17816"/>
    <w:rsid w:val="52D63354"/>
    <w:rsid w:val="52EC11CB"/>
    <w:rsid w:val="52F755F7"/>
    <w:rsid w:val="532C5643"/>
    <w:rsid w:val="53305343"/>
    <w:rsid w:val="535B0C23"/>
    <w:rsid w:val="53777470"/>
    <w:rsid w:val="538A7B71"/>
    <w:rsid w:val="53947B04"/>
    <w:rsid w:val="53A81060"/>
    <w:rsid w:val="53C51FC8"/>
    <w:rsid w:val="540728A1"/>
    <w:rsid w:val="540D1C5C"/>
    <w:rsid w:val="542722EE"/>
    <w:rsid w:val="54374A2A"/>
    <w:rsid w:val="544F4724"/>
    <w:rsid w:val="545A641C"/>
    <w:rsid w:val="54755312"/>
    <w:rsid w:val="54991F8F"/>
    <w:rsid w:val="549E6942"/>
    <w:rsid w:val="54CD2DFD"/>
    <w:rsid w:val="54FC1AA3"/>
    <w:rsid w:val="550A6565"/>
    <w:rsid w:val="550B3F87"/>
    <w:rsid w:val="550E6C7D"/>
    <w:rsid w:val="55140685"/>
    <w:rsid w:val="55226F8D"/>
    <w:rsid w:val="552D548D"/>
    <w:rsid w:val="553F545C"/>
    <w:rsid w:val="55441E00"/>
    <w:rsid w:val="55447ABD"/>
    <w:rsid w:val="55543389"/>
    <w:rsid w:val="555D4D2B"/>
    <w:rsid w:val="557A1C97"/>
    <w:rsid w:val="55AD618B"/>
    <w:rsid w:val="55BC1684"/>
    <w:rsid w:val="55C51171"/>
    <w:rsid w:val="55E06C30"/>
    <w:rsid w:val="55F005E4"/>
    <w:rsid w:val="55FE762A"/>
    <w:rsid w:val="56163B6A"/>
    <w:rsid w:val="562135C9"/>
    <w:rsid w:val="5652429E"/>
    <w:rsid w:val="56647615"/>
    <w:rsid w:val="566D06F8"/>
    <w:rsid w:val="569D5CA9"/>
    <w:rsid w:val="56A760E5"/>
    <w:rsid w:val="56B32F05"/>
    <w:rsid w:val="56C153EC"/>
    <w:rsid w:val="56D97AFB"/>
    <w:rsid w:val="56E61DBB"/>
    <w:rsid w:val="56E82906"/>
    <w:rsid w:val="570C3519"/>
    <w:rsid w:val="57140C13"/>
    <w:rsid w:val="575D3E08"/>
    <w:rsid w:val="575E6DF7"/>
    <w:rsid w:val="578959D3"/>
    <w:rsid w:val="57A4097B"/>
    <w:rsid w:val="57B15E16"/>
    <w:rsid w:val="57B61A28"/>
    <w:rsid w:val="57B725D8"/>
    <w:rsid w:val="57C551E3"/>
    <w:rsid w:val="57CF2EAD"/>
    <w:rsid w:val="57D63F9E"/>
    <w:rsid w:val="57DF47C2"/>
    <w:rsid w:val="57E04C16"/>
    <w:rsid w:val="57E10282"/>
    <w:rsid w:val="57E10A18"/>
    <w:rsid w:val="57F610FA"/>
    <w:rsid w:val="57F97081"/>
    <w:rsid w:val="58054D73"/>
    <w:rsid w:val="582C6B97"/>
    <w:rsid w:val="58321906"/>
    <w:rsid w:val="585E1759"/>
    <w:rsid w:val="586817E4"/>
    <w:rsid w:val="586B78D8"/>
    <w:rsid w:val="58735841"/>
    <w:rsid w:val="588B067B"/>
    <w:rsid w:val="58B93B0C"/>
    <w:rsid w:val="58CF55AD"/>
    <w:rsid w:val="58D04950"/>
    <w:rsid w:val="58E80ED3"/>
    <w:rsid w:val="59132FC9"/>
    <w:rsid w:val="594A4983"/>
    <w:rsid w:val="594B44B2"/>
    <w:rsid w:val="59660025"/>
    <w:rsid w:val="59837277"/>
    <w:rsid w:val="59864F37"/>
    <w:rsid w:val="599E6BDB"/>
    <w:rsid w:val="59A94E13"/>
    <w:rsid w:val="59BA27C4"/>
    <w:rsid w:val="59C4514A"/>
    <w:rsid w:val="59C60070"/>
    <w:rsid w:val="59C77A85"/>
    <w:rsid w:val="59D413B8"/>
    <w:rsid w:val="59DB3EE9"/>
    <w:rsid w:val="59DB7B32"/>
    <w:rsid w:val="59DD105F"/>
    <w:rsid w:val="59FF1AE3"/>
    <w:rsid w:val="5A1164A2"/>
    <w:rsid w:val="5A1D47B4"/>
    <w:rsid w:val="5A4D6E61"/>
    <w:rsid w:val="5A6972A9"/>
    <w:rsid w:val="5A6F63BD"/>
    <w:rsid w:val="5A8A0AE5"/>
    <w:rsid w:val="5A8D2E03"/>
    <w:rsid w:val="5A8E53AC"/>
    <w:rsid w:val="5AA10C55"/>
    <w:rsid w:val="5ABF5647"/>
    <w:rsid w:val="5AC067C1"/>
    <w:rsid w:val="5AF557D6"/>
    <w:rsid w:val="5AFD1C69"/>
    <w:rsid w:val="5B107039"/>
    <w:rsid w:val="5B2C004A"/>
    <w:rsid w:val="5B522B29"/>
    <w:rsid w:val="5B567D98"/>
    <w:rsid w:val="5B5A6341"/>
    <w:rsid w:val="5B9000A0"/>
    <w:rsid w:val="5B903647"/>
    <w:rsid w:val="5B9B44DA"/>
    <w:rsid w:val="5BC21AD9"/>
    <w:rsid w:val="5BD13847"/>
    <w:rsid w:val="5BE616F3"/>
    <w:rsid w:val="5BFE5ECB"/>
    <w:rsid w:val="5C054583"/>
    <w:rsid w:val="5C074BFC"/>
    <w:rsid w:val="5C0C721B"/>
    <w:rsid w:val="5C0E1FA1"/>
    <w:rsid w:val="5C275553"/>
    <w:rsid w:val="5C415FB3"/>
    <w:rsid w:val="5C4D5BAC"/>
    <w:rsid w:val="5C54304E"/>
    <w:rsid w:val="5C575541"/>
    <w:rsid w:val="5C610B58"/>
    <w:rsid w:val="5C6D56ED"/>
    <w:rsid w:val="5CA11332"/>
    <w:rsid w:val="5CA46AC8"/>
    <w:rsid w:val="5CB744A8"/>
    <w:rsid w:val="5CD643B3"/>
    <w:rsid w:val="5CF05C2B"/>
    <w:rsid w:val="5D017E8E"/>
    <w:rsid w:val="5D0C0F7D"/>
    <w:rsid w:val="5D371D66"/>
    <w:rsid w:val="5D3F4307"/>
    <w:rsid w:val="5D4077EE"/>
    <w:rsid w:val="5D652D61"/>
    <w:rsid w:val="5D724ED8"/>
    <w:rsid w:val="5D79238A"/>
    <w:rsid w:val="5D795C4C"/>
    <w:rsid w:val="5D850D53"/>
    <w:rsid w:val="5D881975"/>
    <w:rsid w:val="5D8B5E38"/>
    <w:rsid w:val="5DA012CD"/>
    <w:rsid w:val="5DB1576E"/>
    <w:rsid w:val="5DB434FF"/>
    <w:rsid w:val="5DB92B11"/>
    <w:rsid w:val="5DCA02A9"/>
    <w:rsid w:val="5DCB1F86"/>
    <w:rsid w:val="5DD05607"/>
    <w:rsid w:val="5DF27452"/>
    <w:rsid w:val="5E1F7B76"/>
    <w:rsid w:val="5E4B6FE0"/>
    <w:rsid w:val="5E5460C4"/>
    <w:rsid w:val="5E73562F"/>
    <w:rsid w:val="5E8531E6"/>
    <w:rsid w:val="5E905B39"/>
    <w:rsid w:val="5E9C0565"/>
    <w:rsid w:val="5EA328EC"/>
    <w:rsid w:val="5EBB2812"/>
    <w:rsid w:val="5EBE40F6"/>
    <w:rsid w:val="5EC27F7D"/>
    <w:rsid w:val="5EDE233A"/>
    <w:rsid w:val="5EDF0ECB"/>
    <w:rsid w:val="5EE00E7A"/>
    <w:rsid w:val="5EE60887"/>
    <w:rsid w:val="5EEA5A85"/>
    <w:rsid w:val="5EF833BA"/>
    <w:rsid w:val="5EFB6FF5"/>
    <w:rsid w:val="5EFD32BF"/>
    <w:rsid w:val="5F047BC3"/>
    <w:rsid w:val="5F076B4E"/>
    <w:rsid w:val="5F126655"/>
    <w:rsid w:val="5F225B30"/>
    <w:rsid w:val="5F22731E"/>
    <w:rsid w:val="5F2F375B"/>
    <w:rsid w:val="5F380CA5"/>
    <w:rsid w:val="5F3A5B90"/>
    <w:rsid w:val="5F4204D1"/>
    <w:rsid w:val="5F437DD4"/>
    <w:rsid w:val="5F48614C"/>
    <w:rsid w:val="5F566CC1"/>
    <w:rsid w:val="5F575BE6"/>
    <w:rsid w:val="5F851308"/>
    <w:rsid w:val="5FB843FA"/>
    <w:rsid w:val="5FBC33E8"/>
    <w:rsid w:val="5FBF181F"/>
    <w:rsid w:val="5FC65213"/>
    <w:rsid w:val="5FD55C3C"/>
    <w:rsid w:val="5FD66A5E"/>
    <w:rsid w:val="5FD858B3"/>
    <w:rsid w:val="5FE13DFB"/>
    <w:rsid w:val="5FE9215F"/>
    <w:rsid w:val="5FEF5234"/>
    <w:rsid w:val="5FF562FF"/>
    <w:rsid w:val="601901FB"/>
    <w:rsid w:val="60227CB0"/>
    <w:rsid w:val="6023797A"/>
    <w:rsid w:val="602665F6"/>
    <w:rsid w:val="60280C61"/>
    <w:rsid w:val="602A2DA5"/>
    <w:rsid w:val="604460EE"/>
    <w:rsid w:val="60636625"/>
    <w:rsid w:val="60671914"/>
    <w:rsid w:val="606C08AE"/>
    <w:rsid w:val="60764834"/>
    <w:rsid w:val="608537C7"/>
    <w:rsid w:val="60A03723"/>
    <w:rsid w:val="60B5788C"/>
    <w:rsid w:val="60C53C98"/>
    <w:rsid w:val="61034502"/>
    <w:rsid w:val="610F20B6"/>
    <w:rsid w:val="61114121"/>
    <w:rsid w:val="615272A5"/>
    <w:rsid w:val="615554BA"/>
    <w:rsid w:val="61597EC3"/>
    <w:rsid w:val="616B08E8"/>
    <w:rsid w:val="6177172C"/>
    <w:rsid w:val="617722EB"/>
    <w:rsid w:val="61796A5B"/>
    <w:rsid w:val="618239FF"/>
    <w:rsid w:val="61A222F0"/>
    <w:rsid w:val="61BF242D"/>
    <w:rsid w:val="61C908C8"/>
    <w:rsid w:val="61D32381"/>
    <w:rsid w:val="61D92741"/>
    <w:rsid w:val="62122AA1"/>
    <w:rsid w:val="622D6ADD"/>
    <w:rsid w:val="625D6320"/>
    <w:rsid w:val="62936538"/>
    <w:rsid w:val="62982C0D"/>
    <w:rsid w:val="62A52046"/>
    <w:rsid w:val="62C34783"/>
    <w:rsid w:val="62DB1422"/>
    <w:rsid w:val="62E46272"/>
    <w:rsid w:val="62FC1F47"/>
    <w:rsid w:val="63135989"/>
    <w:rsid w:val="63240941"/>
    <w:rsid w:val="6337658B"/>
    <w:rsid w:val="63381258"/>
    <w:rsid w:val="633A1660"/>
    <w:rsid w:val="63432674"/>
    <w:rsid w:val="6347657C"/>
    <w:rsid w:val="636A3DFC"/>
    <w:rsid w:val="63914CE7"/>
    <w:rsid w:val="639A36E5"/>
    <w:rsid w:val="63A538C7"/>
    <w:rsid w:val="63A964C2"/>
    <w:rsid w:val="63C911B7"/>
    <w:rsid w:val="63D022A5"/>
    <w:rsid w:val="63E276F3"/>
    <w:rsid w:val="641B09AC"/>
    <w:rsid w:val="64207BDD"/>
    <w:rsid w:val="64241F26"/>
    <w:rsid w:val="64800636"/>
    <w:rsid w:val="649D3B1C"/>
    <w:rsid w:val="64BA5BE6"/>
    <w:rsid w:val="64C53F63"/>
    <w:rsid w:val="64CC6575"/>
    <w:rsid w:val="64CD73CD"/>
    <w:rsid w:val="64D04F0D"/>
    <w:rsid w:val="64D5423E"/>
    <w:rsid w:val="64FF2315"/>
    <w:rsid w:val="65142CC1"/>
    <w:rsid w:val="651E5E94"/>
    <w:rsid w:val="651F242C"/>
    <w:rsid w:val="65393BFE"/>
    <w:rsid w:val="653C1938"/>
    <w:rsid w:val="657725E9"/>
    <w:rsid w:val="65930332"/>
    <w:rsid w:val="65957FD8"/>
    <w:rsid w:val="65BC23C8"/>
    <w:rsid w:val="65DF43B0"/>
    <w:rsid w:val="65F05EA6"/>
    <w:rsid w:val="65FA2F10"/>
    <w:rsid w:val="661651F5"/>
    <w:rsid w:val="66170CCB"/>
    <w:rsid w:val="66356D6D"/>
    <w:rsid w:val="66425863"/>
    <w:rsid w:val="664513AC"/>
    <w:rsid w:val="665A729D"/>
    <w:rsid w:val="66616A64"/>
    <w:rsid w:val="66625F27"/>
    <w:rsid w:val="667674A8"/>
    <w:rsid w:val="667F60C9"/>
    <w:rsid w:val="66832931"/>
    <w:rsid w:val="66836A3F"/>
    <w:rsid w:val="66840988"/>
    <w:rsid w:val="668B262C"/>
    <w:rsid w:val="66A339B1"/>
    <w:rsid w:val="66B5037E"/>
    <w:rsid w:val="66BA1A79"/>
    <w:rsid w:val="66C01ED2"/>
    <w:rsid w:val="66D161B8"/>
    <w:rsid w:val="66EC2796"/>
    <w:rsid w:val="67056B5C"/>
    <w:rsid w:val="670A56FB"/>
    <w:rsid w:val="6716125E"/>
    <w:rsid w:val="673242B9"/>
    <w:rsid w:val="673F2EE3"/>
    <w:rsid w:val="6741768B"/>
    <w:rsid w:val="674214A0"/>
    <w:rsid w:val="675033C0"/>
    <w:rsid w:val="675107A4"/>
    <w:rsid w:val="675251A2"/>
    <w:rsid w:val="67760531"/>
    <w:rsid w:val="67783D88"/>
    <w:rsid w:val="679F302F"/>
    <w:rsid w:val="67A26DCC"/>
    <w:rsid w:val="67A459C2"/>
    <w:rsid w:val="67B00BBE"/>
    <w:rsid w:val="67B844AA"/>
    <w:rsid w:val="67F90FFD"/>
    <w:rsid w:val="680240FD"/>
    <w:rsid w:val="681729B2"/>
    <w:rsid w:val="681C4375"/>
    <w:rsid w:val="6820759B"/>
    <w:rsid w:val="68293FBD"/>
    <w:rsid w:val="682C5C7D"/>
    <w:rsid w:val="683F6B0E"/>
    <w:rsid w:val="68515AE5"/>
    <w:rsid w:val="685A0A9B"/>
    <w:rsid w:val="68655A58"/>
    <w:rsid w:val="688F5ACF"/>
    <w:rsid w:val="688F7C7E"/>
    <w:rsid w:val="689A12EE"/>
    <w:rsid w:val="689C2DA1"/>
    <w:rsid w:val="68A76AA6"/>
    <w:rsid w:val="68AA41EF"/>
    <w:rsid w:val="68CC0823"/>
    <w:rsid w:val="68D542A3"/>
    <w:rsid w:val="68DE319C"/>
    <w:rsid w:val="68F166D7"/>
    <w:rsid w:val="68FD54FF"/>
    <w:rsid w:val="693574CA"/>
    <w:rsid w:val="693A174A"/>
    <w:rsid w:val="69556D97"/>
    <w:rsid w:val="69592F37"/>
    <w:rsid w:val="69605096"/>
    <w:rsid w:val="6978083C"/>
    <w:rsid w:val="697868BA"/>
    <w:rsid w:val="69987260"/>
    <w:rsid w:val="69B679A2"/>
    <w:rsid w:val="69C127FB"/>
    <w:rsid w:val="69C74F96"/>
    <w:rsid w:val="69D17399"/>
    <w:rsid w:val="69DD7ED8"/>
    <w:rsid w:val="69F017EC"/>
    <w:rsid w:val="6A041BC0"/>
    <w:rsid w:val="6A3134D7"/>
    <w:rsid w:val="6A437E23"/>
    <w:rsid w:val="6A52572E"/>
    <w:rsid w:val="6A5B0A47"/>
    <w:rsid w:val="6A704AD9"/>
    <w:rsid w:val="6A7F3DFE"/>
    <w:rsid w:val="6A864681"/>
    <w:rsid w:val="6A8B4EB2"/>
    <w:rsid w:val="6A8D70DE"/>
    <w:rsid w:val="6A916B75"/>
    <w:rsid w:val="6A9916DC"/>
    <w:rsid w:val="6AA575F8"/>
    <w:rsid w:val="6AB46AC7"/>
    <w:rsid w:val="6ACC0C94"/>
    <w:rsid w:val="6ADF5164"/>
    <w:rsid w:val="6AEC109D"/>
    <w:rsid w:val="6AEE6D0A"/>
    <w:rsid w:val="6AEF08DD"/>
    <w:rsid w:val="6AFF272E"/>
    <w:rsid w:val="6B0611BC"/>
    <w:rsid w:val="6B065E84"/>
    <w:rsid w:val="6B192A29"/>
    <w:rsid w:val="6B2118A3"/>
    <w:rsid w:val="6B2E654C"/>
    <w:rsid w:val="6B494415"/>
    <w:rsid w:val="6B5318D1"/>
    <w:rsid w:val="6B5578F5"/>
    <w:rsid w:val="6B5829F9"/>
    <w:rsid w:val="6B5B0623"/>
    <w:rsid w:val="6B6F14F2"/>
    <w:rsid w:val="6B781B54"/>
    <w:rsid w:val="6B8219E5"/>
    <w:rsid w:val="6B900044"/>
    <w:rsid w:val="6BA36DCB"/>
    <w:rsid w:val="6BDD130F"/>
    <w:rsid w:val="6BE447FB"/>
    <w:rsid w:val="6C181DDE"/>
    <w:rsid w:val="6C2C121B"/>
    <w:rsid w:val="6C6E1DAC"/>
    <w:rsid w:val="6C8062EC"/>
    <w:rsid w:val="6C8C7F87"/>
    <w:rsid w:val="6C9460CE"/>
    <w:rsid w:val="6C9D5743"/>
    <w:rsid w:val="6C9F3D9E"/>
    <w:rsid w:val="6C9F6240"/>
    <w:rsid w:val="6CAB07AF"/>
    <w:rsid w:val="6CAF304F"/>
    <w:rsid w:val="6CB8067C"/>
    <w:rsid w:val="6CBC4747"/>
    <w:rsid w:val="6CE267A4"/>
    <w:rsid w:val="6CE26DB7"/>
    <w:rsid w:val="6CE41BD1"/>
    <w:rsid w:val="6CEB6460"/>
    <w:rsid w:val="6D037748"/>
    <w:rsid w:val="6D0863E8"/>
    <w:rsid w:val="6D0D06AB"/>
    <w:rsid w:val="6D1353A0"/>
    <w:rsid w:val="6D137B0E"/>
    <w:rsid w:val="6D1C44A2"/>
    <w:rsid w:val="6D2F6662"/>
    <w:rsid w:val="6D396A71"/>
    <w:rsid w:val="6D4669A0"/>
    <w:rsid w:val="6D5F126C"/>
    <w:rsid w:val="6D961B6A"/>
    <w:rsid w:val="6DA04048"/>
    <w:rsid w:val="6DB449D7"/>
    <w:rsid w:val="6DD66781"/>
    <w:rsid w:val="6DF4693F"/>
    <w:rsid w:val="6E035019"/>
    <w:rsid w:val="6E084EE2"/>
    <w:rsid w:val="6E0A59CB"/>
    <w:rsid w:val="6E174DE0"/>
    <w:rsid w:val="6E2773CA"/>
    <w:rsid w:val="6E394636"/>
    <w:rsid w:val="6E3E614A"/>
    <w:rsid w:val="6E400632"/>
    <w:rsid w:val="6E492579"/>
    <w:rsid w:val="6E4A4582"/>
    <w:rsid w:val="6E5F5A09"/>
    <w:rsid w:val="6E774098"/>
    <w:rsid w:val="6EAA3C44"/>
    <w:rsid w:val="6EAB5ACE"/>
    <w:rsid w:val="6EB67906"/>
    <w:rsid w:val="6EC438AB"/>
    <w:rsid w:val="6EEA56BC"/>
    <w:rsid w:val="6EED76CA"/>
    <w:rsid w:val="6EFB1E81"/>
    <w:rsid w:val="6F0E5BB7"/>
    <w:rsid w:val="6F2D7C45"/>
    <w:rsid w:val="6F2F5A93"/>
    <w:rsid w:val="6F4C3962"/>
    <w:rsid w:val="6F4D667F"/>
    <w:rsid w:val="6F5B430E"/>
    <w:rsid w:val="6F654945"/>
    <w:rsid w:val="6F884E95"/>
    <w:rsid w:val="6F893ECF"/>
    <w:rsid w:val="6F9F785E"/>
    <w:rsid w:val="6FA00221"/>
    <w:rsid w:val="6FA15072"/>
    <w:rsid w:val="6FA824AC"/>
    <w:rsid w:val="6FAF7AB6"/>
    <w:rsid w:val="6FC4447C"/>
    <w:rsid w:val="6FDC7F7A"/>
    <w:rsid w:val="6FDD2D88"/>
    <w:rsid w:val="6FE20D80"/>
    <w:rsid w:val="6FE514E8"/>
    <w:rsid w:val="6FF74231"/>
    <w:rsid w:val="700B4E4F"/>
    <w:rsid w:val="70222901"/>
    <w:rsid w:val="704C2EB1"/>
    <w:rsid w:val="70623976"/>
    <w:rsid w:val="7083706C"/>
    <w:rsid w:val="708945CA"/>
    <w:rsid w:val="70912FDF"/>
    <w:rsid w:val="709A7EBF"/>
    <w:rsid w:val="70AB7406"/>
    <w:rsid w:val="70BE0431"/>
    <w:rsid w:val="70FE21C6"/>
    <w:rsid w:val="710D2969"/>
    <w:rsid w:val="712B00D1"/>
    <w:rsid w:val="712B3F4F"/>
    <w:rsid w:val="71383046"/>
    <w:rsid w:val="713E2BC7"/>
    <w:rsid w:val="714945A6"/>
    <w:rsid w:val="71593C12"/>
    <w:rsid w:val="7165065B"/>
    <w:rsid w:val="71655D9A"/>
    <w:rsid w:val="71771A80"/>
    <w:rsid w:val="71792700"/>
    <w:rsid w:val="71792857"/>
    <w:rsid w:val="718254C5"/>
    <w:rsid w:val="719D4CFC"/>
    <w:rsid w:val="71B55386"/>
    <w:rsid w:val="71B85671"/>
    <w:rsid w:val="71DD1DF2"/>
    <w:rsid w:val="71E9171C"/>
    <w:rsid w:val="71FA7E9B"/>
    <w:rsid w:val="72090470"/>
    <w:rsid w:val="722B5109"/>
    <w:rsid w:val="7233593C"/>
    <w:rsid w:val="723458BE"/>
    <w:rsid w:val="724E0D0E"/>
    <w:rsid w:val="72584870"/>
    <w:rsid w:val="727A53C8"/>
    <w:rsid w:val="728F6D86"/>
    <w:rsid w:val="729B2135"/>
    <w:rsid w:val="72C709A1"/>
    <w:rsid w:val="72C83B28"/>
    <w:rsid w:val="72CD7F4C"/>
    <w:rsid w:val="72DD2A51"/>
    <w:rsid w:val="72FB7AB5"/>
    <w:rsid w:val="73194BF9"/>
    <w:rsid w:val="73253A26"/>
    <w:rsid w:val="733E188C"/>
    <w:rsid w:val="7355320E"/>
    <w:rsid w:val="73575364"/>
    <w:rsid w:val="735E6AA6"/>
    <w:rsid w:val="7375259B"/>
    <w:rsid w:val="737B7FFF"/>
    <w:rsid w:val="73B10FC1"/>
    <w:rsid w:val="73C428C1"/>
    <w:rsid w:val="73C430A0"/>
    <w:rsid w:val="73CB538A"/>
    <w:rsid w:val="73E32554"/>
    <w:rsid w:val="73E821D4"/>
    <w:rsid w:val="74043664"/>
    <w:rsid w:val="740A4783"/>
    <w:rsid w:val="740C0010"/>
    <w:rsid w:val="74110767"/>
    <w:rsid w:val="74112EA8"/>
    <w:rsid w:val="743158F3"/>
    <w:rsid w:val="743832BD"/>
    <w:rsid w:val="7451766C"/>
    <w:rsid w:val="745D1274"/>
    <w:rsid w:val="746F06FF"/>
    <w:rsid w:val="748267C6"/>
    <w:rsid w:val="74874E52"/>
    <w:rsid w:val="749A2B60"/>
    <w:rsid w:val="74C64031"/>
    <w:rsid w:val="74F7002D"/>
    <w:rsid w:val="75207B29"/>
    <w:rsid w:val="754A2E68"/>
    <w:rsid w:val="754C5433"/>
    <w:rsid w:val="755F387D"/>
    <w:rsid w:val="75632A29"/>
    <w:rsid w:val="756B62FA"/>
    <w:rsid w:val="757973C6"/>
    <w:rsid w:val="75870319"/>
    <w:rsid w:val="759157B4"/>
    <w:rsid w:val="75916EEA"/>
    <w:rsid w:val="75A43FB3"/>
    <w:rsid w:val="75A80E5C"/>
    <w:rsid w:val="75B20A5B"/>
    <w:rsid w:val="75C0584D"/>
    <w:rsid w:val="75CC4EB4"/>
    <w:rsid w:val="75D30655"/>
    <w:rsid w:val="75EE0425"/>
    <w:rsid w:val="76261B5A"/>
    <w:rsid w:val="76326FFA"/>
    <w:rsid w:val="76340F9B"/>
    <w:rsid w:val="76362102"/>
    <w:rsid w:val="76396065"/>
    <w:rsid w:val="765359F1"/>
    <w:rsid w:val="7671410E"/>
    <w:rsid w:val="76A715AA"/>
    <w:rsid w:val="76A93DF2"/>
    <w:rsid w:val="76B0593D"/>
    <w:rsid w:val="76BC5DCC"/>
    <w:rsid w:val="76C13DE7"/>
    <w:rsid w:val="76C864FA"/>
    <w:rsid w:val="76D3007E"/>
    <w:rsid w:val="76D84EE0"/>
    <w:rsid w:val="76D923B4"/>
    <w:rsid w:val="76DC7998"/>
    <w:rsid w:val="76E631D3"/>
    <w:rsid w:val="76E964ED"/>
    <w:rsid w:val="76F66A11"/>
    <w:rsid w:val="77280615"/>
    <w:rsid w:val="772F5646"/>
    <w:rsid w:val="77301166"/>
    <w:rsid w:val="77450687"/>
    <w:rsid w:val="77485DC1"/>
    <w:rsid w:val="77583AF0"/>
    <w:rsid w:val="7766173B"/>
    <w:rsid w:val="77711F47"/>
    <w:rsid w:val="778C59CF"/>
    <w:rsid w:val="779206BB"/>
    <w:rsid w:val="77AA1C81"/>
    <w:rsid w:val="77B22529"/>
    <w:rsid w:val="77B4330D"/>
    <w:rsid w:val="77C36C67"/>
    <w:rsid w:val="77C8129E"/>
    <w:rsid w:val="77D4617E"/>
    <w:rsid w:val="77DA7C81"/>
    <w:rsid w:val="77DE3E8D"/>
    <w:rsid w:val="780E536D"/>
    <w:rsid w:val="783F4A9F"/>
    <w:rsid w:val="785A0DB1"/>
    <w:rsid w:val="785F3693"/>
    <w:rsid w:val="78756100"/>
    <w:rsid w:val="787D5686"/>
    <w:rsid w:val="78846B58"/>
    <w:rsid w:val="788E0C1D"/>
    <w:rsid w:val="78BB24E8"/>
    <w:rsid w:val="78C07F1E"/>
    <w:rsid w:val="78C41CC2"/>
    <w:rsid w:val="78CB4E13"/>
    <w:rsid w:val="78D6168F"/>
    <w:rsid w:val="79066389"/>
    <w:rsid w:val="790A70CA"/>
    <w:rsid w:val="79157696"/>
    <w:rsid w:val="792D4F71"/>
    <w:rsid w:val="7948429A"/>
    <w:rsid w:val="795C7FF5"/>
    <w:rsid w:val="7964185A"/>
    <w:rsid w:val="797E5512"/>
    <w:rsid w:val="799310EB"/>
    <w:rsid w:val="79D60053"/>
    <w:rsid w:val="79E958BD"/>
    <w:rsid w:val="79F95C6D"/>
    <w:rsid w:val="7A1601F8"/>
    <w:rsid w:val="7A3A4611"/>
    <w:rsid w:val="7A7905BB"/>
    <w:rsid w:val="7AA15B2F"/>
    <w:rsid w:val="7AFD6121"/>
    <w:rsid w:val="7B011A54"/>
    <w:rsid w:val="7B0C6B9C"/>
    <w:rsid w:val="7B14425C"/>
    <w:rsid w:val="7B234F60"/>
    <w:rsid w:val="7B2910FA"/>
    <w:rsid w:val="7B2D04EA"/>
    <w:rsid w:val="7B422DAA"/>
    <w:rsid w:val="7B4C7C89"/>
    <w:rsid w:val="7B60147E"/>
    <w:rsid w:val="7B7D3205"/>
    <w:rsid w:val="7BA1196D"/>
    <w:rsid w:val="7BD54046"/>
    <w:rsid w:val="7BEC2E8A"/>
    <w:rsid w:val="7BEF5B5F"/>
    <w:rsid w:val="7BFC7E72"/>
    <w:rsid w:val="7C0D1637"/>
    <w:rsid w:val="7C353A06"/>
    <w:rsid w:val="7C562E02"/>
    <w:rsid w:val="7C582F41"/>
    <w:rsid w:val="7C723E1C"/>
    <w:rsid w:val="7C7B03BD"/>
    <w:rsid w:val="7C8E5AD2"/>
    <w:rsid w:val="7C992B5D"/>
    <w:rsid w:val="7CA611F6"/>
    <w:rsid w:val="7CB67B32"/>
    <w:rsid w:val="7CB70341"/>
    <w:rsid w:val="7CC4597B"/>
    <w:rsid w:val="7CCE42B5"/>
    <w:rsid w:val="7CFF3506"/>
    <w:rsid w:val="7D246F93"/>
    <w:rsid w:val="7D3136DA"/>
    <w:rsid w:val="7D3943C9"/>
    <w:rsid w:val="7D4A270F"/>
    <w:rsid w:val="7D5A04F3"/>
    <w:rsid w:val="7D5C2388"/>
    <w:rsid w:val="7D7076DB"/>
    <w:rsid w:val="7D732173"/>
    <w:rsid w:val="7D761877"/>
    <w:rsid w:val="7D804EC7"/>
    <w:rsid w:val="7D81074D"/>
    <w:rsid w:val="7DBA4D71"/>
    <w:rsid w:val="7DD111DB"/>
    <w:rsid w:val="7DD91E49"/>
    <w:rsid w:val="7DEE4ECA"/>
    <w:rsid w:val="7E136100"/>
    <w:rsid w:val="7E465CE5"/>
    <w:rsid w:val="7E69609B"/>
    <w:rsid w:val="7E6E6856"/>
    <w:rsid w:val="7E816B73"/>
    <w:rsid w:val="7EA00C5A"/>
    <w:rsid w:val="7EA209B7"/>
    <w:rsid w:val="7EB23C5A"/>
    <w:rsid w:val="7EBC6F51"/>
    <w:rsid w:val="7EBF55A8"/>
    <w:rsid w:val="7EC546E7"/>
    <w:rsid w:val="7EC71024"/>
    <w:rsid w:val="7ED82FA9"/>
    <w:rsid w:val="7EED5CE9"/>
    <w:rsid w:val="7EF03963"/>
    <w:rsid w:val="7F0A41B9"/>
    <w:rsid w:val="7F1814C5"/>
    <w:rsid w:val="7F1C6A1B"/>
    <w:rsid w:val="7F206B1C"/>
    <w:rsid w:val="7F26431E"/>
    <w:rsid w:val="7F417E26"/>
    <w:rsid w:val="7F433504"/>
    <w:rsid w:val="7F4365A6"/>
    <w:rsid w:val="7F4671C5"/>
    <w:rsid w:val="7F5B1C7F"/>
    <w:rsid w:val="7F66009D"/>
    <w:rsid w:val="7F683C79"/>
    <w:rsid w:val="7F9635D5"/>
    <w:rsid w:val="7FBA385E"/>
    <w:rsid w:val="7FBB1AB2"/>
    <w:rsid w:val="7FCF1AC7"/>
    <w:rsid w:val="7FE03D47"/>
    <w:rsid w:val="7FEC6E26"/>
    <w:rsid w:val="7FF356A2"/>
    <w:rsid w:val="7FF457CC"/>
    <w:rsid w:val="7FF7425F"/>
    <w:rsid w:val="9EFF0ACE"/>
    <w:rsid w:val="FEE89D3F"/>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9"/>
    <w:qFormat/>
    <w:locked/>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7"/>
    <w:qFormat/>
    <w:uiPriority w:val="99"/>
    <w:pPr>
      <w:ind w:left="206"/>
      <w:jc w:val="left"/>
    </w:pPr>
    <w:rPr>
      <w:rFonts w:ascii="宋体" w:hAnsi="宋体"/>
      <w:kern w:val="0"/>
      <w:sz w:val="18"/>
      <w:szCs w:val="18"/>
      <w:lang w:eastAsia="en-US"/>
    </w:rPr>
  </w:style>
  <w:style w:type="paragraph" w:styleId="6">
    <w:name w:val="Document Map"/>
    <w:basedOn w:val="1"/>
    <w:link w:val="45"/>
    <w:semiHidden/>
    <w:unhideWhenUsed/>
    <w:qFormat/>
    <w:uiPriority w:val="99"/>
    <w:rPr>
      <w:rFonts w:ascii="宋体"/>
      <w:sz w:val="18"/>
      <w:szCs w:val="18"/>
    </w:rPr>
  </w:style>
  <w:style w:type="paragraph" w:styleId="7">
    <w:name w:val="annotation text"/>
    <w:basedOn w:val="1"/>
    <w:link w:val="30"/>
    <w:semiHidden/>
    <w:qFormat/>
    <w:uiPriority w:val="99"/>
    <w:pPr>
      <w:jc w:val="left"/>
    </w:pPr>
    <w:rPr>
      <w:kern w:val="0"/>
      <w:sz w:val="24"/>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7"/>
    <w:next w:val="7"/>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3"/>
    <w:qFormat/>
    <w:locked/>
    <w:uiPriority w:val="0"/>
    <w:rPr>
      <w:rFonts w:ascii="Calibri" w:hAnsi="Calibri" w:eastAsia="宋体" w:cs="Times New Roman"/>
      <w:b/>
      <w:bCs/>
      <w:kern w:val="44"/>
      <w:sz w:val="44"/>
      <w:szCs w:val="44"/>
    </w:rPr>
  </w:style>
  <w:style w:type="character" w:customStyle="1" w:styleId="27">
    <w:name w:val="标题 3 Char"/>
    <w:link w:val="5"/>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7"/>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6"/>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2"/>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character" w:customStyle="1" w:styleId="49">
    <w:name w:val="标题 2 Char"/>
    <w:basedOn w:val="23"/>
    <w:link w:val="4"/>
    <w:qFormat/>
    <w:uiPriority w:val="9"/>
    <w:rPr>
      <w:rFonts w:ascii="Cambria" w:hAnsi="Cambria" w:eastAsia="宋体" w:cs="Times New Roman"/>
      <w:b/>
      <w:bCs/>
      <w:kern w:val="2"/>
      <w:sz w:val="32"/>
      <w:szCs w:val="32"/>
    </w:rPr>
  </w:style>
  <w:style w:type="table" w:customStyle="1" w:styleId="50">
    <w:name w:val="网格型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2">
    <w:name w:val="List Paragraph"/>
    <w:basedOn w:val="1"/>
    <w:qFormat/>
    <w:uiPriority w:val="34"/>
    <w:pPr>
      <w:ind w:firstLine="420" w:firstLineChars="200"/>
    </w:pPr>
  </w:style>
  <w:style w:type="paragraph" w:customStyle="1" w:styleId="53">
    <w:name w:val="闻政正文"/>
    <w:basedOn w:val="1"/>
    <w:qFormat/>
    <w:uiPriority w:val="0"/>
    <w:pPr>
      <w:spacing w:line="500" w:lineRule="exact"/>
      <w:ind w:firstLine="560" w:firstLineChars="200"/>
    </w:pPr>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70</Pages>
  <Words>36751</Words>
  <Characters>41935</Characters>
  <Lines>194</Lines>
  <Paragraphs>54</Paragraphs>
  <TotalTime>0</TotalTime>
  <ScaleCrop>false</ScaleCrop>
  <LinksUpToDate>false</LinksUpToDate>
  <CharactersWithSpaces>42253</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2018-09-22T01:55:00Z</dcterms:created>
  <dc:creator>许志敏</dc:creator>
  <cp:lastModifiedBy>greatwall</cp:lastModifiedBy>
  <cp:lastPrinted>2018-12-11T02:43:00Z</cp:lastPrinted>
  <dcterms:modified xsi:type="dcterms:W3CDTF">2024-11-13T16:29:34Z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B21EC7A70A444ECF92A032005C42049E</vt:lpwstr>
  </property>
</Properties>
</file>