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983"/>
        <w:spacing w:before="111" w:line="220" w:lineRule="auto"/>
        <w:outlineLvl w:val="0"/>
        <w:rPr/>
      </w:pPr>
      <w:r>
        <w:rPr>
          <w:spacing w:val="-7"/>
        </w:rPr>
        <w:t>古 县 城 市 管 理 综 合</w:t>
      </w:r>
      <w:r>
        <w:rPr>
          <w:spacing w:val="-15"/>
        </w:rPr>
        <w:t xml:space="preserve"> </w:t>
      </w:r>
      <w:r>
        <w:rPr>
          <w:spacing w:val="-7"/>
        </w:rPr>
        <w:t>行</w:t>
      </w:r>
      <w:r>
        <w:rPr>
          <w:spacing w:val="-16"/>
        </w:rPr>
        <w:t xml:space="preserve"> </w:t>
      </w:r>
      <w:r>
        <w:rPr>
          <w:spacing w:val="-7"/>
        </w:rPr>
        <w:t>政</w:t>
      </w:r>
      <w:r>
        <w:rPr>
          <w:spacing w:val="-14"/>
        </w:rPr>
        <w:t xml:space="preserve"> </w:t>
      </w:r>
      <w:r>
        <w:rPr>
          <w:spacing w:val="-7"/>
        </w:rPr>
        <w:t>执 法 队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1491"/>
        <w:spacing w:before="110" w:line="217" w:lineRule="auto"/>
        <w:rPr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18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18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06" w:right="811" w:firstLine="11"/>
        <w:spacing w:before="27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1、受古县住房和城乡建设管理局委托，根据授权，依法统一行使住房和城乡建设领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域的行政处罚权以及与行政处罚相关的行政检查、行政强制权等执法职能。</w:t>
      </w:r>
    </w:p>
    <w:p>
      <w:pPr>
        <w:ind w:left="709" w:right="811" w:hanging="7"/>
        <w:spacing w:before="130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2、负责环境保护管理方面社会生活噪声污染、建筑</w:t>
      </w:r>
      <w:r>
        <w:rPr>
          <w:rFonts w:ascii="FangSong" w:hAnsi="FangSong" w:eastAsia="FangSong" w:cs="FangSong"/>
          <w:sz w:val="25"/>
          <w:szCs w:val="25"/>
          <w:spacing w:val="1"/>
        </w:rPr>
        <w:t>施工噪声污染、建筑施工扬尘污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染、餐饮服务业油烟污染、露天烧烤污染、城市焚烧沥青塑料垃圾等烟尘和恶臭污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染、露天焚烧秸秆落叶等烟尘污染、燃放烟花爆竹污染等的执法查处。</w:t>
      </w:r>
    </w:p>
    <w:p>
      <w:pPr>
        <w:ind w:left="704"/>
        <w:spacing w:before="131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3、负责交通管理方面侵占城市道路、非机动车违法停放等的执法查处。</w:t>
      </w:r>
    </w:p>
    <w:p>
      <w:pPr>
        <w:ind w:left="734" w:right="811" w:hanging="36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4、负责市场监管方面户外公共场所无照经营、违规设置户外</w:t>
      </w:r>
      <w:r>
        <w:rPr>
          <w:rFonts w:ascii="FangSong" w:hAnsi="FangSong" w:eastAsia="FangSong" w:cs="FangSong"/>
          <w:sz w:val="25"/>
          <w:szCs w:val="25"/>
          <w:spacing w:val="1"/>
        </w:rPr>
        <w:t>广告、户外公共场所食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品销售、餐饮摊点无证经营等的执法查处。</w:t>
      </w:r>
    </w:p>
    <w:p>
      <w:pPr>
        <w:ind w:left="707" w:right="811" w:hanging="3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5、负责水务管理方面向城市河道倾倒废弃物和</w:t>
      </w:r>
      <w:r>
        <w:rPr>
          <w:rFonts w:ascii="FangSong" w:hAnsi="FangSong" w:eastAsia="FangSong" w:cs="FangSong"/>
          <w:sz w:val="25"/>
          <w:szCs w:val="25"/>
          <w:spacing w:val="1"/>
        </w:rPr>
        <w:t>垃圾及违规取土、城市河道违法建筑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物拆除等的执法查处。</w:t>
      </w:r>
    </w:p>
    <w:p>
      <w:pPr>
        <w:ind w:left="706" w:right="811" w:hanging="5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6、实施与上述范围内法律、法规、规章规定的行政处</w:t>
      </w:r>
      <w:r>
        <w:rPr>
          <w:rFonts w:ascii="FangSong" w:hAnsi="FangSong" w:eastAsia="FangSong" w:cs="FangSong"/>
          <w:sz w:val="25"/>
          <w:szCs w:val="25"/>
          <w:spacing w:val="1"/>
        </w:rPr>
        <w:t>罚权以及与之相关的行政检查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权，包括投诉举报的受理和行政处罚案件的立案、调查、处罚等。</w:t>
      </w:r>
    </w:p>
    <w:p>
      <w:pPr>
        <w:ind w:left="705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7、负责城市管理领域综合行政执法信用信息推送、网上公示、共享等工作。</w:t>
      </w:r>
    </w:p>
    <w:p>
      <w:pPr>
        <w:ind w:left="700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8、负责县级城市综合管理服务平台的运行、维护、任务派遣等工作。</w:t>
      </w:r>
    </w:p>
    <w:p>
      <w:pPr>
        <w:ind w:left="700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9、开展城市管理方面的法制宣传工作。</w:t>
      </w:r>
    </w:p>
    <w:p>
      <w:pPr>
        <w:ind w:left="71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10、承担上级交办的其他工作。</w:t>
      </w:r>
    </w:p>
    <w:p>
      <w:pPr>
        <w:ind w:left="1208"/>
        <w:spacing w:before="276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22" w:right="811" w:hanging="11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城市管理综合行政执法队根据主要职责内设4个股室，分别是办公室、市容市貌执法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队、建筑市场执法队、市政运营执法队。</w:t>
      </w:r>
    </w:p>
    <w:p>
      <w:pPr>
        <w:spacing w:line="30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部门名称：古县城市管理综合行政执法队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45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109.56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224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9.30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0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90.23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10.04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5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部门名称：古县城市管理综合行政执法队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9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"/>
              <w:spacing w:before="58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4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8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0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31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31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85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82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2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85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85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82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5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65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8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8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2" w:line="184" w:lineRule="auto"/>
              <w:rPr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93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93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城乡社区管理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2120104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/>
              <w:spacing w:before="66" w:line="219" w:lineRule="auto"/>
              <w:rPr/>
            </w:pPr>
            <w:r>
              <w:rPr>
                <w:color w:val="212529"/>
                <w:spacing w:val="-3"/>
              </w:rPr>
              <w:t>城管执法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93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93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93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93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94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67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94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48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7"/>
        <w:gridCol w:w="1283"/>
        <w:gridCol w:w="1331"/>
        <w:gridCol w:w="1331"/>
        <w:gridCol w:w="971"/>
        <w:gridCol w:w="563"/>
        <w:gridCol w:w="971"/>
        <w:gridCol w:w="989"/>
      </w:tblGrid>
      <w:tr>
        <w:trPr>
          <w:trHeight w:val="319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45" w:line="221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14" w:hRule="atLeast"/>
        </w:trPr>
        <w:tc>
          <w:tcPr>
            <w:tcW w:w="157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89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13" w:hRule="atLeast"/>
        </w:trPr>
        <w:tc>
          <w:tcPr>
            <w:tcW w:w="419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6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部门名称：古县城市管理综合行政执法队</w:t>
            </w:r>
          </w:p>
        </w:tc>
        <w:tc>
          <w:tcPr>
            <w:tcW w:w="230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63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0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925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3" w:hRule="atLeast"/>
        </w:trPr>
        <w:tc>
          <w:tcPr>
            <w:tcW w:w="2860" w:type="dxa"/>
            <w:vAlign w:val="top"/>
            <w:gridSpan w:val="2"/>
          </w:tcPr>
          <w:p>
            <w:pPr>
              <w:ind w:left="1227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15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9"/>
              <w:spacing w:before="215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215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 w:right="113"/>
              <w:spacing w:before="12" w:line="210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15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9" w:right="56" w:hanging="270"/>
              <w:spacing w:before="12" w:line="209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301"/>
              <w:spacing w:line="212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4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411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262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3"/>
              <w:spacing w:before="49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31" w:type="dxa"/>
            <w:vAlign w:val="top"/>
          </w:tcPr>
          <w:p>
            <w:pPr>
              <w:ind w:left="611"/>
              <w:spacing w:before="85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ind w:left="605"/>
              <w:spacing w:before="82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971" w:type="dxa"/>
            <w:vAlign w:val="top"/>
          </w:tcPr>
          <w:p>
            <w:pPr>
              <w:ind w:left="426"/>
              <w:spacing w:before="82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ind w:left="223"/>
              <w:spacing w:before="85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71" w:type="dxa"/>
            <w:vAlign w:val="top"/>
          </w:tcPr>
          <w:p>
            <w:pPr>
              <w:ind w:left="428"/>
              <w:spacing w:before="85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ind w:left="437"/>
              <w:spacing w:before="82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4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 w:right="196" w:firstLine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23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23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23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21201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 w:right="196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城乡社区管理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事务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2120104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3"/>
              </w:rPr>
              <w:t>城管执法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67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40"/>
          <w:pgMar w:top="610" w:right="600" w:bottom="311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部门名称：古县城市管理综合行政执法队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7" w:line="184" w:lineRule="auto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4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4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3"/>
              <w:spacing w:before="141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2"/>
              <w:spacing w:before="141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6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95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3" w:id="41"/>
            <w:bookmarkEnd w:id="41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8" w:line="184" w:lineRule="auto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610" w:right="600" w:bottom="311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0"/>
        <w:gridCol w:w="2746"/>
        <w:gridCol w:w="1630"/>
        <w:gridCol w:w="1487"/>
        <w:gridCol w:w="1313"/>
      </w:tblGrid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90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14" w:hRule="atLeast"/>
        </w:trPr>
        <w:tc>
          <w:tcPr>
            <w:tcW w:w="1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713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586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部门名称：古县城市管理综合行政执法队</w:t>
            </w:r>
          </w:p>
        </w:tc>
        <w:tc>
          <w:tcPr>
            <w:tcW w:w="1630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521"/>
              <w:spacing w:before="173" w:line="202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78"/>
              <w:spacing w:before="8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4" w:hRule="atLeast"/>
        </w:trPr>
        <w:tc>
          <w:tcPr>
            <w:tcW w:w="4586" w:type="dxa"/>
            <w:vAlign w:val="top"/>
            <w:gridSpan w:val="2"/>
          </w:tcPr>
          <w:p>
            <w:pPr>
              <w:ind w:left="2091"/>
              <w:spacing w:before="76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430" w:type="dxa"/>
            <w:vAlign w:val="top"/>
            <w:gridSpan w:val="3"/>
          </w:tcPr>
          <w:p>
            <w:pPr>
              <w:ind w:left="1833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ind w:left="537"/>
              <w:spacing w:before="6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746" w:type="dxa"/>
            <w:vAlign w:val="top"/>
          </w:tcPr>
          <w:p>
            <w:pPr>
              <w:ind w:left="989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30" w:type="dxa"/>
            <w:vAlign w:val="top"/>
          </w:tcPr>
          <w:p>
            <w:pPr>
              <w:ind w:left="615"/>
              <w:spacing w:before="6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87" w:type="dxa"/>
            <w:vAlign w:val="top"/>
          </w:tcPr>
          <w:p>
            <w:pPr>
              <w:ind w:left="368"/>
              <w:spacing w:before="6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13" w:type="dxa"/>
            <w:vAlign w:val="top"/>
          </w:tcPr>
          <w:p>
            <w:pPr>
              <w:ind w:left="276"/>
              <w:spacing w:before="6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13" w:hRule="atLeast"/>
        </w:trPr>
        <w:tc>
          <w:tcPr>
            <w:tcW w:w="4586" w:type="dxa"/>
            <w:vAlign w:val="top"/>
            <w:gridSpan w:val="2"/>
          </w:tcPr>
          <w:p>
            <w:pPr>
              <w:ind w:left="2089"/>
              <w:spacing w:before="6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765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5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97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2098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109.56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8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20" w:right="38" w:hanging="16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  <w:spacing w:val="7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9.30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9" w:line="184" w:lineRule="auto"/>
              <w:rPr/>
            </w:pPr>
            <w:r>
              <w:rPr>
                <w:color w:val="212529"/>
                <w:spacing w:val="-4"/>
              </w:rPr>
              <w:t>212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城乡社区支出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9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7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21201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城乡社区管理事务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9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7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2120104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3"/>
              </w:rPr>
              <w:t>城管执法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9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7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90.23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1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1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10.04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4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部门名称：古县城市管理综合行政执法队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100.63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4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8.93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5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38.71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1.75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7.59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2.05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4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29.79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9.30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4.50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0.50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10.04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1.28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2.25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0.60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100.63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768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8.93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部门名称：古县城市管理综合行政执法队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13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部门名称：古县城市管理综合行政执法队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0" w:right="79" w:hanging="9"/>
              <w:spacing w:before="4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部门名称：古县城市管理综合行政执法</w:t>
            </w:r>
            <w:r>
              <w:rPr>
                <w:sz w:val="14"/>
                <w:szCs w:val="14"/>
                <w:color w:val="212529"/>
                <w:spacing w:val="8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队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841"/>
        <w:spacing w:before="1" w:line="209" w:lineRule="auto"/>
        <w:rPr>
          <w:sz w:val="18"/>
          <w:szCs w:val="18"/>
        </w:rPr>
      </w:pPr>
      <w:r>
        <w:pict>
          <v:shape id="_x0000_s2" style="position:absolute;margin-left:13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4" style="position:absolute;margin-left:32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6" style="position:absolute;margin-left:16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8" style="position:absolute;margin-left:35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sz w:val="18"/>
          <w:szCs w:val="18"/>
          <w:color w:val="212529"/>
          <w:spacing w:val="-1"/>
        </w:rPr>
        <w:t>度结</w:t>
      </w:r>
    </w:p>
    <w:p>
      <w:pPr>
        <w:pStyle w:val="BodyText"/>
        <w:ind w:left="842"/>
        <w:spacing w:line="220" w:lineRule="auto"/>
        <w:rPr>
          <w:sz w:val="18"/>
          <w:szCs w:val="18"/>
        </w:rPr>
      </w:pPr>
      <w:r>
        <w:rPr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5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单位名称：古县城市管理综合行政执法队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16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42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6" w:right="937" w:firstLine="499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2023年度收入总计109.56万元，支出总计109.56万元。与上年相比，收入总计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增加15.30万元，增长16.23%，支出总计增加15.30万元，增长16.23%。主要原因</w:t>
      </w:r>
    </w:p>
    <w:p>
      <w:pPr>
        <w:ind w:left="707"/>
        <w:spacing w:before="40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是在职人员调资、公用经费增加。</w:t>
      </w:r>
    </w:p>
    <w:p>
      <w:pPr>
        <w:ind w:left="1202"/>
        <w:spacing w:before="13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2023年度收入合计109.56万元，其中：</w:t>
      </w:r>
    </w:p>
    <w:p>
      <w:pPr>
        <w:ind w:left="1212" w:right="4898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财政拨款收入109.56万元，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 w:right="6662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212" w:right="5654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10" w:right="5277" w:hanging="4"/>
        <w:spacing w:before="131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2023年度支出合计109.56万元，其中：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基本支出109.56万元，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</w:t>
      </w:r>
      <w:r>
        <w:rPr>
          <w:rFonts w:ascii="FangSong" w:hAnsi="FangSong" w:eastAsia="FangSong" w:cs="FangSong"/>
          <w:sz w:val="25"/>
          <w:szCs w:val="25"/>
          <w:spacing w:val="-3"/>
        </w:rPr>
        <w:t>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项目支出0万元，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0" w:right="6158" w:firstLine="2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4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09" w:right="988" w:firstLine="496"/>
        <w:spacing w:before="131" w:line="308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2023年度财政拨款收入总计109.56万元，支出总计109.56万元。与上年相比，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财政拨款收入总计增加15.30万元，增长16.23%；财政拨款支出总计增加15.30万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元，增长16.23%。主要原因是在职人员调资、公用经费增加。</w:t>
      </w:r>
    </w:p>
    <w:p>
      <w:pPr>
        <w:ind w:left="1204"/>
        <w:spacing w:before="4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717" w:right="1693" w:firstLine="488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2023年一般公共预算财政拨款决算支出109.</w:t>
      </w:r>
      <w:r>
        <w:rPr>
          <w:rFonts w:ascii="FangSong" w:hAnsi="FangSong" w:eastAsia="FangSong" w:cs="FangSong"/>
          <w:sz w:val="25"/>
          <w:szCs w:val="25"/>
          <w:spacing w:val="-1"/>
        </w:rPr>
        <w:t>56万元，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100.00%。与上年相比，一般公共预算财政拨款支出增加15.30万元，增长</w:t>
      </w:r>
    </w:p>
    <w:p>
      <w:pPr>
        <w:ind w:left="717"/>
        <w:spacing w:before="42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16.23%。主要原因是在职人员调资、公用经费增加。</w:t>
      </w:r>
    </w:p>
    <w:p>
      <w:pPr>
        <w:ind w:left="1221"/>
        <w:spacing w:before="13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210" w:right="1748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2023年度一般公共预算财政拨款支出109.56万元，主要用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社会保障和就业支出(类)9.30万元，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占比8.49%；</w:t>
      </w:r>
    </w:p>
    <w:p>
      <w:pPr>
        <w:ind w:left="1216"/>
        <w:spacing w:before="43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城乡社区支出(类)90.23万元，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占比82.35%；</w:t>
      </w:r>
    </w:p>
    <w:p>
      <w:pPr>
        <w:spacing w:line="224" w:lineRule="auto"/>
        <w:sectPr>
          <w:footerReference w:type="default" r:id="rId17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22" w:lineRule="auto"/>
        <w:rPr>
          <w:rFonts w:ascii="Arial"/>
          <w:sz w:val="21"/>
        </w:rPr>
      </w:pPr>
      <w:r/>
    </w:p>
    <w:p>
      <w:pPr>
        <w:ind w:left="1210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bookmarkStart w:name="bookmark41" w:id="61"/>
      <w:bookmarkEnd w:id="61"/>
      <w:r>
        <w:rPr>
          <w:rFonts w:ascii="FangSong" w:hAnsi="FangSong" w:eastAsia="FangSong" w:cs="FangSong"/>
          <w:sz w:val="25"/>
          <w:szCs w:val="25"/>
          <w:spacing w:val="-2"/>
        </w:rPr>
        <w:t>住房保障支出(类)10.04万元，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占比9.16%。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2023年度一般公共预算财政拨款支出年初预算106.57万元，支出决算109.56万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元，完成年初预算的102.81%。其中：</w:t>
      </w:r>
    </w:p>
    <w:p>
      <w:pPr>
        <w:ind w:left="700" w:right="811" w:firstLine="510"/>
        <w:spacing w:before="45" w:line="31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社会保障和就业支出年初预算10.75万元，支出决算9.3万元，完成年初预算的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86.51%，主要用于在职人员社会保险缴费。较上年决算8.34万元增加0.96万元，增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长11.51%，主要原因是社会保险缴费基</w:t>
      </w:r>
      <w:r>
        <w:rPr>
          <w:rFonts w:ascii="FangSong" w:hAnsi="FangSong" w:eastAsia="FangSong" w:cs="FangSong"/>
          <w:sz w:val="25"/>
          <w:szCs w:val="25"/>
          <w:spacing w:val="1"/>
        </w:rPr>
        <w:t>数资金；城乡社区支出年初预算87.07万元，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支出决算90.22万元，完成年初预算的</w:t>
      </w:r>
      <w:r>
        <w:rPr>
          <w:rFonts w:ascii="FangSong" w:hAnsi="FangSong" w:eastAsia="FangSong" w:cs="FangSong"/>
          <w:sz w:val="25"/>
          <w:szCs w:val="25"/>
          <w:spacing w:val="1"/>
        </w:rPr>
        <w:t>103.62%，主要用于在职人员的工资和公用经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费</w:t>
      </w:r>
      <w:r>
        <w:rPr>
          <w:rFonts w:ascii="FangSong" w:hAnsi="FangSong" w:eastAsia="FangSong" w:cs="FangSong"/>
          <w:sz w:val="25"/>
          <w:szCs w:val="25"/>
          <w:spacing w:val="3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。较上年决算77.33万元增加12.89万元，</w:t>
      </w:r>
      <w:r>
        <w:rPr>
          <w:rFonts w:ascii="FangSong" w:hAnsi="FangSong" w:eastAsia="FangSong" w:cs="FangSong"/>
          <w:sz w:val="25"/>
          <w:szCs w:val="25"/>
        </w:rPr>
        <w:t>增长16.67%，主要原因是人员调资；住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房保障支出年初预算8.75万元，支出决算10.04万元，完成年初预算的114.74%，主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要用于在职人员的住房公积金。较上年决算8.59万元增加1.45万元，增长16.88%，</w:t>
      </w:r>
    </w:p>
    <w:p>
      <w:pPr>
        <w:ind w:left="713"/>
        <w:spacing w:before="44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主要原因是公积金缴费基数增加。</w:t>
      </w:r>
    </w:p>
    <w:p>
      <w:pPr>
        <w:ind w:left="1205"/>
        <w:spacing w:before="128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2023年度财政拨款基本支出109.56万元，其中：</w:t>
      </w:r>
    </w:p>
    <w:p>
      <w:pPr>
        <w:ind w:left="698" w:right="811" w:firstLine="516"/>
        <w:spacing w:before="127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人员经费100.63万元，主要包括基本工资34.5万元、津贴补贴6.92万元、绩效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工资22.65万元、机关事业单位基本养老保险缴</w:t>
      </w:r>
      <w:r>
        <w:rPr>
          <w:rFonts w:ascii="FangSong" w:hAnsi="FangSong" w:eastAsia="FangSong" w:cs="FangSong"/>
          <w:sz w:val="25"/>
          <w:szCs w:val="25"/>
          <w:spacing w:val="1"/>
        </w:rPr>
        <w:t>费8.34万元、职工基本医疗保险缴费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4.22万元、其他社会保障缴费0.32万元、住房公积金8.59万元；</w:t>
      </w:r>
    </w:p>
    <w:p>
      <w:pPr>
        <w:ind w:left="709" w:right="850" w:firstLine="506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公用经费8.93万元，主要包括办公费2万元、印刷费1.8万元、邮电费0.5万元、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差旅费0.5万元、工会经费1.21万元、福利费2.11万元、其他交通费用0.6万元。</w:t>
      </w:r>
    </w:p>
    <w:p>
      <w:pPr>
        <w:ind w:left="1197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是：本单位无因公出国（境）费用支出；</w:t>
      </w:r>
    </w:p>
    <w:p>
      <w:pPr>
        <w:ind w:left="711" w:right="805" w:firstLine="504"/>
        <w:spacing w:before="4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单位无公务用车购置费用支出；</w:t>
      </w:r>
    </w:p>
    <w:p>
      <w:pPr>
        <w:ind w:left="707" w:right="1057" w:firstLine="50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是：本单位无公务用车运行维护费用支出；</w:t>
      </w:r>
    </w:p>
    <w:p>
      <w:pPr>
        <w:ind w:left="1216"/>
        <w:spacing w:before="45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</w:p>
    <w:p>
      <w:pPr>
        <w:spacing w:line="222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left="709"/>
        <w:spacing w:before="8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无公务接待费用支出。</w:t>
      </w:r>
    </w:p>
    <w:p>
      <w:pPr>
        <w:ind w:left="1221"/>
        <w:spacing w:before="13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732" w:right="781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因公出国（境）费用支出。</w:t>
      </w:r>
    </w:p>
    <w:p>
      <w:pPr>
        <w:ind w:left="707" w:right="793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位无公务用车购置费用支出。</w:t>
      </w:r>
    </w:p>
    <w:p>
      <w:pPr>
        <w:ind w:left="712" w:right="7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车，主要用于：本单位无公务用车运行维护费用</w:t>
      </w:r>
      <w:r>
        <w:rPr>
          <w:rFonts w:ascii="FangSong" w:hAnsi="FangSong" w:eastAsia="FangSong" w:cs="FangSong"/>
          <w:sz w:val="25"/>
          <w:szCs w:val="25"/>
        </w:rPr>
        <w:t>支出。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28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无国内接待费用支出；国（境）外接待费0万元，共接待国（境）外0批次，0人次，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主要是本单位无国（境）外接待费用支出。</w:t>
      </w:r>
    </w:p>
    <w:p>
      <w:pPr>
        <w:ind w:left="1201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6"/>
      <w:bookmarkEnd w:id="66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11" w:right="5726" w:firstLine="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805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他用车主要是本单位无其他用车；单价100万元（含）以上设备（不含车辆）0台</w:t>
      </w:r>
    </w:p>
    <w:p>
      <w:pPr>
        <w:ind w:left="707"/>
        <w:spacing w:before="46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221"/>
        <w:spacing w:before="124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15" w:right="1441" w:firstLine="490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2023年二级项目绩效自评个数1个，涉及资金8.93万元：1个项目自评等级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为“优</w:t>
      </w:r>
      <w:r>
        <w:rPr>
          <w:rFonts w:ascii="FangSong" w:hAnsi="FangSong" w:eastAsia="FangSong" w:cs="FangSong"/>
          <w:sz w:val="25"/>
          <w:szCs w:val="25"/>
          <w:spacing w:val="-8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”。</w:t>
      </w:r>
    </w:p>
    <w:p>
      <w:pPr>
        <w:ind w:left="1206" w:right="6482" w:firstLine="15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ind w:left="1214"/>
        <w:spacing w:before="4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无其他需要说明的事项。</w:t>
      </w:r>
    </w:p>
    <w:p>
      <w:pPr>
        <w:spacing w:line="223" w:lineRule="auto"/>
        <w:sectPr>
          <w:footerReference w:type="default" r:id="rId19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7"/>
      <w:bookmarkEnd w:id="67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13"/>
        <w:spacing w:before="165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十三、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社会保障和就业支出：指反映政府在社会保障与就业方面的支出。</w:t>
      </w:r>
    </w:p>
    <w:p>
      <w:pPr>
        <w:ind w:left="713"/>
        <w:spacing w:before="13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十四、城乡社区支出：指反映政府城乡社区事</w:t>
      </w:r>
      <w:r>
        <w:rPr>
          <w:rFonts w:ascii="FangSong" w:hAnsi="FangSong" w:eastAsia="FangSong" w:cs="FangSong"/>
          <w:sz w:val="25"/>
          <w:szCs w:val="25"/>
        </w:rPr>
        <w:t>务支出。</w:t>
      </w:r>
    </w:p>
    <w:p>
      <w:pPr>
        <w:ind w:left="713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十五、住房保障支出：指集中反映政府用于住房方面的支出。</w:t>
      </w:r>
    </w:p>
    <w:p>
      <w:pPr>
        <w:ind w:left="4529"/>
        <w:spacing w:before="167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68"/>
      <w:bookmarkEnd w:id="68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1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"/>
      <w:spacing w:before="1" w:line="210" w:lineRule="exact"/>
      <w:rPr>
        <w:sz w:val="16"/>
        <w:szCs w:val="16"/>
      </w:rPr>
    </w:pPr>
    <w:r>
      <w:rPr>
        <w:sz w:val="16"/>
        <w:szCs w:val="16"/>
        <w:spacing w:val="-2"/>
        <w:position w:val="1"/>
      </w:rPr>
      <w:t>古县城市管理综合行政执法队2023年单位决算公开报告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0"/>
      <w:spacing w:before="1" w:line="210" w:lineRule="exact"/>
      <w:rPr>
        <w:sz w:val="16"/>
        <w:szCs w:val="16"/>
      </w:rPr>
    </w:pPr>
    <w:r>
      <w:rPr>
        <w:sz w:val="16"/>
        <w:szCs w:val="16"/>
        <w:spacing w:val="-2"/>
        <w:position w:val="1"/>
      </w:rPr>
      <w:t>古县城市管理综合行政执法队2023年单位决算公开报告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5" Type="http://schemas.openxmlformats.org/officeDocument/2006/relationships/fontTable" Target="fontTable.xml"/><Relationship Id="rId24" Type="http://schemas.openxmlformats.org/officeDocument/2006/relationships/styles" Target="styles.xml"/><Relationship Id="rId23" Type="http://schemas.openxmlformats.org/officeDocument/2006/relationships/settings" Target="settings.xml"/><Relationship Id="rId22" Type="http://schemas.openxmlformats.org/officeDocument/2006/relationships/image" Target="media/image1.jpeg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2024-09-15T14:45:16Z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2024-09-20T10:41:34</vt:filetime>
  </property>
</Properties>
</file>