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lang w:eastAsia="zh-CN"/>
        </w:rPr>
        <w:t>古</w:t>
      </w:r>
      <w:r>
        <w:rPr>
          <w:rFonts w:hint="eastAsia" w:ascii="方正小标宋简体" w:hAnsi="方正小标宋简体" w:eastAsia="方正小标宋简体" w:cs="方正小标宋简体"/>
          <w:i w:val="0"/>
          <w:caps w:val="0"/>
          <w:color w:val="333333"/>
          <w:spacing w:val="0"/>
          <w:sz w:val="44"/>
          <w:szCs w:val="44"/>
          <w:shd w:val="clear" w:fill="FFFFFF"/>
        </w:rPr>
        <w:t>县人民政府办公室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333333"/>
          <w:spacing w:val="0"/>
          <w:sz w:val="44"/>
          <w:szCs w:val="44"/>
          <w:shd w:val="clear" w:fill="FFFFFF"/>
        </w:rPr>
        <w:t>2023年政府信息公开工作年度报告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微软雅黑" w:hAnsi="微软雅黑" w:eastAsia="微软雅黑" w:cs="微软雅黑"/>
          <w:i w:val="0"/>
          <w:caps w:val="0"/>
          <w:color w:val="333333"/>
          <w:spacing w:val="0"/>
          <w:sz w:val="24"/>
          <w:szCs w:val="24"/>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Fonts w:ascii="仿宋_GB2312" w:hAnsi="微软雅黑" w:eastAsia="仿宋_GB2312" w:cs="仿宋_GB2312"/>
          <w:i w:val="0"/>
          <w:caps w:val="0"/>
          <w:color w:val="333333"/>
          <w:spacing w:val="0"/>
          <w:sz w:val="31"/>
          <w:szCs w:val="31"/>
          <w:shd w:val="clear" w:fill="FFFFFF"/>
        </w:rPr>
        <w:t>根据《中华人民共和国政府信息公开条例》、《国务院办公厅政府信息与政务公开办公室关于政府信息公开工作年度报告有关事项的通知》以及省、市、</w:t>
      </w:r>
      <w:r>
        <w:rPr>
          <w:rFonts w:hint="eastAsia" w:ascii="仿宋_GB2312" w:hAnsi="微软雅黑" w:eastAsia="仿宋_GB2312" w:cs="仿宋_GB2312"/>
          <w:i w:val="0"/>
          <w:caps w:val="0"/>
          <w:color w:val="333333"/>
          <w:spacing w:val="0"/>
          <w:sz w:val="31"/>
          <w:szCs w:val="31"/>
          <w:shd w:val="clear" w:fill="FFFFFF"/>
        </w:rPr>
        <w:t>县有关规定，</w:t>
      </w:r>
      <w:r>
        <w:rPr>
          <w:rFonts w:hint="eastAsia" w:ascii="仿宋_GB2312" w:hAnsi="微软雅黑" w:eastAsia="仿宋_GB2312" w:cs="仿宋_GB2312"/>
          <w:i w:val="0"/>
          <w:caps w:val="0"/>
          <w:color w:val="333333"/>
          <w:spacing w:val="0"/>
          <w:sz w:val="31"/>
          <w:szCs w:val="31"/>
          <w:shd w:val="clear" w:fill="FFFFFF"/>
          <w:lang w:eastAsia="zh-CN"/>
        </w:rPr>
        <w:t>古</w:t>
      </w:r>
      <w:r>
        <w:rPr>
          <w:rFonts w:hint="eastAsia" w:ascii="仿宋_GB2312" w:hAnsi="微软雅黑" w:eastAsia="仿宋_GB2312" w:cs="仿宋_GB2312"/>
          <w:i w:val="0"/>
          <w:caps w:val="0"/>
          <w:color w:val="333333"/>
          <w:spacing w:val="0"/>
          <w:sz w:val="31"/>
          <w:szCs w:val="31"/>
          <w:shd w:val="clear" w:fill="FFFFFF"/>
        </w:rPr>
        <w:t>县政府办公室结合工作实际，编制了2023年政府信息公开工作年度报告。本报告中所列数据的统计时限为2023年1月1日至2023年12月31日。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黑体" w:hAnsi="黑体" w:eastAsia="黑体" w:cs="黑体"/>
          <w:i w:val="0"/>
          <w:caps w:val="0"/>
          <w:color w:val="333333"/>
          <w:spacing w:val="0"/>
          <w:sz w:val="32"/>
          <w:szCs w:val="32"/>
        </w:rPr>
      </w:pPr>
      <w:r>
        <w:rPr>
          <w:rFonts w:hint="eastAsia" w:ascii="黑体" w:hAnsi="黑体" w:eastAsia="黑体" w:cs="黑体"/>
          <w:i w:val="0"/>
          <w:caps w:val="0"/>
          <w:color w:val="333333"/>
          <w:spacing w:val="0"/>
          <w:sz w:val="32"/>
          <w:szCs w:val="32"/>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2023年</w:t>
      </w:r>
      <w:r>
        <w:rPr>
          <w:rFonts w:hint="eastAsia" w:ascii="仿宋_GB2312" w:hAnsi="微软雅黑" w:eastAsia="仿宋_GB2312" w:cs="仿宋_GB2312"/>
          <w:i w:val="0"/>
          <w:caps w:val="0"/>
          <w:color w:val="333333"/>
          <w:spacing w:val="0"/>
          <w:sz w:val="31"/>
          <w:szCs w:val="31"/>
          <w:shd w:val="clear" w:fill="FFFFFF"/>
          <w:lang w:eastAsia="zh-CN"/>
        </w:rPr>
        <w:t>古</w:t>
      </w:r>
      <w:r>
        <w:rPr>
          <w:rFonts w:hint="eastAsia" w:ascii="仿宋_GB2312" w:hAnsi="微软雅黑" w:eastAsia="仿宋_GB2312" w:cs="仿宋_GB2312"/>
          <w:i w:val="0"/>
          <w:caps w:val="0"/>
          <w:color w:val="333333"/>
          <w:spacing w:val="0"/>
          <w:sz w:val="31"/>
          <w:szCs w:val="31"/>
          <w:shd w:val="clear" w:fill="FFFFFF"/>
        </w:rPr>
        <w:t>县人民政府办公室严格按照国家和省、市关于全面推进政务公开工作的部署与要求，认真贯彻落实《中华人民共和国政府信息公开条例》，紧紧围绕人民群众关注关切建立健全政务公开制度体系，不断增强公开实效，积极推进政务公开各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Style w:val="6"/>
          <w:rFonts w:ascii="楷体_GB2312" w:hAnsi="微软雅黑" w:eastAsia="楷体_GB2312" w:cs="楷体_GB2312"/>
          <w:b/>
          <w:i w:val="0"/>
          <w:caps w:val="0"/>
          <w:color w:val="333333"/>
          <w:spacing w:val="0"/>
          <w:sz w:val="31"/>
          <w:szCs w:val="31"/>
          <w:shd w:val="clear" w:fill="FFFFFF"/>
        </w:rPr>
        <w:t>（一）主动公开方面。</w:t>
      </w:r>
      <w:r>
        <w:rPr>
          <w:rFonts w:hint="eastAsia" w:ascii="仿宋_GB2312" w:hAnsi="微软雅黑" w:eastAsia="仿宋_GB2312" w:cs="仿宋_GB2312"/>
          <w:i w:val="0"/>
          <w:caps w:val="0"/>
          <w:color w:val="333333"/>
          <w:spacing w:val="0"/>
          <w:sz w:val="31"/>
          <w:szCs w:val="31"/>
          <w:shd w:val="clear" w:fill="FFFFFF"/>
        </w:rPr>
        <w:t>严格按照政府信息公开相关规定及时主动公开政府信息，全年通过县政府门户网站主动公开县政府、县政府办公室制发的各类文件</w:t>
      </w:r>
      <w:r>
        <w:rPr>
          <w:rFonts w:hint="eastAsia" w:ascii="仿宋_GB2312" w:hAnsi="微软雅黑" w:eastAsia="仿宋_GB2312" w:cs="仿宋_GB2312"/>
          <w:i w:val="0"/>
          <w:caps w:val="0"/>
          <w:color w:val="333333"/>
          <w:spacing w:val="0"/>
          <w:sz w:val="31"/>
          <w:szCs w:val="31"/>
          <w:shd w:val="clear" w:fill="FFFFFF"/>
          <w:lang w:val="en-US" w:eastAsia="zh-CN"/>
        </w:rPr>
        <w:t>84</w:t>
      </w:r>
      <w:r>
        <w:rPr>
          <w:rFonts w:hint="eastAsia" w:ascii="仿宋_GB2312" w:hAnsi="微软雅黑" w:eastAsia="仿宋_GB2312" w:cs="仿宋_GB2312"/>
          <w:i w:val="0"/>
          <w:caps w:val="0"/>
          <w:color w:val="333333"/>
          <w:spacing w:val="0"/>
          <w:sz w:val="31"/>
          <w:szCs w:val="31"/>
          <w:shd w:val="clear" w:fill="FFFFFF"/>
        </w:rPr>
        <w:t>件，</w:t>
      </w:r>
      <w:r>
        <w:rPr>
          <w:rFonts w:hint="eastAsia" w:ascii="仿宋_GB2312" w:hAnsi="微软雅黑" w:eastAsia="仿宋_GB2312" w:cs="仿宋_GB2312"/>
          <w:i w:val="0"/>
          <w:caps w:val="0"/>
          <w:color w:val="333333"/>
          <w:spacing w:val="0"/>
          <w:sz w:val="31"/>
          <w:szCs w:val="31"/>
          <w:highlight w:val="none"/>
          <w:shd w:val="clear" w:fill="FFFFFF"/>
        </w:rPr>
        <w:t>发布与群众生产生活密切相关的各类信息1053条。积极通过政府</w:t>
      </w:r>
      <w:r>
        <w:rPr>
          <w:rFonts w:hint="eastAsia" w:ascii="仿宋_GB2312" w:hAnsi="微软雅黑" w:eastAsia="仿宋_GB2312" w:cs="仿宋_GB2312"/>
          <w:i w:val="0"/>
          <w:caps w:val="0"/>
          <w:color w:val="333333"/>
          <w:spacing w:val="0"/>
          <w:sz w:val="31"/>
          <w:szCs w:val="31"/>
          <w:shd w:val="clear" w:fill="FFFFFF"/>
        </w:rPr>
        <w:t>网站、政务新媒体等多渠道发布重大民生政策，有效精准地为广大群众提供政府信息。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Style w:val="6"/>
          <w:rFonts w:hint="eastAsia" w:ascii="楷体_GB2312" w:hAnsi="微软雅黑" w:eastAsia="楷体_GB2312" w:cs="楷体_GB2312"/>
          <w:b/>
          <w:i w:val="0"/>
          <w:caps w:val="0"/>
          <w:color w:val="333333"/>
          <w:spacing w:val="0"/>
          <w:sz w:val="31"/>
          <w:szCs w:val="31"/>
          <w:shd w:val="clear" w:fill="FFFFFF"/>
        </w:rPr>
        <w:t>（二）依申请公开方面。</w:t>
      </w:r>
      <w:r>
        <w:rPr>
          <w:rFonts w:hint="eastAsia" w:ascii="仿宋_GB2312" w:hAnsi="微软雅黑" w:eastAsia="仿宋_GB2312" w:cs="仿宋_GB2312"/>
          <w:i w:val="0"/>
          <w:caps w:val="0"/>
          <w:color w:val="333333"/>
          <w:spacing w:val="0"/>
          <w:sz w:val="31"/>
          <w:szCs w:val="31"/>
          <w:shd w:val="clear" w:fill="FFFFFF"/>
        </w:rPr>
        <w:t>坚持依法依规做好政府信息依申请公开工作，通过不断完善依申请公开制度，加强政府信息公开申请登记、办理、审核、答复、寄送、归档全流程管理，及时与申请人沟通联系，有效地保障了公众的合法权益。全年共受理信息公开申请</w:t>
      </w:r>
      <w:r>
        <w:rPr>
          <w:rFonts w:hint="eastAsia" w:ascii="仿宋_GB2312" w:hAnsi="微软雅黑" w:eastAsia="仿宋_GB2312" w:cs="仿宋_GB2312"/>
          <w:i w:val="0"/>
          <w:caps w:val="0"/>
          <w:color w:val="333333"/>
          <w:spacing w:val="0"/>
          <w:sz w:val="31"/>
          <w:szCs w:val="31"/>
          <w:shd w:val="clear" w:fill="FFFFFF"/>
          <w:lang w:val="en-US" w:eastAsia="zh-CN"/>
        </w:rPr>
        <w:t>1</w:t>
      </w:r>
      <w:r>
        <w:rPr>
          <w:rFonts w:hint="eastAsia" w:ascii="仿宋_GB2312" w:hAnsi="微软雅黑" w:eastAsia="仿宋_GB2312" w:cs="仿宋_GB2312"/>
          <w:i w:val="0"/>
          <w:caps w:val="0"/>
          <w:color w:val="333333"/>
          <w:spacing w:val="0"/>
          <w:sz w:val="31"/>
          <w:szCs w:val="31"/>
          <w:shd w:val="clear" w:fill="FFFFFF"/>
        </w:rPr>
        <w:t>件，法定期限答复</w:t>
      </w:r>
      <w:r>
        <w:rPr>
          <w:rFonts w:hint="eastAsia" w:ascii="仿宋_GB2312" w:hAnsi="微软雅黑" w:eastAsia="仿宋_GB2312" w:cs="仿宋_GB2312"/>
          <w:i w:val="0"/>
          <w:caps w:val="0"/>
          <w:color w:val="333333"/>
          <w:spacing w:val="0"/>
          <w:sz w:val="31"/>
          <w:szCs w:val="31"/>
          <w:shd w:val="clear" w:fill="FFFFFF"/>
          <w:lang w:val="en-US" w:eastAsia="zh-CN"/>
        </w:rPr>
        <w:t>1</w:t>
      </w:r>
      <w:r>
        <w:rPr>
          <w:rFonts w:hint="eastAsia" w:ascii="仿宋_GB2312" w:hAnsi="微软雅黑" w:eastAsia="仿宋_GB2312" w:cs="仿宋_GB2312"/>
          <w:i w:val="0"/>
          <w:caps w:val="0"/>
          <w:color w:val="333333"/>
          <w:spacing w:val="0"/>
          <w:sz w:val="31"/>
          <w:szCs w:val="31"/>
          <w:shd w:val="clear" w:fill="FFFFFF"/>
        </w:rPr>
        <w:t>件，做到了答复内容严谨、形式规范。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Style w:val="6"/>
          <w:rFonts w:hint="eastAsia" w:ascii="楷体_GB2312" w:hAnsi="微软雅黑" w:eastAsia="楷体_GB2312" w:cs="楷体_GB2312"/>
          <w:b/>
          <w:i w:val="0"/>
          <w:caps w:val="0"/>
          <w:color w:val="333333"/>
          <w:spacing w:val="0"/>
          <w:sz w:val="31"/>
          <w:szCs w:val="31"/>
          <w:shd w:val="clear" w:fill="FFFFFF"/>
        </w:rPr>
        <w:t>（三）政府信息管理方面。</w:t>
      </w:r>
      <w:r>
        <w:rPr>
          <w:rFonts w:hint="eastAsia" w:ascii="仿宋_GB2312" w:hAnsi="微软雅黑" w:eastAsia="仿宋_GB2312" w:cs="仿宋_GB2312"/>
          <w:i w:val="0"/>
          <w:caps w:val="0"/>
          <w:color w:val="333333"/>
          <w:spacing w:val="0"/>
          <w:sz w:val="31"/>
          <w:szCs w:val="31"/>
          <w:shd w:val="clear" w:fill="FFFFFF"/>
        </w:rPr>
        <w:t>持续规范县政府和县政府办公室文件的公开及解读属性认定，紧紧围绕政务公开、政务服务、政民互动、解读回应等功能定位，进一步扩大主动公开范围，加大对政策性文件的宣传解读力度。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333333"/>
          <w:spacing w:val="0"/>
          <w:sz w:val="24"/>
          <w:szCs w:val="24"/>
          <w:highlight w:val="none"/>
        </w:rPr>
      </w:pPr>
      <w:r>
        <w:rPr>
          <w:rStyle w:val="6"/>
          <w:rFonts w:hint="eastAsia" w:ascii="楷体_GB2312" w:hAnsi="微软雅黑" w:eastAsia="楷体_GB2312" w:cs="楷体_GB2312"/>
          <w:b/>
          <w:i w:val="0"/>
          <w:caps w:val="0"/>
          <w:color w:val="333333"/>
          <w:spacing w:val="0"/>
          <w:sz w:val="31"/>
          <w:szCs w:val="31"/>
          <w:shd w:val="clear" w:fill="FFFFFF"/>
        </w:rPr>
        <w:t>（四）平台建设方面。</w:t>
      </w:r>
      <w:r>
        <w:rPr>
          <w:rFonts w:hint="eastAsia" w:ascii="仿宋_GB2312" w:hAnsi="微软雅黑" w:eastAsia="仿宋_GB2312" w:cs="仿宋_GB2312"/>
          <w:i w:val="0"/>
          <w:caps w:val="0"/>
          <w:color w:val="333333"/>
          <w:spacing w:val="0"/>
          <w:sz w:val="31"/>
          <w:szCs w:val="31"/>
          <w:shd w:val="clear" w:fill="FFFFFF"/>
        </w:rPr>
        <w:t>优化和完善政府网站，加强网站信息维护，及时更新门户网站主要页面和栏目，完成每季度对县政府网站和政务新媒体覆盖检查和通报。持续强化政务新媒体监督、管理，着力提高政务新媒体的传播力、影响力、公信力，</w:t>
      </w:r>
      <w:r>
        <w:rPr>
          <w:rFonts w:hint="eastAsia" w:ascii="仿宋_GB2312" w:hAnsi="微软雅黑" w:eastAsia="仿宋_GB2312" w:cs="仿宋_GB2312"/>
          <w:i w:val="0"/>
          <w:caps w:val="0"/>
          <w:color w:val="333333"/>
          <w:spacing w:val="0"/>
          <w:sz w:val="31"/>
          <w:szCs w:val="31"/>
          <w:highlight w:val="none"/>
          <w:shd w:val="clear" w:fill="FFFFFF"/>
        </w:rPr>
        <w:t>目前全县共有</w:t>
      </w:r>
      <w:r>
        <w:rPr>
          <w:rFonts w:hint="eastAsia" w:ascii="仿宋_GB2312" w:hAnsi="微软雅黑" w:eastAsia="仿宋_GB2312" w:cs="仿宋_GB2312"/>
          <w:i w:val="0"/>
          <w:caps w:val="0"/>
          <w:color w:val="333333"/>
          <w:spacing w:val="0"/>
          <w:sz w:val="31"/>
          <w:szCs w:val="31"/>
          <w:highlight w:val="none"/>
          <w:shd w:val="clear" w:fill="FFFFFF"/>
          <w:lang w:val="en-US" w:eastAsia="zh-CN"/>
        </w:rPr>
        <w:t>3</w:t>
      </w:r>
      <w:r>
        <w:rPr>
          <w:rFonts w:hint="eastAsia" w:ascii="仿宋_GB2312" w:hAnsi="微软雅黑" w:eastAsia="仿宋_GB2312" w:cs="仿宋_GB2312"/>
          <w:i w:val="0"/>
          <w:caps w:val="0"/>
          <w:color w:val="333333"/>
          <w:spacing w:val="0"/>
          <w:sz w:val="31"/>
          <w:szCs w:val="31"/>
          <w:highlight w:val="none"/>
          <w:shd w:val="clear" w:fill="FFFFFF"/>
        </w:rPr>
        <w:t>个政务新媒体，均运行良好。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仿宋_GB2312" w:cs="微软雅黑"/>
          <w:i w:val="0"/>
          <w:caps w:val="0"/>
          <w:color w:val="333333"/>
          <w:spacing w:val="0"/>
          <w:sz w:val="24"/>
          <w:szCs w:val="24"/>
          <w:highlight w:val="none"/>
          <w:lang w:eastAsia="zh-CN"/>
        </w:rPr>
      </w:pPr>
      <w:r>
        <w:rPr>
          <w:rStyle w:val="6"/>
          <w:rFonts w:hint="eastAsia" w:ascii="楷体_GB2312" w:hAnsi="微软雅黑" w:eastAsia="楷体_GB2312" w:cs="楷体_GB2312"/>
          <w:b/>
          <w:i w:val="0"/>
          <w:caps w:val="0"/>
          <w:color w:val="333333"/>
          <w:spacing w:val="0"/>
          <w:sz w:val="31"/>
          <w:szCs w:val="31"/>
          <w:shd w:val="clear" w:fill="FFFFFF"/>
        </w:rPr>
        <w:t>（五）解读回应方面。</w:t>
      </w:r>
      <w:r>
        <w:rPr>
          <w:rFonts w:hint="eastAsia" w:ascii="仿宋_GB2312" w:hAnsi="微软雅黑" w:eastAsia="仿宋_GB2312" w:cs="仿宋_GB2312"/>
          <w:i w:val="0"/>
          <w:caps w:val="0"/>
          <w:color w:val="333333"/>
          <w:spacing w:val="0"/>
          <w:sz w:val="31"/>
          <w:szCs w:val="31"/>
          <w:shd w:val="clear" w:fill="FFFFFF"/>
        </w:rPr>
        <w:t>全方位推动政策性文件解读工作，按照“谁起草、谁解读”原则，持续优化解读形式、丰富解读渠道，通过多形式、广渠道、形象化、通俗化解读，群众对政策的认可度和支持率不断提升。</w:t>
      </w:r>
      <w:r>
        <w:rPr>
          <w:rFonts w:hint="eastAsia" w:ascii="仿宋_GB2312" w:hAnsi="微软雅黑" w:eastAsia="仿宋_GB2312" w:cs="仿宋_GB2312"/>
          <w:i w:val="0"/>
          <w:caps w:val="0"/>
          <w:color w:val="333333"/>
          <w:spacing w:val="0"/>
          <w:sz w:val="31"/>
          <w:szCs w:val="31"/>
          <w:highlight w:val="none"/>
          <w:shd w:val="clear" w:fill="FFFFFF"/>
        </w:rPr>
        <w:t>全年多样化解读县政府、县政府办公室制发的政策性文件</w:t>
      </w:r>
      <w:r>
        <w:rPr>
          <w:rFonts w:hint="eastAsia" w:ascii="仿宋_GB2312" w:hAnsi="微软雅黑" w:eastAsia="仿宋_GB2312" w:cs="仿宋_GB2312"/>
          <w:i w:val="0"/>
          <w:caps w:val="0"/>
          <w:color w:val="333333"/>
          <w:spacing w:val="0"/>
          <w:sz w:val="31"/>
          <w:szCs w:val="31"/>
          <w:highlight w:val="none"/>
          <w:shd w:val="clear" w:fill="FFFFFF"/>
          <w:lang w:val="en-US" w:eastAsia="zh-CN"/>
        </w:rPr>
        <w:t>33</w:t>
      </w:r>
      <w:r>
        <w:rPr>
          <w:rFonts w:hint="eastAsia" w:ascii="仿宋_GB2312" w:hAnsi="微软雅黑" w:eastAsia="仿宋_GB2312" w:cs="仿宋_GB2312"/>
          <w:i w:val="0"/>
          <w:caps w:val="0"/>
          <w:color w:val="333333"/>
          <w:spacing w:val="0"/>
          <w:sz w:val="31"/>
          <w:szCs w:val="31"/>
          <w:highlight w:val="none"/>
          <w:shd w:val="clear" w:fill="FFFFFF"/>
          <w:lang w:eastAsia="zh-CN"/>
        </w:rPr>
        <w:t>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Style w:val="6"/>
          <w:rFonts w:hint="eastAsia" w:ascii="楷体_GB2312" w:hAnsi="微软雅黑" w:eastAsia="楷体_GB2312" w:cs="楷体_GB2312"/>
          <w:b/>
          <w:i w:val="0"/>
          <w:caps w:val="0"/>
          <w:color w:val="333333"/>
          <w:spacing w:val="0"/>
          <w:sz w:val="31"/>
          <w:szCs w:val="31"/>
          <w:shd w:val="clear" w:fill="FFFFFF"/>
        </w:rPr>
        <w:t>（六）监督保障方面。</w:t>
      </w:r>
      <w:r>
        <w:rPr>
          <w:rFonts w:hint="eastAsia" w:ascii="仿宋_GB2312" w:hAnsi="微软雅黑" w:eastAsia="仿宋_GB2312" w:cs="仿宋_GB2312"/>
          <w:i w:val="0"/>
          <w:caps w:val="0"/>
          <w:color w:val="333333"/>
          <w:spacing w:val="0"/>
          <w:sz w:val="31"/>
          <w:szCs w:val="31"/>
          <w:shd w:val="clear" w:fill="FFFFFF"/>
        </w:rPr>
        <w:t>一是将政务公开工作列入年度绩效考核内容，进一步压实各部门工作责任；定期检查通报政府门户网站与政务新媒体运行情况。二是加强部门监督和业务指导，加大政府网站和政务新媒体常态化监测力度，开展月度、季度检查及年度考评，保障政务公开工作按指标落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微软雅黑" w:hAnsi="微软雅黑" w:eastAsia="微软雅黑" w:cs="微软雅黑"/>
          <w:b w:val="0"/>
          <w:bCs/>
          <w:i w:val="0"/>
          <w:caps w:val="0"/>
          <w:color w:val="333333"/>
          <w:spacing w:val="0"/>
          <w:sz w:val="32"/>
          <w:szCs w:val="32"/>
        </w:rPr>
      </w:pPr>
      <w:r>
        <w:rPr>
          <w:rStyle w:val="6"/>
          <w:rFonts w:ascii="黑体" w:hAnsi="宋体" w:eastAsia="黑体" w:cs="黑体"/>
          <w:b w:val="0"/>
          <w:bCs/>
          <w:i w:val="0"/>
          <w:caps w:val="0"/>
          <w:color w:val="333333"/>
          <w:spacing w:val="0"/>
          <w:sz w:val="32"/>
          <w:szCs w:val="32"/>
          <w:shd w:val="clear" w:fill="FFFFFF"/>
        </w:rPr>
        <w:t>二、主动公开政府信息情况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237"/>
        <w:gridCol w:w="2238"/>
        <w:gridCol w:w="2238"/>
        <w:gridCol w:w="2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9735" w:type="dxa"/>
            <w:gridSpan w:val="4"/>
            <w:tcBorders>
              <w:top w:val="single" w:color="auto" w:sz="6" w:space="0"/>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信息内容</w:t>
            </w:r>
          </w:p>
        </w:tc>
        <w:tc>
          <w:tcPr>
            <w:tcW w:w="243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本年制发件数</w:t>
            </w:r>
          </w:p>
        </w:tc>
        <w:tc>
          <w:tcPr>
            <w:tcW w:w="243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本年废止件数</w:t>
            </w:r>
          </w:p>
        </w:tc>
        <w:tc>
          <w:tcPr>
            <w:tcW w:w="243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规章</w:t>
            </w:r>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0</w:t>
            </w:r>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0</w:t>
            </w:r>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行政规范性文件</w:t>
            </w:r>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w:t>
            </w:r>
            <w:bookmarkStart w:id="0" w:name="_GoBack"/>
            <w:bookmarkEnd w:id="0"/>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aps w:val="0"/>
                <w:color w:val="333333"/>
                <w:spacing w:val="0"/>
                <w:sz w:val="20"/>
                <w:szCs w:val="20"/>
              </w:rPr>
              <w:t>0</w:t>
            </w:r>
          </w:p>
        </w:tc>
        <w:tc>
          <w:tcPr>
            <w:tcW w:w="243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Theme="minorEastAsia" w:hAnsiTheme="minorEastAsia" w:eastAsiaTheme="minorEastAsia" w:cstheme="minorEastAsia"/>
                <w:sz w:val="20"/>
                <w:szCs w:val="20"/>
                <w:lang w:val="en-US" w:eastAsia="zh-CN"/>
              </w:rPr>
            </w:pPr>
            <w:r>
              <w:rPr>
                <w:rFonts w:hint="eastAsia" w:asciiTheme="minorEastAsia" w:hAnsiTheme="minorEastAsia" w:eastAsiaTheme="minorEastAsia" w:cstheme="minorEastAsia"/>
                <w:sz w:val="20"/>
                <w:szCs w:val="20"/>
                <w:lang w:val="en-US" w:eastAsia="zh-CN"/>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信息内容</w:t>
            </w:r>
          </w:p>
        </w:tc>
        <w:tc>
          <w:tcPr>
            <w:tcW w:w="730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行政许可</w:t>
            </w:r>
          </w:p>
        </w:tc>
        <w:tc>
          <w:tcPr>
            <w:tcW w:w="730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信息内容</w:t>
            </w:r>
          </w:p>
        </w:tc>
        <w:tc>
          <w:tcPr>
            <w:tcW w:w="7305" w:type="dxa"/>
            <w:gridSpan w:val="3"/>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行政处罚</w:t>
            </w:r>
          </w:p>
        </w:tc>
        <w:tc>
          <w:tcPr>
            <w:tcW w:w="730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行政强制</w:t>
            </w:r>
          </w:p>
        </w:tc>
        <w:tc>
          <w:tcPr>
            <w:tcW w:w="7305" w:type="dxa"/>
            <w:gridSpan w:val="3"/>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9735" w:type="dxa"/>
            <w:gridSpan w:val="4"/>
            <w:tcBorders>
              <w:top w:val="nil"/>
              <w:left w:val="single" w:color="auto" w:sz="6" w:space="0"/>
              <w:bottom w:val="single" w:color="auto" w:sz="6" w:space="0"/>
              <w:right w:val="single" w:color="auto" w:sz="6" w:space="0"/>
            </w:tcBorders>
            <w:shd w:val="clear" w:color="auto" w:fill="C6D9F1"/>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信息内容</w:t>
            </w:r>
          </w:p>
        </w:tc>
        <w:tc>
          <w:tcPr>
            <w:tcW w:w="7305" w:type="dxa"/>
            <w:gridSpan w:val="3"/>
            <w:tcBorders>
              <w:top w:val="nil"/>
              <w:left w:val="nil"/>
              <w:bottom w:val="single" w:color="auto" w:sz="6" w:space="0"/>
              <w:right w:val="single" w:color="000000"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行政事业性收费</w:t>
            </w:r>
          </w:p>
        </w:tc>
        <w:tc>
          <w:tcPr>
            <w:tcW w:w="7305" w:type="dxa"/>
            <w:gridSpan w:val="3"/>
            <w:tcBorders>
              <w:top w:val="nil"/>
              <w:left w:val="nil"/>
              <w:bottom w:val="single" w:color="auto" w:sz="6" w:space="0"/>
              <w:right w:val="single" w:color="000000"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微软雅黑" w:hAnsi="微软雅黑" w:eastAsia="微软雅黑" w:cs="微软雅黑"/>
          <w:b w:val="0"/>
          <w:bCs/>
          <w:i w:val="0"/>
          <w:caps w:val="0"/>
          <w:color w:val="333333"/>
          <w:spacing w:val="0"/>
          <w:sz w:val="32"/>
          <w:szCs w:val="32"/>
        </w:rPr>
      </w:pPr>
      <w:r>
        <w:rPr>
          <w:rStyle w:val="6"/>
          <w:rFonts w:hint="eastAsia" w:ascii="黑体" w:hAnsi="宋体" w:eastAsia="黑体" w:cs="黑体"/>
          <w:b w:val="0"/>
          <w:bCs/>
          <w:i w:val="0"/>
          <w:caps w:val="0"/>
          <w:color w:val="333333"/>
          <w:spacing w:val="0"/>
          <w:sz w:val="32"/>
          <w:szCs w:val="32"/>
          <w:shd w:val="clear" w:fill="FFFFFF"/>
        </w:rPr>
        <w:t>三、收到和处理政府信息公开申请情况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1"/>
        <w:gridCol w:w="912"/>
        <w:gridCol w:w="2863"/>
        <w:gridCol w:w="655"/>
        <w:gridCol w:w="641"/>
        <w:gridCol w:w="641"/>
        <w:gridCol w:w="641"/>
        <w:gridCol w:w="642"/>
        <w:gridCol w:w="642"/>
        <w:gridCol w:w="6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4920" w:type="dxa"/>
            <w:gridSpan w:val="3"/>
            <w:vMerge w:val="restart"/>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ascii="楷体" w:hAnsi="楷体" w:eastAsia="楷体" w:cs="楷体"/>
                <w:i w:val="0"/>
                <w:caps w:val="0"/>
                <w:color w:val="333333"/>
                <w:spacing w:val="0"/>
                <w:sz w:val="19"/>
                <w:szCs w:val="19"/>
              </w:rPr>
              <w:t>（本列数据的勾稽关系为：第一项加第二项之和，等于第三项加第四项之和）</w:t>
            </w:r>
          </w:p>
        </w:tc>
        <w:tc>
          <w:tcPr>
            <w:tcW w:w="4830" w:type="dxa"/>
            <w:gridSpan w:val="7"/>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20"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690" w:type="dxa"/>
            <w:vMerge w:val="restart"/>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自然人</w:t>
            </w:r>
          </w:p>
        </w:tc>
        <w:tc>
          <w:tcPr>
            <w:tcW w:w="3435" w:type="dxa"/>
            <w:gridSpan w:val="5"/>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法人或其他组织</w:t>
            </w:r>
          </w:p>
        </w:tc>
        <w:tc>
          <w:tcPr>
            <w:tcW w:w="690" w:type="dxa"/>
            <w:vMerge w:val="restart"/>
            <w:tcBorders>
              <w:top w:val="single" w:color="auto" w:sz="6" w:space="0"/>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20" w:type="dxa"/>
            <w:gridSpan w:val="3"/>
            <w:vMerge w:val="continue"/>
            <w:tcBorders>
              <w:top w:val="single" w:color="auto" w:sz="6" w:space="0"/>
              <w:left w:val="single" w:color="auto" w:sz="6" w:space="0"/>
              <w:bottom w:val="outset"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690" w:type="dxa"/>
            <w:vMerge w:val="continue"/>
            <w:tcBorders>
              <w:top w:val="nil"/>
              <w:left w:val="nil"/>
              <w:bottom w:val="single"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商业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企业</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科研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机构</w:t>
            </w:r>
          </w:p>
        </w:tc>
        <w:tc>
          <w:tcPr>
            <w:tcW w:w="69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社会公益组织</w:t>
            </w:r>
          </w:p>
        </w:tc>
        <w:tc>
          <w:tcPr>
            <w:tcW w:w="69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法律服务机构</w:t>
            </w:r>
          </w:p>
        </w:tc>
        <w:tc>
          <w:tcPr>
            <w:tcW w:w="690" w:type="dxa"/>
            <w:tcBorders>
              <w:top w:val="single" w:color="auto" w:sz="6" w:space="0"/>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pPr>
            <w:r>
              <w:rPr>
                <w:rFonts w:hint="eastAsia" w:ascii="宋体" w:hAnsi="宋体" w:eastAsia="宋体" w:cs="宋体"/>
                <w:i w:val="0"/>
                <w:caps w:val="0"/>
                <w:color w:val="333333"/>
                <w:spacing w:val="0"/>
                <w:sz w:val="19"/>
                <w:szCs w:val="19"/>
              </w:rPr>
              <w:t>其他</w:t>
            </w:r>
          </w:p>
        </w:tc>
        <w:tc>
          <w:tcPr>
            <w:tcW w:w="690" w:type="dxa"/>
            <w:vMerge w:val="continue"/>
            <w:tcBorders>
              <w:top w:val="single" w:color="auto" w:sz="6" w:space="0"/>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75" w:hRule="atLeast"/>
          <w:jc w:val="center"/>
        </w:trPr>
        <w:tc>
          <w:tcPr>
            <w:tcW w:w="4920"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一、本年新收政府信息公开申请数量</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20"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二、上年结转政府信息公开申请数量</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restart"/>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三、本年度办理结果</w:t>
            </w:r>
          </w:p>
        </w:tc>
        <w:tc>
          <w:tcPr>
            <w:tcW w:w="4155" w:type="dxa"/>
            <w:gridSpan w:val="2"/>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（一）予以公开</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single" w:color="auto" w:sz="6" w:space="0"/>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4155" w:type="dxa"/>
            <w:gridSpan w:val="2"/>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（二）部分公开</w:t>
            </w:r>
            <w:r>
              <w:rPr>
                <w:rFonts w:hint="eastAsia" w:ascii="楷体" w:hAnsi="楷体" w:eastAsia="楷体" w:cs="楷体"/>
                <w:i w:val="0"/>
                <w:caps w:val="0"/>
                <w:color w:val="333333"/>
                <w:spacing w:val="0"/>
                <w:sz w:val="19"/>
                <w:szCs w:val="19"/>
              </w:rPr>
              <w:t>（区分处理的，只计这一情形，不计其他情形）</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restart"/>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（三）不予公开</w:t>
            </w: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1.属于国家秘密</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single" w:color="auto" w:sz="6" w:space="0"/>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2.其他法律行政法规禁止公开</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3.危及“三安全一稳定”</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4.保护第三方合法权益</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5.属于三类内部事务信息</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6.属于四类过程性信息</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7.属于行政执法案卷</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8.属于行政查询事项</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restart"/>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（四）无法提供</w:t>
            </w: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1.本机关不掌握相关政府信息</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2.没有现成信息需要另行制作</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3.补正后申请内容仍不明确</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restart"/>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（五）不予处理</w:t>
            </w: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1.信访举报投诉类申请</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2.重复申请</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3.要求提供公开出版物</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4.无正当理由大量反复申请</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80" w:hRule="atLeast"/>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5.要求行政机关确认或重新出具已获取信息</w:t>
            </w:r>
          </w:p>
        </w:tc>
        <w:tc>
          <w:tcPr>
            <w:tcW w:w="690"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restart"/>
            <w:tcBorders>
              <w:top w:val="nil"/>
              <w:left w:val="nil"/>
              <w:bottom w:val="outset"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（六）其他处理</w:t>
            </w:r>
          </w:p>
        </w:tc>
        <w:tc>
          <w:tcPr>
            <w:tcW w:w="321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1.申请人无正当理由逾期不补正、行政机关不再处理其政府信息公开申请</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2.申请人逾期未按收费通知要求缴纳费用、行政机关不再处理其政府信息公开申请</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945" w:type="dxa"/>
            <w:vMerge w:val="continue"/>
            <w:tcBorders>
              <w:top w:val="nil"/>
              <w:left w:val="nil"/>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321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3.其他</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765" w:type="dxa"/>
            <w:vMerge w:val="continue"/>
            <w:tcBorders>
              <w:top w:val="nil"/>
              <w:left w:val="single" w:color="auto" w:sz="6" w:space="0"/>
              <w:bottom w:val="outset" w:color="auto" w:sz="6" w:space="0"/>
              <w:right w:val="single" w:color="auto" w:sz="6" w:space="0"/>
            </w:tcBorders>
            <w:shd w:val="clear" w:color="auto" w:fill="FFFFFF"/>
            <w:tcMar>
              <w:left w:w="60" w:type="dxa"/>
              <w:right w:w="60"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4155" w:type="dxa"/>
            <w:gridSpan w:val="2"/>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（七）总计</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195"/>
              <w:jc w:val="both"/>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4920" w:type="dxa"/>
            <w:gridSpan w:val="3"/>
            <w:tcBorders>
              <w:top w:val="nil"/>
              <w:left w:val="single" w:color="auto" w:sz="6" w:space="0"/>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pPr>
            <w:r>
              <w:rPr>
                <w:rFonts w:hint="eastAsia" w:ascii="宋体" w:hAnsi="宋体" w:eastAsia="宋体" w:cs="宋体"/>
                <w:i w:val="0"/>
                <w:caps w:val="0"/>
                <w:color w:val="333333"/>
                <w:spacing w:val="0"/>
                <w:sz w:val="19"/>
                <w:szCs w:val="19"/>
              </w:rPr>
              <w:t>四、结转下年度继续办理</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c>
          <w:tcPr>
            <w:tcW w:w="690" w:type="dxa"/>
            <w:tcBorders>
              <w:top w:val="nil"/>
              <w:left w:val="nil"/>
              <w:bottom w:val="single" w:color="auto" w:sz="6" w:space="0"/>
              <w:right w:val="single" w:color="auto" w:sz="6" w:space="0"/>
            </w:tcBorders>
            <w:shd w:val="clear" w:color="auto" w:fill="FFFFFF"/>
            <w:tcMar>
              <w:left w:w="60" w:type="dxa"/>
              <w:right w:w="60"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i w:val="0"/>
                <w:caps w:val="0"/>
                <w:color w:val="333333"/>
                <w:spacing w:val="0"/>
                <w:sz w:val="20"/>
                <w:szCs w:val="20"/>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微软雅黑" w:hAnsi="微软雅黑" w:eastAsia="微软雅黑" w:cs="微软雅黑"/>
          <w:b w:val="0"/>
          <w:bCs/>
          <w:i w:val="0"/>
          <w:caps w:val="0"/>
          <w:color w:val="333333"/>
          <w:spacing w:val="0"/>
          <w:sz w:val="32"/>
          <w:szCs w:val="32"/>
        </w:rPr>
      </w:pPr>
      <w:r>
        <w:rPr>
          <w:rStyle w:val="6"/>
          <w:rFonts w:hint="eastAsia" w:ascii="黑体" w:hAnsi="宋体" w:eastAsia="黑体" w:cs="黑体"/>
          <w:b w:val="0"/>
          <w:bCs/>
          <w:i w:val="0"/>
          <w:caps w:val="0"/>
          <w:color w:val="333333"/>
          <w:spacing w:val="0"/>
          <w:sz w:val="32"/>
          <w:szCs w:val="32"/>
          <w:shd w:val="clear" w:fill="FFFFFF"/>
        </w:rPr>
        <w:t>四、政府信息公开行政复议、行政诉讼情况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03"/>
        <w:gridCol w:w="603"/>
        <w:gridCol w:w="603"/>
        <w:gridCol w:w="603"/>
        <w:gridCol w:w="603"/>
        <w:gridCol w:w="604"/>
        <w:gridCol w:w="604"/>
        <w:gridCol w:w="604"/>
        <w:gridCol w:w="604"/>
        <w:gridCol w:w="604"/>
        <w:gridCol w:w="604"/>
        <w:gridCol w:w="604"/>
        <w:gridCol w:w="604"/>
        <w:gridCol w:w="604"/>
        <w:gridCol w:w="6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210" w:type="dxa"/>
            <w:gridSpan w:val="5"/>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行政复议</w:t>
            </w:r>
          </w:p>
        </w:tc>
        <w:tc>
          <w:tcPr>
            <w:tcW w:w="6435" w:type="dxa"/>
            <w:gridSpan w:val="10"/>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45" w:type="dxa"/>
            <w:vMerge w:val="restart"/>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结果维持</w:t>
            </w:r>
          </w:p>
        </w:tc>
        <w:tc>
          <w:tcPr>
            <w:tcW w:w="645" w:type="dxa"/>
            <w:vMerge w:val="restart"/>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纠正</w:t>
            </w:r>
          </w:p>
        </w:tc>
        <w:tc>
          <w:tcPr>
            <w:tcW w:w="64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结果</w:t>
            </w:r>
          </w:p>
        </w:tc>
        <w:tc>
          <w:tcPr>
            <w:tcW w:w="64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审结</w:t>
            </w:r>
          </w:p>
        </w:tc>
        <w:tc>
          <w:tcPr>
            <w:tcW w:w="645" w:type="dxa"/>
            <w:vMerge w:val="restart"/>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总计</w:t>
            </w:r>
          </w:p>
        </w:tc>
        <w:tc>
          <w:tcPr>
            <w:tcW w:w="321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未经复议直接起诉</w:t>
            </w:r>
          </w:p>
        </w:tc>
        <w:tc>
          <w:tcPr>
            <w:tcW w:w="3210" w:type="dxa"/>
            <w:gridSpan w:val="5"/>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645" w:type="dxa"/>
            <w:vMerge w:val="continue"/>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645" w:type="dxa"/>
            <w:vMerge w:val="continue"/>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64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64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645" w:type="dxa"/>
            <w:vMerge w:val="continue"/>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pageBreakBefore w:val="0"/>
              <w:kinsoku/>
              <w:wordWrap/>
              <w:overflowPunct/>
              <w:topLinePunct w:val="0"/>
              <w:autoSpaceDE/>
              <w:autoSpaceDN/>
              <w:bidi w:val="0"/>
              <w:adjustRightInd/>
              <w:snapToGrid/>
              <w:spacing w:before="0" w:line="600" w:lineRule="exact"/>
              <w:textAlignment w:val="auto"/>
              <w:rPr>
                <w:rFonts w:hint="eastAsia" w:ascii="微软雅黑" w:hAnsi="微软雅黑" w:eastAsia="微软雅黑" w:cs="微软雅黑"/>
                <w:i w:val="0"/>
                <w:caps w:val="0"/>
                <w:color w:val="333333"/>
                <w:spacing w:val="0"/>
                <w:sz w:val="18"/>
                <w:szCs w:val="18"/>
              </w:rPr>
            </w:pP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维持</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纠正</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结果</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审结</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总计</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维持</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结果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纠正</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其他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结果</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尚未</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审结</w:t>
            </w:r>
          </w:p>
        </w:tc>
        <w:tc>
          <w:tcPr>
            <w:tcW w:w="64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75" w:hRule="atLeast"/>
          <w:jc w:val="center"/>
        </w:trPr>
        <w:tc>
          <w:tcPr>
            <w:tcW w:w="645"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c>
          <w:tcPr>
            <w:tcW w:w="64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pPr>
            <w:r>
              <w:rPr>
                <w:rFonts w:hint="eastAsia" w:ascii="宋体" w:hAnsi="宋体" w:eastAsia="宋体" w:cs="宋体"/>
                <w:i w:val="0"/>
                <w:caps w:val="0"/>
                <w:color w:val="333333"/>
                <w:spacing w:val="0"/>
                <w:sz w:val="19"/>
                <w:szCs w:val="19"/>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微软雅黑" w:hAnsi="微软雅黑" w:eastAsia="微软雅黑" w:cs="微软雅黑"/>
          <w:b w:val="0"/>
          <w:bCs/>
          <w:i w:val="0"/>
          <w:caps w:val="0"/>
          <w:color w:val="333333"/>
          <w:spacing w:val="0"/>
          <w:sz w:val="32"/>
          <w:szCs w:val="32"/>
        </w:rPr>
      </w:pPr>
      <w:r>
        <w:rPr>
          <w:rStyle w:val="6"/>
          <w:rFonts w:hint="eastAsia" w:ascii="黑体" w:hAnsi="宋体" w:eastAsia="黑体" w:cs="黑体"/>
          <w:b w:val="0"/>
          <w:bCs/>
          <w:i w:val="0"/>
          <w:caps w:val="0"/>
          <w:color w:val="333333"/>
          <w:spacing w:val="0"/>
          <w:sz w:val="32"/>
          <w:szCs w:val="32"/>
          <w:shd w:val="clear" w:fill="FFFFFF"/>
        </w:rPr>
        <w:t>五、存在的主要问题及改进情况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2023年，在推动政务公开工作上虽然取得了一定成效，但仍然存在一些问题和不足：一是政务公开队伍专业化水平仍需提升；二是政策解读的质量效果仍需优化；三是公开平台建设管理仍需加强。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针对工作中存在的问题和不足，将从以下几个方面加以改进。一是加强政府信息公开工作的交流，组织业务人员开展专业培训，将理论学习和工作实践相结合，不断提高政策把握能力水平。二是强化政策解读发布，继续推动各级各部门完善解读机制，提升解读实效。三是提升信息发布平台管理，强化日常检查，建立完善的安全管理制度和技术防范措施，确保政府网站与政务新媒体的安全平稳运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微软雅黑" w:hAnsi="微软雅黑" w:eastAsia="微软雅黑" w:cs="微软雅黑"/>
          <w:b w:val="0"/>
          <w:bCs/>
          <w:i w:val="0"/>
          <w:caps w:val="0"/>
          <w:color w:val="333333"/>
          <w:spacing w:val="0"/>
          <w:sz w:val="32"/>
          <w:szCs w:val="32"/>
        </w:rPr>
      </w:pPr>
      <w:r>
        <w:rPr>
          <w:rStyle w:val="6"/>
          <w:rFonts w:hint="eastAsia" w:ascii="黑体" w:hAnsi="宋体" w:eastAsia="黑体" w:cs="黑体"/>
          <w:b w:val="0"/>
          <w:bCs/>
          <w:i w:val="0"/>
          <w:caps w:val="0"/>
          <w:color w:val="333333"/>
          <w:spacing w:val="0"/>
          <w:sz w:val="32"/>
          <w:szCs w:val="32"/>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微软雅黑" w:hAnsi="微软雅黑" w:eastAsia="微软雅黑" w:cs="微软雅黑"/>
          <w:i w:val="0"/>
          <w:caps w:val="0"/>
          <w:color w:val="333333"/>
          <w:spacing w:val="0"/>
          <w:sz w:val="24"/>
          <w:szCs w:val="24"/>
        </w:rPr>
      </w:pPr>
      <w:r>
        <w:rPr>
          <w:rFonts w:hint="eastAsia" w:ascii="仿宋_GB2312" w:hAnsi="微软雅黑" w:eastAsia="仿宋_GB2312" w:cs="仿宋_GB2312"/>
          <w:i w:val="0"/>
          <w:caps w:val="0"/>
          <w:color w:val="333333"/>
          <w:spacing w:val="0"/>
          <w:sz w:val="31"/>
          <w:szCs w:val="31"/>
          <w:shd w:val="clear" w:fill="FFFFFF"/>
        </w:rPr>
        <w:t>本机关2023年度未收取政府信息公开信息处理费。</w:t>
      </w:r>
    </w:p>
    <w:p>
      <w:pPr>
        <w:keepNext w:val="0"/>
        <w:keepLines w:val="0"/>
        <w:pageBreakBefore w:val="0"/>
        <w:kinsoku/>
        <w:wordWrap/>
        <w:overflowPunct/>
        <w:topLinePunct w:val="0"/>
        <w:autoSpaceDE/>
        <w:autoSpaceDN/>
        <w:bidi w:val="0"/>
        <w:adjustRightInd/>
        <w:snapToGrid/>
        <w:spacing w:line="600" w:lineRule="exact"/>
        <w:textAlignment w:val="auto"/>
        <w:rPr>
          <w:rFonts w:hint="eastAsia" w:eastAsia="宋体"/>
          <w:lang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D353E"/>
    <w:rsid w:val="0DF7BC39"/>
    <w:rsid w:val="0FEBC633"/>
    <w:rsid w:val="17298985"/>
    <w:rsid w:val="2A0B2006"/>
    <w:rsid w:val="2FF47B1A"/>
    <w:rsid w:val="35756748"/>
    <w:rsid w:val="3CFDA864"/>
    <w:rsid w:val="3D736795"/>
    <w:rsid w:val="3EF413F6"/>
    <w:rsid w:val="45B071AB"/>
    <w:rsid w:val="48115FF7"/>
    <w:rsid w:val="4C7CC01F"/>
    <w:rsid w:val="506D129F"/>
    <w:rsid w:val="57B5274D"/>
    <w:rsid w:val="59281354"/>
    <w:rsid w:val="5AFD491F"/>
    <w:rsid w:val="5FB74AAE"/>
    <w:rsid w:val="656D65C3"/>
    <w:rsid w:val="65FE2CBA"/>
    <w:rsid w:val="694FCC43"/>
    <w:rsid w:val="69C710F6"/>
    <w:rsid w:val="69CD50C7"/>
    <w:rsid w:val="6A6B601A"/>
    <w:rsid w:val="6BB78724"/>
    <w:rsid w:val="6BFF688C"/>
    <w:rsid w:val="6CBF8BF2"/>
    <w:rsid w:val="6F76C599"/>
    <w:rsid w:val="73BF64DC"/>
    <w:rsid w:val="76B76EEF"/>
    <w:rsid w:val="77725562"/>
    <w:rsid w:val="7BE4B083"/>
    <w:rsid w:val="7DCF60E4"/>
    <w:rsid w:val="7DFFDC5F"/>
    <w:rsid w:val="7EEFE176"/>
    <w:rsid w:val="7FD3E9B5"/>
    <w:rsid w:val="7FF7B576"/>
    <w:rsid w:val="AF27764D"/>
    <w:rsid w:val="B5F17330"/>
    <w:rsid w:val="B73E84FA"/>
    <w:rsid w:val="BFFAB383"/>
    <w:rsid w:val="D1EF1117"/>
    <w:rsid w:val="D5EFCEB6"/>
    <w:rsid w:val="D7DF1A74"/>
    <w:rsid w:val="DA77346D"/>
    <w:rsid w:val="DBF89C59"/>
    <w:rsid w:val="DFFF8D50"/>
    <w:rsid w:val="E5FB39A6"/>
    <w:rsid w:val="E63EB1C4"/>
    <w:rsid w:val="EDF79A89"/>
    <w:rsid w:val="EF7EDA02"/>
    <w:rsid w:val="EFBB0C49"/>
    <w:rsid w:val="EFFBC106"/>
    <w:rsid w:val="EFFD6496"/>
    <w:rsid w:val="EFFF76EE"/>
    <w:rsid w:val="F6F82643"/>
    <w:rsid w:val="F7D76A45"/>
    <w:rsid w:val="F7E050EA"/>
    <w:rsid w:val="F93998D5"/>
    <w:rsid w:val="FBBF9E35"/>
    <w:rsid w:val="FBBFA479"/>
    <w:rsid w:val="FBE7C141"/>
    <w:rsid w:val="FBF32568"/>
    <w:rsid w:val="FCFFF7D8"/>
    <w:rsid w:val="FDBD6538"/>
    <w:rsid w:val="FE860628"/>
    <w:rsid w:val="FF5FB055"/>
    <w:rsid w:val="FFDF655F"/>
    <w:rsid w:val="FFEFC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85</TotalTime>
  <ScaleCrop>false</ScaleCrop>
  <LinksUpToDate>false</LinksUpToDate>
  <CharactersWithSpaces>0</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2021-01-11T03:24:00Z</dcterms:created>
  <dc:creator>LF</dc:creator>
  <cp:lastModifiedBy>greatwall</cp:lastModifiedBy>
  <cp:lastPrinted>2024-01-09T18:13:00Z</cp:lastPrinted>
  <dcterms:modified xsi:type="dcterms:W3CDTF">2024-02-22T11:22:10Z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