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临汾市</w:t>
      </w:r>
      <w:r>
        <w:rPr>
          <w:rFonts w:hint="eastAsia" w:ascii="方正小标宋简体" w:hAnsi="方正小标宋简体" w:eastAsia="方正小标宋简体" w:cs="方正小标宋简体"/>
          <w:sz w:val="44"/>
          <w:szCs w:val="44"/>
        </w:rPr>
        <w:t>古县行政审批服务管理局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w:t>
      </w:r>
      <w:r>
        <w:rPr>
          <w:rFonts w:hint="eastAsia" w:ascii="方正小标宋简体" w:hAnsi="方正小标宋简体" w:eastAsia="方正小标宋简体" w:cs="方正小标宋简体"/>
          <w:sz w:val="44"/>
          <w:szCs w:val="44"/>
          <w:lang w:eastAsia="zh-CN"/>
        </w:rPr>
        <w:t>年度报告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我局</w:t>
      </w:r>
      <w:r>
        <w:rPr>
          <w:rFonts w:hint="default" w:ascii="Times New Roman" w:hAnsi="Times New Roman" w:eastAsia="仿宋_GB2312" w:cs="Times New Roman"/>
          <w:sz w:val="32"/>
          <w:szCs w:val="32"/>
        </w:rPr>
        <w:t>严格按照《中华人民共和国政府信息公开条例》及县政府文件的相关要求</w:t>
      </w:r>
      <w:r>
        <w:rPr>
          <w:rFonts w:hint="eastAsia" w:ascii="仿宋_GB2312" w:hAnsi="仿宋_GB2312" w:eastAsia="仿宋_GB2312" w:cs="仿宋_GB2312"/>
          <w:sz w:val="32"/>
          <w:szCs w:val="32"/>
        </w:rPr>
        <w:t>，开展政务公开和政府信息公开工作。对标县政府政务公开第三方评估</w:t>
      </w:r>
      <w:bookmarkStart w:id="0" w:name="_GoBack"/>
      <w:bookmarkEnd w:id="0"/>
      <w:r>
        <w:rPr>
          <w:rFonts w:hint="eastAsia" w:ascii="仿宋_GB2312" w:hAnsi="仿宋_GB2312" w:eastAsia="仿宋_GB2312" w:cs="仿宋_GB2312"/>
          <w:sz w:val="32"/>
          <w:szCs w:val="32"/>
        </w:rPr>
        <w:t>指标评分细则，积极推进文件类政府信息主动公开工作，包括目录指南、年度报告、基础信息和重点领域信息等。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楷体_GB2312" w:hAnsi="楷体_GB2312" w:eastAsia="楷体_GB2312" w:cs="楷体_GB2312"/>
          <w:b/>
          <w:bCs/>
          <w:i w:val="0"/>
          <w:caps w:val="0"/>
          <w:color w:val="000000"/>
          <w:spacing w:val="0"/>
          <w:sz w:val="32"/>
          <w:szCs w:val="32"/>
        </w:rPr>
      </w:pPr>
      <w:r>
        <w:rPr>
          <w:rFonts w:hint="eastAsia" w:ascii="楷体_GB2312" w:hAnsi="楷体_GB2312" w:eastAsia="楷体_GB2312" w:cs="楷体_GB2312"/>
          <w:b/>
          <w:bCs/>
          <w:i w:val="0"/>
          <w:caps w:val="0"/>
          <w:color w:val="000000"/>
          <w:spacing w:val="0"/>
          <w:kern w:val="0"/>
          <w:sz w:val="32"/>
          <w:szCs w:val="32"/>
          <w:lang w:val="en-US" w:eastAsia="zh-CN" w:bidi="ar"/>
        </w:rPr>
        <w:t>（一）健全政务公开工作领导机制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lang w:val="en-US" w:eastAsia="zh-CN" w:bidi="ar"/>
        </w:rPr>
        <w:t>我局把政务公开作为提高审批部门公信力和群众对审批工作的满意度，保证各项工作高效、有序开展的有力抓手，纳入年度工作计划。我局成立了以局长为组长，副局长为副组长，相关股室负责任人为成员的政务信息公开工作领导小组，统筹领导政务信息公开推进工作。办公室有专人具体负责政务公开工作，明确工作要求责任，保证了政务信息公开工作的顺利进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eastAsia" w:ascii="楷体_GB2312" w:hAnsi="楷体_GB2312" w:eastAsia="楷体_GB2312" w:cs="楷体_GB2312"/>
          <w:b/>
          <w:bCs/>
          <w:i w:val="0"/>
          <w:caps w:val="0"/>
          <w:color w:val="000000"/>
          <w:spacing w:val="0"/>
          <w:kern w:val="0"/>
          <w:sz w:val="32"/>
          <w:szCs w:val="32"/>
          <w:lang w:val="en-US" w:eastAsia="zh-CN" w:bidi="ar"/>
        </w:rPr>
      </w:pPr>
      <w:r>
        <w:rPr>
          <w:rFonts w:hint="eastAsia" w:ascii="楷体_GB2312" w:hAnsi="楷体_GB2312" w:eastAsia="楷体_GB2312" w:cs="楷体_GB2312"/>
          <w:b/>
          <w:bCs/>
          <w:i w:val="0"/>
          <w:caps w:val="0"/>
          <w:color w:val="000000"/>
          <w:spacing w:val="0"/>
          <w:kern w:val="0"/>
          <w:sz w:val="32"/>
          <w:szCs w:val="32"/>
          <w:lang w:val="en-US" w:eastAsia="zh-CN" w:bidi="ar"/>
        </w:rPr>
        <w:t>（二）全力推进政务公开工作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kern w:val="0"/>
          <w:sz w:val="32"/>
          <w:szCs w:val="32"/>
          <w:lang w:val="en-US" w:eastAsia="zh-CN" w:bidi="ar"/>
        </w:rPr>
        <w:t>我局按照“公开透明、高效利民”、“既重公开形式又重公开内容”的要求，积极完善政务公开机制，加强政务公开载体建设，创新政务公开新载体、新形式，使政务公开的形式呈现灵活多样，通过不断优化政务公开专栏等形式和渠道向社会公开各种政务服务信息，实现让权力在阳光下运行，接受群众监督和社会监督，积极实施阳光政务，打造阳光政府。在严格进行保密审查的基础上，全面公开政府信息。及时、准确地公开本单位的机构职能、领导简介及分工、内设机构、工作动态、便民服务等相关情况和文件，进一步增强了单位内部事务的公开性和透明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color w:val="000000"/>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sz w:val="24"/>
                <w:szCs w:val="24"/>
                <w:lang w:val="en-US"/>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80" w:firstLineChars="200"/>
              <w:jc w:val="center"/>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firstLineChars="200"/>
              <w:jc w:val="both"/>
              <w:textAlignment w:val="auto"/>
              <w:rPr>
                <w:rFonts w:hint="default"/>
                <w:lang w:val="en-US"/>
              </w:rPr>
            </w:pPr>
            <w:r>
              <w:rPr>
                <w:rFonts w:hint="eastAsia" w:ascii="Calibri" w:hAnsi="Calibri" w:eastAsia="宋体" w:cs="Calibri"/>
                <w:kern w:val="0"/>
                <w:sz w:val="21"/>
                <w:szCs w:val="21"/>
                <w:lang w:val="en-US" w:eastAsia="zh-CN" w:bidi="ar"/>
              </w:rPr>
              <w:t>2460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W w:w="95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934"/>
        <w:gridCol w:w="1134"/>
        <w:gridCol w:w="2514"/>
        <w:gridCol w:w="711"/>
        <w:gridCol w:w="711"/>
        <w:gridCol w:w="711"/>
        <w:gridCol w:w="711"/>
        <w:gridCol w:w="711"/>
        <w:gridCol w:w="711"/>
        <w:gridCol w:w="7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4582"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97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4582"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711"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自然人</w:t>
            </w:r>
          </w:p>
        </w:tc>
        <w:tc>
          <w:tcPr>
            <w:tcW w:w="3555"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法人或其他组织</w:t>
            </w:r>
          </w:p>
        </w:tc>
        <w:tc>
          <w:tcPr>
            <w:tcW w:w="711"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32" w:hRule="atLeast"/>
          <w:jc w:val="center"/>
        </w:trPr>
        <w:tc>
          <w:tcPr>
            <w:tcW w:w="4582"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711" w:type="dxa"/>
            <w:vMerge w:val="continue"/>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企业</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机构</w:t>
            </w:r>
          </w:p>
        </w:tc>
        <w:tc>
          <w:tcPr>
            <w:tcW w:w="71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社会公益组织</w:t>
            </w:r>
          </w:p>
        </w:tc>
        <w:tc>
          <w:tcPr>
            <w:tcW w:w="71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其他</w:t>
            </w:r>
          </w:p>
        </w:tc>
        <w:tc>
          <w:tcPr>
            <w:tcW w:w="711"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458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一、本年新收政府信息公开申请数量</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458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二、上年结转政府信息公开申请数量</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三、本年度办理结果</w:t>
            </w:r>
          </w:p>
        </w:tc>
        <w:tc>
          <w:tcPr>
            <w:tcW w:w="3648"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（一）予以公开</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1"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3648"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（三）不予公开</w:t>
            </w: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1.属于国家秘密</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2.其他法律行政法规禁止公开</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3.危及“三安全一稳定”</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4.保护第三方合法权益</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5.属于三类内部事务信息</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6.属于四类过程性信息</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7.属于行政执法案卷</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8.属于行政查询事项</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（四）无法提供</w:t>
            </w: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1.本机关不掌握相关政府信息</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2.没有现成信息需要另行制作</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3.补正后申请内容仍不明确</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（五）不予处理</w:t>
            </w: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1.信访举报投诉类申请</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2.重复申请</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3.要求提供公开出版物</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4.无正当理由大量反复申请</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1"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71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outset"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32"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（六）其他处理</w:t>
            </w:r>
          </w:p>
        </w:tc>
        <w:tc>
          <w:tcPr>
            <w:tcW w:w="25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32"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1134"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25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pPr>
            <w:r>
              <w:rPr>
                <w:rFonts w:hint="eastAsia" w:ascii="宋体" w:hAnsi="宋体" w:eastAsia="宋体" w:cs="宋体"/>
                <w:kern w:val="0"/>
                <w:sz w:val="20"/>
                <w:szCs w:val="20"/>
                <w:lang w:val="en-US" w:eastAsia="zh-CN" w:bidi="ar"/>
              </w:rPr>
              <w:t>3.其他</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0" w:hRule="atLeast"/>
          <w:jc w:val="center"/>
        </w:trPr>
        <w:tc>
          <w:tcPr>
            <w:tcW w:w="934"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宋体"/>
                <w:sz w:val="24"/>
                <w:szCs w:val="24"/>
              </w:rPr>
            </w:pPr>
          </w:p>
        </w:tc>
        <w:tc>
          <w:tcPr>
            <w:tcW w:w="3648"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（七）总计</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hint="default"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9" w:hRule="atLeast"/>
          <w:jc w:val="center"/>
        </w:trPr>
        <w:tc>
          <w:tcPr>
            <w:tcW w:w="458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00" w:firstLineChars="200"/>
              <w:jc w:val="both"/>
              <w:textAlignment w:val="auto"/>
            </w:pPr>
            <w:r>
              <w:rPr>
                <w:rFonts w:hint="eastAsia" w:ascii="宋体" w:hAnsi="宋体" w:eastAsia="宋体" w:cs="宋体"/>
                <w:kern w:val="0"/>
                <w:sz w:val="20"/>
                <w:szCs w:val="20"/>
                <w:lang w:val="en-US" w:eastAsia="zh-CN" w:bidi="ar"/>
              </w:rPr>
              <w:t>四、结转下年度继续办理</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400" w:firstLineChars="200"/>
              <w:jc w:val="both"/>
              <w:textAlignment w:val="auto"/>
              <w:rPr>
                <w:rFonts w:hint="eastAsia" w:asciiTheme="minorHAnsi" w:hAnsiTheme="minorHAnsi" w:eastAsiaTheme="minorEastAsia" w:cstheme="minorBidi"/>
                <w:kern w:val="2"/>
                <w:sz w:val="21"/>
                <w:szCs w:val="24"/>
                <w:lang w:val="en-US" w:eastAsia="zh-CN" w:bidi="ar-SA"/>
              </w:rPr>
            </w:pPr>
            <w:r>
              <w:rPr>
                <w:rFonts w:hint="eastAsia" w:ascii="Calibri" w:hAnsi="Calibri" w:eastAsia="宋体"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pPr w:leftFromText="180" w:rightFromText="180" w:vertAnchor="text" w:horzAnchor="page" w:tblpXSpec="center" w:tblpY="723"/>
        <w:tblOverlap w:val="never"/>
        <w:tblW w:w="1036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3"/>
        <w:gridCol w:w="713"/>
        <w:gridCol w:w="713"/>
        <w:gridCol w:w="713"/>
        <w:gridCol w:w="746"/>
        <w:gridCol w:w="713"/>
        <w:gridCol w:w="713"/>
        <w:gridCol w:w="713"/>
        <w:gridCol w:w="713"/>
        <w:gridCol w:w="713"/>
        <w:gridCol w:w="713"/>
        <w:gridCol w:w="713"/>
        <w:gridCol w:w="713"/>
        <w:gridCol w:w="713"/>
        <w:gridCol w:w="7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320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kern w:val="0"/>
                <w:sz w:val="11"/>
                <w:szCs w:val="11"/>
                <w:lang w:val="en-US" w:eastAsia="zh-CN" w:bidi="ar"/>
              </w:rPr>
              <w:t>行政复议</w:t>
            </w:r>
          </w:p>
        </w:tc>
        <w:tc>
          <w:tcPr>
            <w:tcW w:w="716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kern w:val="0"/>
                <w:sz w:val="11"/>
                <w:szCs w:val="1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3" w:hRule="atLeast"/>
          <w:jc w:val="center"/>
        </w:trPr>
        <w:tc>
          <w:tcPr>
            <w:tcW w:w="31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结果维持</w:t>
            </w:r>
          </w:p>
        </w:tc>
        <w:tc>
          <w:tcPr>
            <w:tcW w:w="71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纠正</w:t>
            </w:r>
          </w:p>
        </w:tc>
        <w:tc>
          <w:tcPr>
            <w:tcW w:w="71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其他</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结果</w:t>
            </w:r>
          </w:p>
        </w:tc>
        <w:tc>
          <w:tcPr>
            <w:tcW w:w="71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尚未</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审结</w:t>
            </w:r>
          </w:p>
        </w:tc>
        <w:tc>
          <w:tcPr>
            <w:tcW w:w="746"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kern w:val="0"/>
                <w:sz w:val="11"/>
                <w:szCs w:val="11"/>
                <w:lang w:val="en-US" w:eastAsia="zh-CN" w:bidi="ar"/>
              </w:rPr>
              <w:t>总计</w:t>
            </w:r>
          </w:p>
        </w:tc>
        <w:tc>
          <w:tcPr>
            <w:tcW w:w="356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kern w:val="0"/>
                <w:sz w:val="11"/>
                <w:szCs w:val="11"/>
                <w:lang w:val="en-US" w:eastAsia="zh-CN" w:bidi="ar"/>
              </w:rPr>
              <w:t>未经复议直接起诉</w:t>
            </w:r>
          </w:p>
        </w:tc>
        <w:tc>
          <w:tcPr>
            <w:tcW w:w="359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kern w:val="0"/>
                <w:sz w:val="11"/>
                <w:szCs w:val="1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92" w:hRule="atLeast"/>
          <w:jc w:val="center"/>
        </w:trPr>
        <w:tc>
          <w:tcPr>
            <w:tcW w:w="31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sz w:val="16"/>
                <w:szCs w:val="16"/>
              </w:rPr>
            </w:pPr>
          </w:p>
        </w:tc>
        <w:tc>
          <w:tcPr>
            <w:tcW w:w="71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sz w:val="16"/>
                <w:szCs w:val="16"/>
              </w:rPr>
            </w:pPr>
          </w:p>
        </w:tc>
        <w:tc>
          <w:tcPr>
            <w:tcW w:w="71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sz w:val="16"/>
                <w:szCs w:val="16"/>
              </w:rPr>
            </w:pPr>
          </w:p>
        </w:tc>
        <w:tc>
          <w:tcPr>
            <w:tcW w:w="71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sz w:val="16"/>
                <w:szCs w:val="16"/>
              </w:rPr>
            </w:pPr>
          </w:p>
        </w:tc>
        <w:tc>
          <w:tcPr>
            <w:tcW w:w="74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sz w:val="16"/>
                <w:szCs w:val="16"/>
              </w:rPr>
            </w:pP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维持</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纠正</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其他</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结果</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尚未</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审结</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color w:val="000000"/>
                <w:kern w:val="0"/>
                <w:sz w:val="11"/>
                <w:szCs w:val="11"/>
                <w:lang w:val="en-US" w:eastAsia="zh-CN" w:bidi="ar"/>
              </w:rPr>
              <w:t>总计</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维持</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结果</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纠正</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color w:val="000000"/>
                <w:kern w:val="0"/>
                <w:sz w:val="11"/>
                <w:szCs w:val="11"/>
                <w:lang w:val="en-US" w:eastAsia="zh-CN" w:bidi="ar"/>
              </w:rPr>
              <w:t>其他</w:t>
            </w:r>
            <w:r>
              <w:rPr>
                <w:rFonts w:hint="eastAsia" w:ascii="宋体" w:hAnsi="宋体" w:eastAsia="宋体" w:cs="宋体"/>
                <w:color w:val="000000"/>
                <w:kern w:val="0"/>
                <w:sz w:val="11"/>
                <w:szCs w:val="11"/>
                <w:lang w:val="en-US" w:eastAsia="zh-CN" w:bidi="ar"/>
              </w:rPr>
              <w:br w:type="textWrapping"/>
            </w:r>
            <w:r>
              <w:rPr>
                <w:rFonts w:hint="eastAsia" w:ascii="宋体" w:hAnsi="宋体" w:eastAsia="宋体" w:cs="宋体"/>
                <w:color w:val="000000"/>
                <w:kern w:val="0"/>
                <w:sz w:val="11"/>
                <w:szCs w:val="11"/>
                <w:lang w:val="en-US" w:eastAsia="zh-CN" w:bidi="ar"/>
              </w:rPr>
              <w:t>结果</w:t>
            </w:r>
          </w:p>
        </w:tc>
        <w:tc>
          <w:tcPr>
            <w:tcW w:w="71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sz w:val="13"/>
                <w:szCs w:val="16"/>
              </w:rPr>
            </w:pPr>
            <w:r>
              <w:rPr>
                <w:rFonts w:hint="eastAsia" w:ascii="宋体" w:hAnsi="宋体" w:eastAsia="宋体" w:cs="宋体"/>
                <w:kern w:val="0"/>
                <w:sz w:val="11"/>
                <w:szCs w:val="11"/>
                <w:lang w:val="en-US" w:eastAsia="zh-CN" w:bidi="ar"/>
              </w:rPr>
              <w:t>尚未</w:t>
            </w:r>
            <w:r>
              <w:rPr>
                <w:rFonts w:hint="eastAsia" w:ascii="宋体" w:hAnsi="宋体" w:eastAsia="宋体" w:cs="宋体"/>
                <w:kern w:val="0"/>
                <w:sz w:val="11"/>
                <w:szCs w:val="11"/>
                <w:lang w:val="en-US" w:eastAsia="zh-CN" w:bidi="ar"/>
              </w:rPr>
              <w:br w:type="textWrapping"/>
            </w:r>
            <w:r>
              <w:rPr>
                <w:rFonts w:hint="eastAsia" w:ascii="宋体" w:hAnsi="宋体" w:eastAsia="宋体" w:cs="宋体"/>
                <w:kern w:val="0"/>
                <w:sz w:val="11"/>
                <w:szCs w:val="11"/>
                <w:lang w:val="en-US" w:eastAsia="zh-CN" w:bidi="ar"/>
              </w:rPr>
              <w:t>审结</w:t>
            </w:r>
          </w:p>
        </w:tc>
        <w:tc>
          <w:tcPr>
            <w:tcW w:w="74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20" w:firstLineChars="200"/>
              <w:jc w:val="center"/>
              <w:textAlignment w:val="auto"/>
              <w:rPr>
                <w:sz w:val="13"/>
                <w:szCs w:val="16"/>
              </w:rPr>
            </w:pPr>
            <w:r>
              <w:rPr>
                <w:rFonts w:hint="eastAsia" w:ascii="宋体" w:hAnsi="宋体" w:eastAsia="宋体" w:cs="宋体"/>
                <w:color w:val="000000"/>
                <w:kern w:val="0"/>
                <w:sz w:val="11"/>
                <w:szCs w:val="1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0" w:hRule="atLeast"/>
          <w:jc w:val="center"/>
        </w:trPr>
        <w:tc>
          <w:tcPr>
            <w:tcW w:w="31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4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1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260" w:firstLineChars="200"/>
              <w:jc w:val="center"/>
              <w:textAlignment w:val="auto"/>
              <w:rPr>
                <w:rFonts w:hint="eastAsia" w:eastAsiaTheme="minorEastAsia"/>
                <w:sz w:val="13"/>
                <w:szCs w:val="16"/>
                <w:lang w:val="en-US" w:eastAsia="zh-CN"/>
              </w:rPr>
            </w:pPr>
            <w:r>
              <w:rPr>
                <w:rFonts w:hint="eastAsia"/>
                <w:sz w:val="13"/>
                <w:szCs w:val="16"/>
                <w:lang w:val="en-US" w:eastAsia="zh-CN"/>
              </w:rPr>
              <w:t>0</w:t>
            </w:r>
          </w:p>
        </w:tc>
        <w:tc>
          <w:tcPr>
            <w:tcW w:w="746"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ind w:firstLine="320" w:firstLineChars="200"/>
              <w:jc w:val="center"/>
              <w:textAlignment w:val="auto"/>
              <w:rPr>
                <w:rFonts w:hint="eastAsia" w:ascii="宋体" w:eastAsiaTheme="minorEastAsia"/>
                <w:sz w:val="16"/>
                <w:szCs w:val="16"/>
                <w:lang w:val="en-US" w:eastAsia="zh-CN"/>
              </w:rPr>
            </w:pPr>
            <w:r>
              <w:rPr>
                <w:rFonts w:hint="eastAsia" w:ascii="宋体"/>
                <w:sz w:val="16"/>
                <w:szCs w:val="16"/>
                <w:lang w:val="en-US" w:eastAsia="zh-CN"/>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政府信息公开工作在上级主管部门的正确领导下，做了大量工作，但标准还不够高，内容还不够全面，信息更新还需要更及时；公开形式的便民性在今后的工作中需要进一步提高。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（二）改进措施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1.加强保密审查，扩展公开范围。对照《条例》的具体要求，认真清理政府信息公开事项，查漏补缺，修订信息公开指南和</w:t>
      </w:r>
      <w:r>
        <w:rPr>
          <w:rFonts w:hint="eastAsia" w:ascii="仿宋_GB2312" w:hAnsi="仿宋_GB2312" w:eastAsia="仿宋_GB2312" w:cs="仿宋_GB2312"/>
          <w:sz w:val="32"/>
          <w:szCs w:val="32"/>
          <w:lang w:val="en-US" w:eastAsia="zh-CN"/>
        </w:rPr>
        <w:t>目录，确保应公开的政务信息全部公开。同时严把质量关、保密审查关，依据有关法律、法规严格审核公开内容，确保政府信息公开不影响国家安全、公共安全、经济安全和社会稳定，真正体现公开、公平、公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2.进一</w:t>
      </w:r>
      <w:r>
        <w:rPr>
          <w:rFonts w:hint="eastAsia" w:ascii="仿宋_GB2312" w:hAnsi="仿宋_GB2312" w:eastAsia="仿宋_GB2312" w:cs="仿宋_GB2312"/>
          <w:sz w:val="32"/>
          <w:szCs w:val="32"/>
          <w:lang w:val="en-US" w:eastAsia="zh-CN"/>
        </w:rPr>
        <w:t>步拓宽信息公开途径。通过网络、微信等多种方式加大少数民族惠民政策宣传力度，进一步细化信息公开工作流程，拓宽公开渠道，确保操作简便明了，利于查找。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仿宋_GB2312" w:hAnsi="仿宋_GB2312" w:eastAsia="仿宋_GB2312" w:cs="仿宋_GB2312"/>
          <w:b w:val="0"/>
          <w:bCs w:val="0"/>
          <w:sz w:val="32"/>
          <w:szCs w:val="32"/>
          <w:lang w:val="en-US" w:eastAsia="zh-CN"/>
        </w:rPr>
        <w:t>本年度未收取政府信息公开信息处理费。</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160" w:firstLineChars="1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古县行政审批服务管理局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年1</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Nzc2ODY1MjU0NzhiMTUyNmQ5MTdiNDg3ZGNhZGUifQ=="/>
  </w:docVars>
  <w:rsids>
    <w:rsidRoot w:val="00000000"/>
    <w:rsid w:val="022573A2"/>
    <w:rsid w:val="035C6DF3"/>
    <w:rsid w:val="099062D8"/>
    <w:rsid w:val="09DB4F16"/>
    <w:rsid w:val="0B5B0786"/>
    <w:rsid w:val="0CD72CBA"/>
    <w:rsid w:val="0D0210AB"/>
    <w:rsid w:val="0E545297"/>
    <w:rsid w:val="0F835168"/>
    <w:rsid w:val="11C1515E"/>
    <w:rsid w:val="11DD55A3"/>
    <w:rsid w:val="18B25410"/>
    <w:rsid w:val="1CF0262F"/>
    <w:rsid w:val="1E8B1DD1"/>
    <w:rsid w:val="1EF83A1C"/>
    <w:rsid w:val="21FA7AAB"/>
    <w:rsid w:val="24003A9F"/>
    <w:rsid w:val="24F37160"/>
    <w:rsid w:val="251A1F80"/>
    <w:rsid w:val="25A0096A"/>
    <w:rsid w:val="25F82554"/>
    <w:rsid w:val="26647BE9"/>
    <w:rsid w:val="27562D9E"/>
    <w:rsid w:val="27F706A3"/>
    <w:rsid w:val="29820AB2"/>
    <w:rsid w:val="29C56BF1"/>
    <w:rsid w:val="29CE3CF8"/>
    <w:rsid w:val="2EC13E2B"/>
    <w:rsid w:val="312E1520"/>
    <w:rsid w:val="32024370"/>
    <w:rsid w:val="34CC52D7"/>
    <w:rsid w:val="36F9612C"/>
    <w:rsid w:val="3B895CD0"/>
    <w:rsid w:val="3CCB2319"/>
    <w:rsid w:val="3CE93902"/>
    <w:rsid w:val="3F604F9A"/>
    <w:rsid w:val="40832985"/>
    <w:rsid w:val="45F91CA4"/>
    <w:rsid w:val="476475F1"/>
    <w:rsid w:val="4C4D4AF8"/>
    <w:rsid w:val="4EE2777A"/>
    <w:rsid w:val="51EB103B"/>
    <w:rsid w:val="53227C56"/>
    <w:rsid w:val="546B1FBF"/>
    <w:rsid w:val="551B5793"/>
    <w:rsid w:val="5661367A"/>
    <w:rsid w:val="57C826F5"/>
    <w:rsid w:val="59E65D4B"/>
    <w:rsid w:val="59F44805"/>
    <w:rsid w:val="5A3966BC"/>
    <w:rsid w:val="5C2313D1"/>
    <w:rsid w:val="5D5E6B65"/>
    <w:rsid w:val="5FA10F8B"/>
    <w:rsid w:val="5FDD947C"/>
    <w:rsid w:val="604162CA"/>
    <w:rsid w:val="62176435"/>
    <w:rsid w:val="65CB0B10"/>
    <w:rsid w:val="65D06126"/>
    <w:rsid w:val="660B1854"/>
    <w:rsid w:val="67E4410B"/>
    <w:rsid w:val="68B43ADD"/>
    <w:rsid w:val="6911231D"/>
    <w:rsid w:val="6B3D341D"/>
    <w:rsid w:val="6B6FC51D"/>
    <w:rsid w:val="6BB365AE"/>
    <w:rsid w:val="6E744582"/>
    <w:rsid w:val="735008A6"/>
    <w:rsid w:val="752C0E9F"/>
    <w:rsid w:val="756643B1"/>
    <w:rsid w:val="7682521B"/>
    <w:rsid w:val="77FF0EA9"/>
    <w:rsid w:val="7A1563A6"/>
    <w:rsid w:val="7BA83E29"/>
    <w:rsid w:val="7D0C7F34"/>
    <w:rsid w:val="7D902913"/>
    <w:rsid w:val="7DD02D0F"/>
    <w:rsid w:val="7FDD5BB8"/>
    <w:rsid w:val="7FFB20A7"/>
    <w:rsid w:val="9F7B0202"/>
    <w:rsid w:val="B5EE5AF2"/>
    <w:rsid w:val="BFFEE5E6"/>
    <w:rsid w:val="FFD79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黑体"/>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next w:val="1"/>
    <w:qFormat/>
    <w:uiPriority w:val="0"/>
    <w:pPr>
      <w:spacing w:before="100" w:beforeAutospacing="1" w:after="10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1702</Words>
  <Characters>1734</Characters>
  <Lines>0</Lines>
  <Paragraphs>0</Paragraphs>
  <TotalTime>0</TotalTime>
  <ScaleCrop>false</ScaleCrop>
  <LinksUpToDate>false</LinksUpToDate>
  <CharactersWithSpaces>1911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2022-01-18T09:52:00Z</dcterms:created>
  <dc:creator>Administrator</dc:creator>
  <cp:lastModifiedBy>greatwall</cp:lastModifiedBy>
  <cp:lastPrinted>2024-12-18T23:01:00Z</cp:lastPrinted>
  <dcterms:modified xsi:type="dcterms:W3CDTF">2025-02-24T12:12:05Z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26BAD6BD1CA14A55B335433C31977145_13</vt:lpwstr>
  </property>
</Properties>
</file>