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古县人力资源和社会保障局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2023年</w:t>
      </w:r>
      <w:r>
        <w:rPr>
          <w:rFonts w:hint="eastAsia" w:ascii="方正小标宋_GBK" w:hAnsi="方正小标宋_GBK" w:eastAsia="方正小标宋_GBK" w:cs="方正小标宋_GBK"/>
          <w:sz w:val="44"/>
          <w:szCs w:val="44"/>
        </w:rPr>
        <w:t>政府信息公开工作年度报告</w:t>
      </w:r>
    </w:p>
    <w:p>
      <w:pPr>
        <w:keepNext w:val="0"/>
        <w:keepLines w:val="0"/>
        <w:pageBreakBefore w:val="0"/>
        <w:kinsoku/>
        <w:wordWrap/>
        <w:overflowPunct/>
        <w:topLinePunct w:val="0"/>
        <w:autoSpaceDE/>
        <w:autoSpaceDN/>
        <w:bidi w:val="0"/>
        <w:adjustRightInd/>
        <w:snapToGrid/>
        <w:spacing w:line="580" w:lineRule="exact"/>
        <w:jc w:val="center"/>
        <w:rPr>
          <w:rFonts w:hint="eastAsia" w:ascii="方正小标宋简体" w:hAnsi="方正小标宋简体" w:eastAsia="方正小标宋简体" w:cs="方正小标宋简体"/>
          <w:sz w:val="15"/>
          <w:szCs w:val="15"/>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23</w:t>
      </w:r>
      <w:r>
        <w:rPr>
          <w:rFonts w:hint="eastAsia" w:ascii="仿宋_GB2312" w:hAnsi="仿宋_GB2312" w:eastAsia="仿宋_GB2312" w:cs="仿宋_GB2312"/>
          <w:b w:val="0"/>
          <w:bCs w:val="0"/>
          <w:sz w:val="32"/>
          <w:szCs w:val="32"/>
        </w:rPr>
        <w:t>年，我局认真贯彻落实《中华人民共和国政府信息公开条例》，主动公开政府信息</w:t>
      </w: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项，主动公开信息内容为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40"/>
        </w:rPr>
        <w:t>临汾市古县人力资源和社会保障局关于古县祥源人力资源服务有限公</w:t>
      </w:r>
      <w:bookmarkStart w:id="0" w:name="_GoBack"/>
      <w:bookmarkEnd w:id="0"/>
      <w:r>
        <w:rPr>
          <w:rFonts w:hint="eastAsia" w:ascii="仿宋_GB2312" w:hAnsi="仿宋_GB2312" w:eastAsia="仿宋_GB2312" w:cs="仿宋_GB2312"/>
          <w:sz w:val="32"/>
          <w:szCs w:val="40"/>
        </w:rPr>
        <w:t>司年审情况的公示</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2.古县人力资源和社会保障局关于征集就业见习单位（基地）的公告；3.古县人力资源和社会保障局关于进一步促进灵活就业人员参加社会保险公告；4.山西省高校毕业生就业创业政策；5.2023年古县关于开发公益性岗位招用就业困难高校毕业生面试公告；6.关于2023年脱贫劳动力外出务工就业和帮扶车间务工就业稳岗补助资金使用计划公告公示；7.古县关于开发公益性岗位招用就业高校毕业生体检公告；8.古县人力资源和社会保障局关于脱贫劳动力外出务工人员发放稳岗补助项目情况公告公示；9.古县青年就业见习补贴名单公示；10.古县人力资源和社会保障局关于脱贫劳动力外出务工人员发放稳岗补助项目情况公告公示；11.古县就业工作领导小组办公室关于招用2023年专项公益性岗位人员笔试的公告；12.2023年古县专项公益岗面试公告；13.脱贫劳动力外出务工人员发放稳岗补助项目情况公告公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没有收到和需要办理的政府信息公开申请；没有因政府信息公开工作被申请行政复议、提起行政诉讼的情况。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主动公开政府信息情况</w:t>
      </w:r>
    </w:p>
    <w:tbl>
      <w:tblPr>
        <w:tblStyle w:val="3"/>
        <w:tblW w:w="8513" w:type="dxa"/>
        <w:tblInd w:w="13" w:type="dxa"/>
        <w:shd w:val="clear" w:color="auto" w:fill="auto"/>
        <w:tblLayout w:type="fixed"/>
        <w:tblCellMar>
          <w:top w:w="0" w:type="dxa"/>
          <w:left w:w="0" w:type="dxa"/>
          <w:bottom w:w="0" w:type="dxa"/>
          <w:right w:w="0" w:type="dxa"/>
        </w:tblCellMar>
      </w:tblPr>
      <w:tblGrid>
        <w:gridCol w:w="2160"/>
        <w:gridCol w:w="1943"/>
        <w:gridCol w:w="2295"/>
        <w:gridCol w:w="2115"/>
      </w:tblGrid>
      <w:tr>
        <w:tblPrEx>
          <w:shd w:val="clear" w:color="auto" w:fill="auto"/>
          <w:tblCellMar>
            <w:top w:w="0" w:type="dxa"/>
            <w:left w:w="0" w:type="dxa"/>
            <w:bottom w:w="0" w:type="dxa"/>
            <w:right w:w="0" w:type="dxa"/>
          </w:tblCellMar>
        </w:tblPrEx>
        <w:trPr>
          <w:trHeight w:val="480" w:hRule="atLeast"/>
        </w:trPr>
        <w:tc>
          <w:tcPr>
            <w:tcW w:w="85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第二十条第（一）项</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信息内容</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default" w:ascii="仿宋_GB2312" w:hAnsi="宋体" w:eastAsia="仿宋_GB2312" w:cs="仿宋_GB2312"/>
                <w:i w:val="0"/>
                <w:color w:val="000000"/>
                <w:kern w:val="0"/>
                <w:sz w:val="28"/>
                <w:szCs w:val="28"/>
                <w:u w:val="none"/>
                <w:lang w:val="en-US" w:eastAsia="zh-CN" w:bidi="ar"/>
              </w:rPr>
              <w:t>本年</w:t>
            </w:r>
            <w:r>
              <w:rPr>
                <w:rFonts w:hint="eastAsia" w:ascii="仿宋_GB2312" w:hAnsi="宋体" w:eastAsia="仿宋_GB2312" w:cs="仿宋_GB2312"/>
                <w:i w:val="0"/>
                <w:color w:val="000000"/>
                <w:kern w:val="0"/>
                <w:sz w:val="28"/>
                <w:szCs w:val="28"/>
                <w:u w:val="none"/>
                <w:lang w:val="en-US" w:eastAsia="zh-CN" w:bidi="ar"/>
              </w:rPr>
              <w:t>制发件数</w:t>
            </w:r>
          </w:p>
        </w:tc>
        <w:tc>
          <w:tcPr>
            <w:tcW w:w="22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本年</w:t>
            </w:r>
            <w:r>
              <w:rPr>
                <w:rFonts w:hint="eastAsia" w:ascii="仿宋_GB2312" w:hAnsi="宋体" w:eastAsia="仿宋_GB2312" w:cs="仿宋_GB2312"/>
                <w:i w:val="0"/>
                <w:color w:val="000000"/>
                <w:kern w:val="0"/>
                <w:sz w:val="28"/>
                <w:szCs w:val="28"/>
                <w:u w:val="none"/>
                <w:lang w:val="en-US" w:eastAsia="zh-CN" w:bidi="ar"/>
              </w:rPr>
              <w:t>废止件数</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宋体" w:eastAsia="仿宋_GB2312" w:cs="仿宋_GB2312"/>
                <w:i w:val="0"/>
                <w:color w:val="000000"/>
                <w:sz w:val="28"/>
                <w:szCs w:val="28"/>
                <w:u w:val="none"/>
                <w:lang w:eastAsia="zh-CN"/>
              </w:rPr>
            </w:pPr>
            <w:r>
              <w:rPr>
                <w:rFonts w:hint="eastAsia" w:ascii="仿宋_GB2312" w:hAnsi="宋体" w:eastAsia="仿宋_GB2312" w:cs="仿宋_GB2312"/>
                <w:i w:val="0"/>
                <w:color w:val="000000"/>
                <w:sz w:val="28"/>
                <w:szCs w:val="28"/>
                <w:u w:val="none"/>
                <w:lang w:eastAsia="zh-CN"/>
              </w:rPr>
              <w:t>现行有效件数</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规章</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行政</w:t>
            </w:r>
            <w:r>
              <w:rPr>
                <w:rFonts w:hint="default" w:ascii="仿宋_GB2312" w:hAnsi="宋体" w:eastAsia="仿宋_GB2312" w:cs="仿宋_GB2312"/>
                <w:i w:val="0"/>
                <w:color w:val="000000"/>
                <w:kern w:val="0"/>
                <w:sz w:val="28"/>
                <w:szCs w:val="28"/>
                <w:u w:val="none"/>
                <w:lang w:val="en-US" w:eastAsia="zh-CN" w:bidi="ar"/>
              </w:rPr>
              <w:t>规范性文件</w:t>
            </w:r>
          </w:p>
        </w:tc>
        <w:tc>
          <w:tcPr>
            <w:tcW w:w="19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r>
        <w:tblPrEx>
          <w:shd w:val="clear" w:color="auto" w:fill="auto"/>
          <w:tblCellMar>
            <w:top w:w="0" w:type="dxa"/>
            <w:left w:w="0" w:type="dxa"/>
            <w:bottom w:w="0" w:type="dxa"/>
            <w:right w:w="0" w:type="dxa"/>
          </w:tblCellMar>
        </w:tblPrEx>
        <w:trPr>
          <w:trHeight w:val="584" w:hRule="atLeast"/>
        </w:trPr>
        <w:tc>
          <w:tcPr>
            <w:tcW w:w="85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第二十条第（五）项</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信息内容</w:t>
            </w:r>
          </w:p>
        </w:tc>
        <w:tc>
          <w:tcPr>
            <w:tcW w:w="63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宋体" w:eastAsia="仿宋_GB2312" w:cs="仿宋_GB2312"/>
                <w:i w:val="0"/>
                <w:color w:val="000000"/>
                <w:sz w:val="28"/>
                <w:szCs w:val="28"/>
                <w:u w:val="none"/>
                <w:lang w:eastAsia="zh-CN"/>
              </w:rPr>
            </w:pPr>
            <w:r>
              <w:rPr>
                <w:rFonts w:hint="eastAsia" w:ascii="仿宋_GB2312" w:hAnsi="宋体" w:eastAsia="仿宋_GB2312" w:cs="仿宋_GB2312"/>
                <w:i w:val="0"/>
                <w:color w:val="000000"/>
                <w:sz w:val="28"/>
                <w:szCs w:val="28"/>
                <w:u w:val="none"/>
                <w:lang w:eastAsia="zh-CN"/>
              </w:rPr>
              <w:t>本年处理决定数量</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行政许可</w:t>
            </w:r>
          </w:p>
        </w:tc>
        <w:tc>
          <w:tcPr>
            <w:tcW w:w="63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1</w:t>
            </w:r>
          </w:p>
        </w:tc>
      </w:tr>
      <w:tr>
        <w:tblPrEx>
          <w:shd w:val="clear" w:color="auto" w:fill="auto"/>
          <w:tblCellMar>
            <w:top w:w="0" w:type="dxa"/>
            <w:left w:w="0" w:type="dxa"/>
            <w:bottom w:w="0" w:type="dxa"/>
            <w:right w:w="0" w:type="dxa"/>
          </w:tblCellMar>
        </w:tblPrEx>
        <w:trPr>
          <w:trHeight w:val="480" w:hRule="atLeast"/>
        </w:trPr>
        <w:tc>
          <w:tcPr>
            <w:tcW w:w="85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第二十条第（六）项</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信息内容</w:t>
            </w:r>
          </w:p>
        </w:tc>
        <w:tc>
          <w:tcPr>
            <w:tcW w:w="63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eastAsia" w:ascii="仿宋_GB2312" w:hAnsi="宋体" w:eastAsia="仿宋_GB2312" w:cs="仿宋_GB2312"/>
                <w:i w:val="0"/>
                <w:color w:val="000000"/>
                <w:sz w:val="28"/>
                <w:szCs w:val="28"/>
                <w:u w:val="none"/>
                <w:lang w:eastAsia="zh-CN"/>
              </w:rPr>
              <w:t>本年处理决定数量</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行政处罚</w:t>
            </w:r>
          </w:p>
        </w:tc>
        <w:tc>
          <w:tcPr>
            <w:tcW w:w="63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宋体" w:eastAsia="仿宋_GB2312" w:cs="仿宋_GB2312"/>
                <w:i w:val="0"/>
                <w:color w:val="000000"/>
                <w:sz w:val="28"/>
                <w:szCs w:val="28"/>
                <w:u w:val="none"/>
                <w:lang w:val="en-US" w:eastAsia="zh-CN"/>
              </w:rPr>
            </w:pPr>
            <w:r>
              <w:rPr>
                <w:rFonts w:hint="eastAsia" w:ascii="仿宋_GB2312" w:hAnsi="宋体" w:eastAsia="仿宋_GB2312" w:cs="仿宋_GB2312"/>
                <w:i w:val="0"/>
                <w:color w:val="000000"/>
                <w:sz w:val="28"/>
                <w:szCs w:val="28"/>
                <w:u w:val="none"/>
                <w:lang w:val="en-US" w:eastAsia="zh-CN"/>
              </w:rPr>
              <w:t>0</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行政强制</w:t>
            </w:r>
          </w:p>
        </w:tc>
        <w:tc>
          <w:tcPr>
            <w:tcW w:w="63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r>
        <w:tblPrEx>
          <w:shd w:val="clear" w:color="auto" w:fill="auto"/>
          <w:tblCellMar>
            <w:top w:w="0" w:type="dxa"/>
            <w:left w:w="0" w:type="dxa"/>
            <w:bottom w:w="0" w:type="dxa"/>
            <w:right w:w="0" w:type="dxa"/>
          </w:tblCellMar>
        </w:tblPrEx>
        <w:trPr>
          <w:trHeight w:val="480" w:hRule="atLeast"/>
        </w:trPr>
        <w:tc>
          <w:tcPr>
            <w:tcW w:w="85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第二十条第（八）项</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信息内容</w:t>
            </w:r>
          </w:p>
        </w:tc>
        <w:tc>
          <w:tcPr>
            <w:tcW w:w="63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eastAsia" w:ascii="仿宋_GB2312" w:hAnsi="宋体" w:eastAsia="仿宋_GB2312" w:cs="仿宋_GB2312"/>
                <w:i w:val="0"/>
                <w:color w:val="000000"/>
                <w:sz w:val="28"/>
                <w:szCs w:val="28"/>
                <w:u w:val="none"/>
                <w:lang w:eastAsia="zh-CN"/>
              </w:rPr>
            </w:pPr>
            <w:r>
              <w:rPr>
                <w:rFonts w:hint="eastAsia" w:ascii="仿宋_GB2312" w:hAnsi="宋体" w:eastAsia="仿宋_GB2312" w:cs="仿宋_GB2312"/>
                <w:i w:val="0"/>
                <w:color w:val="000000"/>
                <w:sz w:val="28"/>
                <w:szCs w:val="28"/>
                <w:u w:val="none"/>
                <w:lang w:eastAsia="zh-CN"/>
              </w:rPr>
              <w:t>本年收费金额（单位：万元）</w:t>
            </w:r>
          </w:p>
        </w:tc>
      </w:tr>
      <w:tr>
        <w:tblPrEx>
          <w:shd w:val="clear" w:color="auto" w:fill="auto"/>
          <w:tblCellMar>
            <w:top w:w="0" w:type="dxa"/>
            <w:left w:w="0" w:type="dxa"/>
            <w:bottom w:w="0" w:type="dxa"/>
            <w:right w:w="0" w:type="dxa"/>
          </w:tblCellMar>
        </w:tblPrEx>
        <w:trPr>
          <w:trHeight w:val="48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行政事业性收费</w:t>
            </w:r>
          </w:p>
        </w:tc>
        <w:tc>
          <w:tcPr>
            <w:tcW w:w="635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bCs/>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收到和处理政府信息公开申请情况</w:t>
      </w:r>
    </w:p>
    <w:tbl>
      <w:tblPr>
        <w:tblStyle w:val="3"/>
        <w:tblW w:w="8559" w:type="dxa"/>
        <w:tblInd w:w="0" w:type="dxa"/>
        <w:shd w:val="clear" w:color="auto" w:fill="auto"/>
        <w:tblLayout w:type="fixed"/>
        <w:tblCellMar>
          <w:top w:w="0" w:type="dxa"/>
          <w:left w:w="0" w:type="dxa"/>
          <w:bottom w:w="0" w:type="dxa"/>
          <w:right w:w="0" w:type="dxa"/>
        </w:tblCellMar>
      </w:tblPr>
      <w:tblGrid>
        <w:gridCol w:w="360"/>
        <w:gridCol w:w="666"/>
        <w:gridCol w:w="1417"/>
        <w:gridCol w:w="855"/>
        <w:gridCol w:w="960"/>
        <w:gridCol w:w="930"/>
        <w:gridCol w:w="1140"/>
        <w:gridCol w:w="1050"/>
        <w:gridCol w:w="525"/>
        <w:gridCol w:w="656"/>
      </w:tblGrid>
      <w:tr>
        <w:tblPrEx>
          <w:shd w:val="clear" w:color="auto" w:fill="auto"/>
          <w:tblCellMar>
            <w:top w:w="0" w:type="dxa"/>
            <w:left w:w="0" w:type="dxa"/>
            <w:bottom w:w="0" w:type="dxa"/>
            <w:right w:w="0" w:type="dxa"/>
          </w:tblCellMar>
        </w:tblPrEx>
        <w:trPr>
          <w:trHeight w:val="285" w:hRule="atLeast"/>
        </w:trPr>
        <w:tc>
          <w:tcPr>
            <w:tcW w:w="24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 xml:space="preserve">    </w:t>
            </w:r>
            <w:r>
              <w:rPr>
                <w:rFonts w:hint="eastAsia" w:ascii="仿宋_GB2312" w:hAnsi="仿宋_GB2312" w:eastAsia="仿宋_GB2312" w:cs="仿宋_GB2312"/>
                <w:i w:val="0"/>
                <w:color w:val="000000"/>
                <w:kern w:val="0"/>
                <w:sz w:val="20"/>
                <w:szCs w:val="20"/>
                <w:u w:val="none"/>
                <w:lang w:val="en-US" w:eastAsia="zh-CN" w:bidi="ar"/>
              </w:rPr>
              <w:t>（本列数据的勾稽关系为：第一项加第二项之和，等于第三项加第四项之和）</w:t>
            </w:r>
          </w:p>
        </w:tc>
        <w:tc>
          <w:tcPr>
            <w:tcW w:w="611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21"/>
                <w:szCs w:val="21"/>
                <w:u w:val="none"/>
                <w:lang w:val="en-US" w:eastAsia="zh-CN" w:bidi="ar"/>
              </w:rPr>
              <w:t>申请人情况</w:t>
            </w:r>
          </w:p>
        </w:tc>
      </w:tr>
      <w:tr>
        <w:tblPrEx>
          <w:shd w:val="clear" w:color="auto" w:fill="auto"/>
          <w:tblCellMar>
            <w:top w:w="0" w:type="dxa"/>
            <w:left w:w="0" w:type="dxa"/>
            <w:bottom w:w="0" w:type="dxa"/>
            <w:right w:w="0" w:type="dxa"/>
          </w:tblCellMar>
        </w:tblPrEx>
        <w:trPr>
          <w:trHeight w:val="285" w:hRule="atLeast"/>
        </w:trPr>
        <w:tc>
          <w:tcPr>
            <w:tcW w:w="24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left"/>
              <w:rPr>
                <w:rFonts w:hint="default" w:ascii="仿宋_GB2312" w:hAnsi="宋体" w:eastAsia="仿宋_GB2312" w:cs="仿宋_GB2312"/>
                <w:i w:val="0"/>
                <w:color w:val="000000"/>
                <w:sz w:val="16"/>
                <w:szCs w:val="16"/>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自然人</w:t>
            </w:r>
          </w:p>
        </w:tc>
        <w:tc>
          <w:tcPr>
            <w:tcW w:w="46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法人或其他组织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总计</w:t>
            </w:r>
          </w:p>
        </w:tc>
      </w:tr>
      <w:tr>
        <w:tblPrEx>
          <w:shd w:val="clear" w:color="auto" w:fill="auto"/>
          <w:tblCellMar>
            <w:top w:w="0" w:type="dxa"/>
            <w:left w:w="0" w:type="dxa"/>
            <w:bottom w:w="0" w:type="dxa"/>
            <w:right w:w="0" w:type="dxa"/>
          </w:tblCellMar>
        </w:tblPrEx>
        <w:trPr>
          <w:trHeight w:val="420" w:hRule="atLeast"/>
        </w:trPr>
        <w:tc>
          <w:tcPr>
            <w:tcW w:w="24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left"/>
              <w:rPr>
                <w:rFonts w:hint="default" w:ascii="仿宋_GB2312" w:hAnsi="宋体" w:eastAsia="仿宋_GB2312" w:cs="仿宋_GB2312"/>
                <w:i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商业企业</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科研机构</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社会公益组织</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法律服务机构</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其他</w:t>
            </w: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r>
      <w:tr>
        <w:tblPrEx>
          <w:shd w:val="clear" w:color="auto" w:fill="auto"/>
          <w:tblCellMar>
            <w:top w:w="0" w:type="dxa"/>
            <w:left w:w="0" w:type="dxa"/>
            <w:bottom w:w="0" w:type="dxa"/>
            <w:right w:w="0" w:type="dxa"/>
          </w:tblCellMar>
        </w:tblPrEx>
        <w:trPr>
          <w:trHeight w:val="560" w:hRule="atLeast"/>
        </w:trPr>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16"/>
                <w:szCs w:val="16"/>
                <w:u w:val="none"/>
              </w:rPr>
            </w:pPr>
            <w:r>
              <w:rPr>
                <w:rFonts w:hint="default" w:ascii="仿宋_GB2312" w:hAnsi="宋体" w:eastAsia="仿宋_GB2312" w:cs="仿宋_GB2312"/>
                <w:i w:val="0"/>
                <w:color w:val="000000"/>
                <w:kern w:val="0"/>
                <w:sz w:val="16"/>
                <w:szCs w:val="16"/>
                <w:u w:val="none"/>
                <w:lang w:val="en-US" w:eastAsia="zh-CN" w:bidi="ar"/>
              </w:rPr>
              <w:t xml:space="preserve">   </w:t>
            </w:r>
            <w:r>
              <w:rPr>
                <w:rFonts w:hint="default" w:ascii="仿宋_GB2312" w:hAnsi="宋体" w:eastAsia="仿宋_GB2312" w:cs="仿宋_GB2312"/>
                <w:i w:val="0"/>
                <w:color w:val="000000"/>
                <w:kern w:val="0"/>
                <w:sz w:val="18"/>
                <w:szCs w:val="18"/>
                <w:u w:val="none"/>
                <w:lang w:val="en-US" w:eastAsia="zh-CN" w:bidi="ar"/>
              </w:rPr>
              <w:t xml:space="preserve"> </w:t>
            </w:r>
            <w:r>
              <w:rPr>
                <w:rFonts w:hint="default" w:ascii="仿宋_GB2312" w:hAnsi="宋体" w:eastAsia="仿宋_GB2312" w:cs="仿宋_GB2312"/>
                <w:i w:val="0"/>
                <w:color w:val="000000"/>
                <w:kern w:val="0"/>
                <w:sz w:val="21"/>
                <w:szCs w:val="21"/>
                <w:u w:val="none"/>
                <w:lang w:val="en-US" w:eastAsia="zh-CN" w:bidi="ar"/>
              </w:rPr>
              <w:t>一、本年新收政府信息公开申请数量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    二、上年结转政府信息公开申请数量</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三、本年度办理结果</w:t>
            </w: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（一）予以公开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6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208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（二）部分公开（区分处理的，只计这一情形，不计其他情形）</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（三）不予公开</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1.属于国家秘密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2.其他法律行政法规禁止公开</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3.危及“三安全一稳定”</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4.保护第三方合法权益</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5.属于三类内部事务信息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6.属于四类过程性信息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7.属于行政执法案卷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8.属于行政查询事项</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（四）无法提供</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1.本机关不掌握相关政府信息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18"/>
                <w:szCs w:val="18"/>
                <w:u w:val="none"/>
                <w:lang w:val="en-US" w:eastAsia="zh-CN" w:bidi="ar"/>
              </w:rPr>
              <w:t>2.没有现成信息需要另行制作</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3.补正后申请内容仍不明确</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（五）不予处理</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1.信访举报投诉类申请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2.重复申请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3.要求提供公开出版物</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4.无正当理由大量反复申请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0"/>
                <w:szCs w:val="20"/>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5.要求行政机关确认或重新出具已获取信息</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restart"/>
            <w:tcBorders>
              <w:top w:val="single" w:color="000000" w:sz="4" w:space="0"/>
              <w:left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default" w:ascii="仿宋_GB2312" w:hAnsi="宋体" w:eastAsia="仿宋_GB2312" w:cs="仿宋_GB2312"/>
                <w:i w:val="0"/>
                <w:color w:val="000000"/>
                <w:kern w:val="0"/>
                <w:sz w:val="20"/>
                <w:szCs w:val="20"/>
                <w:u w:val="none"/>
                <w:lang w:val="en-US" w:eastAsia="zh-CN" w:bidi="ar"/>
              </w:rPr>
              <w:t>（六）其他处理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215" w:firstLineChars="0"/>
              <w:jc w:val="left"/>
              <w:textAlignment w:val="center"/>
              <w:rPr>
                <w:rFonts w:hint="default" w:ascii="仿宋_GB2312" w:hAnsi="宋体" w:eastAsia="仿宋_GB2312" w:cs="仿宋_GB2312"/>
                <w:i w:val="0"/>
                <w:color w:val="000000"/>
                <w:kern w:val="0"/>
                <w:sz w:val="20"/>
                <w:szCs w:val="20"/>
                <w:u w:val="none"/>
                <w:lang w:val="en-US" w:eastAsia="zh-CN" w:bidi="ar"/>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sz w:val="20"/>
                <w:szCs w:val="20"/>
                <w:u w:val="none"/>
                <w:lang w:val="en-US" w:eastAsia="zh-CN"/>
              </w:rPr>
              <w:t>1.申请人无正当理由逾期不补正、行政机关不再处理其政府信息公开申请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lang w:val="en-US" w:eastAsia="zh-CN"/>
              </w:rPr>
            </w:pPr>
            <w:r>
              <w:rPr>
                <w:rFonts w:hint="eastAsia" w:ascii="仿宋_GB2312" w:hAnsi="宋体" w:eastAsia="仿宋_GB2312" w:cs="仿宋_GB2312"/>
                <w:i w:val="0"/>
                <w:color w:val="000000"/>
                <w:sz w:val="22"/>
                <w:szCs w:val="22"/>
                <w:u w:val="none"/>
                <w:lang w:val="en-US" w:eastAsia="zh-CN"/>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left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16"/>
                <w:szCs w:val="16"/>
                <w:u w:val="none"/>
              </w:rPr>
            </w:pPr>
          </w:p>
        </w:tc>
        <w:tc>
          <w:tcPr>
            <w:tcW w:w="141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firstLine="215" w:firstLineChars="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2.申请人逾期未按收费通知要求缴纳费用、行政机关不再处理其政府信息公开申请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16"/>
                <w:szCs w:val="16"/>
                <w:u w:val="none"/>
              </w:rPr>
            </w:pPr>
          </w:p>
        </w:tc>
        <w:tc>
          <w:tcPr>
            <w:tcW w:w="666" w:type="dxa"/>
            <w:vMerge w:val="continue"/>
            <w:tcBorders>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firstLine="215" w:firstLineChars="0"/>
              <w:jc w:val="left"/>
              <w:textAlignment w:val="center"/>
              <w:rPr>
                <w:rFonts w:hint="default" w:ascii="仿宋_GB2312" w:hAnsi="宋体" w:eastAsia="仿宋_GB2312" w:cs="仿宋_GB2312"/>
                <w:i w:val="0"/>
                <w:color w:val="000000"/>
                <w:kern w:val="0"/>
                <w:sz w:val="16"/>
                <w:szCs w:val="16"/>
                <w:u w:val="none"/>
                <w:lang w:val="en-US" w:eastAsia="zh-CN" w:bidi="ar"/>
              </w:rPr>
            </w:pPr>
          </w:p>
        </w:tc>
        <w:tc>
          <w:tcPr>
            <w:tcW w:w="1417" w:type="dxa"/>
            <w:tcBorders>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ind w:firstLine="215" w:firstLineChars="0"/>
              <w:jc w:val="left"/>
              <w:textAlignment w:val="center"/>
              <w:rPr>
                <w:rFonts w:hint="default"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3.其他</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0</w:t>
            </w:r>
          </w:p>
        </w:tc>
      </w:tr>
      <w:tr>
        <w:tblPrEx>
          <w:shd w:val="clear" w:color="auto" w:fill="auto"/>
          <w:tblCellMar>
            <w:top w:w="0" w:type="dxa"/>
            <w:left w:w="0" w:type="dxa"/>
            <w:bottom w:w="0" w:type="dxa"/>
            <w:right w:w="0" w:type="dxa"/>
          </w:tblCellMar>
        </w:tblPrEx>
        <w:trPr>
          <w:trHeight w:val="560" w:hRule="atLeast"/>
        </w:trPr>
        <w:tc>
          <w:tcPr>
            <w:tcW w:w="244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 xml:space="preserve">   四、结转下年度继续办理</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政府信息公开行政复议、行政诉讼情况</w:t>
      </w:r>
    </w:p>
    <w:tbl>
      <w:tblPr>
        <w:tblStyle w:val="3"/>
        <w:tblW w:w="8593" w:type="dxa"/>
        <w:tblInd w:w="0" w:type="dxa"/>
        <w:shd w:val="clear" w:color="auto" w:fill="auto"/>
        <w:tblLayout w:type="fixed"/>
        <w:tblCellMar>
          <w:top w:w="0" w:type="dxa"/>
          <w:left w:w="0" w:type="dxa"/>
          <w:bottom w:w="0" w:type="dxa"/>
          <w:right w:w="0" w:type="dxa"/>
        </w:tblCellMar>
      </w:tblPr>
      <w:tblGrid>
        <w:gridCol w:w="378"/>
        <w:gridCol w:w="379"/>
        <w:gridCol w:w="379"/>
        <w:gridCol w:w="379"/>
        <w:gridCol w:w="379"/>
        <w:gridCol w:w="654"/>
        <w:gridCol w:w="654"/>
        <w:gridCol w:w="654"/>
        <w:gridCol w:w="654"/>
        <w:gridCol w:w="654"/>
        <w:gridCol w:w="654"/>
        <w:gridCol w:w="654"/>
        <w:gridCol w:w="654"/>
        <w:gridCol w:w="654"/>
        <w:gridCol w:w="813"/>
      </w:tblGrid>
      <w:tr>
        <w:tblPrEx>
          <w:tblCellMar>
            <w:top w:w="0" w:type="dxa"/>
            <w:left w:w="0" w:type="dxa"/>
            <w:bottom w:w="0" w:type="dxa"/>
            <w:right w:w="0" w:type="dxa"/>
          </w:tblCellMar>
        </w:tblPrEx>
        <w:trPr>
          <w:trHeight w:val="375" w:hRule="atLeast"/>
        </w:trPr>
        <w:tc>
          <w:tcPr>
            <w:tcW w:w="27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行政复议</w:t>
            </w:r>
          </w:p>
        </w:tc>
        <w:tc>
          <w:tcPr>
            <w:tcW w:w="581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行政诉讼</w:t>
            </w:r>
          </w:p>
        </w:tc>
      </w:tr>
      <w:tr>
        <w:tblPrEx>
          <w:shd w:val="clear" w:color="auto" w:fill="auto"/>
          <w:tblCellMar>
            <w:top w:w="0" w:type="dxa"/>
            <w:left w:w="0" w:type="dxa"/>
            <w:bottom w:w="0" w:type="dxa"/>
            <w:right w:w="0" w:type="dxa"/>
          </w:tblCellMar>
        </w:tblPrEx>
        <w:trPr>
          <w:trHeight w:val="37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结果维持</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结果纠正</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其他结果</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尚未审结</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总计</w:t>
            </w:r>
          </w:p>
        </w:tc>
        <w:tc>
          <w:tcPr>
            <w:tcW w:w="278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未经复议直接起诉</w:t>
            </w:r>
          </w:p>
        </w:tc>
        <w:tc>
          <w:tcPr>
            <w:tcW w:w="30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复议后起诉</w:t>
            </w:r>
          </w:p>
        </w:tc>
      </w:tr>
      <w:tr>
        <w:tblPrEx>
          <w:shd w:val="clear" w:color="auto" w:fill="auto"/>
          <w:tblCellMar>
            <w:top w:w="0" w:type="dxa"/>
            <w:left w:w="0" w:type="dxa"/>
            <w:bottom w:w="0" w:type="dxa"/>
            <w:right w:w="0" w:type="dxa"/>
          </w:tblCellMar>
        </w:tblPrEx>
        <w:trPr>
          <w:trHeight w:val="1545"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8"/>
                <w:szCs w:val="2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8"/>
                <w:szCs w:val="2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8"/>
                <w:szCs w:val="2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8"/>
                <w:szCs w:val="28"/>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kinsoku/>
              <w:wordWrap/>
              <w:overflowPunct/>
              <w:topLinePunct w:val="0"/>
              <w:autoSpaceDE/>
              <w:autoSpaceDN/>
              <w:bidi w:val="0"/>
              <w:adjustRightInd/>
              <w:snapToGrid/>
              <w:spacing w:line="580" w:lineRule="exact"/>
              <w:jc w:val="center"/>
              <w:rPr>
                <w:rFonts w:hint="default" w:ascii="仿宋_GB2312" w:hAnsi="宋体" w:eastAsia="仿宋_GB2312" w:cs="仿宋_GB2312"/>
                <w:i w:val="0"/>
                <w:color w:val="000000"/>
                <w:sz w:val="28"/>
                <w:szCs w:val="28"/>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结果维持</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结果纠正</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其他结果</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尚未审结</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总计</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结果维持</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结果纠正</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其他结果</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尚未审结</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总计</w:t>
            </w:r>
          </w:p>
        </w:tc>
      </w:tr>
      <w:tr>
        <w:tblPrEx>
          <w:shd w:val="clear" w:color="auto" w:fill="auto"/>
          <w:tblCellMar>
            <w:top w:w="0" w:type="dxa"/>
            <w:left w:w="0" w:type="dxa"/>
            <w:bottom w:w="0" w:type="dxa"/>
            <w:right w:w="0" w:type="dxa"/>
          </w:tblCellMar>
        </w:tblPrEx>
        <w:trPr>
          <w:trHeight w:val="37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需要进一步加强对新修订的《中华人民共和国政府信息公开条例》的学习，不断提高对政府信息公开工作年度报告重要作用的认识，提升政府信息公开工作年度报告的实效性。</w:t>
      </w:r>
    </w:p>
    <w:p>
      <w:pPr>
        <w:keepNext w:val="0"/>
        <w:keepLines w:val="0"/>
        <w:pageBreakBefore w:val="0"/>
        <w:widowControl w:val="0"/>
        <w:numPr>
          <w:ilvl w:val="0"/>
          <w:numId w:val="0"/>
        </w:numPr>
        <w:tabs>
          <w:tab w:val="center" w:pos="4153"/>
        </w:tabs>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六、其他需要报告的事项</w:t>
      </w:r>
      <w:r>
        <w:rPr>
          <w:rFonts w:hint="eastAsia" w:ascii="黑体" w:hAnsi="黑体" w:eastAsia="黑体" w:cs="黑体"/>
          <w:b w:val="0"/>
          <w:bCs w:val="0"/>
          <w:sz w:val="32"/>
          <w:szCs w:val="32"/>
          <w:lang w:val="en-US" w:eastAsia="zh-CN"/>
        </w:rPr>
        <w:tab/>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sz w:val="32"/>
          <w:szCs w:val="32"/>
          <w:lang w:val="en-US" w:eastAsia="zh-CN"/>
        </w:rPr>
        <w:t>本年度未收取政府信息公开信息处理费。</w:t>
      </w:r>
    </w:p>
    <w:p>
      <w:pPr>
        <w:keepNext w:val="0"/>
        <w:keepLines w:val="0"/>
        <w:pageBreakBefore w:val="0"/>
        <w:numPr>
          <w:ilvl w:val="0"/>
          <w:numId w:val="0"/>
        </w:numPr>
        <w:tabs>
          <w:tab w:val="center" w:pos="4153"/>
        </w:tabs>
        <w:kinsoku/>
        <w:wordWrap/>
        <w:overflowPunct/>
        <w:topLinePunct w:val="0"/>
        <w:autoSpaceDE/>
        <w:autoSpaceDN/>
        <w:bidi w:val="0"/>
        <w:adjustRightInd/>
        <w:snapToGrid/>
        <w:spacing w:line="580" w:lineRule="exact"/>
        <w:ind w:left="220" w:leftChars="0" w:firstLine="640"/>
        <w:jc w:val="right"/>
        <w:rPr>
          <w:rFonts w:hint="default" w:ascii="仿宋" w:hAnsi="仿宋" w:eastAsia="仿宋" w:cs="仿宋"/>
          <w:b w:val="0"/>
          <w:bCs w:val="0"/>
          <w:sz w:val="32"/>
          <w:szCs w:val="32"/>
          <w:lang w:val="en-US" w:eastAsia="zh-CN"/>
        </w:rPr>
      </w:pPr>
    </w:p>
    <w:p>
      <w:pPr>
        <w:keepNext w:val="0"/>
        <w:keepLines w:val="0"/>
        <w:pageBreakBefore w:val="0"/>
        <w:numPr>
          <w:ilvl w:val="0"/>
          <w:numId w:val="0"/>
        </w:numPr>
        <w:tabs>
          <w:tab w:val="center" w:pos="4153"/>
        </w:tabs>
        <w:kinsoku/>
        <w:wordWrap/>
        <w:overflowPunct/>
        <w:topLinePunct w:val="0"/>
        <w:autoSpaceDE/>
        <w:autoSpaceDN/>
        <w:bidi w:val="0"/>
        <w:adjustRightInd/>
        <w:snapToGrid/>
        <w:spacing w:line="580" w:lineRule="exact"/>
        <w:ind w:left="220" w:leftChars="0" w:firstLine="640"/>
        <w:jc w:val="cente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古县人力资源和社会保障局</w:t>
      </w:r>
    </w:p>
    <w:p>
      <w:pPr>
        <w:keepNext w:val="0"/>
        <w:keepLines w:val="0"/>
        <w:pageBreakBefore w:val="0"/>
        <w:numPr>
          <w:ilvl w:val="0"/>
          <w:numId w:val="0"/>
        </w:numPr>
        <w:tabs>
          <w:tab w:val="center" w:pos="4153"/>
        </w:tabs>
        <w:kinsoku/>
        <w:wordWrap/>
        <w:overflowPunct/>
        <w:topLinePunct w:val="0"/>
        <w:autoSpaceDE/>
        <w:autoSpaceDN/>
        <w:bidi w:val="0"/>
        <w:adjustRightInd/>
        <w:snapToGrid/>
        <w:spacing w:line="580" w:lineRule="exact"/>
        <w:ind w:left="220" w:leftChars="0" w:firstLine="640"/>
        <w:jc w:val="center"/>
        <w:rPr>
          <w:rFonts w:hint="eastAsia" w:ascii="黑体" w:hAnsi="黑体" w:eastAsia="黑体" w:cs="黑体"/>
          <w:b w:val="0"/>
          <w:bCs w:val="0"/>
          <w:sz w:val="32"/>
          <w:szCs w:val="32"/>
        </w:rPr>
      </w:pPr>
      <w:r>
        <w:rPr>
          <w:rFonts w:hint="eastAsia" w:ascii="仿宋_GB2312" w:hAnsi="仿宋_GB2312" w:eastAsia="仿宋_GB2312" w:cs="仿宋_GB2312"/>
          <w:b w:val="0"/>
          <w:bCs w:val="0"/>
          <w:sz w:val="32"/>
          <w:szCs w:val="32"/>
          <w:lang w:val="en-US" w:eastAsia="zh-CN"/>
        </w:rPr>
        <w:t xml:space="preserve">                    2023年12月15日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5FA35"/>
    <w:multiLevelType w:val="singleLevel"/>
    <w:tmpl w:val="7A05FA3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ZjNmOTI2MDU4ZjZmMWU0Y2NlYmQ4N2RmMDlkOGQifQ=="/>
  </w:docVars>
  <w:rsids>
    <w:rsidRoot w:val="58E0584E"/>
    <w:rsid w:val="0EDB22AA"/>
    <w:rsid w:val="58E0584E"/>
    <w:rsid w:val="97D72ADE"/>
    <w:rsid w:val="DF97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390</Words>
  <Characters>421</Characters>
  <Lines>0</Lines>
  <Paragraphs>0</Paragraphs>
  <TotalTime>2</TotalTime>
  <ScaleCrop>false</ScaleCrop>
  <LinksUpToDate>false</LinksUpToDate>
  <CharactersWithSpaces>421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2023-12-01T15:42:00Z</dcterms:created>
  <dc:creator>徐强</dc:creator>
  <cp:lastModifiedBy>greatwall</cp:lastModifiedBy>
  <cp:lastPrinted>2023-12-06T15:37:00Z</cp:lastPrinted>
  <dcterms:modified xsi:type="dcterms:W3CDTF">2024-02-05T15:57:37Z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5812B3CCDEF3452B92AB439E810E33B0_11</vt:lpwstr>
  </property>
</Properties>
</file>