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27C19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古县发展和改革局</w:t>
      </w:r>
    </w:p>
    <w:p w14:paraId="75FF1BB7">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2026年度能源和粮食行业行政检查计划</w:t>
      </w:r>
    </w:p>
    <w:p w14:paraId="39F05BF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p>
    <w:p w14:paraId="2C66A82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p>
    <w:p w14:paraId="44EC4B2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为贯彻落实好2026年省、市能源、粮食工作会议精神，加强和规范能源和粮食监管工作，促进执法检查工作的科学性、计划性和针对性，现结合工作实际，制定本计划。</w:t>
      </w:r>
    </w:p>
    <w:p w14:paraId="56A2685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黑体" w:hAnsi="黑体" w:eastAsia="黑体" w:cs="黑体"/>
          <w:sz w:val="32"/>
          <w:szCs w:val="32"/>
          <w:lang w:val="en-US" w:eastAsia="zh-CN"/>
        </w:rPr>
        <w:t>一、指导思想</w:t>
      </w:r>
    </w:p>
    <w:p w14:paraId="63B54B1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bCs/>
          <w:sz w:val="32"/>
          <w:szCs w:val="32"/>
        </w:rPr>
        <w:t>为认真贯彻</w:t>
      </w:r>
      <w:r>
        <w:rPr>
          <w:rFonts w:hint="eastAsia" w:ascii="仿宋" w:hAnsi="仿宋" w:eastAsia="仿宋" w:cs="仿宋"/>
          <w:bCs/>
          <w:sz w:val="32"/>
          <w:szCs w:val="32"/>
          <w:lang w:eastAsia="zh-CN"/>
        </w:rPr>
        <w:t>落实</w:t>
      </w:r>
      <w:r>
        <w:rPr>
          <w:rFonts w:hint="eastAsia" w:ascii="仿宋" w:hAnsi="仿宋" w:eastAsia="仿宋" w:cs="仿宋"/>
          <w:bCs/>
          <w:sz w:val="32"/>
          <w:szCs w:val="32"/>
        </w:rPr>
        <w:t>党的二十大</w:t>
      </w:r>
      <w:r>
        <w:rPr>
          <w:rFonts w:hint="eastAsia" w:ascii="仿宋" w:hAnsi="仿宋" w:eastAsia="仿宋" w:cs="仿宋"/>
          <w:bCs/>
          <w:sz w:val="32"/>
          <w:szCs w:val="32"/>
          <w:lang w:eastAsia="zh-CN"/>
        </w:rPr>
        <w:t>及二十届四中全会</w:t>
      </w:r>
      <w:r>
        <w:rPr>
          <w:rFonts w:hint="eastAsia" w:ascii="仿宋" w:hAnsi="仿宋" w:eastAsia="仿宋" w:cs="仿宋"/>
          <w:bCs/>
          <w:sz w:val="32"/>
          <w:szCs w:val="32"/>
        </w:rPr>
        <w:t>精神和习近平总书记关于安全生产重要论述，全面</w:t>
      </w:r>
      <w:r>
        <w:rPr>
          <w:rFonts w:hint="eastAsia" w:ascii="仿宋" w:hAnsi="仿宋" w:eastAsia="仿宋" w:cs="仿宋"/>
          <w:bCs/>
          <w:sz w:val="32"/>
          <w:szCs w:val="32"/>
          <w:lang w:eastAsia="zh-CN"/>
        </w:rPr>
        <w:t>贯彻</w:t>
      </w:r>
      <w:r>
        <w:rPr>
          <w:rFonts w:hint="eastAsia" w:ascii="仿宋" w:hAnsi="仿宋" w:eastAsia="仿宋" w:cs="仿宋"/>
          <w:bCs/>
          <w:sz w:val="32"/>
          <w:szCs w:val="32"/>
        </w:rPr>
        <w:t>落实党中央、国务院和省委省政府、市委市政府有关安全工作决策部署，</w:t>
      </w:r>
      <w:r>
        <w:rPr>
          <w:rFonts w:hint="eastAsia" w:ascii="仿宋" w:hAnsi="仿宋" w:eastAsia="仿宋" w:cs="仿宋"/>
          <w:sz w:val="32"/>
          <w:szCs w:val="32"/>
          <w:lang w:val="en-US" w:eastAsia="zh-CN"/>
        </w:rPr>
        <w:t>按照全面覆盖、重点突出、提高效能的原则，强化执法体系机制和能力建设，规范行业监管，严格责任落实，持续深化能源和粮食监管工作的系统化和规范化。</w:t>
      </w:r>
    </w:p>
    <w:p w14:paraId="4ECB6F2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二、目标任务</w:t>
      </w:r>
    </w:p>
    <w:p w14:paraId="2C134CC1">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严格按照法律法规和“三定”规定履行能源和粮食监管责任，坚持目标导向和问题导向，通过加大行政检查力度，促进监管水平和服务质量的进一步提高，保障国家、省、市、县能源和粮食政策规划的有效执行，推动企业落实主体责任，促使企业依法建设、生产、运行、储备能力的持续提升，为推动全县能源高质量发展、保障全县粮食安全，圆满完成全年工作目标，营造良好的法治环境。</w:t>
      </w:r>
    </w:p>
    <w:p w14:paraId="6057E93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三、执法依据</w:t>
      </w:r>
    </w:p>
    <w:p w14:paraId="40DA1D7A">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中华人民共和国行政处罚法》《中华人民共和国行政强制法》《中华人民共和国安全生产法》《中华人民共和国煤炭法》《中华人民共和国电力法》《中华人民共和国节约能源法》《中华人民共和国石油天然气管道保护法》《中华人民共和国可再生能源法》《安全生产违法行为行政处罚办法》《山西省节约能源条例》《山西省安全生产条例》《山西省石油天然气管道建设和保护条例》《山西省电力设施保护条例》《中华人民共和国粮食安全保障法》《粮食流通管理条例》等有关法律法规、规章制度以及县委、县政府明确的部门权力和责任清单。</w:t>
      </w:r>
    </w:p>
    <w:p w14:paraId="5AF3171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四、检查内容</w:t>
      </w:r>
    </w:p>
    <w:p w14:paraId="175DE4E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w:t>
      </w:r>
      <w:r>
        <w:rPr>
          <w:rFonts w:hint="default" w:ascii="Times New Roman" w:hAnsi="Times New Roman" w:eastAsia="仿宋_GB2312" w:cs="Times New Roman"/>
          <w:color w:val="auto"/>
          <w:sz w:val="32"/>
          <w:szCs w:val="32"/>
          <w:lang w:eastAsia="zh-CN"/>
        </w:rPr>
        <w:t>中共古县县委办公室</w:t>
      </w:r>
      <w:r>
        <w:rPr>
          <w:rFonts w:hint="default" w:ascii="Times New Roman" w:hAnsi="Times New Roman" w:eastAsia="仿宋_GB2312" w:cs="Times New Roman"/>
          <w:color w:val="auto"/>
          <w:sz w:val="32"/>
          <w:szCs w:val="32"/>
          <w:lang w:val="en-US" w:eastAsia="zh-CN"/>
        </w:rPr>
        <w:t>古</w:t>
      </w:r>
      <w:r>
        <w:rPr>
          <w:rFonts w:hint="default" w:ascii="Times New Roman" w:hAnsi="Times New Roman" w:eastAsia="仿宋_GB2312" w:cs="Times New Roman"/>
          <w:color w:val="auto"/>
          <w:sz w:val="32"/>
          <w:szCs w:val="32"/>
          <w:lang w:eastAsia="zh-CN"/>
        </w:rPr>
        <w:t>县人民政府办公</w:t>
      </w:r>
      <w:r>
        <w:rPr>
          <w:rFonts w:hint="default" w:ascii="Times New Roman" w:hAnsi="Times New Roman" w:eastAsia="仿宋_GB2312" w:cs="Times New Roman"/>
          <w:color w:val="auto"/>
          <w:sz w:val="32"/>
          <w:szCs w:val="32"/>
          <w:lang w:val="en-US" w:eastAsia="zh-CN"/>
        </w:rPr>
        <w:t>室</w:t>
      </w:r>
      <w:r>
        <w:rPr>
          <w:rFonts w:hint="eastAsia" w:ascii="仿宋" w:hAnsi="仿宋" w:eastAsia="仿宋" w:cs="仿宋"/>
          <w:sz w:val="32"/>
          <w:szCs w:val="32"/>
          <w:lang w:val="en-US" w:eastAsia="zh-CN"/>
        </w:rPr>
        <w:t>《古县发展和改革局（古县能源局、古县粮食局）职能配置、内设机构和人员编制规定》的文件，结合我局实际，开展职责范围内的行政执法检查工作(见附件)。</w:t>
      </w:r>
    </w:p>
    <w:p w14:paraId="27F1EF36">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五、检查方式</w:t>
      </w:r>
    </w:p>
    <w:p w14:paraId="5290C948">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按照全面覆盖、重点突出、提高效能和“谁检查、谁签字、谁负责”的原则，以“互联网+监管”系统为平台，采取以“双随机一公开”为基本手段，计划检查与突查暗查、巡查督查等相结合的方式开展。</w:t>
      </w:r>
    </w:p>
    <w:p w14:paraId="6C441B4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六、工作要求</w:t>
      </w:r>
    </w:p>
    <w:p w14:paraId="5A693EA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(一）科学计划，统筹安排。</w:t>
      </w:r>
      <w:r>
        <w:rPr>
          <w:rFonts w:hint="eastAsia" w:ascii="仿宋" w:hAnsi="仿宋" w:eastAsia="仿宋" w:cs="仿宋"/>
          <w:sz w:val="32"/>
          <w:szCs w:val="32"/>
          <w:lang w:val="en-US" w:eastAsia="zh-CN"/>
        </w:rPr>
        <w:t>在实际操作中，严格按照国家、省、市关于统筹规范督查检查考核工作的有关要求，做到合并检查事项、减少检查频次、提高检查质量、减轻企业负担，将可以合并为一次性开展的检查事项进行合并开展，力争对相关事项一次查全、查透。</w:t>
      </w:r>
    </w:p>
    <w:p w14:paraId="1B850FEA">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(二）严格执法，规范流程。</w:t>
      </w:r>
      <w:r>
        <w:rPr>
          <w:rFonts w:hint="eastAsia" w:ascii="仿宋" w:hAnsi="仿宋" w:eastAsia="仿宋" w:cs="仿宋"/>
          <w:sz w:val="32"/>
          <w:szCs w:val="32"/>
          <w:lang w:val="en-US" w:eastAsia="zh-CN"/>
        </w:rPr>
        <w:t>规范执法流程，严格执法程序依法行政，规范使用统一印制的执法文书。认真做好执法工作的统计、分析和总结工作，形成以制度管人、以制度理事的工作机制，促进执法工作的规范化、制度化、科学化。</w:t>
      </w:r>
    </w:p>
    <w:p w14:paraId="24CF5C1E">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(三)落实责任，强化管理。</w:t>
      </w:r>
      <w:r>
        <w:rPr>
          <w:rFonts w:hint="eastAsia" w:ascii="仿宋" w:hAnsi="仿宋" w:eastAsia="仿宋" w:cs="仿宋"/>
          <w:sz w:val="32"/>
          <w:szCs w:val="32"/>
          <w:lang w:val="en-US" w:eastAsia="zh-CN"/>
        </w:rPr>
        <w:t>严格执行“谁执法、谁负责”、“谁处罚、谁负责”的责任制度。加强执法计划落实情况的监督考核，适时对计划执行情况进行督促检查，确保目标和任务有效落实。</w:t>
      </w:r>
    </w:p>
    <w:p w14:paraId="6265C99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 系 人：  王  鲜         </w:t>
      </w:r>
    </w:p>
    <w:p w14:paraId="72D81D00">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联系电话：18636748676   </w:t>
      </w:r>
    </w:p>
    <w:p w14:paraId="45EF3C74">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电子邮箱：gxnyjbgs@126.com</w:t>
      </w:r>
    </w:p>
    <w:p w14:paraId="794D25B6">
      <w:pPr>
        <w:keepNext w:val="0"/>
        <w:keepLines w:val="0"/>
        <w:pageBreakBefore w:val="0"/>
        <w:widowControl w:val="0"/>
        <w:kinsoku/>
        <w:wordWrap/>
        <w:overflowPunct/>
        <w:topLinePunct w:val="0"/>
        <w:autoSpaceDE/>
        <w:autoSpaceDN/>
        <w:bidi w:val="0"/>
        <w:adjustRightInd w:val="0"/>
        <w:snapToGrid w:val="0"/>
        <w:spacing w:line="600" w:lineRule="exact"/>
        <w:ind w:firstLine="616" w:firstLineChars="200"/>
        <w:textAlignment w:val="auto"/>
        <w:rPr>
          <w:rFonts w:hint="eastAsia" w:ascii="仿宋" w:hAnsi="仿宋" w:eastAsia="仿宋" w:cs="仿宋"/>
          <w:spacing w:val="-6"/>
          <w:sz w:val="32"/>
          <w:szCs w:val="32"/>
          <w:lang w:val="en-US" w:eastAsia="zh-CN"/>
        </w:rPr>
      </w:pPr>
      <w:r>
        <w:rPr>
          <w:rFonts w:hint="eastAsia" w:ascii="仿宋" w:hAnsi="仿宋" w:eastAsia="仿宋" w:cs="仿宋"/>
          <w:spacing w:val="-6"/>
          <w:sz w:val="32"/>
          <w:szCs w:val="32"/>
          <w:lang w:val="en-US" w:eastAsia="zh-CN"/>
        </w:rPr>
        <w:t>附件：2026年度能源和粮食行业行政检查计划表</w:t>
      </w:r>
    </w:p>
    <w:p w14:paraId="4F52F435">
      <w:pPr>
        <w:keepNext w:val="0"/>
        <w:keepLines w:val="0"/>
        <w:pageBreakBefore w:val="0"/>
        <w:widowControl w:val="0"/>
        <w:kinsoku/>
        <w:wordWrap/>
        <w:overflowPunct/>
        <w:topLinePunct w:val="0"/>
        <w:autoSpaceDE/>
        <w:autoSpaceDN/>
        <w:bidi w:val="0"/>
        <w:adjustRightInd w:val="0"/>
        <w:snapToGrid w:val="0"/>
        <w:spacing w:line="600" w:lineRule="exact"/>
        <w:ind w:firstLine="616" w:firstLineChars="200"/>
        <w:textAlignment w:val="auto"/>
        <w:rPr>
          <w:rFonts w:hint="default" w:ascii="Times New Roman" w:hAnsi="Times New Roman" w:eastAsia="仿宋_GB2312" w:cs="Times New Roman"/>
          <w:spacing w:val="-6"/>
          <w:sz w:val="32"/>
          <w:szCs w:val="32"/>
          <w:lang w:val="en-US" w:eastAsia="zh-CN"/>
        </w:rPr>
      </w:pPr>
    </w:p>
    <w:p w14:paraId="0A5D16A6">
      <w:pPr>
        <w:keepNext w:val="0"/>
        <w:keepLines w:val="0"/>
        <w:pageBreakBefore w:val="0"/>
        <w:widowControl w:val="0"/>
        <w:kinsoku/>
        <w:wordWrap/>
        <w:overflowPunct/>
        <w:topLinePunct w:val="0"/>
        <w:autoSpaceDE/>
        <w:autoSpaceDN/>
        <w:bidi w:val="0"/>
        <w:adjustRightInd w:val="0"/>
        <w:snapToGrid w:val="0"/>
        <w:spacing w:line="600" w:lineRule="exact"/>
        <w:jc w:val="right"/>
        <w:textAlignment w:val="auto"/>
        <w:rPr>
          <w:rFonts w:hint="eastAsia" w:ascii="仿宋" w:hAnsi="仿宋" w:eastAsia="仿宋" w:cs="仿宋"/>
          <w:spacing w:val="-6"/>
          <w:sz w:val="32"/>
          <w:szCs w:val="32"/>
          <w:lang w:val="en-US" w:eastAsia="zh-CN"/>
        </w:rPr>
      </w:pPr>
      <w:r>
        <w:rPr>
          <w:rFonts w:hint="eastAsia" w:ascii="仿宋" w:hAnsi="仿宋" w:eastAsia="仿宋" w:cs="仿宋"/>
          <w:spacing w:val="-6"/>
          <w:sz w:val="32"/>
          <w:szCs w:val="32"/>
          <w:lang w:val="en-US" w:eastAsia="zh-CN"/>
        </w:rPr>
        <w:t xml:space="preserve"> 古县发展和改革局</w:t>
      </w:r>
    </w:p>
    <w:p w14:paraId="65279793">
      <w:pPr>
        <w:keepNext w:val="0"/>
        <w:keepLines w:val="0"/>
        <w:pageBreakBefore w:val="0"/>
        <w:widowControl w:val="0"/>
        <w:kinsoku/>
        <w:wordWrap/>
        <w:overflowPunct/>
        <w:topLinePunct w:val="0"/>
        <w:autoSpaceDE/>
        <w:autoSpaceDN/>
        <w:bidi w:val="0"/>
        <w:adjustRightInd w:val="0"/>
        <w:snapToGrid w:val="0"/>
        <w:spacing w:line="600" w:lineRule="exact"/>
        <w:ind w:firstLine="616" w:firstLineChars="200"/>
        <w:jc w:val="right"/>
        <w:textAlignment w:val="auto"/>
        <w:rPr>
          <w:rFonts w:hint="eastAsia" w:ascii="仿宋" w:hAnsi="仿宋" w:eastAsia="仿宋" w:cs="仿宋"/>
          <w:spacing w:val="-6"/>
          <w:sz w:val="32"/>
          <w:szCs w:val="32"/>
          <w:lang w:val="en-US" w:eastAsia="zh-CN"/>
        </w:rPr>
      </w:pPr>
      <w:r>
        <w:rPr>
          <w:rFonts w:hint="eastAsia" w:ascii="仿宋" w:hAnsi="仿宋" w:eastAsia="仿宋" w:cs="仿宋"/>
          <w:spacing w:val="-6"/>
          <w:sz w:val="32"/>
          <w:szCs w:val="32"/>
          <w:lang w:val="en-US" w:eastAsia="zh-CN"/>
        </w:rPr>
        <w:t xml:space="preserve">                          2026年4</w:t>
      </w:r>
      <w:bookmarkStart w:id="0" w:name="_GoBack"/>
      <w:bookmarkEnd w:id="0"/>
      <w:r>
        <w:rPr>
          <w:rFonts w:hint="eastAsia" w:ascii="仿宋" w:hAnsi="仿宋" w:eastAsia="仿宋" w:cs="仿宋"/>
          <w:spacing w:val="-6"/>
          <w:sz w:val="32"/>
          <w:szCs w:val="32"/>
          <w:lang w:val="en-US" w:eastAsia="zh-CN"/>
        </w:rPr>
        <w:t>月9日</w:t>
      </w:r>
    </w:p>
    <w:p w14:paraId="2A8BA796">
      <w:pPr>
        <w:jc w:val="center"/>
        <w:rPr>
          <w:rFonts w:hint="default" w:ascii="Times New Roman" w:hAnsi="Times New Roman" w:eastAsia="方正小标宋简体" w:cs="Times New Roman"/>
          <w:sz w:val="44"/>
          <w:szCs w:val="44"/>
          <w:lang w:val="en-US" w:eastAsia="zh-CN"/>
        </w:rPr>
      </w:pPr>
    </w:p>
    <w:p w14:paraId="191794F4">
      <w:pPr>
        <w:keepNext w:val="0"/>
        <w:keepLines w:val="0"/>
        <w:pageBreakBefore w:val="0"/>
        <w:widowControl w:val="0"/>
        <w:kinsoku/>
        <w:wordWrap/>
        <w:overflowPunct/>
        <w:topLinePunct w:val="0"/>
        <w:autoSpaceDE/>
        <w:autoSpaceDN/>
        <w:bidi w:val="0"/>
        <w:adjustRightInd w:val="0"/>
        <w:snapToGrid w:val="0"/>
        <w:spacing w:line="600" w:lineRule="exact"/>
        <w:ind w:firstLine="859" w:firstLineChars="200"/>
        <w:textAlignment w:val="auto"/>
        <w:rPr>
          <w:rFonts w:hint="eastAsia" w:ascii="方正小标宋简体" w:hAnsi="方正小标宋简体" w:eastAsia="方正小标宋简体" w:cs="方正小标宋简体"/>
          <w:sz w:val="44"/>
          <w:szCs w:val="44"/>
          <w:lang w:val="en-US" w:eastAsia="zh-CN"/>
        </w:rPr>
      </w:pPr>
      <w:r>
        <w:rPr>
          <w:rFonts w:hint="eastAsia" w:ascii="仿宋" w:hAnsi="仿宋" w:eastAsia="仿宋" w:cs="仿宋"/>
          <w:b/>
          <w:bCs/>
          <w:spacing w:val="-6"/>
          <w:sz w:val="44"/>
          <w:szCs w:val="44"/>
          <w:lang w:val="en-US" w:eastAsia="zh-CN"/>
        </w:rPr>
        <w:t>2026年度能源和粮食行业行政检查计划表</w:t>
      </w:r>
    </w:p>
    <w:tbl>
      <w:tblPr>
        <w:tblStyle w:val="4"/>
        <w:tblW w:w="897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4305"/>
        <w:gridCol w:w="1246"/>
        <w:gridCol w:w="1679"/>
        <w:gridCol w:w="661"/>
      </w:tblGrid>
      <w:tr w14:paraId="76B77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9699C">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责任科室</w:t>
            </w:r>
          </w:p>
        </w:tc>
        <w:tc>
          <w:tcPr>
            <w:tcW w:w="4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3CA5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检查事项</w:t>
            </w:r>
          </w:p>
        </w:tc>
        <w:tc>
          <w:tcPr>
            <w:tcW w:w="12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D828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执法人数</w:t>
            </w: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0700A1">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计划执法次数</w:t>
            </w:r>
          </w:p>
        </w:tc>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3D5E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备注</w:t>
            </w:r>
          </w:p>
        </w:tc>
      </w:tr>
      <w:tr w14:paraId="69B9B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65C51">
            <w:pPr>
              <w:jc w:val="center"/>
              <w:rPr>
                <w:rFonts w:hint="eastAsia" w:ascii="仿宋_GB2312" w:hAnsi="宋体" w:eastAsia="仿宋_GB2312" w:cs="仿宋_GB2312"/>
                <w:i w:val="0"/>
                <w:iCs w:val="0"/>
                <w:color w:val="000000"/>
                <w:sz w:val="24"/>
                <w:szCs w:val="24"/>
                <w:u w:val="none"/>
              </w:rPr>
            </w:pPr>
          </w:p>
        </w:tc>
        <w:tc>
          <w:tcPr>
            <w:tcW w:w="4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925EA">
            <w:pPr>
              <w:jc w:val="center"/>
              <w:rPr>
                <w:rFonts w:hint="eastAsia" w:ascii="仿宋_GB2312" w:hAnsi="宋体" w:eastAsia="仿宋_GB2312" w:cs="仿宋_GB2312"/>
                <w:i w:val="0"/>
                <w:iCs w:val="0"/>
                <w:color w:val="000000"/>
                <w:sz w:val="24"/>
                <w:szCs w:val="24"/>
                <w:u w:val="none"/>
              </w:rPr>
            </w:pPr>
          </w:p>
        </w:tc>
        <w:tc>
          <w:tcPr>
            <w:tcW w:w="12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2B2C7">
            <w:pPr>
              <w:jc w:val="center"/>
              <w:rPr>
                <w:rFonts w:hint="eastAsia" w:ascii="仿宋_GB2312" w:hAnsi="宋体" w:eastAsia="仿宋_GB2312" w:cs="仿宋_GB2312"/>
                <w:i w:val="0"/>
                <w:iCs w:val="0"/>
                <w:color w:val="000000"/>
                <w:sz w:val="24"/>
                <w:szCs w:val="24"/>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519B6">
            <w:pPr>
              <w:jc w:val="center"/>
              <w:rPr>
                <w:rFonts w:hint="eastAsia" w:ascii="仿宋_GB2312" w:hAnsi="宋体" w:eastAsia="仿宋_GB2312" w:cs="仿宋_GB2312"/>
                <w:i w:val="0"/>
                <w:iCs w:val="0"/>
                <w:color w:val="000000"/>
                <w:sz w:val="24"/>
                <w:szCs w:val="24"/>
                <w:u w:val="none"/>
              </w:rPr>
            </w:pPr>
          </w:p>
        </w:tc>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8543E">
            <w:pPr>
              <w:jc w:val="center"/>
              <w:rPr>
                <w:rFonts w:hint="eastAsia" w:ascii="仿宋_GB2312" w:hAnsi="宋体" w:eastAsia="仿宋_GB2312" w:cs="仿宋_GB2312"/>
                <w:i w:val="0"/>
                <w:iCs w:val="0"/>
                <w:color w:val="000000"/>
                <w:sz w:val="24"/>
                <w:szCs w:val="24"/>
                <w:u w:val="none"/>
              </w:rPr>
            </w:pPr>
          </w:p>
        </w:tc>
      </w:tr>
      <w:tr w14:paraId="75A24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608D9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能源股</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8B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对能源企业（煤矿除外）执行有关安全生产法律法规、标准和规范的行政检查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B4E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09B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9097">
            <w:pPr>
              <w:rPr>
                <w:rFonts w:hint="eastAsia" w:ascii="仿宋_GB2312" w:hAnsi="宋体" w:eastAsia="仿宋_GB2312" w:cs="仿宋_GB2312"/>
                <w:i w:val="0"/>
                <w:iCs w:val="0"/>
                <w:color w:val="000000"/>
                <w:sz w:val="24"/>
                <w:szCs w:val="24"/>
                <w:u w:val="none"/>
              </w:rPr>
            </w:pPr>
          </w:p>
        </w:tc>
      </w:tr>
      <w:tr w14:paraId="6A7A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3AD48">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29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对能源企业（煤矿除外）建立重大危险源管理制度和隐患排查治理的行政检查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AF9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7BA0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F50FD">
            <w:pPr>
              <w:rPr>
                <w:rFonts w:hint="eastAsia" w:ascii="仿宋_GB2312" w:hAnsi="宋体" w:eastAsia="仿宋_GB2312" w:cs="仿宋_GB2312"/>
                <w:i w:val="0"/>
                <w:iCs w:val="0"/>
                <w:color w:val="000000"/>
                <w:sz w:val="24"/>
                <w:szCs w:val="24"/>
                <w:u w:val="none"/>
              </w:rPr>
            </w:pPr>
          </w:p>
        </w:tc>
      </w:tr>
      <w:tr w14:paraId="471B1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C2BF6">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18335">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对能源企业（煤矿除外）建立和落实全员安全生产责任制情况行政检查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E71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6A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41DD">
            <w:pPr>
              <w:rPr>
                <w:rFonts w:hint="eastAsia" w:ascii="仿宋_GB2312" w:hAnsi="宋体" w:eastAsia="仿宋_GB2312" w:cs="仿宋_GB2312"/>
                <w:i w:val="0"/>
                <w:iCs w:val="0"/>
                <w:color w:val="000000"/>
                <w:sz w:val="24"/>
                <w:szCs w:val="24"/>
                <w:u w:val="none"/>
              </w:rPr>
            </w:pPr>
          </w:p>
        </w:tc>
      </w:tr>
      <w:tr w14:paraId="7ABE9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2A7D8">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0D9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对煤矿建设项目（含生产技术改造项目）设计、开工、联合试运转、竣工验收的行政检查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493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AE1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0FAE">
            <w:pPr>
              <w:rPr>
                <w:rFonts w:hint="eastAsia" w:ascii="仿宋_GB2312" w:hAnsi="宋体" w:eastAsia="仿宋_GB2312" w:cs="仿宋_GB2312"/>
                <w:i w:val="0"/>
                <w:iCs w:val="0"/>
                <w:color w:val="000000"/>
                <w:sz w:val="24"/>
                <w:szCs w:val="24"/>
                <w:u w:val="none"/>
              </w:rPr>
            </w:pPr>
          </w:p>
        </w:tc>
      </w:tr>
      <w:tr w14:paraId="151A7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48BF2">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92B0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对煤矿建设项目及配套、附属和辅助建设项目、洗（选）厂建设项目工程质量的行政检查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477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502A">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B913">
            <w:pPr>
              <w:rPr>
                <w:rFonts w:hint="eastAsia" w:ascii="仿宋_GB2312" w:hAnsi="宋体" w:eastAsia="仿宋_GB2312" w:cs="仿宋_GB2312"/>
                <w:i w:val="0"/>
                <w:iCs w:val="0"/>
                <w:color w:val="000000"/>
                <w:sz w:val="24"/>
                <w:szCs w:val="24"/>
                <w:u w:val="none"/>
              </w:rPr>
            </w:pPr>
          </w:p>
        </w:tc>
      </w:tr>
      <w:tr w14:paraId="74B9B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A59C0">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02D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对煤矿生产能力等相关生产要素信息公告和生产煤质管理的行政检查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B33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4CC7">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586C">
            <w:pPr>
              <w:rPr>
                <w:rFonts w:hint="eastAsia" w:ascii="仿宋_GB2312" w:hAnsi="宋体" w:eastAsia="仿宋_GB2312" w:cs="仿宋_GB2312"/>
                <w:i w:val="0"/>
                <w:iCs w:val="0"/>
                <w:color w:val="000000"/>
                <w:sz w:val="24"/>
                <w:szCs w:val="24"/>
                <w:u w:val="none"/>
              </w:rPr>
            </w:pPr>
          </w:p>
        </w:tc>
      </w:tr>
      <w:tr w14:paraId="1752E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9"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DB904">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83B3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对煤炭洗选行业标准化建设工作落实情况的行政检查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082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DF68">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F2A7">
            <w:pPr>
              <w:rPr>
                <w:rFonts w:hint="eastAsia" w:ascii="仿宋_GB2312" w:hAnsi="宋体" w:eastAsia="仿宋_GB2312" w:cs="仿宋_GB2312"/>
                <w:i w:val="0"/>
                <w:iCs w:val="0"/>
                <w:color w:val="000000"/>
                <w:sz w:val="24"/>
                <w:szCs w:val="24"/>
                <w:u w:val="none"/>
              </w:rPr>
            </w:pPr>
          </w:p>
        </w:tc>
      </w:tr>
      <w:tr w14:paraId="7AC9B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6E215">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EBFE">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对石油天然气管道保护工作的行政检查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8AB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EAD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12</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8E047">
            <w:pPr>
              <w:rPr>
                <w:rFonts w:hint="eastAsia" w:ascii="仿宋_GB2312" w:hAnsi="宋体" w:eastAsia="仿宋_GB2312" w:cs="仿宋_GB2312"/>
                <w:i w:val="0"/>
                <w:iCs w:val="0"/>
                <w:color w:val="000000"/>
                <w:sz w:val="24"/>
                <w:szCs w:val="24"/>
                <w:u w:val="none"/>
              </w:rPr>
            </w:pPr>
          </w:p>
        </w:tc>
      </w:tr>
      <w:tr w14:paraId="7BD53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85463">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1B6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对煤炭企业落实网络安全等级保护、信息化建设情况的行政检查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5E6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6B9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D562">
            <w:pPr>
              <w:rPr>
                <w:rFonts w:hint="eastAsia" w:ascii="仿宋_GB2312" w:hAnsi="宋体" w:eastAsia="仿宋_GB2312" w:cs="仿宋_GB2312"/>
                <w:i w:val="0"/>
                <w:iCs w:val="0"/>
                <w:color w:val="000000"/>
                <w:sz w:val="24"/>
                <w:szCs w:val="24"/>
                <w:u w:val="none"/>
              </w:rPr>
            </w:pPr>
          </w:p>
        </w:tc>
      </w:tr>
      <w:tr w14:paraId="034CE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E899D">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E7B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新能源汽车充（换）电基础设施建设运营企业的行政检查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839DB">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DDF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w:t>
            </w:r>
          </w:p>
        </w:tc>
        <w:tc>
          <w:tcPr>
            <w:tcW w:w="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C1AD">
            <w:pPr>
              <w:jc w:val="center"/>
              <w:rPr>
                <w:rFonts w:hint="eastAsia" w:ascii="仿宋_GB2312" w:hAnsi="宋体" w:eastAsia="仿宋_GB2312" w:cs="仿宋_GB2312"/>
                <w:i w:val="0"/>
                <w:iCs w:val="0"/>
                <w:color w:val="000000"/>
                <w:sz w:val="24"/>
                <w:szCs w:val="24"/>
                <w:u w:val="none"/>
              </w:rPr>
            </w:pPr>
          </w:p>
        </w:tc>
      </w:tr>
      <w:tr w14:paraId="661D3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0163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粮食和物资储备股</w:t>
            </w: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top"/>
          </w:tcPr>
          <w:p w14:paraId="3E47FDE3">
            <w:pPr>
              <w:keepNext w:val="0"/>
              <w:keepLines w:val="0"/>
              <w:widowControl/>
              <w:suppressLineNumbers w:val="0"/>
              <w:jc w:val="center"/>
              <w:textAlignment w:val="top"/>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对政策性粮食储备企业开展春秋季储粮安全和库存检查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4DB3">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CF45">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A6480">
            <w:pPr>
              <w:rPr>
                <w:rFonts w:hint="eastAsia" w:ascii="宋体" w:hAnsi="宋体" w:eastAsia="宋体" w:cs="宋体"/>
                <w:i w:val="0"/>
                <w:iCs w:val="0"/>
                <w:color w:val="000000"/>
                <w:sz w:val="22"/>
                <w:szCs w:val="22"/>
                <w:u w:val="none"/>
              </w:rPr>
            </w:pPr>
          </w:p>
        </w:tc>
      </w:tr>
      <w:tr w14:paraId="78B0C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2DBD2">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top"/>
          </w:tcPr>
          <w:p w14:paraId="437253B4">
            <w:pPr>
              <w:keepNext w:val="0"/>
              <w:keepLines w:val="0"/>
              <w:widowControl/>
              <w:suppressLineNumbers w:val="0"/>
              <w:jc w:val="center"/>
              <w:textAlignment w:val="top"/>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对全县粮食购销企业开展粮食流通统计监督检查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DA3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B98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10</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BAE94">
            <w:pPr>
              <w:rPr>
                <w:rFonts w:hint="eastAsia" w:ascii="宋体" w:hAnsi="宋体" w:eastAsia="宋体" w:cs="宋体"/>
                <w:i w:val="0"/>
                <w:iCs w:val="0"/>
                <w:color w:val="000000"/>
                <w:sz w:val="22"/>
                <w:szCs w:val="22"/>
                <w:u w:val="none"/>
              </w:rPr>
            </w:pPr>
          </w:p>
        </w:tc>
      </w:tr>
      <w:tr w14:paraId="24F0D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48B6F">
            <w:pPr>
              <w:jc w:val="center"/>
              <w:rPr>
                <w:rFonts w:hint="eastAsia" w:ascii="仿宋_GB2312" w:hAnsi="宋体" w:eastAsia="仿宋_GB2312" w:cs="仿宋_GB2312"/>
                <w:i w:val="0"/>
                <w:iCs w:val="0"/>
                <w:color w:val="000000"/>
                <w:sz w:val="24"/>
                <w:szCs w:val="24"/>
                <w:u w:val="none"/>
              </w:rPr>
            </w:pPr>
          </w:p>
        </w:tc>
        <w:tc>
          <w:tcPr>
            <w:tcW w:w="4305" w:type="dxa"/>
            <w:tcBorders>
              <w:top w:val="single" w:color="000000" w:sz="4" w:space="0"/>
              <w:left w:val="single" w:color="000000" w:sz="4" w:space="0"/>
              <w:bottom w:val="single" w:color="000000" w:sz="4" w:space="0"/>
              <w:right w:val="single" w:color="000000" w:sz="4" w:space="0"/>
            </w:tcBorders>
            <w:shd w:val="clear" w:color="auto" w:fill="auto"/>
            <w:vAlign w:val="top"/>
          </w:tcPr>
          <w:p w14:paraId="7259AE83">
            <w:pPr>
              <w:keepNext w:val="0"/>
              <w:keepLines w:val="0"/>
              <w:widowControl/>
              <w:suppressLineNumbers w:val="0"/>
              <w:jc w:val="center"/>
              <w:textAlignment w:val="top"/>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对全县应急成品粮油承储企业开展库存安全检查</w:t>
            </w:r>
          </w:p>
        </w:tc>
        <w:tc>
          <w:tcPr>
            <w:tcW w:w="1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D564">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3</w:t>
            </w:r>
          </w:p>
        </w:tc>
        <w:tc>
          <w:tcPr>
            <w:tcW w:w="16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5AF1C">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2</w:t>
            </w:r>
          </w:p>
        </w:tc>
        <w:tc>
          <w:tcPr>
            <w:tcW w:w="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7488">
            <w:pPr>
              <w:rPr>
                <w:rFonts w:hint="eastAsia" w:ascii="宋体" w:hAnsi="宋体" w:eastAsia="宋体" w:cs="宋体"/>
                <w:i w:val="0"/>
                <w:iCs w:val="0"/>
                <w:color w:val="000000"/>
                <w:sz w:val="22"/>
                <w:szCs w:val="22"/>
                <w:u w:val="none"/>
              </w:rPr>
            </w:pPr>
          </w:p>
        </w:tc>
      </w:tr>
    </w:tbl>
    <w:p w14:paraId="4A0D57D5">
      <w:pPr>
        <w:rPr>
          <w:rFonts w:hint="eastAsia" w:ascii="仿宋_GB2312" w:hAnsi="仿宋_GB2312" w:eastAsia="仿宋_GB2312" w:cs="仿宋_GB2312"/>
          <w:sz w:val="32"/>
          <w:szCs w:val="32"/>
          <w:lang w:val="en-US"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OGMwNWQwZDRkMTNlNTU5MDlmMWNlZjdmZmE5MzQifQ=="/>
  </w:docVars>
  <w:rsids>
    <w:rsidRoot w:val="159455A6"/>
    <w:rsid w:val="00C17BBA"/>
    <w:rsid w:val="03692E02"/>
    <w:rsid w:val="052F3A19"/>
    <w:rsid w:val="088651E7"/>
    <w:rsid w:val="0BA437D5"/>
    <w:rsid w:val="0BC879A3"/>
    <w:rsid w:val="0F34560B"/>
    <w:rsid w:val="1012387C"/>
    <w:rsid w:val="10352042"/>
    <w:rsid w:val="113937B7"/>
    <w:rsid w:val="12944A6C"/>
    <w:rsid w:val="149127DE"/>
    <w:rsid w:val="159455A6"/>
    <w:rsid w:val="15E76F7B"/>
    <w:rsid w:val="169B40C8"/>
    <w:rsid w:val="16C078C8"/>
    <w:rsid w:val="197E29BA"/>
    <w:rsid w:val="1A6D714C"/>
    <w:rsid w:val="1B3E2FD0"/>
    <w:rsid w:val="1B8B2486"/>
    <w:rsid w:val="1BDE6DBA"/>
    <w:rsid w:val="1EDB72BB"/>
    <w:rsid w:val="2A96474B"/>
    <w:rsid w:val="2C913E25"/>
    <w:rsid w:val="2F1C235C"/>
    <w:rsid w:val="30B14D2D"/>
    <w:rsid w:val="315831AD"/>
    <w:rsid w:val="363241F8"/>
    <w:rsid w:val="36624145"/>
    <w:rsid w:val="390F0F13"/>
    <w:rsid w:val="3CB85F02"/>
    <w:rsid w:val="3CBD7407"/>
    <w:rsid w:val="415F53FD"/>
    <w:rsid w:val="419731ED"/>
    <w:rsid w:val="43F33F8A"/>
    <w:rsid w:val="450E0E1C"/>
    <w:rsid w:val="45996DF5"/>
    <w:rsid w:val="47882E85"/>
    <w:rsid w:val="48BC7F64"/>
    <w:rsid w:val="491D576D"/>
    <w:rsid w:val="4B5C0590"/>
    <w:rsid w:val="4D6304F0"/>
    <w:rsid w:val="4F616031"/>
    <w:rsid w:val="503821D5"/>
    <w:rsid w:val="50525577"/>
    <w:rsid w:val="512E6DA7"/>
    <w:rsid w:val="545F5FD1"/>
    <w:rsid w:val="554F43F9"/>
    <w:rsid w:val="55C52C13"/>
    <w:rsid w:val="5619209B"/>
    <w:rsid w:val="56256A2F"/>
    <w:rsid w:val="568404BD"/>
    <w:rsid w:val="58661D0E"/>
    <w:rsid w:val="58E43C22"/>
    <w:rsid w:val="59386B1D"/>
    <w:rsid w:val="59D77039"/>
    <w:rsid w:val="60F71658"/>
    <w:rsid w:val="63E839E9"/>
    <w:rsid w:val="67587F0A"/>
    <w:rsid w:val="7107068E"/>
    <w:rsid w:val="76C770D1"/>
    <w:rsid w:val="77192D7C"/>
    <w:rsid w:val="7B043788"/>
    <w:rsid w:val="7CE84A7F"/>
    <w:rsid w:val="7D8C5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正文文本首行缩进 21"/>
    <w:basedOn w:val="1"/>
    <w:autoRedefine/>
    <w:qFormat/>
    <w:uiPriority w:val="0"/>
    <w:pPr>
      <w:suppressAutoHyphens w:val="0"/>
      <w:spacing w:after="120"/>
      <w:ind w:left="420" w:leftChars="200" w:firstLine="420" w:firstLineChars="200"/>
    </w:pPr>
    <w:rPr>
      <w:rFonts w:ascii="Times New Roman" w:hAnsi="Times New Roman" w:eastAsia="仿宋_GB2312" w:cstheme="minorBidi"/>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1675</Words>
  <Characters>1720</Characters>
  <Lines>0</Lines>
  <Paragraphs>0</Paragraphs>
  <TotalTime>52</TotalTime>
  <ScaleCrop>false</ScaleCrop>
  <LinksUpToDate>false</LinksUpToDate>
  <CharactersWithSpaces>1765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2021-05-17T07:34:00Z</dcterms:created>
  <dc:creator>Administrator</dc:creator>
  <cp:lastModifiedBy>F姐</cp:lastModifiedBy>
  <cp:lastPrinted>2026-04-09T02:09:02Z</cp:lastPrinted>
  <dcterms:modified xsi:type="dcterms:W3CDTF">2026-04-09T02:55:52Z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EE3609AA1FC24965B68B0D0A1A71AF03_13</vt:lpwstr>
  </property>
  <property fmtid="{D5CDD505-2E9C-101B-9397-08002B2CF9AE}" pid="4" name="KSOTemplateDocerSaveRecord">
    <vt:lpwstr>eyJoZGlkIjoiMTEzNWJlMTQzMDcxMzMzYjBhYTlkNmNjYWMzZGMxZjYiLCJ1c2VySWQiOiIxMDg4NzcyNzg5In0=</vt:lpwstr>
  </property>
</Properties>
</file>