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725C5B">
      <w:pPr>
        <w:ind w:firstLine="560" w:firstLineChars="200"/>
        <w:rPr>
          <w:rFonts w:hint="eastAsia"/>
          <w:sz w:val="28"/>
          <w:szCs w:val="28"/>
          <w:lang w:val="en-US" w:eastAsia="zh-CN"/>
        </w:rPr>
      </w:pPr>
    </w:p>
    <w:p w14:paraId="011BD91D">
      <w:pPr>
        <w:rPr>
          <w:rFonts w:hint="eastAsia"/>
          <w:sz w:val="28"/>
          <w:szCs w:val="28"/>
          <w:lang w:val="en-US" w:eastAsia="zh-CN"/>
        </w:rPr>
      </w:pPr>
    </w:p>
    <w:p w14:paraId="14BE63CB">
      <w:pPr>
        <w:ind w:firstLine="560" w:firstLineChars="200"/>
        <w:rPr>
          <w:rFonts w:hint="eastAsia"/>
          <w:sz w:val="28"/>
          <w:szCs w:val="28"/>
          <w:lang w:val="en-US" w:eastAsia="zh-CN"/>
        </w:rPr>
      </w:pPr>
    </w:p>
    <w:p w14:paraId="31FBCA29">
      <w:pPr>
        <w:rPr>
          <w:rFonts w:hint="eastAsia" w:ascii="黑体" w:hAnsi="黑体" w:eastAsia="黑体" w:cs="黑体"/>
          <w:sz w:val="44"/>
          <w:szCs w:val="44"/>
          <w:lang w:val="en-US" w:eastAsia="zh-CN"/>
        </w:rPr>
      </w:pPr>
    </w:p>
    <w:p w14:paraId="219B9CCD">
      <w:pPr>
        <w:ind w:firstLine="880" w:firstLineChars="200"/>
        <w:rPr>
          <w:rFonts w:hint="eastAsia" w:ascii="黑体" w:hAnsi="黑体" w:eastAsia="黑体" w:cs="黑体"/>
          <w:sz w:val="44"/>
          <w:szCs w:val="44"/>
          <w:lang w:val="en-US" w:eastAsia="zh-CN"/>
        </w:rPr>
      </w:pPr>
    </w:p>
    <w:p w14:paraId="63DA35E4">
      <w:pPr>
        <w:ind w:firstLine="880" w:firstLineChars="200"/>
        <w:rPr>
          <w:rFonts w:hint="eastAsia" w:ascii="黑体" w:hAnsi="黑体" w:eastAsia="黑体" w:cs="黑体"/>
          <w:sz w:val="44"/>
          <w:szCs w:val="44"/>
          <w:lang w:val="en-US" w:eastAsia="zh-CN"/>
        </w:rPr>
      </w:pPr>
    </w:p>
    <w:p w14:paraId="68598D23">
      <w:pPr>
        <w:ind w:firstLine="440" w:firstLineChars="100"/>
        <w:jc w:val="center"/>
        <w:rPr>
          <w:rFonts w:hint="eastAsia" w:ascii="黑体" w:hAnsi="黑体" w:eastAsia="黑体" w:cs="黑体"/>
          <w:sz w:val="44"/>
          <w:szCs w:val="44"/>
          <w:lang w:val="en-US" w:eastAsia="zh-CN"/>
        </w:rPr>
      </w:pPr>
      <w:bookmarkStart w:id="0" w:name="_GoBack"/>
      <w:r>
        <w:rPr>
          <w:rFonts w:hint="eastAsia" w:ascii="黑体" w:hAnsi="黑体" w:eastAsia="黑体" w:cs="黑体"/>
          <w:sz w:val="44"/>
          <w:szCs w:val="44"/>
          <w:lang w:val="en-US" w:eastAsia="zh-CN"/>
        </w:rPr>
        <w:t>山西省城市道路挖掘修复收费标准</w:t>
      </w:r>
    </w:p>
    <w:p w14:paraId="4670CFCA">
      <w:pPr>
        <w:ind w:firstLine="440" w:firstLineChars="100"/>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（2024版）</w:t>
      </w:r>
    </w:p>
    <w:bookmarkEnd w:id="0"/>
    <w:p w14:paraId="163547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right="0" w:firstLine="3200" w:firstLineChars="1000"/>
        <w:rPr>
          <w:rFonts w:hint="eastAsia" w:ascii="仿宋_GB2312" w:eastAsia="仿宋_GB2312"/>
          <w:sz w:val="32"/>
          <w:szCs w:val="32"/>
          <w:lang w:val="en-US" w:eastAsia="zh-CN"/>
        </w:rPr>
      </w:pPr>
      <w:r>
        <w:rPr>
          <w:rFonts w:hint="eastAsia" w:ascii="仿宋_GB2312" w:eastAsia="仿宋_GB2312"/>
          <w:sz w:val="32"/>
          <w:szCs w:val="32"/>
          <w:lang w:val="en-US" w:eastAsia="zh-CN"/>
        </w:rPr>
        <w:t>（征求意见稿）</w:t>
      </w:r>
    </w:p>
    <w:p w14:paraId="7DF9BD31">
      <w:pPr>
        <w:ind w:firstLine="560" w:firstLineChars="200"/>
        <w:rPr>
          <w:rFonts w:hint="eastAsia"/>
          <w:sz w:val="28"/>
          <w:szCs w:val="28"/>
          <w:lang w:val="en-US" w:eastAsia="zh-CN"/>
        </w:rPr>
      </w:pPr>
    </w:p>
    <w:p w14:paraId="266176FD">
      <w:pPr>
        <w:ind w:firstLine="560" w:firstLineChars="200"/>
        <w:rPr>
          <w:rFonts w:hint="eastAsia"/>
          <w:sz w:val="28"/>
          <w:szCs w:val="28"/>
          <w:lang w:val="en-US" w:eastAsia="zh-CN"/>
        </w:rPr>
      </w:pPr>
    </w:p>
    <w:p w14:paraId="7D912ED2">
      <w:pPr>
        <w:ind w:firstLine="560" w:firstLineChars="200"/>
        <w:rPr>
          <w:rFonts w:hint="eastAsia"/>
          <w:sz w:val="28"/>
          <w:szCs w:val="28"/>
          <w:lang w:val="en-US" w:eastAsia="zh-CN"/>
        </w:rPr>
      </w:pPr>
    </w:p>
    <w:p w14:paraId="1E7AA42C">
      <w:pPr>
        <w:ind w:firstLine="640" w:firstLineChars="200"/>
        <w:rPr>
          <w:rFonts w:hint="eastAsia" w:ascii="仿宋_GB2312" w:hAnsi="仿宋_GB2312" w:eastAsia="仿宋_GB2312" w:cs="仿宋_GB2312"/>
          <w:sz w:val="32"/>
          <w:szCs w:val="32"/>
        </w:rPr>
      </w:pPr>
    </w:p>
    <w:p w14:paraId="2175D0ED">
      <w:pPr>
        <w:ind w:firstLine="640" w:firstLineChars="200"/>
        <w:rPr>
          <w:rFonts w:hint="eastAsia" w:ascii="仿宋_GB2312" w:hAnsi="仿宋_GB2312" w:eastAsia="仿宋_GB2312" w:cs="仿宋_GB2312"/>
          <w:sz w:val="32"/>
          <w:szCs w:val="32"/>
        </w:rPr>
      </w:pPr>
    </w:p>
    <w:p w14:paraId="55B2166B">
      <w:pPr>
        <w:ind w:firstLine="640" w:firstLineChars="200"/>
        <w:rPr>
          <w:rFonts w:hint="eastAsia" w:ascii="仿宋_GB2312" w:hAnsi="仿宋_GB2312" w:eastAsia="仿宋_GB2312" w:cs="仿宋_GB2312"/>
          <w:sz w:val="32"/>
          <w:szCs w:val="32"/>
        </w:rPr>
      </w:pPr>
    </w:p>
    <w:p w14:paraId="73B25411">
      <w:pPr>
        <w:rPr>
          <w:rFonts w:hint="eastAsia" w:ascii="仿宋_GB2312" w:hAnsi="仿宋_GB2312" w:eastAsia="仿宋_GB2312" w:cs="仿宋_GB2312"/>
          <w:sz w:val="32"/>
          <w:szCs w:val="32"/>
        </w:rPr>
      </w:pPr>
    </w:p>
    <w:p w14:paraId="32638995">
      <w:pPr>
        <w:ind w:firstLine="2560" w:firstLineChars="8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山西省住房和城乡建设厅</w:t>
      </w:r>
    </w:p>
    <w:p w14:paraId="3B26129C">
      <w:pPr>
        <w:ind w:firstLine="3200" w:firstLineChars="10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2024年10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p>
    <w:p w14:paraId="61EAFCB0">
      <w:pPr>
        <w:rPr>
          <w:rFonts w:hint="eastAsia" w:ascii="仿宋_GB2312" w:eastAsia="仿宋_GB2312"/>
          <w:sz w:val="32"/>
          <w:szCs w:val="32"/>
        </w:rPr>
      </w:pPr>
    </w:p>
    <w:p w14:paraId="588A25DF">
      <w:pPr>
        <w:rPr>
          <w:rFonts w:hint="eastAsia" w:ascii="仿宋_GB2312" w:eastAsia="仿宋_GB2312"/>
          <w:sz w:val="32"/>
          <w:szCs w:val="32"/>
        </w:rPr>
      </w:pPr>
    </w:p>
    <w:p w14:paraId="379A8E69">
      <w:pPr>
        <w:rPr>
          <w:rFonts w:hint="eastAsia" w:ascii="仿宋_GB2312" w:eastAsia="仿宋_GB2312"/>
          <w:sz w:val="32"/>
          <w:szCs w:val="32"/>
        </w:rPr>
      </w:pPr>
    </w:p>
    <w:p w14:paraId="0129C7B0">
      <w:pPr>
        <w:keepNext w:val="0"/>
        <w:keepLines w:val="0"/>
        <w:pageBreakBefore w:val="0"/>
        <w:widowControl w:val="0"/>
        <w:kinsoku/>
        <w:wordWrap/>
        <w:overflowPunct/>
        <w:topLinePunct w:val="0"/>
        <w:autoSpaceDE/>
        <w:autoSpaceDN/>
        <w:bidi w:val="0"/>
        <w:adjustRightInd/>
        <w:snapToGrid/>
        <w:ind w:firstLine="3520" w:firstLineChars="1100"/>
        <w:textAlignment w:val="auto"/>
        <w:rPr>
          <w:rFonts w:hint="eastAsia" w:ascii="黑体" w:hAnsi="黑体" w:eastAsia="黑体" w:cs="黑体"/>
          <w:b w:val="0"/>
          <w:bCs w:val="0"/>
          <w:kern w:val="0"/>
          <w:sz w:val="32"/>
          <w:szCs w:val="32"/>
          <w:lang w:val="en-US" w:eastAsia="zh-CN" w:bidi="ar"/>
        </w:rPr>
      </w:pPr>
      <w:r>
        <w:rPr>
          <w:rFonts w:hint="eastAsia" w:ascii="黑体" w:hAnsi="黑体" w:eastAsia="黑体" w:cs="黑体"/>
          <w:b w:val="0"/>
          <w:bCs w:val="0"/>
          <w:kern w:val="0"/>
          <w:sz w:val="32"/>
          <w:szCs w:val="32"/>
          <w:lang w:val="en-US" w:eastAsia="zh-CN" w:bidi="ar"/>
        </w:rPr>
        <w:t xml:space="preserve">1 总体要求 </w:t>
      </w:r>
    </w:p>
    <w:p w14:paraId="257804C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1.1 从严控制城市道路挖掘行为。</w:t>
      </w:r>
    </w:p>
    <w:p w14:paraId="7596F15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新建、扩建、改建的城市道路，原则上在竣工实际交付使用后五年内不得开挖；对大修的城市道路，原则上在竣工实际交付使用后三年内不得开挖。确因特殊原因需要开挖，除需依法履行行政审批手续外，还要加倍收取挖掘修复费用。竣工后当年不得开挖。竣工后第一年内按照执行标准的3倍收取，第二年按照2.5倍收取，第三年按照2倍收取，第四年按照1.5倍收取，第五年按照1.2倍收取挖掘修复费用。在城市道路横向埋设管线时，应采用非开挖方式施工，确因特殊原因需要开挖，挖掘修复费按照执行标准的1.5倍进行收取。以上情况同时出现时，应累加收取。</w:t>
      </w:r>
    </w:p>
    <w:p w14:paraId="637F4A3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华文仿宋" w:eastAsia="仿宋_GB2312" w:cs="华文仿宋"/>
          <w:sz w:val="32"/>
          <w:szCs w:val="32"/>
          <w:lang w:val="en-US" w:eastAsia="zh-CN"/>
        </w:rPr>
        <w:t>在冬季</w:t>
      </w:r>
      <w:r>
        <w:rPr>
          <w:rFonts w:hint="eastAsia" w:ascii="仿宋_GB2312" w:hAnsi="华文仿宋" w:eastAsia="仿宋_GB2312" w:cs="华文仿宋"/>
          <w:sz w:val="32"/>
          <w:szCs w:val="32"/>
        </w:rPr>
        <w:t>供暖期</w:t>
      </w:r>
      <w:r>
        <w:rPr>
          <w:rFonts w:hint="eastAsia" w:ascii="仿宋_GB2312" w:hAnsi="华文仿宋" w:eastAsia="仿宋_GB2312" w:cs="华文仿宋"/>
          <w:sz w:val="32"/>
          <w:szCs w:val="32"/>
          <w:lang w:eastAsia="zh-CN"/>
        </w:rPr>
        <w:t>，</w:t>
      </w:r>
      <w:r>
        <w:rPr>
          <w:rFonts w:hint="eastAsia" w:ascii="仿宋_GB2312" w:hAnsi="华文仿宋" w:eastAsia="仿宋_GB2312" w:cs="华文仿宋"/>
          <w:sz w:val="32"/>
          <w:szCs w:val="32"/>
        </w:rPr>
        <w:t>除抢修外，</w:t>
      </w:r>
      <w:r>
        <w:rPr>
          <w:rFonts w:hint="eastAsia" w:ascii="仿宋_GB2312" w:hAnsi="华文仿宋" w:eastAsia="仿宋_GB2312" w:cs="华文仿宋"/>
          <w:sz w:val="32"/>
          <w:szCs w:val="32"/>
          <w:lang w:val="en-US" w:eastAsia="zh-CN"/>
        </w:rPr>
        <w:t>原则上</w:t>
      </w:r>
      <w:r>
        <w:rPr>
          <w:rFonts w:hint="eastAsia" w:ascii="仿宋_GB2312" w:hAnsi="华文仿宋" w:eastAsia="仿宋_GB2312" w:cs="华文仿宋"/>
          <w:sz w:val="32"/>
          <w:szCs w:val="32"/>
        </w:rPr>
        <w:t>不</w:t>
      </w:r>
      <w:r>
        <w:rPr>
          <w:rFonts w:hint="eastAsia" w:ascii="仿宋_GB2312" w:hAnsi="华文仿宋" w:eastAsia="仿宋_GB2312" w:cs="华文仿宋"/>
          <w:sz w:val="32"/>
          <w:szCs w:val="32"/>
          <w:lang w:val="en-US" w:eastAsia="zh-CN"/>
        </w:rPr>
        <w:t>得挖掘城市道路</w:t>
      </w:r>
      <w:r>
        <w:rPr>
          <w:rFonts w:hint="eastAsia" w:ascii="仿宋_GB2312" w:hAnsi="华文仿宋" w:eastAsia="仿宋_GB2312" w:cs="华文仿宋"/>
          <w:sz w:val="32"/>
          <w:szCs w:val="32"/>
        </w:rPr>
        <w:t>。</w:t>
      </w:r>
      <w:r>
        <w:rPr>
          <w:rFonts w:hint="eastAsia" w:ascii="仿宋_GB2312" w:hAnsi="华文仿宋" w:eastAsia="仿宋_GB2312" w:cs="华文仿宋"/>
          <w:sz w:val="32"/>
          <w:szCs w:val="32"/>
          <w:lang w:val="en-US" w:eastAsia="zh-CN"/>
        </w:rPr>
        <w:t>冬季掘路管理规定由各市县市政道路主管部门根据本地实际情况确定。</w:t>
      </w:r>
    </w:p>
    <w:p w14:paraId="09AE1EC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1.2 规范执行城市道路挖掘修复收费标准。</w:t>
      </w:r>
    </w:p>
    <w:p w14:paraId="28DB5CF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地在执行本《标准》时，可根据所处地域环境、经济发展水平，以本《标准》为基数在0.9～1.1倍的幅度范围内自行确定当地城市道路挖掘修复收费标准，也可结合当地实际情况对个别差异化项目进行修订完善，并向全社会公开发布。</w:t>
      </w:r>
    </w:p>
    <w:p w14:paraId="4D194895">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1.3 加强城市道路挖掘修复费收支管理。</w:t>
      </w:r>
    </w:p>
    <w:p w14:paraId="75518E5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按照审批权限收取的城市道路挖掘修复费应统筹专项用于城市道路挖掘修复、养护维修管理。按照国库集中收缴制度相关规定纳入同级国库，纳入一般公共预算，科目列“103043306”城市道路挖掘修复费。</w:t>
      </w:r>
    </w:p>
    <w:p w14:paraId="6AC1809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1.4  本《标准》从2025年1月1日起实行。</w:t>
      </w:r>
      <w:r>
        <w:rPr>
          <w:rFonts w:hint="eastAsia" w:ascii="仿宋_GB2312" w:eastAsia="仿宋_GB2312" w:cs="Times New Roman"/>
          <w:b w:val="0"/>
          <w:bCs w:val="0"/>
          <w:kern w:val="0"/>
          <w:sz w:val="32"/>
          <w:szCs w:val="32"/>
          <w:lang w:val="en-US" w:eastAsia="zh-CN" w:bidi="ar"/>
        </w:rPr>
        <w:t>全省之前城市道路挖掘修复有关规定与本标准不一致的，</w:t>
      </w:r>
      <w:r>
        <w:rPr>
          <w:rFonts w:hint="eastAsia" w:ascii="仿宋_GB2312" w:hAnsi="Calibri" w:eastAsia="仿宋_GB2312" w:cs="Times New Roman"/>
          <w:b w:val="0"/>
          <w:bCs w:val="0"/>
          <w:kern w:val="0"/>
          <w:sz w:val="32"/>
          <w:szCs w:val="32"/>
          <w:lang w:val="en-US" w:eastAsia="zh-CN" w:bidi="ar"/>
        </w:rPr>
        <w:t>以本标准为准。</w:t>
      </w:r>
    </w:p>
    <w:p w14:paraId="0A31B327">
      <w:pPr>
        <w:rPr>
          <w:rFonts w:hint="default"/>
          <w:lang w:val="en-US" w:eastAsia="zh-CN"/>
        </w:rPr>
      </w:pPr>
    </w:p>
    <w:p w14:paraId="5E542CBC">
      <w:pPr>
        <w:jc w:val="center"/>
        <w:rPr>
          <w:rFonts w:hint="eastAsia"/>
          <w:b/>
          <w:bCs/>
          <w:sz w:val="32"/>
          <w:szCs w:val="32"/>
          <w:lang w:val="en-US" w:eastAsia="zh-CN"/>
        </w:rPr>
      </w:pPr>
    </w:p>
    <w:p w14:paraId="2889B30E">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24C62853">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5DCD2087">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4F288E8B">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5F57C241">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7A310BFA">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218C98CE">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24F913A7">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4EB20E9F">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38407E6C">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040EC7A4">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0D0C56A0">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2AE51FD9">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152906D2">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040F40BB">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45E089D5">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p>
    <w:p w14:paraId="36216D1D">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kern w:val="0"/>
          <w:sz w:val="32"/>
          <w:szCs w:val="32"/>
          <w:lang w:val="en-US" w:eastAsia="zh-CN" w:bidi="ar"/>
        </w:rPr>
      </w:pPr>
      <w:r>
        <w:rPr>
          <w:rFonts w:hint="eastAsia" w:ascii="黑体" w:hAnsi="黑体" w:eastAsia="黑体" w:cs="黑体"/>
          <w:b w:val="0"/>
          <w:bCs w:val="0"/>
          <w:kern w:val="0"/>
          <w:sz w:val="32"/>
          <w:szCs w:val="32"/>
          <w:lang w:val="en-US" w:eastAsia="zh-CN" w:bidi="ar"/>
        </w:rPr>
        <w:t>2 标准制定说明</w:t>
      </w:r>
    </w:p>
    <w:p w14:paraId="11B5E42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2.1 本标准适用范围为山西省城市及县城建成区内的市政道路，分为城市快速路、主干路、次干路和支路四个等级。</w:t>
      </w:r>
    </w:p>
    <w:p w14:paraId="366B753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 本修复单价为全费用综合单价。</w:t>
      </w:r>
    </w:p>
    <w:p w14:paraId="49E91C0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2.3 道路、人行道损坏的挖掘面积按区域最大宽度×最大长度计算，不足1㎡时按1㎡计。道路修复面积在1-20（含）㎡按修复费的1.5倍收取。</w:t>
      </w:r>
    </w:p>
    <w:p w14:paraId="08E849E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2.4 掘路修复内容、施工操作规程及质量验收需严格执行相关标准。</w:t>
      </w:r>
    </w:p>
    <w:p w14:paraId="0E42698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2.5 挖掘修复涉及特殊结构或非常规市政材料，价格与常规修复单价差异较大时，可另行委托具有相关资质单位编制专项修复单价，并报市政主管部门进行审核确定。</w:t>
      </w:r>
    </w:p>
    <w:p w14:paraId="56C32C0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华文仿宋" w:eastAsia="仿宋_GB2312" w:cs="华文仿宋"/>
          <w:sz w:val="32"/>
          <w:szCs w:val="32"/>
          <w:highlight w:val="none"/>
          <w:lang w:val="en-US" w:eastAsia="zh-CN"/>
        </w:rPr>
      </w:pPr>
      <w:r>
        <w:rPr>
          <w:rFonts w:hint="eastAsia" w:ascii="仿宋_GB2312" w:hAnsi="华文仿宋" w:eastAsia="仿宋_GB2312" w:cs="华文仿宋"/>
          <w:sz w:val="32"/>
          <w:szCs w:val="32"/>
          <w:lang w:val="en-US" w:eastAsia="zh-CN"/>
        </w:rPr>
        <w:t xml:space="preserve">2.6 </w:t>
      </w:r>
      <w:r>
        <w:rPr>
          <w:rFonts w:hint="eastAsia" w:ascii="仿宋_GB2312" w:hAnsi="华文仿宋" w:eastAsia="仿宋_GB2312" w:cs="华文仿宋"/>
          <w:sz w:val="32"/>
          <w:szCs w:val="32"/>
        </w:rPr>
        <w:t>各市</w:t>
      </w:r>
      <w:r>
        <w:rPr>
          <w:rFonts w:hint="eastAsia" w:ascii="仿宋_GB2312" w:hAnsi="华文仿宋" w:eastAsia="仿宋_GB2312" w:cs="华文仿宋"/>
          <w:sz w:val="32"/>
          <w:szCs w:val="32"/>
          <w:lang w:val="en-US" w:eastAsia="zh-CN"/>
        </w:rPr>
        <w:t>县市政</w:t>
      </w:r>
      <w:r>
        <w:rPr>
          <w:rFonts w:hint="eastAsia" w:ascii="仿宋_GB2312" w:hAnsi="华文仿宋" w:eastAsia="仿宋_GB2312" w:cs="华文仿宋"/>
          <w:sz w:val="32"/>
          <w:szCs w:val="32"/>
          <w:lang w:eastAsia="zh-CN"/>
        </w:rPr>
        <w:t>道路主管</w:t>
      </w:r>
      <w:r>
        <w:rPr>
          <w:rFonts w:hint="eastAsia" w:ascii="仿宋_GB2312" w:hAnsi="华文仿宋" w:eastAsia="仿宋_GB2312" w:cs="华文仿宋"/>
          <w:sz w:val="32"/>
          <w:szCs w:val="32"/>
        </w:rPr>
        <w:t>部门</w:t>
      </w:r>
      <w:r>
        <w:rPr>
          <w:rFonts w:hint="eastAsia" w:ascii="仿宋_GB2312" w:hAnsi="华文仿宋" w:eastAsia="仿宋_GB2312" w:cs="华文仿宋"/>
          <w:sz w:val="32"/>
          <w:szCs w:val="32"/>
          <w:lang w:val="en-US" w:eastAsia="zh-CN"/>
        </w:rPr>
        <w:t>应于</w:t>
      </w:r>
      <w:r>
        <w:rPr>
          <w:rFonts w:hint="eastAsia" w:ascii="仿宋_GB2312" w:hAnsi="华文仿宋" w:eastAsia="仿宋_GB2312" w:cs="华文仿宋"/>
          <w:sz w:val="32"/>
          <w:szCs w:val="32"/>
        </w:rPr>
        <w:t>每年12月25日前编制市政道路台账，</w:t>
      </w:r>
      <w:r>
        <w:rPr>
          <w:rFonts w:hint="eastAsia" w:ascii="仿宋_GB2312" w:hAnsi="华文仿宋" w:eastAsia="仿宋_GB2312" w:cs="华文仿宋"/>
          <w:sz w:val="32"/>
          <w:szCs w:val="32"/>
          <w:highlight w:val="none"/>
        </w:rPr>
        <w:t>明确各条道路等级</w:t>
      </w:r>
      <w:r>
        <w:rPr>
          <w:rFonts w:hint="eastAsia" w:ascii="仿宋_GB2312" w:hAnsi="华文仿宋" w:eastAsia="仿宋_GB2312" w:cs="华文仿宋"/>
          <w:sz w:val="32"/>
          <w:szCs w:val="32"/>
          <w:highlight w:val="none"/>
          <w:lang w:eastAsia="zh-CN"/>
        </w:rPr>
        <w:t>，</w:t>
      </w:r>
      <w:r>
        <w:rPr>
          <w:rFonts w:hint="eastAsia" w:ascii="仿宋_GB2312" w:hAnsi="华文仿宋" w:eastAsia="仿宋_GB2312" w:cs="华文仿宋"/>
          <w:sz w:val="32"/>
          <w:szCs w:val="32"/>
        </w:rPr>
        <w:t>并向社会公示</w:t>
      </w:r>
      <w:r>
        <w:rPr>
          <w:rFonts w:hint="eastAsia" w:ascii="仿宋_GB2312" w:hAnsi="华文仿宋" w:eastAsia="仿宋_GB2312" w:cs="华文仿宋"/>
          <w:sz w:val="32"/>
          <w:szCs w:val="32"/>
          <w:lang w:eastAsia="zh-CN"/>
        </w:rPr>
        <w:t>。</w:t>
      </w:r>
      <w:r>
        <w:rPr>
          <w:rFonts w:hint="eastAsia" w:ascii="仿宋_GB2312" w:hAnsi="华文仿宋" w:eastAsia="仿宋_GB2312" w:cs="华文仿宋"/>
          <w:sz w:val="32"/>
          <w:szCs w:val="32"/>
          <w:highlight w:val="none"/>
          <w:lang w:val="en-US" w:eastAsia="zh-CN"/>
        </w:rPr>
        <w:t xml:space="preserve"> </w:t>
      </w:r>
    </w:p>
    <w:p w14:paraId="4CA511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rPr>
          <w:rFonts w:hint="eastAsia" w:ascii="仿宋_GB2312" w:hAnsi="华文仿宋" w:eastAsia="仿宋_GB2312" w:cs="华文仿宋"/>
          <w:kern w:val="0"/>
          <w:sz w:val="32"/>
          <w:szCs w:val="32"/>
          <w:lang w:val="en-US" w:eastAsia="zh-CN" w:bidi="ar"/>
        </w:rPr>
      </w:pPr>
      <w:r>
        <w:rPr>
          <w:rFonts w:hint="eastAsia" w:ascii="仿宋_GB2312" w:hAnsi="华文仿宋" w:eastAsia="仿宋_GB2312" w:cs="华文仿宋"/>
          <w:sz w:val="32"/>
          <w:szCs w:val="32"/>
          <w:lang w:val="en-US" w:eastAsia="zh-CN"/>
        </w:rPr>
        <w:t xml:space="preserve">2.7 </w:t>
      </w:r>
      <w:r>
        <w:rPr>
          <w:rFonts w:hint="eastAsia" w:ascii="仿宋_GB2312" w:hAnsi="华文仿宋" w:eastAsia="仿宋_GB2312" w:cs="华文仿宋"/>
          <w:kern w:val="0"/>
          <w:sz w:val="32"/>
          <w:szCs w:val="32"/>
          <w:lang w:val="en-US" w:eastAsia="zh-CN" w:bidi="ar"/>
        </w:rPr>
        <w:t>挖掘道路</w:t>
      </w:r>
      <w:r>
        <w:rPr>
          <w:rFonts w:hint="eastAsia" w:ascii="仿宋_GB2312" w:hAnsi="华文仿宋" w:eastAsia="仿宋_GB2312" w:cs="华文仿宋"/>
          <w:kern w:val="0"/>
          <w:sz w:val="32"/>
          <w:szCs w:val="32"/>
          <w:lang w:bidi="ar"/>
        </w:rPr>
        <w:t>面积</w:t>
      </w:r>
      <w:r>
        <w:rPr>
          <w:rFonts w:hint="eastAsia" w:ascii="仿宋_GB2312" w:hAnsi="华文仿宋" w:eastAsia="仿宋_GB2312" w:cs="华文仿宋"/>
          <w:sz w:val="32"/>
          <w:szCs w:val="32"/>
        </w:rPr>
        <w:t>应按照</w:t>
      </w:r>
      <w:r>
        <w:rPr>
          <w:rFonts w:hint="eastAsia" w:ascii="仿宋_GB2312" w:hAnsi="华文仿宋" w:eastAsia="仿宋_GB2312" w:cs="华文仿宋"/>
          <w:kern w:val="0"/>
          <w:sz w:val="32"/>
          <w:szCs w:val="32"/>
          <w:lang w:bidi="ar"/>
        </w:rPr>
        <w:t>《城镇道路养护技术规范》（CJJ36-2016）的要求确定。增设出入口的，应按照出入口设计图及所在道路等级机动车道标准计算掘路</w:t>
      </w:r>
      <w:r>
        <w:rPr>
          <w:rFonts w:hint="eastAsia" w:ascii="仿宋_GB2312" w:hAnsi="华文仿宋" w:eastAsia="仿宋_GB2312" w:cs="华文仿宋"/>
          <w:kern w:val="0"/>
          <w:sz w:val="32"/>
          <w:szCs w:val="32"/>
          <w:lang w:val="en-US" w:eastAsia="zh-CN" w:bidi="ar"/>
        </w:rPr>
        <w:t>修复</w:t>
      </w:r>
      <w:r>
        <w:rPr>
          <w:rFonts w:hint="eastAsia" w:ascii="仿宋_GB2312" w:hAnsi="华文仿宋" w:eastAsia="仿宋_GB2312" w:cs="华文仿宋"/>
          <w:kern w:val="0"/>
          <w:sz w:val="32"/>
          <w:szCs w:val="32"/>
          <w:lang w:bidi="ar"/>
        </w:rPr>
        <w:t>费。</w:t>
      </w:r>
    </w:p>
    <w:p w14:paraId="448B5CF6">
      <w:pPr>
        <w:numPr>
          <w:ilvl w:val="0"/>
          <w:numId w:val="0"/>
        </w:numPr>
        <w:ind w:leftChars="0"/>
        <w:jc w:val="left"/>
        <w:rPr>
          <w:rFonts w:hint="eastAsia"/>
          <w:sz w:val="28"/>
          <w:szCs w:val="28"/>
          <w:lang w:val="en-US" w:eastAsia="zh-CN"/>
        </w:rPr>
      </w:pPr>
    </w:p>
    <w:p w14:paraId="1A0D086B">
      <w:pPr>
        <w:numPr>
          <w:ilvl w:val="0"/>
          <w:numId w:val="0"/>
        </w:numPr>
        <w:ind w:leftChars="0"/>
        <w:jc w:val="left"/>
        <w:rPr>
          <w:rFonts w:hint="eastAsia"/>
          <w:sz w:val="28"/>
          <w:szCs w:val="28"/>
          <w:lang w:val="en-US" w:eastAsia="zh-CN"/>
        </w:rPr>
      </w:pPr>
    </w:p>
    <w:p w14:paraId="7474EFDC">
      <w:pPr>
        <w:numPr>
          <w:ilvl w:val="0"/>
          <w:numId w:val="0"/>
        </w:numPr>
        <w:ind w:leftChars="0"/>
        <w:jc w:val="left"/>
        <w:rPr>
          <w:rFonts w:hint="eastAsia"/>
          <w:sz w:val="28"/>
          <w:szCs w:val="28"/>
          <w:lang w:val="en-US" w:eastAsia="zh-CN"/>
        </w:rPr>
      </w:pPr>
    </w:p>
    <w:p w14:paraId="45908780">
      <w:pPr>
        <w:numPr>
          <w:ilvl w:val="0"/>
          <w:numId w:val="0"/>
        </w:numPr>
        <w:ind w:leftChars="0"/>
        <w:jc w:val="left"/>
        <w:rPr>
          <w:rFonts w:hint="eastAsia"/>
          <w:sz w:val="28"/>
          <w:szCs w:val="28"/>
          <w:lang w:val="en-US" w:eastAsia="zh-CN"/>
        </w:rPr>
      </w:pPr>
    </w:p>
    <w:p w14:paraId="5659BAFE">
      <w:pPr>
        <w:keepNext w:val="0"/>
        <w:keepLines w:val="0"/>
        <w:pageBreakBefore w:val="0"/>
        <w:widowControl w:val="0"/>
        <w:kinsoku/>
        <w:wordWrap/>
        <w:overflowPunct/>
        <w:topLinePunct w:val="0"/>
        <w:autoSpaceDE/>
        <w:autoSpaceDN/>
        <w:bidi w:val="0"/>
        <w:adjustRightInd/>
        <w:snapToGrid/>
        <w:ind w:firstLine="2560" w:firstLineChars="800"/>
        <w:textAlignment w:val="auto"/>
        <w:rPr>
          <w:rFonts w:hint="eastAsia" w:ascii="黑体" w:hAnsi="黑体" w:eastAsia="黑体" w:cs="黑体"/>
          <w:b w:val="0"/>
          <w:bCs w:val="0"/>
          <w:kern w:val="0"/>
          <w:sz w:val="32"/>
          <w:szCs w:val="32"/>
          <w:lang w:val="en-US" w:eastAsia="zh-CN" w:bidi="ar"/>
        </w:rPr>
      </w:pPr>
      <w:r>
        <w:rPr>
          <w:rFonts w:hint="eastAsia" w:ascii="黑体" w:hAnsi="黑体" w:eastAsia="黑体" w:cs="黑体"/>
          <w:b w:val="0"/>
          <w:bCs w:val="0"/>
          <w:kern w:val="0"/>
          <w:sz w:val="32"/>
          <w:szCs w:val="32"/>
          <w:lang w:val="en-US" w:eastAsia="zh-CN" w:bidi="ar"/>
        </w:rPr>
        <w:t>3 标准制定参考依据</w:t>
      </w:r>
    </w:p>
    <w:p w14:paraId="1A0DB30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3.1 </w:t>
      </w:r>
      <w:r>
        <w:rPr>
          <w:rFonts w:hint="default" w:ascii="仿宋_GB2312" w:hAnsi="仿宋_GB2312" w:eastAsia="仿宋_GB2312" w:cs="仿宋_GB2312"/>
          <w:sz w:val="32"/>
          <w:szCs w:val="32"/>
          <w:lang w:val="en-US" w:eastAsia="zh-CN"/>
        </w:rPr>
        <w:t>《山西省建筑工程预算定额》</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2018年</w:t>
      </w:r>
      <w:r>
        <w:rPr>
          <w:rFonts w:hint="eastAsia" w:ascii="仿宋_GB2312" w:hAnsi="仿宋_GB2312" w:eastAsia="仿宋_GB2312" w:cs="仿宋_GB2312"/>
          <w:sz w:val="32"/>
          <w:szCs w:val="32"/>
          <w:lang w:val="en-US" w:eastAsia="zh-CN"/>
        </w:rPr>
        <w:t>）</w:t>
      </w:r>
    </w:p>
    <w:p w14:paraId="4B81566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3.2 </w:t>
      </w:r>
      <w:r>
        <w:rPr>
          <w:rFonts w:hint="default" w:ascii="仿宋_GB2312" w:hAnsi="仿宋_GB2312" w:eastAsia="仿宋_GB2312" w:cs="仿宋_GB2312"/>
          <w:sz w:val="32"/>
          <w:szCs w:val="32"/>
          <w:lang w:val="en-US" w:eastAsia="zh-CN"/>
        </w:rPr>
        <w:t>《山西省市政工程预算定额》</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2018年</w:t>
      </w:r>
      <w:r>
        <w:rPr>
          <w:rFonts w:hint="eastAsia" w:ascii="仿宋_GB2312" w:hAnsi="仿宋_GB2312" w:eastAsia="仿宋_GB2312" w:cs="仿宋_GB2312"/>
          <w:sz w:val="32"/>
          <w:szCs w:val="32"/>
          <w:lang w:val="en-US" w:eastAsia="zh-CN"/>
        </w:rPr>
        <w:t>）</w:t>
      </w:r>
    </w:p>
    <w:p w14:paraId="1F20712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3.3 </w:t>
      </w:r>
      <w:r>
        <w:rPr>
          <w:rFonts w:hint="default" w:ascii="仿宋_GB2312" w:hAnsi="仿宋_GB2312" w:eastAsia="仿宋_GB2312" w:cs="仿宋_GB2312"/>
          <w:sz w:val="32"/>
          <w:szCs w:val="32"/>
          <w:lang w:val="en-US" w:eastAsia="zh-CN"/>
        </w:rPr>
        <w:t>《山西省装饰工程预算定额》</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2018年</w:t>
      </w:r>
      <w:r>
        <w:rPr>
          <w:rFonts w:hint="eastAsia" w:ascii="仿宋_GB2312" w:hAnsi="仿宋_GB2312" w:eastAsia="仿宋_GB2312" w:cs="仿宋_GB2312"/>
          <w:sz w:val="32"/>
          <w:szCs w:val="32"/>
          <w:lang w:val="en-US" w:eastAsia="zh-CN"/>
        </w:rPr>
        <w:t>）</w:t>
      </w:r>
    </w:p>
    <w:p w14:paraId="5C801F8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3.4 </w:t>
      </w:r>
      <w:r>
        <w:rPr>
          <w:rFonts w:hint="default" w:ascii="仿宋_GB2312" w:hAnsi="仿宋_GB2312" w:eastAsia="仿宋_GB2312" w:cs="仿宋_GB2312"/>
          <w:sz w:val="32"/>
          <w:szCs w:val="32"/>
          <w:lang w:val="en-US" w:eastAsia="zh-CN"/>
        </w:rPr>
        <w:t>《山西省安装工程预算</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定额》</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2018年</w:t>
      </w:r>
      <w:r>
        <w:rPr>
          <w:rFonts w:hint="eastAsia" w:ascii="仿宋_GB2312" w:hAnsi="仿宋_GB2312" w:eastAsia="仿宋_GB2312" w:cs="仿宋_GB2312"/>
          <w:sz w:val="32"/>
          <w:szCs w:val="32"/>
          <w:lang w:val="en-US" w:eastAsia="zh-CN"/>
        </w:rPr>
        <w:t>）</w:t>
      </w:r>
    </w:p>
    <w:p w14:paraId="0AFFA5C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3.5 </w:t>
      </w:r>
      <w:r>
        <w:rPr>
          <w:rFonts w:hint="default" w:ascii="仿宋_GB2312" w:hAnsi="仿宋_GB2312" w:eastAsia="仿宋_GB2312" w:cs="仿宋_GB2312"/>
          <w:sz w:val="32"/>
          <w:szCs w:val="32"/>
          <w:lang w:val="en-US" w:eastAsia="zh-CN"/>
        </w:rPr>
        <w:t>《山西省建设工程费用定额》</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2018年</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 xml:space="preserve"> </w:t>
      </w:r>
    </w:p>
    <w:p w14:paraId="0016C62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3.6 </w:t>
      </w:r>
      <w:r>
        <w:rPr>
          <w:rFonts w:hint="default" w:ascii="仿宋_GB2312" w:hAnsi="仿宋_GB2312" w:eastAsia="仿宋_GB2312" w:cs="仿宋_GB2312"/>
          <w:sz w:val="32"/>
          <w:szCs w:val="32"/>
          <w:lang w:val="en-US" w:eastAsia="zh-CN"/>
        </w:rPr>
        <w:t>《山西省工程建设其他费用标准》</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晋建标字2009</w:t>
      </w:r>
      <w:r>
        <w:rPr>
          <w:rFonts w:hint="eastAsia" w:ascii="宋体" w:hAnsi="宋体" w:eastAsia="宋体" w:cs="宋体"/>
          <w:sz w:val="32"/>
          <w:szCs w:val="32"/>
          <w:lang w:val="en-US" w:eastAsia="zh-CN"/>
        </w:rPr>
        <w:t>[</w:t>
      </w:r>
      <w:r>
        <w:rPr>
          <w:rFonts w:hint="eastAsia" w:ascii="宋体" w:hAnsi="宋体" w:cs="宋体"/>
          <w:sz w:val="32"/>
          <w:szCs w:val="32"/>
          <w:lang w:val="en-US" w:eastAsia="zh-CN"/>
        </w:rPr>
        <w:t>9</w:t>
      </w:r>
      <w:r>
        <w:rPr>
          <w:rFonts w:hint="eastAsia" w:ascii="宋体" w:hAnsi="宋体" w:eastAsia="宋体" w:cs="宋体"/>
          <w:sz w:val="32"/>
          <w:szCs w:val="32"/>
          <w:lang w:val="en-US" w:eastAsia="zh-CN"/>
        </w:rPr>
        <w:t>]</w:t>
      </w:r>
      <w:r>
        <w:rPr>
          <w:rFonts w:hint="default" w:ascii="仿宋_GB2312" w:hAnsi="仿宋_GB2312" w:eastAsia="仿宋_GB2312" w:cs="仿宋_GB2312"/>
          <w:sz w:val="32"/>
          <w:szCs w:val="32"/>
          <w:lang w:val="en-US" w:eastAsia="zh-CN"/>
        </w:rPr>
        <w:t>号</w:t>
      </w:r>
      <w:r>
        <w:rPr>
          <w:rFonts w:hint="eastAsia" w:ascii="仿宋_GB2312" w:hAnsi="仿宋_GB2312" w:eastAsia="仿宋_GB2312" w:cs="仿宋_GB2312"/>
          <w:sz w:val="32"/>
          <w:szCs w:val="32"/>
          <w:lang w:val="en-US" w:eastAsia="zh-CN"/>
        </w:rPr>
        <w:t>）</w:t>
      </w:r>
    </w:p>
    <w:p w14:paraId="6FAD733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3.7 </w:t>
      </w:r>
      <w:r>
        <w:rPr>
          <w:rFonts w:hint="default" w:ascii="仿宋_GB2312" w:hAnsi="仿宋_GB2312" w:eastAsia="仿宋_GB2312" w:cs="仿宋_GB2312"/>
          <w:sz w:val="32"/>
          <w:szCs w:val="32"/>
          <w:lang w:val="en-US" w:eastAsia="zh-CN"/>
        </w:rPr>
        <w:t>《建设项目总投资及其他费用项目组成规定》</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中华人民共和国住房和城乡建设部</w:t>
      </w:r>
      <w:r>
        <w:rPr>
          <w:rFonts w:hint="eastAsia" w:ascii="仿宋_GB2312" w:hAnsi="仿宋_GB2312" w:eastAsia="仿宋_GB2312" w:cs="仿宋_GB2312"/>
          <w:sz w:val="32"/>
          <w:szCs w:val="32"/>
          <w:lang w:val="en-US" w:eastAsia="zh-CN"/>
        </w:rPr>
        <w:t>）</w:t>
      </w:r>
    </w:p>
    <w:p w14:paraId="112D9C8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3.8 </w:t>
      </w:r>
      <w:r>
        <w:rPr>
          <w:rFonts w:hint="default" w:ascii="仿宋_GB2312" w:hAnsi="仿宋_GB2312" w:eastAsia="仿宋_GB2312" w:cs="仿宋_GB2312"/>
          <w:sz w:val="32"/>
          <w:szCs w:val="32"/>
          <w:lang w:val="en-US" w:eastAsia="zh-CN"/>
        </w:rPr>
        <w:t>关于调整2018《山西省建设工程计价依据》人工单价的通知</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晋建科字〔2022〕65号</w:t>
      </w:r>
      <w:r>
        <w:rPr>
          <w:rFonts w:hint="eastAsia" w:ascii="仿宋_GB2312" w:hAnsi="仿宋_GB2312" w:eastAsia="仿宋_GB2312" w:cs="仿宋_GB2312"/>
          <w:sz w:val="32"/>
          <w:szCs w:val="32"/>
          <w:lang w:val="en-US" w:eastAsia="zh-CN"/>
        </w:rPr>
        <w:t xml:space="preserve">） </w:t>
      </w:r>
    </w:p>
    <w:p w14:paraId="0FFD1AA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3.9 材料价格主要采用2024年第四期《太原市工程建设造价信息》。</w:t>
      </w:r>
    </w:p>
    <w:p w14:paraId="5E8E3D4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14:paraId="60FEB1B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14:paraId="4AF7A06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14:paraId="4430557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14:paraId="44480DB2">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b w:val="0"/>
          <w:bCs w:val="0"/>
          <w:kern w:val="0"/>
          <w:sz w:val="32"/>
          <w:szCs w:val="32"/>
          <w:lang w:val="en-US" w:eastAsia="zh-CN" w:bidi="ar"/>
        </w:rPr>
      </w:pPr>
    </w:p>
    <w:p w14:paraId="38668F85">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b w:val="0"/>
          <w:bCs w:val="0"/>
          <w:kern w:val="0"/>
          <w:sz w:val="32"/>
          <w:szCs w:val="32"/>
          <w:lang w:val="en-US" w:eastAsia="zh-CN" w:bidi="ar"/>
        </w:rPr>
      </w:pPr>
    </w:p>
    <w:p w14:paraId="0A9AEE1E">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b w:val="0"/>
          <w:bCs w:val="0"/>
          <w:kern w:val="0"/>
          <w:sz w:val="32"/>
          <w:szCs w:val="32"/>
          <w:lang w:val="en-US" w:eastAsia="zh-CN" w:bidi="ar"/>
        </w:rPr>
      </w:pPr>
    </w:p>
    <w:p w14:paraId="1D082AB0">
      <w:pPr>
        <w:keepNext w:val="0"/>
        <w:keepLines w:val="0"/>
        <w:pageBreakBefore w:val="0"/>
        <w:widowControl w:val="0"/>
        <w:kinsoku/>
        <w:wordWrap/>
        <w:overflowPunct/>
        <w:topLinePunct w:val="0"/>
        <w:autoSpaceDE/>
        <w:autoSpaceDN/>
        <w:bidi w:val="0"/>
        <w:adjustRightInd/>
        <w:snapToGrid/>
        <w:ind w:firstLine="2560" w:firstLineChars="800"/>
        <w:textAlignment w:val="auto"/>
        <w:rPr>
          <w:rFonts w:hint="eastAsia" w:ascii="黑体" w:hAnsi="黑体" w:eastAsia="黑体" w:cs="黑体"/>
          <w:b w:val="0"/>
          <w:bCs w:val="0"/>
          <w:kern w:val="0"/>
          <w:sz w:val="32"/>
          <w:szCs w:val="32"/>
          <w:lang w:val="en-US" w:eastAsia="zh-CN" w:bidi="ar"/>
        </w:rPr>
      </w:pPr>
      <w:r>
        <w:rPr>
          <w:rFonts w:hint="eastAsia" w:ascii="黑体" w:hAnsi="黑体" w:eastAsia="黑体" w:cs="黑体"/>
          <w:b w:val="0"/>
          <w:bCs w:val="0"/>
          <w:kern w:val="0"/>
          <w:sz w:val="32"/>
          <w:szCs w:val="32"/>
          <w:lang w:val="en-US" w:eastAsia="zh-CN" w:bidi="ar"/>
        </w:rPr>
        <w:t>4 道路修复工程建设标准</w:t>
      </w:r>
    </w:p>
    <w:p w14:paraId="6CAE4EC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4.1机动车道</w:t>
      </w:r>
    </w:p>
    <w:p w14:paraId="1668D86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4.1.1沥青混凝土路面</w:t>
      </w:r>
    </w:p>
    <w:p w14:paraId="4AD7D3B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快速路：总厚度76cm</w:t>
      </w:r>
    </w:p>
    <w:p w14:paraId="45B89DB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4cm沥青玛蹄脂碎石混凝土（SMA-16,抗滑耐磨石料）90A；</w:t>
      </w:r>
    </w:p>
    <w:p w14:paraId="650E578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改性乳化沥青黏层油；</w:t>
      </w:r>
    </w:p>
    <w:p w14:paraId="3DE7DE9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6cmSBS中粒式沥青混凝土（AC-20）90A；</w:t>
      </w:r>
    </w:p>
    <w:p w14:paraId="04E0FCE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改性乳化沥青黏层油；</w:t>
      </w:r>
    </w:p>
    <w:p w14:paraId="212EB18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10cm粗粒式密级配沥青碎石（ATB-25）70A；</w:t>
      </w:r>
    </w:p>
    <w:p w14:paraId="7FC226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1cm沥青表处下封层（乳化沥青）；</w:t>
      </w:r>
    </w:p>
    <w:p w14:paraId="3324534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乳化沥青透层油；</w:t>
      </w:r>
    </w:p>
    <w:p w14:paraId="062CC6F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20cm水泥稳定碎石（水泥含量5%）；</w:t>
      </w:r>
    </w:p>
    <w:p w14:paraId="6F8E3D2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36cm水泥稳定碎石（水泥含量3%）。</w:t>
      </w:r>
    </w:p>
    <w:p w14:paraId="3A51FA6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主干路：总厚度74cm</w:t>
      </w:r>
    </w:p>
    <w:p w14:paraId="0789891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4cmSBS细粒式沥青混凝土（AC-13,抗滑耐磨石料）90A；</w:t>
      </w:r>
    </w:p>
    <w:p w14:paraId="470D040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改性乳化沥青黏层油；</w:t>
      </w:r>
    </w:p>
    <w:p w14:paraId="3493443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6cm中粒式沥青混凝土（AC-20）90A；</w:t>
      </w:r>
    </w:p>
    <w:p w14:paraId="4CD2A32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改性乳化沥青黏层油；</w:t>
      </w:r>
    </w:p>
    <w:p w14:paraId="591A9D6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8cm粗粒式沥青混凝土（AC-25）70A；</w:t>
      </w:r>
    </w:p>
    <w:p w14:paraId="67EF2E7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1cm沥青表处下封层（乳化沥青）；</w:t>
      </w:r>
    </w:p>
    <w:p w14:paraId="28607CA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乳化沥青透层油；</w:t>
      </w:r>
    </w:p>
    <w:p w14:paraId="7DB4848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20cm水泥稳定碎石（水泥含量5%）；</w:t>
      </w:r>
    </w:p>
    <w:p w14:paraId="756E89D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36cm水泥稳定碎石（水泥含量3%）。</w:t>
      </w:r>
    </w:p>
    <w:p w14:paraId="29135E5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次干路：总厚度67cm</w:t>
      </w:r>
    </w:p>
    <w:p w14:paraId="7DEBFC0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5cmSBS细粒式沥青混凝土（AC-13,抗滑耐磨石料）90A；</w:t>
      </w:r>
    </w:p>
    <w:p w14:paraId="74E25B8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改性乳化沥青黏层油；</w:t>
      </w:r>
    </w:p>
    <w:p w14:paraId="01B679D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8cm粗粒式沥青混凝土（AC-25）70A；</w:t>
      </w:r>
    </w:p>
    <w:p w14:paraId="16303DF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1cm沥青表处下封层（乳化沥青）；</w:t>
      </w:r>
    </w:p>
    <w:p w14:paraId="2EE69D8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乳化沥青透层油；</w:t>
      </w:r>
    </w:p>
    <w:p w14:paraId="102C086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20cm水泥稳定碎石（水泥含量5%）；</w:t>
      </w:r>
    </w:p>
    <w:p w14:paraId="12B4F81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34cm水泥稳定碎石（水泥含量于3%）。</w:t>
      </w:r>
    </w:p>
    <w:p w14:paraId="4077987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支路：总厚度50cm</w:t>
      </w:r>
    </w:p>
    <w:p w14:paraId="42797EC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4cmSBS细粒式沥青混凝土（AC-13,抗滑耐磨石料）90A；</w:t>
      </w:r>
    </w:p>
    <w:p w14:paraId="103701C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改性乳化沥青黏层油；</w:t>
      </w:r>
    </w:p>
    <w:p w14:paraId="7C71731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6cm中粒式沥青混凝土（AC-20）70A；</w:t>
      </w:r>
    </w:p>
    <w:p w14:paraId="0415AC5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1cm沥青表处下封层（乳化沥青）；</w:t>
      </w:r>
    </w:p>
    <w:p w14:paraId="66DDC7F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乳化沥青透层油；</w:t>
      </w:r>
    </w:p>
    <w:p w14:paraId="1ADE6BF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20cm水泥稳定碎石（水泥含量5%）；</w:t>
      </w:r>
    </w:p>
    <w:p w14:paraId="1718222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20cm水泥稳定碎石（水泥含量3%）。</w:t>
      </w:r>
    </w:p>
    <w:p w14:paraId="7FF091A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4.1.2水泥混凝土路面</w:t>
      </w:r>
    </w:p>
    <w:p w14:paraId="7BBC0CF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主</w:t>
      </w:r>
      <w:r>
        <w:rPr>
          <w:rFonts w:hint="default" w:ascii="黑体" w:hAnsi="黑体" w:eastAsia="黑体" w:cs="黑体"/>
          <w:b w:val="0"/>
          <w:bCs w:val="0"/>
          <w:sz w:val="32"/>
          <w:szCs w:val="32"/>
          <w:lang w:val="en-US" w:eastAsia="zh-CN"/>
        </w:rPr>
        <w:t>干路：总厚度</w:t>
      </w:r>
      <w:r>
        <w:rPr>
          <w:rFonts w:hint="eastAsia" w:ascii="黑体" w:hAnsi="黑体" w:eastAsia="黑体" w:cs="黑体"/>
          <w:b w:val="0"/>
          <w:bCs w:val="0"/>
          <w:sz w:val="32"/>
          <w:szCs w:val="32"/>
          <w:lang w:val="en-US" w:eastAsia="zh-CN"/>
        </w:rPr>
        <w:t>78cm</w:t>
      </w:r>
    </w:p>
    <w:p w14:paraId="1AD56F2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en-US" w:eastAsia="zh-CN"/>
        </w:rPr>
        <w:t>cmC30水泥混凝土</w:t>
      </w:r>
      <w:r>
        <w:rPr>
          <w:rFonts w:hint="eastAsia" w:ascii="仿宋_GB2312" w:hAnsi="仿宋_GB2312" w:eastAsia="仿宋_GB2312" w:cs="仿宋_GB2312"/>
          <w:sz w:val="32"/>
          <w:szCs w:val="32"/>
          <w:lang w:val="en-US" w:eastAsia="zh-CN"/>
        </w:rPr>
        <w:t>（增加钢筋网片）</w:t>
      </w:r>
      <w:r>
        <w:rPr>
          <w:rFonts w:hint="default" w:ascii="仿宋_GB2312" w:hAnsi="仿宋_GB2312" w:eastAsia="仿宋_GB2312" w:cs="仿宋_GB2312"/>
          <w:sz w:val="32"/>
          <w:szCs w:val="32"/>
          <w:lang w:val="en-US" w:eastAsia="zh-CN"/>
        </w:rPr>
        <w:t>；</w:t>
      </w:r>
    </w:p>
    <w:p w14:paraId="05EB0C5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20cm水泥稳定碎石（水泥含量5%）；</w:t>
      </w:r>
    </w:p>
    <w:p w14:paraId="0612346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36</w:t>
      </w:r>
      <w:r>
        <w:rPr>
          <w:rFonts w:hint="default" w:ascii="仿宋_GB2312" w:hAnsi="仿宋_GB2312" w:eastAsia="仿宋_GB2312" w:cs="仿宋_GB2312"/>
          <w:sz w:val="32"/>
          <w:szCs w:val="32"/>
          <w:lang w:val="en-US" w:eastAsia="zh-CN"/>
        </w:rPr>
        <w:t>cm水泥稳定碎石（水泥含量</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w:t>
      </w:r>
    </w:p>
    <w:p w14:paraId="761BCB5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次干路：总厚度</w:t>
      </w:r>
      <w:r>
        <w:rPr>
          <w:rFonts w:hint="eastAsia" w:ascii="黑体" w:hAnsi="黑体" w:eastAsia="黑体" w:cs="黑体"/>
          <w:b w:val="0"/>
          <w:bCs w:val="0"/>
          <w:sz w:val="32"/>
          <w:szCs w:val="32"/>
          <w:lang w:val="en-US" w:eastAsia="zh-CN"/>
        </w:rPr>
        <w:t>60cm</w:t>
      </w:r>
    </w:p>
    <w:p w14:paraId="3D2CFF8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20cmC30水泥混凝土；</w:t>
      </w:r>
    </w:p>
    <w:p w14:paraId="3E2B4BB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20cm水泥稳定碎石（水泥含量5%）；</w:t>
      </w:r>
    </w:p>
    <w:p w14:paraId="20AE81B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20cm级配碎石。</w:t>
      </w:r>
    </w:p>
    <w:p w14:paraId="12C7D7D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支路：总厚度</w:t>
      </w:r>
      <w:r>
        <w:rPr>
          <w:rFonts w:hint="eastAsia" w:ascii="黑体" w:hAnsi="黑体" w:eastAsia="黑体" w:cs="黑体"/>
          <w:b w:val="0"/>
          <w:bCs w:val="0"/>
          <w:sz w:val="32"/>
          <w:szCs w:val="32"/>
          <w:lang w:val="en-US" w:eastAsia="zh-CN"/>
        </w:rPr>
        <w:t>53cm</w:t>
      </w:r>
    </w:p>
    <w:p w14:paraId="7B2D80F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18cmC30水泥混凝土；</w:t>
      </w:r>
    </w:p>
    <w:p w14:paraId="7D4CB49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w:t>
      </w:r>
      <w:r>
        <w:rPr>
          <w:rFonts w:hint="default" w:ascii="仿宋_GB2312" w:hAnsi="仿宋_GB2312" w:eastAsia="仿宋_GB2312" w:cs="仿宋_GB2312"/>
          <w:sz w:val="32"/>
          <w:szCs w:val="32"/>
          <w:lang w:val="en-US" w:eastAsia="zh-CN"/>
        </w:rPr>
        <w:t>cm水泥稳定碎石（水泥含量5%）；</w:t>
      </w:r>
    </w:p>
    <w:p w14:paraId="3B1FBFC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15cm级配碎石。</w:t>
      </w:r>
    </w:p>
    <w:p w14:paraId="1D42E33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 xml:space="preserve">4.2非机动车道 </w:t>
      </w:r>
    </w:p>
    <w:p w14:paraId="594BE4D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4.2.1沥青混凝土路面</w:t>
      </w:r>
    </w:p>
    <w:p w14:paraId="5B5684E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黑体" w:hAnsi="黑体" w:eastAsia="黑体" w:cs="黑体"/>
          <w:b w:val="0"/>
          <w:bCs w:val="0"/>
          <w:sz w:val="32"/>
          <w:szCs w:val="32"/>
          <w:lang w:val="en-US" w:eastAsia="zh-CN"/>
        </w:rPr>
        <w:t>总厚度44cm</w:t>
      </w:r>
    </w:p>
    <w:p w14:paraId="5FE8517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4cm厚细粒式沥青混凝土（AC-13）90A；</w:t>
      </w:r>
    </w:p>
    <w:p w14:paraId="6CEC012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改性乳化沥青黏层油；</w:t>
      </w:r>
    </w:p>
    <w:p w14:paraId="7EBEC73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5cm中粒式沥青混凝土（AC-20）70A；</w:t>
      </w:r>
    </w:p>
    <w:p w14:paraId="1FB5A91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lang w:val="en-US" w:eastAsia="zh-CN"/>
        </w:rPr>
        <w:t>cm</w:t>
      </w:r>
      <w:r>
        <w:rPr>
          <w:rFonts w:hint="default" w:ascii="仿宋_GB2312" w:hAnsi="仿宋_GB2312" w:eastAsia="仿宋_GB2312" w:cs="仿宋_GB2312"/>
          <w:sz w:val="32"/>
          <w:szCs w:val="32"/>
          <w:lang w:val="en-US" w:eastAsia="zh-CN"/>
        </w:rPr>
        <w:t>水泥稳定碎石（水泥含量5%）；</w:t>
      </w:r>
    </w:p>
    <w:p w14:paraId="523BDDE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val="en-US" w:eastAsia="zh-CN"/>
        </w:rPr>
        <w:t>cm</w:t>
      </w:r>
      <w:r>
        <w:rPr>
          <w:rFonts w:hint="default" w:ascii="仿宋_GB2312" w:hAnsi="仿宋_GB2312" w:eastAsia="仿宋_GB2312" w:cs="仿宋_GB2312"/>
          <w:sz w:val="32"/>
          <w:szCs w:val="32"/>
          <w:lang w:val="en-US" w:eastAsia="zh-CN"/>
        </w:rPr>
        <w:t>米水泥稳定碎石（水泥含量3%）。</w:t>
      </w:r>
    </w:p>
    <w:p w14:paraId="3A5F103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4.2.1水泥混凝土路面</w:t>
      </w:r>
    </w:p>
    <w:p w14:paraId="44082A9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黑体" w:hAnsi="黑体" w:eastAsia="黑体" w:cs="黑体"/>
          <w:b w:val="0"/>
          <w:bCs w:val="0"/>
          <w:sz w:val="32"/>
          <w:szCs w:val="32"/>
          <w:lang w:val="en-US" w:eastAsia="zh-CN"/>
        </w:rPr>
        <w:t>总厚度</w:t>
      </w:r>
      <w:r>
        <w:rPr>
          <w:rFonts w:hint="eastAsia" w:ascii="黑体" w:hAnsi="黑体" w:eastAsia="黑体" w:cs="黑体"/>
          <w:b w:val="0"/>
          <w:bCs w:val="0"/>
          <w:sz w:val="32"/>
          <w:szCs w:val="32"/>
          <w:lang w:val="en-US" w:eastAsia="zh-CN"/>
        </w:rPr>
        <w:t>51</w:t>
      </w:r>
      <w:r>
        <w:rPr>
          <w:rFonts w:hint="default" w:ascii="黑体" w:hAnsi="黑体" w:eastAsia="黑体" w:cs="黑体"/>
          <w:b w:val="0"/>
          <w:bCs w:val="0"/>
          <w:sz w:val="32"/>
          <w:szCs w:val="32"/>
          <w:lang w:val="en-US" w:eastAsia="zh-CN"/>
        </w:rPr>
        <w:t>cm</w:t>
      </w:r>
    </w:p>
    <w:p w14:paraId="7F8CFB1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18cmC30水泥混凝土；</w:t>
      </w:r>
    </w:p>
    <w:p w14:paraId="3AA5DD1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w:t>
      </w:r>
      <w:r>
        <w:rPr>
          <w:rFonts w:hint="default" w:ascii="仿宋_GB2312" w:hAnsi="仿宋_GB2312" w:eastAsia="仿宋_GB2312" w:cs="仿宋_GB2312"/>
          <w:sz w:val="32"/>
          <w:szCs w:val="32"/>
          <w:lang w:val="en-US" w:eastAsia="zh-CN"/>
        </w:rPr>
        <w:t>cm水泥稳定碎石（水泥含量5%）；</w:t>
      </w:r>
    </w:p>
    <w:p w14:paraId="33BD868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15cm级配碎石。</w:t>
      </w:r>
    </w:p>
    <w:p w14:paraId="4E78EAE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4.3</w:t>
      </w:r>
      <w:r>
        <w:rPr>
          <w:rFonts w:hint="default" w:ascii="黑体" w:hAnsi="黑体" w:eastAsia="黑体" w:cs="黑体"/>
          <w:b w:val="0"/>
          <w:bCs w:val="0"/>
          <w:sz w:val="32"/>
          <w:szCs w:val="32"/>
          <w:lang w:val="en-US" w:eastAsia="zh-CN"/>
        </w:rPr>
        <w:t>人行道</w:t>
      </w:r>
      <w:r>
        <w:rPr>
          <w:rFonts w:hint="eastAsia" w:ascii="黑体" w:hAnsi="黑体" w:eastAsia="黑体" w:cs="黑体"/>
          <w:b w:val="0"/>
          <w:bCs w:val="0"/>
          <w:sz w:val="32"/>
          <w:szCs w:val="32"/>
          <w:lang w:val="en-US" w:eastAsia="zh-CN"/>
        </w:rPr>
        <w:t xml:space="preserve"> </w:t>
      </w:r>
    </w:p>
    <w:p w14:paraId="7DB9410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4.3.1人行道砖</w:t>
      </w:r>
    </w:p>
    <w:p w14:paraId="6D0A39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总厚度</w:t>
      </w:r>
      <w:r>
        <w:rPr>
          <w:rFonts w:hint="eastAsia" w:ascii="黑体" w:hAnsi="黑体" w:eastAsia="黑体" w:cs="黑体"/>
          <w:b w:val="0"/>
          <w:bCs w:val="0"/>
          <w:sz w:val="32"/>
          <w:szCs w:val="32"/>
          <w:lang w:val="en-US" w:eastAsia="zh-CN"/>
        </w:rPr>
        <w:t>34</w:t>
      </w:r>
      <w:r>
        <w:rPr>
          <w:rFonts w:hint="default" w:ascii="黑体" w:hAnsi="黑体" w:eastAsia="黑体" w:cs="黑体"/>
          <w:b w:val="0"/>
          <w:bCs w:val="0"/>
          <w:sz w:val="32"/>
          <w:szCs w:val="32"/>
          <w:lang w:val="en-US" w:eastAsia="zh-CN"/>
        </w:rPr>
        <w:t>cm</w:t>
      </w:r>
    </w:p>
    <w:p w14:paraId="5A850C1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eastAsia="zh-CN"/>
        </w:rPr>
        <w:t>cm</w:t>
      </w:r>
      <w:r>
        <w:rPr>
          <w:rFonts w:hint="default" w:ascii="仿宋_GB2312" w:hAnsi="仿宋_GB2312" w:eastAsia="仿宋_GB2312" w:cs="仿宋_GB2312"/>
          <w:sz w:val="32"/>
          <w:szCs w:val="32"/>
          <w:lang w:val="en-US" w:eastAsia="zh-CN"/>
        </w:rPr>
        <w:t>人行道砖</w:t>
      </w:r>
      <w:r>
        <w:rPr>
          <w:rFonts w:hint="eastAsia" w:ascii="仿宋_GB2312" w:hAnsi="仿宋_GB2312" w:eastAsia="仿宋_GB2312" w:cs="仿宋_GB2312"/>
          <w:sz w:val="32"/>
          <w:szCs w:val="32"/>
          <w:lang w:val="en-US" w:eastAsia="zh-CN"/>
        </w:rPr>
        <w:t>；</w:t>
      </w:r>
    </w:p>
    <w:p w14:paraId="2C203AE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eastAsia="zh-CN"/>
        </w:rPr>
        <w:t>cm</w:t>
      </w:r>
      <w:r>
        <w:rPr>
          <w:rFonts w:hint="default" w:ascii="仿宋_GB2312" w:hAnsi="仿宋_GB2312" w:eastAsia="仿宋_GB2312" w:cs="仿宋_GB2312"/>
          <w:sz w:val="32"/>
          <w:szCs w:val="32"/>
          <w:lang w:val="en-US" w:eastAsia="zh-CN"/>
        </w:rPr>
        <w:t>水泥砂浆找平层</w:t>
      </w:r>
      <w:r>
        <w:rPr>
          <w:rFonts w:hint="eastAsia" w:ascii="仿宋_GB2312" w:hAnsi="仿宋_GB2312" w:eastAsia="仿宋_GB2312" w:cs="仿宋_GB2312"/>
          <w:sz w:val="32"/>
          <w:szCs w:val="32"/>
          <w:lang w:val="en-US" w:eastAsia="zh-CN"/>
        </w:rPr>
        <w:t>；</w:t>
      </w:r>
    </w:p>
    <w:p w14:paraId="702DBA9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en-US" w:eastAsia="zh-CN"/>
        </w:rPr>
        <w:t>cm</w:t>
      </w:r>
      <w:r>
        <w:rPr>
          <w:rFonts w:hint="default" w:ascii="仿宋_GB2312" w:hAnsi="仿宋_GB2312" w:eastAsia="仿宋_GB2312" w:cs="仿宋_GB2312"/>
          <w:sz w:val="32"/>
          <w:szCs w:val="32"/>
          <w:lang w:val="en-US" w:eastAsia="zh-CN"/>
        </w:rPr>
        <w:t>C</w:t>
      </w:r>
      <w:r>
        <w:rPr>
          <w:rFonts w:hint="eastAsia" w:ascii="仿宋_GB2312" w:hAnsi="仿宋_GB2312" w:eastAsia="仿宋_GB2312" w:cs="仿宋_GB2312"/>
          <w:sz w:val="32"/>
          <w:szCs w:val="32"/>
          <w:lang w:val="en-US" w:eastAsia="zh-CN"/>
        </w:rPr>
        <w:t>20</w:t>
      </w:r>
      <w:r>
        <w:rPr>
          <w:rFonts w:hint="default" w:ascii="仿宋_GB2312" w:hAnsi="仿宋_GB2312" w:eastAsia="仿宋_GB2312" w:cs="仿宋_GB2312"/>
          <w:sz w:val="32"/>
          <w:szCs w:val="32"/>
          <w:lang w:val="en-US" w:eastAsia="zh-CN"/>
        </w:rPr>
        <w:t>水泥混凝土</w:t>
      </w:r>
      <w:r>
        <w:rPr>
          <w:rFonts w:hint="eastAsia" w:ascii="仿宋_GB2312" w:hAnsi="仿宋_GB2312" w:eastAsia="仿宋_GB2312" w:cs="仿宋_GB2312"/>
          <w:sz w:val="32"/>
          <w:szCs w:val="32"/>
          <w:lang w:val="en-US" w:eastAsia="zh-CN"/>
        </w:rPr>
        <w:t>；</w:t>
      </w:r>
    </w:p>
    <w:p w14:paraId="4A77505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val="en-US" w:eastAsia="zh-CN"/>
        </w:rPr>
        <w:t>cm</w:t>
      </w:r>
      <w:r>
        <w:rPr>
          <w:rFonts w:hint="default" w:ascii="仿宋_GB2312" w:hAnsi="仿宋_GB2312" w:eastAsia="仿宋_GB2312" w:cs="仿宋_GB2312"/>
          <w:sz w:val="32"/>
          <w:szCs w:val="32"/>
          <w:lang w:val="en-US" w:eastAsia="zh-CN"/>
        </w:rPr>
        <w:t>级配碎石。</w:t>
      </w:r>
    </w:p>
    <w:p w14:paraId="06E6B87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4.3.2人行道透水砖</w:t>
      </w:r>
    </w:p>
    <w:p w14:paraId="7FC9F2B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总厚度</w:t>
      </w:r>
      <w:r>
        <w:rPr>
          <w:rFonts w:hint="eastAsia" w:ascii="黑体" w:hAnsi="黑体" w:eastAsia="黑体" w:cs="黑体"/>
          <w:b w:val="0"/>
          <w:bCs w:val="0"/>
          <w:sz w:val="32"/>
          <w:szCs w:val="32"/>
          <w:lang w:val="en-US" w:eastAsia="zh-CN"/>
        </w:rPr>
        <w:t>34</w:t>
      </w:r>
      <w:r>
        <w:rPr>
          <w:rFonts w:hint="default" w:ascii="黑体" w:hAnsi="黑体" w:eastAsia="黑体" w:cs="黑体"/>
          <w:b w:val="0"/>
          <w:bCs w:val="0"/>
          <w:sz w:val="32"/>
          <w:szCs w:val="32"/>
          <w:lang w:val="en-US" w:eastAsia="zh-CN"/>
        </w:rPr>
        <w:t>cm</w:t>
      </w:r>
    </w:p>
    <w:p w14:paraId="24BFC45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eastAsia="zh-CN"/>
        </w:rPr>
        <w:t>cm透水</w:t>
      </w:r>
      <w:r>
        <w:rPr>
          <w:rFonts w:hint="default" w:ascii="仿宋_GB2312" w:hAnsi="仿宋_GB2312" w:eastAsia="仿宋_GB2312" w:cs="仿宋_GB2312"/>
          <w:sz w:val="32"/>
          <w:szCs w:val="32"/>
          <w:lang w:val="en-US" w:eastAsia="zh-CN"/>
        </w:rPr>
        <w:t>砖</w:t>
      </w:r>
      <w:r>
        <w:rPr>
          <w:rFonts w:hint="eastAsia" w:ascii="仿宋_GB2312" w:hAnsi="仿宋_GB2312" w:eastAsia="仿宋_GB2312" w:cs="仿宋_GB2312"/>
          <w:sz w:val="32"/>
          <w:szCs w:val="32"/>
          <w:lang w:val="en-US" w:eastAsia="zh-CN"/>
        </w:rPr>
        <w:t>；</w:t>
      </w:r>
    </w:p>
    <w:p w14:paraId="79B9A1F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eastAsia="zh-CN"/>
        </w:rPr>
        <w:t>cm</w:t>
      </w:r>
      <w:r>
        <w:rPr>
          <w:rFonts w:hint="default" w:ascii="仿宋_GB2312" w:hAnsi="仿宋_GB2312" w:eastAsia="仿宋_GB2312" w:cs="仿宋_GB2312"/>
          <w:sz w:val="32"/>
          <w:szCs w:val="32"/>
          <w:lang w:val="en-US" w:eastAsia="zh-CN"/>
        </w:rPr>
        <w:t>水泥砂浆找平层</w:t>
      </w:r>
      <w:r>
        <w:rPr>
          <w:rFonts w:hint="eastAsia" w:ascii="仿宋_GB2312" w:hAnsi="仿宋_GB2312" w:eastAsia="仿宋_GB2312" w:cs="仿宋_GB2312"/>
          <w:sz w:val="32"/>
          <w:szCs w:val="32"/>
          <w:lang w:val="en-US" w:eastAsia="zh-CN"/>
        </w:rPr>
        <w:t>；</w:t>
      </w:r>
    </w:p>
    <w:p w14:paraId="079F0D0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en-US" w:eastAsia="zh-CN"/>
        </w:rPr>
        <w:t>cm无砂大孔</w:t>
      </w:r>
      <w:r>
        <w:rPr>
          <w:rFonts w:hint="default" w:ascii="仿宋_GB2312" w:hAnsi="仿宋_GB2312" w:eastAsia="仿宋_GB2312" w:cs="仿宋_GB2312"/>
          <w:sz w:val="32"/>
          <w:szCs w:val="32"/>
          <w:lang w:val="en-US" w:eastAsia="zh-CN"/>
        </w:rPr>
        <w:t>水泥混凝土</w:t>
      </w:r>
      <w:r>
        <w:rPr>
          <w:rFonts w:hint="eastAsia" w:ascii="仿宋_GB2312" w:hAnsi="仿宋_GB2312" w:eastAsia="仿宋_GB2312" w:cs="仿宋_GB2312"/>
          <w:sz w:val="32"/>
          <w:szCs w:val="32"/>
          <w:lang w:val="en-US" w:eastAsia="zh-CN"/>
        </w:rPr>
        <w:t>；</w:t>
      </w:r>
    </w:p>
    <w:p w14:paraId="3C08E66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val="en-US" w:eastAsia="zh-CN"/>
        </w:rPr>
        <w:t>cm</w:t>
      </w:r>
      <w:r>
        <w:rPr>
          <w:rFonts w:hint="default" w:ascii="仿宋_GB2312" w:hAnsi="仿宋_GB2312" w:eastAsia="仿宋_GB2312" w:cs="仿宋_GB2312"/>
          <w:sz w:val="32"/>
          <w:szCs w:val="32"/>
          <w:lang w:val="en-US" w:eastAsia="zh-CN"/>
        </w:rPr>
        <w:t>级配碎石。</w:t>
      </w:r>
    </w:p>
    <w:p w14:paraId="63B3717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4.3.3石材（花岗岩）</w:t>
      </w:r>
    </w:p>
    <w:p w14:paraId="19B126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石材铺装</w:t>
      </w:r>
      <w:r>
        <w:rPr>
          <w:rFonts w:hint="default" w:ascii="仿宋_GB2312" w:hAnsi="仿宋_GB2312" w:eastAsia="仿宋_GB2312" w:cs="仿宋_GB2312"/>
          <w:sz w:val="32"/>
          <w:szCs w:val="32"/>
          <w:lang w:val="en-US" w:eastAsia="zh-CN"/>
        </w:rPr>
        <w:t>总厚</w:t>
      </w:r>
      <w:r>
        <w:rPr>
          <w:rFonts w:hint="eastAsia" w:ascii="仿宋_GB2312" w:hAnsi="仿宋_GB2312" w:eastAsia="仿宋_GB2312" w:cs="仿宋_GB2312"/>
          <w:sz w:val="32"/>
          <w:szCs w:val="32"/>
          <w:lang w:val="en-US" w:eastAsia="zh-CN"/>
        </w:rPr>
        <w:t>度36cm：</w:t>
      </w:r>
    </w:p>
    <w:p w14:paraId="499BD7E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8cm花岗岩石材；</w:t>
      </w:r>
    </w:p>
    <w:p w14:paraId="2E548E5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eastAsia="zh-CN"/>
        </w:rPr>
        <w:t>cm</w:t>
      </w:r>
      <w:r>
        <w:rPr>
          <w:rFonts w:hint="default" w:ascii="仿宋_GB2312" w:hAnsi="仿宋_GB2312" w:eastAsia="仿宋_GB2312" w:cs="仿宋_GB2312"/>
          <w:sz w:val="32"/>
          <w:szCs w:val="32"/>
          <w:lang w:val="en-US" w:eastAsia="zh-CN"/>
        </w:rPr>
        <w:t>水泥砂浆找平层</w:t>
      </w:r>
      <w:r>
        <w:rPr>
          <w:rFonts w:hint="eastAsia" w:ascii="仿宋_GB2312" w:hAnsi="仿宋_GB2312" w:eastAsia="仿宋_GB2312" w:cs="仿宋_GB2312"/>
          <w:sz w:val="32"/>
          <w:szCs w:val="32"/>
          <w:lang w:val="en-US" w:eastAsia="zh-CN"/>
        </w:rPr>
        <w:t>；</w:t>
      </w:r>
    </w:p>
    <w:p w14:paraId="20A36B8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en-US" w:eastAsia="zh-CN"/>
        </w:rPr>
        <w:t>cm</w:t>
      </w:r>
      <w:r>
        <w:rPr>
          <w:rFonts w:hint="default" w:ascii="仿宋_GB2312" w:hAnsi="仿宋_GB2312" w:eastAsia="仿宋_GB2312" w:cs="仿宋_GB2312"/>
          <w:sz w:val="32"/>
          <w:szCs w:val="32"/>
          <w:lang w:val="en-US" w:eastAsia="zh-CN"/>
        </w:rPr>
        <w:t>C</w:t>
      </w:r>
      <w:r>
        <w:rPr>
          <w:rFonts w:hint="eastAsia" w:ascii="仿宋_GB2312" w:hAnsi="仿宋_GB2312" w:eastAsia="仿宋_GB2312" w:cs="仿宋_GB2312"/>
          <w:sz w:val="32"/>
          <w:szCs w:val="32"/>
          <w:lang w:val="en-US" w:eastAsia="zh-CN"/>
        </w:rPr>
        <w:t>20</w:t>
      </w:r>
      <w:r>
        <w:rPr>
          <w:rFonts w:hint="default" w:ascii="仿宋_GB2312" w:hAnsi="仿宋_GB2312" w:eastAsia="仿宋_GB2312" w:cs="仿宋_GB2312"/>
          <w:sz w:val="32"/>
          <w:szCs w:val="32"/>
          <w:lang w:val="en-US" w:eastAsia="zh-CN"/>
        </w:rPr>
        <w:t>水泥混凝土</w:t>
      </w:r>
      <w:r>
        <w:rPr>
          <w:rFonts w:hint="eastAsia" w:ascii="仿宋_GB2312" w:hAnsi="仿宋_GB2312" w:eastAsia="仿宋_GB2312" w:cs="仿宋_GB2312"/>
          <w:sz w:val="32"/>
          <w:szCs w:val="32"/>
          <w:lang w:val="en-US" w:eastAsia="zh-CN"/>
        </w:rPr>
        <w:t>；</w:t>
      </w:r>
    </w:p>
    <w:p w14:paraId="33F9C72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val="en-US" w:eastAsia="zh-CN"/>
        </w:rPr>
        <w:t>cm级配碎石</w:t>
      </w:r>
      <w:r>
        <w:rPr>
          <w:rFonts w:hint="default" w:ascii="仿宋_GB2312" w:hAnsi="仿宋_GB2312" w:eastAsia="仿宋_GB2312" w:cs="仿宋_GB2312"/>
          <w:sz w:val="32"/>
          <w:szCs w:val="32"/>
          <w:lang w:val="en-US" w:eastAsia="zh-CN"/>
        </w:rPr>
        <w:t>。</w:t>
      </w:r>
    </w:p>
    <w:p w14:paraId="03C76D4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4.4</w:t>
      </w:r>
      <w:r>
        <w:rPr>
          <w:rFonts w:hint="default" w:ascii="黑体" w:hAnsi="黑体" w:eastAsia="黑体" w:cs="黑体"/>
          <w:b w:val="0"/>
          <w:bCs w:val="0"/>
          <w:sz w:val="32"/>
          <w:szCs w:val="32"/>
          <w:lang w:val="en-US" w:eastAsia="zh-CN"/>
        </w:rPr>
        <w:t>花岗岩</w:t>
      </w:r>
      <w:r>
        <w:rPr>
          <w:rFonts w:hint="eastAsia" w:ascii="黑体" w:hAnsi="黑体" w:eastAsia="黑体" w:cs="黑体"/>
          <w:b w:val="0"/>
          <w:bCs w:val="0"/>
          <w:sz w:val="32"/>
          <w:szCs w:val="32"/>
          <w:lang w:val="en-US" w:eastAsia="zh-CN"/>
        </w:rPr>
        <w:t>、水泥混凝土</w:t>
      </w:r>
      <w:r>
        <w:rPr>
          <w:rFonts w:hint="default" w:ascii="黑体" w:hAnsi="黑体" w:eastAsia="黑体" w:cs="黑体"/>
          <w:b w:val="0"/>
          <w:bCs w:val="0"/>
          <w:sz w:val="32"/>
          <w:szCs w:val="32"/>
          <w:lang w:val="en-US" w:eastAsia="zh-CN"/>
        </w:rPr>
        <w:t>路缘石</w:t>
      </w:r>
      <w:r>
        <w:rPr>
          <w:rFonts w:hint="eastAsia" w:ascii="黑体" w:hAnsi="黑体" w:eastAsia="黑体" w:cs="黑体"/>
          <w:b w:val="0"/>
          <w:bCs w:val="0"/>
          <w:sz w:val="32"/>
          <w:szCs w:val="32"/>
          <w:lang w:val="en-US" w:eastAsia="zh-CN"/>
        </w:rPr>
        <w:t>、平石</w:t>
      </w:r>
    </w:p>
    <w:p w14:paraId="7911894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99.7cm*15cm*35cm</w:t>
      </w:r>
    </w:p>
    <w:p w14:paraId="3F1164C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黑体" w:hAnsi="黑体" w:eastAsia="黑体" w:cs="黑体"/>
          <w:b w:val="0"/>
          <w:bCs w:val="0"/>
          <w:sz w:val="32"/>
          <w:szCs w:val="32"/>
          <w:lang w:val="en-US" w:eastAsia="zh-CN"/>
        </w:rPr>
        <w:t>4.5</w:t>
      </w:r>
      <w:r>
        <w:rPr>
          <w:rFonts w:hint="default" w:ascii="黑体" w:hAnsi="黑体" w:eastAsia="黑体" w:cs="黑体"/>
          <w:b w:val="0"/>
          <w:bCs w:val="0"/>
          <w:sz w:val="32"/>
          <w:szCs w:val="32"/>
          <w:lang w:val="en-US" w:eastAsia="zh-CN"/>
        </w:rPr>
        <w:t>回填料</w:t>
      </w:r>
      <w:r>
        <w:rPr>
          <w:rFonts w:hint="eastAsia" w:ascii="黑体" w:hAnsi="黑体" w:eastAsia="黑体" w:cs="黑体"/>
          <w:b w:val="0"/>
          <w:bCs w:val="0"/>
          <w:sz w:val="32"/>
          <w:szCs w:val="32"/>
          <w:lang w:val="en-US" w:eastAsia="zh-CN"/>
        </w:rPr>
        <w:t xml:space="preserve">  </w:t>
      </w:r>
      <w:r>
        <w:rPr>
          <w:rFonts w:hint="default" w:ascii="仿宋_GB2312" w:hAnsi="仿宋_GB2312" w:eastAsia="仿宋_GB2312" w:cs="仿宋_GB2312"/>
          <w:sz w:val="32"/>
          <w:szCs w:val="32"/>
          <w:lang w:val="en-US" w:eastAsia="zh-CN"/>
        </w:rPr>
        <w:t>素土、</w:t>
      </w:r>
      <w:r>
        <w:rPr>
          <w:rFonts w:hint="eastAsia" w:ascii="仿宋_GB2312" w:hAnsi="仿宋_GB2312" w:eastAsia="仿宋_GB2312" w:cs="仿宋_GB2312"/>
          <w:sz w:val="32"/>
          <w:szCs w:val="32"/>
          <w:lang w:val="en-US" w:eastAsia="zh-CN"/>
        </w:rPr>
        <w:t>8%灰土、</w:t>
      </w:r>
      <w:r>
        <w:rPr>
          <w:rFonts w:hint="default" w:ascii="仿宋_GB2312" w:hAnsi="仿宋_GB2312" w:eastAsia="仿宋_GB2312" w:cs="仿宋_GB2312"/>
          <w:sz w:val="32"/>
          <w:szCs w:val="32"/>
          <w:lang w:val="en-US" w:eastAsia="zh-CN"/>
        </w:rPr>
        <w:t>砂砾</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级配碎石。</w:t>
      </w:r>
    </w:p>
    <w:p w14:paraId="1C597C93">
      <w:pPr>
        <w:keepNext w:val="0"/>
        <w:keepLines w:val="0"/>
        <w:pageBreakBefore w:val="0"/>
        <w:widowControl w:val="0"/>
        <w:kinsoku/>
        <w:wordWrap/>
        <w:overflowPunct/>
        <w:topLinePunct w:val="0"/>
        <w:autoSpaceDE/>
        <w:autoSpaceDN/>
        <w:bidi w:val="0"/>
        <w:adjustRightInd/>
        <w:snapToGrid/>
        <w:ind w:firstLine="2560" w:firstLineChars="800"/>
        <w:textAlignment w:val="auto"/>
        <w:rPr>
          <w:rFonts w:hint="default" w:ascii="黑体" w:hAnsi="黑体" w:eastAsia="黑体" w:cs="黑体"/>
          <w:b w:val="0"/>
          <w:bCs w:val="0"/>
          <w:kern w:val="0"/>
          <w:sz w:val="32"/>
          <w:szCs w:val="32"/>
          <w:lang w:val="en-US" w:eastAsia="zh-CN" w:bidi="ar"/>
        </w:rPr>
      </w:pPr>
      <w:r>
        <w:rPr>
          <w:rFonts w:hint="default" w:ascii="黑体" w:hAnsi="黑体" w:eastAsia="黑体" w:cs="黑体"/>
          <w:b w:val="0"/>
          <w:bCs w:val="0"/>
          <w:kern w:val="0"/>
          <w:sz w:val="32"/>
          <w:szCs w:val="32"/>
          <w:lang w:val="en-US" w:eastAsia="zh-CN" w:bidi="ar"/>
        </w:rPr>
        <w:t>5 挖掘修复工程单价标准</w:t>
      </w:r>
    </w:p>
    <w:tbl>
      <w:tblPr>
        <w:tblStyle w:val="4"/>
        <w:tblpPr w:leftFromText="180" w:rightFromText="180" w:vertAnchor="page" w:horzAnchor="page" w:tblpX="1979" w:tblpY="301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8"/>
        <w:gridCol w:w="2614"/>
        <w:gridCol w:w="1085"/>
        <w:gridCol w:w="2575"/>
      </w:tblGrid>
      <w:tr w14:paraId="2093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4862" w:type="dxa"/>
            <w:gridSpan w:val="2"/>
            <w:noWrap w:val="0"/>
            <w:vAlign w:val="center"/>
          </w:tcPr>
          <w:p w14:paraId="714C86DF">
            <w:pPr>
              <w:jc w:val="center"/>
              <w:rPr>
                <w:rFonts w:hint="eastAsia" w:eastAsia="宋体"/>
                <w:b/>
                <w:bCs/>
                <w:sz w:val="24"/>
                <w:szCs w:val="24"/>
                <w:vertAlign w:val="baseline"/>
                <w:lang w:val="en-US" w:eastAsia="zh-CN"/>
              </w:rPr>
            </w:pPr>
            <w:r>
              <w:rPr>
                <w:rFonts w:hint="eastAsia"/>
                <w:b/>
                <w:bCs/>
                <w:sz w:val="24"/>
                <w:szCs w:val="24"/>
                <w:vertAlign w:val="baseline"/>
                <w:lang w:val="en-US" w:eastAsia="zh-CN"/>
              </w:rPr>
              <w:t>项目</w:t>
            </w:r>
          </w:p>
        </w:tc>
        <w:tc>
          <w:tcPr>
            <w:tcW w:w="1085" w:type="dxa"/>
            <w:noWrap w:val="0"/>
            <w:vAlign w:val="center"/>
          </w:tcPr>
          <w:p w14:paraId="700FCA79">
            <w:pPr>
              <w:jc w:val="center"/>
              <w:rPr>
                <w:rFonts w:hint="eastAsia" w:eastAsia="宋体"/>
                <w:b/>
                <w:bCs/>
                <w:sz w:val="24"/>
                <w:szCs w:val="24"/>
                <w:vertAlign w:val="baseline"/>
                <w:lang w:val="en-US" w:eastAsia="zh-CN"/>
              </w:rPr>
            </w:pPr>
            <w:r>
              <w:rPr>
                <w:rFonts w:hint="eastAsia"/>
                <w:b/>
                <w:bCs/>
                <w:sz w:val="24"/>
                <w:szCs w:val="24"/>
                <w:vertAlign w:val="baseline"/>
                <w:lang w:val="en-US" w:eastAsia="zh-CN"/>
              </w:rPr>
              <w:t>单位</w:t>
            </w:r>
          </w:p>
        </w:tc>
        <w:tc>
          <w:tcPr>
            <w:tcW w:w="2575" w:type="dxa"/>
            <w:noWrap w:val="0"/>
            <w:vAlign w:val="center"/>
          </w:tcPr>
          <w:p w14:paraId="5EE7391D">
            <w:pPr>
              <w:jc w:val="center"/>
              <w:rPr>
                <w:rFonts w:hint="eastAsia" w:eastAsia="宋体"/>
                <w:b/>
                <w:bCs/>
                <w:sz w:val="24"/>
                <w:szCs w:val="24"/>
                <w:vertAlign w:val="baseline"/>
                <w:lang w:val="en-US" w:eastAsia="zh-CN"/>
              </w:rPr>
            </w:pPr>
            <w:r>
              <w:rPr>
                <w:rFonts w:hint="eastAsia"/>
                <w:b/>
                <w:bCs/>
                <w:sz w:val="24"/>
                <w:szCs w:val="24"/>
                <w:vertAlign w:val="baseline"/>
                <w:lang w:val="en-US" w:eastAsia="zh-CN"/>
              </w:rPr>
              <w:t>综合单价（元）</w:t>
            </w:r>
          </w:p>
        </w:tc>
      </w:tr>
      <w:tr w14:paraId="46C9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2248" w:type="dxa"/>
            <w:vMerge w:val="restart"/>
            <w:noWrap w:val="0"/>
            <w:vAlign w:val="center"/>
          </w:tcPr>
          <w:p w14:paraId="3905BD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szCs w:val="24"/>
                <w:vertAlign w:val="baseline"/>
                <w:lang w:val="en-US" w:eastAsia="zh-CN"/>
              </w:rPr>
            </w:pPr>
            <w:r>
              <w:rPr>
                <w:rFonts w:hint="eastAsia"/>
                <w:sz w:val="24"/>
                <w:szCs w:val="24"/>
                <w:vertAlign w:val="baseline"/>
                <w:lang w:val="en-US" w:eastAsia="zh-CN"/>
              </w:rPr>
              <w:t>机动车道</w:t>
            </w:r>
          </w:p>
          <w:p w14:paraId="3D31E6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szCs w:val="24"/>
                <w:vertAlign w:val="baseline"/>
                <w:lang w:val="en-US" w:eastAsia="zh-CN"/>
              </w:rPr>
            </w:pPr>
            <w:r>
              <w:rPr>
                <w:rFonts w:hint="eastAsia"/>
                <w:sz w:val="24"/>
                <w:szCs w:val="24"/>
                <w:vertAlign w:val="baseline"/>
                <w:lang w:val="en-US" w:eastAsia="zh-CN"/>
              </w:rPr>
              <w:t>（沥青混凝土）</w:t>
            </w:r>
          </w:p>
        </w:tc>
        <w:tc>
          <w:tcPr>
            <w:tcW w:w="2614" w:type="dxa"/>
            <w:noWrap w:val="0"/>
            <w:vAlign w:val="center"/>
          </w:tcPr>
          <w:p w14:paraId="0FCBA09A">
            <w:pPr>
              <w:jc w:val="center"/>
              <w:rPr>
                <w:rFonts w:hint="eastAsia" w:eastAsia="宋体"/>
                <w:sz w:val="24"/>
                <w:szCs w:val="24"/>
                <w:vertAlign w:val="baseline"/>
                <w:lang w:val="en-US" w:eastAsia="zh-CN"/>
              </w:rPr>
            </w:pPr>
            <w:r>
              <w:rPr>
                <w:rFonts w:hint="eastAsia"/>
                <w:sz w:val="24"/>
                <w:szCs w:val="24"/>
                <w:vertAlign w:val="baseline"/>
                <w:lang w:val="en-US" w:eastAsia="zh-CN"/>
              </w:rPr>
              <w:t>快速路</w:t>
            </w:r>
          </w:p>
        </w:tc>
        <w:tc>
          <w:tcPr>
            <w:tcW w:w="1085" w:type="dxa"/>
            <w:noWrap w:val="0"/>
            <w:vAlign w:val="center"/>
          </w:tcPr>
          <w:p w14:paraId="431512F5">
            <w:pPr>
              <w:jc w:val="center"/>
              <w:rPr>
                <w:rFonts w:hint="default" w:eastAsia="宋体"/>
                <w:sz w:val="24"/>
                <w:szCs w:val="24"/>
                <w:vertAlign w:val="baseline"/>
                <w:lang w:val="en-US" w:eastAsia="zh-CN"/>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2</w:t>
            </w:r>
          </w:p>
        </w:tc>
        <w:tc>
          <w:tcPr>
            <w:tcW w:w="2575" w:type="dxa"/>
            <w:noWrap w:val="0"/>
            <w:vAlign w:val="center"/>
          </w:tcPr>
          <w:p w14:paraId="27A952BF">
            <w:pPr>
              <w:keepNext w:val="0"/>
              <w:keepLines w:val="0"/>
              <w:widowControl/>
              <w:suppressLineNumbers w:val="0"/>
              <w:jc w:val="center"/>
              <w:textAlignment w:val="center"/>
              <w:rPr>
                <w:rFonts w:hint="eastAsia"/>
                <w:sz w:val="24"/>
                <w:szCs w:val="24"/>
                <w:vertAlign w:val="baseline"/>
                <w:lang w:val="en-US" w:eastAsia="zh-CN"/>
              </w:rPr>
            </w:pPr>
            <w:r>
              <w:rPr>
                <w:rFonts w:hint="default" w:ascii="Calibri" w:hAnsi="Calibri" w:eastAsia="等线" w:cs="Calibri"/>
                <w:i w:val="0"/>
                <w:iCs w:val="0"/>
                <w:color w:val="000000"/>
                <w:kern w:val="0"/>
                <w:sz w:val="24"/>
                <w:szCs w:val="24"/>
                <w:u w:val="none"/>
                <w:lang w:val="en-US" w:eastAsia="zh-CN" w:bidi="ar"/>
              </w:rPr>
              <w:t>697</w:t>
            </w:r>
          </w:p>
        </w:tc>
      </w:tr>
      <w:tr w14:paraId="3E553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248" w:type="dxa"/>
            <w:vMerge w:val="continue"/>
            <w:noWrap w:val="0"/>
            <w:vAlign w:val="center"/>
          </w:tcPr>
          <w:p w14:paraId="04D36B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szCs w:val="24"/>
                <w:vertAlign w:val="baseline"/>
              </w:rPr>
            </w:pPr>
          </w:p>
        </w:tc>
        <w:tc>
          <w:tcPr>
            <w:tcW w:w="2614" w:type="dxa"/>
            <w:noWrap w:val="0"/>
            <w:vAlign w:val="center"/>
          </w:tcPr>
          <w:p w14:paraId="42D644ED">
            <w:pPr>
              <w:jc w:val="center"/>
              <w:rPr>
                <w:rFonts w:hint="eastAsia" w:eastAsia="宋体"/>
                <w:sz w:val="24"/>
                <w:szCs w:val="24"/>
                <w:vertAlign w:val="baseline"/>
                <w:lang w:val="en-US" w:eastAsia="zh-CN"/>
              </w:rPr>
            </w:pPr>
            <w:r>
              <w:rPr>
                <w:rFonts w:hint="eastAsia"/>
                <w:sz w:val="24"/>
                <w:szCs w:val="24"/>
                <w:vertAlign w:val="baseline"/>
                <w:lang w:val="en-US" w:eastAsia="zh-CN"/>
              </w:rPr>
              <w:t>主干路</w:t>
            </w:r>
          </w:p>
        </w:tc>
        <w:tc>
          <w:tcPr>
            <w:tcW w:w="1085" w:type="dxa"/>
            <w:noWrap w:val="0"/>
            <w:vAlign w:val="center"/>
          </w:tcPr>
          <w:p w14:paraId="10ECC4C8">
            <w:pPr>
              <w:jc w:val="center"/>
              <w:rPr>
                <w:sz w:val="24"/>
                <w:szCs w:val="24"/>
                <w:vertAlign w:val="baseline"/>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2</w:t>
            </w:r>
          </w:p>
        </w:tc>
        <w:tc>
          <w:tcPr>
            <w:tcW w:w="2575" w:type="dxa"/>
            <w:noWrap w:val="0"/>
            <w:vAlign w:val="center"/>
          </w:tcPr>
          <w:p w14:paraId="71D063F9">
            <w:pPr>
              <w:keepNext w:val="0"/>
              <w:keepLines w:val="0"/>
              <w:widowControl/>
              <w:suppressLineNumbers w:val="0"/>
              <w:jc w:val="center"/>
              <w:textAlignment w:val="center"/>
              <w:rPr>
                <w:rFonts w:hint="eastAsia"/>
                <w:sz w:val="24"/>
                <w:szCs w:val="24"/>
                <w:vertAlign w:val="baseline"/>
                <w:lang w:val="en-US" w:eastAsia="zh-CN"/>
              </w:rPr>
            </w:pPr>
            <w:r>
              <w:rPr>
                <w:rFonts w:hint="default" w:ascii="Calibri" w:hAnsi="Calibri" w:eastAsia="等线" w:cs="Calibri"/>
                <w:i w:val="0"/>
                <w:iCs w:val="0"/>
                <w:color w:val="000000"/>
                <w:kern w:val="0"/>
                <w:sz w:val="24"/>
                <w:szCs w:val="24"/>
                <w:u w:val="none"/>
                <w:lang w:val="en-US" w:eastAsia="zh-CN" w:bidi="ar"/>
              </w:rPr>
              <w:t>661</w:t>
            </w:r>
          </w:p>
        </w:tc>
      </w:tr>
      <w:tr w14:paraId="45E52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248" w:type="dxa"/>
            <w:vMerge w:val="continue"/>
            <w:noWrap w:val="0"/>
            <w:vAlign w:val="center"/>
          </w:tcPr>
          <w:p w14:paraId="2E46E04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szCs w:val="24"/>
                <w:vertAlign w:val="baseline"/>
              </w:rPr>
            </w:pPr>
          </w:p>
        </w:tc>
        <w:tc>
          <w:tcPr>
            <w:tcW w:w="2614" w:type="dxa"/>
            <w:noWrap w:val="0"/>
            <w:vAlign w:val="center"/>
          </w:tcPr>
          <w:p w14:paraId="0F3A85E0">
            <w:pPr>
              <w:jc w:val="center"/>
              <w:rPr>
                <w:rFonts w:hint="default" w:eastAsia="宋体"/>
                <w:sz w:val="24"/>
                <w:szCs w:val="24"/>
                <w:vertAlign w:val="baseline"/>
                <w:lang w:val="en-US" w:eastAsia="zh-CN"/>
              </w:rPr>
            </w:pPr>
            <w:r>
              <w:rPr>
                <w:rFonts w:hint="eastAsia"/>
                <w:sz w:val="24"/>
                <w:szCs w:val="24"/>
                <w:vertAlign w:val="baseline"/>
                <w:lang w:val="en-US" w:eastAsia="zh-CN"/>
              </w:rPr>
              <w:t>次干路</w:t>
            </w:r>
          </w:p>
        </w:tc>
        <w:tc>
          <w:tcPr>
            <w:tcW w:w="1085" w:type="dxa"/>
            <w:noWrap w:val="0"/>
            <w:vAlign w:val="center"/>
          </w:tcPr>
          <w:p w14:paraId="3FA9EF07">
            <w:pPr>
              <w:jc w:val="center"/>
              <w:rPr>
                <w:sz w:val="24"/>
                <w:szCs w:val="24"/>
                <w:vertAlign w:val="baseline"/>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2</w:t>
            </w:r>
          </w:p>
        </w:tc>
        <w:tc>
          <w:tcPr>
            <w:tcW w:w="2575" w:type="dxa"/>
            <w:noWrap w:val="0"/>
            <w:vAlign w:val="center"/>
          </w:tcPr>
          <w:p w14:paraId="39ECD3B2">
            <w:pPr>
              <w:keepNext w:val="0"/>
              <w:keepLines w:val="0"/>
              <w:widowControl/>
              <w:suppressLineNumbers w:val="0"/>
              <w:jc w:val="center"/>
              <w:textAlignment w:val="center"/>
              <w:rPr>
                <w:rFonts w:hint="eastAsia"/>
                <w:sz w:val="24"/>
                <w:szCs w:val="24"/>
                <w:vertAlign w:val="baseline"/>
                <w:lang w:val="en-US" w:eastAsia="zh-CN"/>
              </w:rPr>
            </w:pPr>
            <w:r>
              <w:rPr>
                <w:rFonts w:hint="default" w:ascii="Calibri" w:hAnsi="Calibri" w:eastAsia="等线" w:cs="Calibri"/>
                <w:i w:val="0"/>
                <w:iCs w:val="0"/>
                <w:color w:val="000000"/>
                <w:kern w:val="0"/>
                <w:sz w:val="24"/>
                <w:szCs w:val="24"/>
                <w:u w:val="none"/>
                <w:lang w:val="en-US" w:eastAsia="zh-CN" w:bidi="ar"/>
              </w:rPr>
              <w:t>551</w:t>
            </w:r>
          </w:p>
        </w:tc>
      </w:tr>
      <w:tr w14:paraId="62986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248" w:type="dxa"/>
            <w:vMerge w:val="continue"/>
            <w:noWrap w:val="0"/>
            <w:vAlign w:val="center"/>
          </w:tcPr>
          <w:p w14:paraId="19AFD0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szCs w:val="24"/>
                <w:vertAlign w:val="baseline"/>
              </w:rPr>
            </w:pPr>
          </w:p>
        </w:tc>
        <w:tc>
          <w:tcPr>
            <w:tcW w:w="2614" w:type="dxa"/>
            <w:noWrap w:val="0"/>
            <w:vAlign w:val="center"/>
          </w:tcPr>
          <w:p w14:paraId="5F718624">
            <w:pPr>
              <w:jc w:val="center"/>
              <w:rPr>
                <w:rFonts w:hint="eastAsia"/>
                <w:sz w:val="24"/>
                <w:szCs w:val="24"/>
                <w:vertAlign w:val="baseline"/>
                <w:lang w:val="en-US" w:eastAsia="zh-CN"/>
              </w:rPr>
            </w:pPr>
            <w:r>
              <w:rPr>
                <w:rFonts w:hint="eastAsia"/>
                <w:sz w:val="24"/>
                <w:szCs w:val="24"/>
                <w:vertAlign w:val="baseline"/>
                <w:lang w:val="en-US" w:eastAsia="zh-CN"/>
              </w:rPr>
              <w:t>支路</w:t>
            </w:r>
          </w:p>
        </w:tc>
        <w:tc>
          <w:tcPr>
            <w:tcW w:w="1085" w:type="dxa"/>
            <w:noWrap w:val="0"/>
            <w:vAlign w:val="center"/>
          </w:tcPr>
          <w:p w14:paraId="45AF395A">
            <w:pPr>
              <w:jc w:val="center"/>
              <w:rPr>
                <w:sz w:val="24"/>
                <w:szCs w:val="24"/>
                <w:vertAlign w:val="baseline"/>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2</w:t>
            </w:r>
          </w:p>
        </w:tc>
        <w:tc>
          <w:tcPr>
            <w:tcW w:w="2575" w:type="dxa"/>
            <w:noWrap w:val="0"/>
            <w:vAlign w:val="center"/>
          </w:tcPr>
          <w:p w14:paraId="419D5A35">
            <w:pPr>
              <w:keepNext w:val="0"/>
              <w:keepLines w:val="0"/>
              <w:widowControl/>
              <w:suppressLineNumbers w:val="0"/>
              <w:jc w:val="center"/>
              <w:textAlignment w:val="center"/>
              <w:rPr>
                <w:rFonts w:hint="eastAsia"/>
                <w:sz w:val="24"/>
                <w:szCs w:val="24"/>
                <w:vertAlign w:val="baseline"/>
                <w:lang w:val="en-US" w:eastAsia="zh-CN"/>
              </w:rPr>
            </w:pPr>
            <w:r>
              <w:rPr>
                <w:rFonts w:hint="default" w:ascii="Calibri" w:hAnsi="Calibri" w:eastAsia="等线" w:cs="Calibri"/>
                <w:i w:val="0"/>
                <w:iCs w:val="0"/>
                <w:color w:val="000000"/>
                <w:kern w:val="0"/>
                <w:sz w:val="24"/>
                <w:szCs w:val="24"/>
                <w:u w:val="none"/>
                <w:lang w:val="en-US" w:eastAsia="zh-CN" w:bidi="ar"/>
              </w:rPr>
              <w:t>436</w:t>
            </w:r>
          </w:p>
        </w:tc>
      </w:tr>
      <w:tr w14:paraId="7DB74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248" w:type="dxa"/>
            <w:vMerge w:val="restart"/>
            <w:noWrap w:val="0"/>
            <w:vAlign w:val="center"/>
          </w:tcPr>
          <w:p w14:paraId="415DEB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szCs w:val="24"/>
                <w:vertAlign w:val="baseline"/>
                <w:lang w:val="en-US" w:eastAsia="zh-CN"/>
              </w:rPr>
            </w:pPr>
            <w:r>
              <w:rPr>
                <w:rFonts w:hint="eastAsia"/>
                <w:sz w:val="24"/>
                <w:szCs w:val="24"/>
                <w:vertAlign w:val="baseline"/>
                <w:lang w:val="en-US" w:eastAsia="zh-CN"/>
              </w:rPr>
              <w:t>机动车道</w:t>
            </w:r>
          </w:p>
          <w:p w14:paraId="074B483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szCs w:val="24"/>
                <w:vertAlign w:val="baseline"/>
              </w:rPr>
            </w:pPr>
            <w:r>
              <w:rPr>
                <w:rFonts w:hint="eastAsia"/>
                <w:sz w:val="24"/>
                <w:szCs w:val="24"/>
                <w:vertAlign w:val="baseline"/>
                <w:lang w:val="en-US" w:eastAsia="zh-CN"/>
              </w:rPr>
              <w:t>（水泥混凝土）</w:t>
            </w:r>
          </w:p>
        </w:tc>
        <w:tc>
          <w:tcPr>
            <w:tcW w:w="2614" w:type="dxa"/>
            <w:noWrap w:val="0"/>
            <w:vAlign w:val="center"/>
          </w:tcPr>
          <w:p w14:paraId="258F85D2">
            <w:pPr>
              <w:jc w:val="center"/>
              <w:rPr>
                <w:rFonts w:hint="default"/>
                <w:sz w:val="24"/>
                <w:szCs w:val="24"/>
                <w:vertAlign w:val="baseline"/>
                <w:lang w:val="en-US" w:eastAsia="zh-CN"/>
              </w:rPr>
            </w:pPr>
            <w:r>
              <w:rPr>
                <w:rFonts w:hint="eastAsia"/>
                <w:sz w:val="24"/>
                <w:szCs w:val="24"/>
                <w:vertAlign w:val="baseline"/>
                <w:lang w:val="en-US" w:eastAsia="zh-CN"/>
              </w:rPr>
              <w:t>主干路</w:t>
            </w:r>
          </w:p>
        </w:tc>
        <w:tc>
          <w:tcPr>
            <w:tcW w:w="1085" w:type="dxa"/>
            <w:noWrap w:val="0"/>
            <w:vAlign w:val="center"/>
          </w:tcPr>
          <w:p w14:paraId="6AE09517">
            <w:pPr>
              <w:jc w:val="center"/>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2</w:t>
            </w:r>
          </w:p>
        </w:tc>
        <w:tc>
          <w:tcPr>
            <w:tcW w:w="2575" w:type="dxa"/>
            <w:noWrap w:val="0"/>
            <w:vAlign w:val="center"/>
          </w:tcPr>
          <w:p w14:paraId="06088229">
            <w:pPr>
              <w:keepNext w:val="0"/>
              <w:keepLines w:val="0"/>
              <w:widowControl/>
              <w:suppressLineNumbers w:val="0"/>
              <w:jc w:val="center"/>
              <w:textAlignment w:val="center"/>
              <w:rPr>
                <w:rFonts w:hint="default" w:ascii="Calibri" w:hAnsi="Calibri" w:eastAsia="等线" w:cs="Calibri"/>
                <w:i w:val="0"/>
                <w:iCs w:val="0"/>
                <w:color w:val="000000"/>
                <w:kern w:val="0"/>
                <w:sz w:val="24"/>
                <w:szCs w:val="24"/>
                <w:u w:val="none"/>
                <w:lang w:val="en-US" w:eastAsia="zh-CN" w:bidi="ar"/>
              </w:rPr>
            </w:pPr>
            <w:r>
              <w:rPr>
                <w:rFonts w:hint="eastAsia" w:eastAsia="等线" w:cs="Calibri"/>
                <w:i w:val="0"/>
                <w:iCs w:val="0"/>
                <w:color w:val="000000"/>
                <w:kern w:val="0"/>
                <w:sz w:val="24"/>
                <w:szCs w:val="24"/>
                <w:u w:val="none"/>
                <w:lang w:val="en-US" w:eastAsia="zh-CN" w:bidi="ar"/>
              </w:rPr>
              <w:t>398</w:t>
            </w:r>
          </w:p>
        </w:tc>
      </w:tr>
      <w:tr w14:paraId="2AB0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248" w:type="dxa"/>
            <w:vMerge w:val="continue"/>
            <w:noWrap w:val="0"/>
            <w:vAlign w:val="center"/>
          </w:tcPr>
          <w:p w14:paraId="7D517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szCs w:val="24"/>
                <w:vertAlign w:val="baseline"/>
              </w:rPr>
            </w:pPr>
          </w:p>
        </w:tc>
        <w:tc>
          <w:tcPr>
            <w:tcW w:w="2614" w:type="dxa"/>
            <w:noWrap w:val="0"/>
            <w:vAlign w:val="center"/>
          </w:tcPr>
          <w:p w14:paraId="56BFBEA0">
            <w:pPr>
              <w:jc w:val="center"/>
              <w:rPr>
                <w:rFonts w:hint="default"/>
                <w:sz w:val="24"/>
                <w:szCs w:val="24"/>
                <w:vertAlign w:val="baseline"/>
                <w:lang w:val="en-US" w:eastAsia="zh-CN"/>
              </w:rPr>
            </w:pPr>
            <w:r>
              <w:rPr>
                <w:rFonts w:hint="eastAsia"/>
                <w:sz w:val="24"/>
                <w:szCs w:val="24"/>
                <w:vertAlign w:val="baseline"/>
                <w:lang w:val="en-US" w:eastAsia="zh-CN"/>
              </w:rPr>
              <w:t>次干路</w:t>
            </w:r>
          </w:p>
        </w:tc>
        <w:tc>
          <w:tcPr>
            <w:tcW w:w="1085" w:type="dxa"/>
            <w:noWrap w:val="0"/>
            <w:vAlign w:val="center"/>
          </w:tcPr>
          <w:p w14:paraId="6A6C9C26">
            <w:pPr>
              <w:jc w:val="center"/>
              <w:rPr>
                <w:sz w:val="24"/>
                <w:szCs w:val="24"/>
                <w:vertAlign w:val="baseline"/>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2</w:t>
            </w:r>
          </w:p>
        </w:tc>
        <w:tc>
          <w:tcPr>
            <w:tcW w:w="2575" w:type="dxa"/>
            <w:noWrap w:val="0"/>
            <w:vAlign w:val="center"/>
          </w:tcPr>
          <w:p w14:paraId="0A7B3D4F">
            <w:pPr>
              <w:keepNext w:val="0"/>
              <w:keepLines w:val="0"/>
              <w:widowControl/>
              <w:suppressLineNumbers w:val="0"/>
              <w:jc w:val="center"/>
              <w:textAlignment w:val="center"/>
              <w:rPr>
                <w:rFonts w:hint="eastAsia"/>
                <w:sz w:val="24"/>
                <w:szCs w:val="24"/>
                <w:vertAlign w:val="baseline"/>
                <w:lang w:val="en-US" w:eastAsia="zh-CN"/>
              </w:rPr>
            </w:pPr>
            <w:r>
              <w:rPr>
                <w:rFonts w:hint="default" w:ascii="Calibri" w:hAnsi="Calibri" w:eastAsia="等线" w:cs="Calibri"/>
                <w:i w:val="0"/>
                <w:iCs w:val="0"/>
                <w:color w:val="000000"/>
                <w:kern w:val="0"/>
                <w:sz w:val="24"/>
                <w:szCs w:val="24"/>
                <w:u w:val="none"/>
                <w:lang w:val="en-US" w:eastAsia="zh-CN" w:bidi="ar"/>
              </w:rPr>
              <w:t>270</w:t>
            </w:r>
          </w:p>
        </w:tc>
      </w:tr>
      <w:tr w14:paraId="2E2BC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2248" w:type="dxa"/>
            <w:vMerge w:val="continue"/>
            <w:noWrap w:val="0"/>
            <w:vAlign w:val="center"/>
          </w:tcPr>
          <w:p w14:paraId="1D2E1E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szCs w:val="24"/>
              </w:rPr>
            </w:pPr>
          </w:p>
        </w:tc>
        <w:tc>
          <w:tcPr>
            <w:tcW w:w="2614" w:type="dxa"/>
            <w:noWrap w:val="0"/>
            <w:vAlign w:val="center"/>
          </w:tcPr>
          <w:p w14:paraId="1B97C38D">
            <w:pPr>
              <w:jc w:val="center"/>
              <w:rPr>
                <w:rFonts w:hint="default"/>
                <w:sz w:val="24"/>
                <w:szCs w:val="24"/>
                <w:vertAlign w:val="baseline"/>
                <w:lang w:val="en-US" w:eastAsia="zh-CN"/>
              </w:rPr>
            </w:pPr>
            <w:r>
              <w:rPr>
                <w:rFonts w:hint="eastAsia"/>
                <w:sz w:val="24"/>
                <w:szCs w:val="24"/>
                <w:vertAlign w:val="baseline"/>
                <w:lang w:val="en-US" w:eastAsia="zh-CN"/>
              </w:rPr>
              <w:t>支路</w:t>
            </w:r>
          </w:p>
        </w:tc>
        <w:tc>
          <w:tcPr>
            <w:tcW w:w="1085" w:type="dxa"/>
            <w:noWrap w:val="0"/>
            <w:vAlign w:val="center"/>
          </w:tcPr>
          <w:p w14:paraId="5930FC86">
            <w:pPr>
              <w:jc w:val="center"/>
              <w:rPr>
                <w:rFonts w:hint="eastAsia"/>
                <w:sz w:val="24"/>
                <w:szCs w:val="24"/>
                <w:vertAlign w:val="baseline"/>
                <w:lang w:val="en-US" w:eastAsia="zh-CN"/>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2</w:t>
            </w:r>
          </w:p>
        </w:tc>
        <w:tc>
          <w:tcPr>
            <w:tcW w:w="2575" w:type="dxa"/>
            <w:noWrap w:val="0"/>
            <w:vAlign w:val="center"/>
          </w:tcPr>
          <w:p w14:paraId="49FFDF71">
            <w:pPr>
              <w:keepNext w:val="0"/>
              <w:keepLines w:val="0"/>
              <w:widowControl/>
              <w:suppressLineNumbers w:val="0"/>
              <w:jc w:val="center"/>
              <w:textAlignment w:val="center"/>
              <w:rPr>
                <w:rFonts w:hint="default"/>
                <w:sz w:val="24"/>
                <w:szCs w:val="24"/>
                <w:vertAlign w:val="baseline"/>
                <w:lang w:val="en-US" w:eastAsia="zh-CN"/>
              </w:rPr>
            </w:pPr>
            <w:r>
              <w:rPr>
                <w:rFonts w:hint="default" w:ascii="Calibri" w:hAnsi="Calibri" w:eastAsia="等线" w:cs="Calibri"/>
                <w:i w:val="0"/>
                <w:iCs w:val="0"/>
                <w:color w:val="000000"/>
                <w:kern w:val="0"/>
                <w:sz w:val="24"/>
                <w:szCs w:val="24"/>
                <w:u w:val="none"/>
                <w:lang w:val="en-US" w:eastAsia="zh-CN" w:bidi="ar"/>
              </w:rPr>
              <w:t>240</w:t>
            </w:r>
          </w:p>
        </w:tc>
      </w:tr>
      <w:tr w14:paraId="14D2D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2248" w:type="dxa"/>
            <w:vMerge w:val="restart"/>
            <w:noWrap w:val="0"/>
            <w:vAlign w:val="center"/>
          </w:tcPr>
          <w:p w14:paraId="3E72DD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宋体"/>
                <w:sz w:val="24"/>
                <w:szCs w:val="24"/>
                <w:vertAlign w:val="baseline"/>
                <w:lang w:val="en-US" w:eastAsia="zh-CN"/>
              </w:rPr>
            </w:pPr>
            <w:r>
              <w:rPr>
                <w:rFonts w:hint="eastAsia"/>
                <w:sz w:val="24"/>
                <w:szCs w:val="24"/>
                <w:vertAlign w:val="baseline"/>
                <w:lang w:val="en-US" w:eastAsia="zh-CN"/>
              </w:rPr>
              <w:t>非机动车道</w:t>
            </w:r>
          </w:p>
        </w:tc>
        <w:tc>
          <w:tcPr>
            <w:tcW w:w="2614" w:type="dxa"/>
            <w:noWrap w:val="0"/>
            <w:vAlign w:val="center"/>
          </w:tcPr>
          <w:p w14:paraId="1E1DB1D2">
            <w:pPr>
              <w:jc w:val="center"/>
              <w:rPr>
                <w:rFonts w:hint="default"/>
                <w:sz w:val="24"/>
                <w:szCs w:val="24"/>
                <w:vertAlign w:val="baseline"/>
                <w:lang w:val="en-US"/>
              </w:rPr>
            </w:pPr>
            <w:r>
              <w:rPr>
                <w:rFonts w:hint="eastAsia"/>
                <w:sz w:val="24"/>
                <w:szCs w:val="24"/>
                <w:vertAlign w:val="baseline"/>
                <w:lang w:val="en-US" w:eastAsia="zh-CN"/>
              </w:rPr>
              <w:t>沥青混凝土</w:t>
            </w:r>
          </w:p>
        </w:tc>
        <w:tc>
          <w:tcPr>
            <w:tcW w:w="1085" w:type="dxa"/>
            <w:noWrap w:val="0"/>
            <w:vAlign w:val="center"/>
          </w:tcPr>
          <w:p w14:paraId="52C44794">
            <w:pPr>
              <w:jc w:val="center"/>
              <w:rPr>
                <w:sz w:val="24"/>
                <w:szCs w:val="24"/>
                <w:vertAlign w:val="baseline"/>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2</w:t>
            </w:r>
          </w:p>
        </w:tc>
        <w:tc>
          <w:tcPr>
            <w:tcW w:w="2575" w:type="dxa"/>
            <w:noWrap w:val="0"/>
            <w:vAlign w:val="center"/>
          </w:tcPr>
          <w:p w14:paraId="2FB85408">
            <w:pPr>
              <w:keepNext w:val="0"/>
              <w:keepLines w:val="0"/>
              <w:widowControl/>
              <w:suppressLineNumbers w:val="0"/>
              <w:jc w:val="center"/>
              <w:textAlignment w:val="center"/>
              <w:rPr>
                <w:rFonts w:hint="default"/>
                <w:sz w:val="24"/>
                <w:szCs w:val="24"/>
                <w:vertAlign w:val="baseline"/>
                <w:lang w:val="en-US" w:eastAsia="zh-CN"/>
              </w:rPr>
            </w:pPr>
            <w:r>
              <w:rPr>
                <w:rFonts w:hint="default" w:ascii="Calibri" w:hAnsi="Calibri" w:eastAsia="等线" w:cs="Calibri"/>
                <w:i w:val="0"/>
                <w:iCs w:val="0"/>
                <w:color w:val="000000"/>
                <w:kern w:val="0"/>
                <w:sz w:val="24"/>
                <w:szCs w:val="24"/>
                <w:u w:val="none"/>
                <w:lang w:val="en-US" w:eastAsia="zh-CN" w:bidi="ar"/>
              </w:rPr>
              <w:t>391</w:t>
            </w:r>
          </w:p>
        </w:tc>
      </w:tr>
      <w:tr w14:paraId="5F78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248" w:type="dxa"/>
            <w:vMerge w:val="continue"/>
            <w:noWrap w:val="0"/>
            <w:vAlign w:val="center"/>
          </w:tcPr>
          <w:p w14:paraId="514F04A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szCs w:val="24"/>
                <w:vertAlign w:val="baseline"/>
                <w:lang w:val="en-US" w:eastAsia="zh-CN"/>
              </w:rPr>
            </w:pPr>
          </w:p>
        </w:tc>
        <w:tc>
          <w:tcPr>
            <w:tcW w:w="2614" w:type="dxa"/>
            <w:noWrap w:val="0"/>
            <w:vAlign w:val="center"/>
          </w:tcPr>
          <w:p w14:paraId="1FFBE6FD">
            <w:pPr>
              <w:jc w:val="center"/>
              <w:rPr>
                <w:rFonts w:hint="default"/>
                <w:sz w:val="24"/>
                <w:szCs w:val="24"/>
                <w:vertAlign w:val="baseline"/>
                <w:lang w:val="en-US" w:eastAsia="zh-CN"/>
              </w:rPr>
            </w:pPr>
            <w:r>
              <w:rPr>
                <w:rFonts w:hint="eastAsia"/>
                <w:sz w:val="24"/>
                <w:szCs w:val="24"/>
                <w:vertAlign w:val="baseline"/>
                <w:lang w:val="en-US" w:eastAsia="zh-CN"/>
              </w:rPr>
              <w:t>水泥混凝土</w:t>
            </w:r>
          </w:p>
        </w:tc>
        <w:tc>
          <w:tcPr>
            <w:tcW w:w="1085" w:type="dxa"/>
            <w:noWrap w:val="0"/>
            <w:vAlign w:val="center"/>
          </w:tcPr>
          <w:p w14:paraId="25D72645">
            <w:pPr>
              <w:jc w:val="center"/>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2</w:t>
            </w:r>
          </w:p>
        </w:tc>
        <w:tc>
          <w:tcPr>
            <w:tcW w:w="2575" w:type="dxa"/>
            <w:noWrap w:val="0"/>
            <w:vAlign w:val="center"/>
          </w:tcPr>
          <w:p w14:paraId="5C85295A">
            <w:pPr>
              <w:keepNext w:val="0"/>
              <w:keepLines w:val="0"/>
              <w:widowControl/>
              <w:suppressLineNumbers w:val="0"/>
              <w:jc w:val="center"/>
              <w:textAlignment w:val="center"/>
              <w:rPr>
                <w:rFonts w:hint="default"/>
                <w:sz w:val="24"/>
                <w:szCs w:val="24"/>
                <w:vertAlign w:val="baseline"/>
                <w:lang w:val="en-US" w:eastAsia="zh-CN"/>
              </w:rPr>
            </w:pPr>
            <w:r>
              <w:rPr>
                <w:rFonts w:hint="default" w:ascii="Calibri" w:hAnsi="Calibri" w:eastAsia="等线" w:cs="Calibri"/>
                <w:i w:val="0"/>
                <w:iCs w:val="0"/>
                <w:color w:val="000000"/>
                <w:kern w:val="0"/>
                <w:sz w:val="24"/>
                <w:szCs w:val="24"/>
                <w:u w:val="none"/>
                <w:lang w:val="en-US" w:eastAsia="zh-CN" w:bidi="ar"/>
              </w:rPr>
              <w:t>234</w:t>
            </w:r>
          </w:p>
        </w:tc>
      </w:tr>
      <w:tr w14:paraId="2D37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2248" w:type="dxa"/>
            <w:vMerge w:val="restart"/>
            <w:noWrap w:val="0"/>
            <w:vAlign w:val="center"/>
          </w:tcPr>
          <w:p w14:paraId="51C18F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宋体"/>
                <w:sz w:val="24"/>
                <w:szCs w:val="24"/>
                <w:vertAlign w:val="baseline"/>
                <w:lang w:val="en-US" w:eastAsia="zh-CN"/>
              </w:rPr>
            </w:pPr>
            <w:r>
              <w:rPr>
                <w:rFonts w:hint="eastAsia"/>
                <w:sz w:val="24"/>
                <w:szCs w:val="24"/>
                <w:vertAlign w:val="baseline"/>
                <w:lang w:val="en-US" w:eastAsia="zh-CN"/>
              </w:rPr>
              <w:t>人行道</w:t>
            </w:r>
          </w:p>
        </w:tc>
        <w:tc>
          <w:tcPr>
            <w:tcW w:w="2614" w:type="dxa"/>
            <w:noWrap w:val="0"/>
            <w:vAlign w:val="center"/>
          </w:tcPr>
          <w:p w14:paraId="5D41809E">
            <w:pPr>
              <w:jc w:val="center"/>
              <w:rPr>
                <w:rFonts w:hint="default" w:eastAsia="宋体"/>
                <w:sz w:val="24"/>
                <w:szCs w:val="24"/>
                <w:vertAlign w:val="baseline"/>
                <w:lang w:val="en-US" w:eastAsia="zh-CN"/>
              </w:rPr>
            </w:pPr>
            <w:r>
              <w:rPr>
                <w:rFonts w:hint="eastAsia"/>
                <w:sz w:val="24"/>
                <w:szCs w:val="24"/>
                <w:vertAlign w:val="baseline"/>
                <w:lang w:val="en-US" w:eastAsia="zh-CN"/>
              </w:rPr>
              <w:t>人行道砖铺装</w:t>
            </w:r>
          </w:p>
        </w:tc>
        <w:tc>
          <w:tcPr>
            <w:tcW w:w="1085" w:type="dxa"/>
            <w:noWrap w:val="0"/>
            <w:vAlign w:val="center"/>
          </w:tcPr>
          <w:p w14:paraId="56A967A4">
            <w:pPr>
              <w:jc w:val="center"/>
              <w:rPr>
                <w:sz w:val="24"/>
                <w:szCs w:val="24"/>
                <w:vertAlign w:val="baseline"/>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2</w:t>
            </w:r>
          </w:p>
        </w:tc>
        <w:tc>
          <w:tcPr>
            <w:tcW w:w="2575" w:type="dxa"/>
            <w:noWrap w:val="0"/>
            <w:vAlign w:val="center"/>
          </w:tcPr>
          <w:p w14:paraId="059CE2C9">
            <w:pPr>
              <w:keepNext w:val="0"/>
              <w:keepLines w:val="0"/>
              <w:widowControl/>
              <w:suppressLineNumbers w:val="0"/>
              <w:jc w:val="center"/>
              <w:textAlignment w:val="center"/>
              <w:rPr>
                <w:rFonts w:hint="eastAsia"/>
                <w:sz w:val="24"/>
                <w:szCs w:val="24"/>
                <w:vertAlign w:val="baseline"/>
                <w:lang w:val="en-US" w:eastAsia="zh-CN"/>
              </w:rPr>
            </w:pPr>
            <w:r>
              <w:rPr>
                <w:rFonts w:hint="default" w:ascii="Calibri" w:hAnsi="Calibri" w:eastAsia="等线" w:cs="Calibri"/>
                <w:i w:val="0"/>
                <w:iCs w:val="0"/>
                <w:color w:val="000000"/>
                <w:kern w:val="0"/>
                <w:sz w:val="24"/>
                <w:szCs w:val="24"/>
                <w:u w:val="none"/>
                <w:lang w:val="en-US" w:eastAsia="zh-CN" w:bidi="ar"/>
              </w:rPr>
              <w:t>238</w:t>
            </w:r>
          </w:p>
        </w:tc>
      </w:tr>
      <w:tr w14:paraId="46C1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2248" w:type="dxa"/>
            <w:vMerge w:val="continue"/>
            <w:noWrap w:val="0"/>
            <w:vAlign w:val="center"/>
          </w:tcPr>
          <w:p w14:paraId="589173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szCs w:val="24"/>
                <w:vertAlign w:val="baseline"/>
                <w:lang w:val="en-US" w:eastAsia="zh-CN"/>
              </w:rPr>
            </w:pPr>
          </w:p>
        </w:tc>
        <w:tc>
          <w:tcPr>
            <w:tcW w:w="2614" w:type="dxa"/>
            <w:noWrap w:val="0"/>
            <w:vAlign w:val="center"/>
          </w:tcPr>
          <w:p w14:paraId="69BAAAF9">
            <w:pPr>
              <w:jc w:val="center"/>
              <w:rPr>
                <w:rFonts w:hint="eastAsia"/>
                <w:sz w:val="24"/>
                <w:szCs w:val="24"/>
                <w:vertAlign w:val="baseline"/>
                <w:lang w:val="en-US" w:eastAsia="zh-CN"/>
              </w:rPr>
            </w:pPr>
            <w:r>
              <w:rPr>
                <w:rFonts w:hint="eastAsia"/>
                <w:sz w:val="24"/>
                <w:szCs w:val="24"/>
                <w:vertAlign w:val="baseline"/>
                <w:lang w:val="en-US" w:eastAsia="zh-CN"/>
              </w:rPr>
              <w:t>人行道透水砖铺装</w:t>
            </w:r>
          </w:p>
        </w:tc>
        <w:tc>
          <w:tcPr>
            <w:tcW w:w="1085" w:type="dxa"/>
            <w:noWrap w:val="0"/>
            <w:vAlign w:val="center"/>
          </w:tcPr>
          <w:p w14:paraId="7739B980">
            <w:pPr>
              <w:jc w:val="center"/>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2</w:t>
            </w:r>
          </w:p>
        </w:tc>
        <w:tc>
          <w:tcPr>
            <w:tcW w:w="2575" w:type="dxa"/>
            <w:noWrap w:val="0"/>
            <w:vAlign w:val="center"/>
          </w:tcPr>
          <w:p w14:paraId="121A597E">
            <w:pPr>
              <w:keepNext w:val="0"/>
              <w:keepLines w:val="0"/>
              <w:widowControl/>
              <w:suppressLineNumbers w:val="0"/>
              <w:jc w:val="center"/>
              <w:textAlignment w:val="center"/>
              <w:rPr>
                <w:rFonts w:hint="default" w:ascii="Calibri" w:hAnsi="Calibri" w:eastAsia="等线" w:cs="Calibri"/>
                <w:i w:val="0"/>
                <w:iCs w:val="0"/>
                <w:color w:val="000000"/>
                <w:kern w:val="0"/>
                <w:sz w:val="24"/>
                <w:szCs w:val="24"/>
                <w:u w:val="none"/>
                <w:lang w:val="en-US" w:eastAsia="zh-CN" w:bidi="ar"/>
              </w:rPr>
            </w:pPr>
            <w:r>
              <w:rPr>
                <w:rFonts w:hint="eastAsia" w:eastAsia="等线" w:cs="Calibri"/>
                <w:i w:val="0"/>
                <w:iCs w:val="0"/>
                <w:color w:val="000000"/>
                <w:kern w:val="0"/>
                <w:sz w:val="24"/>
                <w:szCs w:val="24"/>
                <w:u w:val="none"/>
                <w:lang w:val="en-US" w:eastAsia="zh-CN" w:bidi="ar"/>
              </w:rPr>
              <w:t>270</w:t>
            </w:r>
          </w:p>
        </w:tc>
      </w:tr>
      <w:tr w14:paraId="6B5C1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248" w:type="dxa"/>
            <w:vMerge w:val="continue"/>
            <w:noWrap w:val="0"/>
            <w:vAlign w:val="center"/>
          </w:tcPr>
          <w:p w14:paraId="5F48B88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szCs w:val="24"/>
                <w:vertAlign w:val="baseline"/>
              </w:rPr>
            </w:pPr>
          </w:p>
        </w:tc>
        <w:tc>
          <w:tcPr>
            <w:tcW w:w="2614" w:type="dxa"/>
            <w:noWrap w:val="0"/>
            <w:vAlign w:val="center"/>
          </w:tcPr>
          <w:p w14:paraId="743CE340">
            <w:pPr>
              <w:jc w:val="center"/>
              <w:rPr>
                <w:rFonts w:hint="default" w:eastAsia="宋体"/>
                <w:sz w:val="24"/>
                <w:szCs w:val="24"/>
                <w:vertAlign w:val="baseline"/>
                <w:lang w:val="en-US" w:eastAsia="zh-CN"/>
              </w:rPr>
            </w:pPr>
            <w:r>
              <w:rPr>
                <w:rFonts w:hint="eastAsia"/>
                <w:sz w:val="24"/>
                <w:szCs w:val="24"/>
                <w:vertAlign w:val="baseline"/>
                <w:lang w:val="en-US" w:eastAsia="zh-CN"/>
              </w:rPr>
              <w:t>石材铺装</w:t>
            </w:r>
          </w:p>
        </w:tc>
        <w:tc>
          <w:tcPr>
            <w:tcW w:w="1085" w:type="dxa"/>
            <w:noWrap w:val="0"/>
            <w:vAlign w:val="center"/>
          </w:tcPr>
          <w:p w14:paraId="4F4F9666">
            <w:pPr>
              <w:jc w:val="center"/>
              <w:rPr>
                <w:sz w:val="24"/>
                <w:szCs w:val="24"/>
                <w:vertAlign w:val="baseline"/>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2</w:t>
            </w:r>
          </w:p>
        </w:tc>
        <w:tc>
          <w:tcPr>
            <w:tcW w:w="2575" w:type="dxa"/>
            <w:noWrap w:val="0"/>
            <w:vAlign w:val="center"/>
          </w:tcPr>
          <w:p w14:paraId="3E813B78">
            <w:pPr>
              <w:keepNext w:val="0"/>
              <w:keepLines w:val="0"/>
              <w:widowControl/>
              <w:suppressLineNumbers w:val="0"/>
              <w:jc w:val="center"/>
              <w:textAlignment w:val="center"/>
              <w:rPr>
                <w:rFonts w:hint="eastAsia"/>
                <w:sz w:val="24"/>
                <w:szCs w:val="24"/>
                <w:vertAlign w:val="baseline"/>
                <w:lang w:val="en-US" w:eastAsia="zh-CN"/>
              </w:rPr>
            </w:pPr>
            <w:r>
              <w:rPr>
                <w:rFonts w:hint="default" w:ascii="Calibri" w:hAnsi="Calibri" w:eastAsia="等线" w:cs="Calibri"/>
                <w:i w:val="0"/>
                <w:iCs w:val="0"/>
                <w:color w:val="000000"/>
                <w:kern w:val="0"/>
                <w:sz w:val="24"/>
                <w:szCs w:val="24"/>
                <w:u w:val="none"/>
                <w:lang w:val="en-US" w:eastAsia="zh-CN" w:bidi="ar"/>
              </w:rPr>
              <w:t>431</w:t>
            </w:r>
          </w:p>
        </w:tc>
      </w:tr>
      <w:tr w14:paraId="0EFC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248" w:type="dxa"/>
            <w:vMerge w:val="restart"/>
            <w:noWrap w:val="0"/>
            <w:vAlign w:val="center"/>
          </w:tcPr>
          <w:p w14:paraId="08BC9C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宋体"/>
                <w:sz w:val="24"/>
                <w:szCs w:val="24"/>
                <w:vertAlign w:val="baseline"/>
                <w:lang w:val="en-US" w:eastAsia="zh-CN"/>
              </w:rPr>
            </w:pPr>
            <w:r>
              <w:rPr>
                <w:rFonts w:hint="eastAsia"/>
                <w:sz w:val="24"/>
                <w:szCs w:val="24"/>
                <w:vertAlign w:val="baseline"/>
                <w:lang w:val="en-US" w:eastAsia="zh-CN"/>
              </w:rPr>
              <w:t>路缘石</w:t>
            </w:r>
          </w:p>
        </w:tc>
        <w:tc>
          <w:tcPr>
            <w:tcW w:w="2614" w:type="dxa"/>
            <w:noWrap w:val="0"/>
            <w:vAlign w:val="center"/>
          </w:tcPr>
          <w:p w14:paraId="5466F4D0">
            <w:pPr>
              <w:jc w:val="center"/>
              <w:rPr>
                <w:rFonts w:hint="default" w:eastAsia="宋体"/>
                <w:sz w:val="24"/>
                <w:szCs w:val="24"/>
                <w:vertAlign w:val="baseline"/>
                <w:lang w:val="en-US" w:eastAsia="zh-CN"/>
              </w:rPr>
            </w:pPr>
            <w:r>
              <w:rPr>
                <w:rFonts w:hint="eastAsia"/>
                <w:sz w:val="24"/>
                <w:szCs w:val="24"/>
                <w:vertAlign w:val="baseline"/>
                <w:lang w:val="en-US" w:eastAsia="zh-CN"/>
              </w:rPr>
              <w:t>花岗岩路缘石</w:t>
            </w:r>
          </w:p>
        </w:tc>
        <w:tc>
          <w:tcPr>
            <w:tcW w:w="1085" w:type="dxa"/>
            <w:noWrap w:val="0"/>
            <w:vAlign w:val="center"/>
          </w:tcPr>
          <w:p w14:paraId="39EB4518">
            <w:pPr>
              <w:jc w:val="center"/>
              <w:rPr>
                <w:rFonts w:hint="eastAsia" w:eastAsia="宋体"/>
                <w:sz w:val="24"/>
                <w:szCs w:val="24"/>
                <w:vertAlign w:val="baseline"/>
                <w:lang w:val="en-US" w:eastAsia="zh-CN"/>
              </w:rPr>
            </w:pPr>
            <w:r>
              <w:rPr>
                <w:rFonts w:hint="eastAsia" w:ascii="Times New Roman" w:hAnsi="Times New Roman" w:cs="Times New Roman"/>
                <w:sz w:val="24"/>
                <w:szCs w:val="24"/>
                <w:vertAlign w:val="baseline"/>
                <w:lang w:val="en-US" w:eastAsia="zh-CN"/>
              </w:rPr>
              <w:t>m</w:t>
            </w:r>
          </w:p>
        </w:tc>
        <w:tc>
          <w:tcPr>
            <w:tcW w:w="2575" w:type="dxa"/>
            <w:noWrap w:val="0"/>
            <w:vAlign w:val="center"/>
          </w:tcPr>
          <w:p w14:paraId="7EE61F21">
            <w:pPr>
              <w:keepNext w:val="0"/>
              <w:keepLines w:val="0"/>
              <w:widowControl/>
              <w:suppressLineNumbers w:val="0"/>
              <w:jc w:val="center"/>
              <w:textAlignment w:val="center"/>
              <w:rPr>
                <w:rFonts w:hint="eastAsia"/>
                <w:sz w:val="24"/>
                <w:szCs w:val="24"/>
                <w:vertAlign w:val="baseline"/>
                <w:lang w:val="en-US" w:eastAsia="zh-CN"/>
              </w:rPr>
            </w:pPr>
            <w:r>
              <w:rPr>
                <w:rFonts w:hint="default" w:ascii="Calibri" w:hAnsi="Calibri" w:eastAsia="等线" w:cs="Calibri"/>
                <w:i w:val="0"/>
                <w:iCs w:val="0"/>
                <w:color w:val="000000"/>
                <w:kern w:val="0"/>
                <w:sz w:val="24"/>
                <w:szCs w:val="24"/>
                <w:u w:val="none"/>
                <w:lang w:val="en-US" w:eastAsia="zh-CN" w:bidi="ar"/>
              </w:rPr>
              <w:t>226</w:t>
            </w:r>
          </w:p>
        </w:tc>
      </w:tr>
      <w:tr w14:paraId="4463D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248" w:type="dxa"/>
            <w:vMerge w:val="continue"/>
            <w:noWrap w:val="0"/>
            <w:vAlign w:val="center"/>
          </w:tcPr>
          <w:p w14:paraId="0D2C6D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szCs w:val="24"/>
                <w:vertAlign w:val="baseline"/>
                <w:lang w:val="en-US" w:eastAsia="zh-CN"/>
              </w:rPr>
            </w:pPr>
          </w:p>
        </w:tc>
        <w:tc>
          <w:tcPr>
            <w:tcW w:w="2614" w:type="dxa"/>
            <w:noWrap w:val="0"/>
            <w:vAlign w:val="center"/>
          </w:tcPr>
          <w:p w14:paraId="41993C3D">
            <w:pPr>
              <w:jc w:val="center"/>
              <w:rPr>
                <w:rFonts w:hint="default"/>
                <w:color w:val="auto"/>
                <w:sz w:val="24"/>
                <w:szCs w:val="24"/>
                <w:vertAlign w:val="baseline"/>
                <w:lang w:val="en-US" w:eastAsia="zh-CN"/>
              </w:rPr>
            </w:pPr>
            <w:r>
              <w:rPr>
                <w:rFonts w:hint="eastAsia"/>
                <w:color w:val="auto"/>
                <w:sz w:val="24"/>
                <w:szCs w:val="24"/>
                <w:vertAlign w:val="baseline"/>
                <w:lang w:val="en-US" w:eastAsia="zh-CN"/>
              </w:rPr>
              <w:t>混凝土路缘石</w:t>
            </w:r>
          </w:p>
        </w:tc>
        <w:tc>
          <w:tcPr>
            <w:tcW w:w="1085" w:type="dxa"/>
            <w:noWrap w:val="0"/>
            <w:vAlign w:val="center"/>
          </w:tcPr>
          <w:p w14:paraId="2B95DA0B">
            <w:pPr>
              <w:jc w:val="center"/>
              <w:rPr>
                <w:color w:val="auto"/>
                <w:sz w:val="24"/>
                <w:szCs w:val="24"/>
                <w:vertAlign w:val="baseline"/>
              </w:rPr>
            </w:pPr>
            <w:r>
              <w:rPr>
                <w:rFonts w:hint="eastAsia" w:ascii="Times New Roman" w:hAnsi="Times New Roman" w:cs="Times New Roman"/>
                <w:color w:val="auto"/>
                <w:sz w:val="24"/>
                <w:szCs w:val="24"/>
                <w:vertAlign w:val="baseline"/>
                <w:lang w:val="en-US" w:eastAsia="zh-CN"/>
              </w:rPr>
              <w:t>m</w:t>
            </w:r>
          </w:p>
        </w:tc>
        <w:tc>
          <w:tcPr>
            <w:tcW w:w="2575" w:type="dxa"/>
            <w:noWrap w:val="0"/>
            <w:vAlign w:val="center"/>
          </w:tcPr>
          <w:p w14:paraId="5F3708FB">
            <w:pPr>
              <w:keepNext w:val="0"/>
              <w:keepLines w:val="0"/>
              <w:widowControl/>
              <w:suppressLineNumbers w:val="0"/>
              <w:jc w:val="center"/>
              <w:textAlignment w:val="center"/>
              <w:rPr>
                <w:rFonts w:hint="eastAsia"/>
                <w:color w:val="auto"/>
                <w:sz w:val="24"/>
                <w:szCs w:val="24"/>
                <w:vertAlign w:val="baseline"/>
                <w:lang w:val="en-US" w:eastAsia="zh-CN"/>
              </w:rPr>
            </w:pPr>
            <w:r>
              <w:rPr>
                <w:rFonts w:hint="default" w:ascii="Calibri" w:hAnsi="Calibri" w:eastAsia="等线" w:cs="Calibri"/>
                <w:i w:val="0"/>
                <w:iCs w:val="0"/>
                <w:color w:val="auto"/>
                <w:kern w:val="0"/>
                <w:sz w:val="24"/>
                <w:szCs w:val="24"/>
                <w:u w:val="none"/>
                <w:lang w:val="en-US" w:eastAsia="zh-CN" w:bidi="ar"/>
              </w:rPr>
              <w:t>78</w:t>
            </w:r>
          </w:p>
        </w:tc>
      </w:tr>
      <w:tr w14:paraId="7AE5A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248" w:type="dxa"/>
            <w:vMerge w:val="continue"/>
            <w:noWrap w:val="0"/>
            <w:vAlign w:val="center"/>
          </w:tcPr>
          <w:p w14:paraId="452BAE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szCs w:val="24"/>
                <w:vertAlign w:val="baseline"/>
                <w:lang w:val="en-US" w:eastAsia="zh-CN"/>
              </w:rPr>
            </w:pPr>
          </w:p>
        </w:tc>
        <w:tc>
          <w:tcPr>
            <w:tcW w:w="2614" w:type="dxa"/>
            <w:noWrap w:val="0"/>
            <w:vAlign w:val="center"/>
          </w:tcPr>
          <w:p w14:paraId="025AA3B6">
            <w:pPr>
              <w:jc w:val="center"/>
              <w:rPr>
                <w:rFonts w:hint="eastAsia" w:ascii="Calibri" w:hAnsi="Calibri" w:eastAsia="宋体" w:cs="Times New Roman"/>
                <w:color w:val="auto"/>
                <w:kern w:val="2"/>
                <w:sz w:val="24"/>
                <w:szCs w:val="24"/>
                <w:vertAlign w:val="baseline"/>
                <w:lang w:val="en-US" w:eastAsia="zh-CN" w:bidi="ar-SA"/>
              </w:rPr>
            </w:pPr>
            <w:r>
              <w:rPr>
                <w:rFonts w:hint="eastAsia"/>
                <w:color w:val="auto"/>
                <w:sz w:val="24"/>
                <w:szCs w:val="24"/>
                <w:vertAlign w:val="baseline"/>
                <w:lang w:val="en-US" w:eastAsia="zh-CN"/>
              </w:rPr>
              <w:t>混凝土平石</w:t>
            </w:r>
          </w:p>
        </w:tc>
        <w:tc>
          <w:tcPr>
            <w:tcW w:w="1085" w:type="dxa"/>
            <w:noWrap w:val="0"/>
            <w:vAlign w:val="center"/>
          </w:tcPr>
          <w:p w14:paraId="352C8909">
            <w:pPr>
              <w:jc w:val="center"/>
              <w:rPr>
                <w:rFonts w:hint="eastAsia" w:ascii="Calibri" w:hAnsi="Calibri" w:eastAsia="宋体" w:cs="Times New Roman"/>
                <w:color w:val="auto"/>
                <w:kern w:val="2"/>
                <w:sz w:val="24"/>
                <w:szCs w:val="24"/>
                <w:vertAlign w:val="baseline"/>
                <w:lang w:val="en-US" w:eastAsia="zh-CN" w:bidi="ar-SA"/>
              </w:rPr>
            </w:pPr>
            <w:r>
              <w:rPr>
                <w:rFonts w:hint="eastAsia" w:ascii="Times New Roman" w:hAnsi="Times New Roman" w:cs="Times New Roman"/>
                <w:color w:val="auto"/>
                <w:sz w:val="24"/>
                <w:szCs w:val="24"/>
                <w:vertAlign w:val="baseline"/>
                <w:lang w:val="en-US" w:eastAsia="zh-CN"/>
              </w:rPr>
              <w:t>m</w:t>
            </w:r>
          </w:p>
        </w:tc>
        <w:tc>
          <w:tcPr>
            <w:tcW w:w="2575" w:type="dxa"/>
            <w:noWrap w:val="0"/>
            <w:vAlign w:val="center"/>
          </w:tcPr>
          <w:p w14:paraId="30C11CF9">
            <w:pPr>
              <w:keepNext w:val="0"/>
              <w:keepLines w:val="0"/>
              <w:widowControl/>
              <w:suppressLineNumbers w:val="0"/>
              <w:jc w:val="center"/>
              <w:textAlignment w:val="center"/>
              <w:rPr>
                <w:rFonts w:hint="default" w:ascii="Calibri" w:hAnsi="Calibri" w:eastAsia="宋体" w:cs="Times New Roman"/>
                <w:color w:val="auto"/>
                <w:kern w:val="2"/>
                <w:sz w:val="24"/>
                <w:szCs w:val="24"/>
                <w:vertAlign w:val="baseline"/>
                <w:lang w:val="en-US" w:eastAsia="zh-CN" w:bidi="ar-SA"/>
              </w:rPr>
            </w:pPr>
            <w:r>
              <w:rPr>
                <w:rFonts w:hint="eastAsia" w:eastAsia="等线" w:cs="Calibri"/>
                <w:i w:val="0"/>
                <w:iCs w:val="0"/>
                <w:color w:val="auto"/>
                <w:kern w:val="0"/>
                <w:sz w:val="24"/>
                <w:szCs w:val="24"/>
                <w:u w:val="none"/>
                <w:lang w:val="en-US" w:eastAsia="zh-CN" w:bidi="ar"/>
              </w:rPr>
              <w:t>72</w:t>
            </w:r>
          </w:p>
        </w:tc>
      </w:tr>
      <w:tr w14:paraId="337E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248" w:type="dxa"/>
            <w:vMerge w:val="restart"/>
            <w:noWrap w:val="0"/>
            <w:vAlign w:val="center"/>
          </w:tcPr>
          <w:p w14:paraId="5FFDFDE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sz w:val="24"/>
                <w:szCs w:val="24"/>
                <w:vertAlign w:val="baseline"/>
                <w:lang w:val="en-US" w:eastAsia="zh-CN"/>
              </w:rPr>
            </w:pPr>
            <w:r>
              <w:rPr>
                <w:rFonts w:hint="eastAsia"/>
                <w:sz w:val="24"/>
                <w:szCs w:val="24"/>
                <w:vertAlign w:val="baseline"/>
                <w:lang w:val="en-US" w:eastAsia="zh-CN"/>
              </w:rPr>
              <w:t>反开挖费用</w:t>
            </w:r>
          </w:p>
        </w:tc>
        <w:tc>
          <w:tcPr>
            <w:tcW w:w="2614" w:type="dxa"/>
            <w:noWrap w:val="0"/>
            <w:vAlign w:val="center"/>
          </w:tcPr>
          <w:p w14:paraId="440B4DFD">
            <w:pPr>
              <w:keepNext w:val="0"/>
              <w:keepLines w:val="0"/>
              <w:widowControl/>
              <w:suppressLineNumbers w:val="0"/>
              <w:jc w:val="center"/>
              <w:textAlignment w:val="center"/>
              <w:rPr>
                <w:rFonts w:hint="eastAsia"/>
                <w:color w:val="auto"/>
                <w:sz w:val="24"/>
                <w:szCs w:val="24"/>
                <w:vertAlign w:val="baseline"/>
                <w:lang w:val="en-US" w:eastAsia="zh-CN"/>
              </w:rPr>
            </w:pPr>
            <w:r>
              <w:rPr>
                <w:rFonts w:hint="eastAsia" w:ascii="等线" w:hAnsi="等线" w:eastAsia="等线" w:cs="等线"/>
                <w:i w:val="0"/>
                <w:iCs w:val="0"/>
                <w:color w:val="auto"/>
                <w:kern w:val="0"/>
                <w:sz w:val="22"/>
                <w:szCs w:val="22"/>
                <w:u w:val="none"/>
                <w:lang w:val="en-US" w:eastAsia="zh-CN" w:bidi="ar"/>
              </w:rPr>
              <w:t>挖沟槽土方</w:t>
            </w:r>
          </w:p>
        </w:tc>
        <w:tc>
          <w:tcPr>
            <w:tcW w:w="1085" w:type="dxa"/>
            <w:noWrap w:val="0"/>
            <w:vAlign w:val="center"/>
          </w:tcPr>
          <w:p w14:paraId="0694A735">
            <w:pPr>
              <w:keepNext w:val="0"/>
              <w:keepLines w:val="0"/>
              <w:widowControl/>
              <w:suppressLineNumbers w:val="0"/>
              <w:jc w:val="center"/>
              <w:textAlignment w:val="center"/>
              <w:rPr>
                <w:rFonts w:hint="eastAsia" w:ascii="Times New Roman" w:hAnsi="Times New Roman" w:cs="Times New Roman"/>
                <w:color w:val="auto"/>
                <w:sz w:val="24"/>
                <w:szCs w:val="24"/>
                <w:vertAlign w:val="baseline"/>
                <w:lang w:val="en-US" w:eastAsia="zh-CN"/>
              </w:rPr>
            </w:pPr>
            <w:r>
              <w:rPr>
                <w:rStyle w:val="6"/>
                <w:rFonts w:eastAsia="等线"/>
                <w:color w:val="auto"/>
                <w:lang w:val="en-US" w:eastAsia="zh-CN" w:bidi="ar"/>
              </w:rPr>
              <w:t>m</w:t>
            </w:r>
            <w:r>
              <w:rPr>
                <w:rStyle w:val="7"/>
                <w:rFonts w:eastAsia="等线"/>
                <w:color w:val="auto"/>
                <w:lang w:val="en-US" w:eastAsia="zh-CN" w:bidi="ar"/>
              </w:rPr>
              <w:t>3</w:t>
            </w:r>
          </w:p>
        </w:tc>
        <w:tc>
          <w:tcPr>
            <w:tcW w:w="2575" w:type="dxa"/>
            <w:noWrap w:val="0"/>
            <w:vAlign w:val="center"/>
          </w:tcPr>
          <w:p w14:paraId="78B0E705">
            <w:pPr>
              <w:keepNext w:val="0"/>
              <w:keepLines w:val="0"/>
              <w:widowControl/>
              <w:suppressLineNumbers w:val="0"/>
              <w:jc w:val="center"/>
              <w:textAlignment w:val="center"/>
              <w:rPr>
                <w:rFonts w:hint="default" w:eastAsia="等线" w:cs="Calibri"/>
                <w:i w:val="0"/>
                <w:iCs w:val="0"/>
                <w:color w:val="auto"/>
                <w:kern w:val="0"/>
                <w:sz w:val="24"/>
                <w:szCs w:val="24"/>
                <w:u w:val="none"/>
                <w:lang w:val="en-US" w:eastAsia="zh-CN" w:bidi="ar"/>
              </w:rPr>
            </w:pPr>
            <w:r>
              <w:rPr>
                <w:rFonts w:hint="eastAsia" w:eastAsia="等线" w:cs="Calibri"/>
                <w:i w:val="0"/>
                <w:iCs w:val="0"/>
                <w:color w:val="auto"/>
                <w:kern w:val="0"/>
                <w:sz w:val="24"/>
                <w:szCs w:val="24"/>
                <w:u w:val="none"/>
                <w:lang w:val="en-US" w:eastAsia="zh-CN" w:bidi="ar"/>
              </w:rPr>
              <w:t>15</w:t>
            </w:r>
          </w:p>
        </w:tc>
      </w:tr>
      <w:tr w14:paraId="33D2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248" w:type="dxa"/>
            <w:vMerge w:val="continue"/>
            <w:noWrap w:val="0"/>
            <w:vAlign w:val="center"/>
          </w:tcPr>
          <w:p w14:paraId="326833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szCs w:val="24"/>
                <w:vertAlign w:val="baseline"/>
                <w:lang w:val="en-US" w:eastAsia="zh-CN"/>
              </w:rPr>
            </w:pPr>
          </w:p>
        </w:tc>
        <w:tc>
          <w:tcPr>
            <w:tcW w:w="2614" w:type="dxa"/>
            <w:noWrap w:val="0"/>
            <w:vAlign w:val="center"/>
          </w:tcPr>
          <w:p w14:paraId="5FA82041">
            <w:pPr>
              <w:keepNext w:val="0"/>
              <w:keepLines w:val="0"/>
              <w:widowControl/>
              <w:suppressLineNumbers w:val="0"/>
              <w:jc w:val="center"/>
              <w:textAlignment w:val="center"/>
              <w:rPr>
                <w:rFonts w:hint="eastAsia"/>
                <w:color w:val="FF0000"/>
                <w:sz w:val="24"/>
                <w:szCs w:val="24"/>
                <w:vertAlign w:val="baseline"/>
                <w:lang w:val="en-US" w:eastAsia="zh-CN"/>
              </w:rPr>
            </w:pPr>
            <w:r>
              <w:rPr>
                <w:rFonts w:hint="eastAsia" w:ascii="等线" w:hAnsi="等线" w:eastAsia="等线" w:cs="等线"/>
                <w:i w:val="0"/>
                <w:iCs w:val="0"/>
                <w:color w:val="000000"/>
                <w:kern w:val="0"/>
                <w:sz w:val="22"/>
                <w:szCs w:val="22"/>
                <w:u w:val="none"/>
                <w:lang w:val="en-US" w:eastAsia="zh-CN" w:bidi="ar"/>
              </w:rPr>
              <w:t>土方外运</w:t>
            </w:r>
          </w:p>
        </w:tc>
        <w:tc>
          <w:tcPr>
            <w:tcW w:w="1085" w:type="dxa"/>
            <w:noWrap w:val="0"/>
            <w:vAlign w:val="center"/>
          </w:tcPr>
          <w:p w14:paraId="4888B8D7">
            <w:pPr>
              <w:keepNext w:val="0"/>
              <w:keepLines w:val="0"/>
              <w:widowControl/>
              <w:suppressLineNumbers w:val="0"/>
              <w:jc w:val="center"/>
              <w:textAlignment w:val="center"/>
              <w:rPr>
                <w:rFonts w:hint="eastAsia" w:ascii="Times New Roman" w:hAnsi="Times New Roman" w:cs="Times New Roman"/>
                <w:color w:val="FF0000"/>
                <w:sz w:val="24"/>
                <w:szCs w:val="24"/>
                <w:vertAlign w:val="baseline"/>
                <w:lang w:val="en-US" w:eastAsia="zh-CN"/>
              </w:rPr>
            </w:pPr>
            <w:r>
              <w:rPr>
                <w:rStyle w:val="6"/>
                <w:rFonts w:eastAsia="等线"/>
                <w:lang w:val="en-US" w:eastAsia="zh-CN" w:bidi="ar"/>
              </w:rPr>
              <w:t>m</w:t>
            </w:r>
            <w:r>
              <w:rPr>
                <w:rStyle w:val="7"/>
                <w:rFonts w:eastAsia="等线"/>
                <w:lang w:val="en-US" w:eastAsia="zh-CN" w:bidi="ar"/>
              </w:rPr>
              <w:t>3</w:t>
            </w:r>
          </w:p>
        </w:tc>
        <w:tc>
          <w:tcPr>
            <w:tcW w:w="2575" w:type="dxa"/>
            <w:noWrap w:val="0"/>
            <w:vAlign w:val="center"/>
          </w:tcPr>
          <w:p w14:paraId="295C013A">
            <w:pPr>
              <w:keepNext w:val="0"/>
              <w:keepLines w:val="0"/>
              <w:widowControl/>
              <w:suppressLineNumbers w:val="0"/>
              <w:jc w:val="center"/>
              <w:textAlignment w:val="center"/>
              <w:rPr>
                <w:rFonts w:hint="default" w:eastAsia="等线" w:cs="Calibri"/>
                <w:i w:val="0"/>
                <w:iCs w:val="0"/>
                <w:color w:val="FF0000"/>
                <w:kern w:val="0"/>
                <w:sz w:val="24"/>
                <w:szCs w:val="24"/>
                <w:u w:val="none"/>
                <w:lang w:val="en-US" w:eastAsia="zh-CN" w:bidi="ar"/>
              </w:rPr>
            </w:pPr>
            <w:r>
              <w:rPr>
                <w:rFonts w:hint="eastAsia" w:eastAsia="等线" w:cs="Calibri"/>
                <w:i w:val="0"/>
                <w:iCs w:val="0"/>
                <w:color w:val="auto"/>
                <w:kern w:val="0"/>
                <w:sz w:val="24"/>
                <w:szCs w:val="24"/>
                <w:u w:val="none"/>
                <w:lang w:val="en-US" w:eastAsia="zh-CN" w:bidi="ar"/>
              </w:rPr>
              <w:t>31</w:t>
            </w:r>
          </w:p>
        </w:tc>
      </w:tr>
      <w:tr w14:paraId="63547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248" w:type="dxa"/>
            <w:vMerge w:val="restart"/>
            <w:noWrap w:val="0"/>
            <w:vAlign w:val="center"/>
          </w:tcPr>
          <w:p w14:paraId="1779858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sz w:val="24"/>
                <w:szCs w:val="24"/>
                <w:vertAlign w:val="baseline"/>
                <w:lang w:val="en-US" w:eastAsia="zh-CN"/>
              </w:rPr>
            </w:pPr>
            <w:r>
              <w:rPr>
                <w:rFonts w:hint="eastAsia"/>
                <w:sz w:val="24"/>
                <w:szCs w:val="24"/>
                <w:vertAlign w:val="baseline"/>
                <w:lang w:val="en-US" w:eastAsia="zh-CN"/>
              </w:rPr>
              <w:t>路基回填</w:t>
            </w:r>
          </w:p>
        </w:tc>
        <w:tc>
          <w:tcPr>
            <w:tcW w:w="2614" w:type="dxa"/>
            <w:noWrap w:val="0"/>
            <w:vAlign w:val="center"/>
          </w:tcPr>
          <w:p w14:paraId="3B5F89F7">
            <w:pPr>
              <w:jc w:val="center"/>
              <w:rPr>
                <w:rFonts w:hint="default"/>
                <w:sz w:val="24"/>
                <w:szCs w:val="24"/>
                <w:vertAlign w:val="baseline"/>
                <w:lang w:val="en-US" w:eastAsia="zh-CN"/>
              </w:rPr>
            </w:pPr>
            <w:r>
              <w:rPr>
                <w:rFonts w:hint="eastAsia"/>
                <w:sz w:val="24"/>
                <w:szCs w:val="24"/>
                <w:vertAlign w:val="baseline"/>
                <w:lang w:val="en-US" w:eastAsia="zh-CN"/>
              </w:rPr>
              <w:t>回填土</w:t>
            </w:r>
          </w:p>
        </w:tc>
        <w:tc>
          <w:tcPr>
            <w:tcW w:w="1085" w:type="dxa"/>
            <w:noWrap w:val="0"/>
            <w:vAlign w:val="center"/>
          </w:tcPr>
          <w:p w14:paraId="2B93FC96">
            <w:pPr>
              <w:jc w:val="center"/>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3</w:t>
            </w:r>
          </w:p>
        </w:tc>
        <w:tc>
          <w:tcPr>
            <w:tcW w:w="2575" w:type="dxa"/>
            <w:noWrap w:val="0"/>
            <w:vAlign w:val="center"/>
          </w:tcPr>
          <w:p w14:paraId="1578A080">
            <w:pPr>
              <w:keepNext w:val="0"/>
              <w:keepLines w:val="0"/>
              <w:widowControl/>
              <w:suppressLineNumbers w:val="0"/>
              <w:jc w:val="center"/>
              <w:textAlignment w:val="center"/>
              <w:rPr>
                <w:rFonts w:hint="eastAsia"/>
                <w:sz w:val="24"/>
                <w:szCs w:val="24"/>
                <w:vertAlign w:val="baseline"/>
                <w:lang w:val="en-US" w:eastAsia="zh-CN"/>
              </w:rPr>
            </w:pPr>
            <w:r>
              <w:rPr>
                <w:rFonts w:hint="default" w:ascii="Calibri" w:hAnsi="Calibri" w:eastAsia="等线" w:cs="Calibri"/>
                <w:i w:val="0"/>
                <w:iCs w:val="0"/>
                <w:color w:val="000000"/>
                <w:kern w:val="0"/>
                <w:sz w:val="24"/>
                <w:szCs w:val="24"/>
                <w:u w:val="none"/>
                <w:lang w:val="en-US" w:eastAsia="zh-CN" w:bidi="ar"/>
              </w:rPr>
              <w:t>62</w:t>
            </w:r>
          </w:p>
        </w:tc>
      </w:tr>
      <w:tr w14:paraId="64A7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248" w:type="dxa"/>
            <w:vMerge w:val="continue"/>
            <w:noWrap w:val="0"/>
            <w:vAlign w:val="center"/>
          </w:tcPr>
          <w:p w14:paraId="1AC18EA0">
            <w:pPr>
              <w:jc w:val="center"/>
              <w:rPr>
                <w:rFonts w:hint="eastAsia"/>
                <w:sz w:val="24"/>
                <w:szCs w:val="24"/>
                <w:vertAlign w:val="baseline"/>
                <w:lang w:val="en-US" w:eastAsia="zh-CN"/>
              </w:rPr>
            </w:pPr>
          </w:p>
        </w:tc>
        <w:tc>
          <w:tcPr>
            <w:tcW w:w="2614" w:type="dxa"/>
            <w:noWrap w:val="0"/>
            <w:vAlign w:val="center"/>
          </w:tcPr>
          <w:p w14:paraId="68706A5B">
            <w:pPr>
              <w:jc w:val="center"/>
              <w:rPr>
                <w:rFonts w:hint="default"/>
                <w:sz w:val="24"/>
                <w:szCs w:val="24"/>
                <w:vertAlign w:val="baseline"/>
                <w:lang w:val="en-US" w:eastAsia="zh-CN"/>
              </w:rPr>
            </w:pPr>
            <w:r>
              <w:rPr>
                <w:rFonts w:hint="eastAsia"/>
                <w:sz w:val="24"/>
                <w:szCs w:val="24"/>
                <w:vertAlign w:val="baseline"/>
                <w:lang w:val="en-US" w:eastAsia="zh-CN"/>
              </w:rPr>
              <w:t>回填8%灰土</w:t>
            </w:r>
          </w:p>
        </w:tc>
        <w:tc>
          <w:tcPr>
            <w:tcW w:w="1085" w:type="dxa"/>
            <w:noWrap w:val="0"/>
            <w:vAlign w:val="center"/>
          </w:tcPr>
          <w:p w14:paraId="5DEE48DB">
            <w:pPr>
              <w:jc w:val="center"/>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3</w:t>
            </w:r>
          </w:p>
        </w:tc>
        <w:tc>
          <w:tcPr>
            <w:tcW w:w="2575" w:type="dxa"/>
            <w:noWrap w:val="0"/>
            <w:vAlign w:val="center"/>
          </w:tcPr>
          <w:p w14:paraId="74394B71">
            <w:pPr>
              <w:keepNext w:val="0"/>
              <w:keepLines w:val="0"/>
              <w:widowControl/>
              <w:suppressLineNumbers w:val="0"/>
              <w:jc w:val="center"/>
              <w:textAlignment w:val="center"/>
              <w:rPr>
                <w:rFonts w:hint="default"/>
                <w:sz w:val="24"/>
                <w:szCs w:val="24"/>
                <w:vertAlign w:val="baseline"/>
                <w:lang w:val="en-US" w:eastAsia="zh-CN"/>
              </w:rPr>
            </w:pPr>
            <w:r>
              <w:rPr>
                <w:rFonts w:hint="eastAsia" w:eastAsia="等线" w:cs="Calibri"/>
                <w:i w:val="0"/>
                <w:iCs w:val="0"/>
                <w:color w:val="000000"/>
                <w:kern w:val="0"/>
                <w:sz w:val="24"/>
                <w:szCs w:val="24"/>
                <w:u w:val="none"/>
                <w:lang w:val="en-US" w:eastAsia="zh-CN" w:bidi="ar"/>
              </w:rPr>
              <w:t>165</w:t>
            </w:r>
          </w:p>
        </w:tc>
      </w:tr>
      <w:tr w14:paraId="46B27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248" w:type="dxa"/>
            <w:vMerge w:val="continue"/>
            <w:noWrap w:val="0"/>
            <w:vAlign w:val="center"/>
          </w:tcPr>
          <w:p w14:paraId="0D0057CA">
            <w:pPr>
              <w:jc w:val="center"/>
              <w:rPr>
                <w:rFonts w:hint="eastAsia"/>
                <w:sz w:val="24"/>
                <w:szCs w:val="24"/>
                <w:vertAlign w:val="baseline"/>
                <w:lang w:val="en-US" w:eastAsia="zh-CN"/>
              </w:rPr>
            </w:pPr>
          </w:p>
        </w:tc>
        <w:tc>
          <w:tcPr>
            <w:tcW w:w="2614" w:type="dxa"/>
            <w:noWrap w:val="0"/>
            <w:vAlign w:val="center"/>
          </w:tcPr>
          <w:p w14:paraId="47B9CE50">
            <w:pPr>
              <w:jc w:val="center"/>
              <w:rPr>
                <w:rFonts w:hint="default"/>
                <w:sz w:val="24"/>
                <w:szCs w:val="24"/>
                <w:vertAlign w:val="baseline"/>
                <w:lang w:val="en-US" w:eastAsia="zh-CN"/>
              </w:rPr>
            </w:pPr>
            <w:r>
              <w:rPr>
                <w:rFonts w:hint="eastAsia"/>
                <w:sz w:val="24"/>
                <w:szCs w:val="24"/>
                <w:vertAlign w:val="baseline"/>
                <w:lang w:val="en-US" w:eastAsia="zh-CN"/>
              </w:rPr>
              <w:t>回填砂砾</w:t>
            </w:r>
          </w:p>
        </w:tc>
        <w:tc>
          <w:tcPr>
            <w:tcW w:w="1085" w:type="dxa"/>
            <w:noWrap w:val="0"/>
            <w:vAlign w:val="center"/>
          </w:tcPr>
          <w:p w14:paraId="7D66E8BF">
            <w:pPr>
              <w:jc w:val="center"/>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3</w:t>
            </w:r>
          </w:p>
        </w:tc>
        <w:tc>
          <w:tcPr>
            <w:tcW w:w="2575" w:type="dxa"/>
            <w:noWrap w:val="0"/>
            <w:vAlign w:val="center"/>
          </w:tcPr>
          <w:p w14:paraId="634EFA9C">
            <w:pPr>
              <w:keepNext w:val="0"/>
              <w:keepLines w:val="0"/>
              <w:widowControl/>
              <w:suppressLineNumbers w:val="0"/>
              <w:jc w:val="center"/>
              <w:textAlignment w:val="center"/>
              <w:rPr>
                <w:rFonts w:hint="eastAsia"/>
                <w:sz w:val="24"/>
                <w:szCs w:val="24"/>
                <w:vertAlign w:val="baseline"/>
                <w:lang w:val="en-US" w:eastAsia="zh-CN"/>
              </w:rPr>
            </w:pPr>
            <w:r>
              <w:rPr>
                <w:rFonts w:hint="default" w:ascii="Calibri" w:hAnsi="Calibri" w:eastAsia="等线" w:cs="Calibri"/>
                <w:i w:val="0"/>
                <w:iCs w:val="0"/>
                <w:color w:val="000000"/>
                <w:kern w:val="0"/>
                <w:sz w:val="24"/>
                <w:szCs w:val="24"/>
                <w:u w:val="none"/>
                <w:lang w:val="en-US" w:eastAsia="zh-CN" w:bidi="ar"/>
              </w:rPr>
              <w:t>241</w:t>
            </w:r>
          </w:p>
        </w:tc>
      </w:tr>
      <w:tr w14:paraId="58E7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248" w:type="dxa"/>
            <w:vMerge w:val="continue"/>
            <w:noWrap w:val="0"/>
            <w:vAlign w:val="center"/>
          </w:tcPr>
          <w:p w14:paraId="3DC70629">
            <w:pPr>
              <w:jc w:val="center"/>
              <w:rPr>
                <w:rFonts w:hint="eastAsia"/>
                <w:sz w:val="24"/>
                <w:szCs w:val="24"/>
                <w:vertAlign w:val="baseline"/>
                <w:lang w:val="en-US" w:eastAsia="zh-CN"/>
              </w:rPr>
            </w:pPr>
          </w:p>
        </w:tc>
        <w:tc>
          <w:tcPr>
            <w:tcW w:w="2614" w:type="dxa"/>
            <w:noWrap w:val="0"/>
            <w:vAlign w:val="center"/>
          </w:tcPr>
          <w:p w14:paraId="4ED25D8C">
            <w:pPr>
              <w:jc w:val="center"/>
              <w:rPr>
                <w:rFonts w:hint="default"/>
                <w:sz w:val="24"/>
                <w:szCs w:val="24"/>
                <w:vertAlign w:val="baseline"/>
                <w:lang w:val="en-US" w:eastAsia="zh-CN"/>
              </w:rPr>
            </w:pPr>
            <w:r>
              <w:rPr>
                <w:rFonts w:hint="eastAsia"/>
                <w:sz w:val="24"/>
                <w:szCs w:val="24"/>
                <w:vertAlign w:val="baseline"/>
                <w:lang w:val="en-US" w:eastAsia="zh-CN"/>
              </w:rPr>
              <w:t>回填碎石</w:t>
            </w:r>
          </w:p>
        </w:tc>
        <w:tc>
          <w:tcPr>
            <w:tcW w:w="1085" w:type="dxa"/>
            <w:noWrap w:val="0"/>
            <w:vAlign w:val="center"/>
          </w:tcPr>
          <w:p w14:paraId="33ED16BC">
            <w:pPr>
              <w:jc w:val="center"/>
              <w:rPr>
                <w:rFonts w:hint="eastAsia"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m</w:t>
            </w:r>
            <w:r>
              <w:rPr>
                <w:rFonts w:hint="eastAsia" w:ascii="Times New Roman" w:hAnsi="Times New Roman" w:cs="Times New Roman"/>
                <w:sz w:val="24"/>
                <w:szCs w:val="24"/>
                <w:vertAlign w:val="superscript"/>
                <w:lang w:val="en-US" w:eastAsia="zh-CN"/>
              </w:rPr>
              <w:t>3</w:t>
            </w:r>
          </w:p>
        </w:tc>
        <w:tc>
          <w:tcPr>
            <w:tcW w:w="2575" w:type="dxa"/>
            <w:noWrap w:val="0"/>
            <w:vAlign w:val="center"/>
          </w:tcPr>
          <w:p w14:paraId="7743A6B0">
            <w:pPr>
              <w:keepNext w:val="0"/>
              <w:keepLines w:val="0"/>
              <w:widowControl/>
              <w:suppressLineNumbers w:val="0"/>
              <w:jc w:val="center"/>
              <w:textAlignment w:val="center"/>
              <w:rPr>
                <w:rFonts w:hint="default" w:ascii="Calibri" w:hAnsi="Calibri" w:eastAsia="等线" w:cs="Calibri"/>
                <w:i w:val="0"/>
                <w:iCs w:val="0"/>
                <w:color w:val="000000"/>
                <w:kern w:val="0"/>
                <w:sz w:val="24"/>
                <w:szCs w:val="24"/>
                <w:u w:val="none"/>
                <w:lang w:val="en-US" w:eastAsia="zh-CN" w:bidi="ar"/>
              </w:rPr>
            </w:pPr>
            <w:r>
              <w:rPr>
                <w:rFonts w:hint="default" w:ascii="Calibri" w:hAnsi="Calibri" w:eastAsia="等线" w:cs="Calibri"/>
                <w:i w:val="0"/>
                <w:iCs w:val="0"/>
                <w:color w:val="000000"/>
                <w:kern w:val="0"/>
                <w:sz w:val="24"/>
                <w:szCs w:val="24"/>
                <w:u w:val="none"/>
                <w:lang w:val="en-US" w:eastAsia="zh-CN" w:bidi="ar"/>
              </w:rPr>
              <w:t>350</w:t>
            </w:r>
          </w:p>
        </w:tc>
      </w:tr>
      <w:tr w14:paraId="5358D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8522" w:type="dxa"/>
            <w:gridSpan w:val="4"/>
            <w:noWrap w:val="0"/>
            <w:vAlign w:val="center"/>
          </w:tcPr>
          <w:p w14:paraId="4452A01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sz w:val="24"/>
                <w:szCs w:val="24"/>
                <w:vertAlign w:val="baseline"/>
                <w:lang w:val="en-US" w:eastAsia="zh-CN"/>
              </w:rPr>
            </w:pPr>
            <w:r>
              <w:rPr>
                <w:rFonts w:hint="eastAsia"/>
                <w:sz w:val="24"/>
                <w:szCs w:val="24"/>
                <w:vertAlign w:val="baseline"/>
                <w:lang w:val="en-US" w:eastAsia="zh-CN"/>
              </w:rPr>
              <w:t>注：综合单价为全费用综合单价，包含人工费、材料费、机械费、企业管理费、利润、规费及税金等所有费用。</w:t>
            </w:r>
          </w:p>
        </w:tc>
      </w:tr>
    </w:tbl>
    <w:p w14:paraId="632A8D7A">
      <w:pPr>
        <w:numPr>
          <w:ilvl w:val="0"/>
          <w:numId w:val="0"/>
        </w:numPr>
        <w:ind w:leftChars="0"/>
        <w:jc w:val="both"/>
        <w:rPr>
          <w:rFonts w:hint="default"/>
          <w:sz w:val="28"/>
          <w:szCs w:val="28"/>
          <w:lang w:val="en-US" w:eastAsia="zh-CN"/>
        </w:rPr>
      </w:pPr>
    </w:p>
    <w:p w14:paraId="38543EC7">
      <w:pPr>
        <w:jc w:val="center"/>
        <w:rPr>
          <w:rFonts w:hint="default"/>
          <w:sz w:val="32"/>
          <w:szCs w:val="32"/>
          <w:lang w:val="en-US" w:eastAsia="zh-CN"/>
        </w:rPr>
      </w:pPr>
    </w:p>
    <w:p w14:paraId="42A928C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2MDNkMWMxYWFmMDc3YjI2N2FmZWQyYmFmOTY2ZjQifQ=="/>
  </w:docVars>
  <w:rsids>
    <w:rsidRoot w:val="532B0D32"/>
    <w:rsid w:val="00065FB8"/>
    <w:rsid w:val="02B9567A"/>
    <w:rsid w:val="03171419"/>
    <w:rsid w:val="04093C3F"/>
    <w:rsid w:val="064E2692"/>
    <w:rsid w:val="082C6AC7"/>
    <w:rsid w:val="09903CB7"/>
    <w:rsid w:val="09ED73A2"/>
    <w:rsid w:val="0BDE001E"/>
    <w:rsid w:val="0BDF2A48"/>
    <w:rsid w:val="0C124630"/>
    <w:rsid w:val="0CEF4A7D"/>
    <w:rsid w:val="0D7E2F41"/>
    <w:rsid w:val="0DD64AC6"/>
    <w:rsid w:val="0EF955DC"/>
    <w:rsid w:val="11D209D6"/>
    <w:rsid w:val="137779A7"/>
    <w:rsid w:val="14D52181"/>
    <w:rsid w:val="14F333C3"/>
    <w:rsid w:val="15706116"/>
    <w:rsid w:val="158A29F3"/>
    <w:rsid w:val="15AE39B9"/>
    <w:rsid w:val="160F28A5"/>
    <w:rsid w:val="1A756190"/>
    <w:rsid w:val="1B89545C"/>
    <w:rsid w:val="1E85330C"/>
    <w:rsid w:val="1EAA1BDB"/>
    <w:rsid w:val="1EEE0CA7"/>
    <w:rsid w:val="1F02612D"/>
    <w:rsid w:val="1F8C4AA7"/>
    <w:rsid w:val="207A7833"/>
    <w:rsid w:val="211E1DA9"/>
    <w:rsid w:val="21EF2BD3"/>
    <w:rsid w:val="24FB56EF"/>
    <w:rsid w:val="25345ED2"/>
    <w:rsid w:val="27190216"/>
    <w:rsid w:val="2D0158BC"/>
    <w:rsid w:val="30CE5534"/>
    <w:rsid w:val="322E77C6"/>
    <w:rsid w:val="326C253E"/>
    <w:rsid w:val="32F95C0B"/>
    <w:rsid w:val="33422A3B"/>
    <w:rsid w:val="33B553DF"/>
    <w:rsid w:val="36B4748A"/>
    <w:rsid w:val="37F419C7"/>
    <w:rsid w:val="38253004"/>
    <w:rsid w:val="38AD0249"/>
    <w:rsid w:val="39641E36"/>
    <w:rsid w:val="3AAD7B68"/>
    <w:rsid w:val="3C785B6C"/>
    <w:rsid w:val="3E7429A9"/>
    <w:rsid w:val="40401B99"/>
    <w:rsid w:val="419B1D04"/>
    <w:rsid w:val="42D43037"/>
    <w:rsid w:val="4323144C"/>
    <w:rsid w:val="44DD72BA"/>
    <w:rsid w:val="45725BA6"/>
    <w:rsid w:val="4587248F"/>
    <w:rsid w:val="47B8081D"/>
    <w:rsid w:val="48042DE1"/>
    <w:rsid w:val="4BAD55C9"/>
    <w:rsid w:val="4C223861"/>
    <w:rsid w:val="4CCD7CE2"/>
    <w:rsid w:val="4CF148C0"/>
    <w:rsid w:val="4E5C33CE"/>
    <w:rsid w:val="4F1D10CB"/>
    <w:rsid w:val="4F7E6AF0"/>
    <w:rsid w:val="51120B95"/>
    <w:rsid w:val="532B0D32"/>
    <w:rsid w:val="53C842AD"/>
    <w:rsid w:val="56821B95"/>
    <w:rsid w:val="59341ADA"/>
    <w:rsid w:val="598E0DAA"/>
    <w:rsid w:val="5B575F6B"/>
    <w:rsid w:val="5BB7045D"/>
    <w:rsid w:val="5C820FC8"/>
    <w:rsid w:val="5D4666B2"/>
    <w:rsid w:val="5F6A40A5"/>
    <w:rsid w:val="5F9F15FD"/>
    <w:rsid w:val="60BA396C"/>
    <w:rsid w:val="63F00D7D"/>
    <w:rsid w:val="64093BB4"/>
    <w:rsid w:val="652C0866"/>
    <w:rsid w:val="687B568A"/>
    <w:rsid w:val="692A7CDE"/>
    <w:rsid w:val="6B291991"/>
    <w:rsid w:val="70F252FE"/>
    <w:rsid w:val="71104414"/>
    <w:rsid w:val="714260CB"/>
    <w:rsid w:val="71F77906"/>
    <w:rsid w:val="724A0D42"/>
    <w:rsid w:val="724D1BD8"/>
    <w:rsid w:val="74104275"/>
    <w:rsid w:val="743C55AB"/>
    <w:rsid w:val="77215B0D"/>
    <w:rsid w:val="77D25CDF"/>
    <w:rsid w:val="7822291E"/>
    <w:rsid w:val="78A13638"/>
    <w:rsid w:val="78EB35F8"/>
    <w:rsid w:val="7C9F5B24"/>
    <w:rsid w:val="7CAE4903"/>
    <w:rsid w:val="7D436B1C"/>
    <w:rsid w:val="7E4026C7"/>
    <w:rsid w:val="7F49053F"/>
    <w:rsid w:val="7F891F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11"/>
    <w:basedOn w:val="5"/>
    <w:qFormat/>
    <w:uiPriority w:val="0"/>
    <w:rPr>
      <w:rFonts w:hint="default" w:ascii="Times New Roman" w:hAnsi="Times New Roman" w:cs="Times New Roman"/>
      <w:color w:val="000000"/>
      <w:sz w:val="24"/>
      <w:szCs w:val="24"/>
      <w:u w:val="none"/>
    </w:rPr>
  </w:style>
  <w:style w:type="character" w:customStyle="1" w:styleId="7">
    <w:name w:val="font21"/>
    <w:basedOn w:val="5"/>
    <w:qFormat/>
    <w:uiPriority w:val="0"/>
    <w:rPr>
      <w:rFonts w:hint="default" w:ascii="Times New Roman" w:hAnsi="Times New Roman" w:cs="Times New Roman"/>
      <w:color w:val="000000"/>
      <w:sz w:val="24"/>
      <w:szCs w:val="24"/>
      <w:u w:val="none"/>
      <w:vertAlign w:val="superscript"/>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2024-10-22T08:59:00Z</dcterms:created>
  <dc:creator>高晓乾</dc:creator>
  <cp:lastModifiedBy>高晓乾</cp:lastModifiedBy>
  <dcterms:modified xsi:type="dcterms:W3CDTF">2024-10-22T08:59:54Z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5E1A7F49DA29477A8A6C3CF098275320_11</vt:lpwstr>
  </property>
</Properties>
</file>