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B8817">
      <w:pPr>
        <w:keepNext w:val="0"/>
        <w:keepLines w:val="0"/>
        <w:pageBreakBefore w:val="0"/>
        <w:widowControl w:val="0"/>
        <w:tabs>
          <w:tab w:val="left" w:pos="6553"/>
        </w:tabs>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古县人民检察院</w:t>
      </w:r>
    </w:p>
    <w:p w14:paraId="34C45E5D">
      <w:pPr>
        <w:spacing w:line="600" w:lineRule="exact"/>
        <w:jc w:val="center"/>
        <w:rPr>
          <w:rFonts w:hint="eastAsia" w:ascii="方正小标宋简体" w:hAnsi="方正小标宋简体" w:eastAsia="方正小标宋简体" w:cs="方正小标宋简体"/>
          <w:sz w:val="44"/>
          <w:szCs w:val="44"/>
          <w:lang w:val="en-US" w:eastAsia="zh-CN"/>
        </w:rPr>
      </w:pPr>
      <w:r>
        <w:rPr>
          <w:rFonts w:hint="default" w:ascii="Times New Roman" w:hAnsi="Times New Roman" w:eastAsia="方正小标宋简体" w:cs="Times New Roman"/>
          <w:sz w:val="44"/>
          <w:szCs w:val="44"/>
          <w:lang w:val="en-US" w:eastAsia="zh-CN"/>
        </w:rPr>
        <w:t>2023</w:t>
      </w:r>
      <w:r>
        <w:rPr>
          <w:rFonts w:hint="eastAsia" w:ascii="方正小标宋简体" w:hAnsi="方正小标宋简体" w:eastAsia="方正小标宋简体" w:cs="方正小标宋简体"/>
          <w:sz w:val="44"/>
          <w:szCs w:val="44"/>
          <w:lang w:val="en-US" w:eastAsia="zh-CN"/>
        </w:rPr>
        <w:t>年度法治政府建设情况报告</w:t>
      </w:r>
    </w:p>
    <w:p w14:paraId="1782A8D0">
      <w:pPr>
        <w:spacing w:line="600" w:lineRule="exact"/>
        <w:jc w:val="left"/>
        <w:rPr>
          <w:rFonts w:hint="eastAsia" w:eastAsia="仿宋"/>
          <w:sz w:val="32"/>
          <w:lang w:val="en-US" w:eastAsia="zh-CN"/>
        </w:rPr>
      </w:pPr>
    </w:p>
    <w:p w14:paraId="0E47920B">
      <w:pPr>
        <w:keepNext w:val="0"/>
        <w:keepLines w:val="0"/>
        <w:pageBreakBefore w:val="0"/>
        <w:kinsoku/>
        <w:wordWrap/>
        <w:overflowPunct/>
        <w:topLinePunct w:val="0"/>
        <w:autoSpaceDE/>
        <w:autoSpaceDN/>
        <w:bidi w:val="0"/>
        <w:spacing w:line="600" w:lineRule="exact"/>
        <w:ind w:firstLine="640" w:firstLineChars="200"/>
        <w:jc w:val="both"/>
        <w:textAlignment w:val="auto"/>
        <w:rPr>
          <w:rStyle w:val="10"/>
          <w:rFonts w:hint="eastAsia" w:ascii="Times New Roman" w:hAnsi="Times New Roman" w:eastAsia="仿宋_GB2312" w:cs="Times New Roman"/>
          <w:color w:val="000000"/>
          <w:kern w:val="2"/>
          <w:sz w:val="32"/>
          <w:szCs w:val="32"/>
          <w:lang w:val="en-US" w:eastAsia="zh-CN" w:bidi="ar-SA"/>
        </w:rPr>
      </w:pPr>
      <w:r>
        <w:rPr>
          <w:rStyle w:val="10"/>
          <w:rFonts w:hint="eastAsia" w:ascii="Times New Roman" w:hAnsi="Times New Roman" w:eastAsia="仿宋_GB2312" w:cs="Times New Roman"/>
          <w:color w:val="000000"/>
          <w:kern w:val="2"/>
          <w:sz w:val="32"/>
          <w:szCs w:val="32"/>
          <w:lang w:val="en-US" w:eastAsia="zh-CN" w:bidi="ar-SA"/>
        </w:rPr>
        <w:t>2023年，我院在古县县委和市院党组的正确领导下，在县委全面依法治县委员会办公室的具体指导下，始终坚持以习近平新时代中国特色社会主义思想为指导，深入学习贯彻习近平法治思想和党的二十大精神，认真落实县委依法治县委员会各项工作部署，狠抓法律监督质效，推动各项检察工作稳进、落实、提升。</w:t>
      </w:r>
    </w:p>
    <w:p w14:paraId="133F00F3">
      <w:pPr>
        <w:keepNext w:val="0"/>
        <w:keepLines w:val="0"/>
        <w:pageBreakBefore w:val="0"/>
        <w:kinsoku/>
        <w:wordWrap/>
        <w:overflowPunct/>
        <w:topLinePunct w:val="0"/>
        <w:autoSpaceDE/>
        <w:autoSpaceDN/>
        <w:bidi w:val="0"/>
        <w:spacing w:line="600" w:lineRule="exact"/>
        <w:ind w:firstLine="640" w:firstLineChars="200"/>
        <w:jc w:val="both"/>
        <w:textAlignment w:val="auto"/>
        <w:rPr>
          <w:rStyle w:val="10"/>
          <w:rFonts w:hint="eastAsia" w:ascii="黑体" w:hAnsi="黑体" w:eastAsia="黑体" w:cs="黑体"/>
          <w:color w:val="000000"/>
          <w:kern w:val="2"/>
          <w:sz w:val="32"/>
          <w:szCs w:val="32"/>
          <w:lang w:val="en-US" w:eastAsia="zh-CN" w:bidi="ar-SA"/>
        </w:rPr>
      </w:pPr>
      <w:r>
        <w:rPr>
          <w:rStyle w:val="10"/>
          <w:rFonts w:hint="eastAsia" w:ascii="黑体" w:hAnsi="黑体" w:eastAsia="黑体" w:cs="黑体"/>
          <w:color w:val="000000"/>
          <w:kern w:val="2"/>
          <w:sz w:val="32"/>
          <w:szCs w:val="32"/>
          <w:lang w:val="en-US" w:eastAsia="zh-CN" w:bidi="ar-SA"/>
        </w:rPr>
        <w:t>一、工作开展情况</w:t>
      </w:r>
    </w:p>
    <w:p w14:paraId="7A99528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600" w:lineRule="exact"/>
        <w:ind w:right="0" w:firstLine="643" w:firstLineChars="200"/>
        <w:jc w:val="both"/>
        <w:textAlignment w:val="auto"/>
        <w:rPr>
          <w:rFonts w:hint="eastAsia" w:ascii="楷体" w:hAnsi="楷体" w:eastAsia="楷体" w:cs="楷体"/>
          <w:b w:val="0"/>
          <w:bCs/>
          <w:sz w:val="32"/>
          <w:szCs w:val="32"/>
          <w:lang w:eastAsia="zh-CN"/>
        </w:rPr>
      </w:pPr>
      <w:r>
        <w:rPr>
          <w:rStyle w:val="9"/>
          <w:rFonts w:hint="eastAsia" w:ascii="楷体_GB2312" w:hAnsi="楷体_GB2312" w:eastAsia="楷体_GB2312" w:cs="楷体_GB2312"/>
          <w:b/>
          <w:bCs w:val="0"/>
          <w:sz w:val="32"/>
          <w:szCs w:val="32"/>
          <w:lang w:eastAsia="zh-CN"/>
        </w:rPr>
        <w:t>（</w:t>
      </w:r>
      <w:r>
        <w:rPr>
          <w:rStyle w:val="9"/>
          <w:rFonts w:hint="eastAsia" w:ascii="楷体_GB2312" w:hAnsi="楷体_GB2312" w:eastAsia="楷体_GB2312" w:cs="楷体_GB2312"/>
          <w:b/>
          <w:bCs w:val="0"/>
          <w:sz w:val="32"/>
          <w:szCs w:val="32"/>
          <w:lang w:val="en-US" w:eastAsia="zh-CN"/>
        </w:rPr>
        <w:t>一</w:t>
      </w:r>
      <w:r>
        <w:rPr>
          <w:rStyle w:val="9"/>
          <w:rFonts w:hint="eastAsia" w:ascii="楷体_GB2312" w:hAnsi="楷体_GB2312" w:eastAsia="楷体_GB2312" w:cs="楷体_GB2312"/>
          <w:b/>
          <w:bCs w:val="0"/>
          <w:sz w:val="32"/>
          <w:szCs w:val="32"/>
          <w:lang w:eastAsia="zh-CN"/>
        </w:rPr>
        <w:t>）</w:t>
      </w:r>
      <w:r>
        <w:rPr>
          <w:rStyle w:val="9"/>
          <w:rFonts w:hint="eastAsia" w:ascii="楷体_GB2312" w:hAnsi="楷体_GB2312" w:eastAsia="楷体_GB2312" w:cs="楷体_GB2312"/>
          <w:b/>
          <w:bCs w:val="0"/>
          <w:sz w:val="32"/>
          <w:szCs w:val="32"/>
        </w:rPr>
        <w:t>加强组织领导，落实主体责任</w:t>
      </w:r>
      <w:r>
        <w:rPr>
          <w:rStyle w:val="9"/>
          <w:rFonts w:hint="eastAsia" w:ascii="楷体_GB2312" w:hAnsi="楷体_GB2312" w:eastAsia="楷体_GB2312" w:cs="楷体_GB2312"/>
          <w:b/>
          <w:bCs w:val="0"/>
          <w:sz w:val="32"/>
          <w:szCs w:val="32"/>
          <w:lang w:eastAsia="zh-CN"/>
        </w:rPr>
        <w:t>。</w:t>
      </w:r>
      <w:r>
        <w:rPr>
          <w:rFonts w:hint="eastAsia" w:ascii="仿宋_GB2312" w:hAnsi="仿宋_GB2312" w:eastAsia="仿宋_GB2312" w:cs="仿宋_GB2312"/>
          <w:color w:val="000000"/>
          <w:kern w:val="0"/>
          <w:sz w:val="32"/>
          <w:szCs w:val="32"/>
          <w:lang w:val="en-US" w:eastAsia="zh-CN"/>
        </w:rPr>
        <w:t>根据本院实际情况，及时成立法治建设工作领导小组，由专人负责我院法治建设工作。对全年法治政府建设工作进一步强化部署，采取定时和不定时相结合方式，督促各部门完成法治政府建设工作任务。</w:t>
      </w:r>
    </w:p>
    <w:p w14:paraId="46C66070">
      <w:pPr>
        <w:keepNext w:val="0"/>
        <w:keepLines w:val="0"/>
        <w:pageBreakBefore w:val="0"/>
        <w:widowControl/>
        <w:suppressLineNumbers w:val="0"/>
        <w:kinsoku/>
        <w:wordWrap/>
        <w:overflowPunct/>
        <w:topLinePunct w:val="0"/>
        <w:autoSpaceDE/>
        <w:autoSpaceDN/>
        <w:bidi w:val="0"/>
        <w:spacing w:line="600" w:lineRule="exact"/>
        <w:ind w:firstLine="643" w:firstLineChars="200"/>
        <w:jc w:val="both"/>
        <w:textAlignment w:val="auto"/>
        <w:rPr>
          <w:rStyle w:val="10"/>
          <w:rFonts w:hint="default" w:ascii="Times New Roman" w:hAnsi="Times New Roman" w:eastAsia="仿宋_GB2312" w:cs="Times New Roman"/>
          <w:color w:val="000000"/>
          <w:kern w:val="2"/>
          <w:sz w:val="32"/>
          <w:szCs w:val="32"/>
          <w:u w:val="none"/>
          <w:lang w:val="en-US" w:eastAsia="zh-CN" w:bidi="ar-SA"/>
        </w:rPr>
      </w:pPr>
      <w:r>
        <w:rPr>
          <w:rStyle w:val="9"/>
          <w:rFonts w:hint="eastAsia" w:ascii="楷体_GB2312" w:hAnsi="楷体_GB2312" w:eastAsia="楷体_GB2312" w:cs="楷体_GB2312"/>
          <w:b/>
          <w:bCs w:val="0"/>
          <w:kern w:val="0"/>
          <w:sz w:val="32"/>
          <w:szCs w:val="32"/>
          <w:lang w:val="en-US" w:eastAsia="zh-CN" w:bidi="ar"/>
        </w:rPr>
        <w:t>（二）聚焦中心任务，服务发展大局。</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rPr>
        <w:t>积极推进优化营商环境、助力企业合规、服务乡村振兴工作，以诉源治理推进社会治理能力现代化，服务保障</w:t>
      </w:r>
      <w:r>
        <w:rPr>
          <w:rFonts w:hint="eastAsia" w:ascii="仿宋_GB2312" w:hAnsi="仿宋_GB2312" w:eastAsia="仿宋_GB2312" w:cs="仿宋_GB2312"/>
          <w:sz w:val="32"/>
          <w:szCs w:val="32"/>
          <w:lang w:val="en-US" w:eastAsia="zh-CN"/>
        </w:rPr>
        <w:t>中心大局，我院荣获全省“利剑斩污”专项行动先进集体。成立</w:t>
      </w:r>
      <w:r>
        <w:rPr>
          <w:rFonts w:hint="eastAsia" w:ascii="仿宋_GB2312" w:hAnsi="仿宋_GB2312" w:eastAsia="仿宋_GB2312" w:cs="仿宋_GB2312"/>
          <w:b w:val="0"/>
          <w:color w:val="000000"/>
          <w:kern w:val="0"/>
          <w:sz w:val="32"/>
          <w:szCs w:val="32"/>
          <w:lang w:val="en-US" w:eastAsia="zh-CN" w:bidi="ar-SA"/>
        </w:rPr>
        <w:t>知识产权检察办公室，全面提升知识产权协同保护质效，形成检察机关公正司法与行政机关严格执法同频共振、凝心聚力。</w:t>
      </w:r>
      <w:r>
        <w:rPr>
          <w:rFonts w:hint="eastAsia" w:ascii="仿宋_GB2312" w:hAnsi="仿宋_GB2312" w:eastAsia="仿宋_GB2312" w:cs="仿宋_GB2312"/>
          <w:b/>
          <w:bCs/>
          <w:color w:val="000000"/>
          <w:kern w:val="0"/>
          <w:sz w:val="32"/>
          <w:szCs w:val="32"/>
          <w:lang w:val="en-US" w:eastAsia="zh-CN" w:bidi="ar-SA"/>
        </w:rPr>
        <w:t>二是</w:t>
      </w:r>
      <w:r>
        <w:rPr>
          <w:rFonts w:hint="eastAsia" w:ascii="仿宋_GB2312" w:hAnsi="仿宋_GB2312" w:eastAsia="仿宋_GB2312" w:cs="仿宋_GB2312"/>
          <w:b w:val="0"/>
          <w:color w:val="000000"/>
          <w:kern w:val="0"/>
          <w:sz w:val="32"/>
          <w:szCs w:val="32"/>
          <w:lang w:val="en-US" w:eastAsia="zh-CN" w:bidi="ar-SA"/>
        </w:rPr>
        <w:t>强化法治宣传，营造浓厚氛围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树立“</w:t>
      </w:r>
      <w:r>
        <w:rPr>
          <w:rFonts w:hint="eastAsia" w:ascii="仿宋_GB2312" w:hAnsi="仿宋_GB2312" w:eastAsia="仿宋_GB2312" w:cs="仿宋_GB2312"/>
          <w:sz w:val="32"/>
          <w:szCs w:val="32"/>
          <w:lang w:val="en-US" w:eastAsia="zh-CN"/>
        </w:rPr>
        <w:t>牡丹</w:t>
      </w:r>
      <w:r>
        <w:rPr>
          <w:rFonts w:hint="eastAsia" w:ascii="仿宋_GB2312" w:hAnsi="仿宋_GB2312" w:eastAsia="仿宋_GB2312" w:cs="仿宋_GB2312"/>
          <w:sz w:val="32"/>
          <w:szCs w:val="32"/>
        </w:rPr>
        <w:t>姐姐”品牌，护航未成年人健康成长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落实最高检“一号检察建议”，助力平安校园建设，</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名法治副校长覆盖全</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中小学，开展法治进校园活动</w:t>
      </w:r>
      <w:r>
        <w:rPr>
          <w:rFonts w:hint="default" w:ascii="Times New Roman" w:hAnsi="Times New Roman" w:eastAsia="仿宋" w:cs="Times New Roman"/>
          <w:i w:val="0"/>
          <w:iCs w:val="0"/>
          <w:caps w:val="0"/>
          <w:color w:val="563568"/>
          <w:spacing w:val="30"/>
          <w:sz w:val="24"/>
          <w:szCs w:val="24"/>
          <w:shd w:val="clear" w:fill="FCFDFF"/>
        </w:rPr>
        <w:t>，</w:t>
      </w:r>
      <w:r>
        <w:rPr>
          <w:rFonts w:hint="default" w:ascii="Times New Roman" w:hAnsi="Times New Roman" w:eastAsia="仿宋_GB2312" w:cs="Times New Roman"/>
          <w:b w:val="0"/>
          <w:color w:val="000000"/>
          <w:kern w:val="0"/>
          <w:sz w:val="32"/>
          <w:szCs w:val="32"/>
          <w:lang w:val="en-US" w:eastAsia="zh-CN" w:bidi="ar-SA"/>
        </w:rPr>
        <w:t>开展法治讲座4场，受众师生990</w:t>
      </w:r>
      <w:r>
        <w:rPr>
          <w:rFonts w:hint="eastAsia" w:ascii="仿宋_GB2312" w:hAnsi="仿宋_GB2312" w:eastAsia="仿宋_GB2312" w:cs="仿宋_GB2312"/>
          <w:b w:val="0"/>
          <w:color w:val="000000"/>
          <w:kern w:val="0"/>
          <w:sz w:val="32"/>
          <w:szCs w:val="32"/>
          <w:lang w:val="en-US" w:eastAsia="zh-CN" w:bidi="ar-SA"/>
        </w:rPr>
        <w:t>余人次。</w:t>
      </w:r>
      <w:r>
        <w:rPr>
          <w:rFonts w:hint="eastAsia" w:ascii="仿宋_GB2312" w:hAnsi="仿宋_GB2312" w:eastAsia="仿宋_GB2312" w:cs="仿宋_GB2312"/>
          <w:b/>
          <w:bCs/>
          <w:color w:val="000000"/>
          <w:kern w:val="0"/>
          <w:sz w:val="32"/>
          <w:szCs w:val="32"/>
          <w:lang w:val="en-US" w:eastAsia="zh-CN" w:bidi="ar-SA"/>
        </w:rPr>
        <w:t>三是</w:t>
      </w:r>
      <w:r>
        <w:rPr>
          <w:rStyle w:val="10"/>
          <w:rFonts w:hint="default" w:ascii="Times New Roman" w:hAnsi="Times New Roman" w:eastAsia="仿宋_GB2312" w:cs="Times New Roman"/>
          <w:color w:val="000000"/>
          <w:kern w:val="2"/>
          <w:sz w:val="32"/>
          <w:szCs w:val="32"/>
          <w:u w:val="none"/>
          <w:lang w:val="en-US" w:eastAsia="zh-CN" w:bidi="ar-SA"/>
        </w:rPr>
        <w:t>聚焦农民工“讨薪”难的问题，开启帮助农民工讨薪支持起诉绿色通道，</w:t>
      </w:r>
      <w:r>
        <w:rPr>
          <w:rStyle w:val="10"/>
          <w:rFonts w:hint="eastAsia" w:ascii="Times New Roman" w:hAnsi="Times New Roman" w:eastAsia="仿宋_GB2312" w:cs="Times New Roman"/>
          <w:color w:val="000000"/>
          <w:kern w:val="2"/>
          <w:sz w:val="32"/>
          <w:szCs w:val="32"/>
          <w:u w:val="none"/>
          <w:lang w:val="en-US" w:eastAsia="zh-CN" w:bidi="ar-SA"/>
        </w:rPr>
        <w:t>该案例在</w:t>
      </w:r>
      <w:r>
        <w:rPr>
          <w:rStyle w:val="12"/>
          <w:rFonts w:hint="eastAsia" w:ascii="仿宋_GB2312" w:hAnsi="仿宋_GB2312" w:eastAsia="仿宋_GB2312" w:cs="仿宋_GB2312"/>
          <w:sz w:val="32"/>
          <w:szCs w:val="32"/>
          <w:lang w:val="en-US" w:eastAsia="zh-CN"/>
        </w:rPr>
        <w:t>《检察日报》以《工钱到手 安心返乡》一文刊发。</w:t>
      </w:r>
      <w:r>
        <w:rPr>
          <w:rStyle w:val="10"/>
          <w:rFonts w:hint="default" w:ascii="Times New Roman" w:hAnsi="Times New Roman" w:eastAsia="仿宋_GB2312" w:cs="Times New Roman"/>
          <w:color w:val="000000"/>
          <w:kern w:val="2"/>
          <w:sz w:val="32"/>
          <w:szCs w:val="32"/>
          <w:u w:val="none"/>
          <w:lang w:val="en-US" w:eastAsia="zh-CN" w:bidi="ar-SA"/>
        </w:rPr>
        <w:t>5名农民工顺利讨薪55091元。</w:t>
      </w:r>
    </w:p>
    <w:p w14:paraId="23E4DC85">
      <w:pPr>
        <w:keepNext w:val="0"/>
        <w:keepLines w:val="0"/>
        <w:pageBreakBefore w:val="0"/>
        <w:widowControl w:val="0"/>
        <w:kinsoku/>
        <w:wordWrap/>
        <w:overflowPunct/>
        <w:topLinePunct w:val="0"/>
        <w:autoSpaceDE/>
        <w:autoSpaceDN/>
        <w:bidi w:val="0"/>
        <w:snapToGrid/>
        <w:spacing w:line="600" w:lineRule="exact"/>
        <w:ind w:firstLine="643" w:firstLineChars="200"/>
        <w:jc w:val="both"/>
        <w:textAlignment w:val="auto"/>
        <w:rPr>
          <w:rStyle w:val="12"/>
          <w:rFonts w:hint="eastAsia" w:ascii="仿宋_GB2312" w:hAnsi="仿宋_GB2312" w:eastAsia="宋体" w:cs="仿宋_GB2312"/>
          <w:color w:val="auto"/>
          <w:sz w:val="32"/>
          <w:szCs w:val="32"/>
          <w:lang w:val="en-US" w:eastAsia="zh-CN"/>
        </w:rPr>
      </w:pPr>
      <w:r>
        <w:rPr>
          <w:rStyle w:val="9"/>
          <w:rFonts w:hint="eastAsia" w:ascii="楷体_GB2312" w:hAnsi="楷体_GB2312" w:eastAsia="楷体_GB2312" w:cs="楷体_GB2312"/>
          <w:b/>
          <w:bCs w:val="0"/>
          <w:kern w:val="0"/>
          <w:sz w:val="32"/>
          <w:szCs w:val="32"/>
          <w:lang w:val="en-US" w:eastAsia="zh-CN" w:bidi="ar"/>
        </w:rPr>
        <w:t>（三）聚焦主责主业，维护司法公正。</w:t>
      </w:r>
      <w:r>
        <w:rPr>
          <w:rStyle w:val="12"/>
          <w:rFonts w:hint="eastAsia" w:ascii="仿宋_GB2312" w:hAnsi="仿宋_GB2312" w:eastAsia="仿宋_GB2312" w:cs="仿宋_GB2312"/>
          <w:b/>
          <w:bCs/>
          <w:sz w:val="32"/>
          <w:szCs w:val="32"/>
          <w:lang w:val="en-US" w:eastAsia="zh-CN"/>
        </w:rPr>
        <w:t>一是</w:t>
      </w:r>
      <w:r>
        <w:rPr>
          <w:rStyle w:val="12"/>
          <w:rFonts w:hint="eastAsia" w:ascii="仿宋_GB2312" w:hAnsi="仿宋_GB2312" w:eastAsia="仿宋_GB2312" w:cs="仿宋_GB2312"/>
          <w:sz w:val="32"/>
          <w:szCs w:val="32"/>
          <w:lang w:val="en-US" w:eastAsia="zh-CN"/>
        </w:rPr>
        <w:t>刑事检察持续做优。</w:t>
      </w:r>
      <w:r>
        <w:rPr>
          <w:rFonts w:hint="eastAsia" w:ascii="仿宋_GB2312" w:hAnsi="仿宋_GB2312" w:eastAsia="仿宋_GB2312" w:cs="仿宋_GB2312"/>
          <w:b w:val="0"/>
          <w:color w:val="000000"/>
          <w:kern w:val="0"/>
          <w:sz w:val="32"/>
          <w:szCs w:val="32"/>
          <w:lang w:val="en-US" w:eastAsia="zh-CN" w:bidi="ar-SA"/>
        </w:rPr>
        <w:t>受理各类刑事案件</w:t>
      </w:r>
      <w:r>
        <w:rPr>
          <w:rFonts w:hint="default" w:ascii="Times New Roman" w:hAnsi="Times New Roman" w:eastAsia="仿宋_GB2312" w:cs="Times New Roman"/>
          <w:b w:val="0"/>
          <w:color w:val="000000"/>
          <w:kern w:val="0"/>
          <w:sz w:val="32"/>
          <w:szCs w:val="32"/>
          <w:lang w:val="en-US" w:eastAsia="zh-CN" w:bidi="ar-SA"/>
        </w:rPr>
        <w:t>67件83人，其中提请批准逮捕案件22件29人，提请审查起诉案件45件54人，提前介入案件3起，共监督立案4件，监督撤案3件。制发检察建议书17份，其中纠正违法类9件，社会治理类7</w:t>
      </w:r>
      <w:r>
        <w:rPr>
          <w:rFonts w:hint="eastAsia" w:ascii="仿宋_GB2312" w:hAnsi="仿宋_GB2312" w:eastAsia="仿宋_GB2312" w:cs="仿宋_GB2312"/>
          <w:b w:val="0"/>
          <w:color w:val="000000"/>
          <w:kern w:val="0"/>
          <w:sz w:val="32"/>
          <w:szCs w:val="32"/>
          <w:lang w:val="en-US" w:eastAsia="zh-CN" w:bidi="ar-SA"/>
        </w:rPr>
        <w:t>件。</w:t>
      </w:r>
      <w:r>
        <w:rPr>
          <w:rStyle w:val="12"/>
          <w:rFonts w:hint="default" w:ascii="Times New Roman" w:hAnsi="Times New Roman" w:eastAsia="仿宋_GB2312" w:cs="Times New Roman"/>
          <w:szCs w:val="32"/>
          <w:lang w:eastAsia="zh-CN"/>
        </w:rPr>
        <w:t>我院抗诉的曹某某帮信、盗窃一案，抗诉意见</w:t>
      </w:r>
      <w:r>
        <w:rPr>
          <w:rStyle w:val="12"/>
          <w:rFonts w:hint="default" w:ascii="Times New Roman" w:hAnsi="Times New Roman" w:eastAsia="仿宋_GB2312" w:cs="Times New Roman"/>
          <w:szCs w:val="32"/>
          <w:lang w:val="en-US" w:eastAsia="zh-CN"/>
        </w:rPr>
        <w:t>被</w:t>
      </w:r>
      <w:r>
        <w:rPr>
          <w:rStyle w:val="12"/>
          <w:rFonts w:hint="default" w:ascii="Times New Roman" w:hAnsi="Times New Roman" w:eastAsia="仿宋_GB2312" w:cs="Times New Roman"/>
          <w:szCs w:val="32"/>
          <w:lang w:eastAsia="zh-CN"/>
        </w:rPr>
        <w:t>市院支持并被</w:t>
      </w:r>
      <w:r>
        <w:rPr>
          <w:rStyle w:val="12"/>
          <w:rFonts w:hint="default" w:ascii="Times New Roman" w:hAnsi="Times New Roman" w:eastAsia="仿宋_GB2312" w:cs="Times New Roman"/>
          <w:szCs w:val="32"/>
          <w:lang w:val="en-US" w:eastAsia="zh-CN"/>
        </w:rPr>
        <w:t>市</w:t>
      </w:r>
      <w:r>
        <w:rPr>
          <w:rStyle w:val="12"/>
          <w:rFonts w:hint="default" w:ascii="Times New Roman" w:hAnsi="Times New Roman" w:eastAsia="仿宋_GB2312" w:cs="Times New Roman"/>
          <w:szCs w:val="32"/>
          <w:lang w:eastAsia="zh-CN"/>
        </w:rPr>
        <w:t>中院采纳，</w:t>
      </w:r>
      <w:r>
        <w:rPr>
          <w:rStyle w:val="12"/>
          <w:rFonts w:hint="default" w:ascii="Times New Roman" w:hAnsi="Times New Roman" w:eastAsia="仿宋_GB2312" w:cs="Times New Roman"/>
          <w:szCs w:val="32"/>
          <w:lang w:val="en-US" w:eastAsia="zh-CN"/>
        </w:rPr>
        <w:t>抗诉成功率100%</w:t>
      </w:r>
      <w:r>
        <w:rPr>
          <w:rStyle w:val="12"/>
          <w:rFonts w:hint="default" w:ascii="Times New Roman" w:hAnsi="Times New Roman" w:eastAsia="仿宋_GB2312" w:cs="Times New Roman"/>
          <w:szCs w:val="32"/>
          <w:lang w:eastAsia="zh-CN"/>
        </w:rPr>
        <w:t>。</w:t>
      </w:r>
      <w:r>
        <w:rPr>
          <w:rStyle w:val="12"/>
          <w:rFonts w:hint="default" w:ascii="Times New Roman" w:hAnsi="Times New Roman" w:eastAsia="仿宋_GB2312" w:cs="Times New Roman"/>
          <w:b/>
          <w:bCs/>
          <w:szCs w:val="32"/>
          <w:lang w:val="en-US" w:eastAsia="zh-CN"/>
        </w:rPr>
        <w:t>二是</w:t>
      </w:r>
      <w:r>
        <w:rPr>
          <w:rFonts w:hint="default" w:ascii="Times New Roman" w:hAnsi="Times New Roman" w:eastAsia="仿宋_GB2312" w:cs="Times New Roman"/>
          <w:b w:val="0"/>
          <w:color w:val="000000"/>
          <w:kern w:val="0"/>
          <w:sz w:val="32"/>
          <w:szCs w:val="32"/>
          <w:lang w:val="en-US" w:eastAsia="zh-CN" w:bidi="ar-SA"/>
        </w:rPr>
        <w:t>民事检察持续做强。多维度履行好民事行政诉讼监督职能，对8起民事行政监督案件发出有关检察建议8份。</w:t>
      </w:r>
      <w:r>
        <w:rPr>
          <w:rFonts w:hint="eastAsia" w:ascii="Times New Roman" w:hAnsi="Times New Roman" w:eastAsia="仿宋_GB2312" w:cs="Times New Roman"/>
          <w:b w:val="0"/>
          <w:color w:val="000000"/>
          <w:kern w:val="0"/>
          <w:sz w:val="32"/>
          <w:szCs w:val="32"/>
          <w:lang w:val="en-US" w:eastAsia="zh-CN" w:bidi="ar-SA"/>
        </w:rPr>
        <w:t>对</w:t>
      </w:r>
      <w:r>
        <w:rPr>
          <w:rFonts w:hint="default" w:ascii="Times New Roman" w:hAnsi="Times New Roman" w:eastAsia="仿宋_GB2312" w:cs="Times New Roman"/>
          <w:b w:val="0"/>
          <w:color w:val="000000"/>
          <w:kern w:val="0"/>
          <w:sz w:val="32"/>
          <w:szCs w:val="32"/>
          <w:lang w:val="en-US" w:eastAsia="zh-CN" w:bidi="ar-SA"/>
        </w:rPr>
        <w:t>在本地有较大影响的快递员之死所涉的张某某行政争议实质性化解案件中，为当事人提供链条式服务，督促行政部门依法对其进行工伤认定并及时发放工亡补助金，释法说理化解因补助金分配不当引发的家庭矛盾，让“结案了事”变“案结事了”，化解行政、亲情矛盾纠纷，该案被《山西法治报》“临汾检察”“临汾论坛”报道，引起了社会的广泛关注，浏览量达2.6万，取得了良好的社会效果，法治思想深入人心，法治观念蔚然成风。三是公益诉讼检察持续做好。受理公益诉讼案件线索31件，立案31</w:t>
      </w:r>
      <w:r>
        <w:rPr>
          <w:rFonts w:hint="eastAsia" w:ascii="仿宋_GB2312" w:hAnsi="仿宋_GB2312" w:eastAsia="仿宋_GB2312" w:cs="仿宋_GB2312"/>
          <w:b w:val="0"/>
          <w:color w:val="000000"/>
          <w:kern w:val="0"/>
          <w:sz w:val="32"/>
          <w:szCs w:val="32"/>
          <w:lang w:val="en-US" w:eastAsia="zh-CN" w:bidi="ar-SA"/>
        </w:rPr>
        <w:t>件，发出行政公益诉讼磋商函和诉前检察建议</w:t>
      </w:r>
      <w:r>
        <w:rPr>
          <w:rFonts w:hint="default" w:ascii="Times New Roman" w:hAnsi="Times New Roman" w:eastAsia="仿宋_GB2312" w:cs="Times New Roman"/>
          <w:b w:val="0"/>
          <w:color w:val="000000"/>
          <w:kern w:val="0"/>
          <w:sz w:val="32"/>
          <w:szCs w:val="32"/>
          <w:lang w:val="en-US" w:eastAsia="zh-CN" w:bidi="ar-SA"/>
        </w:rPr>
        <w:t>31件，均回复并得到有效整改。办理的红色资源保护案例，被《山西日报》以</w:t>
      </w:r>
      <w:r>
        <w:rPr>
          <w:rStyle w:val="12"/>
          <w:rFonts w:hint="default" w:ascii="Times New Roman" w:hAnsi="Times New Roman" w:eastAsia="仿宋_GB2312" w:cs="Times New Roman"/>
          <w:sz w:val="32"/>
          <w:szCs w:val="32"/>
          <w:lang w:val="en-US" w:eastAsia="zh-CN"/>
        </w:rPr>
        <w:t>《守护红色资源捍卫英烈荣光》一文在9</w:t>
      </w:r>
      <w:r>
        <w:rPr>
          <w:rStyle w:val="12"/>
          <w:rFonts w:hint="eastAsia" w:ascii="仿宋_GB2312" w:hAnsi="仿宋_GB2312" w:eastAsia="仿宋_GB2312" w:cs="仿宋_GB2312"/>
          <w:sz w:val="32"/>
          <w:szCs w:val="32"/>
          <w:lang w:val="en-US" w:eastAsia="zh-CN"/>
        </w:rPr>
        <w:t>版头条刊发；办理的公益诉讼非遗传承保护案例，被《检察日报》以《千年古乐重振“新声”》一文</w:t>
      </w:r>
      <w:r>
        <w:rPr>
          <w:rStyle w:val="12"/>
          <w:rFonts w:hint="eastAsia" w:ascii="仿宋_GB2312" w:hAnsi="仿宋_GB2312" w:eastAsia="仿宋_GB2312" w:cs="仿宋_GB2312"/>
          <w:sz w:val="32"/>
          <w:szCs w:val="32"/>
        </w:rPr>
        <w:t>在</w:t>
      </w:r>
      <w:r>
        <w:rPr>
          <w:rStyle w:val="12"/>
          <w:rFonts w:hint="eastAsia" w:ascii="仿宋_GB2312" w:hAnsi="仿宋_GB2312" w:eastAsia="仿宋_GB2312" w:cs="仿宋_GB2312"/>
          <w:sz w:val="32"/>
          <w:szCs w:val="32"/>
          <w:lang w:val="en-US" w:eastAsia="zh-CN"/>
        </w:rPr>
        <w:t>头版要闻刊发。</w:t>
      </w:r>
    </w:p>
    <w:p w14:paraId="12ACB19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color w:val="auto"/>
        </w:rPr>
      </w:pPr>
      <w:r>
        <w:rPr>
          <w:rStyle w:val="9"/>
          <w:rFonts w:hint="eastAsia" w:ascii="楷体_GB2312" w:hAnsi="楷体_GB2312" w:eastAsia="楷体_GB2312" w:cs="楷体_GB2312"/>
          <w:b/>
          <w:bCs w:val="0"/>
          <w:kern w:val="0"/>
          <w:sz w:val="32"/>
          <w:szCs w:val="32"/>
          <w:lang w:val="en-US" w:eastAsia="zh-CN" w:bidi="ar"/>
        </w:rPr>
        <w:t>（四）坚持严管厚爱，锻造过硬检察队伍。</w:t>
      </w:r>
      <w:r>
        <w:rPr>
          <w:rStyle w:val="12"/>
          <w:rFonts w:hint="eastAsia" w:ascii="仿宋_GB2312" w:hAnsi="仿宋_GB2312" w:eastAsia="仿宋_GB2312" w:cs="仿宋_GB2312"/>
          <w:sz w:val="32"/>
          <w:szCs w:val="32"/>
          <w:lang w:val="en-US" w:eastAsia="zh-CN"/>
        </w:rPr>
        <w:t>严格履行推进法治建设第一责任人职责，</w:t>
      </w:r>
      <w:r>
        <w:rPr>
          <w:rStyle w:val="10"/>
          <w:rFonts w:hint="eastAsia" w:ascii="仿宋_GB2312" w:hAnsi="仿宋_GB2312" w:eastAsia="仿宋_GB2312" w:cs="仿宋_GB2312"/>
          <w:color w:val="000000"/>
          <w:kern w:val="2"/>
          <w:sz w:val="32"/>
          <w:szCs w:val="32"/>
          <w:lang w:val="en-US" w:eastAsia="zh-CN" w:bidi="ar-SA"/>
        </w:rPr>
        <w:t>全面推进从严治党管检，认真执行“三个规定”，扎实推进清廉机关创建工作，传达学习警示教育典型案例</w:t>
      </w:r>
      <w:r>
        <w:rPr>
          <w:rStyle w:val="10"/>
          <w:rFonts w:hint="default" w:ascii="Times New Roman" w:hAnsi="Times New Roman" w:eastAsia="仿宋_GB2312" w:cs="Times New Roman"/>
          <w:color w:val="000000"/>
          <w:kern w:val="2"/>
          <w:sz w:val="32"/>
          <w:szCs w:val="32"/>
          <w:lang w:val="en-US" w:eastAsia="zh-CN" w:bidi="ar-SA"/>
        </w:rPr>
        <w:t>5次，观看警示教育片</w:t>
      </w:r>
      <w:r>
        <w:rPr>
          <w:rStyle w:val="10"/>
          <w:rFonts w:hint="eastAsia" w:ascii="仿宋_GB2312" w:hAnsi="仿宋_GB2312" w:eastAsia="仿宋_GB2312" w:cs="仿宋_GB2312"/>
          <w:color w:val="000000"/>
          <w:kern w:val="2"/>
          <w:sz w:val="32"/>
          <w:szCs w:val="32"/>
          <w:lang w:val="en-US" w:eastAsia="zh-CN" w:bidi="ar-SA"/>
        </w:rPr>
        <w:t>2次，以案说理，整风鸣警。院领导以身作则、担当作为，严格贯彻民主集中制，重大决策通过党组会、检委会集体研究、集体决策。率先垂范，以“关键少数”示范带动“绝大多数”，带头办理各类疑难复杂案件，共办理案件</w:t>
      </w:r>
      <w:r>
        <w:rPr>
          <w:rStyle w:val="10"/>
          <w:rFonts w:hint="default" w:ascii="Times New Roman" w:hAnsi="Times New Roman" w:eastAsia="仿宋_GB2312" w:cs="Times New Roman"/>
          <w:color w:val="000000"/>
          <w:kern w:val="2"/>
          <w:sz w:val="32"/>
          <w:szCs w:val="32"/>
          <w:lang w:val="en-US" w:eastAsia="zh-CN" w:bidi="ar-SA"/>
        </w:rPr>
        <w:t>91件，高质量完成了重点工作任务，用实际行动践行检察履职担当。</w:t>
      </w:r>
      <w:r>
        <w:rPr>
          <w:rFonts w:hint="default" w:ascii="Times New Roman" w:hAnsi="Times New Roman" w:eastAsia="仿宋_GB2312" w:cs="Times New Roman"/>
          <w:color w:val="auto"/>
          <w:sz w:val="32"/>
          <w:szCs w:val="32"/>
        </w:rPr>
        <w:t>涌现出国家级荣誉</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个、省级荣誉6个、市级荣誉</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个、县级荣誉</w:t>
      </w:r>
      <w:r>
        <w:rPr>
          <w:rFonts w:hint="default" w:ascii="Times New Roman" w:hAnsi="Times New Roman" w:eastAsia="仿宋_GB2312" w:cs="Times New Roman"/>
          <w:color w:val="auto"/>
          <w:sz w:val="32"/>
          <w:szCs w:val="32"/>
          <w:lang w:val="en-US" w:eastAsia="zh-CN"/>
        </w:rPr>
        <w:t>5</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以实际行动</w:t>
      </w:r>
      <w:r>
        <w:rPr>
          <w:rFonts w:hint="eastAsia" w:ascii="仿宋_GB2312" w:hAnsi="仿宋_GB2312" w:eastAsia="仿宋_GB2312" w:cs="仿宋_GB2312"/>
          <w:color w:val="auto"/>
          <w:sz w:val="32"/>
          <w:szCs w:val="32"/>
        </w:rPr>
        <w:t>为推动</w:t>
      </w:r>
      <w:r>
        <w:rPr>
          <w:rFonts w:hint="eastAsia" w:ascii="仿宋_GB2312" w:hAnsi="仿宋_GB2312" w:eastAsia="仿宋_GB2312" w:cs="仿宋_GB2312"/>
          <w:color w:val="auto"/>
          <w:sz w:val="32"/>
          <w:szCs w:val="32"/>
          <w:lang w:eastAsia="zh-CN"/>
        </w:rPr>
        <w:t>检察工作现代化积聚</w:t>
      </w:r>
      <w:r>
        <w:rPr>
          <w:rFonts w:hint="eastAsia" w:ascii="仿宋_GB2312" w:hAnsi="仿宋_GB2312" w:eastAsia="仿宋_GB2312" w:cs="仿宋_GB2312"/>
          <w:color w:val="auto"/>
          <w:sz w:val="32"/>
          <w:szCs w:val="32"/>
        </w:rPr>
        <w:t>全面</w:t>
      </w:r>
      <w:r>
        <w:rPr>
          <w:rFonts w:hint="eastAsia" w:ascii="仿宋_GB2312" w:hAnsi="仿宋_GB2312" w:eastAsia="仿宋_GB2312" w:cs="仿宋_GB2312"/>
          <w:color w:val="auto"/>
          <w:sz w:val="32"/>
          <w:szCs w:val="32"/>
          <w:lang w:eastAsia="zh-CN"/>
        </w:rPr>
        <w:t>发展</w:t>
      </w:r>
      <w:r>
        <w:rPr>
          <w:rFonts w:hint="eastAsia" w:ascii="仿宋_GB2312" w:hAnsi="仿宋_GB2312" w:eastAsia="仿宋_GB2312" w:cs="仿宋_GB2312"/>
          <w:color w:val="auto"/>
          <w:sz w:val="32"/>
          <w:szCs w:val="32"/>
        </w:rPr>
        <w:t>力量</w:t>
      </w:r>
      <w:r>
        <w:rPr>
          <w:rFonts w:hint="eastAsia" w:ascii="仿宋_GB2312" w:hAnsi="仿宋_GB2312" w:eastAsia="仿宋_GB2312" w:cs="仿宋_GB2312"/>
          <w:color w:val="auto"/>
          <w:sz w:val="32"/>
          <w:szCs w:val="32"/>
          <w:lang w:eastAsia="zh-CN"/>
        </w:rPr>
        <w:t>。</w:t>
      </w:r>
    </w:p>
    <w:p w14:paraId="17D6C0D4">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Style w:val="12"/>
          <w:rFonts w:hint="eastAsia" w:ascii="黑体" w:hAnsi="黑体" w:eastAsia="黑体" w:cs="黑体"/>
          <w:sz w:val="32"/>
          <w:szCs w:val="32"/>
          <w:lang w:val="en-US" w:eastAsia="zh-CN"/>
        </w:rPr>
      </w:pPr>
      <w:r>
        <w:rPr>
          <w:rStyle w:val="12"/>
          <w:rFonts w:hint="eastAsia" w:ascii="黑体" w:hAnsi="黑体" w:eastAsia="黑体" w:cs="黑体"/>
          <w:sz w:val="32"/>
          <w:szCs w:val="32"/>
          <w:lang w:val="en-US" w:eastAsia="zh-CN"/>
        </w:rPr>
        <w:t>二、存在问题</w:t>
      </w:r>
    </w:p>
    <w:p w14:paraId="6EA0841F">
      <w:pPr>
        <w:keepNext w:val="0"/>
        <w:keepLines w:val="0"/>
        <w:pageBreakBefore w:val="0"/>
        <w:widowControl w:val="0"/>
        <w:kinsoku/>
        <w:wordWrap/>
        <w:overflowPunct/>
        <w:topLinePunct w:val="0"/>
        <w:autoSpaceDE/>
        <w:autoSpaceDN/>
        <w:bidi w:val="0"/>
        <w:snapToGrid/>
        <w:spacing w:line="600" w:lineRule="exact"/>
        <w:ind w:firstLine="643" w:firstLineChars="200"/>
        <w:jc w:val="both"/>
        <w:textAlignment w:val="auto"/>
        <w:rPr>
          <w:rStyle w:val="12"/>
          <w:rFonts w:hint="default" w:ascii="仿宋_GB2312" w:hAnsi="仿宋_GB2312" w:eastAsia="仿宋_GB2312" w:cs="仿宋_GB2312"/>
          <w:sz w:val="32"/>
          <w:szCs w:val="32"/>
          <w:lang w:val="en-US" w:eastAsia="zh-CN"/>
        </w:rPr>
      </w:pPr>
      <w:r>
        <w:rPr>
          <w:rStyle w:val="10"/>
          <w:rFonts w:hint="default" w:ascii="Times New Roman" w:hAnsi="Times New Roman" w:eastAsia="仿宋_GB2312" w:cs="Times New Roman"/>
          <w:b/>
          <w:bCs/>
          <w:color w:val="000000"/>
          <w:kern w:val="2"/>
          <w:sz w:val="32"/>
          <w:szCs w:val="32"/>
          <w:lang w:val="en-US" w:eastAsia="zh-CN" w:bidi="ar-SA"/>
        </w:rPr>
        <w:t>一是</w:t>
      </w:r>
      <w:r>
        <w:rPr>
          <w:rStyle w:val="10"/>
          <w:rFonts w:hint="default" w:ascii="Times New Roman" w:hAnsi="Times New Roman" w:eastAsia="仿宋_GB2312" w:cs="Times New Roman"/>
          <w:color w:val="000000"/>
          <w:kern w:val="2"/>
          <w:sz w:val="32"/>
          <w:szCs w:val="32"/>
          <w:lang w:val="en-US" w:eastAsia="zh-CN" w:bidi="ar-SA"/>
        </w:rPr>
        <w:t>服务保障经济社会高质量发展全面提质提速的针对性还不够强；</w:t>
      </w:r>
      <w:r>
        <w:rPr>
          <w:rFonts w:hint="default" w:ascii="Times New Roman" w:hAnsi="Times New Roman" w:eastAsia="仿宋_GB2312" w:cs="Times New Roman"/>
          <w:b/>
          <w:bCs/>
          <w:color w:val="000000"/>
          <w:kern w:val="0"/>
          <w:sz w:val="32"/>
          <w:szCs w:val="32"/>
          <w:lang w:val="en-US" w:eastAsia="zh-CN" w:bidi="ar-SA"/>
        </w:rPr>
        <w:t>二是</w:t>
      </w:r>
      <w:r>
        <w:rPr>
          <w:rFonts w:hint="default" w:ascii="Times New Roman" w:hAnsi="Times New Roman" w:eastAsia="仿宋_GB2312" w:cs="Times New Roman"/>
          <w:b w:val="0"/>
          <w:color w:val="000000"/>
          <w:kern w:val="0"/>
          <w:sz w:val="32"/>
          <w:szCs w:val="32"/>
          <w:lang w:val="en-US" w:eastAsia="zh-CN" w:bidi="ar-SA"/>
        </w:rPr>
        <w:t>在推进数字化与检察监督深度融合上仍有差距；三是立足检察职能，助推社会治理还需走深。</w:t>
      </w:r>
    </w:p>
    <w:p w14:paraId="2B11750E">
      <w:pPr>
        <w:keepNext w:val="0"/>
        <w:keepLines w:val="0"/>
        <w:pageBreakBefore w:val="0"/>
        <w:widowControl w:val="0"/>
        <w:kinsoku/>
        <w:wordWrap/>
        <w:overflowPunct/>
        <w:topLinePunct w:val="0"/>
        <w:autoSpaceDE/>
        <w:autoSpaceDN/>
        <w:bidi w:val="0"/>
        <w:snapToGrid/>
        <w:spacing w:line="600" w:lineRule="exact"/>
        <w:ind w:firstLine="640" w:firstLineChars="200"/>
        <w:jc w:val="both"/>
        <w:textAlignment w:val="auto"/>
        <w:rPr>
          <w:rStyle w:val="12"/>
          <w:rFonts w:hint="default" w:ascii="黑体" w:hAnsi="黑体" w:eastAsia="黑体" w:cs="黑体"/>
          <w:sz w:val="32"/>
          <w:szCs w:val="32"/>
          <w:lang w:val="en-US" w:eastAsia="zh-CN"/>
        </w:rPr>
      </w:pPr>
      <w:r>
        <w:rPr>
          <w:rStyle w:val="12"/>
          <w:rFonts w:hint="eastAsia" w:ascii="黑体" w:hAnsi="黑体" w:eastAsia="黑体" w:cs="黑体"/>
          <w:sz w:val="32"/>
          <w:szCs w:val="32"/>
          <w:lang w:val="en-US" w:eastAsia="zh-CN"/>
        </w:rPr>
        <w:t>三、2024年工作计划</w:t>
      </w:r>
    </w:p>
    <w:p w14:paraId="53806E86">
      <w:pPr>
        <w:keepNext w:val="0"/>
        <w:keepLines w:val="0"/>
        <w:pageBreakBefore w:val="0"/>
        <w:kinsoku/>
        <w:wordWrap/>
        <w:overflowPunct/>
        <w:topLinePunct w:val="0"/>
        <w:autoSpaceDE/>
        <w:autoSpaceDN/>
        <w:bidi w:val="0"/>
        <w:adjustRightInd w:val="0"/>
        <w:snapToGrid w:val="0"/>
        <w:spacing w:line="600" w:lineRule="exact"/>
        <w:ind w:firstLine="643"/>
        <w:jc w:val="both"/>
        <w:textAlignment w:val="auto"/>
        <w:rPr>
          <w:rFonts w:hint="default" w:ascii="Times New Roman" w:hAnsi="Times New Roman" w:eastAsia="仿宋_GB2312" w:cs="Times New Roman"/>
          <w:b w:val="0"/>
          <w:color w:val="000000"/>
          <w:kern w:val="0"/>
          <w:sz w:val="32"/>
          <w:szCs w:val="32"/>
          <w:lang w:val="en-US" w:eastAsia="zh-CN" w:bidi="ar-SA"/>
        </w:rPr>
      </w:pPr>
      <w:r>
        <w:rPr>
          <w:rFonts w:hint="default" w:ascii="Times New Roman" w:hAnsi="Times New Roman" w:eastAsia="仿宋_GB2312" w:cs="Times New Roman"/>
          <w:b w:val="0"/>
          <w:color w:val="000000"/>
          <w:kern w:val="0"/>
          <w:sz w:val="32"/>
          <w:szCs w:val="32"/>
          <w:lang w:val="en-US" w:eastAsia="zh-CN" w:bidi="ar-SA"/>
        </w:rPr>
        <w:t>我院将继续坚持以习近平新时代中国特色社会主义思想为指导，深入贯彻习近平法治思想，强化政治担当，依法能动履职，严格依照</w:t>
      </w:r>
      <w:r>
        <w:rPr>
          <w:rFonts w:hint="eastAsia" w:ascii="Times New Roman" w:hAnsi="Times New Roman" w:eastAsia="仿宋_GB2312" w:cs="Times New Roman"/>
          <w:b w:val="0"/>
          <w:color w:val="000000"/>
          <w:kern w:val="0"/>
          <w:sz w:val="32"/>
          <w:szCs w:val="32"/>
          <w:lang w:val="en-US" w:eastAsia="zh-CN" w:bidi="ar-SA"/>
        </w:rPr>
        <w:t>县委、县政府</w:t>
      </w:r>
      <w:r>
        <w:rPr>
          <w:rFonts w:hint="default" w:ascii="Times New Roman" w:hAnsi="Times New Roman" w:eastAsia="仿宋_GB2312" w:cs="Times New Roman"/>
          <w:b w:val="0"/>
          <w:color w:val="000000"/>
          <w:kern w:val="0"/>
          <w:sz w:val="32"/>
          <w:szCs w:val="32"/>
          <w:lang w:val="en-US" w:eastAsia="zh-CN" w:bidi="ar-SA"/>
        </w:rPr>
        <w:t>的工作要求，推动我院法治政府建设工作再上新台阶。</w:t>
      </w:r>
    </w:p>
    <w:p w14:paraId="60776493">
      <w:pPr>
        <w:keepNext w:val="0"/>
        <w:keepLines w:val="0"/>
        <w:pageBreakBefore w:val="0"/>
        <w:kinsoku/>
        <w:wordWrap/>
        <w:overflowPunct/>
        <w:topLinePunct w:val="0"/>
        <w:autoSpaceDE/>
        <w:autoSpaceDN/>
        <w:bidi w:val="0"/>
        <w:adjustRightInd w:val="0"/>
        <w:snapToGrid w:val="0"/>
        <w:spacing w:line="600" w:lineRule="exact"/>
        <w:ind w:firstLine="643"/>
        <w:jc w:val="both"/>
        <w:textAlignment w:val="auto"/>
        <w:rPr>
          <w:rStyle w:val="10"/>
          <w:rFonts w:hint="default" w:ascii="Times New Roman" w:hAnsi="Times New Roman" w:eastAsia="仿宋_GB2312" w:cs="Times New Roman"/>
          <w:color w:val="000000"/>
          <w:kern w:val="2"/>
          <w:sz w:val="32"/>
          <w:szCs w:val="32"/>
          <w:lang w:val="en-US" w:eastAsia="zh-CN" w:bidi="ar-SA"/>
        </w:rPr>
      </w:pPr>
      <w:r>
        <w:rPr>
          <w:rStyle w:val="10"/>
          <w:rFonts w:hint="eastAsia" w:ascii="楷体_GB2312" w:hAnsi="楷体_GB2312" w:eastAsia="楷体_GB2312" w:cs="楷体_GB2312"/>
          <w:b/>
          <w:bCs/>
          <w:color w:val="000000"/>
          <w:kern w:val="2"/>
          <w:sz w:val="32"/>
          <w:szCs w:val="32"/>
          <w:lang w:val="en-US" w:eastAsia="zh-CN" w:bidi="ar-SA"/>
        </w:rPr>
        <w:t>（一）讲政治、提站位，筑牢忠诚根基。</w:t>
      </w:r>
      <w:r>
        <w:rPr>
          <w:rStyle w:val="10"/>
          <w:rFonts w:hint="eastAsia" w:ascii="Times New Roman" w:hAnsi="Times New Roman" w:eastAsia="仿宋_GB2312" w:cs="Times New Roman"/>
          <w:color w:val="000000"/>
          <w:kern w:val="2"/>
          <w:sz w:val="32"/>
          <w:szCs w:val="32"/>
          <w:lang w:val="en-US" w:eastAsia="zh-CN" w:bidi="ar-SA"/>
        </w:rPr>
        <w:t>坚持以习近平新时代中国特色社会主义思想为指导，深入推进主题教育，自觉践行习近平法治思想，牢固树立政治机关意识，将政治要求落在更有成效的具体检察工作中，进一步擦亮坚定拥护“两个确立”、坚决做到“两个维护”这一新时代新征程检察机关的鲜明政治底色。</w:t>
      </w:r>
    </w:p>
    <w:p w14:paraId="550510CB">
      <w:pPr>
        <w:keepNext w:val="0"/>
        <w:keepLines w:val="0"/>
        <w:pageBreakBefore w:val="0"/>
        <w:kinsoku/>
        <w:wordWrap/>
        <w:overflowPunct/>
        <w:topLinePunct w:val="0"/>
        <w:autoSpaceDE/>
        <w:autoSpaceDN/>
        <w:bidi w:val="0"/>
        <w:adjustRightInd w:val="0"/>
        <w:snapToGrid w:val="0"/>
        <w:spacing w:line="600" w:lineRule="exact"/>
        <w:ind w:firstLine="643"/>
        <w:jc w:val="both"/>
        <w:textAlignment w:val="auto"/>
        <w:rPr>
          <w:rStyle w:val="10"/>
          <w:rFonts w:hint="default" w:ascii="Times New Roman" w:hAnsi="Times New Roman" w:eastAsia="仿宋_GB2312" w:cs="Times New Roman"/>
          <w:color w:val="000000"/>
          <w:kern w:val="2"/>
          <w:sz w:val="32"/>
          <w:szCs w:val="32"/>
          <w:lang w:val="en-US" w:eastAsia="zh-CN" w:bidi="ar-SA"/>
        </w:rPr>
      </w:pPr>
      <w:r>
        <w:rPr>
          <w:rStyle w:val="10"/>
          <w:rFonts w:hint="eastAsia" w:ascii="楷体_GB2312" w:hAnsi="楷体_GB2312" w:eastAsia="楷体_GB2312" w:cs="楷体_GB2312"/>
          <w:b/>
          <w:bCs/>
          <w:color w:val="000000"/>
          <w:kern w:val="2"/>
          <w:sz w:val="32"/>
          <w:szCs w:val="32"/>
          <w:lang w:val="en-US" w:eastAsia="zh-CN" w:bidi="ar-SA"/>
        </w:rPr>
        <w:t>（二）勇担当、善作为，服务发展大局。</w:t>
      </w:r>
      <w:r>
        <w:rPr>
          <w:rStyle w:val="10"/>
          <w:rFonts w:hint="eastAsia" w:ascii="Times New Roman" w:hAnsi="Times New Roman" w:eastAsia="仿宋_GB2312" w:cs="Times New Roman"/>
          <w:color w:val="000000"/>
          <w:kern w:val="2"/>
          <w:sz w:val="32"/>
          <w:szCs w:val="32"/>
          <w:lang w:val="en-US" w:eastAsia="zh-CN" w:bidi="ar-SA"/>
        </w:rPr>
        <w:t>自觉把检察履职融入中心工作，严厉打击电信网络诈骗等关系群众切身利益的各类犯罪，注重发挥检察建议作用，扎实做好检察环节诉源治理。依法平等保护各类市场主体，深化知识产权保护，持续在维护社会大局稳定、优化营商法治环境、助力乡村振兴等方面守正创新。积极回应人民群众“急难愁盼”，厚植党的执政根基。</w:t>
      </w:r>
    </w:p>
    <w:p w14:paraId="371A944B">
      <w:pPr>
        <w:keepNext w:val="0"/>
        <w:keepLines w:val="0"/>
        <w:pageBreakBefore w:val="0"/>
        <w:kinsoku/>
        <w:wordWrap/>
        <w:overflowPunct/>
        <w:topLinePunct w:val="0"/>
        <w:autoSpaceDE/>
        <w:autoSpaceDN/>
        <w:bidi w:val="0"/>
        <w:adjustRightInd w:val="0"/>
        <w:snapToGrid w:val="0"/>
        <w:spacing w:line="600" w:lineRule="exact"/>
        <w:ind w:firstLine="643"/>
        <w:jc w:val="both"/>
        <w:textAlignment w:val="auto"/>
        <w:rPr>
          <w:rStyle w:val="10"/>
          <w:rFonts w:hint="default" w:ascii="Times New Roman" w:hAnsi="Times New Roman" w:eastAsia="仿宋_GB2312" w:cs="Times New Roman"/>
          <w:color w:val="000000"/>
          <w:kern w:val="2"/>
          <w:sz w:val="32"/>
          <w:szCs w:val="32"/>
          <w:lang w:val="en-US" w:eastAsia="zh-CN" w:bidi="ar-SA"/>
        </w:rPr>
      </w:pPr>
      <w:r>
        <w:rPr>
          <w:rStyle w:val="10"/>
          <w:rFonts w:hint="eastAsia" w:ascii="楷体_GB2312" w:hAnsi="楷体_GB2312" w:eastAsia="楷体_GB2312" w:cs="楷体_GB2312"/>
          <w:b/>
          <w:bCs/>
          <w:color w:val="000000"/>
          <w:kern w:val="2"/>
          <w:sz w:val="32"/>
          <w:szCs w:val="32"/>
          <w:lang w:val="en-US" w:eastAsia="zh-CN" w:bidi="ar-SA"/>
        </w:rPr>
        <w:t>（三）重质效、优办案，深耕主责主业。</w:t>
      </w:r>
      <w:r>
        <w:rPr>
          <w:rStyle w:val="10"/>
          <w:rFonts w:hint="eastAsia" w:ascii="Times New Roman" w:hAnsi="Times New Roman" w:eastAsia="仿宋_GB2312" w:cs="Times New Roman"/>
          <w:color w:val="000000"/>
          <w:kern w:val="2"/>
          <w:sz w:val="32"/>
          <w:szCs w:val="32"/>
          <w:lang w:val="en-US" w:eastAsia="zh-CN" w:bidi="ar-SA"/>
        </w:rPr>
        <w:t>紧紧扭住法律监督主责主业，突出“高质效办好每一个案件”基本价值追求，集中精力持续深化“四个融合”“牡丹姐姐”等特色亮点品牌的打造，进一步优化充实重点改革项目，打造更多具有检察特性、部门特点的工作品牌；强化数字检察理念，增强运用大数据分析问题、解决问题的能力，推动大数据法律监督模型成果转化，全面提升检察工作质效。</w:t>
      </w:r>
    </w:p>
    <w:p w14:paraId="1FBE0BB6">
      <w:pPr>
        <w:keepNext w:val="0"/>
        <w:keepLines w:val="0"/>
        <w:pageBreakBefore w:val="0"/>
        <w:kinsoku/>
        <w:wordWrap/>
        <w:overflowPunct/>
        <w:topLinePunct w:val="0"/>
        <w:autoSpaceDE/>
        <w:autoSpaceDN/>
        <w:bidi w:val="0"/>
        <w:adjustRightInd w:val="0"/>
        <w:snapToGrid w:val="0"/>
        <w:spacing w:line="600" w:lineRule="exact"/>
        <w:ind w:firstLine="643"/>
        <w:jc w:val="both"/>
        <w:textAlignment w:val="auto"/>
        <w:rPr>
          <w:rStyle w:val="10"/>
          <w:rFonts w:hint="default" w:ascii="Times New Roman" w:hAnsi="Times New Roman" w:eastAsia="仿宋_GB2312" w:cs="Times New Roman"/>
          <w:color w:val="000000"/>
          <w:kern w:val="2"/>
          <w:sz w:val="32"/>
          <w:szCs w:val="32"/>
          <w:lang w:val="en-US" w:eastAsia="zh-CN" w:bidi="ar-SA"/>
        </w:rPr>
      </w:pPr>
      <w:r>
        <w:rPr>
          <w:rStyle w:val="10"/>
          <w:rFonts w:hint="eastAsia" w:ascii="楷体_GB2312" w:hAnsi="楷体_GB2312" w:eastAsia="楷体_GB2312" w:cs="楷体_GB2312"/>
          <w:b/>
          <w:bCs/>
          <w:color w:val="000000"/>
          <w:kern w:val="2"/>
          <w:sz w:val="32"/>
          <w:szCs w:val="32"/>
          <w:lang w:val="en-US" w:eastAsia="zh-CN" w:bidi="ar-SA"/>
        </w:rPr>
        <w:t>（四）聚合力、守底线，淬炼过硬队伍。</w:t>
      </w:r>
      <w:r>
        <w:rPr>
          <w:rStyle w:val="10"/>
          <w:rFonts w:hint="eastAsia" w:ascii="Times New Roman" w:hAnsi="Times New Roman" w:eastAsia="仿宋_GB2312" w:cs="Times New Roman"/>
          <w:color w:val="000000"/>
          <w:kern w:val="2"/>
          <w:sz w:val="32"/>
          <w:szCs w:val="32"/>
          <w:lang w:val="en-US" w:eastAsia="zh-CN" w:bidi="ar-SA"/>
        </w:rPr>
        <w:t>坚持党建引领，统筹推进政治、业务的深度融合，深化一体履职、能动履职和综合履职，加强人才梯队建设，弘扬比学赶超的良好风气。坚持全面从严管党治检，持之以恒落实中央八项规定及其实施细则精神，严格遵守“十个严禁”及“三个规定”，进一步健全检察权运行内部制约监督机制，努力锻造忠诚干净担当的新时代检察铁军。</w:t>
      </w:r>
    </w:p>
    <w:p w14:paraId="6A2191BD">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eastAsia" w:ascii="Times New Roman" w:hAnsi="Times New Roman" w:eastAsia="仿宋_GB2312" w:cs="Times New Roman"/>
          <w:color w:val="000000"/>
          <w:kern w:val="2"/>
          <w:sz w:val="32"/>
          <w:szCs w:val="32"/>
          <w:lang w:val="en-US" w:eastAsia="zh-CN" w:bidi="ar-SA"/>
        </w:rPr>
      </w:pPr>
    </w:p>
    <w:p w14:paraId="48BC4607">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eastAsia" w:ascii="Times New Roman" w:hAnsi="Times New Roman" w:eastAsia="仿宋_GB2312" w:cs="Times New Roman"/>
          <w:color w:val="000000"/>
          <w:kern w:val="2"/>
          <w:sz w:val="32"/>
          <w:szCs w:val="32"/>
          <w:lang w:val="en-US" w:eastAsia="zh-CN" w:bidi="ar-SA"/>
        </w:rPr>
      </w:pPr>
    </w:p>
    <w:p w14:paraId="5FDA4B90">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eastAsia" w:ascii="Times New Roman" w:hAnsi="Times New Roman" w:eastAsia="仿宋_GB2312" w:cs="Times New Roman"/>
          <w:color w:val="000000"/>
          <w:kern w:val="2"/>
          <w:sz w:val="32"/>
          <w:szCs w:val="32"/>
          <w:lang w:val="en-US" w:eastAsia="zh-CN" w:bidi="ar-SA"/>
        </w:rPr>
      </w:pPr>
    </w:p>
    <w:p w14:paraId="6F81DF31">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eastAsia" w:ascii="Times New Roman" w:hAnsi="Times New Roman" w:eastAsia="仿宋_GB2312" w:cs="Times New Roman"/>
          <w:color w:val="000000"/>
          <w:kern w:val="2"/>
          <w:sz w:val="32"/>
          <w:szCs w:val="32"/>
          <w:lang w:val="en-US" w:eastAsia="zh-CN" w:bidi="ar-SA"/>
        </w:rPr>
      </w:pPr>
    </w:p>
    <w:p w14:paraId="2765841E">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eastAsia" w:ascii="Times New Roman" w:hAnsi="Times New Roman" w:eastAsia="仿宋_GB2312" w:cs="Times New Roman"/>
          <w:color w:val="000000"/>
          <w:kern w:val="2"/>
          <w:sz w:val="32"/>
          <w:szCs w:val="32"/>
          <w:lang w:val="en-US" w:eastAsia="zh-CN" w:bidi="ar-SA"/>
        </w:rPr>
      </w:pPr>
    </w:p>
    <w:p w14:paraId="653A4152">
      <w:pPr>
        <w:keepNext w:val="0"/>
        <w:keepLines w:val="0"/>
        <w:pageBreakBefore w:val="0"/>
        <w:widowControl w:val="0"/>
        <w:kinsoku/>
        <w:wordWrap/>
        <w:overflowPunct/>
        <w:topLinePunct w:val="0"/>
        <w:autoSpaceDE/>
        <w:autoSpaceDN/>
        <w:bidi w:val="0"/>
        <w:adjustRightInd w:val="0"/>
        <w:snapToGrid w:val="0"/>
        <w:spacing w:line="600" w:lineRule="exact"/>
        <w:ind w:firstLine="4816" w:firstLineChars="1505"/>
        <w:jc w:val="both"/>
        <w:textAlignment w:val="auto"/>
        <w:rPr>
          <w:rStyle w:val="10"/>
          <w:rFonts w:hint="default" w:ascii="Times New Roman" w:hAnsi="Times New Roman" w:eastAsia="仿宋_GB2312" w:cs="Times New Roman"/>
          <w:color w:val="000000"/>
          <w:kern w:val="2"/>
          <w:sz w:val="32"/>
          <w:szCs w:val="32"/>
          <w:lang w:val="en-US" w:eastAsia="zh-CN" w:bidi="ar-SA"/>
        </w:rPr>
      </w:pPr>
      <w:r>
        <w:rPr>
          <w:rStyle w:val="10"/>
          <w:rFonts w:hint="default" w:ascii="Times New Roman" w:hAnsi="Times New Roman" w:eastAsia="仿宋_GB2312" w:cs="Times New Roman"/>
          <w:color w:val="000000"/>
          <w:kern w:val="2"/>
          <w:sz w:val="32"/>
          <w:szCs w:val="32"/>
          <w:lang w:val="en-US" w:eastAsia="zh-CN" w:bidi="ar-SA"/>
        </w:rPr>
        <w:t>2023年12月22日</w:t>
      </w:r>
    </w:p>
    <w:p w14:paraId="750418CE">
      <w:pPr>
        <w:keepNext w:val="0"/>
        <w:keepLines w:val="0"/>
        <w:pageBreakBefore w:val="0"/>
        <w:widowControl/>
        <w:suppressLineNumbers w:val="0"/>
        <w:kinsoku/>
        <w:wordWrap/>
        <w:overflowPunct/>
        <w:topLinePunct w:val="0"/>
        <w:autoSpaceDE/>
        <w:autoSpaceDN/>
        <w:bidi w:val="0"/>
        <w:spacing w:line="600" w:lineRule="exact"/>
        <w:ind w:firstLine="640" w:firstLineChars="200"/>
        <w:jc w:val="both"/>
        <w:textAlignment w:val="auto"/>
        <w:rPr>
          <w:rStyle w:val="12"/>
          <w:rFonts w:hint="default" w:ascii="Times New Roman" w:hAnsi="Times New Roman" w:eastAsia="宋体" w:cs="Times New Roman"/>
          <w:sz w:val="32"/>
          <w:szCs w:val="32"/>
          <w:lang w:val="en-US" w:eastAsia="zh-CN"/>
        </w:rPr>
      </w:pPr>
    </w:p>
    <w:p w14:paraId="5400181F">
      <w:pPr>
        <w:tabs>
          <w:tab w:val="left" w:pos="720"/>
        </w:tabs>
        <w:bidi w:val="0"/>
        <w:ind w:firstLine="640" w:firstLineChars="200"/>
        <w:jc w:val="left"/>
        <w:rPr>
          <w:rStyle w:val="9"/>
          <w:rFonts w:hint="eastAsia" w:ascii="楷体" w:hAnsi="楷体" w:eastAsia="楷体" w:cs="楷体"/>
          <w:b w:val="0"/>
          <w:bCs/>
          <w:kern w:val="0"/>
          <w:sz w:val="32"/>
          <w:szCs w:val="32"/>
          <w:lang w:val="en-US" w:eastAsia="zh-CN" w:bidi="ar"/>
        </w:rPr>
      </w:pPr>
    </w:p>
    <w:p w14:paraId="59462706"/>
    <w:p w14:paraId="63AD5ED0"/>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9A8DF8-6208-46F1-8435-3D994E8C6A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7F000AC-1AC9-4733-A75E-E5F47B0D666E}"/>
  </w:font>
  <w:font w:name="楷体">
    <w:panose1 w:val="02010609060101010101"/>
    <w:charset w:val="86"/>
    <w:family w:val="auto"/>
    <w:pitch w:val="default"/>
    <w:sig w:usb0="800002BF" w:usb1="38CF7CFA" w:usb2="00000016" w:usb3="00000000" w:csb0="00040001" w:csb1="00000000"/>
    <w:embedRegular r:id="rId3" w:fontKey="{07D4DB77-1EC2-41B1-9C0C-E84EDEA792BD}"/>
  </w:font>
  <w:font w:name="方正小标宋简体">
    <w:panose1 w:val="03000509000000000000"/>
    <w:charset w:val="86"/>
    <w:family w:val="auto"/>
    <w:pitch w:val="default"/>
    <w:sig w:usb0="00000001" w:usb1="080E0000" w:usb2="00000000" w:usb3="00000000" w:csb0="00040000" w:csb1="00000000"/>
    <w:embedRegular r:id="rId4" w:fontKey="{AED374C1-052C-4012-8E8E-EDDACC420F53}"/>
  </w:font>
  <w:font w:name="仿宋">
    <w:panose1 w:val="02010609060101010101"/>
    <w:charset w:val="86"/>
    <w:family w:val="auto"/>
    <w:pitch w:val="default"/>
    <w:sig w:usb0="800002BF" w:usb1="38CF7CFA" w:usb2="00000016" w:usb3="00000000" w:csb0="00040001" w:csb1="00000000"/>
    <w:embedRegular r:id="rId5" w:fontKey="{13D3DF41-6D0D-4558-9671-1CAACDC1E553}"/>
  </w:font>
  <w:font w:name="仿宋_GB2312">
    <w:panose1 w:val="02010609030101010101"/>
    <w:charset w:val="86"/>
    <w:family w:val="auto"/>
    <w:pitch w:val="default"/>
    <w:sig w:usb0="00000001" w:usb1="080E0000" w:usb2="00000000" w:usb3="00000000" w:csb0="00040000" w:csb1="00000000"/>
    <w:embedRegular r:id="rId6" w:fontKey="{EEECFC89-4C36-46B3-8398-33B67E9C2A80}"/>
  </w:font>
  <w:font w:name="楷体_GB2312">
    <w:panose1 w:val="02010609030101010101"/>
    <w:charset w:val="86"/>
    <w:family w:val="auto"/>
    <w:pitch w:val="default"/>
    <w:sig w:usb0="00000001" w:usb1="080E0000" w:usb2="00000000" w:usb3="00000000" w:csb0="00040000" w:csb1="00000000"/>
    <w:embedRegular r:id="rId7" w:fontKey="{198E2BAF-34F4-4FA5-8EB1-D7B503A74F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8C7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-209550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2DC85">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5pt;height:144pt;width:144pt;mso-position-horizontal:outside;mso-position-horizontal-relative:margin;mso-wrap-style:none;z-index:251659264;mso-width-relative:page;mso-height-relative:page;" filled="f" stroked="f" coordsize="21600,21600" o:gfxdata="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cnqpP1AAAAAgBAAAPAAAAAAAAAAEAIAAAACIAAABkcnMvZG93bnJldi54bWxQSwEC&#10;FAAUAAAACACHTuJAa4X5+zECAABhBAAADgAAAAAAAAABACAAAAAjAQAAZHJzL2Uyb0RvYy54bWxQ&#10;SwUGAAAAAAYABgBZAQAAxgUAAAAA&#10;">
              <v:fill on="f" focussize="0,0"/>
              <v:stroke on="f" weight="0.5pt"/>
              <v:imagedata o:title=""/>
              <o:lock v:ext="edit" aspectratio="f"/>
              <v:textbox inset="0mm,0mm,0mm,0mm" style="mso-fit-shape-to-text:t;">
                <w:txbxContent>
                  <w:p w14:paraId="0B52DC85">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mNDM4ZDk2ZTg3MWJkOGNhYzE4NGZmYWM5NjAifQ=="/>
  </w:docVars>
  <w:rsids>
    <w:rsidRoot w:val="74051F4E"/>
    <w:rsid w:val="025D306A"/>
    <w:rsid w:val="16E50E0E"/>
    <w:rsid w:val="22715F0F"/>
    <w:rsid w:val="393A74DD"/>
    <w:rsid w:val="4F3F23F5"/>
    <w:rsid w:val="59875C59"/>
    <w:rsid w:val="6A1F29C9"/>
    <w:rsid w:val="74051F4E"/>
    <w:rsid w:val="7F0E4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12"/>
    <w:autoRedefine/>
    <w:qFormat/>
    <w:uiPriority w:val="0"/>
    <w:pPr>
      <w:spacing w:beforeAutospacing="0" w:afterAutospacing="0" w:line="600" w:lineRule="exact"/>
      <w:ind w:firstLine="640" w:firstLineChars="200"/>
      <w:jc w:val="both"/>
      <w:outlineLvl w:val="1"/>
    </w:pPr>
    <w:rPr>
      <w:rFonts w:hint="eastAsia" w:ascii="宋体" w:hAnsi="宋体" w:eastAsia="楷体" w:cs="宋体"/>
      <w:kern w:val="0"/>
      <w:sz w:val="32"/>
      <w:szCs w:val="36"/>
    </w:rPr>
  </w:style>
  <w:style w:type="paragraph" w:styleId="2">
    <w:name w:val="heading 5"/>
    <w:basedOn w:val="1"/>
    <w:next w:val="1"/>
    <w:autoRedefine/>
    <w:qFormat/>
    <w:uiPriority w:val="0"/>
    <w:pPr>
      <w:keepNext/>
      <w:keepLines/>
      <w:spacing w:before="280" w:beforeAutospacing="0" w:after="290" w:afterAutospacing="0" w:line="372" w:lineRule="auto"/>
      <w:outlineLvl w:val="4"/>
    </w:pPr>
    <w:rPr>
      <w:sz w:val="28"/>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Strong"/>
    <w:basedOn w:val="8"/>
    <w:autoRedefine/>
    <w:qFormat/>
    <w:uiPriority w:val="0"/>
    <w:rPr>
      <w:b/>
    </w:rPr>
  </w:style>
  <w:style w:type="character" w:customStyle="1" w:styleId="10">
    <w:name w:val="NormalCharacter"/>
    <w:link w:val="11"/>
    <w:autoRedefine/>
    <w:semiHidden/>
    <w:qFormat/>
    <w:uiPriority w:val="0"/>
  </w:style>
  <w:style w:type="paragraph" w:customStyle="1" w:styleId="11">
    <w:name w:val="UserStyle_5"/>
    <w:basedOn w:val="1"/>
    <w:link w:val="10"/>
    <w:autoRedefine/>
    <w:qFormat/>
    <w:uiPriority w:val="0"/>
    <w:pPr>
      <w:widowControl/>
      <w:spacing w:line="360" w:lineRule="auto"/>
      <w:jc w:val="left"/>
      <w:textAlignment w:val="baseline"/>
    </w:pPr>
  </w:style>
  <w:style w:type="character" w:customStyle="1" w:styleId="12">
    <w:name w:val="标题 2 字符"/>
    <w:basedOn w:val="8"/>
    <w:link w:val="3"/>
    <w:autoRedefine/>
    <w:qFormat/>
    <w:uiPriority w:val="0"/>
    <w:rPr>
      <w:rFonts w:hint="eastAsia" w:ascii="宋体" w:hAnsi="宋体" w:eastAsia="楷体" w:cs="宋体"/>
      <w:kern w:val="0"/>
      <w:sz w:val="32"/>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2259</Words>
  <Characters>2297</Characters>
  <Lines>0</Lines>
  <Paragraphs>0</Paragraphs>
  <TotalTime>12</TotalTime>
  <ScaleCrop>false</ScaleCrop>
  <LinksUpToDate>false</LinksUpToDate>
  <CharactersWithSpaces>2298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2023-12-22T00:50:00Z</dcterms:created>
  <dc:creator>法律张志瑞</dc:creator>
  <cp:lastModifiedBy>稳稳的幸福</cp:lastModifiedBy>
  <cp:lastPrinted>2023-12-25T07:06:00Z</cp:lastPrinted>
  <dcterms:modified xsi:type="dcterms:W3CDTF">2025-01-03T09:38:36Z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F6DA1C303DF548B1A3E7391705858F35_13</vt:lpwstr>
  </property>
  <property fmtid="{D5CDD505-2E9C-101B-9397-08002B2CF9AE}" pid="4" name="KSOTemplateDocerSaveRecord">
    <vt:lpwstr>eyJoZGlkIjoiYTgyOWZmNDM4ZDk2ZTg3MWJkOGNhYzE4NGZmYWM5NjAiLCJ1c2VySWQiOiIzODA3NjE3NzUifQ==</vt:lpwstr>
  </property>
</Properties>
</file>