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napToGrid w:val="0"/>
          <w:color w:val="000000"/>
          <w:kern w:val="0"/>
          <w:sz w:val="44"/>
          <w:szCs w:val="44"/>
          <w:lang w:eastAsia="zh-CN"/>
        </w:rPr>
      </w:pPr>
      <w:r>
        <w:rPr>
          <w:rFonts w:hint="eastAsia" w:ascii="方正小标宋简体" w:hAnsi="方正小标宋简体" w:eastAsia="方正小标宋简体" w:cs="方正小标宋简体"/>
          <w:snapToGrid w:val="0"/>
          <w:color w:val="000000"/>
          <w:kern w:val="0"/>
          <w:sz w:val="44"/>
          <w:szCs w:val="44"/>
          <w:lang w:val="en-US" w:eastAsia="zh-CN"/>
        </w:rPr>
        <w:t>古县</w:t>
      </w:r>
      <w:r>
        <w:rPr>
          <w:rFonts w:hint="eastAsia" w:ascii="方正小标宋简体" w:hAnsi="方正小标宋简体" w:eastAsia="方正小标宋简体" w:cs="方正小标宋简体"/>
          <w:snapToGrid w:val="0"/>
          <w:color w:val="000000"/>
          <w:kern w:val="0"/>
          <w:sz w:val="44"/>
          <w:szCs w:val="44"/>
          <w:lang w:eastAsia="zh-CN"/>
        </w:rPr>
        <w:t>岳阳镇</w:t>
      </w:r>
    </w:p>
    <w:p>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napToGrid w:val="0"/>
          <w:color w:val="auto"/>
          <w:w w:val="100"/>
          <w:kern w:val="0"/>
          <w:sz w:val="44"/>
          <w:szCs w:val="44"/>
          <w:lang w:eastAsia="zh-CN"/>
        </w:rPr>
      </w:pPr>
      <w:r>
        <w:rPr>
          <w:rFonts w:hint="default" w:ascii="Times New Roman" w:hAnsi="Times New Roman" w:eastAsia="方正小标宋简体" w:cs="Times New Roman"/>
          <w:snapToGrid w:val="0"/>
          <w:color w:val="000000"/>
          <w:kern w:val="0"/>
          <w:sz w:val="44"/>
          <w:szCs w:val="44"/>
          <w:lang w:eastAsia="zh-CN"/>
        </w:rPr>
        <w:t>202</w:t>
      </w:r>
      <w:r>
        <w:rPr>
          <w:rFonts w:hint="default" w:ascii="Times New Roman" w:hAnsi="Times New Roman" w:eastAsia="方正小标宋简体" w:cs="Times New Roman"/>
          <w:snapToGrid w:val="0"/>
          <w:color w:val="000000"/>
          <w:kern w:val="0"/>
          <w:sz w:val="44"/>
          <w:szCs w:val="44"/>
          <w:lang w:val="en-US" w:eastAsia="zh-CN"/>
        </w:rPr>
        <w:t>3</w:t>
      </w:r>
      <w:r>
        <w:rPr>
          <w:rFonts w:hint="eastAsia" w:ascii="方正小标宋简体" w:hAnsi="方正小标宋简体" w:eastAsia="方正小标宋简体" w:cs="方正小标宋简体"/>
          <w:snapToGrid w:val="0"/>
          <w:color w:val="000000"/>
          <w:kern w:val="0"/>
          <w:sz w:val="44"/>
          <w:szCs w:val="44"/>
          <w:lang w:eastAsia="zh-CN"/>
        </w:rPr>
        <w:t>年</w:t>
      </w:r>
      <w:r>
        <w:rPr>
          <w:rFonts w:hint="eastAsia" w:ascii="方正小标宋简体" w:hAnsi="方正小标宋简体" w:eastAsia="方正小标宋简体" w:cs="方正小标宋简体"/>
          <w:snapToGrid w:val="0"/>
          <w:color w:val="000000"/>
          <w:kern w:val="0"/>
          <w:sz w:val="44"/>
          <w:szCs w:val="44"/>
          <w:lang w:val="en-US" w:eastAsia="zh-CN"/>
        </w:rPr>
        <w:t>度</w:t>
      </w:r>
      <w:r>
        <w:rPr>
          <w:rFonts w:hint="eastAsia" w:ascii="方正小标宋简体" w:hAnsi="方正小标宋简体" w:eastAsia="方正小标宋简体" w:cs="方正小标宋简体"/>
          <w:snapToGrid w:val="0"/>
          <w:color w:val="000000"/>
          <w:kern w:val="0"/>
          <w:sz w:val="44"/>
          <w:szCs w:val="44"/>
          <w:lang w:eastAsia="zh-CN"/>
        </w:rPr>
        <w:t>法治政府建设情况报告</w:t>
      </w:r>
    </w:p>
    <w:p>
      <w:pPr>
        <w:keepNext w:val="0"/>
        <w:keepLines w:val="0"/>
        <w:pageBreakBefore w:val="0"/>
        <w:widowControl w:val="0"/>
        <w:kinsoku/>
        <w:wordWrap/>
        <w:overflowPunct/>
        <w:topLinePunct/>
        <w:autoSpaceDE/>
        <w:autoSpaceDN/>
        <w:bidi w:val="0"/>
        <w:adjustRightInd/>
        <w:snapToGrid/>
        <w:spacing w:line="600" w:lineRule="exact"/>
        <w:ind w:firstLine="880" w:firstLineChars="200"/>
        <w:jc w:val="center"/>
        <w:textAlignment w:val="auto"/>
        <w:rPr>
          <w:rFonts w:hint="eastAsia" w:ascii="方正小标宋简体" w:hAnsi="方正小标宋简体" w:eastAsia="方正小标宋简体" w:cs="方正小标宋简体"/>
          <w:snapToGrid w:val="0"/>
          <w:color w:val="auto"/>
          <w:w w:val="100"/>
          <w:kern w:val="0"/>
          <w:sz w:val="44"/>
          <w:szCs w:val="44"/>
          <w:lang w:eastAsia="zh-CN"/>
        </w:rPr>
      </w:pP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napToGrid w:val="0"/>
          <w:color w:val="auto"/>
          <w:w w:val="100"/>
          <w:kern w:val="0"/>
          <w:sz w:val="32"/>
          <w:szCs w:val="32"/>
          <w:lang w:val="en-US" w:eastAsia="zh-CN"/>
        </w:rPr>
      </w:pPr>
      <w:r>
        <w:rPr>
          <w:rFonts w:hint="default" w:ascii="Times New Roman" w:hAnsi="Times New Roman" w:eastAsia="仿宋_GB2312" w:cs="Times New Roman"/>
          <w:snapToGrid w:val="0"/>
          <w:color w:val="auto"/>
          <w:w w:val="100"/>
          <w:kern w:val="0"/>
          <w:sz w:val="32"/>
          <w:szCs w:val="32"/>
          <w:lang w:val="en-US" w:eastAsia="zh-CN"/>
        </w:rPr>
        <w:t>2023</w:t>
      </w:r>
      <w:r>
        <w:rPr>
          <w:rFonts w:hint="eastAsia" w:ascii="仿宋_GB2312" w:hAnsi="仿宋_GB2312" w:eastAsia="仿宋_GB2312" w:cs="仿宋_GB2312"/>
          <w:snapToGrid w:val="0"/>
          <w:color w:val="auto"/>
          <w:w w:val="100"/>
          <w:kern w:val="0"/>
          <w:sz w:val="32"/>
          <w:szCs w:val="32"/>
          <w:lang w:val="en-US" w:eastAsia="zh-CN"/>
        </w:rPr>
        <w:t>年，岳阳镇坚持以习近平新时代中国特色社会主义思想为指导，深入学习宣传贯彻习近平法治思想，全面贯彻落实党的二十大精神</w:t>
      </w:r>
      <w:bookmarkStart w:id="0" w:name="_GoBack"/>
      <w:bookmarkEnd w:id="0"/>
      <w:r>
        <w:rPr>
          <w:rFonts w:hint="eastAsia" w:ascii="仿宋_GB2312" w:hAnsi="仿宋_GB2312" w:eastAsia="仿宋_GB2312" w:cs="仿宋_GB2312"/>
          <w:snapToGrid w:val="0"/>
          <w:color w:val="auto"/>
          <w:w w:val="100"/>
          <w:kern w:val="0"/>
          <w:sz w:val="32"/>
          <w:szCs w:val="32"/>
          <w:lang w:val="en-US" w:eastAsia="zh-CN"/>
        </w:rPr>
        <w:t>，围绕县委、县政府关于法治建设的工作安排，以全面推进依法行政和法治政府为目标，坚持依法履行职责、科学民主决策、规范行政执法、强化普法宣传，不断提升依法行政工作能力和水平。现将2022年度法治政府建设情况报告如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eastAsia" w:ascii="黑体" w:hAnsi="黑体" w:eastAsia="黑体" w:cs="黑体"/>
          <w:snapToGrid w:val="0"/>
          <w:color w:val="auto"/>
          <w:w w:val="100"/>
          <w:kern w:val="0"/>
          <w:sz w:val="32"/>
          <w:szCs w:val="32"/>
          <w:lang w:val="en-US" w:eastAsia="zh-CN"/>
        </w:rPr>
      </w:pPr>
      <w:r>
        <w:rPr>
          <w:rFonts w:hint="eastAsia" w:ascii="黑体" w:hAnsi="黑体" w:eastAsia="黑体" w:cs="黑体"/>
          <w:snapToGrid w:val="0"/>
          <w:color w:val="auto"/>
          <w:w w:val="100"/>
          <w:kern w:val="0"/>
          <w:sz w:val="32"/>
          <w:szCs w:val="32"/>
          <w:lang w:val="en-US" w:eastAsia="zh-CN"/>
        </w:rPr>
        <w:t>一、法治政府建设情况</w:t>
      </w:r>
    </w:p>
    <w:p>
      <w:pPr>
        <w:keepNext w:val="0"/>
        <w:keepLines w:val="0"/>
        <w:pageBreakBefore w:val="0"/>
        <w:widowControl w:val="0"/>
        <w:kinsoku/>
        <w:wordWrap/>
        <w:overflowPunct/>
        <w:topLinePunct/>
        <w:autoSpaceDE/>
        <w:autoSpaceDN/>
        <w:bidi w:val="0"/>
        <w:adjustRightInd/>
        <w:snapToGrid/>
        <w:spacing w:line="600" w:lineRule="exact"/>
        <w:ind w:firstLine="642" w:firstLineChars="200"/>
        <w:jc w:val="both"/>
        <w:textAlignment w:val="auto"/>
        <w:rPr>
          <w:rFonts w:hint="eastAsia" w:ascii="楷体_GB2312" w:hAnsi="楷体_GB2312" w:eastAsia="楷体_GB2312" w:cs="楷体_GB2312"/>
          <w:b/>
          <w:bCs/>
          <w:i w:val="0"/>
          <w:caps w:val="0"/>
          <w:color w:val="auto"/>
          <w:spacing w:val="0"/>
          <w:kern w:val="0"/>
          <w:sz w:val="32"/>
          <w:szCs w:val="32"/>
          <w:shd w:val="clear" w:fill="FFFFFF"/>
          <w:lang w:eastAsia="zh-CN" w:bidi="ar"/>
        </w:rPr>
      </w:pPr>
      <w:r>
        <w:rPr>
          <w:rFonts w:hint="eastAsia" w:ascii="楷体_GB2312" w:hAnsi="楷体_GB2312" w:eastAsia="楷体_GB2312" w:cs="楷体_GB2312"/>
          <w:b/>
          <w:bCs/>
          <w:i w:val="0"/>
          <w:caps w:val="0"/>
          <w:color w:val="auto"/>
          <w:spacing w:val="0"/>
          <w:kern w:val="0"/>
          <w:sz w:val="32"/>
          <w:szCs w:val="32"/>
          <w:shd w:val="clear" w:fill="FFFFFF"/>
          <w:lang w:eastAsia="zh-CN" w:bidi="ar"/>
        </w:rPr>
        <w:t>（一）持续加强对法治工作的组织领导</w:t>
      </w: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镇党委、政府高度重视法治政府建设，</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eastAsia="zh-CN"/>
        </w:rPr>
        <w:t>其</w:t>
      </w:r>
      <w:r>
        <w:rPr>
          <w:rFonts w:hint="eastAsia" w:ascii="仿宋_GB2312" w:hAnsi="仿宋_GB2312" w:eastAsia="仿宋_GB2312" w:cs="仿宋_GB2312"/>
          <w:sz w:val="32"/>
          <w:szCs w:val="32"/>
          <w:lang w:val="en-US" w:eastAsia="zh-CN"/>
        </w:rPr>
        <w:t>纳入全镇经济社会发展总体规划和年度工作计划，</w:t>
      </w:r>
      <w:r>
        <w:rPr>
          <w:rFonts w:hint="eastAsia" w:ascii="仿宋_GB2312" w:hAnsi="仿宋_GB2312" w:eastAsia="仿宋_GB2312" w:cs="仿宋_GB2312"/>
          <w:sz w:val="32"/>
          <w:szCs w:val="32"/>
        </w:rPr>
        <w:t>与镇党委、政府</w:t>
      </w:r>
      <w:r>
        <w:rPr>
          <w:rFonts w:hint="eastAsia" w:ascii="仿宋_GB2312" w:hAnsi="仿宋_GB2312" w:eastAsia="仿宋_GB2312" w:cs="仿宋_GB2312"/>
          <w:sz w:val="32"/>
          <w:szCs w:val="32"/>
          <w:lang w:val="en-US" w:eastAsia="zh-CN"/>
        </w:rPr>
        <w:t>经济社会发展工作同部署、同推进、同落实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明确党政主要负责人工作职责和任务分工，持续强化组织领导以及</w:t>
      </w:r>
      <w:r>
        <w:rPr>
          <w:rFonts w:hint="eastAsia" w:ascii="仿宋_GB2312" w:hAnsi="仿宋_GB2312" w:eastAsia="仿宋_GB2312" w:cs="仿宋_GB2312"/>
          <w:sz w:val="32"/>
          <w:szCs w:val="32"/>
          <w:lang w:val="en-US" w:eastAsia="zh-CN"/>
        </w:rPr>
        <w:t>法治建设工作机制，</w:t>
      </w:r>
      <w:r>
        <w:rPr>
          <w:rFonts w:hint="eastAsia" w:ascii="仿宋_GB2312" w:hAnsi="仿宋_GB2312" w:eastAsia="仿宋_GB2312" w:cs="仿宋_GB2312"/>
          <w:sz w:val="32"/>
          <w:szCs w:val="32"/>
        </w:rPr>
        <w:t>切实推动党政主要负责人履行推进法治建设第一责任人职责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充分发挥镇综治办公室的法治建设办公室职能，党委副书记、政法委员专门负责法治建设工作的统筹组织协调。形成主要领导亲自抓，分管领导具体抓，各站所、村社区配合抓的工作局面，</w:t>
      </w:r>
      <w:r>
        <w:rPr>
          <w:rFonts w:hint="eastAsia" w:ascii="仿宋_GB2312" w:hAnsi="仿宋_GB2312" w:eastAsia="仿宋_GB2312" w:cs="仿宋_GB2312"/>
          <w:sz w:val="32"/>
          <w:szCs w:val="32"/>
          <w:lang w:eastAsia="zh-CN"/>
        </w:rPr>
        <w:t>不断推动法治建设制度化、常态化。</w:t>
      </w:r>
    </w:p>
    <w:p>
      <w:pPr>
        <w:keepNext w:val="0"/>
        <w:keepLines w:val="0"/>
        <w:pageBreakBefore w:val="0"/>
        <w:widowControl w:val="0"/>
        <w:numPr>
          <w:ilvl w:val="0"/>
          <w:numId w:val="1"/>
        </w:numPr>
        <w:kinsoku/>
        <w:wordWrap/>
        <w:overflowPunct/>
        <w:autoSpaceDE/>
        <w:autoSpaceDN/>
        <w:bidi w:val="0"/>
        <w:adjustRightInd/>
        <w:snapToGrid/>
        <w:spacing w:line="600" w:lineRule="exact"/>
        <w:ind w:left="-13" w:leftChars="0" w:firstLine="643" w:firstLineChars="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不断提升法治工作能力水平</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把法治建设纳入本单位发展总体规划和年度工作计划,对重要工作亲自部署、重大问题亲自过问、</w:t>
      </w:r>
      <w:r>
        <w:rPr>
          <w:rFonts w:hint="eastAsia" w:ascii="仿宋_GB2312" w:hAnsi="仿宋_GB2312" w:eastAsia="仿宋_GB2312" w:cs="仿宋_GB2312"/>
          <w:b w:val="0"/>
          <w:bCs w:val="0"/>
          <w:sz w:val="32"/>
          <w:szCs w:val="32"/>
        </w:rPr>
        <w:t>重点环节</w:t>
      </w:r>
      <w:r>
        <w:rPr>
          <w:rFonts w:hint="eastAsia" w:ascii="仿宋_GB2312" w:hAnsi="仿宋_GB2312" w:eastAsia="仿宋_GB2312" w:cs="仿宋_GB2312"/>
          <w:b w:val="0"/>
          <w:bCs w:val="0"/>
          <w:sz w:val="32"/>
          <w:szCs w:val="32"/>
          <w:lang w:val="en-US" w:eastAsia="zh-CN"/>
        </w:rPr>
        <w:t>亲自</w:t>
      </w:r>
      <w:r>
        <w:rPr>
          <w:rFonts w:hint="eastAsia" w:ascii="仿宋_GB2312" w:hAnsi="仿宋_GB2312" w:eastAsia="仿宋_GB2312" w:cs="仿宋_GB2312"/>
          <w:b w:val="0"/>
          <w:bCs w:val="0"/>
          <w:sz w:val="32"/>
          <w:szCs w:val="32"/>
        </w:rPr>
        <w:t>协调、</w:t>
      </w:r>
      <w:r>
        <w:rPr>
          <w:rFonts w:hint="eastAsia" w:ascii="仿宋_GB2312" w:hAnsi="仿宋_GB2312" w:eastAsia="仿宋_GB2312" w:cs="仿宋_GB2312"/>
          <w:b w:val="0"/>
          <w:bCs w:val="0"/>
          <w:sz w:val="32"/>
          <w:szCs w:val="32"/>
          <w:lang w:val="en-US" w:eastAsia="zh-CN"/>
        </w:rPr>
        <w:t>重点环节</w:t>
      </w:r>
      <w:r>
        <w:rPr>
          <w:rFonts w:hint="eastAsia" w:ascii="仿宋_GB2312" w:hAnsi="仿宋_GB2312" w:eastAsia="仿宋_GB2312" w:cs="仿宋_GB2312"/>
          <w:sz w:val="32"/>
          <w:szCs w:val="32"/>
          <w:lang w:val="en-US" w:eastAsia="zh-CN"/>
        </w:rPr>
        <w:t>亲自督办。</w:t>
      </w:r>
      <w:r>
        <w:rPr>
          <w:rFonts w:hint="eastAsia" w:ascii="仿宋_GB2312" w:hAnsi="仿宋_GB2312" w:eastAsia="仿宋_GB2312" w:cs="仿宋_GB2312"/>
          <w:sz w:val="32"/>
          <w:szCs w:val="32"/>
          <w:lang w:eastAsia="zh-CN"/>
        </w:rPr>
        <w:t>多措并举抓好学法、释法、警示、法治教育工作。坚持理论学习中心组学法常态化，将习近平法治思想《宪法》《</w:t>
      </w:r>
      <w:r>
        <w:rPr>
          <w:rFonts w:hint="eastAsia" w:ascii="仿宋_GB2312" w:hAnsi="仿宋_GB2312" w:eastAsia="仿宋_GB2312" w:cs="仿宋_GB2312"/>
          <w:sz w:val="32"/>
          <w:szCs w:val="32"/>
          <w:lang w:val="en-US" w:eastAsia="zh-CN"/>
        </w:rPr>
        <w:t>论坚持全面依法治国</w:t>
      </w:r>
      <w:r>
        <w:rPr>
          <w:rFonts w:hint="eastAsia" w:ascii="仿宋_GB2312" w:hAnsi="仿宋_GB2312" w:eastAsia="仿宋_GB2312" w:cs="仿宋_GB2312"/>
          <w:sz w:val="32"/>
          <w:szCs w:val="32"/>
          <w:lang w:eastAsia="zh-CN"/>
        </w:rPr>
        <w:t>》《民法典》《反有组织犯罪法》《中国共产党政法工作条例》《信访工作条例》</w:t>
      </w:r>
      <w:r>
        <w:rPr>
          <w:rFonts w:hint="eastAsia" w:ascii="仿宋_GB2312" w:hAnsi="仿宋_GB2312" w:eastAsia="仿宋_GB2312" w:cs="仿宋_GB2312"/>
          <w:sz w:val="32"/>
          <w:szCs w:val="32"/>
          <w:lang w:val="en-US" w:eastAsia="zh-CN"/>
        </w:rPr>
        <w:t>等法律法规</w:t>
      </w:r>
      <w:r>
        <w:rPr>
          <w:rFonts w:hint="eastAsia" w:ascii="仿宋_GB2312" w:hAnsi="仿宋_GB2312" w:eastAsia="仿宋_GB2312" w:cs="仿宋_GB2312"/>
          <w:sz w:val="32"/>
          <w:szCs w:val="32"/>
          <w:lang w:eastAsia="zh-CN"/>
        </w:rPr>
        <w:t>纳入学习</w:t>
      </w:r>
      <w:r>
        <w:rPr>
          <w:rFonts w:hint="eastAsia" w:ascii="仿宋_GB2312" w:hAnsi="仿宋_GB2312" w:eastAsia="仿宋_GB2312" w:cs="仿宋_GB2312"/>
          <w:sz w:val="32"/>
          <w:szCs w:val="32"/>
          <w:lang w:val="en-US" w:eastAsia="zh-CN"/>
        </w:rPr>
        <w:t>培训</w:t>
      </w:r>
      <w:r>
        <w:rPr>
          <w:rFonts w:hint="eastAsia" w:ascii="仿宋_GB2312" w:hAnsi="仿宋_GB2312" w:eastAsia="仿宋_GB2312" w:cs="仿宋_GB2312"/>
          <w:sz w:val="32"/>
          <w:szCs w:val="32"/>
          <w:lang w:eastAsia="zh-CN"/>
        </w:rPr>
        <w:t>计划，及时将最新法治工作精神纳入学习内容。运用学习强国、山西干部在线、行政执法培训等方式，全面提高干部法律思维和依法办事能力，切实增强运用法治思维和法治</w:t>
      </w:r>
      <w:r>
        <w:rPr>
          <w:rFonts w:hint="eastAsia" w:ascii="仿宋_GB2312" w:hAnsi="仿宋_GB2312" w:eastAsia="仿宋_GB2312" w:cs="仿宋_GB2312"/>
          <w:sz w:val="32"/>
          <w:szCs w:val="32"/>
        </w:rPr>
        <w:t>方式开展工作的本领。</w:t>
      </w:r>
      <w:r>
        <w:rPr>
          <w:rFonts w:hint="eastAsia" w:ascii="仿宋_GB2312" w:hAnsi="仿宋_GB2312" w:eastAsia="仿宋_GB2312" w:cs="仿宋_GB2312"/>
          <w:sz w:val="32"/>
          <w:szCs w:val="32"/>
          <w:lang w:val="en-US" w:eastAsia="zh-CN"/>
        </w:rPr>
        <w:t>及时研究解决法治建设有关问题,真正把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岳阳镇</w:t>
      </w:r>
      <w:r>
        <w:rPr>
          <w:rFonts w:hint="eastAsia" w:ascii="仿宋_GB2312" w:hAnsi="仿宋_GB2312" w:eastAsia="仿宋_GB2312" w:cs="仿宋_GB2312"/>
          <w:sz w:val="32"/>
          <w:szCs w:val="32"/>
        </w:rPr>
        <w:t>党政主要负责人履行推进法治建设第一责任人职责清单》</w:t>
      </w:r>
      <w:r>
        <w:rPr>
          <w:rFonts w:hint="eastAsia" w:ascii="仿宋_GB2312" w:hAnsi="仿宋_GB2312" w:eastAsia="仿宋_GB2312" w:cs="仿宋_GB2312"/>
          <w:sz w:val="32"/>
          <w:szCs w:val="32"/>
          <w:lang w:val="en-US" w:eastAsia="zh-CN"/>
        </w:rPr>
        <w:t>所列职责一条一条履行好、落实好,充分发挥好在法治建设中引领示范作用,自觉为全镇作表率。</w:t>
      </w:r>
    </w:p>
    <w:p>
      <w:pPr>
        <w:keepNext w:val="0"/>
        <w:keepLines w:val="0"/>
        <w:pageBreakBefore w:val="0"/>
        <w:widowControl w:val="0"/>
        <w:numPr>
          <w:ilvl w:val="0"/>
          <w:numId w:val="1"/>
        </w:numPr>
        <w:kinsoku/>
        <w:wordWrap/>
        <w:overflowPunct/>
        <w:autoSpaceDE/>
        <w:autoSpaceDN/>
        <w:bidi w:val="0"/>
        <w:adjustRightInd/>
        <w:snapToGrid/>
        <w:spacing w:line="600" w:lineRule="exact"/>
        <w:ind w:left="-13" w:leftChars="0" w:firstLine="643" w:firstLineChars="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持续加大法治宣传力度</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组织开展形式上灵活多样，范围上覆盖全镇，内容上针对性强的普法活动，</w:t>
      </w:r>
      <w:r>
        <w:rPr>
          <w:rFonts w:hint="eastAsia" w:ascii="仿宋_GB2312" w:hAnsi="仿宋_GB2312" w:eastAsia="仿宋_GB2312" w:cs="仿宋_GB2312"/>
          <w:sz w:val="32"/>
          <w:szCs w:val="32"/>
          <w:lang w:eastAsia="zh-CN"/>
        </w:rPr>
        <w:t>宪法宣传周期间，精心组织、周密安排、多种途径、多管齐下开展宪法宣传，镇、村社区、网格员、志愿者齐上阵，通过党务公开、政策法规公示、政务信息公开、微信转发、入户宣传等形式，广泛向社会宣传法治工作内容，营造了浓厚的学法、守法、懂法、用法的社会氛围。及时跟进，</w:t>
      </w:r>
      <w:r>
        <w:rPr>
          <w:rFonts w:hint="eastAsia" w:ascii="仿宋_GB2312" w:hAnsi="仿宋_GB2312" w:eastAsia="仿宋_GB2312" w:cs="仿宋_GB2312"/>
          <w:sz w:val="32"/>
          <w:szCs w:val="32"/>
          <w:lang w:val="en-US" w:eastAsia="zh-CN"/>
        </w:rPr>
        <w:t>积极开展关于电信诈骗、帮信罪、反邪教等宣传，</w:t>
      </w:r>
      <w:r>
        <w:rPr>
          <w:rFonts w:hint="eastAsia" w:ascii="仿宋_GB2312" w:hAnsi="仿宋_GB2312" w:eastAsia="仿宋_GB2312" w:cs="仿宋_GB2312"/>
          <w:sz w:val="32"/>
          <w:szCs w:val="32"/>
          <w:lang w:eastAsia="zh-CN"/>
        </w:rPr>
        <w:t>安排各村社区在主题党日活动中融入学习习近平法治思想、宣传法律法规的内容，并通过户外电子显示屏开展宣传活动</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autoSpaceDE/>
        <w:autoSpaceDN/>
        <w:bidi w:val="0"/>
        <w:adjustRightInd/>
        <w:snapToGrid/>
        <w:spacing w:line="600" w:lineRule="exact"/>
        <w:ind w:firstLine="642" w:firstLineChars="200"/>
        <w:jc w:val="both"/>
        <w:textAlignment w:val="auto"/>
        <w:rPr>
          <w:rFonts w:hint="eastAsia" w:ascii="楷体_GB2312" w:hAnsi="楷体_GB2312" w:eastAsia="楷体_GB2312" w:cs="楷体_GB2312"/>
          <w:snapToGrid w:val="0"/>
          <w:color w:val="auto"/>
          <w:w w:val="100"/>
          <w:kern w:val="0"/>
          <w:sz w:val="32"/>
          <w:szCs w:val="32"/>
          <w:lang w:eastAsia="zh-CN"/>
        </w:rPr>
      </w:pPr>
      <w:r>
        <w:rPr>
          <w:rFonts w:hint="eastAsia" w:ascii="楷体_GB2312" w:hAnsi="楷体_GB2312" w:eastAsia="楷体_GB2312" w:cs="楷体_GB2312"/>
          <w:b/>
          <w:bCs/>
          <w:i w:val="0"/>
          <w:caps w:val="0"/>
          <w:color w:val="auto"/>
          <w:spacing w:val="0"/>
          <w:kern w:val="0"/>
          <w:sz w:val="32"/>
          <w:szCs w:val="32"/>
          <w:shd w:val="clear" w:fill="FFFFFF"/>
          <w:lang w:eastAsia="zh-CN" w:bidi="ar"/>
        </w:rPr>
        <w:t>（四）建好</w:t>
      </w:r>
      <w:r>
        <w:rPr>
          <w:rFonts w:hint="eastAsia" w:ascii="楷体_GB2312" w:hAnsi="楷体_GB2312" w:eastAsia="楷体_GB2312" w:cs="楷体_GB2312"/>
          <w:b/>
          <w:bCs/>
          <w:sz w:val="32"/>
          <w:szCs w:val="32"/>
          <w:lang w:val="en-US" w:eastAsia="zh-CN"/>
        </w:rPr>
        <w:t>建强行政执法队伍</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napToGrid w:val="0"/>
          <w:color w:val="auto"/>
          <w:w w:val="100"/>
          <w:kern w:val="0"/>
          <w:sz w:val="32"/>
          <w:szCs w:val="32"/>
          <w:lang w:eastAsia="zh-CN"/>
        </w:rPr>
      </w:pPr>
      <w:r>
        <w:rPr>
          <w:rFonts w:hint="default" w:ascii="Times New Roman" w:hAnsi="Times New Roman" w:eastAsia="仿宋_GB2312" w:cs="Times New Roman"/>
          <w:snapToGrid w:val="0"/>
          <w:color w:val="auto"/>
          <w:w w:val="100"/>
          <w:kern w:val="0"/>
          <w:sz w:val="32"/>
          <w:szCs w:val="32"/>
          <w:lang w:eastAsia="zh-CN"/>
        </w:rPr>
        <w:t>2022年6</w:t>
      </w:r>
      <w:r>
        <w:rPr>
          <w:rFonts w:hint="eastAsia" w:ascii="仿宋_GB2312" w:hAnsi="仿宋_GB2312" w:eastAsia="仿宋_GB2312" w:cs="仿宋_GB2312"/>
          <w:snapToGrid w:val="0"/>
          <w:color w:val="auto"/>
          <w:w w:val="100"/>
          <w:kern w:val="0"/>
          <w:sz w:val="32"/>
          <w:szCs w:val="32"/>
          <w:lang w:eastAsia="zh-CN"/>
        </w:rPr>
        <w:t>月，岳阳镇深化乡镇综合行政执法体制改革，整合了执法力量和资源，组建综合行政执法队，配齐配强执法队伍，实现了“一支队伍管执法”。为进一步建好建强执法队伍，提升执法能力水平，</w:t>
      </w:r>
      <w:r>
        <w:rPr>
          <w:rFonts w:hint="eastAsia" w:ascii="仿宋_GB2312" w:hAnsi="仿宋_GB2312" w:eastAsia="仿宋_GB2312" w:cs="仿宋_GB2312"/>
          <w:sz w:val="32"/>
          <w:szCs w:val="32"/>
          <w:lang w:val="en-US" w:eastAsia="zh-CN"/>
        </w:rPr>
        <w:t>坚持按月参与视频司法培训，</w:t>
      </w:r>
      <w:r>
        <w:rPr>
          <w:rFonts w:hint="eastAsia" w:ascii="仿宋_GB2312" w:hAnsi="仿宋_GB2312" w:eastAsia="仿宋_GB2312" w:cs="仿宋_GB2312"/>
          <w:snapToGrid w:val="0"/>
          <w:color w:val="auto"/>
          <w:w w:val="100"/>
          <w:kern w:val="0"/>
          <w:sz w:val="32"/>
          <w:szCs w:val="32"/>
          <w:lang w:eastAsia="zh-CN"/>
        </w:rPr>
        <w:t>积极组织参加乡镇综合行政执法能力提升培训学习，制定</w:t>
      </w:r>
      <w:r>
        <w:rPr>
          <w:rFonts w:hint="eastAsia" w:ascii="仿宋_GB2312" w:hAnsi="仿宋_GB2312" w:eastAsia="仿宋_GB2312" w:cs="仿宋_GB2312"/>
          <w:sz w:val="32"/>
          <w:szCs w:val="32"/>
          <w:lang w:val="en-US" w:eastAsia="zh-CN"/>
        </w:rPr>
        <w:t>《成立岳阳镇综合行政执法队的通知》《行政执法案卷评查制度》《行政执法统计制度》《行政执法尽职免责和容错纠错制度》等一系列文件，按月开展行政执法检查，对辖区内企业开展行政检查</w:t>
      </w:r>
      <w:r>
        <w:rPr>
          <w:rFonts w:hint="default" w:ascii="Times New Roman" w:hAnsi="Times New Roman" w:eastAsia="仿宋_GB2312" w:cs="Times New Roman"/>
          <w:sz w:val="32"/>
          <w:szCs w:val="32"/>
          <w:lang w:val="en-US" w:eastAsia="zh-CN"/>
        </w:rPr>
        <w:t>52次，同时配合县住建局开展燃气安全检查5次，配合消防部门开展“九小场所”等安全检查2次，联合公安、消防等部门开展联合行政执法检查1次。立案调查7起，调查完结已进行行政处罚4起，涉及责任人4人，责任单位1个，处罚金额10万余元，免于行政处罚1起、1人，2</w:t>
      </w:r>
      <w:r>
        <w:rPr>
          <w:rFonts w:hint="eastAsia" w:ascii="仿宋_GB2312" w:hAnsi="仿宋_GB2312" w:eastAsia="仿宋_GB2312" w:cs="仿宋_GB2312"/>
          <w:sz w:val="32"/>
          <w:szCs w:val="32"/>
          <w:lang w:val="en-US" w:eastAsia="zh-CN"/>
        </w:rPr>
        <w:t>起案件已移交公安进行侦查调查。</w:t>
      </w:r>
      <w:r>
        <w:rPr>
          <w:rFonts w:hint="eastAsia" w:ascii="仿宋_GB2312" w:hAnsi="仿宋_GB2312" w:eastAsia="仿宋_GB2312" w:cs="仿宋_GB2312"/>
          <w:snapToGrid w:val="0"/>
          <w:color w:val="auto"/>
          <w:w w:val="100"/>
          <w:kern w:val="0"/>
          <w:sz w:val="32"/>
          <w:szCs w:val="32"/>
          <w:lang w:eastAsia="zh-CN"/>
        </w:rPr>
        <w:t>推进基层社会治理能力提供坚强的法治保障。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30" w:leftChars="0"/>
        <w:jc w:val="both"/>
        <w:textAlignment w:val="auto"/>
        <w:rPr>
          <w:rFonts w:hint="eastAsia" w:ascii="楷体_GB2312" w:hAnsi="楷体_GB2312" w:eastAsia="楷体_GB2312" w:cs="楷体_GB2312"/>
          <w:b/>
          <w:bCs/>
          <w:color w:val="auto"/>
          <w:sz w:val="32"/>
          <w:szCs w:val="32"/>
          <w:lang w:eastAsia="zh-CN"/>
        </w:rPr>
      </w:pPr>
      <w:r>
        <w:rPr>
          <w:rFonts w:hint="eastAsia" w:ascii="楷体_GB2312" w:hAnsi="楷体_GB2312" w:eastAsia="楷体_GB2312" w:cs="楷体_GB2312"/>
          <w:b/>
          <w:bCs/>
          <w:color w:val="auto"/>
          <w:sz w:val="32"/>
          <w:szCs w:val="32"/>
          <w:lang w:eastAsia="zh-CN"/>
        </w:rPr>
        <w:t>（五）高效化解调处矛盾纠纷</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充分</w:t>
      </w:r>
      <w:r>
        <w:rPr>
          <w:rFonts w:hint="eastAsia" w:ascii="仿宋_GB2312" w:hAnsi="仿宋_GB2312" w:eastAsia="仿宋_GB2312" w:cs="仿宋_GB2312"/>
          <w:sz w:val="32"/>
          <w:szCs w:val="32"/>
          <w:lang w:eastAsia="zh-CN"/>
        </w:rPr>
        <w:t>发挥信访工作室职能，抽调政治坚定、经验丰富、善于处理群众信访事项的同志接待来信来访，</w:t>
      </w:r>
      <w:r>
        <w:rPr>
          <w:rFonts w:hint="eastAsia" w:ascii="仿宋_GB2312" w:hAnsi="仿宋_GB2312" w:eastAsia="仿宋_GB2312" w:cs="仿宋_GB2312"/>
          <w:sz w:val="32"/>
          <w:szCs w:val="32"/>
          <w:lang w:val="en-US" w:eastAsia="zh-CN"/>
        </w:rPr>
        <w:t>发挥便民服务大厅接待引导功能，与信访工作室相互配合对来访人员的诉求进行全面了解并进行详细登记和协商解决。</w:t>
      </w:r>
      <w:r>
        <w:rPr>
          <w:rFonts w:hint="eastAsia" w:ascii="仿宋_GB2312" w:hAnsi="仿宋_GB2312" w:eastAsia="仿宋_GB2312" w:cs="仿宋_GB2312"/>
          <w:b w:val="0"/>
          <w:bCs w:val="0"/>
          <w:color w:val="auto"/>
          <w:sz w:val="32"/>
          <w:szCs w:val="32"/>
          <w:lang w:val="en-US" w:eastAsia="zh-CN"/>
        </w:rPr>
        <w:t>制定信访接待工作简易流程，建立信访案件台账，对来信来访做到件件有登记，做到事事有回应、件件有着落。</w:t>
      </w:r>
      <w:r>
        <w:rPr>
          <w:rFonts w:hint="eastAsia" w:ascii="仿宋_GB2312" w:hAnsi="仿宋_GB2312" w:eastAsia="仿宋_GB2312" w:cs="仿宋_GB2312"/>
          <w:sz w:val="32"/>
          <w:szCs w:val="32"/>
          <w:lang w:eastAsia="zh-CN"/>
        </w:rPr>
        <w:t>落实处理与处置、分流、督办等工作流程，确保信访件不漏不压。</w:t>
      </w:r>
      <w:r>
        <w:rPr>
          <w:rFonts w:hint="eastAsia" w:ascii="仿宋_GB2312" w:hAnsi="仿宋_GB2312" w:eastAsia="仿宋_GB2312" w:cs="仿宋_GB2312"/>
          <w:b w:val="0"/>
          <w:bCs w:val="0"/>
          <w:color w:val="auto"/>
          <w:sz w:val="32"/>
          <w:szCs w:val="32"/>
          <w:lang w:val="en-US" w:eastAsia="zh-CN"/>
        </w:rPr>
        <w:t>充分发挥人民调解员、司法员、网格员、法律顾问等在矛盾纠纷排查化解中的重要作用，综合研判、同向发力，特别是在征地拆迁、项目施工等矛盾纠纷易发多发领域，积极引导村民合法表达诉求、维护自身权益。</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jc w:val="both"/>
        <w:textAlignment w:val="auto"/>
        <w:rPr>
          <w:rFonts w:hint="eastAsia" w:ascii="黑体" w:hAnsi="黑体" w:eastAsia="黑体" w:cs="黑体"/>
          <w:snapToGrid w:val="0"/>
          <w:color w:val="auto"/>
          <w:w w:val="100"/>
          <w:kern w:val="0"/>
          <w:sz w:val="32"/>
          <w:szCs w:val="32"/>
          <w:lang w:val="en-US" w:eastAsia="zh-CN" w:bidi="ar-SA"/>
        </w:rPr>
      </w:pPr>
      <w:r>
        <w:rPr>
          <w:rFonts w:hint="eastAsia" w:ascii="黑体" w:hAnsi="黑体" w:eastAsia="黑体" w:cs="黑体"/>
          <w:snapToGrid w:val="0"/>
          <w:color w:val="auto"/>
          <w:w w:val="100"/>
          <w:kern w:val="0"/>
          <w:sz w:val="32"/>
          <w:szCs w:val="32"/>
          <w:lang w:eastAsia="zh-CN"/>
        </w:rPr>
        <w:t>二、存在的问题和不足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虽然工作取得一定成绩，但部分工作还有待进一步强化、完善和提高：一是岳阳镇作为县城所在地乡镇，各项工作涉及点多、面广，社会综合治理和信访工作压力较大，在信访重点人群日常排查方面存在不足；二是乡镇综合执法队工作人员多为兼职，面对下放职权较多、涉及领域较广的情况，在日常执法中只能边学习边执法，工作难度较大。</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eastAsia" w:ascii="黑体" w:hAnsi="黑体" w:eastAsia="黑体" w:cs="黑体"/>
          <w:snapToGrid w:val="0"/>
          <w:color w:val="auto"/>
          <w:w w:val="100"/>
          <w:kern w:val="0"/>
          <w:sz w:val="32"/>
          <w:szCs w:val="32"/>
          <w:lang w:eastAsia="zh-CN"/>
        </w:rPr>
      </w:pPr>
      <w:r>
        <w:rPr>
          <w:rFonts w:hint="eastAsia" w:ascii="黑体" w:hAnsi="黑体" w:eastAsia="黑体" w:cs="黑体"/>
          <w:snapToGrid w:val="0"/>
          <w:color w:val="auto"/>
          <w:w w:val="100"/>
          <w:kern w:val="0"/>
          <w:sz w:val="32"/>
          <w:szCs w:val="32"/>
          <w:lang w:eastAsia="zh-CN"/>
        </w:rPr>
        <w:t>三、下一步工作计划</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napToGrid w:val="0"/>
          <w:color w:val="auto"/>
          <w:w w:val="100"/>
          <w:kern w:val="0"/>
          <w:sz w:val="32"/>
          <w:szCs w:val="32"/>
          <w:lang w:eastAsia="zh-CN"/>
        </w:rPr>
      </w:pPr>
      <w:r>
        <w:rPr>
          <w:rFonts w:hint="default" w:ascii="Times New Roman" w:hAnsi="Times New Roman" w:eastAsia="仿宋_GB2312" w:cs="Times New Roman"/>
          <w:i w:val="0"/>
          <w:iCs w:val="0"/>
          <w:caps w:val="0"/>
          <w:color w:val="333333"/>
          <w:spacing w:val="0"/>
          <w:sz w:val="32"/>
          <w:szCs w:val="32"/>
          <w:shd w:val="clear" w:fill="FFFFFF"/>
        </w:rPr>
        <w:t>2024</w:t>
      </w:r>
      <w:r>
        <w:rPr>
          <w:rFonts w:hint="eastAsia" w:ascii="仿宋_GB2312" w:hAnsi="仿宋_GB2312" w:eastAsia="仿宋_GB2312" w:cs="仿宋_GB2312"/>
          <w:i w:val="0"/>
          <w:iCs w:val="0"/>
          <w:caps w:val="0"/>
          <w:color w:val="333333"/>
          <w:spacing w:val="0"/>
          <w:sz w:val="32"/>
          <w:szCs w:val="32"/>
          <w:shd w:val="clear" w:fill="FFFFFF"/>
        </w:rPr>
        <w:t>年，是推动实施“八五”普法关键一年，</w:t>
      </w:r>
      <w:r>
        <w:rPr>
          <w:rFonts w:hint="eastAsia" w:ascii="仿宋_GB2312" w:hAnsi="仿宋_GB2312" w:eastAsia="仿宋_GB2312" w:cs="仿宋_GB2312"/>
          <w:snapToGrid w:val="0"/>
          <w:color w:val="auto"/>
          <w:w w:val="100"/>
          <w:kern w:val="0"/>
          <w:sz w:val="32"/>
          <w:szCs w:val="32"/>
          <w:lang w:eastAsia="zh-CN"/>
        </w:rPr>
        <w:t>岳阳镇将在县委、县政府的正确领导下，以习近平新时代中国特色社会主义思想和党的二十大精神为指导为指导，深入开展法治政府建设，提升依法行政能力，重点做好以下工作：</w:t>
      </w:r>
    </w:p>
    <w:p>
      <w:pPr>
        <w:keepNext w:val="0"/>
        <w:keepLines w:val="0"/>
        <w:pageBreakBefore w:val="0"/>
        <w:widowControl w:val="0"/>
        <w:kinsoku/>
        <w:wordWrap/>
        <w:overflowPunct/>
        <w:topLinePunct/>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napToGrid w:val="0"/>
          <w:color w:val="auto"/>
          <w:w w:val="100"/>
          <w:kern w:val="0"/>
          <w:sz w:val="32"/>
          <w:szCs w:val="32"/>
          <w:lang w:eastAsia="zh-CN"/>
        </w:rPr>
      </w:pPr>
      <w:r>
        <w:rPr>
          <w:rFonts w:hint="eastAsia" w:ascii="仿宋_GB2312" w:hAnsi="仿宋_GB2312" w:eastAsia="仿宋_GB2312" w:cs="仿宋_GB2312"/>
          <w:b/>
          <w:bCs/>
          <w:snapToGrid w:val="0"/>
          <w:color w:val="auto"/>
          <w:w w:val="100"/>
          <w:kern w:val="0"/>
          <w:sz w:val="32"/>
          <w:szCs w:val="32"/>
          <w:lang w:eastAsia="zh-CN"/>
        </w:rPr>
        <w:t>一是</w:t>
      </w:r>
      <w:r>
        <w:rPr>
          <w:rFonts w:hint="eastAsia" w:ascii="仿宋_GB2312" w:hAnsi="仿宋_GB2312" w:eastAsia="仿宋_GB2312" w:cs="仿宋_GB2312"/>
          <w:b w:val="0"/>
          <w:bCs w:val="0"/>
          <w:snapToGrid w:val="0"/>
          <w:color w:val="auto"/>
          <w:w w:val="100"/>
          <w:kern w:val="0"/>
          <w:sz w:val="32"/>
          <w:szCs w:val="32"/>
          <w:lang w:eastAsia="zh-CN"/>
        </w:rPr>
        <w:t>压实责任做好法治宣传工作。</w:t>
      </w:r>
      <w:r>
        <w:rPr>
          <w:rFonts w:hint="eastAsia" w:ascii="仿宋_GB2312" w:hAnsi="仿宋_GB2312" w:eastAsia="仿宋_GB2312" w:cs="仿宋_GB2312"/>
          <w:i w:val="0"/>
          <w:iCs w:val="0"/>
          <w:caps w:val="0"/>
          <w:color w:val="333333"/>
          <w:spacing w:val="0"/>
          <w:sz w:val="32"/>
          <w:szCs w:val="32"/>
          <w:shd w:val="clear" w:fill="FFFFFF"/>
        </w:rPr>
        <w:t>专题部署、定期研究，盯住关键领域和重要环节不放松，把《宪法》宣传与党的二十大精神、习近平法治思想</w:t>
      </w:r>
      <w:r>
        <w:rPr>
          <w:rFonts w:hint="eastAsia" w:ascii="仿宋_GB2312" w:hAnsi="仿宋_GB2312" w:eastAsia="仿宋_GB2312" w:cs="仿宋_GB2312"/>
          <w:i w:val="0"/>
          <w:iCs w:val="0"/>
          <w:caps w:val="0"/>
          <w:color w:val="333333"/>
          <w:spacing w:val="0"/>
          <w:sz w:val="32"/>
          <w:szCs w:val="32"/>
          <w:shd w:val="clear" w:fill="FFFFFF"/>
          <w:lang w:eastAsia="zh-CN"/>
        </w:rPr>
        <w:t>以及</w:t>
      </w:r>
      <w:r>
        <w:rPr>
          <w:rFonts w:hint="eastAsia" w:ascii="仿宋_GB2312" w:hAnsi="仿宋_GB2312" w:eastAsia="仿宋_GB2312" w:cs="仿宋_GB2312"/>
          <w:snapToGrid w:val="0"/>
          <w:color w:val="auto"/>
          <w:w w:val="100"/>
          <w:kern w:val="0"/>
          <w:sz w:val="32"/>
          <w:szCs w:val="32"/>
          <w:lang w:eastAsia="zh-CN"/>
        </w:rPr>
        <w:t>群众关心的难点、热点问题</w:t>
      </w:r>
      <w:r>
        <w:rPr>
          <w:rFonts w:hint="eastAsia" w:ascii="仿宋_GB2312" w:hAnsi="仿宋_GB2312" w:eastAsia="仿宋_GB2312" w:cs="仿宋_GB2312"/>
          <w:i w:val="0"/>
          <w:iCs w:val="0"/>
          <w:caps w:val="0"/>
          <w:color w:val="333333"/>
          <w:spacing w:val="0"/>
          <w:sz w:val="32"/>
          <w:szCs w:val="32"/>
          <w:shd w:val="clear" w:fill="FFFFFF"/>
        </w:rPr>
        <w:t>深入结合起来</w:t>
      </w:r>
      <w:r>
        <w:rPr>
          <w:rFonts w:hint="eastAsia" w:ascii="仿宋_GB2312" w:hAnsi="仿宋_GB2312" w:eastAsia="仿宋_GB2312" w:cs="仿宋_GB2312"/>
          <w:snapToGrid w:val="0"/>
          <w:color w:val="auto"/>
          <w:w w:val="100"/>
          <w:kern w:val="0"/>
          <w:sz w:val="32"/>
          <w:szCs w:val="32"/>
          <w:lang w:eastAsia="zh-CN"/>
        </w:rPr>
        <w:t xml:space="preserve">，使人民群众在法治实践的过程中理解法律的意义、理解法治活动、理解法律与自身及与未来的关系，培养崇尚法治的行为习惯，形成良好的社会法治氛围。 </w:t>
      </w:r>
    </w:p>
    <w:p>
      <w:pPr>
        <w:keepNext w:val="0"/>
        <w:keepLines w:val="0"/>
        <w:pageBreakBefore w:val="0"/>
        <w:widowControl w:val="0"/>
        <w:kinsoku/>
        <w:wordWrap/>
        <w:overflowPunct/>
        <w:topLinePunct/>
        <w:autoSpaceDE/>
        <w:autoSpaceDN/>
        <w:bidi w:val="0"/>
        <w:adjustRightInd/>
        <w:snapToGrid/>
        <w:spacing w:line="600" w:lineRule="exact"/>
        <w:ind w:firstLine="642" w:firstLineChars="200"/>
        <w:jc w:val="right"/>
        <w:textAlignment w:val="auto"/>
        <w:rPr>
          <w:rFonts w:hint="eastAsia" w:ascii="仿宋_GB2312" w:hAnsi="仿宋_GB2312" w:eastAsia="仿宋_GB2312" w:cs="仿宋_GB2312"/>
          <w:b w:val="0"/>
          <w:bCs w:val="0"/>
          <w:i w:val="0"/>
          <w:iCs w:val="0"/>
          <w:caps w:val="0"/>
          <w:color w:val="333333"/>
          <w:spacing w:val="0"/>
          <w:sz w:val="32"/>
          <w:szCs w:val="32"/>
          <w:shd w:val="clear" w:fill="FFFFFF"/>
          <w:lang w:eastAsia="zh-CN"/>
        </w:rPr>
      </w:pPr>
      <w:r>
        <w:rPr>
          <w:rFonts w:hint="eastAsia" w:ascii="仿宋_GB2312" w:hAnsi="仿宋_GB2312" w:eastAsia="仿宋_GB2312" w:cs="仿宋_GB2312"/>
          <w:b/>
          <w:bCs/>
          <w:snapToGrid w:val="0"/>
          <w:color w:val="auto"/>
          <w:w w:val="100"/>
          <w:kern w:val="0"/>
          <w:sz w:val="32"/>
          <w:szCs w:val="32"/>
          <w:lang w:eastAsia="zh-CN"/>
        </w:rPr>
        <w:t>二是</w:t>
      </w:r>
      <w:r>
        <w:rPr>
          <w:rFonts w:hint="eastAsia" w:ascii="仿宋_GB2312" w:hAnsi="仿宋_GB2312" w:eastAsia="仿宋_GB2312" w:cs="仿宋_GB2312"/>
          <w:b w:val="0"/>
          <w:bCs w:val="0"/>
          <w:color w:val="auto"/>
          <w:sz w:val="32"/>
          <w:szCs w:val="32"/>
          <w:lang w:val="en-US" w:eastAsia="zh-CN"/>
        </w:rPr>
        <w:t>加强</w:t>
      </w:r>
      <w:r>
        <w:rPr>
          <w:rFonts w:hint="eastAsia" w:ascii="仿宋_GB2312" w:hAnsi="仿宋_GB2312" w:eastAsia="仿宋_GB2312" w:cs="仿宋_GB2312"/>
          <w:b w:val="0"/>
          <w:bCs w:val="0"/>
          <w:i w:val="0"/>
          <w:iCs w:val="0"/>
          <w:caps w:val="0"/>
          <w:color w:val="333333"/>
          <w:spacing w:val="0"/>
          <w:sz w:val="32"/>
          <w:szCs w:val="32"/>
          <w:shd w:val="clear" w:fill="FFFFFF"/>
        </w:rPr>
        <w:t>行政执法规范化建设。</w:t>
      </w:r>
      <w:r>
        <w:rPr>
          <w:rFonts w:hint="eastAsia" w:ascii="仿宋_GB2312" w:hAnsi="仿宋_GB2312" w:eastAsia="仿宋_GB2312" w:cs="仿宋_GB2312"/>
          <w:b w:val="0"/>
          <w:bCs w:val="0"/>
          <w:i w:val="0"/>
          <w:iCs w:val="0"/>
          <w:caps w:val="0"/>
          <w:color w:val="333333"/>
          <w:spacing w:val="0"/>
          <w:sz w:val="32"/>
          <w:szCs w:val="32"/>
          <w:shd w:val="clear" w:fill="FFFFFF"/>
          <w:lang w:eastAsia="zh-CN"/>
        </w:rPr>
        <w:t>坚持落实行政执法三项</w:t>
      </w:r>
    </w:p>
    <w:p>
      <w:pPr>
        <w:keepNext w:val="0"/>
        <w:keepLines w:val="0"/>
        <w:pageBreakBefore w:val="0"/>
        <w:widowControl w:val="0"/>
        <w:kinsoku/>
        <w:wordWrap/>
        <w:overflowPunct/>
        <w:topLinePunct/>
        <w:autoSpaceDE/>
        <w:autoSpaceDN/>
        <w:bidi w:val="0"/>
        <w:adjustRightInd/>
        <w:snapToGrid/>
        <w:spacing w:line="600" w:lineRule="exact"/>
        <w:jc w:val="both"/>
        <w:textAlignment w:val="auto"/>
        <w:rPr>
          <w:rFonts w:hint="eastAsia" w:ascii="仿宋_GB2312" w:hAnsi="仿宋_GB2312" w:eastAsia="仿宋_GB2312" w:cs="仿宋_GB2312"/>
          <w:snapToGrid w:val="0"/>
          <w:color w:val="auto"/>
          <w:w w:val="100"/>
          <w:kern w:val="0"/>
          <w:sz w:val="32"/>
          <w:szCs w:val="32"/>
          <w:lang w:eastAsia="zh-CN"/>
        </w:rPr>
      </w:pPr>
      <w:r>
        <w:rPr>
          <w:rFonts w:hint="eastAsia" w:ascii="仿宋_GB2312" w:hAnsi="仿宋_GB2312" w:eastAsia="仿宋_GB2312" w:cs="仿宋_GB2312"/>
          <w:b w:val="0"/>
          <w:bCs w:val="0"/>
          <w:i w:val="0"/>
          <w:iCs w:val="0"/>
          <w:caps w:val="0"/>
          <w:color w:val="333333"/>
          <w:spacing w:val="0"/>
          <w:sz w:val="32"/>
          <w:szCs w:val="32"/>
          <w:shd w:val="clear" w:fill="FFFFFF"/>
          <w:lang w:eastAsia="zh-CN"/>
        </w:rPr>
        <w:t>制度，</w:t>
      </w:r>
      <w:r>
        <w:rPr>
          <w:rFonts w:hint="eastAsia" w:ascii="仿宋_GB2312" w:hAnsi="仿宋_GB2312" w:eastAsia="仿宋_GB2312" w:cs="仿宋_GB2312"/>
          <w:b w:val="0"/>
          <w:bCs w:val="0"/>
          <w:color w:val="auto"/>
          <w:sz w:val="32"/>
          <w:szCs w:val="32"/>
          <w:lang w:val="en-US" w:eastAsia="zh-CN"/>
        </w:rPr>
        <w:t>定期培训，加强沟通协调，提升执法的规范化、法治化水平。</w:t>
      </w:r>
      <w:r>
        <w:rPr>
          <w:rFonts w:hint="eastAsia" w:ascii="仿宋_GB2312" w:hAnsi="仿宋_GB2312" w:eastAsia="仿宋_GB2312" w:cs="仿宋_GB2312"/>
          <w:b w:val="0"/>
          <w:bCs w:val="0"/>
          <w:i w:val="0"/>
          <w:iCs w:val="0"/>
          <w:caps w:val="0"/>
          <w:color w:val="333333"/>
          <w:spacing w:val="0"/>
          <w:sz w:val="32"/>
          <w:szCs w:val="32"/>
          <w:shd w:val="clear" w:fill="FFFFFF"/>
        </w:rPr>
        <w:t>做好执法案卷自查自评</w:t>
      </w:r>
      <w:r>
        <w:rPr>
          <w:rFonts w:hint="eastAsia" w:ascii="仿宋_GB2312" w:hAnsi="仿宋_GB2312" w:eastAsia="仿宋_GB2312" w:cs="仿宋_GB2312"/>
          <w:b w:val="0"/>
          <w:bCs w:val="0"/>
          <w:i w:val="0"/>
          <w:iCs w:val="0"/>
          <w:caps w:val="0"/>
          <w:color w:val="333333"/>
          <w:spacing w:val="0"/>
          <w:sz w:val="32"/>
          <w:szCs w:val="32"/>
          <w:shd w:val="clear" w:fill="FFFFFF"/>
          <w:lang w:eastAsia="zh-CN"/>
        </w:rPr>
        <w:t>以及规范化</w:t>
      </w:r>
      <w:r>
        <w:rPr>
          <w:rFonts w:hint="eastAsia" w:ascii="仿宋_GB2312" w:hAnsi="仿宋_GB2312" w:eastAsia="仿宋_GB2312" w:cs="仿宋_GB2312"/>
          <w:b w:val="0"/>
          <w:bCs w:val="0"/>
          <w:i w:val="0"/>
          <w:iCs w:val="0"/>
          <w:caps w:val="0"/>
          <w:color w:val="333333"/>
          <w:spacing w:val="0"/>
          <w:sz w:val="32"/>
          <w:szCs w:val="32"/>
          <w:shd w:val="clear" w:fill="FFFFFF"/>
        </w:rPr>
        <w:t>工作，</w:t>
      </w:r>
      <w:r>
        <w:rPr>
          <w:rFonts w:hint="eastAsia" w:ascii="仿宋_GB2312" w:hAnsi="仿宋_GB2312" w:eastAsia="仿宋_GB2312" w:cs="仿宋_GB2312"/>
          <w:b w:val="0"/>
          <w:bCs w:val="0"/>
          <w:i w:val="0"/>
          <w:iCs w:val="0"/>
          <w:caps w:val="0"/>
          <w:color w:val="333333"/>
          <w:spacing w:val="0"/>
          <w:sz w:val="32"/>
          <w:szCs w:val="32"/>
          <w:shd w:val="clear" w:fill="FFFFFF"/>
          <w:lang w:eastAsia="zh-CN"/>
        </w:rPr>
        <w:t>保证每一个案件都经得起检查。</w:t>
      </w:r>
      <w:r>
        <w:rPr>
          <w:rFonts w:hint="eastAsia" w:ascii="仿宋_GB2312" w:hAnsi="仿宋_GB2312" w:eastAsia="仿宋_GB2312" w:cs="仿宋_GB2312"/>
          <w:b w:val="0"/>
          <w:bCs w:val="0"/>
          <w:color w:val="auto"/>
          <w:sz w:val="32"/>
          <w:szCs w:val="32"/>
          <w:lang w:val="en-US" w:eastAsia="zh-CN"/>
        </w:rPr>
        <w:t>认真梳理执法事项，</w:t>
      </w:r>
      <w:r>
        <w:rPr>
          <w:rFonts w:hint="eastAsia" w:ascii="仿宋_GB2312" w:hAnsi="仿宋_GB2312" w:eastAsia="仿宋_GB2312" w:cs="仿宋_GB2312"/>
          <w:b w:val="0"/>
          <w:bCs w:val="0"/>
          <w:sz w:val="32"/>
          <w:szCs w:val="32"/>
          <w:lang w:val="en-US" w:eastAsia="zh-CN"/>
        </w:rPr>
        <w:t>学习法律知识、汲取办案经验，提高执法素养，不断完善办案流程。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napToGrid w:val="0"/>
          <w:color w:val="auto"/>
          <w:w w:val="100"/>
          <w:kern w:val="0"/>
          <w:sz w:val="32"/>
          <w:szCs w:val="32"/>
          <w:lang w:val="en-US" w:eastAsia="zh-CN"/>
        </w:rPr>
      </w:pPr>
      <w:r>
        <w:rPr>
          <w:rFonts w:hint="eastAsia" w:ascii="仿宋_GB2312" w:hAnsi="仿宋_GB2312" w:eastAsia="仿宋_GB2312" w:cs="仿宋_GB2312"/>
          <w:snapToGrid w:val="0"/>
          <w:color w:val="auto"/>
          <w:w w:val="100"/>
          <w:kern w:val="0"/>
          <w:sz w:val="32"/>
          <w:szCs w:val="32"/>
          <w:lang w:val="en-US" w:eastAsia="zh-CN"/>
        </w:rPr>
        <w:t xml:space="preserve">                 </w:t>
      </w:r>
    </w:p>
    <w:p>
      <w:pPr>
        <w:keepNext w:val="0"/>
        <w:keepLines w:val="0"/>
        <w:pageBreakBefore w:val="0"/>
        <w:widowControl w:val="0"/>
        <w:kinsoku/>
        <w:wordWrap/>
        <w:overflowPunct/>
        <w:topLinePunct/>
        <w:autoSpaceDE/>
        <w:autoSpaceDN/>
        <w:bidi w:val="0"/>
        <w:adjustRightInd/>
        <w:snapToGrid/>
        <w:spacing w:line="600" w:lineRule="exact"/>
        <w:jc w:val="both"/>
        <w:textAlignment w:val="auto"/>
        <w:rPr>
          <w:rFonts w:hint="eastAsia" w:ascii="仿宋_GB2312" w:hAnsi="仿宋_GB2312" w:eastAsia="仿宋_GB2312" w:cs="仿宋_GB2312"/>
          <w:snapToGrid w:val="0"/>
          <w:color w:val="auto"/>
          <w:w w:val="100"/>
          <w:kern w:val="0"/>
          <w:sz w:val="32"/>
          <w:szCs w:val="32"/>
          <w:lang w:val="en-US" w:eastAsia="zh-CN"/>
        </w:rPr>
      </w:pP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napToGrid w:val="0"/>
          <w:color w:val="auto"/>
          <w:w w:val="100"/>
          <w:kern w:val="0"/>
          <w:sz w:val="32"/>
          <w:szCs w:val="32"/>
          <w:lang w:val="en-US" w:eastAsia="zh-CN"/>
        </w:rPr>
      </w:pP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napToGrid w:val="0"/>
          <w:color w:val="auto"/>
          <w:w w:val="100"/>
          <w:kern w:val="0"/>
          <w:sz w:val="32"/>
          <w:szCs w:val="32"/>
          <w:lang w:val="en-US" w:eastAsia="zh-CN"/>
        </w:rPr>
      </w:pPr>
      <w:r>
        <w:rPr>
          <w:rFonts w:hint="eastAsia" w:ascii="仿宋_GB2312" w:hAnsi="仿宋_GB2312" w:eastAsia="仿宋_GB2312" w:cs="仿宋_GB2312"/>
          <w:snapToGrid w:val="0"/>
          <w:color w:val="auto"/>
          <w:w w:val="100"/>
          <w:kern w:val="0"/>
          <w:sz w:val="32"/>
          <w:szCs w:val="32"/>
          <w:lang w:val="en-US" w:eastAsia="zh-CN"/>
        </w:rPr>
        <w:t xml:space="preserve">                           </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napToGrid w:val="0"/>
          <w:color w:val="auto"/>
          <w:w w:val="100"/>
          <w:kern w:val="0"/>
          <w:sz w:val="32"/>
          <w:szCs w:val="32"/>
          <w:lang w:val="en-US" w:eastAsia="zh-CN"/>
        </w:rPr>
      </w:pP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napToGrid w:val="0"/>
          <w:color w:val="auto"/>
          <w:w w:val="100"/>
          <w:kern w:val="0"/>
          <w:sz w:val="32"/>
          <w:szCs w:val="32"/>
          <w:lang w:val="en-US" w:eastAsia="zh-CN"/>
        </w:rPr>
        <w:t xml:space="preserve">                        </w:t>
      </w:r>
      <w:r>
        <w:rPr>
          <w:rFonts w:hint="default" w:ascii="Times New Roman" w:hAnsi="Times New Roman" w:eastAsia="仿宋_GB2312" w:cs="Times New Roman"/>
          <w:snapToGrid w:val="0"/>
          <w:color w:val="auto"/>
          <w:w w:val="100"/>
          <w:kern w:val="0"/>
          <w:sz w:val="32"/>
          <w:szCs w:val="32"/>
          <w:lang w:eastAsia="zh-CN"/>
        </w:rPr>
        <w:t>202</w:t>
      </w:r>
      <w:r>
        <w:rPr>
          <w:rFonts w:hint="default" w:ascii="Times New Roman" w:hAnsi="Times New Roman" w:eastAsia="仿宋_GB2312" w:cs="Times New Roman"/>
          <w:snapToGrid w:val="0"/>
          <w:color w:val="auto"/>
          <w:w w:val="100"/>
          <w:kern w:val="0"/>
          <w:sz w:val="32"/>
          <w:szCs w:val="32"/>
          <w:lang w:val="en-US" w:eastAsia="zh-CN"/>
        </w:rPr>
        <w:t>3</w:t>
      </w:r>
      <w:r>
        <w:rPr>
          <w:rFonts w:hint="default" w:ascii="Times New Roman" w:hAnsi="Times New Roman" w:eastAsia="仿宋_GB2312" w:cs="Times New Roman"/>
          <w:snapToGrid w:val="0"/>
          <w:color w:val="auto"/>
          <w:w w:val="100"/>
          <w:kern w:val="0"/>
          <w:sz w:val="32"/>
          <w:szCs w:val="32"/>
          <w:lang w:eastAsia="zh-CN"/>
        </w:rPr>
        <w:t>年1</w:t>
      </w:r>
      <w:r>
        <w:rPr>
          <w:rFonts w:hint="default" w:ascii="Times New Roman" w:hAnsi="Times New Roman" w:eastAsia="仿宋_GB2312" w:cs="Times New Roman"/>
          <w:snapToGrid w:val="0"/>
          <w:color w:val="auto"/>
          <w:w w:val="100"/>
          <w:kern w:val="0"/>
          <w:sz w:val="32"/>
          <w:szCs w:val="32"/>
          <w:lang w:val="en-US" w:eastAsia="zh-CN"/>
        </w:rPr>
        <w:t>2</w:t>
      </w:r>
      <w:r>
        <w:rPr>
          <w:rFonts w:hint="default" w:ascii="Times New Roman" w:hAnsi="Times New Roman" w:eastAsia="仿宋_GB2312" w:cs="Times New Roman"/>
          <w:snapToGrid w:val="0"/>
          <w:color w:val="auto"/>
          <w:w w:val="100"/>
          <w:kern w:val="0"/>
          <w:sz w:val="32"/>
          <w:szCs w:val="32"/>
          <w:lang w:eastAsia="zh-CN"/>
        </w:rPr>
        <w:t>月</w:t>
      </w:r>
      <w:r>
        <w:rPr>
          <w:rFonts w:hint="default" w:ascii="Times New Roman" w:hAnsi="Times New Roman" w:eastAsia="仿宋_GB2312" w:cs="Times New Roman"/>
          <w:snapToGrid w:val="0"/>
          <w:color w:val="auto"/>
          <w:w w:val="100"/>
          <w:kern w:val="0"/>
          <w:sz w:val="32"/>
          <w:szCs w:val="32"/>
          <w:lang w:val="en-US" w:eastAsia="zh-CN"/>
        </w:rPr>
        <w:t>21</w:t>
      </w:r>
      <w:r>
        <w:rPr>
          <w:rFonts w:hint="default" w:ascii="Times New Roman" w:hAnsi="Times New Roman" w:eastAsia="仿宋_GB2312" w:cs="Times New Roman"/>
          <w:snapToGrid w:val="0"/>
          <w:color w:val="auto"/>
          <w:w w:val="100"/>
          <w:kern w:val="0"/>
          <w:sz w:val="32"/>
          <w:szCs w:val="32"/>
          <w:lang w:eastAsia="zh-CN"/>
        </w:rPr>
        <w:t>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-161925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12.7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kX2A0NYAAAAIAQAADwAAAAAAAAABACAAAAA4AAAAZHJzL2Rvd25yZXYueG1sUEsB&#10;AhQAFAAAAAgAh07iQCYa0m4aAgAAKQQAAA4AAAAAAAAAAQAgAAAAOwEAAGRycy9lMm9Eb2MueG1s&#10;UEsFBgAAAAAGAAYAWQEAAMcFAAAAAA==&#10;">
              <v:fill on="f" focussize="0,0"/>
              <v:stroke on="f" weight="0.5pt"/>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BB2EE4"/>
    <w:multiLevelType w:val="singleLevel"/>
    <w:tmpl w:val="6DBB2EE4"/>
    <w:lvl w:ilvl="0" w:tentative="0">
      <w:start w:val="2"/>
      <w:numFmt w:val="chineseCounting"/>
      <w:suff w:val="nothing"/>
      <w:lvlText w:val="（%1）"/>
      <w:lvlJc w:val="left"/>
      <w:pPr>
        <w:ind w:left="-1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mNDM4ZDk2ZTg3MWJkOGNhYzE4NGZmYWM5NjAifQ=="/>
  </w:docVars>
  <w:rsids>
    <w:rsidRoot w:val="709A3C2B"/>
    <w:rsid w:val="016E1BAA"/>
    <w:rsid w:val="04EE33A4"/>
    <w:rsid w:val="05B4180D"/>
    <w:rsid w:val="07A0263C"/>
    <w:rsid w:val="09031923"/>
    <w:rsid w:val="0F295AF7"/>
    <w:rsid w:val="0F596500"/>
    <w:rsid w:val="10A345B8"/>
    <w:rsid w:val="19590D1C"/>
    <w:rsid w:val="1AC67253"/>
    <w:rsid w:val="1B004E18"/>
    <w:rsid w:val="21825D21"/>
    <w:rsid w:val="2B4D1B15"/>
    <w:rsid w:val="2D9E6FAD"/>
    <w:rsid w:val="30FD77EE"/>
    <w:rsid w:val="311C47F8"/>
    <w:rsid w:val="32D27B67"/>
    <w:rsid w:val="33705E1F"/>
    <w:rsid w:val="3A4C026C"/>
    <w:rsid w:val="415154E2"/>
    <w:rsid w:val="4352252A"/>
    <w:rsid w:val="454A49A9"/>
    <w:rsid w:val="489C0948"/>
    <w:rsid w:val="4B0E17D7"/>
    <w:rsid w:val="4E1341FE"/>
    <w:rsid w:val="50B63C8F"/>
    <w:rsid w:val="512A0CF6"/>
    <w:rsid w:val="51676DB5"/>
    <w:rsid w:val="56F0144F"/>
    <w:rsid w:val="58CD2EAC"/>
    <w:rsid w:val="59A472CE"/>
    <w:rsid w:val="5B4123D9"/>
    <w:rsid w:val="5CEE5E83"/>
    <w:rsid w:val="5D2148DF"/>
    <w:rsid w:val="5E4C4C10"/>
    <w:rsid w:val="61AF30EE"/>
    <w:rsid w:val="63B514A9"/>
    <w:rsid w:val="649C76AC"/>
    <w:rsid w:val="64BF6FF1"/>
    <w:rsid w:val="66682070"/>
    <w:rsid w:val="67621C65"/>
    <w:rsid w:val="68170C7A"/>
    <w:rsid w:val="6B8678B6"/>
    <w:rsid w:val="6CF84BD0"/>
    <w:rsid w:val="70282C9D"/>
    <w:rsid w:val="70984C85"/>
    <w:rsid w:val="709A3C2B"/>
    <w:rsid w:val="752501E6"/>
    <w:rsid w:val="759A323A"/>
    <w:rsid w:val="78D02206"/>
    <w:rsid w:val="79FC06FD"/>
    <w:rsid w:val="7C763BF7"/>
    <w:rsid w:val="BE6FCF66"/>
    <w:rsid w:val="EAFC5E55"/>
    <w:rsid w:val="F95B2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afterLines="0" w:afterAutospacing="0"/>
    </w:pPr>
  </w:style>
  <w:style w:type="paragraph" w:styleId="6">
    <w:name w:val="Body Text Indent"/>
    <w:basedOn w:val="1"/>
    <w:qFormat/>
    <w:uiPriority w:val="0"/>
    <w:pPr>
      <w:spacing w:after="120" w:afterLines="0" w:afterAutospacing="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5"/>
    <w:qFormat/>
    <w:uiPriority w:val="0"/>
    <w:pPr>
      <w:ind w:firstLine="420" w:firstLineChars="100"/>
    </w:pPr>
  </w:style>
  <w:style w:type="paragraph" w:styleId="11">
    <w:name w:val="Body Text First Indent 2"/>
    <w:basedOn w:val="6"/>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2256</Words>
  <Characters>2278</Characters>
  <Lines>0</Lines>
  <Paragraphs>0</Paragraphs>
  <TotalTime>21</TotalTime>
  <ScaleCrop>false</ScaleCrop>
  <LinksUpToDate>false</LinksUpToDate>
  <CharactersWithSpaces>2347</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2022-01-23T17:55:00Z</dcterms:created>
  <dc:creator>李姗姗</dc:creator>
  <cp:lastModifiedBy>greatwall</cp:lastModifiedBy>
  <cp:lastPrinted>2023-02-07T15:01:00Z</cp:lastPrinted>
  <dcterms:modified xsi:type="dcterms:W3CDTF">2024-10-22T18:33:20Z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27435DF2C9024E4499F06D61A63C4A00_13</vt:lpwstr>
  </property>
</Properties>
</file>