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lang w:eastAsia="zh-CN"/>
        </w:rPr>
        <w:t>古</w:t>
      </w:r>
      <w:r>
        <w:rPr>
          <w:rFonts w:hint="eastAsia" w:ascii="方正小标宋简体" w:hAnsi="方正小标宋简体" w:eastAsia="方正小标宋简体" w:cs="方正小标宋简体"/>
          <w:sz w:val="44"/>
          <w:szCs w:val="44"/>
        </w:rPr>
        <w:t>县卫生健康和体育局</w:t>
      </w:r>
    </w:p>
    <w:p>
      <w:pPr>
        <w:keepNext w:val="0"/>
        <w:keepLines w:val="0"/>
        <w:pageBreakBefore w:val="0"/>
        <w:widowControl w:val="0"/>
        <w:kinsoku/>
        <w:wordWrap/>
        <w:overflowPunct/>
        <w:topLinePunct w:val="0"/>
        <w:autoSpaceDE/>
        <w:autoSpaceDN/>
        <w:bidi w:val="0"/>
        <w:adjustRightInd/>
        <w:snapToGrid/>
        <w:jc w:val="center"/>
        <w:textAlignment w:val="auto"/>
        <w:rPr>
          <w:rFonts w:hint="eastAsia" w:asciiTheme="majorEastAsia" w:hAnsiTheme="majorEastAsia" w:eastAsiaTheme="majorEastAsia" w:cstheme="majorEastAsia"/>
          <w:b/>
          <w:bCs/>
          <w:sz w:val="44"/>
          <w:szCs w:val="44"/>
        </w:rPr>
      </w:pPr>
      <w:r>
        <w:rPr>
          <w:rFonts w:hint="default" w:ascii="Times New Roman" w:hAnsi="Times New Roman" w:eastAsia="方正小标宋简体" w:cs="Times New Roman"/>
          <w:b w:val="0"/>
          <w:bCs w:val="0"/>
          <w:sz w:val="44"/>
          <w:szCs w:val="44"/>
        </w:rPr>
        <w:t>202</w:t>
      </w:r>
      <w:r>
        <w:rPr>
          <w:rFonts w:hint="default" w:ascii="Times New Roman" w:hAnsi="Times New Roman" w:eastAsia="方正小标宋简体" w:cs="Times New Roman"/>
          <w:b w:val="0"/>
          <w:bCs w:val="0"/>
          <w:sz w:val="44"/>
          <w:szCs w:val="44"/>
          <w:lang w:val="en-US" w:eastAsia="zh-CN"/>
        </w:rPr>
        <w:t>3</w:t>
      </w:r>
      <w:r>
        <w:rPr>
          <w:rFonts w:hint="eastAsia" w:ascii="方正小标宋简体" w:hAnsi="方正小标宋简体" w:eastAsia="方正小标宋简体" w:cs="方正小标宋简体"/>
          <w:b w:val="0"/>
          <w:bCs w:val="0"/>
          <w:sz w:val="44"/>
          <w:szCs w:val="44"/>
        </w:rPr>
        <w:t>年</w:t>
      </w:r>
      <w:r>
        <w:rPr>
          <w:rFonts w:hint="eastAsia" w:ascii="方正小标宋简体" w:hAnsi="方正小标宋简体" w:eastAsia="方正小标宋简体" w:cs="方正小标宋简体"/>
          <w:b w:val="0"/>
          <w:bCs w:val="0"/>
          <w:sz w:val="44"/>
          <w:szCs w:val="44"/>
          <w:lang w:val="en-US" w:eastAsia="zh-CN"/>
        </w:rPr>
        <w:t>度</w:t>
      </w:r>
      <w:r>
        <w:rPr>
          <w:rFonts w:hint="eastAsia" w:ascii="方正小标宋简体" w:hAnsi="方正小标宋简体" w:eastAsia="方正小标宋简体" w:cs="方正小标宋简体"/>
          <w:b w:val="0"/>
          <w:bCs w:val="0"/>
          <w:sz w:val="44"/>
          <w:szCs w:val="44"/>
        </w:rPr>
        <w:t>法治政府</w:t>
      </w:r>
      <w:r>
        <w:rPr>
          <w:rFonts w:hint="eastAsia" w:ascii="方正小标宋简体" w:hAnsi="方正小标宋简体" w:eastAsia="方正小标宋简体" w:cs="方正小标宋简体"/>
          <w:b w:val="0"/>
          <w:bCs w:val="0"/>
          <w:sz w:val="44"/>
          <w:szCs w:val="44"/>
          <w:lang w:val="en-US" w:eastAsia="zh-CN"/>
        </w:rPr>
        <w:t>建设情况</w:t>
      </w:r>
      <w:r>
        <w:rPr>
          <w:rFonts w:hint="eastAsia" w:ascii="方正小标宋简体" w:hAnsi="方正小标宋简体" w:eastAsia="方正小标宋简体" w:cs="方正小标宋简体"/>
          <w:b w:val="0"/>
          <w:bCs w:val="0"/>
          <w:sz w:val="44"/>
          <w:szCs w:val="44"/>
        </w:rPr>
        <w:t>报告</w:t>
      </w:r>
    </w:p>
    <w:p>
      <w:pPr>
        <w:keepNext w:val="0"/>
        <w:keepLines w:val="0"/>
        <w:pageBreakBefore w:val="0"/>
        <w:widowControl w:val="0"/>
        <w:kinsoku/>
        <w:wordWrap/>
        <w:overflowPunct/>
        <w:topLinePunct w:val="0"/>
        <w:autoSpaceDE/>
        <w:autoSpaceDN/>
        <w:bidi w:val="0"/>
        <w:adjustRightInd/>
        <w:snapToGrid/>
        <w:spacing w:line="600" w:lineRule="exact"/>
        <w:textAlignment w:val="auto"/>
        <w:rPr>
          <w:rFonts w:hint="eastAsia" w:ascii="仿宋_GB2312" w:hAnsi="仿宋_GB2312" w:eastAsia="仿宋_GB2312" w:cs="仿宋_GB2312"/>
          <w:sz w:val="32"/>
          <w:szCs w:val="32"/>
        </w:rPr>
      </w:pP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202</w:t>
      </w:r>
      <w:r>
        <w:rPr>
          <w:rFonts w:hint="default" w:ascii="仿宋_GB2312" w:hAnsi="仿宋_GB2312" w:eastAsia="仿宋_GB2312" w:cs="仿宋_GB2312"/>
          <w:sz w:val="32"/>
          <w:szCs w:val="32"/>
          <w:lang w:val="en-US"/>
        </w:rPr>
        <w:t>3</w:t>
      </w:r>
      <w:r>
        <w:rPr>
          <w:rFonts w:hint="eastAsia" w:ascii="仿宋_GB2312" w:hAnsi="仿宋_GB2312" w:eastAsia="仿宋_GB2312" w:cs="仿宋_GB2312"/>
          <w:sz w:val="32"/>
          <w:szCs w:val="32"/>
        </w:rPr>
        <w:t>年，我局坚持以习近平新时代中国特色社会主义思想为指导，全面贯彻落实习近平法治思想、中央全面依法治国工作会议精神，紧扣</w:t>
      </w:r>
      <w:r>
        <w:rPr>
          <w:rFonts w:hint="eastAsia" w:ascii="仿宋_GB2312" w:hAnsi="仿宋_GB2312" w:eastAsia="仿宋_GB2312" w:cs="仿宋_GB2312"/>
          <w:sz w:val="32"/>
          <w:szCs w:val="32"/>
          <w:lang w:eastAsia="zh-CN"/>
        </w:rPr>
        <w:t>古县</w:t>
      </w:r>
      <w:r>
        <w:rPr>
          <w:rFonts w:hint="eastAsia" w:ascii="仿宋_GB2312" w:hAnsi="仿宋_GB2312" w:eastAsia="仿宋_GB2312" w:cs="仿宋_GB2312"/>
          <w:sz w:val="32"/>
          <w:szCs w:val="32"/>
        </w:rPr>
        <w:t>法治政府建设工作要点，立足卫生健康体育工作实际，不断强化法治引领、创新执行，扎实推进卫生健康体育法治建设各项任务，全局上下形成良好的法治建设工作格局。现将</w:t>
      </w:r>
      <w:r>
        <w:rPr>
          <w:rFonts w:hint="default" w:ascii="Times New Roman" w:hAnsi="Times New Roman" w:eastAsia="仿宋_GB2312" w:cs="Times New Roman"/>
          <w:sz w:val="32"/>
          <w:szCs w:val="32"/>
        </w:rPr>
        <w:t>202</w:t>
      </w:r>
      <w:r>
        <w:rPr>
          <w:rFonts w:hint="default" w:ascii="Times New Roman" w:hAnsi="Times New Roman" w:eastAsia="仿宋_GB2312" w:cs="Times New Roman"/>
          <w:sz w:val="32"/>
          <w:szCs w:val="32"/>
          <w:lang w:val="en-US"/>
        </w:rPr>
        <w:t>3</w:t>
      </w:r>
      <w:r>
        <w:rPr>
          <w:rFonts w:hint="eastAsia" w:ascii="仿宋_GB2312" w:hAnsi="仿宋_GB2312" w:eastAsia="仿宋_GB2312" w:cs="仿宋_GB2312"/>
          <w:sz w:val="32"/>
          <w:szCs w:val="32"/>
        </w:rPr>
        <w:t>年法治政府建设情况汇报如下：</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rPr>
        <w:t>一、推进法治政府建设情况</w:t>
      </w:r>
    </w:p>
    <w:p>
      <w:pPr>
        <w:keepNext w:val="0"/>
        <w:keepLines w:val="0"/>
        <w:pageBreakBefore w:val="0"/>
        <w:widowControl w:val="0"/>
        <w:kinsoku/>
        <w:wordWrap/>
        <w:overflowPunct/>
        <w:topLinePunct w:val="0"/>
        <w:autoSpaceDE/>
        <w:autoSpaceDN/>
        <w:bidi w:val="0"/>
        <w:adjustRightInd/>
        <w:snapToGrid/>
        <w:spacing w:line="600" w:lineRule="exact"/>
        <w:ind w:firstLine="642" w:firstLineChars="200"/>
        <w:textAlignment w:val="auto"/>
        <w:rPr>
          <w:rFonts w:hint="eastAsia" w:ascii="楷体_GB2312" w:hAnsi="楷体_GB2312" w:eastAsia="楷体_GB2312" w:cs="楷体_GB2312"/>
          <w:b/>
          <w:bCs/>
          <w:sz w:val="32"/>
          <w:szCs w:val="32"/>
        </w:rPr>
      </w:pPr>
      <w:r>
        <w:rPr>
          <w:rFonts w:hint="eastAsia" w:ascii="楷体_GB2312" w:hAnsi="楷体_GB2312" w:eastAsia="楷体_GB2312" w:cs="楷体_GB2312"/>
          <w:b/>
          <w:bCs/>
          <w:sz w:val="32"/>
          <w:szCs w:val="32"/>
        </w:rPr>
        <w:t>（一）加强组织领导，推动责任落实</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为加强卫生健康体育系统的法治政府建设工作，我局成立了以局长为组长、班子成员为副组长、各股室负责人、各下属单位负责人为成员的法治政府建设工作领导小组，形成“一把手”负总责、一级抓一级、层层抓落实的工作格局。</w:t>
      </w:r>
    </w:p>
    <w:p>
      <w:pPr>
        <w:keepNext w:val="0"/>
        <w:keepLines w:val="0"/>
        <w:pageBreakBefore w:val="0"/>
        <w:widowControl w:val="0"/>
        <w:kinsoku/>
        <w:wordWrap/>
        <w:overflowPunct/>
        <w:topLinePunct w:val="0"/>
        <w:autoSpaceDE/>
        <w:autoSpaceDN/>
        <w:bidi w:val="0"/>
        <w:adjustRightInd/>
        <w:snapToGrid/>
        <w:spacing w:line="600" w:lineRule="exact"/>
        <w:ind w:firstLine="642" w:firstLineChars="200"/>
        <w:textAlignment w:val="auto"/>
        <w:rPr>
          <w:rFonts w:hint="eastAsia" w:ascii="楷体_GB2312" w:hAnsi="楷体_GB2312" w:eastAsia="楷体_GB2312" w:cs="楷体_GB2312"/>
          <w:b/>
          <w:bCs/>
          <w:sz w:val="32"/>
          <w:szCs w:val="32"/>
        </w:rPr>
      </w:pPr>
      <w:r>
        <w:rPr>
          <w:rFonts w:hint="eastAsia" w:ascii="楷体_GB2312" w:hAnsi="楷体_GB2312" w:eastAsia="楷体_GB2312" w:cs="楷体_GB2312"/>
          <w:b/>
          <w:bCs/>
          <w:sz w:val="32"/>
          <w:szCs w:val="32"/>
        </w:rPr>
        <w:t>（二）加强法治学习，筑牢法治思维</w:t>
      </w:r>
    </w:p>
    <w:p>
      <w:pPr>
        <w:keepNext w:val="0"/>
        <w:keepLines w:val="0"/>
        <w:pageBreakBefore w:val="0"/>
        <w:widowControl w:val="0"/>
        <w:numPr>
          <w:ilvl w:val="0"/>
          <w:numId w:val="0"/>
        </w:numPr>
        <w:kinsoku/>
        <w:wordWrap/>
        <w:overflowPunct/>
        <w:topLinePunct w:val="0"/>
        <w:autoSpaceDE/>
        <w:autoSpaceDN/>
        <w:bidi w:val="0"/>
        <w:adjustRightInd/>
        <w:snapToGrid/>
        <w:spacing w:before="0" w:after="0" w:line="600" w:lineRule="exact"/>
        <w:ind w:right="0" w:rightChars="0"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val="0"/>
          <w:bCs w:val="0"/>
          <w:sz w:val="32"/>
          <w:szCs w:val="32"/>
          <w:lang w:val="en-US" w:eastAsia="zh-CN"/>
        </w:rPr>
        <w:t>开</w:t>
      </w:r>
      <w:r>
        <w:rPr>
          <w:rFonts w:hint="eastAsia" w:ascii="仿宋_GB2312" w:hAnsi="仿宋_GB2312" w:eastAsia="仿宋_GB2312" w:cs="仿宋_GB2312"/>
          <w:b w:val="0"/>
          <w:bCs w:val="0"/>
          <w:color w:val="000000" w:themeColor="text1"/>
          <w:sz w:val="32"/>
          <w:szCs w:val="32"/>
          <w:lang w:val="en-US" w:eastAsia="zh-CN"/>
          <w14:textFill>
            <w14:solidFill>
              <w14:schemeClr w14:val="tx1"/>
            </w14:solidFill>
          </w14:textFill>
        </w:rPr>
        <w:t>展集中法治知识培训学习，法制宣传活动，完善行政执法全过程记录制度、重大执法决定法制审核制度、行政执法公示制度，全面推动依法行政工作深入开展</w:t>
      </w:r>
      <w:r>
        <w:rPr>
          <w:rFonts w:hint="default" w:ascii="仿宋_GB2312" w:hAnsi="仿宋_GB2312" w:eastAsia="仿宋_GB2312" w:cs="仿宋_GB2312"/>
          <w:b w:val="0"/>
          <w:bCs w:val="0"/>
          <w:color w:val="000000" w:themeColor="text1"/>
          <w:sz w:val="32"/>
          <w:szCs w:val="32"/>
          <w:lang w:val="en-US" w:eastAsia="zh-CN"/>
          <w14:textFill>
            <w14:solidFill>
              <w14:schemeClr w14:val="tx1"/>
            </w14:solidFill>
          </w14:textFill>
        </w:rPr>
        <w:t>。</w:t>
      </w:r>
      <w:r>
        <w:rPr>
          <w:rFonts w:hint="eastAsia" w:ascii="仿宋_GB2312" w:hAnsi="仿宋_GB2312" w:eastAsia="仿宋_GB2312" w:cs="仿宋_GB2312"/>
          <w:sz w:val="32"/>
          <w:szCs w:val="32"/>
        </w:rPr>
        <w:t>参加上级</w:t>
      </w:r>
      <w:r>
        <w:rPr>
          <w:rFonts w:hint="default" w:ascii="仿宋_GB2312" w:hAnsi="仿宋_GB2312" w:eastAsia="仿宋_GB2312" w:cs="仿宋_GB2312"/>
          <w:sz w:val="32"/>
          <w:szCs w:val="32"/>
          <w:lang w:val="en-US"/>
        </w:rPr>
        <w:t>部门培训，</w:t>
      </w:r>
      <w:r>
        <w:rPr>
          <w:rFonts w:hint="eastAsia" w:ascii="仿宋_GB2312" w:hAnsi="仿宋_GB2312" w:eastAsia="仿宋_GB2312" w:cs="仿宋_GB2312"/>
          <w:sz w:val="32"/>
          <w:szCs w:val="32"/>
        </w:rPr>
        <w:t>提升行政执法业务水平。</w:t>
      </w:r>
    </w:p>
    <w:p>
      <w:pPr>
        <w:keepNext w:val="0"/>
        <w:keepLines w:val="0"/>
        <w:pageBreakBefore w:val="0"/>
        <w:widowControl w:val="0"/>
        <w:kinsoku/>
        <w:wordWrap/>
        <w:overflowPunct/>
        <w:topLinePunct w:val="0"/>
        <w:autoSpaceDE/>
        <w:autoSpaceDN/>
        <w:bidi w:val="0"/>
        <w:adjustRightInd/>
        <w:snapToGrid/>
        <w:spacing w:line="600" w:lineRule="exact"/>
        <w:ind w:firstLine="642" w:firstLineChars="200"/>
        <w:textAlignment w:val="auto"/>
        <w:rPr>
          <w:rFonts w:hint="eastAsia" w:ascii="楷体_GB2312" w:hAnsi="楷体_GB2312" w:eastAsia="楷体_GB2312" w:cs="楷体_GB2312"/>
          <w:b/>
          <w:bCs/>
          <w:sz w:val="32"/>
          <w:szCs w:val="32"/>
        </w:rPr>
      </w:pPr>
      <w:r>
        <w:rPr>
          <w:rFonts w:hint="eastAsia" w:ascii="楷体_GB2312" w:hAnsi="楷体_GB2312" w:eastAsia="楷体_GB2312" w:cs="楷体_GB2312"/>
          <w:b/>
          <w:bCs/>
          <w:sz w:val="32"/>
          <w:szCs w:val="32"/>
        </w:rPr>
        <w:t>（三）落实三项制度，强化执法能力</w:t>
      </w:r>
    </w:p>
    <w:p>
      <w:pPr>
        <w:keepNext w:val="0"/>
        <w:keepLines w:val="0"/>
        <w:pageBreakBefore w:val="0"/>
        <w:widowControl w:val="0"/>
        <w:numPr>
          <w:ilvl w:val="0"/>
          <w:numId w:val="0"/>
        </w:numPr>
        <w:kinsoku/>
        <w:wordWrap/>
        <w:overflowPunct/>
        <w:topLinePunct w:val="0"/>
        <w:autoSpaceDE/>
        <w:autoSpaceDN/>
        <w:bidi w:val="0"/>
        <w:adjustRightInd/>
        <w:snapToGrid/>
        <w:spacing w:before="0" w:after="0" w:line="600" w:lineRule="exact"/>
        <w:ind w:right="0" w:rightChars="0" w:firstLine="640" w:firstLineChars="200"/>
        <w:textAlignment w:val="auto"/>
        <w:rPr>
          <w:rFonts w:hint="eastAsia" w:ascii="仿宋_GB2312" w:hAnsi="仿宋_GB2312" w:eastAsia="仿宋_GB2312" w:cs="仿宋_GB2312"/>
          <w:b w:val="0"/>
          <w:bCs w:val="0"/>
          <w:color w:val="BF0000"/>
          <w:sz w:val="32"/>
          <w:szCs w:val="32"/>
          <w:lang w:val="en-US" w:eastAsia="zh-CN"/>
        </w:rPr>
      </w:pPr>
      <w:r>
        <w:rPr>
          <w:rFonts w:hint="eastAsia" w:ascii="仿宋_GB2312" w:hAnsi="仿宋_GB2312" w:eastAsia="仿宋_GB2312" w:cs="仿宋_GB2312"/>
          <w:sz w:val="32"/>
          <w:szCs w:val="32"/>
        </w:rPr>
        <w:t>全面落实行政执法公示制度、行政执法全过程记录制度及重大行政执法决定法治审核制度，努力构建务实高效、权责明晰、运转协调、执法有力的行政执法队伍。一是制定了行政执法人员各项管理制度，并及时进行公示。二是推进“互联网+监管”，制定了“双随机、一公开”工作实施细则</w:t>
      </w:r>
      <w:r>
        <w:rPr>
          <w:rFonts w:hint="default" w:ascii="仿宋_GB2312" w:hAnsi="仿宋_GB2312" w:eastAsia="仿宋_GB2312" w:cs="仿宋_GB2312"/>
          <w:sz w:val="32"/>
          <w:szCs w:val="32"/>
          <w:lang w:val="en-US"/>
        </w:rPr>
        <w:t>。</w:t>
      </w:r>
      <w:r>
        <w:rPr>
          <w:rFonts w:hint="eastAsia" w:ascii="仿宋_GB2312" w:hAnsi="仿宋_GB2312" w:eastAsia="仿宋_GB2312" w:cs="仿宋_GB2312"/>
          <w:sz w:val="32"/>
          <w:szCs w:val="32"/>
        </w:rPr>
        <w:t>三是规范执法行为，将普法宣传贯彻到行政执法全过程。四是强化执法检查，全面贯彻落实《基本医疗卫生与健康促进法》、《医疗机构管理办法》等法律法规，规范行业行为，切实推动法治建设工作。</w:t>
      </w:r>
    </w:p>
    <w:p>
      <w:pPr>
        <w:keepNext w:val="0"/>
        <w:keepLines w:val="0"/>
        <w:pageBreakBefore w:val="0"/>
        <w:widowControl w:val="0"/>
        <w:kinsoku/>
        <w:wordWrap/>
        <w:overflowPunct/>
        <w:topLinePunct w:val="0"/>
        <w:autoSpaceDE/>
        <w:autoSpaceDN/>
        <w:bidi w:val="0"/>
        <w:adjustRightInd/>
        <w:snapToGrid/>
        <w:spacing w:line="600" w:lineRule="exact"/>
        <w:ind w:firstLine="642" w:firstLineChars="200"/>
        <w:textAlignment w:val="auto"/>
        <w:rPr>
          <w:rFonts w:hint="eastAsia" w:ascii="楷体_GB2312" w:hAnsi="楷体_GB2312" w:eastAsia="楷体_GB2312" w:cs="楷体_GB2312"/>
          <w:b/>
          <w:bCs/>
          <w:sz w:val="32"/>
          <w:szCs w:val="32"/>
        </w:rPr>
      </w:pPr>
      <w:r>
        <w:rPr>
          <w:rFonts w:hint="eastAsia" w:ascii="楷体_GB2312" w:hAnsi="楷体_GB2312" w:eastAsia="楷体_GB2312" w:cs="楷体_GB2312"/>
          <w:b/>
          <w:bCs/>
          <w:sz w:val="32"/>
          <w:szCs w:val="32"/>
        </w:rPr>
        <w:t>（四）开展普法宣传，营造守法氛围</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认真落实“谁执法谁普法”普法责任制，利用新媒体、悬挂标语、电子屏飘字、设立咨询窗口等形式开展法</w:t>
      </w:r>
      <w:r>
        <w:rPr>
          <w:rFonts w:hint="eastAsia" w:ascii="仿宋_GB2312" w:hAnsi="仿宋_GB2312" w:eastAsia="仿宋_GB2312" w:cs="仿宋_GB2312"/>
          <w:sz w:val="32"/>
          <w:szCs w:val="32"/>
          <w:lang w:eastAsia="zh-CN"/>
        </w:rPr>
        <w:t>制</w:t>
      </w:r>
      <w:r>
        <w:rPr>
          <w:rFonts w:hint="eastAsia" w:ascii="仿宋_GB2312" w:hAnsi="仿宋_GB2312" w:eastAsia="仿宋_GB2312" w:cs="仿宋_GB2312"/>
          <w:sz w:val="32"/>
          <w:szCs w:val="32"/>
        </w:rPr>
        <w:t>宣传教育</w:t>
      </w:r>
      <w:r>
        <w:rPr>
          <w:rFonts w:hint="default" w:ascii="仿宋_GB2312" w:hAnsi="仿宋_GB2312" w:eastAsia="仿宋_GB2312" w:cs="仿宋_GB2312"/>
          <w:sz w:val="32"/>
          <w:szCs w:val="32"/>
          <w:lang w:val="en-US"/>
        </w:rPr>
        <w:t>，</w:t>
      </w:r>
      <w:r>
        <w:rPr>
          <w:rFonts w:hint="eastAsia" w:ascii="仿宋_GB2312" w:hAnsi="仿宋_GB2312" w:eastAsia="仿宋_GB2312" w:cs="仿宋_GB2312"/>
          <w:sz w:val="32"/>
          <w:szCs w:val="32"/>
        </w:rPr>
        <w:t>掀起民法典学习宣传高潮，全力培育办事依法、遇事找法、解决问题用法、化解矛盾靠法的良好法治环</w:t>
      </w:r>
      <w:r>
        <w:rPr>
          <w:rFonts w:hint="default" w:ascii="仿宋_GB2312" w:hAnsi="仿宋_GB2312" w:eastAsia="仿宋_GB2312" w:cs="仿宋_GB2312"/>
          <w:sz w:val="32"/>
          <w:szCs w:val="32"/>
          <w:lang w:val="en-US"/>
        </w:rPr>
        <w:t>境。</w:t>
      </w:r>
    </w:p>
    <w:p>
      <w:pPr>
        <w:keepNext w:val="0"/>
        <w:keepLines w:val="0"/>
        <w:pageBreakBefore w:val="0"/>
        <w:widowControl w:val="0"/>
        <w:kinsoku/>
        <w:wordWrap/>
        <w:overflowPunct/>
        <w:topLinePunct w:val="0"/>
        <w:autoSpaceDE/>
        <w:autoSpaceDN/>
        <w:bidi w:val="0"/>
        <w:adjustRightInd/>
        <w:snapToGrid/>
        <w:spacing w:line="600" w:lineRule="exact"/>
        <w:ind w:firstLine="642" w:firstLineChars="200"/>
        <w:textAlignment w:val="auto"/>
        <w:rPr>
          <w:rFonts w:hint="eastAsia" w:ascii="楷体_GB2312" w:hAnsi="楷体_GB2312" w:eastAsia="楷体_GB2312" w:cs="楷体_GB2312"/>
          <w:b/>
          <w:bCs/>
          <w:sz w:val="32"/>
          <w:szCs w:val="32"/>
        </w:rPr>
      </w:pPr>
      <w:r>
        <w:rPr>
          <w:rFonts w:hint="eastAsia" w:ascii="楷体_GB2312" w:hAnsi="楷体_GB2312" w:eastAsia="楷体_GB2312" w:cs="楷体_GB2312"/>
          <w:b/>
          <w:bCs/>
          <w:sz w:val="32"/>
          <w:szCs w:val="32"/>
        </w:rPr>
        <w:t>（五）健全决策机制，优化营商环境</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深入贯彻落实《重大行政决策程序暂行条例》，完善重大行政决策程序制度,强化决策法定程序的刚性约束，规范重大决策行为，提高决策质量和效率；优化营商环境方面，继续扎实推进分级诊疗制度落实</w:t>
      </w:r>
      <w:r>
        <w:rPr>
          <w:rFonts w:hint="default" w:ascii="仿宋_GB2312" w:hAnsi="仿宋_GB2312" w:eastAsia="仿宋_GB2312" w:cs="仿宋_GB2312"/>
          <w:sz w:val="32"/>
          <w:szCs w:val="32"/>
          <w:lang w:val="en-US"/>
        </w:rPr>
        <w:t>、</w:t>
      </w:r>
      <w:r>
        <w:rPr>
          <w:rFonts w:hint="eastAsia" w:ascii="仿宋_GB2312" w:hAnsi="仿宋_GB2312" w:eastAsia="仿宋_GB2312" w:cs="仿宋_GB2312"/>
          <w:sz w:val="32"/>
          <w:szCs w:val="32"/>
        </w:rPr>
        <w:t>优质服务基层活动，督促医疗集团建立优质资源下沉长效机制，落实医养结合政策，持续深化“放管服效”优化营商环境，不断加快卫生健康和体育事业高质量发展。</w:t>
      </w:r>
    </w:p>
    <w:p>
      <w:pPr>
        <w:keepNext w:val="0"/>
        <w:keepLines w:val="0"/>
        <w:pageBreakBefore w:val="0"/>
        <w:widowControl w:val="0"/>
        <w:kinsoku/>
        <w:wordWrap/>
        <w:overflowPunct/>
        <w:topLinePunct w:val="0"/>
        <w:autoSpaceDE/>
        <w:autoSpaceDN/>
        <w:bidi w:val="0"/>
        <w:adjustRightInd/>
        <w:snapToGrid/>
        <w:spacing w:line="600" w:lineRule="exact"/>
        <w:ind w:firstLine="642" w:firstLineChars="200"/>
        <w:textAlignment w:val="auto"/>
        <w:rPr>
          <w:rFonts w:hint="eastAsia" w:ascii="楷体_GB2312" w:hAnsi="楷体_GB2312" w:eastAsia="楷体_GB2312" w:cs="楷体_GB2312"/>
          <w:b/>
          <w:bCs/>
          <w:sz w:val="32"/>
          <w:szCs w:val="32"/>
        </w:rPr>
      </w:pPr>
      <w:r>
        <w:rPr>
          <w:rFonts w:hint="eastAsia" w:ascii="楷体_GB2312" w:hAnsi="楷体_GB2312" w:eastAsia="楷体_GB2312" w:cs="楷体_GB2312"/>
          <w:b/>
          <w:bCs/>
          <w:sz w:val="32"/>
          <w:szCs w:val="32"/>
        </w:rPr>
        <w:t>（六）开展矛盾排查，维护社会稳定</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强化各类矛盾隐患排查，</w:t>
      </w:r>
      <w:r>
        <w:rPr>
          <w:rFonts w:hint="eastAsia" w:ascii="仿宋_GB2312" w:hAnsi="仿宋_GB2312" w:eastAsia="仿宋_GB2312" w:cs="仿宋_GB2312"/>
          <w:b/>
          <w:bCs/>
          <w:color w:val="000000" w:themeColor="text1"/>
          <w:sz w:val="32"/>
          <w:szCs w:val="32"/>
          <w14:textFill>
            <w14:solidFill>
              <w14:schemeClr w14:val="tx1"/>
            </w14:solidFill>
          </w14:textFill>
        </w:rPr>
        <w:t>一是</w:t>
      </w:r>
      <w:r>
        <w:rPr>
          <w:rFonts w:hint="eastAsia" w:ascii="仿宋_GB2312" w:hAnsi="仿宋_GB2312" w:eastAsia="仿宋_GB2312" w:cs="仿宋_GB2312"/>
          <w:color w:val="000000" w:themeColor="text1"/>
          <w:sz w:val="32"/>
          <w:szCs w:val="32"/>
          <w14:textFill>
            <w14:solidFill>
              <w14:schemeClr w14:val="tx1"/>
            </w14:solidFill>
          </w14:textFill>
        </w:rPr>
        <w:t>从矛盾纠纷排查化解、信访维稳、安全生产、严重精神病患者管理、“清廉医院”建设等方面开展矛盾隐患排查，对排查出的问题隐患分类建立台账，确保责任落实到位、矛盾化解到位、隐患整改到位；</w:t>
      </w:r>
      <w:r>
        <w:rPr>
          <w:rFonts w:hint="eastAsia" w:ascii="仿宋_GB2312" w:hAnsi="仿宋_GB2312" w:eastAsia="仿宋_GB2312" w:cs="仿宋_GB2312"/>
          <w:b/>
          <w:bCs/>
          <w:color w:val="000000" w:themeColor="text1"/>
          <w:sz w:val="32"/>
          <w:szCs w:val="32"/>
          <w14:textFill>
            <w14:solidFill>
              <w14:schemeClr w14:val="tx1"/>
            </w14:solidFill>
          </w14:textFill>
        </w:rPr>
        <w:t>二是</w:t>
      </w:r>
      <w:r>
        <w:rPr>
          <w:rFonts w:hint="eastAsia" w:ascii="仿宋_GB2312" w:hAnsi="仿宋_GB2312" w:eastAsia="仿宋_GB2312" w:cs="仿宋_GB2312"/>
          <w:color w:val="000000" w:themeColor="text1"/>
          <w:sz w:val="32"/>
          <w:szCs w:val="32"/>
          <w14:textFill>
            <w14:solidFill>
              <w14:schemeClr w14:val="tx1"/>
            </w14:solidFill>
          </w14:textFill>
        </w:rPr>
        <w:t>认真落实</w:t>
      </w:r>
      <w:r>
        <w:rPr>
          <w:rFonts w:hint="default" w:ascii="Times New Roman" w:hAnsi="Times New Roman" w:eastAsia="仿宋_GB2312" w:cs="Times New Roman"/>
          <w:color w:val="000000" w:themeColor="text1"/>
          <w:sz w:val="32"/>
          <w:szCs w:val="32"/>
          <w14:textFill>
            <w14:solidFill>
              <w14:schemeClr w14:val="tx1"/>
            </w14:solidFill>
          </w14:textFill>
        </w:rPr>
        <w:t>24</w:t>
      </w:r>
      <w:r>
        <w:rPr>
          <w:rFonts w:hint="eastAsia" w:ascii="仿宋_GB2312" w:hAnsi="仿宋_GB2312" w:eastAsia="仿宋_GB2312" w:cs="仿宋_GB2312"/>
          <w:color w:val="000000" w:themeColor="text1"/>
          <w:sz w:val="32"/>
          <w:szCs w:val="32"/>
          <w14:textFill>
            <w14:solidFill>
              <w14:schemeClr w14:val="tx1"/>
            </w14:solidFill>
          </w14:textFill>
        </w:rPr>
        <w:t>小时值班值守制度，确保上下信息畅通，指令处理及时。</w:t>
      </w:r>
    </w:p>
    <w:p>
      <w:pPr>
        <w:keepNext w:val="0"/>
        <w:keepLines w:val="0"/>
        <w:pageBreakBefore w:val="0"/>
        <w:widowControl w:val="0"/>
        <w:numPr>
          <w:ilvl w:val="0"/>
          <w:numId w:val="1"/>
        </w:numPr>
        <w:kinsoku/>
        <w:wordWrap/>
        <w:overflowPunct/>
        <w:topLinePunct w:val="0"/>
        <w:autoSpaceDE/>
        <w:autoSpaceDN/>
        <w:bidi w:val="0"/>
        <w:adjustRightInd/>
        <w:snapToGrid/>
        <w:spacing w:line="600" w:lineRule="exact"/>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rPr>
        <w:t>存在问题</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default" w:ascii="Times New Roman" w:hAnsi="Times New Roman" w:eastAsia="仿宋_GB2312" w:cs="Times New Roman"/>
          <w:sz w:val="32"/>
          <w:szCs w:val="32"/>
        </w:rPr>
        <w:t>202</w:t>
      </w:r>
      <w:r>
        <w:rPr>
          <w:rFonts w:hint="default" w:ascii="Times New Roman" w:hAnsi="Times New Roman" w:eastAsia="仿宋_GB2312" w:cs="Times New Roman"/>
          <w:sz w:val="32"/>
          <w:szCs w:val="32"/>
          <w:lang w:val="en-US"/>
        </w:rPr>
        <w:t>3</w:t>
      </w:r>
      <w:r>
        <w:rPr>
          <w:rFonts w:hint="eastAsia" w:ascii="仿宋_GB2312" w:hAnsi="仿宋_GB2312" w:eastAsia="仿宋_GB2312" w:cs="仿宋_GB2312"/>
          <w:sz w:val="32"/>
          <w:szCs w:val="32"/>
        </w:rPr>
        <w:t>年以来，我局的法治政府建设工作取得了一定成效，但对照县委</w:t>
      </w:r>
      <w:r>
        <w:rPr>
          <w:rFonts w:hint="eastAsia" w:ascii="仿宋_GB2312" w:hAnsi="仿宋_GB2312" w:eastAsia="仿宋_GB2312" w:cs="仿宋_GB2312"/>
          <w:sz w:val="32"/>
          <w:szCs w:val="32"/>
          <w:lang w:eastAsia="zh-CN"/>
        </w:rPr>
        <w:t>县</w:t>
      </w:r>
      <w:bookmarkStart w:id="0" w:name="_GoBack"/>
      <w:bookmarkEnd w:id="0"/>
      <w:r>
        <w:rPr>
          <w:rFonts w:hint="eastAsia" w:ascii="仿宋_GB2312" w:hAnsi="仿宋_GB2312" w:eastAsia="仿宋_GB2312" w:cs="仿宋_GB2312"/>
          <w:sz w:val="32"/>
          <w:szCs w:val="32"/>
        </w:rPr>
        <w:t>政府的要求还存在一些问题和薄弱环节，主要表现在：一是运用法治思维与法治方式进行社会治理的法治理念还未普遍树立，法治能力有待提高；二是医疗卫生机构法治建设有待加强；三是法治工作机构及人员设置与所承担的职能不相适应，执法队伍中执法人员专业化水平还不高，执法人员数量不足。</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黑体" w:hAnsi="黑体" w:eastAsia="黑体" w:cs="黑体"/>
          <w:sz w:val="32"/>
          <w:szCs w:val="32"/>
          <w:lang w:val="en-US" w:eastAsia="zh-CN"/>
        </w:rPr>
        <w:t>三、</w:t>
      </w:r>
      <w:r>
        <w:rPr>
          <w:rFonts w:hint="eastAsia" w:ascii="黑体" w:hAnsi="黑体" w:eastAsia="黑体" w:cs="黑体"/>
          <w:sz w:val="32"/>
          <w:szCs w:val="32"/>
        </w:rPr>
        <w:t>下一步工作计划</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在今后的工作中，我局将继续深入贯彻习近平法治思想，全面依法治国工作会议精神，按照上级的统一安排部署，努力做好以下工作：</w:t>
      </w:r>
      <w:r>
        <w:rPr>
          <w:rFonts w:hint="eastAsia" w:ascii="仿宋_GB2312" w:hAnsi="仿宋_GB2312" w:eastAsia="仿宋_GB2312" w:cs="仿宋_GB2312"/>
          <w:b/>
          <w:bCs/>
          <w:sz w:val="32"/>
          <w:szCs w:val="32"/>
        </w:rPr>
        <w:t>一是</w:t>
      </w:r>
      <w:r>
        <w:rPr>
          <w:rFonts w:hint="eastAsia" w:ascii="仿宋_GB2312" w:hAnsi="仿宋_GB2312" w:eastAsia="仿宋_GB2312" w:cs="仿宋_GB2312"/>
          <w:sz w:val="32"/>
          <w:szCs w:val="32"/>
        </w:rPr>
        <w:t>进一步推进法治建设与思想教育相结合</w:t>
      </w:r>
      <w:r>
        <w:rPr>
          <w:rFonts w:hint="default" w:ascii="仿宋_GB2312" w:hAnsi="仿宋_GB2312" w:eastAsia="仿宋_GB2312" w:cs="仿宋_GB2312"/>
          <w:sz w:val="32"/>
          <w:szCs w:val="32"/>
          <w:lang w:val="en-US"/>
        </w:rPr>
        <w:t>，</w:t>
      </w:r>
      <w:r>
        <w:rPr>
          <w:rFonts w:hint="eastAsia" w:ascii="仿宋_GB2312" w:hAnsi="仿宋_GB2312" w:eastAsia="仿宋_GB2312" w:cs="仿宋_GB2312"/>
          <w:sz w:val="32"/>
          <w:szCs w:val="32"/>
        </w:rPr>
        <w:t>学习宣传习近平法治思想、中央全面依法治国工作会议精神，并深入贯彻到法治教育的各个阶段。</w:t>
      </w:r>
      <w:r>
        <w:rPr>
          <w:rFonts w:hint="eastAsia" w:ascii="仿宋_GB2312" w:hAnsi="仿宋_GB2312" w:eastAsia="仿宋_GB2312" w:cs="仿宋_GB2312"/>
          <w:b/>
          <w:bCs/>
          <w:sz w:val="32"/>
          <w:szCs w:val="32"/>
        </w:rPr>
        <w:t>二是</w:t>
      </w:r>
      <w:r>
        <w:rPr>
          <w:rFonts w:hint="eastAsia" w:ascii="仿宋_GB2312" w:hAnsi="仿宋_GB2312" w:eastAsia="仿宋_GB2312" w:cs="仿宋_GB2312"/>
          <w:sz w:val="32"/>
          <w:szCs w:val="32"/>
        </w:rPr>
        <w:t>进一步推进法治建设与工作实践相结合。落实行政执法“三项制度”，规范行政执法行为。</w:t>
      </w:r>
      <w:r>
        <w:rPr>
          <w:rFonts w:hint="eastAsia" w:ascii="仿宋_GB2312" w:hAnsi="仿宋_GB2312" w:eastAsia="仿宋_GB2312" w:cs="仿宋_GB2312"/>
          <w:b/>
          <w:bCs/>
          <w:sz w:val="32"/>
          <w:szCs w:val="32"/>
        </w:rPr>
        <w:t>三是</w:t>
      </w:r>
      <w:r>
        <w:rPr>
          <w:rFonts w:hint="eastAsia" w:ascii="仿宋_GB2312" w:hAnsi="仿宋_GB2312" w:eastAsia="仿宋_GB2312" w:cs="仿宋_GB2312"/>
          <w:sz w:val="32"/>
          <w:szCs w:val="32"/>
        </w:rPr>
        <w:t>进一步推进法治建设与业务培训相结合。紧密结合卫生健康体育工作特点，将提高依法行政能力和解决现实业务问题有机结合，通过业务培训提高工作人员法治思维及综合素养，全面提高我局依法行政工作水平，全方位全周期维护</w:t>
      </w:r>
      <w:r>
        <w:rPr>
          <w:rFonts w:hint="eastAsia" w:ascii="仿宋_GB2312" w:hAnsi="仿宋_GB2312" w:eastAsia="仿宋_GB2312" w:cs="仿宋_GB2312"/>
          <w:sz w:val="32"/>
          <w:szCs w:val="32"/>
          <w:lang w:eastAsia="zh-CN"/>
        </w:rPr>
        <w:t>古县</w:t>
      </w:r>
      <w:r>
        <w:rPr>
          <w:rFonts w:hint="eastAsia" w:ascii="仿宋_GB2312" w:hAnsi="仿宋_GB2312" w:eastAsia="仿宋_GB2312" w:cs="仿宋_GB2312"/>
          <w:sz w:val="32"/>
          <w:szCs w:val="32"/>
        </w:rPr>
        <w:t>人民健康。</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       </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 xml:space="preserve">         </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 xml:space="preserve">   </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p>
    <w:p>
      <w:pPr>
        <w:keepNext w:val="0"/>
        <w:keepLines w:val="0"/>
        <w:pageBreakBefore w:val="0"/>
        <w:widowControl w:val="0"/>
        <w:kinsoku/>
        <w:wordWrap/>
        <w:overflowPunct/>
        <w:topLinePunct w:val="0"/>
        <w:autoSpaceDE/>
        <w:autoSpaceDN/>
        <w:bidi w:val="0"/>
        <w:adjustRightInd/>
        <w:snapToGrid/>
        <w:spacing w:line="600" w:lineRule="exact"/>
        <w:ind w:firstLine="5120" w:firstLineChars="16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202</w:t>
      </w:r>
      <w:r>
        <w:rPr>
          <w:rFonts w:hint="default" w:ascii="Times New Roman" w:hAnsi="Times New Roman" w:eastAsia="仿宋_GB2312" w:cs="Times New Roman"/>
          <w:sz w:val="32"/>
          <w:szCs w:val="32"/>
          <w:lang w:val="en-US"/>
        </w:rPr>
        <w:t>3</w:t>
      </w:r>
      <w:r>
        <w:rPr>
          <w:rFonts w:hint="default" w:ascii="Times New Roman" w:hAnsi="Times New Roman" w:eastAsia="仿宋_GB2312" w:cs="Times New Roman"/>
          <w:sz w:val="32"/>
          <w:szCs w:val="32"/>
        </w:rPr>
        <w:t>年1</w:t>
      </w:r>
      <w:r>
        <w:rPr>
          <w:rFonts w:hint="default" w:ascii="Times New Roman" w:hAnsi="Times New Roman" w:eastAsia="仿宋_GB2312" w:cs="Times New Roman"/>
          <w:sz w:val="32"/>
          <w:szCs w:val="32"/>
          <w:lang w:val="en-US"/>
        </w:rPr>
        <w:t>2</w:t>
      </w:r>
      <w:r>
        <w:rPr>
          <w:rFonts w:hint="default" w:ascii="Times New Roman" w:hAnsi="Times New Roman" w:eastAsia="仿宋_GB2312" w:cs="Times New Roman"/>
          <w:sz w:val="32"/>
          <w:szCs w:val="32"/>
        </w:rPr>
        <w:t>月</w:t>
      </w:r>
      <w:r>
        <w:rPr>
          <w:rFonts w:hint="default" w:ascii="Times New Roman" w:hAnsi="Times New Roman" w:eastAsia="仿宋_GB2312" w:cs="Times New Roman"/>
          <w:sz w:val="32"/>
          <w:szCs w:val="32"/>
          <w:lang w:val="en-US"/>
        </w:rPr>
        <w:t>21</w:t>
      </w:r>
      <w:r>
        <w:rPr>
          <w:rFonts w:hint="default" w:ascii="Times New Roman" w:hAnsi="Times New Roman" w:eastAsia="仿宋_GB2312" w:cs="Times New Roman"/>
          <w:sz w:val="32"/>
          <w:szCs w:val="32"/>
        </w:rPr>
        <w:t>日</w:t>
      </w:r>
    </w:p>
    <w:sectPr>
      <w:headerReference r:id="rId3" w:type="default"/>
      <w:footerReference r:id="rId4" w:type="default"/>
      <w:pgSz w:w="11906" w:h="16838"/>
      <w:pgMar w:top="2098" w:right="1474" w:bottom="1984" w:left="1587"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altName w:val="Standard Symbols P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Standard Symbols PS"/>
    <w:panose1 w:val="05050102010706020507"/>
    <w:charset w:val="02"/>
    <w:family w:val="roman"/>
    <w:pitch w:val="default"/>
    <w:sig w:usb0="00000000" w:usb1="00000000" w:usb2="00000000" w:usb3="00000000" w:csb0="80000000" w:csb1="00000000"/>
  </w:font>
  <w:font w:name="Calibri">
    <w:altName w:val="微软雅黑"/>
    <w:panose1 w:val="020F0502020204030204"/>
    <w:charset w:val="00"/>
    <w:family w:val="swiss"/>
    <w:pitch w:val="default"/>
    <w:sig w:usb0="00000000" w:usb1="00000000" w:usb2="00000001" w:usb3="00000000" w:csb0="0000019F"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DejaVu Sans">
    <w:panose1 w:val="020B0603030804020204"/>
    <w:charset w:val="00"/>
    <w:family w:val="auto"/>
    <w:pitch w:val="default"/>
    <w:sig w:usb0="E7006EFF" w:usb1="D200FDFF" w:usb2="0A246029" w:usb3="0400200C" w:csb0="600001FF" w:csb1="D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center"/>
    </w:pPr>
    <w:r>
      <w:rPr>
        <w:sz w:val="21"/>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-247650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rPr>
                              <w:rFonts w:hint="default" w:ascii="Times New Roman" w:hAnsi="Times New Roman" w:cs="Times New Roman"/>
                              <w:sz w:val="32"/>
                              <w:szCs w:val="32"/>
                            </w:rPr>
                          </w:pPr>
                          <w:r>
                            <w:rPr>
                              <w:rFonts w:hint="default" w:ascii="Times New Roman" w:hAnsi="Times New Roman" w:cs="Times New Roman"/>
                              <w:sz w:val="32"/>
                              <w:szCs w:val="32"/>
                            </w:rPr>
                            <w:t xml:space="preserve">— </w:t>
                          </w:r>
                          <w:r>
                            <w:rPr>
                              <w:rFonts w:hint="default" w:ascii="Times New Roman" w:hAnsi="Times New Roman" w:cs="Times New Roman"/>
                              <w:sz w:val="32"/>
                              <w:szCs w:val="32"/>
                            </w:rPr>
                            <w:fldChar w:fldCharType="begin"/>
                          </w:r>
                          <w:r>
                            <w:rPr>
                              <w:rFonts w:hint="default" w:ascii="Times New Roman" w:hAnsi="Times New Roman" w:cs="Times New Roman"/>
                              <w:sz w:val="32"/>
                              <w:szCs w:val="32"/>
                            </w:rPr>
                            <w:instrText xml:space="preserve"> PAGE  \* MERGEFORMAT </w:instrText>
                          </w:r>
                          <w:r>
                            <w:rPr>
                              <w:rFonts w:hint="default" w:ascii="Times New Roman" w:hAnsi="Times New Roman" w:cs="Times New Roman"/>
                              <w:sz w:val="32"/>
                              <w:szCs w:val="32"/>
                            </w:rPr>
                            <w:fldChar w:fldCharType="separate"/>
                          </w:r>
                          <w:r>
                            <w:rPr>
                              <w:rFonts w:hint="default" w:ascii="Times New Roman" w:hAnsi="Times New Roman" w:cs="Times New Roman"/>
                              <w:sz w:val="32"/>
                              <w:szCs w:val="32"/>
                            </w:rPr>
                            <w:t>1</w:t>
                          </w:r>
                          <w:r>
                            <w:rPr>
                              <w:rFonts w:hint="default" w:ascii="Times New Roman" w:hAnsi="Times New Roman" w:cs="Times New Roman"/>
                              <w:sz w:val="32"/>
                              <w:szCs w:val="32"/>
                            </w:rPr>
                            <w:fldChar w:fldCharType="end"/>
                          </w:r>
                          <w:r>
                            <w:rPr>
                              <w:rFonts w:hint="default" w:ascii="Times New Roman" w:hAnsi="Times New Roman" w:cs="Times New Roman"/>
                              <w:sz w:val="32"/>
                              <w:szCs w:val="32"/>
                            </w:rPr>
                            <w:t xml:space="preserve"> —</w:t>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19.5pt;height:144pt;width:144pt;mso-position-horizontal:outside;mso-position-horizontal-relative:margin;mso-wrap-style:none;z-index:251659264;mso-width-relative:page;mso-height-relative:page;" filled="f" stroked="f" coordsize="21600,21600" o:gfxdata="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BYAAABkcnMvUEsBAhQAFAAA&#10;AAgAh07iQPonR3TUAAAACAEAAA8AAAAAAAAAAQAgAAAAOAAAAGRycy9kb3ducmV2LnhtbFBLAQIU&#10;ABQAAAAIAIdO4kAmGtJuGgIAACkEAAAOAAAAAAAAAAEAIAAAADkBAABkcnMvZTJvRG9jLnhtbFBL&#10;BQYAAAAABgAGAFkBAADFBQAAAAA=&#10;">
              <v:fill on="f" focussize="0,0"/>
              <v:stroke on="f" weight="0.5pt"/>
              <v:imagedata o:title=""/>
              <o:lock v:ext="edit" aspectratio="f"/>
              <v:textbox inset="0mm,0mm,0mm,0mm" style="mso-fit-shape-to-text:t;">
                <w:txbxContent>
                  <w:p>
                    <w:pPr>
                      <w:pStyle w:val="2"/>
                      <w:rPr>
                        <w:rFonts w:hint="default" w:ascii="Times New Roman" w:hAnsi="Times New Roman" w:cs="Times New Roman"/>
                        <w:sz w:val="32"/>
                        <w:szCs w:val="32"/>
                      </w:rPr>
                    </w:pPr>
                    <w:r>
                      <w:rPr>
                        <w:rFonts w:hint="default" w:ascii="Times New Roman" w:hAnsi="Times New Roman" w:cs="Times New Roman"/>
                        <w:sz w:val="32"/>
                        <w:szCs w:val="32"/>
                      </w:rPr>
                      <w:t xml:space="preserve">— </w:t>
                    </w:r>
                    <w:r>
                      <w:rPr>
                        <w:rFonts w:hint="default" w:ascii="Times New Roman" w:hAnsi="Times New Roman" w:cs="Times New Roman"/>
                        <w:sz w:val="32"/>
                        <w:szCs w:val="32"/>
                      </w:rPr>
                      <w:fldChar w:fldCharType="begin"/>
                    </w:r>
                    <w:r>
                      <w:rPr>
                        <w:rFonts w:hint="default" w:ascii="Times New Roman" w:hAnsi="Times New Roman" w:cs="Times New Roman"/>
                        <w:sz w:val="32"/>
                        <w:szCs w:val="32"/>
                      </w:rPr>
                      <w:instrText xml:space="preserve"> PAGE  \* MERGEFORMAT </w:instrText>
                    </w:r>
                    <w:r>
                      <w:rPr>
                        <w:rFonts w:hint="default" w:ascii="Times New Roman" w:hAnsi="Times New Roman" w:cs="Times New Roman"/>
                        <w:sz w:val="32"/>
                        <w:szCs w:val="32"/>
                      </w:rPr>
                      <w:fldChar w:fldCharType="separate"/>
                    </w:r>
                    <w:r>
                      <w:rPr>
                        <w:rFonts w:hint="default" w:ascii="Times New Roman" w:hAnsi="Times New Roman" w:cs="Times New Roman"/>
                        <w:sz w:val="32"/>
                        <w:szCs w:val="32"/>
                      </w:rPr>
                      <w:t>1</w:t>
                    </w:r>
                    <w:r>
                      <w:rPr>
                        <w:rFonts w:hint="default" w:ascii="Times New Roman" w:hAnsi="Times New Roman" w:cs="Times New Roman"/>
                        <w:sz w:val="32"/>
                        <w:szCs w:val="32"/>
                      </w:rPr>
                      <w:fldChar w:fldCharType="end"/>
                    </w:r>
                    <w:r>
                      <w:rPr>
                        <w:rFonts w:hint="default" w:ascii="Times New Roman" w:hAnsi="Times New Roman" w:cs="Times New Roman"/>
                        <w:sz w:val="32"/>
                        <w:szCs w:val="32"/>
                      </w:rPr>
                      <w:t xml:space="preserve"> —</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0"/>
    <w:multiLevelType w:val="singleLevel"/>
    <w:tmpl w:val="00000000"/>
    <w:lvl w:ilvl="0" w:tentative="0">
      <w:start w:val="2"/>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true"/>
  <w:bordersDoNotSurroundFooter w:val="true"/>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TgyOWZmNDM4ZDk2ZTg3MWJkOGNhYzE4NGZmYWM5NjAifQ=="/>
  </w:docVars>
  <w:rsids>
    <w:rsidRoot w:val="00000000"/>
    <w:rsid w:val="12845E3D"/>
    <w:rsid w:val="56554CD5"/>
    <w:rsid w:val="58767185"/>
    <w:rsid w:val="59BC506B"/>
    <w:rsid w:val="5A8F0385"/>
    <w:rsid w:val="672761B6"/>
    <w:rsid w:val="7F6804B3"/>
    <w:rsid w:val="BE6F84E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宋体"/>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semiHidden="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宋体"/>
      <w:kern w:val="2"/>
      <w:sz w:val="21"/>
      <w:szCs w:val="24"/>
      <w:lang w:val="en-US" w:eastAsia="zh-CN" w:bidi="ar-SA"/>
    </w:rPr>
  </w:style>
  <w:style w:type="character" w:default="1" w:styleId="4">
    <w:name w:val="Default Paragraph Font"/>
    <w:qFormat/>
    <w:uiPriority w:val="0"/>
  </w:style>
  <w:style w:type="table" w:default="1" w:styleId="3">
    <w:name w:val="Normal Table"/>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4</Pages>
  <Words>1548</Words>
  <Characters>1566</Characters>
  <Paragraphs>27</Paragraphs>
  <TotalTime>2</TotalTime>
  <ScaleCrop>false</ScaleCrop>
  <LinksUpToDate>false</LinksUpToDate>
  <CharactersWithSpaces>1620</CharactersWithSpaces>
  <Application>WPS Office_11.8.2.10195_F1E327BC-269C-435d-A152-05C5408002CA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2023-01-19T16:36:00Z</dcterms:created>
  <dc:creator>Administrator</dc:creator>
  <cp:lastModifiedBy>greatwall</cp:lastModifiedBy>
  <dcterms:modified xsi:type="dcterms:W3CDTF">2024-10-22T18:28:11Z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2052-11.8.2.10195</vt:lpwstr>
  </property>
  <property fmtid="{D5CDD505-2E9C-101B-9397-08002B2CF9AE}" pid="3" name="ICV">
    <vt:lpwstr>44B74E30A7D1430687A74CB2C67BFA69_13</vt:lpwstr>
  </property>
</Properties>
</file>