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2157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古县文化和旅游局</w:t>
      </w:r>
    </w:p>
    <w:p w14:paraId="22C312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2026年度行政执法检查计划</w:t>
      </w:r>
    </w:p>
    <w:p w14:paraId="4D06B2C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32"/>
          <w:szCs w:val="32"/>
          <w:lang w:val="en-US" w:eastAsia="zh-CN"/>
        </w:rPr>
      </w:pPr>
    </w:p>
    <w:p w14:paraId="2C1BA12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为进一步加强</w:t>
      </w:r>
      <w:r>
        <w:rPr>
          <w:rFonts w:hint="eastAsia" w:ascii="仿宋_GB2312" w:hAnsi="仿宋_GB2312" w:eastAsia="仿宋_GB2312" w:cs="仿宋_GB2312"/>
          <w:sz w:val="32"/>
          <w:szCs w:val="32"/>
          <w:lang w:val="en-US" w:eastAsia="zh-CN"/>
        </w:rPr>
        <w:t>我县文旅</w:t>
      </w:r>
      <w:r>
        <w:rPr>
          <w:rFonts w:hint="eastAsia" w:ascii="仿宋_GB2312" w:hAnsi="仿宋_GB2312" w:eastAsia="仿宋_GB2312" w:cs="仿宋_GB2312"/>
          <w:sz w:val="32"/>
          <w:szCs w:val="32"/>
        </w:rPr>
        <w:t>市场管理，规范市场经营秩序，根据国家、省、市有关文化市场管理的法律法规和政策文件精神，结合古县文化市场实际情况，制定本计划。</w:t>
      </w:r>
    </w:p>
    <w:p w14:paraId="2797EA6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一、</w:t>
      </w:r>
      <w:r>
        <w:rPr>
          <w:rFonts w:hint="eastAsia" w:ascii="黑体" w:hAnsi="黑体" w:eastAsia="黑体" w:cs="黑体"/>
          <w:sz w:val="32"/>
          <w:szCs w:val="32"/>
        </w:rPr>
        <w:t>检查依据</w:t>
      </w:r>
    </w:p>
    <w:p w14:paraId="763F7B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中华人民共和国行政处罚法》、《中华人民共和国旅游法》、《中华人民共和国未成年人保护法》、《中华人民共和国著作权法》、《中华人民共和国电影产业促进法》、《旅行社条例》、《娱乐场所管理条例》、《出版管理条例》等法律法规依法开展行政检查工作。</w:t>
      </w:r>
    </w:p>
    <w:p w14:paraId="33668A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二</w:t>
      </w:r>
      <w:r>
        <w:rPr>
          <w:rFonts w:hint="eastAsia" w:ascii="黑体" w:hAnsi="黑体" w:eastAsia="黑体" w:cs="黑体"/>
          <w:sz w:val="32"/>
          <w:szCs w:val="32"/>
        </w:rPr>
        <w:t>、检查计划</w:t>
      </w:r>
    </w:p>
    <w:p w14:paraId="60DB268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对文化、文物、新闻出版、广播电视、电影、旅游</w:t>
      </w:r>
      <w:r>
        <w:rPr>
          <w:rFonts w:hint="eastAsia" w:ascii="仿宋_GB2312" w:hAnsi="仿宋_GB2312" w:eastAsia="仿宋_GB2312" w:cs="仿宋_GB2312"/>
          <w:sz w:val="32"/>
          <w:szCs w:val="32"/>
          <w:lang w:val="en-US" w:eastAsia="zh-CN"/>
        </w:rPr>
        <w:t>等领域</w:t>
      </w:r>
      <w:r>
        <w:rPr>
          <w:rFonts w:hint="eastAsia" w:ascii="仿宋_GB2312" w:hAnsi="仿宋_GB2312" w:eastAsia="仿宋_GB2312" w:cs="仿宋_GB2312"/>
          <w:sz w:val="32"/>
          <w:szCs w:val="32"/>
        </w:rPr>
        <w:t>开展行业违法违规检查查处，包括行政处罚、行政检查及行政强制。</w:t>
      </w:r>
    </w:p>
    <w:p w14:paraId="53F2390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（一）检查对象</w:t>
      </w:r>
    </w:p>
    <w:p w14:paraId="5F1CBF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古</w:t>
      </w:r>
      <w:r>
        <w:rPr>
          <w:rFonts w:hint="eastAsia" w:ascii="仿宋_GB2312" w:hAnsi="仿宋_GB2312" w:eastAsia="仿宋_GB2312" w:cs="仿宋_GB2312"/>
          <w:sz w:val="32"/>
          <w:szCs w:val="32"/>
        </w:rPr>
        <w:t>县辖区范围内的文化旅游市场相关经营主体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包括娱乐场所、互联网上网服务营业场所、旅行社、A级景区、</w:t>
      </w:r>
      <w:r>
        <w:rPr>
          <w:rFonts w:hint="eastAsia" w:ascii="仿宋_GB2312" w:hAnsi="仿宋_GB2312" w:eastAsia="仿宋_GB2312" w:cs="仿宋_GB2312"/>
          <w:sz w:val="32"/>
          <w:szCs w:val="32"/>
        </w:rPr>
        <w:t>书店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印刷</w:t>
      </w:r>
      <w:r>
        <w:rPr>
          <w:rFonts w:hint="eastAsia" w:ascii="仿宋_GB2312" w:hAnsi="仿宋_GB2312" w:eastAsia="仿宋_GB2312" w:cs="仿宋_GB2312"/>
          <w:sz w:val="32"/>
          <w:szCs w:val="32"/>
          <w:lang w:val="en-US" w:eastAsia="zh-CN"/>
        </w:rPr>
        <w:t>复制</w:t>
      </w:r>
      <w:r>
        <w:rPr>
          <w:rFonts w:hint="eastAsia" w:ascii="仿宋_GB2312" w:hAnsi="仿宋_GB2312" w:eastAsia="仿宋_GB2312" w:cs="仿宋_GB2312"/>
          <w:sz w:val="32"/>
          <w:szCs w:val="32"/>
        </w:rPr>
        <w:t>企业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电影院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艺术类校外培训机构等。 </w:t>
      </w:r>
    </w:p>
    <w:p w14:paraId="1927BCD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检查方式</w:t>
      </w:r>
    </w:p>
    <w:p w14:paraId="3E6EAD3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现场检查、联合双随机检查。</w:t>
      </w:r>
    </w:p>
    <w:p w14:paraId="5A20EA36">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检查频次</w:t>
      </w:r>
      <w:bookmarkStart w:id="0" w:name="_GoBack"/>
      <w:bookmarkEnd w:id="0"/>
    </w:p>
    <w:p w14:paraId="7A9FDAF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每季度对管辖企业开展1次检查，年度检查频次不超过4次，确需在本计划外增加检查任务和频次的，应当明确增加的检查任务来源、原因以及程序，因投诉举报、上级交办、其他机关移送等线索或者重点领域专项行动部署等情形需要开展行政检查工作的除外。</w:t>
      </w:r>
    </w:p>
    <w:p w14:paraId="5877819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三、工作原则</w:t>
      </w:r>
    </w:p>
    <w:p w14:paraId="43D031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执法检查人员要严守廉政与保密承诺，遵守各项法律法规制度，科学规范、公正透明地开展检查工作。执法检查过程要做到全程记录、证据完整、合理合法、责任可溯，实现公平公正监督，阳光透明检查。对违法违规行为早发现、早制止、严查处，惩戒失信行为，查处违法行为，维护行业秩序。</w:t>
      </w:r>
    </w:p>
    <w:p w14:paraId="0E6A132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6001A11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1200" w:firstLine="640" w:firstLineChars="20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古县文化和旅游局</w:t>
      </w:r>
    </w:p>
    <w:p w14:paraId="62A6BA1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1200" w:firstLine="640" w:firstLineChars="200"/>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2026年4月7日</w:t>
      </w:r>
    </w:p>
    <w:p w14:paraId="6BC53DFA">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14:paraId="7A9E5B4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5969A"/>
    <w:multiLevelType w:val="singleLevel"/>
    <w:tmpl w:val="83D5969A"/>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6E34D2"/>
    <w:rsid w:val="17B05030"/>
    <w:rsid w:val="35FC0E40"/>
    <w:rsid w:val="72B055CF"/>
    <w:rsid w:val="76E96B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647</Words>
  <Characters>653</Characters>
  <Lines>0</Lines>
  <Paragraphs>0</Paragraphs>
  <TotalTime>12</TotalTime>
  <ScaleCrop>false</ScaleCrop>
  <LinksUpToDate>false</LinksUpToDate>
  <CharactersWithSpaces>654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2026-04-01T08:14:00Z</dcterms:created>
  <dc:creator>Administrator</dc:creator>
  <cp:lastModifiedBy>未定义</cp:lastModifiedBy>
  <cp:lastPrinted>2026-04-07T08:10:22Z</cp:lastPrinted>
  <dcterms:modified xsi:type="dcterms:W3CDTF">2026-04-07T08:11:10Z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eyJoZGlkIjoiZTI5YmQ2MzM2ZjIzMjg1MjljMzU4ZTZkMzFiMGNmMTgiLCJ1c2VySWQiOiIyOTMyNDc3NzEifQ==</vt:lpwstr>
  </property>
  <property fmtid="{D5CDD505-2E9C-101B-9397-08002B2CF9AE}" pid="4" name="ICV">
    <vt:lpwstr>A0757CC0582448788DA300223B675D16_12</vt:lpwstr>
  </property>
</Properties>
</file>