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213"/>
        <w:spacing w:before="111" w:line="214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政 务</w:t>
      </w:r>
      <w:r>
        <w:rPr>
          <w:rFonts w:ascii="SimSun" w:hAnsi="SimSun" w:eastAsia="SimSun" w:cs="SimSun"/>
          <w:sz w:val="34"/>
          <w:szCs w:val="34"/>
          <w:spacing w:val="-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服 务 中 心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1491"/>
        <w:spacing w:before="110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32" w:right="1852" w:firstLine="15"/>
        <w:spacing w:before="275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1.集中办理行政审批和服务事项，实现一个窗口受理、一站式审批。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2.提供公共服务，解决群众反映的难点问题。</w:t>
      </w:r>
    </w:p>
    <w:p>
      <w:pPr>
        <w:ind w:left="1328" w:right="5633" w:firstLine="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3.优化服务流程，提高服务效率。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4.推进政务公开，接受社会监督。</w:t>
      </w:r>
    </w:p>
    <w:p>
      <w:pPr>
        <w:ind w:left="1334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5.为企业和群众提供高效、便捷、优质的服务，营造良好的政务服务环境。</w:t>
      </w:r>
    </w:p>
    <w:p>
      <w:pPr>
        <w:ind w:left="1208"/>
        <w:spacing w:before="273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13" w:right="937" w:firstLine="62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根据主要职责，古县政务服务中心设4个内设机构，分别是：综合股、政务服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务股、审勘一股、审勘二股。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部门名称：古县政务服务中心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224.52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181.03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24.42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19.06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15"/>
        <w:gridCol w:w="1199"/>
        <w:gridCol w:w="1079"/>
        <w:gridCol w:w="743"/>
        <w:gridCol w:w="827"/>
        <w:gridCol w:w="887"/>
        <w:gridCol w:w="708"/>
        <w:gridCol w:w="749"/>
      </w:tblGrid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4023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182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2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24" w:type="dxa"/>
            <w:vAlign w:val="top"/>
            <w:gridSpan w:val="2"/>
          </w:tcPr>
          <w:p>
            <w:pPr>
              <w:pStyle w:val="TableText"/>
              <w:ind w:left="1218"/>
              <w:spacing w:before="46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104" w:hanging="358"/>
              <w:spacing w:before="201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3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1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9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28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24" w:type="dxa"/>
            <w:vAlign w:val="top"/>
            <w:gridSpan w:val="2"/>
          </w:tcPr>
          <w:p>
            <w:pPr>
              <w:ind w:left="1207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ind w:left="479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824" w:type="dxa"/>
            <w:vAlign w:val="top"/>
            <w:gridSpan w:val="2"/>
          </w:tcPr>
          <w:p>
            <w:pPr>
              <w:ind w:left="1211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9" w:right="148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1" w:line="209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48" w:firstLine="2"/>
              <w:spacing w:before="1" w:line="203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7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7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19.47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19.47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 w:right="148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8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17"/>
        <w:gridCol w:w="1583"/>
        <w:gridCol w:w="1283"/>
        <w:gridCol w:w="1283"/>
        <w:gridCol w:w="935"/>
        <w:gridCol w:w="539"/>
        <w:gridCol w:w="935"/>
        <w:gridCol w:w="941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89" w:hRule="atLeast"/>
        </w:trPr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383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5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部门名称：古县政务服务中心</w:t>
            </w:r>
          </w:p>
        </w:tc>
        <w:tc>
          <w:tcPr>
            <w:tcW w:w="22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3100" w:type="dxa"/>
            <w:vAlign w:val="top"/>
            <w:gridSpan w:val="2"/>
          </w:tcPr>
          <w:p>
            <w:pPr>
              <w:ind w:left="1347"/>
              <w:spacing w:before="63" w:line="16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0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5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0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381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12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3100" w:type="dxa"/>
            <w:vAlign w:val="top"/>
            <w:gridSpan w:val="2"/>
          </w:tcPr>
          <w:p>
            <w:pPr>
              <w:pStyle w:val="TableText"/>
              <w:ind w:left="1353"/>
              <w:spacing w:before="3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7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935" w:type="dxa"/>
            <w:vAlign w:val="top"/>
          </w:tcPr>
          <w:p>
            <w:pPr>
              <w:ind w:left="408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3100" w:type="dxa"/>
            <w:vAlign w:val="top"/>
            <w:gridSpan w:val="2"/>
          </w:tcPr>
          <w:p>
            <w:pPr>
              <w:pStyle w:val="TableText"/>
              <w:ind w:left="1354"/>
              <w:spacing w:before="3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64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7"/>
              <w:spacing w:before="37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 w:right="147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政府办公厅（室）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65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/>
              <w:spacing w:before="3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9" w:right="136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5" w:right="13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/>
              <w:spacing w:before="40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 w:right="13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19.47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19.47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 w:right="13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年金缴费支出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80"/>
        <w:gridCol w:w="2961"/>
        <w:gridCol w:w="1571"/>
        <w:gridCol w:w="1439"/>
        <w:gridCol w:w="1265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6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65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741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157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492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30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741" w:type="dxa"/>
            <w:vAlign w:val="top"/>
            <w:gridSpan w:val="2"/>
          </w:tcPr>
          <w:p>
            <w:pPr>
              <w:ind w:left="2169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275" w:type="dxa"/>
            <w:vAlign w:val="top"/>
            <w:gridSpan w:val="3"/>
          </w:tcPr>
          <w:p>
            <w:pPr>
              <w:ind w:left="175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80" w:type="dxa"/>
            <w:vAlign w:val="top"/>
          </w:tcPr>
          <w:p>
            <w:pPr>
              <w:ind w:left="507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61" w:type="dxa"/>
            <w:vAlign w:val="top"/>
          </w:tcPr>
          <w:p>
            <w:pPr>
              <w:ind w:left="109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71" w:type="dxa"/>
            <w:vAlign w:val="top"/>
          </w:tcPr>
          <w:p>
            <w:pPr>
              <w:ind w:left="58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39" w:type="dxa"/>
            <w:vAlign w:val="top"/>
          </w:tcPr>
          <w:p>
            <w:pPr>
              <w:ind w:left="344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265" w:type="dxa"/>
            <w:vAlign w:val="top"/>
          </w:tcPr>
          <w:p>
            <w:pPr>
              <w:ind w:left="252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741" w:type="dxa"/>
            <w:vAlign w:val="top"/>
            <w:gridSpan w:val="2"/>
          </w:tcPr>
          <w:p>
            <w:pPr>
              <w:ind w:left="216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6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1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65" w:type="dxa"/>
            <w:vAlign w:val="top"/>
          </w:tcPr>
          <w:p>
            <w:pPr>
              <w:pStyle w:val="TableText"/>
              <w:ind w:left="573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741" w:type="dxa"/>
            <w:vAlign w:val="top"/>
            <w:gridSpan w:val="2"/>
          </w:tcPr>
          <w:p>
            <w:pPr>
              <w:pStyle w:val="TableText"/>
              <w:ind w:left="2176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224.52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8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4"/>
              <w:spacing w:before="50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181.03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6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6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24.42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right="21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机关事业单位基本养老保险缴费支出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02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19.47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72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19.47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0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7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0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7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8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61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0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72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19.06</w:t>
            </w:r>
          </w:p>
        </w:tc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205.90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77.00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61.01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206.17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18.34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部门名称：古县政务服务中心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单位名称：古县政务服务中心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8" w:right="924" w:firstLine="497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2023年度收入总计224.52万元，支出总计224.52万元。与上年相比，收入总计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减少0.06万元，下降0.03%，支出总计减少0.06万元，下降0.03%。主要原因是2023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年11月调出一人。</w:t>
      </w:r>
    </w:p>
    <w:p>
      <w:pPr>
        <w:ind w:left="12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2023年度收入合计224.52万元，其中：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财政拨款收入224.52万元，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2023年度支出合计224.52万元，其中：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基本支出224.52万元，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占比100.0</w:t>
      </w:r>
      <w:r>
        <w:rPr>
          <w:rFonts w:ascii="FangSong" w:hAnsi="FangSong" w:eastAsia="FangSong" w:cs="FangSong"/>
          <w:sz w:val="25"/>
          <w:szCs w:val="25"/>
          <w:spacing w:val="-3"/>
        </w:rPr>
        <w:t>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项目支出0万元，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0" w:right="6158" w:firstLine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2023年度财政拨款收入总计224.52万元，支出总计224.52万元。与上年相比，</w:t>
      </w:r>
    </w:p>
    <w:p>
      <w:pPr>
        <w:ind w:left="718" w:right="805" w:hanging="9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财政拨款收入总计减少0.06万元，下降0.03%；财政拨款支出总计减少0.06万元，下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降0.03%。主要原因是2023年11月调出一人。</w:t>
      </w:r>
    </w:p>
    <w:p>
      <w:pPr>
        <w:ind w:left="12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2023年一般公共预算财政拨款决算支出224.</w:t>
      </w:r>
      <w:r>
        <w:rPr>
          <w:rFonts w:ascii="FangSong" w:hAnsi="FangSong" w:eastAsia="FangSong" w:cs="FangSong"/>
          <w:sz w:val="25"/>
          <w:szCs w:val="25"/>
          <w:spacing w:val="-1"/>
        </w:rPr>
        <w:t>52万元，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805" w:hanging="11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99.97%。与上年相比，一般公共预算财政拨款支</w:t>
      </w:r>
      <w:r>
        <w:rPr>
          <w:rFonts w:ascii="FangSong" w:hAnsi="FangSong" w:eastAsia="FangSong" w:cs="FangSong"/>
          <w:sz w:val="25"/>
          <w:szCs w:val="25"/>
          <w:spacing w:val="1"/>
        </w:rPr>
        <w:t>出减少0.06万元，下降0.03%。主要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原因是2023年11月调出一人。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4" w:right="1748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2023年度一般公共预算财政拨款支出224.52万元，主要用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一般公共服务支出(类)181.03万元，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占比80.63%；</w:t>
      </w:r>
    </w:p>
    <w:p>
      <w:pPr>
        <w:ind w:left="12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社会保障和就业支出(类)24.42万元，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10.88%；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住房保障支出(类)19.06万元，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占比8.49%。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2023年度一般公共预算财政拨款支出年初预算231.72万元，支出决算224.52万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元，完成年初预算的96.89%。其中：</w:t>
      </w:r>
    </w:p>
    <w:p>
      <w:pPr>
        <w:ind w:left="706" w:right="811" w:firstLine="514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1、一般公共服务支出年初预算186.77万元，支出决算181.03万元，完成年初预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算的96.93%，用于人员经费、</w:t>
      </w:r>
      <w:r>
        <w:rPr>
          <w:rFonts w:ascii="FangSong" w:hAnsi="FangSong" w:eastAsia="FangSong" w:cs="FangSong"/>
          <w:sz w:val="25"/>
          <w:szCs w:val="25"/>
          <w:spacing w:val="-3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日常公用经费。较上年决算减少6.01万元，减少</w:t>
      </w:r>
    </w:p>
    <w:p>
      <w:pPr>
        <w:ind w:left="704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3.2%，主要原因是2023年调出一人。</w:t>
      </w:r>
    </w:p>
    <w:p>
      <w:pPr>
        <w:ind w:left="706" w:right="811" w:firstLine="499"/>
        <w:spacing w:before="131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2、社会保障和就业支出年初预算26.08万元，支出决算24.42万元，完成年初预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算的93.63%，用于社会保障等缴费支出。较2022年决算增加4.1万元，增加20.18%，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主要原因是2023年增加职业年金记实。</w:t>
      </w:r>
    </w:p>
    <w:p>
      <w:pPr>
        <w:ind w:left="1208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3、住房保障支出年初预算18.87万元，支出决算19.06万元，完成年初预算的</w:t>
      </w:r>
    </w:p>
    <w:p>
      <w:pPr>
        <w:ind w:left="731" w:right="811" w:hanging="14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101.01%，用于住房公积金支出。较2022年决算增加1.84万元，增加10.68%，主</w:t>
      </w:r>
      <w:r>
        <w:rPr>
          <w:rFonts w:ascii="FangSong" w:hAnsi="FangSong" w:eastAsia="FangSong" w:cs="FangSong"/>
          <w:sz w:val="25"/>
          <w:szCs w:val="25"/>
        </w:rPr>
        <w:t>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因是2023年住房公积金基数增加。</w:t>
      </w:r>
    </w:p>
    <w:p>
      <w:pPr>
        <w:ind w:left="1205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2023年度财政拨款基本支出224.52万元，其中：</w:t>
      </w:r>
    </w:p>
    <w:p>
      <w:pPr>
        <w:ind w:left="719" w:right="811" w:firstLine="495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人员经费206.17万元，主要包括基本工资77万元、津贴补贴15.6万元、绩效工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资61.01万元、其他社会保险缴费33.23万元、住房公积金19.06万元、对个人和家庭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的补助0.27万元支出；</w:t>
      </w:r>
    </w:p>
    <w:p>
      <w:pPr>
        <w:ind w:left="698" w:right="805" w:firstLine="518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公用经费18.34万元，主要包括办公费4.01万元、印刷费1.81万元、电费0.47万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元、水费0.2万元、差旅费0.5万元、劳</w:t>
      </w:r>
      <w:r>
        <w:rPr>
          <w:rFonts w:ascii="FangSong" w:hAnsi="FangSong" w:eastAsia="FangSong" w:cs="FangSong"/>
          <w:sz w:val="25"/>
          <w:szCs w:val="25"/>
          <w:spacing w:val="1"/>
        </w:rPr>
        <w:t>务费2.82万元、工会经费2.76万元、福利费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4.81万元、其他商品和服务支出0.98万元。</w:t>
      </w:r>
    </w:p>
    <w:p>
      <w:pPr>
        <w:ind w:left="11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711" w:right="805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216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</w:p>
    <w:p>
      <w:pPr>
        <w:spacing w:line="221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7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是：本单位无公务用车；</w:t>
      </w:r>
    </w:p>
    <w:p>
      <w:pPr>
        <w:ind w:left="709" w:right="805" w:firstLine="506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位无公务用车。</w:t>
      </w:r>
    </w:p>
    <w:p>
      <w:pPr>
        <w:ind w:left="712" w:right="793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车，主要用于：本单位无公务用车。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无国内接待；国（境）外接待费0万元，共接待国（境）外0批次，0人</w:t>
      </w:r>
      <w:r>
        <w:rPr>
          <w:rFonts w:ascii="FangSong" w:hAnsi="FangSong" w:eastAsia="FangSong" w:cs="FangSong"/>
          <w:sz w:val="25"/>
          <w:szCs w:val="25"/>
          <w:spacing w:val="1"/>
        </w:rPr>
        <w:t>次，主要是本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单位无国（境）外接待。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他用车主要是本部门无其他用车；单价100万元（含）以上设备（不含车辆）0台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1819" w:hanging="13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2023年二级项目绩效自评个数1个，涉及资金18.38万元：1个项目自评等级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717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206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spacing w:line="223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338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本单位无其他说明情况</w:t>
      </w:r>
    </w:p>
    <w:p>
      <w:pPr>
        <w:spacing w:line="22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7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3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古县政务服务中心2023年单位决算公开报告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古县政务服务中心2023年单位决算公开报告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7" Type="http://schemas.openxmlformats.org/officeDocument/2006/relationships/fontTable" Target="fontTable.xml"/><Relationship Id="rId26" Type="http://schemas.openxmlformats.org/officeDocument/2006/relationships/styles" Target="styles.xml"/><Relationship Id="rId25" Type="http://schemas.openxmlformats.org/officeDocument/2006/relationships/settings" Target="settings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2024-09-10T15:25:55Z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2024-09-20T10:37:09</vt:filetime>
  </property>
</Properties>
</file>