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66" w:line="219" w:lineRule="auto"/>
        <w:ind w:left="3189"/>
        <w:outlineLvl w:val="0"/>
        <w:rPr>
          <w:rFonts w:ascii="宋体" w:hAnsi="宋体" w:eastAsia="宋体" w:cs="宋体"/>
          <w:sz w:val="33"/>
          <w:szCs w:val="33"/>
        </w:rPr>
      </w:pPr>
      <w:r>
        <w:rPr>
          <w:rFonts w:ascii="宋体" w:hAnsi="宋体" w:eastAsia="宋体" w:cs="宋体"/>
          <w:b/>
          <w:bCs/>
          <w:spacing w:val="21"/>
          <w:sz w:val="33"/>
          <w:szCs w:val="33"/>
        </w:rPr>
        <w:t>古县发展和改革局</w:t>
      </w:r>
    </w:p>
    <w:p>
      <w:pPr>
        <w:spacing w:before="265" w:line="218" w:lineRule="auto"/>
        <w:ind w:left="1879"/>
        <w:outlineLvl w:val="0"/>
        <w:rPr>
          <w:rFonts w:ascii="宋体" w:hAnsi="宋体" w:eastAsia="宋体" w:cs="宋体"/>
          <w:sz w:val="33"/>
          <w:szCs w:val="33"/>
        </w:rPr>
      </w:pPr>
      <w:r>
        <w:rPr>
          <w:rFonts w:ascii="宋体" w:hAnsi="宋体" w:eastAsia="宋体" w:cs="宋体"/>
          <w:b/>
          <w:bCs/>
          <w:spacing w:val="24"/>
          <w:sz w:val="33"/>
          <w:szCs w:val="33"/>
        </w:rPr>
        <w:t>2021年部门整体支出绩效自评报告</w:t>
      </w:r>
    </w:p>
    <w:p>
      <w:pPr>
        <w:spacing w:line="289" w:lineRule="auto"/>
        <w:rPr>
          <w:rFonts w:ascii="Arial"/>
          <w:sz w:val="21"/>
        </w:rPr>
      </w:pPr>
    </w:p>
    <w:p>
      <w:pPr>
        <w:spacing w:line="290" w:lineRule="auto"/>
        <w:rPr>
          <w:rFonts w:ascii="Arial"/>
          <w:sz w:val="21"/>
        </w:rPr>
      </w:pPr>
    </w:p>
    <w:p>
      <w:pPr>
        <w:spacing w:before="107" w:line="221" w:lineRule="auto"/>
        <w:ind w:left="659"/>
        <w:rPr>
          <w:rFonts w:ascii="黑体" w:hAnsi="黑体" w:eastAsia="黑体" w:cs="黑体"/>
          <w:sz w:val="33"/>
          <w:szCs w:val="33"/>
        </w:rPr>
      </w:pPr>
      <w:r>
        <w:rPr>
          <w:rFonts w:ascii="黑体" w:hAnsi="黑体" w:eastAsia="黑体" w:cs="黑体"/>
          <w:b/>
          <w:bCs/>
          <w:spacing w:val="15"/>
          <w:sz w:val="33"/>
          <w:szCs w:val="33"/>
        </w:rPr>
        <w:t>一、部门(单位)概况</w:t>
      </w:r>
    </w:p>
    <w:p>
      <w:pPr>
        <w:spacing w:before="214" w:line="605" w:lineRule="exact"/>
        <w:ind w:left="949"/>
        <w:rPr>
          <w:rFonts w:ascii="楷体" w:hAnsi="楷体" w:eastAsia="楷体" w:cs="楷体"/>
          <w:sz w:val="33"/>
          <w:szCs w:val="33"/>
        </w:rPr>
      </w:pPr>
      <w:r>
        <w:rPr>
          <w:rFonts w:ascii="楷体" w:hAnsi="楷体" w:eastAsia="楷体" w:cs="楷体"/>
          <w:b/>
          <w:bCs/>
          <w:spacing w:val="2"/>
          <w:position w:val="20"/>
          <w:sz w:val="33"/>
          <w:szCs w:val="33"/>
        </w:rPr>
        <w:t>(一)部门(单位)主要职责职能，组织架构、人员及</w:t>
      </w:r>
    </w:p>
    <w:p>
      <w:pPr>
        <w:spacing w:before="2" w:line="222" w:lineRule="auto"/>
        <w:ind w:left="19"/>
        <w:rPr>
          <w:rFonts w:ascii="楷体" w:hAnsi="楷体" w:eastAsia="楷体" w:cs="楷体"/>
          <w:sz w:val="33"/>
          <w:szCs w:val="33"/>
        </w:rPr>
      </w:pPr>
      <w:r>
        <w:rPr>
          <w:rFonts w:ascii="楷体" w:hAnsi="楷体" w:eastAsia="楷体" w:cs="楷体"/>
          <w:b/>
          <w:bCs/>
          <w:spacing w:val="-19"/>
          <w:sz w:val="33"/>
          <w:szCs w:val="33"/>
        </w:rPr>
        <w:t>资产等基本情况。</w:t>
      </w:r>
    </w:p>
    <w:p>
      <w:pPr>
        <w:pStyle w:val="2"/>
        <w:spacing w:before="235" w:line="222" w:lineRule="auto"/>
        <w:ind w:left="659"/>
      </w:pPr>
      <w:r>
        <w:rPr>
          <w:rFonts w:ascii="宋体" w:hAnsi="宋体" w:eastAsia="宋体" w:cs="宋体"/>
          <w:b/>
          <w:bCs/>
          <w:spacing w:val="-13"/>
        </w:rPr>
        <w:t>1、</w:t>
      </w:r>
      <w:r>
        <w:rPr>
          <w:b/>
          <w:bCs/>
          <w:spacing w:val="-13"/>
        </w:rPr>
        <w:t>主要职责职能</w:t>
      </w:r>
    </w:p>
    <w:p>
      <w:pPr>
        <w:pStyle w:val="2"/>
        <w:spacing w:before="265" w:line="342" w:lineRule="auto"/>
        <w:ind w:left="14" w:right="321" w:firstLine="639"/>
      </w:pPr>
      <w:r>
        <w:rPr>
          <w:spacing w:val="-19"/>
        </w:rPr>
        <w:t>(1)拟订并组织实施国民经济和社会发展战略、中长期规</w:t>
      </w:r>
      <w:r>
        <w:rPr>
          <w:spacing w:val="1"/>
        </w:rPr>
        <w:t xml:space="preserve"> </w:t>
      </w:r>
      <w:r>
        <w:rPr>
          <w:spacing w:val="-14"/>
        </w:rPr>
        <w:t>划和年度计划。牵头组织统一规划体系建设。负责县级专项</w:t>
      </w:r>
    </w:p>
    <w:p>
      <w:pPr>
        <w:pStyle w:val="2"/>
        <w:spacing w:before="1" w:line="221" w:lineRule="auto"/>
        <w:ind w:left="14"/>
      </w:pPr>
      <w:r>
        <w:rPr>
          <w:spacing w:val="-13"/>
        </w:rPr>
        <w:t>规划、区域规划与发展规划的统筹衔接。</w:t>
      </w:r>
    </w:p>
    <w:p>
      <w:pPr>
        <w:pStyle w:val="2"/>
        <w:spacing w:before="245" w:line="346" w:lineRule="auto"/>
        <w:ind w:left="14" w:right="284" w:firstLine="639"/>
      </w:pPr>
      <w:r>
        <w:rPr>
          <w:spacing w:val="-18"/>
        </w:rPr>
        <w:t>(2)提出加快建设现代化经济体系、推动高质量发展的总</w:t>
      </w:r>
      <w:r>
        <w:rPr>
          <w:spacing w:val="12"/>
        </w:rPr>
        <w:t xml:space="preserve"> </w:t>
      </w:r>
      <w:r>
        <w:rPr>
          <w:spacing w:val="-14"/>
        </w:rPr>
        <w:t>体目标、重大任务以及相关政策。组织开展重大战略规划、</w:t>
      </w:r>
    </w:p>
    <w:p>
      <w:pPr>
        <w:pStyle w:val="2"/>
        <w:spacing w:line="220" w:lineRule="auto"/>
        <w:ind w:left="14"/>
      </w:pPr>
      <w:r>
        <w:rPr>
          <w:spacing w:val="-13"/>
        </w:rPr>
        <w:t>重大政策、重大工程等评估督导，提出相关调整建议。</w:t>
      </w:r>
    </w:p>
    <w:p>
      <w:pPr>
        <w:pStyle w:val="2"/>
        <w:spacing w:before="239" w:line="341" w:lineRule="auto"/>
        <w:ind w:left="14" w:right="293" w:firstLine="639"/>
      </w:pPr>
      <w:r>
        <w:rPr>
          <w:spacing w:val="-18"/>
        </w:rPr>
        <w:t>(3)统筹提出国民经济和社会发展主要目标，</w:t>
      </w:r>
      <w:r>
        <w:rPr>
          <w:spacing w:val="-19"/>
        </w:rPr>
        <w:t>监测预测预</w:t>
      </w:r>
      <w:r>
        <w:t xml:space="preserve"> </w:t>
      </w:r>
      <w:r>
        <w:rPr>
          <w:spacing w:val="-14"/>
        </w:rPr>
        <w:t>警宏观经济和社会发展态势趋势，提出宏观调控政策</w:t>
      </w:r>
      <w:r>
        <w:rPr>
          <w:spacing w:val="-15"/>
        </w:rPr>
        <w:t>建议。</w:t>
      </w:r>
      <w:r>
        <w:t xml:space="preserve"> </w:t>
      </w:r>
      <w:r>
        <w:rPr>
          <w:spacing w:val="-13"/>
        </w:rPr>
        <w:t>综合协调宏观经济政策，牵头研究宏观经济应对措施。调节</w:t>
      </w:r>
    </w:p>
    <w:p>
      <w:pPr>
        <w:pStyle w:val="2"/>
        <w:spacing w:before="2" w:line="220" w:lineRule="auto"/>
        <w:ind w:left="14"/>
      </w:pPr>
      <w:r>
        <w:rPr>
          <w:spacing w:val="-13"/>
        </w:rPr>
        <w:t>经济运行，协调解决经济运行中的重大问题。</w:t>
      </w:r>
    </w:p>
    <w:p>
      <w:pPr>
        <w:pStyle w:val="2"/>
        <w:spacing w:before="274" w:line="600" w:lineRule="exact"/>
        <w:ind w:left="654"/>
      </w:pPr>
      <w:r>
        <w:rPr>
          <w:spacing w:val="-17"/>
          <w:position w:val="19"/>
        </w:rPr>
        <w:t>(4)指导推进和综合协调经济体制改革有关工作，提出相</w:t>
      </w:r>
    </w:p>
    <w:p>
      <w:pPr>
        <w:pStyle w:val="2"/>
        <w:spacing w:line="220" w:lineRule="auto"/>
        <w:ind w:left="14"/>
      </w:pPr>
      <w:r>
        <w:rPr>
          <w:spacing w:val="-14"/>
        </w:rPr>
        <w:t>关改革建议。牵头推进供给侧结构性改革。</w:t>
      </w:r>
    </w:p>
    <w:p>
      <w:pPr>
        <w:pStyle w:val="2"/>
        <w:spacing w:before="251" w:line="341" w:lineRule="auto"/>
        <w:ind w:left="14" w:firstLine="639"/>
      </w:pPr>
      <w:r>
        <w:rPr>
          <w:spacing w:val="-19"/>
        </w:rPr>
        <w:t>(5)负责投资综合管理，拟定全社会固定资产投资总规模、</w:t>
      </w:r>
      <w:r>
        <w:rPr>
          <w:spacing w:val="11"/>
        </w:rPr>
        <w:t xml:space="preserve"> </w:t>
      </w:r>
      <w:r>
        <w:rPr>
          <w:spacing w:val="-12"/>
        </w:rPr>
        <w:t>结构调控目标和政策，会同相关部门拟定政府投资项目审批</w:t>
      </w:r>
    </w:p>
    <w:p>
      <w:pPr>
        <w:pStyle w:val="2"/>
        <w:spacing w:before="1" w:line="222" w:lineRule="auto"/>
        <w:ind w:left="14"/>
      </w:pPr>
      <w:r>
        <w:rPr>
          <w:spacing w:val="-12"/>
        </w:rPr>
        <w:t>权限和政府核准的固定资产投资项目目录。</w:t>
      </w:r>
    </w:p>
    <w:p>
      <w:pPr>
        <w:spacing w:line="222" w:lineRule="auto"/>
        <w:sectPr>
          <w:pgSz w:w="11900" w:h="16830"/>
          <w:pgMar w:top="1402" w:right="1545" w:bottom="0" w:left="1785" w:header="0" w:footer="0" w:gutter="0"/>
          <w:cols w:space="720" w:num="1"/>
        </w:sectPr>
      </w:pPr>
    </w:p>
    <w:p>
      <w:pPr>
        <w:pStyle w:val="2"/>
        <w:spacing w:before="103" w:line="346" w:lineRule="auto"/>
        <w:ind w:left="130" w:right="101" w:firstLine="630"/>
      </w:pPr>
      <w:r>
        <w:rPr>
          <w:spacing w:val="-19"/>
        </w:rPr>
        <w:t>(6)推进落实区域协调发展战略、新型城镇化战略和重大</w:t>
      </w:r>
      <w:r>
        <w:rPr>
          <w:spacing w:val="1"/>
        </w:rPr>
        <w:t xml:space="preserve"> </w:t>
      </w:r>
      <w:r>
        <w:rPr>
          <w:spacing w:val="-14"/>
        </w:rPr>
        <w:t>政策，组织拟定相关区域规划和政策。统筹推进实施县重大</w:t>
      </w:r>
      <w:r>
        <w:rPr>
          <w:spacing w:val="6"/>
        </w:rPr>
        <w:t xml:space="preserve"> </w:t>
      </w:r>
      <w:r>
        <w:rPr>
          <w:spacing w:val="-17"/>
        </w:rPr>
        <w:t>区域发展战略。组织拟定和实施困难地区发展规划和政策，</w:t>
      </w:r>
      <w:r>
        <w:rPr>
          <w:spacing w:val="15"/>
        </w:rPr>
        <w:t xml:space="preserve"> </w:t>
      </w:r>
      <w:r>
        <w:rPr>
          <w:spacing w:val="-14"/>
        </w:rPr>
        <w:t>贯彻落实易地扶贫搬迁相关政策等。统筹协调区域合作和对</w:t>
      </w:r>
    </w:p>
    <w:p>
      <w:pPr>
        <w:pStyle w:val="2"/>
        <w:spacing w:line="220" w:lineRule="auto"/>
        <w:ind w:left="211"/>
      </w:pPr>
      <w:r>
        <w:rPr>
          <w:spacing w:val="-23"/>
        </w:rPr>
        <w:t>口支援工作。</w:t>
      </w:r>
    </w:p>
    <w:p>
      <w:pPr>
        <w:pStyle w:val="2"/>
        <w:spacing w:before="255" w:line="347" w:lineRule="auto"/>
        <w:ind w:left="130" w:right="83" w:firstLine="630"/>
      </w:pPr>
      <w:r>
        <w:rPr>
          <w:spacing w:val="-19"/>
        </w:rPr>
        <w:t>(7)组织拟定综合性产业政策。协调一二三产业发展重大</w:t>
      </w:r>
      <w:r>
        <w:rPr>
          <w:spacing w:val="1"/>
        </w:rPr>
        <w:t xml:space="preserve"> </w:t>
      </w:r>
      <w:r>
        <w:rPr>
          <w:spacing w:val="-16"/>
        </w:rPr>
        <w:t>问题并统筹衔接相关发展规划和重大政策。协调推进重大基</w:t>
      </w:r>
      <w:r>
        <w:rPr>
          <w:spacing w:val="17"/>
        </w:rPr>
        <w:t xml:space="preserve"> </w:t>
      </w:r>
      <w:r>
        <w:rPr>
          <w:spacing w:val="-13"/>
        </w:rPr>
        <w:t>础设施建设发展，组织拟定并推动实施服务业及现代</w:t>
      </w:r>
      <w:r>
        <w:rPr>
          <w:spacing w:val="-14"/>
        </w:rPr>
        <w:t>物流业</w:t>
      </w:r>
      <w:r>
        <w:t xml:space="preserve"> </w:t>
      </w:r>
      <w:r>
        <w:rPr>
          <w:spacing w:val="-13"/>
        </w:rPr>
        <w:t>战略规划和重大政策。综合研判消费变动趋</w:t>
      </w:r>
      <w:r>
        <w:rPr>
          <w:spacing w:val="-14"/>
        </w:rPr>
        <w:t>势，贯彻落实促</w:t>
      </w:r>
    </w:p>
    <w:p>
      <w:pPr>
        <w:pStyle w:val="2"/>
        <w:spacing w:line="220" w:lineRule="auto"/>
        <w:ind w:left="130"/>
      </w:pPr>
      <w:r>
        <w:rPr>
          <w:spacing w:val="-15"/>
        </w:rPr>
        <w:t>进消费的综合性政策措施。</w:t>
      </w:r>
    </w:p>
    <w:p>
      <w:pPr>
        <w:pStyle w:val="2"/>
        <w:spacing w:before="238" w:line="222" w:lineRule="auto"/>
        <w:ind w:left="760"/>
      </w:pPr>
      <w:r>
        <w:rPr>
          <w:spacing w:val="-21"/>
        </w:rPr>
        <w:t>(8)承办上级交办的其他事项。</w:t>
      </w:r>
    </w:p>
    <w:p>
      <w:pPr>
        <w:pStyle w:val="2"/>
        <w:spacing w:before="241" w:line="222" w:lineRule="auto"/>
        <w:ind w:left="765"/>
        <w:outlineLvl w:val="0"/>
      </w:pPr>
      <w:r>
        <w:rPr>
          <w:rFonts w:ascii="宋体" w:hAnsi="宋体" w:eastAsia="宋体" w:cs="宋体"/>
          <w:b/>
          <w:bCs/>
          <w:spacing w:val="-13"/>
        </w:rPr>
        <w:t>2、</w:t>
      </w:r>
      <w:r>
        <w:rPr>
          <w:b/>
          <w:bCs/>
          <w:spacing w:val="-13"/>
        </w:rPr>
        <w:t>机构设置情况、人员情况</w:t>
      </w:r>
    </w:p>
    <w:p>
      <w:pPr>
        <w:pStyle w:val="2"/>
        <w:spacing w:before="216" w:line="352" w:lineRule="auto"/>
        <w:ind w:left="130" w:right="82" w:firstLine="800"/>
        <w:jc w:val="both"/>
      </w:pPr>
      <w:r>
        <w:rPr>
          <w:spacing w:val="-8"/>
        </w:rPr>
        <w:t>古县发展和改革局内设：行政审批股、国民经济运行</w:t>
      </w:r>
      <w:r>
        <w:rPr>
          <w:spacing w:val="15"/>
        </w:rPr>
        <w:t xml:space="preserve"> </w:t>
      </w:r>
      <w:r>
        <w:rPr>
          <w:spacing w:val="-7"/>
        </w:rPr>
        <w:t>股、能源股、粮食与物资储备股、办公室5个股室，下设经</w:t>
      </w:r>
    </w:p>
    <w:p>
      <w:pPr>
        <w:pStyle w:val="2"/>
        <w:spacing w:before="1" w:line="220" w:lineRule="auto"/>
        <w:ind w:left="130"/>
      </w:pPr>
      <w:r>
        <w:rPr>
          <w:spacing w:val="-5"/>
        </w:rPr>
        <w:t>济发展中心、项目推进中心2个事业单位。</w:t>
      </w:r>
    </w:p>
    <w:p>
      <w:pPr>
        <w:pStyle w:val="2"/>
        <w:spacing w:before="206" w:line="353" w:lineRule="auto"/>
        <w:ind w:left="130" w:firstLine="630"/>
        <w:jc w:val="both"/>
      </w:pPr>
      <w:r>
        <w:rPr>
          <w:spacing w:val="-3"/>
        </w:rPr>
        <w:t>古县发展和改革局编制28人，其中：公务员编制8人，</w:t>
      </w:r>
      <w:r>
        <w:rPr>
          <w:spacing w:val="13"/>
        </w:rPr>
        <w:t xml:space="preserve"> </w:t>
      </w:r>
      <w:r>
        <w:rPr>
          <w:spacing w:val="10"/>
        </w:rPr>
        <w:t>事业编制20人，2021年年末在职人员38人，</w:t>
      </w:r>
      <w:r>
        <w:rPr>
          <w:spacing w:val="9"/>
        </w:rPr>
        <w:t>退休67人，</w:t>
      </w:r>
    </w:p>
    <w:p>
      <w:pPr>
        <w:pStyle w:val="2"/>
        <w:spacing w:line="222" w:lineRule="auto"/>
        <w:ind w:left="130"/>
      </w:pPr>
      <w:r>
        <w:rPr>
          <w:spacing w:val="10"/>
        </w:rPr>
        <w:t>劳务派遣12人。共计117人。</w:t>
      </w:r>
    </w:p>
    <w:p>
      <w:pPr>
        <w:pStyle w:val="2"/>
        <w:spacing w:before="219" w:line="222" w:lineRule="auto"/>
        <w:ind w:left="765"/>
        <w:outlineLvl w:val="0"/>
      </w:pPr>
      <w:r>
        <w:rPr>
          <w:rFonts w:ascii="宋体" w:hAnsi="宋体" w:eastAsia="宋体" w:cs="宋体"/>
          <w:b/>
          <w:bCs/>
          <w:spacing w:val="-16"/>
        </w:rPr>
        <w:t>3、</w:t>
      </w:r>
      <w:r>
        <w:rPr>
          <w:b/>
          <w:bCs/>
          <w:spacing w:val="-16"/>
        </w:rPr>
        <w:t>资产情况</w:t>
      </w:r>
    </w:p>
    <w:p>
      <w:pPr>
        <w:pStyle w:val="2"/>
        <w:spacing w:before="233" w:line="219" w:lineRule="auto"/>
        <w:ind w:left="931"/>
      </w:pPr>
      <w:r>
        <w:rPr>
          <w:spacing w:val="-2"/>
        </w:rPr>
        <w:t>(1)车辆情况：本单位无车辆。</w:t>
      </w:r>
    </w:p>
    <w:p>
      <w:pPr>
        <w:pStyle w:val="2"/>
        <w:spacing w:before="221" w:line="222" w:lineRule="auto"/>
        <w:ind w:left="931"/>
      </w:pPr>
      <w:r>
        <w:rPr>
          <w:spacing w:val="-2"/>
        </w:rPr>
        <w:t>(2)其他国有资产占有使用情况。</w:t>
      </w:r>
    </w:p>
    <w:p>
      <w:pPr>
        <w:pStyle w:val="2"/>
        <w:spacing w:before="232" w:line="221" w:lineRule="auto"/>
        <w:ind w:left="760"/>
      </w:pPr>
      <w:r>
        <w:rPr>
          <w:spacing w:val="4"/>
        </w:rPr>
        <w:t>我单位通用设备186件，价值20.71万元；专用设备1</w:t>
      </w:r>
    </w:p>
    <w:p>
      <w:pPr>
        <w:spacing w:line="221" w:lineRule="auto"/>
        <w:sectPr>
          <w:pgSz w:w="12060" w:h="16940"/>
          <w:pgMar w:top="1439" w:right="1795" w:bottom="0" w:left="1809" w:header="0" w:footer="0" w:gutter="0"/>
          <w:cols w:space="720" w:num="1"/>
        </w:sectPr>
      </w:pPr>
    </w:p>
    <w:p>
      <w:pPr>
        <w:pStyle w:val="2"/>
        <w:spacing w:before="199" w:line="338" w:lineRule="auto"/>
        <w:ind w:left="122" w:right="30"/>
        <w:jc w:val="both"/>
        <w:rPr>
          <w:sz w:val="34"/>
          <w:szCs w:val="34"/>
        </w:rPr>
      </w:pPr>
      <w:r>
        <w:rPr>
          <w:spacing w:val="2"/>
          <w:sz w:val="34"/>
          <w:szCs w:val="34"/>
        </w:rPr>
        <w:t>件，价值0.93万元；家具567件，价值38.96万元</w:t>
      </w:r>
      <w:r>
        <w:rPr>
          <w:spacing w:val="1"/>
          <w:sz w:val="34"/>
          <w:szCs w:val="34"/>
        </w:rPr>
        <w:t xml:space="preserve">；无形 </w:t>
      </w:r>
      <w:r>
        <w:rPr>
          <w:spacing w:val="-5"/>
          <w:sz w:val="34"/>
          <w:szCs w:val="34"/>
        </w:rPr>
        <w:t>资产土地1块，价值1.61万元，土地使用面积982平方米。</w:t>
      </w:r>
      <w:r>
        <w:rPr>
          <w:spacing w:val="13"/>
          <w:sz w:val="34"/>
          <w:szCs w:val="34"/>
        </w:rPr>
        <w:t xml:space="preserve"> </w:t>
      </w:r>
      <w:r>
        <w:rPr>
          <w:spacing w:val="7"/>
          <w:sz w:val="34"/>
          <w:szCs w:val="34"/>
        </w:rPr>
        <w:t xml:space="preserve">房屋3处5094.54平方米，价值168.7万元。无单价50万 </w:t>
      </w:r>
      <w:r>
        <w:rPr>
          <w:spacing w:val="8"/>
          <w:sz w:val="34"/>
          <w:szCs w:val="34"/>
        </w:rPr>
        <w:t>元(含)以上的通用设备，无单价100万元(含)以上专用</w:t>
      </w:r>
    </w:p>
    <w:p>
      <w:pPr>
        <w:pStyle w:val="2"/>
        <w:spacing w:before="1" w:line="223" w:lineRule="auto"/>
        <w:ind w:left="122"/>
        <w:rPr>
          <w:sz w:val="34"/>
          <w:szCs w:val="34"/>
        </w:rPr>
      </w:pPr>
      <w:r>
        <w:rPr>
          <w:spacing w:val="-21"/>
          <w:sz w:val="34"/>
          <w:szCs w:val="34"/>
        </w:rPr>
        <w:t>设备。</w:t>
      </w:r>
    </w:p>
    <w:p>
      <w:pPr>
        <w:spacing w:before="225" w:line="223" w:lineRule="auto"/>
        <w:ind w:right="35"/>
        <w:jc w:val="right"/>
        <w:rPr>
          <w:rFonts w:ascii="楷体" w:hAnsi="楷体" w:eastAsia="楷体" w:cs="楷体"/>
          <w:sz w:val="34"/>
          <w:szCs w:val="34"/>
        </w:rPr>
      </w:pPr>
      <w:r>
        <w:rPr>
          <w:rFonts w:ascii="楷体" w:hAnsi="楷体" w:eastAsia="楷体" w:cs="楷体"/>
          <w:b/>
          <w:bCs/>
          <w:spacing w:val="-2"/>
          <w:sz w:val="34"/>
          <w:szCs w:val="34"/>
        </w:rPr>
        <w:t>(二)2021年部门(单位)履职总体目标、工作任务。</w:t>
      </w:r>
    </w:p>
    <w:p>
      <w:pPr>
        <w:pStyle w:val="2"/>
        <w:spacing w:before="205" w:line="220" w:lineRule="auto"/>
        <w:ind w:left="761"/>
        <w:rPr>
          <w:sz w:val="34"/>
          <w:szCs w:val="34"/>
        </w:rPr>
      </w:pPr>
      <w:r>
        <w:rPr>
          <w:rFonts w:ascii="宋体" w:hAnsi="宋体" w:eastAsia="宋体" w:cs="宋体"/>
          <w:spacing w:val="-28"/>
          <w:sz w:val="34"/>
          <w:szCs w:val="34"/>
        </w:rPr>
        <w:t>1、</w:t>
      </w:r>
      <w:r>
        <w:rPr>
          <w:spacing w:val="-28"/>
          <w:sz w:val="34"/>
          <w:szCs w:val="34"/>
        </w:rPr>
        <w:t>抓实规划编制工作；</w:t>
      </w:r>
    </w:p>
    <w:p>
      <w:pPr>
        <w:pStyle w:val="2"/>
        <w:spacing w:before="234" w:line="624" w:lineRule="exact"/>
        <w:ind w:left="761"/>
        <w:rPr>
          <w:sz w:val="34"/>
          <w:szCs w:val="34"/>
        </w:rPr>
      </w:pPr>
      <w:r>
        <w:rPr>
          <w:spacing w:val="-24"/>
          <w:position w:val="21"/>
          <w:sz w:val="34"/>
          <w:szCs w:val="34"/>
        </w:rPr>
        <w:t>2、抓好主要经济指标工作；</w:t>
      </w:r>
    </w:p>
    <w:p>
      <w:pPr>
        <w:pStyle w:val="2"/>
        <w:spacing w:before="1" w:line="222" w:lineRule="auto"/>
        <w:ind w:left="761"/>
        <w:rPr>
          <w:sz w:val="34"/>
          <w:szCs w:val="34"/>
        </w:rPr>
      </w:pPr>
      <w:r>
        <w:rPr>
          <w:rFonts w:ascii="宋体" w:hAnsi="宋体" w:eastAsia="宋体" w:cs="宋体"/>
          <w:spacing w:val="-24"/>
          <w:sz w:val="34"/>
          <w:szCs w:val="34"/>
        </w:rPr>
        <w:t>3、</w:t>
      </w:r>
      <w:r>
        <w:rPr>
          <w:spacing w:val="-24"/>
          <w:sz w:val="34"/>
          <w:szCs w:val="34"/>
        </w:rPr>
        <w:t>推动年度项目建设；</w:t>
      </w:r>
    </w:p>
    <w:p>
      <w:pPr>
        <w:pStyle w:val="2"/>
        <w:spacing w:before="196" w:line="630" w:lineRule="exact"/>
        <w:ind w:left="761"/>
        <w:rPr>
          <w:sz w:val="34"/>
          <w:szCs w:val="34"/>
        </w:rPr>
      </w:pPr>
      <w:r>
        <w:rPr>
          <w:rFonts w:ascii="宋体" w:hAnsi="宋体" w:eastAsia="宋体" w:cs="宋体"/>
          <w:spacing w:val="-17"/>
          <w:position w:val="21"/>
          <w:sz w:val="34"/>
          <w:szCs w:val="34"/>
        </w:rPr>
        <w:t>4、</w:t>
      </w:r>
      <w:r>
        <w:rPr>
          <w:spacing w:val="-17"/>
          <w:position w:val="21"/>
          <w:sz w:val="34"/>
          <w:szCs w:val="34"/>
        </w:rPr>
        <w:t>全力做好重大民生工作，推进清洁取暖工作，开展</w:t>
      </w:r>
    </w:p>
    <w:p>
      <w:pPr>
        <w:pStyle w:val="2"/>
        <w:spacing w:line="220" w:lineRule="auto"/>
        <w:ind w:left="122"/>
        <w:rPr>
          <w:sz w:val="34"/>
          <w:szCs w:val="34"/>
        </w:rPr>
      </w:pPr>
      <w:r>
        <w:rPr>
          <w:spacing w:val="-23"/>
          <w:sz w:val="34"/>
          <w:szCs w:val="34"/>
        </w:rPr>
        <w:t>散煤整治，加快应急物资储备库建设，严格物资储备监管；</w:t>
      </w:r>
    </w:p>
    <w:p>
      <w:pPr>
        <w:pStyle w:val="2"/>
        <w:spacing w:before="204" w:line="342" w:lineRule="auto"/>
        <w:ind w:left="122" w:right="50" w:firstLine="639"/>
        <w:rPr>
          <w:sz w:val="34"/>
          <w:szCs w:val="34"/>
        </w:rPr>
      </w:pPr>
      <w:r>
        <w:rPr>
          <w:rFonts w:ascii="宋体" w:hAnsi="宋体" w:eastAsia="宋体" w:cs="宋体"/>
          <w:spacing w:val="-16"/>
          <w:sz w:val="34"/>
          <w:szCs w:val="34"/>
        </w:rPr>
        <w:t>5、</w:t>
      </w:r>
      <w:r>
        <w:rPr>
          <w:spacing w:val="-16"/>
          <w:sz w:val="34"/>
          <w:szCs w:val="34"/>
        </w:rPr>
        <w:t>全力保障粮食安全，健全粮食应急体系，推进粮食</w:t>
      </w:r>
      <w:r>
        <w:rPr>
          <w:spacing w:val="3"/>
          <w:sz w:val="34"/>
          <w:szCs w:val="34"/>
        </w:rPr>
        <w:t xml:space="preserve"> </w:t>
      </w:r>
      <w:r>
        <w:rPr>
          <w:spacing w:val="-31"/>
          <w:sz w:val="34"/>
          <w:szCs w:val="34"/>
        </w:rPr>
        <w:t>购销，开展秋粮收购及仓储安全大检查，编制粮食应急预案，</w:t>
      </w:r>
    </w:p>
    <w:p>
      <w:pPr>
        <w:pStyle w:val="2"/>
        <w:spacing w:before="1" w:line="219" w:lineRule="auto"/>
        <w:ind w:left="122"/>
        <w:rPr>
          <w:sz w:val="34"/>
          <w:szCs w:val="34"/>
        </w:rPr>
      </w:pPr>
      <w:r>
        <w:rPr>
          <w:spacing w:val="-26"/>
          <w:sz w:val="34"/>
          <w:szCs w:val="34"/>
        </w:rPr>
        <w:t>完成县级储备粮轮换工作；</w:t>
      </w:r>
    </w:p>
    <w:p>
      <w:pPr>
        <w:pStyle w:val="2"/>
        <w:spacing w:before="218" w:line="619" w:lineRule="exact"/>
        <w:ind w:left="761"/>
        <w:rPr>
          <w:sz w:val="34"/>
          <w:szCs w:val="34"/>
        </w:rPr>
      </w:pPr>
      <w:r>
        <w:rPr>
          <w:rFonts w:ascii="宋体" w:hAnsi="宋体" w:eastAsia="宋体" w:cs="宋体"/>
          <w:spacing w:val="-15"/>
          <w:position w:val="20"/>
          <w:sz w:val="34"/>
          <w:szCs w:val="34"/>
        </w:rPr>
        <w:t>6、</w:t>
      </w:r>
      <w:r>
        <w:rPr>
          <w:spacing w:val="-15"/>
          <w:position w:val="20"/>
          <w:sz w:val="34"/>
          <w:szCs w:val="34"/>
        </w:rPr>
        <w:t>全力保障能源安全，做好电力和新能源行业监管工</w:t>
      </w:r>
    </w:p>
    <w:p>
      <w:pPr>
        <w:pStyle w:val="2"/>
        <w:spacing w:line="220" w:lineRule="auto"/>
        <w:ind w:left="122"/>
        <w:rPr>
          <w:sz w:val="34"/>
          <w:szCs w:val="34"/>
        </w:rPr>
      </w:pPr>
      <w:r>
        <w:rPr>
          <w:spacing w:val="-21"/>
          <w:sz w:val="34"/>
          <w:szCs w:val="34"/>
        </w:rPr>
        <w:t>作；</w:t>
      </w:r>
    </w:p>
    <w:p>
      <w:pPr>
        <w:pStyle w:val="2"/>
        <w:spacing w:before="225" w:line="220" w:lineRule="auto"/>
        <w:ind w:left="761"/>
        <w:rPr>
          <w:sz w:val="34"/>
          <w:szCs w:val="34"/>
        </w:rPr>
      </w:pPr>
      <w:r>
        <w:rPr>
          <w:rFonts w:ascii="宋体" w:hAnsi="宋体" w:eastAsia="宋体" w:cs="宋体"/>
          <w:spacing w:val="-23"/>
          <w:sz w:val="34"/>
          <w:szCs w:val="34"/>
        </w:rPr>
        <w:t>7、</w:t>
      </w:r>
      <w:r>
        <w:rPr>
          <w:spacing w:val="-23"/>
          <w:sz w:val="34"/>
          <w:szCs w:val="34"/>
        </w:rPr>
        <w:t>加强能源行业监管工作；</w:t>
      </w:r>
    </w:p>
    <w:p>
      <w:pPr>
        <w:pStyle w:val="2"/>
        <w:spacing w:before="214" w:line="219" w:lineRule="auto"/>
        <w:ind w:left="761"/>
        <w:rPr>
          <w:sz w:val="34"/>
          <w:szCs w:val="34"/>
        </w:rPr>
      </w:pPr>
      <w:r>
        <w:rPr>
          <w:rFonts w:ascii="宋体" w:hAnsi="宋体" w:eastAsia="宋体" w:cs="宋体"/>
          <w:spacing w:val="-21"/>
          <w:sz w:val="34"/>
          <w:szCs w:val="34"/>
        </w:rPr>
        <w:t>8、</w:t>
      </w:r>
      <w:r>
        <w:rPr>
          <w:spacing w:val="-21"/>
          <w:sz w:val="34"/>
          <w:szCs w:val="34"/>
        </w:rPr>
        <w:t>确保市场保价稳供，做好价格认定、价格监测。</w:t>
      </w:r>
    </w:p>
    <w:p>
      <w:pPr>
        <w:spacing w:before="215" w:line="224" w:lineRule="auto"/>
        <w:ind w:left="956"/>
        <w:rPr>
          <w:rFonts w:ascii="楷体" w:hAnsi="楷体" w:eastAsia="楷体" w:cs="楷体"/>
          <w:sz w:val="34"/>
          <w:szCs w:val="34"/>
        </w:rPr>
      </w:pPr>
      <w:r>
        <w:rPr>
          <w:rFonts w:ascii="楷体" w:hAnsi="楷体" w:eastAsia="楷体" w:cs="楷体"/>
          <w:b/>
          <w:bCs/>
          <w:sz w:val="34"/>
          <w:szCs w:val="34"/>
        </w:rPr>
        <w:t>(三)2021年部门(单位)年度整体支出绩效目标。</w:t>
      </w:r>
    </w:p>
    <w:p>
      <w:pPr>
        <w:pStyle w:val="2"/>
        <w:spacing w:before="214" w:line="341" w:lineRule="auto"/>
        <w:ind w:left="122" w:firstLine="639"/>
        <w:jc w:val="both"/>
        <w:rPr>
          <w:sz w:val="34"/>
          <w:szCs w:val="34"/>
        </w:rPr>
      </w:pPr>
      <w:r>
        <w:rPr>
          <w:spacing w:val="-8"/>
          <w:sz w:val="34"/>
          <w:szCs w:val="34"/>
        </w:rPr>
        <w:t>2021年是中国共产党建党100周年，我县</w:t>
      </w:r>
      <w:r>
        <w:rPr>
          <w:spacing w:val="-9"/>
          <w:sz w:val="34"/>
          <w:szCs w:val="34"/>
        </w:rPr>
        <w:t>建县50周年，</w:t>
      </w:r>
      <w:r>
        <w:rPr>
          <w:sz w:val="34"/>
          <w:szCs w:val="34"/>
        </w:rPr>
        <w:t xml:space="preserve"> </w:t>
      </w:r>
      <w:r>
        <w:rPr>
          <w:spacing w:val="-22"/>
          <w:sz w:val="34"/>
          <w:szCs w:val="34"/>
        </w:rPr>
        <w:t>也是“十四五”规划开局之年，我局在县委、县政府的正确</w:t>
      </w:r>
    </w:p>
    <w:p>
      <w:pPr>
        <w:pStyle w:val="2"/>
        <w:spacing w:line="220" w:lineRule="auto"/>
        <w:ind w:left="122"/>
        <w:rPr>
          <w:sz w:val="34"/>
          <w:szCs w:val="34"/>
        </w:rPr>
      </w:pPr>
      <w:r>
        <w:rPr>
          <w:spacing w:val="-22"/>
          <w:sz w:val="34"/>
          <w:szCs w:val="34"/>
        </w:rPr>
        <w:t>领导下，紧紧围绕全县中心工作，深入落实中央、省、市、</w:t>
      </w:r>
    </w:p>
    <w:p>
      <w:pPr>
        <w:spacing w:line="220" w:lineRule="auto"/>
        <w:rPr>
          <w:sz w:val="34"/>
          <w:szCs w:val="34"/>
        </w:rPr>
        <w:sectPr>
          <w:pgSz w:w="12120" w:h="16990"/>
          <w:pgMar w:top="1444" w:right="1779" w:bottom="0" w:left="1818" w:header="0" w:footer="0" w:gutter="0"/>
          <w:cols w:space="720" w:num="1"/>
        </w:sectPr>
      </w:pPr>
    </w:p>
    <w:p>
      <w:pPr>
        <w:pStyle w:val="2"/>
        <w:spacing w:before="264" w:line="359" w:lineRule="auto"/>
        <w:ind w:left="139" w:right="181"/>
        <w:jc w:val="both"/>
        <w:rPr>
          <w:sz w:val="32"/>
          <w:szCs w:val="32"/>
        </w:rPr>
      </w:pPr>
      <w:r>
        <w:rPr>
          <w:spacing w:val="-5"/>
          <w:sz w:val="32"/>
          <w:szCs w:val="32"/>
        </w:rPr>
        <w:t>县有关指示和会议精神，以饱满的精神状态在各项工作中攻</w:t>
      </w:r>
      <w:r>
        <w:rPr>
          <w:spacing w:val="18"/>
          <w:sz w:val="32"/>
          <w:szCs w:val="32"/>
        </w:rPr>
        <w:t xml:space="preserve"> </w:t>
      </w:r>
      <w:r>
        <w:rPr>
          <w:spacing w:val="-6"/>
          <w:sz w:val="32"/>
          <w:szCs w:val="32"/>
        </w:rPr>
        <w:t>坚克难、敢于担当，较好的完成了全年目标任务，有力促进</w:t>
      </w:r>
      <w:r>
        <w:rPr>
          <w:spacing w:val="7"/>
          <w:sz w:val="32"/>
          <w:szCs w:val="32"/>
        </w:rPr>
        <w:t xml:space="preserve"> </w:t>
      </w:r>
      <w:r>
        <w:rPr>
          <w:spacing w:val="-4"/>
          <w:sz w:val="32"/>
          <w:szCs w:val="32"/>
        </w:rPr>
        <w:t>县域经济社会平稳有序发展，为“十四五”开好局、起好步</w:t>
      </w:r>
    </w:p>
    <w:p>
      <w:pPr>
        <w:pStyle w:val="2"/>
        <w:spacing w:line="223" w:lineRule="auto"/>
        <w:ind w:left="139"/>
        <w:rPr>
          <w:sz w:val="32"/>
          <w:szCs w:val="32"/>
        </w:rPr>
      </w:pPr>
      <w:r>
        <w:rPr>
          <w:spacing w:val="-10"/>
          <w:sz w:val="32"/>
          <w:szCs w:val="32"/>
        </w:rPr>
        <w:t>贡献出了发改力量。</w:t>
      </w:r>
    </w:p>
    <w:p>
      <w:pPr>
        <w:spacing w:before="252" w:line="223" w:lineRule="auto"/>
        <w:ind w:left="944"/>
        <w:rPr>
          <w:rFonts w:ascii="楷体" w:hAnsi="楷体" w:eastAsia="楷体" w:cs="楷体"/>
          <w:sz w:val="32"/>
          <w:szCs w:val="32"/>
        </w:rPr>
      </w:pPr>
      <w:r>
        <w:rPr>
          <w:rFonts w:ascii="楷体" w:hAnsi="楷体" w:eastAsia="楷体" w:cs="楷体"/>
          <w:b/>
          <w:bCs/>
          <w:spacing w:val="17"/>
          <w:sz w:val="32"/>
          <w:szCs w:val="32"/>
        </w:rPr>
        <w:t>(四)部门(单位)预算绩效管理开展情况。</w:t>
      </w:r>
    </w:p>
    <w:p>
      <w:pPr>
        <w:pStyle w:val="2"/>
        <w:spacing w:before="219" w:line="624" w:lineRule="exact"/>
        <w:ind w:left="769"/>
        <w:rPr>
          <w:sz w:val="32"/>
          <w:szCs w:val="32"/>
        </w:rPr>
      </w:pPr>
      <w:r>
        <w:rPr>
          <w:spacing w:val="10"/>
          <w:position w:val="22"/>
          <w:sz w:val="32"/>
          <w:szCs w:val="32"/>
        </w:rPr>
        <w:t>根据年度工作目标及重点工作任务安排，设定</w:t>
      </w:r>
      <w:r>
        <w:rPr>
          <w:spacing w:val="9"/>
          <w:position w:val="22"/>
          <w:sz w:val="32"/>
          <w:szCs w:val="32"/>
        </w:rPr>
        <w:t>绩效目</w:t>
      </w:r>
    </w:p>
    <w:p>
      <w:pPr>
        <w:pStyle w:val="2"/>
        <w:spacing w:line="222" w:lineRule="auto"/>
        <w:ind w:left="139"/>
        <w:rPr>
          <w:sz w:val="32"/>
          <w:szCs w:val="32"/>
        </w:rPr>
      </w:pPr>
      <w:r>
        <w:rPr>
          <w:spacing w:val="-11"/>
          <w:sz w:val="32"/>
          <w:szCs w:val="32"/>
        </w:rPr>
        <w:t>标。</w:t>
      </w:r>
    </w:p>
    <w:p>
      <w:pPr>
        <w:spacing w:before="258" w:line="224" w:lineRule="auto"/>
        <w:ind w:left="964"/>
        <w:rPr>
          <w:rFonts w:ascii="楷体" w:hAnsi="楷体" w:eastAsia="楷体" w:cs="楷体"/>
          <w:sz w:val="32"/>
          <w:szCs w:val="32"/>
        </w:rPr>
      </w:pPr>
      <w:r>
        <w:rPr>
          <w:rFonts w:ascii="楷体" w:hAnsi="楷体" w:eastAsia="楷体" w:cs="楷体"/>
          <w:b/>
          <w:bCs/>
          <w:spacing w:val="18"/>
          <w:sz w:val="32"/>
          <w:szCs w:val="32"/>
        </w:rPr>
        <w:t>(五)2021年部门(单位)预算及执行情况。</w:t>
      </w:r>
    </w:p>
    <w:p>
      <w:pPr>
        <w:pStyle w:val="2"/>
        <w:spacing w:before="217" w:line="363" w:lineRule="auto"/>
        <w:ind w:left="139" w:right="134" w:firstLine="629"/>
        <w:jc w:val="both"/>
        <w:rPr>
          <w:sz w:val="32"/>
          <w:szCs w:val="32"/>
        </w:rPr>
      </w:pPr>
      <w:r>
        <w:rPr>
          <w:spacing w:val="8"/>
          <w:sz w:val="32"/>
          <w:szCs w:val="32"/>
        </w:rPr>
        <w:t>2021年度收入总计1350.64万元，支出总计1350.64万</w:t>
      </w:r>
      <w:r>
        <w:rPr>
          <w:spacing w:val="15"/>
          <w:sz w:val="32"/>
          <w:szCs w:val="32"/>
        </w:rPr>
        <w:t xml:space="preserve"> </w:t>
      </w:r>
      <w:r>
        <w:rPr>
          <w:spacing w:val="8"/>
          <w:sz w:val="32"/>
          <w:szCs w:val="32"/>
        </w:rPr>
        <w:t xml:space="preserve">元，与2020年相比，收入总计减少704.47万元，下降34%, </w:t>
      </w:r>
      <w:r>
        <w:rPr>
          <w:spacing w:val="2"/>
          <w:sz w:val="32"/>
          <w:szCs w:val="32"/>
        </w:rPr>
        <w:t>支出总计减少704.47万元，下降34%。主要原因：减少了节</w:t>
      </w:r>
    </w:p>
    <w:p>
      <w:pPr>
        <w:pStyle w:val="2"/>
        <w:spacing w:before="2" w:line="220" w:lineRule="auto"/>
        <w:ind w:left="139"/>
        <w:rPr>
          <w:sz w:val="32"/>
          <w:szCs w:val="32"/>
        </w:rPr>
      </w:pPr>
      <w:r>
        <w:rPr>
          <w:spacing w:val="-7"/>
          <w:sz w:val="32"/>
          <w:szCs w:val="32"/>
        </w:rPr>
        <w:t>能环保类清洁取暖收支。</w:t>
      </w:r>
    </w:p>
    <w:p>
      <w:pPr>
        <w:pStyle w:val="2"/>
        <w:spacing w:before="242" w:line="357" w:lineRule="auto"/>
        <w:ind w:left="139" w:right="167" w:firstLine="629"/>
        <w:jc w:val="both"/>
        <w:rPr>
          <w:sz w:val="32"/>
          <w:szCs w:val="32"/>
        </w:rPr>
      </w:pPr>
      <w:r>
        <w:rPr>
          <w:spacing w:val="3"/>
          <w:sz w:val="32"/>
          <w:szCs w:val="32"/>
        </w:rPr>
        <w:t>2021年度收入合计1086.96万元，其</w:t>
      </w:r>
      <w:r>
        <w:rPr>
          <w:spacing w:val="2"/>
          <w:sz w:val="32"/>
          <w:szCs w:val="32"/>
        </w:rPr>
        <w:t>中：财政拨款收入</w:t>
      </w:r>
      <w:r>
        <w:rPr>
          <w:sz w:val="32"/>
          <w:szCs w:val="32"/>
        </w:rPr>
        <w:t xml:space="preserve"> </w:t>
      </w:r>
      <w:r>
        <w:rPr>
          <w:spacing w:val="17"/>
          <w:sz w:val="32"/>
          <w:szCs w:val="32"/>
        </w:rPr>
        <w:t>1075.46万元，占比99%;上级补助收入0万元，占比0;事</w:t>
      </w:r>
      <w:r>
        <w:rPr>
          <w:spacing w:val="9"/>
          <w:sz w:val="32"/>
          <w:szCs w:val="32"/>
        </w:rPr>
        <w:t xml:space="preserve"> </w:t>
      </w:r>
      <w:r>
        <w:rPr>
          <w:spacing w:val="33"/>
          <w:sz w:val="32"/>
          <w:szCs w:val="32"/>
        </w:rPr>
        <w:t>业收入0万元，占比0;经营收入0万元，占比0;附属单</w:t>
      </w:r>
    </w:p>
    <w:p>
      <w:pPr>
        <w:pStyle w:val="2"/>
        <w:spacing w:before="1" w:line="221" w:lineRule="auto"/>
        <w:jc w:val="right"/>
        <w:rPr>
          <w:sz w:val="32"/>
          <w:szCs w:val="32"/>
        </w:rPr>
      </w:pPr>
      <w:r>
        <w:rPr>
          <w:spacing w:val="19"/>
          <w:sz w:val="32"/>
          <w:szCs w:val="32"/>
        </w:rPr>
        <w:t>位上缴收入0万元，占比0;其他收入11.5万元，占比1%。</w:t>
      </w:r>
    </w:p>
    <w:p>
      <w:pPr>
        <w:pStyle w:val="2"/>
        <w:spacing w:before="239" w:line="357" w:lineRule="auto"/>
        <w:ind w:left="139" w:right="105" w:firstLine="629"/>
        <w:jc w:val="both"/>
        <w:rPr>
          <w:sz w:val="32"/>
          <w:szCs w:val="32"/>
        </w:rPr>
      </w:pPr>
      <w:r>
        <w:rPr>
          <w:spacing w:val="-1"/>
          <w:sz w:val="32"/>
          <w:szCs w:val="32"/>
        </w:rPr>
        <w:t>2021年度支出合计1350.64万元，其中：基本支出515.5</w:t>
      </w:r>
      <w:r>
        <w:rPr>
          <w:spacing w:val="15"/>
          <w:sz w:val="32"/>
          <w:szCs w:val="32"/>
        </w:rPr>
        <w:t xml:space="preserve"> </w:t>
      </w:r>
      <w:r>
        <w:rPr>
          <w:spacing w:val="19"/>
          <w:sz w:val="32"/>
          <w:szCs w:val="32"/>
        </w:rPr>
        <w:t>万元，占比38%;项目支出835.13万元，</w:t>
      </w:r>
      <w:r>
        <w:rPr>
          <w:spacing w:val="18"/>
          <w:sz w:val="32"/>
          <w:szCs w:val="32"/>
        </w:rPr>
        <w:t>占比62%;上缴上</w:t>
      </w:r>
      <w:r>
        <w:rPr>
          <w:sz w:val="32"/>
          <w:szCs w:val="32"/>
        </w:rPr>
        <w:t xml:space="preserve"> </w:t>
      </w:r>
      <w:r>
        <w:rPr>
          <w:spacing w:val="21"/>
          <w:sz w:val="32"/>
          <w:szCs w:val="32"/>
        </w:rPr>
        <w:t>级支出0万元，占比0,经营支出0万元，占比0,对附属单</w:t>
      </w:r>
    </w:p>
    <w:p>
      <w:pPr>
        <w:pStyle w:val="2"/>
        <w:spacing w:before="1" w:line="221" w:lineRule="auto"/>
        <w:ind w:left="139"/>
        <w:rPr>
          <w:sz w:val="32"/>
          <w:szCs w:val="32"/>
        </w:rPr>
      </w:pPr>
      <w:r>
        <w:rPr>
          <w:spacing w:val="13"/>
          <w:sz w:val="32"/>
          <w:szCs w:val="32"/>
        </w:rPr>
        <w:t>位补助支出0万元，占比0。</w:t>
      </w:r>
    </w:p>
    <w:p>
      <w:pPr>
        <w:pStyle w:val="2"/>
        <w:spacing w:before="248" w:line="632" w:lineRule="exact"/>
        <w:ind w:left="769"/>
        <w:rPr>
          <w:sz w:val="32"/>
          <w:szCs w:val="32"/>
        </w:rPr>
      </w:pPr>
      <w:r>
        <w:rPr>
          <w:spacing w:val="4"/>
          <w:position w:val="23"/>
          <w:sz w:val="32"/>
          <w:szCs w:val="32"/>
        </w:rPr>
        <w:t>2021年度财政拨款支出1225.91万元，</w:t>
      </w:r>
      <w:r>
        <w:rPr>
          <w:spacing w:val="3"/>
          <w:position w:val="23"/>
          <w:sz w:val="32"/>
          <w:szCs w:val="32"/>
        </w:rPr>
        <w:t>主要用于以下方</w:t>
      </w:r>
    </w:p>
    <w:p>
      <w:pPr>
        <w:pStyle w:val="2"/>
        <w:spacing w:before="2" w:line="220" w:lineRule="auto"/>
        <w:ind w:left="139"/>
        <w:rPr>
          <w:sz w:val="32"/>
          <w:szCs w:val="32"/>
        </w:rPr>
      </w:pPr>
      <w:r>
        <w:rPr>
          <w:spacing w:val="18"/>
          <w:sz w:val="32"/>
          <w:szCs w:val="32"/>
        </w:rPr>
        <w:t>面</w:t>
      </w:r>
      <w:r>
        <w:rPr>
          <w:b/>
          <w:bCs/>
          <w:spacing w:val="18"/>
          <w:sz w:val="32"/>
          <w:szCs w:val="32"/>
        </w:rPr>
        <w:t>：一般公共服务(类)</w:t>
      </w:r>
      <w:r>
        <w:rPr>
          <w:spacing w:val="18"/>
          <w:sz w:val="32"/>
          <w:szCs w:val="32"/>
        </w:rPr>
        <w:t>支出437.25万元，占36%;</w:t>
      </w:r>
      <w:r>
        <w:rPr>
          <w:b/>
          <w:bCs/>
          <w:spacing w:val="18"/>
          <w:sz w:val="32"/>
          <w:szCs w:val="32"/>
        </w:rPr>
        <w:t>社会保</w:t>
      </w:r>
    </w:p>
    <w:p>
      <w:pPr>
        <w:spacing w:line="220" w:lineRule="auto"/>
        <w:rPr>
          <w:sz w:val="32"/>
          <w:szCs w:val="32"/>
        </w:rPr>
        <w:sectPr>
          <w:pgSz w:w="12070" w:h="16950"/>
          <w:pgMar w:top="1440" w:right="1719" w:bottom="0" w:left="1810" w:header="0" w:footer="0" w:gutter="0"/>
          <w:cols w:space="720" w:num="1"/>
        </w:sectPr>
      </w:pPr>
    </w:p>
    <w:p>
      <w:pPr>
        <w:pStyle w:val="2"/>
        <w:spacing w:before="210" w:line="351" w:lineRule="auto"/>
        <w:ind w:left="139" w:firstLine="4"/>
        <w:jc w:val="both"/>
      </w:pPr>
      <w:r>
        <w:rPr>
          <w:b/>
          <w:bCs/>
          <w:spacing w:val="22"/>
        </w:rPr>
        <w:t>障和就业(类)</w:t>
      </w:r>
      <w:r>
        <w:rPr>
          <w:spacing w:val="22"/>
        </w:rPr>
        <w:t>支出114.06万元，占9%;</w:t>
      </w:r>
      <w:r>
        <w:rPr>
          <w:b/>
          <w:bCs/>
          <w:spacing w:val="22"/>
        </w:rPr>
        <w:t>节能环保(类)</w:t>
      </w:r>
      <w:r>
        <w:t xml:space="preserve">  </w:t>
      </w:r>
      <w:r>
        <w:rPr>
          <w:spacing w:val="6"/>
        </w:rPr>
        <w:t>支出563.47万元，占46%;</w:t>
      </w:r>
      <w:r>
        <w:rPr>
          <w:b/>
          <w:bCs/>
          <w:spacing w:val="6"/>
        </w:rPr>
        <w:t>住房保障(类)</w:t>
      </w:r>
      <w:r>
        <w:rPr>
          <w:spacing w:val="6"/>
        </w:rPr>
        <w:t>支出31.62万元，</w:t>
      </w:r>
      <w:r>
        <w:rPr>
          <w:spacing w:val="16"/>
        </w:rPr>
        <w:t xml:space="preserve"> </w:t>
      </w:r>
      <w:r>
        <w:rPr>
          <w:spacing w:val="8"/>
        </w:rPr>
        <w:t>占3%;</w:t>
      </w:r>
      <w:r>
        <w:rPr>
          <w:b/>
          <w:bCs/>
          <w:spacing w:val="8"/>
        </w:rPr>
        <w:t>粮油物资储备(类)</w:t>
      </w:r>
      <w:r>
        <w:rPr>
          <w:spacing w:val="8"/>
        </w:rPr>
        <w:t>支出79.5万元，占6%;</w:t>
      </w:r>
      <w:r>
        <w:rPr>
          <w:b/>
          <w:bCs/>
          <w:spacing w:val="8"/>
        </w:rPr>
        <w:t>其他(类)</w:t>
      </w:r>
    </w:p>
    <w:p>
      <w:pPr>
        <w:pStyle w:val="2"/>
        <w:spacing w:before="1" w:line="223" w:lineRule="auto"/>
        <w:ind w:left="139"/>
      </w:pPr>
      <w:r>
        <w:rPr>
          <w:spacing w:val="5"/>
        </w:rPr>
        <w:t>支出0万元，占0%。</w:t>
      </w:r>
    </w:p>
    <w:p>
      <w:pPr>
        <w:spacing w:before="233" w:line="611" w:lineRule="exact"/>
        <w:ind w:left="774"/>
        <w:rPr>
          <w:rFonts w:ascii="黑体" w:hAnsi="黑体" w:eastAsia="黑体" w:cs="黑体"/>
          <w:sz w:val="33"/>
          <w:szCs w:val="33"/>
        </w:rPr>
      </w:pPr>
      <w:r>
        <w:rPr>
          <w:rFonts w:ascii="黑体" w:hAnsi="黑体" w:eastAsia="黑体" w:cs="黑体"/>
          <w:b/>
          <w:bCs/>
          <w:spacing w:val="1"/>
          <w:position w:val="20"/>
          <w:sz w:val="33"/>
          <w:szCs w:val="33"/>
        </w:rPr>
        <w:t>二、部门(单位)整体支出绩效实现情况</w:t>
      </w:r>
    </w:p>
    <w:p>
      <w:pPr>
        <w:spacing w:line="226" w:lineRule="auto"/>
        <w:ind w:left="984"/>
        <w:rPr>
          <w:rFonts w:ascii="楷体" w:hAnsi="楷体" w:eastAsia="楷体" w:cs="楷体"/>
          <w:sz w:val="33"/>
          <w:szCs w:val="33"/>
        </w:rPr>
      </w:pPr>
      <w:r>
        <w:rPr>
          <w:rFonts w:ascii="楷体" w:hAnsi="楷体" w:eastAsia="楷体" w:cs="楷体"/>
          <w:b/>
          <w:bCs/>
          <w:spacing w:val="-5"/>
          <w:sz w:val="33"/>
          <w:szCs w:val="33"/>
        </w:rPr>
        <w:t>(一)履职完成情况：</w:t>
      </w:r>
    </w:p>
    <w:p>
      <w:pPr>
        <w:pStyle w:val="2"/>
        <w:spacing w:before="215" w:line="623" w:lineRule="exact"/>
        <w:ind w:right="88"/>
        <w:jc w:val="right"/>
      </w:pPr>
      <w:r>
        <w:rPr>
          <w:rFonts w:ascii="宋体" w:hAnsi="宋体" w:eastAsia="宋体" w:cs="宋体"/>
          <w:spacing w:val="-7"/>
          <w:position w:val="21"/>
        </w:rPr>
        <w:t>1、</w:t>
      </w:r>
      <w:r>
        <w:rPr>
          <w:spacing w:val="-7"/>
          <w:position w:val="21"/>
        </w:rPr>
        <w:t>顺利出台《古县国民经济和社会发展第十四个五年</w:t>
      </w:r>
    </w:p>
    <w:p>
      <w:pPr>
        <w:pStyle w:val="2"/>
        <w:spacing w:line="222" w:lineRule="auto"/>
        <w:ind w:left="139"/>
      </w:pPr>
      <w:r>
        <w:rPr>
          <w:spacing w:val="-15"/>
        </w:rPr>
        <w:t>规划和</w:t>
      </w:r>
      <w:r>
        <w:rPr>
          <w:rFonts w:hint="eastAsia"/>
          <w:spacing w:val="-15"/>
        </w:rPr>
        <w:t>二〇三五年远景目标</w:t>
      </w:r>
      <w:r>
        <w:rPr>
          <w:spacing w:val="-15"/>
        </w:rPr>
        <w:t>纲要》。</w:t>
      </w:r>
    </w:p>
    <w:p>
      <w:pPr>
        <w:pStyle w:val="2"/>
        <w:spacing w:before="233" w:line="352" w:lineRule="auto"/>
        <w:ind w:left="139" w:right="19" w:firstLine="629"/>
      </w:pPr>
      <w:r>
        <w:rPr>
          <w:spacing w:val="3"/>
        </w:rPr>
        <w:t>2、2021年重点工程建设项目66项，</w:t>
      </w:r>
      <w:bookmarkStart w:id="0" w:name="_GoBack"/>
      <w:bookmarkEnd w:id="0"/>
      <w:r>
        <w:rPr>
          <w:spacing w:val="3"/>
        </w:rPr>
        <w:t>总投资150亿元，</w:t>
      </w:r>
      <w:r>
        <w:t xml:space="preserve"> </w:t>
      </w:r>
      <w:r>
        <w:rPr>
          <w:spacing w:val="-1"/>
        </w:rPr>
        <w:t>年度计划投资50亿元；为古县岳阳镇老旧小区改造</w:t>
      </w:r>
      <w:r>
        <w:rPr>
          <w:spacing w:val="-2"/>
        </w:rPr>
        <w:t>项目争</w:t>
      </w:r>
    </w:p>
    <w:p>
      <w:pPr>
        <w:pStyle w:val="2"/>
        <w:spacing w:before="1" w:line="221" w:lineRule="auto"/>
        <w:ind w:left="139"/>
      </w:pPr>
      <w:r>
        <w:rPr>
          <w:spacing w:val="-5"/>
        </w:rPr>
        <w:t>取中央预算内投资440万元。</w:t>
      </w:r>
    </w:p>
    <w:p>
      <w:pPr>
        <w:pStyle w:val="2"/>
        <w:spacing w:before="221" w:line="348" w:lineRule="auto"/>
        <w:ind w:left="129" w:right="64" w:firstLine="639"/>
      </w:pPr>
      <w:r>
        <w:rPr>
          <w:rFonts w:ascii="宋体" w:hAnsi="宋体" w:eastAsia="宋体" w:cs="宋体"/>
          <w:spacing w:val="7"/>
        </w:rPr>
        <w:t>3、</w:t>
      </w:r>
      <w:r>
        <w:rPr>
          <w:spacing w:val="7"/>
        </w:rPr>
        <w:t>根据《古县人民政府办公室关于印发古县2021—</w:t>
      </w:r>
      <w:r>
        <w:rPr>
          <w:spacing w:val="17"/>
        </w:rPr>
        <w:t xml:space="preserve"> </w:t>
      </w:r>
      <w:r>
        <w:rPr>
          <w:spacing w:val="-5"/>
        </w:rPr>
        <w:t>2022年冬季清洁取暖实施方案的通知》,改造</w:t>
      </w:r>
      <w:r>
        <w:rPr>
          <w:spacing w:val="-6"/>
        </w:rPr>
        <w:t>清洁取暖任务</w:t>
      </w:r>
    </w:p>
    <w:p>
      <w:pPr>
        <w:pStyle w:val="2"/>
        <w:spacing w:before="1" w:line="222" w:lineRule="auto"/>
        <w:ind w:left="139"/>
      </w:pPr>
      <w:r>
        <w:rPr>
          <w:spacing w:val="-5"/>
        </w:rPr>
        <w:t>108户，改造面积1.36万平米。</w:t>
      </w:r>
    </w:p>
    <w:p>
      <w:pPr>
        <w:pStyle w:val="2"/>
        <w:spacing w:before="117" w:line="347" w:lineRule="auto"/>
        <w:ind w:left="139" w:right="87" w:firstLine="629"/>
      </w:pPr>
      <w:r>
        <w:rPr>
          <w:rFonts w:ascii="宋体" w:hAnsi="宋体" w:eastAsia="宋体" w:cs="宋体"/>
          <w:spacing w:val="-6"/>
        </w:rPr>
        <w:t>4、</w:t>
      </w:r>
      <w:r>
        <w:rPr>
          <w:spacing w:val="-6"/>
        </w:rPr>
        <w:t>我局已与粮食储备企业、加工企业、供</w:t>
      </w:r>
      <w:r>
        <w:rPr>
          <w:spacing w:val="-7"/>
        </w:rPr>
        <w:t>应企业签订</w:t>
      </w:r>
      <w:r>
        <w:t xml:space="preserve"> </w:t>
      </w:r>
      <w:r>
        <w:rPr>
          <w:spacing w:val="-15"/>
        </w:rPr>
        <w:t>了责任书，明确了应急供应责任与义务，截</w:t>
      </w:r>
      <w:r>
        <w:rPr>
          <w:rFonts w:hint="eastAsia"/>
          <w:spacing w:val="-15"/>
          <w:lang w:val="en-US" w:eastAsia="zh-CN"/>
        </w:rPr>
        <w:t>至</w:t>
      </w:r>
      <w:r>
        <w:rPr>
          <w:spacing w:val="-15"/>
        </w:rPr>
        <w:t>目前，调入小</w:t>
      </w:r>
      <w:r>
        <w:rPr>
          <w:spacing w:val="1"/>
        </w:rPr>
        <w:t xml:space="preserve"> </w:t>
      </w:r>
      <w:r>
        <w:rPr>
          <w:spacing w:val="4"/>
        </w:rPr>
        <w:t>麦2550吨，完成全年任务的102%,确保了粮油供应充足、</w:t>
      </w:r>
    </w:p>
    <w:p>
      <w:pPr>
        <w:pStyle w:val="2"/>
        <w:spacing w:line="219" w:lineRule="auto"/>
        <w:ind w:left="139"/>
      </w:pPr>
      <w:r>
        <w:rPr>
          <w:spacing w:val="-16"/>
        </w:rPr>
        <w:t>价格基本稳定。</w:t>
      </w:r>
    </w:p>
    <w:p>
      <w:pPr>
        <w:pStyle w:val="2"/>
        <w:spacing w:before="239" w:line="219" w:lineRule="auto"/>
        <w:ind w:left="769"/>
      </w:pPr>
      <w:r>
        <w:rPr>
          <w:rFonts w:ascii="宋体" w:hAnsi="宋体" w:eastAsia="宋体" w:cs="宋体"/>
          <w:spacing w:val="-5"/>
        </w:rPr>
        <w:t>5、</w:t>
      </w:r>
      <w:r>
        <w:rPr>
          <w:spacing w:val="-5"/>
        </w:rPr>
        <w:t>完成我县县级储备粮轮换任务为1500吨。</w:t>
      </w:r>
    </w:p>
    <w:p>
      <w:pPr>
        <w:pStyle w:val="2"/>
        <w:spacing w:before="329" w:line="614" w:lineRule="exact"/>
        <w:ind w:right="90"/>
        <w:jc w:val="right"/>
      </w:pPr>
      <w:r>
        <w:rPr>
          <w:rFonts w:ascii="宋体" w:hAnsi="宋体" w:eastAsia="宋体" w:cs="宋体"/>
          <w:spacing w:val="-7"/>
          <w:position w:val="21"/>
        </w:rPr>
        <w:t>6、</w:t>
      </w:r>
      <w:r>
        <w:rPr>
          <w:spacing w:val="-7"/>
          <w:position w:val="21"/>
        </w:rPr>
        <w:t>以涉案、涉纪、涉税价格认定为工作重点，受理认</w:t>
      </w:r>
    </w:p>
    <w:p>
      <w:pPr>
        <w:pStyle w:val="2"/>
        <w:spacing w:before="1" w:line="222" w:lineRule="auto"/>
        <w:ind w:left="139"/>
      </w:pPr>
      <w:r>
        <w:rPr>
          <w:spacing w:val="6"/>
        </w:rPr>
        <w:t>定案件32件。</w:t>
      </w:r>
    </w:p>
    <w:p>
      <w:pPr>
        <w:spacing w:before="236" w:line="224" w:lineRule="auto"/>
        <w:ind w:left="984"/>
        <w:rPr>
          <w:rFonts w:ascii="楷体" w:hAnsi="楷体" w:eastAsia="楷体" w:cs="楷体"/>
          <w:sz w:val="33"/>
          <w:szCs w:val="33"/>
        </w:rPr>
      </w:pPr>
      <w:r>
        <w:rPr>
          <w:rFonts w:ascii="楷体" w:hAnsi="楷体" w:eastAsia="楷体" w:cs="楷体"/>
          <w:b/>
          <w:bCs/>
          <w:spacing w:val="-5"/>
          <w:sz w:val="33"/>
          <w:szCs w:val="33"/>
        </w:rPr>
        <w:t>(二)履职效果情况：</w:t>
      </w:r>
    </w:p>
    <w:p>
      <w:pPr>
        <w:spacing w:line="224" w:lineRule="auto"/>
        <w:rPr>
          <w:rFonts w:ascii="楷体" w:hAnsi="楷体" w:eastAsia="楷体" w:cs="楷体"/>
          <w:sz w:val="33"/>
          <w:szCs w:val="33"/>
        </w:rPr>
        <w:sectPr>
          <w:pgSz w:w="12070" w:h="16950"/>
          <w:pgMar w:top="1440" w:right="1795" w:bottom="0" w:left="1810" w:header="0" w:footer="0" w:gutter="0"/>
          <w:cols w:space="720" w:num="1"/>
        </w:sectPr>
      </w:pPr>
    </w:p>
    <w:p>
      <w:pPr>
        <w:pStyle w:val="2"/>
        <w:spacing w:before="257" w:line="347" w:lineRule="auto"/>
        <w:ind w:left="132" w:right="80" w:firstLine="619"/>
        <w:jc w:val="both"/>
      </w:pPr>
      <w:r>
        <w:rPr>
          <w:spacing w:val="-15"/>
        </w:rPr>
        <w:t>社会效益：稳定市场价格、确保粮食安全、保障人</w:t>
      </w:r>
      <w:r>
        <w:rPr>
          <w:spacing w:val="-16"/>
        </w:rPr>
        <w:t>民群</w:t>
      </w:r>
      <w:r>
        <w:t xml:space="preserve"> </w:t>
      </w:r>
      <w:r>
        <w:rPr>
          <w:spacing w:val="-14"/>
        </w:rPr>
        <w:t>众生活；以市场运行为基础，遵循市场规律，努力优化政府</w:t>
      </w:r>
      <w:r>
        <w:t xml:space="preserve"> </w:t>
      </w:r>
      <w:r>
        <w:rPr>
          <w:spacing w:val="-14"/>
        </w:rPr>
        <w:t>服务，不断优化营商环境，加强服务能力建设，提高服务质</w:t>
      </w:r>
    </w:p>
    <w:p>
      <w:pPr>
        <w:pStyle w:val="2"/>
        <w:spacing w:before="1" w:line="220" w:lineRule="auto"/>
        <w:ind w:left="132"/>
      </w:pPr>
      <w:r>
        <w:rPr>
          <w:spacing w:val="-14"/>
        </w:rPr>
        <w:t>量，为全县经济社会发展做出了应有的贡献。</w:t>
      </w:r>
    </w:p>
    <w:p>
      <w:pPr>
        <w:spacing w:before="240" w:line="229" w:lineRule="auto"/>
        <w:ind w:left="967"/>
        <w:rPr>
          <w:rFonts w:ascii="楷体" w:hAnsi="楷体" w:eastAsia="楷体" w:cs="楷体"/>
          <w:sz w:val="33"/>
          <w:szCs w:val="33"/>
        </w:rPr>
      </w:pPr>
      <w:r>
        <w:rPr>
          <w:rFonts w:ascii="楷体" w:hAnsi="楷体" w:eastAsia="楷体" w:cs="楷体"/>
          <w:b/>
          <w:bCs/>
          <w:spacing w:val="-3"/>
          <w:sz w:val="33"/>
          <w:szCs w:val="33"/>
        </w:rPr>
        <w:t>(三)社会满意度：</w:t>
      </w:r>
    </w:p>
    <w:p>
      <w:pPr>
        <w:pStyle w:val="2"/>
        <w:spacing w:before="215" w:line="221" w:lineRule="auto"/>
        <w:ind w:left="752"/>
      </w:pPr>
      <w:r>
        <w:rPr>
          <w:spacing w:val="-18"/>
        </w:rPr>
        <w:t>社会公众对部门(单位)履职的满意程度基本满意。</w:t>
      </w:r>
    </w:p>
    <w:p>
      <w:pPr>
        <w:spacing w:before="233" w:line="610" w:lineRule="exact"/>
        <w:ind w:right="61"/>
        <w:jc w:val="right"/>
        <w:rPr>
          <w:rFonts w:ascii="黑体" w:hAnsi="黑体" w:eastAsia="黑体" w:cs="黑体"/>
          <w:sz w:val="33"/>
          <w:szCs w:val="33"/>
        </w:rPr>
      </w:pPr>
      <w:r>
        <w:rPr>
          <w:rFonts w:ascii="黑体" w:hAnsi="黑体" w:eastAsia="黑体" w:cs="黑体"/>
          <w:b/>
          <w:bCs/>
          <w:spacing w:val="-6"/>
          <w:position w:val="20"/>
          <w:sz w:val="33"/>
          <w:szCs w:val="33"/>
        </w:rPr>
        <w:t>三</w:t>
      </w:r>
      <w:r>
        <w:rPr>
          <w:rFonts w:ascii="黑体" w:hAnsi="黑体" w:eastAsia="黑体" w:cs="黑体"/>
          <w:spacing w:val="-75"/>
          <w:position w:val="20"/>
          <w:sz w:val="33"/>
          <w:szCs w:val="33"/>
        </w:rPr>
        <w:t xml:space="preserve"> </w:t>
      </w:r>
      <w:r>
        <w:rPr>
          <w:rFonts w:ascii="黑体" w:hAnsi="黑体" w:eastAsia="黑体" w:cs="黑体"/>
          <w:b/>
          <w:bCs/>
          <w:spacing w:val="-6"/>
          <w:position w:val="20"/>
          <w:sz w:val="33"/>
          <w:szCs w:val="33"/>
        </w:rPr>
        <w:t>、部门(单位)整体支出绩效中存在问题</w:t>
      </w:r>
      <w:r>
        <w:rPr>
          <w:rFonts w:ascii="黑体" w:hAnsi="黑体" w:eastAsia="黑体" w:cs="黑体"/>
          <w:b/>
          <w:bCs/>
          <w:spacing w:val="-7"/>
          <w:position w:val="20"/>
          <w:sz w:val="33"/>
          <w:szCs w:val="33"/>
        </w:rPr>
        <w:t>及改进措施</w:t>
      </w:r>
    </w:p>
    <w:p>
      <w:pPr>
        <w:spacing w:before="1" w:line="225" w:lineRule="auto"/>
        <w:ind w:left="967"/>
        <w:rPr>
          <w:rFonts w:ascii="楷体" w:hAnsi="楷体" w:eastAsia="楷体" w:cs="楷体"/>
          <w:sz w:val="33"/>
          <w:szCs w:val="33"/>
        </w:rPr>
      </w:pPr>
      <w:r>
        <w:rPr>
          <w:rFonts w:ascii="楷体" w:hAnsi="楷体" w:eastAsia="楷体" w:cs="楷体"/>
          <w:b/>
          <w:bCs/>
          <w:spacing w:val="-3"/>
          <w:sz w:val="33"/>
          <w:szCs w:val="33"/>
        </w:rPr>
        <w:t>(一)主要问题及原因分析</w:t>
      </w:r>
    </w:p>
    <w:p>
      <w:pPr>
        <w:pStyle w:val="2"/>
        <w:spacing w:before="222" w:line="649" w:lineRule="exact"/>
        <w:ind w:left="752"/>
      </w:pPr>
      <w:r>
        <w:rPr>
          <w:rFonts w:ascii="宋体" w:hAnsi="宋体" w:eastAsia="宋体" w:cs="宋体"/>
          <w:spacing w:val="-10"/>
          <w:position w:val="23"/>
        </w:rPr>
        <w:t>1、</w:t>
      </w:r>
      <w:r>
        <w:rPr>
          <w:spacing w:val="-10"/>
          <w:position w:val="23"/>
        </w:rPr>
        <w:t>绩效意识不强，认识和重视程度不够，缺乏系统认</w:t>
      </w:r>
    </w:p>
    <w:p>
      <w:pPr>
        <w:pStyle w:val="2"/>
        <w:spacing w:line="222" w:lineRule="auto"/>
        <w:ind w:left="132"/>
      </w:pPr>
      <w:r>
        <w:rPr>
          <w:spacing w:val="-25"/>
        </w:rPr>
        <w:t>知；</w:t>
      </w:r>
    </w:p>
    <w:p>
      <w:pPr>
        <w:pStyle w:val="2"/>
        <w:spacing w:before="219" w:line="634" w:lineRule="exact"/>
        <w:ind w:right="82"/>
        <w:jc w:val="right"/>
      </w:pPr>
      <w:r>
        <w:rPr>
          <w:rFonts w:ascii="宋体" w:hAnsi="宋体" w:eastAsia="宋体" w:cs="宋体"/>
          <w:spacing w:val="-10"/>
          <w:position w:val="22"/>
        </w:rPr>
        <w:t>2、</w:t>
      </w:r>
      <w:r>
        <w:rPr>
          <w:rFonts w:ascii="宋体" w:hAnsi="宋体" w:eastAsia="宋体" w:cs="宋体"/>
          <w:spacing w:val="-82"/>
          <w:position w:val="22"/>
        </w:rPr>
        <w:t xml:space="preserve"> </w:t>
      </w:r>
      <w:r>
        <w:rPr>
          <w:spacing w:val="-10"/>
          <w:position w:val="22"/>
        </w:rPr>
        <w:t>绩效目标设定不够规范，对重点工作任务的目标设</w:t>
      </w:r>
    </w:p>
    <w:p>
      <w:pPr>
        <w:pStyle w:val="2"/>
        <w:spacing w:before="1" w:line="222" w:lineRule="auto"/>
        <w:ind w:left="132"/>
      </w:pPr>
      <w:r>
        <w:rPr>
          <w:spacing w:val="-22"/>
        </w:rPr>
        <w:t>定不够具体；</w:t>
      </w:r>
    </w:p>
    <w:p>
      <w:pPr>
        <w:pStyle w:val="2"/>
        <w:spacing w:before="209" w:line="220" w:lineRule="auto"/>
        <w:ind w:left="752"/>
      </w:pPr>
      <w:r>
        <w:rPr>
          <w:spacing w:val="-13"/>
        </w:rPr>
        <w:t>3、绩效管理职责不够明确，工作机制不够完善。</w:t>
      </w:r>
    </w:p>
    <w:p>
      <w:pPr>
        <w:spacing w:before="216" w:line="227" w:lineRule="auto"/>
        <w:ind w:left="967"/>
        <w:rPr>
          <w:rFonts w:ascii="楷体" w:hAnsi="楷体" w:eastAsia="楷体" w:cs="楷体"/>
          <w:sz w:val="33"/>
          <w:szCs w:val="33"/>
        </w:rPr>
      </w:pPr>
      <w:r>
        <w:rPr>
          <w:rFonts w:ascii="楷体" w:hAnsi="楷体" w:eastAsia="楷体" w:cs="楷体"/>
          <w:b/>
          <w:bCs/>
          <w:spacing w:val="-3"/>
          <w:sz w:val="33"/>
          <w:szCs w:val="33"/>
        </w:rPr>
        <w:t>(二)改进的方向和具体措施</w:t>
      </w:r>
    </w:p>
    <w:p>
      <w:pPr>
        <w:pStyle w:val="2"/>
        <w:spacing w:before="226" w:line="222" w:lineRule="auto"/>
        <w:ind w:left="752"/>
      </w:pPr>
      <w:r>
        <w:rPr>
          <w:rFonts w:ascii="宋体" w:hAnsi="宋体" w:eastAsia="宋体" w:cs="宋体"/>
          <w:spacing w:val="-15"/>
        </w:rPr>
        <w:t>1、</w:t>
      </w:r>
      <w:r>
        <w:rPr>
          <w:spacing w:val="-15"/>
        </w:rPr>
        <w:t>加强制度文件及软件学习培训；</w:t>
      </w:r>
    </w:p>
    <w:p>
      <w:pPr>
        <w:pStyle w:val="2"/>
        <w:spacing w:before="235" w:line="616" w:lineRule="exact"/>
        <w:ind w:left="752"/>
      </w:pPr>
      <w:r>
        <w:rPr>
          <w:rFonts w:ascii="宋体" w:hAnsi="宋体" w:eastAsia="宋体" w:cs="宋体"/>
          <w:spacing w:val="-15"/>
          <w:position w:val="21"/>
        </w:rPr>
        <w:t>2、</w:t>
      </w:r>
      <w:r>
        <w:rPr>
          <w:spacing w:val="-15"/>
          <w:position w:val="21"/>
        </w:rPr>
        <w:t>强化结果应用，对发现的问题及时有效整改；</w:t>
      </w:r>
    </w:p>
    <w:p>
      <w:pPr>
        <w:pStyle w:val="2"/>
        <w:spacing w:before="1" w:line="220" w:lineRule="auto"/>
        <w:ind w:left="752"/>
      </w:pPr>
      <w:r>
        <w:rPr>
          <w:rFonts w:ascii="宋体" w:hAnsi="宋体" w:eastAsia="宋体" w:cs="宋体"/>
          <w:spacing w:val="-12"/>
        </w:rPr>
        <w:t>3、</w:t>
      </w:r>
      <w:r>
        <w:rPr>
          <w:spacing w:val="-12"/>
        </w:rPr>
        <w:t>完善工作制度，明确工作职责。</w:t>
      </w:r>
    </w:p>
    <w:p>
      <w:pPr>
        <w:spacing w:before="235" w:line="221" w:lineRule="auto"/>
        <w:ind w:left="757"/>
        <w:outlineLvl w:val="0"/>
        <w:rPr>
          <w:rFonts w:ascii="黑体" w:hAnsi="黑体" w:eastAsia="黑体" w:cs="黑体"/>
          <w:sz w:val="33"/>
          <w:szCs w:val="33"/>
        </w:rPr>
      </w:pPr>
      <w:r>
        <w:rPr>
          <w:rFonts w:ascii="黑体" w:hAnsi="黑体" w:eastAsia="黑体" w:cs="黑体"/>
          <w:b/>
          <w:bCs/>
          <w:spacing w:val="-18"/>
          <w:sz w:val="33"/>
          <w:szCs w:val="33"/>
        </w:rPr>
        <w:t>四、绩效自评结果拟应用和公开情况</w:t>
      </w:r>
    </w:p>
    <w:p>
      <w:pPr>
        <w:pStyle w:val="2"/>
        <w:spacing w:before="216" w:line="219" w:lineRule="auto"/>
        <w:ind w:right="52"/>
        <w:jc w:val="right"/>
      </w:pPr>
      <w:r>
        <w:rPr>
          <w:spacing w:val="-12"/>
        </w:rPr>
        <w:t>针对自评中存在的问题，我单位将及时调整和</w:t>
      </w:r>
      <w:r>
        <w:rPr>
          <w:spacing w:val="-13"/>
        </w:rPr>
        <w:t>优化本部</w:t>
      </w:r>
    </w:p>
    <w:p>
      <w:pPr>
        <w:pStyle w:val="2"/>
        <w:spacing w:before="231" w:line="222" w:lineRule="auto"/>
        <w:ind w:left="132"/>
      </w:pPr>
      <w:r>
        <w:drawing>
          <wp:anchor distT="0" distB="0" distL="0" distR="0" simplePos="0" relativeHeight="251659264" behindDoc="0" locked="0" layoutInCell="1" allowOverlap="1">
            <wp:simplePos x="0" y="0"/>
            <wp:positionH relativeFrom="column">
              <wp:posOffset>3595370</wp:posOffset>
            </wp:positionH>
            <wp:positionV relativeFrom="paragraph">
              <wp:posOffset>95885</wp:posOffset>
            </wp:positionV>
            <wp:extent cx="1397000" cy="137795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96979" cy="137795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2"/>
        </w:rPr>
        <w:t>门后续项目和预算支出的方向和机构，合理配置资源，加强</w:t>
      </w:r>
    </w:p>
    <w:p>
      <w:pPr>
        <w:pStyle w:val="2"/>
        <w:spacing w:before="221" w:line="220" w:lineRule="auto"/>
        <w:ind w:left="132"/>
      </w:pPr>
      <w:r>
        <w:rPr>
          <w:spacing w:val="-12"/>
        </w:rPr>
        <w:t>财务管理，提高资金使用效率。并将结果及时通过政府网站</w:t>
      </w:r>
    </w:p>
    <w:p>
      <w:pPr>
        <w:pStyle w:val="2"/>
        <w:spacing w:before="231" w:line="222" w:lineRule="auto"/>
        <w:ind w:left="132"/>
      </w:pPr>
      <w:r>
        <w:rPr>
          <w:spacing w:val="-13"/>
        </w:rPr>
        <w:t>予以公开。</w:t>
      </w:r>
    </w:p>
    <w:sectPr>
      <w:pgSz w:w="12050" w:h="16940"/>
      <w:pgMar w:top="1439" w:right="1807" w:bottom="0" w:left="180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true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jkwOTgwMGQ0MTY1MzJlYjc0YzUwYWFlMGI1OWFmNDIifQ=="/>
  </w:docVars>
  <w:rsids>
    <w:rsidRoot w:val="00000000"/>
    <w:rsid w:val="2B15BDCE"/>
    <w:rsid w:val="52C00F0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3"/>
      <w:szCs w:val="33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6</Pages>
  <Words>2508</Words>
  <Characters>2752</Characters>
  <TotalTime>2</TotalTime>
  <ScaleCrop>false</ScaleCrop>
  <LinksUpToDate>false</LinksUpToDate>
  <CharactersWithSpaces>2789</CharactersWithSpaces>
  <Application>WPS Office_11.8.2.10195_F1E327BC-269C-435d-A152-05C5408002CA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2024-06-29T01:17:00Z</dcterms:created>
  <dc:creator>Administrator</dc:creator>
  <cp:lastModifiedBy>greatwall</cp:lastModifiedBy>
  <dcterms:modified xsi:type="dcterms:W3CDTF">2025-03-27T18:53:39Z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2024-06-28T17:17:00Z</vt:filetime>
  </property>
  <property fmtid="{D5CDD505-2E9C-101B-9397-08002B2CF9AE}" pid="4" name="UsrData">
    <vt:lpwstr>667e7f896137bf001fd22930wl</vt:lpwstr>
  </property>
  <property fmtid="{D5CDD505-2E9C-101B-9397-08002B2CF9AE}" pid="5" name="KSOProductBuildVer">
    <vt:lpwstr>2052-11.8.2.10195</vt:lpwstr>
  </property>
  <property fmtid="{D5CDD505-2E9C-101B-9397-08002B2CF9AE}" pid="6" name="ICV">
    <vt:lpwstr>DE2BB037E38440D58B11D172EEA0FC25_12</vt:lpwstr>
  </property>
</Properties>
</file>