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213"/>
        <w:spacing w:before="110" w:line="215" w:lineRule="auto"/>
        <w:outlineLvl w:val="0"/>
        <w:rPr/>
      </w:pPr>
      <w:r>
        <w:rPr>
          <w:spacing w:val="-7"/>
        </w:rPr>
        <w:t>古 县 政</w:t>
      </w:r>
      <w:r>
        <w:rPr>
          <w:spacing w:val="-11"/>
        </w:rPr>
        <w:t xml:space="preserve"> </w:t>
      </w:r>
      <w:r>
        <w:rPr>
          <w:spacing w:val="-7"/>
        </w:rPr>
        <w:t>府</w:t>
      </w:r>
      <w:r>
        <w:rPr>
          <w:spacing w:val="-17"/>
        </w:rPr>
        <w:t xml:space="preserve"> </w:t>
      </w:r>
      <w:r>
        <w:rPr>
          <w:spacing w:val="-7"/>
        </w:rPr>
        <w:t>采 购 中 心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16" w:right="811" w:firstLine="1"/>
        <w:spacing w:before="27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1、贯彻执行党中央、国务院、山西省关于政府集中采购的方针政策、法律法规和县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委、县政府的决策部署。</w:t>
      </w:r>
    </w:p>
    <w:p>
      <w:pPr>
        <w:ind w:left="702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2、落实县级政府采购制度改革要求，建立健全县级政府集中采购竞争机制。</w:t>
      </w:r>
    </w:p>
    <w:p>
      <w:pPr>
        <w:ind w:left="706" w:right="811" w:hanging="2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3、组织实施县级政府集中采购。制定县级政府</w:t>
      </w:r>
      <w:r>
        <w:rPr>
          <w:rFonts w:ascii="FangSong" w:hAnsi="FangSong" w:eastAsia="FangSong" w:cs="FangSong"/>
          <w:sz w:val="25"/>
          <w:szCs w:val="25"/>
          <w:spacing w:val="1"/>
        </w:rPr>
        <w:t>集中采购现场管理办法、工作流程和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服务规范。</w:t>
      </w:r>
    </w:p>
    <w:p>
      <w:pPr>
        <w:ind w:left="698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4、负责受理县级政府集中采购事项的质疑举报。</w:t>
      </w:r>
    </w:p>
    <w:p>
      <w:pPr>
        <w:ind w:left="713" w:right="811" w:hanging="9"/>
        <w:spacing w:before="129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5、承办县委、县政府及县行政审批服务管理局</w:t>
      </w:r>
      <w:r>
        <w:rPr>
          <w:rFonts w:ascii="FangSong" w:hAnsi="FangSong" w:eastAsia="FangSong" w:cs="FangSong"/>
          <w:sz w:val="25"/>
          <w:szCs w:val="25"/>
          <w:spacing w:val="1"/>
        </w:rPr>
        <w:t>（县政务信息管理局）交办的其他任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2"/>
        </w:rPr>
        <w:t>务。</w:t>
      </w:r>
    </w:p>
    <w:p>
      <w:pPr>
        <w:ind w:left="701"/>
        <w:spacing w:before="128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6、承办上级交办的其他事项。</w:t>
      </w:r>
    </w:p>
    <w:p>
      <w:pPr>
        <w:ind w:left="1208"/>
        <w:spacing w:before="274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7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根据主要责任，政府采购中心本级设有2个内设机构，分别是综合信息股，采购股。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部门名称：古县政府采购中心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9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57.35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0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48.92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4.31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4.12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439"/>
        <w:gridCol w:w="1139"/>
        <w:gridCol w:w="1007"/>
        <w:gridCol w:w="755"/>
        <w:gridCol w:w="851"/>
        <w:gridCol w:w="911"/>
        <w:gridCol w:w="732"/>
        <w:gridCol w:w="761"/>
      </w:tblGrid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3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1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61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2" w:hRule="atLeast"/>
        </w:trPr>
        <w:tc>
          <w:tcPr>
            <w:tcW w:w="3999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7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62"/>
              <w:spacing w:before="6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5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58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6"/>
              <w:spacing w:before="4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5" w:right="68" w:hanging="358"/>
              <w:spacing w:before="202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5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87" w:right="30" w:hanging="184"/>
              <w:spacing w:before="204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line="208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64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85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3"/>
              <w:spacing w:line="200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6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505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40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860" w:type="dxa"/>
            <w:vAlign w:val="top"/>
            <w:gridSpan w:val="2"/>
          </w:tcPr>
          <w:p>
            <w:pPr>
              <w:ind w:left="1225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39" w:type="dxa"/>
            <w:vAlign w:val="top"/>
          </w:tcPr>
          <w:p>
            <w:pPr>
              <w:ind w:left="515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07" w:type="dxa"/>
            <w:vAlign w:val="top"/>
          </w:tcPr>
          <w:p>
            <w:pPr>
              <w:ind w:left="443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55" w:type="dxa"/>
            <w:vAlign w:val="top"/>
          </w:tcPr>
          <w:p>
            <w:pPr>
              <w:ind w:left="318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51" w:type="dxa"/>
            <w:vAlign w:val="top"/>
          </w:tcPr>
          <w:p>
            <w:pPr>
              <w:ind w:left="367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11" w:type="dxa"/>
            <w:vAlign w:val="top"/>
          </w:tcPr>
          <w:p>
            <w:pPr>
              <w:ind w:left="398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32" w:type="dxa"/>
            <w:vAlign w:val="top"/>
          </w:tcPr>
          <w:p>
            <w:pPr>
              <w:ind w:left="310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61" w:type="dxa"/>
            <w:vAlign w:val="top"/>
          </w:tcPr>
          <w:p>
            <w:pPr>
              <w:ind w:left="322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860" w:type="dxa"/>
            <w:vAlign w:val="top"/>
            <w:gridSpan w:val="2"/>
          </w:tcPr>
          <w:p>
            <w:pPr>
              <w:ind w:left="1229"/>
              <w:spacing w:before="5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7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6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9" w:right="172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2"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72" w:firstLine="2"/>
              <w:spacing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4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53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522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4" w:right="172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37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17"/>
        <w:gridCol w:w="1583"/>
        <w:gridCol w:w="1199"/>
        <w:gridCol w:w="1199"/>
        <w:gridCol w:w="1103"/>
        <w:gridCol w:w="539"/>
        <w:gridCol w:w="935"/>
        <w:gridCol w:w="941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299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部门名称：古县政府采购中心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89" w:hRule="atLeast"/>
        </w:trPr>
        <w:tc>
          <w:tcPr>
            <w:tcW w:w="3100" w:type="dxa"/>
            <w:vAlign w:val="top"/>
            <w:gridSpan w:val="2"/>
          </w:tcPr>
          <w:p>
            <w:pPr>
              <w:ind w:left="1347"/>
              <w:spacing w:before="64" w:line="167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3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9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2" w:line="205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199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381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12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3"/>
              <w:spacing w:before="3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99" w:type="dxa"/>
            <w:vAlign w:val="top"/>
          </w:tcPr>
          <w:p>
            <w:pPr>
              <w:ind w:left="539"/>
              <w:spacing w:before="7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03" w:type="dxa"/>
            <w:vAlign w:val="top"/>
          </w:tcPr>
          <w:p>
            <w:pPr>
              <w:ind w:left="492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7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3100" w:type="dxa"/>
            <w:vAlign w:val="top"/>
            <w:gridSpan w:val="2"/>
          </w:tcPr>
          <w:p>
            <w:pPr>
              <w:pStyle w:val="TableText"/>
              <w:ind w:left="1354"/>
              <w:spacing w:before="3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7"/>
              <w:spacing w:before="66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4"/>
              <w:spacing w:before="65" w:line="184" w:lineRule="auto"/>
              <w:rPr/>
            </w:pPr>
            <w:r>
              <w:rPr>
                <w:color w:val="212529"/>
                <w:spacing w:val="-2"/>
              </w:rPr>
              <w:t>48.18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6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65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"/>
              <w:spacing w:before="38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66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66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6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 w:right="147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政府办公厅（室）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66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/>
              <w:spacing w:before="39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3"/>
              <w:spacing w:before="67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9"/>
              <w:spacing w:before="67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103" w:type="dxa"/>
            <w:vAlign w:val="top"/>
          </w:tcPr>
          <w:p>
            <w:pPr>
              <w:pStyle w:val="TableText"/>
              <w:ind w:right="23"/>
              <w:spacing w:before="6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9" w:right="136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5" w:right="136" w:firstLine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4" w:right="13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1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3"/>
              <w:spacing w:before="4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5"/>
              <w:spacing w:before="7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19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92"/>
        <w:gridCol w:w="2997"/>
        <w:gridCol w:w="1511"/>
        <w:gridCol w:w="1367"/>
        <w:gridCol w:w="1349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4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789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51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462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1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789" w:type="dxa"/>
            <w:vAlign w:val="top"/>
            <w:gridSpan w:val="2"/>
          </w:tcPr>
          <w:p>
            <w:pPr>
              <w:ind w:left="219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227" w:type="dxa"/>
            <w:vAlign w:val="top"/>
            <w:gridSpan w:val="3"/>
          </w:tcPr>
          <w:p>
            <w:pPr>
              <w:ind w:left="1732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92" w:type="dxa"/>
            <w:vAlign w:val="top"/>
          </w:tcPr>
          <w:p>
            <w:pPr>
              <w:ind w:left="51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97" w:type="dxa"/>
            <w:vAlign w:val="top"/>
          </w:tcPr>
          <w:p>
            <w:pPr>
              <w:ind w:left="111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11" w:type="dxa"/>
            <w:vAlign w:val="top"/>
          </w:tcPr>
          <w:p>
            <w:pPr>
              <w:ind w:left="5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367" w:type="dxa"/>
            <w:vAlign w:val="top"/>
          </w:tcPr>
          <w:p>
            <w:pPr>
              <w:ind w:left="30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49" w:type="dxa"/>
            <w:vAlign w:val="top"/>
          </w:tcPr>
          <w:p>
            <w:pPr>
              <w:ind w:left="29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789" w:type="dxa"/>
            <w:vAlign w:val="top"/>
            <w:gridSpan w:val="2"/>
          </w:tcPr>
          <w:p>
            <w:pPr>
              <w:ind w:left="219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706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615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789" w:type="dxa"/>
            <w:vAlign w:val="top"/>
            <w:gridSpan w:val="2"/>
          </w:tcPr>
          <w:p>
            <w:pPr>
              <w:pStyle w:val="TableText"/>
              <w:ind w:left="220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33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57.35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86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48.18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</w:tr>
      <w:tr>
        <w:trPr>
          <w:trHeight w:val="313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8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90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</w:tr>
      <w:tr>
        <w:trPr>
          <w:trHeight w:val="314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50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9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</w:tr>
      <w:tr>
        <w:trPr>
          <w:trHeight w:val="313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5"/>
              <w:spacing w:before="51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left="1028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48.92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890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39.75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9.17</w:t>
            </w:r>
          </w:p>
        </w:tc>
      </w:tr>
      <w:tr>
        <w:trPr>
          <w:trHeight w:val="314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4.31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9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97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11" w:type="dxa"/>
            <w:vAlign w:val="top"/>
          </w:tcPr>
          <w:p>
            <w:pPr>
              <w:pStyle w:val="TableText"/>
              <w:ind w:right="22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right="21"/>
              <w:spacing w:before="8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4.12</w:t>
            </w:r>
          </w:p>
        </w:tc>
        <w:tc>
          <w:tcPr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44.22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7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部门名称：古县政府采购中心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单位名称：古县政府采购中心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5" w:firstLine="500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2023年度收入总计57.35万元，支出总计57.3</w:t>
      </w:r>
      <w:r>
        <w:rPr>
          <w:rFonts w:ascii="FangSong" w:hAnsi="FangSong" w:eastAsia="FangSong" w:cs="FangSong"/>
          <w:sz w:val="25"/>
          <w:szCs w:val="25"/>
          <w:spacing w:val="1"/>
        </w:rPr>
        <w:t>5万元。与上年相比，收入总计增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加1.85万元，增长3.33%，支出总计增加</w:t>
      </w:r>
      <w:r>
        <w:rPr>
          <w:rFonts w:ascii="FangSong" w:hAnsi="FangSong" w:eastAsia="FangSong" w:cs="FangSong"/>
          <w:sz w:val="25"/>
          <w:szCs w:val="25"/>
          <w:spacing w:val="1"/>
        </w:rPr>
        <w:t>1.85万元，增长3.33%。主要原因是在职人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员调资，事业单位基本养老保险缴费、职工基本医疗保险缴费、其他社会保障缴</w:t>
      </w:r>
    </w:p>
    <w:p>
      <w:pPr>
        <w:ind w:left="714"/>
        <w:spacing w:before="42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费、公积金基数增加。</w:t>
      </w:r>
    </w:p>
    <w:p>
      <w:pPr>
        <w:ind w:left="1202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2023年度收入合计57.35万元，其中：</w:t>
      </w:r>
    </w:p>
    <w:p>
      <w:pPr>
        <w:ind w:left="1212" w:right="5024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财政拨款收入57.35万元，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39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2023年度支出合计57.35万元，其中：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基本支出48.18万元，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占比84.02%；</w:t>
      </w:r>
    </w:p>
    <w:p>
      <w:pPr>
        <w:ind w:left="1211"/>
        <w:spacing w:before="4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项目支出9.17万元，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占比15.98%；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4" w:right="805" w:firstLine="502"/>
        <w:spacing w:before="132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2023年度财政拨款收入总计57.35万元，支出总计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57.35万元。与上年相比，财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政拨款收入总计增加1.85万元，增长3.3</w:t>
      </w:r>
      <w:r>
        <w:rPr>
          <w:rFonts w:ascii="FangSong" w:hAnsi="FangSong" w:eastAsia="FangSong" w:cs="FangSong"/>
          <w:sz w:val="25"/>
          <w:szCs w:val="25"/>
          <w:spacing w:val="1"/>
        </w:rPr>
        <w:t>3%；财政拨款支出总计增加1.85万元，增长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3.33%。主要原因是在职人员调资，事业单位基本养</w:t>
      </w:r>
      <w:r>
        <w:rPr>
          <w:rFonts w:ascii="FangSong" w:hAnsi="FangSong" w:eastAsia="FangSong" w:cs="FangSong"/>
          <w:sz w:val="25"/>
          <w:szCs w:val="25"/>
          <w:spacing w:val="1"/>
        </w:rPr>
        <w:t>老保险缴费、职工基本医疗保险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缴费、其他社会保障缴费、公积金基数增加。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2023年一般公共预算财政拨款决算支出57.35万元，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07" w:right="925" w:firstLine="9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100.00%。与上年相比，一般公共预算财政拨款支出增加1.85万元，增长3.33%。主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要原因是在职人员调资，事业单位基本养老保险缴费、职工基本医疗保险缴费、其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他社会保障缴费、公积金基数增加。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21" w:lineRule="auto"/>
        <w:rPr>
          <w:rFonts w:ascii="Arial"/>
          <w:sz w:val="21"/>
        </w:rPr>
      </w:pPr>
      <w:r/>
    </w:p>
    <w:p>
      <w:pPr>
        <w:ind w:left="1214" w:right="1874" w:hanging="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2023年度一般公共预算财政拨款支出57.35万元，主要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一般公共服务支出(类)48.92万元，</w:t>
      </w:r>
      <w:r>
        <w:rPr>
          <w:rFonts w:ascii="FangSong" w:hAnsi="FangSong" w:eastAsia="FangSong" w:cs="FangSong"/>
          <w:sz w:val="25"/>
          <w:szCs w:val="25"/>
          <w:spacing w:val="-5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占比85.30%；</w:t>
      </w:r>
    </w:p>
    <w:p>
      <w:pPr>
        <w:ind w:left="1210" w:right="4142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社会保障和就业支出(类)4.31万元，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占比7.51%；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住房保障支出(类)4.12万元，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占比7.18%。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1183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初预算60.37万元，支出决算57.35万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元，完成年初预算的94.99%。其中：</w:t>
      </w:r>
    </w:p>
    <w:p>
      <w:pPr>
        <w:ind w:left="708" w:right="810" w:firstLine="1010"/>
        <w:spacing w:before="4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一般公共服务支出年初预算51.74万元，支出决算48.92元，完成年初预算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的94.55%，用于支付人员经费及党报党刊征订等项目经费支出。较2022年决算40.67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万元增加8.25万元，增长20.29%，主要原因是在职人员调资;</w:t>
      </w:r>
    </w:p>
    <w:p>
      <w:pPr>
        <w:ind w:left="700" w:right="937" w:firstLine="510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社会保障和就业支出年初预算4.75万元，支出决算4.31万元，完成年初预算的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90.74%，用于社会保障缴费支出等。较2022年决算3.35万元增加0.96万元，增长</w:t>
      </w:r>
    </w:p>
    <w:p>
      <w:pPr>
        <w:ind w:left="707" w:right="937" w:hanging="5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28.66%，主要原因是机关事业单位基本</w:t>
      </w:r>
      <w:r>
        <w:rPr>
          <w:rFonts w:ascii="FangSong" w:hAnsi="FangSong" w:eastAsia="FangSong" w:cs="FangSong"/>
          <w:sz w:val="25"/>
          <w:szCs w:val="25"/>
          <w:spacing w:val="1"/>
        </w:rPr>
        <w:t>养老保险缴费、职工基本医疗保险缴费、其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他社会保障缴费基数增加；</w:t>
      </w:r>
    </w:p>
    <w:p>
      <w:pPr>
        <w:ind w:left="12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住房保障支出年初预算3.88万元，支出决算4.12万元，完成年初预算的</w:t>
      </w:r>
    </w:p>
    <w:p>
      <w:pPr>
        <w:ind w:left="706" w:right="862" w:firstLine="1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106.19%，用于支付在职职工住房公积金支出。较2022年决算2.98万元增</w:t>
      </w:r>
      <w:r>
        <w:rPr>
          <w:rFonts w:ascii="FangSong" w:hAnsi="FangSong" w:eastAsia="FangSong" w:cs="FangSong"/>
          <w:sz w:val="25"/>
          <w:szCs w:val="25"/>
          <w:spacing w:val="-1"/>
        </w:rPr>
        <w:t>加1.14元，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增长38.25%，主要原因是公积金缴费基数</w:t>
      </w:r>
      <w:r>
        <w:rPr>
          <w:rFonts w:ascii="FangSong" w:hAnsi="FangSong" w:eastAsia="FangSong" w:cs="FangSong"/>
          <w:sz w:val="25"/>
          <w:szCs w:val="25"/>
        </w:rPr>
        <w:t>增加。</w:t>
      </w:r>
    </w:p>
    <w:p>
      <w:pPr>
        <w:ind w:left="1205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2023年度财政拨款基本支出48.18万元，其中：</w:t>
      </w:r>
    </w:p>
    <w:p>
      <w:pPr>
        <w:ind w:left="711" w:right="805" w:firstLine="503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人员经费44.22万元，主要包括在职人员基本工资、津贴补贴、奖金、机关事业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单位基本养老保险缴费、职工基本医疗保险缴费、其他社会保障缴费；</w:t>
      </w:r>
    </w:p>
    <w:p>
      <w:pPr>
        <w:ind w:left="121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公用经费3.96万元，主要包括办公费、印刷费、工会经费、福利费等。</w:t>
      </w:r>
    </w:p>
    <w:p>
      <w:pPr>
        <w:ind w:left="1197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line="30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1" w:lineRule="auto"/>
        <w:rPr>
          <w:rFonts w:ascii="Arial"/>
          <w:sz w:val="21"/>
        </w:rPr>
      </w:pPr>
      <w:r/>
    </w:p>
    <w:p>
      <w:pPr>
        <w:ind w:left="707" w:right="1057" w:firstLine="50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2023年二级项目绩效自评个数4个，涉及资金57.35万元：4个项目自评等级</w:t>
      </w:r>
    </w:p>
    <w:p>
      <w:pPr>
        <w:ind w:left="709" w:right="937" w:firstLine="6"/>
        <w:spacing w:before="129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</w:t>
      </w:r>
      <w:r>
        <w:rPr>
          <w:rFonts w:ascii="FangSong" w:hAnsi="FangSong" w:eastAsia="FangSong" w:cs="FangSong"/>
          <w:sz w:val="25"/>
          <w:szCs w:val="25"/>
          <w:spacing w:val="-5"/>
        </w:rPr>
        <w:t>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”,0个项目自评等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spacing w:line="305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07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（附件：二级项目绩效自评表）</w:t>
      </w:r>
    </w:p>
    <w:p>
      <w:pPr>
        <w:ind w:left="709" w:right="6860" w:firstLine="496"/>
        <w:spacing w:before="127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十四、社会保障和就业支出：反映单位在社会保障与就业方面的支出。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十五、住房保障支出：反映单位用于住房方面</w:t>
      </w:r>
      <w:r>
        <w:rPr>
          <w:rFonts w:ascii="FangSong" w:hAnsi="FangSong" w:eastAsia="FangSong" w:cs="FangSong"/>
          <w:sz w:val="25"/>
          <w:szCs w:val="25"/>
        </w:rPr>
        <w:t>的支出。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43" w:lineRule="exact"/>
        <w:rPr/>
      </w:pP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4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-41-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古县政府采购中心2023年单位决算公开报告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古县政府采购中心2023年单位决算公开报告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8" Type="http://schemas.openxmlformats.org/officeDocument/2006/relationships/fontTable" Target="fontTable.xml"/><Relationship Id="rId67" Type="http://schemas.openxmlformats.org/officeDocument/2006/relationships/styles" Target="styles.xml"/><Relationship Id="rId66" Type="http://schemas.openxmlformats.org/officeDocument/2006/relationships/settings" Target="settings.xml"/><Relationship Id="rId65" Type="http://schemas.openxmlformats.org/officeDocument/2006/relationships/image" Target="media/image22.jpeg"/><Relationship Id="rId64" Type="http://schemas.openxmlformats.org/officeDocument/2006/relationships/footer" Target="footer41.xml"/><Relationship Id="rId63" Type="http://schemas.openxmlformats.org/officeDocument/2006/relationships/image" Target="media/image21.jpeg"/><Relationship Id="rId62" Type="http://schemas.openxmlformats.org/officeDocument/2006/relationships/footer" Target="footer40.xml"/><Relationship Id="rId61" Type="http://schemas.openxmlformats.org/officeDocument/2006/relationships/image" Target="media/image20.jpeg"/><Relationship Id="rId60" Type="http://schemas.openxmlformats.org/officeDocument/2006/relationships/footer" Target="footer39.xml"/><Relationship Id="rId6" Type="http://schemas.openxmlformats.org/officeDocument/2006/relationships/footer" Target="footer5.xml"/><Relationship Id="rId59" Type="http://schemas.openxmlformats.org/officeDocument/2006/relationships/image" Target="media/image19.jpeg"/><Relationship Id="rId58" Type="http://schemas.openxmlformats.org/officeDocument/2006/relationships/footer" Target="footer38.xml"/><Relationship Id="rId57" Type="http://schemas.openxmlformats.org/officeDocument/2006/relationships/image" Target="media/image18.jpeg"/><Relationship Id="rId56" Type="http://schemas.openxmlformats.org/officeDocument/2006/relationships/footer" Target="footer37.xml"/><Relationship Id="rId55" Type="http://schemas.openxmlformats.org/officeDocument/2006/relationships/image" Target="media/image17.jpeg"/><Relationship Id="rId54" Type="http://schemas.openxmlformats.org/officeDocument/2006/relationships/footer" Target="footer36.xml"/><Relationship Id="rId53" Type="http://schemas.openxmlformats.org/officeDocument/2006/relationships/image" Target="media/image16.jpeg"/><Relationship Id="rId52" Type="http://schemas.openxmlformats.org/officeDocument/2006/relationships/footer" Target="footer35.xml"/><Relationship Id="rId51" Type="http://schemas.openxmlformats.org/officeDocument/2006/relationships/image" Target="media/image15.jpeg"/><Relationship Id="rId50" Type="http://schemas.openxmlformats.org/officeDocument/2006/relationships/footer" Target="footer34.xml"/><Relationship Id="rId5" Type="http://schemas.openxmlformats.org/officeDocument/2006/relationships/footer" Target="footer4.xml"/><Relationship Id="rId49" Type="http://schemas.openxmlformats.org/officeDocument/2006/relationships/image" Target="media/image14.jpeg"/><Relationship Id="rId48" Type="http://schemas.openxmlformats.org/officeDocument/2006/relationships/footer" Target="footer33.xml"/><Relationship Id="rId47" Type="http://schemas.openxmlformats.org/officeDocument/2006/relationships/image" Target="media/image13.jpeg"/><Relationship Id="rId46" Type="http://schemas.openxmlformats.org/officeDocument/2006/relationships/footer" Target="footer32.xml"/><Relationship Id="rId45" Type="http://schemas.openxmlformats.org/officeDocument/2006/relationships/image" Target="media/image12.jpeg"/><Relationship Id="rId44" Type="http://schemas.openxmlformats.org/officeDocument/2006/relationships/footer" Target="footer31.xml"/><Relationship Id="rId43" Type="http://schemas.openxmlformats.org/officeDocument/2006/relationships/image" Target="media/image11.jpeg"/><Relationship Id="rId42" Type="http://schemas.openxmlformats.org/officeDocument/2006/relationships/footer" Target="footer30.xml"/><Relationship Id="rId41" Type="http://schemas.openxmlformats.org/officeDocument/2006/relationships/image" Target="media/image10.jpeg"/><Relationship Id="rId40" Type="http://schemas.openxmlformats.org/officeDocument/2006/relationships/footer" Target="footer29.xml"/><Relationship Id="rId4" Type="http://schemas.openxmlformats.org/officeDocument/2006/relationships/footer" Target="footer3.xml"/><Relationship Id="rId39" Type="http://schemas.openxmlformats.org/officeDocument/2006/relationships/image" Target="media/image9.jpeg"/><Relationship Id="rId38" Type="http://schemas.openxmlformats.org/officeDocument/2006/relationships/footer" Target="footer28.xml"/><Relationship Id="rId37" Type="http://schemas.openxmlformats.org/officeDocument/2006/relationships/image" Target="media/image8.jpeg"/><Relationship Id="rId36" Type="http://schemas.openxmlformats.org/officeDocument/2006/relationships/footer" Target="footer27.xml"/><Relationship Id="rId35" Type="http://schemas.openxmlformats.org/officeDocument/2006/relationships/image" Target="media/image7.jpeg"/><Relationship Id="rId34" Type="http://schemas.openxmlformats.org/officeDocument/2006/relationships/footer" Target="footer26.xml"/><Relationship Id="rId33" Type="http://schemas.openxmlformats.org/officeDocument/2006/relationships/image" Target="media/image6.jpeg"/><Relationship Id="rId32" Type="http://schemas.openxmlformats.org/officeDocument/2006/relationships/footer" Target="footer25.xml"/><Relationship Id="rId31" Type="http://schemas.openxmlformats.org/officeDocument/2006/relationships/image" Target="media/image5.jpeg"/><Relationship Id="rId30" Type="http://schemas.openxmlformats.org/officeDocument/2006/relationships/footer" Target="footer24.xml"/><Relationship Id="rId3" Type="http://schemas.openxmlformats.org/officeDocument/2006/relationships/footer" Target="footer2.xml"/><Relationship Id="rId29" Type="http://schemas.openxmlformats.org/officeDocument/2006/relationships/image" Target="media/image4.jpeg"/><Relationship Id="rId28" Type="http://schemas.openxmlformats.org/officeDocument/2006/relationships/footer" Target="footer23.xml"/><Relationship Id="rId27" Type="http://schemas.openxmlformats.org/officeDocument/2006/relationships/image" Target="media/image3.jpeg"/><Relationship Id="rId26" Type="http://schemas.openxmlformats.org/officeDocument/2006/relationships/footer" Target="footer22.xml"/><Relationship Id="rId25" Type="http://schemas.openxmlformats.org/officeDocument/2006/relationships/image" Target="media/image2.jpeg"/><Relationship Id="rId24" Type="http://schemas.openxmlformats.org/officeDocument/2006/relationships/footer" Target="footer21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2024-09-12T11:22:19Z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2024-09-20T10:37:12</vt:filetime>
  </property>
</Properties>
</file>