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998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工 商 业</w:t>
      </w:r>
      <w:r>
        <w:rPr>
          <w:rFonts w:ascii="SimSun" w:hAnsi="SimSun" w:eastAsia="SimSun" w:cs="SimSun"/>
          <w:sz w:val="34"/>
          <w:szCs w:val="34"/>
          <w:spacing w:val="-1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联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合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450" w:firstLine="510"/>
        <w:spacing w:before="277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工商联部门主要职能：参政议政，参加国家重大经济、社会决策的协商和有关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经济政策的咨询；代表会员合法利益，沟通</w:t>
      </w:r>
      <w:r>
        <w:rPr>
          <w:rFonts w:ascii="FangSong" w:hAnsi="FangSong" w:eastAsia="FangSong" w:cs="FangSong"/>
          <w:sz w:val="25"/>
          <w:szCs w:val="25"/>
          <w:spacing w:val="1"/>
        </w:rPr>
        <w:t>会员与政府的联系；发挥广大会员的积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极性，为经济建设服务；在国家宏观调控的</w:t>
      </w:r>
      <w:r>
        <w:rPr>
          <w:rFonts w:ascii="FangSong" w:hAnsi="FangSong" w:eastAsia="FangSong" w:cs="FangSong"/>
          <w:sz w:val="25"/>
          <w:szCs w:val="25"/>
          <w:spacing w:val="1"/>
        </w:rPr>
        <w:t>方针政策指导下，发挥组织自我调节作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用；积极开展对外联络，为促进对外开放服务。</w:t>
      </w:r>
    </w:p>
    <w:p>
      <w:pPr>
        <w:ind w:left="1808"/>
        <w:spacing w:before="18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24" w:firstLine="63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古县工商业联合会2023年度部门决算由古县工商业联合会本级组成，根据主要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职责，古县工商业联合会无内设机构。</w:t>
      </w:r>
    </w:p>
    <w:p>
      <w:pPr>
        <w:spacing w:line="30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部门名称：古县工商业联合会</w:t>
            </w:r>
          </w:p>
        </w:tc>
        <w:tc>
          <w:tcPr>
            <w:tcW w:w="241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2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59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91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56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9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 w:right="40" w:firstLine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3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47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60.35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9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47.44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4" w:right="40" w:hanging="3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1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7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七、文化旅游体育与传媒支出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9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7.97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48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4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4.75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6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0.20</w:t>
            </w:r>
          </w:p>
        </w:tc>
      </w:tr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639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8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65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使用非财政拨款结余和专用结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39"/>
        <w:gridCol w:w="1175"/>
        <w:gridCol w:w="1043"/>
        <w:gridCol w:w="791"/>
        <w:gridCol w:w="887"/>
        <w:gridCol w:w="959"/>
        <w:gridCol w:w="756"/>
        <w:gridCol w:w="797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97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8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部门名称：古县工商业联合会</w:t>
            </w:r>
          </w:p>
        </w:tc>
        <w:tc>
          <w:tcPr>
            <w:tcW w:w="183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8"/>
              <w:spacing w:before="7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3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18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pStyle w:val="TableText"/>
              <w:ind w:left="1110"/>
              <w:spacing w:before="5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226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3" w:right="86" w:hanging="358"/>
              <w:spacing w:before="117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5" w:right="48" w:hanging="184"/>
              <w:spacing w:before="119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9"/>
              <w:spacing w:before="227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27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" w:right="28" w:firstLine="12"/>
              <w:spacing w:before="119" w:line="214" w:lineRule="auto"/>
              <w:rPr/>
            </w:pPr>
            <w:r>
              <w:rPr>
                <w:color w:val="212529"/>
                <w:spacing w:val="-6"/>
              </w:rPr>
              <w:t>附属单位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上缴收入</w:t>
            </w:r>
          </w:p>
        </w:tc>
        <w:tc>
          <w:tcPr>
            <w:tcW w:w="7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"/>
              <w:spacing w:before="227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0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ind w:left="109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75" w:type="dxa"/>
            <w:vAlign w:val="top"/>
          </w:tcPr>
          <w:p>
            <w:pPr>
              <w:ind w:left="53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43" w:type="dxa"/>
            <w:vAlign w:val="top"/>
          </w:tcPr>
          <w:p>
            <w:pPr>
              <w:ind w:left="46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91" w:type="dxa"/>
            <w:vAlign w:val="top"/>
          </w:tcPr>
          <w:p>
            <w:pPr>
              <w:ind w:left="33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87" w:type="dxa"/>
            <w:vAlign w:val="top"/>
          </w:tcPr>
          <w:p>
            <w:pPr>
              <w:ind w:left="384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59" w:type="dxa"/>
            <w:vAlign w:val="top"/>
          </w:tcPr>
          <w:p>
            <w:pPr>
              <w:ind w:left="422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56" w:type="dxa"/>
            <w:vAlign w:val="top"/>
          </w:tcPr>
          <w:p>
            <w:pPr>
              <w:ind w:left="32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ind w:left="340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ind w:left="1103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1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0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89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58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20128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8" w:right="52" w:firstLine="14"/>
              <w:spacing w:before="1" w:line="204" w:lineRule="auto"/>
              <w:rPr/>
            </w:pPr>
            <w:r>
              <w:rPr>
                <w:color w:val="212529"/>
                <w:spacing w:val="-5"/>
              </w:rPr>
              <w:t>民主党派及工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商联事务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89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58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2012801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7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89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58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 w:right="52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2" w:right="52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3.16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3.16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2" w:right="5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4.81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4.81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77"/>
        <w:gridCol w:w="1283"/>
        <w:gridCol w:w="1247"/>
        <w:gridCol w:w="1247"/>
        <w:gridCol w:w="1151"/>
        <w:gridCol w:w="563"/>
        <w:gridCol w:w="971"/>
        <w:gridCol w:w="977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77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1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部门名称：古县工商业联合会</w:t>
            </w:r>
          </w:p>
        </w:tc>
        <w:tc>
          <w:tcPr>
            <w:tcW w:w="239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48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913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7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3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8" w:right="113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3" w:right="50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95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411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26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47" w:type="dxa"/>
            <w:vAlign w:val="top"/>
          </w:tcPr>
          <w:p>
            <w:pPr>
              <w:ind w:left="563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51" w:type="dxa"/>
            <w:vAlign w:val="top"/>
          </w:tcPr>
          <w:p>
            <w:pPr>
              <w:ind w:left="5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63" w:type="dxa"/>
            <w:vAlign w:val="top"/>
          </w:tcPr>
          <w:p>
            <w:pPr>
              <w:ind w:left="22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71" w:type="dxa"/>
            <w:vAlign w:val="top"/>
          </w:tcPr>
          <w:p>
            <w:pPr>
              <w:ind w:left="428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77" w:type="dxa"/>
            <w:vAlign w:val="top"/>
          </w:tcPr>
          <w:p>
            <w:pPr>
              <w:ind w:left="431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75" w:line="183" w:lineRule="auto"/>
              <w:rPr/>
            </w:pPr>
            <w:r>
              <w:rPr>
                <w:color w:val="212529"/>
                <w:spacing w:val="-3"/>
              </w:rPr>
              <w:t>54.72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5.63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20128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" w:right="196" w:firstLine="14"/>
              <w:spacing w:before="1" w:line="204" w:lineRule="auto"/>
              <w:rPr/>
            </w:pPr>
            <w:r>
              <w:rPr>
                <w:color w:val="212529"/>
                <w:spacing w:val="-5"/>
              </w:rPr>
              <w:t>民主党派及工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商联事务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2012801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 w:right="196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3.16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4.81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4.81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1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部门名称：古县工商业联合会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2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12" w:type="dxa"/>
            <w:vAlign w:val="top"/>
            <w:gridSpan w:val="3"/>
          </w:tcPr>
          <w:p>
            <w:pPr>
              <w:pStyle w:val="TableText"/>
              <w:ind w:left="151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04" w:type="dxa"/>
            <w:vAlign w:val="top"/>
            <w:gridSpan w:val="6"/>
          </w:tcPr>
          <w:p>
            <w:pPr>
              <w:pStyle w:val="TableText"/>
              <w:ind w:left="260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50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726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0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0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29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27" w:type="dxa"/>
            <w:vAlign w:val="top"/>
          </w:tcPr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61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ind w:left="54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726" w:type="dxa"/>
            <w:vAlign w:val="top"/>
          </w:tcPr>
          <w:p>
            <w:pPr>
              <w:ind w:left="65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ind w:left="34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15" w:type="dxa"/>
            <w:vAlign w:val="top"/>
          </w:tcPr>
          <w:p>
            <w:pPr>
              <w:ind w:left="50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一、一般公共预算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4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19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hanging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4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 w:right="98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6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9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30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9" w:right="98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8" w:right="54" w:firstLine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17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9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5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7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2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64"/>
        <w:gridCol w:w="2781"/>
        <w:gridCol w:w="1559"/>
        <w:gridCol w:w="1415"/>
        <w:gridCol w:w="139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6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79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645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部门名称：古县工商业联合会</w:t>
            </w:r>
          </w:p>
        </w:tc>
        <w:tc>
          <w:tcPr>
            <w:tcW w:w="1559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6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15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36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645" w:type="dxa"/>
            <w:vAlign w:val="top"/>
            <w:gridSpan w:val="2"/>
          </w:tcPr>
          <w:p>
            <w:pPr>
              <w:ind w:left="212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371" w:type="dxa"/>
            <w:vAlign w:val="top"/>
            <w:gridSpan w:val="3"/>
          </w:tcPr>
          <w:p>
            <w:pPr>
              <w:ind w:left="1804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64" w:type="dxa"/>
            <w:vAlign w:val="top"/>
          </w:tcPr>
          <w:p>
            <w:pPr>
              <w:ind w:left="54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81" w:type="dxa"/>
            <w:vAlign w:val="top"/>
          </w:tcPr>
          <w:p>
            <w:pPr>
              <w:ind w:left="1007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59" w:type="dxa"/>
            <w:vAlign w:val="top"/>
          </w:tcPr>
          <w:p>
            <w:pPr>
              <w:ind w:left="580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15" w:type="dxa"/>
            <w:vAlign w:val="top"/>
          </w:tcPr>
          <w:p>
            <w:pPr>
              <w:ind w:left="332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97" w:type="dxa"/>
            <w:vAlign w:val="top"/>
          </w:tcPr>
          <w:p>
            <w:pPr>
              <w:ind w:left="31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645" w:type="dxa"/>
            <w:vAlign w:val="top"/>
            <w:gridSpan w:val="2"/>
          </w:tcPr>
          <w:p>
            <w:pPr>
              <w:ind w:left="2119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730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649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63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5" w:hRule="atLeast"/>
        </w:trPr>
        <w:tc>
          <w:tcPr>
            <w:tcW w:w="4645" w:type="dxa"/>
            <w:vAlign w:val="top"/>
            <w:gridSpan w:val="2"/>
          </w:tcPr>
          <w:p>
            <w:pPr>
              <w:pStyle w:val="TableText"/>
              <w:ind w:left="2128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9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60.35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54.72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5.63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6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20128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23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民主党派及工商联事务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6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2012801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8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6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47.44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7.97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3.16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20" w:right="73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4.81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4.81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4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4.75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6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6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6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部门名称：古县工商业联合会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12.67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6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48.04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6.68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部门名称：古县工商业联合会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部门名称：古县工商业联合会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部门名称：古县工商业联合会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72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4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6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78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单位名称：古县工商业联合会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0.22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0.22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6.68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2023年度收入总计60.35万元，支出总计60.3</w:t>
      </w:r>
      <w:r>
        <w:rPr>
          <w:rFonts w:ascii="FangSong" w:hAnsi="FangSong" w:eastAsia="FangSong" w:cs="FangSong"/>
          <w:sz w:val="25"/>
          <w:szCs w:val="25"/>
          <w:spacing w:val="1"/>
        </w:rPr>
        <w:t>5万元。与上年相比，收入总计减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少2.69万元，下降4.26%，支出总计减</w:t>
      </w:r>
      <w:r>
        <w:rPr>
          <w:rFonts w:ascii="FangSong" w:hAnsi="FangSong" w:eastAsia="FangSong" w:cs="FangSong"/>
          <w:sz w:val="25"/>
          <w:szCs w:val="25"/>
          <w:spacing w:val="1"/>
        </w:rPr>
        <w:t>少2.69万元，下降4.26%。主要原因是本年度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比上年度减少了换届、招商业务费。</w:t>
      </w:r>
    </w:p>
    <w:p>
      <w:pPr>
        <w:ind w:left="18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2023年度收入合计60.35万元，其中：</w:t>
      </w:r>
    </w:p>
    <w:p>
      <w:pPr>
        <w:ind w:left="1812" w:right="553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财政拨款收入60.35万元，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</w:t>
      </w:r>
      <w:r>
        <w:rPr>
          <w:rFonts w:ascii="FangSong" w:hAnsi="FangSong" w:eastAsia="FangSong" w:cs="FangSong"/>
          <w:sz w:val="25"/>
          <w:szCs w:val="25"/>
          <w:spacing w:val="-5"/>
        </w:rPr>
        <w:t>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91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2023年度支出合计60.35万元，其中：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基本支出54.72万元，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占比90.67%；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项目支出5.63万元，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占比9.33%；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298" w:right="1318" w:firstLine="508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2023年度财政拨款收入总计60.35万元，支出总计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60.35万元。与上年相比，财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政拨款收入总计减少2.69万元，下降4.26%；财政拨</w:t>
      </w:r>
      <w:r>
        <w:rPr>
          <w:rFonts w:ascii="FangSong" w:hAnsi="FangSong" w:eastAsia="FangSong" w:cs="FangSong"/>
          <w:sz w:val="25"/>
          <w:szCs w:val="25"/>
          <w:spacing w:val="1"/>
        </w:rPr>
        <w:t>款支出总计减少2.69万元，下降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4.26%。主要原因是本年度比上年度减少了换届业务费。</w:t>
      </w:r>
    </w:p>
    <w:p>
      <w:pPr>
        <w:ind w:left="18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2023年一般公共预算财政拨款决算支出60.35万元，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438" w:firstLine="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100.01%。与上年相比，一般公共预算财政拨款支出减少2.69万元，下降4.26%。主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要原因是本年度比上年度减少了换届业务费。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388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2023年度一般公共预算财政拨款支出60.35万元，主要</w:t>
      </w:r>
      <w:r>
        <w:rPr>
          <w:rFonts w:ascii="FangSong" w:hAnsi="FangSong" w:eastAsia="FangSong" w:cs="FangSong"/>
          <w:sz w:val="25"/>
          <w:szCs w:val="25"/>
          <w:spacing w:val="-1"/>
        </w:rPr>
        <w:t>用于以下方面：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一般公共服务支出(类)47.44万元，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占比78.60%；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社会保障和就业支出(类)7.97万元，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占比13.21%；</w:t>
      </w:r>
    </w:p>
    <w:p>
      <w:pPr>
        <w:spacing w:line="222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412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住房保障支出(类)4.75万元，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占比7.87%；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其他支出(类)0.20万元，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占比0.33%。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69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2023年度一般公共预算财政拨款支出年</w:t>
      </w:r>
      <w:r>
        <w:rPr>
          <w:rFonts w:ascii="FangSong" w:hAnsi="FangSong" w:eastAsia="FangSong" w:cs="FangSong"/>
          <w:sz w:val="25"/>
          <w:szCs w:val="25"/>
          <w:spacing w:val="1"/>
        </w:rPr>
        <w:t>初预算57.64万元，支出决算60.35万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元，完成年初预算的104.71%。其中：</w:t>
      </w:r>
    </w:p>
    <w:p>
      <w:pPr>
        <w:ind w:left="1815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一般公共服务支出年初预算46.5万元，支出决算47.44万元，完成年初预算的</w:t>
      </w:r>
    </w:p>
    <w:p>
      <w:pPr>
        <w:ind w:left="1306" w:right="1324" w:firstLine="10"/>
        <w:spacing w:before="133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102%，用于人员工资、社保缴费、公务员交通补助、工会福利、</w:t>
      </w:r>
      <w:r>
        <w:rPr>
          <w:rFonts w:ascii="FangSong" w:hAnsi="FangSong" w:eastAsia="FangSong" w:cs="FangSong"/>
          <w:sz w:val="25"/>
          <w:szCs w:val="25"/>
          <w:spacing w:val="-4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日常公用、业务费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等支出，较上年决算减少5.37万元，减少10.16%，主要原因是本年度比上年度减少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了换届、招商业务费支出；社会保障和就业支出年初预算6.9万元，支出决算7.97万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元，完成年初预算的115.5%，用于在职人员的养老保险缴费、退休人员取暖费、退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休绩效补贴，较上年决算增加2.42万元，增加43.6%，主要原因是本年度增加了退休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人员绩效补贴；住房保障支出年初预算4.24万元，支出决算4.75万元，完成年初预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算的112%，用于在职人员的住房公积金支出，较上年决算增加0.56万元，增加</w:t>
      </w:r>
    </w:p>
    <w:p>
      <w:pPr>
        <w:ind w:left="1306" w:right="1324" w:firstLine="11"/>
        <w:spacing w:before="45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13.3%，主要原因是本年度人员调整住房公积金增加；其他支出年初预算0元，支出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决算0.2万元，完成年初预算的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用于年度目标责</w:t>
      </w:r>
      <w:r>
        <w:rPr>
          <w:rFonts w:ascii="FangSong" w:hAnsi="FangSong" w:eastAsia="FangSong" w:cs="FangSong"/>
          <w:sz w:val="25"/>
          <w:szCs w:val="25"/>
        </w:rPr>
        <w:t>任考核奖支出，较上年决算增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加</w:t>
      </w:r>
      <w:r>
        <w:rPr>
          <w:rFonts w:ascii="FangSong" w:hAnsi="FangSong" w:eastAsia="FangSong" w:cs="FangSong"/>
          <w:sz w:val="25"/>
          <w:szCs w:val="25"/>
          <w:spacing w:val="-9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∞%，主要原因是本年度增加了年度目标责任考核奖支出。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2023年度财政拨款基本支出54.72万元，其中：</w:t>
      </w:r>
    </w:p>
    <w:p>
      <w:pPr>
        <w:ind w:left="1314" w:right="1318" w:firstLine="500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人员经费48.04万元，主要包括人员基本工资、津贴、社保缴费、公积金、退休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费等；</w:t>
      </w:r>
    </w:p>
    <w:p>
      <w:pPr>
        <w:ind w:left="1320" w:right="1450" w:firstLine="495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公用经费6.68万元，主要包括公务员交通补助、在职人员工会费、福利费、</w:t>
      </w:r>
      <w:r>
        <w:rPr>
          <w:rFonts w:ascii="FangSong" w:hAnsi="FangSong" w:eastAsia="FangSong" w:cs="FangSong"/>
          <w:sz w:val="25"/>
          <w:szCs w:val="25"/>
          <w:spacing w:val="-4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常办公经费等。</w:t>
      </w:r>
    </w:p>
    <w:p>
      <w:pPr>
        <w:ind w:left="1797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spacing w:line="303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07" w:right="1570" w:firstLine="508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位无公务用车购置。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车，主要用于：我单位无公务用车。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无公务接待；国（境）外接待费0万元，共接待国（境）外0批次，0人</w:t>
      </w:r>
      <w:r>
        <w:rPr>
          <w:rFonts w:ascii="FangSong" w:hAnsi="FangSong" w:eastAsia="FangSong" w:cs="FangSong"/>
          <w:sz w:val="25"/>
          <w:szCs w:val="25"/>
          <w:spacing w:val="1"/>
        </w:rPr>
        <w:t>次，主要是我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单位无国（境）外接待。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50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2023年机关运行经费支出6.68万元，比2022年增加0.46万元，增长7.4%，主要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原因人员调整，工会福利费增加。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450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2023年度政府采购支出总额0.22万元，其中：政府采购货物支出0.22万元、政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1308" w:right="1438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323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根据预算绩效管理要求，一是组织对2023年度年初预算安排的所有项目资金全面开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展了绩效自评，涉及二级项目3个，资金5.63万元，其中一般公共预算项目支出5.63</w:t>
      </w:r>
    </w:p>
    <w:p>
      <w:pPr>
        <w:spacing w:line="304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4" w:lineRule="auto"/>
        <w:rPr/>
      </w:pPr>
      <w:r/>
    </w:p>
    <w:p>
      <w:pPr>
        <w:ind w:left="1306" w:right="1324" w:firstLine="2"/>
        <w:spacing w:before="82" w:line="315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万元、政府性基金预算项目支出0万元、国有资金经营预算项目支出0万元、社会保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自评结果为：3个项目自评等级为“优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”，0个项目自评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等级为“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</w:t>
      </w:r>
      <w:r>
        <w:rPr>
          <w:rFonts w:ascii="FangSong" w:hAnsi="FangSong" w:eastAsia="FangSong" w:cs="FangSong"/>
          <w:sz w:val="25"/>
          <w:szCs w:val="25"/>
          <w:spacing w:val="-5"/>
        </w:rPr>
        <w:t>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”。无自评结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5"/>
        </w:rPr>
        <w:t>果为“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”的项目。二是组织对“补充业务费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”“</w:t>
      </w:r>
      <w:r>
        <w:rPr>
          <w:rFonts w:ascii="FangSong" w:hAnsi="FangSong" w:eastAsia="FangSong" w:cs="FangSong"/>
          <w:sz w:val="25"/>
          <w:szCs w:val="25"/>
          <w:spacing w:val="-9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劳务派遣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”等2个项目开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展了部门评价，涉及资金5.3万元，其中一般公共预算支出5.3万元、政府性基金预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算支出0万元、国有资金经营预算支出0万元、社会保险基金预算支出0万元。从评价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结果来看，1.补充业务费项目绩效自评得分100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分，项目预算数2.9万元，执行数</w:t>
      </w:r>
    </w:p>
    <w:p>
      <w:pPr>
        <w:ind w:left="1302" w:right="1324"/>
        <w:spacing w:before="39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2.9万元，预算执行率100%，完成了全</w:t>
      </w:r>
      <w:r>
        <w:rPr>
          <w:rFonts w:ascii="FangSong" w:hAnsi="FangSong" w:eastAsia="FangSong" w:cs="FangSong"/>
          <w:sz w:val="25"/>
          <w:szCs w:val="25"/>
          <w:spacing w:val="1"/>
        </w:rPr>
        <w:t>县非公经济健康发展和非公经济人士健康成长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的绩效目标；产出情况及分析：工商联本部门2</w:t>
      </w:r>
      <w:r>
        <w:rPr>
          <w:rFonts w:ascii="FangSong" w:hAnsi="FangSong" w:eastAsia="FangSong" w:cs="FangSong"/>
          <w:sz w:val="25"/>
          <w:szCs w:val="25"/>
          <w:spacing w:val="1"/>
        </w:rPr>
        <w:t>023年度完成了上级部门部署的各项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目标工作任务，服务民营企业水平不断提高，履职效</w:t>
      </w:r>
      <w:r>
        <w:rPr>
          <w:rFonts w:ascii="FangSong" w:hAnsi="FangSong" w:eastAsia="FangSong" w:cs="FangSong"/>
          <w:sz w:val="25"/>
          <w:szCs w:val="25"/>
          <w:spacing w:val="1"/>
        </w:rPr>
        <w:t>果良好；社会满意度情况及分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析：通过对服务对象发放调查问卷，服务对象满意</w:t>
      </w:r>
      <w:r>
        <w:rPr>
          <w:rFonts w:ascii="FangSong" w:hAnsi="FangSong" w:eastAsia="FangSong" w:cs="FangSong"/>
          <w:sz w:val="25"/>
          <w:szCs w:val="25"/>
          <w:spacing w:val="1"/>
        </w:rPr>
        <w:t>度90%以上，产生社会效益良好。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2.劳务派遣项目绩效自评得分100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分，项目预算数2.4万元，执行数2.4万元，预算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执行率100%，完成了发放1名劳务派遣人员</w:t>
      </w:r>
      <w:r>
        <w:rPr>
          <w:rFonts w:ascii="FangSong" w:hAnsi="FangSong" w:eastAsia="FangSong" w:cs="FangSong"/>
          <w:sz w:val="25"/>
          <w:szCs w:val="25"/>
          <w:spacing w:val="1"/>
        </w:rPr>
        <w:t>工资发放，保障工作的正常开展，劳务派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遣人员的满意度较高。</w:t>
      </w:r>
    </w:p>
    <w:p>
      <w:pPr>
        <w:ind w:left="1317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09" w:right="7374" w:firstLine="496"/>
        <w:spacing w:before="12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15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十三、一般公共服务支出：</w:t>
      </w:r>
    </w:p>
    <w:p>
      <w:pPr>
        <w:ind w:left="1307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反映政府提供一般公共服务的支出。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十四、社会保障和就业支出：</w:t>
      </w:r>
    </w:p>
    <w:p>
      <w:pPr>
        <w:ind w:left="1307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反映政府在社会保障与就业方面的支出。</w:t>
      </w:r>
    </w:p>
    <w:p>
      <w:pPr>
        <w:spacing w:line="221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3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十五、住房保障支出：</w:t>
      </w:r>
    </w:p>
    <w:p>
      <w:pPr>
        <w:ind w:left="1307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集中反映政府用于住房方面的支出。</w:t>
      </w:r>
    </w:p>
    <w:p>
      <w:pPr>
        <w:ind w:left="1313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十六、其他支出：</w:t>
      </w:r>
    </w:p>
    <w:p>
      <w:pPr>
        <w:ind w:left="130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反映不能划分到上述功能科目的其他政府支出。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4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6" style="position:absolute;margin-left:86.92pt;margin-top:44.1055pt;mso-position-vertical-relative:page;mso-position-horizontal-relative:page;width:119.4pt;height:18.8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68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493.28pt;margin-top:483.186pt;mso-position-vertical-relative:text;mso-position-horizontal-relative:text;width:99.4pt;height:18.7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2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6" style="position:absolute;margin-left:493.28pt;margin-top:49.1801pt;mso-position-vertical-relative:page;mso-position-horizontal-relative:page;width:99.4pt;height:18.7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8" style="position:absolute;margin-left:86.92pt;margin-top:44.1055pt;mso-position-vertical-relative:page;mso-position-horizontal-relative:page;width:119.4pt;height:18.8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80" style="position:absolute;margin-left:86.92pt;margin-top:478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493.28pt;margin-top:483.186pt;mso-position-vertical-relative:text;mso-position-horizontal-relative:text;width:99.4pt;height:18.7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84" style="position:absolute;margin-left:-13.08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8" style="position:absolute;margin-left:493.28pt;margin-top:49.1801pt;mso-position-vertical-relative:page;mso-position-horizontal-relative:page;width:99.4pt;height:18.7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0" style="position:absolute;margin-left:86.92pt;margin-top:44.1055pt;mso-position-vertical-relative:page;mso-position-horizontal-relative:page;width:119.4pt;height:18.8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92" style="position:absolute;margin-left:493.28pt;margin-top:483.186pt;mso-position-vertical-relative:text;mso-position-horizontal-relative:text;width:99.4pt;height:18.7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4" style="position:absolute;margin-left:391.92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86.92pt;margin-top:478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-13.08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0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0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391.92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2" style="position:absolute;margin-left:86.92pt;margin-top:44.1055pt;mso-position-vertical-relative:page;mso-position-horizontal-relative:page;width:119.4pt;height:18.85pt;z-index:251715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493.28pt;margin-top:49.1801pt;mso-position-vertical-relative:page;mso-position-horizontal-relative:page;width:99.4pt;height:18.7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16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-13.08pt;margin-top:234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4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28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391.92pt;margin-top:234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86.92pt;margin-top:478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6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40" style="position:absolute;margin-left:391.92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86.92pt;margin-top:478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-13.08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8" style="position:absolute;margin-left:493.28pt;margin-top:49.1801pt;mso-position-vertical-relative:page;mso-position-horizontal-relative:page;width:99.4pt;height:18.7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0" style="position:absolute;margin-left:86.92pt;margin-top:44.1055pt;mso-position-vertical-relative:page;mso-position-horizontal-relative:page;width:119.4pt;height:18.8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52" style="position:absolute;margin-left:391.92pt;margin-top:234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86.92pt;margin-top:478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-13.08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0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64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2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4" style="position:absolute;margin-left:86.92pt;margin-top:44.1055pt;mso-position-vertical-relative:page;mso-position-horizontal-relative:page;width:119.4pt;height:18.8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76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86.92pt;margin-top:478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83.186pt;mso-position-vertical-relative:text;mso-position-horizontal-relative:text;width:99.4pt;height:18.7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2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4" style="position:absolute;margin-left:493.28pt;margin-top:49.1801pt;mso-position-vertical-relative:page;mso-position-horizontal-relative:page;width:99.4pt;height:18.7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6" style="position:absolute;margin-left:86.92pt;margin-top:44.1055pt;mso-position-vertical-relative:page;mso-position-horizontal-relative:page;width:119.4pt;height:18.8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88" style="position:absolute;margin-left:-13.08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391.92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6" style="position:absolute;margin-left:86.92pt;margin-top:44.1055pt;mso-position-vertical-relative:page;mso-position-horizontal-relative:page;width:119.4pt;height:18.8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493.28pt;margin-top:49.1801pt;mso-position-vertical-relative:page;mso-position-horizontal-relative:page;width:99.4pt;height:18.7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00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493.28pt;margin-top:483.186pt;mso-position-vertical-relative:text;mso-position-horizontal-relative:text;width:99.4pt;height:18.7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86.92pt;margin-top:478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8" style="position:absolute;margin-left:493.28pt;margin-top:49.1801pt;mso-position-vertical-relative:page;mso-position-horizontal-relative:page;width:99.4pt;height:18.75pt;z-index:251764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0" style="position:absolute;margin-left:86.92pt;margin-top:44.1055pt;mso-position-vertical-relative:page;mso-position-horizontal-relative:page;width:119.4pt;height:18.8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12" style="position:absolute;margin-left:391.92pt;margin-top:234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-13.08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8" style="position:absolute;margin-left:86.92pt;margin-top:478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0" style="position:absolute;margin-left:493.28pt;margin-top:49.1801pt;mso-position-vertical-relative:page;mso-position-horizontal-relative:page;width:99.4pt;height:18.75pt;z-index:251770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2" style="position:absolute;margin-left:86.92pt;margin-top:44.1055pt;mso-position-vertical-relative:page;mso-position-horizontal-relative:page;width:119.4pt;height:18.8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24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86.92pt;margin-top:478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-13.08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4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86.92pt;margin-top:532.106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288.105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68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12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287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638.92pt;margin-top:45.1055pt;mso-position-vertical-relative:page;mso-position-horizontal-relative:page;width:119.4pt;height:18.8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-45.0434pt;margin-top:406.395pt;mso-position-vertical-relative:page;mso-position-horizontal-relative:page;width:60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40" style="position:absolute;margin-left:282.314pt;margin-top:411.399pt;mso-position-vertical-relative:page;mso-position-horizontal-relative:page;width:589.35pt;height:22.2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2" style="position:absolute;margin-left:638.92pt;margin-top:529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4" style="position:absolute;margin-left:-13.08pt;margin-top:27.2223pt;mso-position-vertical-relative:text;mso-position-horizontal-relative:text;width:119.4pt;height:18.85pt;z-index:2517411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312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86.92pt;margin-top:287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638.92pt;margin-top:45.1055pt;mso-position-vertical-relative:page;mso-position-horizontal-relative:page;width:119.4pt;height:18.8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45.0434pt;margin-top:406.395pt;mso-position-vertical-relative:page;mso-position-horizontal-relative:page;width:60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282.314pt;margin-top:411.399pt;mso-position-vertical-relative:page;mso-position-horizontal-relative:page;width:589.35pt;height:22.2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6" style="position:absolute;margin-left:638.92pt;margin-top:529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-13.08pt;margin-top:27.2223pt;mso-position-vertical-relative:text;mso-position-horizontal-relative:text;width:119.4pt;height:18.85pt;z-index:2517544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312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86.92pt;margin-top:287.106pt;mso-position-vertical-relative:page;mso-position-horizontal-relative:page;width:119.4pt;height:18.8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638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45.0434pt;margin-top:406.395pt;mso-position-vertical-relative:page;mso-position-horizontal-relative:page;width:609.35pt;height:22.2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68" style="position:absolute;margin-left:282.314pt;margin-top:411.399pt;mso-position-vertical-relative:page;mso-position-horizontal-relative:page;width:58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0" style="position:absolute;margin-left:638.92pt;margin-top:529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26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00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03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16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古县工商业联合会2023年部门决算公开报告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8" Type="http://schemas.openxmlformats.org/officeDocument/2006/relationships/fontTable" Target="fontTable.xml"/><Relationship Id="rId67" Type="http://schemas.openxmlformats.org/officeDocument/2006/relationships/styles" Target="styles.xml"/><Relationship Id="rId66" Type="http://schemas.openxmlformats.org/officeDocument/2006/relationships/settings" Target="settings.xml"/><Relationship Id="rId65" Type="http://schemas.openxmlformats.org/officeDocument/2006/relationships/image" Target="media/image14.jpeg"/><Relationship Id="rId64" Type="http://schemas.openxmlformats.org/officeDocument/2006/relationships/footer" Target="footer34.xml"/><Relationship Id="rId63" Type="http://schemas.openxmlformats.org/officeDocument/2006/relationships/image" Target="media/image13.jpeg"/><Relationship Id="rId62" Type="http://schemas.openxmlformats.org/officeDocument/2006/relationships/footer" Target="footer33.xml"/><Relationship Id="rId61" Type="http://schemas.openxmlformats.org/officeDocument/2006/relationships/image" Target="media/image12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11.jpeg"/><Relationship Id="rId58" Type="http://schemas.openxmlformats.org/officeDocument/2006/relationships/footer" Target="footer31.xml"/><Relationship Id="rId57" Type="http://schemas.openxmlformats.org/officeDocument/2006/relationships/image" Target="media/image10.jpeg"/><Relationship Id="rId56" Type="http://schemas.openxmlformats.org/officeDocument/2006/relationships/footer" Target="footer30.xml"/><Relationship Id="rId55" Type="http://schemas.openxmlformats.org/officeDocument/2006/relationships/image" Target="media/image9.jpeg"/><Relationship Id="rId54" Type="http://schemas.openxmlformats.org/officeDocument/2006/relationships/footer" Target="footer29.xml"/><Relationship Id="rId53" Type="http://schemas.openxmlformats.org/officeDocument/2006/relationships/image" Target="media/image8.jpeg"/><Relationship Id="rId52" Type="http://schemas.openxmlformats.org/officeDocument/2006/relationships/footer" Target="footer2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header" Target="header12.xml"/><Relationship Id="rId24" Type="http://schemas.openxmlformats.org/officeDocument/2006/relationships/footer" Target="footer13.xml"/><Relationship Id="rId23" Type="http://schemas.openxmlformats.org/officeDocument/2006/relationships/header" Target="header11.xml"/><Relationship Id="rId22" Type="http://schemas.openxmlformats.org/officeDocument/2006/relationships/footer" Target="footer12.xml"/><Relationship Id="rId21" Type="http://schemas.openxmlformats.org/officeDocument/2006/relationships/footer" Target="foot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" Type="http://schemas.openxmlformats.org/officeDocument/2006/relationships/header" Target="head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2024-09-19T15:52:10Z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2024-09-20T10:15:45</vt:filetime>
  </property>
</Properties>
</file>