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1967"/>
        <w:spacing w:before="111" w:line="217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0"/>
        </w:rPr>
        <w:t>古 县 南 垣 乡 中 心</w:t>
      </w:r>
      <w:r>
        <w:rPr>
          <w:rFonts w:ascii="SimSun" w:hAnsi="SimSun" w:eastAsia="SimSun" w:cs="SimSun"/>
          <w:sz w:val="34"/>
          <w:szCs w:val="34"/>
          <w:spacing w:val="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0"/>
        </w:rPr>
        <w:t>学 校</w:t>
      </w:r>
    </w:p>
    <w:p>
      <w:pPr>
        <w:pStyle w:val="BodyText"/>
        <w:spacing w:line="319" w:lineRule="auto"/>
        <w:rPr/>
      </w:pPr>
      <w:r/>
    </w:p>
    <w:p>
      <w:pPr>
        <w:pStyle w:val="BodyText"/>
        <w:spacing w:line="320" w:lineRule="auto"/>
        <w:rPr/>
      </w:pPr>
      <w:r/>
    </w:p>
    <w:p>
      <w:pPr>
        <w:ind w:left="1491"/>
        <w:spacing w:before="110" w:line="217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1"/>
        </w:rPr>
        <w:t>2 0 2 3</w:t>
      </w:r>
      <w:r>
        <w:rPr>
          <w:rFonts w:ascii="SimSun" w:hAnsi="SimSun" w:eastAsia="SimSun" w:cs="SimSun"/>
          <w:sz w:val="34"/>
          <w:szCs w:val="34"/>
          <w:spacing w:val="-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年 度</w:t>
      </w:r>
      <w:r>
        <w:rPr>
          <w:rFonts w:ascii="SimSun" w:hAnsi="SimSun" w:eastAsia="SimSun" w:cs="SimSun"/>
          <w:sz w:val="34"/>
          <w:szCs w:val="34"/>
          <w:spacing w:val="-8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单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位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决</w:t>
      </w:r>
      <w:r>
        <w:rPr>
          <w:rFonts w:ascii="SimSun" w:hAnsi="SimSun" w:eastAsia="SimSun" w:cs="SimSun"/>
          <w:sz w:val="34"/>
          <w:szCs w:val="34"/>
          <w:spacing w:val="-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20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6" w:right="811" w:firstLine="635"/>
        <w:spacing w:before="275" w:line="313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古县南垣乡中心学校位于古县南垣乡陈香村，属于全额事业单位，主管部门古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县教育局，单位主要职能是贯彻执行党和国</w:t>
      </w:r>
      <w:r>
        <w:rPr>
          <w:rFonts w:ascii="FangSong" w:hAnsi="FangSong" w:eastAsia="FangSong" w:cs="FangSong"/>
          <w:sz w:val="25"/>
          <w:szCs w:val="25"/>
          <w:spacing w:val="1"/>
        </w:rPr>
        <w:t>家的教育方针、政策和法律及有关规章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制度，保障学生平等权益、促进学生全面发</w:t>
      </w:r>
      <w:r>
        <w:rPr>
          <w:rFonts w:ascii="FangSong" w:hAnsi="FangSong" w:eastAsia="FangSong" w:cs="FangSong"/>
          <w:sz w:val="25"/>
          <w:szCs w:val="25"/>
          <w:spacing w:val="1"/>
        </w:rPr>
        <w:t>展、引领教师专业进步、提升教育教学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水平、营造和谐美丽环境保护资产的安全和</w:t>
      </w:r>
      <w:r>
        <w:rPr>
          <w:rFonts w:ascii="FangSong" w:hAnsi="FangSong" w:eastAsia="FangSong" w:cs="FangSong"/>
          <w:sz w:val="25"/>
          <w:szCs w:val="25"/>
          <w:spacing w:val="1"/>
        </w:rPr>
        <w:t>完整，保证会计资料和资产清查资料的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真实、合法、准确和完整。</w:t>
      </w:r>
    </w:p>
    <w:p>
      <w:pPr>
        <w:ind w:left="1208"/>
        <w:spacing w:before="184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095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古县南垣乡中心学校为古县教育科技局下属事业单</w:t>
      </w:r>
      <w:r>
        <w:rPr>
          <w:rFonts w:ascii="FangSong" w:hAnsi="FangSong" w:eastAsia="FangSong" w:cs="FangSong"/>
          <w:sz w:val="25"/>
          <w:szCs w:val="25"/>
          <w:spacing w:val="1"/>
        </w:rPr>
        <w:t>位,无内设机构.</w:t>
      </w:r>
    </w:p>
    <w:p>
      <w:pPr>
        <w:spacing w:line="222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部门名称：古县南垣乡中心学校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109"/>
              <w:spacing w:before="154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1,101.64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03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773.19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01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263.97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2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64.48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1,101.64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1,101.64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1,101.64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1,101.64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49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4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部门名称：古县南垣乡中心学校</w:t>
            </w:r>
          </w:p>
        </w:tc>
        <w:tc>
          <w:tcPr>
            <w:tcW w:w="200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8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pStyle w:val="TableText"/>
              <w:ind w:left="1038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2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3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2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1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 w:right="116" w:hanging="178"/>
              <w:spacing w:before="200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8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4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ind w:left="1027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79" w:type="dxa"/>
            <w:vAlign w:val="top"/>
          </w:tcPr>
          <w:p>
            <w:pPr>
              <w:ind w:left="63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69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ind w:left="29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ind w:left="316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ind w:left="1031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1,101.64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1,101.64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7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6"/>
              <w:spacing w:before="59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773.19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773.19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7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/>
              <w:spacing w:before="59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773.19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773.19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2050201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8"/>
              <w:spacing w:before="59" w:line="219" w:lineRule="auto"/>
              <w:rPr/>
            </w:pPr>
            <w:r>
              <w:rPr>
                <w:color w:val="212529"/>
                <w:spacing w:val="-3"/>
              </w:rPr>
              <w:t>学前教育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86" w:line="184" w:lineRule="auto"/>
              <w:rPr/>
            </w:pPr>
            <w:r>
              <w:rPr>
                <w:color w:val="212529"/>
                <w:spacing w:val="-5"/>
              </w:rPr>
              <w:t>11.02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86" w:line="184" w:lineRule="auto"/>
              <w:rPr/>
            </w:pPr>
            <w:r>
              <w:rPr>
                <w:color w:val="212529"/>
                <w:spacing w:val="-5"/>
              </w:rPr>
              <w:t>11.02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9"/>
              <w:spacing w:before="59" w:line="219" w:lineRule="auto"/>
              <w:rPr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663.16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663.16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1" w:right="148" w:hanging="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其他普通教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6"/>
              </w:rPr>
              <w:t>育支出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4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99.01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99.01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263.97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263.97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2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194.83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194.83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126" w:line="184" w:lineRule="auto"/>
              <w:rPr/>
            </w:pPr>
            <w:r>
              <w:rPr>
                <w:color w:val="212529"/>
                <w:spacing w:val="-3"/>
              </w:rPr>
              <w:t>73.12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9"/>
              <w:spacing w:before="126" w:line="184" w:lineRule="auto"/>
              <w:rPr/>
            </w:pPr>
            <w:r>
              <w:rPr>
                <w:color w:val="212529"/>
                <w:spacing w:val="-3"/>
              </w:rPr>
              <w:t>73.12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7"/>
              <w:spacing w:before="58" w:line="184" w:lineRule="auto"/>
              <w:rPr/>
            </w:pPr>
            <w:r>
              <w:rPr>
                <w:color w:val="212529"/>
                <w:spacing w:val="-3"/>
              </w:rPr>
              <w:t>59.81</w:t>
            </w:r>
          </w:p>
        </w:tc>
        <w:tc>
          <w:tcPr>
            <w:tcW w:w="125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8"/>
              <w:spacing w:before="58" w:line="184" w:lineRule="auto"/>
              <w:rPr/>
            </w:pPr>
            <w:r>
              <w:rPr>
                <w:color w:val="212529"/>
                <w:spacing w:val="-3"/>
              </w:rPr>
              <w:t>59.81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" w:right="148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5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61.90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61.90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"/>
              <w:spacing w:before="66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5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6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5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7" w:line="201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5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5"/>
              <w:spacing w:before="132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132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5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93"/>
        <w:gridCol w:w="1199"/>
        <w:gridCol w:w="1451"/>
        <w:gridCol w:w="1259"/>
        <w:gridCol w:w="1259"/>
        <w:gridCol w:w="527"/>
        <w:gridCol w:w="911"/>
        <w:gridCol w:w="917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17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14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部门名称：古县南垣乡中心学校</w:t>
            </w:r>
          </w:p>
        </w:tc>
        <w:tc>
          <w:tcPr>
            <w:tcW w:w="251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2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93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692" w:type="dxa"/>
            <w:vAlign w:val="top"/>
            <w:gridSpan w:val="2"/>
          </w:tcPr>
          <w:p>
            <w:pPr>
              <w:ind w:left="1143"/>
              <w:spacing w:before="75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8"/>
              <w:spacing w:before="2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3"/>
              <w:spacing w:before="214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7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" w:right="95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3"/>
              <w:spacing w:before="10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74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65"/>
              <w:spacing w:line="214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369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20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692" w:type="dxa"/>
            <w:vAlign w:val="top"/>
            <w:gridSpan w:val="2"/>
          </w:tcPr>
          <w:p>
            <w:pPr>
              <w:pStyle w:val="TableText"/>
              <w:ind w:left="1149"/>
              <w:spacing w:before="4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51" w:type="dxa"/>
            <w:vAlign w:val="top"/>
          </w:tcPr>
          <w:p>
            <w:pPr>
              <w:ind w:left="671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69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59" w:type="dxa"/>
            <w:vAlign w:val="top"/>
          </w:tcPr>
          <w:p>
            <w:pPr>
              <w:ind w:left="570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11" w:type="dxa"/>
            <w:vAlign w:val="top"/>
          </w:tcPr>
          <w:p>
            <w:pPr>
              <w:ind w:left="398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17" w:type="dxa"/>
            <w:vAlign w:val="top"/>
          </w:tcPr>
          <w:p>
            <w:pPr>
              <w:ind w:left="401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692" w:type="dxa"/>
            <w:vAlign w:val="top"/>
            <w:gridSpan w:val="2"/>
          </w:tcPr>
          <w:p>
            <w:pPr>
              <w:pStyle w:val="TableText"/>
              <w:ind w:left="1150"/>
              <w:spacing w:before="4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1,101.64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881.24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220.40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6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773.19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552.80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220.40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/>
              <w:spacing w:before="47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773.19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552.80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220.40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2050201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8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学前教育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74" w:line="184" w:lineRule="auto"/>
              <w:rPr/>
            </w:pPr>
            <w:r>
              <w:rPr>
                <w:color w:val="212529"/>
                <w:spacing w:val="-5"/>
              </w:rPr>
              <w:t>11.02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90"/>
              <w:spacing w:before="74" w:line="184" w:lineRule="auto"/>
              <w:rPr/>
            </w:pPr>
            <w:r>
              <w:rPr>
                <w:color w:val="212529"/>
                <w:spacing w:val="-5"/>
              </w:rPr>
              <w:t>11.02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9"/>
              <w:spacing w:before="47" w:line="219" w:lineRule="auto"/>
              <w:rPr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663.16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552.80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110.37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 w:right="11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其他普通教育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6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99.01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99.01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 w:right="11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263.97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263.97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 w:right="11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194.83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194.83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 w:right="112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126" w:line="184" w:lineRule="auto"/>
              <w:rPr/>
            </w:pPr>
            <w:r>
              <w:rPr>
                <w:color w:val="212529"/>
                <w:spacing w:val="-3"/>
              </w:rPr>
              <w:t>73.12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9"/>
              <w:spacing w:before="126" w:line="184" w:lineRule="auto"/>
              <w:rPr/>
            </w:pPr>
            <w:r>
              <w:rPr>
                <w:color w:val="212529"/>
                <w:spacing w:val="-3"/>
              </w:rPr>
              <w:t>73.12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 w:right="11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9"/>
              <w:spacing w:before="235" w:line="184" w:lineRule="auto"/>
              <w:rPr/>
            </w:pPr>
            <w:r>
              <w:rPr>
                <w:color w:val="212529"/>
                <w:spacing w:val="-3"/>
              </w:rPr>
              <w:t>59.81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235" w:line="184" w:lineRule="auto"/>
              <w:rPr/>
            </w:pPr>
            <w:r>
              <w:rPr>
                <w:color w:val="212529"/>
                <w:spacing w:val="-3"/>
              </w:rPr>
              <w:t>59.81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 w:right="112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7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61.90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61.90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/>
              <w:spacing w:before="5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7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7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7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7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7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33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72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364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部门名称：古县南垣乡中心学校</w:t>
            </w:r>
          </w:p>
        </w:tc>
        <w:tc>
          <w:tcPr>
            <w:tcW w:w="154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89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364" w:type="dxa"/>
            <w:vAlign w:val="top"/>
            <w:gridSpan w:val="3"/>
          </w:tcPr>
          <w:p>
            <w:pPr>
              <w:pStyle w:val="TableText"/>
              <w:ind w:left="1491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52" w:type="dxa"/>
            <w:vAlign w:val="top"/>
            <w:gridSpan w:val="6"/>
          </w:tcPr>
          <w:p>
            <w:pPr>
              <w:pStyle w:val="TableText"/>
              <w:ind w:left="262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33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83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4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54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19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 w:right="29" w:hanging="356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52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55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54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54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52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43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43" w:right="68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ind w:left="463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</w:tcPr>
          <w:p>
            <w:pPr>
              <w:ind w:left="735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547" w:type="dxa"/>
            <w:vAlign w:val="top"/>
          </w:tcPr>
          <w:p>
            <w:pPr>
              <w:ind w:left="56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ind w:left="451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95" w:type="dxa"/>
            <w:vAlign w:val="top"/>
          </w:tcPr>
          <w:p>
            <w:pPr>
              <w:ind w:left="590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491" w:type="dxa"/>
            <w:vAlign w:val="top"/>
          </w:tcPr>
          <w:p>
            <w:pPr>
              <w:ind w:left="188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33" w:type="dxa"/>
            <w:vAlign w:val="top"/>
          </w:tcPr>
          <w:p>
            <w:pPr>
              <w:ind w:left="358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7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46"/>
              <w:spacing w:before="137" w:line="184" w:lineRule="auto"/>
              <w:rPr/>
            </w:pPr>
            <w:r>
              <w:rPr>
                <w:color w:val="212529"/>
                <w:spacing w:val="-3"/>
              </w:rPr>
              <w:t>1,101.64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4" w:right="66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59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773.19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773.19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9" w:right="99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263.97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263.97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8" w:right="99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38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5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 w:right="99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 w:right="99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2" w:right="99" w:hanging="1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rPr>
          <w:trHeight w:val="426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11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46"/>
              <w:spacing w:before="138" w:line="184" w:lineRule="auto"/>
              <w:rPr/>
            </w:pPr>
            <w:r>
              <w:rPr>
                <w:color w:val="212529"/>
                <w:spacing w:val="-3"/>
              </w:rPr>
              <w:t>1,101.64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1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1,101.64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1,101.64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9" w:right="66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9" w:right="66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47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46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1,101.64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8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1,101.64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1,101.64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68"/>
        <w:gridCol w:w="2590"/>
        <w:gridCol w:w="1738"/>
        <w:gridCol w:w="1427"/>
        <w:gridCol w:w="1493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9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93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35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部门名称：古县南垣乡中心学校</w:t>
            </w:r>
          </w:p>
        </w:tc>
        <w:tc>
          <w:tcPr>
            <w:tcW w:w="1738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75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2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58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358" w:type="dxa"/>
            <w:vAlign w:val="top"/>
            <w:gridSpan w:val="2"/>
          </w:tcPr>
          <w:p>
            <w:pPr>
              <w:ind w:left="1977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658" w:type="dxa"/>
            <w:vAlign w:val="top"/>
            <w:gridSpan w:val="3"/>
          </w:tcPr>
          <w:p>
            <w:pPr>
              <w:ind w:left="1947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768" w:type="dxa"/>
            <w:vAlign w:val="top"/>
          </w:tcPr>
          <w:p>
            <w:pPr>
              <w:ind w:left="501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590" w:type="dxa"/>
            <w:vAlign w:val="top"/>
          </w:tcPr>
          <w:p>
            <w:pPr>
              <w:ind w:left="911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38" w:type="dxa"/>
            <w:vAlign w:val="top"/>
          </w:tcPr>
          <w:p>
            <w:pPr>
              <w:ind w:left="669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27" w:type="dxa"/>
            <w:vAlign w:val="top"/>
          </w:tcPr>
          <w:p>
            <w:pPr>
              <w:ind w:left="338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93" w:type="dxa"/>
            <w:vAlign w:val="top"/>
          </w:tcPr>
          <w:p>
            <w:pPr>
              <w:ind w:left="366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358" w:type="dxa"/>
            <w:vAlign w:val="top"/>
            <w:gridSpan w:val="2"/>
          </w:tcPr>
          <w:p>
            <w:pPr>
              <w:ind w:left="1975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819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655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left="687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358" w:type="dxa"/>
            <w:vAlign w:val="top"/>
            <w:gridSpan w:val="2"/>
          </w:tcPr>
          <w:p>
            <w:pPr>
              <w:pStyle w:val="TableText"/>
              <w:ind w:left="1984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1,101.64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881.24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220.40</w:t>
            </w:r>
          </w:p>
        </w:tc>
      </w:tr>
      <w:tr>
        <w:trPr>
          <w:trHeight w:val="313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7"/>
              <w:spacing w:before="50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773.19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552.80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220.40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773.19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552.80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220.40</w:t>
            </w:r>
          </w:p>
        </w:tc>
      </w:tr>
      <w:tr>
        <w:trPr>
          <w:trHeight w:val="313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2050201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9"/>
              <w:spacing w:before="51" w:line="219" w:lineRule="auto"/>
              <w:rPr/>
            </w:pPr>
            <w:r>
              <w:rPr>
                <w:color w:val="212529"/>
                <w:spacing w:val="-3"/>
              </w:rPr>
              <w:t>学前教育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9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11.02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21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11.02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10"/>
              <w:spacing w:before="52" w:line="219" w:lineRule="auto"/>
              <w:rPr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663.16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552.80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7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110.37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其他普通教育支出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7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99.01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09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99.01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263.97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263.97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194.83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194.83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0"/>
              <w:spacing w:before="80" w:line="184" w:lineRule="auto"/>
              <w:rPr/>
            </w:pPr>
            <w:r>
              <w:rPr>
                <w:color w:val="212529"/>
                <w:spacing w:val="-3"/>
              </w:rPr>
              <w:t>73.12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1"/>
              <w:spacing w:before="80" w:line="184" w:lineRule="auto"/>
              <w:rPr/>
            </w:pPr>
            <w:r>
              <w:rPr>
                <w:color w:val="212529"/>
                <w:spacing w:val="-3"/>
              </w:rPr>
              <w:t>73.12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 w:right="6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0"/>
              <w:spacing w:before="128" w:line="184" w:lineRule="auto"/>
              <w:rPr/>
            </w:pPr>
            <w:r>
              <w:rPr>
                <w:color w:val="212529"/>
                <w:spacing w:val="-3"/>
              </w:rPr>
              <w:t>59.81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0"/>
              <w:spacing w:before="128" w:line="184" w:lineRule="auto"/>
              <w:rPr/>
            </w:pPr>
            <w:r>
              <w:rPr>
                <w:color w:val="212529"/>
                <w:spacing w:val="-3"/>
              </w:rPr>
              <w:t>59.81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8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61.90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8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61.90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8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8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8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8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8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8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8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8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8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8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64.48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7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部门名称：古县南垣乡中心学校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3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713.29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25.70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225.86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106.11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158.57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59.81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61.90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27.57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64.48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142.26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73.12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69.13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4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16.35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855.55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25.70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部门名称：古县南垣乡中心学校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部门名称：古县南垣乡中心学校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部门名称：古县南垣乡中心学校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8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单位名称：古县南垣乡中心学校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70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7" w:right="913" w:firstLine="498"/>
        <w:spacing w:before="131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2023年度收入总计1,101.64万元，支出总计1,101.64万元。与上年相比，收入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总计增加49.27万元，增长4.68%，支出总计增加49.27</w:t>
      </w:r>
      <w:r>
        <w:rPr>
          <w:rFonts w:ascii="FangSong" w:hAnsi="FangSong" w:eastAsia="FangSong" w:cs="FangSong"/>
          <w:sz w:val="25"/>
          <w:szCs w:val="25"/>
          <w:spacing w:val="1"/>
        </w:rPr>
        <w:t>万元，增长4.68%。主要原因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是我单位在职人员工资晋档,社会保障保险及住房公积金增加,退休死亡人员增加死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亡抚恤增加,退休人员绩效补贴发放。</w:t>
      </w:r>
    </w:p>
    <w:p>
      <w:pPr>
        <w:ind w:left="1202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2023年度收入合计1,101.64万元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ind w:left="1212" w:right="4646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财政拨款收入1,101.64万元，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025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2023年度支出合计1,101.64万元，其中：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基本支出881.24万元，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占比79.99%；</w:t>
      </w:r>
    </w:p>
    <w:p>
      <w:pPr>
        <w:ind w:left="12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项目支出220.40万元，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占比20.01%；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06" w:right="799" w:firstLine="499"/>
        <w:spacing w:before="131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2023年度财政拨款收入总计1,101.64万元，支出总计1,101.64万元。与上年相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比，财政拨款收入总计增加49.27万元，增长4</w:t>
      </w:r>
      <w:r>
        <w:rPr>
          <w:rFonts w:ascii="FangSong" w:hAnsi="FangSong" w:eastAsia="FangSong" w:cs="FangSong"/>
          <w:sz w:val="25"/>
          <w:szCs w:val="25"/>
          <w:spacing w:val="1"/>
        </w:rPr>
        <w:t>.68%；财政拨款支出总计增加49.27万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元，增长4.68%。主要原因是我单位在职人</w:t>
      </w:r>
      <w:r>
        <w:rPr>
          <w:rFonts w:ascii="FangSong" w:hAnsi="FangSong" w:eastAsia="FangSong" w:cs="FangSong"/>
          <w:sz w:val="25"/>
          <w:szCs w:val="25"/>
          <w:spacing w:val="1"/>
        </w:rPr>
        <w:t>员工资晋档,社会保障保险及住房公积金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增加,退休死亡人员增加死亡抚恤金增加,退休人员绩效补贴发放。</w:t>
      </w:r>
    </w:p>
    <w:p>
      <w:pPr>
        <w:ind w:left="1204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2023年一般公共预算财政拨款决算支出1,101.64</w:t>
      </w:r>
      <w:r>
        <w:rPr>
          <w:rFonts w:ascii="FangSong" w:hAnsi="FangSong" w:eastAsia="FangSong" w:cs="FangSong"/>
          <w:sz w:val="25"/>
          <w:szCs w:val="25"/>
          <w:spacing w:val="-1"/>
        </w:rPr>
        <w:t>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06" w:right="793" w:firstLine="10"/>
        <w:spacing w:before="13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100.00%。与上年相比，一般公共预算财政拨款支出增加49.27万元，增长4.68%。主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要原因是我单位在职人员工资晋档,社会保障保险及住房公积金增加,退休死亡人员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增加死亡抚恤金增加,退休人员绩效补贴发放。</w:t>
      </w:r>
    </w:p>
    <w:p>
      <w:pPr>
        <w:ind w:left="1221"/>
        <w:spacing w:before="4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line="222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210" w:right="1496" w:hanging="4"/>
        <w:spacing w:before="8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2023年度一般公共预算财政拨款支出1,101.64万元，主要用于以</w:t>
      </w:r>
      <w:r>
        <w:rPr>
          <w:rFonts w:ascii="FangSong" w:hAnsi="FangSong" w:eastAsia="FangSong" w:cs="FangSong"/>
          <w:sz w:val="25"/>
          <w:szCs w:val="25"/>
          <w:spacing w:val="-1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教育支出(类)773.19万元，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占比70.19%；</w:t>
      </w:r>
    </w:p>
    <w:p>
      <w:pPr>
        <w:ind w:left="1210" w:right="376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社会保障和就业支出(类)263.97万元，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占比23.96%；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住房保障支出(类)64.48万元，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占比5.85%。</w:t>
      </w:r>
    </w:p>
    <w:p>
      <w:pPr>
        <w:ind w:left="12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7" w:right="1693" w:firstLine="488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2023年度一般公共预算财政拨款支出年初预算1,064.96万元，支出决算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1,101.64万元，完成年初预算的103.44%。其中：</w:t>
      </w:r>
    </w:p>
    <w:p>
      <w:pPr>
        <w:ind w:left="711" w:right="811" w:firstLine="49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教育支出年初预算785.51万元,支出决算773.19万元,完成年初预算的98.43%.主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要用于工资福利支出,商品服务支出,对个人和家庭补助支出;较2022年度决算支出</w:t>
      </w:r>
    </w:p>
    <w:p>
      <w:pPr>
        <w:ind w:left="700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852.26万元,减少79.07万元,下降1</w:t>
      </w:r>
      <w:r>
        <w:rPr>
          <w:rFonts w:ascii="FangSong" w:hAnsi="FangSong" w:eastAsia="FangSong" w:cs="FangSong"/>
          <w:sz w:val="25"/>
          <w:szCs w:val="25"/>
          <w:spacing w:val="1"/>
        </w:rPr>
        <w:t>0.23%,主要原因:人员减少.</w:t>
      </w:r>
    </w:p>
    <w:p>
      <w:pPr>
        <w:ind w:left="706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社会保障和就业支出年初预算216.99万元,支出决算263.97万元,完成年初预算的</w:t>
      </w:r>
    </w:p>
    <w:p>
      <w:pPr>
        <w:ind w:left="706" w:right="937" w:firstLine="10"/>
        <w:spacing w:before="132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121.65%,用于人员退休费,养老保险,职业年金缴费,抚恤金等支出,较2022年度决算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支出138.56万元,增加125.41万元,增长47.51%.主要原因:本年度较上年死亡抚恤金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增加50.01万元,退休人员发放退休绩效补贴等.</w:t>
      </w:r>
    </w:p>
    <w:p>
      <w:pPr>
        <w:ind w:left="711" w:right="937" w:hanging="5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住房保障支出年初预算62.46万元,支出决算64.48万元,完成年初预算的103.23%,用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于在职人员住房公积金支出,较2022年度决算支出61.55万元,增加2.93万元,增长</w:t>
      </w:r>
    </w:p>
    <w:p>
      <w:pPr>
        <w:ind w:left="698"/>
        <w:spacing w:before="44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4.54%主要原因:人员变动,公积金基数调整,公积金增加.</w:t>
      </w:r>
    </w:p>
    <w:p>
      <w:pPr>
        <w:ind w:left="1205"/>
        <w:spacing w:before="128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2023年度财政拨款基本支出881.24万元，其中：</w:t>
      </w:r>
    </w:p>
    <w:p>
      <w:pPr>
        <w:ind w:left="708" w:right="936" w:firstLine="506"/>
        <w:spacing w:before="129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人员经费855.55万元，主要包括工资福利713.30万元及对个人和家庭的补助支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出142.25万元.用于基本工资:225.86万元,津贴补贴:106.11万元,绩效工资:158.57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万元,机关事业单位基本养老保险缴费:59.81万元,职业年金:61.90万元，职工基本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医疗:27.57万元,其他社会保障缴费:9.00万元,住房公积金:64.48万元,退休</w:t>
      </w:r>
    </w:p>
    <w:p>
      <w:pPr>
        <w:ind w:left="714"/>
        <w:spacing w:before="44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费:73.12万元,抚恤金:69.13万元；</w:t>
      </w:r>
    </w:p>
    <w:p>
      <w:pPr>
        <w:ind w:left="1216"/>
        <w:spacing w:before="129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公用经费25.70万元，主要包括工会经费:9.35万元,福利费:16.35万元。</w:t>
      </w:r>
    </w:p>
    <w:p>
      <w:pPr>
        <w:ind w:left="1197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1236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</w:p>
    <w:p>
      <w:pPr>
        <w:spacing w:line="223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9" w:lineRule="auto"/>
        <w:rPr/>
      </w:pPr>
      <w:r/>
    </w:p>
    <w:p>
      <w:pPr>
        <w:ind w:left="707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</w:rPr>
        <w:t>是：本单位无因公出国(境)费支出；</w:t>
      </w:r>
    </w:p>
    <w:p>
      <w:pPr>
        <w:ind w:left="711" w:right="805" w:firstLine="504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707" w:right="1057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709" w:right="805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因公出国(境)费支出。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712" w:right="793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车，主要用于：本单位无公务用车运行维护费支出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要是本单位无国(境)外接待费支出。</w:t>
      </w:r>
    </w:p>
    <w:p>
      <w:pPr>
        <w:ind w:left="12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11" w:right="5726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29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2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0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他用车主要是本单位无其他用车情况；单价100万元（含）以上设备（不含车辆）0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3"/>
        </w:rPr>
        <w:t>台（套）。</w:t>
      </w:r>
    </w:p>
    <w:p>
      <w:pPr>
        <w:ind w:left="12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spacing w:line="222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206" w:right="810" w:hanging="504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2023年二级项目绩效自评个数18个,涉及资金165.618万元.18个项目自评等级为"优"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709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无其他需要说明事项.</w:t>
      </w:r>
    </w:p>
    <w:p>
      <w:pPr>
        <w:spacing w:line="223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20" w:right="937" w:hanging="7"/>
        <w:spacing w:before="166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十三、教育支出：指用于教育方面的全部开支。包括：教育的基本建设投资、教育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的经常费用、国家的财政拨款、社会团体和个人用于教育方面</w:t>
      </w:r>
      <w:r>
        <w:rPr>
          <w:rFonts w:ascii="FangSong" w:hAnsi="FangSong" w:eastAsia="FangSong" w:cs="FangSong"/>
          <w:sz w:val="25"/>
          <w:szCs w:val="25"/>
        </w:rPr>
        <w:t>的支出。</w:t>
      </w:r>
    </w:p>
    <w:p>
      <w:pPr>
        <w:ind w:left="707" w:right="937" w:firstLine="6"/>
        <w:spacing w:before="128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十四、社会保障就业支出：指社会保险费用中与就业相关的支出部分。包括：养老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保险费、医疗保险费、失业保险费、工伤保险费和生育保险费。</w:t>
      </w:r>
    </w:p>
    <w:p>
      <w:pPr>
        <w:spacing w:line="271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14" w:lineRule="auto"/>
        <w:rPr/>
      </w:pPr>
      <w:r/>
    </w:p>
    <w:p>
      <w:pPr>
        <w:ind w:left="713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十五、住房保障支出：指按照国家政策规定用于住房改革制度落实方面的支出</w:t>
      </w:r>
    </w:p>
    <w:p>
      <w:pPr>
        <w:ind w:left="4529"/>
        <w:spacing w:before="167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2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57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古县南垣乡中心学校2023年单位决算公开报告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古县南垣乡中心学校2023年单位决算公开报告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1" Type="http://schemas.openxmlformats.org/officeDocument/2006/relationships/fontTable" Target="fontTable.xml"/><Relationship Id="rId60" Type="http://schemas.openxmlformats.org/officeDocument/2006/relationships/styles" Target="styles.xml"/><Relationship Id="rId6" Type="http://schemas.openxmlformats.org/officeDocument/2006/relationships/footer" Target="footer5.xml"/><Relationship Id="rId59" Type="http://schemas.openxmlformats.org/officeDocument/2006/relationships/settings" Target="settings.xml"/><Relationship Id="rId58" Type="http://schemas.openxmlformats.org/officeDocument/2006/relationships/image" Target="media/image18.jpeg"/><Relationship Id="rId57" Type="http://schemas.openxmlformats.org/officeDocument/2006/relationships/footer" Target="footer38.xml"/><Relationship Id="rId56" Type="http://schemas.openxmlformats.org/officeDocument/2006/relationships/image" Target="media/image17.jpeg"/><Relationship Id="rId55" Type="http://schemas.openxmlformats.org/officeDocument/2006/relationships/footer" Target="footer37.xml"/><Relationship Id="rId54" Type="http://schemas.openxmlformats.org/officeDocument/2006/relationships/image" Target="media/image16.jpeg"/><Relationship Id="rId53" Type="http://schemas.openxmlformats.org/officeDocument/2006/relationships/footer" Target="footer36.xml"/><Relationship Id="rId52" Type="http://schemas.openxmlformats.org/officeDocument/2006/relationships/image" Target="media/image15.jpeg"/><Relationship Id="rId51" Type="http://schemas.openxmlformats.org/officeDocument/2006/relationships/footer" Target="footer35.xml"/><Relationship Id="rId50" Type="http://schemas.openxmlformats.org/officeDocument/2006/relationships/image" Target="media/image14.jpeg"/><Relationship Id="rId5" Type="http://schemas.openxmlformats.org/officeDocument/2006/relationships/footer" Target="footer4.xml"/><Relationship Id="rId49" Type="http://schemas.openxmlformats.org/officeDocument/2006/relationships/footer" Target="footer34.xml"/><Relationship Id="rId48" Type="http://schemas.openxmlformats.org/officeDocument/2006/relationships/image" Target="media/image13.jpeg"/><Relationship Id="rId47" Type="http://schemas.openxmlformats.org/officeDocument/2006/relationships/footer" Target="footer33.xml"/><Relationship Id="rId46" Type="http://schemas.openxmlformats.org/officeDocument/2006/relationships/image" Target="media/image12.jpeg"/><Relationship Id="rId45" Type="http://schemas.openxmlformats.org/officeDocument/2006/relationships/footer" Target="footer32.xml"/><Relationship Id="rId44" Type="http://schemas.openxmlformats.org/officeDocument/2006/relationships/image" Target="media/image11.jpeg"/><Relationship Id="rId43" Type="http://schemas.openxmlformats.org/officeDocument/2006/relationships/footer" Target="footer31.xml"/><Relationship Id="rId42" Type="http://schemas.openxmlformats.org/officeDocument/2006/relationships/image" Target="media/image10.jpeg"/><Relationship Id="rId41" Type="http://schemas.openxmlformats.org/officeDocument/2006/relationships/footer" Target="footer30.xml"/><Relationship Id="rId40" Type="http://schemas.openxmlformats.org/officeDocument/2006/relationships/image" Target="media/image9.jpeg"/><Relationship Id="rId4" Type="http://schemas.openxmlformats.org/officeDocument/2006/relationships/footer" Target="footer3.xml"/><Relationship Id="rId39" Type="http://schemas.openxmlformats.org/officeDocument/2006/relationships/footer" Target="footer29.xml"/><Relationship Id="rId38" Type="http://schemas.openxmlformats.org/officeDocument/2006/relationships/image" Target="media/image8.jpeg"/><Relationship Id="rId37" Type="http://schemas.openxmlformats.org/officeDocument/2006/relationships/footer" Target="footer28.xml"/><Relationship Id="rId36" Type="http://schemas.openxmlformats.org/officeDocument/2006/relationships/image" Target="media/image7.jpeg"/><Relationship Id="rId35" Type="http://schemas.openxmlformats.org/officeDocument/2006/relationships/footer" Target="footer27.xml"/><Relationship Id="rId34" Type="http://schemas.openxmlformats.org/officeDocument/2006/relationships/image" Target="media/image6.jpeg"/><Relationship Id="rId33" Type="http://schemas.openxmlformats.org/officeDocument/2006/relationships/footer" Target="footer26.xml"/><Relationship Id="rId32" Type="http://schemas.openxmlformats.org/officeDocument/2006/relationships/image" Target="media/image5.jpeg"/><Relationship Id="rId31" Type="http://schemas.openxmlformats.org/officeDocument/2006/relationships/footer" Target="footer25.xml"/><Relationship Id="rId30" Type="http://schemas.openxmlformats.org/officeDocument/2006/relationships/image" Target="media/image4.jpeg"/><Relationship Id="rId3" Type="http://schemas.openxmlformats.org/officeDocument/2006/relationships/footer" Target="footer2.xml"/><Relationship Id="rId29" Type="http://schemas.openxmlformats.org/officeDocument/2006/relationships/footer" Target="footer24.xml"/><Relationship Id="rId28" Type="http://schemas.openxmlformats.org/officeDocument/2006/relationships/image" Target="media/image3.jpeg"/><Relationship Id="rId27" Type="http://schemas.openxmlformats.org/officeDocument/2006/relationships/footer" Target="footer23.xml"/><Relationship Id="rId26" Type="http://schemas.openxmlformats.org/officeDocument/2006/relationships/image" Target="media/image2.jpeg"/><Relationship Id="rId25" Type="http://schemas.openxmlformats.org/officeDocument/2006/relationships/footer" Target="footer22.xml"/><Relationship Id="rId24" Type="http://schemas.openxmlformats.org/officeDocument/2006/relationships/image" Target="media/image1.jpeg"/><Relationship Id="rId23" Type="http://schemas.openxmlformats.org/officeDocument/2006/relationships/footer" Target="footer21.xml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2024-09-05T09:31:01Z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2024-09-20T10:40:03</vt:filetime>
  </property>
</Properties>
</file>