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95CEE">
      <w:pPr>
        <w:spacing w:line="243" w:lineRule="auto"/>
        <w:rPr>
          <w:rFonts w:ascii="Arial"/>
          <w:sz w:val="21"/>
        </w:rPr>
      </w:pPr>
    </w:p>
    <w:p w14:paraId="5E33F20C">
      <w:pPr>
        <w:spacing w:line="243" w:lineRule="auto"/>
        <w:rPr>
          <w:rFonts w:ascii="Arial"/>
          <w:sz w:val="21"/>
        </w:rPr>
      </w:pPr>
    </w:p>
    <w:p w14:paraId="570FF205">
      <w:pPr>
        <w:spacing w:line="243" w:lineRule="auto"/>
        <w:rPr>
          <w:rFonts w:ascii="Arial"/>
          <w:sz w:val="21"/>
        </w:rPr>
      </w:pPr>
    </w:p>
    <w:p w14:paraId="644370A8">
      <w:pPr>
        <w:spacing w:line="243" w:lineRule="auto"/>
        <w:rPr>
          <w:rFonts w:ascii="Arial"/>
          <w:sz w:val="21"/>
        </w:rPr>
      </w:pPr>
    </w:p>
    <w:p w14:paraId="4EB49D23">
      <w:pPr>
        <w:spacing w:line="243" w:lineRule="auto"/>
        <w:rPr>
          <w:rFonts w:ascii="Arial"/>
          <w:sz w:val="21"/>
        </w:rPr>
      </w:pPr>
    </w:p>
    <w:p w14:paraId="6BE43E63">
      <w:pPr>
        <w:spacing w:line="243" w:lineRule="auto"/>
        <w:rPr>
          <w:rFonts w:ascii="Arial"/>
          <w:sz w:val="21"/>
        </w:rPr>
      </w:pPr>
    </w:p>
    <w:p w14:paraId="3D91D46A">
      <w:pPr>
        <w:spacing w:line="243" w:lineRule="auto"/>
        <w:rPr>
          <w:rFonts w:ascii="Arial"/>
          <w:sz w:val="21"/>
        </w:rPr>
      </w:pPr>
    </w:p>
    <w:p w14:paraId="62122FA0">
      <w:pPr>
        <w:spacing w:line="243" w:lineRule="auto"/>
        <w:rPr>
          <w:rFonts w:ascii="Arial"/>
          <w:sz w:val="21"/>
        </w:rPr>
      </w:pPr>
    </w:p>
    <w:p w14:paraId="48C783AE">
      <w:pPr>
        <w:spacing w:line="243" w:lineRule="auto"/>
        <w:rPr>
          <w:rFonts w:ascii="Arial"/>
          <w:sz w:val="21"/>
        </w:rPr>
      </w:pPr>
    </w:p>
    <w:p w14:paraId="0D18EA70">
      <w:pPr>
        <w:spacing w:line="243" w:lineRule="auto"/>
        <w:rPr>
          <w:rFonts w:ascii="Arial"/>
          <w:sz w:val="21"/>
        </w:rPr>
      </w:pPr>
    </w:p>
    <w:p w14:paraId="5AB280DB">
      <w:pPr>
        <w:spacing w:line="243" w:lineRule="auto"/>
        <w:rPr>
          <w:rFonts w:ascii="Arial"/>
          <w:sz w:val="21"/>
        </w:rPr>
      </w:pPr>
    </w:p>
    <w:p w14:paraId="69B7FC52">
      <w:pPr>
        <w:spacing w:line="243" w:lineRule="auto"/>
        <w:rPr>
          <w:rFonts w:ascii="Arial"/>
          <w:sz w:val="21"/>
        </w:rPr>
      </w:pPr>
    </w:p>
    <w:p w14:paraId="3DF357FB">
      <w:pPr>
        <w:spacing w:line="243" w:lineRule="auto"/>
        <w:rPr>
          <w:rFonts w:ascii="Arial"/>
          <w:sz w:val="21"/>
        </w:rPr>
      </w:pPr>
    </w:p>
    <w:p w14:paraId="6E406222">
      <w:pPr>
        <w:spacing w:line="243" w:lineRule="auto"/>
        <w:rPr>
          <w:rFonts w:ascii="Arial"/>
          <w:sz w:val="21"/>
        </w:rPr>
      </w:pPr>
    </w:p>
    <w:p w14:paraId="45F9B18C">
      <w:pPr>
        <w:spacing w:line="244" w:lineRule="auto"/>
        <w:rPr>
          <w:rFonts w:ascii="Arial"/>
          <w:sz w:val="21"/>
        </w:rPr>
      </w:pPr>
    </w:p>
    <w:p w14:paraId="3B25100C">
      <w:pPr>
        <w:spacing w:line="244" w:lineRule="auto"/>
        <w:rPr>
          <w:rFonts w:ascii="Arial"/>
          <w:sz w:val="21"/>
        </w:rPr>
      </w:pPr>
    </w:p>
    <w:p w14:paraId="02057F86">
      <w:pPr>
        <w:spacing w:line="244" w:lineRule="auto"/>
        <w:rPr>
          <w:rFonts w:ascii="Arial"/>
          <w:sz w:val="21"/>
        </w:rPr>
      </w:pPr>
    </w:p>
    <w:p w14:paraId="39EB3526">
      <w:pPr>
        <w:pStyle w:val="2"/>
        <w:spacing w:before="110" w:line="218" w:lineRule="auto"/>
        <w:ind w:left="1475"/>
        <w:outlineLvl w:val="0"/>
      </w:pPr>
      <w:r>
        <w:rPr>
          <w:spacing w:val="-8"/>
        </w:rPr>
        <w:t>古 县 行 政 审 批</w:t>
      </w:r>
      <w:r>
        <w:rPr>
          <w:spacing w:val="-12"/>
        </w:rPr>
        <w:t xml:space="preserve"> </w:t>
      </w:r>
      <w:r>
        <w:rPr>
          <w:spacing w:val="-8"/>
        </w:rPr>
        <w:t>服</w:t>
      </w:r>
      <w:r>
        <w:rPr>
          <w:spacing w:val="-9"/>
        </w:rPr>
        <w:t xml:space="preserve"> </w:t>
      </w:r>
      <w:r>
        <w:rPr>
          <w:spacing w:val="-8"/>
        </w:rPr>
        <w:t>务</w:t>
      </w:r>
      <w:r>
        <w:rPr>
          <w:spacing w:val="-9"/>
        </w:rPr>
        <w:t xml:space="preserve"> </w:t>
      </w:r>
      <w:r>
        <w:rPr>
          <w:spacing w:val="-8"/>
        </w:rPr>
        <w:t>管</w:t>
      </w:r>
      <w:r>
        <w:rPr>
          <w:spacing w:val="-13"/>
        </w:rPr>
        <w:t xml:space="preserve"> </w:t>
      </w:r>
      <w:r>
        <w:rPr>
          <w:spacing w:val="-8"/>
        </w:rPr>
        <w:t>理 局</w:t>
      </w:r>
    </w:p>
    <w:p w14:paraId="306C7495">
      <w:pPr>
        <w:spacing w:line="319" w:lineRule="auto"/>
        <w:rPr>
          <w:rFonts w:ascii="Arial"/>
          <w:sz w:val="21"/>
        </w:rPr>
      </w:pPr>
    </w:p>
    <w:p w14:paraId="60F2FF52">
      <w:pPr>
        <w:spacing w:line="319" w:lineRule="auto"/>
        <w:rPr>
          <w:rFonts w:ascii="Arial"/>
          <w:sz w:val="21"/>
        </w:rPr>
      </w:pPr>
    </w:p>
    <w:p w14:paraId="005EB9BA">
      <w:pPr>
        <w:pStyle w:val="2"/>
        <w:spacing w:before="110" w:line="217" w:lineRule="auto"/>
        <w:ind w:left="1491"/>
      </w:pPr>
      <w:r>
        <w:rPr>
          <w:spacing w:val="1"/>
        </w:rPr>
        <w:t>2 0 2 3</w:t>
      </w:r>
      <w:r>
        <w:rPr>
          <w:spacing w:val="2"/>
        </w:rPr>
        <w:t xml:space="preserve"> </w:t>
      </w:r>
      <w:r>
        <w:rPr>
          <w:spacing w:val="1"/>
        </w:rPr>
        <w:t>年 度</w:t>
      </w:r>
      <w:r>
        <w:rPr>
          <w:spacing w:val="-7"/>
        </w:rPr>
        <w:t xml:space="preserve"> </w:t>
      </w:r>
      <w:r>
        <w:rPr>
          <w:spacing w:val="1"/>
        </w:rPr>
        <w:t>单</w:t>
      </w:r>
      <w:r>
        <w:rPr>
          <w:spacing w:val="-14"/>
        </w:rPr>
        <w:t xml:space="preserve"> </w:t>
      </w:r>
      <w:r>
        <w:rPr>
          <w:spacing w:val="1"/>
        </w:rPr>
        <w:t>位</w:t>
      </w:r>
      <w:r>
        <w:rPr>
          <w:spacing w:val="-18"/>
        </w:rPr>
        <w:t xml:space="preserve"> </w:t>
      </w:r>
      <w:r>
        <w:rPr>
          <w:spacing w:val="1"/>
        </w:rPr>
        <w:t>预</w:t>
      </w:r>
      <w:r>
        <w:rPr>
          <w:spacing w:val="-6"/>
        </w:rPr>
        <w:t xml:space="preserve"> </w:t>
      </w:r>
      <w:r>
        <w:rPr>
          <w:spacing w:val="1"/>
        </w:rPr>
        <w:t>算</w:t>
      </w:r>
      <w:r>
        <w:rPr>
          <w:spacing w:val="-15"/>
        </w:rPr>
        <w:t xml:space="preserve"> </w:t>
      </w:r>
      <w:r>
        <w:rPr>
          <w:spacing w:val="1"/>
        </w:rPr>
        <w:t>公</w:t>
      </w:r>
      <w:r>
        <w:rPr>
          <w:spacing w:val="-9"/>
        </w:rPr>
        <w:t xml:space="preserve"> </w:t>
      </w:r>
      <w:r>
        <w:rPr>
          <w:spacing w:val="1"/>
        </w:rPr>
        <w:t>开</w:t>
      </w:r>
    </w:p>
    <w:p w14:paraId="2D33F58E">
      <w:pPr>
        <w:spacing w:line="217" w:lineRule="auto"/>
        <w:sectPr>
          <w:pgSz w:w="11900" w:h="16840"/>
          <w:pgMar w:top="1431" w:right="1785" w:bottom="0" w:left="1785" w:header="0" w:footer="0" w:gutter="0"/>
          <w:cols w:space="720" w:num="1"/>
        </w:sectPr>
      </w:pPr>
    </w:p>
    <w:p w14:paraId="42E982C2">
      <w:pPr>
        <w:spacing w:before="90" w:line="223" w:lineRule="auto"/>
        <w:ind w:left="4048"/>
        <w:outlineLvl w:val="0"/>
        <w:rPr>
          <w:rFonts w:ascii="仿宋" w:hAnsi="仿宋" w:eastAsia="仿宋" w:cs="仿宋"/>
          <w:sz w:val="44"/>
          <w:szCs w:val="44"/>
        </w:rPr>
      </w:pPr>
      <w:bookmarkStart w:id="0" w:name="bookmark1"/>
      <w:bookmarkEnd w:id="0"/>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62EE699D">
      <w:pPr>
        <w:spacing w:line="267" w:lineRule="auto"/>
        <w:rPr>
          <w:rFonts w:ascii="Arial"/>
          <w:sz w:val="21"/>
        </w:rPr>
      </w:pPr>
    </w:p>
    <w:p w14:paraId="4D631639">
      <w:pPr>
        <w:spacing w:line="268" w:lineRule="auto"/>
        <w:rPr>
          <w:rFonts w:ascii="Arial"/>
          <w:sz w:val="21"/>
        </w:rPr>
      </w:pPr>
    </w:p>
    <w:sdt>
      <w:sdtPr>
        <w:rPr>
          <w:rFonts w:ascii="仿宋" w:hAnsi="仿宋" w:eastAsia="仿宋" w:cs="仿宋"/>
          <w:sz w:val="26"/>
          <w:szCs w:val="26"/>
        </w:rPr>
        <w:id w:val="147478848"/>
        <w:docPartObj>
          <w:docPartGallery w:val="Table of Contents"/>
          <w:docPartUnique/>
        </w:docPartObj>
      </w:sdtPr>
      <w:sdtEndPr>
        <w:rPr>
          <w:rFonts w:ascii="仿宋" w:hAnsi="仿宋" w:eastAsia="仿宋" w:cs="仿宋"/>
          <w:sz w:val="26"/>
          <w:szCs w:val="26"/>
        </w:rPr>
      </w:sdtEndPr>
      <w:sdtContent>
        <w:p w14:paraId="38B74AB3">
          <w:pPr>
            <w:tabs>
              <w:tab w:val="right" w:leader="dot" w:pos="9230"/>
            </w:tabs>
            <w:spacing w:before="85" w:line="222" w:lineRule="auto"/>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2"/>
              <w:sz w:val="26"/>
              <w:szCs w:val="26"/>
            </w:rPr>
            <w:t>1</w:t>
          </w:r>
          <w:r>
            <w:rPr>
              <w:rFonts w:ascii="仿宋" w:hAnsi="仿宋" w:eastAsia="仿宋" w:cs="仿宋"/>
              <w:b/>
              <w:bCs/>
              <w:spacing w:val="-32"/>
              <w:sz w:val="26"/>
              <w:szCs w:val="26"/>
            </w:rPr>
            <w:fldChar w:fldCharType="end"/>
          </w:r>
        </w:p>
        <w:p w14:paraId="3FA46BAF">
          <w:pPr>
            <w:tabs>
              <w:tab w:val="right" w:leader="dot" w:pos="9230"/>
            </w:tabs>
            <w:spacing w:before="186" w:line="221" w:lineRule="auto"/>
            <w:ind w:left="512"/>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7"/>
              <w:sz w:val="26"/>
              <w:szCs w:val="26"/>
            </w:rPr>
            <w:t>一、本单位职责</w:t>
          </w:r>
          <w:r>
            <w:rPr>
              <w:rFonts w:ascii="仿宋" w:hAnsi="仿宋" w:eastAsia="仿宋" w:cs="仿宋"/>
              <w:spacing w:val="-114"/>
              <w:sz w:val="26"/>
              <w:szCs w:val="26"/>
            </w:rPr>
            <w:t xml:space="preserve"> </w:t>
          </w:r>
          <w:r>
            <w:rPr>
              <w:rFonts w:ascii="仿宋" w:hAnsi="仿宋" w:eastAsia="仿宋" w:cs="仿宋"/>
              <w:sz w:val="26"/>
              <w:szCs w:val="26"/>
            </w:rPr>
            <w:tab/>
          </w:r>
          <w:r>
            <w:rPr>
              <w:rFonts w:ascii="仿宋" w:hAnsi="仿宋" w:eastAsia="仿宋" w:cs="仿宋"/>
              <w:spacing w:val="-112"/>
              <w:sz w:val="26"/>
              <w:szCs w:val="26"/>
            </w:rPr>
            <w:t xml:space="preserve"> </w:t>
          </w:r>
          <w:r>
            <w:rPr>
              <w:rFonts w:ascii="仿宋" w:hAnsi="仿宋" w:eastAsia="仿宋" w:cs="仿宋"/>
              <w:spacing w:val="-29"/>
              <w:sz w:val="26"/>
              <w:szCs w:val="26"/>
            </w:rPr>
            <w:t>1</w:t>
          </w:r>
          <w:r>
            <w:rPr>
              <w:rFonts w:ascii="仿宋" w:hAnsi="仿宋" w:eastAsia="仿宋" w:cs="仿宋"/>
              <w:spacing w:val="-29"/>
              <w:sz w:val="26"/>
              <w:szCs w:val="26"/>
            </w:rPr>
            <w:fldChar w:fldCharType="end"/>
          </w:r>
        </w:p>
        <w:p w14:paraId="6A3981A3">
          <w:pPr>
            <w:tabs>
              <w:tab w:val="right" w:leader="dot" w:pos="9230"/>
            </w:tabs>
            <w:spacing w:before="189" w:line="222" w:lineRule="auto"/>
            <w:ind w:left="517"/>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68"/>
              <w:sz w:val="26"/>
              <w:szCs w:val="26"/>
            </w:rPr>
            <w:t xml:space="preserve"> </w:t>
          </w:r>
          <w:r>
            <w:rPr>
              <w:rFonts w:ascii="仿宋" w:hAnsi="仿宋" w:eastAsia="仿宋" w:cs="仿宋"/>
              <w:spacing w:val="-13"/>
              <w:sz w:val="26"/>
              <w:szCs w:val="26"/>
            </w:rPr>
            <w:t>2</w:t>
          </w:r>
          <w:r>
            <w:rPr>
              <w:rFonts w:ascii="仿宋" w:hAnsi="仿宋" w:eastAsia="仿宋" w:cs="仿宋"/>
              <w:spacing w:val="-13"/>
              <w:sz w:val="26"/>
              <w:szCs w:val="26"/>
            </w:rPr>
            <w:fldChar w:fldCharType="end"/>
          </w:r>
        </w:p>
        <w:p w14:paraId="08C827DF">
          <w:pPr>
            <w:tabs>
              <w:tab w:val="right" w:leader="dot" w:pos="9230"/>
            </w:tabs>
            <w:spacing w:before="186" w:line="221" w:lineRule="auto"/>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2023年单位预算报表</w:t>
          </w:r>
          <w:r>
            <w:rPr>
              <w:rFonts w:ascii="仿宋" w:hAnsi="仿宋" w:eastAsia="仿宋" w:cs="仿宋"/>
              <w:spacing w:val="-79"/>
              <w:sz w:val="26"/>
              <w:szCs w:val="26"/>
            </w:rPr>
            <w:t xml:space="preserve"> </w:t>
          </w:r>
          <w:r>
            <w:rPr>
              <w:rFonts w:ascii="仿宋" w:hAnsi="仿宋" w:eastAsia="仿宋" w:cs="仿宋"/>
              <w:sz w:val="26"/>
              <w:szCs w:val="26"/>
            </w:rPr>
            <w:tab/>
          </w:r>
          <w:r>
            <w:rPr>
              <w:rFonts w:ascii="仿宋" w:hAnsi="仿宋" w:eastAsia="仿宋" w:cs="仿宋"/>
              <w:spacing w:val="-117"/>
              <w:sz w:val="26"/>
              <w:szCs w:val="26"/>
            </w:rPr>
            <w:t xml:space="preserve"> </w:t>
          </w:r>
          <w:r>
            <w:rPr>
              <w:rFonts w:ascii="仿宋" w:hAnsi="仿宋" w:eastAsia="仿宋" w:cs="仿宋"/>
              <w:b/>
              <w:bCs/>
              <w:spacing w:val="-11"/>
              <w:sz w:val="26"/>
              <w:szCs w:val="26"/>
            </w:rPr>
            <w:t>4</w:t>
          </w:r>
          <w:r>
            <w:rPr>
              <w:rFonts w:ascii="仿宋" w:hAnsi="仿宋" w:eastAsia="仿宋" w:cs="仿宋"/>
              <w:b/>
              <w:bCs/>
              <w:spacing w:val="-11"/>
              <w:sz w:val="26"/>
              <w:szCs w:val="26"/>
            </w:rPr>
            <w:fldChar w:fldCharType="end"/>
          </w:r>
        </w:p>
        <w:p w14:paraId="5A72C519">
          <w:pPr>
            <w:tabs>
              <w:tab w:val="right" w:leader="dot" w:pos="9230"/>
            </w:tabs>
            <w:spacing w:before="188" w:line="222" w:lineRule="auto"/>
            <w:ind w:left="503"/>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2"/>
              <w:sz w:val="26"/>
              <w:szCs w:val="26"/>
            </w:rPr>
            <w:t>2023年预算收支总表</w:t>
          </w:r>
          <w:r>
            <w:rPr>
              <w:rFonts w:ascii="仿宋" w:hAnsi="仿宋" w:eastAsia="仿宋" w:cs="仿宋"/>
              <w:spacing w:val="-87"/>
              <w:sz w:val="26"/>
              <w:szCs w:val="26"/>
            </w:rPr>
            <w:t xml:space="preserve"> </w:t>
          </w:r>
          <w:r>
            <w:rPr>
              <w:rFonts w:ascii="仿宋" w:hAnsi="仿宋" w:eastAsia="仿宋" w:cs="仿宋"/>
              <w:sz w:val="26"/>
              <w:szCs w:val="26"/>
            </w:rPr>
            <w:tab/>
          </w:r>
          <w:r>
            <w:rPr>
              <w:rFonts w:ascii="仿宋" w:hAnsi="仿宋" w:eastAsia="仿宋" w:cs="仿宋"/>
              <w:spacing w:val="-27"/>
              <w:sz w:val="26"/>
              <w:szCs w:val="26"/>
            </w:rPr>
            <w:t xml:space="preserve"> </w:t>
          </w:r>
          <w:r>
            <w:rPr>
              <w:rFonts w:ascii="仿宋" w:hAnsi="仿宋" w:eastAsia="仿宋" w:cs="仿宋"/>
              <w:spacing w:val="-9"/>
              <w:sz w:val="26"/>
              <w:szCs w:val="26"/>
            </w:rPr>
            <w:t>4</w:t>
          </w:r>
          <w:r>
            <w:rPr>
              <w:rFonts w:ascii="仿宋" w:hAnsi="仿宋" w:eastAsia="仿宋" w:cs="仿宋"/>
              <w:spacing w:val="-9"/>
              <w:sz w:val="26"/>
              <w:szCs w:val="26"/>
            </w:rPr>
            <w:fldChar w:fldCharType="end"/>
          </w:r>
        </w:p>
        <w:p w14:paraId="6B3C23F2">
          <w:pPr>
            <w:tabs>
              <w:tab w:val="right" w:leader="dot" w:pos="9230"/>
            </w:tabs>
            <w:spacing w:before="187" w:line="222" w:lineRule="auto"/>
            <w:ind w:left="503"/>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2"/>
              <w:sz w:val="26"/>
              <w:szCs w:val="26"/>
            </w:rPr>
            <w:t>2023年预算收入总表</w:t>
          </w:r>
          <w:r>
            <w:rPr>
              <w:rFonts w:ascii="仿宋" w:hAnsi="仿宋" w:eastAsia="仿宋" w:cs="仿宋"/>
              <w:spacing w:val="-87"/>
              <w:sz w:val="26"/>
              <w:szCs w:val="26"/>
            </w:rPr>
            <w:t xml:space="preserve"> </w:t>
          </w:r>
          <w:r>
            <w:rPr>
              <w:rFonts w:ascii="仿宋" w:hAnsi="仿宋" w:eastAsia="仿宋" w:cs="仿宋"/>
              <w:sz w:val="26"/>
              <w:szCs w:val="26"/>
            </w:rPr>
            <w:tab/>
          </w:r>
          <w:r>
            <w:rPr>
              <w:rFonts w:ascii="仿宋" w:hAnsi="仿宋" w:eastAsia="仿宋" w:cs="仿宋"/>
              <w:spacing w:val="-24"/>
              <w:sz w:val="26"/>
              <w:szCs w:val="26"/>
            </w:rPr>
            <w:t xml:space="preserve"> </w:t>
          </w:r>
          <w:r>
            <w:rPr>
              <w:rFonts w:ascii="仿宋" w:hAnsi="仿宋" w:eastAsia="仿宋" w:cs="仿宋"/>
              <w:spacing w:val="-12"/>
              <w:sz w:val="26"/>
              <w:szCs w:val="26"/>
            </w:rPr>
            <w:t>6</w:t>
          </w:r>
          <w:r>
            <w:rPr>
              <w:rFonts w:ascii="仿宋" w:hAnsi="仿宋" w:eastAsia="仿宋" w:cs="仿宋"/>
              <w:spacing w:val="-12"/>
              <w:sz w:val="26"/>
              <w:szCs w:val="26"/>
            </w:rPr>
            <w:fldChar w:fldCharType="end"/>
          </w:r>
        </w:p>
        <w:p w14:paraId="01B24C62">
          <w:pPr>
            <w:tabs>
              <w:tab w:val="right" w:leader="dot" w:pos="9230"/>
            </w:tabs>
            <w:spacing w:before="188" w:line="222" w:lineRule="auto"/>
            <w:ind w:left="503"/>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2"/>
              <w:sz w:val="26"/>
              <w:szCs w:val="26"/>
            </w:rPr>
            <w:t>2023年预算支出总表</w:t>
          </w:r>
          <w:r>
            <w:rPr>
              <w:rFonts w:ascii="仿宋" w:hAnsi="仿宋" w:eastAsia="仿宋" w:cs="仿宋"/>
              <w:spacing w:val="-87"/>
              <w:sz w:val="26"/>
              <w:szCs w:val="26"/>
            </w:rPr>
            <w:t xml:space="preserve"> </w:t>
          </w:r>
          <w:r>
            <w:rPr>
              <w:rFonts w:ascii="仿宋" w:hAnsi="仿宋" w:eastAsia="仿宋" w:cs="仿宋"/>
              <w:sz w:val="26"/>
              <w:szCs w:val="26"/>
            </w:rPr>
            <w:tab/>
          </w:r>
          <w:r>
            <w:rPr>
              <w:rFonts w:ascii="仿宋" w:hAnsi="仿宋" w:eastAsia="仿宋" w:cs="仿宋"/>
              <w:spacing w:val="-20"/>
              <w:sz w:val="26"/>
              <w:szCs w:val="26"/>
            </w:rPr>
            <w:t xml:space="preserve"> </w:t>
          </w:r>
          <w:r>
            <w:rPr>
              <w:rFonts w:ascii="仿宋" w:hAnsi="仿宋" w:eastAsia="仿宋" w:cs="仿宋"/>
              <w:spacing w:val="-16"/>
              <w:sz w:val="26"/>
              <w:szCs w:val="26"/>
            </w:rPr>
            <w:t>7</w:t>
          </w:r>
          <w:r>
            <w:rPr>
              <w:rFonts w:ascii="仿宋" w:hAnsi="仿宋" w:eastAsia="仿宋" w:cs="仿宋"/>
              <w:spacing w:val="-16"/>
              <w:sz w:val="26"/>
              <w:szCs w:val="26"/>
            </w:rPr>
            <w:fldChar w:fldCharType="end"/>
          </w:r>
        </w:p>
        <w:p w14:paraId="5892E1FC">
          <w:pPr>
            <w:tabs>
              <w:tab w:val="right" w:leader="dot" w:pos="9230"/>
            </w:tabs>
            <w:spacing w:before="188" w:line="222" w:lineRule="auto"/>
            <w:ind w:left="503"/>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1"/>
              <w:sz w:val="26"/>
              <w:szCs w:val="26"/>
            </w:rPr>
            <w:t>2023年财政拨款收支总表</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40"/>
              <w:sz w:val="26"/>
              <w:szCs w:val="26"/>
            </w:rPr>
            <w:t xml:space="preserve"> </w:t>
          </w:r>
          <w:r>
            <w:rPr>
              <w:rFonts w:ascii="仿宋" w:hAnsi="仿宋" w:eastAsia="仿宋" w:cs="仿宋"/>
              <w:spacing w:val="-11"/>
              <w:sz w:val="26"/>
              <w:szCs w:val="26"/>
            </w:rPr>
            <w:t>8</w:t>
          </w:r>
          <w:r>
            <w:rPr>
              <w:rFonts w:ascii="仿宋" w:hAnsi="仿宋" w:eastAsia="仿宋" w:cs="仿宋"/>
              <w:spacing w:val="-11"/>
              <w:sz w:val="26"/>
              <w:szCs w:val="26"/>
            </w:rPr>
            <w:fldChar w:fldCharType="end"/>
          </w:r>
        </w:p>
        <w:p w14:paraId="3EE583A1">
          <w:pPr>
            <w:tabs>
              <w:tab w:val="right" w:leader="dot" w:pos="9230"/>
            </w:tabs>
            <w:spacing w:before="187" w:line="219" w:lineRule="auto"/>
            <w:ind w:left="503"/>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1"/>
              <w:sz w:val="26"/>
              <w:szCs w:val="26"/>
            </w:rPr>
            <w:t>2023年一般公共预算支出预算表（不含上年结转）</w:t>
          </w:r>
          <w:r>
            <w:rPr>
              <w:rFonts w:ascii="仿宋" w:hAnsi="仿宋" w:eastAsia="仿宋" w:cs="仿宋"/>
              <w:spacing w:val="-85"/>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10</w:t>
          </w:r>
          <w:r>
            <w:rPr>
              <w:rFonts w:ascii="仿宋" w:hAnsi="仿宋" w:eastAsia="仿宋" w:cs="仿宋"/>
              <w:spacing w:val="-15"/>
              <w:sz w:val="26"/>
              <w:szCs w:val="26"/>
            </w:rPr>
            <w:fldChar w:fldCharType="end"/>
          </w:r>
        </w:p>
        <w:p w14:paraId="78E4C99A">
          <w:pPr>
            <w:tabs>
              <w:tab w:val="right" w:leader="dot" w:pos="9230"/>
            </w:tabs>
            <w:spacing w:before="191" w:line="219" w:lineRule="auto"/>
            <w:ind w:left="503"/>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1"/>
              <w:sz w:val="26"/>
              <w:szCs w:val="26"/>
            </w:rPr>
            <w:t>2023年一般公共预算安排基本支出分经济科目表（不含上年结转）</w:t>
          </w:r>
          <w:r>
            <w:rPr>
              <w:rFonts w:ascii="仿宋" w:hAnsi="仿宋" w:eastAsia="仿宋" w:cs="仿宋"/>
              <w:spacing w:val="-64"/>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15"/>
              <w:sz w:val="26"/>
              <w:szCs w:val="26"/>
            </w:rPr>
            <w:t>11</w:t>
          </w:r>
          <w:r>
            <w:rPr>
              <w:rFonts w:ascii="仿宋" w:hAnsi="仿宋" w:eastAsia="仿宋" w:cs="仿宋"/>
              <w:spacing w:val="-15"/>
              <w:sz w:val="26"/>
              <w:szCs w:val="26"/>
            </w:rPr>
            <w:fldChar w:fldCharType="end"/>
          </w:r>
        </w:p>
        <w:p w14:paraId="2E2363AF">
          <w:pPr>
            <w:tabs>
              <w:tab w:val="right" w:leader="dot" w:pos="9230"/>
            </w:tabs>
            <w:spacing w:before="192" w:line="219" w:lineRule="auto"/>
            <w:ind w:left="503"/>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1"/>
              <w:sz w:val="26"/>
              <w:szCs w:val="26"/>
            </w:rPr>
            <w:t>2023年政府性基金预算收入表（不含上年结转）</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12</w:t>
          </w:r>
          <w:r>
            <w:rPr>
              <w:rFonts w:ascii="仿宋" w:hAnsi="仿宋" w:eastAsia="仿宋" w:cs="仿宋"/>
              <w:spacing w:val="-15"/>
              <w:sz w:val="26"/>
              <w:szCs w:val="26"/>
            </w:rPr>
            <w:fldChar w:fldCharType="end"/>
          </w:r>
        </w:p>
        <w:p w14:paraId="3846A852">
          <w:pPr>
            <w:tabs>
              <w:tab w:val="right" w:leader="dot" w:pos="9230"/>
            </w:tabs>
            <w:spacing w:before="191" w:line="219" w:lineRule="auto"/>
            <w:ind w:left="503"/>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1"/>
              <w:sz w:val="26"/>
              <w:szCs w:val="26"/>
            </w:rPr>
            <w:t>2023年政府性基金预算支出表（不含上年结转）</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13</w:t>
          </w:r>
          <w:r>
            <w:rPr>
              <w:rFonts w:ascii="仿宋" w:hAnsi="仿宋" w:eastAsia="仿宋" w:cs="仿宋"/>
              <w:spacing w:val="-15"/>
              <w:sz w:val="26"/>
              <w:szCs w:val="26"/>
            </w:rPr>
            <w:fldChar w:fldCharType="end"/>
          </w:r>
        </w:p>
        <w:p w14:paraId="1B66E6CD">
          <w:pPr>
            <w:tabs>
              <w:tab w:val="right" w:leader="dot" w:pos="9230"/>
            </w:tabs>
            <w:spacing w:before="192" w:line="219" w:lineRule="auto"/>
            <w:ind w:left="503"/>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1"/>
              <w:sz w:val="26"/>
              <w:szCs w:val="26"/>
            </w:rPr>
            <w:t>2023年国有资本经营预算收支预算表（不含上年结转）</w:t>
          </w:r>
          <w:r>
            <w:rPr>
              <w:rFonts w:ascii="仿宋" w:hAnsi="仿宋" w:eastAsia="仿宋" w:cs="仿宋"/>
              <w:spacing w:val="-83"/>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19"/>
              <w:sz w:val="26"/>
              <w:szCs w:val="26"/>
            </w:rPr>
            <w:t>1</w:t>
          </w:r>
          <w:r>
            <w:rPr>
              <w:rFonts w:ascii="仿宋" w:hAnsi="仿宋" w:eastAsia="仿宋" w:cs="仿宋"/>
              <w:spacing w:val="-11"/>
              <w:sz w:val="26"/>
              <w:szCs w:val="26"/>
            </w:rPr>
            <w:t>4</w:t>
          </w:r>
          <w:r>
            <w:rPr>
              <w:rFonts w:ascii="仿宋" w:hAnsi="仿宋" w:eastAsia="仿宋" w:cs="仿宋"/>
              <w:spacing w:val="-11"/>
              <w:sz w:val="26"/>
              <w:szCs w:val="26"/>
            </w:rPr>
            <w:fldChar w:fldCharType="end"/>
          </w:r>
        </w:p>
        <w:p w14:paraId="41BE7A12">
          <w:pPr>
            <w:tabs>
              <w:tab w:val="right" w:leader="dot" w:pos="9230"/>
            </w:tabs>
            <w:spacing w:before="191" w:line="222" w:lineRule="auto"/>
            <w:ind w:left="503"/>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spacing w:val="-1"/>
              <w:sz w:val="26"/>
              <w:szCs w:val="26"/>
            </w:rPr>
            <w:t>2023年一般公共预算“三公”经费支出预算表</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15</w:t>
          </w:r>
          <w:r>
            <w:rPr>
              <w:rFonts w:ascii="仿宋" w:hAnsi="仿宋" w:eastAsia="仿宋" w:cs="仿宋"/>
              <w:spacing w:val="-15"/>
              <w:sz w:val="26"/>
              <w:szCs w:val="26"/>
            </w:rPr>
            <w:fldChar w:fldCharType="end"/>
          </w:r>
        </w:p>
        <w:p w14:paraId="594FA070">
          <w:pPr>
            <w:tabs>
              <w:tab w:val="right" w:leader="dot" w:pos="9230"/>
            </w:tabs>
            <w:spacing w:before="188" w:line="221" w:lineRule="auto"/>
            <w:ind w:left="503"/>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spacing w:val="-1"/>
              <w:sz w:val="26"/>
              <w:szCs w:val="26"/>
            </w:rPr>
            <w:t>2023年机关运行经费预算财政拨款情况统计表</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16</w:t>
          </w:r>
          <w:r>
            <w:rPr>
              <w:rFonts w:ascii="仿宋" w:hAnsi="仿宋" w:eastAsia="仿宋" w:cs="仿宋"/>
              <w:spacing w:val="-15"/>
              <w:sz w:val="26"/>
              <w:szCs w:val="26"/>
            </w:rPr>
            <w:fldChar w:fldCharType="end"/>
          </w:r>
        </w:p>
        <w:p w14:paraId="002BFD52">
          <w:pPr>
            <w:tabs>
              <w:tab w:val="right" w:leader="dot" w:pos="9230"/>
            </w:tabs>
            <w:spacing w:before="188" w:line="222" w:lineRule="auto"/>
            <w:ind w:left="503"/>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1"/>
              <w:sz w:val="26"/>
              <w:szCs w:val="26"/>
            </w:rPr>
            <w:t>2023年项目支出预算表（本年预算）</w:t>
          </w:r>
          <w:r>
            <w:rPr>
              <w:rFonts w:ascii="仿宋" w:hAnsi="仿宋" w:eastAsia="仿宋" w:cs="仿宋"/>
              <w:spacing w:val="-7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17</w:t>
          </w:r>
          <w:r>
            <w:rPr>
              <w:rFonts w:ascii="仿宋" w:hAnsi="仿宋" w:eastAsia="仿宋" w:cs="仿宋"/>
              <w:spacing w:val="-15"/>
              <w:sz w:val="26"/>
              <w:szCs w:val="26"/>
            </w:rPr>
            <w:fldChar w:fldCharType="end"/>
          </w:r>
        </w:p>
        <w:p w14:paraId="4B053CA3">
          <w:pPr>
            <w:tabs>
              <w:tab w:val="right" w:leader="dot" w:pos="9230"/>
            </w:tabs>
            <w:spacing w:before="188" w:line="219" w:lineRule="auto"/>
            <w:ind w:left="503"/>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spacing w:val="-1"/>
              <w:sz w:val="26"/>
              <w:szCs w:val="26"/>
            </w:rPr>
            <w:t>2023年项目支出预算表（上年结转）</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0C25D286">
          <w:pPr>
            <w:tabs>
              <w:tab w:val="right" w:leader="dot" w:pos="9230"/>
            </w:tabs>
            <w:spacing w:before="192" w:line="221" w:lineRule="auto"/>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b/>
              <w:bCs/>
              <w:spacing w:val="-4"/>
              <w:sz w:val="26"/>
              <w:szCs w:val="26"/>
            </w:rPr>
            <w:t>第三部分</w:t>
          </w:r>
          <w:r>
            <w:rPr>
              <w:rFonts w:ascii="仿宋" w:hAnsi="仿宋" w:eastAsia="仿宋" w:cs="仿宋"/>
              <w:spacing w:val="-4"/>
              <w:sz w:val="26"/>
              <w:szCs w:val="26"/>
            </w:rPr>
            <w:t xml:space="preserve">  </w:t>
          </w:r>
          <w:r>
            <w:rPr>
              <w:rFonts w:ascii="仿宋" w:hAnsi="仿宋" w:eastAsia="仿宋" w:cs="仿宋"/>
              <w:b/>
              <w:bCs/>
              <w:spacing w:val="-4"/>
              <w:sz w:val="26"/>
              <w:szCs w:val="26"/>
            </w:rPr>
            <w:t>2023年度单位预算情况说明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18"/>
              <w:sz w:val="26"/>
              <w:szCs w:val="26"/>
            </w:rPr>
            <w:t>1</w:t>
          </w:r>
          <w:r>
            <w:rPr>
              <w:rFonts w:ascii="仿宋" w:hAnsi="仿宋" w:eastAsia="仿宋" w:cs="仿宋"/>
              <w:b/>
              <w:bCs/>
              <w:spacing w:val="-16"/>
              <w:sz w:val="26"/>
              <w:szCs w:val="26"/>
            </w:rPr>
            <w:t>9</w:t>
          </w:r>
          <w:r>
            <w:rPr>
              <w:rFonts w:ascii="仿宋" w:hAnsi="仿宋" w:eastAsia="仿宋" w:cs="仿宋"/>
              <w:b/>
              <w:bCs/>
              <w:spacing w:val="-16"/>
              <w:sz w:val="26"/>
              <w:szCs w:val="26"/>
            </w:rPr>
            <w:fldChar w:fldCharType="end"/>
          </w:r>
        </w:p>
        <w:p w14:paraId="4A12F3F8">
          <w:pPr>
            <w:tabs>
              <w:tab w:val="right" w:leader="dot" w:pos="9230"/>
            </w:tabs>
            <w:spacing w:before="188" w:line="221" w:lineRule="auto"/>
            <w:ind w:left="512"/>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4"/>
              <w:sz w:val="26"/>
              <w:szCs w:val="26"/>
            </w:rPr>
            <w:t>一、单位预算收支数据变动情况及原因</w:t>
          </w:r>
          <w:r>
            <w:rPr>
              <w:rFonts w:ascii="仿宋" w:hAnsi="仿宋" w:eastAsia="仿宋" w:cs="仿宋"/>
              <w:spacing w:val="-35"/>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72D7D2C5">
          <w:pPr>
            <w:tabs>
              <w:tab w:val="right" w:leader="dot" w:pos="9230"/>
            </w:tabs>
            <w:spacing w:before="189" w:line="222" w:lineRule="auto"/>
            <w:ind w:left="517"/>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3"/>
              <w:sz w:val="26"/>
              <w:szCs w:val="26"/>
            </w:rPr>
            <w:t>二、收入预算情况说明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6CADA7EC">
          <w:pPr>
            <w:tabs>
              <w:tab w:val="right" w:leader="dot" w:pos="9230"/>
            </w:tabs>
            <w:spacing w:before="187" w:line="222" w:lineRule="auto"/>
            <w:ind w:left="516"/>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3"/>
              <w:sz w:val="26"/>
              <w:szCs w:val="26"/>
            </w:rPr>
            <w:t>三、支出预算情况说明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54C0E980">
          <w:pPr>
            <w:tabs>
              <w:tab w:val="right" w:leader="dot" w:pos="9230"/>
            </w:tabs>
            <w:spacing w:before="188" w:line="222" w:lineRule="auto"/>
            <w:ind w:left="539"/>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3"/>
              <w:sz w:val="26"/>
              <w:szCs w:val="26"/>
            </w:rPr>
            <w:t>四、财政拨款收支预算总体情况说明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17F39F8B">
          <w:pPr>
            <w:tabs>
              <w:tab w:val="right" w:leader="dot" w:pos="9230"/>
            </w:tabs>
            <w:spacing w:before="187" w:line="222" w:lineRule="auto"/>
            <w:ind w:left="512"/>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2"/>
              <w:sz w:val="26"/>
              <w:szCs w:val="26"/>
            </w:rPr>
            <w:t>五、一般公共预算支出情况说明</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666DFD9B">
          <w:pPr>
            <w:tabs>
              <w:tab w:val="right" w:leader="dot" w:pos="9230"/>
            </w:tabs>
            <w:spacing w:before="187" w:line="222" w:lineRule="auto"/>
            <w:ind w:left="510"/>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2"/>
              <w:sz w:val="26"/>
              <w:szCs w:val="26"/>
            </w:rPr>
            <w:t>六、一般公共预算基本支出情况说明</w:t>
          </w:r>
          <w:r>
            <w:rPr>
              <w:rFonts w:ascii="仿宋" w:hAnsi="仿宋" w:eastAsia="仿宋" w:cs="仿宋"/>
              <w:spacing w:val="-84"/>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1282B1BE">
          <w:pPr>
            <w:tabs>
              <w:tab w:val="right" w:leader="dot" w:pos="9230"/>
            </w:tabs>
            <w:spacing w:before="188" w:line="223" w:lineRule="auto"/>
            <w:ind w:left="514"/>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spacing w:val="-2"/>
              <w:sz w:val="26"/>
              <w:szCs w:val="26"/>
            </w:rPr>
            <w:t>七、“三公”经费增减变动原因说明</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2D0C7FF2">
          <w:pPr>
            <w:tabs>
              <w:tab w:val="right" w:leader="dot" w:pos="9230"/>
            </w:tabs>
            <w:spacing w:before="186" w:line="221" w:lineRule="auto"/>
            <w:ind w:left="508"/>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spacing w:val="-2"/>
              <w:sz w:val="26"/>
              <w:szCs w:val="26"/>
            </w:rPr>
            <w:t>八、机关运行经费增减变动原因说明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5426D133">
          <w:pPr>
            <w:tabs>
              <w:tab w:val="right" w:leader="dot" w:pos="9230"/>
            </w:tabs>
            <w:spacing w:before="189" w:line="222" w:lineRule="auto"/>
            <w:ind w:left="518"/>
            <w:rPr>
              <w:rFonts w:ascii="仿宋" w:hAnsi="仿宋" w:eastAsia="仿宋" w:cs="仿宋"/>
              <w:sz w:val="26"/>
              <w:szCs w:val="26"/>
            </w:rPr>
          </w:pPr>
          <w:bookmarkStart w:id="27" w:name="bookmark28"/>
          <w:bookmarkEnd w:id="27"/>
          <w:r>
            <w:fldChar w:fldCharType="begin"/>
          </w:r>
          <w:r>
            <w:instrText xml:space="preserve"> HYPERLINK \l "bookmark28" </w:instrText>
          </w:r>
          <w:r>
            <w:fldChar w:fldCharType="separate"/>
          </w:r>
          <w:r>
            <w:rPr>
              <w:rFonts w:ascii="仿宋" w:hAnsi="仿宋" w:eastAsia="仿宋" w:cs="仿宋"/>
              <w:spacing w:val="-4"/>
              <w:sz w:val="26"/>
              <w:szCs w:val="26"/>
            </w:rPr>
            <w:t>九、政府采购情况</w:t>
          </w:r>
          <w:r>
            <w:rPr>
              <w:rFonts w:ascii="仿宋" w:hAnsi="仿宋" w:eastAsia="仿宋" w:cs="仿宋"/>
              <w:spacing w:val="-76"/>
              <w:sz w:val="26"/>
              <w:szCs w:val="26"/>
            </w:rPr>
            <w:t xml:space="preserve"> </w:t>
          </w:r>
          <w:r>
            <w:rPr>
              <w:rFonts w:ascii="仿宋" w:hAnsi="仿宋" w:eastAsia="仿宋" w:cs="仿宋"/>
              <w:sz w:val="26"/>
              <w:szCs w:val="26"/>
            </w:rPr>
            <w:tab/>
          </w:r>
          <w:r>
            <w:rPr>
              <w:rFonts w:ascii="仿宋" w:hAnsi="仿宋" w:eastAsia="仿宋" w:cs="仿宋"/>
              <w:spacing w:val="-112"/>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3DB5DF00">
          <w:pPr>
            <w:tabs>
              <w:tab w:val="right" w:leader="dot" w:pos="9230"/>
            </w:tabs>
            <w:spacing w:before="188" w:line="222" w:lineRule="auto"/>
            <w:ind w:left="516"/>
            <w:rPr>
              <w:rFonts w:ascii="仿宋" w:hAnsi="仿宋" w:eastAsia="仿宋" w:cs="仿宋"/>
              <w:sz w:val="26"/>
              <w:szCs w:val="26"/>
            </w:rPr>
          </w:pPr>
          <w:bookmarkStart w:id="28" w:name="bookmark29"/>
          <w:bookmarkEnd w:id="28"/>
          <w:r>
            <w:fldChar w:fldCharType="begin"/>
          </w:r>
          <w:r>
            <w:instrText xml:space="preserve"> HYPERLINK \l "bookmark29" </w:instrText>
          </w:r>
          <w:r>
            <w:fldChar w:fldCharType="separate"/>
          </w:r>
          <w:r>
            <w:rPr>
              <w:rFonts w:ascii="仿宋" w:hAnsi="仿宋" w:eastAsia="仿宋" w:cs="仿宋"/>
              <w:spacing w:val="-4"/>
              <w:sz w:val="26"/>
              <w:szCs w:val="26"/>
            </w:rPr>
            <w:t>十、绩效管理情况</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9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sdtContent>
    </w:sdt>
    <w:p w14:paraId="031499BE">
      <w:pPr>
        <w:spacing w:line="222" w:lineRule="auto"/>
        <w:rPr>
          <w:rFonts w:ascii="仿宋" w:hAnsi="仿宋" w:eastAsia="仿宋" w:cs="仿宋"/>
          <w:sz w:val="26"/>
          <w:szCs w:val="26"/>
        </w:rPr>
        <w:sectPr>
          <w:pgSz w:w="11900" w:h="16840"/>
          <w:pgMar w:top="912" w:right="1320" w:bottom="0" w:left="1348" w:header="0" w:footer="0" w:gutter="0"/>
          <w:cols w:space="720" w:num="1"/>
        </w:sectPr>
      </w:pPr>
    </w:p>
    <w:sdt>
      <w:sdtPr>
        <w:rPr>
          <w:rFonts w:ascii="仿宋" w:hAnsi="仿宋" w:eastAsia="仿宋" w:cs="仿宋"/>
          <w:sz w:val="26"/>
          <w:szCs w:val="26"/>
        </w:rPr>
        <w:id w:val="147464334"/>
        <w:docPartObj>
          <w:docPartGallery w:val="Table of Contents"/>
          <w:docPartUnique/>
        </w:docPartObj>
      </w:sdtPr>
      <w:sdtEndPr>
        <w:rPr>
          <w:rFonts w:ascii="仿宋" w:hAnsi="仿宋" w:eastAsia="仿宋" w:cs="仿宋"/>
          <w:sz w:val="26"/>
          <w:szCs w:val="26"/>
        </w:rPr>
      </w:sdtEndPr>
      <w:sdtContent>
        <w:p w14:paraId="74089FAE">
          <w:pPr>
            <w:tabs>
              <w:tab w:val="right" w:leader="dot" w:pos="9230"/>
            </w:tabs>
            <w:spacing w:before="53" w:line="222" w:lineRule="auto"/>
            <w:ind w:left="516"/>
            <w:rPr>
              <w:rFonts w:ascii="仿宋" w:hAnsi="仿宋" w:eastAsia="仿宋" w:cs="仿宋"/>
              <w:sz w:val="26"/>
              <w:szCs w:val="26"/>
            </w:rPr>
          </w:pPr>
          <w:bookmarkStart w:id="29" w:name="bookmark30"/>
          <w:bookmarkEnd w:id="29"/>
          <w:r>
            <w:fldChar w:fldCharType="begin"/>
          </w:r>
          <w:r>
            <w:instrText xml:space="preserve"> HYPERLINK \l "bookmark30" </w:instrText>
          </w:r>
          <w:r>
            <w:fldChar w:fldCharType="separate"/>
          </w:r>
          <w:r>
            <w:rPr>
              <w:rFonts w:ascii="仿宋" w:hAnsi="仿宋" w:eastAsia="仿宋" w:cs="仿宋"/>
              <w:spacing w:val="-4"/>
              <w:sz w:val="26"/>
              <w:szCs w:val="26"/>
            </w:rPr>
            <w:t>十一、国有资产占有使用情况</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82"/>
              <w:sz w:val="26"/>
              <w:szCs w:val="26"/>
            </w:rPr>
            <w:t xml:space="preserve"> </w:t>
          </w:r>
          <w:r>
            <w:rPr>
              <w:rFonts w:ascii="仿宋" w:hAnsi="仿宋" w:eastAsia="仿宋" w:cs="仿宋"/>
              <w:spacing w:val="-7"/>
              <w:sz w:val="26"/>
              <w:szCs w:val="26"/>
            </w:rPr>
            <w:t>28</w:t>
          </w:r>
          <w:r>
            <w:rPr>
              <w:rFonts w:ascii="仿宋" w:hAnsi="仿宋" w:eastAsia="仿宋" w:cs="仿宋"/>
              <w:spacing w:val="-7"/>
              <w:sz w:val="26"/>
              <w:szCs w:val="26"/>
            </w:rPr>
            <w:fldChar w:fldCharType="end"/>
          </w:r>
        </w:p>
        <w:p w14:paraId="5421E422">
          <w:pPr>
            <w:tabs>
              <w:tab w:val="right" w:leader="dot" w:pos="9230"/>
            </w:tabs>
            <w:spacing w:before="186" w:line="222" w:lineRule="auto"/>
            <w:ind w:left="516"/>
            <w:rPr>
              <w:rFonts w:ascii="仿宋" w:hAnsi="仿宋" w:eastAsia="仿宋" w:cs="仿宋"/>
              <w:sz w:val="26"/>
              <w:szCs w:val="26"/>
            </w:rPr>
          </w:pPr>
          <w:bookmarkStart w:id="30" w:name="bookmark31"/>
          <w:bookmarkEnd w:id="30"/>
          <w:r>
            <w:fldChar w:fldCharType="begin"/>
          </w:r>
          <w:r>
            <w:instrText xml:space="preserve"> HYPERLINK \l "bookmark31" </w:instrText>
          </w:r>
          <w:r>
            <w:fldChar w:fldCharType="separate"/>
          </w:r>
          <w:r>
            <w:rPr>
              <w:rFonts w:ascii="仿宋" w:hAnsi="仿宋" w:eastAsia="仿宋" w:cs="仿宋"/>
              <w:spacing w:val="-4"/>
              <w:sz w:val="26"/>
              <w:szCs w:val="26"/>
            </w:rPr>
            <w:t>十二、其他说明</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52"/>
              <w:sz w:val="26"/>
              <w:szCs w:val="26"/>
            </w:rPr>
            <w:t xml:space="preserve"> </w:t>
          </w:r>
          <w:r>
            <w:rPr>
              <w:rFonts w:ascii="仿宋" w:hAnsi="仿宋" w:eastAsia="仿宋" w:cs="仿宋"/>
              <w:spacing w:val="-7"/>
              <w:sz w:val="26"/>
              <w:szCs w:val="26"/>
            </w:rPr>
            <w:t>28</w:t>
          </w:r>
          <w:r>
            <w:rPr>
              <w:rFonts w:ascii="仿宋" w:hAnsi="仿宋" w:eastAsia="仿宋" w:cs="仿宋"/>
              <w:spacing w:val="-7"/>
              <w:sz w:val="26"/>
              <w:szCs w:val="26"/>
            </w:rPr>
            <w:fldChar w:fldCharType="end"/>
          </w:r>
        </w:p>
        <w:p w14:paraId="24C8D1D3">
          <w:pPr>
            <w:tabs>
              <w:tab w:val="right" w:leader="dot" w:pos="9230"/>
            </w:tabs>
            <w:spacing w:before="188" w:line="220" w:lineRule="auto"/>
            <w:ind w:left="1028"/>
            <w:rPr>
              <w:rFonts w:ascii="仿宋" w:hAnsi="仿宋" w:eastAsia="仿宋" w:cs="仿宋"/>
              <w:sz w:val="26"/>
              <w:szCs w:val="26"/>
            </w:rPr>
          </w:pPr>
          <w:bookmarkStart w:id="31" w:name="bookmark32"/>
          <w:bookmarkEnd w:id="31"/>
          <w:r>
            <w:fldChar w:fldCharType="begin"/>
          </w:r>
          <w:r>
            <w:instrText xml:space="preserve"> HYPERLINK \l "bookmark32" </w:instrText>
          </w:r>
          <w:r>
            <w:fldChar w:fldCharType="separate"/>
          </w:r>
          <w:r>
            <w:rPr>
              <w:rFonts w:ascii="仿宋" w:hAnsi="仿宋" w:eastAsia="仿宋" w:cs="仿宋"/>
              <w:spacing w:val="-3"/>
              <w:sz w:val="26"/>
              <w:szCs w:val="26"/>
            </w:rPr>
            <w:t>（一）政府购买服务指导性目录</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7"/>
              <w:sz w:val="26"/>
              <w:szCs w:val="26"/>
            </w:rPr>
            <w:t>28</w:t>
          </w:r>
          <w:r>
            <w:rPr>
              <w:rFonts w:ascii="仿宋" w:hAnsi="仿宋" w:eastAsia="仿宋" w:cs="仿宋"/>
              <w:spacing w:val="-7"/>
              <w:sz w:val="26"/>
              <w:szCs w:val="26"/>
            </w:rPr>
            <w:fldChar w:fldCharType="end"/>
          </w:r>
        </w:p>
        <w:p w14:paraId="27DBCB25">
          <w:pPr>
            <w:tabs>
              <w:tab w:val="right" w:leader="dot" w:pos="9230"/>
            </w:tabs>
            <w:spacing w:before="189" w:line="222" w:lineRule="auto"/>
            <w:ind w:left="1028"/>
            <w:rPr>
              <w:rFonts w:ascii="仿宋" w:hAnsi="仿宋" w:eastAsia="仿宋" w:cs="仿宋"/>
              <w:sz w:val="26"/>
              <w:szCs w:val="26"/>
            </w:rPr>
          </w:pPr>
          <w:bookmarkStart w:id="32" w:name="bookmark33"/>
          <w:bookmarkEnd w:id="32"/>
          <w:r>
            <w:fldChar w:fldCharType="begin"/>
          </w:r>
          <w:r>
            <w:instrText xml:space="preserve"> HYPERLINK \l "bookmark33" </w:instrText>
          </w:r>
          <w:r>
            <w:fldChar w:fldCharType="separate"/>
          </w:r>
          <w:r>
            <w:rPr>
              <w:rFonts w:ascii="仿宋" w:hAnsi="仿宋" w:eastAsia="仿宋" w:cs="仿宋"/>
              <w:spacing w:val="-8"/>
              <w:sz w:val="26"/>
              <w:szCs w:val="26"/>
            </w:rPr>
            <w:t>（二）其他</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52"/>
              <w:sz w:val="26"/>
              <w:szCs w:val="26"/>
            </w:rPr>
            <w:t xml:space="preserve"> </w:t>
          </w:r>
          <w:r>
            <w:rPr>
              <w:rFonts w:ascii="仿宋" w:hAnsi="仿宋" w:eastAsia="仿宋" w:cs="仿宋"/>
              <w:spacing w:val="-7"/>
              <w:sz w:val="26"/>
              <w:szCs w:val="26"/>
            </w:rPr>
            <w:t>28</w:t>
          </w:r>
          <w:r>
            <w:rPr>
              <w:rFonts w:ascii="仿宋" w:hAnsi="仿宋" w:eastAsia="仿宋" w:cs="仿宋"/>
              <w:spacing w:val="-7"/>
              <w:sz w:val="26"/>
              <w:szCs w:val="26"/>
            </w:rPr>
            <w:fldChar w:fldCharType="end"/>
          </w:r>
        </w:p>
        <w:p w14:paraId="43C2B751">
          <w:pPr>
            <w:tabs>
              <w:tab w:val="right" w:leader="dot" w:pos="9230"/>
            </w:tabs>
            <w:spacing w:before="188" w:line="222" w:lineRule="auto"/>
            <w:rPr>
              <w:rFonts w:ascii="仿宋" w:hAnsi="仿宋" w:eastAsia="仿宋" w:cs="仿宋"/>
              <w:sz w:val="26"/>
              <w:szCs w:val="26"/>
            </w:rPr>
          </w:pPr>
          <w:bookmarkStart w:id="33" w:name="bookmark34"/>
          <w:bookmarkEnd w:id="33"/>
          <w:r>
            <w:fldChar w:fldCharType="begin"/>
          </w:r>
          <w:r>
            <w:instrText xml:space="preserve"> HYPERLINK \l "bookmark34"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b/>
              <w:bCs/>
              <w:spacing w:val="-10"/>
              <w:sz w:val="26"/>
              <w:szCs w:val="26"/>
            </w:rPr>
            <w:t>30</w:t>
          </w:r>
          <w:r>
            <w:rPr>
              <w:rFonts w:ascii="仿宋" w:hAnsi="仿宋" w:eastAsia="仿宋" w:cs="仿宋"/>
              <w:b/>
              <w:bCs/>
              <w:spacing w:val="-10"/>
              <w:sz w:val="26"/>
              <w:szCs w:val="26"/>
            </w:rPr>
            <w:fldChar w:fldCharType="end"/>
          </w:r>
        </w:p>
      </w:sdtContent>
    </w:sdt>
    <w:p w14:paraId="4F6EA299">
      <w:pPr>
        <w:spacing w:line="222" w:lineRule="auto"/>
        <w:rPr>
          <w:rFonts w:ascii="仿宋" w:hAnsi="仿宋" w:eastAsia="仿宋" w:cs="仿宋"/>
          <w:sz w:val="26"/>
          <w:szCs w:val="26"/>
        </w:rPr>
        <w:sectPr>
          <w:pgSz w:w="11900" w:h="16840"/>
          <w:pgMar w:top="943" w:right="1320" w:bottom="0" w:left="1348" w:header="0" w:footer="0" w:gutter="0"/>
          <w:cols w:space="720" w:num="1"/>
        </w:sectPr>
      </w:pPr>
    </w:p>
    <w:p w14:paraId="3978543A">
      <w:pPr>
        <w:spacing w:line="291" w:lineRule="auto"/>
        <w:rPr>
          <w:rFonts w:ascii="Arial"/>
          <w:sz w:val="21"/>
        </w:rPr>
      </w:pPr>
    </w:p>
    <w:p w14:paraId="6C0A9986">
      <w:pPr>
        <w:spacing w:before="81" w:line="222" w:lineRule="auto"/>
        <w:ind w:left="4529"/>
        <w:outlineLvl w:val="0"/>
        <w:rPr>
          <w:rFonts w:ascii="黑体" w:hAnsi="黑体" w:eastAsia="黑体" w:cs="黑体"/>
          <w:sz w:val="25"/>
          <w:szCs w:val="25"/>
        </w:rPr>
      </w:pPr>
      <w:bookmarkStart w:id="34" w:name="bookmark2"/>
      <w:bookmarkEnd w:id="34"/>
      <w:bookmarkStart w:id="35" w:name="bookmark35"/>
      <w:bookmarkEnd w:id="35"/>
      <w:r>
        <w:rPr>
          <w:rFonts w:ascii="黑体" w:hAnsi="黑体" w:eastAsia="黑体" w:cs="黑体"/>
          <w:sz w:val="25"/>
          <w:szCs w:val="25"/>
        </w:rPr>
        <w:t>第一部分 概况</w:t>
      </w:r>
    </w:p>
    <w:p w14:paraId="541014D9">
      <w:pPr>
        <w:spacing w:before="203" w:line="222" w:lineRule="auto"/>
        <w:ind w:left="704"/>
        <w:outlineLvl w:val="1"/>
        <w:rPr>
          <w:rFonts w:ascii="黑体" w:hAnsi="黑体" w:eastAsia="黑体" w:cs="黑体"/>
          <w:sz w:val="25"/>
          <w:szCs w:val="25"/>
        </w:rPr>
      </w:pPr>
      <w:bookmarkStart w:id="36" w:name="bookmark3"/>
      <w:bookmarkEnd w:id="36"/>
      <w:r>
        <w:rPr>
          <w:rFonts w:ascii="黑体" w:hAnsi="黑体" w:eastAsia="黑体" w:cs="黑体"/>
          <w:spacing w:val="-1"/>
          <w:sz w:val="25"/>
          <w:szCs w:val="25"/>
        </w:rPr>
        <w:t>一、本单位职责</w:t>
      </w:r>
    </w:p>
    <w:p w14:paraId="3C79EF3F">
      <w:pPr>
        <w:spacing w:before="275" w:line="303" w:lineRule="auto"/>
        <w:ind w:left="707" w:right="811" w:firstLine="4"/>
        <w:rPr>
          <w:rFonts w:ascii="仿宋" w:hAnsi="仿宋" w:eastAsia="仿宋" w:cs="仿宋"/>
          <w:sz w:val="25"/>
          <w:szCs w:val="25"/>
        </w:rPr>
      </w:pPr>
      <w:r>
        <w:rPr>
          <w:rFonts w:ascii="仿宋" w:hAnsi="仿宋" w:eastAsia="仿宋" w:cs="仿宋"/>
          <w:spacing w:val="1"/>
          <w:sz w:val="25"/>
          <w:szCs w:val="25"/>
        </w:rPr>
        <w:t>古县行政审批服务管理局于2019年3月15日挂牌成立，位于岳阳镇康庄街，是县人民</w:t>
      </w:r>
      <w:r>
        <w:rPr>
          <w:rFonts w:ascii="仿宋" w:hAnsi="仿宋" w:eastAsia="仿宋" w:cs="仿宋"/>
          <w:spacing w:val="10"/>
          <w:sz w:val="25"/>
          <w:szCs w:val="25"/>
        </w:rPr>
        <w:t xml:space="preserve"> </w:t>
      </w:r>
      <w:r>
        <w:rPr>
          <w:rFonts w:ascii="仿宋" w:hAnsi="仿宋" w:eastAsia="仿宋" w:cs="仿宋"/>
          <w:spacing w:val="2"/>
          <w:sz w:val="25"/>
          <w:szCs w:val="25"/>
        </w:rPr>
        <w:t>政府工作部门，为正科级，加挂古县政务信息管理局牌子。贯彻落实党中央、省</w:t>
      </w:r>
    </w:p>
    <w:p w14:paraId="26BBD92C">
      <w:pPr>
        <w:spacing w:before="43" w:line="303" w:lineRule="auto"/>
        <w:ind w:left="706" w:right="937" w:firstLine="9"/>
        <w:rPr>
          <w:rFonts w:ascii="仿宋" w:hAnsi="仿宋" w:eastAsia="仿宋" w:cs="仿宋"/>
          <w:sz w:val="25"/>
          <w:szCs w:val="25"/>
        </w:rPr>
      </w:pPr>
      <w:r>
        <w:rPr>
          <w:rFonts w:ascii="仿宋" w:hAnsi="仿宋" w:eastAsia="仿宋" w:cs="仿宋"/>
          <w:spacing w:val="1"/>
          <w:sz w:val="25"/>
          <w:szCs w:val="25"/>
        </w:rPr>
        <w:t>委、市委、县委关于行政审批工作的方针政策和决策部署，在履行职责过程中坚持</w:t>
      </w:r>
      <w:r>
        <w:rPr>
          <w:rFonts w:ascii="仿宋" w:hAnsi="仿宋" w:eastAsia="仿宋" w:cs="仿宋"/>
          <w:spacing w:val="9"/>
          <w:sz w:val="25"/>
          <w:szCs w:val="25"/>
        </w:rPr>
        <w:t xml:space="preserve"> </w:t>
      </w:r>
      <w:r>
        <w:rPr>
          <w:rFonts w:ascii="仿宋" w:hAnsi="仿宋" w:eastAsia="仿宋" w:cs="仿宋"/>
          <w:sz w:val="25"/>
          <w:szCs w:val="25"/>
        </w:rPr>
        <w:t>和加强党对行政审批工作的集中统一领导。</w:t>
      </w:r>
    </w:p>
    <w:p w14:paraId="3D7960AD">
      <w:pPr>
        <w:spacing w:before="43" w:line="226" w:lineRule="auto"/>
        <w:ind w:left="713"/>
        <w:rPr>
          <w:rFonts w:ascii="仿宋" w:hAnsi="仿宋" w:eastAsia="仿宋" w:cs="仿宋"/>
          <w:sz w:val="25"/>
          <w:szCs w:val="25"/>
        </w:rPr>
      </w:pPr>
      <w:r>
        <w:rPr>
          <w:rFonts w:ascii="仿宋" w:hAnsi="仿宋" w:eastAsia="仿宋" w:cs="仿宋"/>
          <w:spacing w:val="-3"/>
          <w:sz w:val="25"/>
          <w:szCs w:val="25"/>
        </w:rPr>
        <w:t>主要职责是:</w:t>
      </w:r>
    </w:p>
    <w:p w14:paraId="0F2967DF">
      <w:pPr>
        <w:spacing w:before="124" w:line="295" w:lineRule="auto"/>
        <w:ind w:left="707" w:right="937"/>
        <w:rPr>
          <w:rFonts w:ascii="仿宋" w:hAnsi="仿宋" w:eastAsia="仿宋" w:cs="仿宋"/>
          <w:sz w:val="25"/>
          <w:szCs w:val="25"/>
        </w:rPr>
      </w:pPr>
      <w:r>
        <w:rPr>
          <w:rFonts w:ascii="仿宋" w:hAnsi="仿宋" w:eastAsia="仿宋" w:cs="仿宋"/>
          <w:spacing w:val="1"/>
          <w:sz w:val="25"/>
          <w:szCs w:val="25"/>
        </w:rPr>
        <w:t>（一）贯彻执行党中央、国务院关于行政审批政务改革、政务服务、政府采购、政</w:t>
      </w:r>
      <w:r>
        <w:rPr>
          <w:rFonts w:ascii="仿宋" w:hAnsi="仿宋" w:eastAsia="仿宋" w:cs="仿宋"/>
          <w:spacing w:val="17"/>
          <w:sz w:val="25"/>
          <w:szCs w:val="25"/>
        </w:rPr>
        <w:t xml:space="preserve"> </w:t>
      </w:r>
      <w:r>
        <w:rPr>
          <w:rFonts w:ascii="仿宋" w:hAnsi="仿宋" w:eastAsia="仿宋" w:cs="仿宋"/>
          <w:spacing w:val="1"/>
          <w:sz w:val="25"/>
          <w:szCs w:val="25"/>
        </w:rPr>
        <w:t>务信息管理的方针政策、法律法规及省委、省政府、市委、市政府、县委、县政府</w:t>
      </w:r>
      <w:r>
        <w:rPr>
          <w:rFonts w:ascii="仿宋" w:hAnsi="仿宋" w:eastAsia="仿宋" w:cs="仿宋"/>
          <w:spacing w:val="16"/>
          <w:sz w:val="25"/>
          <w:szCs w:val="25"/>
        </w:rPr>
        <w:t xml:space="preserve"> </w:t>
      </w:r>
      <w:r>
        <w:rPr>
          <w:rFonts w:ascii="仿宋" w:hAnsi="仿宋" w:eastAsia="仿宋" w:cs="仿宋"/>
          <w:spacing w:val="1"/>
          <w:sz w:val="25"/>
          <w:szCs w:val="25"/>
        </w:rPr>
        <w:t>的决策部署。统筹指导、协调、监督、推进全县政务服务、政府采购体系建设及全</w:t>
      </w:r>
      <w:r>
        <w:rPr>
          <w:rFonts w:ascii="仿宋" w:hAnsi="仿宋" w:eastAsia="仿宋" w:cs="仿宋"/>
          <w:spacing w:val="16"/>
          <w:sz w:val="25"/>
          <w:szCs w:val="25"/>
        </w:rPr>
        <w:t xml:space="preserve"> </w:t>
      </w:r>
      <w:r>
        <w:rPr>
          <w:rFonts w:ascii="仿宋" w:hAnsi="仿宋" w:eastAsia="仿宋" w:cs="仿宋"/>
          <w:sz w:val="25"/>
          <w:szCs w:val="25"/>
        </w:rPr>
        <w:t>县政务改革和管理工作。</w:t>
      </w:r>
    </w:p>
    <w:p w14:paraId="3225C098">
      <w:pPr>
        <w:spacing w:before="133" w:line="287" w:lineRule="auto"/>
        <w:ind w:left="713" w:right="937" w:hanging="6"/>
        <w:rPr>
          <w:rFonts w:ascii="仿宋" w:hAnsi="仿宋" w:eastAsia="仿宋" w:cs="仿宋"/>
          <w:sz w:val="25"/>
          <w:szCs w:val="25"/>
        </w:rPr>
      </w:pPr>
      <w:r>
        <w:rPr>
          <w:rFonts w:ascii="仿宋" w:hAnsi="仿宋" w:eastAsia="仿宋" w:cs="仿宋"/>
          <w:spacing w:val="1"/>
          <w:sz w:val="25"/>
          <w:szCs w:val="25"/>
        </w:rPr>
        <w:t>（二）负责组织开展全县政务改革和管理有关重大和长远问题的调查研究，起草相</w:t>
      </w:r>
      <w:r>
        <w:rPr>
          <w:rFonts w:ascii="仿宋" w:hAnsi="仿宋" w:eastAsia="仿宋" w:cs="仿宋"/>
          <w:spacing w:val="17"/>
          <w:sz w:val="25"/>
          <w:szCs w:val="25"/>
        </w:rPr>
        <w:t xml:space="preserve"> </w:t>
      </w:r>
      <w:r>
        <w:rPr>
          <w:rFonts w:ascii="仿宋" w:hAnsi="仿宋" w:eastAsia="仿宋" w:cs="仿宋"/>
          <w:spacing w:val="1"/>
          <w:sz w:val="25"/>
          <w:szCs w:val="25"/>
        </w:rPr>
        <w:t>关规范性文件，组织全县各部门落实省委、省政府、市委、市政府、县委、县政府</w:t>
      </w:r>
      <w:r>
        <w:rPr>
          <w:rFonts w:ascii="仿宋" w:hAnsi="仿宋" w:eastAsia="仿宋" w:cs="仿宋"/>
          <w:spacing w:val="11"/>
          <w:sz w:val="25"/>
          <w:szCs w:val="25"/>
        </w:rPr>
        <w:t xml:space="preserve"> </w:t>
      </w:r>
      <w:r>
        <w:rPr>
          <w:rFonts w:ascii="仿宋" w:hAnsi="仿宋" w:eastAsia="仿宋" w:cs="仿宋"/>
          <w:sz w:val="25"/>
          <w:szCs w:val="25"/>
        </w:rPr>
        <w:t>重要领域、关键环节的重大政务改革举措。</w:t>
      </w:r>
    </w:p>
    <w:p w14:paraId="48A381E9">
      <w:pPr>
        <w:spacing w:before="129" w:line="295" w:lineRule="auto"/>
        <w:ind w:left="706" w:right="937" w:firstLine="1"/>
        <w:rPr>
          <w:rFonts w:ascii="仿宋" w:hAnsi="仿宋" w:eastAsia="仿宋" w:cs="仿宋"/>
          <w:sz w:val="25"/>
          <w:szCs w:val="25"/>
        </w:rPr>
      </w:pPr>
      <w:r>
        <w:rPr>
          <w:rFonts w:ascii="仿宋" w:hAnsi="仿宋" w:eastAsia="仿宋" w:cs="仿宋"/>
          <w:spacing w:val="1"/>
          <w:sz w:val="25"/>
          <w:szCs w:val="25"/>
        </w:rPr>
        <w:t>（三）负责推进全县政务服务体系和政务服务标准化建设，制定审批服务运行评价</w:t>
      </w:r>
      <w:r>
        <w:rPr>
          <w:rFonts w:ascii="仿宋" w:hAnsi="仿宋" w:eastAsia="仿宋" w:cs="仿宋"/>
          <w:spacing w:val="17"/>
          <w:sz w:val="25"/>
          <w:szCs w:val="25"/>
        </w:rPr>
        <w:t xml:space="preserve"> </w:t>
      </w:r>
      <w:r>
        <w:rPr>
          <w:rFonts w:ascii="仿宋" w:hAnsi="仿宋" w:eastAsia="仿宋" w:cs="仿宋"/>
          <w:spacing w:val="2"/>
          <w:sz w:val="25"/>
          <w:szCs w:val="25"/>
        </w:rPr>
        <w:t>标准，建立相应考核评价机制。负责优化简</w:t>
      </w:r>
      <w:r>
        <w:rPr>
          <w:rFonts w:ascii="仿宋" w:hAnsi="仿宋" w:eastAsia="仿宋" w:cs="仿宋"/>
          <w:spacing w:val="1"/>
          <w:sz w:val="25"/>
          <w:szCs w:val="25"/>
        </w:rPr>
        <w:t>化线上线下政务服务流程，梳理编制公</w:t>
      </w:r>
      <w:r>
        <w:rPr>
          <w:rFonts w:ascii="仿宋" w:hAnsi="仿宋" w:eastAsia="仿宋" w:cs="仿宋"/>
          <w:sz w:val="25"/>
          <w:szCs w:val="25"/>
        </w:rPr>
        <w:t xml:space="preserve"> </w:t>
      </w:r>
      <w:r>
        <w:rPr>
          <w:rFonts w:ascii="仿宋" w:hAnsi="仿宋" w:eastAsia="仿宋" w:cs="仿宋"/>
          <w:spacing w:val="1"/>
          <w:sz w:val="25"/>
          <w:szCs w:val="25"/>
        </w:rPr>
        <w:t>布“马上办、网上办、就近办、一次办</w:t>
      </w:r>
      <w:r>
        <w:rPr>
          <w:rFonts w:ascii="仿宋" w:hAnsi="仿宋" w:eastAsia="仿宋" w:cs="仿宋"/>
          <w:spacing w:val="-90"/>
          <w:sz w:val="25"/>
          <w:szCs w:val="25"/>
        </w:rPr>
        <w:t xml:space="preserve"> </w:t>
      </w:r>
      <w:r>
        <w:rPr>
          <w:rFonts w:ascii="仿宋" w:hAnsi="仿宋" w:eastAsia="仿宋" w:cs="仿宋"/>
          <w:spacing w:val="1"/>
          <w:sz w:val="25"/>
          <w:szCs w:val="25"/>
        </w:rPr>
        <w:t>”事项</w:t>
      </w:r>
      <w:r>
        <w:rPr>
          <w:rFonts w:ascii="仿宋" w:hAnsi="仿宋" w:eastAsia="仿宋" w:cs="仿宋"/>
          <w:sz w:val="25"/>
          <w:szCs w:val="25"/>
        </w:rPr>
        <w:t>清单，对政务服务事项实行清单化管 理，规范政务服务行为。</w:t>
      </w:r>
    </w:p>
    <w:p w14:paraId="72A189DC">
      <w:pPr>
        <w:spacing w:before="132" w:line="270" w:lineRule="auto"/>
        <w:ind w:left="712" w:right="937" w:hanging="5"/>
        <w:rPr>
          <w:rFonts w:ascii="仿宋" w:hAnsi="仿宋" w:eastAsia="仿宋" w:cs="仿宋"/>
          <w:sz w:val="25"/>
          <w:szCs w:val="25"/>
        </w:rPr>
      </w:pPr>
      <w:r>
        <w:rPr>
          <w:rFonts w:ascii="仿宋" w:hAnsi="仿宋" w:eastAsia="仿宋" w:cs="仿宋"/>
          <w:spacing w:val="1"/>
          <w:sz w:val="25"/>
          <w:szCs w:val="25"/>
        </w:rPr>
        <w:t>（四）负责组织推进全县行政审批制度改革工作，承担县级行政审批制度改革具体</w:t>
      </w:r>
      <w:r>
        <w:rPr>
          <w:rFonts w:ascii="仿宋" w:hAnsi="仿宋" w:eastAsia="仿宋" w:cs="仿宋"/>
          <w:spacing w:val="17"/>
          <w:sz w:val="25"/>
          <w:szCs w:val="25"/>
        </w:rPr>
        <w:t xml:space="preserve"> </w:t>
      </w:r>
      <w:r>
        <w:rPr>
          <w:rFonts w:ascii="仿宋" w:hAnsi="仿宋" w:eastAsia="仿宋" w:cs="仿宋"/>
          <w:spacing w:val="1"/>
          <w:sz w:val="25"/>
          <w:szCs w:val="25"/>
        </w:rPr>
        <w:t>工作。负责推进县级相对集中行政许可权改革工作，探索推行“大厅之外无审</w:t>
      </w:r>
    </w:p>
    <w:p w14:paraId="01620DE4">
      <w:pPr>
        <w:spacing w:before="132" w:line="223" w:lineRule="auto"/>
        <w:ind w:left="706"/>
        <w:rPr>
          <w:rFonts w:ascii="仿宋" w:hAnsi="仿宋" w:eastAsia="仿宋" w:cs="仿宋"/>
          <w:sz w:val="25"/>
          <w:szCs w:val="25"/>
        </w:rPr>
      </w:pPr>
      <w:r>
        <w:rPr>
          <w:rFonts w:ascii="仿宋" w:hAnsi="仿宋" w:eastAsia="仿宋" w:cs="仿宋"/>
          <w:spacing w:val="-3"/>
          <w:sz w:val="25"/>
          <w:szCs w:val="25"/>
        </w:rPr>
        <w:t>批</w:t>
      </w:r>
      <w:r>
        <w:rPr>
          <w:rFonts w:ascii="仿宋" w:hAnsi="仿宋" w:eastAsia="仿宋" w:cs="仿宋"/>
          <w:spacing w:val="-84"/>
          <w:sz w:val="25"/>
          <w:szCs w:val="25"/>
        </w:rPr>
        <w:t xml:space="preserve"> </w:t>
      </w:r>
      <w:r>
        <w:rPr>
          <w:rFonts w:ascii="仿宋" w:hAnsi="仿宋" w:eastAsia="仿宋" w:cs="仿宋"/>
          <w:spacing w:val="-3"/>
          <w:sz w:val="25"/>
          <w:szCs w:val="25"/>
        </w:rPr>
        <w:t>”“一枚印章管审批</w:t>
      </w:r>
      <w:r>
        <w:rPr>
          <w:rFonts w:ascii="仿宋" w:hAnsi="仿宋" w:eastAsia="仿宋" w:cs="仿宋"/>
          <w:spacing w:val="-90"/>
          <w:sz w:val="25"/>
          <w:szCs w:val="25"/>
        </w:rPr>
        <w:t xml:space="preserve"> </w:t>
      </w:r>
      <w:r>
        <w:rPr>
          <w:rFonts w:ascii="仿宋" w:hAnsi="仿宋" w:eastAsia="仿宋" w:cs="仿宋"/>
          <w:spacing w:val="-3"/>
          <w:sz w:val="25"/>
          <w:szCs w:val="25"/>
        </w:rPr>
        <w:t>”。</w:t>
      </w:r>
    </w:p>
    <w:p w14:paraId="7F18321D">
      <w:pPr>
        <w:spacing w:before="132" w:line="287" w:lineRule="auto"/>
        <w:ind w:left="706" w:right="937" w:firstLine="1"/>
        <w:rPr>
          <w:rFonts w:ascii="仿宋" w:hAnsi="仿宋" w:eastAsia="仿宋" w:cs="仿宋"/>
          <w:sz w:val="25"/>
          <w:szCs w:val="25"/>
        </w:rPr>
      </w:pPr>
      <w:r>
        <w:rPr>
          <w:rFonts w:ascii="仿宋" w:hAnsi="仿宋" w:eastAsia="仿宋" w:cs="仿宋"/>
          <w:spacing w:val="1"/>
          <w:sz w:val="25"/>
          <w:szCs w:val="25"/>
        </w:rPr>
        <w:t>（五）负责统筹协调、指导、监督、推进全县政府采购工作，组织指导全县政府采</w:t>
      </w:r>
      <w:r>
        <w:rPr>
          <w:rFonts w:ascii="仿宋" w:hAnsi="仿宋" w:eastAsia="仿宋" w:cs="仿宋"/>
          <w:spacing w:val="17"/>
          <w:sz w:val="25"/>
          <w:szCs w:val="25"/>
        </w:rPr>
        <w:t xml:space="preserve"> </w:t>
      </w:r>
      <w:r>
        <w:rPr>
          <w:rFonts w:ascii="仿宋" w:hAnsi="仿宋" w:eastAsia="仿宋" w:cs="仿宋"/>
          <w:spacing w:val="1"/>
          <w:sz w:val="25"/>
          <w:szCs w:val="25"/>
        </w:rPr>
        <w:t>购体系建设。统筹推进全县政府采购平台建设。负责编制全县政府采购目录。负责</w:t>
      </w:r>
      <w:r>
        <w:rPr>
          <w:rFonts w:ascii="仿宋" w:hAnsi="仿宋" w:eastAsia="仿宋" w:cs="仿宋"/>
          <w:spacing w:val="18"/>
          <w:sz w:val="25"/>
          <w:szCs w:val="25"/>
        </w:rPr>
        <w:t xml:space="preserve"> </w:t>
      </w:r>
      <w:r>
        <w:rPr>
          <w:rFonts w:ascii="仿宋" w:hAnsi="仿宋" w:eastAsia="仿宋" w:cs="仿宋"/>
          <w:spacing w:val="1"/>
          <w:sz w:val="25"/>
          <w:szCs w:val="25"/>
        </w:rPr>
        <w:t>整合建设和管理全县统一的综合评标专家库。</w:t>
      </w:r>
    </w:p>
    <w:p w14:paraId="4ECE51B1">
      <w:pPr>
        <w:spacing w:before="128" w:line="287" w:lineRule="auto"/>
        <w:ind w:left="706" w:right="937" w:firstLine="1"/>
        <w:rPr>
          <w:rFonts w:ascii="仿宋" w:hAnsi="仿宋" w:eastAsia="仿宋" w:cs="仿宋"/>
          <w:sz w:val="25"/>
          <w:szCs w:val="25"/>
        </w:rPr>
      </w:pPr>
      <w:r>
        <w:rPr>
          <w:rFonts w:ascii="仿宋" w:hAnsi="仿宋" w:eastAsia="仿宋" w:cs="仿宋"/>
          <w:spacing w:val="1"/>
          <w:sz w:val="25"/>
          <w:szCs w:val="25"/>
        </w:rPr>
        <w:t>（六）负责制定行政审批、公共服务中介服务标准体系，清理规范中介服务事项和</w:t>
      </w:r>
      <w:r>
        <w:rPr>
          <w:rFonts w:ascii="仿宋" w:hAnsi="仿宋" w:eastAsia="仿宋" w:cs="仿宋"/>
          <w:spacing w:val="17"/>
          <w:sz w:val="25"/>
          <w:szCs w:val="25"/>
        </w:rPr>
        <w:t xml:space="preserve"> </w:t>
      </w:r>
      <w:r>
        <w:rPr>
          <w:rFonts w:ascii="仿宋" w:hAnsi="仿宋" w:eastAsia="仿宋" w:cs="仿宋"/>
          <w:spacing w:val="1"/>
          <w:sz w:val="25"/>
          <w:szCs w:val="25"/>
        </w:rPr>
        <w:t>机构。负责对进入县级政务服务平台中介服务机构的管理、监督工作。负责建设全</w:t>
      </w:r>
      <w:r>
        <w:rPr>
          <w:rFonts w:ascii="仿宋" w:hAnsi="仿宋" w:eastAsia="仿宋" w:cs="仿宋"/>
          <w:spacing w:val="18"/>
          <w:sz w:val="25"/>
          <w:szCs w:val="25"/>
        </w:rPr>
        <w:t xml:space="preserve"> </w:t>
      </w:r>
      <w:r>
        <w:rPr>
          <w:rFonts w:ascii="仿宋" w:hAnsi="仿宋" w:eastAsia="仿宋" w:cs="仿宋"/>
          <w:sz w:val="25"/>
          <w:szCs w:val="25"/>
        </w:rPr>
        <w:t>县中介服务网上交易平台。</w:t>
      </w:r>
    </w:p>
    <w:p w14:paraId="3C69D729">
      <w:pPr>
        <w:spacing w:before="131" w:line="270" w:lineRule="auto"/>
        <w:ind w:left="706" w:right="811" w:firstLine="1"/>
        <w:rPr>
          <w:rFonts w:ascii="仿宋" w:hAnsi="仿宋" w:eastAsia="仿宋" w:cs="仿宋"/>
          <w:sz w:val="25"/>
          <w:szCs w:val="25"/>
        </w:rPr>
      </w:pPr>
      <w:r>
        <w:rPr>
          <w:rFonts w:ascii="仿宋" w:hAnsi="仿宋" w:eastAsia="仿宋" w:cs="仿宋"/>
          <w:spacing w:val="1"/>
          <w:sz w:val="25"/>
          <w:szCs w:val="25"/>
        </w:rPr>
        <w:t>（七）负责统筹推进全县“互联网+政务服</w:t>
      </w:r>
      <w:r>
        <w:rPr>
          <w:rFonts w:ascii="仿宋" w:hAnsi="仿宋" w:eastAsia="仿宋" w:cs="仿宋"/>
          <w:sz w:val="25"/>
          <w:szCs w:val="25"/>
        </w:rPr>
        <w:t>务</w:t>
      </w:r>
      <w:r>
        <w:rPr>
          <w:rFonts w:ascii="仿宋" w:hAnsi="仿宋" w:eastAsia="仿宋" w:cs="仿宋"/>
          <w:spacing w:val="-90"/>
          <w:sz w:val="25"/>
          <w:szCs w:val="25"/>
        </w:rPr>
        <w:t xml:space="preserve"> </w:t>
      </w:r>
      <w:r>
        <w:rPr>
          <w:rFonts w:ascii="仿宋" w:hAnsi="仿宋" w:eastAsia="仿宋" w:cs="仿宋"/>
          <w:sz w:val="25"/>
          <w:szCs w:val="25"/>
        </w:rPr>
        <w:t xml:space="preserve">”工作。负责全县一体化在线政务服务 </w:t>
      </w:r>
      <w:r>
        <w:rPr>
          <w:rFonts w:ascii="仿宋" w:hAnsi="仿宋" w:eastAsia="仿宋" w:cs="仿宋"/>
          <w:spacing w:val="1"/>
          <w:sz w:val="25"/>
          <w:szCs w:val="25"/>
        </w:rPr>
        <w:t>平台建设。承担县级在线政务服务平台的管理、维护工作。</w:t>
      </w:r>
    </w:p>
    <w:p w14:paraId="1199447F">
      <w:pPr>
        <w:spacing w:before="133" w:line="300" w:lineRule="auto"/>
        <w:ind w:left="707" w:right="937"/>
        <w:rPr>
          <w:rFonts w:ascii="仿宋" w:hAnsi="仿宋" w:eastAsia="仿宋" w:cs="仿宋"/>
          <w:sz w:val="25"/>
          <w:szCs w:val="25"/>
        </w:rPr>
      </w:pPr>
      <w:r>
        <w:rPr>
          <w:rFonts w:ascii="仿宋" w:hAnsi="仿宋" w:eastAsia="仿宋" w:cs="仿宋"/>
          <w:spacing w:val="1"/>
          <w:sz w:val="25"/>
          <w:szCs w:val="25"/>
        </w:rPr>
        <w:t>（八）拟定并组织实施全县政务大数据发展应用规划和政策措施。负责推进全县政</w:t>
      </w:r>
      <w:r>
        <w:rPr>
          <w:rFonts w:ascii="仿宋" w:hAnsi="仿宋" w:eastAsia="仿宋" w:cs="仿宋"/>
          <w:spacing w:val="17"/>
          <w:sz w:val="25"/>
          <w:szCs w:val="25"/>
        </w:rPr>
        <w:t xml:space="preserve"> </w:t>
      </w:r>
      <w:r>
        <w:rPr>
          <w:rFonts w:ascii="仿宋" w:hAnsi="仿宋" w:eastAsia="仿宋" w:cs="仿宋"/>
          <w:spacing w:val="1"/>
          <w:sz w:val="25"/>
          <w:szCs w:val="25"/>
        </w:rPr>
        <w:t>务信息系统集约建设运维、政府各部门业务协同和政务数据资源融合共享。负责建</w:t>
      </w:r>
      <w:r>
        <w:rPr>
          <w:rFonts w:ascii="仿宋" w:hAnsi="仿宋" w:eastAsia="仿宋" w:cs="仿宋"/>
          <w:spacing w:val="16"/>
          <w:sz w:val="25"/>
          <w:szCs w:val="25"/>
        </w:rPr>
        <w:t xml:space="preserve"> </w:t>
      </w:r>
      <w:r>
        <w:rPr>
          <w:rFonts w:ascii="仿宋" w:hAnsi="仿宋" w:eastAsia="仿宋" w:cs="仿宋"/>
          <w:sz w:val="25"/>
          <w:szCs w:val="25"/>
        </w:rPr>
        <w:t>立完善数据开放平台和标准体系，推动政府数据开放共享利用，承担“政务云</w:t>
      </w:r>
      <w:r>
        <w:rPr>
          <w:rFonts w:ascii="仿宋" w:hAnsi="仿宋" w:eastAsia="仿宋" w:cs="仿宋"/>
          <w:spacing w:val="-73"/>
          <w:sz w:val="25"/>
          <w:szCs w:val="25"/>
        </w:rPr>
        <w:t xml:space="preserve"> </w:t>
      </w:r>
      <w:r>
        <w:rPr>
          <w:rFonts w:ascii="仿宋" w:hAnsi="仿宋" w:eastAsia="仿宋" w:cs="仿宋"/>
          <w:sz w:val="25"/>
          <w:szCs w:val="25"/>
        </w:rPr>
        <w:t>”平 台建设，建立“政务上云</w:t>
      </w:r>
      <w:r>
        <w:rPr>
          <w:rFonts w:ascii="仿宋" w:hAnsi="仿宋" w:eastAsia="仿宋" w:cs="仿宋"/>
          <w:spacing w:val="-73"/>
          <w:sz w:val="25"/>
          <w:szCs w:val="25"/>
        </w:rPr>
        <w:t xml:space="preserve"> </w:t>
      </w:r>
      <w:r>
        <w:rPr>
          <w:rFonts w:ascii="仿宋" w:hAnsi="仿宋" w:eastAsia="仿宋" w:cs="仿宋"/>
          <w:sz w:val="25"/>
          <w:szCs w:val="25"/>
        </w:rPr>
        <w:t xml:space="preserve">”制度、标准体系。负责统一管理政务数据、统筹规划全 </w:t>
      </w:r>
      <w:r>
        <w:rPr>
          <w:rFonts w:ascii="仿宋" w:hAnsi="仿宋" w:eastAsia="仿宋" w:cs="仿宋"/>
          <w:spacing w:val="1"/>
          <w:sz w:val="25"/>
          <w:szCs w:val="25"/>
        </w:rPr>
        <w:t>县政务服务网络建设，统筹管理县直部门政务信息系统建设项目和资金，推动实现</w:t>
      </w:r>
    </w:p>
    <w:p w14:paraId="1C8C2266">
      <w:pPr>
        <w:spacing w:line="300" w:lineRule="auto"/>
        <w:rPr>
          <w:rFonts w:ascii="仿宋" w:hAnsi="仿宋" w:eastAsia="仿宋" w:cs="仿宋"/>
          <w:sz w:val="25"/>
          <w:szCs w:val="25"/>
        </w:rPr>
        <w:sectPr>
          <w:headerReference r:id="rId5" w:type="default"/>
          <w:footerReference r:id="rId6" w:type="default"/>
          <w:pgSz w:w="11900" w:h="16840"/>
          <w:pgMar w:top="610" w:right="600" w:bottom="312" w:left="600" w:header="357" w:footer="153" w:gutter="0"/>
          <w:cols w:space="720" w:num="1"/>
        </w:sectPr>
      </w:pPr>
    </w:p>
    <w:p w14:paraId="14842010">
      <w:pPr>
        <w:spacing w:line="422" w:lineRule="auto"/>
        <w:rPr>
          <w:rFonts w:ascii="Arial"/>
          <w:sz w:val="21"/>
        </w:rPr>
      </w:pPr>
    </w:p>
    <w:p w14:paraId="44EB831D">
      <w:pPr>
        <w:spacing w:before="81" w:line="222" w:lineRule="auto"/>
        <w:ind w:left="712"/>
        <w:rPr>
          <w:rFonts w:ascii="仿宋" w:hAnsi="仿宋" w:eastAsia="仿宋" w:cs="仿宋"/>
          <w:sz w:val="25"/>
          <w:szCs w:val="25"/>
        </w:rPr>
      </w:pPr>
      <w:r>
        <w:rPr>
          <w:rFonts w:ascii="仿宋" w:hAnsi="仿宋" w:eastAsia="仿宋" w:cs="仿宋"/>
          <w:sz w:val="25"/>
          <w:szCs w:val="25"/>
        </w:rPr>
        <w:t>全县域“一平台、一张网、一个库</w:t>
      </w:r>
      <w:r>
        <w:rPr>
          <w:rFonts w:ascii="仿宋" w:hAnsi="仿宋" w:eastAsia="仿宋" w:cs="仿宋"/>
          <w:spacing w:val="-81"/>
          <w:sz w:val="25"/>
          <w:szCs w:val="25"/>
        </w:rPr>
        <w:t xml:space="preserve"> </w:t>
      </w:r>
      <w:r>
        <w:rPr>
          <w:rFonts w:ascii="仿宋" w:hAnsi="仿宋" w:eastAsia="仿宋" w:cs="仿宋"/>
          <w:sz w:val="25"/>
          <w:szCs w:val="25"/>
        </w:rPr>
        <w:t>”。</w:t>
      </w:r>
    </w:p>
    <w:p w14:paraId="0988B443">
      <w:pPr>
        <w:spacing w:before="130" w:line="295" w:lineRule="auto"/>
        <w:ind w:left="707" w:right="811"/>
        <w:rPr>
          <w:rFonts w:ascii="仿宋" w:hAnsi="仿宋" w:eastAsia="仿宋" w:cs="仿宋"/>
          <w:sz w:val="25"/>
          <w:szCs w:val="25"/>
        </w:rPr>
      </w:pPr>
      <w:r>
        <w:rPr>
          <w:rFonts w:ascii="仿宋" w:hAnsi="仿宋" w:eastAsia="仿宋" w:cs="仿宋"/>
          <w:spacing w:val="1"/>
          <w:sz w:val="25"/>
          <w:szCs w:val="25"/>
        </w:rPr>
        <w:t>（九）统筹推进全县政务服务平台“互联网</w:t>
      </w:r>
      <w:r>
        <w:rPr>
          <w:rFonts w:ascii="仿宋" w:hAnsi="仿宋" w:eastAsia="仿宋" w:cs="仿宋"/>
          <w:sz w:val="25"/>
          <w:szCs w:val="25"/>
        </w:rPr>
        <w:t>+监管</w:t>
      </w:r>
      <w:r>
        <w:rPr>
          <w:rFonts w:ascii="仿宋" w:hAnsi="仿宋" w:eastAsia="仿宋" w:cs="仿宋"/>
          <w:spacing w:val="-90"/>
          <w:sz w:val="25"/>
          <w:szCs w:val="25"/>
        </w:rPr>
        <w:t xml:space="preserve"> </w:t>
      </w:r>
      <w:r>
        <w:rPr>
          <w:rFonts w:ascii="仿宋" w:hAnsi="仿宋" w:eastAsia="仿宋" w:cs="仿宋"/>
          <w:sz w:val="25"/>
          <w:szCs w:val="25"/>
        </w:rPr>
        <w:t xml:space="preserve">”体系建设。负责整合各类监管信 </w:t>
      </w:r>
      <w:r>
        <w:rPr>
          <w:rFonts w:ascii="仿宋" w:hAnsi="仿宋" w:eastAsia="仿宋" w:cs="仿宋"/>
          <w:spacing w:val="1"/>
          <w:sz w:val="25"/>
          <w:szCs w:val="25"/>
        </w:rPr>
        <w:t>息资源，汇集全县监管部门监管业务结果数据。负责对县政府有关部门及其所属单</w:t>
      </w:r>
      <w:r>
        <w:rPr>
          <w:rFonts w:ascii="仿宋" w:hAnsi="仿宋" w:eastAsia="仿宋" w:cs="仿宋"/>
          <w:spacing w:val="8"/>
          <w:sz w:val="25"/>
          <w:szCs w:val="25"/>
        </w:rPr>
        <w:t xml:space="preserve">  </w:t>
      </w:r>
      <w:r>
        <w:rPr>
          <w:rFonts w:ascii="仿宋" w:hAnsi="仿宋" w:eastAsia="仿宋" w:cs="仿宋"/>
          <w:spacing w:val="1"/>
          <w:sz w:val="25"/>
          <w:szCs w:val="25"/>
        </w:rPr>
        <w:t>位开展行政审批、公共服务、政府采购等工作的行政效能监察。承办、转办和督办</w:t>
      </w:r>
      <w:r>
        <w:rPr>
          <w:rFonts w:ascii="仿宋" w:hAnsi="仿宋" w:eastAsia="仿宋" w:cs="仿宋"/>
          <w:spacing w:val="8"/>
          <w:sz w:val="25"/>
          <w:szCs w:val="25"/>
        </w:rPr>
        <w:t xml:space="preserve">  </w:t>
      </w:r>
      <w:r>
        <w:rPr>
          <w:rFonts w:ascii="仿宋" w:hAnsi="仿宋" w:eastAsia="仿宋" w:cs="仿宋"/>
          <w:spacing w:val="1"/>
          <w:sz w:val="25"/>
          <w:szCs w:val="25"/>
        </w:rPr>
        <w:t>行政审批、公共服务和政府采购相关投诉举报、组织开展绩效考核。</w:t>
      </w:r>
    </w:p>
    <w:p w14:paraId="64609E88">
      <w:pPr>
        <w:spacing w:before="131" w:line="223" w:lineRule="auto"/>
        <w:ind w:left="707"/>
        <w:rPr>
          <w:rFonts w:ascii="仿宋" w:hAnsi="仿宋" w:eastAsia="仿宋" w:cs="仿宋"/>
          <w:sz w:val="25"/>
          <w:szCs w:val="25"/>
        </w:rPr>
      </w:pPr>
      <w:r>
        <w:rPr>
          <w:rFonts w:ascii="仿宋" w:hAnsi="仿宋" w:eastAsia="仿宋" w:cs="仿宋"/>
          <w:spacing w:val="1"/>
          <w:sz w:val="25"/>
          <w:szCs w:val="25"/>
        </w:rPr>
        <w:t>（十）承担县人民政府优化营商环境相关职责。</w:t>
      </w:r>
    </w:p>
    <w:p w14:paraId="415D7129">
      <w:pPr>
        <w:spacing w:before="130" w:line="308" w:lineRule="auto"/>
        <w:ind w:left="708" w:right="811" w:hanging="1"/>
        <w:jc w:val="both"/>
        <w:rPr>
          <w:rFonts w:ascii="仿宋" w:hAnsi="仿宋" w:eastAsia="仿宋" w:cs="仿宋"/>
          <w:sz w:val="25"/>
          <w:szCs w:val="25"/>
        </w:rPr>
      </w:pPr>
      <w:r>
        <w:rPr>
          <w:rFonts w:ascii="仿宋" w:hAnsi="仿宋" w:eastAsia="仿宋" w:cs="仿宋"/>
          <w:spacing w:val="1"/>
          <w:sz w:val="25"/>
          <w:szCs w:val="25"/>
        </w:rPr>
        <w:t>（十一）负责市长热线电子呼叫中心系统古县接入点维护、使用;处理临汾市长热线</w:t>
      </w:r>
      <w:r>
        <w:rPr>
          <w:rFonts w:ascii="仿宋" w:hAnsi="仿宋" w:eastAsia="仿宋" w:cs="仿宋"/>
          <w:spacing w:val="17"/>
          <w:sz w:val="25"/>
          <w:szCs w:val="25"/>
        </w:rPr>
        <w:t xml:space="preserve"> </w:t>
      </w:r>
      <w:r>
        <w:rPr>
          <w:rFonts w:ascii="仿宋" w:hAnsi="仿宋" w:eastAsia="仿宋" w:cs="仿宋"/>
          <w:spacing w:val="1"/>
          <w:sz w:val="25"/>
          <w:szCs w:val="25"/>
        </w:rPr>
        <w:t>转办工单，报送有关领导审批;负责将有关工单向有关部门、乡镇交办;督促有关部</w:t>
      </w:r>
      <w:r>
        <w:rPr>
          <w:rFonts w:ascii="仿宋" w:hAnsi="仿宋" w:eastAsia="仿宋" w:cs="仿宋"/>
          <w:spacing w:val="7"/>
          <w:sz w:val="25"/>
          <w:szCs w:val="25"/>
        </w:rPr>
        <w:t xml:space="preserve">  </w:t>
      </w:r>
      <w:r>
        <w:rPr>
          <w:rFonts w:ascii="仿宋" w:hAnsi="仿宋" w:eastAsia="仿宋" w:cs="仿宋"/>
          <w:spacing w:val="1"/>
          <w:sz w:val="25"/>
          <w:szCs w:val="25"/>
        </w:rPr>
        <w:t>门及时反馈相关办理信息，并在电子呼叫中心系统办结。</w:t>
      </w:r>
    </w:p>
    <w:p w14:paraId="6B5ECB28">
      <w:pPr>
        <w:spacing w:before="44" w:line="222" w:lineRule="auto"/>
        <w:ind w:left="707"/>
        <w:rPr>
          <w:rFonts w:ascii="仿宋" w:hAnsi="仿宋" w:eastAsia="仿宋" w:cs="仿宋"/>
          <w:sz w:val="25"/>
          <w:szCs w:val="25"/>
        </w:rPr>
      </w:pPr>
      <w:r>
        <w:rPr>
          <w:rFonts w:ascii="仿宋" w:hAnsi="仿宋" w:eastAsia="仿宋" w:cs="仿宋"/>
          <w:sz w:val="25"/>
          <w:szCs w:val="25"/>
        </w:rPr>
        <w:t>（十二）完成上级交办的其他工作任务。</w:t>
      </w:r>
    </w:p>
    <w:p w14:paraId="1455222F">
      <w:pPr>
        <w:spacing w:before="130" w:line="309" w:lineRule="auto"/>
        <w:ind w:left="706" w:right="937" w:firstLine="1"/>
        <w:rPr>
          <w:rFonts w:ascii="仿宋" w:hAnsi="仿宋" w:eastAsia="仿宋" w:cs="仿宋"/>
          <w:sz w:val="25"/>
          <w:szCs w:val="25"/>
        </w:rPr>
      </w:pPr>
      <w:r>
        <w:rPr>
          <w:rFonts w:ascii="仿宋" w:hAnsi="仿宋" w:eastAsia="仿宋" w:cs="仿宋"/>
          <w:spacing w:val="1"/>
          <w:sz w:val="25"/>
          <w:szCs w:val="25"/>
        </w:rPr>
        <w:t>（十三）与县委编办有关职责分工。县委编办负责组织推进和完善政府部门权责清</w:t>
      </w:r>
      <w:r>
        <w:rPr>
          <w:rFonts w:ascii="仿宋" w:hAnsi="仿宋" w:eastAsia="仿宋" w:cs="仿宋"/>
          <w:spacing w:val="17"/>
          <w:sz w:val="25"/>
          <w:szCs w:val="25"/>
        </w:rPr>
        <w:t xml:space="preserve"> </w:t>
      </w:r>
      <w:r>
        <w:rPr>
          <w:rFonts w:ascii="仿宋" w:hAnsi="仿宋" w:eastAsia="仿宋" w:cs="仿宋"/>
          <w:spacing w:val="1"/>
          <w:sz w:val="25"/>
          <w:szCs w:val="25"/>
        </w:rPr>
        <w:t>单制度，统筹协调权责清单管理和执行情况监督。县行政审批服务管理局配合推进</w:t>
      </w:r>
      <w:r>
        <w:rPr>
          <w:rFonts w:ascii="仿宋" w:hAnsi="仿宋" w:eastAsia="仿宋" w:cs="仿宋"/>
          <w:spacing w:val="18"/>
          <w:sz w:val="25"/>
          <w:szCs w:val="25"/>
        </w:rPr>
        <w:t xml:space="preserve"> </w:t>
      </w:r>
      <w:r>
        <w:rPr>
          <w:rFonts w:ascii="仿宋" w:hAnsi="仿宋" w:eastAsia="仿宋" w:cs="仿宋"/>
          <w:spacing w:val="1"/>
          <w:sz w:val="25"/>
          <w:szCs w:val="25"/>
        </w:rPr>
        <w:t>和完善权责清单制度，具体承担县级权责清单梳理规范、动态调整等相关管理工</w:t>
      </w:r>
    </w:p>
    <w:p w14:paraId="5FF19DF7">
      <w:pPr>
        <w:spacing w:before="42" w:line="222" w:lineRule="auto"/>
        <w:ind w:left="710"/>
        <w:rPr>
          <w:rFonts w:ascii="仿宋" w:hAnsi="仿宋" w:eastAsia="仿宋" w:cs="仿宋"/>
          <w:sz w:val="25"/>
          <w:szCs w:val="25"/>
        </w:rPr>
      </w:pPr>
      <w:r>
        <w:rPr>
          <w:rFonts w:ascii="仿宋" w:hAnsi="仿宋" w:eastAsia="仿宋" w:cs="仿宋"/>
          <w:spacing w:val="-11"/>
          <w:sz w:val="25"/>
          <w:szCs w:val="25"/>
        </w:rPr>
        <w:t>作。</w:t>
      </w:r>
    </w:p>
    <w:p w14:paraId="02BCC3B2">
      <w:pPr>
        <w:spacing w:before="133" w:line="311" w:lineRule="auto"/>
        <w:ind w:left="706" w:right="937" w:firstLine="1"/>
        <w:rPr>
          <w:rFonts w:ascii="仿宋" w:hAnsi="仿宋" w:eastAsia="仿宋" w:cs="仿宋"/>
          <w:sz w:val="25"/>
          <w:szCs w:val="25"/>
        </w:rPr>
      </w:pPr>
      <w:r>
        <w:rPr>
          <w:rFonts w:ascii="仿宋" w:hAnsi="仿宋" w:eastAsia="仿宋" w:cs="仿宋"/>
          <w:spacing w:val="1"/>
          <w:sz w:val="25"/>
          <w:szCs w:val="25"/>
        </w:rPr>
        <w:t>（十四）职能转变。根据法律法规和行政审批制度改革有关规定，负责在县政务大</w:t>
      </w:r>
      <w:r>
        <w:rPr>
          <w:rFonts w:ascii="仿宋" w:hAnsi="仿宋" w:eastAsia="仿宋" w:cs="仿宋"/>
          <w:spacing w:val="17"/>
          <w:sz w:val="25"/>
          <w:szCs w:val="25"/>
        </w:rPr>
        <w:t xml:space="preserve"> </w:t>
      </w:r>
      <w:r>
        <w:rPr>
          <w:rFonts w:ascii="仿宋" w:hAnsi="仿宋" w:eastAsia="仿宋" w:cs="仿宋"/>
          <w:spacing w:val="1"/>
          <w:sz w:val="25"/>
          <w:szCs w:val="25"/>
        </w:rPr>
        <w:t>厅探索推行“一枚印章管审批</w:t>
      </w:r>
      <w:r>
        <w:rPr>
          <w:rFonts w:ascii="仿宋" w:hAnsi="仿宋" w:eastAsia="仿宋" w:cs="仿宋"/>
          <w:spacing w:val="-90"/>
          <w:sz w:val="25"/>
          <w:szCs w:val="25"/>
        </w:rPr>
        <w:t xml:space="preserve"> </w:t>
      </w:r>
      <w:r>
        <w:rPr>
          <w:rFonts w:ascii="仿宋" w:hAnsi="仿宋" w:eastAsia="仿宋" w:cs="仿宋"/>
          <w:spacing w:val="1"/>
          <w:sz w:val="25"/>
          <w:szCs w:val="25"/>
        </w:rPr>
        <w:t>”，对审批事</w:t>
      </w:r>
      <w:r>
        <w:rPr>
          <w:rFonts w:ascii="仿宋" w:hAnsi="仿宋" w:eastAsia="仿宋" w:cs="仿宋"/>
          <w:sz w:val="25"/>
          <w:szCs w:val="25"/>
        </w:rPr>
        <w:t xml:space="preserve">项进行精简、归并、优化重组，以企业 </w:t>
      </w:r>
      <w:r>
        <w:rPr>
          <w:rFonts w:ascii="仿宋" w:hAnsi="仿宋" w:eastAsia="仿宋" w:cs="仿宋"/>
          <w:spacing w:val="1"/>
          <w:sz w:val="25"/>
          <w:szCs w:val="25"/>
        </w:rPr>
        <w:t>和群众办好“一件事</w:t>
      </w:r>
      <w:r>
        <w:rPr>
          <w:rFonts w:ascii="仿宋" w:hAnsi="仿宋" w:eastAsia="仿宋" w:cs="仿宋"/>
          <w:spacing w:val="-90"/>
          <w:sz w:val="25"/>
          <w:szCs w:val="25"/>
        </w:rPr>
        <w:t xml:space="preserve"> </w:t>
      </w:r>
      <w:r>
        <w:rPr>
          <w:rFonts w:ascii="仿宋" w:hAnsi="仿宋" w:eastAsia="仿宋" w:cs="仿宋"/>
          <w:spacing w:val="1"/>
          <w:sz w:val="25"/>
          <w:szCs w:val="25"/>
        </w:rPr>
        <w:t>”为标准，优化再造审</w:t>
      </w:r>
      <w:r>
        <w:rPr>
          <w:rFonts w:ascii="仿宋" w:hAnsi="仿宋" w:eastAsia="仿宋" w:cs="仿宋"/>
          <w:sz w:val="25"/>
          <w:szCs w:val="25"/>
        </w:rPr>
        <w:t>批流程，提升审批效率，从机制上解决 行政审批互为前置等问题，对各类审批事项，</w:t>
      </w:r>
      <w:r>
        <w:rPr>
          <w:rFonts w:ascii="仿宋" w:hAnsi="仿宋" w:eastAsia="仿宋" w:cs="仿宋"/>
          <w:spacing w:val="-73"/>
          <w:sz w:val="25"/>
          <w:szCs w:val="25"/>
        </w:rPr>
        <w:t xml:space="preserve"> </w:t>
      </w:r>
      <w:r>
        <w:rPr>
          <w:rFonts w:ascii="仿宋" w:hAnsi="仿宋" w:eastAsia="仿宋" w:cs="仿宋"/>
          <w:sz w:val="25"/>
          <w:szCs w:val="25"/>
        </w:rPr>
        <w:t>由所涉部门审批人员、首席代表审</w:t>
      </w:r>
    </w:p>
    <w:p w14:paraId="18061FC4">
      <w:pPr>
        <w:spacing w:before="44" w:line="308" w:lineRule="auto"/>
        <w:ind w:left="706" w:right="937"/>
        <w:rPr>
          <w:rFonts w:ascii="仿宋" w:hAnsi="仿宋" w:eastAsia="仿宋" w:cs="仿宋"/>
          <w:sz w:val="25"/>
          <w:szCs w:val="25"/>
        </w:rPr>
      </w:pPr>
      <w:r>
        <w:rPr>
          <w:rFonts w:ascii="仿宋" w:hAnsi="仿宋" w:eastAsia="仿宋" w:cs="仿宋"/>
          <w:spacing w:val="1"/>
          <w:sz w:val="25"/>
          <w:szCs w:val="25"/>
        </w:rPr>
        <w:t>批、签字后，统一加盖“古县行政审批服务</w:t>
      </w:r>
      <w:r>
        <w:rPr>
          <w:rFonts w:ascii="仿宋" w:hAnsi="仿宋" w:eastAsia="仿宋" w:cs="仿宋"/>
          <w:sz w:val="25"/>
          <w:szCs w:val="25"/>
        </w:rPr>
        <w:t>管理局行政审批专用章</w:t>
      </w:r>
      <w:r>
        <w:rPr>
          <w:rFonts w:ascii="仿宋" w:hAnsi="仿宋" w:eastAsia="仿宋" w:cs="仿宋"/>
          <w:spacing w:val="-90"/>
          <w:sz w:val="25"/>
          <w:szCs w:val="25"/>
        </w:rPr>
        <w:t xml:space="preserve"> </w:t>
      </w:r>
      <w:r>
        <w:rPr>
          <w:rFonts w:ascii="仿宋" w:hAnsi="仿宋" w:eastAsia="仿宋" w:cs="仿宋"/>
          <w:sz w:val="25"/>
          <w:szCs w:val="25"/>
        </w:rPr>
        <w:t xml:space="preserve">”，取代各部门 </w:t>
      </w:r>
      <w:r>
        <w:rPr>
          <w:rFonts w:ascii="仿宋" w:hAnsi="仿宋" w:eastAsia="仿宋" w:cs="仿宋"/>
          <w:spacing w:val="1"/>
          <w:sz w:val="25"/>
          <w:szCs w:val="25"/>
        </w:rPr>
        <w:t>审批专用章，各审批部门对相关资料的真实性、合法性负责，负责推动“最多跑一</w:t>
      </w:r>
      <w:r>
        <w:rPr>
          <w:rFonts w:ascii="仿宋" w:hAnsi="仿宋" w:eastAsia="仿宋" w:cs="仿宋"/>
          <w:spacing w:val="18"/>
          <w:sz w:val="25"/>
          <w:szCs w:val="25"/>
        </w:rPr>
        <w:t xml:space="preserve"> </w:t>
      </w:r>
      <w:r>
        <w:rPr>
          <w:rFonts w:ascii="仿宋" w:hAnsi="仿宋" w:eastAsia="仿宋" w:cs="仿宋"/>
          <w:spacing w:val="-3"/>
          <w:sz w:val="25"/>
          <w:szCs w:val="25"/>
        </w:rPr>
        <w:t>次</w:t>
      </w:r>
      <w:r>
        <w:rPr>
          <w:rFonts w:ascii="仿宋" w:hAnsi="仿宋" w:eastAsia="仿宋" w:cs="仿宋"/>
          <w:spacing w:val="-90"/>
          <w:sz w:val="25"/>
          <w:szCs w:val="25"/>
        </w:rPr>
        <w:t xml:space="preserve"> </w:t>
      </w:r>
      <w:r>
        <w:rPr>
          <w:rFonts w:ascii="仿宋" w:hAnsi="仿宋" w:eastAsia="仿宋" w:cs="仿宋"/>
          <w:spacing w:val="-3"/>
          <w:sz w:val="25"/>
          <w:szCs w:val="25"/>
        </w:rPr>
        <w:t>”“一次不用跑</w:t>
      </w:r>
      <w:r>
        <w:rPr>
          <w:rFonts w:ascii="仿宋" w:hAnsi="仿宋" w:eastAsia="仿宋" w:cs="仿宋"/>
          <w:spacing w:val="-89"/>
          <w:sz w:val="25"/>
          <w:szCs w:val="25"/>
        </w:rPr>
        <w:t xml:space="preserve"> </w:t>
      </w:r>
      <w:r>
        <w:rPr>
          <w:rFonts w:ascii="仿宋" w:hAnsi="仿宋" w:eastAsia="仿宋" w:cs="仿宋"/>
          <w:spacing w:val="-3"/>
          <w:sz w:val="25"/>
          <w:szCs w:val="25"/>
        </w:rPr>
        <w:t>”改革。负责推进“一网通办</w:t>
      </w:r>
      <w:r>
        <w:rPr>
          <w:rFonts w:ascii="仿宋" w:hAnsi="仿宋" w:eastAsia="仿宋" w:cs="仿宋"/>
          <w:spacing w:val="-90"/>
          <w:sz w:val="25"/>
          <w:szCs w:val="25"/>
        </w:rPr>
        <w:t xml:space="preserve"> </w:t>
      </w:r>
      <w:r>
        <w:rPr>
          <w:rFonts w:ascii="仿宋" w:hAnsi="仿宋" w:eastAsia="仿宋" w:cs="仿宋"/>
          <w:spacing w:val="-3"/>
          <w:sz w:val="25"/>
          <w:szCs w:val="25"/>
        </w:rPr>
        <w:t>”“全程网办</w:t>
      </w:r>
      <w:r>
        <w:rPr>
          <w:rFonts w:ascii="仿宋" w:hAnsi="仿宋" w:eastAsia="仿宋" w:cs="仿宋"/>
          <w:spacing w:val="-89"/>
          <w:sz w:val="25"/>
          <w:szCs w:val="25"/>
        </w:rPr>
        <w:t xml:space="preserve"> </w:t>
      </w:r>
      <w:r>
        <w:rPr>
          <w:rFonts w:ascii="仿宋" w:hAnsi="仿宋" w:eastAsia="仿宋" w:cs="仿宋"/>
          <w:spacing w:val="-3"/>
          <w:sz w:val="25"/>
          <w:szCs w:val="25"/>
        </w:rPr>
        <w:t>”等工</w:t>
      </w:r>
      <w:r>
        <w:rPr>
          <w:rFonts w:ascii="仿宋" w:hAnsi="仿宋" w:eastAsia="仿宋" w:cs="仿宋"/>
          <w:spacing w:val="-4"/>
          <w:sz w:val="25"/>
          <w:szCs w:val="25"/>
        </w:rPr>
        <w:t>作。</w:t>
      </w:r>
    </w:p>
    <w:p w14:paraId="7CDCBA1D">
      <w:pPr>
        <w:spacing w:before="44" w:line="303" w:lineRule="auto"/>
        <w:ind w:left="706" w:right="937" w:firstLine="7"/>
        <w:rPr>
          <w:rFonts w:ascii="仿宋" w:hAnsi="仿宋" w:eastAsia="仿宋" w:cs="仿宋"/>
          <w:sz w:val="25"/>
          <w:szCs w:val="25"/>
        </w:rPr>
      </w:pPr>
      <w:r>
        <w:rPr>
          <w:rFonts w:ascii="仿宋" w:hAnsi="仿宋" w:eastAsia="仿宋" w:cs="仿宋"/>
          <w:spacing w:val="1"/>
          <w:sz w:val="25"/>
          <w:szCs w:val="25"/>
        </w:rPr>
        <w:t>负责统一行使依据法律法规及相关规范性文件划转至行政审批服务管理局的行政审</w:t>
      </w:r>
      <w:r>
        <w:rPr>
          <w:rFonts w:ascii="仿宋" w:hAnsi="仿宋" w:eastAsia="仿宋" w:cs="仿宋"/>
          <w:spacing w:val="11"/>
          <w:sz w:val="25"/>
          <w:szCs w:val="25"/>
        </w:rPr>
        <w:t xml:space="preserve"> </w:t>
      </w:r>
      <w:r>
        <w:rPr>
          <w:rFonts w:ascii="仿宋" w:hAnsi="仿宋" w:eastAsia="仿宋" w:cs="仿宋"/>
          <w:sz w:val="25"/>
          <w:szCs w:val="25"/>
        </w:rPr>
        <w:t>批及关联事项，并做好相关工作。</w:t>
      </w:r>
    </w:p>
    <w:p w14:paraId="5C13D022">
      <w:pPr>
        <w:spacing w:before="188" w:line="223" w:lineRule="auto"/>
        <w:ind w:left="704"/>
        <w:outlineLvl w:val="1"/>
        <w:rPr>
          <w:rFonts w:ascii="黑体" w:hAnsi="黑体" w:eastAsia="黑体" w:cs="黑体"/>
          <w:sz w:val="25"/>
          <w:szCs w:val="25"/>
        </w:rPr>
      </w:pPr>
      <w:bookmarkStart w:id="37" w:name="bookmark4"/>
      <w:bookmarkEnd w:id="37"/>
      <w:r>
        <w:rPr>
          <w:rFonts w:ascii="黑体" w:hAnsi="黑体" w:eastAsia="黑体" w:cs="黑体"/>
          <w:sz w:val="25"/>
          <w:szCs w:val="25"/>
        </w:rPr>
        <w:t>二、机构设置情况</w:t>
      </w:r>
    </w:p>
    <w:p w14:paraId="557D298D">
      <w:pPr>
        <w:spacing w:before="129" w:line="224" w:lineRule="auto"/>
        <w:ind w:left="717"/>
        <w:rPr>
          <w:rFonts w:ascii="仿宋" w:hAnsi="仿宋" w:eastAsia="仿宋" w:cs="仿宋"/>
          <w:sz w:val="25"/>
          <w:szCs w:val="25"/>
        </w:rPr>
      </w:pPr>
      <w:r>
        <w:rPr>
          <w:rFonts w:ascii="仿宋" w:hAnsi="仿宋" w:eastAsia="仿宋" w:cs="仿宋"/>
          <w:spacing w:val="-4"/>
          <w:sz w:val="25"/>
          <w:szCs w:val="25"/>
        </w:rPr>
        <w:t>1、内设机构</w:t>
      </w:r>
    </w:p>
    <w:p w14:paraId="332BB12A">
      <w:pPr>
        <w:spacing w:before="130" w:line="303" w:lineRule="auto"/>
        <w:ind w:left="707" w:right="850"/>
        <w:rPr>
          <w:rFonts w:ascii="仿宋" w:hAnsi="仿宋" w:eastAsia="仿宋" w:cs="仿宋"/>
          <w:sz w:val="25"/>
          <w:szCs w:val="25"/>
        </w:rPr>
      </w:pPr>
      <w:r>
        <w:rPr>
          <w:rFonts w:ascii="仿宋" w:hAnsi="仿宋" w:eastAsia="仿宋" w:cs="仿宋"/>
          <w:sz w:val="25"/>
          <w:szCs w:val="25"/>
        </w:rPr>
        <w:t>根据部门职责分工,本部门内设机构包括综合办公室、政务改革与行政审批管理股、</w:t>
      </w:r>
      <w:r>
        <w:rPr>
          <w:rFonts w:ascii="仿宋" w:hAnsi="仿宋" w:eastAsia="仿宋" w:cs="仿宋"/>
          <w:spacing w:val="15"/>
          <w:sz w:val="25"/>
          <w:szCs w:val="25"/>
        </w:rPr>
        <w:t xml:space="preserve"> </w:t>
      </w:r>
      <w:r>
        <w:rPr>
          <w:rFonts w:ascii="仿宋" w:hAnsi="仿宋" w:eastAsia="仿宋" w:cs="仿宋"/>
          <w:sz w:val="25"/>
          <w:szCs w:val="25"/>
        </w:rPr>
        <w:t>政务信息监管股。本部门2个下属单位。</w:t>
      </w:r>
    </w:p>
    <w:p w14:paraId="4BE4C369">
      <w:pPr>
        <w:spacing w:before="44" w:line="222" w:lineRule="auto"/>
        <w:ind w:left="702"/>
        <w:rPr>
          <w:rFonts w:ascii="仿宋" w:hAnsi="仿宋" w:eastAsia="仿宋" w:cs="仿宋"/>
          <w:sz w:val="25"/>
          <w:szCs w:val="25"/>
        </w:rPr>
      </w:pPr>
      <w:r>
        <w:rPr>
          <w:rFonts w:ascii="仿宋" w:hAnsi="仿宋" w:eastAsia="仿宋" w:cs="仿宋"/>
          <w:sz w:val="25"/>
          <w:szCs w:val="25"/>
        </w:rPr>
        <w:t>2、所属事业单位</w:t>
      </w:r>
    </w:p>
    <w:p w14:paraId="448B5EA8">
      <w:pPr>
        <w:spacing w:before="132" w:line="303" w:lineRule="auto"/>
        <w:ind w:left="707" w:right="811" w:hanging="1"/>
        <w:rPr>
          <w:rFonts w:ascii="仿宋" w:hAnsi="仿宋" w:eastAsia="仿宋" w:cs="仿宋"/>
          <w:sz w:val="25"/>
          <w:szCs w:val="25"/>
        </w:rPr>
      </w:pPr>
      <w:r>
        <w:rPr>
          <w:rFonts w:ascii="仿宋" w:hAnsi="仿宋" w:eastAsia="仿宋" w:cs="仿宋"/>
          <w:spacing w:val="1"/>
          <w:sz w:val="25"/>
          <w:szCs w:val="25"/>
        </w:rPr>
        <w:t>从预算单位构成看,纳入本单位2022年部门汇总预算编制范围的预算单位共计2个,具</w:t>
      </w:r>
      <w:r>
        <w:rPr>
          <w:rFonts w:ascii="仿宋" w:hAnsi="仿宋" w:eastAsia="仿宋" w:cs="仿宋"/>
          <w:spacing w:val="16"/>
          <w:sz w:val="25"/>
          <w:szCs w:val="25"/>
        </w:rPr>
        <w:t xml:space="preserve"> </w:t>
      </w:r>
      <w:r>
        <w:rPr>
          <w:rFonts w:ascii="仿宋" w:hAnsi="仿宋" w:eastAsia="仿宋" w:cs="仿宋"/>
          <w:spacing w:val="1"/>
          <w:sz w:val="25"/>
          <w:szCs w:val="25"/>
        </w:rPr>
        <w:t>体包括:古县政务服务中心、古县政府采购中心。</w:t>
      </w:r>
    </w:p>
    <w:p w14:paraId="32DF46E2">
      <w:pPr>
        <w:spacing w:before="42" w:line="223" w:lineRule="auto"/>
        <w:ind w:left="704"/>
        <w:rPr>
          <w:rFonts w:ascii="仿宋" w:hAnsi="仿宋" w:eastAsia="仿宋" w:cs="仿宋"/>
          <w:sz w:val="25"/>
          <w:szCs w:val="25"/>
        </w:rPr>
      </w:pPr>
      <w:r>
        <w:rPr>
          <w:rFonts w:ascii="仿宋" w:hAnsi="仿宋" w:eastAsia="仿宋" w:cs="仿宋"/>
          <w:spacing w:val="-1"/>
          <w:sz w:val="25"/>
          <w:szCs w:val="25"/>
        </w:rPr>
        <w:t>3、人员编制</w:t>
      </w:r>
    </w:p>
    <w:p w14:paraId="1C94CBBB">
      <w:pPr>
        <w:spacing w:before="130" w:line="305" w:lineRule="auto"/>
        <w:ind w:left="708" w:right="1063" w:firstLine="255"/>
        <w:rPr>
          <w:rFonts w:ascii="仿宋" w:hAnsi="仿宋" w:eastAsia="仿宋" w:cs="仿宋"/>
          <w:sz w:val="25"/>
          <w:szCs w:val="25"/>
        </w:rPr>
      </w:pPr>
      <w:r>
        <w:rPr>
          <w:rFonts w:ascii="仿宋" w:hAnsi="仿宋" w:eastAsia="仿宋" w:cs="仿宋"/>
          <w:spacing w:val="1"/>
          <w:sz w:val="25"/>
          <w:szCs w:val="25"/>
        </w:rPr>
        <w:t>古县行政审批服务管理局行政编制为14人。其中：在职12名公务员，1名机关工</w:t>
      </w:r>
      <w:r>
        <w:rPr>
          <w:rFonts w:ascii="仿宋" w:hAnsi="仿宋" w:eastAsia="仿宋" w:cs="仿宋"/>
          <w:spacing w:val="9"/>
          <w:sz w:val="25"/>
          <w:szCs w:val="25"/>
        </w:rPr>
        <w:t xml:space="preserve"> </w:t>
      </w:r>
      <w:r>
        <w:rPr>
          <w:rFonts w:ascii="仿宋" w:hAnsi="仿宋" w:eastAsia="仿宋" w:cs="仿宋"/>
          <w:spacing w:val="-10"/>
          <w:sz w:val="25"/>
          <w:szCs w:val="25"/>
        </w:rPr>
        <w:t>勤。</w:t>
      </w:r>
    </w:p>
    <w:p w14:paraId="1D604D78">
      <w:pPr>
        <w:spacing w:before="38" w:line="221" w:lineRule="auto"/>
        <w:ind w:left="958"/>
        <w:rPr>
          <w:rFonts w:ascii="仿宋" w:hAnsi="仿宋" w:eastAsia="仿宋" w:cs="仿宋"/>
          <w:sz w:val="25"/>
          <w:szCs w:val="25"/>
        </w:rPr>
      </w:pPr>
      <w:r>
        <w:rPr>
          <w:rFonts w:ascii="仿宋" w:hAnsi="仿宋" w:eastAsia="仿宋" w:cs="仿宋"/>
          <w:spacing w:val="1"/>
          <w:sz w:val="25"/>
          <w:szCs w:val="25"/>
        </w:rPr>
        <w:t>事业编制共18人。其中:在职19人，1名自收自支人员。</w:t>
      </w:r>
    </w:p>
    <w:p w14:paraId="53FA4A4A">
      <w:pPr>
        <w:spacing w:line="221" w:lineRule="auto"/>
        <w:rPr>
          <w:rFonts w:ascii="仿宋" w:hAnsi="仿宋" w:eastAsia="仿宋" w:cs="仿宋"/>
          <w:sz w:val="25"/>
          <w:szCs w:val="25"/>
        </w:rPr>
        <w:sectPr>
          <w:footerReference r:id="rId7" w:type="default"/>
          <w:pgSz w:w="11900" w:h="16840"/>
          <w:pgMar w:top="610" w:right="600" w:bottom="312" w:left="600" w:header="357" w:footer="153" w:gutter="0"/>
          <w:cols w:space="720" w:num="1"/>
        </w:sectPr>
      </w:pPr>
    </w:p>
    <w:p w14:paraId="4B36088D">
      <w:pPr>
        <w:spacing w:line="338" w:lineRule="auto"/>
        <w:rPr>
          <w:rFonts w:ascii="Arial"/>
          <w:sz w:val="21"/>
        </w:rPr>
      </w:pPr>
    </w:p>
    <w:p w14:paraId="4E6EAE91">
      <w:pPr>
        <w:spacing w:before="81" w:line="221" w:lineRule="auto"/>
        <w:ind w:left="958"/>
        <w:rPr>
          <w:rFonts w:ascii="仿宋" w:hAnsi="仿宋" w:eastAsia="仿宋" w:cs="仿宋"/>
          <w:sz w:val="25"/>
          <w:szCs w:val="25"/>
        </w:rPr>
      </w:pPr>
      <w:bookmarkStart w:id="38" w:name="bookmark36"/>
      <w:bookmarkEnd w:id="38"/>
      <w:r>
        <w:rPr>
          <w:rFonts w:ascii="仿宋" w:hAnsi="仿宋" w:eastAsia="仿宋" w:cs="仿宋"/>
          <w:spacing w:val="-3"/>
          <w:sz w:val="25"/>
          <w:szCs w:val="25"/>
        </w:rPr>
        <w:t>现有在职干部职工33名，退休人员1名（</w:t>
      </w:r>
      <w:r>
        <w:rPr>
          <w:rFonts w:ascii="仿宋" w:hAnsi="仿宋" w:eastAsia="仿宋" w:cs="仿宋"/>
          <w:spacing w:val="-24"/>
          <w:sz w:val="25"/>
          <w:szCs w:val="25"/>
        </w:rPr>
        <w:t xml:space="preserve"> </w:t>
      </w:r>
      <w:r>
        <w:rPr>
          <w:rFonts w:ascii="仿宋" w:hAnsi="仿宋" w:eastAsia="仿宋" w:cs="仿宋"/>
          <w:spacing w:val="-3"/>
          <w:sz w:val="25"/>
          <w:szCs w:val="25"/>
        </w:rPr>
        <w:t>自收自支</w:t>
      </w:r>
      <w:r>
        <w:rPr>
          <w:rFonts w:ascii="仿宋" w:hAnsi="仿宋" w:eastAsia="仿宋" w:cs="仿宋"/>
          <w:spacing w:val="15"/>
          <w:sz w:val="25"/>
          <w:szCs w:val="25"/>
        </w:rPr>
        <w:t>），</w:t>
      </w:r>
      <w:r>
        <w:rPr>
          <w:rFonts w:ascii="仿宋" w:hAnsi="仿宋" w:eastAsia="仿宋" w:cs="仿宋"/>
          <w:spacing w:val="-4"/>
          <w:sz w:val="25"/>
          <w:szCs w:val="25"/>
        </w:rPr>
        <w:t>共计34名。</w:t>
      </w:r>
    </w:p>
    <w:p w14:paraId="1A800161">
      <w:pPr>
        <w:spacing w:line="221" w:lineRule="auto"/>
        <w:rPr>
          <w:rFonts w:ascii="仿宋" w:hAnsi="仿宋" w:eastAsia="仿宋" w:cs="仿宋"/>
          <w:sz w:val="25"/>
          <w:szCs w:val="25"/>
        </w:rPr>
        <w:sectPr>
          <w:footerReference r:id="rId8" w:type="default"/>
          <w:pgSz w:w="11900" w:h="16840"/>
          <w:pgMar w:top="610" w:right="600" w:bottom="312" w:left="600" w:header="357" w:footer="153" w:gutter="0"/>
          <w:cols w:space="720" w:num="1"/>
        </w:sectPr>
      </w:pPr>
    </w:p>
    <w:p w14:paraId="54E66CB3">
      <w:pPr>
        <w:spacing w:line="469" w:lineRule="auto"/>
        <w:rPr>
          <w:rFonts w:ascii="Arial"/>
          <w:sz w:val="21"/>
        </w:rPr>
      </w:pPr>
    </w:p>
    <w:p w14:paraId="7BADBCE9">
      <w:pPr>
        <w:spacing w:before="81" w:line="223" w:lineRule="auto"/>
        <w:ind w:left="3646"/>
        <w:outlineLvl w:val="0"/>
        <w:rPr>
          <w:rFonts w:ascii="黑体" w:hAnsi="黑体" w:eastAsia="黑体" w:cs="黑体"/>
          <w:sz w:val="25"/>
          <w:szCs w:val="25"/>
        </w:rPr>
      </w:pPr>
      <w:bookmarkStart w:id="39" w:name="bookmark37"/>
      <w:bookmarkEnd w:id="39"/>
      <w:bookmarkStart w:id="40" w:name="bookmark5"/>
      <w:bookmarkEnd w:id="40"/>
      <w:r>
        <w:rPr>
          <w:rFonts w:ascii="黑体" w:hAnsi="黑体" w:eastAsia="黑体" w:cs="黑体"/>
          <w:spacing w:val="1"/>
          <w:sz w:val="25"/>
          <w:szCs w:val="25"/>
        </w:rPr>
        <w:t>第二部分 2023年单位预算报表</w:t>
      </w:r>
    </w:p>
    <w:p w14:paraId="51EFBA23">
      <w:pPr>
        <w:spacing w:before="189"/>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1175"/>
        <w:gridCol w:w="2326"/>
        <w:gridCol w:w="1199"/>
        <w:gridCol w:w="1175"/>
        <w:gridCol w:w="905"/>
      </w:tblGrid>
      <w:tr w14:paraId="01ADB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42ABB997">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预算公开表1</w:t>
            </w:r>
          </w:p>
        </w:tc>
      </w:tr>
      <w:tr w14:paraId="72E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4DF0F567">
            <w:pPr>
              <w:spacing w:before="91" w:line="219" w:lineRule="auto"/>
              <w:ind w:left="3431"/>
              <w:outlineLvl w:val="1"/>
              <w:rPr>
                <w:rFonts w:ascii="宋体" w:hAnsi="宋体" w:eastAsia="宋体" w:cs="宋体"/>
                <w:sz w:val="24"/>
                <w:szCs w:val="24"/>
              </w:rPr>
            </w:pPr>
            <w:bookmarkStart w:id="41" w:name="bookmark6"/>
            <w:bookmarkEnd w:id="41"/>
            <w:r>
              <w:rPr>
                <w:rFonts w:ascii="宋体" w:hAnsi="宋体" w:eastAsia="宋体" w:cs="宋体"/>
                <w:color w:val="212529"/>
                <w:spacing w:val="-2"/>
                <w:sz w:val="24"/>
                <w:szCs w:val="24"/>
              </w:rPr>
              <w:t>2023年预算收支总表</w:t>
            </w:r>
          </w:p>
        </w:tc>
      </w:tr>
      <w:tr w14:paraId="6A3A1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111" w:type="dxa"/>
            <w:gridSpan w:val="5"/>
            <w:tcBorders>
              <w:top w:val="single" w:color="FFFFFF" w:sz="4" w:space="0"/>
              <w:left w:val="single" w:color="000000" w:sz="2" w:space="0"/>
              <w:right w:val="single" w:color="FFFFFF" w:sz="2" w:space="0"/>
            </w:tcBorders>
            <w:vAlign w:val="top"/>
          </w:tcPr>
          <w:p w14:paraId="5A36F4E1">
            <w:pPr>
              <w:spacing w:before="127"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905" w:type="dxa"/>
            <w:tcBorders>
              <w:top w:val="single" w:color="FFFFFF" w:sz="4" w:space="0"/>
              <w:left w:val="single" w:color="FFFFFF" w:sz="2" w:space="0"/>
              <w:right w:val="single" w:color="000000" w:sz="2" w:space="0"/>
            </w:tcBorders>
            <w:vAlign w:val="top"/>
          </w:tcPr>
          <w:p w14:paraId="0B811BB8">
            <w:pPr>
              <w:spacing w:before="127"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3CB82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411" w:type="dxa"/>
            <w:gridSpan w:val="2"/>
            <w:vAlign w:val="top"/>
          </w:tcPr>
          <w:p w14:paraId="6CC02C99">
            <w:pPr>
              <w:spacing w:before="107" w:line="219" w:lineRule="auto"/>
              <w:ind w:left="1527"/>
              <w:rPr>
                <w:rFonts w:ascii="宋体" w:hAnsi="宋体" w:eastAsia="宋体" w:cs="宋体"/>
                <w:sz w:val="18"/>
                <w:szCs w:val="18"/>
              </w:rPr>
            </w:pPr>
            <w:r>
              <w:rPr>
                <w:rFonts w:ascii="宋体" w:hAnsi="宋体" w:eastAsia="宋体" w:cs="宋体"/>
                <w:color w:val="212529"/>
                <w:spacing w:val="-8"/>
                <w:sz w:val="18"/>
                <w:szCs w:val="18"/>
              </w:rPr>
              <w:t>收入</w:t>
            </w:r>
          </w:p>
        </w:tc>
        <w:tc>
          <w:tcPr>
            <w:tcW w:w="5605" w:type="dxa"/>
            <w:gridSpan w:val="4"/>
            <w:vAlign w:val="top"/>
          </w:tcPr>
          <w:p w14:paraId="7ED19066">
            <w:pPr>
              <w:spacing w:before="106" w:line="220" w:lineRule="auto"/>
              <w:ind w:left="2618"/>
              <w:rPr>
                <w:rFonts w:ascii="宋体" w:hAnsi="宋体" w:eastAsia="宋体" w:cs="宋体"/>
                <w:sz w:val="18"/>
                <w:szCs w:val="18"/>
              </w:rPr>
            </w:pPr>
            <w:r>
              <w:rPr>
                <w:rFonts w:ascii="宋体" w:hAnsi="宋体" w:eastAsia="宋体" w:cs="宋体"/>
                <w:color w:val="212529"/>
                <w:spacing w:val="-5"/>
                <w:sz w:val="18"/>
                <w:szCs w:val="18"/>
              </w:rPr>
              <w:t>支出</w:t>
            </w:r>
          </w:p>
        </w:tc>
      </w:tr>
      <w:tr w14:paraId="0C9C6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5B97D68">
            <w:pPr>
              <w:spacing w:before="108" w:line="220" w:lineRule="auto"/>
              <w:ind w:left="936"/>
              <w:rPr>
                <w:rFonts w:ascii="宋体" w:hAnsi="宋体" w:eastAsia="宋体" w:cs="宋体"/>
                <w:sz w:val="18"/>
                <w:szCs w:val="18"/>
              </w:rPr>
            </w:pPr>
            <w:r>
              <w:rPr>
                <w:rFonts w:ascii="宋体" w:hAnsi="宋体" w:eastAsia="宋体" w:cs="宋体"/>
                <w:color w:val="212529"/>
                <w:spacing w:val="-6"/>
                <w:sz w:val="18"/>
                <w:szCs w:val="18"/>
              </w:rPr>
              <w:t>项目</w:t>
            </w:r>
          </w:p>
        </w:tc>
        <w:tc>
          <w:tcPr>
            <w:tcW w:w="1175" w:type="dxa"/>
            <w:vAlign w:val="top"/>
          </w:tcPr>
          <w:p w14:paraId="6130EE47">
            <w:pPr>
              <w:spacing w:before="108" w:line="219" w:lineRule="auto"/>
              <w:ind w:left="313"/>
              <w:rPr>
                <w:rFonts w:ascii="宋体" w:hAnsi="宋体" w:eastAsia="宋体" w:cs="宋体"/>
                <w:sz w:val="18"/>
                <w:szCs w:val="18"/>
              </w:rPr>
            </w:pPr>
            <w:r>
              <w:rPr>
                <w:rFonts w:ascii="宋体" w:hAnsi="宋体" w:eastAsia="宋体" w:cs="宋体"/>
                <w:color w:val="212529"/>
                <w:spacing w:val="-2"/>
                <w:sz w:val="18"/>
                <w:szCs w:val="18"/>
              </w:rPr>
              <w:t>2023年</w:t>
            </w:r>
          </w:p>
        </w:tc>
        <w:tc>
          <w:tcPr>
            <w:tcW w:w="2326" w:type="dxa"/>
            <w:vAlign w:val="top"/>
          </w:tcPr>
          <w:p w14:paraId="3150E29C">
            <w:pPr>
              <w:spacing w:before="108" w:line="220" w:lineRule="auto"/>
              <w:ind w:left="982"/>
              <w:rPr>
                <w:rFonts w:ascii="宋体" w:hAnsi="宋体" w:eastAsia="宋体" w:cs="宋体"/>
                <w:sz w:val="18"/>
                <w:szCs w:val="18"/>
              </w:rPr>
            </w:pPr>
            <w:r>
              <w:rPr>
                <w:rFonts w:ascii="宋体" w:hAnsi="宋体" w:eastAsia="宋体" w:cs="宋体"/>
                <w:color w:val="212529"/>
                <w:spacing w:val="-6"/>
                <w:sz w:val="18"/>
                <w:szCs w:val="18"/>
              </w:rPr>
              <w:t>项目</w:t>
            </w:r>
          </w:p>
        </w:tc>
        <w:tc>
          <w:tcPr>
            <w:tcW w:w="1199" w:type="dxa"/>
            <w:vAlign w:val="top"/>
          </w:tcPr>
          <w:p w14:paraId="233DA5F6">
            <w:pPr>
              <w:spacing w:before="108" w:line="219" w:lineRule="auto"/>
              <w:ind w:left="149"/>
              <w:rPr>
                <w:rFonts w:ascii="宋体" w:hAnsi="宋体" w:eastAsia="宋体" w:cs="宋体"/>
                <w:sz w:val="18"/>
                <w:szCs w:val="18"/>
              </w:rPr>
            </w:pPr>
            <w:r>
              <w:rPr>
                <w:rFonts w:ascii="宋体" w:hAnsi="宋体" w:eastAsia="宋体" w:cs="宋体"/>
                <w:color w:val="212529"/>
                <w:spacing w:val="-2"/>
                <w:sz w:val="18"/>
                <w:szCs w:val="18"/>
              </w:rPr>
              <w:t>2023年合计</w:t>
            </w:r>
          </w:p>
        </w:tc>
        <w:tc>
          <w:tcPr>
            <w:tcW w:w="1175" w:type="dxa"/>
            <w:vAlign w:val="top"/>
          </w:tcPr>
          <w:p w14:paraId="2FB01340">
            <w:pPr>
              <w:spacing w:before="108" w:line="219" w:lineRule="auto"/>
              <w:ind w:left="58"/>
              <w:rPr>
                <w:rFonts w:ascii="宋体" w:hAnsi="宋体" w:eastAsia="宋体" w:cs="宋体"/>
                <w:sz w:val="18"/>
                <w:szCs w:val="18"/>
              </w:rPr>
            </w:pPr>
            <w:r>
              <w:rPr>
                <w:rFonts w:ascii="宋体" w:hAnsi="宋体" w:eastAsia="宋体" w:cs="宋体"/>
                <w:color w:val="212529"/>
                <w:spacing w:val="-4"/>
                <w:sz w:val="18"/>
                <w:szCs w:val="18"/>
              </w:rPr>
              <w:t>当年预算安排</w:t>
            </w:r>
          </w:p>
        </w:tc>
        <w:tc>
          <w:tcPr>
            <w:tcW w:w="905" w:type="dxa"/>
            <w:vAlign w:val="top"/>
          </w:tcPr>
          <w:p w14:paraId="73D6BA03">
            <w:pPr>
              <w:spacing w:line="211" w:lineRule="auto"/>
              <w:ind w:left="273" w:right="92" w:hanging="182"/>
              <w:rPr>
                <w:rFonts w:ascii="宋体" w:hAnsi="宋体" w:eastAsia="宋体" w:cs="宋体"/>
                <w:sz w:val="18"/>
                <w:szCs w:val="18"/>
              </w:rPr>
            </w:pPr>
            <w:r>
              <w:rPr>
                <w:rFonts w:ascii="宋体" w:hAnsi="宋体" w:eastAsia="宋体" w:cs="宋体"/>
                <w:color w:val="212529"/>
                <w:spacing w:val="-3"/>
                <w:sz w:val="18"/>
                <w:szCs w:val="18"/>
              </w:rPr>
              <w:t>上年结转</w:t>
            </w:r>
            <w:r>
              <w:rPr>
                <w:rFonts w:ascii="宋体" w:hAnsi="宋体" w:eastAsia="宋体" w:cs="宋体"/>
                <w:color w:val="212529"/>
                <w:spacing w:val="1"/>
                <w:sz w:val="18"/>
                <w:szCs w:val="18"/>
              </w:rPr>
              <w:t xml:space="preserve"> </w:t>
            </w:r>
            <w:r>
              <w:rPr>
                <w:rFonts w:ascii="宋体" w:hAnsi="宋体" w:eastAsia="宋体" w:cs="宋体"/>
                <w:color w:val="212529"/>
                <w:spacing w:val="-6"/>
                <w:sz w:val="18"/>
                <w:szCs w:val="18"/>
              </w:rPr>
              <w:t>安排</w:t>
            </w:r>
          </w:p>
        </w:tc>
      </w:tr>
      <w:tr w14:paraId="63C5B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6983F891">
            <w:pPr>
              <w:spacing w:before="108" w:line="219" w:lineRule="auto"/>
              <w:ind w:left="11"/>
              <w:rPr>
                <w:rFonts w:ascii="宋体" w:hAnsi="宋体" w:eastAsia="宋体" w:cs="宋体"/>
                <w:sz w:val="18"/>
                <w:szCs w:val="18"/>
              </w:rPr>
            </w:pPr>
            <w:r>
              <w:rPr>
                <w:rFonts w:ascii="宋体" w:hAnsi="宋体" w:eastAsia="宋体" w:cs="宋体"/>
                <w:color w:val="212529"/>
                <w:spacing w:val="-2"/>
                <w:sz w:val="18"/>
                <w:szCs w:val="18"/>
              </w:rPr>
              <w:t>一、一般公共预算</w:t>
            </w:r>
          </w:p>
        </w:tc>
        <w:tc>
          <w:tcPr>
            <w:tcW w:w="1175" w:type="dxa"/>
            <w:vAlign w:val="top"/>
          </w:tcPr>
          <w:p w14:paraId="5AEDE035">
            <w:pPr>
              <w:spacing w:before="136"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2326" w:type="dxa"/>
            <w:vAlign w:val="top"/>
          </w:tcPr>
          <w:p w14:paraId="62B9E72E">
            <w:pPr>
              <w:spacing w:before="108" w:line="219" w:lineRule="auto"/>
              <w:ind w:left="9"/>
              <w:rPr>
                <w:rFonts w:ascii="宋体" w:hAnsi="宋体" w:eastAsia="宋体" w:cs="宋体"/>
                <w:sz w:val="18"/>
                <w:szCs w:val="18"/>
              </w:rPr>
            </w:pPr>
            <w:r>
              <w:rPr>
                <w:rFonts w:ascii="宋体" w:hAnsi="宋体" w:eastAsia="宋体" w:cs="宋体"/>
                <w:color w:val="212529"/>
                <w:spacing w:val="-2"/>
                <w:sz w:val="18"/>
                <w:szCs w:val="18"/>
              </w:rPr>
              <w:t>一、一般公共服务支出</w:t>
            </w:r>
          </w:p>
        </w:tc>
        <w:tc>
          <w:tcPr>
            <w:tcW w:w="1199" w:type="dxa"/>
            <w:vAlign w:val="top"/>
          </w:tcPr>
          <w:p w14:paraId="1C868B6B">
            <w:pPr>
              <w:spacing w:before="136"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175" w:type="dxa"/>
            <w:vAlign w:val="top"/>
          </w:tcPr>
          <w:p w14:paraId="7A7DA4B8">
            <w:pPr>
              <w:spacing w:before="136" w:line="183" w:lineRule="auto"/>
              <w:jc w:val="right"/>
              <w:rPr>
                <w:rFonts w:ascii="宋体" w:hAnsi="宋体" w:eastAsia="宋体" w:cs="宋体"/>
                <w:sz w:val="18"/>
                <w:szCs w:val="18"/>
              </w:rPr>
            </w:pPr>
            <w:r>
              <w:rPr>
                <w:rFonts w:ascii="宋体" w:hAnsi="宋体" w:eastAsia="宋体" w:cs="宋体"/>
                <w:color w:val="212529"/>
                <w:spacing w:val="-3"/>
                <w:sz w:val="18"/>
                <w:szCs w:val="18"/>
              </w:rPr>
              <w:t>220.98</w:t>
            </w:r>
          </w:p>
        </w:tc>
        <w:tc>
          <w:tcPr>
            <w:tcW w:w="905" w:type="dxa"/>
            <w:vAlign w:val="top"/>
          </w:tcPr>
          <w:p w14:paraId="31BDDEB2">
            <w:pPr>
              <w:pStyle w:val="6"/>
            </w:pPr>
          </w:p>
        </w:tc>
      </w:tr>
      <w:tr w14:paraId="37691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E540A37">
            <w:pPr>
              <w:spacing w:before="108" w:line="219" w:lineRule="auto"/>
              <w:ind w:left="11"/>
              <w:rPr>
                <w:rFonts w:ascii="宋体" w:hAnsi="宋体" w:eastAsia="宋体" w:cs="宋体"/>
                <w:sz w:val="18"/>
                <w:szCs w:val="18"/>
              </w:rPr>
            </w:pPr>
            <w:r>
              <w:rPr>
                <w:rFonts w:ascii="宋体" w:hAnsi="宋体" w:eastAsia="宋体" w:cs="宋体"/>
                <w:color w:val="212529"/>
                <w:spacing w:val="-2"/>
                <w:sz w:val="18"/>
                <w:szCs w:val="18"/>
              </w:rPr>
              <w:t>二、政府性基金预算</w:t>
            </w:r>
          </w:p>
        </w:tc>
        <w:tc>
          <w:tcPr>
            <w:tcW w:w="1175" w:type="dxa"/>
            <w:vAlign w:val="top"/>
          </w:tcPr>
          <w:p w14:paraId="49B253F2">
            <w:pPr>
              <w:pStyle w:val="6"/>
            </w:pPr>
          </w:p>
        </w:tc>
        <w:tc>
          <w:tcPr>
            <w:tcW w:w="2326" w:type="dxa"/>
            <w:vAlign w:val="top"/>
          </w:tcPr>
          <w:p w14:paraId="52B20001">
            <w:pPr>
              <w:spacing w:before="109" w:line="220" w:lineRule="auto"/>
              <w:ind w:left="9"/>
              <w:rPr>
                <w:rFonts w:ascii="宋体" w:hAnsi="宋体" w:eastAsia="宋体" w:cs="宋体"/>
                <w:sz w:val="18"/>
                <w:szCs w:val="18"/>
              </w:rPr>
            </w:pPr>
            <w:r>
              <w:rPr>
                <w:rFonts w:ascii="宋体" w:hAnsi="宋体" w:eastAsia="宋体" w:cs="宋体"/>
                <w:color w:val="212529"/>
                <w:spacing w:val="-2"/>
                <w:sz w:val="18"/>
                <w:szCs w:val="18"/>
              </w:rPr>
              <w:t>二、外交支出</w:t>
            </w:r>
          </w:p>
        </w:tc>
        <w:tc>
          <w:tcPr>
            <w:tcW w:w="1199" w:type="dxa"/>
            <w:vAlign w:val="top"/>
          </w:tcPr>
          <w:p w14:paraId="03954067">
            <w:pPr>
              <w:pStyle w:val="6"/>
            </w:pPr>
          </w:p>
        </w:tc>
        <w:tc>
          <w:tcPr>
            <w:tcW w:w="1175" w:type="dxa"/>
            <w:vAlign w:val="top"/>
          </w:tcPr>
          <w:p w14:paraId="5A02935C">
            <w:pPr>
              <w:pStyle w:val="6"/>
            </w:pPr>
          </w:p>
        </w:tc>
        <w:tc>
          <w:tcPr>
            <w:tcW w:w="905" w:type="dxa"/>
            <w:vAlign w:val="top"/>
          </w:tcPr>
          <w:p w14:paraId="42E591E3">
            <w:pPr>
              <w:pStyle w:val="6"/>
            </w:pPr>
          </w:p>
        </w:tc>
      </w:tr>
      <w:tr w14:paraId="751F3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7287D2C">
            <w:pPr>
              <w:spacing w:before="108" w:line="219" w:lineRule="auto"/>
              <w:ind w:left="9"/>
              <w:rPr>
                <w:rFonts w:ascii="宋体" w:hAnsi="宋体" w:eastAsia="宋体" w:cs="宋体"/>
                <w:sz w:val="18"/>
                <w:szCs w:val="18"/>
              </w:rPr>
            </w:pPr>
            <w:r>
              <w:rPr>
                <w:rFonts w:ascii="宋体" w:hAnsi="宋体" w:eastAsia="宋体" w:cs="宋体"/>
                <w:color w:val="212529"/>
                <w:spacing w:val="-1"/>
                <w:sz w:val="18"/>
                <w:szCs w:val="18"/>
              </w:rPr>
              <w:t>三、国有资本经营预算</w:t>
            </w:r>
          </w:p>
        </w:tc>
        <w:tc>
          <w:tcPr>
            <w:tcW w:w="1175" w:type="dxa"/>
            <w:vAlign w:val="top"/>
          </w:tcPr>
          <w:p w14:paraId="19AA3B10">
            <w:pPr>
              <w:pStyle w:val="6"/>
            </w:pPr>
          </w:p>
        </w:tc>
        <w:tc>
          <w:tcPr>
            <w:tcW w:w="2326" w:type="dxa"/>
            <w:vAlign w:val="top"/>
          </w:tcPr>
          <w:p w14:paraId="66ACF950">
            <w:pPr>
              <w:spacing w:before="109" w:line="220" w:lineRule="auto"/>
              <w:ind w:left="6"/>
              <w:rPr>
                <w:rFonts w:ascii="宋体" w:hAnsi="宋体" w:eastAsia="宋体" w:cs="宋体"/>
                <w:sz w:val="18"/>
                <w:szCs w:val="18"/>
              </w:rPr>
            </w:pPr>
            <w:r>
              <w:rPr>
                <w:rFonts w:ascii="宋体" w:hAnsi="宋体" w:eastAsia="宋体" w:cs="宋体"/>
                <w:color w:val="212529"/>
                <w:spacing w:val="-2"/>
                <w:sz w:val="18"/>
                <w:szCs w:val="18"/>
              </w:rPr>
              <w:t>三、国防支出</w:t>
            </w:r>
          </w:p>
        </w:tc>
        <w:tc>
          <w:tcPr>
            <w:tcW w:w="1199" w:type="dxa"/>
            <w:vAlign w:val="top"/>
          </w:tcPr>
          <w:p w14:paraId="145BE891">
            <w:pPr>
              <w:pStyle w:val="6"/>
            </w:pPr>
          </w:p>
        </w:tc>
        <w:tc>
          <w:tcPr>
            <w:tcW w:w="1175" w:type="dxa"/>
            <w:vAlign w:val="top"/>
          </w:tcPr>
          <w:p w14:paraId="2813F1A2">
            <w:pPr>
              <w:pStyle w:val="6"/>
            </w:pPr>
          </w:p>
        </w:tc>
        <w:tc>
          <w:tcPr>
            <w:tcW w:w="905" w:type="dxa"/>
            <w:vAlign w:val="top"/>
          </w:tcPr>
          <w:p w14:paraId="7F6D5FFE">
            <w:pPr>
              <w:pStyle w:val="6"/>
            </w:pPr>
          </w:p>
        </w:tc>
      </w:tr>
      <w:tr w14:paraId="3D02B6EF">
        <w:tblPrEx>
          <w:tblCellMar>
            <w:top w:w="0" w:type="dxa"/>
            <w:left w:w="0" w:type="dxa"/>
            <w:bottom w:w="0" w:type="dxa"/>
            <w:right w:w="0" w:type="dxa"/>
          </w:tblCellMar>
        </w:tblPrEx>
        <w:trPr>
          <w:trHeight w:val="422" w:hRule="atLeast"/>
        </w:trPr>
        <w:tc>
          <w:tcPr>
            <w:tcW w:w="2236" w:type="dxa"/>
            <w:vAlign w:val="top"/>
          </w:tcPr>
          <w:p w14:paraId="62AAE103">
            <w:pPr>
              <w:spacing w:before="110" w:line="219" w:lineRule="auto"/>
              <w:ind w:left="25"/>
              <w:rPr>
                <w:rFonts w:ascii="宋体" w:hAnsi="宋体" w:eastAsia="宋体" w:cs="宋体"/>
                <w:sz w:val="18"/>
                <w:szCs w:val="18"/>
              </w:rPr>
            </w:pPr>
            <w:r>
              <w:rPr>
                <w:rFonts w:ascii="宋体" w:hAnsi="宋体" w:eastAsia="宋体" w:cs="宋体"/>
                <w:color w:val="212529"/>
                <w:spacing w:val="-3"/>
                <w:sz w:val="18"/>
                <w:szCs w:val="18"/>
              </w:rPr>
              <w:t>四、财政专户管理资金</w:t>
            </w:r>
          </w:p>
        </w:tc>
        <w:tc>
          <w:tcPr>
            <w:tcW w:w="1175" w:type="dxa"/>
            <w:vAlign w:val="top"/>
          </w:tcPr>
          <w:p w14:paraId="2125B911">
            <w:pPr>
              <w:pStyle w:val="6"/>
            </w:pPr>
          </w:p>
        </w:tc>
        <w:tc>
          <w:tcPr>
            <w:tcW w:w="2326" w:type="dxa"/>
            <w:vAlign w:val="top"/>
          </w:tcPr>
          <w:p w14:paraId="6F171F40">
            <w:pPr>
              <w:spacing w:before="110" w:line="219" w:lineRule="auto"/>
              <w:ind w:left="23"/>
              <w:rPr>
                <w:rFonts w:ascii="宋体" w:hAnsi="宋体" w:eastAsia="宋体" w:cs="宋体"/>
                <w:sz w:val="18"/>
                <w:szCs w:val="18"/>
              </w:rPr>
            </w:pPr>
            <w:r>
              <w:rPr>
                <w:rFonts w:ascii="宋体" w:hAnsi="宋体" w:eastAsia="宋体" w:cs="宋体"/>
                <w:color w:val="212529"/>
                <w:spacing w:val="-4"/>
                <w:sz w:val="18"/>
                <w:szCs w:val="18"/>
              </w:rPr>
              <w:t>四、公共安全支出</w:t>
            </w:r>
          </w:p>
        </w:tc>
        <w:tc>
          <w:tcPr>
            <w:tcW w:w="1199" w:type="dxa"/>
            <w:vAlign w:val="top"/>
          </w:tcPr>
          <w:p w14:paraId="1267417E">
            <w:pPr>
              <w:pStyle w:val="6"/>
            </w:pPr>
          </w:p>
        </w:tc>
        <w:tc>
          <w:tcPr>
            <w:tcW w:w="1175" w:type="dxa"/>
            <w:vAlign w:val="top"/>
          </w:tcPr>
          <w:p w14:paraId="50470822">
            <w:pPr>
              <w:pStyle w:val="6"/>
            </w:pPr>
          </w:p>
        </w:tc>
        <w:tc>
          <w:tcPr>
            <w:tcW w:w="905" w:type="dxa"/>
            <w:vAlign w:val="top"/>
          </w:tcPr>
          <w:p w14:paraId="653FEFCF">
            <w:pPr>
              <w:pStyle w:val="6"/>
            </w:pPr>
          </w:p>
        </w:tc>
      </w:tr>
      <w:tr w14:paraId="6C917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687AC426">
            <w:pPr>
              <w:spacing w:before="110" w:line="220" w:lineRule="auto"/>
              <w:ind w:left="11"/>
              <w:rPr>
                <w:rFonts w:ascii="宋体" w:hAnsi="宋体" w:eastAsia="宋体" w:cs="宋体"/>
                <w:sz w:val="18"/>
                <w:szCs w:val="18"/>
              </w:rPr>
            </w:pPr>
            <w:r>
              <w:rPr>
                <w:rFonts w:ascii="宋体" w:hAnsi="宋体" w:eastAsia="宋体" w:cs="宋体"/>
                <w:color w:val="212529"/>
                <w:spacing w:val="-2"/>
                <w:sz w:val="18"/>
                <w:szCs w:val="18"/>
              </w:rPr>
              <w:t>五、单位资金</w:t>
            </w:r>
          </w:p>
        </w:tc>
        <w:tc>
          <w:tcPr>
            <w:tcW w:w="1175" w:type="dxa"/>
            <w:vAlign w:val="top"/>
          </w:tcPr>
          <w:p w14:paraId="16E75F94">
            <w:pPr>
              <w:pStyle w:val="6"/>
            </w:pPr>
          </w:p>
        </w:tc>
        <w:tc>
          <w:tcPr>
            <w:tcW w:w="2326" w:type="dxa"/>
            <w:vAlign w:val="top"/>
          </w:tcPr>
          <w:p w14:paraId="53328954">
            <w:pPr>
              <w:spacing w:before="110" w:line="219" w:lineRule="auto"/>
              <w:ind w:left="9"/>
              <w:rPr>
                <w:rFonts w:ascii="宋体" w:hAnsi="宋体" w:eastAsia="宋体" w:cs="宋体"/>
                <w:sz w:val="18"/>
                <w:szCs w:val="18"/>
              </w:rPr>
            </w:pPr>
            <w:r>
              <w:rPr>
                <w:rFonts w:ascii="宋体" w:hAnsi="宋体" w:eastAsia="宋体" w:cs="宋体"/>
                <w:color w:val="212529"/>
                <w:spacing w:val="-2"/>
                <w:sz w:val="18"/>
                <w:szCs w:val="18"/>
              </w:rPr>
              <w:t>五、教育支出</w:t>
            </w:r>
          </w:p>
        </w:tc>
        <w:tc>
          <w:tcPr>
            <w:tcW w:w="1199" w:type="dxa"/>
            <w:vAlign w:val="top"/>
          </w:tcPr>
          <w:p w14:paraId="5B199619">
            <w:pPr>
              <w:pStyle w:val="6"/>
            </w:pPr>
          </w:p>
        </w:tc>
        <w:tc>
          <w:tcPr>
            <w:tcW w:w="1175" w:type="dxa"/>
            <w:vAlign w:val="top"/>
          </w:tcPr>
          <w:p w14:paraId="420A9E09">
            <w:pPr>
              <w:pStyle w:val="6"/>
            </w:pPr>
          </w:p>
        </w:tc>
        <w:tc>
          <w:tcPr>
            <w:tcW w:w="905" w:type="dxa"/>
            <w:vAlign w:val="top"/>
          </w:tcPr>
          <w:p w14:paraId="332262B0">
            <w:pPr>
              <w:pStyle w:val="6"/>
            </w:pPr>
          </w:p>
        </w:tc>
      </w:tr>
      <w:tr w14:paraId="207BF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048C13D">
            <w:pPr>
              <w:pStyle w:val="6"/>
            </w:pPr>
          </w:p>
        </w:tc>
        <w:tc>
          <w:tcPr>
            <w:tcW w:w="1175" w:type="dxa"/>
            <w:vAlign w:val="top"/>
          </w:tcPr>
          <w:p w14:paraId="5B527439">
            <w:pPr>
              <w:pStyle w:val="6"/>
            </w:pPr>
          </w:p>
        </w:tc>
        <w:tc>
          <w:tcPr>
            <w:tcW w:w="2326" w:type="dxa"/>
            <w:vAlign w:val="top"/>
          </w:tcPr>
          <w:p w14:paraId="7036C16A">
            <w:pPr>
              <w:spacing w:before="111" w:line="219" w:lineRule="auto"/>
              <w:ind w:left="8"/>
              <w:rPr>
                <w:rFonts w:ascii="宋体" w:hAnsi="宋体" w:eastAsia="宋体" w:cs="宋体"/>
                <w:sz w:val="18"/>
                <w:szCs w:val="18"/>
              </w:rPr>
            </w:pPr>
            <w:r>
              <w:rPr>
                <w:rFonts w:ascii="宋体" w:hAnsi="宋体" w:eastAsia="宋体" w:cs="宋体"/>
                <w:color w:val="212529"/>
                <w:spacing w:val="-2"/>
                <w:sz w:val="18"/>
                <w:szCs w:val="18"/>
              </w:rPr>
              <w:t>六、科学技术支出</w:t>
            </w:r>
          </w:p>
        </w:tc>
        <w:tc>
          <w:tcPr>
            <w:tcW w:w="1199" w:type="dxa"/>
            <w:vAlign w:val="top"/>
          </w:tcPr>
          <w:p w14:paraId="0F680262">
            <w:pPr>
              <w:pStyle w:val="6"/>
            </w:pPr>
          </w:p>
        </w:tc>
        <w:tc>
          <w:tcPr>
            <w:tcW w:w="1175" w:type="dxa"/>
            <w:vAlign w:val="top"/>
          </w:tcPr>
          <w:p w14:paraId="2654C3A6">
            <w:pPr>
              <w:pStyle w:val="6"/>
            </w:pPr>
          </w:p>
        </w:tc>
        <w:tc>
          <w:tcPr>
            <w:tcW w:w="905" w:type="dxa"/>
            <w:vAlign w:val="top"/>
          </w:tcPr>
          <w:p w14:paraId="62075889">
            <w:pPr>
              <w:pStyle w:val="6"/>
            </w:pPr>
          </w:p>
        </w:tc>
      </w:tr>
      <w:tr w14:paraId="78D57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7CD7B17">
            <w:pPr>
              <w:pStyle w:val="6"/>
            </w:pPr>
          </w:p>
        </w:tc>
        <w:tc>
          <w:tcPr>
            <w:tcW w:w="1175" w:type="dxa"/>
            <w:vAlign w:val="top"/>
          </w:tcPr>
          <w:p w14:paraId="558A4120">
            <w:pPr>
              <w:pStyle w:val="6"/>
            </w:pPr>
          </w:p>
        </w:tc>
        <w:tc>
          <w:tcPr>
            <w:tcW w:w="2326" w:type="dxa"/>
            <w:vAlign w:val="top"/>
          </w:tcPr>
          <w:p w14:paraId="68AE45A3">
            <w:pPr>
              <w:spacing w:before="4" w:line="209" w:lineRule="auto"/>
              <w:ind w:left="22" w:right="156" w:hanging="16"/>
              <w:rPr>
                <w:rFonts w:ascii="宋体" w:hAnsi="宋体" w:eastAsia="宋体" w:cs="宋体"/>
                <w:sz w:val="18"/>
                <w:szCs w:val="18"/>
              </w:rPr>
            </w:pPr>
            <w:r>
              <w:rPr>
                <w:rFonts w:ascii="宋体" w:hAnsi="宋体" w:eastAsia="宋体" w:cs="宋体"/>
                <w:color w:val="212529"/>
                <w:spacing w:val="-1"/>
                <w:sz w:val="18"/>
                <w:szCs w:val="18"/>
              </w:rPr>
              <w:t>七、文化旅游体育与传媒支</w:t>
            </w:r>
            <w:r>
              <w:rPr>
                <w:rFonts w:ascii="宋体" w:hAnsi="宋体" w:eastAsia="宋体" w:cs="宋体"/>
                <w:color w:val="212529"/>
                <w:spacing w:val="3"/>
                <w:sz w:val="18"/>
                <w:szCs w:val="18"/>
              </w:rPr>
              <w:t xml:space="preserve"> </w:t>
            </w:r>
            <w:r>
              <w:rPr>
                <w:rFonts w:ascii="宋体" w:hAnsi="宋体" w:eastAsia="宋体" w:cs="宋体"/>
                <w:color w:val="212529"/>
                <w:sz w:val="18"/>
                <w:szCs w:val="18"/>
              </w:rPr>
              <w:t>出</w:t>
            </w:r>
          </w:p>
        </w:tc>
        <w:tc>
          <w:tcPr>
            <w:tcW w:w="1199" w:type="dxa"/>
            <w:vAlign w:val="top"/>
          </w:tcPr>
          <w:p w14:paraId="613EBD19">
            <w:pPr>
              <w:pStyle w:val="6"/>
            </w:pPr>
          </w:p>
        </w:tc>
        <w:tc>
          <w:tcPr>
            <w:tcW w:w="1175" w:type="dxa"/>
            <w:vAlign w:val="top"/>
          </w:tcPr>
          <w:p w14:paraId="686119D7">
            <w:pPr>
              <w:pStyle w:val="6"/>
            </w:pPr>
          </w:p>
        </w:tc>
        <w:tc>
          <w:tcPr>
            <w:tcW w:w="905" w:type="dxa"/>
            <w:vAlign w:val="top"/>
          </w:tcPr>
          <w:p w14:paraId="62C24E06">
            <w:pPr>
              <w:pStyle w:val="6"/>
            </w:pPr>
          </w:p>
        </w:tc>
      </w:tr>
      <w:tr w14:paraId="705C88AC">
        <w:tblPrEx>
          <w:tblCellMar>
            <w:top w:w="0" w:type="dxa"/>
            <w:left w:w="0" w:type="dxa"/>
            <w:bottom w:w="0" w:type="dxa"/>
            <w:right w:w="0" w:type="dxa"/>
          </w:tblCellMar>
        </w:tblPrEx>
        <w:trPr>
          <w:trHeight w:val="422" w:hRule="atLeast"/>
        </w:trPr>
        <w:tc>
          <w:tcPr>
            <w:tcW w:w="2236" w:type="dxa"/>
            <w:vAlign w:val="top"/>
          </w:tcPr>
          <w:p w14:paraId="4B3711E2">
            <w:pPr>
              <w:pStyle w:val="6"/>
            </w:pPr>
          </w:p>
        </w:tc>
        <w:tc>
          <w:tcPr>
            <w:tcW w:w="1175" w:type="dxa"/>
            <w:vAlign w:val="top"/>
          </w:tcPr>
          <w:p w14:paraId="1C89AF95">
            <w:pPr>
              <w:pStyle w:val="6"/>
            </w:pPr>
          </w:p>
        </w:tc>
        <w:tc>
          <w:tcPr>
            <w:tcW w:w="2326" w:type="dxa"/>
            <w:vAlign w:val="top"/>
          </w:tcPr>
          <w:p w14:paraId="1B1E7C39">
            <w:pPr>
              <w:spacing w:before="112" w:line="219" w:lineRule="auto"/>
              <w:ind w:left="9"/>
              <w:rPr>
                <w:rFonts w:ascii="宋体" w:hAnsi="宋体" w:eastAsia="宋体" w:cs="宋体"/>
                <w:sz w:val="18"/>
                <w:szCs w:val="18"/>
              </w:rPr>
            </w:pPr>
            <w:r>
              <w:rPr>
                <w:rFonts w:ascii="宋体" w:hAnsi="宋体" w:eastAsia="宋体" w:cs="宋体"/>
                <w:color w:val="212529"/>
                <w:spacing w:val="-1"/>
                <w:sz w:val="18"/>
                <w:szCs w:val="18"/>
              </w:rPr>
              <w:t>八、社会保障和就业支出</w:t>
            </w:r>
          </w:p>
        </w:tc>
        <w:tc>
          <w:tcPr>
            <w:tcW w:w="1199" w:type="dxa"/>
            <w:vAlign w:val="top"/>
          </w:tcPr>
          <w:p w14:paraId="3061355F">
            <w:pPr>
              <w:spacing w:before="140"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175" w:type="dxa"/>
            <w:vAlign w:val="top"/>
          </w:tcPr>
          <w:p w14:paraId="2E5E43FA">
            <w:pPr>
              <w:spacing w:before="140"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905" w:type="dxa"/>
            <w:vAlign w:val="top"/>
          </w:tcPr>
          <w:p w14:paraId="4200A335">
            <w:pPr>
              <w:pStyle w:val="6"/>
            </w:pPr>
          </w:p>
        </w:tc>
      </w:tr>
      <w:tr w14:paraId="7022F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64F447B">
            <w:pPr>
              <w:pStyle w:val="6"/>
            </w:pPr>
          </w:p>
        </w:tc>
        <w:tc>
          <w:tcPr>
            <w:tcW w:w="1175" w:type="dxa"/>
            <w:vAlign w:val="top"/>
          </w:tcPr>
          <w:p w14:paraId="2799A570">
            <w:pPr>
              <w:pStyle w:val="6"/>
            </w:pPr>
          </w:p>
        </w:tc>
        <w:tc>
          <w:tcPr>
            <w:tcW w:w="2326" w:type="dxa"/>
            <w:vAlign w:val="top"/>
          </w:tcPr>
          <w:p w14:paraId="51064F2C">
            <w:pPr>
              <w:spacing w:before="112" w:line="219" w:lineRule="auto"/>
              <w:ind w:left="11"/>
              <w:rPr>
                <w:rFonts w:ascii="宋体" w:hAnsi="宋体" w:eastAsia="宋体" w:cs="宋体"/>
                <w:sz w:val="18"/>
                <w:szCs w:val="18"/>
              </w:rPr>
            </w:pPr>
            <w:r>
              <w:rPr>
                <w:rFonts w:ascii="宋体" w:hAnsi="宋体" w:eastAsia="宋体" w:cs="宋体"/>
                <w:color w:val="212529"/>
                <w:spacing w:val="-2"/>
                <w:sz w:val="18"/>
                <w:szCs w:val="18"/>
              </w:rPr>
              <w:t>九、社会保险基金支出</w:t>
            </w:r>
          </w:p>
        </w:tc>
        <w:tc>
          <w:tcPr>
            <w:tcW w:w="1199" w:type="dxa"/>
            <w:vAlign w:val="top"/>
          </w:tcPr>
          <w:p w14:paraId="6DFBB90C">
            <w:pPr>
              <w:pStyle w:val="6"/>
            </w:pPr>
          </w:p>
        </w:tc>
        <w:tc>
          <w:tcPr>
            <w:tcW w:w="1175" w:type="dxa"/>
            <w:vAlign w:val="top"/>
          </w:tcPr>
          <w:p w14:paraId="1D7B55E6">
            <w:pPr>
              <w:pStyle w:val="6"/>
            </w:pPr>
          </w:p>
        </w:tc>
        <w:tc>
          <w:tcPr>
            <w:tcW w:w="905" w:type="dxa"/>
            <w:vAlign w:val="top"/>
          </w:tcPr>
          <w:p w14:paraId="3C4FAFEC">
            <w:pPr>
              <w:pStyle w:val="6"/>
            </w:pPr>
          </w:p>
        </w:tc>
      </w:tr>
      <w:tr w14:paraId="77400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E1DCEAA">
            <w:pPr>
              <w:pStyle w:val="6"/>
            </w:pPr>
          </w:p>
        </w:tc>
        <w:tc>
          <w:tcPr>
            <w:tcW w:w="1175" w:type="dxa"/>
            <w:vAlign w:val="top"/>
          </w:tcPr>
          <w:p w14:paraId="5249AA57">
            <w:pPr>
              <w:pStyle w:val="6"/>
            </w:pPr>
          </w:p>
        </w:tc>
        <w:tc>
          <w:tcPr>
            <w:tcW w:w="2326" w:type="dxa"/>
            <w:vAlign w:val="top"/>
          </w:tcPr>
          <w:p w14:paraId="671DFD0C">
            <w:pPr>
              <w:spacing w:before="113" w:line="219" w:lineRule="auto"/>
              <w:ind w:left="7"/>
              <w:rPr>
                <w:rFonts w:ascii="宋体" w:hAnsi="宋体" w:eastAsia="宋体" w:cs="宋体"/>
                <w:sz w:val="18"/>
                <w:szCs w:val="18"/>
              </w:rPr>
            </w:pPr>
            <w:r>
              <w:rPr>
                <w:rFonts w:ascii="宋体" w:hAnsi="宋体" w:eastAsia="宋体" w:cs="宋体"/>
                <w:color w:val="212529"/>
                <w:spacing w:val="-2"/>
                <w:sz w:val="18"/>
                <w:szCs w:val="18"/>
              </w:rPr>
              <w:t>十、卫生健康支出</w:t>
            </w:r>
          </w:p>
        </w:tc>
        <w:tc>
          <w:tcPr>
            <w:tcW w:w="1199" w:type="dxa"/>
            <w:vAlign w:val="top"/>
          </w:tcPr>
          <w:p w14:paraId="25F7F130">
            <w:pPr>
              <w:pStyle w:val="6"/>
            </w:pPr>
          </w:p>
        </w:tc>
        <w:tc>
          <w:tcPr>
            <w:tcW w:w="1175" w:type="dxa"/>
            <w:vAlign w:val="top"/>
          </w:tcPr>
          <w:p w14:paraId="229C7807">
            <w:pPr>
              <w:pStyle w:val="6"/>
            </w:pPr>
          </w:p>
        </w:tc>
        <w:tc>
          <w:tcPr>
            <w:tcW w:w="905" w:type="dxa"/>
            <w:vAlign w:val="top"/>
          </w:tcPr>
          <w:p w14:paraId="4A71583B">
            <w:pPr>
              <w:pStyle w:val="6"/>
            </w:pPr>
          </w:p>
        </w:tc>
      </w:tr>
      <w:tr w14:paraId="2FBB8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93EC9E0">
            <w:pPr>
              <w:pStyle w:val="6"/>
            </w:pPr>
          </w:p>
        </w:tc>
        <w:tc>
          <w:tcPr>
            <w:tcW w:w="1175" w:type="dxa"/>
            <w:vAlign w:val="top"/>
          </w:tcPr>
          <w:p w14:paraId="253CA2BD">
            <w:pPr>
              <w:pStyle w:val="6"/>
            </w:pPr>
          </w:p>
        </w:tc>
        <w:tc>
          <w:tcPr>
            <w:tcW w:w="2326" w:type="dxa"/>
            <w:vAlign w:val="top"/>
          </w:tcPr>
          <w:p w14:paraId="2F75FB2D">
            <w:pPr>
              <w:spacing w:before="113" w:line="220" w:lineRule="auto"/>
              <w:ind w:left="7"/>
              <w:rPr>
                <w:rFonts w:ascii="宋体" w:hAnsi="宋体" w:eastAsia="宋体" w:cs="宋体"/>
                <w:sz w:val="18"/>
                <w:szCs w:val="18"/>
              </w:rPr>
            </w:pPr>
            <w:r>
              <w:rPr>
                <w:rFonts w:ascii="宋体" w:hAnsi="宋体" w:eastAsia="宋体" w:cs="宋体"/>
                <w:color w:val="212529"/>
                <w:spacing w:val="-1"/>
                <w:sz w:val="18"/>
                <w:szCs w:val="18"/>
              </w:rPr>
              <w:t>十一、节能环保支出</w:t>
            </w:r>
          </w:p>
        </w:tc>
        <w:tc>
          <w:tcPr>
            <w:tcW w:w="1199" w:type="dxa"/>
            <w:vAlign w:val="top"/>
          </w:tcPr>
          <w:p w14:paraId="177B633D">
            <w:pPr>
              <w:pStyle w:val="6"/>
            </w:pPr>
          </w:p>
        </w:tc>
        <w:tc>
          <w:tcPr>
            <w:tcW w:w="1175" w:type="dxa"/>
            <w:vAlign w:val="top"/>
          </w:tcPr>
          <w:p w14:paraId="683593F7">
            <w:pPr>
              <w:pStyle w:val="6"/>
            </w:pPr>
          </w:p>
        </w:tc>
        <w:tc>
          <w:tcPr>
            <w:tcW w:w="905" w:type="dxa"/>
            <w:vAlign w:val="top"/>
          </w:tcPr>
          <w:p w14:paraId="42A3CBE6">
            <w:pPr>
              <w:pStyle w:val="6"/>
            </w:pPr>
          </w:p>
        </w:tc>
      </w:tr>
      <w:tr w14:paraId="13538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0DE86C1">
            <w:pPr>
              <w:pStyle w:val="6"/>
            </w:pPr>
          </w:p>
        </w:tc>
        <w:tc>
          <w:tcPr>
            <w:tcW w:w="1175" w:type="dxa"/>
            <w:vAlign w:val="top"/>
          </w:tcPr>
          <w:p w14:paraId="5F68F323">
            <w:pPr>
              <w:pStyle w:val="6"/>
            </w:pPr>
          </w:p>
        </w:tc>
        <w:tc>
          <w:tcPr>
            <w:tcW w:w="2326" w:type="dxa"/>
            <w:vAlign w:val="top"/>
          </w:tcPr>
          <w:p w14:paraId="6750E9FC">
            <w:pPr>
              <w:spacing w:before="113" w:line="219" w:lineRule="auto"/>
              <w:ind w:left="7"/>
              <w:rPr>
                <w:rFonts w:ascii="宋体" w:hAnsi="宋体" w:eastAsia="宋体" w:cs="宋体"/>
                <w:sz w:val="18"/>
                <w:szCs w:val="18"/>
              </w:rPr>
            </w:pPr>
            <w:r>
              <w:rPr>
                <w:rFonts w:ascii="宋体" w:hAnsi="宋体" w:eastAsia="宋体" w:cs="宋体"/>
                <w:color w:val="212529"/>
                <w:spacing w:val="-1"/>
                <w:sz w:val="18"/>
                <w:szCs w:val="18"/>
              </w:rPr>
              <w:t>十二、城乡社区支出</w:t>
            </w:r>
          </w:p>
        </w:tc>
        <w:tc>
          <w:tcPr>
            <w:tcW w:w="1199" w:type="dxa"/>
            <w:vAlign w:val="top"/>
          </w:tcPr>
          <w:p w14:paraId="57081D49">
            <w:pPr>
              <w:pStyle w:val="6"/>
            </w:pPr>
          </w:p>
        </w:tc>
        <w:tc>
          <w:tcPr>
            <w:tcW w:w="1175" w:type="dxa"/>
            <w:vAlign w:val="top"/>
          </w:tcPr>
          <w:p w14:paraId="7BA0F1DC">
            <w:pPr>
              <w:pStyle w:val="6"/>
            </w:pPr>
          </w:p>
        </w:tc>
        <w:tc>
          <w:tcPr>
            <w:tcW w:w="905" w:type="dxa"/>
            <w:vAlign w:val="top"/>
          </w:tcPr>
          <w:p w14:paraId="2463C689">
            <w:pPr>
              <w:pStyle w:val="6"/>
            </w:pPr>
          </w:p>
        </w:tc>
      </w:tr>
      <w:tr w14:paraId="26376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5D49113">
            <w:pPr>
              <w:pStyle w:val="6"/>
            </w:pPr>
          </w:p>
        </w:tc>
        <w:tc>
          <w:tcPr>
            <w:tcW w:w="1175" w:type="dxa"/>
            <w:vAlign w:val="top"/>
          </w:tcPr>
          <w:p w14:paraId="01474A74">
            <w:pPr>
              <w:pStyle w:val="6"/>
            </w:pPr>
          </w:p>
        </w:tc>
        <w:tc>
          <w:tcPr>
            <w:tcW w:w="2326" w:type="dxa"/>
            <w:vAlign w:val="top"/>
          </w:tcPr>
          <w:p w14:paraId="33E18E18">
            <w:pPr>
              <w:spacing w:before="113" w:line="219" w:lineRule="auto"/>
              <w:ind w:left="7"/>
              <w:rPr>
                <w:rFonts w:ascii="宋体" w:hAnsi="宋体" w:eastAsia="宋体" w:cs="宋体"/>
                <w:sz w:val="18"/>
                <w:szCs w:val="18"/>
              </w:rPr>
            </w:pPr>
            <w:r>
              <w:rPr>
                <w:rFonts w:ascii="宋体" w:hAnsi="宋体" w:eastAsia="宋体" w:cs="宋体"/>
                <w:color w:val="212529"/>
                <w:spacing w:val="-2"/>
                <w:sz w:val="18"/>
                <w:szCs w:val="18"/>
              </w:rPr>
              <w:t>十三、农林水支出</w:t>
            </w:r>
          </w:p>
        </w:tc>
        <w:tc>
          <w:tcPr>
            <w:tcW w:w="1199" w:type="dxa"/>
            <w:vAlign w:val="top"/>
          </w:tcPr>
          <w:p w14:paraId="76C8C9C6">
            <w:pPr>
              <w:pStyle w:val="6"/>
            </w:pPr>
          </w:p>
        </w:tc>
        <w:tc>
          <w:tcPr>
            <w:tcW w:w="1175" w:type="dxa"/>
            <w:vAlign w:val="top"/>
          </w:tcPr>
          <w:p w14:paraId="683B3877">
            <w:pPr>
              <w:pStyle w:val="6"/>
            </w:pPr>
          </w:p>
        </w:tc>
        <w:tc>
          <w:tcPr>
            <w:tcW w:w="905" w:type="dxa"/>
            <w:vAlign w:val="top"/>
          </w:tcPr>
          <w:p w14:paraId="58F1A789">
            <w:pPr>
              <w:pStyle w:val="6"/>
            </w:pPr>
          </w:p>
        </w:tc>
      </w:tr>
      <w:tr w14:paraId="44304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6EC6949">
            <w:pPr>
              <w:pStyle w:val="6"/>
            </w:pPr>
          </w:p>
        </w:tc>
        <w:tc>
          <w:tcPr>
            <w:tcW w:w="1175" w:type="dxa"/>
            <w:vAlign w:val="top"/>
          </w:tcPr>
          <w:p w14:paraId="080BD274">
            <w:pPr>
              <w:pStyle w:val="6"/>
            </w:pPr>
          </w:p>
        </w:tc>
        <w:tc>
          <w:tcPr>
            <w:tcW w:w="2326" w:type="dxa"/>
            <w:vAlign w:val="top"/>
          </w:tcPr>
          <w:p w14:paraId="6AB232E1">
            <w:pPr>
              <w:spacing w:before="113" w:line="219" w:lineRule="auto"/>
              <w:ind w:left="7"/>
              <w:rPr>
                <w:rFonts w:ascii="宋体" w:hAnsi="宋体" w:eastAsia="宋体" w:cs="宋体"/>
                <w:sz w:val="18"/>
                <w:szCs w:val="18"/>
              </w:rPr>
            </w:pPr>
            <w:r>
              <w:rPr>
                <w:rFonts w:ascii="宋体" w:hAnsi="宋体" w:eastAsia="宋体" w:cs="宋体"/>
                <w:color w:val="212529"/>
                <w:spacing w:val="-1"/>
                <w:sz w:val="18"/>
                <w:szCs w:val="18"/>
              </w:rPr>
              <w:t>十四、交通运输支出</w:t>
            </w:r>
          </w:p>
        </w:tc>
        <w:tc>
          <w:tcPr>
            <w:tcW w:w="1199" w:type="dxa"/>
            <w:vAlign w:val="top"/>
          </w:tcPr>
          <w:p w14:paraId="74005CF2">
            <w:pPr>
              <w:pStyle w:val="6"/>
            </w:pPr>
          </w:p>
        </w:tc>
        <w:tc>
          <w:tcPr>
            <w:tcW w:w="1175" w:type="dxa"/>
            <w:vAlign w:val="top"/>
          </w:tcPr>
          <w:p w14:paraId="79A0C821">
            <w:pPr>
              <w:pStyle w:val="6"/>
            </w:pPr>
          </w:p>
        </w:tc>
        <w:tc>
          <w:tcPr>
            <w:tcW w:w="905" w:type="dxa"/>
            <w:vAlign w:val="top"/>
          </w:tcPr>
          <w:p w14:paraId="3833E590">
            <w:pPr>
              <w:pStyle w:val="6"/>
            </w:pPr>
          </w:p>
        </w:tc>
      </w:tr>
      <w:tr w14:paraId="5224E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2BCE855">
            <w:pPr>
              <w:pStyle w:val="6"/>
            </w:pPr>
          </w:p>
        </w:tc>
        <w:tc>
          <w:tcPr>
            <w:tcW w:w="1175" w:type="dxa"/>
            <w:vAlign w:val="top"/>
          </w:tcPr>
          <w:p w14:paraId="197D23B6">
            <w:pPr>
              <w:pStyle w:val="6"/>
            </w:pPr>
          </w:p>
        </w:tc>
        <w:tc>
          <w:tcPr>
            <w:tcW w:w="2326" w:type="dxa"/>
            <w:vAlign w:val="top"/>
          </w:tcPr>
          <w:p w14:paraId="31C097B2">
            <w:pPr>
              <w:spacing w:before="6" w:line="208" w:lineRule="auto"/>
              <w:ind w:left="7" w:right="156"/>
              <w:rPr>
                <w:rFonts w:ascii="宋体" w:hAnsi="宋体" w:eastAsia="宋体" w:cs="宋体"/>
                <w:sz w:val="18"/>
                <w:szCs w:val="18"/>
              </w:rPr>
            </w:pPr>
            <w:r>
              <w:rPr>
                <w:rFonts w:ascii="宋体" w:hAnsi="宋体" w:eastAsia="宋体" w:cs="宋体"/>
                <w:color w:val="212529"/>
                <w:spacing w:val="-1"/>
                <w:sz w:val="18"/>
                <w:szCs w:val="18"/>
              </w:rPr>
              <w:t>十五、资源勘探工业信息等</w:t>
            </w:r>
            <w:r>
              <w:rPr>
                <w:rFonts w:ascii="宋体" w:hAnsi="宋体" w:eastAsia="宋体" w:cs="宋体"/>
                <w:color w:val="212529"/>
                <w:spacing w:val="2"/>
                <w:sz w:val="18"/>
                <w:szCs w:val="18"/>
              </w:rPr>
              <w:t xml:space="preserve"> </w:t>
            </w:r>
            <w:r>
              <w:rPr>
                <w:rFonts w:ascii="宋体" w:hAnsi="宋体" w:eastAsia="宋体" w:cs="宋体"/>
                <w:color w:val="212529"/>
                <w:spacing w:val="-5"/>
                <w:sz w:val="18"/>
                <w:szCs w:val="18"/>
              </w:rPr>
              <w:t>支出</w:t>
            </w:r>
          </w:p>
        </w:tc>
        <w:tc>
          <w:tcPr>
            <w:tcW w:w="1199" w:type="dxa"/>
            <w:vAlign w:val="top"/>
          </w:tcPr>
          <w:p w14:paraId="6F852959">
            <w:pPr>
              <w:pStyle w:val="6"/>
            </w:pPr>
          </w:p>
        </w:tc>
        <w:tc>
          <w:tcPr>
            <w:tcW w:w="1175" w:type="dxa"/>
            <w:vAlign w:val="top"/>
          </w:tcPr>
          <w:p w14:paraId="7DC1A60B">
            <w:pPr>
              <w:pStyle w:val="6"/>
            </w:pPr>
          </w:p>
        </w:tc>
        <w:tc>
          <w:tcPr>
            <w:tcW w:w="905" w:type="dxa"/>
            <w:vAlign w:val="top"/>
          </w:tcPr>
          <w:p w14:paraId="196A2EA1">
            <w:pPr>
              <w:pStyle w:val="6"/>
            </w:pPr>
          </w:p>
        </w:tc>
      </w:tr>
      <w:tr w14:paraId="32A6F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24FBD36">
            <w:pPr>
              <w:pStyle w:val="6"/>
            </w:pPr>
          </w:p>
        </w:tc>
        <w:tc>
          <w:tcPr>
            <w:tcW w:w="1175" w:type="dxa"/>
            <w:vAlign w:val="top"/>
          </w:tcPr>
          <w:p w14:paraId="5A6B33BE">
            <w:pPr>
              <w:pStyle w:val="6"/>
            </w:pPr>
          </w:p>
        </w:tc>
        <w:tc>
          <w:tcPr>
            <w:tcW w:w="2326" w:type="dxa"/>
            <w:vAlign w:val="top"/>
          </w:tcPr>
          <w:p w14:paraId="02990128">
            <w:pPr>
              <w:spacing w:before="114" w:line="219" w:lineRule="auto"/>
              <w:ind w:left="7"/>
              <w:rPr>
                <w:rFonts w:ascii="宋体" w:hAnsi="宋体" w:eastAsia="宋体" w:cs="宋体"/>
                <w:sz w:val="18"/>
                <w:szCs w:val="18"/>
              </w:rPr>
            </w:pPr>
            <w:r>
              <w:rPr>
                <w:rFonts w:ascii="宋体" w:hAnsi="宋体" w:eastAsia="宋体" w:cs="宋体"/>
                <w:color w:val="212529"/>
                <w:spacing w:val="-1"/>
                <w:sz w:val="18"/>
                <w:szCs w:val="18"/>
              </w:rPr>
              <w:t>十六、商业服务业等支出</w:t>
            </w:r>
          </w:p>
        </w:tc>
        <w:tc>
          <w:tcPr>
            <w:tcW w:w="1199" w:type="dxa"/>
            <w:vAlign w:val="top"/>
          </w:tcPr>
          <w:p w14:paraId="1579700D">
            <w:pPr>
              <w:pStyle w:val="6"/>
            </w:pPr>
          </w:p>
        </w:tc>
        <w:tc>
          <w:tcPr>
            <w:tcW w:w="1175" w:type="dxa"/>
            <w:vAlign w:val="top"/>
          </w:tcPr>
          <w:p w14:paraId="747A2C69">
            <w:pPr>
              <w:pStyle w:val="6"/>
            </w:pPr>
          </w:p>
        </w:tc>
        <w:tc>
          <w:tcPr>
            <w:tcW w:w="905" w:type="dxa"/>
            <w:vAlign w:val="top"/>
          </w:tcPr>
          <w:p w14:paraId="21C23629">
            <w:pPr>
              <w:pStyle w:val="6"/>
            </w:pPr>
          </w:p>
        </w:tc>
      </w:tr>
      <w:tr w14:paraId="342B0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6CFC596">
            <w:pPr>
              <w:pStyle w:val="6"/>
            </w:pPr>
          </w:p>
        </w:tc>
        <w:tc>
          <w:tcPr>
            <w:tcW w:w="1175" w:type="dxa"/>
            <w:vAlign w:val="top"/>
          </w:tcPr>
          <w:p w14:paraId="0B041717">
            <w:pPr>
              <w:pStyle w:val="6"/>
            </w:pPr>
          </w:p>
        </w:tc>
        <w:tc>
          <w:tcPr>
            <w:tcW w:w="2326" w:type="dxa"/>
            <w:vAlign w:val="top"/>
          </w:tcPr>
          <w:p w14:paraId="1027AF3B">
            <w:pPr>
              <w:spacing w:before="114" w:line="220" w:lineRule="auto"/>
              <w:ind w:left="7"/>
              <w:rPr>
                <w:rFonts w:ascii="宋体" w:hAnsi="宋体" w:eastAsia="宋体" w:cs="宋体"/>
                <w:sz w:val="18"/>
                <w:szCs w:val="18"/>
              </w:rPr>
            </w:pPr>
            <w:r>
              <w:rPr>
                <w:rFonts w:ascii="宋体" w:hAnsi="宋体" w:eastAsia="宋体" w:cs="宋体"/>
                <w:color w:val="212529"/>
                <w:spacing w:val="-2"/>
                <w:sz w:val="18"/>
                <w:szCs w:val="18"/>
              </w:rPr>
              <w:t>十七、金融支出</w:t>
            </w:r>
          </w:p>
        </w:tc>
        <w:tc>
          <w:tcPr>
            <w:tcW w:w="1199" w:type="dxa"/>
            <w:vAlign w:val="top"/>
          </w:tcPr>
          <w:p w14:paraId="6CAE2E2C">
            <w:pPr>
              <w:pStyle w:val="6"/>
            </w:pPr>
          </w:p>
        </w:tc>
        <w:tc>
          <w:tcPr>
            <w:tcW w:w="1175" w:type="dxa"/>
            <w:vAlign w:val="top"/>
          </w:tcPr>
          <w:p w14:paraId="00238DCA">
            <w:pPr>
              <w:pStyle w:val="6"/>
            </w:pPr>
          </w:p>
        </w:tc>
        <w:tc>
          <w:tcPr>
            <w:tcW w:w="905" w:type="dxa"/>
            <w:vAlign w:val="top"/>
          </w:tcPr>
          <w:p w14:paraId="431035CC">
            <w:pPr>
              <w:pStyle w:val="6"/>
            </w:pPr>
          </w:p>
        </w:tc>
      </w:tr>
      <w:tr w14:paraId="06CCE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53006DA">
            <w:pPr>
              <w:pStyle w:val="6"/>
            </w:pPr>
          </w:p>
        </w:tc>
        <w:tc>
          <w:tcPr>
            <w:tcW w:w="1175" w:type="dxa"/>
            <w:vAlign w:val="top"/>
          </w:tcPr>
          <w:p w14:paraId="33E1BF4C">
            <w:pPr>
              <w:pStyle w:val="6"/>
            </w:pPr>
          </w:p>
        </w:tc>
        <w:tc>
          <w:tcPr>
            <w:tcW w:w="2326" w:type="dxa"/>
            <w:vAlign w:val="top"/>
          </w:tcPr>
          <w:p w14:paraId="0BD671B3">
            <w:pPr>
              <w:spacing w:before="114" w:line="220" w:lineRule="auto"/>
              <w:ind w:left="7"/>
              <w:rPr>
                <w:rFonts w:ascii="宋体" w:hAnsi="宋体" w:eastAsia="宋体" w:cs="宋体"/>
                <w:sz w:val="18"/>
                <w:szCs w:val="18"/>
              </w:rPr>
            </w:pPr>
            <w:r>
              <w:rPr>
                <w:rFonts w:ascii="宋体" w:hAnsi="宋体" w:eastAsia="宋体" w:cs="宋体"/>
                <w:color w:val="212529"/>
                <w:spacing w:val="-1"/>
                <w:sz w:val="18"/>
                <w:szCs w:val="18"/>
              </w:rPr>
              <w:t>十八、援助其他地区支出</w:t>
            </w:r>
          </w:p>
        </w:tc>
        <w:tc>
          <w:tcPr>
            <w:tcW w:w="1199" w:type="dxa"/>
            <w:vAlign w:val="top"/>
          </w:tcPr>
          <w:p w14:paraId="267CD053">
            <w:pPr>
              <w:pStyle w:val="6"/>
            </w:pPr>
          </w:p>
        </w:tc>
        <w:tc>
          <w:tcPr>
            <w:tcW w:w="1175" w:type="dxa"/>
            <w:vAlign w:val="top"/>
          </w:tcPr>
          <w:p w14:paraId="09EAA388">
            <w:pPr>
              <w:pStyle w:val="6"/>
            </w:pPr>
          </w:p>
        </w:tc>
        <w:tc>
          <w:tcPr>
            <w:tcW w:w="905" w:type="dxa"/>
            <w:vAlign w:val="top"/>
          </w:tcPr>
          <w:p w14:paraId="6579E475">
            <w:pPr>
              <w:pStyle w:val="6"/>
            </w:pPr>
          </w:p>
        </w:tc>
      </w:tr>
      <w:tr w14:paraId="72523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0B33A0F">
            <w:pPr>
              <w:pStyle w:val="6"/>
            </w:pPr>
          </w:p>
        </w:tc>
        <w:tc>
          <w:tcPr>
            <w:tcW w:w="1175" w:type="dxa"/>
            <w:vAlign w:val="top"/>
          </w:tcPr>
          <w:p w14:paraId="45039EA0">
            <w:pPr>
              <w:pStyle w:val="6"/>
            </w:pPr>
          </w:p>
        </w:tc>
        <w:tc>
          <w:tcPr>
            <w:tcW w:w="2326" w:type="dxa"/>
            <w:vAlign w:val="top"/>
          </w:tcPr>
          <w:p w14:paraId="799709D2">
            <w:pPr>
              <w:spacing w:before="6" w:line="208" w:lineRule="auto"/>
              <w:ind w:left="7" w:right="156"/>
              <w:rPr>
                <w:rFonts w:ascii="宋体" w:hAnsi="宋体" w:eastAsia="宋体" w:cs="宋体"/>
                <w:sz w:val="18"/>
                <w:szCs w:val="18"/>
              </w:rPr>
            </w:pPr>
            <w:r>
              <w:rPr>
                <w:rFonts w:ascii="宋体" w:hAnsi="宋体" w:eastAsia="宋体" w:cs="宋体"/>
                <w:color w:val="212529"/>
                <w:spacing w:val="-4"/>
                <w:sz w:val="18"/>
                <w:szCs w:val="18"/>
              </w:rPr>
              <w:t>十九、</w:t>
            </w:r>
            <w:r>
              <w:rPr>
                <w:rFonts w:ascii="宋体" w:hAnsi="宋体" w:eastAsia="宋体" w:cs="宋体"/>
                <w:color w:val="212529"/>
                <w:spacing w:val="-52"/>
                <w:sz w:val="18"/>
                <w:szCs w:val="18"/>
              </w:rPr>
              <w:t xml:space="preserve"> </w:t>
            </w:r>
            <w:r>
              <w:rPr>
                <w:rFonts w:ascii="宋体" w:hAnsi="宋体" w:eastAsia="宋体" w:cs="宋体"/>
                <w:color w:val="212529"/>
                <w:spacing w:val="-4"/>
                <w:sz w:val="18"/>
                <w:szCs w:val="18"/>
              </w:rPr>
              <w:t>自然资源海洋气象等</w:t>
            </w:r>
            <w:r>
              <w:rPr>
                <w:rFonts w:ascii="宋体" w:hAnsi="宋体" w:eastAsia="宋体" w:cs="宋体"/>
                <w:color w:val="212529"/>
                <w:sz w:val="18"/>
                <w:szCs w:val="18"/>
              </w:rPr>
              <w:t xml:space="preserve"> </w:t>
            </w:r>
            <w:r>
              <w:rPr>
                <w:rFonts w:ascii="宋体" w:hAnsi="宋体" w:eastAsia="宋体" w:cs="宋体"/>
                <w:color w:val="212529"/>
                <w:spacing w:val="-5"/>
                <w:sz w:val="18"/>
                <w:szCs w:val="18"/>
              </w:rPr>
              <w:t>支出</w:t>
            </w:r>
          </w:p>
        </w:tc>
        <w:tc>
          <w:tcPr>
            <w:tcW w:w="1199" w:type="dxa"/>
            <w:vAlign w:val="top"/>
          </w:tcPr>
          <w:p w14:paraId="1D9E4410">
            <w:pPr>
              <w:pStyle w:val="6"/>
            </w:pPr>
          </w:p>
        </w:tc>
        <w:tc>
          <w:tcPr>
            <w:tcW w:w="1175" w:type="dxa"/>
            <w:vAlign w:val="top"/>
          </w:tcPr>
          <w:p w14:paraId="55BEDC15">
            <w:pPr>
              <w:pStyle w:val="6"/>
            </w:pPr>
          </w:p>
        </w:tc>
        <w:tc>
          <w:tcPr>
            <w:tcW w:w="905" w:type="dxa"/>
            <w:vAlign w:val="top"/>
          </w:tcPr>
          <w:p w14:paraId="7BEAE7D7">
            <w:pPr>
              <w:pStyle w:val="6"/>
            </w:pPr>
          </w:p>
        </w:tc>
      </w:tr>
      <w:tr w14:paraId="7C171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D6D1813">
            <w:pPr>
              <w:pStyle w:val="6"/>
            </w:pPr>
          </w:p>
        </w:tc>
        <w:tc>
          <w:tcPr>
            <w:tcW w:w="1175" w:type="dxa"/>
            <w:vAlign w:val="top"/>
          </w:tcPr>
          <w:p w14:paraId="4E1E0D5E">
            <w:pPr>
              <w:pStyle w:val="6"/>
            </w:pPr>
          </w:p>
        </w:tc>
        <w:tc>
          <w:tcPr>
            <w:tcW w:w="2326" w:type="dxa"/>
            <w:vAlign w:val="top"/>
          </w:tcPr>
          <w:p w14:paraId="5817EA9E">
            <w:pPr>
              <w:spacing w:before="114" w:line="219" w:lineRule="auto"/>
              <w:ind w:left="9"/>
              <w:rPr>
                <w:rFonts w:ascii="宋体" w:hAnsi="宋体" w:eastAsia="宋体" w:cs="宋体"/>
                <w:sz w:val="18"/>
                <w:szCs w:val="18"/>
              </w:rPr>
            </w:pPr>
            <w:r>
              <w:rPr>
                <w:rFonts w:ascii="宋体" w:hAnsi="宋体" w:eastAsia="宋体" w:cs="宋体"/>
                <w:color w:val="212529"/>
                <w:spacing w:val="-2"/>
                <w:sz w:val="18"/>
                <w:szCs w:val="18"/>
              </w:rPr>
              <w:t>二十、住房保障支出</w:t>
            </w:r>
          </w:p>
        </w:tc>
        <w:tc>
          <w:tcPr>
            <w:tcW w:w="1199" w:type="dxa"/>
            <w:vAlign w:val="top"/>
          </w:tcPr>
          <w:p w14:paraId="7E8F3AE5">
            <w:pPr>
              <w:spacing w:before="141"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175" w:type="dxa"/>
            <w:vAlign w:val="top"/>
          </w:tcPr>
          <w:p w14:paraId="24740F1C">
            <w:pPr>
              <w:spacing w:before="141"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905" w:type="dxa"/>
            <w:vAlign w:val="top"/>
          </w:tcPr>
          <w:p w14:paraId="4173CE5A">
            <w:pPr>
              <w:pStyle w:val="6"/>
            </w:pPr>
          </w:p>
        </w:tc>
      </w:tr>
      <w:tr w14:paraId="1341D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62F6510">
            <w:pPr>
              <w:pStyle w:val="6"/>
            </w:pPr>
          </w:p>
        </w:tc>
        <w:tc>
          <w:tcPr>
            <w:tcW w:w="1175" w:type="dxa"/>
            <w:vAlign w:val="top"/>
          </w:tcPr>
          <w:p w14:paraId="68CD668A">
            <w:pPr>
              <w:pStyle w:val="6"/>
            </w:pPr>
          </w:p>
        </w:tc>
        <w:tc>
          <w:tcPr>
            <w:tcW w:w="2326" w:type="dxa"/>
            <w:vAlign w:val="top"/>
          </w:tcPr>
          <w:p w14:paraId="112FE39F">
            <w:pPr>
              <w:spacing w:before="114" w:line="219" w:lineRule="auto"/>
              <w:ind w:left="9"/>
              <w:rPr>
                <w:rFonts w:ascii="宋体" w:hAnsi="宋体" w:eastAsia="宋体" w:cs="宋体"/>
                <w:sz w:val="18"/>
                <w:szCs w:val="18"/>
              </w:rPr>
            </w:pPr>
            <w:r>
              <w:rPr>
                <w:rFonts w:ascii="宋体" w:hAnsi="宋体" w:eastAsia="宋体" w:cs="宋体"/>
                <w:color w:val="212529"/>
                <w:spacing w:val="-1"/>
                <w:sz w:val="18"/>
                <w:szCs w:val="18"/>
              </w:rPr>
              <w:t>二十一、粮油物资储备支出</w:t>
            </w:r>
          </w:p>
        </w:tc>
        <w:tc>
          <w:tcPr>
            <w:tcW w:w="1199" w:type="dxa"/>
            <w:vAlign w:val="top"/>
          </w:tcPr>
          <w:p w14:paraId="40829AEB">
            <w:pPr>
              <w:pStyle w:val="6"/>
            </w:pPr>
          </w:p>
        </w:tc>
        <w:tc>
          <w:tcPr>
            <w:tcW w:w="1175" w:type="dxa"/>
            <w:vAlign w:val="top"/>
          </w:tcPr>
          <w:p w14:paraId="647E2135">
            <w:pPr>
              <w:pStyle w:val="6"/>
            </w:pPr>
          </w:p>
        </w:tc>
        <w:tc>
          <w:tcPr>
            <w:tcW w:w="905" w:type="dxa"/>
            <w:vAlign w:val="top"/>
          </w:tcPr>
          <w:p w14:paraId="709ED95C">
            <w:pPr>
              <w:pStyle w:val="6"/>
            </w:pPr>
          </w:p>
        </w:tc>
      </w:tr>
      <w:tr w14:paraId="7B63E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654E8E8">
            <w:pPr>
              <w:pStyle w:val="6"/>
            </w:pPr>
          </w:p>
        </w:tc>
        <w:tc>
          <w:tcPr>
            <w:tcW w:w="1175" w:type="dxa"/>
            <w:vAlign w:val="top"/>
          </w:tcPr>
          <w:p w14:paraId="483647AD">
            <w:pPr>
              <w:pStyle w:val="6"/>
            </w:pPr>
          </w:p>
        </w:tc>
        <w:tc>
          <w:tcPr>
            <w:tcW w:w="2326" w:type="dxa"/>
            <w:vAlign w:val="top"/>
          </w:tcPr>
          <w:p w14:paraId="4DB74075">
            <w:pPr>
              <w:spacing w:before="6" w:line="208" w:lineRule="auto"/>
              <w:ind w:left="7" w:right="156" w:firstLine="2"/>
              <w:rPr>
                <w:rFonts w:ascii="宋体" w:hAnsi="宋体" w:eastAsia="宋体" w:cs="宋体"/>
                <w:sz w:val="18"/>
                <w:szCs w:val="18"/>
              </w:rPr>
            </w:pPr>
            <w:r>
              <w:rPr>
                <w:rFonts w:ascii="宋体" w:hAnsi="宋体" w:eastAsia="宋体" w:cs="宋体"/>
                <w:color w:val="212529"/>
                <w:spacing w:val="-1"/>
                <w:sz w:val="18"/>
                <w:szCs w:val="18"/>
              </w:rPr>
              <w:t>二十二、国有资本经营预算</w:t>
            </w:r>
            <w:r>
              <w:rPr>
                <w:rFonts w:ascii="宋体" w:hAnsi="宋体" w:eastAsia="宋体" w:cs="宋体"/>
                <w:color w:val="212529"/>
                <w:sz w:val="18"/>
                <w:szCs w:val="18"/>
              </w:rPr>
              <w:t xml:space="preserve"> </w:t>
            </w:r>
            <w:r>
              <w:rPr>
                <w:rFonts w:ascii="宋体" w:hAnsi="宋体" w:eastAsia="宋体" w:cs="宋体"/>
                <w:color w:val="212529"/>
                <w:spacing w:val="-5"/>
                <w:sz w:val="18"/>
                <w:szCs w:val="18"/>
              </w:rPr>
              <w:t>支出</w:t>
            </w:r>
          </w:p>
        </w:tc>
        <w:tc>
          <w:tcPr>
            <w:tcW w:w="1199" w:type="dxa"/>
            <w:vAlign w:val="top"/>
          </w:tcPr>
          <w:p w14:paraId="3123209A">
            <w:pPr>
              <w:pStyle w:val="6"/>
            </w:pPr>
          </w:p>
        </w:tc>
        <w:tc>
          <w:tcPr>
            <w:tcW w:w="1175" w:type="dxa"/>
            <w:vAlign w:val="top"/>
          </w:tcPr>
          <w:p w14:paraId="1F21EFA8">
            <w:pPr>
              <w:pStyle w:val="6"/>
            </w:pPr>
          </w:p>
        </w:tc>
        <w:tc>
          <w:tcPr>
            <w:tcW w:w="905" w:type="dxa"/>
            <w:vAlign w:val="top"/>
          </w:tcPr>
          <w:p w14:paraId="5D05EB61">
            <w:pPr>
              <w:pStyle w:val="6"/>
            </w:pPr>
          </w:p>
        </w:tc>
      </w:tr>
      <w:tr w14:paraId="4368F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819C175">
            <w:pPr>
              <w:pStyle w:val="6"/>
            </w:pPr>
          </w:p>
        </w:tc>
        <w:tc>
          <w:tcPr>
            <w:tcW w:w="1175" w:type="dxa"/>
            <w:vAlign w:val="top"/>
          </w:tcPr>
          <w:p w14:paraId="7B484AD4">
            <w:pPr>
              <w:pStyle w:val="6"/>
            </w:pPr>
          </w:p>
        </w:tc>
        <w:tc>
          <w:tcPr>
            <w:tcW w:w="2326" w:type="dxa"/>
            <w:vAlign w:val="top"/>
          </w:tcPr>
          <w:p w14:paraId="1B8ADFE0">
            <w:pPr>
              <w:spacing w:before="6" w:line="208" w:lineRule="auto"/>
              <w:ind w:left="9" w:right="156"/>
              <w:rPr>
                <w:rFonts w:ascii="宋体" w:hAnsi="宋体" w:eastAsia="宋体" w:cs="宋体"/>
                <w:sz w:val="18"/>
                <w:szCs w:val="18"/>
              </w:rPr>
            </w:pPr>
            <w:r>
              <w:rPr>
                <w:rFonts w:ascii="宋体" w:hAnsi="宋体" w:eastAsia="宋体" w:cs="宋体"/>
                <w:color w:val="212529"/>
                <w:spacing w:val="-1"/>
                <w:sz w:val="18"/>
                <w:szCs w:val="18"/>
              </w:rPr>
              <w:t>二十三、灾害防治及应急管</w:t>
            </w:r>
            <w:r>
              <w:rPr>
                <w:rFonts w:ascii="宋体" w:hAnsi="宋体" w:eastAsia="宋体" w:cs="宋体"/>
                <w:color w:val="212529"/>
                <w:sz w:val="18"/>
                <w:szCs w:val="18"/>
              </w:rPr>
              <w:t xml:space="preserve"> </w:t>
            </w:r>
            <w:r>
              <w:rPr>
                <w:rFonts w:ascii="宋体" w:hAnsi="宋体" w:eastAsia="宋体" w:cs="宋体"/>
                <w:color w:val="212529"/>
                <w:spacing w:val="-4"/>
                <w:sz w:val="18"/>
                <w:szCs w:val="18"/>
              </w:rPr>
              <w:t>理支出</w:t>
            </w:r>
          </w:p>
        </w:tc>
        <w:tc>
          <w:tcPr>
            <w:tcW w:w="1199" w:type="dxa"/>
            <w:vAlign w:val="top"/>
          </w:tcPr>
          <w:p w14:paraId="2E889D88">
            <w:pPr>
              <w:pStyle w:val="6"/>
            </w:pPr>
          </w:p>
        </w:tc>
        <w:tc>
          <w:tcPr>
            <w:tcW w:w="1175" w:type="dxa"/>
            <w:vAlign w:val="top"/>
          </w:tcPr>
          <w:p w14:paraId="7771A3FF">
            <w:pPr>
              <w:pStyle w:val="6"/>
            </w:pPr>
          </w:p>
        </w:tc>
        <w:tc>
          <w:tcPr>
            <w:tcW w:w="905" w:type="dxa"/>
            <w:vAlign w:val="top"/>
          </w:tcPr>
          <w:p w14:paraId="08AA00D8">
            <w:pPr>
              <w:pStyle w:val="6"/>
            </w:pPr>
          </w:p>
        </w:tc>
      </w:tr>
      <w:tr w14:paraId="47B44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DEC13FF">
            <w:pPr>
              <w:pStyle w:val="6"/>
            </w:pPr>
          </w:p>
        </w:tc>
        <w:tc>
          <w:tcPr>
            <w:tcW w:w="1175" w:type="dxa"/>
            <w:vAlign w:val="top"/>
          </w:tcPr>
          <w:p w14:paraId="5FE9A666">
            <w:pPr>
              <w:pStyle w:val="6"/>
            </w:pPr>
          </w:p>
        </w:tc>
        <w:tc>
          <w:tcPr>
            <w:tcW w:w="2326" w:type="dxa"/>
            <w:vAlign w:val="top"/>
          </w:tcPr>
          <w:p w14:paraId="40A720E2">
            <w:pPr>
              <w:spacing w:before="114" w:line="220" w:lineRule="auto"/>
              <w:ind w:left="9"/>
              <w:rPr>
                <w:rFonts w:ascii="宋体" w:hAnsi="宋体" w:eastAsia="宋体" w:cs="宋体"/>
                <w:sz w:val="18"/>
                <w:szCs w:val="18"/>
              </w:rPr>
            </w:pPr>
            <w:r>
              <w:rPr>
                <w:rFonts w:ascii="宋体" w:hAnsi="宋体" w:eastAsia="宋体" w:cs="宋体"/>
                <w:color w:val="212529"/>
                <w:spacing w:val="-2"/>
                <w:sz w:val="18"/>
                <w:szCs w:val="18"/>
              </w:rPr>
              <w:t>二十四、预备费</w:t>
            </w:r>
          </w:p>
        </w:tc>
        <w:tc>
          <w:tcPr>
            <w:tcW w:w="1199" w:type="dxa"/>
            <w:vAlign w:val="top"/>
          </w:tcPr>
          <w:p w14:paraId="41B74258">
            <w:pPr>
              <w:pStyle w:val="6"/>
            </w:pPr>
          </w:p>
        </w:tc>
        <w:tc>
          <w:tcPr>
            <w:tcW w:w="1175" w:type="dxa"/>
            <w:vAlign w:val="top"/>
          </w:tcPr>
          <w:p w14:paraId="0C6F64C6">
            <w:pPr>
              <w:pStyle w:val="6"/>
            </w:pPr>
          </w:p>
        </w:tc>
        <w:tc>
          <w:tcPr>
            <w:tcW w:w="905" w:type="dxa"/>
            <w:vAlign w:val="top"/>
          </w:tcPr>
          <w:p w14:paraId="7379E884">
            <w:pPr>
              <w:pStyle w:val="6"/>
            </w:pPr>
          </w:p>
        </w:tc>
      </w:tr>
      <w:tr w14:paraId="407F8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65198A3">
            <w:pPr>
              <w:pStyle w:val="6"/>
            </w:pPr>
          </w:p>
        </w:tc>
        <w:tc>
          <w:tcPr>
            <w:tcW w:w="1175" w:type="dxa"/>
            <w:vAlign w:val="top"/>
          </w:tcPr>
          <w:p w14:paraId="5F2F5A10">
            <w:pPr>
              <w:pStyle w:val="6"/>
            </w:pPr>
          </w:p>
        </w:tc>
        <w:tc>
          <w:tcPr>
            <w:tcW w:w="2326" w:type="dxa"/>
            <w:vAlign w:val="top"/>
          </w:tcPr>
          <w:p w14:paraId="079C10C4">
            <w:pPr>
              <w:spacing w:before="115" w:line="220" w:lineRule="auto"/>
              <w:ind w:left="9"/>
              <w:rPr>
                <w:rFonts w:ascii="宋体" w:hAnsi="宋体" w:eastAsia="宋体" w:cs="宋体"/>
                <w:sz w:val="18"/>
                <w:szCs w:val="18"/>
              </w:rPr>
            </w:pPr>
            <w:r>
              <w:rPr>
                <w:rFonts w:ascii="宋体" w:hAnsi="宋体" w:eastAsia="宋体" w:cs="宋体"/>
                <w:color w:val="212529"/>
                <w:spacing w:val="-2"/>
                <w:sz w:val="18"/>
                <w:szCs w:val="18"/>
              </w:rPr>
              <w:t>二十五、其他支出</w:t>
            </w:r>
          </w:p>
        </w:tc>
        <w:tc>
          <w:tcPr>
            <w:tcW w:w="1199" w:type="dxa"/>
            <w:vAlign w:val="top"/>
          </w:tcPr>
          <w:p w14:paraId="10F553B1">
            <w:pPr>
              <w:pStyle w:val="6"/>
            </w:pPr>
          </w:p>
        </w:tc>
        <w:tc>
          <w:tcPr>
            <w:tcW w:w="1175" w:type="dxa"/>
            <w:vAlign w:val="top"/>
          </w:tcPr>
          <w:p w14:paraId="18C677F1">
            <w:pPr>
              <w:pStyle w:val="6"/>
            </w:pPr>
          </w:p>
        </w:tc>
        <w:tc>
          <w:tcPr>
            <w:tcW w:w="905" w:type="dxa"/>
            <w:vAlign w:val="top"/>
          </w:tcPr>
          <w:p w14:paraId="003D0D7E">
            <w:pPr>
              <w:pStyle w:val="6"/>
            </w:pPr>
          </w:p>
        </w:tc>
      </w:tr>
      <w:tr w14:paraId="41F8E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D36DC24">
            <w:pPr>
              <w:pStyle w:val="6"/>
            </w:pPr>
          </w:p>
        </w:tc>
        <w:tc>
          <w:tcPr>
            <w:tcW w:w="1175" w:type="dxa"/>
            <w:vAlign w:val="top"/>
          </w:tcPr>
          <w:p w14:paraId="4106DEDB">
            <w:pPr>
              <w:pStyle w:val="6"/>
            </w:pPr>
          </w:p>
        </w:tc>
        <w:tc>
          <w:tcPr>
            <w:tcW w:w="2326" w:type="dxa"/>
            <w:vAlign w:val="top"/>
          </w:tcPr>
          <w:p w14:paraId="375B6DAA">
            <w:pPr>
              <w:spacing w:before="115" w:line="220" w:lineRule="auto"/>
              <w:ind w:left="9"/>
              <w:rPr>
                <w:rFonts w:ascii="宋体" w:hAnsi="宋体" w:eastAsia="宋体" w:cs="宋体"/>
                <w:sz w:val="18"/>
                <w:szCs w:val="18"/>
              </w:rPr>
            </w:pPr>
            <w:r>
              <w:rPr>
                <w:rFonts w:ascii="宋体" w:hAnsi="宋体" w:eastAsia="宋体" w:cs="宋体"/>
                <w:color w:val="212529"/>
                <w:spacing w:val="-2"/>
                <w:sz w:val="18"/>
                <w:szCs w:val="18"/>
              </w:rPr>
              <w:t>二十六、转移性支出</w:t>
            </w:r>
          </w:p>
        </w:tc>
        <w:tc>
          <w:tcPr>
            <w:tcW w:w="1199" w:type="dxa"/>
            <w:vAlign w:val="top"/>
          </w:tcPr>
          <w:p w14:paraId="301044B5">
            <w:pPr>
              <w:pStyle w:val="6"/>
            </w:pPr>
          </w:p>
        </w:tc>
        <w:tc>
          <w:tcPr>
            <w:tcW w:w="1175" w:type="dxa"/>
            <w:vAlign w:val="top"/>
          </w:tcPr>
          <w:p w14:paraId="21F24DF8">
            <w:pPr>
              <w:pStyle w:val="6"/>
            </w:pPr>
          </w:p>
        </w:tc>
        <w:tc>
          <w:tcPr>
            <w:tcW w:w="905" w:type="dxa"/>
            <w:vAlign w:val="top"/>
          </w:tcPr>
          <w:p w14:paraId="37211726">
            <w:pPr>
              <w:pStyle w:val="6"/>
            </w:pPr>
          </w:p>
        </w:tc>
      </w:tr>
      <w:tr w14:paraId="2F143823">
        <w:tblPrEx>
          <w:tblCellMar>
            <w:top w:w="0" w:type="dxa"/>
            <w:left w:w="0" w:type="dxa"/>
            <w:bottom w:w="0" w:type="dxa"/>
            <w:right w:w="0" w:type="dxa"/>
          </w:tblCellMar>
        </w:tblPrEx>
        <w:trPr>
          <w:trHeight w:val="427" w:hRule="atLeast"/>
        </w:trPr>
        <w:tc>
          <w:tcPr>
            <w:tcW w:w="2236" w:type="dxa"/>
            <w:vAlign w:val="top"/>
          </w:tcPr>
          <w:p w14:paraId="0187D934">
            <w:pPr>
              <w:pStyle w:val="6"/>
            </w:pPr>
          </w:p>
        </w:tc>
        <w:tc>
          <w:tcPr>
            <w:tcW w:w="1175" w:type="dxa"/>
            <w:vAlign w:val="top"/>
          </w:tcPr>
          <w:p w14:paraId="6C329203">
            <w:pPr>
              <w:pStyle w:val="6"/>
            </w:pPr>
          </w:p>
        </w:tc>
        <w:tc>
          <w:tcPr>
            <w:tcW w:w="2326" w:type="dxa"/>
            <w:vAlign w:val="top"/>
          </w:tcPr>
          <w:p w14:paraId="290D971D">
            <w:pPr>
              <w:spacing w:before="114" w:line="219" w:lineRule="auto"/>
              <w:ind w:left="9"/>
              <w:rPr>
                <w:rFonts w:ascii="宋体" w:hAnsi="宋体" w:eastAsia="宋体" w:cs="宋体"/>
                <w:sz w:val="18"/>
                <w:szCs w:val="18"/>
              </w:rPr>
            </w:pPr>
            <w:r>
              <w:rPr>
                <w:rFonts w:ascii="宋体" w:hAnsi="宋体" w:eastAsia="宋体" w:cs="宋体"/>
                <w:color w:val="212529"/>
                <w:spacing w:val="-2"/>
                <w:sz w:val="18"/>
                <w:szCs w:val="18"/>
              </w:rPr>
              <w:t>二十七、债务还本支出</w:t>
            </w:r>
          </w:p>
        </w:tc>
        <w:tc>
          <w:tcPr>
            <w:tcW w:w="1199" w:type="dxa"/>
            <w:vAlign w:val="top"/>
          </w:tcPr>
          <w:p w14:paraId="51E43116">
            <w:pPr>
              <w:pStyle w:val="6"/>
            </w:pPr>
          </w:p>
        </w:tc>
        <w:tc>
          <w:tcPr>
            <w:tcW w:w="1175" w:type="dxa"/>
            <w:vAlign w:val="top"/>
          </w:tcPr>
          <w:p w14:paraId="136B5BA5">
            <w:pPr>
              <w:pStyle w:val="6"/>
            </w:pPr>
          </w:p>
        </w:tc>
        <w:tc>
          <w:tcPr>
            <w:tcW w:w="905" w:type="dxa"/>
            <w:vAlign w:val="top"/>
          </w:tcPr>
          <w:p w14:paraId="510A3AEB">
            <w:pPr>
              <w:pStyle w:val="6"/>
            </w:pPr>
          </w:p>
        </w:tc>
      </w:tr>
    </w:tbl>
    <w:p w14:paraId="2265CBB0">
      <w:pPr>
        <w:rPr>
          <w:rFonts w:ascii="Arial"/>
          <w:sz w:val="21"/>
        </w:rPr>
      </w:pPr>
    </w:p>
    <w:p w14:paraId="34F46964">
      <w:pPr>
        <w:rPr>
          <w:rFonts w:ascii="Arial" w:hAnsi="Arial" w:eastAsia="Arial" w:cs="Arial"/>
          <w:sz w:val="21"/>
          <w:szCs w:val="21"/>
        </w:rPr>
        <w:sectPr>
          <w:footerReference r:id="rId9" w:type="default"/>
          <w:pgSz w:w="11900" w:h="16840"/>
          <w:pgMar w:top="610" w:right="600" w:bottom="312" w:left="600" w:header="357" w:footer="153" w:gutter="0"/>
          <w:cols w:space="720" w:num="1"/>
        </w:sectPr>
      </w:pPr>
    </w:p>
    <w:p w14:paraId="6246D504">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1175"/>
        <w:gridCol w:w="2326"/>
        <w:gridCol w:w="1199"/>
        <w:gridCol w:w="1175"/>
        <w:gridCol w:w="905"/>
      </w:tblGrid>
      <w:tr w14:paraId="4EE39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236" w:type="dxa"/>
            <w:vAlign w:val="top"/>
          </w:tcPr>
          <w:p w14:paraId="10E3A280">
            <w:pPr>
              <w:pStyle w:val="6"/>
            </w:pPr>
          </w:p>
        </w:tc>
        <w:tc>
          <w:tcPr>
            <w:tcW w:w="1175" w:type="dxa"/>
            <w:vAlign w:val="top"/>
          </w:tcPr>
          <w:p w14:paraId="0BDF416E">
            <w:pPr>
              <w:pStyle w:val="6"/>
            </w:pPr>
          </w:p>
        </w:tc>
        <w:tc>
          <w:tcPr>
            <w:tcW w:w="2326" w:type="dxa"/>
            <w:vAlign w:val="top"/>
          </w:tcPr>
          <w:p w14:paraId="39D6C474">
            <w:pPr>
              <w:spacing w:before="111" w:line="219" w:lineRule="auto"/>
              <w:ind w:left="9"/>
              <w:rPr>
                <w:rFonts w:ascii="宋体" w:hAnsi="宋体" w:eastAsia="宋体" w:cs="宋体"/>
                <w:sz w:val="18"/>
                <w:szCs w:val="18"/>
              </w:rPr>
            </w:pPr>
            <w:r>
              <w:rPr>
                <w:rFonts w:ascii="宋体" w:hAnsi="宋体" w:eastAsia="宋体" w:cs="宋体"/>
                <w:color w:val="212529"/>
                <w:spacing w:val="-2"/>
                <w:sz w:val="18"/>
                <w:szCs w:val="18"/>
              </w:rPr>
              <w:t>二十八、债务付息支出</w:t>
            </w:r>
          </w:p>
        </w:tc>
        <w:tc>
          <w:tcPr>
            <w:tcW w:w="1199" w:type="dxa"/>
            <w:vAlign w:val="top"/>
          </w:tcPr>
          <w:p w14:paraId="3559A3C2">
            <w:pPr>
              <w:pStyle w:val="6"/>
            </w:pPr>
          </w:p>
        </w:tc>
        <w:tc>
          <w:tcPr>
            <w:tcW w:w="1175" w:type="dxa"/>
            <w:vAlign w:val="top"/>
          </w:tcPr>
          <w:p w14:paraId="0F251F13">
            <w:pPr>
              <w:pStyle w:val="6"/>
            </w:pPr>
          </w:p>
        </w:tc>
        <w:tc>
          <w:tcPr>
            <w:tcW w:w="905" w:type="dxa"/>
            <w:vAlign w:val="top"/>
          </w:tcPr>
          <w:p w14:paraId="57B5C063">
            <w:pPr>
              <w:pStyle w:val="6"/>
            </w:pPr>
          </w:p>
        </w:tc>
      </w:tr>
      <w:tr w14:paraId="79108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63F7178B">
            <w:pPr>
              <w:pStyle w:val="6"/>
            </w:pPr>
          </w:p>
        </w:tc>
        <w:tc>
          <w:tcPr>
            <w:tcW w:w="1175" w:type="dxa"/>
            <w:vAlign w:val="top"/>
          </w:tcPr>
          <w:p w14:paraId="7592E07D">
            <w:pPr>
              <w:pStyle w:val="6"/>
            </w:pPr>
          </w:p>
        </w:tc>
        <w:tc>
          <w:tcPr>
            <w:tcW w:w="2326" w:type="dxa"/>
            <w:vAlign w:val="top"/>
          </w:tcPr>
          <w:p w14:paraId="356CAE0A">
            <w:pPr>
              <w:spacing w:before="107" w:line="219" w:lineRule="auto"/>
              <w:ind w:left="9"/>
              <w:rPr>
                <w:rFonts w:ascii="宋体" w:hAnsi="宋体" w:eastAsia="宋体" w:cs="宋体"/>
                <w:sz w:val="18"/>
                <w:szCs w:val="18"/>
              </w:rPr>
            </w:pPr>
            <w:r>
              <w:rPr>
                <w:rFonts w:ascii="宋体" w:hAnsi="宋体" w:eastAsia="宋体" w:cs="宋体"/>
                <w:color w:val="212529"/>
                <w:spacing w:val="-1"/>
                <w:sz w:val="18"/>
                <w:szCs w:val="18"/>
              </w:rPr>
              <w:t>二十九、债务发行费用支出</w:t>
            </w:r>
          </w:p>
        </w:tc>
        <w:tc>
          <w:tcPr>
            <w:tcW w:w="1199" w:type="dxa"/>
            <w:vAlign w:val="top"/>
          </w:tcPr>
          <w:p w14:paraId="587D7DFD">
            <w:pPr>
              <w:pStyle w:val="6"/>
            </w:pPr>
          </w:p>
        </w:tc>
        <w:tc>
          <w:tcPr>
            <w:tcW w:w="1175" w:type="dxa"/>
            <w:vAlign w:val="top"/>
          </w:tcPr>
          <w:p w14:paraId="78AA4C6F">
            <w:pPr>
              <w:pStyle w:val="6"/>
            </w:pPr>
          </w:p>
        </w:tc>
        <w:tc>
          <w:tcPr>
            <w:tcW w:w="905" w:type="dxa"/>
            <w:vAlign w:val="top"/>
          </w:tcPr>
          <w:p w14:paraId="3BBC6BEC">
            <w:pPr>
              <w:pStyle w:val="6"/>
            </w:pPr>
          </w:p>
        </w:tc>
      </w:tr>
      <w:tr w14:paraId="00D8BBCF">
        <w:tblPrEx>
          <w:tblCellMar>
            <w:top w:w="0" w:type="dxa"/>
            <w:left w:w="0" w:type="dxa"/>
            <w:bottom w:w="0" w:type="dxa"/>
            <w:right w:w="0" w:type="dxa"/>
          </w:tblCellMar>
        </w:tblPrEx>
        <w:trPr>
          <w:trHeight w:val="421" w:hRule="atLeast"/>
        </w:trPr>
        <w:tc>
          <w:tcPr>
            <w:tcW w:w="2236" w:type="dxa"/>
            <w:vAlign w:val="top"/>
          </w:tcPr>
          <w:p w14:paraId="7E771E07">
            <w:pPr>
              <w:pStyle w:val="6"/>
            </w:pPr>
          </w:p>
        </w:tc>
        <w:tc>
          <w:tcPr>
            <w:tcW w:w="1175" w:type="dxa"/>
            <w:vAlign w:val="top"/>
          </w:tcPr>
          <w:p w14:paraId="222563C0">
            <w:pPr>
              <w:pStyle w:val="6"/>
            </w:pPr>
          </w:p>
        </w:tc>
        <w:tc>
          <w:tcPr>
            <w:tcW w:w="2326" w:type="dxa"/>
            <w:vAlign w:val="top"/>
          </w:tcPr>
          <w:p w14:paraId="3578F025">
            <w:pPr>
              <w:spacing w:before="1" w:line="210" w:lineRule="auto"/>
              <w:ind w:left="6" w:right="156"/>
              <w:rPr>
                <w:rFonts w:ascii="宋体" w:hAnsi="宋体" w:eastAsia="宋体" w:cs="宋体"/>
                <w:sz w:val="18"/>
                <w:szCs w:val="18"/>
              </w:rPr>
            </w:pPr>
            <w:r>
              <w:rPr>
                <w:rFonts w:ascii="宋体" w:hAnsi="宋体" w:eastAsia="宋体" w:cs="宋体"/>
                <w:color w:val="212529"/>
                <w:spacing w:val="-1"/>
                <w:sz w:val="18"/>
                <w:szCs w:val="18"/>
              </w:rPr>
              <w:t>三十、抗疫特别国债安排的</w:t>
            </w:r>
            <w:r>
              <w:rPr>
                <w:rFonts w:ascii="宋体" w:hAnsi="宋体" w:eastAsia="宋体" w:cs="宋体"/>
                <w:color w:val="212529"/>
                <w:spacing w:val="3"/>
                <w:sz w:val="18"/>
                <w:szCs w:val="18"/>
              </w:rPr>
              <w:t xml:space="preserve"> </w:t>
            </w:r>
            <w:r>
              <w:rPr>
                <w:rFonts w:ascii="宋体" w:hAnsi="宋体" w:eastAsia="宋体" w:cs="宋体"/>
                <w:color w:val="212529"/>
                <w:spacing w:val="-5"/>
                <w:sz w:val="18"/>
                <w:szCs w:val="18"/>
              </w:rPr>
              <w:t>支出</w:t>
            </w:r>
          </w:p>
        </w:tc>
        <w:tc>
          <w:tcPr>
            <w:tcW w:w="1199" w:type="dxa"/>
            <w:vAlign w:val="top"/>
          </w:tcPr>
          <w:p w14:paraId="1C35DBBB">
            <w:pPr>
              <w:pStyle w:val="6"/>
            </w:pPr>
          </w:p>
        </w:tc>
        <w:tc>
          <w:tcPr>
            <w:tcW w:w="1175" w:type="dxa"/>
            <w:vAlign w:val="top"/>
          </w:tcPr>
          <w:p w14:paraId="7E267369">
            <w:pPr>
              <w:pStyle w:val="6"/>
            </w:pPr>
          </w:p>
        </w:tc>
        <w:tc>
          <w:tcPr>
            <w:tcW w:w="905" w:type="dxa"/>
            <w:vAlign w:val="top"/>
          </w:tcPr>
          <w:p w14:paraId="64892096">
            <w:pPr>
              <w:pStyle w:val="6"/>
            </w:pPr>
          </w:p>
        </w:tc>
      </w:tr>
      <w:tr w14:paraId="606CB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77F61FBE">
            <w:pPr>
              <w:pStyle w:val="6"/>
            </w:pPr>
          </w:p>
        </w:tc>
        <w:tc>
          <w:tcPr>
            <w:tcW w:w="1175" w:type="dxa"/>
            <w:vAlign w:val="top"/>
          </w:tcPr>
          <w:p w14:paraId="46AF0698">
            <w:pPr>
              <w:pStyle w:val="6"/>
            </w:pPr>
          </w:p>
        </w:tc>
        <w:tc>
          <w:tcPr>
            <w:tcW w:w="2326" w:type="dxa"/>
            <w:vAlign w:val="top"/>
          </w:tcPr>
          <w:p w14:paraId="559D9C9F">
            <w:pPr>
              <w:pStyle w:val="6"/>
            </w:pPr>
          </w:p>
        </w:tc>
        <w:tc>
          <w:tcPr>
            <w:tcW w:w="1199" w:type="dxa"/>
            <w:vAlign w:val="top"/>
          </w:tcPr>
          <w:p w14:paraId="63D2F426">
            <w:pPr>
              <w:pStyle w:val="6"/>
            </w:pPr>
          </w:p>
        </w:tc>
        <w:tc>
          <w:tcPr>
            <w:tcW w:w="1175" w:type="dxa"/>
            <w:vAlign w:val="top"/>
          </w:tcPr>
          <w:p w14:paraId="7948D26C">
            <w:pPr>
              <w:pStyle w:val="6"/>
            </w:pPr>
          </w:p>
        </w:tc>
        <w:tc>
          <w:tcPr>
            <w:tcW w:w="905" w:type="dxa"/>
            <w:vAlign w:val="top"/>
          </w:tcPr>
          <w:p w14:paraId="5927A593">
            <w:pPr>
              <w:pStyle w:val="6"/>
            </w:pPr>
          </w:p>
        </w:tc>
      </w:tr>
      <w:tr w14:paraId="23378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236" w:type="dxa"/>
            <w:vAlign w:val="top"/>
          </w:tcPr>
          <w:p w14:paraId="117D71AC">
            <w:pPr>
              <w:spacing w:before="110" w:line="219" w:lineRule="auto"/>
              <w:ind w:left="3"/>
              <w:rPr>
                <w:rFonts w:ascii="宋体" w:hAnsi="宋体" w:eastAsia="宋体" w:cs="宋体"/>
                <w:sz w:val="18"/>
                <w:szCs w:val="18"/>
              </w:rPr>
            </w:pPr>
            <w:bookmarkStart w:id="42" w:name="bookmark38"/>
            <w:bookmarkEnd w:id="42"/>
            <w:r>
              <w:rPr>
                <w:rFonts w:ascii="宋体" w:hAnsi="宋体" w:eastAsia="宋体" w:cs="宋体"/>
                <w:color w:val="212529"/>
                <w:spacing w:val="-2"/>
                <w:sz w:val="18"/>
                <w:szCs w:val="18"/>
              </w:rPr>
              <w:t>本年收入合计</w:t>
            </w:r>
          </w:p>
        </w:tc>
        <w:tc>
          <w:tcPr>
            <w:tcW w:w="1175" w:type="dxa"/>
            <w:vAlign w:val="top"/>
          </w:tcPr>
          <w:p w14:paraId="60DE89CE">
            <w:pPr>
              <w:spacing w:before="139"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2326" w:type="dxa"/>
            <w:vAlign w:val="top"/>
          </w:tcPr>
          <w:p w14:paraId="06F6FB0F">
            <w:pPr>
              <w:spacing w:before="110" w:line="219" w:lineRule="auto"/>
              <w:ind w:left="1"/>
              <w:rPr>
                <w:rFonts w:ascii="宋体" w:hAnsi="宋体" w:eastAsia="宋体" w:cs="宋体"/>
                <w:sz w:val="18"/>
                <w:szCs w:val="18"/>
              </w:rPr>
            </w:pPr>
            <w:r>
              <w:rPr>
                <w:rFonts w:ascii="宋体" w:hAnsi="宋体" w:eastAsia="宋体" w:cs="宋体"/>
                <w:color w:val="212529"/>
                <w:spacing w:val="-2"/>
                <w:sz w:val="18"/>
                <w:szCs w:val="18"/>
              </w:rPr>
              <w:t>本年支出合计</w:t>
            </w:r>
          </w:p>
        </w:tc>
        <w:tc>
          <w:tcPr>
            <w:tcW w:w="1199" w:type="dxa"/>
            <w:vAlign w:val="top"/>
          </w:tcPr>
          <w:p w14:paraId="593E177E">
            <w:pPr>
              <w:spacing w:before="139"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1175" w:type="dxa"/>
            <w:vAlign w:val="top"/>
          </w:tcPr>
          <w:p w14:paraId="1B02030B">
            <w:pPr>
              <w:spacing w:before="139"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905" w:type="dxa"/>
            <w:vAlign w:val="top"/>
          </w:tcPr>
          <w:p w14:paraId="027678CE">
            <w:pPr>
              <w:pStyle w:val="6"/>
            </w:pPr>
          </w:p>
        </w:tc>
      </w:tr>
      <w:tr w14:paraId="1E1BD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1B4EF40">
            <w:pPr>
              <w:spacing w:before="113" w:line="219" w:lineRule="auto"/>
              <w:ind w:left="10"/>
              <w:rPr>
                <w:rFonts w:ascii="宋体" w:hAnsi="宋体" w:eastAsia="宋体" w:cs="宋体"/>
                <w:sz w:val="18"/>
                <w:szCs w:val="18"/>
              </w:rPr>
            </w:pPr>
            <w:r>
              <w:rPr>
                <w:rFonts w:ascii="宋体" w:hAnsi="宋体" w:eastAsia="宋体" w:cs="宋体"/>
                <w:color w:val="212529"/>
                <w:spacing w:val="-3"/>
                <w:sz w:val="18"/>
                <w:szCs w:val="18"/>
              </w:rPr>
              <w:t>上年结转</w:t>
            </w:r>
          </w:p>
        </w:tc>
        <w:tc>
          <w:tcPr>
            <w:tcW w:w="1175" w:type="dxa"/>
            <w:vAlign w:val="top"/>
          </w:tcPr>
          <w:p w14:paraId="2F8A7BAF">
            <w:pPr>
              <w:pStyle w:val="6"/>
            </w:pPr>
          </w:p>
        </w:tc>
        <w:tc>
          <w:tcPr>
            <w:tcW w:w="2326" w:type="dxa"/>
            <w:vAlign w:val="top"/>
          </w:tcPr>
          <w:p w14:paraId="279815BC">
            <w:pPr>
              <w:spacing w:before="113" w:line="219" w:lineRule="auto"/>
              <w:ind w:left="7"/>
              <w:rPr>
                <w:rFonts w:ascii="宋体" w:hAnsi="宋体" w:eastAsia="宋体" w:cs="宋体"/>
                <w:sz w:val="18"/>
                <w:szCs w:val="18"/>
              </w:rPr>
            </w:pPr>
            <w:r>
              <w:rPr>
                <w:rFonts w:ascii="宋体" w:hAnsi="宋体" w:eastAsia="宋体" w:cs="宋体"/>
                <w:color w:val="212529"/>
                <w:spacing w:val="-3"/>
                <w:sz w:val="18"/>
                <w:szCs w:val="18"/>
              </w:rPr>
              <w:t>年终结转</w:t>
            </w:r>
          </w:p>
        </w:tc>
        <w:tc>
          <w:tcPr>
            <w:tcW w:w="1199" w:type="dxa"/>
            <w:vAlign w:val="top"/>
          </w:tcPr>
          <w:p w14:paraId="288CA9BE">
            <w:pPr>
              <w:pStyle w:val="6"/>
            </w:pPr>
          </w:p>
        </w:tc>
        <w:tc>
          <w:tcPr>
            <w:tcW w:w="1175" w:type="dxa"/>
            <w:vAlign w:val="top"/>
          </w:tcPr>
          <w:p w14:paraId="02638B7E">
            <w:pPr>
              <w:pStyle w:val="6"/>
            </w:pPr>
          </w:p>
        </w:tc>
        <w:tc>
          <w:tcPr>
            <w:tcW w:w="905" w:type="dxa"/>
            <w:vAlign w:val="top"/>
          </w:tcPr>
          <w:p w14:paraId="36A61E52">
            <w:pPr>
              <w:pStyle w:val="6"/>
            </w:pPr>
          </w:p>
        </w:tc>
      </w:tr>
      <w:tr w14:paraId="33618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236" w:type="dxa"/>
            <w:vAlign w:val="top"/>
          </w:tcPr>
          <w:p w14:paraId="3B40D244">
            <w:pPr>
              <w:spacing w:before="114" w:line="219" w:lineRule="auto"/>
              <w:ind w:left="9"/>
              <w:rPr>
                <w:rFonts w:ascii="宋体" w:hAnsi="宋体" w:eastAsia="宋体" w:cs="宋体"/>
                <w:sz w:val="18"/>
                <w:szCs w:val="18"/>
              </w:rPr>
            </w:pPr>
            <w:r>
              <w:rPr>
                <w:rFonts w:ascii="宋体" w:hAnsi="宋体" w:eastAsia="宋体" w:cs="宋体"/>
                <w:color w:val="212529"/>
                <w:spacing w:val="-4"/>
                <w:sz w:val="18"/>
                <w:szCs w:val="18"/>
              </w:rPr>
              <w:t>收入总计</w:t>
            </w:r>
          </w:p>
        </w:tc>
        <w:tc>
          <w:tcPr>
            <w:tcW w:w="1175" w:type="dxa"/>
            <w:vAlign w:val="top"/>
          </w:tcPr>
          <w:p w14:paraId="4FE69147">
            <w:pPr>
              <w:spacing w:before="142"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2326" w:type="dxa"/>
            <w:vAlign w:val="top"/>
          </w:tcPr>
          <w:p w14:paraId="6748FCBB">
            <w:pPr>
              <w:spacing w:before="114" w:line="220" w:lineRule="auto"/>
              <w:ind w:left="1"/>
              <w:rPr>
                <w:rFonts w:ascii="宋体" w:hAnsi="宋体" w:eastAsia="宋体" w:cs="宋体"/>
                <w:sz w:val="18"/>
                <w:szCs w:val="18"/>
              </w:rPr>
            </w:pPr>
            <w:r>
              <w:rPr>
                <w:rFonts w:ascii="宋体" w:hAnsi="宋体" w:eastAsia="宋体" w:cs="宋体"/>
                <w:color w:val="212529"/>
                <w:spacing w:val="-3"/>
                <w:sz w:val="18"/>
                <w:szCs w:val="18"/>
              </w:rPr>
              <w:t>支出总计</w:t>
            </w:r>
          </w:p>
        </w:tc>
        <w:tc>
          <w:tcPr>
            <w:tcW w:w="1199" w:type="dxa"/>
            <w:vAlign w:val="top"/>
          </w:tcPr>
          <w:p w14:paraId="07E0F020">
            <w:pPr>
              <w:spacing w:before="142"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1175" w:type="dxa"/>
            <w:vAlign w:val="top"/>
          </w:tcPr>
          <w:p w14:paraId="4BBB63AE">
            <w:pPr>
              <w:spacing w:before="142"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905" w:type="dxa"/>
            <w:vAlign w:val="top"/>
          </w:tcPr>
          <w:p w14:paraId="7FF8C3FD">
            <w:pPr>
              <w:pStyle w:val="6"/>
            </w:pPr>
          </w:p>
        </w:tc>
      </w:tr>
    </w:tbl>
    <w:p w14:paraId="1974441F">
      <w:pPr>
        <w:rPr>
          <w:rFonts w:ascii="Arial"/>
          <w:sz w:val="21"/>
        </w:rPr>
      </w:pPr>
    </w:p>
    <w:p w14:paraId="2579B4D0">
      <w:pPr>
        <w:rPr>
          <w:rFonts w:ascii="Arial" w:hAnsi="Arial" w:eastAsia="Arial" w:cs="Arial"/>
          <w:sz w:val="21"/>
          <w:szCs w:val="21"/>
        </w:rPr>
        <w:sectPr>
          <w:footerReference r:id="rId10" w:type="default"/>
          <w:pgSz w:w="11900" w:h="16840"/>
          <w:pgMar w:top="610" w:right="600" w:bottom="311" w:left="600" w:header="357" w:footer="153" w:gutter="0"/>
          <w:cols w:space="720" w:num="1"/>
        </w:sectPr>
      </w:pPr>
    </w:p>
    <w:p w14:paraId="41130030">
      <w:pPr>
        <w:spacing w:before="6"/>
      </w:pPr>
    </w:p>
    <w:p w14:paraId="064160C3">
      <w:pPr>
        <w:spacing w:before="5"/>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01"/>
        <w:gridCol w:w="3563"/>
        <w:gridCol w:w="1584"/>
        <w:gridCol w:w="1368"/>
        <w:gridCol w:w="1068"/>
        <w:gridCol w:w="1320"/>
        <w:gridCol w:w="1308"/>
        <w:gridCol w:w="1044"/>
        <w:gridCol w:w="1110"/>
      </w:tblGrid>
      <w:tr w14:paraId="06F26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601" w:type="dxa"/>
            <w:tcBorders>
              <w:top w:val="single" w:color="FFFFFF" w:sz="4" w:space="0"/>
              <w:left w:val="single" w:color="FFFFFF" w:sz="2" w:space="0"/>
              <w:bottom w:val="single" w:color="FFFFFF" w:sz="4" w:space="0"/>
              <w:right w:val="single" w:color="FFFFFF" w:sz="2" w:space="0"/>
            </w:tcBorders>
            <w:vAlign w:val="top"/>
          </w:tcPr>
          <w:p w14:paraId="42E016BE">
            <w:pPr>
              <w:pStyle w:val="6"/>
            </w:pPr>
          </w:p>
        </w:tc>
        <w:tc>
          <w:tcPr>
            <w:tcW w:w="3563" w:type="dxa"/>
            <w:tcBorders>
              <w:top w:val="single" w:color="FFFFFF" w:sz="4" w:space="0"/>
              <w:left w:val="single" w:color="FFFFFF" w:sz="2" w:space="0"/>
              <w:bottom w:val="single" w:color="FFFFFF" w:sz="4" w:space="0"/>
              <w:right w:val="single" w:color="FFFFFF" w:sz="2" w:space="0"/>
            </w:tcBorders>
            <w:vAlign w:val="top"/>
          </w:tcPr>
          <w:p w14:paraId="0343086F">
            <w:pPr>
              <w:pStyle w:val="6"/>
            </w:pPr>
          </w:p>
        </w:tc>
        <w:tc>
          <w:tcPr>
            <w:tcW w:w="1584" w:type="dxa"/>
            <w:tcBorders>
              <w:top w:val="single" w:color="FFFFFF" w:sz="4" w:space="0"/>
              <w:left w:val="single" w:color="FFFFFF" w:sz="2" w:space="0"/>
              <w:bottom w:val="single" w:color="FFFFFF" w:sz="4" w:space="0"/>
              <w:right w:val="single" w:color="FFFFFF" w:sz="2" w:space="0"/>
            </w:tcBorders>
            <w:vAlign w:val="top"/>
          </w:tcPr>
          <w:p w14:paraId="627A56B3">
            <w:pPr>
              <w:pStyle w:val="6"/>
            </w:pPr>
          </w:p>
        </w:tc>
        <w:tc>
          <w:tcPr>
            <w:tcW w:w="1368" w:type="dxa"/>
            <w:tcBorders>
              <w:top w:val="single" w:color="FFFFFF" w:sz="4" w:space="0"/>
              <w:left w:val="single" w:color="FFFFFF" w:sz="2" w:space="0"/>
              <w:bottom w:val="single" w:color="FFFFFF" w:sz="4" w:space="0"/>
              <w:right w:val="single" w:color="FFFFFF" w:sz="2" w:space="0"/>
            </w:tcBorders>
            <w:vAlign w:val="top"/>
          </w:tcPr>
          <w:p w14:paraId="73FE5079">
            <w:pPr>
              <w:pStyle w:val="6"/>
            </w:pPr>
          </w:p>
        </w:tc>
        <w:tc>
          <w:tcPr>
            <w:tcW w:w="1068" w:type="dxa"/>
            <w:tcBorders>
              <w:top w:val="single" w:color="FFFFFF" w:sz="4" w:space="0"/>
              <w:left w:val="single" w:color="FFFFFF" w:sz="2" w:space="0"/>
              <w:bottom w:val="single" w:color="FFFFFF" w:sz="4" w:space="0"/>
              <w:right w:val="single" w:color="FFFFFF" w:sz="2" w:space="0"/>
            </w:tcBorders>
            <w:vAlign w:val="top"/>
          </w:tcPr>
          <w:p w14:paraId="5C4FDDC0">
            <w:pPr>
              <w:pStyle w:val="6"/>
            </w:pPr>
          </w:p>
        </w:tc>
        <w:tc>
          <w:tcPr>
            <w:tcW w:w="1320" w:type="dxa"/>
            <w:tcBorders>
              <w:top w:val="single" w:color="FFFFFF" w:sz="4" w:space="0"/>
              <w:left w:val="single" w:color="FFFFFF" w:sz="2" w:space="0"/>
              <w:bottom w:val="single" w:color="FFFFFF" w:sz="4" w:space="0"/>
              <w:right w:val="single" w:color="FFFFFF" w:sz="2" w:space="0"/>
            </w:tcBorders>
            <w:vAlign w:val="top"/>
          </w:tcPr>
          <w:p w14:paraId="04ACCDE8">
            <w:pPr>
              <w:pStyle w:val="6"/>
            </w:pPr>
          </w:p>
        </w:tc>
        <w:tc>
          <w:tcPr>
            <w:tcW w:w="1308" w:type="dxa"/>
            <w:tcBorders>
              <w:top w:val="single" w:color="FFFFFF" w:sz="4" w:space="0"/>
              <w:left w:val="single" w:color="FFFFFF" w:sz="2" w:space="0"/>
              <w:bottom w:val="single" w:color="FFFFFF" w:sz="4" w:space="0"/>
              <w:right w:val="single" w:color="FFFFFF" w:sz="2" w:space="0"/>
            </w:tcBorders>
            <w:vAlign w:val="top"/>
          </w:tcPr>
          <w:p w14:paraId="68C009AF">
            <w:pPr>
              <w:pStyle w:val="6"/>
            </w:pPr>
          </w:p>
        </w:tc>
        <w:tc>
          <w:tcPr>
            <w:tcW w:w="2154" w:type="dxa"/>
            <w:gridSpan w:val="2"/>
            <w:tcBorders>
              <w:top w:val="single" w:color="FFFFFF" w:sz="4" w:space="0"/>
              <w:left w:val="single" w:color="FFFFFF" w:sz="2" w:space="0"/>
              <w:bottom w:val="single" w:color="FFFFFF" w:sz="4" w:space="0"/>
              <w:right w:val="single" w:color="FFFFFF" w:sz="2" w:space="0"/>
            </w:tcBorders>
            <w:vAlign w:val="top"/>
          </w:tcPr>
          <w:p w14:paraId="0BCD32ED">
            <w:pPr>
              <w:spacing w:before="95" w:line="227" w:lineRule="auto"/>
              <w:ind w:right="11"/>
              <w:jc w:val="right"/>
              <w:rPr>
                <w:rFonts w:ascii="宋体" w:hAnsi="宋体" w:eastAsia="宋体" w:cs="宋体"/>
                <w:sz w:val="15"/>
                <w:szCs w:val="15"/>
              </w:rPr>
            </w:pPr>
            <w:r>
              <w:rPr>
                <w:rFonts w:ascii="宋体" w:hAnsi="宋体" w:eastAsia="宋体" w:cs="宋体"/>
                <w:color w:val="212529"/>
                <w:spacing w:val="4"/>
                <w:sz w:val="15"/>
                <w:szCs w:val="15"/>
              </w:rPr>
              <w:t>预算公开表2</w:t>
            </w:r>
          </w:p>
        </w:tc>
      </w:tr>
      <w:tr w14:paraId="04A6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3966" w:type="dxa"/>
            <w:gridSpan w:val="9"/>
            <w:tcBorders>
              <w:top w:val="single" w:color="FFFFFF" w:sz="4" w:space="0"/>
              <w:left w:val="single" w:color="FFFFFF" w:sz="2" w:space="0"/>
              <w:bottom w:val="single" w:color="FFFFFF" w:sz="4" w:space="0"/>
              <w:right w:val="single" w:color="FFFFFF" w:sz="2" w:space="0"/>
            </w:tcBorders>
            <w:vAlign w:val="top"/>
          </w:tcPr>
          <w:p w14:paraId="4E85D69B">
            <w:pPr>
              <w:spacing w:before="55" w:line="218" w:lineRule="auto"/>
              <w:ind w:left="5906"/>
              <w:outlineLvl w:val="1"/>
              <w:rPr>
                <w:rFonts w:ascii="宋体" w:hAnsi="宋体" w:eastAsia="宋体" w:cs="宋体"/>
                <w:sz w:val="24"/>
                <w:szCs w:val="24"/>
              </w:rPr>
            </w:pPr>
            <w:bookmarkStart w:id="43" w:name="bookmark7"/>
            <w:bookmarkEnd w:id="43"/>
            <w:r>
              <w:rPr>
                <w:rFonts w:ascii="宋体" w:hAnsi="宋体" w:eastAsia="宋体" w:cs="宋体"/>
                <w:color w:val="212529"/>
                <w:spacing w:val="-2"/>
                <w:sz w:val="24"/>
                <w:szCs w:val="24"/>
              </w:rPr>
              <w:t>2023年预算收入总表</w:t>
            </w:r>
          </w:p>
        </w:tc>
      </w:tr>
      <w:tr w14:paraId="0F03D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164" w:type="dxa"/>
            <w:gridSpan w:val="2"/>
            <w:tcBorders>
              <w:top w:val="single" w:color="FFFFFF" w:sz="4" w:space="0"/>
              <w:left w:val="single" w:color="FFFFFF" w:sz="2" w:space="0"/>
              <w:right w:val="single" w:color="000000" w:sz="2" w:space="0"/>
            </w:tcBorders>
            <w:vAlign w:val="top"/>
          </w:tcPr>
          <w:p w14:paraId="3FF6A5A2">
            <w:pPr>
              <w:spacing w:before="92"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584" w:type="dxa"/>
            <w:tcBorders>
              <w:top w:val="single" w:color="FFFFFF" w:sz="4" w:space="0"/>
              <w:left w:val="single" w:color="000000" w:sz="2" w:space="0"/>
              <w:right w:val="single" w:color="FFFFFF" w:sz="2" w:space="0"/>
            </w:tcBorders>
            <w:vAlign w:val="top"/>
          </w:tcPr>
          <w:p w14:paraId="3BEC2FF1">
            <w:pPr>
              <w:pStyle w:val="6"/>
            </w:pPr>
          </w:p>
        </w:tc>
        <w:tc>
          <w:tcPr>
            <w:tcW w:w="1368" w:type="dxa"/>
            <w:tcBorders>
              <w:top w:val="single" w:color="FFFFFF" w:sz="4" w:space="0"/>
              <w:left w:val="single" w:color="FFFFFF" w:sz="2" w:space="0"/>
              <w:right w:val="single" w:color="FFFFFF" w:sz="2" w:space="0"/>
            </w:tcBorders>
            <w:vAlign w:val="top"/>
          </w:tcPr>
          <w:p w14:paraId="32B6189A">
            <w:pPr>
              <w:pStyle w:val="6"/>
            </w:pPr>
          </w:p>
        </w:tc>
        <w:tc>
          <w:tcPr>
            <w:tcW w:w="1068" w:type="dxa"/>
            <w:tcBorders>
              <w:top w:val="single" w:color="FFFFFF" w:sz="4" w:space="0"/>
              <w:left w:val="single" w:color="FFFFFF" w:sz="2" w:space="0"/>
              <w:right w:val="single" w:color="FFFFFF" w:sz="2" w:space="0"/>
            </w:tcBorders>
            <w:vAlign w:val="top"/>
          </w:tcPr>
          <w:p w14:paraId="43C60931">
            <w:pPr>
              <w:pStyle w:val="6"/>
            </w:pPr>
          </w:p>
        </w:tc>
        <w:tc>
          <w:tcPr>
            <w:tcW w:w="1320" w:type="dxa"/>
            <w:tcBorders>
              <w:top w:val="single" w:color="FFFFFF" w:sz="4" w:space="0"/>
              <w:left w:val="single" w:color="FFFFFF" w:sz="2" w:space="0"/>
              <w:right w:val="single" w:color="FFFFFF" w:sz="2" w:space="0"/>
            </w:tcBorders>
            <w:vAlign w:val="top"/>
          </w:tcPr>
          <w:p w14:paraId="2DD23399">
            <w:pPr>
              <w:pStyle w:val="6"/>
            </w:pPr>
          </w:p>
        </w:tc>
        <w:tc>
          <w:tcPr>
            <w:tcW w:w="1308" w:type="dxa"/>
            <w:tcBorders>
              <w:top w:val="single" w:color="FFFFFF" w:sz="4" w:space="0"/>
              <w:left w:val="single" w:color="FFFFFF" w:sz="2" w:space="0"/>
              <w:right w:val="single" w:color="FFFFFF" w:sz="2" w:space="0"/>
            </w:tcBorders>
            <w:vAlign w:val="top"/>
          </w:tcPr>
          <w:p w14:paraId="45B91829">
            <w:pPr>
              <w:pStyle w:val="6"/>
            </w:pPr>
          </w:p>
        </w:tc>
        <w:tc>
          <w:tcPr>
            <w:tcW w:w="2154" w:type="dxa"/>
            <w:gridSpan w:val="2"/>
            <w:tcBorders>
              <w:top w:val="single" w:color="FFFFFF" w:sz="4" w:space="0"/>
              <w:left w:val="single" w:color="FFFFFF" w:sz="2" w:space="0"/>
              <w:right w:val="single" w:color="FFFFFF" w:sz="2" w:space="0"/>
            </w:tcBorders>
            <w:vAlign w:val="top"/>
          </w:tcPr>
          <w:p w14:paraId="0AA031A1">
            <w:pPr>
              <w:spacing w:before="92" w:line="228"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6AD3D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164" w:type="dxa"/>
            <w:gridSpan w:val="2"/>
            <w:vAlign w:val="top"/>
          </w:tcPr>
          <w:p w14:paraId="60669C0E">
            <w:pPr>
              <w:spacing w:before="72" w:line="220" w:lineRule="auto"/>
              <w:ind w:left="2401"/>
              <w:rPr>
                <w:rFonts w:ascii="宋体" w:hAnsi="宋体" w:eastAsia="宋体" w:cs="宋体"/>
                <w:sz w:val="18"/>
                <w:szCs w:val="18"/>
              </w:rPr>
            </w:pPr>
            <w:r>
              <w:rPr>
                <w:rFonts w:ascii="宋体" w:hAnsi="宋体" w:eastAsia="宋体" w:cs="宋体"/>
                <w:color w:val="212529"/>
                <w:spacing w:val="-6"/>
                <w:sz w:val="18"/>
                <w:szCs w:val="18"/>
              </w:rPr>
              <w:t>项目</w:t>
            </w:r>
          </w:p>
        </w:tc>
        <w:tc>
          <w:tcPr>
            <w:tcW w:w="7692" w:type="dxa"/>
            <w:gridSpan w:val="6"/>
            <w:vAlign w:val="top"/>
          </w:tcPr>
          <w:p w14:paraId="732E42E4">
            <w:pPr>
              <w:spacing w:before="71" w:line="219" w:lineRule="auto"/>
              <w:ind w:left="3484"/>
              <w:rPr>
                <w:rFonts w:ascii="宋体" w:hAnsi="宋体" w:eastAsia="宋体" w:cs="宋体"/>
                <w:sz w:val="18"/>
                <w:szCs w:val="18"/>
              </w:rPr>
            </w:pPr>
            <w:r>
              <w:rPr>
                <w:rFonts w:ascii="宋体" w:hAnsi="宋体" w:eastAsia="宋体" w:cs="宋体"/>
                <w:color w:val="212529"/>
                <w:spacing w:val="-3"/>
                <w:sz w:val="18"/>
                <w:szCs w:val="18"/>
              </w:rPr>
              <w:t>本年收入</w:t>
            </w:r>
          </w:p>
        </w:tc>
        <w:tc>
          <w:tcPr>
            <w:tcW w:w="1110" w:type="dxa"/>
            <w:vMerge w:val="restart"/>
            <w:tcBorders>
              <w:bottom w:val="nil"/>
            </w:tcBorders>
            <w:vAlign w:val="top"/>
          </w:tcPr>
          <w:p w14:paraId="3E6AA577">
            <w:pPr>
              <w:spacing w:before="276" w:line="219" w:lineRule="auto"/>
              <w:ind w:left="193"/>
              <w:rPr>
                <w:rFonts w:ascii="宋体" w:hAnsi="宋体" w:eastAsia="宋体" w:cs="宋体"/>
                <w:sz w:val="18"/>
                <w:szCs w:val="18"/>
              </w:rPr>
            </w:pPr>
            <w:r>
              <w:rPr>
                <w:rFonts w:ascii="宋体" w:hAnsi="宋体" w:eastAsia="宋体" w:cs="宋体"/>
                <w:color w:val="212529"/>
                <w:spacing w:val="-3"/>
                <w:sz w:val="18"/>
                <w:szCs w:val="18"/>
              </w:rPr>
              <w:t>上年结转</w:t>
            </w:r>
          </w:p>
        </w:tc>
      </w:tr>
      <w:tr w14:paraId="380EE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601" w:type="dxa"/>
            <w:vAlign w:val="top"/>
          </w:tcPr>
          <w:p w14:paraId="146B8836">
            <w:pPr>
              <w:spacing w:before="96" w:line="219" w:lineRule="auto"/>
              <w:ind w:left="435"/>
              <w:rPr>
                <w:rFonts w:ascii="宋体" w:hAnsi="宋体" w:eastAsia="宋体" w:cs="宋体"/>
                <w:sz w:val="18"/>
                <w:szCs w:val="18"/>
              </w:rPr>
            </w:pPr>
            <w:r>
              <w:rPr>
                <w:rFonts w:ascii="宋体" w:hAnsi="宋体" w:eastAsia="宋体" w:cs="宋体"/>
                <w:color w:val="212529"/>
                <w:spacing w:val="-3"/>
                <w:sz w:val="18"/>
                <w:szCs w:val="18"/>
              </w:rPr>
              <w:t>科目编码</w:t>
            </w:r>
          </w:p>
        </w:tc>
        <w:tc>
          <w:tcPr>
            <w:tcW w:w="3563" w:type="dxa"/>
            <w:vAlign w:val="top"/>
          </w:tcPr>
          <w:p w14:paraId="4519A470">
            <w:pPr>
              <w:spacing w:before="96" w:line="219" w:lineRule="auto"/>
              <w:ind w:left="1415"/>
              <w:rPr>
                <w:rFonts w:ascii="宋体" w:hAnsi="宋体" w:eastAsia="宋体" w:cs="宋体"/>
                <w:sz w:val="18"/>
                <w:szCs w:val="18"/>
              </w:rPr>
            </w:pPr>
            <w:r>
              <w:rPr>
                <w:rFonts w:ascii="宋体" w:hAnsi="宋体" w:eastAsia="宋体" w:cs="宋体"/>
                <w:color w:val="212529"/>
                <w:spacing w:val="-3"/>
                <w:sz w:val="18"/>
                <w:szCs w:val="18"/>
              </w:rPr>
              <w:t>科目名称</w:t>
            </w:r>
          </w:p>
        </w:tc>
        <w:tc>
          <w:tcPr>
            <w:tcW w:w="1584" w:type="dxa"/>
            <w:vAlign w:val="top"/>
          </w:tcPr>
          <w:p w14:paraId="51901B40">
            <w:pPr>
              <w:spacing w:before="97" w:line="221" w:lineRule="auto"/>
              <w:ind w:left="609"/>
              <w:rPr>
                <w:rFonts w:ascii="宋体" w:hAnsi="宋体" w:eastAsia="宋体" w:cs="宋体"/>
                <w:sz w:val="18"/>
                <w:szCs w:val="18"/>
              </w:rPr>
            </w:pPr>
            <w:r>
              <w:rPr>
                <w:rFonts w:ascii="宋体" w:hAnsi="宋体" w:eastAsia="宋体" w:cs="宋体"/>
                <w:color w:val="212529"/>
                <w:spacing w:val="-5"/>
                <w:sz w:val="18"/>
                <w:szCs w:val="18"/>
              </w:rPr>
              <w:t>合计</w:t>
            </w:r>
          </w:p>
        </w:tc>
        <w:tc>
          <w:tcPr>
            <w:tcW w:w="1368" w:type="dxa"/>
            <w:vAlign w:val="top"/>
          </w:tcPr>
          <w:p w14:paraId="7205C7C8">
            <w:pPr>
              <w:spacing w:before="97" w:line="219" w:lineRule="auto"/>
              <w:ind w:left="143"/>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068" w:type="dxa"/>
            <w:vAlign w:val="top"/>
          </w:tcPr>
          <w:p w14:paraId="16A43C8C">
            <w:pPr>
              <w:spacing w:before="96" w:line="219" w:lineRule="auto"/>
              <w:ind w:left="81"/>
              <w:rPr>
                <w:rFonts w:ascii="宋体" w:hAnsi="宋体" w:eastAsia="宋体" w:cs="宋体"/>
                <w:sz w:val="18"/>
                <w:szCs w:val="18"/>
              </w:rPr>
            </w:pPr>
            <w:r>
              <w:rPr>
                <w:rFonts w:ascii="宋体" w:hAnsi="宋体" w:eastAsia="宋体" w:cs="宋体"/>
                <w:color w:val="212529"/>
                <w:spacing w:val="-2"/>
                <w:sz w:val="18"/>
                <w:szCs w:val="18"/>
              </w:rPr>
              <w:t>政府性基金</w:t>
            </w:r>
          </w:p>
        </w:tc>
        <w:tc>
          <w:tcPr>
            <w:tcW w:w="1320" w:type="dxa"/>
            <w:vAlign w:val="top"/>
          </w:tcPr>
          <w:p w14:paraId="78AB4010">
            <w:pPr>
              <w:spacing w:before="1" w:line="204" w:lineRule="auto"/>
              <w:ind w:left="569" w:right="29" w:hanging="524"/>
              <w:rPr>
                <w:rFonts w:ascii="宋体" w:hAnsi="宋体" w:eastAsia="宋体" w:cs="宋体"/>
                <w:sz w:val="18"/>
                <w:szCs w:val="18"/>
              </w:rPr>
            </w:pPr>
            <w:r>
              <w:rPr>
                <w:rFonts w:ascii="宋体" w:hAnsi="宋体" w:eastAsia="宋体" w:cs="宋体"/>
                <w:color w:val="212529"/>
                <w:spacing w:val="-4"/>
                <w:sz w:val="18"/>
                <w:szCs w:val="18"/>
              </w:rPr>
              <w:t>国有资本经营预</w:t>
            </w:r>
            <w:r>
              <w:rPr>
                <w:rFonts w:ascii="宋体" w:hAnsi="宋体" w:eastAsia="宋体" w:cs="宋体"/>
                <w:color w:val="212529"/>
                <w:spacing w:val="1"/>
                <w:sz w:val="18"/>
                <w:szCs w:val="18"/>
              </w:rPr>
              <w:t xml:space="preserve"> </w:t>
            </w:r>
            <w:r>
              <w:rPr>
                <w:rFonts w:ascii="宋体" w:hAnsi="宋体" w:eastAsia="宋体" w:cs="宋体"/>
                <w:color w:val="212529"/>
                <w:sz w:val="18"/>
                <w:szCs w:val="18"/>
              </w:rPr>
              <w:t>算</w:t>
            </w:r>
          </w:p>
        </w:tc>
        <w:tc>
          <w:tcPr>
            <w:tcW w:w="1308" w:type="dxa"/>
            <w:vAlign w:val="top"/>
          </w:tcPr>
          <w:p w14:paraId="45C657D8">
            <w:pPr>
              <w:spacing w:before="1" w:line="204" w:lineRule="auto"/>
              <w:ind w:left="564" w:right="22" w:hanging="541"/>
              <w:rPr>
                <w:rFonts w:ascii="宋体" w:hAnsi="宋体" w:eastAsia="宋体" w:cs="宋体"/>
                <w:sz w:val="18"/>
                <w:szCs w:val="18"/>
              </w:rPr>
            </w:pPr>
            <w:r>
              <w:rPr>
                <w:rFonts w:ascii="宋体" w:hAnsi="宋体" w:eastAsia="宋体" w:cs="宋体"/>
                <w:color w:val="212529"/>
                <w:spacing w:val="-2"/>
                <w:sz w:val="18"/>
                <w:szCs w:val="18"/>
              </w:rPr>
              <w:t>财政专户管理资</w:t>
            </w:r>
            <w:r>
              <w:rPr>
                <w:rFonts w:ascii="宋体" w:hAnsi="宋体" w:eastAsia="宋体" w:cs="宋体"/>
                <w:color w:val="212529"/>
                <w:spacing w:val="4"/>
                <w:sz w:val="18"/>
                <w:szCs w:val="18"/>
              </w:rPr>
              <w:t xml:space="preserve"> </w:t>
            </w:r>
            <w:r>
              <w:rPr>
                <w:rFonts w:ascii="宋体" w:hAnsi="宋体" w:eastAsia="宋体" w:cs="宋体"/>
                <w:color w:val="212529"/>
                <w:sz w:val="18"/>
                <w:szCs w:val="18"/>
              </w:rPr>
              <w:t>金</w:t>
            </w:r>
          </w:p>
        </w:tc>
        <w:tc>
          <w:tcPr>
            <w:tcW w:w="1044" w:type="dxa"/>
            <w:vAlign w:val="top"/>
          </w:tcPr>
          <w:p w14:paraId="4BB21534">
            <w:pPr>
              <w:spacing w:before="97" w:line="220" w:lineRule="auto"/>
              <w:ind w:left="163"/>
              <w:rPr>
                <w:rFonts w:ascii="宋体" w:hAnsi="宋体" w:eastAsia="宋体" w:cs="宋体"/>
                <w:sz w:val="18"/>
                <w:szCs w:val="18"/>
              </w:rPr>
            </w:pPr>
            <w:r>
              <w:rPr>
                <w:rFonts w:ascii="宋体" w:hAnsi="宋体" w:eastAsia="宋体" w:cs="宋体"/>
                <w:color w:val="212529"/>
                <w:spacing w:val="-3"/>
                <w:sz w:val="18"/>
                <w:szCs w:val="18"/>
              </w:rPr>
              <w:t>单位资金</w:t>
            </w:r>
          </w:p>
        </w:tc>
        <w:tc>
          <w:tcPr>
            <w:tcW w:w="1110" w:type="dxa"/>
            <w:vMerge w:val="continue"/>
            <w:tcBorders>
              <w:top w:val="nil"/>
            </w:tcBorders>
            <w:vAlign w:val="top"/>
          </w:tcPr>
          <w:p w14:paraId="06B14B61">
            <w:pPr>
              <w:pStyle w:val="6"/>
            </w:pPr>
          </w:p>
        </w:tc>
      </w:tr>
      <w:tr w14:paraId="0947B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164" w:type="dxa"/>
            <w:gridSpan w:val="2"/>
            <w:vAlign w:val="top"/>
          </w:tcPr>
          <w:p w14:paraId="643118FB">
            <w:pPr>
              <w:spacing w:before="74" w:line="221" w:lineRule="auto"/>
              <w:ind w:left="2399"/>
              <w:rPr>
                <w:rFonts w:ascii="宋体" w:hAnsi="宋体" w:eastAsia="宋体" w:cs="宋体"/>
                <w:sz w:val="18"/>
                <w:szCs w:val="18"/>
              </w:rPr>
            </w:pPr>
            <w:r>
              <w:rPr>
                <w:rFonts w:ascii="宋体" w:hAnsi="宋体" w:eastAsia="宋体" w:cs="宋体"/>
                <w:color w:val="212529"/>
                <w:spacing w:val="-5"/>
                <w:sz w:val="18"/>
                <w:szCs w:val="18"/>
              </w:rPr>
              <w:t>合计</w:t>
            </w:r>
          </w:p>
        </w:tc>
        <w:tc>
          <w:tcPr>
            <w:tcW w:w="1584" w:type="dxa"/>
            <w:vAlign w:val="top"/>
          </w:tcPr>
          <w:p w14:paraId="45A8705B">
            <w:pPr>
              <w:spacing w:before="103"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1368" w:type="dxa"/>
            <w:vAlign w:val="top"/>
          </w:tcPr>
          <w:p w14:paraId="23466FCA">
            <w:pPr>
              <w:spacing w:before="103"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1068" w:type="dxa"/>
            <w:vAlign w:val="top"/>
          </w:tcPr>
          <w:p w14:paraId="258C0443">
            <w:pPr>
              <w:pStyle w:val="6"/>
            </w:pPr>
          </w:p>
        </w:tc>
        <w:tc>
          <w:tcPr>
            <w:tcW w:w="1320" w:type="dxa"/>
            <w:vAlign w:val="top"/>
          </w:tcPr>
          <w:p w14:paraId="2F0F6547">
            <w:pPr>
              <w:pStyle w:val="6"/>
            </w:pPr>
          </w:p>
        </w:tc>
        <w:tc>
          <w:tcPr>
            <w:tcW w:w="1308" w:type="dxa"/>
            <w:vAlign w:val="top"/>
          </w:tcPr>
          <w:p w14:paraId="2BEBD2BC">
            <w:pPr>
              <w:pStyle w:val="6"/>
            </w:pPr>
          </w:p>
        </w:tc>
        <w:tc>
          <w:tcPr>
            <w:tcW w:w="1044" w:type="dxa"/>
            <w:vAlign w:val="top"/>
          </w:tcPr>
          <w:p w14:paraId="190FF73C">
            <w:pPr>
              <w:pStyle w:val="6"/>
            </w:pPr>
          </w:p>
        </w:tc>
        <w:tc>
          <w:tcPr>
            <w:tcW w:w="1110" w:type="dxa"/>
            <w:vAlign w:val="top"/>
          </w:tcPr>
          <w:p w14:paraId="64783E5E">
            <w:pPr>
              <w:pStyle w:val="6"/>
            </w:pPr>
          </w:p>
        </w:tc>
      </w:tr>
      <w:tr w14:paraId="42BAB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601" w:type="dxa"/>
            <w:vAlign w:val="top"/>
          </w:tcPr>
          <w:p w14:paraId="5645EC6A">
            <w:pPr>
              <w:spacing w:before="102"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3563" w:type="dxa"/>
            <w:vAlign w:val="top"/>
          </w:tcPr>
          <w:p w14:paraId="70231414">
            <w:pPr>
              <w:spacing w:before="75" w:line="219" w:lineRule="auto"/>
              <w:ind w:left="7"/>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1584" w:type="dxa"/>
            <w:vAlign w:val="top"/>
          </w:tcPr>
          <w:p w14:paraId="510F7F8E">
            <w:pPr>
              <w:spacing w:before="103"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68" w:type="dxa"/>
            <w:vAlign w:val="top"/>
          </w:tcPr>
          <w:p w14:paraId="69C6F3A3">
            <w:pPr>
              <w:spacing w:before="103"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068" w:type="dxa"/>
            <w:vAlign w:val="top"/>
          </w:tcPr>
          <w:p w14:paraId="1AB54187">
            <w:pPr>
              <w:pStyle w:val="6"/>
            </w:pPr>
          </w:p>
        </w:tc>
        <w:tc>
          <w:tcPr>
            <w:tcW w:w="1320" w:type="dxa"/>
            <w:vAlign w:val="top"/>
          </w:tcPr>
          <w:p w14:paraId="5C38B09B">
            <w:pPr>
              <w:pStyle w:val="6"/>
            </w:pPr>
          </w:p>
        </w:tc>
        <w:tc>
          <w:tcPr>
            <w:tcW w:w="1308" w:type="dxa"/>
            <w:vAlign w:val="top"/>
          </w:tcPr>
          <w:p w14:paraId="08F4B232">
            <w:pPr>
              <w:pStyle w:val="6"/>
            </w:pPr>
          </w:p>
        </w:tc>
        <w:tc>
          <w:tcPr>
            <w:tcW w:w="1044" w:type="dxa"/>
            <w:vAlign w:val="top"/>
          </w:tcPr>
          <w:p w14:paraId="54A7CFA7">
            <w:pPr>
              <w:pStyle w:val="6"/>
            </w:pPr>
          </w:p>
        </w:tc>
        <w:tc>
          <w:tcPr>
            <w:tcW w:w="1110" w:type="dxa"/>
            <w:vAlign w:val="top"/>
          </w:tcPr>
          <w:p w14:paraId="5485A227">
            <w:pPr>
              <w:pStyle w:val="6"/>
            </w:pPr>
          </w:p>
        </w:tc>
      </w:tr>
      <w:tr w14:paraId="0835E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601" w:type="dxa"/>
            <w:vAlign w:val="top"/>
          </w:tcPr>
          <w:p w14:paraId="775BED0A">
            <w:pPr>
              <w:spacing w:before="103" w:line="184" w:lineRule="auto"/>
              <w:ind w:left="11"/>
              <w:rPr>
                <w:rFonts w:ascii="宋体" w:hAnsi="宋体" w:eastAsia="宋体" w:cs="宋体"/>
                <w:sz w:val="18"/>
                <w:szCs w:val="18"/>
              </w:rPr>
            </w:pPr>
            <w:r>
              <w:rPr>
                <w:rFonts w:ascii="宋体" w:hAnsi="宋体" w:eastAsia="宋体" w:cs="宋体"/>
                <w:color w:val="212529"/>
                <w:spacing w:val="-2"/>
                <w:sz w:val="18"/>
                <w:szCs w:val="18"/>
              </w:rPr>
              <w:t>20103</w:t>
            </w:r>
          </w:p>
        </w:tc>
        <w:tc>
          <w:tcPr>
            <w:tcW w:w="3563" w:type="dxa"/>
            <w:vAlign w:val="top"/>
          </w:tcPr>
          <w:p w14:paraId="1DA1541A">
            <w:pPr>
              <w:spacing w:before="75" w:line="219" w:lineRule="auto"/>
              <w:ind w:left="4"/>
              <w:rPr>
                <w:rFonts w:ascii="宋体" w:hAnsi="宋体" w:eastAsia="宋体" w:cs="宋体"/>
                <w:sz w:val="18"/>
                <w:szCs w:val="18"/>
              </w:rPr>
            </w:pPr>
            <w:r>
              <w:rPr>
                <w:rFonts w:ascii="宋体" w:hAnsi="宋体" w:eastAsia="宋体" w:cs="宋体"/>
                <w:color w:val="212529"/>
                <w:spacing w:val="-1"/>
                <w:sz w:val="18"/>
                <w:szCs w:val="18"/>
              </w:rPr>
              <w:t>政府办公厅（室）及相关机构事务</w:t>
            </w:r>
          </w:p>
        </w:tc>
        <w:tc>
          <w:tcPr>
            <w:tcW w:w="1584" w:type="dxa"/>
            <w:vAlign w:val="top"/>
          </w:tcPr>
          <w:p w14:paraId="6541B2EE">
            <w:pPr>
              <w:spacing w:before="104"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68" w:type="dxa"/>
            <w:vAlign w:val="top"/>
          </w:tcPr>
          <w:p w14:paraId="08786A4B">
            <w:pPr>
              <w:spacing w:before="104"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068" w:type="dxa"/>
            <w:vAlign w:val="top"/>
          </w:tcPr>
          <w:p w14:paraId="0F7D5039">
            <w:pPr>
              <w:pStyle w:val="6"/>
            </w:pPr>
          </w:p>
        </w:tc>
        <w:tc>
          <w:tcPr>
            <w:tcW w:w="1320" w:type="dxa"/>
            <w:vAlign w:val="top"/>
          </w:tcPr>
          <w:p w14:paraId="73C5041F">
            <w:pPr>
              <w:pStyle w:val="6"/>
            </w:pPr>
          </w:p>
        </w:tc>
        <w:tc>
          <w:tcPr>
            <w:tcW w:w="1308" w:type="dxa"/>
            <w:vAlign w:val="top"/>
          </w:tcPr>
          <w:p w14:paraId="3275E568">
            <w:pPr>
              <w:pStyle w:val="6"/>
            </w:pPr>
          </w:p>
        </w:tc>
        <w:tc>
          <w:tcPr>
            <w:tcW w:w="1044" w:type="dxa"/>
            <w:vAlign w:val="top"/>
          </w:tcPr>
          <w:p w14:paraId="5619AA6A">
            <w:pPr>
              <w:pStyle w:val="6"/>
            </w:pPr>
          </w:p>
        </w:tc>
        <w:tc>
          <w:tcPr>
            <w:tcW w:w="1110" w:type="dxa"/>
            <w:vAlign w:val="top"/>
          </w:tcPr>
          <w:p w14:paraId="1D87FA14">
            <w:pPr>
              <w:pStyle w:val="6"/>
            </w:pPr>
          </w:p>
        </w:tc>
      </w:tr>
      <w:tr w14:paraId="193F1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01" w:type="dxa"/>
            <w:vAlign w:val="top"/>
          </w:tcPr>
          <w:p w14:paraId="65689B32">
            <w:pPr>
              <w:spacing w:before="104" w:line="184" w:lineRule="auto"/>
              <w:ind w:left="11"/>
              <w:rPr>
                <w:rFonts w:ascii="宋体" w:hAnsi="宋体" w:eastAsia="宋体" w:cs="宋体"/>
                <w:sz w:val="18"/>
                <w:szCs w:val="18"/>
              </w:rPr>
            </w:pPr>
            <w:r>
              <w:rPr>
                <w:rFonts w:ascii="宋体" w:hAnsi="宋体" w:eastAsia="宋体" w:cs="宋体"/>
                <w:color w:val="212529"/>
                <w:spacing w:val="-2"/>
                <w:sz w:val="18"/>
                <w:szCs w:val="18"/>
              </w:rPr>
              <w:t>2010301</w:t>
            </w:r>
          </w:p>
        </w:tc>
        <w:tc>
          <w:tcPr>
            <w:tcW w:w="3563" w:type="dxa"/>
            <w:vAlign w:val="top"/>
          </w:tcPr>
          <w:p w14:paraId="4BC2451B">
            <w:pPr>
              <w:spacing w:before="77" w:line="220" w:lineRule="auto"/>
              <w:ind w:left="7"/>
              <w:rPr>
                <w:rFonts w:ascii="宋体" w:hAnsi="宋体" w:eastAsia="宋体" w:cs="宋体"/>
                <w:sz w:val="18"/>
                <w:szCs w:val="18"/>
              </w:rPr>
            </w:pPr>
            <w:r>
              <w:rPr>
                <w:rFonts w:ascii="宋体" w:hAnsi="宋体" w:eastAsia="宋体" w:cs="宋体"/>
                <w:color w:val="212529"/>
                <w:spacing w:val="-3"/>
                <w:sz w:val="18"/>
                <w:szCs w:val="18"/>
              </w:rPr>
              <w:t>行政运行</w:t>
            </w:r>
          </w:p>
        </w:tc>
        <w:tc>
          <w:tcPr>
            <w:tcW w:w="1584" w:type="dxa"/>
            <w:vAlign w:val="top"/>
          </w:tcPr>
          <w:p w14:paraId="4ED821D0">
            <w:pPr>
              <w:spacing w:before="105"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68" w:type="dxa"/>
            <w:vAlign w:val="top"/>
          </w:tcPr>
          <w:p w14:paraId="1BC1B7E8">
            <w:pPr>
              <w:spacing w:before="105"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068" w:type="dxa"/>
            <w:vAlign w:val="top"/>
          </w:tcPr>
          <w:p w14:paraId="4C44A200">
            <w:pPr>
              <w:pStyle w:val="6"/>
            </w:pPr>
          </w:p>
        </w:tc>
        <w:tc>
          <w:tcPr>
            <w:tcW w:w="1320" w:type="dxa"/>
            <w:vAlign w:val="top"/>
          </w:tcPr>
          <w:p w14:paraId="2AF54735">
            <w:pPr>
              <w:pStyle w:val="6"/>
            </w:pPr>
          </w:p>
        </w:tc>
        <w:tc>
          <w:tcPr>
            <w:tcW w:w="1308" w:type="dxa"/>
            <w:vAlign w:val="top"/>
          </w:tcPr>
          <w:p w14:paraId="3C38D5F7">
            <w:pPr>
              <w:pStyle w:val="6"/>
            </w:pPr>
          </w:p>
        </w:tc>
        <w:tc>
          <w:tcPr>
            <w:tcW w:w="1044" w:type="dxa"/>
            <w:vAlign w:val="top"/>
          </w:tcPr>
          <w:p w14:paraId="46320188">
            <w:pPr>
              <w:pStyle w:val="6"/>
            </w:pPr>
          </w:p>
        </w:tc>
        <w:tc>
          <w:tcPr>
            <w:tcW w:w="1110" w:type="dxa"/>
            <w:vAlign w:val="top"/>
          </w:tcPr>
          <w:p w14:paraId="07506712">
            <w:pPr>
              <w:pStyle w:val="6"/>
            </w:pPr>
          </w:p>
        </w:tc>
      </w:tr>
      <w:tr w14:paraId="684D9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01" w:type="dxa"/>
            <w:vAlign w:val="top"/>
          </w:tcPr>
          <w:p w14:paraId="6EE57A72">
            <w:pPr>
              <w:spacing w:before="106"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3563" w:type="dxa"/>
            <w:vAlign w:val="top"/>
          </w:tcPr>
          <w:p w14:paraId="19330098">
            <w:pPr>
              <w:spacing w:before="77" w:line="219" w:lineRule="auto"/>
              <w:ind w:left="6"/>
              <w:rPr>
                <w:rFonts w:ascii="宋体" w:hAnsi="宋体" w:eastAsia="宋体" w:cs="宋体"/>
                <w:sz w:val="18"/>
                <w:szCs w:val="18"/>
              </w:rPr>
            </w:pPr>
            <w:r>
              <w:rPr>
                <w:rFonts w:ascii="宋体" w:hAnsi="宋体" w:eastAsia="宋体" w:cs="宋体"/>
                <w:color w:val="212529"/>
                <w:spacing w:val="-1"/>
                <w:sz w:val="18"/>
                <w:szCs w:val="18"/>
              </w:rPr>
              <w:t>社会保障和就业支出</w:t>
            </w:r>
          </w:p>
        </w:tc>
        <w:tc>
          <w:tcPr>
            <w:tcW w:w="1584" w:type="dxa"/>
            <w:vAlign w:val="top"/>
          </w:tcPr>
          <w:p w14:paraId="72D0A1F3">
            <w:pPr>
              <w:spacing w:before="104"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68" w:type="dxa"/>
            <w:vAlign w:val="top"/>
          </w:tcPr>
          <w:p w14:paraId="02AB49E8">
            <w:pPr>
              <w:spacing w:before="104"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068" w:type="dxa"/>
            <w:vAlign w:val="top"/>
          </w:tcPr>
          <w:p w14:paraId="7FFC9F9E">
            <w:pPr>
              <w:pStyle w:val="6"/>
            </w:pPr>
          </w:p>
        </w:tc>
        <w:tc>
          <w:tcPr>
            <w:tcW w:w="1320" w:type="dxa"/>
            <w:vAlign w:val="top"/>
          </w:tcPr>
          <w:p w14:paraId="5ABB4DB9">
            <w:pPr>
              <w:pStyle w:val="6"/>
            </w:pPr>
          </w:p>
        </w:tc>
        <w:tc>
          <w:tcPr>
            <w:tcW w:w="1308" w:type="dxa"/>
            <w:vAlign w:val="top"/>
          </w:tcPr>
          <w:p w14:paraId="60FC66EF">
            <w:pPr>
              <w:pStyle w:val="6"/>
            </w:pPr>
          </w:p>
        </w:tc>
        <w:tc>
          <w:tcPr>
            <w:tcW w:w="1044" w:type="dxa"/>
            <w:vAlign w:val="top"/>
          </w:tcPr>
          <w:p w14:paraId="6918E155">
            <w:pPr>
              <w:pStyle w:val="6"/>
            </w:pPr>
          </w:p>
        </w:tc>
        <w:tc>
          <w:tcPr>
            <w:tcW w:w="1110" w:type="dxa"/>
            <w:vAlign w:val="top"/>
          </w:tcPr>
          <w:p w14:paraId="5693318E">
            <w:pPr>
              <w:pStyle w:val="6"/>
            </w:pPr>
          </w:p>
        </w:tc>
      </w:tr>
      <w:tr w14:paraId="726F9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01" w:type="dxa"/>
            <w:vAlign w:val="top"/>
          </w:tcPr>
          <w:p w14:paraId="105994E7">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3563" w:type="dxa"/>
            <w:vAlign w:val="top"/>
          </w:tcPr>
          <w:p w14:paraId="4338BBF6">
            <w:pPr>
              <w:spacing w:before="77" w:line="219" w:lineRule="auto"/>
              <w:ind w:left="7"/>
              <w:rPr>
                <w:rFonts w:ascii="宋体" w:hAnsi="宋体" w:eastAsia="宋体" w:cs="宋体"/>
                <w:sz w:val="18"/>
                <w:szCs w:val="18"/>
              </w:rPr>
            </w:pPr>
            <w:r>
              <w:rPr>
                <w:rFonts w:ascii="宋体" w:hAnsi="宋体" w:eastAsia="宋体" w:cs="宋体"/>
                <w:color w:val="212529"/>
                <w:spacing w:val="-2"/>
                <w:sz w:val="18"/>
                <w:szCs w:val="18"/>
              </w:rPr>
              <w:t>行政事业单位养老支出</w:t>
            </w:r>
          </w:p>
        </w:tc>
        <w:tc>
          <w:tcPr>
            <w:tcW w:w="1584" w:type="dxa"/>
            <w:vAlign w:val="top"/>
          </w:tcPr>
          <w:p w14:paraId="1684E3C9">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68" w:type="dxa"/>
            <w:vAlign w:val="top"/>
          </w:tcPr>
          <w:p w14:paraId="34A276BE">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068" w:type="dxa"/>
            <w:vAlign w:val="top"/>
          </w:tcPr>
          <w:p w14:paraId="24E28800">
            <w:pPr>
              <w:pStyle w:val="6"/>
            </w:pPr>
          </w:p>
        </w:tc>
        <w:tc>
          <w:tcPr>
            <w:tcW w:w="1320" w:type="dxa"/>
            <w:vAlign w:val="top"/>
          </w:tcPr>
          <w:p w14:paraId="2CF2B13A">
            <w:pPr>
              <w:pStyle w:val="6"/>
            </w:pPr>
          </w:p>
        </w:tc>
        <w:tc>
          <w:tcPr>
            <w:tcW w:w="1308" w:type="dxa"/>
            <w:vAlign w:val="top"/>
          </w:tcPr>
          <w:p w14:paraId="4E2BB22D">
            <w:pPr>
              <w:pStyle w:val="6"/>
            </w:pPr>
          </w:p>
        </w:tc>
        <w:tc>
          <w:tcPr>
            <w:tcW w:w="1044" w:type="dxa"/>
            <w:vAlign w:val="top"/>
          </w:tcPr>
          <w:p w14:paraId="3ED0CE5E">
            <w:pPr>
              <w:pStyle w:val="6"/>
            </w:pPr>
          </w:p>
        </w:tc>
        <w:tc>
          <w:tcPr>
            <w:tcW w:w="1110" w:type="dxa"/>
            <w:vAlign w:val="top"/>
          </w:tcPr>
          <w:p w14:paraId="7646D1B2">
            <w:pPr>
              <w:pStyle w:val="6"/>
            </w:pPr>
          </w:p>
        </w:tc>
      </w:tr>
      <w:tr w14:paraId="6B2CE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01" w:type="dxa"/>
            <w:vAlign w:val="top"/>
          </w:tcPr>
          <w:p w14:paraId="0BA9755B">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3563" w:type="dxa"/>
            <w:vAlign w:val="top"/>
          </w:tcPr>
          <w:p w14:paraId="69DAD8C9">
            <w:pPr>
              <w:spacing w:before="77"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机关事业单位基本养老保险缴费支出</w:t>
            </w:r>
          </w:p>
        </w:tc>
        <w:tc>
          <w:tcPr>
            <w:tcW w:w="1584" w:type="dxa"/>
            <w:vAlign w:val="top"/>
          </w:tcPr>
          <w:p w14:paraId="1DC2EA8A">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68" w:type="dxa"/>
            <w:vAlign w:val="top"/>
          </w:tcPr>
          <w:p w14:paraId="6D755E1E">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068" w:type="dxa"/>
            <w:vAlign w:val="top"/>
          </w:tcPr>
          <w:p w14:paraId="25F1F971">
            <w:pPr>
              <w:pStyle w:val="6"/>
            </w:pPr>
          </w:p>
        </w:tc>
        <w:tc>
          <w:tcPr>
            <w:tcW w:w="1320" w:type="dxa"/>
            <w:vAlign w:val="top"/>
          </w:tcPr>
          <w:p w14:paraId="4B9F4633">
            <w:pPr>
              <w:pStyle w:val="6"/>
            </w:pPr>
          </w:p>
        </w:tc>
        <w:tc>
          <w:tcPr>
            <w:tcW w:w="1308" w:type="dxa"/>
            <w:vAlign w:val="top"/>
          </w:tcPr>
          <w:p w14:paraId="79E07683">
            <w:pPr>
              <w:pStyle w:val="6"/>
            </w:pPr>
          </w:p>
        </w:tc>
        <w:tc>
          <w:tcPr>
            <w:tcW w:w="1044" w:type="dxa"/>
            <w:vAlign w:val="top"/>
          </w:tcPr>
          <w:p w14:paraId="6FF385FD">
            <w:pPr>
              <w:pStyle w:val="6"/>
            </w:pPr>
          </w:p>
        </w:tc>
        <w:tc>
          <w:tcPr>
            <w:tcW w:w="1110" w:type="dxa"/>
            <w:vAlign w:val="top"/>
          </w:tcPr>
          <w:p w14:paraId="2AE36BEC">
            <w:pPr>
              <w:pStyle w:val="6"/>
            </w:pPr>
          </w:p>
        </w:tc>
      </w:tr>
      <w:tr w14:paraId="1A8F5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01" w:type="dxa"/>
            <w:vAlign w:val="top"/>
          </w:tcPr>
          <w:p w14:paraId="6E15F000">
            <w:pPr>
              <w:spacing w:before="105"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3563" w:type="dxa"/>
            <w:vAlign w:val="top"/>
          </w:tcPr>
          <w:p w14:paraId="3B21DCBF">
            <w:pPr>
              <w:spacing w:before="78" w:line="219" w:lineRule="auto"/>
              <w:ind w:left="4"/>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1584" w:type="dxa"/>
            <w:vAlign w:val="top"/>
          </w:tcPr>
          <w:p w14:paraId="1D145EAB">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68" w:type="dxa"/>
            <w:vAlign w:val="top"/>
          </w:tcPr>
          <w:p w14:paraId="0BD13A2B">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068" w:type="dxa"/>
            <w:vAlign w:val="top"/>
          </w:tcPr>
          <w:p w14:paraId="75FAC9E2">
            <w:pPr>
              <w:pStyle w:val="6"/>
            </w:pPr>
          </w:p>
        </w:tc>
        <w:tc>
          <w:tcPr>
            <w:tcW w:w="1320" w:type="dxa"/>
            <w:vAlign w:val="top"/>
          </w:tcPr>
          <w:p w14:paraId="2EEEC19D">
            <w:pPr>
              <w:pStyle w:val="6"/>
            </w:pPr>
          </w:p>
        </w:tc>
        <w:tc>
          <w:tcPr>
            <w:tcW w:w="1308" w:type="dxa"/>
            <w:vAlign w:val="top"/>
          </w:tcPr>
          <w:p w14:paraId="67FF78DF">
            <w:pPr>
              <w:pStyle w:val="6"/>
            </w:pPr>
          </w:p>
        </w:tc>
        <w:tc>
          <w:tcPr>
            <w:tcW w:w="1044" w:type="dxa"/>
            <w:vAlign w:val="top"/>
          </w:tcPr>
          <w:p w14:paraId="477CF836">
            <w:pPr>
              <w:pStyle w:val="6"/>
            </w:pPr>
          </w:p>
        </w:tc>
        <w:tc>
          <w:tcPr>
            <w:tcW w:w="1110" w:type="dxa"/>
            <w:vAlign w:val="top"/>
          </w:tcPr>
          <w:p w14:paraId="7668C938">
            <w:pPr>
              <w:pStyle w:val="6"/>
            </w:pPr>
          </w:p>
        </w:tc>
      </w:tr>
      <w:tr w14:paraId="3DFA1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01" w:type="dxa"/>
            <w:vAlign w:val="top"/>
          </w:tcPr>
          <w:p w14:paraId="6188A557">
            <w:pPr>
              <w:spacing w:before="105"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3563" w:type="dxa"/>
            <w:vAlign w:val="top"/>
          </w:tcPr>
          <w:p w14:paraId="0B8ADC27">
            <w:pPr>
              <w:spacing w:before="78" w:line="219" w:lineRule="auto"/>
              <w:ind w:left="4"/>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1584" w:type="dxa"/>
            <w:vAlign w:val="top"/>
          </w:tcPr>
          <w:p w14:paraId="54FA28AD">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68" w:type="dxa"/>
            <w:vAlign w:val="top"/>
          </w:tcPr>
          <w:p w14:paraId="6CF6F64D">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068" w:type="dxa"/>
            <w:vAlign w:val="top"/>
          </w:tcPr>
          <w:p w14:paraId="5C6CC970">
            <w:pPr>
              <w:pStyle w:val="6"/>
            </w:pPr>
          </w:p>
        </w:tc>
        <w:tc>
          <w:tcPr>
            <w:tcW w:w="1320" w:type="dxa"/>
            <w:vAlign w:val="top"/>
          </w:tcPr>
          <w:p w14:paraId="39795079">
            <w:pPr>
              <w:pStyle w:val="6"/>
            </w:pPr>
          </w:p>
        </w:tc>
        <w:tc>
          <w:tcPr>
            <w:tcW w:w="1308" w:type="dxa"/>
            <w:vAlign w:val="top"/>
          </w:tcPr>
          <w:p w14:paraId="45B730A6">
            <w:pPr>
              <w:pStyle w:val="6"/>
            </w:pPr>
          </w:p>
        </w:tc>
        <w:tc>
          <w:tcPr>
            <w:tcW w:w="1044" w:type="dxa"/>
            <w:vAlign w:val="top"/>
          </w:tcPr>
          <w:p w14:paraId="68B5F0EE">
            <w:pPr>
              <w:pStyle w:val="6"/>
            </w:pPr>
          </w:p>
        </w:tc>
        <w:tc>
          <w:tcPr>
            <w:tcW w:w="1110" w:type="dxa"/>
            <w:vAlign w:val="top"/>
          </w:tcPr>
          <w:p w14:paraId="55B0C982">
            <w:pPr>
              <w:pStyle w:val="6"/>
            </w:pPr>
          </w:p>
        </w:tc>
      </w:tr>
      <w:tr w14:paraId="4AC65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601" w:type="dxa"/>
            <w:vAlign w:val="top"/>
          </w:tcPr>
          <w:p w14:paraId="522E9701">
            <w:pPr>
              <w:spacing w:before="106"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3563" w:type="dxa"/>
            <w:vAlign w:val="top"/>
          </w:tcPr>
          <w:p w14:paraId="00A89297">
            <w:pPr>
              <w:spacing w:before="78" w:line="220" w:lineRule="auto"/>
              <w:ind w:left="4"/>
              <w:rPr>
                <w:rFonts w:ascii="宋体" w:hAnsi="宋体" w:eastAsia="宋体" w:cs="宋体"/>
                <w:sz w:val="18"/>
                <w:szCs w:val="18"/>
              </w:rPr>
            </w:pPr>
            <w:r>
              <w:rPr>
                <w:rFonts w:ascii="宋体" w:hAnsi="宋体" w:eastAsia="宋体" w:cs="宋体"/>
                <w:color w:val="212529"/>
                <w:spacing w:val="-2"/>
                <w:sz w:val="18"/>
                <w:szCs w:val="18"/>
              </w:rPr>
              <w:t>住房公积金</w:t>
            </w:r>
          </w:p>
        </w:tc>
        <w:tc>
          <w:tcPr>
            <w:tcW w:w="1584" w:type="dxa"/>
            <w:vAlign w:val="top"/>
          </w:tcPr>
          <w:p w14:paraId="7A27A7D9">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68" w:type="dxa"/>
            <w:vAlign w:val="top"/>
          </w:tcPr>
          <w:p w14:paraId="28DC46F0">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068" w:type="dxa"/>
            <w:vAlign w:val="top"/>
          </w:tcPr>
          <w:p w14:paraId="7C570044">
            <w:pPr>
              <w:pStyle w:val="6"/>
            </w:pPr>
          </w:p>
        </w:tc>
        <w:tc>
          <w:tcPr>
            <w:tcW w:w="1320" w:type="dxa"/>
            <w:vAlign w:val="top"/>
          </w:tcPr>
          <w:p w14:paraId="3D7F2A54">
            <w:pPr>
              <w:pStyle w:val="6"/>
            </w:pPr>
          </w:p>
        </w:tc>
        <w:tc>
          <w:tcPr>
            <w:tcW w:w="1308" w:type="dxa"/>
            <w:vAlign w:val="top"/>
          </w:tcPr>
          <w:p w14:paraId="4A62E8DE">
            <w:pPr>
              <w:pStyle w:val="6"/>
            </w:pPr>
          </w:p>
        </w:tc>
        <w:tc>
          <w:tcPr>
            <w:tcW w:w="1044" w:type="dxa"/>
            <w:vAlign w:val="top"/>
          </w:tcPr>
          <w:p w14:paraId="4B68B389">
            <w:pPr>
              <w:pStyle w:val="6"/>
            </w:pPr>
          </w:p>
        </w:tc>
        <w:tc>
          <w:tcPr>
            <w:tcW w:w="1110" w:type="dxa"/>
            <w:vAlign w:val="top"/>
          </w:tcPr>
          <w:p w14:paraId="2315D801">
            <w:pPr>
              <w:pStyle w:val="6"/>
            </w:pPr>
          </w:p>
        </w:tc>
      </w:tr>
    </w:tbl>
    <w:p w14:paraId="0004C703">
      <w:pPr>
        <w:rPr>
          <w:rFonts w:ascii="Arial"/>
          <w:sz w:val="21"/>
        </w:rPr>
      </w:pPr>
    </w:p>
    <w:p w14:paraId="02126996">
      <w:pPr>
        <w:rPr>
          <w:rFonts w:ascii="Arial" w:hAnsi="Arial" w:eastAsia="Arial" w:cs="Arial"/>
          <w:sz w:val="21"/>
          <w:szCs w:val="21"/>
        </w:rPr>
        <w:sectPr>
          <w:headerReference r:id="rId11" w:type="default"/>
          <w:footerReference r:id="rId12" w:type="default"/>
          <w:pgSz w:w="16840" w:h="11900"/>
          <w:pgMar w:top="610" w:right="600" w:bottom="312" w:left="600" w:header="357" w:footer="153" w:gutter="0"/>
          <w:cols w:space="720" w:num="1"/>
        </w:sectPr>
      </w:pPr>
    </w:p>
    <w:p w14:paraId="431D22A6">
      <w:pPr>
        <w:spacing w:before="6"/>
      </w:pPr>
    </w:p>
    <w:p w14:paraId="4E96DBB1">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4"/>
        <w:gridCol w:w="3261"/>
        <w:gridCol w:w="1391"/>
        <w:gridCol w:w="1343"/>
        <w:gridCol w:w="1277"/>
      </w:tblGrid>
      <w:tr w14:paraId="721AF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744" w:type="dxa"/>
            <w:tcBorders>
              <w:top w:val="single" w:color="FFFFFF" w:sz="4" w:space="0"/>
              <w:left w:val="single" w:color="FFFFFF" w:sz="2" w:space="0"/>
              <w:bottom w:val="single" w:color="FFFFFF" w:sz="4" w:space="0"/>
              <w:right w:val="single" w:color="FFFFFF" w:sz="2" w:space="0"/>
            </w:tcBorders>
            <w:vAlign w:val="top"/>
          </w:tcPr>
          <w:p w14:paraId="6AD42FF3">
            <w:pPr>
              <w:pStyle w:val="6"/>
            </w:pPr>
          </w:p>
        </w:tc>
        <w:tc>
          <w:tcPr>
            <w:tcW w:w="3261" w:type="dxa"/>
            <w:tcBorders>
              <w:top w:val="single" w:color="FFFFFF" w:sz="4" w:space="0"/>
              <w:left w:val="single" w:color="FFFFFF" w:sz="2" w:space="0"/>
              <w:bottom w:val="single" w:color="FFFFFF" w:sz="4" w:space="0"/>
              <w:right w:val="single" w:color="FFFFFF" w:sz="2" w:space="0"/>
            </w:tcBorders>
            <w:vAlign w:val="top"/>
          </w:tcPr>
          <w:p w14:paraId="533B4A2A">
            <w:pPr>
              <w:pStyle w:val="6"/>
            </w:pPr>
          </w:p>
        </w:tc>
        <w:tc>
          <w:tcPr>
            <w:tcW w:w="1391" w:type="dxa"/>
            <w:tcBorders>
              <w:top w:val="single" w:color="FFFFFF" w:sz="4" w:space="0"/>
              <w:left w:val="single" w:color="FFFFFF" w:sz="2" w:space="0"/>
              <w:bottom w:val="single" w:color="FFFFFF" w:sz="4" w:space="0"/>
              <w:right w:val="single" w:color="FFFFFF" w:sz="2" w:space="0"/>
            </w:tcBorders>
            <w:vAlign w:val="top"/>
          </w:tcPr>
          <w:p w14:paraId="62D90849">
            <w:pPr>
              <w:pStyle w:val="6"/>
            </w:pPr>
          </w:p>
        </w:tc>
        <w:tc>
          <w:tcPr>
            <w:tcW w:w="1343" w:type="dxa"/>
            <w:tcBorders>
              <w:top w:val="single" w:color="FFFFFF" w:sz="4" w:space="0"/>
              <w:left w:val="single" w:color="FFFFFF" w:sz="2" w:space="0"/>
              <w:bottom w:val="single" w:color="FFFFFF" w:sz="4" w:space="0"/>
              <w:right w:val="single" w:color="FFFFFF" w:sz="2" w:space="0"/>
            </w:tcBorders>
            <w:vAlign w:val="top"/>
          </w:tcPr>
          <w:p w14:paraId="05169F1E">
            <w:pPr>
              <w:pStyle w:val="6"/>
            </w:pPr>
          </w:p>
        </w:tc>
        <w:tc>
          <w:tcPr>
            <w:tcW w:w="1277" w:type="dxa"/>
            <w:tcBorders>
              <w:top w:val="single" w:color="FFFFFF" w:sz="4" w:space="0"/>
              <w:left w:val="single" w:color="FFFFFF" w:sz="2" w:space="0"/>
              <w:bottom w:val="single" w:color="FFFFFF" w:sz="4" w:space="0"/>
              <w:right w:val="single" w:color="FFFFFF" w:sz="2" w:space="0"/>
            </w:tcBorders>
            <w:vAlign w:val="top"/>
          </w:tcPr>
          <w:p w14:paraId="223C6CB3">
            <w:pPr>
              <w:spacing w:before="95"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预算公开表3</w:t>
            </w:r>
          </w:p>
        </w:tc>
      </w:tr>
      <w:tr w14:paraId="7D0B3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1396315E">
            <w:pPr>
              <w:spacing w:before="55" w:line="218" w:lineRule="auto"/>
              <w:ind w:left="3431"/>
              <w:outlineLvl w:val="1"/>
              <w:rPr>
                <w:rFonts w:ascii="宋体" w:hAnsi="宋体" w:eastAsia="宋体" w:cs="宋体"/>
                <w:sz w:val="24"/>
                <w:szCs w:val="24"/>
              </w:rPr>
            </w:pPr>
            <w:bookmarkStart w:id="44" w:name="bookmark39"/>
            <w:bookmarkEnd w:id="44"/>
            <w:bookmarkStart w:id="45" w:name="bookmark8"/>
            <w:bookmarkEnd w:id="45"/>
            <w:r>
              <w:rPr>
                <w:rFonts w:ascii="宋体" w:hAnsi="宋体" w:eastAsia="宋体" w:cs="宋体"/>
                <w:color w:val="212529"/>
                <w:spacing w:val="-2"/>
                <w:sz w:val="24"/>
                <w:szCs w:val="24"/>
              </w:rPr>
              <w:t>2023年预算支出总表</w:t>
            </w:r>
          </w:p>
        </w:tc>
      </w:tr>
      <w:tr w14:paraId="09BAC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396" w:type="dxa"/>
            <w:gridSpan w:val="3"/>
            <w:tcBorders>
              <w:top w:val="single" w:color="FFFFFF" w:sz="4" w:space="0"/>
              <w:left w:val="single" w:color="FFFFFF" w:sz="2" w:space="0"/>
              <w:right w:val="single" w:color="FFFFFF" w:sz="2" w:space="0"/>
            </w:tcBorders>
            <w:vAlign w:val="top"/>
          </w:tcPr>
          <w:p w14:paraId="6DE5DD89">
            <w:pPr>
              <w:spacing w:before="92"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343" w:type="dxa"/>
            <w:tcBorders>
              <w:top w:val="single" w:color="FFFFFF" w:sz="4" w:space="0"/>
              <w:left w:val="single" w:color="FFFFFF" w:sz="2" w:space="0"/>
              <w:right w:val="single" w:color="FFFFFF" w:sz="2" w:space="0"/>
            </w:tcBorders>
            <w:vAlign w:val="top"/>
          </w:tcPr>
          <w:p w14:paraId="26A2CD90">
            <w:pPr>
              <w:pStyle w:val="6"/>
            </w:pPr>
          </w:p>
        </w:tc>
        <w:tc>
          <w:tcPr>
            <w:tcW w:w="1277" w:type="dxa"/>
            <w:tcBorders>
              <w:top w:val="single" w:color="FFFFFF" w:sz="4" w:space="0"/>
              <w:left w:val="single" w:color="FFFFFF" w:sz="2" w:space="0"/>
              <w:right w:val="single" w:color="FFFFFF" w:sz="2" w:space="0"/>
            </w:tcBorders>
            <w:vAlign w:val="top"/>
          </w:tcPr>
          <w:p w14:paraId="7C2E8650">
            <w:pPr>
              <w:spacing w:before="92"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3F2BA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005" w:type="dxa"/>
            <w:gridSpan w:val="2"/>
            <w:vAlign w:val="top"/>
          </w:tcPr>
          <w:p w14:paraId="0AE0B313">
            <w:pPr>
              <w:spacing w:before="71" w:line="220" w:lineRule="auto"/>
              <w:ind w:left="2322"/>
              <w:rPr>
                <w:rFonts w:ascii="宋体" w:hAnsi="宋体" w:eastAsia="宋体" w:cs="宋体"/>
                <w:sz w:val="18"/>
                <w:szCs w:val="18"/>
              </w:rPr>
            </w:pPr>
            <w:r>
              <w:rPr>
                <w:rFonts w:ascii="宋体" w:hAnsi="宋体" w:eastAsia="宋体" w:cs="宋体"/>
                <w:color w:val="212529"/>
                <w:spacing w:val="-6"/>
                <w:sz w:val="18"/>
                <w:szCs w:val="18"/>
              </w:rPr>
              <w:t>项目</w:t>
            </w:r>
          </w:p>
        </w:tc>
        <w:tc>
          <w:tcPr>
            <w:tcW w:w="4011" w:type="dxa"/>
            <w:gridSpan w:val="3"/>
            <w:vAlign w:val="top"/>
          </w:tcPr>
          <w:p w14:paraId="3F37670D">
            <w:pPr>
              <w:spacing w:before="72" w:line="219" w:lineRule="auto"/>
              <w:ind w:left="1463"/>
              <w:rPr>
                <w:rFonts w:ascii="宋体" w:hAnsi="宋体" w:eastAsia="宋体" w:cs="宋体"/>
                <w:sz w:val="18"/>
                <w:szCs w:val="18"/>
              </w:rPr>
            </w:pPr>
            <w:r>
              <w:rPr>
                <w:rFonts w:ascii="宋体" w:hAnsi="宋体" w:eastAsia="宋体" w:cs="宋体"/>
                <w:color w:val="212529"/>
                <w:spacing w:val="-2"/>
                <w:sz w:val="18"/>
                <w:szCs w:val="18"/>
              </w:rPr>
              <w:t>2023年预算数</w:t>
            </w:r>
          </w:p>
        </w:tc>
      </w:tr>
      <w:tr w14:paraId="754AD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44" w:type="dxa"/>
            <w:vAlign w:val="top"/>
          </w:tcPr>
          <w:p w14:paraId="65573F0D">
            <w:pPr>
              <w:spacing w:before="72" w:line="219" w:lineRule="auto"/>
              <w:ind w:left="507"/>
              <w:rPr>
                <w:rFonts w:ascii="宋体" w:hAnsi="宋体" w:eastAsia="宋体" w:cs="宋体"/>
                <w:sz w:val="18"/>
                <w:szCs w:val="18"/>
              </w:rPr>
            </w:pPr>
            <w:r>
              <w:rPr>
                <w:rFonts w:ascii="宋体" w:hAnsi="宋体" w:eastAsia="宋体" w:cs="宋体"/>
                <w:color w:val="212529"/>
                <w:spacing w:val="-3"/>
                <w:sz w:val="18"/>
                <w:szCs w:val="18"/>
              </w:rPr>
              <w:t>科目编码</w:t>
            </w:r>
          </w:p>
        </w:tc>
        <w:tc>
          <w:tcPr>
            <w:tcW w:w="3261" w:type="dxa"/>
            <w:vAlign w:val="top"/>
          </w:tcPr>
          <w:p w14:paraId="76872CFB">
            <w:pPr>
              <w:spacing w:before="72" w:line="219" w:lineRule="auto"/>
              <w:ind w:left="1265"/>
              <w:rPr>
                <w:rFonts w:ascii="宋体" w:hAnsi="宋体" w:eastAsia="宋体" w:cs="宋体"/>
                <w:sz w:val="18"/>
                <w:szCs w:val="18"/>
              </w:rPr>
            </w:pPr>
            <w:r>
              <w:rPr>
                <w:rFonts w:ascii="宋体" w:hAnsi="宋体" w:eastAsia="宋体" w:cs="宋体"/>
                <w:color w:val="212529"/>
                <w:spacing w:val="-3"/>
                <w:sz w:val="18"/>
                <w:szCs w:val="18"/>
              </w:rPr>
              <w:t>科目名称</w:t>
            </w:r>
          </w:p>
        </w:tc>
        <w:tc>
          <w:tcPr>
            <w:tcW w:w="1391" w:type="dxa"/>
            <w:vAlign w:val="top"/>
          </w:tcPr>
          <w:p w14:paraId="2328D1BC">
            <w:pPr>
              <w:spacing w:before="72" w:line="221" w:lineRule="auto"/>
              <w:ind w:left="514"/>
              <w:rPr>
                <w:rFonts w:ascii="宋体" w:hAnsi="宋体" w:eastAsia="宋体" w:cs="宋体"/>
                <w:sz w:val="18"/>
                <w:szCs w:val="18"/>
              </w:rPr>
            </w:pPr>
            <w:r>
              <w:rPr>
                <w:rFonts w:ascii="宋体" w:hAnsi="宋体" w:eastAsia="宋体" w:cs="宋体"/>
                <w:color w:val="212529"/>
                <w:spacing w:val="-5"/>
                <w:sz w:val="18"/>
                <w:szCs w:val="18"/>
              </w:rPr>
              <w:t>合计</w:t>
            </w:r>
          </w:p>
        </w:tc>
        <w:tc>
          <w:tcPr>
            <w:tcW w:w="1343" w:type="dxa"/>
            <w:vAlign w:val="top"/>
          </w:tcPr>
          <w:p w14:paraId="7BE9FDFE">
            <w:pPr>
              <w:spacing w:before="72" w:line="219" w:lineRule="auto"/>
              <w:ind w:left="310"/>
              <w:rPr>
                <w:rFonts w:ascii="宋体" w:hAnsi="宋体" w:eastAsia="宋体" w:cs="宋体"/>
                <w:sz w:val="18"/>
                <w:szCs w:val="18"/>
              </w:rPr>
            </w:pPr>
            <w:r>
              <w:rPr>
                <w:rFonts w:ascii="宋体" w:hAnsi="宋体" w:eastAsia="宋体" w:cs="宋体"/>
                <w:color w:val="212529"/>
                <w:spacing w:val="-3"/>
                <w:sz w:val="18"/>
                <w:szCs w:val="18"/>
              </w:rPr>
              <w:t>基本支出</w:t>
            </w:r>
          </w:p>
        </w:tc>
        <w:tc>
          <w:tcPr>
            <w:tcW w:w="1277" w:type="dxa"/>
            <w:vAlign w:val="top"/>
          </w:tcPr>
          <w:p w14:paraId="1038339B">
            <w:pPr>
              <w:spacing w:before="72" w:line="220" w:lineRule="auto"/>
              <w:ind w:left="279"/>
              <w:rPr>
                <w:rFonts w:ascii="宋体" w:hAnsi="宋体" w:eastAsia="宋体" w:cs="宋体"/>
                <w:sz w:val="18"/>
                <w:szCs w:val="18"/>
              </w:rPr>
            </w:pPr>
            <w:r>
              <w:rPr>
                <w:rFonts w:ascii="宋体" w:hAnsi="宋体" w:eastAsia="宋体" w:cs="宋体"/>
                <w:color w:val="212529"/>
                <w:spacing w:val="-3"/>
                <w:sz w:val="18"/>
                <w:szCs w:val="18"/>
              </w:rPr>
              <w:t>项目支出</w:t>
            </w:r>
          </w:p>
        </w:tc>
      </w:tr>
      <w:tr w14:paraId="788F4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005" w:type="dxa"/>
            <w:gridSpan w:val="2"/>
            <w:vAlign w:val="top"/>
          </w:tcPr>
          <w:p w14:paraId="6138D34E">
            <w:pPr>
              <w:spacing w:before="73" w:line="221" w:lineRule="auto"/>
              <w:ind w:left="2320"/>
              <w:rPr>
                <w:rFonts w:ascii="宋体" w:hAnsi="宋体" w:eastAsia="宋体" w:cs="宋体"/>
                <w:sz w:val="18"/>
                <w:szCs w:val="18"/>
              </w:rPr>
            </w:pPr>
            <w:r>
              <w:rPr>
                <w:rFonts w:ascii="宋体" w:hAnsi="宋体" w:eastAsia="宋体" w:cs="宋体"/>
                <w:color w:val="212529"/>
                <w:spacing w:val="-5"/>
                <w:sz w:val="18"/>
                <w:szCs w:val="18"/>
              </w:rPr>
              <w:t>合计</w:t>
            </w:r>
          </w:p>
        </w:tc>
        <w:tc>
          <w:tcPr>
            <w:tcW w:w="1391" w:type="dxa"/>
            <w:vAlign w:val="top"/>
          </w:tcPr>
          <w:p w14:paraId="4B7C9142">
            <w:pPr>
              <w:spacing w:before="102"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1343" w:type="dxa"/>
            <w:vAlign w:val="top"/>
          </w:tcPr>
          <w:p w14:paraId="7B3ECE72">
            <w:pPr>
              <w:spacing w:before="101" w:line="184" w:lineRule="auto"/>
              <w:ind w:right="3"/>
              <w:jc w:val="right"/>
              <w:rPr>
                <w:rFonts w:ascii="宋体" w:hAnsi="宋体" w:eastAsia="宋体" w:cs="宋体"/>
                <w:sz w:val="18"/>
                <w:szCs w:val="18"/>
              </w:rPr>
            </w:pPr>
            <w:r>
              <w:rPr>
                <w:rFonts w:ascii="宋体" w:hAnsi="宋体" w:eastAsia="宋体" w:cs="宋体"/>
                <w:color w:val="212529"/>
                <w:spacing w:val="-4"/>
                <w:sz w:val="18"/>
                <w:szCs w:val="18"/>
              </w:rPr>
              <w:t>173.90</w:t>
            </w:r>
          </w:p>
        </w:tc>
        <w:tc>
          <w:tcPr>
            <w:tcW w:w="1277" w:type="dxa"/>
            <w:vAlign w:val="top"/>
          </w:tcPr>
          <w:p w14:paraId="6DAAE9AC">
            <w:pPr>
              <w:spacing w:before="102" w:line="183" w:lineRule="auto"/>
              <w:ind w:right="14"/>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0B21A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44" w:type="dxa"/>
            <w:vAlign w:val="top"/>
          </w:tcPr>
          <w:p w14:paraId="036A7BF7">
            <w:pPr>
              <w:spacing w:before="102"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3261" w:type="dxa"/>
            <w:vAlign w:val="top"/>
          </w:tcPr>
          <w:p w14:paraId="00285456">
            <w:pPr>
              <w:spacing w:before="75" w:line="219" w:lineRule="auto"/>
              <w:ind w:left="8"/>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1391" w:type="dxa"/>
            <w:vAlign w:val="top"/>
          </w:tcPr>
          <w:p w14:paraId="7B2407CB">
            <w:pPr>
              <w:spacing w:before="103"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43" w:type="dxa"/>
            <w:vAlign w:val="top"/>
          </w:tcPr>
          <w:p w14:paraId="0EEC5C16">
            <w:pPr>
              <w:spacing w:before="102" w:line="184" w:lineRule="auto"/>
              <w:ind w:right="3"/>
              <w:jc w:val="right"/>
              <w:rPr>
                <w:rFonts w:ascii="宋体" w:hAnsi="宋体" w:eastAsia="宋体" w:cs="宋体"/>
                <w:sz w:val="18"/>
                <w:szCs w:val="18"/>
              </w:rPr>
            </w:pPr>
            <w:r>
              <w:rPr>
                <w:rFonts w:ascii="宋体" w:hAnsi="宋体" w:eastAsia="宋体" w:cs="宋体"/>
                <w:color w:val="212529"/>
                <w:spacing w:val="-4"/>
                <w:sz w:val="18"/>
                <w:szCs w:val="18"/>
              </w:rPr>
              <w:t>144.48</w:t>
            </w:r>
          </w:p>
        </w:tc>
        <w:tc>
          <w:tcPr>
            <w:tcW w:w="1277" w:type="dxa"/>
            <w:vAlign w:val="top"/>
          </w:tcPr>
          <w:p w14:paraId="61AE7A2A">
            <w:pPr>
              <w:spacing w:before="103" w:line="183" w:lineRule="auto"/>
              <w:ind w:right="14"/>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2CD0E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44" w:type="dxa"/>
            <w:vAlign w:val="top"/>
          </w:tcPr>
          <w:p w14:paraId="5C97003A">
            <w:pPr>
              <w:spacing w:before="103" w:line="184" w:lineRule="auto"/>
              <w:ind w:left="11"/>
              <w:rPr>
                <w:rFonts w:ascii="宋体" w:hAnsi="宋体" w:eastAsia="宋体" w:cs="宋体"/>
                <w:sz w:val="18"/>
                <w:szCs w:val="18"/>
              </w:rPr>
            </w:pPr>
            <w:r>
              <w:rPr>
                <w:rFonts w:ascii="宋体" w:hAnsi="宋体" w:eastAsia="宋体" w:cs="宋体"/>
                <w:color w:val="212529"/>
                <w:spacing w:val="-2"/>
                <w:sz w:val="18"/>
                <w:szCs w:val="18"/>
              </w:rPr>
              <w:t>20103</w:t>
            </w:r>
          </w:p>
        </w:tc>
        <w:tc>
          <w:tcPr>
            <w:tcW w:w="3261" w:type="dxa"/>
            <w:vAlign w:val="top"/>
          </w:tcPr>
          <w:p w14:paraId="1B195A47">
            <w:pPr>
              <w:spacing w:before="75" w:line="219" w:lineRule="auto"/>
              <w:ind w:left="4"/>
              <w:rPr>
                <w:rFonts w:ascii="宋体" w:hAnsi="宋体" w:eastAsia="宋体" w:cs="宋体"/>
                <w:sz w:val="18"/>
                <w:szCs w:val="18"/>
              </w:rPr>
            </w:pPr>
            <w:r>
              <w:rPr>
                <w:rFonts w:ascii="宋体" w:hAnsi="宋体" w:eastAsia="宋体" w:cs="宋体"/>
                <w:color w:val="212529"/>
                <w:spacing w:val="-1"/>
                <w:sz w:val="18"/>
                <w:szCs w:val="18"/>
              </w:rPr>
              <w:t>政府办公厅（室）及相关机构事务</w:t>
            </w:r>
          </w:p>
        </w:tc>
        <w:tc>
          <w:tcPr>
            <w:tcW w:w="1391" w:type="dxa"/>
            <w:vAlign w:val="top"/>
          </w:tcPr>
          <w:p w14:paraId="68DCC6CB">
            <w:pPr>
              <w:spacing w:before="104"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43" w:type="dxa"/>
            <w:vAlign w:val="top"/>
          </w:tcPr>
          <w:p w14:paraId="6825F9EA">
            <w:pPr>
              <w:spacing w:before="103" w:line="184" w:lineRule="auto"/>
              <w:ind w:right="3"/>
              <w:jc w:val="right"/>
              <w:rPr>
                <w:rFonts w:ascii="宋体" w:hAnsi="宋体" w:eastAsia="宋体" w:cs="宋体"/>
                <w:sz w:val="18"/>
                <w:szCs w:val="18"/>
              </w:rPr>
            </w:pPr>
            <w:r>
              <w:rPr>
                <w:rFonts w:ascii="宋体" w:hAnsi="宋体" w:eastAsia="宋体" w:cs="宋体"/>
                <w:color w:val="212529"/>
                <w:spacing w:val="-4"/>
                <w:sz w:val="18"/>
                <w:szCs w:val="18"/>
              </w:rPr>
              <w:t>144.48</w:t>
            </w:r>
          </w:p>
        </w:tc>
        <w:tc>
          <w:tcPr>
            <w:tcW w:w="1277" w:type="dxa"/>
            <w:vAlign w:val="top"/>
          </w:tcPr>
          <w:p w14:paraId="79099578">
            <w:pPr>
              <w:spacing w:before="104" w:line="183" w:lineRule="auto"/>
              <w:ind w:right="14"/>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62FB8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44" w:type="dxa"/>
            <w:vAlign w:val="top"/>
          </w:tcPr>
          <w:p w14:paraId="67A1D044">
            <w:pPr>
              <w:spacing w:before="104" w:line="184" w:lineRule="auto"/>
              <w:ind w:left="11"/>
              <w:rPr>
                <w:rFonts w:ascii="宋体" w:hAnsi="宋体" w:eastAsia="宋体" w:cs="宋体"/>
                <w:sz w:val="18"/>
                <w:szCs w:val="18"/>
              </w:rPr>
            </w:pPr>
            <w:r>
              <w:rPr>
                <w:rFonts w:ascii="宋体" w:hAnsi="宋体" w:eastAsia="宋体" w:cs="宋体"/>
                <w:color w:val="212529"/>
                <w:spacing w:val="-2"/>
                <w:sz w:val="18"/>
                <w:szCs w:val="18"/>
              </w:rPr>
              <w:t>2010301</w:t>
            </w:r>
          </w:p>
        </w:tc>
        <w:tc>
          <w:tcPr>
            <w:tcW w:w="3261" w:type="dxa"/>
            <w:vAlign w:val="top"/>
          </w:tcPr>
          <w:p w14:paraId="53834BE8">
            <w:pPr>
              <w:spacing w:before="77" w:line="220" w:lineRule="auto"/>
              <w:ind w:left="8"/>
              <w:rPr>
                <w:rFonts w:ascii="宋体" w:hAnsi="宋体" w:eastAsia="宋体" w:cs="宋体"/>
                <w:sz w:val="18"/>
                <w:szCs w:val="18"/>
              </w:rPr>
            </w:pPr>
            <w:r>
              <w:rPr>
                <w:rFonts w:ascii="宋体" w:hAnsi="宋体" w:eastAsia="宋体" w:cs="宋体"/>
                <w:color w:val="212529"/>
                <w:spacing w:val="-3"/>
                <w:sz w:val="18"/>
                <w:szCs w:val="18"/>
              </w:rPr>
              <w:t>行政运行</w:t>
            </w:r>
          </w:p>
        </w:tc>
        <w:tc>
          <w:tcPr>
            <w:tcW w:w="1391" w:type="dxa"/>
            <w:vAlign w:val="top"/>
          </w:tcPr>
          <w:p w14:paraId="52DF5E47">
            <w:pPr>
              <w:spacing w:before="105"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43" w:type="dxa"/>
            <w:vAlign w:val="top"/>
          </w:tcPr>
          <w:p w14:paraId="307E1CD1">
            <w:pPr>
              <w:spacing w:before="104" w:line="184" w:lineRule="auto"/>
              <w:jc w:val="right"/>
              <w:rPr>
                <w:rFonts w:ascii="宋体" w:hAnsi="宋体" w:eastAsia="宋体" w:cs="宋体"/>
                <w:sz w:val="18"/>
                <w:szCs w:val="18"/>
              </w:rPr>
            </w:pPr>
            <w:r>
              <w:rPr>
                <w:rFonts w:ascii="宋体" w:hAnsi="宋体" w:eastAsia="宋体" w:cs="宋体"/>
                <w:color w:val="212529"/>
                <w:spacing w:val="-4"/>
                <w:sz w:val="18"/>
                <w:szCs w:val="18"/>
              </w:rPr>
              <w:t>144.48</w:t>
            </w:r>
          </w:p>
        </w:tc>
        <w:tc>
          <w:tcPr>
            <w:tcW w:w="1277" w:type="dxa"/>
            <w:vAlign w:val="top"/>
          </w:tcPr>
          <w:p w14:paraId="3BD994F7">
            <w:pPr>
              <w:spacing w:before="105"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4253B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44" w:type="dxa"/>
            <w:vAlign w:val="top"/>
          </w:tcPr>
          <w:p w14:paraId="0B8AE26F">
            <w:pPr>
              <w:spacing w:before="107"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3261" w:type="dxa"/>
            <w:vAlign w:val="top"/>
          </w:tcPr>
          <w:p w14:paraId="54A7DA35">
            <w:pPr>
              <w:spacing w:before="77" w:line="219" w:lineRule="auto"/>
              <w:ind w:left="6"/>
              <w:rPr>
                <w:rFonts w:ascii="宋体" w:hAnsi="宋体" w:eastAsia="宋体" w:cs="宋体"/>
                <w:sz w:val="18"/>
                <w:szCs w:val="18"/>
              </w:rPr>
            </w:pPr>
            <w:r>
              <w:rPr>
                <w:rFonts w:ascii="宋体" w:hAnsi="宋体" w:eastAsia="宋体" w:cs="宋体"/>
                <w:color w:val="212529"/>
                <w:spacing w:val="-2"/>
                <w:sz w:val="18"/>
                <w:szCs w:val="18"/>
              </w:rPr>
              <w:t>社会保障和就业支出</w:t>
            </w:r>
          </w:p>
        </w:tc>
        <w:tc>
          <w:tcPr>
            <w:tcW w:w="1391" w:type="dxa"/>
            <w:vAlign w:val="top"/>
          </w:tcPr>
          <w:p w14:paraId="2CDC4A2F">
            <w:pPr>
              <w:spacing w:before="105"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43" w:type="dxa"/>
            <w:vAlign w:val="top"/>
          </w:tcPr>
          <w:p w14:paraId="14A9C090">
            <w:pPr>
              <w:spacing w:before="105" w:line="184" w:lineRule="auto"/>
              <w:ind w:right="9"/>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277" w:type="dxa"/>
            <w:vAlign w:val="top"/>
          </w:tcPr>
          <w:p w14:paraId="5F1CABEB">
            <w:pPr>
              <w:pStyle w:val="6"/>
            </w:pPr>
          </w:p>
        </w:tc>
      </w:tr>
      <w:tr w14:paraId="3D70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44" w:type="dxa"/>
            <w:vAlign w:val="top"/>
          </w:tcPr>
          <w:p w14:paraId="102819C9">
            <w:pPr>
              <w:spacing w:before="107"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3261" w:type="dxa"/>
            <w:vAlign w:val="top"/>
          </w:tcPr>
          <w:p w14:paraId="4AA4DD76">
            <w:pPr>
              <w:spacing w:before="78" w:line="219" w:lineRule="auto"/>
              <w:ind w:left="8"/>
              <w:rPr>
                <w:rFonts w:ascii="宋体" w:hAnsi="宋体" w:eastAsia="宋体" w:cs="宋体"/>
                <w:sz w:val="18"/>
                <w:szCs w:val="18"/>
              </w:rPr>
            </w:pPr>
            <w:r>
              <w:rPr>
                <w:rFonts w:ascii="宋体" w:hAnsi="宋体" w:eastAsia="宋体" w:cs="宋体"/>
                <w:color w:val="212529"/>
                <w:spacing w:val="-2"/>
                <w:sz w:val="18"/>
                <w:szCs w:val="18"/>
              </w:rPr>
              <w:t>行政事业单位养老支出</w:t>
            </w:r>
          </w:p>
        </w:tc>
        <w:tc>
          <w:tcPr>
            <w:tcW w:w="1391" w:type="dxa"/>
            <w:vAlign w:val="top"/>
          </w:tcPr>
          <w:p w14:paraId="6EAFAC5C">
            <w:pPr>
              <w:spacing w:before="105"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43" w:type="dxa"/>
            <w:vAlign w:val="top"/>
          </w:tcPr>
          <w:p w14:paraId="75F11A62">
            <w:pPr>
              <w:spacing w:before="105" w:line="184" w:lineRule="auto"/>
              <w:ind w:right="9"/>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277" w:type="dxa"/>
            <w:vAlign w:val="top"/>
          </w:tcPr>
          <w:p w14:paraId="17FC2E57">
            <w:pPr>
              <w:pStyle w:val="6"/>
            </w:pPr>
          </w:p>
        </w:tc>
      </w:tr>
      <w:tr w14:paraId="5C50D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44" w:type="dxa"/>
            <w:vAlign w:val="top"/>
          </w:tcPr>
          <w:p w14:paraId="71340AAC">
            <w:pPr>
              <w:spacing w:before="107"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3261" w:type="dxa"/>
            <w:vAlign w:val="top"/>
          </w:tcPr>
          <w:p w14:paraId="553278A0">
            <w:pPr>
              <w:spacing w:before="78"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机关事业单位基本养老保险缴费支出</w:t>
            </w:r>
          </w:p>
        </w:tc>
        <w:tc>
          <w:tcPr>
            <w:tcW w:w="1391" w:type="dxa"/>
            <w:vAlign w:val="top"/>
          </w:tcPr>
          <w:p w14:paraId="06B1B794">
            <w:pPr>
              <w:spacing w:before="106"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43" w:type="dxa"/>
            <w:vAlign w:val="top"/>
          </w:tcPr>
          <w:p w14:paraId="65D098F3">
            <w:pPr>
              <w:spacing w:before="106"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277" w:type="dxa"/>
            <w:vAlign w:val="top"/>
          </w:tcPr>
          <w:p w14:paraId="36B8F1FB">
            <w:pPr>
              <w:pStyle w:val="6"/>
            </w:pPr>
          </w:p>
        </w:tc>
      </w:tr>
      <w:tr w14:paraId="01CEE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44" w:type="dxa"/>
            <w:vAlign w:val="top"/>
          </w:tcPr>
          <w:p w14:paraId="76B4B2C5">
            <w:pPr>
              <w:spacing w:before="106"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3261" w:type="dxa"/>
            <w:vAlign w:val="top"/>
          </w:tcPr>
          <w:p w14:paraId="3436C118">
            <w:pPr>
              <w:spacing w:before="78" w:line="219" w:lineRule="auto"/>
              <w:ind w:left="4"/>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1391" w:type="dxa"/>
            <w:vAlign w:val="top"/>
          </w:tcPr>
          <w:p w14:paraId="2A574681">
            <w:pPr>
              <w:spacing w:before="106"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43" w:type="dxa"/>
            <w:vAlign w:val="top"/>
          </w:tcPr>
          <w:p w14:paraId="5DD747AE">
            <w:pPr>
              <w:spacing w:before="106" w:line="184" w:lineRule="auto"/>
              <w:ind w:right="9"/>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277" w:type="dxa"/>
            <w:vAlign w:val="top"/>
          </w:tcPr>
          <w:p w14:paraId="586412AB">
            <w:pPr>
              <w:pStyle w:val="6"/>
            </w:pPr>
          </w:p>
        </w:tc>
      </w:tr>
      <w:tr w14:paraId="0F1A3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44" w:type="dxa"/>
            <w:vAlign w:val="top"/>
          </w:tcPr>
          <w:p w14:paraId="5CDFEF7D">
            <w:pPr>
              <w:spacing w:before="106"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3261" w:type="dxa"/>
            <w:vAlign w:val="top"/>
          </w:tcPr>
          <w:p w14:paraId="71988F82">
            <w:pPr>
              <w:spacing w:before="79" w:line="219" w:lineRule="auto"/>
              <w:ind w:left="4"/>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1391" w:type="dxa"/>
            <w:vAlign w:val="top"/>
          </w:tcPr>
          <w:p w14:paraId="050AC5BE">
            <w:pPr>
              <w:spacing w:before="106"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43" w:type="dxa"/>
            <w:vAlign w:val="top"/>
          </w:tcPr>
          <w:p w14:paraId="6A6E9A3F">
            <w:pPr>
              <w:spacing w:before="106" w:line="184" w:lineRule="auto"/>
              <w:ind w:right="9"/>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277" w:type="dxa"/>
            <w:vAlign w:val="top"/>
          </w:tcPr>
          <w:p w14:paraId="3D0A6E5B">
            <w:pPr>
              <w:pStyle w:val="6"/>
            </w:pPr>
          </w:p>
        </w:tc>
      </w:tr>
      <w:tr w14:paraId="2CDAE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744" w:type="dxa"/>
            <w:vAlign w:val="top"/>
          </w:tcPr>
          <w:p w14:paraId="6985BC0A">
            <w:pPr>
              <w:spacing w:before="106"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3261" w:type="dxa"/>
            <w:vAlign w:val="top"/>
          </w:tcPr>
          <w:p w14:paraId="4C8B1742">
            <w:pPr>
              <w:spacing w:before="78" w:line="220" w:lineRule="auto"/>
              <w:ind w:left="4"/>
              <w:rPr>
                <w:rFonts w:ascii="宋体" w:hAnsi="宋体" w:eastAsia="宋体" w:cs="宋体"/>
                <w:sz w:val="18"/>
                <w:szCs w:val="18"/>
              </w:rPr>
            </w:pPr>
            <w:r>
              <w:rPr>
                <w:rFonts w:ascii="宋体" w:hAnsi="宋体" w:eastAsia="宋体" w:cs="宋体"/>
                <w:color w:val="212529"/>
                <w:spacing w:val="-2"/>
                <w:sz w:val="18"/>
                <w:szCs w:val="18"/>
              </w:rPr>
              <w:t>住房公积金</w:t>
            </w:r>
          </w:p>
        </w:tc>
        <w:tc>
          <w:tcPr>
            <w:tcW w:w="1391" w:type="dxa"/>
            <w:vAlign w:val="top"/>
          </w:tcPr>
          <w:p w14:paraId="793C0C77">
            <w:pPr>
              <w:spacing w:before="106"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43" w:type="dxa"/>
            <w:vAlign w:val="top"/>
          </w:tcPr>
          <w:p w14:paraId="5C8E93CE">
            <w:pPr>
              <w:spacing w:before="106"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277" w:type="dxa"/>
            <w:vAlign w:val="top"/>
          </w:tcPr>
          <w:p w14:paraId="7879410E">
            <w:pPr>
              <w:pStyle w:val="6"/>
            </w:pPr>
          </w:p>
        </w:tc>
      </w:tr>
    </w:tbl>
    <w:p w14:paraId="11180237">
      <w:pPr>
        <w:rPr>
          <w:rFonts w:ascii="Arial"/>
          <w:sz w:val="21"/>
        </w:rPr>
      </w:pPr>
    </w:p>
    <w:p w14:paraId="4BE82B67">
      <w:pPr>
        <w:rPr>
          <w:rFonts w:ascii="Arial" w:hAnsi="Arial" w:eastAsia="Arial" w:cs="Arial"/>
          <w:sz w:val="21"/>
          <w:szCs w:val="21"/>
        </w:rPr>
        <w:sectPr>
          <w:headerReference r:id="rId13" w:type="default"/>
          <w:footerReference r:id="rId14" w:type="default"/>
          <w:pgSz w:w="11900" w:h="16840"/>
          <w:pgMar w:top="610" w:right="600" w:bottom="311" w:left="600" w:header="357" w:footer="153" w:gutter="0"/>
          <w:cols w:space="720" w:num="1"/>
        </w:sectPr>
      </w:pPr>
    </w:p>
    <w:p w14:paraId="4B5B9315">
      <w:pPr>
        <w:spacing w:before="6"/>
      </w:pPr>
    </w:p>
    <w:p w14:paraId="2AF765F5">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1079"/>
        <w:gridCol w:w="1930"/>
        <w:gridCol w:w="1079"/>
        <w:gridCol w:w="1115"/>
        <w:gridCol w:w="863"/>
        <w:gridCol w:w="1109"/>
      </w:tblGrid>
      <w:tr w14:paraId="3CF59524">
        <w:tblPrEx>
          <w:tblCellMar>
            <w:top w:w="0" w:type="dxa"/>
            <w:left w:w="0" w:type="dxa"/>
            <w:bottom w:w="0" w:type="dxa"/>
            <w:right w:w="0" w:type="dxa"/>
          </w:tblCellMar>
        </w:tblPrEx>
        <w:trPr>
          <w:trHeight w:val="427" w:hRule="atLeast"/>
        </w:trPr>
        <w:tc>
          <w:tcPr>
            <w:tcW w:w="1841" w:type="dxa"/>
            <w:tcBorders>
              <w:top w:val="single" w:color="FFFFFF" w:sz="4" w:space="0"/>
              <w:left w:val="single" w:color="FFFFFF" w:sz="2" w:space="0"/>
              <w:bottom w:val="single" w:color="FFFFFF" w:sz="4" w:space="0"/>
              <w:right w:val="single" w:color="FFFFFF" w:sz="2" w:space="0"/>
            </w:tcBorders>
            <w:vAlign w:val="top"/>
          </w:tcPr>
          <w:p w14:paraId="326C41CC">
            <w:pPr>
              <w:pStyle w:val="6"/>
            </w:pPr>
          </w:p>
        </w:tc>
        <w:tc>
          <w:tcPr>
            <w:tcW w:w="1079" w:type="dxa"/>
            <w:tcBorders>
              <w:top w:val="single" w:color="FFFFFF" w:sz="4" w:space="0"/>
              <w:left w:val="single" w:color="FFFFFF" w:sz="2" w:space="0"/>
              <w:bottom w:val="single" w:color="FFFFFF" w:sz="4" w:space="0"/>
              <w:right w:val="single" w:color="FFFFFF" w:sz="2" w:space="0"/>
            </w:tcBorders>
            <w:vAlign w:val="top"/>
          </w:tcPr>
          <w:p w14:paraId="45ACF599">
            <w:pPr>
              <w:pStyle w:val="6"/>
            </w:pPr>
          </w:p>
        </w:tc>
        <w:tc>
          <w:tcPr>
            <w:tcW w:w="1930" w:type="dxa"/>
            <w:tcBorders>
              <w:top w:val="single" w:color="FFFFFF" w:sz="4" w:space="0"/>
              <w:left w:val="single" w:color="FFFFFF" w:sz="2" w:space="0"/>
              <w:bottom w:val="single" w:color="FFFFFF" w:sz="4" w:space="0"/>
              <w:right w:val="single" w:color="FFFFFF" w:sz="2" w:space="0"/>
            </w:tcBorders>
            <w:vAlign w:val="top"/>
          </w:tcPr>
          <w:p w14:paraId="2434DA92">
            <w:pPr>
              <w:pStyle w:val="6"/>
            </w:pPr>
          </w:p>
        </w:tc>
        <w:tc>
          <w:tcPr>
            <w:tcW w:w="1079" w:type="dxa"/>
            <w:tcBorders>
              <w:top w:val="single" w:color="FFFFFF" w:sz="4" w:space="0"/>
              <w:left w:val="single" w:color="FFFFFF" w:sz="2" w:space="0"/>
              <w:bottom w:val="single" w:color="FFFFFF" w:sz="4" w:space="0"/>
              <w:right w:val="single" w:color="FFFFFF" w:sz="2" w:space="0"/>
            </w:tcBorders>
            <w:vAlign w:val="top"/>
          </w:tcPr>
          <w:p w14:paraId="5B3F1182">
            <w:pPr>
              <w:pStyle w:val="6"/>
            </w:pPr>
          </w:p>
        </w:tc>
        <w:tc>
          <w:tcPr>
            <w:tcW w:w="1115" w:type="dxa"/>
            <w:tcBorders>
              <w:top w:val="single" w:color="FFFFFF" w:sz="4" w:space="0"/>
              <w:left w:val="single" w:color="FFFFFF" w:sz="2" w:space="0"/>
              <w:bottom w:val="single" w:color="FFFFFF" w:sz="4" w:space="0"/>
              <w:right w:val="single" w:color="FFFFFF" w:sz="2" w:space="0"/>
            </w:tcBorders>
            <w:vAlign w:val="top"/>
          </w:tcPr>
          <w:p w14:paraId="039118F2">
            <w:pPr>
              <w:pStyle w:val="6"/>
            </w:pPr>
          </w:p>
        </w:tc>
        <w:tc>
          <w:tcPr>
            <w:tcW w:w="1972" w:type="dxa"/>
            <w:gridSpan w:val="2"/>
            <w:tcBorders>
              <w:top w:val="single" w:color="FFFFFF" w:sz="4" w:space="0"/>
              <w:left w:val="single" w:color="FFFFFF" w:sz="2" w:space="0"/>
              <w:bottom w:val="single" w:color="FFFFFF" w:sz="4" w:space="0"/>
              <w:right w:val="single" w:color="FFFFFF" w:sz="2" w:space="0"/>
            </w:tcBorders>
            <w:vAlign w:val="top"/>
          </w:tcPr>
          <w:p w14:paraId="0C28375F">
            <w:pPr>
              <w:spacing w:before="121" w:line="229" w:lineRule="auto"/>
              <w:ind w:right="4"/>
              <w:jc w:val="right"/>
              <w:rPr>
                <w:rFonts w:ascii="宋体" w:hAnsi="宋体" w:eastAsia="宋体" w:cs="宋体"/>
                <w:sz w:val="16"/>
                <w:szCs w:val="16"/>
              </w:rPr>
            </w:pPr>
            <w:r>
              <w:rPr>
                <w:rFonts w:ascii="宋体" w:hAnsi="宋体" w:eastAsia="宋体" w:cs="宋体"/>
                <w:color w:val="212529"/>
                <w:spacing w:val="5"/>
                <w:sz w:val="16"/>
                <w:szCs w:val="16"/>
              </w:rPr>
              <w:t>预算公开表4</w:t>
            </w:r>
          </w:p>
        </w:tc>
      </w:tr>
      <w:tr w14:paraId="55208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7"/>
            <w:tcBorders>
              <w:top w:val="single" w:color="FFFFFF" w:sz="4" w:space="0"/>
              <w:left w:val="single" w:color="FFFFFF" w:sz="2" w:space="0"/>
              <w:bottom w:val="single" w:color="FFFFFF" w:sz="4" w:space="0"/>
              <w:right w:val="single" w:color="FFFFFF" w:sz="2" w:space="0"/>
            </w:tcBorders>
            <w:vAlign w:val="top"/>
          </w:tcPr>
          <w:p w14:paraId="24C96C46">
            <w:pPr>
              <w:spacing w:before="91" w:line="219" w:lineRule="auto"/>
              <w:ind w:left="3191"/>
              <w:outlineLvl w:val="1"/>
              <w:rPr>
                <w:rFonts w:ascii="宋体" w:hAnsi="宋体" w:eastAsia="宋体" w:cs="宋体"/>
                <w:sz w:val="24"/>
                <w:szCs w:val="24"/>
              </w:rPr>
            </w:pPr>
            <w:bookmarkStart w:id="46" w:name="bookmark40"/>
            <w:bookmarkEnd w:id="46"/>
            <w:bookmarkStart w:id="47" w:name="bookmark9"/>
            <w:bookmarkEnd w:id="47"/>
            <w:r>
              <w:rPr>
                <w:rFonts w:ascii="宋体" w:hAnsi="宋体" w:eastAsia="宋体" w:cs="宋体"/>
                <w:color w:val="212529"/>
                <w:spacing w:val="-2"/>
                <w:sz w:val="24"/>
                <w:szCs w:val="24"/>
              </w:rPr>
              <w:t>2023年财政拨款收支总表</w:t>
            </w:r>
          </w:p>
        </w:tc>
      </w:tr>
      <w:tr w14:paraId="6E0BB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7907" w:type="dxa"/>
            <w:gridSpan w:val="6"/>
            <w:tcBorders>
              <w:top w:val="single" w:color="FFFFFF" w:sz="4" w:space="0"/>
              <w:left w:val="single" w:color="000000" w:sz="2" w:space="0"/>
              <w:right w:val="single" w:color="FFFFFF" w:sz="2" w:space="0"/>
            </w:tcBorders>
            <w:vAlign w:val="top"/>
          </w:tcPr>
          <w:p w14:paraId="38613DD6">
            <w:pPr>
              <w:spacing w:before="128"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109" w:type="dxa"/>
            <w:tcBorders>
              <w:top w:val="single" w:color="FFFFFF" w:sz="4" w:space="0"/>
              <w:left w:val="single" w:color="FFFFFF" w:sz="2" w:space="0"/>
              <w:right w:val="single" w:color="000000" w:sz="2" w:space="0"/>
            </w:tcBorders>
            <w:vAlign w:val="top"/>
          </w:tcPr>
          <w:p w14:paraId="248D4A90">
            <w:pPr>
              <w:spacing w:before="128"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7E01A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20" w:type="dxa"/>
            <w:gridSpan w:val="2"/>
            <w:vAlign w:val="top"/>
          </w:tcPr>
          <w:p w14:paraId="216D6456">
            <w:pPr>
              <w:spacing w:before="108" w:line="219" w:lineRule="auto"/>
              <w:ind w:left="1281"/>
              <w:rPr>
                <w:rFonts w:ascii="宋体" w:hAnsi="宋体" w:eastAsia="宋体" w:cs="宋体"/>
                <w:sz w:val="18"/>
                <w:szCs w:val="18"/>
              </w:rPr>
            </w:pPr>
            <w:r>
              <w:rPr>
                <w:rFonts w:ascii="宋体" w:hAnsi="宋体" w:eastAsia="宋体" w:cs="宋体"/>
                <w:color w:val="212529"/>
                <w:spacing w:val="-8"/>
                <w:sz w:val="18"/>
                <w:szCs w:val="18"/>
              </w:rPr>
              <w:t>收入</w:t>
            </w:r>
          </w:p>
        </w:tc>
        <w:tc>
          <w:tcPr>
            <w:tcW w:w="6096" w:type="dxa"/>
            <w:gridSpan w:val="5"/>
            <w:vAlign w:val="top"/>
          </w:tcPr>
          <w:p w14:paraId="2477F21A">
            <w:pPr>
              <w:spacing w:before="107" w:line="220" w:lineRule="auto"/>
              <w:ind w:left="2863"/>
              <w:rPr>
                <w:rFonts w:ascii="宋体" w:hAnsi="宋体" w:eastAsia="宋体" w:cs="宋体"/>
                <w:sz w:val="18"/>
                <w:szCs w:val="18"/>
              </w:rPr>
            </w:pPr>
            <w:r>
              <w:rPr>
                <w:rFonts w:ascii="宋体" w:hAnsi="宋体" w:eastAsia="宋体" w:cs="宋体"/>
                <w:color w:val="212529"/>
                <w:spacing w:val="-5"/>
                <w:sz w:val="18"/>
                <w:szCs w:val="18"/>
              </w:rPr>
              <w:t>支出</w:t>
            </w:r>
          </w:p>
        </w:tc>
      </w:tr>
      <w:tr w14:paraId="18FB3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Merge w:val="restart"/>
            <w:tcBorders>
              <w:bottom w:val="nil"/>
            </w:tcBorders>
            <w:vAlign w:val="top"/>
          </w:tcPr>
          <w:p w14:paraId="664EB488">
            <w:pPr>
              <w:pStyle w:val="6"/>
              <w:spacing w:line="264" w:lineRule="auto"/>
            </w:pPr>
          </w:p>
          <w:p w14:paraId="23D101DF">
            <w:pPr>
              <w:spacing w:before="59" w:line="220" w:lineRule="auto"/>
              <w:ind w:left="738"/>
              <w:rPr>
                <w:rFonts w:ascii="宋体" w:hAnsi="宋体" w:eastAsia="宋体" w:cs="宋体"/>
                <w:sz w:val="18"/>
                <w:szCs w:val="18"/>
              </w:rPr>
            </w:pPr>
            <w:r>
              <w:rPr>
                <w:rFonts w:ascii="宋体" w:hAnsi="宋体" w:eastAsia="宋体" w:cs="宋体"/>
                <w:color w:val="212529"/>
                <w:spacing w:val="-6"/>
                <w:sz w:val="18"/>
                <w:szCs w:val="18"/>
              </w:rPr>
              <w:t>项目</w:t>
            </w:r>
          </w:p>
        </w:tc>
        <w:tc>
          <w:tcPr>
            <w:tcW w:w="1079" w:type="dxa"/>
            <w:vMerge w:val="restart"/>
            <w:tcBorders>
              <w:bottom w:val="nil"/>
            </w:tcBorders>
            <w:vAlign w:val="top"/>
          </w:tcPr>
          <w:p w14:paraId="1C611E88">
            <w:pPr>
              <w:pStyle w:val="6"/>
              <w:spacing w:line="265" w:lineRule="auto"/>
            </w:pPr>
          </w:p>
          <w:p w14:paraId="5021CE51">
            <w:pPr>
              <w:spacing w:before="58" w:line="219" w:lineRule="auto"/>
              <w:ind w:left="354"/>
              <w:rPr>
                <w:rFonts w:ascii="宋体" w:hAnsi="宋体" w:eastAsia="宋体" w:cs="宋体"/>
                <w:sz w:val="18"/>
                <w:szCs w:val="18"/>
              </w:rPr>
            </w:pPr>
            <w:r>
              <w:rPr>
                <w:rFonts w:ascii="宋体" w:hAnsi="宋体" w:eastAsia="宋体" w:cs="宋体"/>
                <w:color w:val="212529"/>
                <w:spacing w:val="-5"/>
                <w:sz w:val="18"/>
                <w:szCs w:val="18"/>
              </w:rPr>
              <w:t>金额</w:t>
            </w:r>
          </w:p>
        </w:tc>
        <w:tc>
          <w:tcPr>
            <w:tcW w:w="1930" w:type="dxa"/>
            <w:vMerge w:val="restart"/>
            <w:tcBorders>
              <w:bottom w:val="nil"/>
            </w:tcBorders>
            <w:vAlign w:val="top"/>
          </w:tcPr>
          <w:p w14:paraId="1F87CEFD">
            <w:pPr>
              <w:pStyle w:val="6"/>
              <w:spacing w:line="264" w:lineRule="auto"/>
            </w:pPr>
          </w:p>
          <w:p w14:paraId="15351B5F">
            <w:pPr>
              <w:spacing w:before="59" w:line="220" w:lineRule="auto"/>
              <w:ind w:left="782"/>
              <w:rPr>
                <w:rFonts w:ascii="宋体" w:hAnsi="宋体" w:eastAsia="宋体" w:cs="宋体"/>
                <w:sz w:val="18"/>
                <w:szCs w:val="18"/>
              </w:rPr>
            </w:pPr>
            <w:r>
              <w:rPr>
                <w:rFonts w:ascii="宋体" w:hAnsi="宋体" w:eastAsia="宋体" w:cs="宋体"/>
                <w:color w:val="212529"/>
                <w:spacing w:val="-6"/>
                <w:sz w:val="18"/>
                <w:szCs w:val="18"/>
              </w:rPr>
              <w:t>项目</w:t>
            </w:r>
          </w:p>
        </w:tc>
        <w:tc>
          <w:tcPr>
            <w:tcW w:w="4166" w:type="dxa"/>
            <w:gridSpan w:val="4"/>
            <w:vAlign w:val="top"/>
          </w:tcPr>
          <w:p w14:paraId="43FF6888">
            <w:pPr>
              <w:spacing w:before="109" w:line="219" w:lineRule="auto"/>
              <w:ind w:left="1900"/>
              <w:rPr>
                <w:rFonts w:ascii="宋体" w:hAnsi="宋体" w:eastAsia="宋体" w:cs="宋体"/>
                <w:sz w:val="18"/>
                <w:szCs w:val="18"/>
              </w:rPr>
            </w:pPr>
            <w:r>
              <w:rPr>
                <w:rFonts w:ascii="宋体" w:hAnsi="宋体" w:eastAsia="宋体" w:cs="宋体"/>
                <w:color w:val="212529"/>
                <w:spacing w:val="-5"/>
                <w:sz w:val="18"/>
                <w:szCs w:val="18"/>
              </w:rPr>
              <w:t>金额</w:t>
            </w:r>
          </w:p>
        </w:tc>
      </w:tr>
      <w:tr w14:paraId="04BBC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Merge w:val="continue"/>
            <w:tcBorders>
              <w:top w:val="nil"/>
            </w:tcBorders>
            <w:vAlign w:val="top"/>
          </w:tcPr>
          <w:p w14:paraId="07BF7F02">
            <w:pPr>
              <w:pStyle w:val="6"/>
            </w:pPr>
          </w:p>
        </w:tc>
        <w:tc>
          <w:tcPr>
            <w:tcW w:w="1079" w:type="dxa"/>
            <w:vMerge w:val="continue"/>
            <w:tcBorders>
              <w:top w:val="nil"/>
            </w:tcBorders>
            <w:vAlign w:val="top"/>
          </w:tcPr>
          <w:p w14:paraId="709C7A69">
            <w:pPr>
              <w:pStyle w:val="6"/>
            </w:pPr>
          </w:p>
        </w:tc>
        <w:tc>
          <w:tcPr>
            <w:tcW w:w="1930" w:type="dxa"/>
            <w:vMerge w:val="continue"/>
            <w:tcBorders>
              <w:top w:val="nil"/>
            </w:tcBorders>
            <w:vAlign w:val="top"/>
          </w:tcPr>
          <w:p w14:paraId="78690FDE">
            <w:pPr>
              <w:pStyle w:val="6"/>
            </w:pPr>
          </w:p>
        </w:tc>
        <w:tc>
          <w:tcPr>
            <w:tcW w:w="1079" w:type="dxa"/>
            <w:vAlign w:val="top"/>
          </w:tcPr>
          <w:p w14:paraId="2C98DBB8">
            <w:pPr>
              <w:spacing w:before="108" w:line="221" w:lineRule="auto"/>
              <w:ind w:left="361"/>
              <w:rPr>
                <w:rFonts w:ascii="宋体" w:hAnsi="宋体" w:eastAsia="宋体" w:cs="宋体"/>
                <w:sz w:val="18"/>
                <w:szCs w:val="18"/>
              </w:rPr>
            </w:pPr>
            <w:r>
              <w:rPr>
                <w:rFonts w:ascii="宋体" w:hAnsi="宋体" w:eastAsia="宋体" w:cs="宋体"/>
                <w:color w:val="212529"/>
                <w:spacing w:val="-7"/>
                <w:sz w:val="18"/>
                <w:szCs w:val="18"/>
              </w:rPr>
              <w:t>小计</w:t>
            </w:r>
          </w:p>
        </w:tc>
        <w:tc>
          <w:tcPr>
            <w:tcW w:w="1115" w:type="dxa"/>
            <w:vAlign w:val="top"/>
          </w:tcPr>
          <w:p w14:paraId="2F841B91">
            <w:pPr>
              <w:spacing w:before="109" w:line="219" w:lineRule="auto"/>
              <w:ind w:left="18"/>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863" w:type="dxa"/>
            <w:vAlign w:val="top"/>
          </w:tcPr>
          <w:p w14:paraId="3BDFC3D0">
            <w:pPr>
              <w:spacing w:line="211" w:lineRule="auto"/>
              <w:ind w:left="162" w:right="70" w:hanging="92"/>
              <w:rPr>
                <w:rFonts w:ascii="宋体" w:hAnsi="宋体" w:eastAsia="宋体" w:cs="宋体"/>
                <w:sz w:val="18"/>
                <w:szCs w:val="18"/>
              </w:rPr>
            </w:pPr>
            <w:r>
              <w:rPr>
                <w:rFonts w:ascii="宋体" w:hAnsi="宋体" w:eastAsia="宋体" w:cs="宋体"/>
                <w:color w:val="212529"/>
                <w:spacing w:val="-2"/>
                <w:sz w:val="18"/>
                <w:szCs w:val="18"/>
              </w:rPr>
              <w:t>政府性基</w:t>
            </w:r>
            <w:r>
              <w:rPr>
                <w:rFonts w:ascii="宋体" w:hAnsi="宋体" w:eastAsia="宋体" w:cs="宋体"/>
                <w:color w:val="212529"/>
                <w:sz w:val="18"/>
                <w:szCs w:val="18"/>
              </w:rPr>
              <w:t xml:space="preserve"> </w:t>
            </w:r>
            <w:r>
              <w:rPr>
                <w:rFonts w:ascii="宋体" w:hAnsi="宋体" w:eastAsia="宋体" w:cs="宋体"/>
                <w:color w:val="212529"/>
                <w:spacing w:val="-4"/>
                <w:sz w:val="18"/>
                <w:szCs w:val="18"/>
              </w:rPr>
              <w:t>金预算</w:t>
            </w:r>
          </w:p>
        </w:tc>
        <w:tc>
          <w:tcPr>
            <w:tcW w:w="1109" w:type="dxa"/>
            <w:vAlign w:val="top"/>
          </w:tcPr>
          <w:p w14:paraId="1BDD823C">
            <w:pPr>
              <w:spacing w:line="211" w:lineRule="auto"/>
              <w:ind w:left="372" w:right="14" w:hanging="343"/>
              <w:rPr>
                <w:rFonts w:ascii="宋体" w:hAnsi="宋体" w:eastAsia="宋体" w:cs="宋体"/>
                <w:sz w:val="18"/>
                <w:szCs w:val="18"/>
              </w:rPr>
            </w:pPr>
            <w:r>
              <w:rPr>
                <w:rFonts w:ascii="宋体" w:hAnsi="宋体" w:eastAsia="宋体" w:cs="宋体"/>
                <w:color w:val="212529"/>
                <w:spacing w:val="-5"/>
                <w:sz w:val="18"/>
                <w:szCs w:val="18"/>
              </w:rPr>
              <w:t>国有资本经营</w:t>
            </w:r>
            <w:r>
              <w:rPr>
                <w:rFonts w:ascii="宋体" w:hAnsi="宋体" w:eastAsia="宋体" w:cs="宋体"/>
                <w:color w:val="212529"/>
                <w:spacing w:val="3"/>
                <w:sz w:val="18"/>
                <w:szCs w:val="18"/>
              </w:rPr>
              <w:t xml:space="preserve"> </w:t>
            </w:r>
            <w:r>
              <w:rPr>
                <w:rFonts w:ascii="宋体" w:hAnsi="宋体" w:eastAsia="宋体" w:cs="宋体"/>
                <w:color w:val="212529"/>
                <w:spacing w:val="-5"/>
                <w:sz w:val="18"/>
                <w:szCs w:val="18"/>
              </w:rPr>
              <w:t>预算</w:t>
            </w:r>
          </w:p>
        </w:tc>
      </w:tr>
      <w:tr w14:paraId="71C84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672ED49B">
            <w:pPr>
              <w:spacing w:before="109" w:line="219" w:lineRule="auto"/>
              <w:ind w:left="11"/>
              <w:rPr>
                <w:rFonts w:ascii="宋体" w:hAnsi="宋体" w:eastAsia="宋体" w:cs="宋体"/>
                <w:sz w:val="18"/>
                <w:szCs w:val="18"/>
              </w:rPr>
            </w:pPr>
            <w:r>
              <w:rPr>
                <w:rFonts w:ascii="宋体" w:hAnsi="宋体" w:eastAsia="宋体" w:cs="宋体"/>
                <w:color w:val="212529"/>
                <w:spacing w:val="-2"/>
                <w:sz w:val="18"/>
                <w:szCs w:val="18"/>
              </w:rPr>
              <w:t>一、一般公共预算</w:t>
            </w:r>
          </w:p>
        </w:tc>
        <w:tc>
          <w:tcPr>
            <w:tcW w:w="1079" w:type="dxa"/>
            <w:vAlign w:val="top"/>
          </w:tcPr>
          <w:p w14:paraId="17D3EA05">
            <w:pPr>
              <w:spacing w:before="137"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1930" w:type="dxa"/>
            <w:vAlign w:val="top"/>
          </w:tcPr>
          <w:p w14:paraId="4B566E60">
            <w:pPr>
              <w:spacing w:before="109" w:line="219" w:lineRule="auto"/>
              <w:ind w:left="8"/>
              <w:rPr>
                <w:rFonts w:ascii="宋体" w:hAnsi="宋体" w:eastAsia="宋体" w:cs="宋体"/>
                <w:sz w:val="18"/>
                <w:szCs w:val="18"/>
              </w:rPr>
            </w:pPr>
            <w:r>
              <w:rPr>
                <w:rFonts w:ascii="宋体" w:hAnsi="宋体" w:eastAsia="宋体" w:cs="宋体"/>
                <w:color w:val="212529"/>
                <w:spacing w:val="-2"/>
                <w:sz w:val="18"/>
                <w:szCs w:val="18"/>
              </w:rPr>
              <w:t>一、一般公共服务支出</w:t>
            </w:r>
          </w:p>
        </w:tc>
        <w:tc>
          <w:tcPr>
            <w:tcW w:w="1079" w:type="dxa"/>
            <w:vAlign w:val="top"/>
          </w:tcPr>
          <w:p w14:paraId="1C228004">
            <w:pPr>
              <w:spacing w:before="137"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115" w:type="dxa"/>
            <w:vAlign w:val="top"/>
          </w:tcPr>
          <w:p w14:paraId="29650101">
            <w:pPr>
              <w:spacing w:before="137"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863" w:type="dxa"/>
            <w:vAlign w:val="top"/>
          </w:tcPr>
          <w:p w14:paraId="654C801D">
            <w:pPr>
              <w:pStyle w:val="6"/>
            </w:pPr>
          </w:p>
        </w:tc>
        <w:tc>
          <w:tcPr>
            <w:tcW w:w="1109" w:type="dxa"/>
            <w:vAlign w:val="top"/>
          </w:tcPr>
          <w:p w14:paraId="03D91C34">
            <w:pPr>
              <w:pStyle w:val="6"/>
            </w:pPr>
          </w:p>
        </w:tc>
      </w:tr>
      <w:tr w14:paraId="0BC80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30EE587">
            <w:pPr>
              <w:spacing w:before="109" w:line="219" w:lineRule="auto"/>
              <w:ind w:left="11"/>
              <w:rPr>
                <w:rFonts w:ascii="宋体" w:hAnsi="宋体" w:eastAsia="宋体" w:cs="宋体"/>
                <w:sz w:val="18"/>
                <w:szCs w:val="18"/>
              </w:rPr>
            </w:pPr>
            <w:r>
              <w:rPr>
                <w:rFonts w:ascii="宋体" w:hAnsi="宋体" w:eastAsia="宋体" w:cs="宋体"/>
                <w:color w:val="212529"/>
                <w:spacing w:val="-2"/>
                <w:sz w:val="18"/>
                <w:szCs w:val="18"/>
              </w:rPr>
              <w:t>二、政府性基金预算</w:t>
            </w:r>
          </w:p>
        </w:tc>
        <w:tc>
          <w:tcPr>
            <w:tcW w:w="1079" w:type="dxa"/>
            <w:vAlign w:val="top"/>
          </w:tcPr>
          <w:p w14:paraId="5862E264">
            <w:pPr>
              <w:pStyle w:val="6"/>
            </w:pPr>
          </w:p>
        </w:tc>
        <w:tc>
          <w:tcPr>
            <w:tcW w:w="1930" w:type="dxa"/>
            <w:vAlign w:val="top"/>
          </w:tcPr>
          <w:p w14:paraId="508E8DC5">
            <w:pPr>
              <w:spacing w:before="110" w:line="220" w:lineRule="auto"/>
              <w:ind w:left="8"/>
              <w:rPr>
                <w:rFonts w:ascii="宋体" w:hAnsi="宋体" w:eastAsia="宋体" w:cs="宋体"/>
                <w:sz w:val="18"/>
                <w:szCs w:val="18"/>
              </w:rPr>
            </w:pPr>
            <w:r>
              <w:rPr>
                <w:rFonts w:ascii="宋体" w:hAnsi="宋体" w:eastAsia="宋体" w:cs="宋体"/>
                <w:color w:val="212529"/>
                <w:spacing w:val="-2"/>
                <w:sz w:val="18"/>
                <w:szCs w:val="18"/>
              </w:rPr>
              <w:t>二、外交支出</w:t>
            </w:r>
          </w:p>
        </w:tc>
        <w:tc>
          <w:tcPr>
            <w:tcW w:w="1079" w:type="dxa"/>
            <w:vAlign w:val="top"/>
          </w:tcPr>
          <w:p w14:paraId="6A920402">
            <w:pPr>
              <w:pStyle w:val="6"/>
            </w:pPr>
          </w:p>
        </w:tc>
        <w:tc>
          <w:tcPr>
            <w:tcW w:w="1115" w:type="dxa"/>
            <w:vAlign w:val="top"/>
          </w:tcPr>
          <w:p w14:paraId="7B9D4C40">
            <w:pPr>
              <w:pStyle w:val="6"/>
            </w:pPr>
          </w:p>
        </w:tc>
        <w:tc>
          <w:tcPr>
            <w:tcW w:w="863" w:type="dxa"/>
            <w:vAlign w:val="top"/>
          </w:tcPr>
          <w:p w14:paraId="375ED34E">
            <w:pPr>
              <w:pStyle w:val="6"/>
            </w:pPr>
          </w:p>
        </w:tc>
        <w:tc>
          <w:tcPr>
            <w:tcW w:w="1109" w:type="dxa"/>
            <w:vAlign w:val="top"/>
          </w:tcPr>
          <w:p w14:paraId="0467836E">
            <w:pPr>
              <w:pStyle w:val="6"/>
            </w:pPr>
          </w:p>
        </w:tc>
      </w:tr>
      <w:tr w14:paraId="459E1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2745DE3A">
            <w:pPr>
              <w:spacing w:before="110" w:line="219" w:lineRule="auto"/>
              <w:ind w:left="9"/>
              <w:rPr>
                <w:rFonts w:ascii="宋体" w:hAnsi="宋体" w:eastAsia="宋体" w:cs="宋体"/>
                <w:sz w:val="18"/>
                <w:szCs w:val="18"/>
              </w:rPr>
            </w:pPr>
            <w:r>
              <w:rPr>
                <w:rFonts w:ascii="宋体" w:hAnsi="宋体" w:eastAsia="宋体" w:cs="宋体"/>
                <w:color w:val="212529"/>
                <w:spacing w:val="-1"/>
                <w:sz w:val="18"/>
                <w:szCs w:val="18"/>
              </w:rPr>
              <w:t>三、国有资本经营预算</w:t>
            </w:r>
          </w:p>
        </w:tc>
        <w:tc>
          <w:tcPr>
            <w:tcW w:w="1079" w:type="dxa"/>
            <w:vAlign w:val="top"/>
          </w:tcPr>
          <w:p w14:paraId="64A0399C">
            <w:pPr>
              <w:pStyle w:val="6"/>
            </w:pPr>
          </w:p>
        </w:tc>
        <w:tc>
          <w:tcPr>
            <w:tcW w:w="1930" w:type="dxa"/>
            <w:vAlign w:val="top"/>
          </w:tcPr>
          <w:p w14:paraId="1B0A5314">
            <w:pPr>
              <w:spacing w:before="110" w:line="220" w:lineRule="auto"/>
              <w:ind w:left="5"/>
              <w:rPr>
                <w:rFonts w:ascii="宋体" w:hAnsi="宋体" w:eastAsia="宋体" w:cs="宋体"/>
                <w:sz w:val="18"/>
                <w:szCs w:val="18"/>
              </w:rPr>
            </w:pPr>
            <w:r>
              <w:rPr>
                <w:rFonts w:ascii="宋体" w:hAnsi="宋体" w:eastAsia="宋体" w:cs="宋体"/>
                <w:color w:val="212529"/>
                <w:spacing w:val="-2"/>
                <w:sz w:val="18"/>
                <w:szCs w:val="18"/>
              </w:rPr>
              <w:t>三、国防支出</w:t>
            </w:r>
          </w:p>
        </w:tc>
        <w:tc>
          <w:tcPr>
            <w:tcW w:w="1079" w:type="dxa"/>
            <w:vAlign w:val="top"/>
          </w:tcPr>
          <w:p w14:paraId="0A1ED646">
            <w:pPr>
              <w:pStyle w:val="6"/>
            </w:pPr>
          </w:p>
        </w:tc>
        <w:tc>
          <w:tcPr>
            <w:tcW w:w="1115" w:type="dxa"/>
            <w:vAlign w:val="top"/>
          </w:tcPr>
          <w:p w14:paraId="22955AC1">
            <w:pPr>
              <w:pStyle w:val="6"/>
            </w:pPr>
          </w:p>
        </w:tc>
        <w:tc>
          <w:tcPr>
            <w:tcW w:w="863" w:type="dxa"/>
            <w:vAlign w:val="top"/>
          </w:tcPr>
          <w:p w14:paraId="3A807A37">
            <w:pPr>
              <w:pStyle w:val="6"/>
            </w:pPr>
          </w:p>
        </w:tc>
        <w:tc>
          <w:tcPr>
            <w:tcW w:w="1109" w:type="dxa"/>
            <w:vAlign w:val="top"/>
          </w:tcPr>
          <w:p w14:paraId="0645EDE9">
            <w:pPr>
              <w:pStyle w:val="6"/>
            </w:pPr>
          </w:p>
        </w:tc>
      </w:tr>
      <w:tr w14:paraId="65566911">
        <w:tblPrEx>
          <w:tblCellMar>
            <w:top w:w="0" w:type="dxa"/>
            <w:left w:w="0" w:type="dxa"/>
            <w:bottom w:w="0" w:type="dxa"/>
            <w:right w:w="0" w:type="dxa"/>
          </w:tblCellMar>
        </w:tblPrEx>
        <w:trPr>
          <w:trHeight w:val="422" w:hRule="atLeast"/>
        </w:trPr>
        <w:tc>
          <w:tcPr>
            <w:tcW w:w="1841" w:type="dxa"/>
            <w:vAlign w:val="top"/>
          </w:tcPr>
          <w:p w14:paraId="2EA7A5D6">
            <w:pPr>
              <w:pStyle w:val="6"/>
            </w:pPr>
          </w:p>
        </w:tc>
        <w:tc>
          <w:tcPr>
            <w:tcW w:w="1079" w:type="dxa"/>
            <w:vAlign w:val="top"/>
          </w:tcPr>
          <w:p w14:paraId="702B618C">
            <w:pPr>
              <w:pStyle w:val="6"/>
            </w:pPr>
          </w:p>
        </w:tc>
        <w:tc>
          <w:tcPr>
            <w:tcW w:w="1930" w:type="dxa"/>
            <w:vAlign w:val="top"/>
          </w:tcPr>
          <w:p w14:paraId="793D43E1">
            <w:pPr>
              <w:spacing w:before="111" w:line="219" w:lineRule="auto"/>
              <w:ind w:left="22"/>
              <w:rPr>
                <w:rFonts w:ascii="宋体" w:hAnsi="宋体" w:eastAsia="宋体" w:cs="宋体"/>
                <w:sz w:val="18"/>
                <w:szCs w:val="18"/>
              </w:rPr>
            </w:pPr>
            <w:r>
              <w:rPr>
                <w:rFonts w:ascii="宋体" w:hAnsi="宋体" w:eastAsia="宋体" w:cs="宋体"/>
                <w:color w:val="212529"/>
                <w:spacing w:val="-4"/>
                <w:sz w:val="18"/>
                <w:szCs w:val="18"/>
              </w:rPr>
              <w:t>四、公共安全支出</w:t>
            </w:r>
          </w:p>
        </w:tc>
        <w:tc>
          <w:tcPr>
            <w:tcW w:w="1079" w:type="dxa"/>
            <w:vAlign w:val="top"/>
          </w:tcPr>
          <w:p w14:paraId="33210B6E">
            <w:pPr>
              <w:pStyle w:val="6"/>
            </w:pPr>
          </w:p>
        </w:tc>
        <w:tc>
          <w:tcPr>
            <w:tcW w:w="1115" w:type="dxa"/>
            <w:vAlign w:val="top"/>
          </w:tcPr>
          <w:p w14:paraId="5072AB32">
            <w:pPr>
              <w:pStyle w:val="6"/>
            </w:pPr>
          </w:p>
        </w:tc>
        <w:tc>
          <w:tcPr>
            <w:tcW w:w="863" w:type="dxa"/>
            <w:vAlign w:val="top"/>
          </w:tcPr>
          <w:p w14:paraId="2CFA460B">
            <w:pPr>
              <w:pStyle w:val="6"/>
            </w:pPr>
          </w:p>
        </w:tc>
        <w:tc>
          <w:tcPr>
            <w:tcW w:w="1109" w:type="dxa"/>
            <w:vAlign w:val="top"/>
          </w:tcPr>
          <w:p w14:paraId="39FC8083">
            <w:pPr>
              <w:pStyle w:val="6"/>
            </w:pPr>
          </w:p>
        </w:tc>
      </w:tr>
      <w:tr w14:paraId="309A3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475DA69">
            <w:pPr>
              <w:pStyle w:val="6"/>
            </w:pPr>
          </w:p>
        </w:tc>
        <w:tc>
          <w:tcPr>
            <w:tcW w:w="1079" w:type="dxa"/>
            <w:vAlign w:val="top"/>
          </w:tcPr>
          <w:p w14:paraId="064685AE">
            <w:pPr>
              <w:pStyle w:val="6"/>
            </w:pPr>
          </w:p>
        </w:tc>
        <w:tc>
          <w:tcPr>
            <w:tcW w:w="1930" w:type="dxa"/>
            <w:vAlign w:val="top"/>
          </w:tcPr>
          <w:p w14:paraId="6A9D7912">
            <w:pPr>
              <w:spacing w:before="111" w:line="219" w:lineRule="auto"/>
              <w:ind w:left="8"/>
              <w:rPr>
                <w:rFonts w:ascii="宋体" w:hAnsi="宋体" w:eastAsia="宋体" w:cs="宋体"/>
                <w:sz w:val="18"/>
                <w:szCs w:val="18"/>
              </w:rPr>
            </w:pPr>
            <w:r>
              <w:rPr>
                <w:rFonts w:ascii="宋体" w:hAnsi="宋体" w:eastAsia="宋体" w:cs="宋体"/>
                <w:color w:val="212529"/>
                <w:spacing w:val="-2"/>
                <w:sz w:val="18"/>
                <w:szCs w:val="18"/>
              </w:rPr>
              <w:t>五、教育支出</w:t>
            </w:r>
          </w:p>
        </w:tc>
        <w:tc>
          <w:tcPr>
            <w:tcW w:w="1079" w:type="dxa"/>
            <w:vAlign w:val="top"/>
          </w:tcPr>
          <w:p w14:paraId="4A8BB3A5">
            <w:pPr>
              <w:pStyle w:val="6"/>
            </w:pPr>
          </w:p>
        </w:tc>
        <w:tc>
          <w:tcPr>
            <w:tcW w:w="1115" w:type="dxa"/>
            <w:vAlign w:val="top"/>
          </w:tcPr>
          <w:p w14:paraId="5C5112D7">
            <w:pPr>
              <w:pStyle w:val="6"/>
            </w:pPr>
          </w:p>
        </w:tc>
        <w:tc>
          <w:tcPr>
            <w:tcW w:w="863" w:type="dxa"/>
            <w:vAlign w:val="top"/>
          </w:tcPr>
          <w:p w14:paraId="7B9E8B97">
            <w:pPr>
              <w:pStyle w:val="6"/>
            </w:pPr>
          </w:p>
        </w:tc>
        <w:tc>
          <w:tcPr>
            <w:tcW w:w="1109" w:type="dxa"/>
            <w:vAlign w:val="top"/>
          </w:tcPr>
          <w:p w14:paraId="6C9D31A6">
            <w:pPr>
              <w:pStyle w:val="6"/>
            </w:pPr>
          </w:p>
        </w:tc>
      </w:tr>
      <w:tr w14:paraId="6D277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40351A1D">
            <w:pPr>
              <w:pStyle w:val="6"/>
            </w:pPr>
          </w:p>
        </w:tc>
        <w:tc>
          <w:tcPr>
            <w:tcW w:w="1079" w:type="dxa"/>
            <w:vAlign w:val="top"/>
          </w:tcPr>
          <w:p w14:paraId="1F78F37F">
            <w:pPr>
              <w:pStyle w:val="6"/>
            </w:pPr>
          </w:p>
        </w:tc>
        <w:tc>
          <w:tcPr>
            <w:tcW w:w="1930" w:type="dxa"/>
            <w:vAlign w:val="top"/>
          </w:tcPr>
          <w:p w14:paraId="73BF7FC8">
            <w:pPr>
              <w:spacing w:before="111" w:line="219" w:lineRule="auto"/>
              <w:ind w:left="7"/>
              <w:rPr>
                <w:rFonts w:ascii="宋体" w:hAnsi="宋体" w:eastAsia="宋体" w:cs="宋体"/>
                <w:sz w:val="18"/>
                <w:szCs w:val="18"/>
              </w:rPr>
            </w:pPr>
            <w:r>
              <w:rPr>
                <w:rFonts w:ascii="宋体" w:hAnsi="宋体" w:eastAsia="宋体" w:cs="宋体"/>
                <w:color w:val="212529"/>
                <w:spacing w:val="-2"/>
                <w:sz w:val="18"/>
                <w:szCs w:val="18"/>
              </w:rPr>
              <w:t>六、科学技术支出</w:t>
            </w:r>
          </w:p>
        </w:tc>
        <w:tc>
          <w:tcPr>
            <w:tcW w:w="1079" w:type="dxa"/>
            <w:vAlign w:val="top"/>
          </w:tcPr>
          <w:p w14:paraId="464F85FB">
            <w:pPr>
              <w:pStyle w:val="6"/>
            </w:pPr>
          </w:p>
        </w:tc>
        <w:tc>
          <w:tcPr>
            <w:tcW w:w="1115" w:type="dxa"/>
            <w:vAlign w:val="top"/>
          </w:tcPr>
          <w:p w14:paraId="1C0DE5E6">
            <w:pPr>
              <w:pStyle w:val="6"/>
            </w:pPr>
          </w:p>
        </w:tc>
        <w:tc>
          <w:tcPr>
            <w:tcW w:w="863" w:type="dxa"/>
            <w:vAlign w:val="top"/>
          </w:tcPr>
          <w:p w14:paraId="55CBCFBF">
            <w:pPr>
              <w:pStyle w:val="6"/>
            </w:pPr>
          </w:p>
        </w:tc>
        <w:tc>
          <w:tcPr>
            <w:tcW w:w="1109" w:type="dxa"/>
            <w:vAlign w:val="top"/>
          </w:tcPr>
          <w:p w14:paraId="67523EEE">
            <w:pPr>
              <w:pStyle w:val="6"/>
            </w:pPr>
          </w:p>
        </w:tc>
      </w:tr>
      <w:tr w14:paraId="35902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5112251F">
            <w:pPr>
              <w:pStyle w:val="6"/>
            </w:pPr>
          </w:p>
        </w:tc>
        <w:tc>
          <w:tcPr>
            <w:tcW w:w="1079" w:type="dxa"/>
            <w:vAlign w:val="top"/>
          </w:tcPr>
          <w:p w14:paraId="7A4D6B05">
            <w:pPr>
              <w:pStyle w:val="6"/>
            </w:pPr>
          </w:p>
        </w:tc>
        <w:tc>
          <w:tcPr>
            <w:tcW w:w="1930" w:type="dxa"/>
            <w:vAlign w:val="top"/>
          </w:tcPr>
          <w:p w14:paraId="6A2855C8">
            <w:pPr>
              <w:spacing w:before="4" w:line="209" w:lineRule="auto"/>
              <w:ind w:left="5" w:right="122"/>
              <w:rPr>
                <w:rFonts w:ascii="宋体" w:hAnsi="宋体" w:eastAsia="宋体" w:cs="宋体"/>
                <w:sz w:val="18"/>
                <w:szCs w:val="18"/>
              </w:rPr>
            </w:pPr>
            <w:r>
              <w:rPr>
                <w:rFonts w:ascii="宋体" w:hAnsi="宋体" w:eastAsia="宋体" w:cs="宋体"/>
                <w:color w:val="212529"/>
                <w:spacing w:val="-1"/>
                <w:sz w:val="18"/>
                <w:szCs w:val="18"/>
              </w:rPr>
              <w:t>七、文化旅游体育与传</w:t>
            </w:r>
            <w:r>
              <w:rPr>
                <w:rFonts w:ascii="宋体" w:hAnsi="宋体" w:eastAsia="宋体" w:cs="宋体"/>
                <w:color w:val="212529"/>
                <w:spacing w:val="1"/>
                <w:sz w:val="18"/>
                <w:szCs w:val="18"/>
              </w:rPr>
              <w:t xml:space="preserve"> </w:t>
            </w:r>
            <w:r>
              <w:rPr>
                <w:rFonts w:ascii="宋体" w:hAnsi="宋体" w:eastAsia="宋体" w:cs="宋体"/>
                <w:color w:val="212529"/>
                <w:spacing w:val="-3"/>
                <w:sz w:val="18"/>
                <w:szCs w:val="18"/>
              </w:rPr>
              <w:t>媒支出</w:t>
            </w:r>
          </w:p>
        </w:tc>
        <w:tc>
          <w:tcPr>
            <w:tcW w:w="1079" w:type="dxa"/>
            <w:vAlign w:val="top"/>
          </w:tcPr>
          <w:p w14:paraId="1D3BF66E">
            <w:pPr>
              <w:pStyle w:val="6"/>
            </w:pPr>
          </w:p>
        </w:tc>
        <w:tc>
          <w:tcPr>
            <w:tcW w:w="1115" w:type="dxa"/>
            <w:vAlign w:val="top"/>
          </w:tcPr>
          <w:p w14:paraId="42DFB27E">
            <w:pPr>
              <w:pStyle w:val="6"/>
            </w:pPr>
          </w:p>
        </w:tc>
        <w:tc>
          <w:tcPr>
            <w:tcW w:w="863" w:type="dxa"/>
            <w:vAlign w:val="top"/>
          </w:tcPr>
          <w:p w14:paraId="171DE3A4">
            <w:pPr>
              <w:pStyle w:val="6"/>
            </w:pPr>
          </w:p>
        </w:tc>
        <w:tc>
          <w:tcPr>
            <w:tcW w:w="1109" w:type="dxa"/>
            <w:vAlign w:val="top"/>
          </w:tcPr>
          <w:p w14:paraId="7A735245">
            <w:pPr>
              <w:pStyle w:val="6"/>
            </w:pPr>
          </w:p>
        </w:tc>
      </w:tr>
      <w:tr w14:paraId="03819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05E9D7BB">
            <w:pPr>
              <w:pStyle w:val="6"/>
            </w:pPr>
          </w:p>
        </w:tc>
        <w:tc>
          <w:tcPr>
            <w:tcW w:w="1079" w:type="dxa"/>
            <w:vAlign w:val="top"/>
          </w:tcPr>
          <w:p w14:paraId="7A1FDAAF">
            <w:pPr>
              <w:pStyle w:val="6"/>
            </w:pPr>
          </w:p>
        </w:tc>
        <w:tc>
          <w:tcPr>
            <w:tcW w:w="1930" w:type="dxa"/>
            <w:vAlign w:val="top"/>
          </w:tcPr>
          <w:p w14:paraId="35F86561">
            <w:pPr>
              <w:spacing w:before="4" w:line="209" w:lineRule="auto"/>
              <w:ind w:left="20" w:right="122" w:hanging="12"/>
              <w:rPr>
                <w:rFonts w:ascii="宋体" w:hAnsi="宋体" w:eastAsia="宋体" w:cs="宋体"/>
                <w:sz w:val="18"/>
                <w:szCs w:val="18"/>
              </w:rPr>
            </w:pPr>
            <w:r>
              <w:rPr>
                <w:rFonts w:ascii="宋体" w:hAnsi="宋体" w:eastAsia="宋体" w:cs="宋体"/>
                <w:color w:val="212529"/>
                <w:spacing w:val="-2"/>
                <w:sz w:val="18"/>
                <w:szCs w:val="18"/>
              </w:rPr>
              <w:t>八、社会保障和就业支</w:t>
            </w:r>
            <w:r>
              <w:rPr>
                <w:rFonts w:ascii="宋体" w:hAnsi="宋体" w:eastAsia="宋体" w:cs="宋体"/>
                <w:color w:val="212529"/>
                <w:spacing w:val="8"/>
                <w:sz w:val="18"/>
                <w:szCs w:val="18"/>
              </w:rPr>
              <w:t xml:space="preserve"> </w:t>
            </w:r>
            <w:r>
              <w:rPr>
                <w:rFonts w:ascii="宋体" w:hAnsi="宋体" w:eastAsia="宋体" w:cs="宋体"/>
                <w:color w:val="212529"/>
                <w:sz w:val="18"/>
                <w:szCs w:val="18"/>
              </w:rPr>
              <w:t>出</w:t>
            </w:r>
          </w:p>
        </w:tc>
        <w:tc>
          <w:tcPr>
            <w:tcW w:w="1079" w:type="dxa"/>
            <w:vAlign w:val="top"/>
          </w:tcPr>
          <w:p w14:paraId="042B8B4E">
            <w:pPr>
              <w:spacing w:before="139"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115" w:type="dxa"/>
            <w:vAlign w:val="top"/>
          </w:tcPr>
          <w:p w14:paraId="5A6F8218">
            <w:pPr>
              <w:spacing w:before="139"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863" w:type="dxa"/>
            <w:vAlign w:val="top"/>
          </w:tcPr>
          <w:p w14:paraId="47FE9B6A">
            <w:pPr>
              <w:pStyle w:val="6"/>
            </w:pPr>
          </w:p>
        </w:tc>
        <w:tc>
          <w:tcPr>
            <w:tcW w:w="1109" w:type="dxa"/>
            <w:vAlign w:val="top"/>
          </w:tcPr>
          <w:p w14:paraId="56E461ED">
            <w:pPr>
              <w:pStyle w:val="6"/>
            </w:pPr>
          </w:p>
        </w:tc>
      </w:tr>
      <w:tr w14:paraId="26DBC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4923488E">
            <w:pPr>
              <w:pStyle w:val="6"/>
            </w:pPr>
          </w:p>
        </w:tc>
        <w:tc>
          <w:tcPr>
            <w:tcW w:w="1079" w:type="dxa"/>
            <w:vAlign w:val="top"/>
          </w:tcPr>
          <w:p w14:paraId="43F4C51B">
            <w:pPr>
              <w:pStyle w:val="6"/>
            </w:pPr>
          </w:p>
        </w:tc>
        <w:tc>
          <w:tcPr>
            <w:tcW w:w="1930" w:type="dxa"/>
            <w:vAlign w:val="top"/>
          </w:tcPr>
          <w:p w14:paraId="2A750E7C">
            <w:pPr>
              <w:spacing w:before="111" w:line="219" w:lineRule="auto"/>
              <w:ind w:left="10"/>
              <w:rPr>
                <w:rFonts w:ascii="宋体" w:hAnsi="宋体" w:eastAsia="宋体" w:cs="宋体"/>
                <w:sz w:val="18"/>
                <w:szCs w:val="18"/>
              </w:rPr>
            </w:pPr>
            <w:r>
              <w:rPr>
                <w:rFonts w:ascii="宋体" w:hAnsi="宋体" w:eastAsia="宋体" w:cs="宋体"/>
                <w:color w:val="212529"/>
                <w:spacing w:val="-2"/>
                <w:sz w:val="18"/>
                <w:szCs w:val="18"/>
              </w:rPr>
              <w:t>九、社会保险基金支出</w:t>
            </w:r>
          </w:p>
        </w:tc>
        <w:tc>
          <w:tcPr>
            <w:tcW w:w="1079" w:type="dxa"/>
            <w:vAlign w:val="top"/>
          </w:tcPr>
          <w:p w14:paraId="48DA4011">
            <w:pPr>
              <w:pStyle w:val="6"/>
            </w:pPr>
          </w:p>
        </w:tc>
        <w:tc>
          <w:tcPr>
            <w:tcW w:w="1115" w:type="dxa"/>
            <w:vAlign w:val="top"/>
          </w:tcPr>
          <w:p w14:paraId="5E8875C1">
            <w:pPr>
              <w:pStyle w:val="6"/>
            </w:pPr>
          </w:p>
        </w:tc>
        <w:tc>
          <w:tcPr>
            <w:tcW w:w="863" w:type="dxa"/>
            <w:vAlign w:val="top"/>
          </w:tcPr>
          <w:p w14:paraId="30D598DE">
            <w:pPr>
              <w:pStyle w:val="6"/>
            </w:pPr>
          </w:p>
        </w:tc>
        <w:tc>
          <w:tcPr>
            <w:tcW w:w="1109" w:type="dxa"/>
            <w:vAlign w:val="top"/>
          </w:tcPr>
          <w:p w14:paraId="0120FE10">
            <w:pPr>
              <w:pStyle w:val="6"/>
            </w:pPr>
          </w:p>
        </w:tc>
      </w:tr>
      <w:tr w14:paraId="7EC0A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0355DECE">
            <w:pPr>
              <w:pStyle w:val="6"/>
            </w:pPr>
          </w:p>
        </w:tc>
        <w:tc>
          <w:tcPr>
            <w:tcW w:w="1079" w:type="dxa"/>
            <w:vAlign w:val="top"/>
          </w:tcPr>
          <w:p w14:paraId="37C446AF">
            <w:pPr>
              <w:pStyle w:val="6"/>
            </w:pPr>
          </w:p>
        </w:tc>
        <w:tc>
          <w:tcPr>
            <w:tcW w:w="1930" w:type="dxa"/>
            <w:vAlign w:val="top"/>
          </w:tcPr>
          <w:p w14:paraId="0DF4E80F">
            <w:pPr>
              <w:spacing w:before="112" w:line="219" w:lineRule="auto"/>
              <w:ind w:left="6"/>
              <w:rPr>
                <w:rFonts w:ascii="宋体" w:hAnsi="宋体" w:eastAsia="宋体" w:cs="宋体"/>
                <w:sz w:val="18"/>
                <w:szCs w:val="18"/>
              </w:rPr>
            </w:pPr>
            <w:r>
              <w:rPr>
                <w:rFonts w:ascii="宋体" w:hAnsi="宋体" w:eastAsia="宋体" w:cs="宋体"/>
                <w:color w:val="212529"/>
                <w:spacing w:val="-2"/>
                <w:sz w:val="18"/>
                <w:szCs w:val="18"/>
              </w:rPr>
              <w:t>十、卫生健康支出</w:t>
            </w:r>
          </w:p>
        </w:tc>
        <w:tc>
          <w:tcPr>
            <w:tcW w:w="1079" w:type="dxa"/>
            <w:vAlign w:val="top"/>
          </w:tcPr>
          <w:p w14:paraId="0A53B31E">
            <w:pPr>
              <w:pStyle w:val="6"/>
            </w:pPr>
          </w:p>
        </w:tc>
        <w:tc>
          <w:tcPr>
            <w:tcW w:w="1115" w:type="dxa"/>
            <w:vAlign w:val="top"/>
          </w:tcPr>
          <w:p w14:paraId="1C98C298">
            <w:pPr>
              <w:pStyle w:val="6"/>
            </w:pPr>
          </w:p>
        </w:tc>
        <w:tc>
          <w:tcPr>
            <w:tcW w:w="863" w:type="dxa"/>
            <w:vAlign w:val="top"/>
          </w:tcPr>
          <w:p w14:paraId="1403E02C">
            <w:pPr>
              <w:pStyle w:val="6"/>
            </w:pPr>
          </w:p>
        </w:tc>
        <w:tc>
          <w:tcPr>
            <w:tcW w:w="1109" w:type="dxa"/>
            <w:vAlign w:val="top"/>
          </w:tcPr>
          <w:p w14:paraId="6F2AE2DA">
            <w:pPr>
              <w:pStyle w:val="6"/>
            </w:pPr>
          </w:p>
        </w:tc>
      </w:tr>
      <w:tr w14:paraId="30AB1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3C6D8FEA">
            <w:pPr>
              <w:pStyle w:val="6"/>
            </w:pPr>
          </w:p>
        </w:tc>
        <w:tc>
          <w:tcPr>
            <w:tcW w:w="1079" w:type="dxa"/>
            <w:vAlign w:val="top"/>
          </w:tcPr>
          <w:p w14:paraId="472D18FB">
            <w:pPr>
              <w:pStyle w:val="6"/>
            </w:pPr>
          </w:p>
        </w:tc>
        <w:tc>
          <w:tcPr>
            <w:tcW w:w="1930" w:type="dxa"/>
            <w:vAlign w:val="top"/>
          </w:tcPr>
          <w:p w14:paraId="5D8B54FE">
            <w:pPr>
              <w:spacing w:before="112" w:line="220" w:lineRule="auto"/>
              <w:ind w:left="6"/>
              <w:rPr>
                <w:rFonts w:ascii="宋体" w:hAnsi="宋体" w:eastAsia="宋体" w:cs="宋体"/>
                <w:sz w:val="18"/>
                <w:szCs w:val="18"/>
              </w:rPr>
            </w:pPr>
            <w:r>
              <w:rPr>
                <w:rFonts w:ascii="宋体" w:hAnsi="宋体" w:eastAsia="宋体" w:cs="宋体"/>
                <w:color w:val="212529"/>
                <w:spacing w:val="-1"/>
                <w:sz w:val="18"/>
                <w:szCs w:val="18"/>
              </w:rPr>
              <w:t>十一、节能环保支出</w:t>
            </w:r>
          </w:p>
        </w:tc>
        <w:tc>
          <w:tcPr>
            <w:tcW w:w="1079" w:type="dxa"/>
            <w:vAlign w:val="top"/>
          </w:tcPr>
          <w:p w14:paraId="0C564C49">
            <w:pPr>
              <w:pStyle w:val="6"/>
            </w:pPr>
          </w:p>
        </w:tc>
        <w:tc>
          <w:tcPr>
            <w:tcW w:w="1115" w:type="dxa"/>
            <w:vAlign w:val="top"/>
          </w:tcPr>
          <w:p w14:paraId="16350C7A">
            <w:pPr>
              <w:pStyle w:val="6"/>
            </w:pPr>
          </w:p>
        </w:tc>
        <w:tc>
          <w:tcPr>
            <w:tcW w:w="863" w:type="dxa"/>
            <w:vAlign w:val="top"/>
          </w:tcPr>
          <w:p w14:paraId="74765690">
            <w:pPr>
              <w:pStyle w:val="6"/>
            </w:pPr>
          </w:p>
        </w:tc>
        <w:tc>
          <w:tcPr>
            <w:tcW w:w="1109" w:type="dxa"/>
            <w:vAlign w:val="top"/>
          </w:tcPr>
          <w:p w14:paraId="2FF27865">
            <w:pPr>
              <w:pStyle w:val="6"/>
            </w:pPr>
          </w:p>
        </w:tc>
      </w:tr>
      <w:tr w14:paraId="3B90E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6C6838A2">
            <w:pPr>
              <w:pStyle w:val="6"/>
            </w:pPr>
          </w:p>
        </w:tc>
        <w:tc>
          <w:tcPr>
            <w:tcW w:w="1079" w:type="dxa"/>
            <w:vAlign w:val="top"/>
          </w:tcPr>
          <w:p w14:paraId="52362BDC">
            <w:pPr>
              <w:pStyle w:val="6"/>
            </w:pPr>
          </w:p>
        </w:tc>
        <w:tc>
          <w:tcPr>
            <w:tcW w:w="1930" w:type="dxa"/>
            <w:vAlign w:val="top"/>
          </w:tcPr>
          <w:p w14:paraId="21F138D5">
            <w:pPr>
              <w:spacing w:before="112" w:line="219" w:lineRule="auto"/>
              <w:ind w:left="6"/>
              <w:rPr>
                <w:rFonts w:ascii="宋体" w:hAnsi="宋体" w:eastAsia="宋体" w:cs="宋体"/>
                <w:sz w:val="18"/>
                <w:szCs w:val="18"/>
              </w:rPr>
            </w:pPr>
            <w:r>
              <w:rPr>
                <w:rFonts w:ascii="宋体" w:hAnsi="宋体" w:eastAsia="宋体" w:cs="宋体"/>
                <w:color w:val="212529"/>
                <w:spacing w:val="-1"/>
                <w:sz w:val="18"/>
                <w:szCs w:val="18"/>
              </w:rPr>
              <w:t>十二、城乡社区支出</w:t>
            </w:r>
          </w:p>
        </w:tc>
        <w:tc>
          <w:tcPr>
            <w:tcW w:w="1079" w:type="dxa"/>
            <w:vAlign w:val="top"/>
          </w:tcPr>
          <w:p w14:paraId="6CA2DCB2">
            <w:pPr>
              <w:pStyle w:val="6"/>
            </w:pPr>
          </w:p>
        </w:tc>
        <w:tc>
          <w:tcPr>
            <w:tcW w:w="1115" w:type="dxa"/>
            <w:vAlign w:val="top"/>
          </w:tcPr>
          <w:p w14:paraId="78342C45">
            <w:pPr>
              <w:pStyle w:val="6"/>
            </w:pPr>
          </w:p>
        </w:tc>
        <w:tc>
          <w:tcPr>
            <w:tcW w:w="863" w:type="dxa"/>
            <w:vAlign w:val="top"/>
          </w:tcPr>
          <w:p w14:paraId="76069B57">
            <w:pPr>
              <w:pStyle w:val="6"/>
            </w:pPr>
          </w:p>
        </w:tc>
        <w:tc>
          <w:tcPr>
            <w:tcW w:w="1109" w:type="dxa"/>
            <w:vAlign w:val="top"/>
          </w:tcPr>
          <w:p w14:paraId="25645A34">
            <w:pPr>
              <w:pStyle w:val="6"/>
            </w:pPr>
          </w:p>
        </w:tc>
      </w:tr>
      <w:tr w14:paraId="1E58C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8AB7191">
            <w:pPr>
              <w:pStyle w:val="6"/>
            </w:pPr>
          </w:p>
        </w:tc>
        <w:tc>
          <w:tcPr>
            <w:tcW w:w="1079" w:type="dxa"/>
            <w:vAlign w:val="top"/>
          </w:tcPr>
          <w:p w14:paraId="233DED2C">
            <w:pPr>
              <w:pStyle w:val="6"/>
            </w:pPr>
          </w:p>
        </w:tc>
        <w:tc>
          <w:tcPr>
            <w:tcW w:w="1930" w:type="dxa"/>
            <w:vAlign w:val="top"/>
          </w:tcPr>
          <w:p w14:paraId="38137625">
            <w:pPr>
              <w:spacing w:before="112" w:line="219" w:lineRule="auto"/>
              <w:ind w:left="6"/>
              <w:rPr>
                <w:rFonts w:ascii="宋体" w:hAnsi="宋体" w:eastAsia="宋体" w:cs="宋体"/>
                <w:sz w:val="18"/>
                <w:szCs w:val="18"/>
              </w:rPr>
            </w:pPr>
            <w:r>
              <w:rPr>
                <w:rFonts w:ascii="宋体" w:hAnsi="宋体" w:eastAsia="宋体" w:cs="宋体"/>
                <w:color w:val="212529"/>
                <w:spacing w:val="-2"/>
                <w:sz w:val="18"/>
                <w:szCs w:val="18"/>
              </w:rPr>
              <w:t>十三、农林水支出</w:t>
            </w:r>
          </w:p>
        </w:tc>
        <w:tc>
          <w:tcPr>
            <w:tcW w:w="1079" w:type="dxa"/>
            <w:vAlign w:val="top"/>
          </w:tcPr>
          <w:p w14:paraId="1FC74097">
            <w:pPr>
              <w:pStyle w:val="6"/>
            </w:pPr>
          </w:p>
        </w:tc>
        <w:tc>
          <w:tcPr>
            <w:tcW w:w="1115" w:type="dxa"/>
            <w:vAlign w:val="top"/>
          </w:tcPr>
          <w:p w14:paraId="4ACF7AD0">
            <w:pPr>
              <w:pStyle w:val="6"/>
            </w:pPr>
          </w:p>
        </w:tc>
        <w:tc>
          <w:tcPr>
            <w:tcW w:w="863" w:type="dxa"/>
            <w:vAlign w:val="top"/>
          </w:tcPr>
          <w:p w14:paraId="40A770E5">
            <w:pPr>
              <w:pStyle w:val="6"/>
            </w:pPr>
          </w:p>
        </w:tc>
        <w:tc>
          <w:tcPr>
            <w:tcW w:w="1109" w:type="dxa"/>
            <w:vAlign w:val="top"/>
          </w:tcPr>
          <w:p w14:paraId="33A954D8">
            <w:pPr>
              <w:pStyle w:val="6"/>
            </w:pPr>
          </w:p>
        </w:tc>
      </w:tr>
      <w:tr w14:paraId="079EE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79DB4537">
            <w:pPr>
              <w:pStyle w:val="6"/>
            </w:pPr>
          </w:p>
        </w:tc>
        <w:tc>
          <w:tcPr>
            <w:tcW w:w="1079" w:type="dxa"/>
            <w:vAlign w:val="top"/>
          </w:tcPr>
          <w:p w14:paraId="2EF8A18D">
            <w:pPr>
              <w:pStyle w:val="6"/>
            </w:pPr>
          </w:p>
        </w:tc>
        <w:tc>
          <w:tcPr>
            <w:tcW w:w="1930" w:type="dxa"/>
            <w:vAlign w:val="top"/>
          </w:tcPr>
          <w:p w14:paraId="521DF48D">
            <w:pPr>
              <w:spacing w:before="113" w:line="219" w:lineRule="auto"/>
              <w:ind w:left="6"/>
              <w:rPr>
                <w:rFonts w:ascii="宋体" w:hAnsi="宋体" w:eastAsia="宋体" w:cs="宋体"/>
                <w:sz w:val="18"/>
                <w:szCs w:val="18"/>
              </w:rPr>
            </w:pPr>
            <w:r>
              <w:rPr>
                <w:rFonts w:ascii="宋体" w:hAnsi="宋体" w:eastAsia="宋体" w:cs="宋体"/>
                <w:color w:val="212529"/>
                <w:spacing w:val="-1"/>
                <w:sz w:val="18"/>
                <w:szCs w:val="18"/>
              </w:rPr>
              <w:t>十四、交通运输支出</w:t>
            </w:r>
          </w:p>
        </w:tc>
        <w:tc>
          <w:tcPr>
            <w:tcW w:w="1079" w:type="dxa"/>
            <w:vAlign w:val="top"/>
          </w:tcPr>
          <w:p w14:paraId="65C62691">
            <w:pPr>
              <w:pStyle w:val="6"/>
            </w:pPr>
          </w:p>
        </w:tc>
        <w:tc>
          <w:tcPr>
            <w:tcW w:w="1115" w:type="dxa"/>
            <w:vAlign w:val="top"/>
          </w:tcPr>
          <w:p w14:paraId="7D72866F">
            <w:pPr>
              <w:pStyle w:val="6"/>
            </w:pPr>
          </w:p>
        </w:tc>
        <w:tc>
          <w:tcPr>
            <w:tcW w:w="863" w:type="dxa"/>
            <w:vAlign w:val="top"/>
          </w:tcPr>
          <w:p w14:paraId="5CD18A14">
            <w:pPr>
              <w:pStyle w:val="6"/>
            </w:pPr>
          </w:p>
        </w:tc>
        <w:tc>
          <w:tcPr>
            <w:tcW w:w="1109" w:type="dxa"/>
            <w:vAlign w:val="top"/>
          </w:tcPr>
          <w:p w14:paraId="75BE7975">
            <w:pPr>
              <w:pStyle w:val="6"/>
            </w:pPr>
          </w:p>
        </w:tc>
      </w:tr>
      <w:tr w14:paraId="62595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77E38CC">
            <w:pPr>
              <w:pStyle w:val="6"/>
            </w:pPr>
          </w:p>
        </w:tc>
        <w:tc>
          <w:tcPr>
            <w:tcW w:w="1079" w:type="dxa"/>
            <w:vAlign w:val="top"/>
          </w:tcPr>
          <w:p w14:paraId="5926C16B">
            <w:pPr>
              <w:pStyle w:val="6"/>
            </w:pPr>
          </w:p>
        </w:tc>
        <w:tc>
          <w:tcPr>
            <w:tcW w:w="1930" w:type="dxa"/>
            <w:vAlign w:val="top"/>
          </w:tcPr>
          <w:p w14:paraId="4A5FC1AF">
            <w:pPr>
              <w:spacing w:before="4" w:line="209" w:lineRule="auto"/>
              <w:ind w:left="13" w:right="122" w:hanging="7"/>
              <w:rPr>
                <w:rFonts w:ascii="宋体" w:hAnsi="宋体" w:eastAsia="宋体" w:cs="宋体"/>
                <w:sz w:val="18"/>
                <w:szCs w:val="18"/>
              </w:rPr>
            </w:pPr>
            <w:r>
              <w:rPr>
                <w:rFonts w:ascii="宋体" w:hAnsi="宋体" w:eastAsia="宋体" w:cs="宋体"/>
                <w:color w:val="212529"/>
                <w:spacing w:val="-1"/>
                <w:sz w:val="18"/>
                <w:szCs w:val="18"/>
              </w:rPr>
              <w:t>十五、资源勘探工业信</w:t>
            </w:r>
            <w:r>
              <w:rPr>
                <w:rFonts w:ascii="宋体" w:hAnsi="宋体" w:eastAsia="宋体" w:cs="宋体"/>
                <w:color w:val="212529"/>
                <w:sz w:val="18"/>
                <w:szCs w:val="18"/>
              </w:rPr>
              <w:t xml:space="preserve"> </w:t>
            </w:r>
            <w:r>
              <w:rPr>
                <w:rFonts w:ascii="宋体" w:hAnsi="宋体" w:eastAsia="宋体" w:cs="宋体"/>
                <w:color w:val="212529"/>
                <w:spacing w:val="-5"/>
                <w:sz w:val="18"/>
                <w:szCs w:val="18"/>
              </w:rPr>
              <w:t>息等支出</w:t>
            </w:r>
          </w:p>
        </w:tc>
        <w:tc>
          <w:tcPr>
            <w:tcW w:w="1079" w:type="dxa"/>
            <w:vAlign w:val="top"/>
          </w:tcPr>
          <w:p w14:paraId="17685A91">
            <w:pPr>
              <w:pStyle w:val="6"/>
            </w:pPr>
          </w:p>
        </w:tc>
        <w:tc>
          <w:tcPr>
            <w:tcW w:w="1115" w:type="dxa"/>
            <w:vAlign w:val="top"/>
          </w:tcPr>
          <w:p w14:paraId="1D7F3266">
            <w:pPr>
              <w:pStyle w:val="6"/>
            </w:pPr>
          </w:p>
        </w:tc>
        <w:tc>
          <w:tcPr>
            <w:tcW w:w="863" w:type="dxa"/>
            <w:vAlign w:val="top"/>
          </w:tcPr>
          <w:p w14:paraId="35768271">
            <w:pPr>
              <w:pStyle w:val="6"/>
            </w:pPr>
          </w:p>
        </w:tc>
        <w:tc>
          <w:tcPr>
            <w:tcW w:w="1109" w:type="dxa"/>
            <w:vAlign w:val="top"/>
          </w:tcPr>
          <w:p w14:paraId="785D2CAA">
            <w:pPr>
              <w:pStyle w:val="6"/>
            </w:pPr>
          </w:p>
        </w:tc>
      </w:tr>
      <w:tr w14:paraId="47E36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19AE5BB">
            <w:pPr>
              <w:pStyle w:val="6"/>
            </w:pPr>
          </w:p>
        </w:tc>
        <w:tc>
          <w:tcPr>
            <w:tcW w:w="1079" w:type="dxa"/>
            <w:vAlign w:val="top"/>
          </w:tcPr>
          <w:p w14:paraId="3E6A70CE">
            <w:pPr>
              <w:pStyle w:val="6"/>
            </w:pPr>
          </w:p>
        </w:tc>
        <w:tc>
          <w:tcPr>
            <w:tcW w:w="1930" w:type="dxa"/>
            <w:vAlign w:val="top"/>
          </w:tcPr>
          <w:p w14:paraId="63A488C7">
            <w:pPr>
              <w:spacing w:before="4" w:line="209" w:lineRule="auto"/>
              <w:ind w:left="20" w:right="122" w:hanging="14"/>
              <w:rPr>
                <w:rFonts w:ascii="宋体" w:hAnsi="宋体" w:eastAsia="宋体" w:cs="宋体"/>
                <w:sz w:val="18"/>
                <w:szCs w:val="18"/>
              </w:rPr>
            </w:pPr>
            <w:r>
              <w:rPr>
                <w:rFonts w:ascii="宋体" w:hAnsi="宋体" w:eastAsia="宋体" w:cs="宋体"/>
                <w:color w:val="212529"/>
                <w:spacing w:val="-1"/>
                <w:sz w:val="18"/>
                <w:szCs w:val="18"/>
              </w:rPr>
              <w:t>十六、商业服务业等支</w:t>
            </w:r>
            <w:r>
              <w:rPr>
                <w:rFonts w:ascii="宋体" w:hAnsi="宋体" w:eastAsia="宋体" w:cs="宋体"/>
                <w:color w:val="212529"/>
                <w:sz w:val="18"/>
                <w:szCs w:val="18"/>
              </w:rPr>
              <w:t xml:space="preserve"> 出</w:t>
            </w:r>
          </w:p>
        </w:tc>
        <w:tc>
          <w:tcPr>
            <w:tcW w:w="1079" w:type="dxa"/>
            <w:vAlign w:val="top"/>
          </w:tcPr>
          <w:p w14:paraId="2FC60CC7">
            <w:pPr>
              <w:pStyle w:val="6"/>
            </w:pPr>
          </w:p>
        </w:tc>
        <w:tc>
          <w:tcPr>
            <w:tcW w:w="1115" w:type="dxa"/>
            <w:vAlign w:val="top"/>
          </w:tcPr>
          <w:p w14:paraId="0E8814BC">
            <w:pPr>
              <w:pStyle w:val="6"/>
            </w:pPr>
          </w:p>
        </w:tc>
        <w:tc>
          <w:tcPr>
            <w:tcW w:w="863" w:type="dxa"/>
            <w:vAlign w:val="top"/>
          </w:tcPr>
          <w:p w14:paraId="2F72E7F0">
            <w:pPr>
              <w:pStyle w:val="6"/>
            </w:pPr>
          </w:p>
        </w:tc>
        <w:tc>
          <w:tcPr>
            <w:tcW w:w="1109" w:type="dxa"/>
            <w:vAlign w:val="top"/>
          </w:tcPr>
          <w:p w14:paraId="0436347B">
            <w:pPr>
              <w:pStyle w:val="6"/>
            </w:pPr>
          </w:p>
        </w:tc>
      </w:tr>
      <w:tr w14:paraId="30BD2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013BC4FA">
            <w:pPr>
              <w:pStyle w:val="6"/>
            </w:pPr>
          </w:p>
        </w:tc>
        <w:tc>
          <w:tcPr>
            <w:tcW w:w="1079" w:type="dxa"/>
            <w:vAlign w:val="top"/>
          </w:tcPr>
          <w:p w14:paraId="45BB81BE">
            <w:pPr>
              <w:pStyle w:val="6"/>
            </w:pPr>
          </w:p>
        </w:tc>
        <w:tc>
          <w:tcPr>
            <w:tcW w:w="1930" w:type="dxa"/>
            <w:vAlign w:val="top"/>
          </w:tcPr>
          <w:p w14:paraId="634D19D1">
            <w:pPr>
              <w:spacing w:before="113" w:line="220" w:lineRule="auto"/>
              <w:ind w:left="6"/>
              <w:rPr>
                <w:rFonts w:ascii="宋体" w:hAnsi="宋体" w:eastAsia="宋体" w:cs="宋体"/>
                <w:sz w:val="18"/>
                <w:szCs w:val="18"/>
              </w:rPr>
            </w:pPr>
            <w:r>
              <w:rPr>
                <w:rFonts w:ascii="宋体" w:hAnsi="宋体" w:eastAsia="宋体" w:cs="宋体"/>
                <w:color w:val="212529"/>
                <w:spacing w:val="-2"/>
                <w:sz w:val="18"/>
                <w:szCs w:val="18"/>
              </w:rPr>
              <w:t>十七、金融支出</w:t>
            </w:r>
          </w:p>
        </w:tc>
        <w:tc>
          <w:tcPr>
            <w:tcW w:w="1079" w:type="dxa"/>
            <w:vAlign w:val="top"/>
          </w:tcPr>
          <w:p w14:paraId="2A742E42">
            <w:pPr>
              <w:pStyle w:val="6"/>
            </w:pPr>
          </w:p>
        </w:tc>
        <w:tc>
          <w:tcPr>
            <w:tcW w:w="1115" w:type="dxa"/>
            <w:vAlign w:val="top"/>
          </w:tcPr>
          <w:p w14:paraId="4AB9734F">
            <w:pPr>
              <w:pStyle w:val="6"/>
            </w:pPr>
          </w:p>
        </w:tc>
        <w:tc>
          <w:tcPr>
            <w:tcW w:w="863" w:type="dxa"/>
            <w:vAlign w:val="top"/>
          </w:tcPr>
          <w:p w14:paraId="6C3B1B78">
            <w:pPr>
              <w:pStyle w:val="6"/>
            </w:pPr>
          </w:p>
        </w:tc>
        <w:tc>
          <w:tcPr>
            <w:tcW w:w="1109" w:type="dxa"/>
            <w:vAlign w:val="top"/>
          </w:tcPr>
          <w:p w14:paraId="02761A15">
            <w:pPr>
              <w:pStyle w:val="6"/>
            </w:pPr>
          </w:p>
        </w:tc>
      </w:tr>
      <w:tr w14:paraId="1A595A7B">
        <w:tblPrEx>
          <w:tblCellMar>
            <w:top w:w="0" w:type="dxa"/>
            <w:left w:w="0" w:type="dxa"/>
            <w:bottom w:w="0" w:type="dxa"/>
            <w:right w:w="0" w:type="dxa"/>
          </w:tblCellMar>
        </w:tblPrEx>
        <w:trPr>
          <w:trHeight w:val="422" w:hRule="atLeast"/>
        </w:trPr>
        <w:tc>
          <w:tcPr>
            <w:tcW w:w="1841" w:type="dxa"/>
            <w:vAlign w:val="top"/>
          </w:tcPr>
          <w:p w14:paraId="06DC8E5C">
            <w:pPr>
              <w:pStyle w:val="6"/>
            </w:pPr>
          </w:p>
        </w:tc>
        <w:tc>
          <w:tcPr>
            <w:tcW w:w="1079" w:type="dxa"/>
            <w:vAlign w:val="top"/>
          </w:tcPr>
          <w:p w14:paraId="3D204007">
            <w:pPr>
              <w:pStyle w:val="6"/>
            </w:pPr>
          </w:p>
        </w:tc>
        <w:tc>
          <w:tcPr>
            <w:tcW w:w="1930" w:type="dxa"/>
            <w:vAlign w:val="top"/>
          </w:tcPr>
          <w:p w14:paraId="61375815">
            <w:pPr>
              <w:spacing w:before="4" w:line="209" w:lineRule="auto"/>
              <w:ind w:left="20" w:right="122" w:hanging="14"/>
              <w:rPr>
                <w:rFonts w:ascii="宋体" w:hAnsi="宋体" w:eastAsia="宋体" w:cs="宋体"/>
                <w:sz w:val="18"/>
                <w:szCs w:val="18"/>
              </w:rPr>
            </w:pPr>
            <w:r>
              <w:rPr>
                <w:rFonts w:ascii="宋体" w:hAnsi="宋体" w:eastAsia="宋体" w:cs="宋体"/>
                <w:color w:val="212529"/>
                <w:spacing w:val="-1"/>
                <w:sz w:val="18"/>
                <w:szCs w:val="18"/>
              </w:rPr>
              <w:t>十八、援助其他地区支</w:t>
            </w:r>
            <w:r>
              <w:rPr>
                <w:rFonts w:ascii="宋体" w:hAnsi="宋体" w:eastAsia="宋体" w:cs="宋体"/>
                <w:color w:val="212529"/>
                <w:sz w:val="18"/>
                <w:szCs w:val="18"/>
              </w:rPr>
              <w:t xml:space="preserve"> 出</w:t>
            </w:r>
          </w:p>
        </w:tc>
        <w:tc>
          <w:tcPr>
            <w:tcW w:w="1079" w:type="dxa"/>
            <w:vAlign w:val="top"/>
          </w:tcPr>
          <w:p w14:paraId="3018DF35">
            <w:pPr>
              <w:pStyle w:val="6"/>
            </w:pPr>
          </w:p>
        </w:tc>
        <w:tc>
          <w:tcPr>
            <w:tcW w:w="1115" w:type="dxa"/>
            <w:vAlign w:val="top"/>
          </w:tcPr>
          <w:p w14:paraId="33B6D07A">
            <w:pPr>
              <w:pStyle w:val="6"/>
            </w:pPr>
          </w:p>
        </w:tc>
        <w:tc>
          <w:tcPr>
            <w:tcW w:w="863" w:type="dxa"/>
            <w:vAlign w:val="top"/>
          </w:tcPr>
          <w:p w14:paraId="164108D5">
            <w:pPr>
              <w:pStyle w:val="6"/>
            </w:pPr>
          </w:p>
        </w:tc>
        <w:tc>
          <w:tcPr>
            <w:tcW w:w="1109" w:type="dxa"/>
            <w:vAlign w:val="top"/>
          </w:tcPr>
          <w:p w14:paraId="7C3BA8D8">
            <w:pPr>
              <w:pStyle w:val="6"/>
            </w:pPr>
          </w:p>
        </w:tc>
      </w:tr>
      <w:tr w14:paraId="036AD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5707625">
            <w:pPr>
              <w:pStyle w:val="6"/>
            </w:pPr>
          </w:p>
        </w:tc>
        <w:tc>
          <w:tcPr>
            <w:tcW w:w="1079" w:type="dxa"/>
            <w:vAlign w:val="top"/>
          </w:tcPr>
          <w:p w14:paraId="66BA8EC0">
            <w:pPr>
              <w:pStyle w:val="6"/>
            </w:pPr>
          </w:p>
        </w:tc>
        <w:tc>
          <w:tcPr>
            <w:tcW w:w="1930" w:type="dxa"/>
            <w:vAlign w:val="top"/>
          </w:tcPr>
          <w:p w14:paraId="4FB8F4EF">
            <w:pPr>
              <w:spacing w:before="4" w:line="209" w:lineRule="auto"/>
              <w:ind w:left="11" w:right="122" w:hanging="5"/>
              <w:rPr>
                <w:rFonts w:ascii="宋体" w:hAnsi="宋体" w:eastAsia="宋体" w:cs="宋体"/>
                <w:sz w:val="18"/>
                <w:szCs w:val="18"/>
              </w:rPr>
            </w:pPr>
            <w:r>
              <w:rPr>
                <w:rFonts w:ascii="宋体" w:hAnsi="宋体" w:eastAsia="宋体" w:cs="宋体"/>
                <w:color w:val="212529"/>
                <w:spacing w:val="-5"/>
                <w:sz w:val="18"/>
                <w:szCs w:val="18"/>
              </w:rPr>
              <w:t>十九、</w:t>
            </w:r>
            <w:r>
              <w:rPr>
                <w:rFonts w:ascii="宋体" w:hAnsi="宋体" w:eastAsia="宋体" w:cs="宋体"/>
                <w:color w:val="212529"/>
                <w:spacing w:val="-50"/>
                <w:sz w:val="18"/>
                <w:szCs w:val="18"/>
              </w:rPr>
              <w:t xml:space="preserve"> </w:t>
            </w:r>
            <w:r>
              <w:rPr>
                <w:rFonts w:ascii="宋体" w:hAnsi="宋体" w:eastAsia="宋体" w:cs="宋体"/>
                <w:color w:val="212529"/>
                <w:spacing w:val="-5"/>
                <w:sz w:val="18"/>
                <w:szCs w:val="18"/>
              </w:rPr>
              <w:t>自然资源海洋气</w:t>
            </w:r>
            <w:r>
              <w:rPr>
                <w:rFonts w:ascii="宋体" w:hAnsi="宋体" w:eastAsia="宋体" w:cs="宋体"/>
                <w:color w:val="212529"/>
                <w:sz w:val="18"/>
                <w:szCs w:val="18"/>
              </w:rPr>
              <w:t xml:space="preserve"> </w:t>
            </w:r>
            <w:r>
              <w:rPr>
                <w:rFonts w:ascii="宋体" w:hAnsi="宋体" w:eastAsia="宋体" w:cs="宋体"/>
                <w:color w:val="212529"/>
                <w:spacing w:val="-4"/>
                <w:sz w:val="18"/>
                <w:szCs w:val="18"/>
              </w:rPr>
              <w:t>象等支出</w:t>
            </w:r>
          </w:p>
        </w:tc>
        <w:tc>
          <w:tcPr>
            <w:tcW w:w="1079" w:type="dxa"/>
            <w:vAlign w:val="top"/>
          </w:tcPr>
          <w:p w14:paraId="20133369">
            <w:pPr>
              <w:pStyle w:val="6"/>
            </w:pPr>
          </w:p>
        </w:tc>
        <w:tc>
          <w:tcPr>
            <w:tcW w:w="1115" w:type="dxa"/>
            <w:vAlign w:val="top"/>
          </w:tcPr>
          <w:p w14:paraId="0F0165CD">
            <w:pPr>
              <w:pStyle w:val="6"/>
            </w:pPr>
          </w:p>
        </w:tc>
        <w:tc>
          <w:tcPr>
            <w:tcW w:w="863" w:type="dxa"/>
            <w:vAlign w:val="top"/>
          </w:tcPr>
          <w:p w14:paraId="11A42489">
            <w:pPr>
              <w:pStyle w:val="6"/>
            </w:pPr>
          </w:p>
        </w:tc>
        <w:tc>
          <w:tcPr>
            <w:tcW w:w="1109" w:type="dxa"/>
            <w:vAlign w:val="top"/>
          </w:tcPr>
          <w:p w14:paraId="0E0C311D">
            <w:pPr>
              <w:pStyle w:val="6"/>
            </w:pPr>
          </w:p>
        </w:tc>
      </w:tr>
      <w:tr w14:paraId="6A61F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4BE868B6">
            <w:pPr>
              <w:pStyle w:val="6"/>
            </w:pPr>
          </w:p>
        </w:tc>
        <w:tc>
          <w:tcPr>
            <w:tcW w:w="1079" w:type="dxa"/>
            <w:vAlign w:val="top"/>
          </w:tcPr>
          <w:p w14:paraId="131B38F7">
            <w:pPr>
              <w:pStyle w:val="6"/>
            </w:pPr>
          </w:p>
        </w:tc>
        <w:tc>
          <w:tcPr>
            <w:tcW w:w="1930" w:type="dxa"/>
            <w:vAlign w:val="top"/>
          </w:tcPr>
          <w:p w14:paraId="10416522">
            <w:pPr>
              <w:spacing w:before="113" w:line="219" w:lineRule="auto"/>
              <w:ind w:left="8"/>
              <w:rPr>
                <w:rFonts w:ascii="宋体" w:hAnsi="宋体" w:eastAsia="宋体" w:cs="宋体"/>
                <w:sz w:val="18"/>
                <w:szCs w:val="18"/>
              </w:rPr>
            </w:pPr>
            <w:r>
              <w:rPr>
                <w:rFonts w:ascii="宋体" w:hAnsi="宋体" w:eastAsia="宋体" w:cs="宋体"/>
                <w:color w:val="212529"/>
                <w:spacing w:val="-2"/>
                <w:sz w:val="18"/>
                <w:szCs w:val="18"/>
              </w:rPr>
              <w:t>二十、住房保障支出</w:t>
            </w:r>
          </w:p>
        </w:tc>
        <w:tc>
          <w:tcPr>
            <w:tcW w:w="1079" w:type="dxa"/>
            <w:vAlign w:val="top"/>
          </w:tcPr>
          <w:p w14:paraId="058C2AE1">
            <w:pPr>
              <w:spacing w:before="140"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115" w:type="dxa"/>
            <w:vAlign w:val="top"/>
          </w:tcPr>
          <w:p w14:paraId="62145DA0">
            <w:pPr>
              <w:spacing w:before="140"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863" w:type="dxa"/>
            <w:vAlign w:val="top"/>
          </w:tcPr>
          <w:p w14:paraId="4A155F0F">
            <w:pPr>
              <w:pStyle w:val="6"/>
            </w:pPr>
          </w:p>
        </w:tc>
        <w:tc>
          <w:tcPr>
            <w:tcW w:w="1109" w:type="dxa"/>
            <w:vAlign w:val="top"/>
          </w:tcPr>
          <w:p w14:paraId="6FD19939">
            <w:pPr>
              <w:pStyle w:val="6"/>
            </w:pPr>
          </w:p>
        </w:tc>
      </w:tr>
      <w:tr w14:paraId="634E8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6063CC5C">
            <w:pPr>
              <w:pStyle w:val="6"/>
            </w:pPr>
          </w:p>
        </w:tc>
        <w:tc>
          <w:tcPr>
            <w:tcW w:w="1079" w:type="dxa"/>
            <w:vAlign w:val="top"/>
          </w:tcPr>
          <w:p w14:paraId="147E1D4B">
            <w:pPr>
              <w:pStyle w:val="6"/>
            </w:pPr>
          </w:p>
        </w:tc>
        <w:tc>
          <w:tcPr>
            <w:tcW w:w="1930" w:type="dxa"/>
            <w:vAlign w:val="top"/>
          </w:tcPr>
          <w:p w14:paraId="3760A7AC">
            <w:pPr>
              <w:spacing w:before="6" w:line="208" w:lineRule="auto"/>
              <w:ind w:left="6" w:right="122" w:firstLine="2"/>
              <w:rPr>
                <w:rFonts w:ascii="宋体" w:hAnsi="宋体" w:eastAsia="宋体" w:cs="宋体"/>
                <w:sz w:val="18"/>
                <w:szCs w:val="18"/>
              </w:rPr>
            </w:pPr>
            <w:r>
              <w:rPr>
                <w:rFonts w:ascii="宋体" w:hAnsi="宋体" w:eastAsia="宋体" w:cs="宋体"/>
                <w:color w:val="212529"/>
                <w:spacing w:val="-2"/>
                <w:sz w:val="18"/>
                <w:szCs w:val="18"/>
              </w:rPr>
              <w:t>二十一、粮油物资储备</w:t>
            </w:r>
            <w:r>
              <w:rPr>
                <w:rFonts w:ascii="宋体" w:hAnsi="宋体" w:eastAsia="宋体" w:cs="宋体"/>
                <w:color w:val="212529"/>
                <w:spacing w:val="8"/>
                <w:sz w:val="18"/>
                <w:szCs w:val="18"/>
              </w:rPr>
              <w:t xml:space="preserve"> </w:t>
            </w:r>
            <w:r>
              <w:rPr>
                <w:rFonts w:ascii="宋体" w:hAnsi="宋体" w:eastAsia="宋体" w:cs="宋体"/>
                <w:color w:val="212529"/>
                <w:spacing w:val="-5"/>
                <w:sz w:val="18"/>
                <w:szCs w:val="18"/>
              </w:rPr>
              <w:t>支出</w:t>
            </w:r>
          </w:p>
        </w:tc>
        <w:tc>
          <w:tcPr>
            <w:tcW w:w="1079" w:type="dxa"/>
            <w:vAlign w:val="top"/>
          </w:tcPr>
          <w:p w14:paraId="71D007E9">
            <w:pPr>
              <w:pStyle w:val="6"/>
            </w:pPr>
          </w:p>
        </w:tc>
        <w:tc>
          <w:tcPr>
            <w:tcW w:w="1115" w:type="dxa"/>
            <w:vAlign w:val="top"/>
          </w:tcPr>
          <w:p w14:paraId="7879ABE4">
            <w:pPr>
              <w:pStyle w:val="6"/>
            </w:pPr>
          </w:p>
        </w:tc>
        <w:tc>
          <w:tcPr>
            <w:tcW w:w="863" w:type="dxa"/>
            <w:vAlign w:val="top"/>
          </w:tcPr>
          <w:p w14:paraId="2390C88B">
            <w:pPr>
              <w:pStyle w:val="6"/>
            </w:pPr>
          </w:p>
        </w:tc>
        <w:tc>
          <w:tcPr>
            <w:tcW w:w="1109" w:type="dxa"/>
            <w:vAlign w:val="top"/>
          </w:tcPr>
          <w:p w14:paraId="19008A71">
            <w:pPr>
              <w:pStyle w:val="6"/>
            </w:pPr>
          </w:p>
        </w:tc>
      </w:tr>
      <w:tr w14:paraId="24FE6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652DE804">
            <w:pPr>
              <w:pStyle w:val="6"/>
            </w:pPr>
          </w:p>
        </w:tc>
        <w:tc>
          <w:tcPr>
            <w:tcW w:w="1079" w:type="dxa"/>
            <w:vAlign w:val="top"/>
          </w:tcPr>
          <w:p w14:paraId="0617ADEC">
            <w:pPr>
              <w:pStyle w:val="6"/>
            </w:pPr>
          </w:p>
        </w:tc>
        <w:tc>
          <w:tcPr>
            <w:tcW w:w="1930" w:type="dxa"/>
            <w:vAlign w:val="top"/>
          </w:tcPr>
          <w:p w14:paraId="386A2093">
            <w:pPr>
              <w:spacing w:before="6" w:line="208" w:lineRule="auto"/>
              <w:ind w:left="7" w:right="122" w:firstLine="1"/>
              <w:rPr>
                <w:rFonts w:ascii="宋体" w:hAnsi="宋体" w:eastAsia="宋体" w:cs="宋体"/>
                <w:sz w:val="18"/>
                <w:szCs w:val="18"/>
              </w:rPr>
            </w:pPr>
            <w:r>
              <w:rPr>
                <w:rFonts w:ascii="宋体" w:hAnsi="宋体" w:eastAsia="宋体" w:cs="宋体"/>
                <w:color w:val="212529"/>
                <w:spacing w:val="-2"/>
                <w:sz w:val="18"/>
                <w:szCs w:val="18"/>
              </w:rPr>
              <w:t>二十二、国有资本经营</w:t>
            </w:r>
            <w:r>
              <w:rPr>
                <w:rFonts w:ascii="宋体" w:hAnsi="宋体" w:eastAsia="宋体" w:cs="宋体"/>
                <w:color w:val="212529"/>
                <w:spacing w:val="8"/>
                <w:sz w:val="18"/>
                <w:szCs w:val="18"/>
              </w:rPr>
              <w:t xml:space="preserve"> </w:t>
            </w:r>
            <w:r>
              <w:rPr>
                <w:rFonts w:ascii="宋体" w:hAnsi="宋体" w:eastAsia="宋体" w:cs="宋体"/>
                <w:color w:val="212529"/>
                <w:spacing w:val="-3"/>
                <w:sz w:val="18"/>
                <w:szCs w:val="18"/>
              </w:rPr>
              <w:t>预算支出</w:t>
            </w:r>
          </w:p>
        </w:tc>
        <w:tc>
          <w:tcPr>
            <w:tcW w:w="1079" w:type="dxa"/>
            <w:vAlign w:val="top"/>
          </w:tcPr>
          <w:p w14:paraId="12463995">
            <w:pPr>
              <w:pStyle w:val="6"/>
            </w:pPr>
          </w:p>
        </w:tc>
        <w:tc>
          <w:tcPr>
            <w:tcW w:w="1115" w:type="dxa"/>
            <w:vAlign w:val="top"/>
          </w:tcPr>
          <w:p w14:paraId="1571BB40">
            <w:pPr>
              <w:pStyle w:val="6"/>
            </w:pPr>
          </w:p>
        </w:tc>
        <w:tc>
          <w:tcPr>
            <w:tcW w:w="863" w:type="dxa"/>
            <w:vAlign w:val="top"/>
          </w:tcPr>
          <w:p w14:paraId="0741712B">
            <w:pPr>
              <w:pStyle w:val="6"/>
            </w:pPr>
          </w:p>
        </w:tc>
        <w:tc>
          <w:tcPr>
            <w:tcW w:w="1109" w:type="dxa"/>
            <w:vAlign w:val="top"/>
          </w:tcPr>
          <w:p w14:paraId="69D42479">
            <w:pPr>
              <w:pStyle w:val="6"/>
            </w:pPr>
          </w:p>
        </w:tc>
      </w:tr>
      <w:tr w14:paraId="7FC4E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6CA1760C">
            <w:pPr>
              <w:pStyle w:val="6"/>
            </w:pPr>
          </w:p>
        </w:tc>
        <w:tc>
          <w:tcPr>
            <w:tcW w:w="1079" w:type="dxa"/>
            <w:vAlign w:val="top"/>
          </w:tcPr>
          <w:p w14:paraId="76E42D8F">
            <w:pPr>
              <w:pStyle w:val="6"/>
            </w:pPr>
          </w:p>
        </w:tc>
        <w:tc>
          <w:tcPr>
            <w:tcW w:w="1930" w:type="dxa"/>
            <w:vAlign w:val="top"/>
          </w:tcPr>
          <w:p w14:paraId="5C9D977D">
            <w:pPr>
              <w:spacing w:before="6" w:line="208" w:lineRule="auto"/>
              <w:ind w:left="10" w:right="122" w:hanging="2"/>
              <w:rPr>
                <w:rFonts w:ascii="宋体" w:hAnsi="宋体" w:eastAsia="宋体" w:cs="宋体"/>
                <w:sz w:val="18"/>
                <w:szCs w:val="18"/>
              </w:rPr>
            </w:pPr>
            <w:r>
              <w:rPr>
                <w:rFonts w:ascii="宋体" w:hAnsi="宋体" w:eastAsia="宋体" w:cs="宋体"/>
                <w:color w:val="212529"/>
                <w:spacing w:val="-2"/>
                <w:sz w:val="18"/>
                <w:szCs w:val="18"/>
              </w:rPr>
              <w:t>二十三、灾害防治及应</w:t>
            </w:r>
            <w:r>
              <w:rPr>
                <w:rFonts w:ascii="宋体" w:hAnsi="宋体" w:eastAsia="宋体" w:cs="宋体"/>
                <w:color w:val="212529"/>
                <w:spacing w:val="8"/>
                <w:sz w:val="18"/>
                <w:szCs w:val="18"/>
              </w:rPr>
              <w:t xml:space="preserve"> </w:t>
            </w:r>
            <w:r>
              <w:rPr>
                <w:rFonts w:ascii="宋体" w:hAnsi="宋体" w:eastAsia="宋体" w:cs="宋体"/>
                <w:color w:val="212529"/>
                <w:spacing w:val="-3"/>
                <w:sz w:val="18"/>
                <w:szCs w:val="18"/>
              </w:rPr>
              <w:t>急管理支出</w:t>
            </w:r>
          </w:p>
        </w:tc>
        <w:tc>
          <w:tcPr>
            <w:tcW w:w="1079" w:type="dxa"/>
            <w:vAlign w:val="top"/>
          </w:tcPr>
          <w:p w14:paraId="500186EA">
            <w:pPr>
              <w:pStyle w:val="6"/>
            </w:pPr>
          </w:p>
        </w:tc>
        <w:tc>
          <w:tcPr>
            <w:tcW w:w="1115" w:type="dxa"/>
            <w:vAlign w:val="top"/>
          </w:tcPr>
          <w:p w14:paraId="6EB91A52">
            <w:pPr>
              <w:pStyle w:val="6"/>
            </w:pPr>
          </w:p>
        </w:tc>
        <w:tc>
          <w:tcPr>
            <w:tcW w:w="863" w:type="dxa"/>
            <w:vAlign w:val="top"/>
          </w:tcPr>
          <w:p w14:paraId="7EB495B7">
            <w:pPr>
              <w:pStyle w:val="6"/>
            </w:pPr>
          </w:p>
        </w:tc>
        <w:tc>
          <w:tcPr>
            <w:tcW w:w="1109" w:type="dxa"/>
            <w:vAlign w:val="top"/>
          </w:tcPr>
          <w:p w14:paraId="1389713B">
            <w:pPr>
              <w:pStyle w:val="6"/>
            </w:pPr>
          </w:p>
        </w:tc>
      </w:tr>
      <w:tr w14:paraId="784A07EF">
        <w:tblPrEx>
          <w:tblCellMar>
            <w:top w:w="0" w:type="dxa"/>
            <w:left w:w="0" w:type="dxa"/>
            <w:bottom w:w="0" w:type="dxa"/>
            <w:right w:w="0" w:type="dxa"/>
          </w:tblCellMar>
        </w:tblPrEx>
        <w:trPr>
          <w:trHeight w:val="422" w:hRule="atLeast"/>
        </w:trPr>
        <w:tc>
          <w:tcPr>
            <w:tcW w:w="1841" w:type="dxa"/>
            <w:vAlign w:val="top"/>
          </w:tcPr>
          <w:p w14:paraId="7ECB1847">
            <w:pPr>
              <w:pStyle w:val="6"/>
            </w:pPr>
          </w:p>
        </w:tc>
        <w:tc>
          <w:tcPr>
            <w:tcW w:w="1079" w:type="dxa"/>
            <w:vAlign w:val="top"/>
          </w:tcPr>
          <w:p w14:paraId="4437D329">
            <w:pPr>
              <w:pStyle w:val="6"/>
            </w:pPr>
          </w:p>
        </w:tc>
        <w:tc>
          <w:tcPr>
            <w:tcW w:w="1930" w:type="dxa"/>
            <w:vAlign w:val="top"/>
          </w:tcPr>
          <w:p w14:paraId="1AA5A0C5">
            <w:pPr>
              <w:spacing w:before="114" w:line="220" w:lineRule="auto"/>
              <w:ind w:left="8"/>
              <w:rPr>
                <w:rFonts w:ascii="宋体" w:hAnsi="宋体" w:eastAsia="宋体" w:cs="宋体"/>
                <w:sz w:val="18"/>
                <w:szCs w:val="18"/>
              </w:rPr>
            </w:pPr>
            <w:r>
              <w:rPr>
                <w:rFonts w:ascii="宋体" w:hAnsi="宋体" w:eastAsia="宋体" w:cs="宋体"/>
                <w:color w:val="212529"/>
                <w:spacing w:val="-2"/>
                <w:sz w:val="18"/>
                <w:szCs w:val="18"/>
              </w:rPr>
              <w:t>二十四、预备费</w:t>
            </w:r>
          </w:p>
        </w:tc>
        <w:tc>
          <w:tcPr>
            <w:tcW w:w="1079" w:type="dxa"/>
            <w:vAlign w:val="top"/>
          </w:tcPr>
          <w:p w14:paraId="356BB4D3">
            <w:pPr>
              <w:pStyle w:val="6"/>
            </w:pPr>
          </w:p>
        </w:tc>
        <w:tc>
          <w:tcPr>
            <w:tcW w:w="1115" w:type="dxa"/>
            <w:vAlign w:val="top"/>
          </w:tcPr>
          <w:p w14:paraId="16B183BD">
            <w:pPr>
              <w:pStyle w:val="6"/>
            </w:pPr>
          </w:p>
        </w:tc>
        <w:tc>
          <w:tcPr>
            <w:tcW w:w="863" w:type="dxa"/>
            <w:vAlign w:val="top"/>
          </w:tcPr>
          <w:p w14:paraId="0317A2F3">
            <w:pPr>
              <w:pStyle w:val="6"/>
            </w:pPr>
          </w:p>
        </w:tc>
        <w:tc>
          <w:tcPr>
            <w:tcW w:w="1109" w:type="dxa"/>
            <w:vAlign w:val="top"/>
          </w:tcPr>
          <w:p w14:paraId="780FA48E">
            <w:pPr>
              <w:pStyle w:val="6"/>
            </w:pPr>
          </w:p>
        </w:tc>
      </w:tr>
      <w:tr w14:paraId="65702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42A131EC">
            <w:pPr>
              <w:pStyle w:val="6"/>
            </w:pPr>
          </w:p>
        </w:tc>
        <w:tc>
          <w:tcPr>
            <w:tcW w:w="1079" w:type="dxa"/>
            <w:vAlign w:val="top"/>
          </w:tcPr>
          <w:p w14:paraId="210F8AFC">
            <w:pPr>
              <w:pStyle w:val="6"/>
            </w:pPr>
          </w:p>
        </w:tc>
        <w:tc>
          <w:tcPr>
            <w:tcW w:w="1930" w:type="dxa"/>
            <w:vAlign w:val="top"/>
          </w:tcPr>
          <w:p w14:paraId="590BB0A6">
            <w:pPr>
              <w:spacing w:before="114" w:line="220" w:lineRule="auto"/>
              <w:ind w:left="8"/>
              <w:rPr>
                <w:rFonts w:ascii="宋体" w:hAnsi="宋体" w:eastAsia="宋体" w:cs="宋体"/>
                <w:sz w:val="18"/>
                <w:szCs w:val="18"/>
              </w:rPr>
            </w:pPr>
            <w:r>
              <w:rPr>
                <w:rFonts w:ascii="宋体" w:hAnsi="宋体" w:eastAsia="宋体" w:cs="宋体"/>
                <w:color w:val="212529"/>
                <w:spacing w:val="-2"/>
                <w:sz w:val="18"/>
                <w:szCs w:val="18"/>
              </w:rPr>
              <w:t>二十五、其他支出</w:t>
            </w:r>
          </w:p>
        </w:tc>
        <w:tc>
          <w:tcPr>
            <w:tcW w:w="1079" w:type="dxa"/>
            <w:vAlign w:val="top"/>
          </w:tcPr>
          <w:p w14:paraId="55AD5E0F">
            <w:pPr>
              <w:pStyle w:val="6"/>
            </w:pPr>
          </w:p>
        </w:tc>
        <w:tc>
          <w:tcPr>
            <w:tcW w:w="1115" w:type="dxa"/>
            <w:vAlign w:val="top"/>
          </w:tcPr>
          <w:p w14:paraId="149B126D">
            <w:pPr>
              <w:pStyle w:val="6"/>
            </w:pPr>
          </w:p>
        </w:tc>
        <w:tc>
          <w:tcPr>
            <w:tcW w:w="863" w:type="dxa"/>
            <w:vAlign w:val="top"/>
          </w:tcPr>
          <w:p w14:paraId="5E43C199">
            <w:pPr>
              <w:pStyle w:val="6"/>
            </w:pPr>
          </w:p>
        </w:tc>
        <w:tc>
          <w:tcPr>
            <w:tcW w:w="1109" w:type="dxa"/>
            <w:vAlign w:val="top"/>
          </w:tcPr>
          <w:p w14:paraId="6F1CBB55">
            <w:pPr>
              <w:pStyle w:val="6"/>
            </w:pPr>
          </w:p>
        </w:tc>
      </w:tr>
      <w:tr w14:paraId="63609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3799239F">
            <w:pPr>
              <w:pStyle w:val="6"/>
            </w:pPr>
          </w:p>
        </w:tc>
        <w:tc>
          <w:tcPr>
            <w:tcW w:w="1079" w:type="dxa"/>
            <w:vAlign w:val="top"/>
          </w:tcPr>
          <w:p w14:paraId="29B89D06">
            <w:pPr>
              <w:pStyle w:val="6"/>
            </w:pPr>
          </w:p>
        </w:tc>
        <w:tc>
          <w:tcPr>
            <w:tcW w:w="1930" w:type="dxa"/>
            <w:vAlign w:val="top"/>
          </w:tcPr>
          <w:p w14:paraId="17222295">
            <w:pPr>
              <w:spacing w:before="114" w:line="220" w:lineRule="auto"/>
              <w:ind w:left="8"/>
              <w:rPr>
                <w:rFonts w:ascii="宋体" w:hAnsi="宋体" w:eastAsia="宋体" w:cs="宋体"/>
                <w:sz w:val="18"/>
                <w:szCs w:val="18"/>
              </w:rPr>
            </w:pPr>
            <w:r>
              <w:rPr>
                <w:rFonts w:ascii="宋体" w:hAnsi="宋体" w:eastAsia="宋体" w:cs="宋体"/>
                <w:color w:val="212529"/>
                <w:spacing w:val="-2"/>
                <w:sz w:val="18"/>
                <w:szCs w:val="18"/>
              </w:rPr>
              <w:t>二十六、转移性支出</w:t>
            </w:r>
          </w:p>
        </w:tc>
        <w:tc>
          <w:tcPr>
            <w:tcW w:w="1079" w:type="dxa"/>
            <w:vAlign w:val="top"/>
          </w:tcPr>
          <w:p w14:paraId="7C5B8E9E">
            <w:pPr>
              <w:pStyle w:val="6"/>
            </w:pPr>
          </w:p>
        </w:tc>
        <w:tc>
          <w:tcPr>
            <w:tcW w:w="1115" w:type="dxa"/>
            <w:vAlign w:val="top"/>
          </w:tcPr>
          <w:p w14:paraId="7EB82EB5">
            <w:pPr>
              <w:pStyle w:val="6"/>
            </w:pPr>
          </w:p>
        </w:tc>
        <w:tc>
          <w:tcPr>
            <w:tcW w:w="863" w:type="dxa"/>
            <w:vAlign w:val="top"/>
          </w:tcPr>
          <w:p w14:paraId="2B44A7AB">
            <w:pPr>
              <w:pStyle w:val="6"/>
            </w:pPr>
          </w:p>
        </w:tc>
        <w:tc>
          <w:tcPr>
            <w:tcW w:w="1109" w:type="dxa"/>
            <w:vAlign w:val="top"/>
          </w:tcPr>
          <w:p w14:paraId="5B870B8A">
            <w:pPr>
              <w:pStyle w:val="6"/>
            </w:pPr>
          </w:p>
        </w:tc>
      </w:tr>
      <w:tr w14:paraId="05B0B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5CB6343A">
            <w:pPr>
              <w:pStyle w:val="6"/>
            </w:pPr>
          </w:p>
        </w:tc>
        <w:tc>
          <w:tcPr>
            <w:tcW w:w="1079" w:type="dxa"/>
            <w:vAlign w:val="top"/>
          </w:tcPr>
          <w:p w14:paraId="7BD1201C">
            <w:pPr>
              <w:pStyle w:val="6"/>
            </w:pPr>
          </w:p>
        </w:tc>
        <w:tc>
          <w:tcPr>
            <w:tcW w:w="1930" w:type="dxa"/>
            <w:vAlign w:val="top"/>
          </w:tcPr>
          <w:p w14:paraId="393805BF">
            <w:pPr>
              <w:spacing w:before="113" w:line="219" w:lineRule="auto"/>
              <w:ind w:left="8"/>
              <w:rPr>
                <w:rFonts w:ascii="宋体" w:hAnsi="宋体" w:eastAsia="宋体" w:cs="宋体"/>
                <w:sz w:val="18"/>
                <w:szCs w:val="18"/>
              </w:rPr>
            </w:pPr>
            <w:r>
              <w:rPr>
                <w:rFonts w:ascii="宋体" w:hAnsi="宋体" w:eastAsia="宋体" w:cs="宋体"/>
                <w:color w:val="212529"/>
                <w:spacing w:val="-2"/>
                <w:sz w:val="18"/>
                <w:szCs w:val="18"/>
              </w:rPr>
              <w:t>二十七、债务还本支出</w:t>
            </w:r>
          </w:p>
        </w:tc>
        <w:tc>
          <w:tcPr>
            <w:tcW w:w="1079" w:type="dxa"/>
            <w:vAlign w:val="top"/>
          </w:tcPr>
          <w:p w14:paraId="30F04353">
            <w:pPr>
              <w:pStyle w:val="6"/>
            </w:pPr>
          </w:p>
        </w:tc>
        <w:tc>
          <w:tcPr>
            <w:tcW w:w="1115" w:type="dxa"/>
            <w:vAlign w:val="top"/>
          </w:tcPr>
          <w:p w14:paraId="38A081F2">
            <w:pPr>
              <w:pStyle w:val="6"/>
            </w:pPr>
          </w:p>
        </w:tc>
        <w:tc>
          <w:tcPr>
            <w:tcW w:w="863" w:type="dxa"/>
            <w:vAlign w:val="top"/>
          </w:tcPr>
          <w:p w14:paraId="0746BEFC">
            <w:pPr>
              <w:pStyle w:val="6"/>
            </w:pPr>
          </w:p>
        </w:tc>
        <w:tc>
          <w:tcPr>
            <w:tcW w:w="1109" w:type="dxa"/>
            <w:vAlign w:val="top"/>
          </w:tcPr>
          <w:p w14:paraId="2DD418BB">
            <w:pPr>
              <w:pStyle w:val="6"/>
            </w:pPr>
          </w:p>
        </w:tc>
      </w:tr>
      <w:tr w14:paraId="06633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841" w:type="dxa"/>
            <w:vAlign w:val="top"/>
          </w:tcPr>
          <w:p w14:paraId="62E9F838">
            <w:pPr>
              <w:pStyle w:val="6"/>
            </w:pPr>
          </w:p>
        </w:tc>
        <w:tc>
          <w:tcPr>
            <w:tcW w:w="1079" w:type="dxa"/>
            <w:vAlign w:val="top"/>
          </w:tcPr>
          <w:p w14:paraId="5A9C7BBB">
            <w:pPr>
              <w:pStyle w:val="6"/>
            </w:pPr>
          </w:p>
        </w:tc>
        <w:tc>
          <w:tcPr>
            <w:tcW w:w="1930" w:type="dxa"/>
            <w:vAlign w:val="top"/>
          </w:tcPr>
          <w:p w14:paraId="4008C0F1">
            <w:pPr>
              <w:spacing w:before="114" w:line="219" w:lineRule="auto"/>
              <w:ind w:left="8"/>
              <w:rPr>
                <w:rFonts w:ascii="宋体" w:hAnsi="宋体" w:eastAsia="宋体" w:cs="宋体"/>
                <w:sz w:val="18"/>
                <w:szCs w:val="18"/>
              </w:rPr>
            </w:pPr>
            <w:r>
              <w:rPr>
                <w:rFonts w:ascii="宋体" w:hAnsi="宋体" w:eastAsia="宋体" w:cs="宋体"/>
                <w:color w:val="212529"/>
                <w:spacing w:val="-2"/>
                <w:sz w:val="18"/>
                <w:szCs w:val="18"/>
              </w:rPr>
              <w:t>二十八、债务付息支出</w:t>
            </w:r>
          </w:p>
        </w:tc>
        <w:tc>
          <w:tcPr>
            <w:tcW w:w="1079" w:type="dxa"/>
            <w:vAlign w:val="top"/>
          </w:tcPr>
          <w:p w14:paraId="06F8BB4D">
            <w:pPr>
              <w:pStyle w:val="6"/>
            </w:pPr>
          </w:p>
        </w:tc>
        <w:tc>
          <w:tcPr>
            <w:tcW w:w="1115" w:type="dxa"/>
            <w:vAlign w:val="top"/>
          </w:tcPr>
          <w:p w14:paraId="0C9C72FF">
            <w:pPr>
              <w:pStyle w:val="6"/>
            </w:pPr>
          </w:p>
        </w:tc>
        <w:tc>
          <w:tcPr>
            <w:tcW w:w="863" w:type="dxa"/>
            <w:vAlign w:val="top"/>
          </w:tcPr>
          <w:p w14:paraId="047006E7">
            <w:pPr>
              <w:pStyle w:val="6"/>
            </w:pPr>
          </w:p>
        </w:tc>
        <w:tc>
          <w:tcPr>
            <w:tcW w:w="1109" w:type="dxa"/>
            <w:vAlign w:val="top"/>
          </w:tcPr>
          <w:p w14:paraId="636D96B6">
            <w:pPr>
              <w:pStyle w:val="6"/>
            </w:pPr>
          </w:p>
        </w:tc>
      </w:tr>
    </w:tbl>
    <w:p w14:paraId="7287F4A3">
      <w:pPr>
        <w:rPr>
          <w:rFonts w:ascii="Arial"/>
          <w:sz w:val="21"/>
        </w:rPr>
      </w:pPr>
    </w:p>
    <w:p w14:paraId="16B0E626">
      <w:pPr>
        <w:rPr>
          <w:rFonts w:ascii="Arial" w:hAnsi="Arial" w:eastAsia="Arial" w:cs="Arial"/>
          <w:sz w:val="21"/>
          <w:szCs w:val="21"/>
        </w:rPr>
        <w:sectPr>
          <w:footerReference r:id="rId15" w:type="default"/>
          <w:pgSz w:w="11900" w:h="16840"/>
          <w:pgMar w:top="610" w:right="600" w:bottom="312" w:left="600" w:header="357" w:footer="153" w:gutter="0"/>
          <w:cols w:space="720" w:num="1"/>
        </w:sectPr>
      </w:pPr>
    </w:p>
    <w:p w14:paraId="671FB071">
      <w:pPr>
        <w:spacing w:before="108"/>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1079"/>
        <w:gridCol w:w="1930"/>
        <w:gridCol w:w="1079"/>
        <w:gridCol w:w="1115"/>
        <w:gridCol w:w="863"/>
        <w:gridCol w:w="1109"/>
      </w:tblGrid>
      <w:tr w14:paraId="75DD4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841" w:type="dxa"/>
            <w:vAlign w:val="top"/>
          </w:tcPr>
          <w:p w14:paraId="31BE09EA">
            <w:pPr>
              <w:pStyle w:val="6"/>
            </w:pPr>
          </w:p>
        </w:tc>
        <w:tc>
          <w:tcPr>
            <w:tcW w:w="1079" w:type="dxa"/>
            <w:vAlign w:val="top"/>
          </w:tcPr>
          <w:p w14:paraId="5A470B04">
            <w:pPr>
              <w:pStyle w:val="6"/>
            </w:pPr>
          </w:p>
        </w:tc>
        <w:tc>
          <w:tcPr>
            <w:tcW w:w="1930" w:type="dxa"/>
            <w:vAlign w:val="top"/>
          </w:tcPr>
          <w:p w14:paraId="7B4E0F73">
            <w:pPr>
              <w:spacing w:before="3" w:line="212" w:lineRule="auto"/>
              <w:ind w:left="6" w:right="122" w:firstLine="2"/>
              <w:rPr>
                <w:rFonts w:ascii="宋体" w:hAnsi="宋体" w:eastAsia="宋体" w:cs="宋体"/>
                <w:sz w:val="18"/>
                <w:szCs w:val="18"/>
              </w:rPr>
            </w:pPr>
            <w:r>
              <w:rPr>
                <w:rFonts w:ascii="宋体" w:hAnsi="宋体" w:eastAsia="宋体" w:cs="宋体"/>
                <w:color w:val="212529"/>
                <w:spacing w:val="-2"/>
                <w:sz w:val="18"/>
                <w:szCs w:val="18"/>
              </w:rPr>
              <w:t>二十九、债务发行费用</w:t>
            </w:r>
            <w:r>
              <w:rPr>
                <w:rFonts w:ascii="宋体" w:hAnsi="宋体" w:eastAsia="宋体" w:cs="宋体"/>
                <w:color w:val="212529"/>
                <w:spacing w:val="8"/>
                <w:sz w:val="18"/>
                <w:szCs w:val="18"/>
              </w:rPr>
              <w:t xml:space="preserve"> </w:t>
            </w:r>
            <w:r>
              <w:rPr>
                <w:rFonts w:ascii="宋体" w:hAnsi="宋体" w:eastAsia="宋体" w:cs="宋体"/>
                <w:color w:val="212529"/>
                <w:spacing w:val="-5"/>
                <w:sz w:val="18"/>
                <w:szCs w:val="18"/>
              </w:rPr>
              <w:t>支出</w:t>
            </w:r>
          </w:p>
        </w:tc>
        <w:tc>
          <w:tcPr>
            <w:tcW w:w="1079" w:type="dxa"/>
            <w:vAlign w:val="top"/>
          </w:tcPr>
          <w:p w14:paraId="328AD4FF">
            <w:pPr>
              <w:pStyle w:val="6"/>
            </w:pPr>
          </w:p>
        </w:tc>
        <w:tc>
          <w:tcPr>
            <w:tcW w:w="1115" w:type="dxa"/>
            <w:vAlign w:val="top"/>
          </w:tcPr>
          <w:p w14:paraId="601FE027">
            <w:pPr>
              <w:pStyle w:val="6"/>
            </w:pPr>
          </w:p>
        </w:tc>
        <w:tc>
          <w:tcPr>
            <w:tcW w:w="863" w:type="dxa"/>
            <w:vAlign w:val="top"/>
          </w:tcPr>
          <w:p w14:paraId="527C694E">
            <w:pPr>
              <w:pStyle w:val="6"/>
            </w:pPr>
          </w:p>
        </w:tc>
        <w:tc>
          <w:tcPr>
            <w:tcW w:w="1109" w:type="dxa"/>
            <w:vAlign w:val="top"/>
          </w:tcPr>
          <w:p w14:paraId="14C6572F">
            <w:pPr>
              <w:pStyle w:val="6"/>
            </w:pPr>
          </w:p>
        </w:tc>
      </w:tr>
      <w:tr w14:paraId="0BE5E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45BEEFBA">
            <w:pPr>
              <w:pStyle w:val="6"/>
            </w:pPr>
          </w:p>
        </w:tc>
        <w:tc>
          <w:tcPr>
            <w:tcW w:w="1079" w:type="dxa"/>
            <w:vAlign w:val="top"/>
          </w:tcPr>
          <w:p w14:paraId="698305F6">
            <w:pPr>
              <w:pStyle w:val="6"/>
            </w:pPr>
          </w:p>
        </w:tc>
        <w:tc>
          <w:tcPr>
            <w:tcW w:w="1930" w:type="dxa"/>
            <w:vAlign w:val="top"/>
          </w:tcPr>
          <w:p w14:paraId="1B3A5BEE">
            <w:pPr>
              <w:spacing w:before="1" w:line="210" w:lineRule="auto"/>
              <w:ind w:left="5" w:right="122"/>
              <w:rPr>
                <w:rFonts w:ascii="宋体" w:hAnsi="宋体" w:eastAsia="宋体" w:cs="宋体"/>
                <w:sz w:val="18"/>
                <w:szCs w:val="18"/>
              </w:rPr>
            </w:pPr>
            <w:r>
              <w:rPr>
                <w:rFonts w:ascii="宋体" w:hAnsi="宋体" w:eastAsia="宋体" w:cs="宋体"/>
                <w:color w:val="212529"/>
                <w:spacing w:val="-1"/>
                <w:sz w:val="18"/>
                <w:szCs w:val="18"/>
              </w:rPr>
              <w:t>三十、抗疫特别国债安</w:t>
            </w:r>
            <w:r>
              <w:rPr>
                <w:rFonts w:ascii="宋体" w:hAnsi="宋体" w:eastAsia="宋体" w:cs="宋体"/>
                <w:color w:val="212529"/>
                <w:spacing w:val="1"/>
                <w:sz w:val="18"/>
                <w:szCs w:val="18"/>
              </w:rPr>
              <w:t xml:space="preserve"> </w:t>
            </w:r>
            <w:r>
              <w:rPr>
                <w:rFonts w:ascii="宋体" w:hAnsi="宋体" w:eastAsia="宋体" w:cs="宋体"/>
                <w:color w:val="212529"/>
                <w:spacing w:val="-3"/>
                <w:sz w:val="18"/>
                <w:szCs w:val="18"/>
              </w:rPr>
              <w:t>排的支出</w:t>
            </w:r>
          </w:p>
        </w:tc>
        <w:tc>
          <w:tcPr>
            <w:tcW w:w="1079" w:type="dxa"/>
            <w:vAlign w:val="top"/>
          </w:tcPr>
          <w:p w14:paraId="0DDA40EC">
            <w:pPr>
              <w:pStyle w:val="6"/>
            </w:pPr>
          </w:p>
        </w:tc>
        <w:tc>
          <w:tcPr>
            <w:tcW w:w="1115" w:type="dxa"/>
            <w:vAlign w:val="top"/>
          </w:tcPr>
          <w:p w14:paraId="41FA6306">
            <w:pPr>
              <w:pStyle w:val="6"/>
            </w:pPr>
          </w:p>
        </w:tc>
        <w:tc>
          <w:tcPr>
            <w:tcW w:w="863" w:type="dxa"/>
            <w:vAlign w:val="top"/>
          </w:tcPr>
          <w:p w14:paraId="05B21D3B">
            <w:pPr>
              <w:pStyle w:val="6"/>
            </w:pPr>
          </w:p>
        </w:tc>
        <w:tc>
          <w:tcPr>
            <w:tcW w:w="1109" w:type="dxa"/>
            <w:vAlign w:val="top"/>
          </w:tcPr>
          <w:p w14:paraId="33D510F1">
            <w:pPr>
              <w:pStyle w:val="6"/>
            </w:pPr>
          </w:p>
        </w:tc>
      </w:tr>
      <w:tr w14:paraId="0DEA8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7110469C">
            <w:pPr>
              <w:pStyle w:val="6"/>
            </w:pPr>
          </w:p>
        </w:tc>
        <w:tc>
          <w:tcPr>
            <w:tcW w:w="1079" w:type="dxa"/>
            <w:vAlign w:val="top"/>
          </w:tcPr>
          <w:p w14:paraId="20C0107E">
            <w:pPr>
              <w:pStyle w:val="6"/>
            </w:pPr>
          </w:p>
        </w:tc>
        <w:tc>
          <w:tcPr>
            <w:tcW w:w="1930" w:type="dxa"/>
            <w:vAlign w:val="top"/>
          </w:tcPr>
          <w:p w14:paraId="46749805">
            <w:pPr>
              <w:pStyle w:val="6"/>
            </w:pPr>
          </w:p>
        </w:tc>
        <w:tc>
          <w:tcPr>
            <w:tcW w:w="1079" w:type="dxa"/>
            <w:vAlign w:val="top"/>
          </w:tcPr>
          <w:p w14:paraId="665448C5">
            <w:pPr>
              <w:pStyle w:val="6"/>
            </w:pPr>
          </w:p>
        </w:tc>
        <w:tc>
          <w:tcPr>
            <w:tcW w:w="1115" w:type="dxa"/>
            <w:vAlign w:val="top"/>
          </w:tcPr>
          <w:p w14:paraId="2F4A6B3B">
            <w:pPr>
              <w:pStyle w:val="6"/>
            </w:pPr>
          </w:p>
        </w:tc>
        <w:tc>
          <w:tcPr>
            <w:tcW w:w="863" w:type="dxa"/>
            <w:vAlign w:val="top"/>
          </w:tcPr>
          <w:p w14:paraId="53979BC2">
            <w:pPr>
              <w:pStyle w:val="6"/>
            </w:pPr>
          </w:p>
        </w:tc>
        <w:tc>
          <w:tcPr>
            <w:tcW w:w="1109" w:type="dxa"/>
            <w:vAlign w:val="top"/>
          </w:tcPr>
          <w:p w14:paraId="1839F232">
            <w:pPr>
              <w:pStyle w:val="6"/>
            </w:pPr>
          </w:p>
        </w:tc>
      </w:tr>
      <w:tr w14:paraId="41647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5CA968FD">
            <w:pPr>
              <w:spacing w:before="108" w:line="219" w:lineRule="auto"/>
              <w:ind w:left="375"/>
              <w:rPr>
                <w:rFonts w:ascii="宋体" w:hAnsi="宋体" w:eastAsia="宋体" w:cs="宋体"/>
                <w:sz w:val="18"/>
                <w:szCs w:val="18"/>
              </w:rPr>
            </w:pPr>
            <w:bookmarkStart w:id="48" w:name="bookmark41"/>
            <w:bookmarkEnd w:id="48"/>
            <w:r>
              <w:rPr>
                <w:rFonts w:ascii="宋体" w:hAnsi="宋体" w:eastAsia="宋体" w:cs="宋体"/>
                <w:color w:val="212529"/>
                <w:spacing w:val="-2"/>
                <w:sz w:val="18"/>
                <w:szCs w:val="18"/>
              </w:rPr>
              <w:t>本年收入合计</w:t>
            </w:r>
          </w:p>
        </w:tc>
        <w:tc>
          <w:tcPr>
            <w:tcW w:w="1079" w:type="dxa"/>
            <w:vAlign w:val="top"/>
          </w:tcPr>
          <w:p w14:paraId="14C74D9B">
            <w:pPr>
              <w:spacing w:before="137" w:line="183" w:lineRule="auto"/>
              <w:ind w:left="264"/>
              <w:rPr>
                <w:rFonts w:ascii="宋体" w:hAnsi="宋体" w:eastAsia="宋体" w:cs="宋体"/>
                <w:sz w:val="18"/>
                <w:szCs w:val="18"/>
              </w:rPr>
            </w:pPr>
            <w:r>
              <w:rPr>
                <w:rFonts w:ascii="宋体" w:hAnsi="宋体" w:eastAsia="宋体" w:cs="宋体"/>
                <w:color w:val="212529"/>
                <w:spacing w:val="-2"/>
                <w:sz w:val="18"/>
                <w:szCs w:val="18"/>
              </w:rPr>
              <w:t>250.39</w:t>
            </w:r>
          </w:p>
        </w:tc>
        <w:tc>
          <w:tcPr>
            <w:tcW w:w="1930" w:type="dxa"/>
            <w:vAlign w:val="top"/>
          </w:tcPr>
          <w:p w14:paraId="6AAF7BA6">
            <w:pPr>
              <w:spacing w:before="108" w:line="219" w:lineRule="auto"/>
              <w:ind w:left="420"/>
              <w:rPr>
                <w:rFonts w:ascii="宋体" w:hAnsi="宋体" w:eastAsia="宋体" w:cs="宋体"/>
                <w:sz w:val="18"/>
                <w:szCs w:val="18"/>
              </w:rPr>
            </w:pPr>
            <w:r>
              <w:rPr>
                <w:rFonts w:ascii="宋体" w:hAnsi="宋体" w:eastAsia="宋体" w:cs="宋体"/>
                <w:color w:val="212529"/>
                <w:spacing w:val="-2"/>
                <w:sz w:val="18"/>
                <w:szCs w:val="18"/>
              </w:rPr>
              <w:t>本年支出合计</w:t>
            </w:r>
          </w:p>
        </w:tc>
        <w:tc>
          <w:tcPr>
            <w:tcW w:w="1079" w:type="dxa"/>
            <w:vAlign w:val="top"/>
          </w:tcPr>
          <w:p w14:paraId="0C3EE738">
            <w:pPr>
              <w:spacing w:before="137" w:line="183" w:lineRule="auto"/>
              <w:ind w:left="268"/>
              <w:rPr>
                <w:rFonts w:ascii="宋体" w:hAnsi="宋体" w:eastAsia="宋体" w:cs="宋体"/>
                <w:sz w:val="18"/>
                <w:szCs w:val="18"/>
              </w:rPr>
            </w:pPr>
            <w:r>
              <w:rPr>
                <w:rFonts w:ascii="宋体" w:hAnsi="宋体" w:eastAsia="宋体" w:cs="宋体"/>
                <w:color w:val="212529"/>
                <w:spacing w:val="-2"/>
                <w:sz w:val="18"/>
                <w:szCs w:val="18"/>
              </w:rPr>
              <w:t>250.39</w:t>
            </w:r>
          </w:p>
        </w:tc>
        <w:tc>
          <w:tcPr>
            <w:tcW w:w="1115" w:type="dxa"/>
            <w:vAlign w:val="top"/>
          </w:tcPr>
          <w:p w14:paraId="4997E0C2">
            <w:pPr>
              <w:spacing w:before="137" w:line="183" w:lineRule="auto"/>
              <w:ind w:left="287"/>
              <w:rPr>
                <w:rFonts w:ascii="宋体" w:hAnsi="宋体" w:eastAsia="宋体" w:cs="宋体"/>
                <w:sz w:val="18"/>
                <w:szCs w:val="18"/>
              </w:rPr>
            </w:pPr>
            <w:r>
              <w:rPr>
                <w:rFonts w:ascii="宋体" w:hAnsi="宋体" w:eastAsia="宋体" w:cs="宋体"/>
                <w:color w:val="212529"/>
                <w:spacing w:val="-2"/>
                <w:sz w:val="18"/>
                <w:szCs w:val="18"/>
              </w:rPr>
              <w:t>250.39</w:t>
            </w:r>
          </w:p>
        </w:tc>
        <w:tc>
          <w:tcPr>
            <w:tcW w:w="863" w:type="dxa"/>
            <w:vAlign w:val="top"/>
          </w:tcPr>
          <w:p w14:paraId="76F67936">
            <w:pPr>
              <w:pStyle w:val="6"/>
            </w:pPr>
          </w:p>
        </w:tc>
        <w:tc>
          <w:tcPr>
            <w:tcW w:w="1109" w:type="dxa"/>
            <w:vAlign w:val="top"/>
          </w:tcPr>
          <w:p w14:paraId="4D7B4EC2">
            <w:pPr>
              <w:pStyle w:val="6"/>
            </w:pPr>
          </w:p>
        </w:tc>
      </w:tr>
      <w:tr w14:paraId="06E4E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30ECE300">
            <w:pPr>
              <w:spacing w:before="110" w:line="219" w:lineRule="auto"/>
              <w:ind w:left="10"/>
              <w:rPr>
                <w:rFonts w:ascii="宋体" w:hAnsi="宋体" w:eastAsia="宋体" w:cs="宋体"/>
                <w:sz w:val="18"/>
                <w:szCs w:val="18"/>
              </w:rPr>
            </w:pPr>
            <w:r>
              <w:rPr>
                <w:rFonts w:ascii="宋体" w:hAnsi="宋体" w:eastAsia="宋体" w:cs="宋体"/>
                <w:color w:val="212529"/>
                <w:spacing w:val="-2"/>
                <w:sz w:val="18"/>
                <w:szCs w:val="18"/>
              </w:rPr>
              <w:t>上年财政拨款结转</w:t>
            </w:r>
          </w:p>
        </w:tc>
        <w:tc>
          <w:tcPr>
            <w:tcW w:w="1079" w:type="dxa"/>
            <w:vAlign w:val="top"/>
          </w:tcPr>
          <w:p w14:paraId="60E305C4">
            <w:pPr>
              <w:pStyle w:val="6"/>
            </w:pPr>
          </w:p>
        </w:tc>
        <w:tc>
          <w:tcPr>
            <w:tcW w:w="1930" w:type="dxa"/>
            <w:vAlign w:val="top"/>
          </w:tcPr>
          <w:p w14:paraId="4DB3CD4A">
            <w:pPr>
              <w:spacing w:before="110" w:line="219" w:lineRule="auto"/>
              <w:ind w:left="6"/>
              <w:rPr>
                <w:rFonts w:ascii="宋体" w:hAnsi="宋体" w:eastAsia="宋体" w:cs="宋体"/>
                <w:sz w:val="18"/>
                <w:szCs w:val="18"/>
              </w:rPr>
            </w:pPr>
            <w:r>
              <w:rPr>
                <w:rFonts w:ascii="宋体" w:hAnsi="宋体" w:eastAsia="宋体" w:cs="宋体"/>
                <w:color w:val="212529"/>
                <w:spacing w:val="-3"/>
                <w:sz w:val="18"/>
                <w:szCs w:val="18"/>
              </w:rPr>
              <w:t>年终结转</w:t>
            </w:r>
          </w:p>
        </w:tc>
        <w:tc>
          <w:tcPr>
            <w:tcW w:w="1079" w:type="dxa"/>
            <w:vAlign w:val="top"/>
          </w:tcPr>
          <w:p w14:paraId="5015E12F">
            <w:pPr>
              <w:pStyle w:val="6"/>
            </w:pPr>
          </w:p>
        </w:tc>
        <w:tc>
          <w:tcPr>
            <w:tcW w:w="1115" w:type="dxa"/>
            <w:vAlign w:val="top"/>
          </w:tcPr>
          <w:p w14:paraId="196B5C5A">
            <w:pPr>
              <w:pStyle w:val="6"/>
            </w:pPr>
          </w:p>
        </w:tc>
        <w:tc>
          <w:tcPr>
            <w:tcW w:w="863" w:type="dxa"/>
            <w:vAlign w:val="top"/>
          </w:tcPr>
          <w:p w14:paraId="4BBF773D">
            <w:pPr>
              <w:pStyle w:val="6"/>
            </w:pPr>
          </w:p>
        </w:tc>
        <w:tc>
          <w:tcPr>
            <w:tcW w:w="1109" w:type="dxa"/>
            <w:vAlign w:val="top"/>
          </w:tcPr>
          <w:p w14:paraId="52CC7775">
            <w:pPr>
              <w:pStyle w:val="6"/>
            </w:pPr>
          </w:p>
        </w:tc>
      </w:tr>
      <w:tr w14:paraId="590D0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675B6B88">
            <w:pPr>
              <w:spacing w:before="111" w:line="219" w:lineRule="auto"/>
              <w:ind w:left="11"/>
              <w:rPr>
                <w:rFonts w:ascii="宋体" w:hAnsi="宋体" w:eastAsia="宋体" w:cs="宋体"/>
                <w:sz w:val="18"/>
                <w:szCs w:val="18"/>
              </w:rPr>
            </w:pPr>
            <w:r>
              <w:rPr>
                <w:rFonts w:ascii="宋体" w:hAnsi="宋体" w:eastAsia="宋体" w:cs="宋体"/>
                <w:color w:val="212529"/>
                <w:spacing w:val="-2"/>
                <w:sz w:val="18"/>
                <w:szCs w:val="18"/>
              </w:rPr>
              <w:t>一、一般公共预算</w:t>
            </w:r>
          </w:p>
        </w:tc>
        <w:tc>
          <w:tcPr>
            <w:tcW w:w="1079" w:type="dxa"/>
            <w:vAlign w:val="top"/>
          </w:tcPr>
          <w:p w14:paraId="609F0C73">
            <w:pPr>
              <w:pStyle w:val="6"/>
            </w:pPr>
          </w:p>
        </w:tc>
        <w:tc>
          <w:tcPr>
            <w:tcW w:w="1930" w:type="dxa"/>
            <w:vAlign w:val="top"/>
          </w:tcPr>
          <w:p w14:paraId="07EEC15E">
            <w:pPr>
              <w:pStyle w:val="6"/>
            </w:pPr>
          </w:p>
        </w:tc>
        <w:tc>
          <w:tcPr>
            <w:tcW w:w="1079" w:type="dxa"/>
            <w:vAlign w:val="top"/>
          </w:tcPr>
          <w:p w14:paraId="78AE5483">
            <w:pPr>
              <w:pStyle w:val="6"/>
            </w:pPr>
          </w:p>
        </w:tc>
        <w:tc>
          <w:tcPr>
            <w:tcW w:w="1115" w:type="dxa"/>
            <w:vAlign w:val="top"/>
          </w:tcPr>
          <w:p w14:paraId="2CC67CDF">
            <w:pPr>
              <w:pStyle w:val="6"/>
            </w:pPr>
          </w:p>
        </w:tc>
        <w:tc>
          <w:tcPr>
            <w:tcW w:w="863" w:type="dxa"/>
            <w:vAlign w:val="top"/>
          </w:tcPr>
          <w:p w14:paraId="1E13DC22">
            <w:pPr>
              <w:pStyle w:val="6"/>
            </w:pPr>
          </w:p>
        </w:tc>
        <w:tc>
          <w:tcPr>
            <w:tcW w:w="1109" w:type="dxa"/>
            <w:vAlign w:val="top"/>
          </w:tcPr>
          <w:p w14:paraId="184AC3AC">
            <w:pPr>
              <w:pStyle w:val="6"/>
            </w:pPr>
          </w:p>
        </w:tc>
      </w:tr>
      <w:tr w14:paraId="7B07D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095BA2F1">
            <w:pPr>
              <w:spacing w:before="111" w:line="219" w:lineRule="auto"/>
              <w:ind w:left="11"/>
              <w:rPr>
                <w:rFonts w:ascii="宋体" w:hAnsi="宋体" w:eastAsia="宋体" w:cs="宋体"/>
                <w:sz w:val="18"/>
                <w:szCs w:val="18"/>
              </w:rPr>
            </w:pPr>
            <w:r>
              <w:rPr>
                <w:rFonts w:ascii="宋体" w:hAnsi="宋体" w:eastAsia="宋体" w:cs="宋体"/>
                <w:color w:val="212529"/>
                <w:spacing w:val="-2"/>
                <w:sz w:val="18"/>
                <w:szCs w:val="18"/>
              </w:rPr>
              <w:t>二、政府性基金预算</w:t>
            </w:r>
          </w:p>
        </w:tc>
        <w:tc>
          <w:tcPr>
            <w:tcW w:w="1079" w:type="dxa"/>
            <w:vAlign w:val="top"/>
          </w:tcPr>
          <w:p w14:paraId="0FB4A451">
            <w:pPr>
              <w:pStyle w:val="6"/>
            </w:pPr>
          </w:p>
        </w:tc>
        <w:tc>
          <w:tcPr>
            <w:tcW w:w="1930" w:type="dxa"/>
            <w:vAlign w:val="top"/>
          </w:tcPr>
          <w:p w14:paraId="2966910D">
            <w:pPr>
              <w:pStyle w:val="6"/>
            </w:pPr>
          </w:p>
        </w:tc>
        <w:tc>
          <w:tcPr>
            <w:tcW w:w="1079" w:type="dxa"/>
            <w:vAlign w:val="top"/>
          </w:tcPr>
          <w:p w14:paraId="76F23089">
            <w:pPr>
              <w:pStyle w:val="6"/>
            </w:pPr>
          </w:p>
        </w:tc>
        <w:tc>
          <w:tcPr>
            <w:tcW w:w="1115" w:type="dxa"/>
            <w:vAlign w:val="top"/>
          </w:tcPr>
          <w:p w14:paraId="1C21F004">
            <w:pPr>
              <w:pStyle w:val="6"/>
            </w:pPr>
          </w:p>
        </w:tc>
        <w:tc>
          <w:tcPr>
            <w:tcW w:w="863" w:type="dxa"/>
            <w:vAlign w:val="top"/>
          </w:tcPr>
          <w:p w14:paraId="4544AC24">
            <w:pPr>
              <w:pStyle w:val="6"/>
            </w:pPr>
          </w:p>
        </w:tc>
        <w:tc>
          <w:tcPr>
            <w:tcW w:w="1109" w:type="dxa"/>
            <w:vAlign w:val="top"/>
          </w:tcPr>
          <w:p w14:paraId="192537EA">
            <w:pPr>
              <w:pStyle w:val="6"/>
            </w:pPr>
          </w:p>
        </w:tc>
      </w:tr>
      <w:tr w14:paraId="058A7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7A320B4F">
            <w:pPr>
              <w:spacing w:before="112" w:line="219" w:lineRule="auto"/>
              <w:ind w:left="9"/>
              <w:rPr>
                <w:rFonts w:ascii="宋体" w:hAnsi="宋体" w:eastAsia="宋体" w:cs="宋体"/>
                <w:sz w:val="18"/>
                <w:szCs w:val="18"/>
              </w:rPr>
            </w:pPr>
            <w:r>
              <w:rPr>
                <w:rFonts w:ascii="宋体" w:hAnsi="宋体" w:eastAsia="宋体" w:cs="宋体"/>
                <w:color w:val="212529"/>
                <w:spacing w:val="-1"/>
                <w:sz w:val="18"/>
                <w:szCs w:val="18"/>
              </w:rPr>
              <w:t>三、国有资本经营预算</w:t>
            </w:r>
          </w:p>
        </w:tc>
        <w:tc>
          <w:tcPr>
            <w:tcW w:w="1079" w:type="dxa"/>
            <w:vAlign w:val="top"/>
          </w:tcPr>
          <w:p w14:paraId="4750619E">
            <w:pPr>
              <w:pStyle w:val="6"/>
            </w:pPr>
          </w:p>
        </w:tc>
        <w:tc>
          <w:tcPr>
            <w:tcW w:w="1930" w:type="dxa"/>
            <w:vAlign w:val="top"/>
          </w:tcPr>
          <w:p w14:paraId="176817D7">
            <w:pPr>
              <w:pStyle w:val="6"/>
            </w:pPr>
          </w:p>
        </w:tc>
        <w:tc>
          <w:tcPr>
            <w:tcW w:w="1079" w:type="dxa"/>
            <w:vAlign w:val="top"/>
          </w:tcPr>
          <w:p w14:paraId="1711CE11">
            <w:pPr>
              <w:pStyle w:val="6"/>
            </w:pPr>
          </w:p>
        </w:tc>
        <w:tc>
          <w:tcPr>
            <w:tcW w:w="1115" w:type="dxa"/>
            <w:vAlign w:val="top"/>
          </w:tcPr>
          <w:p w14:paraId="72DB2BD5">
            <w:pPr>
              <w:pStyle w:val="6"/>
            </w:pPr>
          </w:p>
        </w:tc>
        <w:tc>
          <w:tcPr>
            <w:tcW w:w="863" w:type="dxa"/>
            <w:vAlign w:val="top"/>
          </w:tcPr>
          <w:p w14:paraId="0877DB25">
            <w:pPr>
              <w:pStyle w:val="6"/>
            </w:pPr>
          </w:p>
        </w:tc>
        <w:tc>
          <w:tcPr>
            <w:tcW w:w="1109" w:type="dxa"/>
            <w:vAlign w:val="top"/>
          </w:tcPr>
          <w:p w14:paraId="02E9471C">
            <w:pPr>
              <w:pStyle w:val="6"/>
            </w:pPr>
          </w:p>
        </w:tc>
      </w:tr>
      <w:tr w14:paraId="604E5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5047B786">
            <w:pPr>
              <w:pStyle w:val="6"/>
            </w:pPr>
          </w:p>
        </w:tc>
        <w:tc>
          <w:tcPr>
            <w:tcW w:w="1079" w:type="dxa"/>
            <w:vAlign w:val="top"/>
          </w:tcPr>
          <w:p w14:paraId="4E770A3C">
            <w:pPr>
              <w:pStyle w:val="6"/>
            </w:pPr>
          </w:p>
        </w:tc>
        <w:tc>
          <w:tcPr>
            <w:tcW w:w="1930" w:type="dxa"/>
            <w:vAlign w:val="top"/>
          </w:tcPr>
          <w:p w14:paraId="72600FFA">
            <w:pPr>
              <w:pStyle w:val="6"/>
            </w:pPr>
          </w:p>
        </w:tc>
        <w:tc>
          <w:tcPr>
            <w:tcW w:w="1079" w:type="dxa"/>
            <w:vAlign w:val="top"/>
          </w:tcPr>
          <w:p w14:paraId="7711E978">
            <w:pPr>
              <w:pStyle w:val="6"/>
            </w:pPr>
          </w:p>
        </w:tc>
        <w:tc>
          <w:tcPr>
            <w:tcW w:w="1115" w:type="dxa"/>
            <w:vAlign w:val="top"/>
          </w:tcPr>
          <w:p w14:paraId="7FFDC10C">
            <w:pPr>
              <w:pStyle w:val="6"/>
            </w:pPr>
          </w:p>
        </w:tc>
        <w:tc>
          <w:tcPr>
            <w:tcW w:w="863" w:type="dxa"/>
            <w:vAlign w:val="top"/>
          </w:tcPr>
          <w:p w14:paraId="3B8A36F9">
            <w:pPr>
              <w:pStyle w:val="6"/>
            </w:pPr>
          </w:p>
        </w:tc>
        <w:tc>
          <w:tcPr>
            <w:tcW w:w="1109" w:type="dxa"/>
            <w:vAlign w:val="top"/>
          </w:tcPr>
          <w:p w14:paraId="3440BBCC">
            <w:pPr>
              <w:pStyle w:val="6"/>
            </w:pPr>
          </w:p>
        </w:tc>
      </w:tr>
      <w:tr w14:paraId="714FE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841" w:type="dxa"/>
            <w:vAlign w:val="top"/>
          </w:tcPr>
          <w:p w14:paraId="6C392144">
            <w:pPr>
              <w:spacing w:before="114" w:line="219" w:lineRule="auto"/>
              <w:ind w:left="561"/>
              <w:rPr>
                <w:rFonts w:ascii="宋体" w:hAnsi="宋体" w:eastAsia="宋体" w:cs="宋体"/>
                <w:sz w:val="18"/>
                <w:szCs w:val="18"/>
              </w:rPr>
            </w:pPr>
            <w:r>
              <w:rPr>
                <w:rFonts w:ascii="宋体" w:hAnsi="宋体" w:eastAsia="宋体" w:cs="宋体"/>
                <w:color w:val="212529"/>
                <w:spacing w:val="-4"/>
                <w:sz w:val="18"/>
                <w:szCs w:val="18"/>
              </w:rPr>
              <w:t>收入总计</w:t>
            </w:r>
          </w:p>
        </w:tc>
        <w:tc>
          <w:tcPr>
            <w:tcW w:w="1079" w:type="dxa"/>
            <w:vAlign w:val="top"/>
          </w:tcPr>
          <w:p w14:paraId="19AA383E">
            <w:pPr>
              <w:spacing w:before="143" w:line="183" w:lineRule="auto"/>
              <w:ind w:left="264"/>
              <w:rPr>
                <w:rFonts w:ascii="宋体" w:hAnsi="宋体" w:eastAsia="宋体" w:cs="宋体"/>
                <w:sz w:val="18"/>
                <w:szCs w:val="18"/>
              </w:rPr>
            </w:pPr>
            <w:r>
              <w:rPr>
                <w:rFonts w:ascii="宋体" w:hAnsi="宋体" w:eastAsia="宋体" w:cs="宋体"/>
                <w:color w:val="212529"/>
                <w:spacing w:val="-2"/>
                <w:sz w:val="18"/>
                <w:szCs w:val="18"/>
              </w:rPr>
              <w:t>250.39</w:t>
            </w:r>
          </w:p>
        </w:tc>
        <w:tc>
          <w:tcPr>
            <w:tcW w:w="1930" w:type="dxa"/>
            <w:vAlign w:val="top"/>
          </w:tcPr>
          <w:p w14:paraId="6C74FB08">
            <w:pPr>
              <w:spacing w:before="114" w:line="220" w:lineRule="auto"/>
              <w:ind w:left="600"/>
              <w:rPr>
                <w:rFonts w:ascii="宋体" w:hAnsi="宋体" w:eastAsia="宋体" w:cs="宋体"/>
                <w:sz w:val="18"/>
                <w:szCs w:val="18"/>
              </w:rPr>
            </w:pPr>
            <w:r>
              <w:rPr>
                <w:rFonts w:ascii="宋体" w:hAnsi="宋体" w:eastAsia="宋体" w:cs="宋体"/>
                <w:color w:val="212529"/>
                <w:spacing w:val="-3"/>
                <w:sz w:val="18"/>
                <w:szCs w:val="18"/>
              </w:rPr>
              <w:t>支出总计</w:t>
            </w:r>
          </w:p>
        </w:tc>
        <w:tc>
          <w:tcPr>
            <w:tcW w:w="1079" w:type="dxa"/>
            <w:vAlign w:val="top"/>
          </w:tcPr>
          <w:p w14:paraId="59D3AF9A">
            <w:pPr>
              <w:spacing w:before="143" w:line="183" w:lineRule="auto"/>
              <w:ind w:left="268"/>
              <w:rPr>
                <w:rFonts w:ascii="宋体" w:hAnsi="宋体" w:eastAsia="宋体" w:cs="宋体"/>
                <w:sz w:val="18"/>
                <w:szCs w:val="18"/>
              </w:rPr>
            </w:pPr>
            <w:r>
              <w:rPr>
                <w:rFonts w:ascii="宋体" w:hAnsi="宋体" w:eastAsia="宋体" w:cs="宋体"/>
                <w:color w:val="212529"/>
                <w:spacing w:val="-2"/>
                <w:sz w:val="18"/>
                <w:szCs w:val="18"/>
              </w:rPr>
              <w:t>250.39</w:t>
            </w:r>
          </w:p>
        </w:tc>
        <w:tc>
          <w:tcPr>
            <w:tcW w:w="1115" w:type="dxa"/>
            <w:vAlign w:val="top"/>
          </w:tcPr>
          <w:p w14:paraId="2ECBC055">
            <w:pPr>
              <w:spacing w:before="143" w:line="183" w:lineRule="auto"/>
              <w:ind w:left="287"/>
              <w:rPr>
                <w:rFonts w:ascii="宋体" w:hAnsi="宋体" w:eastAsia="宋体" w:cs="宋体"/>
                <w:sz w:val="18"/>
                <w:szCs w:val="18"/>
              </w:rPr>
            </w:pPr>
            <w:r>
              <w:rPr>
                <w:rFonts w:ascii="宋体" w:hAnsi="宋体" w:eastAsia="宋体" w:cs="宋体"/>
                <w:color w:val="212529"/>
                <w:spacing w:val="-2"/>
                <w:sz w:val="18"/>
                <w:szCs w:val="18"/>
              </w:rPr>
              <w:t>250.39</w:t>
            </w:r>
          </w:p>
        </w:tc>
        <w:tc>
          <w:tcPr>
            <w:tcW w:w="863" w:type="dxa"/>
            <w:vAlign w:val="top"/>
          </w:tcPr>
          <w:p w14:paraId="51162AD8">
            <w:pPr>
              <w:pStyle w:val="6"/>
            </w:pPr>
          </w:p>
        </w:tc>
        <w:tc>
          <w:tcPr>
            <w:tcW w:w="1109" w:type="dxa"/>
            <w:vAlign w:val="top"/>
          </w:tcPr>
          <w:p w14:paraId="4D611580">
            <w:pPr>
              <w:pStyle w:val="6"/>
            </w:pPr>
          </w:p>
        </w:tc>
      </w:tr>
    </w:tbl>
    <w:p w14:paraId="492872CB">
      <w:pPr>
        <w:rPr>
          <w:rFonts w:ascii="Arial"/>
          <w:sz w:val="21"/>
        </w:rPr>
      </w:pPr>
    </w:p>
    <w:p w14:paraId="1D3ADE93">
      <w:pPr>
        <w:rPr>
          <w:rFonts w:ascii="Arial" w:hAnsi="Arial" w:eastAsia="Arial" w:cs="Arial"/>
          <w:sz w:val="21"/>
          <w:szCs w:val="21"/>
        </w:rPr>
        <w:sectPr>
          <w:footerReference r:id="rId16" w:type="default"/>
          <w:pgSz w:w="11900" w:h="16840"/>
          <w:pgMar w:top="610" w:right="600" w:bottom="312" w:left="600" w:header="357" w:footer="153" w:gutter="0"/>
          <w:cols w:space="720" w:num="1"/>
        </w:sectPr>
      </w:pPr>
    </w:p>
    <w:p w14:paraId="57D7FF64">
      <w:pPr>
        <w:spacing w:before="6"/>
      </w:pPr>
    </w:p>
    <w:p w14:paraId="1AAB2597">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2"/>
        <w:gridCol w:w="3225"/>
        <w:gridCol w:w="1487"/>
        <w:gridCol w:w="1367"/>
        <w:gridCol w:w="1325"/>
      </w:tblGrid>
      <w:tr w14:paraId="20E40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0A386B90">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预算公开表5</w:t>
            </w:r>
          </w:p>
        </w:tc>
      </w:tr>
      <w:tr w14:paraId="16E45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434D392D">
            <w:pPr>
              <w:spacing w:before="91" w:line="219" w:lineRule="auto"/>
              <w:ind w:left="1871"/>
              <w:outlineLvl w:val="1"/>
              <w:rPr>
                <w:rFonts w:ascii="宋体" w:hAnsi="宋体" w:eastAsia="宋体" w:cs="宋体"/>
                <w:sz w:val="24"/>
                <w:szCs w:val="24"/>
              </w:rPr>
            </w:pPr>
            <w:bookmarkStart w:id="49" w:name="bookmark42"/>
            <w:bookmarkEnd w:id="49"/>
            <w:bookmarkStart w:id="50" w:name="bookmark10"/>
            <w:bookmarkEnd w:id="50"/>
            <w:r>
              <w:rPr>
                <w:rFonts w:ascii="宋体" w:hAnsi="宋体" w:eastAsia="宋体" w:cs="宋体"/>
                <w:color w:val="212529"/>
                <w:spacing w:val="-1"/>
                <w:sz w:val="24"/>
                <w:szCs w:val="24"/>
              </w:rPr>
              <w:t>2023年一般公共预算支出预算表（不含上年结转）</w:t>
            </w:r>
          </w:p>
        </w:tc>
      </w:tr>
      <w:tr w14:paraId="6E83E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7691" w:type="dxa"/>
            <w:gridSpan w:val="4"/>
            <w:tcBorders>
              <w:top w:val="single" w:color="FFFFFF" w:sz="4" w:space="0"/>
              <w:left w:val="single" w:color="FFFFFF" w:sz="2" w:space="0"/>
              <w:right w:val="single" w:color="FFFFFF" w:sz="2" w:space="0"/>
            </w:tcBorders>
            <w:vAlign w:val="top"/>
          </w:tcPr>
          <w:p w14:paraId="567A21FA">
            <w:pPr>
              <w:spacing w:before="128"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325" w:type="dxa"/>
            <w:tcBorders>
              <w:top w:val="single" w:color="FFFFFF" w:sz="4" w:space="0"/>
              <w:left w:val="single" w:color="FFFFFF" w:sz="2" w:space="0"/>
              <w:right w:val="single" w:color="FFFFFF" w:sz="2" w:space="0"/>
            </w:tcBorders>
            <w:vAlign w:val="top"/>
          </w:tcPr>
          <w:p w14:paraId="46E99F37">
            <w:pPr>
              <w:spacing w:before="128"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28896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837" w:type="dxa"/>
            <w:gridSpan w:val="2"/>
            <w:vAlign w:val="top"/>
          </w:tcPr>
          <w:p w14:paraId="677AEB27">
            <w:pPr>
              <w:spacing w:before="107" w:line="220" w:lineRule="auto"/>
              <w:ind w:left="2238"/>
              <w:rPr>
                <w:rFonts w:ascii="宋体" w:hAnsi="宋体" w:eastAsia="宋体" w:cs="宋体"/>
                <w:sz w:val="18"/>
                <w:szCs w:val="18"/>
              </w:rPr>
            </w:pPr>
            <w:r>
              <w:rPr>
                <w:rFonts w:ascii="宋体" w:hAnsi="宋体" w:eastAsia="宋体" w:cs="宋体"/>
                <w:color w:val="212529"/>
                <w:spacing w:val="-6"/>
                <w:sz w:val="18"/>
                <w:szCs w:val="18"/>
              </w:rPr>
              <w:t>项目</w:t>
            </w:r>
          </w:p>
        </w:tc>
        <w:tc>
          <w:tcPr>
            <w:tcW w:w="4179" w:type="dxa"/>
            <w:gridSpan w:val="3"/>
            <w:vAlign w:val="top"/>
          </w:tcPr>
          <w:p w14:paraId="439DF3FB">
            <w:pPr>
              <w:spacing w:before="108" w:line="219" w:lineRule="auto"/>
              <w:ind w:left="1547"/>
              <w:rPr>
                <w:rFonts w:ascii="宋体" w:hAnsi="宋体" w:eastAsia="宋体" w:cs="宋体"/>
                <w:sz w:val="18"/>
                <w:szCs w:val="18"/>
              </w:rPr>
            </w:pPr>
            <w:r>
              <w:rPr>
                <w:rFonts w:ascii="宋体" w:hAnsi="宋体" w:eastAsia="宋体" w:cs="宋体"/>
                <w:color w:val="212529"/>
                <w:spacing w:val="-2"/>
                <w:sz w:val="18"/>
                <w:szCs w:val="18"/>
              </w:rPr>
              <w:t>2023年预算数</w:t>
            </w:r>
          </w:p>
        </w:tc>
      </w:tr>
      <w:tr w14:paraId="7E26E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12" w:type="dxa"/>
            <w:vAlign w:val="top"/>
          </w:tcPr>
          <w:p w14:paraId="69FC96B5">
            <w:pPr>
              <w:spacing w:before="108" w:line="219" w:lineRule="auto"/>
              <w:ind w:left="441"/>
              <w:rPr>
                <w:rFonts w:ascii="宋体" w:hAnsi="宋体" w:eastAsia="宋体" w:cs="宋体"/>
                <w:sz w:val="18"/>
                <w:szCs w:val="18"/>
              </w:rPr>
            </w:pPr>
            <w:r>
              <w:rPr>
                <w:rFonts w:ascii="宋体" w:hAnsi="宋体" w:eastAsia="宋体" w:cs="宋体"/>
                <w:color w:val="212529"/>
                <w:spacing w:val="-3"/>
                <w:sz w:val="18"/>
                <w:szCs w:val="18"/>
              </w:rPr>
              <w:t>科目编码</w:t>
            </w:r>
          </w:p>
        </w:tc>
        <w:tc>
          <w:tcPr>
            <w:tcW w:w="3225" w:type="dxa"/>
            <w:vAlign w:val="top"/>
          </w:tcPr>
          <w:p w14:paraId="262900F0">
            <w:pPr>
              <w:spacing w:before="108" w:line="219" w:lineRule="auto"/>
              <w:ind w:left="1247"/>
              <w:rPr>
                <w:rFonts w:ascii="宋体" w:hAnsi="宋体" w:eastAsia="宋体" w:cs="宋体"/>
                <w:sz w:val="18"/>
                <w:szCs w:val="18"/>
              </w:rPr>
            </w:pPr>
            <w:r>
              <w:rPr>
                <w:rFonts w:ascii="宋体" w:hAnsi="宋体" w:eastAsia="宋体" w:cs="宋体"/>
                <w:color w:val="212529"/>
                <w:spacing w:val="-3"/>
                <w:sz w:val="18"/>
                <w:szCs w:val="18"/>
              </w:rPr>
              <w:t>科目名称</w:t>
            </w:r>
          </w:p>
        </w:tc>
        <w:tc>
          <w:tcPr>
            <w:tcW w:w="1487" w:type="dxa"/>
            <w:vAlign w:val="top"/>
          </w:tcPr>
          <w:p w14:paraId="71A234B7">
            <w:pPr>
              <w:spacing w:before="108" w:line="221" w:lineRule="auto"/>
              <w:ind w:left="562"/>
              <w:rPr>
                <w:rFonts w:ascii="宋体" w:hAnsi="宋体" w:eastAsia="宋体" w:cs="宋体"/>
                <w:sz w:val="18"/>
                <w:szCs w:val="18"/>
              </w:rPr>
            </w:pPr>
            <w:r>
              <w:rPr>
                <w:rFonts w:ascii="宋体" w:hAnsi="宋体" w:eastAsia="宋体" w:cs="宋体"/>
                <w:color w:val="212529"/>
                <w:spacing w:val="-5"/>
                <w:sz w:val="18"/>
                <w:szCs w:val="18"/>
              </w:rPr>
              <w:t>合计</w:t>
            </w:r>
          </w:p>
        </w:tc>
        <w:tc>
          <w:tcPr>
            <w:tcW w:w="1367" w:type="dxa"/>
            <w:vAlign w:val="top"/>
          </w:tcPr>
          <w:p w14:paraId="0C8A4D23">
            <w:pPr>
              <w:spacing w:before="108" w:line="219" w:lineRule="auto"/>
              <w:ind w:left="322"/>
              <w:rPr>
                <w:rFonts w:ascii="宋体" w:hAnsi="宋体" w:eastAsia="宋体" w:cs="宋体"/>
                <w:sz w:val="18"/>
                <w:szCs w:val="18"/>
              </w:rPr>
            </w:pPr>
            <w:r>
              <w:rPr>
                <w:rFonts w:ascii="宋体" w:hAnsi="宋体" w:eastAsia="宋体" w:cs="宋体"/>
                <w:color w:val="212529"/>
                <w:spacing w:val="-3"/>
                <w:sz w:val="18"/>
                <w:szCs w:val="18"/>
              </w:rPr>
              <w:t>基本支出</w:t>
            </w:r>
          </w:p>
        </w:tc>
        <w:tc>
          <w:tcPr>
            <w:tcW w:w="1325" w:type="dxa"/>
            <w:vAlign w:val="top"/>
          </w:tcPr>
          <w:p w14:paraId="51DE23BF">
            <w:pPr>
              <w:spacing w:before="109" w:line="220" w:lineRule="auto"/>
              <w:ind w:left="303"/>
              <w:rPr>
                <w:rFonts w:ascii="宋体" w:hAnsi="宋体" w:eastAsia="宋体" w:cs="宋体"/>
                <w:sz w:val="18"/>
                <w:szCs w:val="18"/>
              </w:rPr>
            </w:pPr>
            <w:r>
              <w:rPr>
                <w:rFonts w:ascii="宋体" w:hAnsi="宋体" w:eastAsia="宋体" w:cs="宋体"/>
                <w:color w:val="212529"/>
                <w:spacing w:val="-3"/>
                <w:sz w:val="18"/>
                <w:szCs w:val="18"/>
              </w:rPr>
              <w:t>项目支出</w:t>
            </w:r>
          </w:p>
        </w:tc>
      </w:tr>
      <w:tr w14:paraId="5A5DF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837" w:type="dxa"/>
            <w:gridSpan w:val="2"/>
            <w:vAlign w:val="top"/>
          </w:tcPr>
          <w:p w14:paraId="48BBA6C6">
            <w:pPr>
              <w:spacing w:before="108" w:line="221" w:lineRule="auto"/>
              <w:ind w:left="2236"/>
              <w:rPr>
                <w:rFonts w:ascii="宋体" w:hAnsi="宋体" w:eastAsia="宋体" w:cs="宋体"/>
                <w:sz w:val="18"/>
                <w:szCs w:val="18"/>
              </w:rPr>
            </w:pPr>
            <w:r>
              <w:rPr>
                <w:rFonts w:ascii="宋体" w:hAnsi="宋体" w:eastAsia="宋体" w:cs="宋体"/>
                <w:color w:val="212529"/>
                <w:spacing w:val="-5"/>
                <w:sz w:val="18"/>
                <w:szCs w:val="18"/>
              </w:rPr>
              <w:t>合计</w:t>
            </w:r>
          </w:p>
        </w:tc>
        <w:tc>
          <w:tcPr>
            <w:tcW w:w="1487" w:type="dxa"/>
            <w:vAlign w:val="top"/>
          </w:tcPr>
          <w:p w14:paraId="6CBA89D0">
            <w:pPr>
              <w:spacing w:before="137"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250.39</w:t>
            </w:r>
          </w:p>
        </w:tc>
        <w:tc>
          <w:tcPr>
            <w:tcW w:w="1367" w:type="dxa"/>
            <w:vAlign w:val="top"/>
          </w:tcPr>
          <w:p w14:paraId="75F6FB76">
            <w:pPr>
              <w:spacing w:before="136" w:line="184" w:lineRule="auto"/>
              <w:ind w:right="3"/>
              <w:jc w:val="right"/>
              <w:rPr>
                <w:rFonts w:ascii="宋体" w:hAnsi="宋体" w:eastAsia="宋体" w:cs="宋体"/>
                <w:sz w:val="18"/>
                <w:szCs w:val="18"/>
              </w:rPr>
            </w:pPr>
            <w:r>
              <w:rPr>
                <w:rFonts w:ascii="宋体" w:hAnsi="宋体" w:eastAsia="宋体" w:cs="宋体"/>
                <w:color w:val="212529"/>
                <w:spacing w:val="-4"/>
                <w:sz w:val="18"/>
                <w:szCs w:val="18"/>
              </w:rPr>
              <w:t>173.90</w:t>
            </w:r>
          </w:p>
        </w:tc>
        <w:tc>
          <w:tcPr>
            <w:tcW w:w="1325" w:type="dxa"/>
            <w:vAlign w:val="top"/>
          </w:tcPr>
          <w:p w14:paraId="77E66530">
            <w:pPr>
              <w:spacing w:before="137" w:line="183" w:lineRule="auto"/>
              <w:ind w:right="14"/>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1C20B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12" w:type="dxa"/>
            <w:vAlign w:val="top"/>
          </w:tcPr>
          <w:p w14:paraId="36A30647">
            <w:pPr>
              <w:spacing w:before="136"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3225" w:type="dxa"/>
            <w:vAlign w:val="top"/>
          </w:tcPr>
          <w:p w14:paraId="6345667B">
            <w:pPr>
              <w:spacing w:before="109" w:line="219" w:lineRule="auto"/>
              <w:ind w:left="8"/>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1487" w:type="dxa"/>
            <w:vAlign w:val="top"/>
          </w:tcPr>
          <w:p w14:paraId="6E16C758">
            <w:pPr>
              <w:spacing w:before="137"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67" w:type="dxa"/>
            <w:vAlign w:val="top"/>
          </w:tcPr>
          <w:p w14:paraId="464C5E7D">
            <w:pPr>
              <w:spacing w:before="136" w:line="184" w:lineRule="auto"/>
              <w:jc w:val="right"/>
              <w:rPr>
                <w:rFonts w:ascii="宋体" w:hAnsi="宋体" w:eastAsia="宋体" w:cs="宋体"/>
                <w:sz w:val="18"/>
                <w:szCs w:val="18"/>
              </w:rPr>
            </w:pPr>
            <w:r>
              <w:rPr>
                <w:rFonts w:ascii="宋体" w:hAnsi="宋体" w:eastAsia="宋体" w:cs="宋体"/>
                <w:color w:val="212529"/>
                <w:spacing w:val="-4"/>
                <w:sz w:val="18"/>
                <w:szCs w:val="18"/>
              </w:rPr>
              <w:t>144.48</w:t>
            </w:r>
          </w:p>
        </w:tc>
        <w:tc>
          <w:tcPr>
            <w:tcW w:w="1325" w:type="dxa"/>
            <w:vAlign w:val="top"/>
          </w:tcPr>
          <w:p w14:paraId="6685088A">
            <w:pPr>
              <w:spacing w:before="137"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276F2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12" w:type="dxa"/>
            <w:vAlign w:val="top"/>
          </w:tcPr>
          <w:p w14:paraId="142EC30A">
            <w:pPr>
              <w:spacing w:before="137" w:line="184" w:lineRule="auto"/>
              <w:ind w:left="11"/>
              <w:rPr>
                <w:rFonts w:ascii="宋体" w:hAnsi="宋体" w:eastAsia="宋体" w:cs="宋体"/>
                <w:sz w:val="18"/>
                <w:szCs w:val="18"/>
              </w:rPr>
            </w:pPr>
            <w:r>
              <w:rPr>
                <w:rFonts w:ascii="宋体" w:hAnsi="宋体" w:eastAsia="宋体" w:cs="宋体"/>
                <w:color w:val="212529"/>
                <w:spacing w:val="-2"/>
                <w:sz w:val="18"/>
                <w:szCs w:val="18"/>
              </w:rPr>
              <w:t>20103</w:t>
            </w:r>
          </w:p>
        </w:tc>
        <w:tc>
          <w:tcPr>
            <w:tcW w:w="3225" w:type="dxa"/>
            <w:vAlign w:val="top"/>
          </w:tcPr>
          <w:p w14:paraId="0F094955">
            <w:pPr>
              <w:spacing w:before="109" w:line="219" w:lineRule="auto"/>
              <w:ind w:left="4"/>
              <w:rPr>
                <w:rFonts w:ascii="宋体" w:hAnsi="宋体" w:eastAsia="宋体" w:cs="宋体"/>
                <w:sz w:val="18"/>
                <w:szCs w:val="18"/>
              </w:rPr>
            </w:pPr>
            <w:r>
              <w:rPr>
                <w:rFonts w:ascii="宋体" w:hAnsi="宋体" w:eastAsia="宋体" w:cs="宋体"/>
                <w:color w:val="212529"/>
                <w:spacing w:val="-1"/>
                <w:sz w:val="18"/>
                <w:szCs w:val="18"/>
              </w:rPr>
              <w:t>政府办公厅（室）及相关机构事务</w:t>
            </w:r>
          </w:p>
        </w:tc>
        <w:tc>
          <w:tcPr>
            <w:tcW w:w="1487" w:type="dxa"/>
            <w:vAlign w:val="top"/>
          </w:tcPr>
          <w:p w14:paraId="5236C15E">
            <w:pPr>
              <w:spacing w:before="138"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67" w:type="dxa"/>
            <w:vAlign w:val="top"/>
          </w:tcPr>
          <w:p w14:paraId="731EAF8C">
            <w:pPr>
              <w:spacing w:before="137" w:line="184" w:lineRule="auto"/>
              <w:jc w:val="right"/>
              <w:rPr>
                <w:rFonts w:ascii="宋体" w:hAnsi="宋体" w:eastAsia="宋体" w:cs="宋体"/>
                <w:sz w:val="18"/>
                <w:szCs w:val="18"/>
              </w:rPr>
            </w:pPr>
            <w:r>
              <w:rPr>
                <w:rFonts w:ascii="宋体" w:hAnsi="宋体" w:eastAsia="宋体" w:cs="宋体"/>
                <w:color w:val="212529"/>
                <w:spacing w:val="-4"/>
                <w:sz w:val="18"/>
                <w:szCs w:val="18"/>
              </w:rPr>
              <w:t>144.48</w:t>
            </w:r>
          </w:p>
        </w:tc>
        <w:tc>
          <w:tcPr>
            <w:tcW w:w="1325" w:type="dxa"/>
            <w:vAlign w:val="top"/>
          </w:tcPr>
          <w:p w14:paraId="629B3FEC">
            <w:pPr>
              <w:spacing w:before="138"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2B189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12" w:type="dxa"/>
            <w:vAlign w:val="top"/>
          </w:tcPr>
          <w:p w14:paraId="3635C765">
            <w:pPr>
              <w:spacing w:before="138" w:line="184" w:lineRule="auto"/>
              <w:ind w:left="11"/>
              <w:rPr>
                <w:rFonts w:ascii="宋体" w:hAnsi="宋体" w:eastAsia="宋体" w:cs="宋体"/>
                <w:sz w:val="18"/>
                <w:szCs w:val="18"/>
              </w:rPr>
            </w:pPr>
            <w:r>
              <w:rPr>
                <w:rFonts w:ascii="宋体" w:hAnsi="宋体" w:eastAsia="宋体" w:cs="宋体"/>
                <w:color w:val="212529"/>
                <w:spacing w:val="-2"/>
                <w:sz w:val="18"/>
                <w:szCs w:val="18"/>
              </w:rPr>
              <w:t>2010301</w:t>
            </w:r>
          </w:p>
        </w:tc>
        <w:tc>
          <w:tcPr>
            <w:tcW w:w="3225" w:type="dxa"/>
            <w:vAlign w:val="top"/>
          </w:tcPr>
          <w:p w14:paraId="7EB6A863">
            <w:pPr>
              <w:spacing w:before="110" w:line="220" w:lineRule="auto"/>
              <w:ind w:left="8"/>
              <w:rPr>
                <w:rFonts w:ascii="宋体" w:hAnsi="宋体" w:eastAsia="宋体" w:cs="宋体"/>
                <w:sz w:val="18"/>
                <w:szCs w:val="18"/>
              </w:rPr>
            </w:pPr>
            <w:r>
              <w:rPr>
                <w:rFonts w:ascii="宋体" w:hAnsi="宋体" w:eastAsia="宋体" w:cs="宋体"/>
                <w:color w:val="212529"/>
                <w:spacing w:val="-3"/>
                <w:sz w:val="18"/>
                <w:szCs w:val="18"/>
              </w:rPr>
              <w:t>行政运行</w:t>
            </w:r>
          </w:p>
        </w:tc>
        <w:tc>
          <w:tcPr>
            <w:tcW w:w="1487" w:type="dxa"/>
            <w:vAlign w:val="top"/>
          </w:tcPr>
          <w:p w14:paraId="5E8979BD">
            <w:pPr>
              <w:spacing w:before="138" w:line="183" w:lineRule="auto"/>
              <w:jc w:val="right"/>
              <w:rPr>
                <w:rFonts w:ascii="宋体" w:hAnsi="宋体" w:eastAsia="宋体" w:cs="宋体"/>
                <w:sz w:val="18"/>
                <w:szCs w:val="18"/>
              </w:rPr>
            </w:pPr>
            <w:r>
              <w:rPr>
                <w:rFonts w:ascii="宋体" w:hAnsi="宋体" w:eastAsia="宋体" w:cs="宋体"/>
                <w:color w:val="212529"/>
                <w:spacing w:val="-2"/>
                <w:sz w:val="18"/>
                <w:szCs w:val="18"/>
              </w:rPr>
              <w:t>220.98</w:t>
            </w:r>
          </w:p>
        </w:tc>
        <w:tc>
          <w:tcPr>
            <w:tcW w:w="1367" w:type="dxa"/>
            <w:vAlign w:val="top"/>
          </w:tcPr>
          <w:p w14:paraId="3FFAAB41">
            <w:pPr>
              <w:spacing w:before="137" w:line="184" w:lineRule="auto"/>
              <w:jc w:val="right"/>
              <w:rPr>
                <w:rFonts w:ascii="宋体" w:hAnsi="宋体" w:eastAsia="宋体" w:cs="宋体"/>
                <w:sz w:val="18"/>
                <w:szCs w:val="18"/>
              </w:rPr>
            </w:pPr>
            <w:r>
              <w:rPr>
                <w:rFonts w:ascii="宋体" w:hAnsi="宋体" w:eastAsia="宋体" w:cs="宋体"/>
                <w:color w:val="212529"/>
                <w:spacing w:val="-4"/>
                <w:sz w:val="18"/>
                <w:szCs w:val="18"/>
              </w:rPr>
              <w:t>144.48</w:t>
            </w:r>
          </w:p>
        </w:tc>
        <w:tc>
          <w:tcPr>
            <w:tcW w:w="1325" w:type="dxa"/>
            <w:vAlign w:val="top"/>
          </w:tcPr>
          <w:p w14:paraId="4F68623F">
            <w:pPr>
              <w:spacing w:before="138"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76.49</w:t>
            </w:r>
          </w:p>
        </w:tc>
      </w:tr>
      <w:tr w14:paraId="2108D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12" w:type="dxa"/>
            <w:vAlign w:val="top"/>
          </w:tcPr>
          <w:p w14:paraId="23384C17">
            <w:pPr>
              <w:spacing w:before="140"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3225" w:type="dxa"/>
            <w:vAlign w:val="top"/>
          </w:tcPr>
          <w:p w14:paraId="4E5C556F">
            <w:pPr>
              <w:spacing w:before="111" w:line="219" w:lineRule="auto"/>
              <w:ind w:left="6"/>
              <w:rPr>
                <w:rFonts w:ascii="宋体" w:hAnsi="宋体" w:eastAsia="宋体" w:cs="宋体"/>
                <w:sz w:val="18"/>
                <w:szCs w:val="18"/>
              </w:rPr>
            </w:pPr>
            <w:r>
              <w:rPr>
                <w:rFonts w:ascii="宋体" w:hAnsi="宋体" w:eastAsia="宋体" w:cs="宋体"/>
                <w:color w:val="212529"/>
                <w:spacing w:val="-2"/>
                <w:sz w:val="18"/>
                <w:szCs w:val="18"/>
              </w:rPr>
              <w:t>社会保障和就业支出</w:t>
            </w:r>
          </w:p>
        </w:tc>
        <w:tc>
          <w:tcPr>
            <w:tcW w:w="1487" w:type="dxa"/>
            <w:vAlign w:val="top"/>
          </w:tcPr>
          <w:p w14:paraId="515553F2">
            <w:pPr>
              <w:spacing w:before="139"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67" w:type="dxa"/>
            <w:vAlign w:val="top"/>
          </w:tcPr>
          <w:p w14:paraId="0374A3F2">
            <w:pPr>
              <w:spacing w:before="139"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25" w:type="dxa"/>
            <w:vAlign w:val="top"/>
          </w:tcPr>
          <w:p w14:paraId="26014516">
            <w:pPr>
              <w:pStyle w:val="6"/>
            </w:pPr>
          </w:p>
        </w:tc>
      </w:tr>
      <w:tr w14:paraId="52EC8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12" w:type="dxa"/>
            <w:vAlign w:val="top"/>
          </w:tcPr>
          <w:p w14:paraId="09147B07">
            <w:pPr>
              <w:spacing w:before="140"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3225" w:type="dxa"/>
            <w:vAlign w:val="top"/>
          </w:tcPr>
          <w:p w14:paraId="0EA97F1A">
            <w:pPr>
              <w:spacing w:before="111" w:line="219" w:lineRule="auto"/>
              <w:ind w:left="8"/>
              <w:rPr>
                <w:rFonts w:ascii="宋体" w:hAnsi="宋体" w:eastAsia="宋体" w:cs="宋体"/>
                <w:sz w:val="18"/>
                <w:szCs w:val="18"/>
              </w:rPr>
            </w:pPr>
            <w:r>
              <w:rPr>
                <w:rFonts w:ascii="宋体" w:hAnsi="宋体" w:eastAsia="宋体" w:cs="宋体"/>
                <w:color w:val="212529"/>
                <w:spacing w:val="-2"/>
                <w:sz w:val="18"/>
                <w:szCs w:val="18"/>
              </w:rPr>
              <w:t>行政事业单位养老支出</w:t>
            </w:r>
          </w:p>
        </w:tc>
        <w:tc>
          <w:tcPr>
            <w:tcW w:w="1487" w:type="dxa"/>
            <w:vAlign w:val="top"/>
          </w:tcPr>
          <w:p w14:paraId="0F02320D">
            <w:pPr>
              <w:spacing w:before="139"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67" w:type="dxa"/>
            <w:vAlign w:val="top"/>
          </w:tcPr>
          <w:p w14:paraId="6127EED2">
            <w:pPr>
              <w:spacing w:before="139"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25" w:type="dxa"/>
            <w:vAlign w:val="top"/>
          </w:tcPr>
          <w:p w14:paraId="302E38FD">
            <w:pPr>
              <w:pStyle w:val="6"/>
            </w:pPr>
          </w:p>
        </w:tc>
      </w:tr>
      <w:tr w14:paraId="08193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12" w:type="dxa"/>
            <w:vAlign w:val="top"/>
          </w:tcPr>
          <w:p w14:paraId="43868207">
            <w:pPr>
              <w:spacing w:before="141"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3225" w:type="dxa"/>
            <w:vAlign w:val="top"/>
          </w:tcPr>
          <w:p w14:paraId="43BF7F21">
            <w:pPr>
              <w:spacing w:before="112"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机关事业单位基本养老保险缴费支出</w:t>
            </w:r>
          </w:p>
        </w:tc>
        <w:tc>
          <w:tcPr>
            <w:tcW w:w="1487" w:type="dxa"/>
            <w:vAlign w:val="top"/>
          </w:tcPr>
          <w:p w14:paraId="2194661E">
            <w:pPr>
              <w:spacing w:before="140"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67" w:type="dxa"/>
            <w:vAlign w:val="top"/>
          </w:tcPr>
          <w:p w14:paraId="2EDD04B3">
            <w:pPr>
              <w:spacing w:before="140"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25" w:type="dxa"/>
            <w:vAlign w:val="top"/>
          </w:tcPr>
          <w:p w14:paraId="4F038C87">
            <w:pPr>
              <w:pStyle w:val="6"/>
            </w:pPr>
          </w:p>
        </w:tc>
      </w:tr>
      <w:tr w14:paraId="308EB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12" w:type="dxa"/>
            <w:vAlign w:val="top"/>
          </w:tcPr>
          <w:p w14:paraId="56392018">
            <w:pPr>
              <w:spacing w:before="140"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3225" w:type="dxa"/>
            <w:vAlign w:val="top"/>
          </w:tcPr>
          <w:p w14:paraId="7762FA2B">
            <w:pPr>
              <w:spacing w:before="113" w:line="219" w:lineRule="auto"/>
              <w:ind w:left="4"/>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1487" w:type="dxa"/>
            <w:vAlign w:val="top"/>
          </w:tcPr>
          <w:p w14:paraId="471D9352">
            <w:pPr>
              <w:spacing w:before="140"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67" w:type="dxa"/>
            <w:vAlign w:val="top"/>
          </w:tcPr>
          <w:p w14:paraId="39EBBDD6">
            <w:pPr>
              <w:spacing w:before="140"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25" w:type="dxa"/>
            <w:vAlign w:val="top"/>
          </w:tcPr>
          <w:p w14:paraId="54F47A64">
            <w:pPr>
              <w:pStyle w:val="6"/>
            </w:pPr>
          </w:p>
        </w:tc>
      </w:tr>
      <w:tr w14:paraId="215EA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12" w:type="dxa"/>
            <w:vAlign w:val="top"/>
          </w:tcPr>
          <w:p w14:paraId="275FF4FF">
            <w:pPr>
              <w:spacing w:before="141"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3225" w:type="dxa"/>
            <w:vAlign w:val="top"/>
          </w:tcPr>
          <w:p w14:paraId="2FCFFF83">
            <w:pPr>
              <w:spacing w:before="114" w:line="219" w:lineRule="auto"/>
              <w:ind w:left="4"/>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1487" w:type="dxa"/>
            <w:vAlign w:val="top"/>
          </w:tcPr>
          <w:p w14:paraId="07787F57">
            <w:pPr>
              <w:spacing w:before="141"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67" w:type="dxa"/>
            <w:vAlign w:val="top"/>
          </w:tcPr>
          <w:p w14:paraId="44F4666F">
            <w:pPr>
              <w:spacing w:before="141"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25" w:type="dxa"/>
            <w:vAlign w:val="top"/>
          </w:tcPr>
          <w:p w14:paraId="4DE9BD31">
            <w:pPr>
              <w:pStyle w:val="6"/>
            </w:pPr>
          </w:p>
        </w:tc>
      </w:tr>
      <w:tr w14:paraId="501EA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612" w:type="dxa"/>
            <w:vAlign w:val="top"/>
          </w:tcPr>
          <w:p w14:paraId="5197E9B1">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3225" w:type="dxa"/>
            <w:vAlign w:val="top"/>
          </w:tcPr>
          <w:p w14:paraId="6187C6E2">
            <w:pPr>
              <w:spacing w:before="115" w:line="220" w:lineRule="auto"/>
              <w:ind w:left="4"/>
              <w:rPr>
                <w:rFonts w:ascii="宋体" w:hAnsi="宋体" w:eastAsia="宋体" w:cs="宋体"/>
                <w:sz w:val="18"/>
                <w:szCs w:val="18"/>
              </w:rPr>
            </w:pPr>
            <w:r>
              <w:rPr>
                <w:rFonts w:ascii="宋体" w:hAnsi="宋体" w:eastAsia="宋体" w:cs="宋体"/>
                <w:color w:val="212529"/>
                <w:spacing w:val="-2"/>
                <w:sz w:val="18"/>
                <w:szCs w:val="18"/>
              </w:rPr>
              <w:t>住房公积金</w:t>
            </w:r>
          </w:p>
        </w:tc>
        <w:tc>
          <w:tcPr>
            <w:tcW w:w="1487" w:type="dxa"/>
            <w:vAlign w:val="top"/>
          </w:tcPr>
          <w:p w14:paraId="394312F5">
            <w:pPr>
              <w:spacing w:before="142"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67" w:type="dxa"/>
            <w:vAlign w:val="top"/>
          </w:tcPr>
          <w:p w14:paraId="6A45F9A9">
            <w:pPr>
              <w:spacing w:before="142"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25" w:type="dxa"/>
            <w:vAlign w:val="top"/>
          </w:tcPr>
          <w:p w14:paraId="28DD1C64">
            <w:pPr>
              <w:pStyle w:val="6"/>
            </w:pPr>
          </w:p>
        </w:tc>
      </w:tr>
    </w:tbl>
    <w:p w14:paraId="3BBC1A1B">
      <w:pPr>
        <w:rPr>
          <w:rFonts w:ascii="Arial"/>
          <w:sz w:val="21"/>
        </w:rPr>
      </w:pPr>
    </w:p>
    <w:p w14:paraId="1F41197E">
      <w:pPr>
        <w:rPr>
          <w:rFonts w:ascii="Arial" w:hAnsi="Arial" w:eastAsia="Arial" w:cs="Arial"/>
          <w:sz w:val="21"/>
          <w:szCs w:val="21"/>
        </w:rPr>
        <w:sectPr>
          <w:footerReference r:id="rId17" w:type="default"/>
          <w:pgSz w:w="11900" w:h="16840"/>
          <w:pgMar w:top="610" w:right="600" w:bottom="312" w:left="600" w:header="357" w:footer="153" w:gutter="0"/>
          <w:cols w:space="720" w:num="1"/>
        </w:sectPr>
      </w:pPr>
    </w:p>
    <w:p w14:paraId="0D967E05">
      <w:pPr>
        <w:spacing w:before="6"/>
      </w:pPr>
    </w:p>
    <w:p w14:paraId="7E8BD54B">
      <w:pPr>
        <w:spacing w:before="5"/>
      </w:pPr>
    </w:p>
    <w:tbl>
      <w:tblPr>
        <w:tblStyle w:val="5"/>
        <w:tblW w:w="8968"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7"/>
        <w:gridCol w:w="2158"/>
        <w:gridCol w:w="1367"/>
        <w:gridCol w:w="1307"/>
        <w:gridCol w:w="1169"/>
      </w:tblGrid>
      <w:tr w14:paraId="64859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968" w:type="dxa"/>
            <w:gridSpan w:val="5"/>
            <w:tcBorders>
              <w:top w:val="single" w:color="FFFFFF" w:sz="4" w:space="0"/>
              <w:left w:val="single" w:color="FFFFFF" w:sz="2" w:space="0"/>
              <w:bottom w:val="single" w:color="FFFFFF" w:sz="4" w:space="0"/>
              <w:right w:val="single" w:color="FFFFFF" w:sz="2" w:space="0"/>
            </w:tcBorders>
            <w:vAlign w:val="top"/>
          </w:tcPr>
          <w:p w14:paraId="1C4E3B0D">
            <w:pPr>
              <w:spacing w:before="84" w:line="226"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预算公开表6</w:t>
            </w:r>
          </w:p>
        </w:tc>
      </w:tr>
      <w:tr w14:paraId="38B74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8968" w:type="dxa"/>
            <w:gridSpan w:val="5"/>
            <w:tcBorders>
              <w:top w:val="single" w:color="FFFFFF" w:sz="4" w:space="0"/>
              <w:left w:val="single" w:color="FFFFFF" w:sz="2" w:space="0"/>
              <w:bottom w:val="single" w:color="FFFFFF" w:sz="4" w:space="0"/>
              <w:right w:val="single" w:color="FFFFFF" w:sz="2" w:space="0"/>
            </w:tcBorders>
            <w:vAlign w:val="top"/>
          </w:tcPr>
          <w:p w14:paraId="6EFC45EE">
            <w:pPr>
              <w:spacing w:before="43" w:line="218" w:lineRule="auto"/>
              <w:ind w:left="1007"/>
              <w:outlineLvl w:val="1"/>
              <w:rPr>
                <w:rFonts w:ascii="宋体" w:hAnsi="宋体" w:eastAsia="宋体" w:cs="宋体"/>
                <w:sz w:val="24"/>
                <w:szCs w:val="24"/>
              </w:rPr>
            </w:pPr>
            <w:bookmarkStart w:id="51" w:name="bookmark43"/>
            <w:bookmarkEnd w:id="51"/>
            <w:bookmarkStart w:id="52" w:name="bookmark11"/>
            <w:bookmarkEnd w:id="52"/>
            <w:r>
              <w:rPr>
                <w:rFonts w:ascii="宋体" w:hAnsi="宋体" w:eastAsia="宋体" w:cs="宋体"/>
                <w:color w:val="212529"/>
                <w:spacing w:val="-1"/>
                <w:sz w:val="24"/>
                <w:szCs w:val="24"/>
              </w:rPr>
              <w:t>2023年一般公共预算安排基本支出分经济科目表（不含上年结转）</w:t>
            </w:r>
          </w:p>
        </w:tc>
      </w:tr>
      <w:tr w14:paraId="45CA9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6492" w:type="dxa"/>
            <w:gridSpan w:val="3"/>
            <w:tcBorders>
              <w:top w:val="single" w:color="FFFFFF" w:sz="4" w:space="0"/>
              <w:left w:val="single" w:color="000000" w:sz="2" w:space="0"/>
              <w:right w:val="single" w:color="FFFFFF" w:sz="2" w:space="0"/>
            </w:tcBorders>
            <w:vAlign w:val="top"/>
          </w:tcPr>
          <w:p w14:paraId="7CE26D10">
            <w:pPr>
              <w:spacing w:before="80" w:line="226"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307" w:type="dxa"/>
            <w:tcBorders>
              <w:top w:val="single" w:color="FFFFFF" w:sz="4" w:space="0"/>
              <w:left w:val="single" w:color="FFFFFF" w:sz="2" w:space="0"/>
              <w:right w:val="single" w:color="FFFFFF" w:sz="2" w:space="0"/>
            </w:tcBorders>
            <w:vAlign w:val="top"/>
          </w:tcPr>
          <w:p w14:paraId="66DCC401">
            <w:pPr>
              <w:pStyle w:val="6"/>
            </w:pPr>
          </w:p>
        </w:tc>
        <w:tc>
          <w:tcPr>
            <w:tcW w:w="1169" w:type="dxa"/>
            <w:tcBorders>
              <w:top w:val="single" w:color="FFFFFF" w:sz="4" w:space="0"/>
              <w:left w:val="single" w:color="FFFFFF" w:sz="2" w:space="0"/>
              <w:right w:val="single" w:color="000000" w:sz="2" w:space="0"/>
            </w:tcBorders>
            <w:vAlign w:val="top"/>
          </w:tcPr>
          <w:p w14:paraId="1E13FCEC">
            <w:pPr>
              <w:spacing w:before="80"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71364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67" w:type="dxa"/>
            <w:vMerge w:val="restart"/>
            <w:tcBorders>
              <w:bottom w:val="nil"/>
            </w:tcBorders>
            <w:vAlign w:val="top"/>
          </w:tcPr>
          <w:p w14:paraId="5ACC06DE">
            <w:pPr>
              <w:spacing w:before="240" w:line="218" w:lineRule="auto"/>
              <w:ind w:left="401"/>
              <w:rPr>
                <w:rFonts w:ascii="宋体" w:hAnsi="宋体" w:eastAsia="宋体" w:cs="宋体"/>
                <w:sz w:val="18"/>
                <w:szCs w:val="18"/>
              </w:rPr>
            </w:pPr>
            <w:r>
              <w:rPr>
                <w:rFonts w:ascii="宋体" w:hAnsi="宋体" w:eastAsia="宋体" w:cs="宋体"/>
                <w:color w:val="212529"/>
                <w:spacing w:val="-1"/>
                <w:sz w:val="18"/>
                <w:szCs w:val="18"/>
              </w:rPr>
              <w:t>部门预算支出经济科目名称</w:t>
            </w:r>
          </w:p>
        </w:tc>
        <w:tc>
          <w:tcPr>
            <w:tcW w:w="2158" w:type="dxa"/>
            <w:vMerge w:val="restart"/>
            <w:tcBorders>
              <w:bottom w:val="nil"/>
            </w:tcBorders>
            <w:vAlign w:val="top"/>
          </w:tcPr>
          <w:p w14:paraId="7EB0032D">
            <w:pPr>
              <w:spacing w:before="132" w:line="215" w:lineRule="auto"/>
              <w:ind w:left="983" w:right="91" w:hanging="898"/>
              <w:rPr>
                <w:rFonts w:ascii="宋体" w:hAnsi="宋体" w:eastAsia="宋体" w:cs="宋体"/>
                <w:sz w:val="18"/>
                <w:szCs w:val="18"/>
              </w:rPr>
            </w:pPr>
            <w:r>
              <w:rPr>
                <w:rFonts w:ascii="宋体" w:hAnsi="宋体" w:eastAsia="宋体" w:cs="宋体"/>
                <w:color w:val="212529"/>
                <w:spacing w:val="-1"/>
                <w:sz w:val="18"/>
                <w:szCs w:val="18"/>
              </w:rPr>
              <w:t>政府预算支出经济科目名</w:t>
            </w:r>
            <w:r>
              <w:rPr>
                <w:rFonts w:ascii="宋体" w:hAnsi="宋体" w:eastAsia="宋体" w:cs="宋体"/>
                <w:color w:val="212529"/>
                <w:spacing w:val="1"/>
                <w:sz w:val="18"/>
                <w:szCs w:val="18"/>
              </w:rPr>
              <w:t xml:space="preserve"> </w:t>
            </w:r>
            <w:r>
              <w:rPr>
                <w:rFonts w:ascii="宋体" w:hAnsi="宋体" w:eastAsia="宋体" w:cs="宋体"/>
                <w:color w:val="212529"/>
                <w:sz w:val="18"/>
                <w:szCs w:val="18"/>
              </w:rPr>
              <w:t>称</w:t>
            </w:r>
          </w:p>
        </w:tc>
        <w:tc>
          <w:tcPr>
            <w:tcW w:w="3843" w:type="dxa"/>
            <w:gridSpan w:val="3"/>
            <w:vAlign w:val="top"/>
          </w:tcPr>
          <w:p w14:paraId="2C6A09E0">
            <w:pPr>
              <w:spacing w:before="60" w:line="219" w:lineRule="auto"/>
              <w:ind w:left="1379"/>
              <w:rPr>
                <w:rFonts w:ascii="宋体" w:hAnsi="宋体" w:eastAsia="宋体" w:cs="宋体"/>
                <w:sz w:val="18"/>
                <w:szCs w:val="18"/>
              </w:rPr>
            </w:pPr>
            <w:r>
              <w:rPr>
                <w:rFonts w:ascii="宋体" w:hAnsi="宋体" w:eastAsia="宋体" w:cs="宋体"/>
                <w:color w:val="212529"/>
                <w:spacing w:val="-2"/>
                <w:sz w:val="18"/>
                <w:szCs w:val="18"/>
              </w:rPr>
              <w:t>2023年预算数</w:t>
            </w:r>
          </w:p>
        </w:tc>
      </w:tr>
      <w:tr w14:paraId="13C1C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Merge w:val="continue"/>
            <w:tcBorders>
              <w:top w:val="nil"/>
            </w:tcBorders>
            <w:vAlign w:val="top"/>
          </w:tcPr>
          <w:p w14:paraId="0D07C4EA">
            <w:pPr>
              <w:pStyle w:val="6"/>
            </w:pPr>
          </w:p>
        </w:tc>
        <w:tc>
          <w:tcPr>
            <w:tcW w:w="2158" w:type="dxa"/>
            <w:vMerge w:val="continue"/>
            <w:tcBorders>
              <w:top w:val="nil"/>
            </w:tcBorders>
            <w:vAlign w:val="top"/>
          </w:tcPr>
          <w:p w14:paraId="32E318E3">
            <w:pPr>
              <w:pStyle w:val="6"/>
            </w:pPr>
          </w:p>
        </w:tc>
        <w:tc>
          <w:tcPr>
            <w:tcW w:w="1367" w:type="dxa"/>
            <w:vAlign w:val="top"/>
          </w:tcPr>
          <w:p w14:paraId="75796109">
            <w:pPr>
              <w:spacing w:before="61" w:line="220" w:lineRule="auto"/>
              <w:ind w:left="502"/>
              <w:rPr>
                <w:rFonts w:ascii="宋体" w:hAnsi="宋体" w:eastAsia="宋体" w:cs="宋体"/>
                <w:sz w:val="18"/>
                <w:szCs w:val="18"/>
              </w:rPr>
            </w:pPr>
            <w:r>
              <w:rPr>
                <w:rFonts w:ascii="宋体" w:hAnsi="宋体" w:eastAsia="宋体" w:cs="宋体"/>
                <w:color w:val="212529"/>
                <w:spacing w:val="-5"/>
                <w:sz w:val="18"/>
                <w:szCs w:val="18"/>
              </w:rPr>
              <w:t>合计</w:t>
            </w:r>
          </w:p>
        </w:tc>
        <w:tc>
          <w:tcPr>
            <w:tcW w:w="1307" w:type="dxa"/>
            <w:vAlign w:val="top"/>
          </w:tcPr>
          <w:p w14:paraId="3CA32EC3">
            <w:pPr>
              <w:spacing w:before="61" w:line="219" w:lineRule="auto"/>
              <w:ind w:left="293"/>
              <w:rPr>
                <w:rFonts w:ascii="宋体" w:hAnsi="宋体" w:eastAsia="宋体" w:cs="宋体"/>
                <w:sz w:val="18"/>
                <w:szCs w:val="18"/>
              </w:rPr>
            </w:pPr>
            <w:r>
              <w:rPr>
                <w:rFonts w:ascii="宋体" w:hAnsi="宋体" w:eastAsia="宋体" w:cs="宋体"/>
                <w:color w:val="212529"/>
                <w:spacing w:val="-3"/>
                <w:sz w:val="18"/>
                <w:szCs w:val="18"/>
              </w:rPr>
              <w:t>人员经费</w:t>
            </w:r>
          </w:p>
        </w:tc>
        <w:tc>
          <w:tcPr>
            <w:tcW w:w="1169" w:type="dxa"/>
            <w:vAlign w:val="top"/>
          </w:tcPr>
          <w:p w14:paraId="60138A08">
            <w:pPr>
              <w:spacing w:before="61" w:line="219" w:lineRule="auto"/>
              <w:ind w:left="227"/>
              <w:rPr>
                <w:rFonts w:ascii="宋体" w:hAnsi="宋体" w:eastAsia="宋体" w:cs="宋体"/>
                <w:sz w:val="18"/>
                <w:szCs w:val="18"/>
              </w:rPr>
            </w:pPr>
            <w:r>
              <w:rPr>
                <w:rFonts w:ascii="宋体" w:hAnsi="宋体" w:eastAsia="宋体" w:cs="宋体"/>
                <w:color w:val="212529"/>
                <w:spacing w:val="-4"/>
                <w:sz w:val="18"/>
                <w:szCs w:val="18"/>
              </w:rPr>
              <w:t>公用经费</w:t>
            </w:r>
          </w:p>
        </w:tc>
      </w:tr>
      <w:tr w14:paraId="4CC66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5125" w:type="dxa"/>
            <w:gridSpan w:val="2"/>
            <w:vAlign w:val="top"/>
          </w:tcPr>
          <w:p w14:paraId="75A0A45C">
            <w:pPr>
              <w:spacing w:before="77" w:line="182" w:lineRule="auto"/>
              <w:ind w:left="2375"/>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67" w:type="dxa"/>
            <w:vAlign w:val="top"/>
          </w:tcPr>
          <w:p w14:paraId="18484248">
            <w:pPr>
              <w:spacing w:before="88" w:line="183" w:lineRule="auto"/>
              <w:ind w:right="4"/>
              <w:jc w:val="right"/>
              <w:rPr>
                <w:rFonts w:ascii="宋体" w:hAnsi="宋体" w:eastAsia="宋体" w:cs="宋体"/>
                <w:sz w:val="18"/>
                <w:szCs w:val="18"/>
              </w:rPr>
            </w:pPr>
            <w:r>
              <w:rPr>
                <w:rFonts w:ascii="宋体" w:hAnsi="宋体" w:eastAsia="宋体" w:cs="宋体"/>
                <w:color w:val="212529"/>
                <w:spacing w:val="-4"/>
                <w:sz w:val="18"/>
                <w:szCs w:val="18"/>
              </w:rPr>
              <w:t>173.90</w:t>
            </w:r>
          </w:p>
        </w:tc>
        <w:tc>
          <w:tcPr>
            <w:tcW w:w="1307" w:type="dxa"/>
            <w:vAlign w:val="top"/>
          </w:tcPr>
          <w:p w14:paraId="6EB4AA91">
            <w:pPr>
              <w:spacing w:before="88" w:line="183" w:lineRule="auto"/>
              <w:ind w:right="3"/>
              <w:jc w:val="right"/>
              <w:rPr>
                <w:rFonts w:ascii="宋体" w:hAnsi="宋体" w:eastAsia="宋体" w:cs="宋体"/>
                <w:sz w:val="18"/>
                <w:szCs w:val="18"/>
              </w:rPr>
            </w:pPr>
            <w:r>
              <w:rPr>
                <w:rFonts w:ascii="宋体" w:hAnsi="宋体" w:eastAsia="宋体" w:cs="宋体"/>
                <w:color w:val="212529"/>
                <w:spacing w:val="-4"/>
                <w:sz w:val="18"/>
                <w:szCs w:val="18"/>
              </w:rPr>
              <w:t>150.22</w:t>
            </w:r>
          </w:p>
        </w:tc>
        <w:tc>
          <w:tcPr>
            <w:tcW w:w="1169" w:type="dxa"/>
            <w:vAlign w:val="top"/>
          </w:tcPr>
          <w:p w14:paraId="53CF16E6">
            <w:pPr>
              <w:spacing w:before="88" w:line="183" w:lineRule="auto"/>
              <w:ind w:right="14"/>
              <w:jc w:val="right"/>
              <w:rPr>
                <w:rFonts w:ascii="宋体" w:hAnsi="宋体" w:eastAsia="宋体" w:cs="宋体"/>
                <w:sz w:val="18"/>
                <w:szCs w:val="18"/>
              </w:rPr>
            </w:pPr>
            <w:r>
              <w:rPr>
                <w:rFonts w:ascii="宋体" w:hAnsi="宋体" w:eastAsia="宋体" w:cs="宋体"/>
                <w:color w:val="212529"/>
                <w:spacing w:val="-2"/>
                <w:sz w:val="18"/>
                <w:szCs w:val="18"/>
              </w:rPr>
              <w:t>23.68</w:t>
            </w:r>
          </w:p>
        </w:tc>
      </w:tr>
      <w:tr w14:paraId="1E9D1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67" w:type="dxa"/>
            <w:vAlign w:val="top"/>
          </w:tcPr>
          <w:p w14:paraId="4DE97D5F">
            <w:pPr>
              <w:spacing w:before="62" w:line="219" w:lineRule="auto"/>
              <w:ind w:left="11"/>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2158" w:type="dxa"/>
            <w:vAlign w:val="top"/>
          </w:tcPr>
          <w:p w14:paraId="062595DE">
            <w:pPr>
              <w:pStyle w:val="6"/>
            </w:pPr>
          </w:p>
        </w:tc>
        <w:tc>
          <w:tcPr>
            <w:tcW w:w="1367" w:type="dxa"/>
            <w:vAlign w:val="top"/>
          </w:tcPr>
          <w:p w14:paraId="0FE020B2">
            <w:pPr>
              <w:spacing w:before="88" w:line="183" w:lineRule="auto"/>
              <w:jc w:val="right"/>
              <w:rPr>
                <w:rFonts w:ascii="宋体" w:hAnsi="宋体" w:eastAsia="宋体" w:cs="宋体"/>
                <w:sz w:val="18"/>
                <w:szCs w:val="18"/>
              </w:rPr>
            </w:pPr>
            <w:r>
              <w:rPr>
                <w:rFonts w:ascii="宋体" w:hAnsi="宋体" w:eastAsia="宋体" w:cs="宋体"/>
                <w:color w:val="212529"/>
                <w:spacing w:val="-4"/>
                <w:sz w:val="18"/>
                <w:szCs w:val="18"/>
              </w:rPr>
              <w:t>142.34</w:t>
            </w:r>
          </w:p>
        </w:tc>
        <w:tc>
          <w:tcPr>
            <w:tcW w:w="1307" w:type="dxa"/>
            <w:vAlign w:val="top"/>
          </w:tcPr>
          <w:p w14:paraId="3D4BCACA">
            <w:pPr>
              <w:spacing w:before="88" w:line="183" w:lineRule="auto"/>
              <w:jc w:val="right"/>
              <w:rPr>
                <w:rFonts w:ascii="宋体" w:hAnsi="宋体" w:eastAsia="宋体" w:cs="宋体"/>
                <w:sz w:val="18"/>
                <w:szCs w:val="18"/>
              </w:rPr>
            </w:pPr>
            <w:r>
              <w:rPr>
                <w:rFonts w:ascii="宋体" w:hAnsi="宋体" w:eastAsia="宋体" w:cs="宋体"/>
                <w:color w:val="212529"/>
                <w:spacing w:val="-4"/>
                <w:sz w:val="18"/>
                <w:szCs w:val="18"/>
              </w:rPr>
              <w:t>142.34</w:t>
            </w:r>
          </w:p>
        </w:tc>
        <w:tc>
          <w:tcPr>
            <w:tcW w:w="1169" w:type="dxa"/>
            <w:vAlign w:val="top"/>
          </w:tcPr>
          <w:p w14:paraId="61BA65DA">
            <w:pPr>
              <w:pStyle w:val="6"/>
            </w:pPr>
          </w:p>
        </w:tc>
      </w:tr>
      <w:tr w14:paraId="23400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222E3C8B">
            <w:pPr>
              <w:spacing w:before="62" w:line="218" w:lineRule="auto"/>
              <w:ind w:left="8"/>
              <w:rPr>
                <w:rFonts w:ascii="宋体" w:hAnsi="宋体" w:eastAsia="宋体" w:cs="宋体"/>
                <w:sz w:val="18"/>
                <w:szCs w:val="18"/>
              </w:rPr>
            </w:pPr>
            <w:r>
              <w:rPr>
                <w:rFonts w:ascii="宋体" w:hAnsi="宋体" w:eastAsia="宋体" w:cs="宋体"/>
                <w:color w:val="212529"/>
                <w:spacing w:val="-2"/>
                <w:sz w:val="18"/>
                <w:szCs w:val="18"/>
              </w:rPr>
              <w:t>基本工资</w:t>
            </w:r>
          </w:p>
        </w:tc>
        <w:tc>
          <w:tcPr>
            <w:tcW w:w="2158" w:type="dxa"/>
            <w:vAlign w:val="top"/>
          </w:tcPr>
          <w:p w14:paraId="3A5916DC">
            <w:pPr>
              <w:spacing w:before="62" w:line="219" w:lineRule="auto"/>
              <w:ind w:left="9"/>
              <w:rPr>
                <w:rFonts w:ascii="宋体" w:hAnsi="宋体" w:eastAsia="宋体" w:cs="宋体"/>
                <w:sz w:val="18"/>
                <w:szCs w:val="18"/>
              </w:rPr>
            </w:pPr>
            <w:r>
              <w:rPr>
                <w:rFonts w:ascii="宋体" w:hAnsi="宋体" w:eastAsia="宋体" w:cs="宋体"/>
                <w:color w:val="212529"/>
                <w:spacing w:val="-2"/>
                <w:sz w:val="18"/>
                <w:szCs w:val="18"/>
              </w:rPr>
              <w:t>工资奖金津补贴</w:t>
            </w:r>
          </w:p>
        </w:tc>
        <w:tc>
          <w:tcPr>
            <w:tcW w:w="1367" w:type="dxa"/>
            <w:vAlign w:val="top"/>
          </w:tcPr>
          <w:p w14:paraId="1B4A15F2">
            <w:pPr>
              <w:spacing w:before="90"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55.99</w:t>
            </w:r>
          </w:p>
        </w:tc>
        <w:tc>
          <w:tcPr>
            <w:tcW w:w="1307" w:type="dxa"/>
            <w:vAlign w:val="top"/>
          </w:tcPr>
          <w:p w14:paraId="7FC3CDEF">
            <w:pPr>
              <w:spacing w:before="90" w:line="183" w:lineRule="auto"/>
              <w:ind w:right="3"/>
              <w:jc w:val="right"/>
              <w:rPr>
                <w:rFonts w:ascii="宋体" w:hAnsi="宋体" w:eastAsia="宋体" w:cs="宋体"/>
                <w:sz w:val="18"/>
                <w:szCs w:val="18"/>
              </w:rPr>
            </w:pPr>
            <w:r>
              <w:rPr>
                <w:rFonts w:ascii="宋体" w:hAnsi="宋体" w:eastAsia="宋体" w:cs="宋体"/>
                <w:color w:val="212529"/>
                <w:spacing w:val="-3"/>
                <w:sz w:val="18"/>
                <w:szCs w:val="18"/>
              </w:rPr>
              <w:t>55.99</w:t>
            </w:r>
          </w:p>
        </w:tc>
        <w:tc>
          <w:tcPr>
            <w:tcW w:w="1169" w:type="dxa"/>
            <w:vAlign w:val="top"/>
          </w:tcPr>
          <w:p w14:paraId="337371B3">
            <w:pPr>
              <w:pStyle w:val="6"/>
            </w:pPr>
          </w:p>
        </w:tc>
      </w:tr>
      <w:tr w14:paraId="49E1E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67" w:type="dxa"/>
            <w:vAlign w:val="top"/>
          </w:tcPr>
          <w:p w14:paraId="6CD31607">
            <w:pPr>
              <w:spacing w:before="62" w:line="219" w:lineRule="auto"/>
              <w:ind w:left="8"/>
              <w:rPr>
                <w:rFonts w:ascii="宋体" w:hAnsi="宋体" w:eastAsia="宋体" w:cs="宋体"/>
                <w:sz w:val="18"/>
                <w:szCs w:val="18"/>
              </w:rPr>
            </w:pPr>
            <w:r>
              <w:rPr>
                <w:rFonts w:ascii="宋体" w:hAnsi="宋体" w:eastAsia="宋体" w:cs="宋体"/>
                <w:color w:val="212529"/>
                <w:spacing w:val="-2"/>
                <w:sz w:val="18"/>
                <w:szCs w:val="18"/>
              </w:rPr>
              <w:t>津贴补贴</w:t>
            </w:r>
          </w:p>
        </w:tc>
        <w:tc>
          <w:tcPr>
            <w:tcW w:w="2158" w:type="dxa"/>
            <w:vAlign w:val="top"/>
          </w:tcPr>
          <w:p w14:paraId="322C4788">
            <w:pPr>
              <w:spacing w:before="62" w:line="219" w:lineRule="auto"/>
              <w:ind w:left="9"/>
              <w:rPr>
                <w:rFonts w:ascii="宋体" w:hAnsi="宋体" w:eastAsia="宋体" w:cs="宋体"/>
                <w:sz w:val="18"/>
                <w:szCs w:val="18"/>
              </w:rPr>
            </w:pPr>
            <w:r>
              <w:rPr>
                <w:rFonts w:ascii="宋体" w:hAnsi="宋体" w:eastAsia="宋体" w:cs="宋体"/>
                <w:color w:val="212529"/>
                <w:spacing w:val="-2"/>
                <w:sz w:val="18"/>
                <w:szCs w:val="18"/>
              </w:rPr>
              <w:t>工资奖金津补贴</w:t>
            </w:r>
          </w:p>
        </w:tc>
        <w:tc>
          <w:tcPr>
            <w:tcW w:w="1367" w:type="dxa"/>
            <w:vAlign w:val="top"/>
          </w:tcPr>
          <w:p w14:paraId="3C828F75">
            <w:pPr>
              <w:spacing w:before="90"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39.25</w:t>
            </w:r>
          </w:p>
        </w:tc>
        <w:tc>
          <w:tcPr>
            <w:tcW w:w="1307" w:type="dxa"/>
            <w:vAlign w:val="top"/>
          </w:tcPr>
          <w:p w14:paraId="34BAEF4F">
            <w:pPr>
              <w:spacing w:before="90" w:line="183" w:lineRule="auto"/>
              <w:ind w:right="3"/>
              <w:jc w:val="right"/>
              <w:rPr>
                <w:rFonts w:ascii="宋体" w:hAnsi="宋体" w:eastAsia="宋体" w:cs="宋体"/>
                <w:sz w:val="18"/>
                <w:szCs w:val="18"/>
              </w:rPr>
            </w:pPr>
            <w:r>
              <w:rPr>
                <w:rFonts w:ascii="宋体" w:hAnsi="宋体" w:eastAsia="宋体" w:cs="宋体"/>
                <w:color w:val="212529"/>
                <w:spacing w:val="-3"/>
                <w:sz w:val="18"/>
                <w:szCs w:val="18"/>
              </w:rPr>
              <w:t>39.25</w:t>
            </w:r>
          </w:p>
        </w:tc>
        <w:tc>
          <w:tcPr>
            <w:tcW w:w="1169" w:type="dxa"/>
            <w:vAlign w:val="top"/>
          </w:tcPr>
          <w:p w14:paraId="27AC4779">
            <w:pPr>
              <w:pStyle w:val="6"/>
            </w:pPr>
          </w:p>
        </w:tc>
      </w:tr>
      <w:tr w14:paraId="0E34A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5B4BEE25">
            <w:pPr>
              <w:spacing w:before="64" w:line="219" w:lineRule="auto"/>
              <w:ind w:left="10"/>
              <w:rPr>
                <w:rFonts w:ascii="宋体" w:hAnsi="宋体" w:eastAsia="宋体" w:cs="宋体"/>
                <w:sz w:val="18"/>
                <w:szCs w:val="18"/>
              </w:rPr>
            </w:pPr>
            <w:r>
              <w:rPr>
                <w:rFonts w:ascii="宋体" w:hAnsi="宋体" w:eastAsia="宋体" w:cs="宋体"/>
                <w:color w:val="212529"/>
                <w:spacing w:val="-5"/>
                <w:sz w:val="18"/>
                <w:szCs w:val="18"/>
              </w:rPr>
              <w:t>奖金</w:t>
            </w:r>
          </w:p>
        </w:tc>
        <w:tc>
          <w:tcPr>
            <w:tcW w:w="2158" w:type="dxa"/>
            <w:vAlign w:val="top"/>
          </w:tcPr>
          <w:p w14:paraId="69B40A9B">
            <w:pPr>
              <w:spacing w:before="63" w:line="219" w:lineRule="auto"/>
              <w:ind w:left="9"/>
              <w:rPr>
                <w:rFonts w:ascii="宋体" w:hAnsi="宋体" w:eastAsia="宋体" w:cs="宋体"/>
                <w:sz w:val="18"/>
                <w:szCs w:val="18"/>
              </w:rPr>
            </w:pPr>
            <w:r>
              <w:rPr>
                <w:rFonts w:ascii="宋体" w:hAnsi="宋体" w:eastAsia="宋体" w:cs="宋体"/>
                <w:color w:val="212529"/>
                <w:spacing w:val="-2"/>
                <w:sz w:val="18"/>
                <w:szCs w:val="18"/>
              </w:rPr>
              <w:t>工资奖金津补贴</w:t>
            </w:r>
          </w:p>
        </w:tc>
        <w:tc>
          <w:tcPr>
            <w:tcW w:w="1367" w:type="dxa"/>
            <w:vAlign w:val="top"/>
          </w:tcPr>
          <w:p w14:paraId="1C0D2752">
            <w:pPr>
              <w:spacing w:before="92" w:line="182" w:lineRule="auto"/>
              <w:ind w:right="4"/>
              <w:jc w:val="right"/>
              <w:rPr>
                <w:rFonts w:ascii="宋体" w:hAnsi="宋体" w:eastAsia="宋体" w:cs="宋体"/>
                <w:sz w:val="18"/>
                <w:szCs w:val="18"/>
              </w:rPr>
            </w:pPr>
            <w:r>
              <w:rPr>
                <w:rFonts w:ascii="宋体" w:hAnsi="宋体" w:eastAsia="宋体" w:cs="宋体"/>
                <w:color w:val="212529"/>
                <w:spacing w:val="-5"/>
                <w:sz w:val="18"/>
                <w:szCs w:val="18"/>
              </w:rPr>
              <w:t>11.14</w:t>
            </w:r>
          </w:p>
        </w:tc>
        <w:tc>
          <w:tcPr>
            <w:tcW w:w="1307" w:type="dxa"/>
            <w:vAlign w:val="top"/>
          </w:tcPr>
          <w:p w14:paraId="00278505">
            <w:pPr>
              <w:spacing w:before="92" w:line="182" w:lineRule="auto"/>
              <w:ind w:right="3"/>
              <w:jc w:val="right"/>
              <w:rPr>
                <w:rFonts w:ascii="宋体" w:hAnsi="宋体" w:eastAsia="宋体" w:cs="宋体"/>
                <w:sz w:val="18"/>
                <w:szCs w:val="18"/>
              </w:rPr>
            </w:pPr>
            <w:r>
              <w:rPr>
                <w:rFonts w:ascii="宋体" w:hAnsi="宋体" w:eastAsia="宋体" w:cs="宋体"/>
                <w:color w:val="212529"/>
                <w:spacing w:val="-5"/>
                <w:sz w:val="18"/>
                <w:szCs w:val="18"/>
              </w:rPr>
              <w:t>11.14</w:t>
            </w:r>
          </w:p>
        </w:tc>
        <w:tc>
          <w:tcPr>
            <w:tcW w:w="1169" w:type="dxa"/>
            <w:vAlign w:val="top"/>
          </w:tcPr>
          <w:p w14:paraId="2D1A73C8">
            <w:pPr>
              <w:pStyle w:val="6"/>
            </w:pPr>
          </w:p>
        </w:tc>
      </w:tr>
      <w:tr w14:paraId="454CB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67" w:type="dxa"/>
            <w:vAlign w:val="top"/>
          </w:tcPr>
          <w:p w14:paraId="695F6642">
            <w:pPr>
              <w:spacing w:before="64" w:line="218" w:lineRule="auto"/>
              <w:ind w:left="8"/>
              <w:rPr>
                <w:rFonts w:ascii="宋体" w:hAnsi="宋体" w:eastAsia="宋体" w:cs="宋体"/>
                <w:sz w:val="18"/>
                <w:szCs w:val="18"/>
              </w:rPr>
            </w:pPr>
            <w:r>
              <w:rPr>
                <w:rFonts w:ascii="宋体" w:hAnsi="宋体" w:eastAsia="宋体" w:cs="宋体"/>
                <w:color w:val="212529"/>
                <w:spacing w:val="-1"/>
                <w:sz w:val="18"/>
                <w:szCs w:val="18"/>
              </w:rPr>
              <w:t>机关事业单位基本养老保险缴费</w:t>
            </w:r>
          </w:p>
        </w:tc>
        <w:tc>
          <w:tcPr>
            <w:tcW w:w="2158" w:type="dxa"/>
            <w:vAlign w:val="top"/>
          </w:tcPr>
          <w:p w14:paraId="34F53589">
            <w:pPr>
              <w:spacing w:before="64" w:line="218" w:lineRule="auto"/>
              <w:ind w:left="8"/>
              <w:rPr>
                <w:rFonts w:ascii="宋体" w:hAnsi="宋体" w:eastAsia="宋体" w:cs="宋体"/>
                <w:sz w:val="18"/>
                <w:szCs w:val="18"/>
              </w:rPr>
            </w:pPr>
            <w:r>
              <w:rPr>
                <w:rFonts w:ascii="宋体" w:hAnsi="宋体" w:eastAsia="宋体" w:cs="宋体"/>
                <w:color w:val="212529"/>
                <w:spacing w:val="-2"/>
                <w:sz w:val="18"/>
                <w:szCs w:val="18"/>
              </w:rPr>
              <w:t>社会保障缴费</w:t>
            </w:r>
          </w:p>
        </w:tc>
        <w:tc>
          <w:tcPr>
            <w:tcW w:w="1367" w:type="dxa"/>
            <w:vAlign w:val="top"/>
          </w:tcPr>
          <w:p w14:paraId="7DFB1CE4">
            <w:pPr>
              <w:spacing w:before="92" w:line="182" w:lineRule="auto"/>
              <w:ind w:right="4"/>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307" w:type="dxa"/>
            <w:vAlign w:val="top"/>
          </w:tcPr>
          <w:p w14:paraId="791AAB67">
            <w:pPr>
              <w:spacing w:before="92" w:line="182" w:lineRule="auto"/>
              <w:ind w:right="3"/>
              <w:jc w:val="right"/>
              <w:rPr>
                <w:rFonts w:ascii="宋体" w:hAnsi="宋体" w:eastAsia="宋体" w:cs="宋体"/>
                <w:sz w:val="18"/>
                <w:szCs w:val="18"/>
              </w:rPr>
            </w:pPr>
            <w:r>
              <w:rPr>
                <w:rFonts w:ascii="宋体" w:hAnsi="宋体" w:eastAsia="宋体" w:cs="宋体"/>
                <w:color w:val="212529"/>
                <w:spacing w:val="-5"/>
                <w:sz w:val="18"/>
                <w:szCs w:val="18"/>
              </w:rPr>
              <w:t>15.51</w:t>
            </w:r>
          </w:p>
        </w:tc>
        <w:tc>
          <w:tcPr>
            <w:tcW w:w="1169" w:type="dxa"/>
            <w:vAlign w:val="top"/>
          </w:tcPr>
          <w:p w14:paraId="78B590DB">
            <w:pPr>
              <w:pStyle w:val="6"/>
            </w:pPr>
          </w:p>
        </w:tc>
      </w:tr>
      <w:tr w14:paraId="4ED22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3DCFCBEE">
            <w:pPr>
              <w:spacing w:before="65" w:line="218" w:lineRule="auto"/>
              <w:ind w:left="7"/>
              <w:rPr>
                <w:rFonts w:ascii="宋体" w:hAnsi="宋体" w:eastAsia="宋体" w:cs="宋体"/>
                <w:sz w:val="18"/>
                <w:szCs w:val="18"/>
              </w:rPr>
            </w:pPr>
            <w:r>
              <w:rPr>
                <w:rFonts w:ascii="宋体" w:hAnsi="宋体" w:eastAsia="宋体" w:cs="宋体"/>
                <w:color w:val="212529"/>
                <w:spacing w:val="-1"/>
                <w:sz w:val="18"/>
                <w:szCs w:val="18"/>
              </w:rPr>
              <w:t>职工基本医疗保险缴费</w:t>
            </w:r>
          </w:p>
        </w:tc>
        <w:tc>
          <w:tcPr>
            <w:tcW w:w="2158" w:type="dxa"/>
            <w:vAlign w:val="top"/>
          </w:tcPr>
          <w:p w14:paraId="3C609765">
            <w:pPr>
              <w:spacing w:before="65" w:line="218" w:lineRule="auto"/>
              <w:ind w:left="8"/>
              <w:rPr>
                <w:rFonts w:ascii="宋体" w:hAnsi="宋体" w:eastAsia="宋体" w:cs="宋体"/>
                <w:sz w:val="18"/>
                <w:szCs w:val="18"/>
              </w:rPr>
            </w:pPr>
            <w:r>
              <w:rPr>
                <w:rFonts w:ascii="宋体" w:hAnsi="宋体" w:eastAsia="宋体" w:cs="宋体"/>
                <w:color w:val="212529"/>
                <w:spacing w:val="-2"/>
                <w:sz w:val="18"/>
                <w:szCs w:val="18"/>
              </w:rPr>
              <w:t>社会保障缴费</w:t>
            </w:r>
          </w:p>
        </w:tc>
        <w:tc>
          <w:tcPr>
            <w:tcW w:w="1367" w:type="dxa"/>
            <w:vAlign w:val="top"/>
          </w:tcPr>
          <w:p w14:paraId="278626BD">
            <w:pPr>
              <w:spacing w:before="92" w:line="183" w:lineRule="auto"/>
              <w:jc w:val="right"/>
              <w:rPr>
                <w:rFonts w:ascii="宋体" w:hAnsi="宋体" w:eastAsia="宋体" w:cs="宋体"/>
                <w:sz w:val="18"/>
                <w:szCs w:val="18"/>
              </w:rPr>
            </w:pPr>
            <w:r>
              <w:rPr>
                <w:rFonts w:ascii="宋体" w:hAnsi="宋体" w:eastAsia="宋体" w:cs="宋体"/>
                <w:color w:val="212529"/>
                <w:spacing w:val="-3"/>
                <w:sz w:val="18"/>
                <w:szCs w:val="18"/>
              </w:rPr>
              <w:t>6.17</w:t>
            </w:r>
          </w:p>
        </w:tc>
        <w:tc>
          <w:tcPr>
            <w:tcW w:w="1307" w:type="dxa"/>
            <w:vAlign w:val="top"/>
          </w:tcPr>
          <w:p w14:paraId="343CE9CE">
            <w:pPr>
              <w:spacing w:before="92" w:line="183" w:lineRule="auto"/>
              <w:jc w:val="right"/>
              <w:rPr>
                <w:rFonts w:ascii="宋体" w:hAnsi="宋体" w:eastAsia="宋体" w:cs="宋体"/>
                <w:sz w:val="18"/>
                <w:szCs w:val="18"/>
              </w:rPr>
            </w:pPr>
            <w:r>
              <w:rPr>
                <w:rFonts w:ascii="宋体" w:hAnsi="宋体" w:eastAsia="宋体" w:cs="宋体"/>
                <w:color w:val="212529"/>
                <w:spacing w:val="-3"/>
                <w:sz w:val="18"/>
                <w:szCs w:val="18"/>
              </w:rPr>
              <w:t>6.17</w:t>
            </w:r>
          </w:p>
        </w:tc>
        <w:tc>
          <w:tcPr>
            <w:tcW w:w="1169" w:type="dxa"/>
            <w:vAlign w:val="top"/>
          </w:tcPr>
          <w:p w14:paraId="2A5B387A">
            <w:pPr>
              <w:pStyle w:val="6"/>
            </w:pPr>
          </w:p>
        </w:tc>
      </w:tr>
      <w:tr w14:paraId="0286C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31426C0D">
            <w:pPr>
              <w:spacing w:before="65" w:line="218" w:lineRule="auto"/>
              <w:ind w:left="8"/>
              <w:rPr>
                <w:rFonts w:ascii="宋体" w:hAnsi="宋体" w:eastAsia="宋体" w:cs="宋体"/>
                <w:sz w:val="18"/>
                <w:szCs w:val="18"/>
              </w:rPr>
            </w:pPr>
            <w:r>
              <w:rPr>
                <w:rFonts w:ascii="宋体" w:hAnsi="宋体" w:eastAsia="宋体" w:cs="宋体"/>
                <w:color w:val="212529"/>
                <w:spacing w:val="-1"/>
                <w:sz w:val="18"/>
                <w:szCs w:val="18"/>
              </w:rPr>
              <w:t>其他社会保障缴费</w:t>
            </w:r>
          </w:p>
        </w:tc>
        <w:tc>
          <w:tcPr>
            <w:tcW w:w="2158" w:type="dxa"/>
            <w:vAlign w:val="top"/>
          </w:tcPr>
          <w:p w14:paraId="02C5B21D">
            <w:pPr>
              <w:spacing w:before="65" w:line="218" w:lineRule="auto"/>
              <w:ind w:left="8"/>
              <w:rPr>
                <w:rFonts w:ascii="宋体" w:hAnsi="宋体" w:eastAsia="宋体" w:cs="宋体"/>
                <w:sz w:val="18"/>
                <w:szCs w:val="18"/>
              </w:rPr>
            </w:pPr>
            <w:r>
              <w:rPr>
                <w:rFonts w:ascii="宋体" w:hAnsi="宋体" w:eastAsia="宋体" w:cs="宋体"/>
                <w:color w:val="212529"/>
                <w:spacing w:val="-2"/>
                <w:sz w:val="18"/>
                <w:szCs w:val="18"/>
              </w:rPr>
              <w:t>社会保障缴费</w:t>
            </w:r>
          </w:p>
        </w:tc>
        <w:tc>
          <w:tcPr>
            <w:tcW w:w="1367" w:type="dxa"/>
            <w:vAlign w:val="top"/>
          </w:tcPr>
          <w:p w14:paraId="17FBEAFB">
            <w:pPr>
              <w:spacing w:before="92" w:line="183" w:lineRule="auto"/>
              <w:jc w:val="right"/>
              <w:rPr>
                <w:rFonts w:ascii="宋体" w:hAnsi="宋体" w:eastAsia="宋体" w:cs="宋体"/>
                <w:sz w:val="18"/>
                <w:szCs w:val="18"/>
              </w:rPr>
            </w:pPr>
            <w:r>
              <w:rPr>
                <w:rFonts w:ascii="宋体" w:hAnsi="宋体" w:eastAsia="宋体" w:cs="宋体"/>
                <w:color w:val="212529"/>
                <w:spacing w:val="-3"/>
                <w:sz w:val="18"/>
                <w:szCs w:val="18"/>
              </w:rPr>
              <w:t>0.37</w:t>
            </w:r>
          </w:p>
        </w:tc>
        <w:tc>
          <w:tcPr>
            <w:tcW w:w="1307" w:type="dxa"/>
            <w:vAlign w:val="top"/>
          </w:tcPr>
          <w:p w14:paraId="42898970">
            <w:pPr>
              <w:spacing w:before="92" w:line="183" w:lineRule="auto"/>
              <w:jc w:val="right"/>
              <w:rPr>
                <w:rFonts w:ascii="宋体" w:hAnsi="宋体" w:eastAsia="宋体" w:cs="宋体"/>
                <w:sz w:val="18"/>
                <w:szCs w:val="18"/>
              </w:rPr>
            </w:pPr>
            <w:r>
              <w:rPr>
                <w:rFonts w:ascii="宋体" w:hAnsi="宋体" w:eastAsia="宋体" w:cs="宋体"/>
                <w:color w:val="212529"/>
                <w:spacing w:val="-3"/>
                <w:sz w:val="18"/>
                <w:szCs w:val="18"/>
              </w:rPr>
              <w:t>0.37</w:t>
            </w:r>
          </w:p>
        </w:tc>
        <w:tc>
          <w:tcPr>
            <w:tcW w:w="1169" w:type="dxa"/>
            <w:vAlign w:val="top"/>
          </w:tcPr>
          <w:p w14:paraId="629BF4BB">
            <w:pPr>
              <w:pStyle w:val="6"/>
            </w:pPr>
          </w:p>
        </w:tc>
      </w:tr>
      <w:tr w14:paraId="20AC4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5DD9A21F">
            <w:pPr>
              <w:spacing w:before="65" w:line="219" w:lineRule="auto"/>
              <w:ind w:left="9"/>
              <w:rPr>
                <w:rFonts w:ascii="宋体" w:hAnsi="宋体" w:eastAsia="宋体" w:cs="宋体"/>
                <w:sz w:val="18"/>
                <w:szCs w:val="18"/>
              </w:rPr>
            </w:pPr>
            <w:r>
              <w:rPr>
                <w:rFonts w:ascii="宋体" w:hAnsi="宋体" w:eastAsia="宋体" w:cs="宋体"/>
                <w:color w:val="212529"/>
                <w:spacing w:val="-2"/>
                <w:sz w:val="18"/>
                <w:szCs w:val="18"/>
              </w:rPr>
              <w:t>住房公积金</w:t>
            </w:r>
          </w:p>
        </w:tc>
        <w:tc>
          <w:tcPr>
            <w:tcW w:w="2158" w:type="dxa"/>
            <w:vAlign w:val="top"/>
          </w:tcPr>
          <w:p w14:paraId="51047AA7">
            <w:pPr>
              <w:spacing w:before="65" w:line="219" w:lineRule="auto"/>
              <w:ind w:left="7"/>
              <w:rPr>
                <w:rFonts w:ascii="宋体" w:hAnsi="宋体" w:eastAsia="宋体" w:cs="宋体"/>
                <w:sz w:val="18"/>
                <w:szCs w:val="18"/>
              </w:rPr>
            </w:pPr>
            <w:r>
              <w:rPr>
                <w:rFonts w:ascii="宋体" w:hAnsi="宋体" w:eastAsia="宋体" w:cs="宋体"/>
                <w:color w:val="212529"/>
                <w:spacing w:val="-2"/>
                <w:sz w:val="18"/>
                <w:szCs w:val="18"/>
              </w:rPr>
              <w:t>住房公积金</w:t>
            </w:r>
          </w:p>
        </w:tc>
        <w:tc>
          <w:tcPr>
            <w:tcW w:w="1367" w:type="dxa"/>
            <w:vAlign w:val="top"/>
          </w:tcPr>
          <w:p w14:paraId="19541D96">
            <w:pPr>
              <w:spacing w:before="92" w:line="183" w:lineRule="auto"/>
              <w:ind w:right="4"/>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307" w:type="dxa"/>
            <w:vAlign w:val="top"/>
          </w:tcPr>
          <w:p w14:paraId="0D58C7D0">
            <w:pPr>
              <w:spacing w:before="92" w:line="183" w:lineRule="auto"/>
              <w:ind w:right="3"/>
              <w:jc w:val="right"/>
              <w:rPr>
                <w:rFonts w:ascii="宋体" w:hAnsi="宋体" w:eastAsia="宋体" w:cs="宋体"/>
                <w:sz w:val="18"/>
                <w:szCs w:val="18"/>
              </w:rPr>
            </w:pPr>
            <w:r>
              <w:rPr>
                <w:rFonts w:ascii="宋体" w:hAnsi="宋体" w:eastAsia="宋体" w:cs="宋体"/>
                <w:color w:val="212529"/>
                <w:spacing w:val="-5"/>
                <w:sz w:val="18"/>
                <w:szCs w:val="18"/>
              </w:rPr>
              <w:t>13.90</w:t>
            </w:r>
          </w:p>
        </w:tc>
        <w:tc>
          <w:tcPr>
            <w:tcW w:w="1169" w:type="dxa"/>
            <w:vAlign w:val="top"/>
          </w:tcPr>
          <w:p w14:paraId="46D88B5C">
            <w:pPr>
              <w:pStyle w:val="6"/>
            </w:pPr>
          </w:p>
        </w:tc>
      </w:tr>
      <w:tr w14:paraId="04D64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58D82D09">
            <w:pPr>
              <w:spacing w:before="65" w:line="219" w:lineRule="auto"/>
              <w:ind w:left="11"/>
              <w:rPr>
                <w:rFonts w:ascii="宋体" w:hAnsi="宋体" w:eastAsia="宋体" w:cs="宋体"/>
                <w:sz w:val="18"/>
                <w:szCs w:val="18"/>
              </w:rPr>
            </w:pPr>
            <w:r>
              <w:rPr>
                <w:rFonts w:ascii="宋体" w:hAnsi="宋体" w:eastAsia="宋体" w:cs="宋体"/>
                <w:color w:val="212529"/>
                <w:spacing w:val="-2"/>
                <w:sz w:val="18"/>
                <w:szCs w:val="18"/>
              </w:rPr>
              <w:t>商品和服务支出</w:t>
            </w:r>
          </w:p>
        </w:tc>
        <w:tc>
          <w:tcPr>
            <w:tcW w:w="2158" w:type="dxa"/>
            <w:vAlign w:val="top"/>
          </w:tcPr>
          <w:p w14:paraId="616FA5F0">
            <w:pPr>
              <w:pStyle w:val="6"/>
            </w:pPr>
          </w:p>
        </w:tc>
        <w:tc>
          <w:tcPr>
            <w:tcW w:w="1367" w:type="dxa"/>
            <w:vAlign w:val="top"/>
          </w:tcPr>
          <w:p w14:paraId="31FD8C2B">
            <w:pPr>
              <w:spacing w:before="92"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23.68</w:t>
            </w:r>
          </w:p>
        </w:tc>
        <w:tc>
          <w:tcPr>
            <w:tcW w:w="1307" w:type="dxa"/>
            <w:vAlign w:val="top"/>
          </w:tcPr>
          <w:p w14:paraId="2D1D0511">
            <w:pPr>
              <w:pStyle w:val="6"/>
            </w:pPr>
          </w:p>
        </w:tc>
        <w:tc>
          <w:tcPr>
            <w:tcW w:w="1169" w:type="dxa"/>
            <w:vAlign w:val="top"/>
          </w:tcPr>
          <w:p w14:paraId="0CCC4E3D">
            <w:pPr>
              <w:spacing w:before="92"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23.68</w:t>
            </w:r>
          </w:p>
        </w:tc>
      </w:tr>
      <w:tr w14:paraId="6268C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67" w:type="dxa"/>
            <w:vAlign w:val="top"/>
          </w:tcPr>
          <w:p w14:paraId="1776889F">
            <w:pPr>
              <w:spacing w:before="65" w:line="219" w:lineRule="auto"/>
              <w:ind w:left="12"/>
              <w:rPr>
                <w:rFonts w:ascii="宋体" w:hAnsi="宋体" w:eastAsia="宋体" w:cs="宋体"/>
                <w:sz w:val="18"/>
                <w:szCs w:val="18"/>
              </w:rPr>
            </w:pPr>
            <w:r>
              <w:rPr>
                <w:rFonts w:ascii="宋体" w:hAnsi="宋体" w:eastAsia="宋体" w:cs="宋体"/>
                <w:color w:val="212529"/>
                <w:spacing w:val="-4"/>
                <w:sz w:val="18"/>
                <w:szCs w:val="18"/>
              </w:rPr>
              <w:t>办公费</w:t>
            </w:r>
          </w:p>
        </w:tc>
        <w:tc>
          <w:tcPr>
            <w:tcW w:w="2158" w:type="dxa"/>
            <w:vAlign w:val="top"/>
          </w:tcPr>
          <w:p w14:paraId="56453E38">
            <w:pPr>
              <w:spacing w:before="65"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7BDAA5FF">
            <w:pPr>
              <w:spacing w:before="92" w:line="183" w:lineRule="auto"/>
              <w:jc w:val="right"/>
              <w:rPr>
                <w:rFonts w:ascii="宋体" w:hAnsi="宋体" w:eastAsia="宋体" w:cs="宋体"/>
                <w:sz w:val="18"/>
                <w:szCs w:val="18"/>
              </w:rPr>
            </w:pPr>
            <w:r>
              <w:rPr>
                <w:rFonts w:ascii="宋体" w:hAnsi="宋体" w:eastAsia="宋体" w:cs="宋体"/>
                <w:color w:val="212529"/>
                <w:spacing w:val="-6"/>
                <w:sz w:val="18"/>
                <w:szCs w:val="18"/>
              </w:rPr>
              <w:t>1.32</w:t>
            </w:r>
          </w:p>
        </w:tc>
        <w:tc>
          <w:tcPr>
            <w:tcW w:w="1307" w:type="dxa"/>
            <w:vAlign w:val="top"/>
          </w:tcPr>
          <w:p w14:paraId="431D7D96">
            <w:pPr>
              <w:pStyle w:val="6"/>
            </w:pPr>
          </w:p>
        </w:tc>
        <w:tc>
          <w:tcPr>
            <w:tcW w:w="1169" w:type="dxa"/>
            <w:vAlign w:val="top"/>
          </w:tcPr>
          <w:p w14:paraId="66F8F0A0">
            <w:pPr>
              <w:spacing w:before="92" w:line="183" w:lineRule="auto"/>
              <w:ind w:right="2"/>
              <w:jc w:val="right"/>
              <w:rPr>
                <w:rFonts w:ascii="宋体" w:hAnsi="宋体" w:eastAsia="宋体" w:cs="宋体"/>
                <w:sz w:val="18"/>
                <w:szCs w:val="18"/>
              </w:rPr>
            </w:pPr>
            <w:r>
              <w:rPr>
                <w:rFonts w:ascii="宋体" w:hAnsi="宋体" w:eastAsia="宋体" w:cs="宋体"/>
                <w:color w:val="212529"/>
                <w:spacing w:val="-6"/>
                <w:sz w:val="18"/>
                <w:szCs w:val="18"/>
              </w:rPr>
              <w:t>1.32</w:t>
            </w:r>
          </w:p>
        </w:tc>
      </w:tr>
      <w:tr w14:paraId="089B9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4083191B">
            <w:pPr>
              <w:spacing w:before="66" w:line="219" w:lineRule="auto"/>
              <w:ind w:left="23"/>
              <w:rPr>
                <w:rFonts w:ascii="宋体" w:hAnsi="宋体" w:eastAsia="宋体" w:cs="宋体"/>
                <w:sz w:val="18"/>
                <w:szCs w:val="18"/>
              </w:rPr>
            </w:pPr>
            <w:r>
              <w:rPr>
                <w:rFonts w:ascii="宋体" w:hAnsi="宋体" w:eastAsia="宋体" w:cs="宋体"/>
                <w:color w:val="212529"/>
                <w:spacing w:val="-8"/>
                <w:sz w:val="18"/>
                <w:szCs w:val="18"/>
              </w:rPr>
              <w:t>印刷费</w:t>
            </w:r>
          </w:p>
        </w:tc>
        <w:tc>
          <w:tcPr>
            <w:tcW w:w="2158" w:type="dxa"/>
            <w:vAlign w:val="top"/>
          </w:tcPr>
          <w:p w14:paraId="7080FDE0">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18FF8736">
            <w:pPr>
              <w:spacing w:before="93" w:line="183" w:lineRule="auto"/>
              <w:jc w:val="right"/>
              <w:rPr>
                <w:rFonts w:ascii="宋体" w:hAnsi="宋体" w:eastAsia="宋体" w:cs="宋体"/>
                <w:sz w:val="18"/>
                <w:szCs w:val="18"/>
              </w:rPr>
            </w:pPr>
            <w:r>
              <w:rPr>
                <w:rFonts w:ascii="宋体" w:hAnsi="宋体" w:eastAsia="宋体" w:cs="宋体"/>
                <w:color w:val="212529"/>
                <w:spacing w:val="-4"/>
                <w:sz w:val="18"/>
                <w:szCs w:val="18"/>
              </w:rPr>
              <w:t>3.00</w:t>
            </w:r>
          </w:p>
        </w:tc>
        <w:tc>
          <w:tcPr>
            <w:tcW w:w="1307" w:type="dxa"/>
            <w:vAlign w:val="top"/>
          </w:tcPr>
          <w:p w14:paraId="64971F31">
            <w:pPr>
              <w:pStyle w:val="6"/>
            </w:pPr>
          </w:p>
        </w:tc>
        <w:tc>
          <w:tcPr>
            <w:tcW w:w="1169" w:type="dxa"/>
            <w:vAlign w:val="top"/>
          </w:tcPr>
          <w:p w14:paraId="137E26C0">
            <w:pPr>
              <w:spacing w:before="93"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3.00</w:t>
            </w:r>
          </w:p>
        </w:tc>
      </w:tr>
      <w:tr w14:paraId="1C7E5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3A25E7A0">
            <w:pPr>
              <w:spacing w:before="66" w:line="219" w:lineRule="auto"/>
              <w:ind w:left="10"/>
              <w:rPr>
                <w:rFonts w:ascii="宋体" w:hAnsi="宋体" w:eastAsia="宋体" w:cs="宋体"/>
                <w:sz w:val="18"/>
                <w:szCs w:val="18"/>
              </w:rPr>
            </w:pPr>
            <w:r>
              <w:rPr>
                <w:rFonts w:ascii="宋体" w:hAnsi="宋体" w:eastAsia="宋体" w:cs="宋体"/>
                <w:color w:val="212529"/>
                <w:spacing w:val="-5"/>
                <w:sz w:val="18"/>
                <w:szCs w:val="18"/>
              </w:rPr>
              <w:t>水费</w:t>
            </w:r>
          </w:p>
        </w:tc>
        <w:tc>
          <w:tcPr>
            <w:tcW w:w="2158" w:type="dxa"/>
            <w:vAlign w:val="top"/>
          </w:tcPr>
          <w:p w14:paraId="1EA698E6">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3FFBCAE9">
            <w:pPr>
              <w:spacing w:before="94" w:line="183" w:lineRule="auto"/>
              <w:jc w:val="right"/>
              <w:rPr>
                <w:rFonts w:ascii="宋体" w:hAnsi="宋体" w:eastAsia="宋体" w:cs="宋体"/>
                <w:sz w:val="18"/>
                <w:szCs w:val="18"/>
              </w:rPr>
            </w:pPr>
            <w:r>
              <w:rPr>
                <w:rFonts w:ascii="宋体" w:hAnsi="宋体" w:eastAsia="宋体" w:cs="宋体"/>
                <w:color w:val="212529"/>
                <w:spacing w:val="-3"/>
                <w:sz w:val="18"/>
                <w:szCs w:val="18"/>
              </w:rPr>
              <w:t>0.40</w:t>
            </w:r>
          </w:p>
        </w:tc>
        <w:tc>
          <w:tcPr>
            <w:tcW w:w="1307" w:type="dxa"/>
            <w:vAlign w:val="top"/>
          </w:tcPr>
          <w:p w14:paraId="599710B1">
            <w:pPr>
              <w:pStyle w:val="6"/>
            </w:pPr>
          </w:p>
        </w:tc>
        <w:tc>
          <w:tcPr>
            <w:tcW w:w="1169" w:type="dxa"/>
            <w:vAlign w:val="top"/>
          </w:tcPr>
          <w:p w14:paraId="48E6A399">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0.40</w:t>
            </w:r>
          </w:p>
        </w:tc>
      </w:tr>
      <w:tr w14:paraId="406D8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156463D4">
            <w:pPr>
              <w:spacing w:before="67" w:line="219" w:lineRule="auto"/>
              <w:ind w:left="29"/>
              <w:rPr>
                <w:rFonts w:ascii="宋体" w:hAnsi="宋体" w:eastAsia="宋体" w:cs="宋体"/>
                <w:sz w:val="18"/>
                <w:szCs w:val="18"/>
              </w:rPr>
            </w:pPr>
            <w:r>
              <w:rPr>
                <w:rFonts w:ascii="宋体" w:hAnsi="宋体" w:eastAsia="宋体" w:cs="宋体"/>
                <w:color w:val="212529"/>
                <w:spacing w:val="-15"/>
                <w:sz w:val="18"/>
                <w:szCs w:val="18"/>
              </w:rPr>
              <w:t>电费</w:t>
            </w:r>
          </w:p>
        </w:tc>
        <w:tc>
          <w:tcPr>
            <w:tcW w:w="2158" w:type="dxa"/>
            <w:vAlign w:val="top"/>
          </w:tcPr>
          <w:p w14:paraId="619041B8">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116532EC">
            <w:pPr>
              <w:spacing w:before="94" w:line="183" w:lineRule="auto"/>
              <w:jc w:val="right"/>
              <w:rPr>
                <w:rFonts w:ascii="宋体" w:hAnsi="宋体" w:eastAsia="宋体" w:cs="宋体"/>
                <w:sz w:val="18"/>
                <w:szCs w:val="18"/>
              </w:rPr>
            </w:pPr>
            <w:r>
              <w:rPr>
                <w:rFonts w:ascii="宋体" w:hAnsi="宋体" w:eastAsia="宋体" w:cs="宋体"/>
                <w:color w:val="212529"/>
                <w:spacing w:val="-6"/>
                <w:sz w:val="18"/>
                <w:szCs w:val="18"/>
              </w:rPr>
              <w:t>1.50</w:t>
            </w:r>
          </w:p>
        </w:tc>
        <w:tc>
          <w:tcPr>
            <w:tcW w:w="1307" w:type="dxa"/>
            <w:vAlign w:val="top"/>
          </w:tcPr>
          <w:p w14:paraId="48B1DEDB">
            <w:pPr>
              <w:pStyle w:val="6"/>
            </w:pPr>
          </w:p>
        </w:tc>
        <w:tc>
          <w:tcPr>
            <w:tcW w:w="1169" w:type="dxa"/>
            <w:vAlign w:val="top"/>
          </w:tcPr>
          <w:p w14:paraId="50BE6AC2">
            <w:pPr>
              <w:spacing w:before="94" w:line="183" w:lineRule="auto"/>
              <w:ind w:right="2"/>
              <w:jc w:val="right"/>
              <w:rPr>
                <w:rFonts w:ascii="宋体" w:hAnsi="宋体" w:eastAsia="宋体" w:cs="宋体"/>
                <w:sz w:val="18"/>
                <w:szCs w:val="18"/>
              </w:rPr>
            </w:pPr>
            <w:r>
              <w:rPr>
                <w:rFonts w:ascii="宋体" w:hAnsi="宋体" w:eastAsia="宋体" w:cs="宋体"/>
                <w:color w:val="212529"/>
                <w:spacing w:val="-6"/>
                <w:sz w:val="18"/>
                <w:szCs w:val="18"/>
              </w:rPr>
              <w:t>1.50</w:t>
            </w:r>
          </w:p>
        </w:tc>
      </w:tr>
      <w:tr w14:paraId="218C8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1FB44B60">
            <w:pPr>
              <w:spacing w:before="67" w:line="219" w:lineRule="auto"/>
              <w:ind w:left="23"/>
              <w:rPr>
                <w:rFonts w:ascii="宋体" w:hAnsi="宋体" w:eastAsia="宋体" w:cs="宋体"/>
                <w:sz w:val="18"/>
                <w:szCs w:val="18"/>
              </w:rPr>
            </w:pPr>
            <w:r>
              <w:rPr>
                <w:rFonts w:ascii="宋体" w:hAnsi="宋体" w:eastAsia="宋体" w:cs="宋体"/>
                <w:color w:val="212529"/>
                <w:spacing w:val="-8"/>
                <w:sz w:val="18"/>
                <w:szCs w:val="18"/>
              </w:rPr>
              <w:t>邮电费</w:t>
            </w:r>
          </w:p>
        </w:tc>
        <w:tc>
          <w:tcPr>
            <w:tcW w:w="2158" w:type="dxa"/>
            <w:vAlign w:val="top"/>
          </w:tcPr>
          <w:p w14:paraId="701D421A">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73E1540E">
            <w:pPr>
              <w:spacing w:before="94" w:line="183" w:lineRule="auto"/>
              <w:jc w:val="right"/>
              <w:rPr>
                <w:rFonts w:ascii="宋体" w:hAnsi="宋体" w:eastAsia="宋体" w:cs="宋体"/>
                <w:sz w:val="18"/>
                <w:szCs w:val="18"/>
              </w:rPr>
            </w:pPr>
            <w:r>
              <w:rPr>
                <w:rFonts w:ascii="宋体" w:hAnsi="宋体" w:eastAsia="宋体" w:cs="宋体"/>
                <w:color w:val="212529"/>
                <w:spacing w:val="-3"/>
                <w:sz w:val="18"/>
                <w:szCs w:val="18"/>
              </w:rPr>
              <w:t>0.30</w:t>
            </w:r>
          </w:p>
        </w:tc>
        <w:tc>
          <w:tcPr>
            <w:tcW w:w="1307" w:type="dxa"/>
            <w:vAlign w:val="top"/>
          </w:tcPr>
          <w:p w14:paraId="099E9FCE">
            <w:pPr>
              <w:pStyle w:val="6"/>
            </w:pPr>
          </w:p>
        </w:tc>
        <w:tc>
          <w:tcPr>
            <w:tcW w:w="1169" w:type="dxa"/>
            <w:vAlign w:val="top"/>
          </w:tcPr>
          <w:p w14:paraId="0B1F49A1">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0.30</w:t>
            </w:r>
          </w:p>
        </w:tc>
      </w:tr>
      <w:tr w14:paraId="6108D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75BF5A2D">
            <w:pPr>
              <w:spacing w:before="67" w:line="219" w:lineRule="auto"/>
              <w:ind w:left="11"/>
              <w:rPr>
                <w:rFonts w:ascii="宋体" w:hAnsi="宋体" w:eastAsia="宋体" w:cs="宋体"/>
                <w:sz w:val="18"/>
                <w:szCs w:val="18"/>
              </w:rPr>
            </w:pPr>
            <w:r>
              <w:rPr>
                <w:rFonts w:ascii="宋体" w:hAnsi="宋体" w:eastAsia="宋体" w:cs="宋体"/>
                <w:color w:val="212529"/>
                <w:spacing w:val="-4"/>
                <w:sz w:val="18"/>
                <w:szCs w:val="18"/>
              </w:rPr>
              <w:t>差旅费</w:t>
            </w:r>
          </w:p>
        </w:tc>
        <w:tc>
          <w:tcPr>
            <w:tcW w:w="2158" w:type="dxa"/>
            <w:vAlign w:val="top"/>
          </w:tcPr>
          <w:p w14:paraId="0D22FAA9">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4A1E9A55">
            <w:pPr>
              <w:spacing w:before="94" w:line="183" w:lineRule="auto"/>
              <w:jc w:val="right"/>
              <w:rPr>
                <w:rFonts w:ascii="宋体" w:hAnsi="宋体" w:eastAsia="宋体" w:cs="宋体"/>
                <w:sz w:val="18"/>
                <w:szCs w:val="18"/>
              </w:rPr>
            </w:pPr>
            <w:r>
              <w:rPr>
                <w:rFonts w:ascii="宋体" w:hAnsi="宋体" w:eastAsia="宋体" w:cs="宋体"/>
                <w:color w:val="212529"/>
                <w:spacing w:val="-3"/>
                <w:sz w:val="18"/>
                <w:szCs w:val="18"/>
              </w:rPr>
              <w:t>0.60</w:t>
            </w:r>
          </w:p>
        </w:tc>
        <w:tc>
          <w:tcPr>
            <w:tcW w:w="1307" w:type="dxa"/>
            <w:vAlign w:val="top"/>
          </w:tcPr>
          <w:p w14:paraId="23BFD6AB">
            <w:pPr>
              <w:pStyle w:val="6"/>
            </w:pPr>
          </w:p>
        </w:tc>
        <w:tc>
          <w:tcPr>
            <w:tcW w:w="1169" w:type="dxa"/>
            <w:vAlign w:val="top"/>
          </w:tcPr>
          <w:p w14:paraId="3B4CA6A3">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0.60</w:t>
            </w:r>
          </w:p>
        </w:tc>
      </w:tr>
      <w:tr w14:paraId="30416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31652D15">
            <w:pPr>
              <w:spacing w:before="66" w:line="219" w:lineRule="auto"/>
              <w:ind w:left="13"/>
              <w:rPr>
                <w:rFonts w:ascii="宋体" w:hAnsi="宋体" w:eastAsia="宋体" w:cs="宋体"/>
                <w:sz w:val="18"/>
                <w:szCs w:val="18"/>
              </w:rPr>
            </w:pPr>
            <w:r>
              <w:rPr>
                <w:rFonts w:ascii="宋体" w:hAnsi="宋体" w:eastAsia="宋体" w:cs="宋体"/>
                <w:color w:val="212529"/>
                <w:spacing w:val="-5"/>
                <w:sz w:val="18"/>
                <w:szCs w:val="18"/>
              </w:rPr>
              <w:t>劳务费</w:t>
            </w:r>
          </w:p>
        </w:tc>
        <w:tc>
          <w:tcPr>
            <w:tcW w:w="2158" w:type="dxa"/>
            <w:vAlign w:val="top"/>
          </w:tcPr>
          <w:p w14:paraId="64DE3F28">
            <w:pPr>
              <w:spacing w:before="66" w:line="219" w:lineRule="auto"/>
              <w:ind w:left="6"/>
              <w:rPr>
                <w:rFonts w:ascii="宋体" w:hAnsi="宋体" w:eastAsia="宋体" w:cs="宋体"/>
                <w:sz w:val="18"/>
                <w:szCs w:val="18"/>
              </w:rPr>
            </w:pPr>
            <w:r>
              <w:rPr>
                <w:rFonts w:ascii="宋体" w:hAnsi="宋体" w:eastAsia="宋体" w:cs="宋体"/>
                <w:color w:val="212529"/>
                <w:spacing w:val="-2"/>
                <w:sz w:val="18"/>
                <w:szCs w:val="18"/>
              </w:rPr>
              <w:t>委托业务费</w:t>
            </w:r>
          </w:p>
        </w:tc>
        <w:tc>
          <w:tcPr>
            <w:tcW w:w="1367" w:type="dxa"/>
            <w:vAlign w:val="top"/>
          </w:tcPr>
          <w:p w14:paraId="3B1ED6FF">
            <w:pPr>
              <w:spacing w:before="94" w:line="183" w:lineRule="auto"/>
              <w:jc w:val="right"/>
              <w:rPr>
                <w:rFonts w:ascii="宋体" w:hAnsi="宋体" w:eastAsia="宋体" w:cs="宋体"/>
                <w:sz w:val="18"/>
                <w:szCs w:val="18"/>
              </w:rPr>
            </w:pPr>
            <w:r>
              <w:rPr>
                <w:rFonts w:ascii="宋体" w:hAnsi="宋体" w:eastAsia="宋体" w:cs="宋体"/>
                <w:color w:val="212529"/>
                <w:spacing w:val="-6"/>
                <w:sz w:val="18"/>
                <w:szCs w:val="18"/>
              </w:rPr>
              <w:t>1.98</w:t>
            </w:r>
          </w:p>
        </w:tc>
        <w:tc>
          <w:tcPr>
            <w:tcW w:w="1307" w:type="dxa"/>
            <w:vAlign w:val="top"/>
          </w:tcPr>
          <w:p w14:paraId="13B2C6FE">
            <w:pPr>
              <w:pStyle w:val="6"/>
            </w:pPr>
          </w:p>
        </w:tc>
        <w:tc>
          <w:tcPr>
            <w:tcW w:w="1169" w:type="dxa"/>
            <w:vAlign w:val="top"/>
          </w:tcPr>
          <w:p w14:paraId="2FBEA1B1">
            <w:pPr>
              <w:spacing w:before="94" w:line="183" w:lineRule="auto"/>
              <w:ind w:right="2"/>
              <w:jc w:val="right"/>
              <w:rPr>
                <w:rFonts w:ascii="宋体" w:hAnsi="宋体" w:eastAsia="宋体" w:cs="宋体"/>
                <w:sz w:val="18"/>
                <w:szCs w:val="18"/>
              </w:rPr>
            </w:pPr>
            <w:r>
              <w:rPr>
                <w:rFonts w:ascii="宋体" w:hAnsi="宋体" w:eastAsia="宋体" w:cs="宋体"/>
                <w:color w:val="212529"/>
                <w:spacing w:val="-6"/>
                <w:sz w:val="18"/>
                <w:szCs w:val="18"/>
              </w:rPr>
              <w:t>1.98</w:t>
            </w:r>
          </w:p>
        </w:tc>
      </w:tr>
      <w:tr w14:paraId="24077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4BFB8B23">
            <w:pPr>
              <w:spacing w:before="67" w:line="218" w:lineRule="auto"/>
              <w:ind w:left="11"/>
              <w:rPr>
                <w:rFonts w:ascii="宋体" w:hAnsi="宋体" w:eastAsia="宋体" w:cs="宋体"/>
                <w:sz w:val="18"/>
                <w:szCs w:val="18"/>
              </w:rPr>
            </w:pPr>
            <w:r>
              <w:rPr>
                <w:rFonts w:ascii="宋体" w:hAnsi="宋体" w:eastAsia="宋体" w:cs="宋体"/>
                <w:color w:val="212529"/>
                <w:spacing w:val="-3"/>
                <w:sz w:val="18"/>
                <w:szCs w:val="18"/>
              </w:rPr>
              <w:t>工会经费</w:t>
            </w:r>
          </w:p>
        </w:tc>
        <w:tc>
          <w:tcPr>
            <w:tcW w:w="2158" w:type="dxa"/>
            <w:vAlign w:val="top"/>
          </w:tcPr>
          <w:p w14:paraId="4FFC8959">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7CD4B946">
            <w:pPr>
              <w:spacing w:before="95" w:line="182" w:lineRule="auto"/>
              <w:jc w:val="right"/>
              <w:rPr>
                <w:rFonts w:ascii="宋体" w:hAnsi="宋体" w:eastAsia="宋体" w:cs="宋体"/>
                <w:sz w:val="18"/>
                <w:szCs w:val="18"/>
              </w:rPr>
            </w:pPr>
            <w:r>
              <w:rPr>
                <w:rFonts w:ascii="宋体" w:hAnsi="宋体" w:eastAsia="宋体" w:cs="宋体"/>
                <w:color w:val="212529"/>
                <w:spacing w:val="-6"/>
                <w:sz w:val="18"/>
                <w:szCs w:val="18"/>
              </w:rPr>
              <w:t>1.86</w:t>
            </w:r>
          </w:p>
        </w:tc>
        <w:tc>
          <w:tcPr>
            <w:tcW w:w="1307" w:type="dxa"/>
            <w:vAlign w:val="top"/>
          </w:tcPr>
          <w:p w14:paraId="2EB71717">
            <w:pPr>
              <w:pStyle w:val="6"/>
            </w:pPr>
          </w:p>
        </w:tc>
        <w:tc>
          <w:tcPr>
            <w:tcW w:w="1169" w:type="dxa"/>
            <w:vAlign w:val="top"/>
          </w:tcPr>
          <w:p w14:paraId="03AE0385">
            <w:pPr>
              <w:spacing w:before="95" w:line="182" w:lineRule="auto"/>
              <w:ind w:right="2"/>
              <w:jc w:val="right"/>
              <w:rPr>
                <w:rFonts w:ascii="宋体" w:hAnsi="宋体" w:eastAsia="宋体" w:cs="宋体"/>
                <w:sz w:val="18"/>
                <w:szCs w:val="18"/>
              </w:rPr>
            </w:pPr>
            <w:r>
              <w:rPr>
                <w:rFonts w:ascii="宋体" w:hAnsi="宋体" w:eastAsia="宋体" w:cs="宋体"/>
                <w:color w:val="212529"/>
                <w:spacing w:val="-6"/>
                <w:sz w:val="18"/>
                <w:szCs w:val="18"/>
              </w:rPr>
              <w:t>1.86</w:t>
            </w:r>
          </w:p>
        </w:tc>
      </w:tr>
      <w:tr w14:paraId="3E8A6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3CDAE149">
            <w:pPr>
              <w:spacing w:before="67" w:line="219" w:lineRule="auto"/>
              <w:ind w:left="8"/>
              <w:rPr>
                <w:rFonts w:ascii="宋体" w:hAnsi="宋体" w:eastAsia="宋体" w:cs="宋体"/>
                <w:sz w:val="18"/>
                <w:szCs w:val="18"/>
              </w:rPr>
            </w:pPr>
            <w:r>
              <w:rPr>
                <w:rFonts w:ascii="宋体" w:hAnsi="宋体" w:eastAsia="宋体" w:cs="宋体"/>
                <w:color w:val="212529"/>
                <w:spacing w:val="-3"/>
                <w:sz w:val="18"/>
                <w:szCs w:val="18"/>
              </w:rPr>
              <w:t>福利费</w:t>
            </w:r>
          </w:p>
        </w:tc>
        <w:tc>
          <w:tcPr>
            <w:tcW w:w="2158" w:type="dxa"/>
            <w:vAlign w:val="top"/>
          </w:tcPr>
          <w:p w14:paraId="1C1656E7">
            <w:pPr>
              <w:spacing w:before="67"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1C5282A8">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3.25</w:t>
            </w:r>
          </w:p>
        </w:tc>
        <w:tc>
          <w:tcPr>
            <w:tcW w:w="1307" w:type="dxa"/>
            <w:vAlign w:val="top"/>
          </w:tcPr>
          <w:p w14:paraId="4E9AAFFA">
            <w:pPr>
              <w:pStyle w:val="6"/>
            </w:pPr>
          </w:p>
        </w:tc>
        <w:tc>
          <w:tcPr>
            <w:tcW w:w="1169" w:type="dxa"/>
            <w:vAlign w:val="top"/>
          </w:tcPr>
          <w:p w14:paraId="5CEB9553">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3.25</w:t>
            </w:r>
          </w:p>
        </w:tc>
      </w:tr>
      <w:tr w14:paraId="554D6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59F3CE0B">
            <w:pPr>
              <w:spacing w:before="67" w:line="219" w:lineRule="auto"/>
              <w:ind w:left="8"/>
              <w:rPr>
                <w:rFonts w:ascii="宋体" w:hAnsi="宋体" w:eastAsia="宋体" w:cs="宋体"/>
                <w:sz w:val="18"/>
                <w:szCs w:val="18"/>
              </w:rPr>
            </w:pPr>
            <w:r>
              <w:rPr>
                <w:rFonts w:ascii="宋体" w:hAnsi="宋体" w:eastAsia="宋体" w:cs="宋体"/>
                <w:color w:val="212529"/>
                <w:spacing w:val="-2"/>
                <w:sz w:val="18"/>
                <w:szCs w:val="18"/>
              </w:rPr>
              <w:t>其他交通费用</w:t>
            </w:r>
          </w:p>
        </w:tc>
        <w:tc>
          <w:tcPr>
            <w:tcW w:w="2158" w:type="dxa"/>
            <w:vAlign w:val="top"/>
          </w:tcPr>
          <w:p w14:paraId="4CA4B988">
            <w:pPr>
              <w:spacing w:before="67"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67" w:type="dxa"/>
            <w:vAlign w:val="top"/>
          </w:tcPr>
          <w:p w14:paraId="6182DED5">
            <w:pPr>
              <w:spacing w:before="94" w:line="183" w:lineRule="auto"/>
              <w:jc w:val="right"/>
              <w:rPr>
                <w:rFonts w:ascii="宋体" w:hAnsi="宋体" w:eastAsia="宋体" w:cs="宋体"/>
                <w:sz w:val="18"/>
                <w:szCs w:val="18"/>
              </w:rPr>
            </w:pPr>
            <w:r>
              <w:rPr>
                <w:rFonts w:ascii="宋体" w:hAnsi="宋体" w:eastAsia="宋体" w:cs="宋体"/>
                <w:color w:val="212529"/>
                <w:spacing w:val="-3"/>
                <w:sz w:val="18"/>
                <w:szCs w:val="18"/>
              </w:rPr>
              <w:t>9.48</w:t>
            </w:r>
          </w:p>
        </w:tc>
        <w:tc>
          <w:tcPr>
            <w:tcW w:w="1307" w:type="dxa"/>
            <w:vAlign w:val="top"/>
          </w:tcPr>
          <w:p w14:paraId="1250AE14">
            <w:pPr>
              <w:pStyle w:val="6"/>
            </w:pPr>
          </w:p>
        </w:tc>
        <w:tc>
          <w:tcPr>
            <w:tcW w:w="1169" w:type="dxa"/>
            <w:vAlign w:val="top"/>
          </w:tcPr>
          <w:p w14:paraId="7989AA33">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9.48</w:t>
            </w:r>
          </w:p>
        </w:tc>
      </w:tr>
      <w:tr w14:paraId="3DF4E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67" w:type="dxa"/>
            <w:vAlign w:val="top"/>
          </w:tcPr>
          <w:p w14:paraId="3640A995">
            <w:pPr>
              <w:spacing w:before="67" w:line="219" w:lineRule="auto"/>
              <w:ind w:left="8"/>
              <w:rPr>
                <w:rFonts w:ascii="宋体" w:hAnsi="宋体" w:eastAsia="宋体" w:cs="宋体"/>
                <w:sz w:val="18"/>
                <w:szCs w:val="18"/>
              </w:rPr>
            </w:pPr>
            <w:r>
              <w:rPr>
                <w:rFonts w:ascii="宋体" w:hAnsi="宋体" w:eastAsia="宋体" w:cs="宋体"/>
                <w:color w:val="212529"/>
                <w:spacing w:val="-1"/>
                <w:sz w:val="18"/>
                <w:szCs w:val="18"/>
              </w:rPr>
              <w:t>对个人和家庭的补助</w:t>
            </w:r>
          </w:p>
        </w:tc>
        <w:tc>
          <w:tcPr>
            <w:tcW w:w="2158" w:type="dxa"/>
            <w:vAlign w:val="top"/>
          </w:tcPr>
          <w:p w14:paraId="1D064CC3">
            <w:pPr>
              <w:pStyle w:val="6"/>
            </w:pPr>
          </w:p>
        </w:tc>
        <w:tc>
          <w:tcPr>
            <w:tcW w:w="1367" w:type="dxa"/>
            <w:vAlign w:val="top"/>
          </w:tcPr>
          <w:p w14:paraId="7D09AA21">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7.87</w:t>
            </w:r>
          </w:p>
        </w:tc>
        <w:tc>
          <w:tcPr>
            <w:tcW w:w="1307" w:type="dxa"/>
            <w:vAlign w:val="top"/>
          </w:tcPr>
          <w:p w14:paraId="1C9D1B9C">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7.87</w:t>
            </w:r>
          </w:p>
        </w:tc>
        <w:tc>
          <w:tcPr>
            <w:tcW w:w="1169" w:type="dxa"/>
            <w:vAlign w:val="top"/>
          </w:tcPr>
          <w:p w14:paraId="55B84FF8">
            <w:pPr>
              <w:pStyle w:val="6"/>
            </w:pPr>
          </w:p>
        </w:tc>
      </w:tr>
      <w:tr w14:paraId="08744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2967" w:type="dxa"/>
            <w:vAlign w:val="top"/>
          </w:tcPr>
          <w:p w14:paraId="46CD504A">
            <w:pPr>
              <w:spacing w:before="68" w:line="219" w:lineRule="auto"/>
              <w:ind w:left="14"/>
              <w:rPr>
                <w:rFonts w:ascii="宋体" w:hAnsi="宋体" w:eastAsia="宋体" w:cs="宋体"/>
                <w:sz w:val="18"/>
                <w:szCs w:val="18"/>
              </w:rPr>
            </w:pPr>
            <w:r>
              <w:rPr>
                <w:rFonts w:ascii="宋体" w:hAnsi="宋体" w:eastAsia="宋体" w:cs="宋体"/>
                <w:color w:val="212529"/>
                <w:spacing w:val="-4"/>
                <w:sz w:val="18"/>
                <w:szCs w:val="18"/>
              </w:rPr>
              <w:t>生活补助</w:t>
            </w:r>
          </w:p>
        </w:tc>
        <w:tc>
          <w:tcPr>
            <w:tcW w:w="2158" w:type="dxa"/>
            <w:vAlign w:val="top"/>
          </w:tcPr>
          <w:p w14:paraId="0470E76D">
            <w:pPr>
              <w:spacing w:before="67" w:line="218" w:lineRule="auto"/>
              <w:ind w:left="8"/>
              <w:rPr>
                <w:rFonts w:ascii="宋体" w:hAnsi="宋体" w:eastAsia="宋体" w:cs="宋体"/>
                <w:sz w:val="18"/>
                <w:szCs w:val="18"/>
              </w:rPr>
            </w:pPr>
            <w:r>
              <w:rPr>
                <w:rFonts w:ascii="宋体" w:hAnsi="宋体" w:eastAsia="宋体" w:cs="宋体"/>
                <w:color w:val="212529"/>
                <w:spacing w:val="-2"/>
                <w:sz w:val="18"/>
                <w:szCs w:val="18"/>
              </w:rPr>
              <w:t>社会福利和救助</w:t>
            </w:r>
          </w:p>
        </w:tc>
        <w:tc>
          <w:tcPr>
            <w:tcW w:w="1367" w:type="dxa"/>
            <w:vAlign w:val="top"/>
          </w:tcPr>
          <w:p w14:paraId="52C50643">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7.87</w:t>
            </w:r>
          </w:p>
        </w:tc>
        <w:tc>
          <w:tcPr>
            <w:tcW w:w="1307" w:type="dxa"/>
            <w:vAlign w:val="top"/>
          </w:tcPr>
          <w:p w14:paraId="704B787F">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7.87</w:t>
            </w:r>
          </w:p>
        </w:tc>
        <w:tc>
          <w:tcPr>
            <w:tcW w:w="1169" w:type="dxa"/>
            <w:vAlign w:val="top"/>
          </w:tcPr>
          <w:p w14:paraId="596249A5">
            <w:pPr>
              <w:pStyle w:val="6"/>
            </w:pPr>
          </w:p>
        </w:tc>
      </w:tr>
    </w:tbl>
    <w:p w14:paraId="6773F4F5">
      <w:pPr>
        <w:rPr>
          <w:rFonts w:ascii="Arial"/>
          <w:sz w:val="21"/>
        </w:rPr>
      </w:pPr>
    </w:p>
    <w:p w14:paraId="0937DBCE">
      <w:pPr>
        <w:rPr>
          <w:rFonts w:ascii="Arial" w:hAnsi="Arial" w:eastAsia="Arial" w:cs="Arial"/>
          <w:sz w:val="21"/>
          <w:szCs w:val="21"/>
        </w:rPr>
        <w:sectPr>
          <w:footerReference r:id="rId18" w:type="default"/>
          <w:pgSz w:w="11900" w:h="16840"/>
          <w:pgMar w:top="610" w:right="600" w:bottom="312" w:left="600" w:header="357" w:footer="153" w:gutter="0"/>
          <w:cols w:space="720" w:num="1"/>
        </w:sectPr>
      </w:pPr>
    </w:p>
    <w:p w14:paraId="3D6B7D55">
      <w:pPr>
        <w:spacing w:before="6"/>
      </w:pPr>
    </w:p>
    <w:p w14:paraId="7B87551B">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8"/>
        <w:gridCol w:w="4748"/>
        <w:gridCol w:w="1960"/>
      </w:tblGrid>
      <w:tr w14:paraId="1BAB3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308" w:type="dxa"/>
            <w:tcBorders>
              <w:top w:val="single" w:color="FFFFFF" w:sz="4" w:space="0"/>
              <w:left w:val="single" w:color="FFFFFF" w:sz="2" w:space="0"/>
              <w:bottom w:val="single" w:color="FFFFFF" w:sz="4" w:space="0"/>
              <w:right w:val="single" w:color="FFFFFF" w:sz="2" w:space="0"/>
            </w:tcBorders>
            <w:vAlign w:val="top"/>
          </w:tcPr>
          <w:p w14:paraId="15B7E682">
            <w:pPr>
              <w:pStyle w:val="6"/>
            </w:pPr>
          </w:p>
        </w:tc>
        <w:tc>
          <w:tcPr>
            <w:tcW w:w="4748" w:type="dxa"/>
            <w:tcBorders>
              <w:top w:val="single" w:color="FFFFFF" w:sz="4" w:space="0"/>
              <w:left w:val="single" w:color="FFFFFF" w:sz="2" w:space="0"/>
              <w:bottom w:val="single" w:color="FFFFFF" w:sz="4" w:space="0"/>
              <w:right w:val="single" w:color="FFFFFF" w:sz="2" w:space="0"/>
            </w:tcBorders>
            <w:vAlign w:val="top"/>
          </w:tcPr>
          <w:p w14:paraId="26D16CA2">
            <w:pPr>
              <w:pStyle w:val="6"/>
            </w:pPr>
          </w:p>
        </w:tc>
        <w:tc>
          <w:tcPr>
            <w:tcW w:w="1960" w:type="dxa"/>
            <w:tcBorders>
              <w:top w:val="single" w:color="FFFFFF" w:sz="4" w:space="0"/>
              <w:left w:val="single" w:color="FFFFFF" w:sz="2" w:space="0"/>
              <w:bottom w:val="single" w:color="FFFFFF" w:sz="4" w:space="0"/>
              <w:right w:val="single" w:color="FFFFFF" w:sz="2" w:space="0"/>
            </w:tcBorders>
            <w:vAlign w:val="top"/>
          </w:tcPr>
          <w:p w14:paraId="09D30341">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预算公开表7</w:t>
            </w:r>
          </w:p>
        </w:tc>
      </w:tr>
      <w:tr w14:paraId="492FD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52E1B72C">
            <w:pPr>
              <w:spacing w:before="91" w:line="219" w:lineRule="auto"/>
              <w:ind w:left="1991"/>
              <w:outlineLvl w:val="1"/>
              <w:rPr>
                <w:rFonts w:ascii="宋体" w:hAnsi="宋体" w:eastAsia="宋体" w:cs="宋体"/>
                <w:sz w:val="24"/>
                <w:szCs w:val="24"/>
              </w:rPr>
            </w:pPr>
            <w:bookmarkStart w:id="53" w:name="bookmark44"/>
            <w:bookmarkEnd w:id="53"/>
            <w:bookmarkStart w:id="54" w:name="bookmark12"/>
            <w:bookmarkEnd w:id="54"/>
            <w:r>
              <w:rPr>
                <w:rFonts w:ascii="宋体" w:hAnsi="宋体" w:eastAsia="宋体" w:cs="宋体"/>
                <w:color w:val="212529"/>
                <w:spacing w:val="-1"/>
                <w:sz w:val="24"/>
                <w:szCs w:val="24"/>
              </w:rPr>
              <w:t>2023年政府性基金预算收入表（不含上年结转）</w:t>
            </w:r>
          </w:p>
        </w:tc>
      </w:tr>
      <w:tr w14:paraId="6229B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056" w:type="dxa"/>
            <w:gridSpan w:val="2"/>
            <w:tcBorders>
              <w:top w:val="single" w:color="FFFFFF" w:sz="4" w:space="0"/>
              <w:left w:val="single" w:color="FFFFFF" w:sz="2" w:space="0"/>
              <w:right w:val="single" w:color="FFFFFF" w:sz="2" w:space="0"/>
            </w:tcBorders>
            <w:vAlign w:val="top"/>
          </w:tcPr>
          <w:p w14:paraId="71F3B509">
            <w:pPr>
              <w:spacing w:before="129"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960" w:type="dxa"/>
            <w:tcBorders>
              <w:top w:val="single" w:color="FFFFFF" w:sz="4" w:space="0"/>
              <w:left w:val="single" w:color="FFFFFF" w:sz="2" w:space="0"/>
              <w:right w:val="single" w:color="FFFFFF" w:sz="2" w:space="0"/>
            </w:tcBorders>
            <w:vAlign w:val="top"/>
          </w:tcPr>
          <w:p w14:paraId="4E7E7A97">
            <w:pPr>
              <w:spacing w:before="129"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12F15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056" w:type="dxa"/>
            <w:gridSpan w:val="2"/>
            <w:vAlign w:val="top"/>
          </w:tcPr>
          <w:p w14:paraId="647F769E">
            <w:pPr>
              <w:spacing w:before="109" w:line="220" w:lineRule="auto"/>
              <w:ind w:left="3348"/>
              <w:rPr>
                <w:rFonts w:ascii="宋体" w:hAnsi="宋体" w:eastAsia="宋体" w:cs="宋体"/>
                <w:sz w:val="18"/>
                <w:szCs w:val="18"/>
              </w:rPr>
            </w:pPr>
            <w:r>
              <w:rPr>
                <w:rFonts w:ascii="宋体" w:hAnsi="宋体" w:eastAsia="宋体" w:cs="宋体"/>
                <w:color w:val="212529"/>
                <w:spacing w:val="-6"/>
                <w:sz w:val="18"/>
                <w:szCs w:val="18"/>
              </w:rPr>
              <w:t>项目</w:t>
            </w:r>
          </w:p>
        </w:tc>
        <w:tc>
          <w:tcPr>
            <w:tcW w:w="1960" w:type="dxa"/>
            <w:vMerge w:val="restart"/>
            <w:tcBorders>
              <w:bottom w:val="nil"/>
            </w:tcBorders>
            <w:vAlign w:val="top"/>
          </w:tcPr>
          <w:p w14:paraId="43D0420E">
            <w:pPr>
              <w:pStyle w:val="6"/>
              <w:spacing w:line="265" w:lineRule="auto"/>
            </w:pPr>
          </w:p>
          <w:p w14:paraId="2B42B8A9">
            <w:pPr>
              <w:spacing w:before="58" w:line="219" w:lineRule="auto"/>
              <w:ind w:left="166"/>
              <w:rPr>
                <w:rFonts w:ascii="宋体" w:hAnsi="宋体" w:eastAsia="宋体" w:cs="宋体"/>
                <w:sz w:val="18"/>
                <w:szCs w:val="18"/>
              </w:rPr>
            </w:pPr>
            <w:r>
              <w:rPr>
                <w:rFonts w:ascii="宋体" w:hAnsi="宋体" w:eastAsia="宋体" w:cs="宋体"/>
                <w:color w:val="212529"/>
                <w:spacing w:val="-1"/>
                <w:sz w:val="18"/>
                <w:szCs w:val="18"/>
              </w:rPr>
              <w:t>政府性基金收入预算</w:t>
            </w:r>
          </w:p>
        </w:tc>
      </w:tr>
      <w:tr w14:paraId="5F79F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08" w:type="dxa"/>
            <w:vAlign w:val="top"/>
          </w:tcPr>
          <w:p w14:paraId="7BD5ECD1">
            <w:pPr>
              <w:spacing w:before="110" w:line="219" w:lineRule="auto"/>
              <w:ind w:left="615"/>
              <w:rPr>
                <w:rFonts w:ascii="宋体" w:hAnsi="宋体" w:eastAsia="宋体" w:cs="宋体"/>
                <w:sz w:val="18"/>
                <w:szCs w:val="18"/>
              </w:rPr>
            </w:pPr>
            <w:r>
              <w:rPr>
                <w:rFonts w:ascii="宋体" w:hAnsi="宋体" w:eastAsia="宋体" w:cs="宋体"/>
                <w:color w:val="212529"/>
                <w:spacing w:val="-3"/>
                <w:sz w:val="18"/>
                <w:szCs w:val="18"/>
              </w:rPr>
              <w:t>收入科目编码</w:t>
            </w:r>
          </w:p>
        </w:tc>
        <w:tc>
          <w:tcPr>
            <w:tcW w:w="4748" w:type="dxa"/>
            <w:vAlign w:val="top"/>
          </w:tcPr>
          <w:p w14:paraId="35F4EE4D">
            <w:pPr>
              <w:spacing w:before="110" w:line="219" w:lineRule="auto"/>
              <w:ind w:left="2010"/>
              <w:rPr>
                <w:rFonts w:ascii="宋体" w:hAnsi="宋体" w:eastAsia="宋体" w:cs="宋体"/>
                <w:sz w:val="18"/>
                <w:szCs w:val="18"/>
              </w:rPr>
            </w:pPr>
            <w:r>
              <w:rPr>
                <w:rFonts w:ascii="宋体" w:hAnsi="宋体" w:eastAsia="宋体" w:cs="宋体"/>
                <w:color w:val="212529"/>
                <w:spacing w:val="-3"/>
                <w:sz w:val="18"/>
                <w:szCs w:val="18"/>
              </w:rPr>
              <w:t>科目名称</w:t>
            </w:r>
          </w:p>
        </w:tc>
        <w:tc>
          <w:tcPr>
            <w:tcW w:w="1960" w:type="dxa"/>
            <w:vMerge w:val="continue"/>
            <w:tcBorders>
              <w:top w:val="nil"/>
            </w:tcBorders>
            <w:vAlign w:val="top"/>
          </w:tcPr>
          <w:p w14:paraId="02CEABAF">
            <w:pPr>
              <w:pStyle w:val="6"/>
            </w:pPr>
          </w:p>
        </w:tc>
      </w:tr>
      <w:tr w14:paraId="40F26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056" w:type="dxa"/>
            <w:gridSpan w:val="2"/>
            <w:vAlign w:val="top"/>
          </w:tcPr>
          <w:p w14:paraId="447906CE">
            <w:pPr>
              <w:spacing w:before="111" w:line="221" w:lineRule="auto"/>
              <w:ind w:left="3346"/>
              <w:rPr>
                <w:rFonts w:ascii="宋体" w:hAnsi="宋体" w:eastAsia="宋体" w:cs="宋体"/>
                <w:sz w:val="18"/>
                <w:szCs w:val="18"/>
              </w:rPr>
            </w:pPr>
            <w:r>
              <w:rPr>
                <w:rFonts w:ascii="宋体" w:hAnsi="宋体" w:eastAsia="宋体" w:cs="宋体"/>
                <w:color w:val="212529"/>
                <w:spacing w:val="-5"/>
                <w:sz w:val="18"/>
                <w:szCs w:val="18"/>
              </w:rPr>
              <w:t>合计</w:t>
            </w:r>
          </w:p>
        </w:tc>
        <w:tc>
          <w:tcPr>
            <w:tcW w:w="1960" w:type="dxa"/>
            <w:vAlign w:val="top"/>
          </w:tcPr>
          <w:p w14:paraId="49214DB2">
            <w:pPr>
              <w:pStyle w:val="6"/>
            </w:pPr>
          </w:p>
        </w:tc>
      </w:tr>
      <w:tr w14:paraId="42E72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08" w:type="dxa"/>
            <w:vAlign w:val="top"/>
          </w:tcPr>
          <w:p w14:paraId="2F532914">
            <w:pPr>
              <w:pStyle w:val="6"/>
            </w:pPr>
          </w:p>
        </w:tc>
        <w:tc>
          <w:tcPr>
            <w:tcW w:w="4748" w:type="dxa"/>
            <w:vAlign w:val="top"/>
          </w:tcPr>
          <w:p w14:paraId="604C6645">
            <w:pPr>
              <w:pStyle w:val="6"/>
            </w:pPr>
          </w:p>
        </w:tc>
        <w:tc>
          <w:tcPr>
            <w:tcW w:w="1960" w:type="dxa"/>
            <w:vAlign w:val="top"/>
          </w:tcPr>
          <w:p w14:paraId="6CFB90BC">
            <w:pPr>
              <w:pStyle w:val="6"/>
            </w:pPr>
          </w:p>
        </w:tc>
      </w:tr>
      <w:tr w14:paraId="7B4D8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9016" w:type="dxa"/>
            <w:gridSpan w:val="3"/>
            <w:tcBorders>
              <w:left w:val="single" w:color="FFFFFF" w:sz="2" w:space="0"/>
              <w:bottom w:val="single" w:color="FFFFFF" w:sz="4" w:space="0"/>
              <w:right w:val="single" w:color="FFFFFF" w:sz="2" w:space="0"/>
            </w:tcBorders>
            <w:vAlign w:val="top"/>
          </w:tcPr>
          <w:p w14:paraId="7E74EB4F">
            <w:pPr>
              <w:spacing w:before="113"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r>
    </w:tbl>
    <w:p w14:paraId="5088A4F5">
      <w:pPr>
        <w:rPr>
          <w:rFonts w:ascii="Arial"/>
          <w:sz w:val="21"/>
        </w:rPr>
      </w:pPr>
    </w:p>
    <w:p w14:paraId="66A28E46">
      <w:pPr>
        <w:rPr>
          <w:rFonts w:ascii="Arial" w:hAnsi="Arial" w:eastAsia="Arial" w:cs="Arial"/>
          <w:sz w:val="21"/>
          <w:szCs w:val="21"/>
        </w:rPr>
        <w:sectPr>
          <w:footerReference r:id="rId19" w:type="default"/>
          <w:pgSz w:w="11900" w:h="16840"/>
          <w:pgMar w:top="610" w:right="600" w:bottom="312" w:left="600" w:header="357" w:footer="153" w:gutter="0"/>
          <w:cols w:space="720" w:num="1"/>
        </w:sectPr>
      </w:pPr>
    </w:p>
    <w:p w14:paraId="3B47E1CD">
      <w:pPr>
        <w:spacing w:before="6"/>
      </w:pPr>
    </w:p>
    <w:p w14:paraId="16E1608D">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8"/>
        <w:gridCol w:w="3489"/>
        <w:gridCol w:w="1127"/>
        <w:gridCol w:w="1139"/>
        <w:gridCol w:w="1193"/>
      </w:tblGrid>
      <w:tr w14:paraId="6A45F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068" w:type="dxa"/>
            <w:tcBorders>
              <w:top w:val="single" w:color="FFFFFF" w:sz="4" w:space="0"/>
              <w:left w:val="single" w:color="FFFFFF" w:sz="2" w:space="0"/>
              <w:bottom w:val="single" w:color="FFFFFF" w:sz="4" w:space="0"/>
              <w:right w:val="single" w:color="FFFFFF" w:sz="2" w:space="0"/>
            </w:tcBorders>
            <w:vAlign w:val="top"/>
          </w:tcPr>
          <w:p w14:paraId="03C519B1">
            <w:pPr>
              <w:pStyle w:val="6"/>
            </w:pPr>
          </w:p>
        </w:tc>
        <w:tc>
          <w:tcPr>
            <w:tcW w:w="3489" w:type="dxa"/>
            <w:tcBorders>
              <w:top w:val="single" w:color="FFFFFF" w:sz="4" w:space="0"/>
              <w:left w:val="single" w:color="FFFFFF" w:sz="2" w:space="0"/>
              <w:bottom w:val="single" w:color="FFFFFF" w:sz="4" w:space="0"/>
              <w:right w:val="single" w:color="FFFFFF" w:sz="2" w:space="0"/>
            </w:tcBorders>
            <w:vAlign w:val="top"/>
          </w:tcPr>
          <w:p w14:paraId="032763DF">
            <w:pPr>
              <w:pStyle w:val="6"/>
            </w:pPr>
          </w:p>
        </w:tc>
        <w:tc>
          <w:tcPr>
            <w:tcW w:w="1127" w:type="dxa"/>
            <w:tcBorders>
              <w:top w:val="single" w:color="FFFFFF" w:sz="4" w:space="0"/>
              <w:left w:val="single" w:color="FFFFFF" w:sz="2" w:space="0"/>
              <w:bottom w:val="single" w:color="FFFFFF" w:sz="4" w:space="0"/>
              <w:right w:val="single" w:color="FFFFFF" w:sz="2" w:space="0"/>
            </w:tcBorders>
            <w:vAlign w:val="top"/>
          </w:tcPr>
          <w:p w14:paraId="7C1FEDD2">
            <w:pPr>
              <w:pStyle w:val="6"/>
            </w:pPr>
          </w:p>
        </w:tc>
        <w:tc>
          <w:tcPr>
            <w:tcW w:w="1139" w:type="dxa"/>
            <w:tcBorders>
              <w:top w:val="single" w:color="FFFFFF" w:sz="4" w:space="0"/>
              <w:left w:val="single" w:color="FFFFFF" w:sz="2" w:space="0"/>
              <w:bottom w:val="single" w:color="FFFFFF" w:sz="4" w:space="0"/>
              <w:right w:val="single" w:color="FFFFFF" w:sz="2" w:space="0"/>
            </w:tcBorders>
            <w:vAlign w:val="top"/>
          </w:tcPr>
          <w:p w14:paraId="4BCF4C1A">
            <w:pPr>
              <w:pStyle w:val="6"/>
            </w:pPr>
          </w:p>
        </w:tc>
        <w:tc>
          <w:tcPr>
            <w:tcW w:w="1193" w:type="dxa"/>
            <w:tcBorders>
              <w:top w:val="single" w:color="FFFFFF" w:sz="4" w:space="0"/>
              <w:left w:val="single" w:color="FFFFFF" w:sz="2" w:space="0"/>
              <w:bottom w:val="single" w:color="FFFFFF" w:sz="4" w:space="0"/>
              <w:right w:val="single" w:color="FFFFFF" w:sz="2" w:space="0"/>
            </w:tcBorders>
            <w:vAlign w:val="top"/>
          </w:tcPr>
          <w:p w14:paraId="09BAE507">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预算公开表8</w:t>
            </w:r>
          </w:p>
        </w:tc>
      </w:tr>
      <w:tr w14:paraId="6B831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3486252F">
            <w:pPr>
              <w:spacing w:before="91" w:line="219" w:lineRule="auto"/>
              <w:ind w:left="1991"/>
              <w:outlineLvl w:val="1"/>
              <w:rPr>
                <w:rFonts w:ascii="宋体" w:hAnsi="宋体" w:eastAsia="宋体" w:cs="宋体"/>
                <w:sz w:val="24"/>
                <w:szCs w:val="24"/>
              </w:rPr>
            </w:pPr>
            <w:bookmarkStart w:id="55" w:name="bookmark13"/>
            <w:bookmarkEnd w:id="55"/>
            <w:bookmarkStart w:id="56" w:name="bookmark45"/>
            <w:bookmarkEnd w:id="56"/>
            <w:r>
              <w:rPr>
                <w:rFonts w:ascii="宋体" w:hAnsi="宋体" w:eastAsia="宋体" w:cs="宋体"/>
                <w:color w:val="212529"/>
                <w:spacing w:val="-1"/>
                <w:sz w:val="24"/>
                <w:szCs w:val="24"/>
              </w:rPr>
              <w:t>2023年政府性基金预算支出表（不含上年结转）</w:t>
            </w:r>
          </w:p>
        </w:tc>
      </w:tr>
      <w:tr w14:paraId="56B67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557" w:type="dxa"/>
            <w:gridSpan w:val="2"/>
            <w:tcBorders>
              <w:top w:val="single" w:color="FFFFFF" w:sz="4" w:space="0"/>
              <w:left w:val="single" w:color="FFFFFF" w:sz="2" w:space="0"/>
              <w:right w:val="single" w:color="FFFFFF" w:sz="2" w:space="0"/>
            </w:tcBorders>
            <w:vAlign w:val="top"/>
          </w:tcPr>
          <w:p w14:paraId="70933604">
            <w:pPr>
              <w:spacing w:before="130"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127" w:type="dxa"/>
            <w:tcBorders>
              <w:top w:val="single" w:color="FFFFFF" w:sz="4" w:space="0"/>
              <w:left w:val="single" w:color="FFFFFF" w:sz="2" w:space="0"/>
              <w:right w:val="single" w:color="FFFFFF" w:sz="2" w:space="0"/>
            </w:tcBorders>
            <w:vAlign w:val="top"/>
          </w:tcPr>
          <w:p w14:paraId="0DA7B24C">
            <w:pPr>
              <w:pStyle w:val="6"/>
            </w:pPr>
          </w:p>
        </w:tc>
        <w:tc>
          <w:tcPr>
            <w:tcW w:w="1139" w:type="dxa"/>
            <w:tcBorders>
              <w:top w:val="single" w:color="FFFFFF" w:sz="4" w:space="0"/>
              <w:left w:val="single" w:color="FFFFFF" w:sz="2" w:space="0"/>
              <w:right w:val="single" w:color="FFFFFF" w:sz="2" w:space="0"/>
            </w:tcBorders>
            <w:vAlign w:val="top"/>
          </w:tcPr>
          <w:p w14:paraId="42954749">
            <w:pPr>
              <w:pStyle w:val="6"/>
            </w:pPr>
          </w:p>
        </w:tc>
        <w:tc>
          <w:tcPr>
            <w:tcW w:w="1193" w:type="dxa"/>
            <w:tcBorders>
              <w:top w:val="single" w:color="FFFFFF" w:sz="4" w:space="0"/>
              <w:left w:val="single" w:color="FFFFFF" w:sz="2" w:space="0"/>
              <w:right w:val="single" w:color="FFFFFF" w:sz="2" w:space="0"/>
            </w:tcBorders>
            <w:vAlign w:val="top"/>
          </w:tcPr>
          <w:p w14:paraId="29C1426C">
            <w:pPr>
              <w:spacing w:before="130"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0CFC8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68" w:type="dxa"/>
            <w:vAlign w:val="top"/>
          </w:tcPr>
          <w:p w14:paraId="31A3DF48">
            <w:pPr>
              <w:spacing w:before="110" w:line="219" w:lineRule="auto"/>
              <w:ind w:left="669"/>
              <w:rPr>
                <w:rFonts w:ascii="宋体" w:hAnsi="宋体" w:eastAsia="宋体" w:cs="宋体"/>
                <w:sz w:val="18"/>
                <w:szCs w:val="18"/>
              </w:rPr>
            </w:pPr>
            <w:r>
              <w:rPr>
                <w:rFonts w:ascii="宋体" w:hAnsi="宋体" w:eastAsia="宋体" w:cs="宋体"/>
                <w:color w:val="212529"/>
                <w:spacing w:val="-3"/>
                <w:sz w:val="18"/>
                <w:szCs w:val="18"/>
              </w:rPr>
              <w:t>科目编码</w:t>
            </w:r>
          </w:p>
        </w:tc>
        <w:tc>
          <w:tcPr>
            <w:tcW w:w="3489" w:type="dxa"/>
            <w:vAlign w:val="top"/>
          </w:tcPr>
          <w:p w14:paraId="4B1F5C82">
            <w:pPr>
              <w:spacing w:before="110" w:line="219" w:lineRule="auto"/>
              <w:ind w:left="1379"/>
              <w:rPr>
                <w:rFonts w:ascii="宋体" w:hAnsi="宋体" w:eastAsia="宋体" w:cs="宋体"/>
                <w:sz w:val="18"/>
                <w:szCs w:val="18"/>
              </w:rPr>
            </w:pPr>
            <w:r>
              <w:rPr>
                <w:rFonts w:ascii="宋体" w:hAnsi="宋体" w:eastAsia="宋体" w:cs="宋体"/>
                <w:color w:val="212529"/>
                <w:spacing w:val="-3"/>
                <w:sz w:val="18"/>
                <w:szCs w:val="18"/>
              </w:rPr>
              <w:t>科目名称</w:t>
            </w:r>
          </w:p>
        </w:tc>
        <w:tc>
          <w:tcPr>
            <w:tcW w:w="1127" w:type="dxa"/>
            <w:vAlign w:val="top"/>
          </w:tcPr>
          <w:p w14:paraId="4431C54D">
            <w:pPr>
              <w:spacing w:before="110" w:line="221" w:lineRule="auto"/>
              <w:ind w:left="382"/>
              <w:rPr>
                <w:rFonts w:ascii="宋体" w:hAnsi="宋体" w:eastAsia="宋体" w:cs="宋体"/>
                <w:sz w:val="18"/>
                <w:szCs w:val="18"/>
              </w:rPr>
            </w:pPr>
            <w:r>
              <w:rPr>
                <w:rFonts w:ascii="宋体" w:hAnsi="宋体" w:eastAsia="宋体" w:cs="宋体"/>
                <w:color w:val="212529"/>
                <w:spacing w:val="-5"/>
                <w:sz w:val="18"/>
                <w:szCs w:val="18"/>
              </w:rPr>
              <w:t>合计</w:t>
            </w:r>
          </w:p>
        </w:tc>
        <w:tc>
          <w:tcPr>
            <w:tcW w:w="1139" w:type="dxa"/>
            <w:vAlign w:val="top"/>
          </w:tcPr>
          <w:p w14:paraId="747C3614">
            <w:pPr>
              <w:spacing w:before="110" w:line="219" w:lineRule="auto"/>
              <w:ind w:left="208"/>
              <w:rPr>
                <w:rFonts w:ascii="宋体" w:hAnsi="宋体" w:eastAsia="宋体" w:cs="宋体"/>
                <w:sz w:val="18"/>
                <w:szCs w:val="18"/>
              </w:rPr>
            </w:pPr>
            <w:r>
              <w:rPr>
                <w:rFonts w:ascii="宋体" w:hAnsi="宋体" w:eastAsia="宋体" w:cs="宋体"/>
                <w:color w:val="212529"/>
                <w:spacing w:val="-3"/>
                <w:sz w:val="18"/>
                <w:szCs w:val="18"/>
              </w:rPr>
              <w:t>基本支出</w:t>
            </w:r>
          </w:p>
        </w:tc>
        <w:tc>
          <w:tcPr>
            <w:tcW w:w="1193" w:type="dxa"/>
            <w:vAlign w:val="top"/>
          </w:tcPr>
          <w:p w14:paraId="75FC3CF2">
            <w:pPr>
              <w:spacing w:before="110" w:line="220" w:lineRule="auto"/>
              <w:ind w:left="237"/>
              <w:rPr>
                <w:rFonts w:ascii="宋体" w:hAnsi="宋体" w:eastAsia="宋体" w:cs="宋体"/>
                <w:sz w:val="18"/>
                <w:szCs w:val="18"/>
              </w:rPr>
            </w:pPr>
            <w:r>
              <w:rPr>
                <w:rFonts w:ascii="宋体" w:hAnsi="宋体" w:eastAsia="宋体" w:cs="宋体"/>
                <w:color w:val="212529"/>
                <w:spacing w:val="-3"/>
                <w:sz w:val="18"/>
                <w:szCs w:val="18"/>
              </w:rPr>
              <w:t>项目支出</w:t>
            </w:r>
          </w:p>
        </w:tc>
      </w:tr>
      <w:tr w14:paraId="46FCF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557" w:type="dxa"/>
            <w:gridSpan w:val="2"/>
            <w:vAlign w:val="top"/>
          </w:tcPr>
          <w:p w14:paraId="3122433C">
            <w:pPr>
              <w:spacing w:before="111" w:line="221" w:lineRule="auto"/>
              <w:ind w:left="2596"/>
              <w:rPr>
                <w:rFonts w:ascii="宋体" w:hAnsi="宋体" w:eastAsia="宋体" w:cs="宋体"/>
                <w:sz w:val="18"/>
                <w:szCs w:val="18"/>
              </w:rPr>
            </w:pPr>
            <w:r>
              <w:rPr>
                <w:rFonts w:ascii="宋体" w:hAnsi="宋体" w:eastAsia="宋体" w:cs="宋体"/>
                <w:color w:val="212529"/>
                <w:spacing w:val="-5"/>
                <w:sz w:val="18"/>
                <w:szCs w:val="18"/>
              </w:rPr>
              <w:t>合计</w:t>
            </w:r>
          </w:p>
        </w:tc>
        <w:tc>
          <w:tcPr>
            <w:tcW w:w="1127" w:type="dxa"/>
            <w:vAlign w:val="top"/>
          </w:tcPr>
          <w:p w14:paraId="5A9E9EF3">
            <w:pPr>
              <w:pStyle w:val="6"/>
            </w:pPr>
          </w:p>
        </w:tc>
        <w:tc>
          <w:tcPr>
            <w:tcW w:w="1139" w:type="dxa"/>
            <w:vAlign w:val="top"/>
          </w:tcPr>
          <w:p w14:paraId="59845936">
            <w:pPr>
              <w:pStyle w:val="6"/>
            </w:pPr>
          </w:p>
        </w:tc>
        <w:tc>
          <w:tcPr>
            <w:tcW w:w="1193" w:type="dxa"/>
            <w:vAlign w:val="top"/>
          </w:tcPr>
          <w:p w14:paraId="54BB6069">
            <w:pPr>
              <w:pStyle w:val="6"/>
            </w:pPr>
          </w:p>
        </w:tc>
      </w:tr>
      <w:tr w14:paraId="7ED8F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68" w:type="dxa"/>
            <w:vAlign w:val="top"/>
          </w:tcPr>
          <w:p w14:paraId="26DF06E0">
            <w:pPr>
              <w:pStyle w:val="6"/>
            </w:pPr>
          </w:p>
        </w:tc>
        <w:tc>
          <w:tcPr>
            <w:tcW w:w="3489" w:type="dxa"/>
            <w:vAlign w:val="top"/>
          </w:tcPr>
          <w:p w14:paraId="66D874FE">
            <w:pPr>
              <w:pStyle w:val="6"/>
            </w:pPr>
          </w:p>
        </w:tc>
        <w:tc>
          <w:tcPr>
            <w:tcW w:w="1127" w:type="dxa"/>
            <w:vAlign w:val="top"/>
          </w:tcPr>
          <w:p w14:paraId="59EBFE59">
            <w:pPr>
              <w:pStyle w:val="6"/>
            </w:pPr>
          </w:p>
        </w:tc>
        <w:tc>
          <w:tcPr>
            <w:tcW w:w="1139" w:type="dxa"/>
            <w:vAlign w:val="top"/>
          </w:tcPr>
          <w:p w14:paraId="07718F46">
            <w:pPr>
              <w:pStyle w:val="6"/>
            </w:pPr>
          </w:p>
        </w:tc>
        <w:tc>
          <w:tcPr>
            <w:tcW w:w="1193" w:type="dxa"/>
            <w:vAlign w:val="top"/>
          </w:tcPr>
          <w:p w14:paraId="1CA8DD18">
            <w:pPr>
              <w:pStyle w:val="6"/>
            </w:pPr>
          </w:p>
        </w:tc>
      </w:tr>
      <w:tr w14:paraId="1DD1C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9016" w:type="dxa"/>
            <w:gridSpan w:val="5"/>
            <w:tcBorders>
              <w:left w:val="single" w:color="FFFFFF" w:sz="2" w:space="0"/>
              <w:bottom w:val="single" w:color="FFFFFF" w:sz="4" w:space="0"/>
              <w:right w:val="single" w:color="FFFFFF" w:sz="2" w:space="0"/>
            </w:tcBorders>
            <w:vAlign w:val="top"/>
          </w:tcPr>
          <w:p w14:paraId="32986508">
            <w:pPr>
              <w:spacing w:before="113"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r>
    </w:tbl>
    <w:p w14:paraId="6F7113C2">
      <w:pPr>
        <w:rPr>
          <w:rFonts w:ascii="Arial"/>
          <w:sz w:val="21"/>
        </w:rPr>
      </w:pPr>
    </w:p>
    <w:p w14:paraId="3F3AE425">
      <w:pPr>
        <w:rPr>
          <w:rFonts w:ascii="Arial" w:hAnsi="Arial" w:eastAsia="Arial" w:cs="Arial"/>
          <w:sz w:val="21"/>
          <w:szCs w:val="21"/>
        </w:rPr>
        <w:sectPr>
          <w:footerReference r:id="rId20" w:type="default"/>
          <w:pgSz w:w="11900" w:h="16840"/>
          <w:pgMar w:top="610" w:right="600" w:bottom="312" w:left="600" w:header="357" w:footer="153" w:gutter="0"/>
          <w:cols w:space="720" w:num="1"/>
        </w:sectPr>
      </w:pPr>
    </w:p>
    <w:p w14:paraId="70DBD775">
      <w:pPr>
        <w:spacing w:before="6"/>
      </w:pPr>
    </w:p>
    <w:p w14:paraId="6C940998">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1727"/>
        <w:gridCol w:w="779"/>
        <w:gridCol w:w="1223"/>
        <w:gridCol w:w="1499"/>
        <w:gridCol w:w="803"/>
        <w:gridCol w:w="767"/>
        <w:gridCol w:w="869"/>
      </w:tblGrid>
      <w:tr w14:paraId="5D4ED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49" w:type="dxa"/>
            <w:tcBorders>
              <w:top w:val="single" w:color="FFFFFF" w:sz="4" w:space="0"/>
              <w:left w:val="single" w:color="FFFFFF" w:sz="2" w:space="0"/>
              <w:bottom w:val="single" w:color="FFFFFF" w:sz="4" w:space="0"/>
              <w:right w:val="single" w:color="FFFFFF" w:sz="2" w:space="0"/>
            </w:tcBorders>
            <w:vAlign w:val="top"/>
          </w:tcPr>
          <w:p w14:paraId="2610E127">
            <w:pPr>
              <w:pStyle w:val="6"/>
            </w:pPr>
          </w:p>
        </w:tc>
        <w:tc>
          <w:tcPr>
            <w:tcW w:w="1727" w:type="dxa"/>
            <w:tcBorders>
              <w:top w:val="single" w:color="FFFFFF" w:sz="4" w:space="0"/>
              <w:left w:val="single" w:color="FFFFFF" w:sz="2" w:space="0"/>
              <w:bottom w:val="single" w:color="FFFFFF" w:sz="4" w:space="0"/>
              <w:right w:val="single" w:color="FFFFFF" w:sz="2" w:space="0"/>
            </w:tcBorders>
            <w:vAlign w:val="top"/>
          </w:tcPr>
          <w:p w14:paraId="524BEC07">
            <w:pPr>
              <w:pStyle w:val="6"/>
            </w:pPr>
          </w:p>
        </w:tc>
        <w:tc>
          <w:tcPr>
            <w:tcW w:w="779" w:type="dxa"/>
            <w:tcBorders>
              <w:top w:val="single" w:color="FFFFFF" w:sz="4" w:space="0"/>
              <w:left w:val="single" w:color="FFFFFF" w:sz="2" w:space="0"/>
              <w:bottom w:val="single" w:color="FFFFFF" w:sz="4" w:space="0"/>
              <w:right w:val="single" w:color="FFFFFF" w:sz="2" w:space="0"/>
            </w:tcBorders>
            <w:vAlign w:val="top"/>
          </w:tcPr>
          <w:p w14:paraId="546DA728">
            <w:pPr>
              <w:pStyle w:val="6"/>
            </w:pPr>
          </w:p>
        </w:tc>
        <w:tc>
          <w:tcPr>
            <w:tcW w:w="1223" w:type="dxa"/>
            <w:tcBorders>
              <w:top w:val="single" w:color="FFFFFF" w:sz="4" w:space="0"/>
              <w:left w:val="single" w:color="FFFFFF" w:sz="2" w:space="0"/>
              <w:bottom w:val="single" w:color="FFFFFF" w:sz="4" w:space="0"/>
              <w:right w:val="single" w:color="FFFFFF" w:sz="2" w:space="0"/>
            </w:tcBorders>
            <w:vAlign w:val="top"/>
          </w:tcPr>
          <w:p w14:paraId="0112E318">
            <w:pPr>
              <w:pStyle w:val="6"/>
            </w:pPr>
          </w:p>
        </w:tc>
        <w:tc>
          <w:tcPr>
            <w:tcW w:w="1499" w:type="dxa"/>
            <w:tcBorders>
              <w:top w:val="single" w:color="FFFFFF" w:sz="4" w:space="0"/>
              <w:left w:val="single" w:color="FFFFFF" w:sz="2" w:space="0"/>
              <w:bottom w:val="single" w:color="FFFFFF" w:sz="4" w:space="0"/>
              <w:right w:val="single" w:color="FFFFFF" w:sz="2" w:space="0"/>
            </w:tcBorders>
            <w:vAlign w:val="top"/>
          </w:tcPr>
          <w:p w14:paraId="3C76DA01">
            <w:pPr>
              <w:pStyle w:val="6"/>
            </w:pPr>
          </w:p>
        </w:tc>
        <w:tc>
          <w:tcPr>
            <w:tcW w:w="803" w:type="dxa"/>
            <w:tcBorders>
              <w:top w:val="single" w:color="FFFFFF" w:sz="4" w:space="0"/>
              <w:left w:val="single" w:color="FFFFFF" w:sz="2" w:space="0"/>
              <w:bottom w:val="single" w:color="FFFFFF" w:sz="4" w:space="0"/>
              <w:right w:val="single" w:color="FFFFFF" w:sz="2" w:space="0"/>
            </w:tcBorders>
            <w:vAlign w:val="top"/>
          </w:tcPr>
          <w:p w14:paraId="10B233E1">
            <w:pPr>
              <w:pStyle w:val="6"/>
            </w:pPr>
          </w:p>
        </w:tc>
        <w:tc>
          <w:tcPr>
            <w:tcW w:w="767" w:type="dxa"/>
            <w:tcBorders>
              <w:top w:val="single" w:color="FFFFFF" w:sz="4" w:space="0"/>
              <w:left w:val="single" w:color="FFFFFF" w:sz="2" w:space="0"/>
              <w:bottom w:val="single" w:color="FFFFFF" w:sz="4" w:space="0"/>
              <w:right w:val="single" w:color="FFFFFF" w:sz="2" w:space="0"/>
            </w:tcBorders>
            <w:vAlign w:val="top"/>
          </w:tcPr>
          <w:p w14:paraId="556C464D">
            <w:pPr>
              <w:pStyle w:val="6"/>
            </w:pPr>
          </w:p>
        </w:tc>
        <w:tc>
          <w:tcPr>
            <w:tcW w:w="869" w:type="dxa"/>
            <w:tcBorders>
              <w:top w:val="single" w:color="FFFFFF" w:sz="4" w:space="0"/>
              <w:left w:val="single" w:color="FFFFFF" w:sz="2" w:space="0"/>
              <w:bottom w:val="single" w:color="FFFFFF" w:sz="4" w:space="0"/>
              <w:right w:val="single" w:color="FFFFFF" w:sz="2" w:space="0"/>
            </w:tcBorders>
            <w:vAlign w:val="top"/>
          </w:tcPr>
          <w:p w14:paraId="4AD5BADF">
            <w:pPr>
              <w:spacing w:before="72" w:line="212" w:lineRule="auto"/>
              <w:ind w:left="781" w:right="5" w:hanging="694"/>
              <w:rPr>
                <w:rFonts w:ascii="宋体" w:hAnsi="宋体" w:eastAsia="宋体" w:cs="宋体"/>
                <w:sz w:val="15"/>
                <w:szCs w:val="15"/>
              </w:rPr>
            </w:pPr>
            <w:r>
              <w:rPr>
                <w:rFonts w:ascii="宋体" w:hAnsi="宋体" w:eastAsia="宋体" w:cs="宋体"/>
                <w:color w:val="212529"/>
                <w:spacing w:val="4"/>
                <w:sz w:val="15"/>
                <w:szCs w:val="15"/>
              </w:rPr>
              <w:t>部门公开表</w:t>
            </w:r>
            <w:r>
              <w:rPr>
                <w:rFonts w:ascii="宋体" w:hAnsi="宋体" w:eastAsia="宋体" w:cs="宋体"/>
                <w:color w:val="212529"/>
                <w:sz w:val="15"/>
                <w:szCs w:val="15"/>
              </w:rPr>
              <w:t xml:space="preserve"> 9</w:t>
            </w:r>
          </w:p>
        </w:tc>
      </w:tr>
      <w:tr w14:paraId="2C039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462DD7B5">
            <w:pPr>
              <w:spacing w:before="90" w:line="219" w:lineRule="auto"/>
              <w:ind w:left="1631"/>
              <w:outlineLvl w:val="1"/>
              <w:rPr>
                <w:rFonts w:ascii="宋体" w:hAnsi="宋体" w:eastAsia="宋体" w:cs="宋体"/>
                <w:sz w:val="24"/>
                <w:szCs w:val="24"/>
              </w:rPr>
            </w:pPr>
            <w:bookmarkStart w:id="57" w:name="bookmark46"/>
            <w:bookmarkEnd w:id="57"/>
            <w:bookmarkStart w:id="58" w:name="bookmark14"/>
            <w:bookmarkEnd w:id="58"/>
            <w:r>
              <w:rPr>
                <w:rFonts w:ascii="宋体" w:hAnsi="宋体" w:eastAsia="宋体" w:cs="宋体"/>
                <w:color w:val="212529"/>
                <w:spacing w:val="-1"/>
                <w:sz w:val="24"/>
                <w:szCs w:val="24"/>
              </w:rPr>
              <w:t>2023年国有资本经营预算收支预算表（不含上年结转）</w:t>
            </w:r>
          </w:p>
        </w:tc>
      </w:tr>
      <w:tr w14:paraId="4C103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147" w:type="dxa"/>
            <w:gridSpan w:val="7"/>
            <w:tcBorders>
              <w:top w:val="single" w:color="FFFFFF" w:sz="4" w:space="0"/>
              <w:left w:val="single" w:color="FFFFFF" w:sz="2" w:space="0"/>
              <w:right w:val="single" w:color="FFFFFF" w:sz="2" w:space="0"/>
            </w:tcBorders>
            <w:vAlign w:val="top"/>
          </w:tcPr>
          <w:p w14:paraId="5182D062">
            <w:pPr>
              <w:spacing w:before="128"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869" w:type="dxa"/>
            <w:tcBorders>
              <w:top w:val="single" w:color="FFFFFF" w:sz="4" w:space="0"/>
              <w:left w:val="single" w:color="FFFFFF" w:sz="2" w:space="0"/>
              <w:right w:val="single" w:color="FFFFFF" w:sz="2" w:space="0"/>
            </w:tcBorders>
            <w:vAlign w:val="top"/>
          </w:tcPr>
          <w:p w14:paraId="511084A7">
            <w:pPr>
              <w:spacing w:before="128"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0866E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55" w:type="dxa"/>
            <w:gridSpan w:val="3"/>
            <w:vAlign w:val="top"/>
          </w:tcPr>
          <w:p w14:paraId="5533419C">
            <w:pPr>
              <w:spacing w:before="107" w:line="219" w:lineRule="auto"/>
              <w:ind w:left="1040"/>
              <w:rPr>
                <w:rFonts w:ascii="宋体" w:hAnsi="宋体" w:eastAsia="宋体" w:cs="宋体"/>
                <w:sz w:val="18"/>
                <w:szCs w:val="18"/>
              </w:rPr>
            </w:pPr>
            <w:r>
              <w:rPr>
                <w:rFonts w:ascii="宋体" w:hAnsi="宋体" w:eastAsia="宋体" w:cs="宋体"/>
                <w:color w:val="212529"/>
                <w:spacing w:val="-3"/>
                <w:sz w:val="18"/>
                <w:szCs w:val="18"/>
              </w:rPr>
              <w:t>国有资本经营预算收入</w:t>
            </w:r>
          </w:p>
        </w:tc>
        <w:tc>
          <w:tcPr>
            <w:tcW w:w="5161" w:type="dxa"/>
            <w:gridSpan w:val="5"/>
            <w:vAlign w:val="top"/>
          </w:tcPr>
          <w:p w14:paraId="3DD86C6D">
            <w:pPr>
              <w:spacing w:before="107" w:line="219" w:lineRule="auto"/>
              <w:ind w:left="1693"/>
              <w:rPr>
                <w:rFonts w:ascii="宋体" w:hAnsi="宋体" w:eastAsia="宋体" w:cs="宋体"/>
                <w:sz w:val="18"/>
                <w:szCs w:val="18"/>
              </w:rPr>
            </w:pPr>
            <w:r>
              <w:rPr>
                <w:rFonts w:ascii="宋体" w:hAnsi="宋体" w:eastAsia="宋体" w:cs="宋体"/>
                <w:color w:val="212529"/>
                <w:spacing w:val="-3"/>
                <w:sz w:val="18"/>
                <w:szCs w:val="18"/>
              </w:rPr>
              <w:t>国有资本经营预算支出</w:t>
            </w:r>
          </w:p>
        </w:tc>
      </w:tr>
      <w:tr w14:paraId="08210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076" w:type="dxa"/>
            <w:gridSpan w:val="2"/>
            <w:vAlign w:val="top"/>
          </w:tcPr>
          <w:p w14:paraId="275A9C40">
            <w:pPr>
              <w:spacing w:before="109" w:line="220" w:lineRule="auto"/>
              <w:ind w:left="1356"/>
              <w:rPr>
                <w:rFonts w:ascii="宋体" w:hAnsi="宋体" w:eastAsia="宋体" w:cs="宋体"/>
                <w:sz w:val="18"/>
                <w:szCs w:val="18"/>
              </w:rPr>
            </w:pPr>
            <w:r>
              <w:rPr>
                <w:rFonts w:ascii="宋体" w:hAnsi="宋体" w:eastAsia="宋体" w:cs="宋体"/>
                <w:color w:val="212529"/>
                <w:spacing w:val="-6"/>
                <w:sz w:val="18"/>
                <w:szCs w:val="18"/>
              </w:rPr>
              <w:t>项目</w:t>
            </w:r>
          </w:p>
        </w:tc>
        <w:tc>
          <w:tcPr>
            <w:tcW w:w="779" w:type="dxa"/>
            <w:vMerge w:val="restart"/>
            <w:tcBorders>
              <w:bottom w:val="nil"/>
            </w:tcBorders>
            <w:vAlign w:val="top"/>
          </w:tcPr>
          <w:p w14:paraId="7377B21C">
            <w:pPr>
              <w:spacing w:before="121" w:line="209" w:lineRule="auto"/>
              <w:ind w:left="41"/>
              <w:rPr>
                <w:rFonts w:ascii="宋体" w:hAnsi="宋体" w:eastAsia="宋体" w:cs="宋体"/>
                <w:sz w:val="18"/>
                <w:szCs w:val="18"/>
              </w:rPr>
            </w:pPr>
            <w:r>
              <w:rPr>
                <w:rFonts w:ascii="宋体" w:hAnsi="宋体" w:eastAsia="宋体" w:cs="宋体"/>
                <w:color w:val="212529"/>
                <w:spacing w:val="-7"/>
                <w:sz w:val="18"/>
                <w:szCs w:val="18"/>
              </w:rPr>
              <w:t>国有资本</w:t>
            </w:r>
          </w:p>
          <w:p w14:paraId="217D44F7">
            <w:pPr>
              <w:spacing w:line="209" w:lineRule="auto"/>
              <w:ind w:left="25"/>
              <w:rPr>
                <w:rFonts w:ascii="宋体" w:hAnsi="宋体" w:eastAsia="宋体" w:cs="宋体"/>
                <w:sz w:val="18"/>
                <w:szCs w:val="18"/>
              </w:rPr>
            </w:pPr>
            <w:r>
              <w:rPr>
                <w:rFonts w:ascii="宋体" w:hAnsi="宋体" w:eastAsia="宋体" w:cs="宋体"/>
                <w:color w:val="212529"/>
                <w:spacing w:val="-3"/>
                <w:sz w:val="18"/>
                <w:szCs w:val="18"/>
              </w:rPr>
              <w:t>经营收入</w:t>
            </w:r>
          </w:p>
          <w:p w14:paraId="60E35748">
            <w:pPr>
              <w:spacing w:line="219" w:lineRule="auto"/>
              <w:ind w:left="205"/>
              <w:rPr>
                <w:rFonts w:ascii="宋体" w:hAnsi="宋体" w:eastAsia="宋体" w:cs="宋体"/>
                <w:sz w:val="18"/>
                <w:szCs w:val="18"/>
              </w:rPr>
            </w:pPr>
            <w:r>
              <w:rPr>
                <w:rFonts w:ascii="宋体" w:hAnsi="宋体" w:eastAsia="宋体" w:cs="宋体"/>
                <w:color w:val="212529"/>
                <w:spacing w:val="-5"/>
                <w:sz w:val="18"/>
                <w:szCs w:val="18"/>
              </w:rPr>
              <w:t>预算</w:t>
            </w:r>
          </w:p>
        </w:tc>
        <w:tc>
          <w:tcPr>
            <w:tcW w:w="1223" w:type="dxa"/>
            <w:vMerge w:val="restart"/>
            <w:tcBorders>
              <w:bottom w:val="nil"/>
            </w:tcBorders>
            <w:vAlign w:val="top"/>
          </w:tcPr>
          <w:p w14:paraId="367785BE">
            <w:pPr>
              <w:pStyle w:val="6"/>
              <w:spacing w:line="264" w:lineRule="auto"/>
            </w:pPr>
          </w:p>
          <w:p w14:paraId="40327889">
            <w:pPr>
              <w:spacing w:before="59" w:line="219" w:lineRule="auto"/>
              <w:ind w:left="247"/>
              <w:rPr>
                <w:rFonts w:ascii="宋体" w:hAnsi="宋体" w:eastAsia="宋体" w:cs="宋体"/>
                <w:sz w:val="18"/>
                <w:szCs w:val="18"/>
              </w:rPr>
            </w:pPr>
            <w:r>
              <w:rPr>
                <w:rFonts w:ascii="宋体" w:hAnsi="宋体" w:eastAsia="宋体" w:cs="宋体"/>
                <w:color w:val="212529"/>
                <w:spacing w:val="-3"/>
                <w:sz w:val="18"/>
                <w:szCs w:val="18"/>
              </w:rPr>
              <w:t>科目编码</w:t>
            </w:r>
          </w:p>
        </w:tc>
        <w:tc>
          <w:tcPr>
            <w:tcW w:w="1499" w:type="dxa"/>
            <w:vMerge w:val="restart"/>
            <w:tcBorders>
              <w:bottom w:val="nil"/>
            </w:tcBorders>
            <w:vAlign w:val="top"/>
          </w:tcPr>
          <w:p w14:paraId="641533FD">
            <w:pPr>
              <w:pStyle w:val="6"/>
              <w:spacing w:line="264" w:lineRule="auto"/>
            </w:pPr>
          </w:p>
          <w:p w14:paraId="75913D3F">
            <w:pPr>
              <w:spacing w:before="59" w:line="219" w:lineRule="auto"/>
              <w:ind w:left="386"/>
              <w:rPr>
                <w:rFonts w:ascii="宋体" w:hAnsi="宋体" w:eastAsia="宋体" w:cs="宋体"/>
                <w:sz w:val="18"/>
                <w:szCs w:val="18"/>
              </w:rPr>
            </w:pPr>
            <w:r>
              <w:rPr>
                <w:rFonts w:ascii="宋体" w:hAnsi="宋体" w:eastAsia="宋体" w:cs="宋体"/>
                <w:color w:val="212529"/>
                <w:spacing w:val="-3"/>
                <w:sz w:val="18"/>
                <w:szCs w:val="18"/>
              </w:rPr>
              <w:t>科目名称</w:t>
            </w:r>
          </w:p>
        </w:tc>
        <w:tc>
          <w:tcPr>
            <w:tcW w:w="803" w:type="dxa"/>
            <w:vMerge w:val="restart"/>
            <w:tcBorders>
              <w:bottom w:val="nil"/>
            </w:tcBorders>
            <w:vAlign w:val="top"/>
          </w:tcPr>
          <w:p w14:paraId="2862605A">
            <w:pPr>
              <w:pStyle w:val="6"/>
              <w:spacing w:line="264" w:lineRule="auto"/>
            </w:pPr>
          </w:p>
          <w:p w14:paraId="404729B7">
            <w:pPr>
              <w:spacing w:before="59" w:line="221" w:lineRule="auto"/>
              <w:ind w:left="220"/>
              <w:rPr>
                <w:rFonts w:ascii="宋体" w:hAnsi="宋体" w:eastAsia="宋体" w:cs="宋体"/>
                <w:sz w:val="18"/>
                <w:szCs w:val="18"/>
              </w:rPr>
            </w:pPr>
            <w:r>
              <w:rPr>
                <w:rFonts w:ascii="宋体" w:hAnsi="宋体" w:eastAsia="宋体" w:cs="宋体"/>
                <w:color w:val="212529"/>
                <w:spacing w:val="-5"/>
                <w:sz w:val="18"/>
                <w:szCs w:val="18"/>
              </w:rPr>
              <w:t>合计</w:t>
            </w:r>
          </w:p>
        </w:tc>
        <w:tc>
          <w:tcPr>
            <w:tcW w:w="767" w:type="dxa"/>
            <w:vMerge w:val="restart"/>
            <w:tcBorders>
              <w:bottom w:val="nil"/>
            </w:tcBorders>
            <w:vAlign w:val="top"/>
          </w:tcPr>
          <w:p w14:paraId="4FA88460">
            <w:pPr>
              <w:pStyle w:val="6"/>
              <w:spacing w:line="264" w:lineRule="auto"/>
            </w:pPr>
          </w:p>
          <w:p w14:paraId="1B03B694">
            <w:pPr>
              <w:spacing w:before="59" w:line="219" w:lineRule="auto"/>
              <w:ind w:left="23"/>
              <w:rPr>
                <w:rFonts w:ascii="宋体" w:hAnsi="宋体" w:eastAsia="宋体" w:cs="宋体"/>
                <w:sz w:val="18"/>
                <w:szCs w:val="18"/>
              </w:rPr>
            </w:pPr>
            <w:r>
              <w:rPr>
                <w:rFonts w:ascii="宋体" w:hAnsi="宋体" w:eastAsia="宋体" w:cs="宋体"/>
                <w:color w:val="212529"/>
                <w:spacing w:val="-3"/>
                <w:sz w:val="18"/>
                <w:szCs w:val="18"/>
              </w:rPr>
              <w:t>基本支出</w:t>
            </w:r>
          </w:p>
        </w:tc>
        <w:tc>
          <w:tcPr>
            <w:tcW w:w="869" w:type="dxa"/>
            <w:vMerge w:val="restart"/>
            <w:tcBorders>
              <w:bottom w:val="nil"/>
            </w:tcBorders>
            <w:vAlign w:val="top"/>
          </w:tcPr>
          <w:p w14:paraId="54026303">
            <w:pPr>
              <w:pStyle w:val="6"/>
              <w:spacing w:line="264" w:lineRule="auto"/>
            </w:pPr>
          </w:p>
          <w:p w14:paraId="0570FCCA">
            <w:pPr>
              <w:spacing w:before="59" w:line="220" w:lineRule="auto"/>
              <w:ind w:left="75"/>
              <w:rPr>
                <w:rFonts w:ascii="宋体" w:hAnsi="宋体" w:eastAsia="宋体" w:cs="宋体"/>
                <w:sz w:val="18"/>
                <w:szCs w:val="18"/>
              </w:rPr>
            </w:pPr>
            <w:r>
              <w:rPr>
                <w:rFonts w:ascii="宋体" w:hAnsi="宋体" w:eastAsia="宋体" w:cs="宋体"/>
                <w:color w:val="212529"/>
                <w:spacing w:val="-3"/>
                <w:sz w:val="18"/>
                <w:szCs w:val="18"/>
              </w:rPr>
              <w:t>项目支出</w:t>
            </w:r>
          </w:p>
        </w:tc>
      </w:tr>
      <w:tr w14:paraId="6057B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49" w:type="dxa"/>
            <w:vAlign w:val="top"/>
          </w:tcPr>
          <w:p w14:paraId="65B9D7C4">
            <w:pPr>
              <w:spacing w:before="108" w:line="219" w:lineRule="auto"/>
              <w:ind w:left="135"/>
              <w:rPr>
                <w:rFonts w:ascii="宋体" w:hAnsi="宋体" w:eastAsia="宋体" w:cs="宋体"/>
                <w:sz w:val="18"/>
                <w:szCs w:val="18"/>
              </w:rPr>
            </w:pPr>
            <w:r>
              <w:rPr>
                <w:rFonts w:ascii="宋体" w:hAnsi="宋体" w:eastAsia="宋体" w:cs="宋体"/>
                <w:color w:val="212529"/>
                <w:spacing w:val="-3"/>
                <w:sz w:val="18"/>
                <w:szCs w:val="18"/>
              </w:rPr>
              <w:t>收入科目编码</w:t>
            </w:r>
          </w:p>
        </w:tc>
        <w:tc>
          <w:tcPr>
            <w:tcW w:w="1727" w:type="dxa"/>
            <w:vAlign w:val="top"/>
          </w:tcPr>
          <w:p w14:paraId="290617DC">
            <w:pPr>
              <w:spacing w:before="108" w:line="219" w:lineRule="auto"/>
              <w:ind w:left="496"/>
              <w:rPr>
                <w:rFonts w:ascii="宋体" w:hAnsi="宋体" w:eastAsia="宋体" w:cs="宋体"/>
                <w:sz w:val="18"/>
                <w:szCs w:val="18"/>
              </w:rPr>
            </w:pPr>
            <w:r>
              <w:rPr>
                <w:rFonts w:ascii="宋体" w:hAnsi="宋体" w:eastAsia="宋体" w:cs="宋体"/>
                <w:color w:val="212529"/>
                <w:spacing w:val="-3"/>
                <w:sz w:val="18"/>
                <w:szCs w:val="18"/>
              </w:rPr>
              <w:t>科目名称</w:t>
            </w:r>
          </w:p>
        </w:tc>
        <w:tc>
          <w:tcPr>
            <w:tcW w:w="779" w:type="dxa"/>
            <w:vMerge w:val="continue"/>
            <w:tcBorders>
              <w:top w:val="nil"/>
            </w:tcBorders>
            <w:vAlign w:val="top"/>
          </w:tcPr>
          <w:p w14:paraId="6927F560">
            <w:pPr>
              <w:pStyle w:val="6"/>
            </w:pPr>
          </w:p>
        </w:tc>
        <w:tc>
          <w:tcPr>
            <w:tcW w:w="1223" w:type="dxa"/>
            <w:vMerge w:val="continue"/>
            <w:tcBorders>
              <w:top w:val="nil"/>
            </w:tcBorders>
            <w:vAlign w:val="top"/>
          </w:tcPr>
          <w:p w14:paraId="4AF36C9E">
            <w:pPr>
              <w:pStyle w:val="6"/>
            </w:pPr>
          </w:p>
        </w:tc>
        <w:tc>
          <w:tcPr>
            <w:tcW w:w="1499" w:type="dxa"/>
            <w:vMerge w:val="continue"/>
            <w:tcBorders>
              <w:top w:val="nil"/>
            </w:tcBorders>
            <w:vAlign w:val="top"/>
          </w:tcPr>
          <w:p w14:paraId="258EAC3E">
            <w:pPr>
              <w:pStyle w:val="6"/>
            </w:pPr>
          </w:p>
        </w:tc>
        <w:tc>
          <w:tcPr>
            <w:tcW w:w="803" w:type="dxa"/>
            <w:vMerge w:val="continue"/>
            <w:tcBorders>
              <w:top w:val="nil"/>
            </w:tcBorders>
            <w:vAlign w:val="top"/>
          </w:tcPr>
          <w:p w14:paraId="2164B9FC">
            <w:pPr>
              <w:pStyle w:val="6"/>
            </w:pPr>
          </w:p>
        </w:tc>
        <w:tc>
          <w:tcPr>
            <w:tcW w:w="767" w:type="dxa"/>
            <w:vMerge w:val="continue"/>
            <w:tcBorders>
              <w:top w:val="nil"/>
            </w:tcBorders>
            <w:vAlign w:val="top"/>
          </w:tcPr>
          <w:p w14:paraId="3C360496">
            <w:pPr>
              <w:pStyle w:val="6"/>
            </w:pPr>
          </w:p>
        </w:tc>
        <w:tc>
          <w:tcPr>
            <w:tcW w:w="869" w:type="dxa"/>
            <w:vMerge w:val="continue"/>
            <w:tcBorders>
              <w:top w:val="nil"/>
            </w:tcBorders>
            <w:vAlign w:val="top"/>
          </w:tcPr>
          <w:p w14:paraId="0EBEF63A">
            <w:pPr>
              <w:pStyle w:val="6"/>
            </w:pPr>
          </w:p>
        </w:tc>
      </w:tr>
      <w:tr w14:paraId="2958E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76" w:type="dxa"/>
            <w:gridSpan w:val="2"/>
            <w:vAlign w:val="top"/>
          </w:tcPr>
          <w:p w14:paraId="28CF7D1C">
            <w:pPr>
              <w:spacing w:before="108" w:line="221" w:lineRule="auto"/>
              <w:ind w:left="1354"/>
              <w:rPr>
                <w:rFonts w:ascii="宋体" w:hAnsi="宋体" w:eastAsia="宋体" w:cs="宋体"/>
                <w:sz w:val="18"/>
                <w:szCs w:val="18"/>
              </w:rPr>
            </w:pPr>
            <w:r>
              <w:rPr>
                <w:rFonts w:ascii="宋体" w:hAnsi="宋体" w:eastAsia="宋体" w:cs="宋体"/>
                <w:color w:val="212529"/>
                <w:spacing w:val="-5"/>
                <w:sz w:val="18"/>
                <w:szCs w:val="18"/>
              </w:rPr>
              <w:t>合计</w:t>
            </w:r>
          </w:p>
        </w:tc>
        <w:tc>
          <w:tcPr>
            <w:tcW w:w="779" w:type="dxa"/>
            <w:vAlign w:val="top"/>
          </w:tcPr>
          <w:p w14:paraId="4506EEE7">
            <w:pPr>
              <w:pStyle w:val="6"/>
            </w:pPr>
          </w:p>
        </w:tc>
        <w:tc>
          <w:tcPr>
            <w:tcW w:w="1223" w:type="dxa"/>
            <w:vAlign w:val="top"/>
          </w:tcPr>
          <w:p w14:paraId="13E6E3C7">
            <w:pPr>
              <w:pStyle w:val="6"/>
            </w:pPr>
          </w:p>
        </w:tc>
        <w:tc>
          <w:tcPr>
            <w:tcW w:w="1499" w:type="dxa"/>
            <w:vAlign w:val="top"/>
          </w:tcPr>
          <w:p w14:paraId="02209EE7">
            <w:pPr>
              <w:pStyle w:val="6"/>
            </w:pPr>
          </w:p>
        </w:tc>
        <w:tc>
          <w:tcPr>
            <w:tcW w:w="803" w:type="dxa"/>
            <w:vAlign w:val="top"/>
          </w:tcPr>
          <w:p w14:paraId="3E578AA9">
            <w:pPr>
              <w:pStyle w:val="6"/>
            </w:pPr>
          </w:p>
        </w:tc>
        <w:tc>
          <w:tcPr>
            <w:tcW w:w="767" w:type="dxa"/>
            <w:vAlign w:val="top"/>
          </w:tcPr>
          <w:p w14:paraId="2F64BC74">
            <w:pPr>
              <w:pStyle w:val="6"/>
            </w:pPr>
          </w:p>
        </w:tc>
        <w:tc>
          <w:tcPr>
            <w:tcW w:w="869" w:type="dxa"/>
            <w:vAlign w:val="top"/>
          </w:tcPr>
          <w:p w14:paraId="0EC3329A">
            <w:pPr>
              <w:pStyle w:val="6"/>
            </w:pPr>
          </w:p>
        </w:tc>
      </w:tr>
      <w:tr w14:paraId="6131E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49" w:type="dxa"/>
            <w:vAlign w:val="top"/>
          </w:tcPr>
          <w:p w14:paraId="7CD84C77">
            <w:pPr>
              <w:spacing w:before="137"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1727" w:type="dxa"/>
            <w:vAlign w:val="top"/>
          </w:tcPr>
          <w:p w14:paraId="5CC1C1A2">
            <w:pPr>
              <w:spacing w:before="110" w:line="219" w:lineRule="auto"/>
              <w:ind w:left="7"/>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779" w:type="dxa"/>
            <w:vAlign w:val="top"/>
          </w:tcPr>
          <w:p w14:paraId="12BC938A">
            <w:pPr>
              <w:pStyle w:val="6"/>
            </w:pPr>
          </w:p>
        </w:tc>
        <w:tc>
          <w:tcPr>
            <w:tcW w:w="1223" w:type="dxa"/>
            <w:vAlign w:val="top"/>
          </w:tcPr>
          <w:p w14:paraId="018F5145">
            <w:pPr>
              <w:spacing w:before="137" w:line="184" w:lineRule="auto"/>
              <w:ind w:left="9"/>
              <w:rPr>
                <w:rFonts w:ascii="宋体" w:hAnsi="宋体" w:eastAsia="宋体" w:cs="宋体"/>
                <w:sz w:val="18"/>
                <w:szCs w:val="18"/>
              </w:rPr>
            </w:pPr>
            <w:r>
              <w:rPr>
                <w:rFonts w:ascii="宋体" w:hAnsi="宋体" w:eastAsia="宋体" w:cs="宋体"/>
                <w:color w:val="212529"/>
                <w:spacing w:val="-4"/>
                <w:sz w:val="18"/>
                <w:szCs w:val="18"/>
              </w:rPr>
              <w:t>201</w:t>
            </w:r>
          </w:p>
        </w:tc>
        <w:tc>
          <w:tcPr>
            <w:tcW w:w="1499" w:type="dxa"/>
            <w:vAlign w:val="top"/>
          </w:tcPr>
          <w:p w14:paraId="2DFBE68C">
            <w:pPr>
              <w:spacing w:before="110" w:line="219" w:lineRule="auto"/>
              <w:ind w:left="11"/>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803" w:type="dxa"/>
            <w:vAlign w:val="top"/>
          </w:tcPr>
          <w:p w14:paraId="08518274">
            <w:pPr>
              <w:pStyle w:val="6"/>
            </w:pPr>
          </w:p>
        </w:tc>
        <w:tc>
          <w:tcPr>
            <w:tcW w:w="767" w:type="dxa"/>
            <w:vAlign w:val="top"/>
          </w:tcPr>
          <w:p w14:paraId="4DF67AF2">
            <w:pPr>
              <w:pStyle w:val="6"/>
            </w:pPr>
          </w:p>
        </w:tc>
        <w:tc>
          <w:tcPr>
            <w:tcW w:w="869" w:type="dxa"/>
            <w:vAlign w:val="top"/>
          </w:tcPr>
          <w:p w14:paraId="47274BED">
            <w:pPr>
              <w:pStyle w:val="6"/>
            </w:pPr>
          </w:p>
        </w:tc>
      </w:tr>
      <w:tr w14:paraId="00B47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49" w:type="dxa"/>
            <w:vAlign w:val="top"/>
          </w:tcPr>
          <w:p w14:paraId="626A3E30">
            <w:pPr>
              <w:spacing w:before="138" w:line="184" w:lineRule="auto"/>
              <w:ind w:left="11"/>
              <w:rPr>
                <w:rFonts w:ascii="宋体" w:hAnsi="宋体" w:eastAsia="宋体" w:cs="宋体"/>
                <w:sz w:val="18"/>
                <w:szCs w:val="18"/>
              </w:rPr>
            </w:pPr>
            <w:r>
              <w:rPr>
                <w:rFonts w:ascii="宋体" w:hAnsi="宋体" w:eastAsia="宋体" w:cs="宋体"/>
                <w:color w:val="212529"/>
                <w:spacing w:val="-2"/>
                <w:sz w:val="18"/>
                <w:szCs w:val="18"/>
              </w:rPr>
              <w:t>20103</w:t>
            </w:r>
          </w:p>
        </w:tc>
        <w:tc>
          <w:tcPr>
            <w:tcW w:w="1727" w:type="dxa"/>
            <w:vAlign w:val="top"/>
          </w:tcPr>
          <w:p w14:paraId="2482F7F5">
            <w:pPr>
              <w:spacing w:before="1" w:line="210" w:lineRule="auto"/>
              <w:ind w:left="3" w:right="100"/>
              <w:rPr>
                <w:rFonts w:ascii="宋体" w:hAnsi="宋体" w:eastAsia="宋体" w:cs="宋体"/>
                <w:sz w:val="18"/>
                <w:szCs w:val="18"/>
              </w:rPr>
            </w:pPr>
            <w:r>
              <w:rPr>
                <w:rFonts w:ascii="宋体" w:hAnsi="宋体" w:eastAsia="宋体" w:cs="宋体"/>
                <w:color w:val="212529"/>
                <w:spacing w:val="-1"/>
                <w:sz w:val="18"/>
                <w:szCs w:val="18"/>
              </w:rPr>
              <w:t>政府办公厅（室）及</w:t>
            </w:r>
            <w:r>
              <w:rPr>
                <w:rFonts w:ascii="宋体" w:hAnsi="宋体" w:eastAsia="宋体" w:cs="宋体"/>
                <w:color w:val="212529"/>
                <w:sz w:val="18"/>
                <w:szCs w:val="18"/>
              </w:rPr>
              <w:t xml:space="preserve"> </w:t>
            </w:r>
            <w:r>
              <w:rPr>
                <w:rFonts w:ascii="宋体" w:hAnsi="宋体" w:eastAsia="宋体" w:cs="宋体"/>
                <w:color w:val="212529"/>
                <w:spacing w:val="-2"/>
                <w:sz w:val="18"/>
                <w:szCs w:val="18"/>
              </w:rPr>
              <w:t>相关机构事务</w:t>
            </w:r>
          </w:p>
        </w:tc>
        <w:tc>
          <w:tcPr>
            <w:tcW w:w="779" w:type="dxa"/>
            <w:vAlign w:val="top"/>
          </w:tcPr>
          <w:p w14:paraId="0B7522F7">
            <w:pPr>
              <w:pStyle w:val="6"/>
            </w:pPr>
          </w:p>
        </w:tc>
        <w:tc>
          <w:tcPr>
            <w:tcW w:w="1223" w:type="dxa"/>
            <w:vAlign w:val="top"/>
          </w:tcPr>
          <w:p w14:paraId="68291CAE">
            <w:pPr>
              <w:spacing w:before="138" w:line="184" w:lineRule="auto"/>
              <w:ind w:left="9"/>
              <w:rPr>
                <w:rFonts w:ascii="宋体" w:hAnsi="宋体" w:eastAsia="宋体" w:cs="宋体"/>
                <w:sz w:val="18"/>
                <w:szCs w:val="18"/>
              </w:rPr>
            </w:pPr>
            <w:r>
              <w:rPr>
                <w:rFonts w:ascii="宋体" w:hAnsi="宋体" w:eastAsia="宋体" w:cs="宋体"/>
                <w:color w:val="212529"/>
                <w:spacing w:val="-2"/>
                <w:sz w:val="18"/>
                <w:szCs w:val="18"/>
              </w:rPr>
              <w:t>20103</w:t>
            </w:r>
          </w:p>
        </w:tc>
        <w:tc>
          <w:tcPr>
            <w:tcW w:w="1499" w:type="dxa"/>
            <w:vAlign w:val="top"/>
          </w:tcPr>
          <w:p w14:paraId="6FD6916F">
            <w:pPr>
              <w:spacing w:before="1" w:line="210" w:lineRule="auto"/>
              <w:ind w:left="7" w:right="59"/>
              <w:rPr>
                <w:rFonts w:ascii="宋体" w:hAnsi="宋体" w:eastAsia="宋体" w:cs="宋体"/>
                <w:sz w:val="18"/>
                <w:szCs w:val="18"/>
              </w:rPr>
            </w:pPr>
            <w:r>
              <w:rPr>
                <w:rFonts w:ascii="宋体" w:hAnsi="宋体" w:eastAsia="宋体" w:cs="宋体"/>
                <w:color w:val="212529"/>
                <w:spacing w:val="-3"/>
                <w:sz w:val="18"/>
                <w:szCs w:val="18"/>
              </w:rPr>
              <w:t>政府办公厅（室）</w:t>
            </w:r>
            <w:r>
              <w:rPr>
                <w:rFonts w:ascii="宋体" w:hAnsi="宋体" w:eastAsia="宋体" w:cs="宋体"/>
                <w:color w:val="212529"/>
                <w:spacing w:val="5"/>
                <w:sz w:val="18"/>
                <w:szCs w:val="18"/>
              </w:rPr>
              <w:t xml:space="preserve"> </w:t>
            </w:r>
            <w:r>
              <w:rPr>
                <w:rFonts w:ascii="宋体" w:hAnsi="宋体" w:eastAsia="宋体" w:cs="宋体"/>
                <w:color w:val="212529"/>
                <w:spacing w:val="-2"/>
                <w:sz w:val="18"/>
                <w:szCs w:val="18"/>
              </w:rPr>
              <w:t>及相关机构事务</w:t>
            </w:r>
          </w:p>
        </w:tc>
        <w:tc>
          <w:tcPr>
            <w:tcW w:w="803" w:type="dxa"/>
            <w:vAlign w:val="top"/>
          </w:tcPr>
          <w:p w14:paraId="3567D5DA">
            <w:pPr>
              <w:pStyle w:val="6"/>
            </w:pPr>
          </w:p>
        </w:tc>
        <w:tc>
          <w:tcPr>
            <w:tcW w:w="767" w:type="dxa"/>
            <w:vAlign w:val="top"/>
          </w:tcPr>
          <w:p w14:paraId="1FB9446A">
            <w:pPr>
              <w:pStyle w:val="6"/>
            </w:pPr>
          </w:p>
        </w:tc>
        <w:tc>
          <w:tcPr>
            <w:tcW w:w="869" w:type="dxa"/>
            <w:vAlign w:val="top"/>
          </w:tcPr>
          <w:p w14:paraId="288DEB27">
            <w:pPr>
              <w:pStyle w:val="6"/>
            </w:pPr>
          </w:p>
        </w:tc>
      </w:tr>
      <w:tr w14:paraId="024C1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49" w:type="dxa"/>
            <w:vAlign w:val="top"/>
          </w:tcPr>
          <w:p w14:paraId="506FF8D3">
            <w:pPr>
              <w:spacing w:before="139" w:line="184" w:lineRule="auto"/>
              <w:ind w:left="11"/>
              <w:rPr>
                <w:rFonts w:ascii="宋体" w:hAnsi="宋体" w:eastAsia="宋体" w:cs="宋体"/>
                <w:sz w:val="18"/>
                <w:szCs w:val="18"/>
              </w:rPr>
            </w:pPr>
            <w:r>
              <w:rPr>
                <w:rFonts w:ascii="宋体" w:hAnsi="宋体" w:eastAsia="宋体" w:cs="宋体"/>
                <w:color w:val="212529"/>
                <w:spacing w:val="-2"/>
                <w:sz w:val="18"/>
                <w:szCs w:val="18"/>
              </w:rPr>
              <w:t>2010301</w:t>
            </w:r>
          </w:p>
        </w:tc>
        <w:tc>
          <w:tcPr>
            <w:tcW w:w="1727" w:type="dxa"/>
            <w:vAlign w:val="top"/>
          </w:tcPr>
          <w:p w14:paraId="762E881C">
            <w:pPr>
              <w:spacing w:before="111" w:line="220" w:lineRule="auto"/>
              <w:ind w:left="7"/>
              <w:rPr>
                <w:rFonts w:ascii="宋体" w:hAnsi="宋体" w:eastAsia="宋体" w:cs="宋体"/>
                <w:sz w:val="18"/>
                <w:szCs w:val="18"/>
              </w:rPr>
            </w:pPr>
            <w:r>
              <w:rPr>
                <w:rFonts w:ascii="宋体" w:hAnsi="宋体" w:eastAsia="宋体" w:cs="宋体"/>
                <w:color w:val="212529"/>
                <w:spacing w:val="-3"/>
                <w:sz w:val="18"/>
                <w:szCs w:val="18"/>
              </w:rPr>
              <w:t>行政运行</w:t>
            </w:r>
          </w:p>
        </w:tc>
        <w:tc>
          <w:tcPr>
            <w:tcW w:w="779" w:type="dxa"/>
            <w:vAlign w:val="top"/>
          </w:tcPr>
          <w:p w14:paraId="1351E025">
            <w:pPr>
              <w:pStyle w:val="6"/>
            </w:pPr>
          </w:p>
        </w:tc>
        <w:tc>
          <w:tcPr>
            <w:tcW w:w="1223" w:type="dxa"/>
            <w:vAlign w:val="top"/>
          </w:tcPr>
          <w:p w14:paraId="0CD66BCB">
            <w:pPr>
              <w:spacing w:before="139" w:line="184" w:lineRule="auto"/>
              <w:ind w:left="9"/>
              <w:rPr>
                <w:rFonts w:ascii="宋体" w:hAnsi="宋体" w:eastAsia="宋体" w:cs="宋体"/>
                <w:sz w:val="18"/>
                <w:szCs w:val="18"/>
              </w:rPr>
            </w:pPr>
            <w:r>
              <w:rPr>
                <w:rFonts w:ascii="宋体" w:hAnsi="宋体" w:eastAsia="宋体" w:cs="宋体"/>
                <w:color w:val="212529"/>
                <w:spacing w:val="-2"/>
                <w:sz w:val="18"/>
                <w:szCs w:val="18"/>
              </w:rPr>
              <w:t>2010301</w:t>
            </w:r>
          </w:p>
        </w:tc>
        <w:tc>
          <w:tcPr>
            <w:tcW w:w="1499" w:type="dxa"/>
            <w:vAlign w:val="top"/>
          </w:tcPr>
          <w:p w14:paraId="20D0CF81">
            <w:pPr>
              <w:spacing w:before="111" w:line="220" w:lineRule="auto"/>
              <w:ind w:left="11"/>
              <w:rPr>
                <w:rFonts w:ascii="宋体" w:hAnsi="宋体" w:eastAsia="宋体" w:cs="宋体"/>
                <w:sz w:val="18"/>
                <w:szCs w:val="18"/>
              </w:rPr>
            </w:pPr>
            <w:r>
              <w:rPr>
                <w:rFonts w:ascii="宋体" w:hAnsi="宋体" w:eastAsia="宋体" w:cs="宋体"/>
                <w:color w:val="212529"/>
                <w:spacing w:val="-3"/>
                <w:sz w:val="18"/>
                <w:szCs w:val="18"/>
              </w:rPr>
              <w:t>行政运行</w:t>
            </w:r>
          </w:p>
        </w:tc>
        <w:tc>
          <w:tcPr>
            <w:tcW w:w="803" w:type="dxa"/>
            <w:vAlign w:val="top"/>
          </w:tcPr>
          <w:p w14:paraId="64DF1367">
            <w:pPr>
              <w:pStyle w:val="6"/>
            </w:pPr>
          </w:p>
        </w:tc>
        <w:tc>
          <w:tcPr>
            <w:tcW w:w="767" w:type="dxa"/>
            <w:vAlign w:val="top"/>
          </w:tcPr>
          <w:p w14:paraId="4355CE0D">
            <w:pPr>
              <w:pStyle w:val="6"/>
            </w:pPr>
          </w:p>
        </w:tc>
        <w:tc>
          <w:tcPr>
            <w:tcW w:w="869" w:type="dxa"/>
            <w:vAlign w:val="top"/>
          </w:tcPr>
          <w:p w14:paraId="0C0B0201">
            <w:pPr>
              <w:pStyle w:val="6"/>
            </w:pPr>
          </w:p>
        </w:tc>
      </w:tr>
      <w:tr w14:paraId="5493E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49" w:type="dxa"/>
            <w:vAlign w:val="top"/>
          </w:tcPr>
          <w:p w14:paraId="13D1807B">
            <w:pPr>
              <w:spacing w:before="140"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1727" w:type="dxa"/>
            <w:vAlign w:val="top"/>
          </w:tcPr>
          <w:p w14:paraId="3CC1E1EF">
            <w:pPr>
              <w:spacing w:before="111" w:line="219" w:lineRule="auto"/>
              <w:ind w:left="5"/>
              <w:rPr>
                <w:rFonts w:ascii="宋体" w:hAnsi="宋体" w:eastAsia="宋体" w:cs="宋体"/>
                <w:sz w:val="18"/>
                <w:szCs w:val="18"/>
              </w:rPr>
            </w:pPr>
            <w:r>
              <w:rPr>
                <w:rFonts w:ascii="宋体" w:hAnsi="宋体" w:eastAsia="宋体" w:cs="宋体"/>
                <w:color w:val="212529"/>
                <w:spacing w:val="-2"/>
                <w:sz w:val="18"/>
                <w:szCs w:val="18"/>
              </w:rPr>
              <w:t>社会保障和就业支出</w:t>
            </w:r>
          </w:p>
        </w:tc>
        <w:tc>
          <w:tcPr>
            <w:tcW w:w="779" w:type="dxa"/>
            <w:vAlign w:val="top"/>
          </w:tcPr>
          <w:p w14:paraId="0E119772">
            <w:pPr>
              <w:pStyle w:val="6"/>
            </w:pPr>
          </w:p>
        </w:tc>
        <w:tc>
          <w:tcPr>
            <w:tcW w:w="1223" w:type="dxa"/>
            <w:vAlign w:val="top"/>
          </w:tcPr>
          <w:p w14:paraId="0B120CFB">
            <w:pPr>
              <w:spacing w:before="140" w:line="183" w:lineRule="auto"/>
              <w:ind w:left="9"/>
              <w:rPr>
                <w:rFonts w:ascii="宋体" w:hAnsi="宋体" w:eastAsia="宋体" w:cs="宋体"/>
                <w:sz w:val="18"/>
                <w:szCs w:val="18"/>
              </w:rPr>
            </w:pPr>
            <w:r>
              <w:rPr>
                <w:rFonts w:ascii="宋体" w:hAnsi="宋体" w:eastAsia="宋体" w:cs="宋体"/>
                <w:color w:val="212529"/>
                <w:spacing w:val="-4"/>
                <w:sz w:val="18"/>
                <w:szCs w:val="18"/>
              </w:rPr>
              <w:t>208</w:t>
            </w:r>
          </w:p>
        </w:tc>
        <w:tc>
          <w:tcPr>
            <w:tcW w:w="1499" w:type="dxa"/>
            <w:vAlign w:val="top"/>
          </w:tcPr>
          <w:p w14:paraId="3C45F120">
            <w:pPr>
              <w:spacing w:before="3" w:line="209" w:lineRule="auto"/>
              <w:ind w:left="23" w:right="48" w:hanging="14"/>
              <w:rPr>
                <w:rFonts w:ascii="宋体" w:hAnsi="宋体" w:eastAsia="宋体" w:cs="宋体"/>
                <w:sz w:val="18"/>
                <w:szCs w:val="18"/>
              </w:rPr>
            </w:pPr>
            <w:r>
              <w:rPr>
                <w:rFonts w:ascii="宋体" w:hAnsi="宋体" w:eastAsia="宋体" w:cs="宋体"/>
                <w:color w:val="212529"/>
                <w:spacing w:val="-2"/>
                <w:sz w:val="18"/>
                <w:szCs w:val="18"/>
              </w:rPr>
              <w:t>社会保障和就业支</w:t>
            </w:r>
            <w:r>
              <w:rPr>
                <w:rFonts w:ascii="宋体" w:hAnsi="宋体" w:eastAsia="宋体" w:cs="宋体"/>
                <w:color w:val="212529"/>
                <w:spacing w:val="5"/>
                <w:sz w:val="18"/>
                <w:szCs w:val="18"/>
              </w:rPr>
              <w:t xml:space="preserve"> </w:t>
            </w:r>
            <w:r>
              <w:rPr>
                <w:rFonts w:ascii="宋体" w:hAnsi="宋体" w:eastAsia="宋体" w:cs="宋体"/>
                <w:color w:val="212529"/>
                <w:sz w:val="18"/>
                <w:szCs w:val="18"/>
              </w:rPr>
              <w:t>出</w:t>
            </w:r>
          </w:p>
        </w:tc>
        <w:tc>
          <w:tcPr>
            <w:tcW w:w="803" w:type="dxa"/>
            <w:vAlign w:val="top"/>
          </w:tcPr>
          <w:p w14:paraId="6A8A22D4">
            <w:pPr>
              <w:pStyle w:val="6"/>
            </w:pPr>
          </w:p>
        </w:tc>
        <w:tc>
          <w:tcPr>
            <w:tcW w:w="767" w:type="dxa"/>
            <w:vAlign w:val="top"/>
          </w:tcPr>
          <w:p w14:paraId="46025653">
            <w:pPr>
              <w:pStyle w:val="6"/>
            </w:pPr>
          </w:p>
        </w:tc>
        <w:tc>
          <w:tcPr>
            <w:tcW w:w="869" w:type="dxa"/>
            <w:vAlign w:val="top"/>
          </w:tcPr>
          <w:p w14:paraId="0AE3B6F6">
            <w:pPr>
              <w:pStyle w:val="6"/>
            </w:pPr>
          </w:p>
        </w:tc>
      </w:tr>
      <w:tr w14:paraId="7E1F4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49" w:type="dxa"/>
            <w:vAlign w:val="top"/>
          </w:tcPr>
          <w:p w14:paraId="5C6D7B0B">
            <w:pPr>
              <w:spacing w:before="141"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1727" w:type="dxa"/>
            <w:vAlign w:val="top"/>
          </w:tcPr>
          <w:p w14:paraId="36EC2169">
            <w:pPr>
              <w:spacing w:before="4" w:line="209" w:lineRule="auto"/>
              <w:ind w:left="19" w:right="100" w:hanging="12"/>
              <w:rPr>
                <w:rFonts w:ascii="宋体" w:hAnsi="宋体" w:eastAsia="宋体" w:cs="宋体"/>
                <w:sz w:val="18"/>
                <w:szCs w:val="18"/>
              </w:rPr>
            </w:pPr>
            <w:r>
              <w:rPr>
                <w:rFonts w:ascii="宋体" w:hAnsi="宋体" w:eastAsia="宋体" w:cs="宋体"/>
                <w:color w:val="212529"/>
                <w:spacing w:val="-2"/>
                <w:sz w:val="18"/>
                <w:szCs w:val="18"/>
              </w:rPr>
              <w:t>行政事业单位养老支</w:t>
            </w:r>
            <w:r>
              <w:rPr>
                <w:rFonts w:ascii="宋体" w:hAnsi="宋体" w:eastAsia="宋体" w:cs="宋体"/>
                <w:color w:val="212529"/>
                <w:spacing w:val="6"/>
                <w:sz w:val="18"/>
                <w:szCs w:val="18"/>
              </w:rPr>
              <w:t xml:space="preserve"> </w:t>
            </w:r>
            <w:r>
              <w:rPr>
                <w:rFonts w:ascii="宋体" w:hAnsi="宋体" w:eastAsia="宋体" w:cs="宋体"/>
                <w:color w:val="212529"/>
                <w:sz w:val="18"/>
                <w:szCs w:val="18"/>
              </w:rPr>
              <w:t>出</w:t>
            </w:r>
          </w:p>
        </w:tc>
        <w:tc>
          <w:tcPr>
            <w:tcW w:w="779" w:type="dxa"/>
            <w:vAlign w:val="top"/>
          </w:tcPr>
          <w:p w14:paraId="43D9C848">
            <w:pPr>
              <w:pStyle w:val="6"/>
            </w:pPr>
          </w:p>
        </w:tc>
        <w:tc>
          <w:tcPr>
            <w:tcW w:w="1223" w:type="dxa"/>
            <w:vAlign w:val="top"/>
          </w:tcPr>
          <w:p w14:paraId="3080FFF2">
            <w:pPr>
              <w:spacing w:before="141" w:line="183" w:lineRule="auto"/>
              <w:ind w:left="9"/>
              <w:rPr>
                <w:rFonts w:ascii="宋体" w:hAnsi="宋体" w:eastAsia="宋体" w:cs="宋体"/>
                <w:sz w:val="18"/>
                <w:szCs w:val="18"/>
              </w:rPr>
            </w:pPr>
            <w:r>
              <w:rPr>
                <w:rFonts w:ascii="宋体" w:hAnsi="宋体" w:eastAsia="宋体" w:cs="宋体"/>
                <w:color w:val="212529"/>
                <w:spacing w:val="-2"/>
                <w:sz w:val="18"/>
                <w:szCs w:val="18"/>
              </w:rPr>
              <w:t>20805</w:t>
            </w:r>
          </w:p>
        </w:tc>
        <w:tc>
          <w:tcPr>
            <w:tcW w:w="1499" w:type="dxa"/>
            <w:vAlign w:val="top"/>
          </w:tcPr>
          <w:p w14:paraId="248701C0">
            <w:pPr>
              <w:spacing w:before="4" w:line="209" w:lineRule="auto"/>
              <w:ind w:left="9" w:right="48" w:firstLine="2"/>
              <w:rPr>
                <w:rFonts w:ascii="宋体" w:hAnsi="宋体" w:eastAsia="宋体" w:cs="宋体"/>
                <w:sz w:val="18"/>
                <w:szCs w:val="18"/>
              </w:rPr>
            </w:pPr>
            <w:r>
              <w:rPr>
                <w:rFonts w:ascii="宋体" w:hAnsi="宋体" w:eastAsia="宋体" w:cs="宋体"/>
                <w:color w:val="212529"/>
                <w:spacing w:val="-2"/>
                <w:sz w:val="18"/>
                <w:szCs w:val="18"/>
              </w:rPr>
              <w:t>行政事业单位养老</w:t>
            </w:r>
            <w:r>
              <w:rPr>
                <w:rFonts w:ascii="宋体" w:hAnsi="宋体" w:eastAsia="宋体" w:cs="宋体"/>
                <w:color w:val="212529"/>
                <w:spacing w:val="4"/>
                <w:sz w:val="18"/>
                <w:szCs w:val="18"/>
              </w:rPr>
              <w:t xml:space="preserve"> </w:t>
            </w:r>
            <w:r>
              <w:rPr>
                <w:rFonts w:ascii="宋体" w:hAnsi="宋体" w:eastAsia="宋体" w:cs="宋体"/>
                <w:color w:val="212529"/>
                <w:spacing w:val="-5"/>
                <w:sz w:val="18"/>
                <w:szCs w:val="18"/>
              </w:rPr>
              <w:t>支出</w:t>
            </w:r>
          </w:p>
        </w:tc>
        <w:tc>
          <w:tcPr>
            <w:tcW w:w="803" w:type="dxa"/>
            <w:vAlign w:val="top"/>
          </w:tcPr>
          <w:p w14:paraId="60E60203">
            <w:pPr>
              <w:pStyle w:val="6"/>
            </w:pPr>
          </w:p>
        </w:tc>
        <w:tc>
          <w:tcPr>
            <w:tcW w:w="767" w:type="dxa"/>
            <w:vAlign w:val="top"/>
          </w:tcPr>
          <w:p w14:paraId="2BC159E0">
            <w:pPr>
              <w:pStyle w:val="6"/>
            </w:pPr>
          </w:p>
        </w:tc>
        <w:tc>
          <w:tcPr>
            <w:tcW w:w="869" w:type="dxa"/>
            <w:vAlign w:val="top"/>
          </w:tcPr>
          <w:p w14:paraId="1D56309D">
            <w:pPr>
              <w:pStyle w:val="6"/>
            </w:pPr>
          </w:p>
        </w:tc>
      </w:tr>
      <w:tr w14:paraId="0D5C1D5C">
        <w:tblPrEx>
          <w:tblCellMar>
            <w:top w:w="0" w:type="dxa"/>
            <w:left w:w="0" w:type="dxa"/>
            <w:bottom w:w="0" w:type="dxa"/>
            <w:right w:w="0" w:type="dxa"/>
          </w:tblCellMar>
        </w:tblPrEx>
        <w:trPr>
          <w:trHeight w:val="421" w:hRule="atLeast"/>
        </w:trPr>
        <w:tc>
          <w:tcPr>
            <w:tcW w:w="1349" w:type="dxa"/>
            <w:vAlign w:val="top"/>
          </w:tcPr>
          <w:p w14:paraId="5D92E07D">
            <w:pPr>
              <w:spacing w:before="141"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1727" w:type="dxa"/>
            <w:vAlign w:val="top"/>
          </w:tcPr>
          <w:p w14:paraId="2E524B23">
            <w:pPr>
              <w:spacing w:before="5" w:line="208" w:lineRule="auto"/>
              <w:ind w:left="6" w:right="100" w:hanging="3"/>
              <w:rPr>
                <w:rFonts w:ascii="宋体" w:hAnsi="宋体" w:eastAsia="宋体" w:cs="宋体"/>
                <w:sz w:val="18"/>
                <w:szCs w:val="18"/>
              </w:rPr>
            </w:pPr>
            <w:r>
              <w:rPr>
                <w:rFonts w:ascii="宋体" w:hAnsi="宋体" w:eastAsia="宋体" w:cs="宋体"/>
                <w:color w:val="212529"/>
                <w:spacing w:val="-1"/>
                <w:sz w:val="18"/>
                <w:szCs w:val="18"/>
              </w:rPr>
              <w:t>机关事业单位基本养</w:t>
            </w:r>
            <w:r>
              <w:rPr>
                <w:rFonts w:ascii="宋体" w:hAnsi="宋体" w:eastAsia="宋体" w:cs="宋体"/>
                <w:color w:val="212529"/>
                <w:sz w:val="18"/>
                <w:szCs w:val="18"/>
              </w:rPr>
              <w:t xml:space="preserve"> </w:t>
            </w:r>
            <w:r>
              <w:rPr>
                <w:rFonts w:ascii="宋体" w:hAnsi="宋体" w:eastAsia="宋体" w:cs="宋体"/>
                <w:color w:val="212529"/>
                <w:spacing w:val="-2"/>
                <w:sz w:val="18"/>
                <w:szCs w:val="18"/>
              </w:rPr>
              <w:t>老保险缴费支出</w:t>
            </w:r>
          </w:p>
        </w:tc>
        <w:tc>
          <w:tcPr>
            <w:tcW w:w="779" w:type="dxa"/>
            <w:vAlign w:val="top"/>
          </w:tcPr>
          <w:p w14:paraId="47640E6B">
            <w:pPr>
              <w:pStyle w:val="6"/>
            </w:pPr>
          </w:p>
        </w:tc>
        <w:tc>
          <w:tcPr>
            <w:tcW w:w="1223" w:type="dxa"/>
            <w:vAlign w:val="top"/>
          </w:tcPr>
          <w:p w14:paraId="23D3F088">
            <w:pPr>
              <w:spacing w:before="141" w:line="183" w:lineRule="auto"/>
              <w:ind w:left="9"/>
              <w:rPr>
                <w:rFonts w:ascii="宋体" w:hAnsi="宋体" w:eastAsia="宋体" w:cs="宋体"/>
                <w:sz w:val="18"/>
                <w:szCs w:val="18"/>
              </w:rPr>
            </w:pPr>
            <w:r>
              <w:rPr>
                <w:rFonts w:ascii="宋体" w:hAnsi="宋体" w:eastAsia="宋体" w:cs="宋体"/>
                <w:color w:val="212529"/>
                <w:spacing w:val="-2"/>
                <w:sz w:val="18"/>
                <w:szCs w:val="18"/>
              </w:rPr>
              <w:t>2080505</w:t>
            </w:r>
          </w:p>
        </w:tc>
        <w:tc>
          <w:tcPr>
            <w:tcW w:w="1499" w:type="dxa"/>
            <w:vAlign w:val="top"/>
          </w:tcPr>
          <w:p w14:paraId="7478A18F">
            <w:pPr>
              <w:spacing w:before="5" w:line="208" w:lineRule="auto"/>
              <w:ind w:left="8" w:right="48" w:hanging="1"/>
              <w:rPr>
                <w:rFonts w:ascii="宋体" w:hAnsi="宋体" w:eastAsia="宋体" w:cs="宋体"/>
                <w:sz w:val="18"/>
                <w:szCs w:val="18"/>
              </w:rPr>
            </w:pPr>
            <w:r>
              <w:rPr>
                <w:rFonts w:ascii="宋体" w:hAnsi="宋体" w:eastAsia="宋体" w:cs="宋体"/>
                <w:color w:val="212529"/>
                <w:spacing w:val="-1"/>
                <w:sz w:val="18"/>
                <w:szCs w:val="18"/>
              </w:rPr>
              <w:t>机关事业单位基本</w:t>
            </w:r>
            <w:r>
              <w:rPr>
                <w:rFonts w:ascii="宋体" w:hAnsi="宋体" w:eastAsia="宋体" w:cs="宋体"/>
                <w:color w:val="212529"/>
                <w:sz w:val="18"/>
                <w:szCs w:val="18"/>
              </w:rPr>
              <w:t xml:space="preserve"> </w:t>
            </w:r>
            <w:r>
              <w:rPr>
                <w:rFonts w:ascii="宋体" w:hAnsi="宋体" w:eastAsia="宋体" w:cs="宋体"/>
                <w:color w:val="212529"/>
                <w:spacing w:val="-2"/>
                <w:sz w:val="18"/>
                <w:szCs w:val="18"/>
              </w:rPr>
              <w:t>养老保险缴费支出</w:t>
            </w:r>
          </w:p>
        </w:tc>
        <w:tc>
          <w:tcPr>
            <w:tcW w:w="803" w:type="dxa"/>
            <w:vAlign w:val="top"/>
          </w:tcPr>
          <w:p w14:paraId="7CF59721">
            <w:pPr>
              <w:pStyle w:val="6"/>
            </w:pPr>
          </w:p>
        </w:tc>
        <w:tc>
          <w:tcPr>
            <w:tcW w:w="767" w:type="dxa"/>
            <w:vAlign w:val="top"/>
          </w:tcPr>
          <w:p w14:paraId="4C72B206">
            <w:pPr>
              <w:pStyle w:val="6"/>
            </w:pPr>
          </w:p>
        </w:tc>
        <w:tc>
          <w:tcPr>
            <w:tcW w:w="869" w:type="dxa"/>
            <w:vAlign w:val="top"/>
          </w:tcPr>
          <w:p w14:paraId="4B87C219">
            <w:pPr>
              <w:pStyle w:val="6"/>
            </w:pPr>
          </w:p>
        </w:tc>
      </w:tr>
      <w:tr w14:paraId="6FF1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49" w:type="dxa"/>
            <w:vAlign w:val="top"/>
          </w:tcPr>
          <w:p w14:paraId="021223FF">
            <w:pPr>
              <w:spacing w:before="141"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1727" w:type="dxa"/>
            <w:vAlign w:val="top"/>
          </w:tcPr>
          <w:p w14:paraId="78FDA368">
            <w:pPr>
              <w:spacing w:before="114" w:line="219" w:lineRule="auto"/>
              <w:ind w:left="3"/>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779" w:type="dxa"/>
            <w:vAlign w:val="top"/>
          </w:tcPr>
          <w:p w14:paraId="7845B48B">
            <w:pPr>
              <w:pStyle w:val="6"/>
            </w:pPr>
          </w:p>
        </w:tc>
        <w:tc>
          <w:tcPr>
            <w:tcW w:w="1223" w:type="dxa"/>
            <w:vAlign w:val="top"/>
          </w:tcPr>
          <w:p w14:paraId="0054B480">
            <w:pPr>
              <w:spacing w:before="141" w:line="184" w:lineRule="auto"/>
              <w:ind w:left="9"/>
              <w:rPr>
                <w:rFonts w:ascii="宋体" w:hAnsi="宋体" w:eastAsia="宋体" w:cs="宋体"/>
                <w:sz w:val="18"/>
                <w:szCs w:val="18"/>
              </w:rPr>
            </w:pPr>
            <w:r>
              <w:rPr>
                <w:rFonts w:ascii="宋体" w:hAnsi="宋体" w:eastAsia="宋体" w:cs="宋体"/>
                <w:color w:val="212529"/>
                <w:spacing w:val="-4"/>
                <w:sz w:val="18"/>
                <w:szCs w:val="18"/>
              </w:rPr>
              <w:t>221</w:t>
            </w:r>
          </w:p>
        </w:tc>
        <w:tc>
          <w:tcPr>
            <w:tcW w:w="1499" w:type="dxa"/>
            <w:vAlign w:val="top"/>
          </w:tcPr>
          <w:p w14:paraId="6D707629">
            <w:pPr>
              <w:spacing w:before="114" w:line="219" w:lineRule="auto"/>
              <w:ind w:left="7"/>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803" w:type="dxa"/>
            <w:vAlign w:val="top"/>
          </w:tcPr>
          <w:p w14:paraId="7B1905A3">
            <w:pPr>
              <w:pStyle w:val="6"/>
            </w:pPr>
          </w:p>
        </w:tc>
        <w:tc>
          <w:tcPr>
            <w:tcW w:w="767" w:type="dxa"/>
            <w:vAlign w:val="top"/>
          </w:tcPr>
          <w:p w14:paraId="7CF43FF4">
            <w:pPr>
              <w:pStyle w:val="6"/>
            </w:pPr>
          </w:p>
        </w:tc>
        <w:tc>
          <w:tcPr>
            <w:tcW w:w="869" w:type="dxa"/>
            <w:vAlign w:val="top"/>
          </w:tcPr>
          <w:p w14:paraId="0640999C">
            <w:pPr>
              <w:pStyle w:val="6"/>
            </w:pPr>
          </w:p>
        </w:tc>
      </w:tr>
      <w:tr w14:paraId="49133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49" w:type="dxa"/>
            <w:vAlign w:val="top"/>
          </w:tcPr>
          <w:p w14:paraId="72BA0541">
            <w:pPr>
              <w:spacing w:before="141"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1727" w:type="dxa"/>
            <w:vAlign w:val="top"/>
          </w:tcPr>
          <w:p w14:paraId="2BC34875">
            <w:pPr>
              <w:spacing w:before="114" w:line="219" w:lineRule="auto"/>
              <w:ind w:left="3"/>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779" w:type="dxa"/>
            <w:vAlign w:val="top"/>
          </w:tcPr>
          <w:p w14:paraId="3930B6B8">
            <w:pPr>
              <w:pStyle w:val="6"/>
            </w:pPr>
          </w:p>
        </w:tc>
        <w:tc>
          <w:tcPr>
            <w:tcW w:w="1223" w:type="dxa"/>
            <w:vAlign w:val="top"/>
          </w:tcPr>
          <w:p w14:paraId="1DEBDA3D">
            <w:pPr>
              <w:spacing w:before="141" w:line="184" w:lineRule="auto"/>
              <w:ind w:left="9"/>
              <w:rPr>
                <w:rFonts w:ascii="宋体" w:hAnsi="宋体" w:eastAsia="宋体" w:cs="宋体"/>
                <w:sz w:val="18"/>
                <w:szCs w:val="18"/>
              </w:rPr>
            </w:pPr>
            <w:r>
              <w:rPr>
                <w:rFonts w:ascii="宋体" w:hAnsi="宋体" w:eastAsia="宋体" w:cs="宋体"/>
                <w:color w:val="212529"/>
                <w:spacing w:val="-2"/>
                <w:sz w:val="18"/>
                <w:szCs w:val="18"/>
              </w:rPr>
              <w:t>22102</w:t>
            </w:r>
          </w:p>
        </w:tc>
        <w:tc>
          <w:tcPr>
            <w:tcW w:w="1499" w:type="dxa"/>
            <w:vAlign w:val="top"/>
          </w:tcPr>
          <w:p w14:paraId="39FBCE5C">
            <w:pPr>
              <w:spacing w:before="114" w:line="219" w:lineRule="auto"/>
              <w:ind w:left="7"/>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803" w:type="dxa"/>
            <w:vAlign w:val="top"/>
          </w:tcPr>
          <w:p w14:paraId="4E7C913B">
            <w:pPr>
              <w:pStyle w:val="6"/>
            </w:pPr>
          </w:p>
        </w:tc>
        <w:tc>
          <w:tcPr>
            <w:tcW w:w="767" w:type="dxa"/>
            <w:vAlign w:val="top"/>
          </w:tcPr>
          <w:p w14:paraId="76A1D040">
            <w:pPr>
              <w:pStyle w:val="6"/>
            </w:pPr>
          </w:p>
        </w:tc>
        <w:tc>
          <w:tcPr>
            <w:tcW w:w="869" w:type="dxa"/>
            <w:vAlign w:val="top"/>
          </w:tcPr>
          <w:p w14:paraId="1123BF57">
            <w:pPr>
              <w:pStyle w:val="6"/>
            </w:pPr>
          </w:p>
        </w:tc>
      </w:tr>
      <w:tr w14:paraId="071C0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49" w:type="dxa"/>
            <w:vAlign w:val="top"/>
          </w:tcPr>
          <w:p w14:paraId="3BD2D5F9">
            <w:pPr>
              <w:spacing w:before="141"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1727" w:type="dxa"/>
            <w:vAlign w:val="top"/>
          </w:tcPr>
          <w:p w14:paraId="6D2C3626">
            <w:pPr>
              <w:spacing w:before="114" w:line="220" w:lineRule="auto"/>
              <w:ind w:left="3"/>
              <w:rPr>
                <w:rFonts w:ascii="宋体" w:hAnsi="宋体" w:eastAsia="宋体" w:cs="宋体"/>
                <w:sz w:val="18"/>
                <w:szCs w:val="18"/>
              </w:rPr>
            </w:pPr>
            <w:r>
              <w:rPr>
                <w:rFonts w:ascii="宋体" w:hAnsi="宋体" w:eastAsia="宋体" w:cs="宋体"/>
                <w:color w:val="212529"/>
                <w:spacing w:val="-2"/>
                <w:sz w:val="18"/>
                <w:szCs w:val="18"/>
              </w:rPr>
              <w:t>住房公积金</w:t>
            </w:r>
          </w:p>
        </w:tc>
        <w:tc>
          <w:tcPr>
            <w:tcW w:w="779" w:type="dxa"/>
            <w:vAlign w:val="top"/>
          </w:tcPr>
          <w:p w14:paraId="46B1E8E6">
            <w:pPr>
              <w:pStyle w:val="6"/>
            </w:pPr>
          </w:p>
        </w:tc>
        <w:tc>
          <w:tcPr>
            <w:tcW w:w="1223" w:type="dxa"/>
            <w:vAlign w:val="top"/>
          </w:tcPr>
          <w:p w14:paraId="1A6FCE22">
            <w:pPr>
              <w:spacing w:before="141" w:line="184" w:lineRule="auto"/>
              <w:ind w:left="9"/>
              <w:rPr>
                <w:rFonts w:ascii="宋体" w:hAnsi="宋体" w:eastAsia="宋体" w:cs="宋体"/>
                <w:sz w:val="18"/>
                <w:szCs w:val="18"/>
              </w:rPr>
            </w:pPr>
            <w:r>
              <w:rPr>
                <w:rFonts w:ascii="宋体" w:hAnsi="宋体" w:eastAsia="宋体" w:cs="宋体"/>
                <w:color w:val="212529"/>
                <w:spacing w:val="-2"/>
                <w:sz w:val="18"/>
                <w:szCs w:val="18"/>
              </w:rPr>
              <w:t>2210201</w:t>
            </w:r>
          </w:p>
        </w:tc>
        <w:tc>
          <w:tcPr>
            <w:tcW w:w="1499" w:type="dxa"/>
            <w:vAlign w:val="top"/>
          </w:tcPr>
          <w:p w14:paraId="6FDAD811">
            <w:pPr>
              <w:spacing w:before="114" w:line="220" w:lineRule="auto"/>
              <w:ind w:left="7"/>
              <w:rPr>
                <w:rFonts w:ascii="宋体" w:hAnsi="宋体" w:eastAsia="宋体" w:cs="宋体"/>
                <w:sz w:val="18"/>
                <w:szCs w:val="18"/>
              </w:rPr>
            </w:pPr>
            <w:r>
              <w:rPr>
                <w:rFonts w:ascii="宋体" w:hAnsi="宋体" w:eastAsia="宋体" w:cs="宋体"/>
                <w:color w:val="212529"/>
                <w:spacing w:val="-2"/>
                <w:sz w:val="18"/>
                <w:szCs w:val="18"/>
              </w:rPr>
              <w:t>住房公积金</w:t>
            </w:r>
          </w:p>
        </w:tc>
        <w:tc>
          <w:tcPr>
            <w:tcW w:w="803" w:type="dxa"/>
            <w:vAlign w:val="top"/>
          </w:tcPr>
          <w:p w14:paraId="0E699AD6">
            <w:pPr>
              <w:pStyle w:val="6"/>
            </w:pPr>
          </w:p>
        </w:tc>
        <w:tc>
          <w:tcPr>
            <w:tcW w:w="767" w:type="dxa"/>
            <w:vAlign w:val="top"/>
          </w:tcPr>
          <w:p w14:paraId="3507B07A">
            <w:pPr>
              <w:pStyle w:val="6"/>
            </w:pPr>
          </w:p>
        </w:tc>
        <w:tc>
          <w:tcPr>
            <w:tcW w:w="869" w:type="dxa"/>
            <w:vAlign w:val="top"/>
          </w:tcPr>
          <w:p w14:paraId="13D71ED6">
            <w:pPr>
              <w:pStyle w:val="6"/>
            </w:pPr>
          </w:p>
        </w:tc>
      </w:tr>
      <w:tr w14:paraId="3659F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left w:val="single" w:color="FFFFFF" w:sz="2" w:space="0"/>
              <w:bottom w:val="single" w:color="FFFFFF" w:sz="4" w:space="0"/>
              <w:right w:val="single" w:color="FFFFFF" w:sz="2" w:space="0"/>
            </w:tcBorders>
            <w:vAlign w:val="top"/>
          </w:tcPr>
          <w:p w14:paraId="7203E153">
            <w:pPr>
              <w:spacing w:before="114" w:line="219" w:lineRule="auto"/>
              <w:ind w:left="11"/>
              <w:rPr>
                <w:rFonts w:ascii="宋体" w:hAnsi="宋体" w:eastAsia="宋体" w:cs="宋体"/>
                <w:sz w:val="18"/>
                <w:szCs w:val="18"/>
              </w:rPr>
            </w:pPr>
            <w:r>
              <w:rPr>
                <w:rFonts w:ascii="宋体" w:hAnsi="宋体" w:eastAsia="宋体" w:cs="宋体"/>
                <w:color w:val="212529"/>
                <w:spacing w:val="-2"/>
                <w:sz w:val="18"/>
                <w:szCs w:val="18"/>
              </w:rPr>
              <w:t>注：本表无数据</w:t>
            </w:r>
          </w:p>
        </w:tc>
      </w:tr>
    </w:tbl>
    <w:p w14:paraId="4A5D8552">
      <w:pPr>
        <w:rPr>
          <w:rFonts w:ascii="Arial"/>
          <w:sz w:val="21"/>
        </w:rPr>
      </w:pPr>
    </w:p>
    <w:p w14:paraId="7216032D">
      <w:pPr>
        <w:rPr>
          <w:rFonts w:ascii="Arial" w:hAnsi="Arial" w:eastAsia="Arial" w:cs="Arial"/>
          <w:sz w:val="21"/>
          <w:szCs w:val="21"/>
        </w:rPr>
        <w:sectPr>
          <w:footerReference r:id="rId21" w:type="default"/>
          <w:pgSz w:w="11900" w:h="16840"/>
          <w:pgMar w:top="610" w:right="600" w:bottom="312" w:left="600" w:header="357" w:footer="153" w:gutter="0"/>
          <w:cols w:space="720" w:num="1"/>
        </w:sectPr>
      </w:pPr>
    </w:p>
    <w:p w14:paraId="15E8B8B3">
      <w:pPr>
        <w:spacing w:before="6"/>
      </w:pPr>
    </w:p>
    <w:p w14:paraId="2A4B57B1">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27"/>
        <w:gridCol w:w="1343"/>
        <w:gridCol w:w="1259"/>
        <w:gridCol w:w="1343"/>
        <w:gridCol w:w="1444"/>
      </w:tblGrid>
      <w:tr w14:paraId="567F5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3627" w:type="dxa"/>
            <w:tcBorders>
              <w:top w:val="single" w:color="FFFFFF" w:sz="4" w:space="0"/>
              <w:left w:val="single" w:color="FFFFFF" w:sz="2" w:space="0"/>
              <w:bottom w:val="single" w:color="FFFFFF" w:sz="4" w:space="0"/>
              <w:right w:val="single" w:color="FFFFFF" w:sz="2" w:space="0"/>
            </w:tcBorders>
            <w:vAlign w:val="top"/>
          </w:tcPr>
          <w:p w14:paraId="60D66B7E">
            <w:pPr>
              <w:pStyle w:val="6"/>
            </w:pPr>
          </w:p>
        </w:tc>
        <w:tc>
          <w:tcPr>
            <w:tcW w:w="1343" w:type="dxa"/>
            <w:tcBorders>
              <w:top w:val="single" w:color="FFFFFF" w:sz="4" w:space="0"/>
              <w:left w:val="single" w:color="FFFFFF" w:sz="2" w:space="0"/>
              <w:bottom w:val="single" w:color="FFFFFF" w:sz="4" w:space="0"/>
              <w:right w:val="single" w:color="FFFFFF" w:sz="2" w:space="0"/>
            </w:tcBorders>
            <w:vAlign w:val="top"/>
          </w:tcPr>
          <w:p w14:paraId="37E1609E">
            <w:pPr>
              <w:pStyle w:val="6"/>
            </w:pPr>
          </w:p>
        </w:tc>
        <w:tc>
          <w:tcPr>
            <w:tcW w:w="1259" w:type="dxa"/>
            <w:tcBorders>
              <w:top w:val="single" w:color="FFFFFF" w:sz="4" w:space="0"/>
              <w:left w:val="single" w:color="FFFFFF" w:sz="2" w:space="0"/>
              <w:bottom w:val="single" w:color="FFFFFF" w:sz="4" w:space="0"/>
              <w:right w:val="single" w:color="FFFFFF" w:sz="2" w:space="0"/>
            </w:tcBorders>
            <w:vAlign w:val="top"/>
          </w:tcPr>
          <w:p w14:paraId="7412E90C">
            <w:pPr>
              <w:pStyle w:val="6"/>
            </w:pPr>
          </w:p>
        </w:tc>
        <w:tc>
          <w:tcPr>
            <w:tcW w:w="1343" w:type="dxa"/>
            <w:tcBorders>
              <w:top w:val="single" w:color="FFFFFF" w:sz="4" w:space="0"/>
              <w:left w:val="single" w:color="FFFFFF" w:sz="2" w:space="0"/>
              <w:bottom w:val="single" w:color="FFFFFF" w:sz="4" w:space="0"/>
              <w:right w:val="single" w:color="FFFFFF" w:sz="2" w:space="0"/>
            </w:tcBorders>
            <w:vAlign w:val="top"/>
          </w:tcPr>
          <w:p w14:paraId="66141597">
            <w:pPr>
              <w:pStyle w:val="6"/>
            </w:pPr>
          </w:p>
        </w:tc>
        <w:tc>
          <w:tcPr>
            <w:tcW w:w="1444" w:type="dxa"/>
            <w:tcBorders>
              <w:top w:val="single" w:color="FFFFFF" w:sz="4" w:space="0"/>
              <w:left w:val="single" w:color="FFFFFF" w:sz="2" w:space="0"/>
              <w:bottom w:val="single" w:color="FFFFFF" w:sz="4" w:space="0"/>
              <w:right w:val="single" w:color="FFFFFF" w:sz="2" w:space="0"/>
            </w:tcBorders>
            <w:vAlign w:val="top"/>
          </w:tcPr>
          <w:p w14:paraId="75CA1EE0">
            <w:pPr>
              <w:spacing w:before="13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预算公开表10</w:t>
            </w:r>
          </w:p>
        </w:tc>
      </w:tr>
      <w:tr w14:paraId="6D6B9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658B0CA5">
            <w:pPr>
              <w:spacing w:before="91" w:line="219" w:lineRule="auto"/>
              <w:ind w:left="2111"/>
              <w:outlineLvl w:val="1"/>
              <w:rPr>
                <w:rFonts w:ascii="宋体" w:hAnsi="宋体" w:eastAsia="宋体" w:cs="宋体"/>
                <w:sz w:val="24"/>
                <w:szCs w:val="24"/>
              </w:rPr>
            </w:pPr>
            <w:bookmarkStart w:id="59" w:name="bookmark15"/>
            <w:bookmarkEnd w:id="59"/>
            <w:bookmarkStart w:id="60" w:name="bookmark47"/>
            <w:bookmarkEnd w:id="60"/>
            <w:r>
              <w:rPr>
                <w:rFonts w:ascii="宋体" w:hAnsi="宋体" w:eastAsia="宋体" w:cs="宋体"/>
                <w:color w:val="212529"/>
                <w:spacing w:val="-3"/>
                <w:sz w:val="24"/>
                <w:szCs w:val="24"/>
              </w:rPr>
              <w:t>2023年一般公共预算“三公</w:t>
            </w:r>
            <w:r>
              <w:rPr>
                <w:rFonts w:ascii="宋体" w:hAnsi="宋体" w:eastAsia="宋体" w:cs="宋体"/>
                <w:color w:val="212529"/>
                <w:spacing w:val="-68"/>
                <w:sz w:val="24"/>
                <w:szCs w:val="24"/>
              </w:rPr>
              <w:t xml:space="preserve"> </w:t>
            </w:r>
            <w:r>
              <w:rPr>
                <w:rFonts w:ascii="宋体" w:hAnsi="宋体" w:eastAsia="宋体" w:cs="宋体"/>
                <w:color w:val="212529"/>
                <w:spacing w:val="-3"/>
                <w:sz w:val="24"/>
                <w:szCs w:val="24"/>
              </w:rPr>
              <w:t>”经费支出预算表</w:t>
            </w:r>
          </w:p>
        </w:tc>
      </w:tr>
      <w:tr w14:paraId="1100F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229" w:type="dxa"/>
            <w:gridSpan w:val="3"/>
            <w:tcBorders>
              <w:top w:val="single" w:color="FFFFFF" w:sz="4" w:space="0"/>
              <w:left w:val="single" w:color="FFFFFF" w:sz="2" w:space="0"/>
              <w:right w:val="single" w:color="FFFFFF" w:sz="2" w:space="0"/>
            </w:tcBorders>
            <w:vAlign w:val="top"/>
          </w:tcPr>
          <w:p w14:paraId="619E5BC3">
            <w:pPr>
              <w:spacing w:before="128"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343" w:type="dxa"/>
            <w:tcBorders>
              <w:top w:val="single" w:color="FFFFFF" w:sz="4" w:space="0"/>
              <w:left w:val="single" w:color="FFFFFF" w:sz="2" w:space="0"/>
              <w:right w:val="single" w:color="FFFFFF" w:sz="2" w:space="0"/>
            </w:tcBorders>
            <w:vAlign w:val="top"/>
          </w:tcPr>
          <w:p w14:paraId="296A5EF0">
            <w:pPr>
              <w:pStyle w:val="6"/>
            </w:pPr>
          </w:p>
        </w:tc>
        <w:tc>
          <w:tcPr>
            <w:tcW w:w="1444" w:type="dxa"/>
            <w:tcBorders>
              <w:top w:val="single" w:color="FFFFFF" w:sz="4" w:space="0"/>
              <w:left w:val="single" w:color="FFFFFF" w:sz="2" w:space="0"/>
              <w:right w:val="single" w:color="FFFFFF" w:sz="2" w:space="0"/>
            </w:tcBorders>
            <w:vAlign w:val="top"/>
          </w:tcPr>
          <w:p w14:paraId="32F848DB">
            <w:pPr>
              <w:spacing w:before="128"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37C9A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Merge w:val="restart"/>
            <w:tcBorders>
              <w:bottom w:val="nil"/>
            </w:tcBorders>
            <w:vAlign w:val="top"/>
          </w:tcPr>
          <w:p w14:paraId="00EE351B">
            <w:pPr>
              <w:pStyle w:val="6"/>
              <w:spacing w:line="264" w:lineRule="auto"/>
            </w:pPr>
          </w:p>
          <w:p w14:paraId="02325D06">
            <w:pPr>
              <w:spacing w:before="59" w:line="220" w:lineRule="auto"/>
              <w:ind w:left="1632"/>
              <w:rPr>
                <w:rFonts w:ascii="宋体" w:hAnsi="宋体" w:eastAsia="宋体" w:cs="宋体"/>
                <w:sz w:val="18"/>
                <w:szCs w:val="18"/>
              </w:rPr>
            </w:pPr>
            <w:r>
              <w:rPr>
                <w:rFonts w:ascii="宋体" w:hAnsi="宋体" w:eastAsia="宋体" w:cs="宋体"/>
                <w:color w:val="212529"/>
                <w:spacing w:val="-6"/>
                <w:sz w:val="18"/>
                <w:szCs w:val="18"/>
              </w:rPr>
              <w:t>项目</w:t>
            </w:r>
          </w:p>
        </w:tc>
        <w:tc>
          <w:tcPr>
            <w:tcW w:w="5389" w:type="dxa"/>
            <w:gridSpan w:val="4"/>
            <w:vAlign w:val="top"/>
          </w:tcPr>
          <w:p w14:paraId="5638AB17">
            <w:pPr>
              <w:spacing w:before="109" w:line="219" w:lineRule="auto"/>
              <w:ind w:left="2151"/>
              <w:rPr>
                <w:rFonts w:ascii="宋体" w:hAnsi="宋体" w:eastAsia="宋体" w:cs="宋体"/>
                <w:sz w:val="18"/>
                <w:szCs w:val="18"/>
              </w:rPr>
            </w:pPr>
            <w:r>
              <w:rPr>
                <w:rFonts w:ascii="宋体" w:hAnsi="宋体" w:eastAsia="宋体" w:cs="宋体"/>
                <w:color w:val="212529"/>
                <w:spacing w:val="-2"/>
                <w:sz w:val="18"/>
                <w:szCs w:val="18"/>
              </w:rPr>
              <w:t>2023年预算数</w:t>
            </w:r>
          </w:p>
        </w:tc>
      </w:tr>
      <w:tr w14:paraId="20B0F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Merge w:val="continue"/>
            <w:tcBorders>
              <w:top w:val="nil"/>
            </w:tcBorders>
            <w:vAlign w:val="top"/>
          </w:tcPr>
          <w:p w14:paraId="23D96444">
            <w:pPr>
              <w:pStyle w:val="6"/>
            </w:pPr>
          </w:p>
        </w:tc>
        <w:tc>
          <w:tcPr>
            <w:tcW w:w="1343" w:type="dxa"/>
            <w:vAlign w:val="top"/>
          </w:tcPr>
          <w:p w14:paraId="40F8D4C7">
            <w:pPr>
              <w:spacing w:before="109" w:line="221" w:lineRule="auto"/>
              <w:ind w:left="487"/>
              <w:rPr>
                <w:rFonts w:ascii="宋体" w:hAnsi="宋体" w:eastAsia="宋体" w:cs="宋体"/>
                <w:sz w:val="18"/>
                <w:szCs w:val="18"/>
              </w:rPr>
            </w:pPr>
            <w:r>
              <w:rPr>
                <w:rFonts w:ascii="宋体" w:hAnsi="宋体" w:eastAsia="宋体" w:cs="宋体"/>
                <w:color w:val="212529"/>
                <w:spacing w:val="-5"/>
                <w:sz w:val="18"/>
                <w:szCs w:val="18"/>
              </w:rPr>
              <w:t>合计</w:t>
            </w:r>
          </w:p>
        </w:tc>
        <w:tc>
          <w:tcPr>
            <w:tcW w:w="1259" w:type="dxa"/>
            <w:vAlign w:val="top"/>
          </w:tcPr>
          <w:p w14:paraId="3B868C8B">
            <w:pPr>
              <w:spacing w:before="110" w:line="219" w:lineRule="auto"/>
              <w:ind w:left="89"/>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343" w:type="dxa"/>
            <w:vAlign w:val="top"/>
          </w:tcPr>
          <w:p w14:paraId="21319ACE">
            <w:pPr>
              <w:spacing w:before="109" w:line="219" w:lineRule="auto"/>
              <w:ind w:left="39"/>
              <w:rPr>
                <w:rFonts w:ascii="宋体" w:hAnsi="宋体" w:eastAsia="宋体" w:cs="宋体"/>
                <w:sz w:val="18"/>
                <w:szCs w:val="18"/>
              </w:rPr>
            </w:pPr>
            <w:r>
              <w:rPr>
                <w:rFonts w:ascii="宋体" w:hAnsi="宋体" w:eastAsia="宋体" w:cs="宋体"/>
                <w:color w:val="212529"/>
                <w:spacing w:val="-2"/>
                <w:sz w:val="18"/>
                <w:szCs w:val="18"/>
              </w:rPr>
              <w:t>政府性基金预算</w:t>
            </w:r>
          </w:p>
        </w:tc>
        <w:tc>
          <w:tcPr>
            <w:tcW w:w="1444" w:type="dxa"/>
            <w:vAlign w:val="top"/>
          </w:tcPr>
          <w:p w14:paraId="7561AD85">
            <w:pPr>
              <w:spacing w:before="1" w:line="210" w:lineRule="auto"/>
              <w:ind w:left="629" w:right="92" w:hanging="523"/>
              <w:rPr>
                <w:rFonts w:ascii="宋体" w:hAnsi="宋体" w:eastAsia="宋体" w:cs="宋体"/>
                <w:sz w:val="18"/>
                <w:szCs w:val="18"/>
              </w:rPr>
            </w:pPr>
            <w:r>
              <w:rPr>
                <w:rFonts w:ascii="宋体" w:hAnsi="宋体" w:eastAsia="宋体" w:cs="宋体"/>
                <w:color w:val="212529"/>
                <w:spacing w:val="-4"/>
                <w:sz w:val="18"/>
                <w:szCs w:val="18"/>
              </w:rPr>
              <w:t>国有资本经营预</w:t>
            </w:r>
            <w:r>
              <w:rPr>
                <w:rFonts w:ascii="宋体" w:hAnsi="宋体" w:eastAsia="宋体" w:cs="宋体"/>
                <w:color w:val="212529"/>
                <w:spacing w:val="1"/>
                <w:sz w:val="18"/>
                <w:szCs w:val="18"/>
              </w:rPr>
              <w:t xml:space="preserve"> </w:t>
            </w:r>
            <w:r>
              <w:rPr>
                <w:rFonts w:ascii="宋体" w:hAnsi="宋体" w:eastAsia="宋体" w:cs="宋体"/>
                <w:color w:val="212529"/>
                <w:sz w:val="18"/>
                <w:szCs w:val="18"/>
              </w:rPr>
              <w:t>算</w:t>
            </w:r>
          </w:p>
        </w:tc>
      </w:tr>
      <w:tr w14:paraId="65CE0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27" w:type="dxa"/>
            <w:vAlign w:val="top"/>
          </w:tcPr>
          <w:p w14:paraId="409C43EF">
            <w:pPr>
              <w:spacing w:before="111" w:line="220" w:lineRule="auto"/>
              <w:ind w:left="1109"/>
              <w:rPr>
                <w:rFonts w:ascii="宋体" w:hAnsi="宋体" w:eastAsia="宋体" w:cs="宋体"/>
                <w:sz w:val="18"/>
                <w:szCs w:val="18"/>
              </w:rPr>
            </w:pPr>
            <w:r>
              <w:rPr>
                <w:rFonts w:ascii="宋体" w:hAnsi="宋体" w:eastAsia="宋体" w:cs="宋体"/>
                <w:color w:val="212529"/>
                <w:spacing w:val="-1"/>
                <w:sz w:val="18"/>
                <w:szCs w:val="18"/>
              </w:rPr>
              <w:t>因公出国（境）费</w:t>
            </w:r>
          </w:p>
        </w:tc>
        <w:tc>
          <w:tcPr>
            <w:tcW w:w="1343" w:type="dxa"/>
            <w:vAlign w:val="top"/>
          </w:tcPr>
          <w:p w14:paraId="4F4DBE09">
            <w:pPr>
              <w:pStyle w:val="6"/>
            </w:pPr>
          </w:p>
        </w:tc>
        <w:tc>
          <w:tcPr>
            <w:tcW w:w="1259" w:type="dxa"/>
            <w:vAlign w:val="top"/>
          </w:tcPr>
          <w:p w14:paraId="2B042AF0">
            <w:pPr>
              <w:pStyle w:val="6"/>
            </w:pPr>
          </w:p>
        </w:tc>
        <w:tc>
          <w:tcPr>
            <w:tcW w:w="1343" w:type="dxa"/>
            <w:vAlign w:val="top"/>
          </w:tcPr>
          <w:p w14:paraId="39C2DCD5">
            <w:pPr>
              <w:pStyle w:val="6"/>
            </w:pPr>
          </w:p>
        </w:tc>
        <w:tc>
          <w:tcPr>
            <w:tcW w:w="1444" w:type="dxa"/>
            <w:vAlign w:val="top"/>
          </w:tcPr>
          <w:p w14:paraId="6C35E42B">
            <w:pPr>
              <w:pStyle w:val="6"/>
            </w:pPr>
          </w:p>
        </w:tc>
      </w:tr>
      <w:tr w14:paraId="11A24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Align w:val="top"/>
          </w:tcPr>
          <w:p w14:paraId="12F50CBD">
            <w:pPr>
              <w:spacing w:before="111" w:line="219" w:lineRule="auto"/>
              <w:ind w:left="1370"/>
              <w:rPr>
                <w:rFonts w:ascii="宋体" w:hAnsi="宋体" w:eastAsia="宋体" w:cs="宋体"/>
                <w:sz w:val="18"/>
                <w:szCs w:val="18"/>
              </w:rPr>
            </w:pPr>
            <w:r>
              <w:rPr>
                <w:rFonts w:ascii="宋体" w:hAnsi="宋体" w:eastAsia="宋体" w:cs="宋体"/>
                <w:color w:val="212529"/>
                <w:spacing w:val="-3"/>
                <w:sz w:val="18"/>
                <w:szCs w:val="18"/>
              </w:rPr>
              <w:t>公务接待费</w:t>
            </w:r>
          </w:p>
        </w:tc>
        <w:tc>
          <w:tcPr>
            <w:tcW w:w="1343" w:type="dxa"/>
            <w:vAlign w:val="top"/>
          </w:tcPr>
          <w:p w14:paraId="43729F72">
            <w:pPr>
              <w:pStyle w:val="6"/>
            </w:pPr>
          </w:p>
        </w:tc>
        <w:tc>
          <w:tcPr>
            <w:tcW w:w="1259" w:type="dxa"/>
            <w:vAlign w:val="top"/>
          </w:tcPr>
          <w:p w14:paraId="33AEE14F">
            <w:pPr>
              <w:pStyle w:val="6"/>
            </w:pPr>
          </w:p>
        </w:tc>
        <w:tc>
          <w:tcPr>
            <w:tcW w:w="1343" w:type="dxa"/>
            <w:vAlign w:val="top"/>
          </w:tcPr>
          <w:p w14:paraId="05DC4558">
            <w:pPr>
              <w:pStyle w:val="6"/>
            </w:pPr>
          </w:p>
        </w:tc>
        <w:tc>
          <w:tcPr>
            <w:tcW w:w="1444" w:type="dxa"/>
            <w:vAlign w:val="top"/>
          </w:tcPr>
          <w:p w14:paraId="62887B46">
            <w:pPr>
              <w:pStyle w:val="6"/>
            </w:pPr>
          </w:p>
        </w:tc>
      </w:tr>
      <w:tr w14:paraId="4BA24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27" w:type="dxa"/>
            <w:vAlign w:val="top"/>
          </w:tcPr>
          <w:p w14:paraId="7DA59CBA">
            <w:pPr>
              <w:spacing w:before="112" w:line="219" w:lineRule="auto"/>
              <w:ind w:left="920"/>
              <w:rPr>
                <w:rFonts w:ascii="宋体" w:hAnsi="宋体" w:eastAsia="宋体" w:cs="宋体"/>
                <w:sz w:val="18"/>
                <w:szCs w:val="18"/>
              </w:rPr>
            </w:pPr>
            <w:r>
              <w:rPr>
                <w:rFonts w:ascii="宋体" w:hAnsi="宋体" w:eastAsia="宋体" w:cs="宋体"/>
                <w:color w:val="212529"/>
                <w:spacing w:val="-2"/>
                <w:sz w:val="18"/>
                <w:szCs w:val="18"/>
              </w:rPr>
              <w:t>公务用车购置及运行费</w:t>
            </w:r>
          </w:p>
        </w:tc>
        <w:tc>
          <w:tcPr>
            <w:tcW w:w="1343" w:type="dxa"/>
            <w:vAlign w:val="top"/>
          </w:tcPr>
          <w:p w14:paraId="7C1443B2">
            <w:pPr>
              <w:pStyle w:val="6"/>
            </w:pPr>
          </w:p>
        </w:tc>
        <w:tc>
          <w:tcPr>
            <w:tcW w:w="1259" w:type="dxa"/>
            <w:vAlign w:val="top"/>
          </w:tcPr>
          <w:p w14:paraId="08007192">
            <w:pPr>
              <w:pStyle w:val="6"/>
            </w:pPr>
          </w:p>
        </w:tc>
        <w:tc>
          <w:tcPr>
            <w:tcW w:w="1343" w:type="dxa"/>
            <w:vAlign w:val="top"/>
          </w:tcPr>
          <w:p w14:paraId="1EB12A94">
            <w:pPr>
              <w:pStyle w:val="6"/>
            </w:pPr>
          </w:p>
        </w:tc>
        <w:tc>
          <w:tcPr>
            <w:tcW w:w="1444" w:type="dxa"/>
            <w:vAlign w:val="top"/>
          </w:tcPr>
          <w:p w14:paraId="45EC5887">
            <w:pPr>
              <w:pStyle w:val="6"/>
            </w:pPr>
          </w:p>
        </w:tc>
      </w:tr>
      <w:tr w14:paraId="5AE29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Align w:val="top"/>
          </w:tcPr>
          <w:p w14:paraId="5C6EF22D">
            <w:pPr>
              <w:spacing w:before="112" w:line="217" w:lineRule="auto"/>
              <w:ind w:left="1094"/>
              <w:rPr>
                <w:rFonts w:ascii="宋体" w:hAnsi="宋体" w:eastAsia="宋体" w:cs="宋体"/>
                <w:sz w:val="18"/>
                <w:szCs w:val="18"/>
              </w:rPr>
            </w:pPr>
            <w:r>
              <w:rPr>
                <w:rFonts w:ascii="宋体" w:hAnsi="宋体" w:eastAsia="宋体" w:cs="宋体"/>
                <w:color w:val="212529"/>
                <w:spacing w:val="-1"/>
                <w:sz w:val="18"/>
                <w:szCs w:val="18"/>
              </w:rPr>
              <w:t>①公务用车购置费</w:t>
            </w:r>
          </w:p>
        </w:tc>
        <w:tc>
          <w:tcPr>
            <w:tcW w:w="1343" w:type="dxa"/>
            <w:vAlign w:val="top"/>
          </w:tcPr>
          <w:p w14:paraId="21D8587E">
            <w:pPr>
              <w:pStyle w:val="6"/>
            </w:pPr>
          </w:p>
        </w:tc>
        <w:tc>
          <w:tcPr>
            <w:tcW w:w="1259" w:type="dxa"/>
            <w:vAlign w:val="top"/>
          </w:tcPr>
          <w:p w14:paraId="009780EA">
            <w:pPr>
              <w:pStyle w:val="6"/>
            </w:pPr>
          </w:p>
        </w:tc>
        <w:tc>
          <w:tcPr>
            <w:tcW w:w="1343" w:type="dxa"/>
            <w:vAlign w:val="top"/>
          </w:tcPr>
          <w:p w14:paraId="1781B96C">
            <w:pPr>
              <w:pStyle w:val="6"/>
            </w:pPr>
          </w:p>
        </w:tc>
        <w:tc>
          <w:tcPr>
            <w:tcW w:w="1444" w:type="dxa"/>
            <w:vAlign w:val="top"/>
          </w:tcPr>
          <w:p w14:paraId="25971EB3">
            <w:pPr>
              <w:pStyle w:val="6"/>
            </w:pPr>
          </w:p>
        </w:tc>
      </w:tr>
      <w:tr w14:paraId="263C0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27" w:type="dxa"/>
            <w:vAlign w:val="top"/>
          </w:tcPr>
          <w:p w14:paraId="5E45458A">
            <w:pPr>
              <w:spacing w:before="113" w:line="217" w:lineRule="auto"/>
              <w:ind w:left="913"/>
              <w:rPr>
                <w:rFonts w:ascii="宋体" w:hAnsi="宋体" w:eastAsia="宋体" w:cs="宋体"/>
                <w:sz w:val="18"/>
                <w:szCs w:val="18"/>
              </w:rPr>
            </w:pPr>
            <w:r>
              <w:rPr>
                <w:rFonts w:ascii="宋体" w:hAnsi="宋体" w:eastAsia="宋体" w:cs="宋体"/>
                <w:color w:val="212529"/>
                <w:spacing w:val="-1"/>
                <w:sz w:val="18"/>
                <w:szCs w:val="18"/>
              </w:rPr>
              <w:t>②公务用车运行维护费</w:t>
            </w:r>
          </w:p>
        </w:tc>
        <w:tc>
          <w:tcPr>
            <w:tcW w:w="1343" w:type="dxa"/>
            <w:vAlign w:val="top"/>
          </w:tcPr>
          <w:p w14:paraId="122BF4AD">
            <w:pPr>
              <w:pStyle w:val="6"/>
            </w:pPr>
          </w:p>
        </w:tc>
        <w:tc>
          <w:tcPr>
            <w:tcW w:w="1259" w:type="dxa"/>
            <w:vAlign w:val="top"/>
          </w:tcPr>
          <w:p w14:paraId="76E64E54">
            <w:pPr>
              <w:pStyle w:val="6"/>
            </w:pPr>
          </w:p>
        </w:tc>
        <w:tc>
          <w:tcPr>
            <w:tcW w:w="1343" w:type="dxa"/>
            <w:vAlign w:val="top"/>
          </w:tcPr>
          <w:p w14:paraId="7CD5714B">
            <w:pPr>
              <w:pStyle w:val="6"/>
            </w:pPr>
          </w:p>
        </w:tc>
        <w:tc>
          <w:tcPr>
            <w:tcW w:w="1444" w:type="dxa"/>
            <w:vAlign w:val="top"/>
          </w:tcPr>
          <w:p w14:paraId="42AE819D">
            <w:pPr>
              <w:pStyle w:val="6"/>
            </w:pPr>
          </w:p>
        </w:tc>
      </w:tr>
      <w:tr w14:paraId="499BC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Align w:val="top"/>
          </w:tcPr>
          <w:p w14:paraId="6B1E3826">
            <w:pPr>
              <w:spacing w:before="113" w:line="221" w:lineRule="auto"/>
              <w:ind w:left="1630"/>
              <w:rPr>
                <w:rFonts w:ascii="宋体" w:hAnsi="宋体" w:eastAsia="宋体" w:cs="宋体"/>
                <w:sz w:val="18"/>
                <w:szCs w:val="18"/>
              </w:rPr>
            </w:pPr>
            <w:r>
              <w:rPr>
                <w:rFonts w:ascii="宋体" w:hAnsi="宋体" w:eastAsia="宋体" w:cs="宋体"/>
                <w:color w:val="212529"/>
                <w:spacing w:val="-5"/>
                <w:sz w:val="18"/>
                <w:szCs w:val="18"/>
              </w:rPr>
              <w:t>合计</w:t>
            </w:r>
          </w:p>
        </w:tc>
        <w:tc>
          <w:tcPr>
            <w:tcW w:w="1343" w:type="dxa"/>
            <w:vAlign w:val="top"/>
          </w:tcPr>
          <w:p w14:paraId="70833A0E">
            <w:pPr>
              <w:pStyle w:val="6"/>
            </w:pPr>
          </w:p>
        </w:tc>
        <w:tc>
          <w:tcPr>
            <w:tcW w:w="1259" w:type="dxa"/>
            <w:vAlign w:val="top"/>
          </w:tcPr>
          <w:p w14:paraId="27906A1B">
            <w:pPr>
              <w:pStyle w:val="6"/>
            </w:pPr>
          </w:p>
        </w:tc>
        <w:tc>
          <w:tcPr>
            <w:tcW w:w="1343" w:type="dxa"/>
            <w:vAlign w:val="top"/>
          </w:tcPr>
          <w:p w14:paraId="2F30E6B2">
            <w:pPr>
              <w:pStyle w:val="6"/>
            </w:pPr>
          </w:p>
        </w:tc>
        <w:tc>
          <w:tcPr>
            <w:tcW w:w="1444" w:type="dxa"/>
            <w:vAlign w:val="top"/>
          </w:tcPr>
          <w:p w14:paraId="1DE2988C">
            <w:pPr>
              <w:pStyle w:val="6"/>
            </w:pPr>
          </w:p>
        </w:tc>
      </w:tr>
      <w:tr w14:paraId="50B15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3627" w:type="dxa"/>
            <w:tcBorders>
              <w:left w:val="single" w:color="FFFFFF" w:sz="2" w:space="0"/>
              <w:bottom w:val="single" w:color="FFFFFF" w:sz="4" w:space="0"/>
              <w:right w:val="single" w:color="FFFFFF" w:sz="2" w:space="0"/>
            </w:tcBorders>
            <w:vAlign w:val="top"/>
          </w:tcPr>
          <w:p w14:paraId="07BCBD8E">
            <w:pPr>
              <w:spacing w:before="6"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c>
          <w:tcPr>
            <w:tcW w:w="1343" w:type="dxa"/>
            <w:tcBorders>
              <w:left w:val="single" w:color="FFFFFF" w:sz="2" w:space="0"/>
              <w:bottom w:val="single" w:color="FFFFFF" w:sz="4" w:space="0"/>
              <w:right w:val="single" w:color="FFFFFF" w:sz="2" w:space="0"/>
            </w:tcBorders>
            <w:vAlign w:val="top"/>
          </w:tcPr>
          <w:p w14:paraId="4BB989FA">
            <w:pPr>
              <w:pStyle w:val="6"/>
            </w:pPr>
          </w:p>
        </w:tc>
        <w:tc>
          <w:tcPr>
            <w:tcW w:w="1259" w:type="dxa"/>
            <w:tcBorders>
              <w:left w:val="single" w:color="FFFFFF" w:sz="2" w:space="0"/>
              <w:bottom w:val="single" w:color="FFFFFF" w:sz="4" w:space="0"/>
              <w:right w:val="single" w:color="FFFFFF" w:sz="2" w:space="0"/>
            </w:tcBorders>
            <w:vAlign w:val="top"/>
          </w:tcPr>
          <w:p w14:paraId="66E8E02F">
            <w:pPr>
              <w:pStyle w:val="6"/>
            </w:pPr>
          </w:p>
        </w:tc>
        <w:tc>
          <w:tcPr>
            <w:tcW w:w="1343" w:type="dxa"/>
            <w:tcBorders>
              <w:left w:val="single" w:color="FFFFFF" w:sz="2" w:space="0"/>
              <w:bottom w:val="single" w:color="FFFFFF" w:sz="4" w:space="0"/>
              <w:right w:val="single" w:color="D0D7E5" w:sz="4" w:space="0"/>
            </w:tcBorders>
            <w:vAlign w:val="top"/>
          </w:tcPr>
          <w:p w14:paraId="6EA5F6C3">
            <w:pPr>
              <w:pStyle w:val="6"/>
            </w:pPr>
          </w:p>
        </w:tc>
        <w:tc>
          <w:tcPr>
            <w:tcW w:w="1444" w:type="dxa"/>
            <w:tcBorders>
              <w:left w:val="single" w:color="D0D7E5" w:sz="4" w:space="0"/>
              <w:bottom w:val="single" w:color="FFFFFF" w:sz="4" w:space="0"/>
              <w:right w:val="single" w:color="FFFFFF" w:sz="2" w:space="0"/>
            </w:tcBorders>
            <w:vAlign w:val="top"/>
          </w:tcPr>
          <w:p w14:paraId="2860433D">
            <w:pPr>
              <w:pStyle w:val="6"/>
            </w:pPr>
          </w:p>
        </w:tc>
      </w:tr>
    </w:tbl>
    <w:p w14:paraId="6A7A3AE2">
      <w:pPr>
        <w:rPr>
          <w:rFonts w:ascii="Arial"/>
          <w:sz w:val="21"/>
        </w:rPr>
      </w:pPr>
    </w:p>
    <w:p w14:paraId="19024478">
      <w:pPr>
        <w:rPr>
          <w:rFonts w:ascii="Arial" w:hAnsi="Arial" w:eastAsia="Arial" w:cs="Arial"/>
          <w:sz w:val="21"/>
          <w:szCs w:val="21"/>
        </w:rPr>
        <w:sectPr>
          <w:footerReference r:id="rId22" w:type="default"/>
          <w:pgSz w:w="11900" w:h="16840"/>
          <w:pgMar w:top="610" w:right="600" w:bottom="312" w:left="600" w:header="357" w:footer="153" w:gutter="0"/>
          <w:cols w:space="720" w:num="1"/>
        </w:sectPr>
      </w:pPr>
    </w:p>
    <w:p w14:paraId="4DF48558">
      <w:pPr>
        <w:spacing w:before="6"/>
      </w:pPr>
    </w:p>
    <w:p w14:paraId="0CD48EE6">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27"/>
        <w:gridCol w:w="1463"/>
        <w:gridCol w:w="1559"/>
        <w:gridCol w:w="1391"/>
        <w:gridCol w:w="1576"/>
      </w:tblGrid>
      <w:tr w14:paraId="0CAB7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3027" w:type="dxa"/>
            <w:tcBorders>
              <w:top w:val="single" w:color="FFFFFF" w:sz="4" w:space="0"/>
              <w:left w:val="single" w:color="FFFFFF" w:sz="2" w:space="0"/>
              <w:bottom w:val="single" w:color="FFFFFF" w:sz="4" w:space="0"/>
              <w:right w:val="single" w:color="FFFFFF" w:sz="2" w:space="0"/>
            </w:tcBorders>
            <w:vAlign w:val="top"/>
          </w:tcPr>
          <w:p w14:paraId="49EBCA9A">
            <w:pPr>
              <w:pStyle w:val="6"/>
            </w:pPr>
          </w:p>
        </w:tc>
        <w:tc>
          <w:tcPr>
            <w:tcW w:w="1463" w:type="dxa"/>
            <w:tcBorders>
              <w:top w:val="nil"/>
              <w:left w:val="single" w:color="FFFFFF" w:sz="2" w:space="0"/>
              <w:bottom w:val="single" w:color="FFFFFF" w:sz="4" w:space="0"/>
              <w:right w:val="single" w:color="FFFFFF" w:sz="2" w:space="0"/>
            </w:tcBorders>
            <w:vAlign w:val="top"/>
          </w:tcPr>
          <w:p w14:paraId="694AD1AB">
            <w:pPr>
              <w:pStyle w:val="6"/>
            </w:pPr>
          </w:p>
        </w:tc>
        <w:tc>
          <w:tcPr>
            <w:tcW w:w="1559" w:type="dxa"/>
            <w:tcBorders>
              <w:top w:val="single" w:color="FFFFFF" w:sz="4" w:space="0"/>
              <w:left w:val="single" w:color="FFFFFF" w:sz="2" w:space="0"/>
              <w:bottom w:val="single" w:color="FFFFFF" w:sz="4" w:space="0"/>
              <w:right w:val="single" w:color="FFFFFF" w:sz="2" w:space="0"/>
            </w:tcBorders>
            <w:vAlign w:val="top"/>
          </w:tcPr>
          <w:p w14:paraId="2B47015C">
            <w:pPr>
              <w:pStyle w:val="6"/>
            </w:pPr>
          </w:p>
        </w:tc>
        <w:tc>
          <w:tcPr>
            <w:tcW w:w="1391" w:type="dxa"/>
            <w:tcBorders>
              <w:top w:val="single" w:color="FFFFFF" w:sz="4" w:space="0"/>
              <w:left w:val="single" w:color="FFFFFF" w:sz="2" w:space="0"/>
              <w:bottom w:val="single" w:color="FFFFFF" w:sz="4" w:space="0"/>
              <w:right w:val="single" w:color="FFFFFF" w:sz="2" w:space="0"/>
            </w:tcBorders>
            <w:vAlign w:val="top"/>
          </w:tcPr>
          <w:p w14:paraId="595A2636">
            <w:pPr>
              <w:pStyle w:val="6"/>
            </w:pPr>
          </w:p>
        </w:tc>
        <w:tc>
          <w:tcPr>
            <w:tcW w:w="1576" w:type="dxa"/>
            <w:tcBorders>
              <w:top w:val="single" w:color="FFFFFF" w:sz="4" w:space="0"/>
              <w:left w:val="single" w:color="FFFFFF" w:sz="2" w:space="0"/>
              <w:bottom w:val="single" w:color="FFFFFF" w:sz="4" w:space="0"/>
              <w:right w:val="single" w:color="FFFFFF" w:sz="2" w:space="0"/>
            </w:tcBorders>
            <w:vAlign w:val="top"/>
          </w:tcPr>
          <w:p w14:paraId="45FAA50D">
            <w:pPr>
              <w:spacing w:before="1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预算公开表11</w:t>
            </w:r>
          </w:p>
        </w:tc>
      </w:tr>
      <w:tr w14:paraId="30A9A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380FA041">
            <w:pPr>
              <w:spacing w:before="91" w:line="219" w:lineRule="auto"/>
              <w:ind w:left="2111"/>
              <w:outlineLvl w:val="1"/>
              <w:rPr>
                <w:rFonts w:ascii="宋体" w:hAnsi="宋体" w:eastAsia="宋体" w:cs="宋体"/>
                <w:sz w:val="24"/>
                <w:szCs w:val="24"/>
              </w:rPr>
            </w:pPr>
            <w:bookmarkStart w:id="61" w:name="bookmark16"/>
            <w:bookmarkEnd w:id="61"/>
            <w:bookmarkStart w:id="62" w:name="bookmark48"/>
            <w:bookmarkEnd w:id="62"/>
            <w:r>
              <w:rPr>
                <w:rFonts w:ascii="宋体" w:hAnsi="宋体" w:eastAsia="宋体" w:cs="宋体"/>
                <w:color w:val="212529"/>
                <w:spacing w:val="-1"/>
                <w:sz w:val="24"/>
                <w:szCs w:val="24"/>
              </w:rPr>
              <w:t>2023年机关运行经费预算财政拨款情况统计表</w:t>
            </w:r>
          </w:p>
        </w:tc>
      </w:tr>
      <w:tr w14:paraId="40FCC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tcBorders>
              <w:top w:val="single" w:color="FFFFFF" w:sz="4" w:space="0"/>
              <w:left w:val="single" w:color="FFFFFF" w:sz="2" w:space="0"/>
              <w:right w:val="single" w:color="FFFFFF" w:sz="2" w:space="0"/>
            </w:tcBorders>
            <w:vAlign w:val="top"/>
          </w:tcPr>
          <w:p w14:paraId="39D19500">
            <w:pPr>
              <w:spacing w:before="130"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463" w:type="dxa"/>
            <w:tcBorders>
              <w:top w:val="single" w:color="FFFFFF" w:sz="4" w:space="0"/>
              <w:left w:val="single" w:color="FFFFFF" w:sz="2" w:space="0"/>
              <w:right w:val="single" w:color="FFFFFF" w:sz="2" w:space="0"/>
            </w:tcBorders>
            <w:vAlign w:val="top"/>
          </w:tcPr>
          <w:p w14:paraId="7E9E0406">
            <w:pPr>
              <w:pStyle w:val="6"/>
            </w:pPr>
          </w:p>
        </w:tc>
        <w:tc>
          <w:tcPr>
            <w:tcW w:w="1559" w:type="dxa"/>
            <w:tcBorders>
              <w:top w:val="single" w:color="FFFFFF" w:sz="4" w:space="0"/>
              <w:left w:val="single" w:color="FFFFFF" w:sz="2" w:space="0"/>
              <w:right w:val="single" w:color="FFFFFF" w:sz="2" w:space="0"/>
            </w:tcBorders>
            <w:vAlign w:val="top"/>
          </w:tcPr>
          <w:p w14:paraId="139EFF26">
            <w:pPr>
              <w:pStyle w:val="6"/>
            </w:pPr>
          </w:p>
        </w:tc>
        <w:tc>
          <w:tcPr>
            <w:tcW w:w="1391" w:type="dxa"/>
            <w:tcBorders>
              <w:top w:val="single" w:color="FFFFFF" w:sz="4" w:space="0"/>
              <w:left w:val="single" w:color="FFFFFF" w:sz="2" w:space="0"/>
              <w:right w:val="single" w:color="FFFFFF" w:sz="2" w:space="0"/>
            </w:tcBorders>
            <w:vAlign w:val="top"/>
          </w:tcPr>
          <w:p w14:paraId="76538E76">
            <w:pPr>
              <w:pStyle w:val="6"/>
            </w:pPr>
          </w:p>
        </w:tc>
        <w:tc>
          <w:tcPr>
            <w:tcW w:w="1576" w:type="dxa"/>
            <w:tcBorders>
              <w:top w:val="single" w:color="FFFFFF" w:sz="4" w:space="0"/>
              <w:left w:val="single" w:color="FFFFFF" w:sz="2" w:space="0"/>
              <w:right w:val="single" w:color="FFFFFF" w:sz="2" w:space="0"/>
            </w:tcBorders>
            <w:vAlign w:val="top"/>
          </w:tcPr>
          <w:p w14:paraId="1DE5ED01">
            <w:pPr>
              <w:spacing w:before="130"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5077E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vMerge w:val="restart"/>
            <w:tcBorders>
              <w:bottom w:val="nil"/>
            </w:tcBorders>
            <w:vAlign w:val="top"/>
          </w:tcPr>
          <w:p w14:paraId="4E7DA6C7">
            <w:pPr>
              <w:pStyle w:val="6"/>
              <w:spacing w:line="266" w:lineRule="auto"/>
            </w:pPr>
          </w:p>
          <w:p w14:paraId="1F600224">
            <w:pPr>
              <w:spacing w:before="59" w:line="220" w:lineRule="auto"/>
              <w:ind w:left="1150"/>
              <w:rPr>
                <w:rFonts w:ascii="宋体" w:hAnsi="宋体" w:eastAsia="宋体" w:cs="宋体"/>
                <w:sz w:val="18"/>
                <w:szCs w:val="18"/>
              </w:rPr>
            </w:pPr>
            <w:r>
              <w:rPr>
                <w:rFonts w:ascii="宋体" w:hAnsi="宋体" w:eastAsia="宋体" w:cs="宋体"/>
                <w:color w:val="212529"/>
                <w:spacing w:val="-3"/>
                <w:sz w:val="18"/>
                <w:szCs w:val="18"/>
              </w:rPr>
              <w:t>单位名称</w:t>
            </w:r>
          </w:p>
        </w:tc>
        <w:tc>
          <w:tcPr>
            <w:tcW w:w="5989" w:type="dxa"/>
            <w:gridSpan w:val="4"/>
            <w:vAlign w:val="top"/>
          </w:tcPr>
          <w:p w14:paraId="28E78BF8">
            <w:pPr>
              <w:spacing w:before="111" w:line="219" w:lineRule="auto"/>
              <w:ind w:left="2541"/>
              <w:rPr>
                <w:rFonts w:ascii="宋体" w:hAnsi="宋体" w:eastAsia="宋体" w:cs="宋体"/>
                <w:sz w:val="18"/>
                <w:szCs w:val="18"/>
              </w:rPr>
            </w:pPr>
            <w:r>
              <w:rPr>
                <w:rFonts w:ascii="宋体" w:hAnsi="宋体" w:eastAsia="宋体" w:cs="宋体"/>
                <w:color w:val="212529"/>
                <w:spacing w:val="-2"/>
                <w:sz w:val="18"/>
                <w:szCs w:val="18"/>
              </w:rPr>
              <w:t>2023预算数</w:t>
            </w:r>
          </w:p>
        </w:tc>
      </w:tr>
      <w:tr w14:paraId="6C449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vMerge w:val="continue"/>
            <w:tcBorders>
              <w:top w:val="nil"/>
            </w:tcBorders>
            <w:vAlign w:val="top"/>
          </w:tcPr>
          <w:p w14:paraId="6CF3B6ED">
            <w:pPr>
              <w:pStyle w:val="6"/>
            </w:pPr>
          </w:p>
        </w:tc>
        <w:tc>
          <w:tcPr>
            <w:tcW w:w="1463" w:type="dxa"/>
            <w:vAlign w:val="top"/>
          </w:tcPr>
          <w:p w14:paraId="5B42C965">
            <w:pPr>
              <w:spacing w:before="111" w:line="221" w:lineRule="auto"/>
              <w:ind w:left="547"/>
              <w:rPr>
                <w:rFonts w:ascii="宋体" w:hAnsi="宋体" w:eastAsia="宋体" w:cs="宋体"/>
                <w:sz w:val="18"/>
                <w:szCs w:val="18"/>
              </w:rPr>
            </w:pPr>
            <w:r>
              <w:rPr>
                <w:rFonts w:ascii="宋体" w:hAnsi="宋体" w:eastAsia="宋体" w:cs="宋体"/>
                <w:color w:val="212529"/>
                <w:spacing w:val="-5"/>
                <w:sz w:val="18"/>
                <w:szCs w:val="18"/>
              </w:rPr>
              <w:t>合计</w:t>
            </w:r>
          </w:p>
        </w:tc>
        <w:tc>
          <w:tcPr>
            <w:tcW w:w="1559" w:type="dxa"/>
            <w:vAlign w:val="top"/>
          </w:tcPr>
          <w:p w14:paraId="10C18BB2">
            <w:pPr>
              <w:spacing w:before="112" w:line="219" w:lineRule="auto"/>
              <w:ind w:left="239"/>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391" w:type="dxa"/>
            <w:vAlign w:val="top"/>
          </w:tcPr>
          <w:p w14:paraId="35DA7814">
            <w:pPr>
              <w:spacing w:before="111" w:line="219" w:lineRule="auto"/>
              <w:ind w:left="63"/>
              <w:rPr>
                <w:rFonts w:ascii="宋体" w:hAnsi="宋体" w:eastAsia="宋体" w:cs="宋体"/>
                <w:sz w:val="18"/>
                <w:szCs w:val="18"/>
              </w:rPr>
            </w:pPr>
            <w:r>
              <w:rPr>
                <w:rFonts w:ascii="宋体" w:hAnsi="宋体" w:eastAsia="宋体" w:cs="宋体"/>
                <w:color w:val="212529"/>
                <w:spacing w:val="-2"/>
                <w:sz w:val="18"/>
                <w:szCs w:val="18"/>
              </w:rPr>
              <w:t>政府性基金预算</w:t>
            </w:r>
          </w:p>
        </w:tc>
        <w:tc>
          <w:tcPr>
            <w:tcW w:w="1576" w:type="dxa"/>
            <w:vAlign w:val="top"/>
          </w:tcPr>
          <w:p w14:paraId="140ED020">
            <w:pPr>
              <w:spacing w:before="111" w:line="219" w:lineRule="auto"/>
              <w:ind w:left="82"/>
              <w:rPr>
                <w:rFonts w:ascii="宋体" w:hAnsi="宋体" w:eastAsia="宋体" w:cs="宋体"/>
                <w:sz w:val="18"/>
                <w:szCs w:val="18"/>
              </w:rPr>
            </w:pPr>
            <w:r>
              <w:rPr>
                <w:rFonts w:ascii="宋体" w:hAnsi="宋体" w:eastAsia="宋体" w:cs="宋体"/>
                <w:color w:val="212529"/>
                <w:spacing w:val="-4"/>
                <w:sz w:val="18"/>
                <w:szCs w:val="18"/>
              </w:rPr>
              <w:t>国有资本经营预算</w:t>
            </w:r>
          </w:p>
        </w:tc>
      </w:tr>
      <w:tr w14:paraId="2E630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vAlign w:val="top"/>
          </w:tcPr>
          <w:p w14:paraId="58C28AE2">
            <w:pPr>
              <w:spacing w:before="113" w:line="219" w:lineRule="auto"/>
              <w:ind w:left="1151"/>
              <w:rPr>
                <w:rFonts w:ascii="宋体" w:hAnsi="宋体" w:eastAsia="宋体" w:cs="宋体"/>
                <w:sz w:val="18"/>
                <w:szCs w:val="18"/>
              </w:rPr>
            </w:pPr>
            <w:r>
              <w:rPr>
                <w:rFonts w:ascii="宋体" w:hAnsi="宋体" w:eastAsia="宋体" w:cs="宋体"/>
                <w:color w:val="212529"/>
                <w:spacing w:val="-3"/>
                <w:sz w:val="18"/>
                <w:szCs w:val="18"/>
              </w:rPr>
              <w:t>部门合计</w:t>
            </w:r>
          </w:p>
        </w:tc>
        <w:tc>
          <w:tcPr>
            <w:tcW w:w="1463" w:type="dxa"/>
            <w:vAlign w:val="top"/>
          </w:tcPr>
          <w:p w14:paraId="2FD11C6B">
            <w:pPr>
              <w:spacing w:before="141" w:line="183" w:lineRule="auto"/>
              <w:ind w:right="7"/>
              <w:jc w:val="right"/>
              <w:rPr>
                <w:rFonts w:ascii="宋体" w:hAnsi="宋体" w:eastAsia="宋体" w:cs="宋体"/>
                <w:sz w:val="18"/>
                <w:szCs w:val="18"/>
              </w:rPr>
            </w:pPr>
            <w:r>
              <w:rPr>
                <w:rFonts w:ascii="宋体" w:hAnsi="宋体" w:eastAsia="宋体" w:cs="宋体"/>
                <w:color w:val="212529"/>
                <w:spacing w:val="-2"/>
                <w:sz w:val="18"/>
                <w:szCs w:val="18"/>
              </w:rPr>
              <w:t>23.68</w:t>
            </w:r>
          </w:p>
        </w:tc>
        <w:tc>
          <w:tcPr>
            <w:tcW w:w="1559" w:type="dxa"/>
            <w:vAlign w:val="top"/>
          </w:tcPr>
          <w:p w14:paraId="32FDE0F9">
            <w:pPr>
              <w:spacing w:before="141"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23.68</w:t>
            </w:r>
          </w:p>
        </w:tc>
        <w:tc>
          <w:tcPr>
            <w:tcW w:w="1391" w:type="dxa"/>
            <w:vAlign w:val="top"/>
          </w:tcPr>
          <w:p w14:paraId="260CAAFD">
            <w:pPr>
              <w:pStyle w:val="6"/>
            </w:pPr>
          </w:p>
        </w:tc>
        <w:tc>
          <w:tcPr>
            <w:tcW w:w="1576" w:type="dxa"/>
            <w:vAlign w:val="top"/>
          </w:tcPr>
          <w:p w14:paraId="4C06800C">
            <w:pPr>
              <w:pStyle w:val="6"/>
            </w:pPr>
          </w:p>
        </w:tc>
      </w:tr>
      <w:tr w14:paraId="7BB21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3027" w:type="dxa"/>
            <w:vAlign w:val="top"/>
          </w:tcPr>
          <w:p w14:paraId="69D0F24A">
            <w:pPr>
              <w:spacing w:before="114" w:line="219" w:lineRule="auto"/>
              <w:ind w:left="13"/>
              <w:rPr>
                <w:rFonts w:ascii="宋体" w:hAnsi="宋体" w:eastAsia="宋体" w:cs="宋体"/>
                <w:sz w:val="18"/>
                <w:szCs w:val="18"/>
              </w:rPr>
            </w:pPr>
            <w:r>
              <w:rPr>
                <w:rFonts w:ascii="宋体" w:hAnsi="宋体" w:eastAsia="宋体" w:cs="宋体"/>
                <w:color w:val="212529"/>
                <w:spacing w:val="-2"/>
                <w:sz w:val="18"/>
                <w:szCs w:val="18"/>
              </w:rPr>
              <w:t>古县行政审批服务管理局</w:t>
            </w:r>
          </w:p>
        </w:tc>
        <w:tc>
          <w:tcPr>
            <w:tcW w:w="1463" w:type="dxa"/>
            <w:vAlign w:val="top"/>
          </w:tcPr>
          <w:p w14:paraId="4A801986">
            <w:pPr>
              <w:spacing w:before="142" w:line="183" w:lineRule="auto"/>
              <w:ind w:right="7"/>
              <w:jc w:val="right"/>
              <w:rPr>
                <w:rFonts w:ascii="宋体" w:hAnsi="宋体" w:eastAsia="宋体" w:cs="宋体"/>
                <w:sz w:val="18"/>
                <w:szCs w:val="18"/>
              </w:rPr>
            </w:pPr>
            <w:r>
              <w:rPr>
                <w:rFonts w:ascii="宋体" w:hAnsi="宋体" w:eastAsia="宋体" w:cs="宋体"/>
                <w:color w:val="212529"/>
                <w:spacing w:val="-2"/>
                <w:sz w:val="18"/>
                <w:szCs w:val="18"/>
              </w:rPr>
              <w:t>23.68</w:t>
            </w:r>
          </w:p>
        </w:tc>
        <w:tc>
          <w:tcPr>
            <w:tcW w:w="1559" w:type="dxa"/>
            <w:vAlign w:val="top"/>
          </w:tcPr>
          <w:p w14:paraId="10A1A9DE">
            <w:pPr>
              <w:spacing w:before="142"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23.68</w:t>
            </w:r>
          </w:p>
        </w:tc>
        <w:tc>
          <w:tcPr>
            <w:tcW w:w="1391" w:type="dxa"/>
            <w:vAlign w:val="top"/>
          </w:tcPr>
          <w:p w14:paraId="2730D15A">
            <w:pPr>
              <w:pStyle w:val="6"/>
            </w:pPr>
          </w:p>
        </w:tc>
        <w:tc>
          <w:tcPr>
            <w:tcW w:w="1576" w:type="dxa"/>
            <w:vAlign w:val="top"/>
          </w:tcPr>
          <w:p w14:paraId="70E698C6">
            <w:pPr>
              <w:pStyle w:val="6"/>
            </w:pPr>
          </w:p>
        </w:tc>
      </w:tr>
    </w:tbl>
    <w:p w14:paraId="7C31B2A0">
      <w:pPr>
        <w:rPr>
          <w:rFonts w:ascii="Arial"/>
          <w:sz w:val="21"/>
        </w:rPr>
      </w:pPr>
    </w:p>
    <w:p w14:paraId="6DEEFB4F">
      <w:pPr>
        <w:rPr>
          <w:rFonts w:ascii="Arial" w:hAnsi="Arial" w:eastAsia="Arial" w:cs="Arial"/>
          <w:sz w:val="21"/>
          <w:szCs w:val="21"/>
        </w:rPr>
        <w:sectPr>
          <w:footerReference r:id="rId23" w:type="default"/>
          <w:pgSz w:w="11900" w:h="16840"/>
          <w:pgMar w:top="610" w:right="600" w:bottom="312" w:left="600" w:header="357" w:footer="153" w:gutter="0"/>
          <w:cols w:space="720" w:num="1"/>
        </w:sectPr>
      </w:pPr>
    </w:p>
    <w:p w14:paraId="56C279CB">
      <w:pPr>
        <w:spacing w:before="6"/>
      </w:pPr>
    </w:p>
    <w:p w14:paraId="5D79A5DD">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08"/>
        <w:gridCol w:w="1187"/>
        <w:gridCol w:w="1187"/>
        <w:gridCol w:w="659"/>
        <w:gridCol w:w="1127"/>
        <w:gridCol w:w="1103"/>
        <w:gridCol w:w="845"/>
      </w:tblGrid>
      <w:tr w14:paraId="62780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908" w:type="dxa"/>
            <w:tcBorders>
              <w:top w:val="single" w:color="FFFFFF" w:sz="4" w:space="0"/>
              <w:left w:val="single" w:color="FFFFFF" w:sz="2" w:space="0"/>
              <w:bottom w:val="single" w:color="FFFFFF" w:sz="4" w:space="0"/>
              <w:right w:val="single" w:color="FFFFFF" w:sz="2" w:space="0"/>
            </w:tcBorders>
            <w:vAlign w:val="top"/>
          </w:tcPr>
          <w:p w14:paraId="76B97B21">
            <w:pPr>
              <w:pStyle w:val="6"/>
            </w:pPr>
          </w:p>
        </w:tc>
        <w:tc>
          <w:tcPr>
            <w:tcW w:w="1187" w:type="dxa"/>
            <w:tcBorders>
              <w:top w:val="single" w:color="FFFFFF" w:sz="4" w:space="0"/>
              <w:left w:val="single" w:color="FFFFFF" w:sz="2" w:space="0"/>
              <w:bottom w:val="single" w:color="FFFFFF" w:sz="4" w:space="0"/>
              <w:right w:val="single" w:color="FFFFFF" w:sz="2" w:space="0"/>
            </w:tcBorders>
            <w:vAlign w:val="top"/>
          </w:tcPr>
          <w:p w14:paraId="6A0F8E1A">
            <w:pPr>
              <w:pStyle w:val="6"/>
            </w:pPr>
          </w:p>
        </w:tc>
        <w:tc>
          <w:tcPr>
            <w:tcW w:w="1187" w:type="dxa"/>
            <w:tcBorders>
              <w:top w:val="single" w:color="FFFFFF" w:sz="4" w:space="0"/>
              <w:left w:val="single" w:color="FFFFFF" w:sz="2" w:space="0"/>
              <w:bottom w:val="single" w:color="FFFFFF" w:sz="4" w:space="0"/>
              <w:right w:val="single" w:color="FFFFFF" w:sz="2" w:space="0"/>
            </w:tcBorders>
            <w:vAlign w:val="top"/>
          </w:tcPr>
          <w:p w14:paraId="5306A816">
            <w:pPr>
              <w:pStyle w:val="6"/>
            </w:pPr>
          </w:p>
        </w:tc>
        <w:tc>
          <w:tcPr>
            <w:tcW w:w="659" w:type="dxa"/>
            <w:tcBorders>
              <w:top w:val="single" w:color="FFFFFF" w:sz="4" w:space="0"/>
              <w:left w:val="single" w:color="FFFFFF" w:sz="2" w:space="0"/>
              <w:bottom w:val="single" w:color="FFFFFF" w:sz="4" w:space="0"/>
              <w:right w:val="single" w:color="FFFFFF" w:sz="2" w:space="0"/>
            </w:tcBorders>
            <w:vAlign w:val="top"/>
          </w:tcPr>
          <w:p w14:paraId="65BDE3BB">
            <w:pPr>
              <w:pStyle w:val="6"/>
            </w:pPr>
          </w:p>
        </w:tc>
        <w:tc>
          <w:tcPr>
            <w:tcW w:w="1127" w:type="dxa"/>
            <w:tcBorders>
              <w:top w:val="single" w:color="FFFFFF" w:sz="4" w:space="0"/>
              <w:left w:val="single" w:color="FFFFFF" w:sz="2" w:space="0"/>
              <w:bottom w:val="single" w:color="FFFFFF" w:sz="4" w:space="0"/>
              <w:right w:val="single" w:color="FFFFFF" w:sz="2" w:space="0"/>
            </w:tcBorders>
            <w:vAlign w:val="top"/>
          </w:tcPr>
          <w:p w14:paraId="09ABE08B">
            <w:pPr>
              <w:pStyle w:val="6"/>
            </w:pPr>
          </w:p>
        </w:tc>
        <w:tc>
          <w:tcPr>
            <w:tcW w:w="1948" w:type="dxa"/>
            <w:gridSpan w:val="2"/>
            <w:tcBorders>
              <w:top w:val="single" w:color="FFFFFF" w:sz="4" w:space="0"/>
              <w:left w:val="single" w:color="FFFFFF" w:sz="2" w:space="0"/>
              <w:bottom w:val="single" w:color="FFFFFF" w:sz="4" w:space="0"/>
              <w:right w:val="single" w:color="FFFFFF" w:sz="2" w:space="0"/>
            </w:tcBorders>
            <w:vAlign w:val="top"/>
          </w:tcPr>
          <w:p w14:paraId="5AF823FC">
            <w:pPr>
              <w:spacing w:before="13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预算公开表12</w:t>
            </w:r>
          </w:p>
        </w:tc>
      </w:tr>
      <w:tr w14:paraId="2A88C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7"/>
            <w:tcBorders>
              <w:top w:val="single" w:color="FFFFFF" w:sz="4" w:space="0"/>
              <w:left w:val="single" w:color="FFFFFF" w:sz="2" w:space="0"/>
              <w:bottom w:val="single" w:color="FFFFFF" w:sz="4" w:space="0"/>
              <w:right w:val="single" w:color="FFFFFF" w:sz="2" w:space="0"/>
            </w:tcBorders>
            <w:vAlign w:val="top"/>
          </w:tcPr>
          <w:p w14:paraId="42AA7B78">
            <w:pPr>
              <w:spacing w:before="90" w:line="219" w:lineRule="auto"/>
              <w:ind w:left="2591"/>
              <w:outlineLvl w:val="1"/>
              <w:rPr>
                <w:rFonts w:ascii="宋体" w:hAnsi="宋体" w:eastAsia="宋体" w:cs="宋体"/>
                <w:sz w:val="24"/>
                <w:szCs w:val="24"/>
              </w:rPr>
            </w:pPr>
            <w:bookmarkStart w:id="63" w:name="bookmark17"/>
            <w:bookmarkEnd w:id="63"/>
            <w:bookmarkStart w:id="64" w:name="bookmark49"/>
            <w:bookmarkEnd w:id="64"/>
            <w:r>
              <w:rPr>
                <w:rFonts w:ascii="宋体" w:hAnsi="宋体" w:eastAsia="宋体" w:cs="宋体"/>
                <w:color w:val="212529"/>
                <w:spacing w:val="-1"/>
                <w:sz w:val="24"/>
                <w:szCs w:val="24"/>
              </w:rPr>
              <w:t>2023年项目支出预算表（本年预算）</w:t>
            </w:r>
          </w:p>
        </w:tc>
      </w:tr>
      <w:tr w14:paraId="19C9A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7068" w:type="dxa"/>
            <w:gridSpan w:val="5"/>
            <w:tcBorders>
              <w:top w:val="single" w:color="FFFFFF" w:sz="4" w:space="0"/>
              <w:left w:val="single" w:color="FFFFFF" w:sz="2" w:space="0"/>
              <w:right w:val="single" w:color="000000" w:sz="2" w:space="0"/>
            </w:tcBorders>
            <w:vAlign w:val="top"/>
          </w:tcPr>
          <w:p w14:paraId="0FC2C42E">
            <w:pPr>
              <w:spacing w:before="128"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948" w:type="dxa"/>
            <w:gridSpan w:val="2"/>
            <w:tcBorders>
              <w:top w:val="single" w:color="FFFFFF" w:sz="4" w:space="0"/>
              <w:left w:val="single" w:color="000000" w:sz="2" w:space="0"/>
              <w:right w:val="single" w:color="FFFFFF" w:sz="2" w:space="0"/>
            </w:tcBorders>
            <w:vAlign w:val="top"/>
          </w:tcPr>
          <w:p w14:paraId="60FF19C0">
            <w:pPr>
              <w:spacing w:before="128"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0977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08" w:type="dxa"/>
            <w:vMerge w:val="restart"/>
            <w:tcBorders>
              <w:bottom w:val="nil"/>
            </w:tcBorders>
            <w:vAlign w:val="top"/>
          </w:tcPr>
          <w:p w14:paraId="24FC5A5E">
            <w:pPr>
              <w:pStyle w:val="6"/>
              <w:spacing w:line="359" w:lineRule="auto"/>
            </w:pPr>
          </w:p>
          <w:p w14:paraId="62BA2CC0">
            <w:pPr>
              <w:spacing w:before="58" w:line="220" w:lineRule="auto"/>
              <w:ind w:left="1092"/>
              <w:rPr>
                <w:rFonts w:ascii="宋体" w:hAnsi="宋体" w:eastAsia="宋体" w:cs="宋体"/>
                <w:sz w:val="18"/>
                <w:szCs w:val="18"/>
              </w:rPr>
            </w:pPr>
            <w:r>
              <w:rPr>
                <w:rFonts w:ascii="宋体" w:hAnsi="宋体" w:eastAsia="宋体" w:cs="宋体"/>
                <w:color w:val="212529"/>
                <w:spacing w:val="-3"/>
                <w:sz w:val="18"/>
                <w:szCs w:val="18"/>
              </w:rPr>
              <w:t>项目名称</w:t>
            </w:r>
          </w:p>
        </w:tc>
        <w:tc>
          <w:tcPr>
            <w:tcW w:w="1187" w:type="dxa"/>
            <w:vMerge w:val="restart"/>
            <w:tcBorders>
              <w:bottom w:val="nil"/>
            </w:tcBorders>
            <w:vAlign w:val="top"/>
          </w:tcPr>
          <w:p w14:paraId="4B073E4F">
            <w:pPr>
              <w:pStyle w:val="6"/>
              <w:spacing w:line="358" w:lineRule="auto"/>
            </w:pPr>
          </w:p>
          <w:p w14:paraId="7AB16627">
            <w:pPr>
              <w:spacing w:before="59" w:line="221" w:lineRule="auto"/>
              <w:ind w:left="408"/>
              <w:rPr>
                <w:rFonts w:ascii="宋体" w:hAnsi="宋体" w:eastAsia="宋体" w:cs="宋体"/>
                <w:sz w:val="18"/>
                <w:szCs w:val="18"/>
              </w:rPr>
            </w:pPr>
            <w:r>
              <w:rPr>
                <w:rFonts w:ascii="宋体" w:hAnsi="宋体" w:eastAsia="宋体" w:cs="宋体"/>
                <w:color w:val="212529"/>
                <w:spacing w:val="-5"/>
                <w:sz w:val="18"/>
                <w:szCs w:val="18"/>
              </w:rPr>
              <w:t>合计</w:t>
            </w:r>
          </w:p>
        </w:tc>
        <w:tc>
          <w:tcPr>
            <w:tcW w:w="2973" w:type="dxa"/>
            <w:gridSpan w:val="3"/>
            <w:vAlign w:val="top"/>
          </w:tcPr>
          <w:p w14:paraId="194EA5A4">
            <w:pPr>
              <w:spacing w:before="108" w:line="219" w:lineRule="auto"/>
              <w:ind w:left="855"/>
              <w:rPr>
                <w:rFonts w:ascii="宋体" w:hAnsi="宋体" w:eastAsia="宋体" w:cs="宋体"/>
                <w:sz w:val="18"/>
                <w:szCs w:val="18"/>
              </w:rPr>
            </w:pPr>
            <w:r>
              <w:rPr>
                <w:rFonts w:ascii="宋体" w:hAnsi="宋体" w:eastAsia="宋体" w:cs="宋体"/>
                <w:color w:val="212529"/>
                <w:spacing w:val="-2"/>
                <w:sz w:val="18"/>
                <w:szCs w:val="18"/>
              </w:rPr>
              <w:t>2023年财政拨款</w:t>
            </w:r>
          </w:p>
        </w:tc>
        <w:tc>
          <w:tcPr>
            <w:tcW w:w="1103" w:type="dxa"/>
            <w:vMerge w:val="restart"/>
            <w:tcBorders>
              <w:bottom w:val="nil"/>
            </w:tcBorders>
            <w:vAlign w:val="top"/>
          </w:tcPr>
          <w:p w14:paraId="57CDE18A">
            <w:pPr>
              <w:pStyle w:val="6"/>
              <w:spacing w:line="251" w:lineRule="auto"/>
            </w:pPr>
          </w:p>
          <w:p w14:paraId="53BA0964">
            <w:pPr>
              <w:spacing w:before="59" w:line="215" w:lineRule="auto"/>
              <w:ind w:left="378" w:right="10" w:hanging="367"/>
              <w:rPr>
                <w:rFonts w:ascii="宋体" w:hAnsi="宋体" w:eastAsia="宋体" w:cs="宋体"/>
                <w:sz w:val="18"/>
                <w:szCs w:val="18"/>
              </w:rPr>
            </w:pPr>
            <w:r>
              <w:rPr>
                <w:rFonts w:ascii="宋体" w:hAnsi="宋体" w:eastAsia="宋体" w:cs="宋体"/>
                <w:color w:val="212529"/>
                <w:spacing w:val="-2"/>
                <w:sz w:val="18"/>
                <w:szCs w:val="18"/>
              </w:rPr>
              <w:t>财政专户管理</w:t>
            </w:r>
            <w:r>
              <w:rPr>
                <w:rFonts w:ascii="宋体" w:hAnsi="宋体" w:eastAsia="宋体" w:cs="宋体"/>
                <w:color w:val="212529"/>
                <w:spacing w:val="2"/>
                <w:sz w:val="18"/>
                <w:szCs w:val="18"/>
              </w:rPr>
              <w:t xml:space="preserve"> </w:t>
            </w:r>
            <w:r>
              <w:rPr>
                <w:rFonts w:ascii="宋体" w:hAnsi="宋体" w:eastAsia="宋体" w:cs="宋体"/>
                <w:color w:val="212529"/>
                <w:spacing w:val="-9"/>
                <w:sz w:val="18"/>
                <w:szCs w:val="18"/>
              </w:rPr>
              <w:t>资金</w:t>
            </w:r>
          </w:p>
        </w:tc>
        <w:tc>
          <w:tcPr>
            <w:tcW w:w="845" w:type="dxa"/>
            <w:vMerge w:val="restart"/>
            <w:tcBorders>
              <w:bottom w:val="nil"/>
            </w:tcBorders>
            <w:vAlign w:val="top"/>
          </w:tcPr>
          <w:p w14:paraId="0FA4D47E">
            <w:pPr>
              <w:pStyle w:val="6"/>
              <w:spacing w:line="359" w:lineRule="auto"/>
            </w:pPr>
          </w:p>
          <w:p w14:paraId="515DF6F7">
            <w:pPr>
              <w:spacing w:before="58" w:line="220" w:lineRule="auto"/>
              <w:ind w:left="61"/>
              <w:rPr>
                <w:rFonts w:ascii="宋体" w:hAnsi="宋体" w:eastAsia="宋体" w:cs="宋体"/>
                <w:sz w:val="18"/>
                <w:szCs w:val="18"/>
              </w:rPr>
            </w:pPr>
            <w:r>
              <w:rPr>
                <w:rFonts w:ascii="宋体" w:hAnsi="宋体" w:eastAsia="宋体" w:cs="宋体"/>
                <w:color w:val="212529"/>
                <w:spacing w:val="-3"/>
                <w:sz w:val="18"/>
                <w:szCs w:val="18"/>
              </w:rPr>
              <w:t>单位资金</w:t>
            </w:r>
          </w:p>
        </w:tc>
      </w:tr>
      <w:tr w14:paraId="57564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908" w:type="dxa"/>
            <w:vMerge w:val="continue"/>
            <w:tcBorders>
              <w:top w:val="nil"/>
            </w:tcBorders>
            <w:vAlign w:val="top"/>
          </w:tcPr>
          <w:p w14:paraId="777DC178">
            <w:pPr>
              <w:pStyle w:val="6"/>
            </w:pPr>
          </w:p>
        </w:tc>
        <w:tc>
          <w:tcPr>
            <w:tcW w:w="1187" w:type="dxa"/>
            <w:vMerge w:val="continue"/>
            <w:tcBorders>
              <w:top w:val="nil"/>
            </w:tcBorders>
            <w:vAlign w:val="top"/>
          </w:tcPr>
          <w:p w14:paraId="7F93DA08">
            <w:pPr>
              <w:pStyle w:val="6"/>
            </w:pPr>
          </w:p>
        </w:tc>
        <w:tc>
          <w:tcPr>
            <w:tcW w:w="1187" w:type="dxa"/>
            <w:vAlign w:val="top"/>
          </w:tcPr>
          <w:p w14:paraId="38345644">
            <w:pPr>
              <w:spacing w:before="205" w:line="219" w:lineRule="auto"/>
              <w:ind w:left="52"/>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659" w:type="dxa"/>
            <w:vAlign w:val="top"/>
          </w:tcPr>
          <w:p w14:paraId="6F746B6B">
            <w:pPr>
              <w:spacing w:before="1" w:line="209" w:lineRule="auto"/>
              <w:ind w:left="55"/>
              <w:rPr>
                <w:rFonts w:ascii="宋体" w:hAnsi="宋体" w:eastAsia="宋体" w:cs="宋体"/>
                <w:sz w:val="18"/>
                <w:szCs w:val="18"/>
              </w:rPr>
            </w:pPr>
            <w:r>
              <w:rPr>
                <w:rFonts w:ascii="宋体" w:hAnsi="宋体" w:eastAsia="宋体" w:cs="宋体"/>
                <w:color w:val="212529"/>
                <w:spacing w:val="-3"/>
                <w:sz w:val="18"/>
                <w:szCs w:val="18"/>
              </w:rPr>
              <w:t>政府性</w:t>
            </w:r>
          </w:p>
          <w:p w14:paraId="054C07D0">
            <w:pPr>
              <w:spacing w:line="209" w:lineRule="auto"/>
              <w:ind w:left="56"/>
              <w:rPr>
                <w:rFonts w:ascii="宋体" w:hAnsi="宋体" w:eastAsia="宋体" w:cs="宋体"/>
                <w:sz w:val="18"/>
                <w:szCs w:val="18"/>
              </w:rPr>
            </w:pPr>
            <w:r>
              <w:rPr>
                <w:rFonts w:ascii="宋体" w:hAnsi="宋体" w:eastAsia="宋体" w:cs="宋体"/>
                <w:color w:val="212529"/>
                <w:spacing w:val="-3"/>
                <w:sz w:val="18"/>
                <w:szCs w:val="18"/>
              </w:rPr>
              <w:t>基金预</w:t>
            </w:r>
          </w:p>
          <w:p w14:paraId="36FA1B11">
            <w:pPr>
              <w:spacing w:line="198" w:lineRule="auto"/>
              <w:ind w:left="238"/>
              <w:rPr>
                <w:rFonts w:ascii="宋体" w:hAnsi="宋体" w:eastAsia="宋体" w:cs="宋体"/>
                <w:sz w:val="18"/>
                <w:szCs w:val="18"/>
              </w:rPr>
            </w:pPr>
            <w:r>
              <w:rPr>
                <w:rFonts w:ascii="宋体" w:hAnsi="宋体" w:eastAsia="宋体" w:cs="宋体"/>
                <w:color w:val="212529"/>
                <w:sz w:val="18"/>
                <w:szCs w:val="18"/>
              </w:rPr>
              <w:t>算</w:t>
            </w:r>
          </w:p>
        </w:tc>
        <w:tc>
          <w:tcPr>
            <w:tcW w:w="1127" w:type="dxa"/>
            <w:vAlign w:val="top"/>
          </w:tcPr>
          <w:p w14:paraId="76BE3B16">
            <w:pPr>
              <w:spacing w:before="97" w:line="214" w:lineRule="auto"/>
              <w:ind w:left="382" w:right="23" w:hanging="343"/>
              <w:rPr>
                <w:rFonts w:ascii="宋体" w:hAnsi="宋体" w:eastAsia="宋体" w:cs="宋体"/>
                <w:sz w:val="18"/>
                <w:szCs w:val="18"/>
              </w:rPr>
            </w:pPr>
            <w:r>
              <w:rPr>
                <w:rFonts w:ascii="宋体" w:hAnsi="宋体" w:eastAsia="宋体" w:cs="宋体"/>
                <w:color w:val="212529"/>
                <w:spacing w:val="-5"/>
                <w:sz w:val="18"/>
                <w:szCs w:val="18"/>
              </w:rPr>
              <w:t>国有资本经营</w:t>
            </w:r>
            <w:r>
              <w:rPr>
                <w:rFonts w:ascii="宋体" w:hAnsi="宋体" w:eastAsia="宋体" w:cs="宋体"/>
                <w:color w:val="212529"/>
                <w:spacing w:val="3"/>
                <w:sz w:val="18"/>
                <w:szCs w:val="18"/>
              </w:rPr>
              <w:t xml:space="preserve"> </w:t>
            </w:r>
            <w:r>
              <w:rPr>
                <w:rFonts w:ascii="宋体" w:hAnsi="宋体" w:eastAsia="宋体" w:cs="宋体"/>
                <w:color w:val="212529"/>
                <w:spacing w:val="-5"/>
                <w:sz w:val="18"/>
                <w:szCs w:val="18"/>
              </w:rPr>
              <w:t>预算</w:t>
            </w:r>
          </w:p>
        </w:tc>
        <w:tc>
          <w:tcPr>
            <w:tcW w:w="1103" w:type="dxa"/>
            <w:vMerge w:val="continue"/>
            <w:tcBorders>
              <w:top w:val="nil"/>
            </w:tcBorders>
            <w:vAlign w:val="top"/>
          </w:tcPr>
          <w:p w14:paraId="24BCBC7F">
            <w:pPr>
              <w:pStyle w:val="6"/>
            </w:pPr>
          </w:p>
        </w:tc>
        <w:tc>
          <w:tcPr>
            <w:tcW w:w="845" w:type="dxa"/>
            <w:vMerge w:val="continue"/>
            <w:tcBorders>
              <w:top w:val="nil"/>
            </w:tcBorders>
            <w:vAlign w:val="top"/>
          </w:tcPr>
          <w:p w14:paraId="1CC26619">
            <w:pPr>
              <w:pStyle w:val="6"/>
            </w:pPr>
          </w:p>
        </w:tc>
      </w:tr>
      <w:tr w14:paraId="1080B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08" w:type="dxa"/>
            <w:vAlign w:val="top"/>
          </w:tcPr>
          <w:p w14:paraId="3AEF2709">
            <w:pPr>
              <w:spacing w:before="137" w:line="184" w:lineRule="auto"/>
              <w:ind w:left="1420"/>
              <w:rPr>
                <w:rFonts w:ascii="宋体" w:hAnsi="宋体" w:eastAsia="宋体" w:cs="宋体"/>
                <w:sz w:val="18"/>
                <w:szCs w:val="18"/>
              </w:rPr>
            </w:pPr>
            <w:r>
              <w:rPr>
                <w:rFonts w:ascii="宋体" w:hAnsi="宋体" w:eastAsia="宋体" w:cs="宋体"/>
                <w:color w:val="212529"/>
                <w:sz w:val="18"/>
                <w:szCs w:val="18"/>
              </w:rPr>
              <w:t>1</w:t>
            </w:r>
          </w:p>
        </w:tc>
        <w:tc>
          <w:tcPr>
            <w:tcW w:w="1187" w:type="dxa"/>
            <w:vAlign w:val="top"/>
          </w:tcPr>
          <w:p w14:paraId="600D2977">
            <w:pPr>
              <w:spacing w:before="138" w:line="183" w:lineRule="auto"/>
              <w:ind w:left="548"/>
              <w:rPr>
                <w:rFonts w:ascii="宋体" w:hAnsi="宋体" w:eastAsia="宋体" w:cs="宋体"/>
                <w:sz w:val="18"/>
                <w:szCs w:val="18"/>
              </w:rPr>
            </w:pPr>
            <w:r>
              <w:rPr>
                <w:rFonts w:ascii="宋体" w:hAnsi="宋体" w:eastAsia="宋体" w:cs="宋体"/>
                <w:color w:val="212529"/>
                <w:sz w:val="18"/>
                <w:szCs w:val="18"/>
              </w:rPr>
              <w:t>2</w:t>
            </w:r>
          </w:p>
        </w:tc>
        <w:tc>
          <w:tcPr>
            <w:tcW w:w="1187" w:type="dxa"/>
            <w:vAlign w:val="top"/>
          </w:tcPr>
          <w:p w14:paraId="1C49C330">
            <w:pPr>
              <w:spacing w:before="138" w:line="183" w:lineRule="auto"/>
              <w:ind w:left="550"/>
              <w:rPr>
                <w:rFonts w:ascii="宋体" w:hAnsi="宋体" w:eastAsia="宋体" w:cs="宋体"/>
                <w:sz w:val="18"/>
                <w:szCs w:val="18"/>
              </w:rPr>
            </w:pPr>
            <w:r>
              <w:rPr>
                <w:rFonts w:ascii="宋体" w:hAnsi="宋体" w:eastAsia="宋体" w:cs="宋体"/>
                <w:color w:val="212529"/>
                <w:sz w:val="18"/>
                <w:szCs w:val="18"/>
              </w:rPr>
              <w:t>3</w:t>
            </w:r>
          </w:p>
        </w:tc>
        <w:tc>
          <w:tcPr>
            <w:tcW w:w="659" w:type="dxa"/>
            <w:vAlign w:val="top"/>
          </w:tcPr>
          <w:p w14:paraId="49A2CEA0">
            <w:pPr>
              <w:spacing w:before="138" w:line="183" w:lineRule="auto"/>
              <w:ind w:left="283"/>
              <w:rPr>
                <w:rFonts w:ascii="宋体" w:hAnsi="宋体" w:eastAsia="宋体" w:cs="宋体"/>
                <w:sz w:val="18"/>
                <w:szCs w:val="18"/>
              </w:rPr>
            </w:pPr>
            <w:r>
              <w:rPr>
                <w:rFonts w:ascii="宋体" w:hAnsi="宋体" w:eastAsia="宋体" w:cs="宋体"/>
                <w:color w:val="212529"/>
                <w:sz w:val="18"/>
                <w:szCs w:val="18"/>
              </w:rPr>
              <w:t>4</w:t>
            </w:r>
          </w:p>
        </w:tc>
        <w:tc>
          <w:tcPr>
            <w:tcW w:w="1127" w:type="dxa"/>
            <w:vAlign w:val="top"/>
          </w:tcPr>
          <w:p w14:paraId="50D3B49F">
            <w:pPr>
              <w:spacing w:before="139" w:line="182" w:lineRule="auto"/>
              <w:ind w:left="523"/>
              <w:rPr>
                <w:rFonts w:ascii="宋体" w:hAnsi="宋体" w:eastAsia="宋体" w:cs="宋体"/>
                <w:sz w:val="18"/>
                <w:szCs w:val="18"/>
              </w:rPr>
            </w:pPr>
            <w:r>
              <w:rPr>
                <w:rFonts w:ascii="宋体" w:hAnsi="宋体" w:eastAsia="宋体" w:cs="宋体"/>
                <w:color w:val="212529"/>
                <w:sz w:val="18"/>
                <w:szCs w:val="18"/>
              </w:rPr>
              <w:t>5</w:t>
            </w:r>
          </w:p>
        </w:tc>
        <w:tc>
          <w:tcPr>
            <w:tcW w:w="1103" w:type="dxa"/>
            <w:vAlign w:val="top"/>
          </w:tcPr>
          <w:p w14:paraId="46DCDB8E">
            <w:pPr>
              <w:spacing w:before="138" w:line="183" w:lineRule="auto"/>
              <w:ind w:left="510"/>
              <w:rPr>
                <w:rFonts w:ascii="宋体" w:hAnsi="宋体" w:eastAsia="宋体" w:cs="宋体"/>
                <w:sz w:val="18"/>
                <w:szCs w:val="18"/>
              </w:rPr>
            </w:pPr>
            <w:r>
              <w:rPr>
                <w:rFonts w:ascii="宋体" w:hAnsi="宋体" w:eastAsia="宋体" w:cs="宋体"/>
                <w:color w:val="212529"/>
                <w:sz w:val="18"/>
                <w:szCs w:val="18"/>
              </w:rPr>
              <w:t>6</w:t>
            </w:r>
          </w:p>
        </w:tc>
        <w:tc>
          <w:tcPr>
            <w:tcW w:w="845" w:type="dxa"/>
            <w:vAlign w:val="top"/>
          </w:tcPr>
          <w:p w14:paraId="0F15D0AC">
            <w:pPr>
              <w:spacing w:before="139" w:line="182" w:lineRule="auto"/>
              <w:ind w:left="382"/>
              <w:rPr>
                <w:rFonts w:ascii="宋体" w:hAnsi="宋体" w:eastAsia="宋体" w:cs="宋体"/>
                <w:sz w:val="18"/>
                <w:szCs w:val="18"/>
              </w:rPr>
            </w:pPr>
            <w:r>
              <w:rPr>
                <w:rFonts w:ascii="宋体" w:hAnsi="宋体" w:eastAsia="宋体" w:cs="宋体"/>
                <w:color w:val="212529"/>
                <w:sz w:val="18"/>
                <w:szCs w:val="18"/>
              </w:rPr>
              <w:t>7</w:t>
            </w:r>
          </w:p>
        </w:tc>
      </w:tr>
      <w:tr w14:paraId="38B24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08" w:type="dxa"/>
            <w:vAlign w:val="top"/>
          </w:tcPr>
          <w:p w14:paraId="2DD08973">
            <w:pPr>
              <w:spacing w:before="110" w:line="219" w:lineRule="auto"/>
              <w:ind w:left="193"/>
              <w:rPr>
                <w:rFonts w:ascii="宋体" w:hAnsi="宋体" w:eastAsia="宋体" w:cs="宋体"/>
                <w:sz w:val="18"/>
                <w:szCs w:val="18"/>
              </w:rPr>
            </w:pPr>
            <w:r>
              <w:rPr>
                <w:rFonts w:ascii="宋体" w:hAnsi="宋体" w:eastAsia="宋体" w:cs="宋体"/>
                <w:color w:val="212529"/>
                <w:spacing w:val="-2"/>
                <w:sz w:val="18"/>
                <w:szCs w:val="18"/>
              </w:rPr>
              <w:t>古县行政审批服务管理局</w:t>
            </w:r>
          </w:p>
        </w:tc>
        <w:tc>
          <w:tcPr>
            <w:tcW w:w="1187" w:type="dxa"/>
            <w:vAlign w:val="top"/>
          </w:tcPr>
          <w:p w14:paraId="07B08189">
            <w:pPr>
              <w:spacing w:before="138"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76.49</w:t>
            </w:r>
          </w:p>
        </w:tc>
        <w:tc>
          <w:tcPr>
            <w:tcW w:w="1187" w:type="dxa"/>
            <w:vAlign w:val="top"/>
          </w:tcPr>
          <w:p w14:paraId="7177E414">
            <w:pPr>
              <w:spacing w:before="138" w:line="183" w:lineRule="auto"/>
              <w:ind w:right="7"/>
              <w:jc w:val="right"/>
              <w:rPr>
                <w:rFonts w:ascii="宋体" w:hAnsi="宋体" w:eastAsia="宋体" w:cs="宋体"/>
                <w:sz w:val="18"/>
                <w:szCs w:val="18"/>
              </w:rPr>
            </w:pPr>
            <w:r>
              <w:rPr>
                <w:rFonts w:ascii="宋体" w:hAnsi="宋体" w:eastAsia="宋体" w:cs="宋体"/>
                <w:color w:val="212529"/>
                <w:spacing w:val="-3"/>
                <w:sz w:val="18"/>
                <w:szCs w:val="18"/>
              </w:rPr>
              <w:t>76.49</w:t>
            </w:r>
          </w:p>
        </w:tc>
        <w:tc>
          <w:tcPr>
            <w:tcW w:w="659" w:type="dxa"/>
            <w:vAlign w:val="top"/>
          </w:tcPr>
          <w:p w14:paraId="3B2FA4DF">
            <w:pPr>
              <w:pStyle w:val="6"/>
            </w:pPr>
          </w:p>
        </w:tc>
        <w:tc>
          <w:tcPr>
            <w:tcW w:w="1127" w:type="dxa"/>
            <w:vAlign w:val="top"/>
          </w:tcPr>
          <w:p w14:paraId="18137052">
            <w:pPr>
              <w:pStyle w:val="6"/>
            </w:pPr>
          </w:p>
        </w:tc>
        <w:tc>
          <w:tcPr>
            <w:tcW w:w="1103" w:type="dxa"/>
            <w:vAlign w:val="top"/>
          </w:tcPr>
          <w:p w14:paraId="355D903E">
            <w:pPr>
              <w:pStyle w:val="6"/>
            </w:pPr>
          </w:p>
        </w:tc>
        <w:tc>
          <w:tcPr>
            <w:tcW w:w="845" w:type="dxa"/>
            <w:vAlign w:val="top"/>
          </w:tcPr>
          <w:p w14:paraId="0F8F0F97">
            <w:pPr>
              <w:pStyle w:val="6"/>
            </w:pPr>
          </w:p>
        </w:tc>
      </w:tr>
      <w:tr w14:paraId="75FB0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08" w:type="dxa"/>
            <w:vAlign w:val="top"/>
          </w:tcPr>
          <w:p w14:paraId="160687BB">
            <w:pPr>
              <w:spacing w:before="111" w:line="220" w:lineRule="auto"/>
              <w:ind w:left="372"/>
              <w:rPr>
                <w:rFonts w:ascii="宋体" w:hAnsi="宋体" w:eastAsia="宋体" w:cs="宋体"/>
                <w:sz w:val="18"/>
                <w:szCs w:val="18"/>
              </w:rPr>
            </w:pPr>
            <w:r>
              <w:rPr>
                <w:rFonts w:ascii="宋体" w:hAnsi="宋体" w:eastAsia="宋体" w:cs="宋体"/>
                <w:color w:val="212529"/>
                <w:spacing w:val="-2"/>
                <w:sz w:val="18"/>
                <w:szCs w:val="18"/>
              </w:rPr>
              <w:t>行政审批局专家评审费</w:t>
            </w:r>
          </w:p>
        </w:tc>
        <w:tc>
          <w:tcPr>
            <w:tcW w:w="1187" w:type="dxa"/>
            <w:vAlign w:val="top"/>
          </w:tcPr>
          <w:p w14:paraId="1D53AEB0">
            <w:pPr>
              <w:spacing w:before="138" w:line="184" w:lineRule="auto"/>
              <w:ind w:right="8"/>
              <w:jc w:val="right"/>
              <w:rPr>
                <w:rFonts w:ascii="宋体" w:hAnsi="宋体" w:eastAsia="宋体" w:cs="宋体"/>
                <w:sz w:val="18"/>
                <w:szCs w:val="18"/>
              </w:rPr>
            </w:pPr>
            <w:r>
              <w:rPr>
                <w:rFonts w:ascii="宋体" w:hAnsi="宋体" w:eastAsia="宋体" w:cs="宋体"/>
                <w:color w:val="212529"/>
                <w:spacing w:val="-5"/>
                <w:sz w:val="18"/>
                <w:szCs w:val="18"/>
              </w:rPr>
              <w:t>10.00</w:t>
            </w:r>
          </w:p>
        </w:tc>
        <w:tc>
          <w:tcPr>
            <w:tcW w:w="1187" w:type="dxa"/>
            <w:vAlign w:val="top"/>
          </w:tcPr>
          <w:p w14:paraId="3E75B1C0">
            <w:pPr>
              <w:spacing w:before="138" w:line="184" w:lineRule="auto"/>
              <w:ind w:right="7"/>
              <w:jc w:val="right"/>
              <w:rPr>
                <w:rFonts w:ascii="宋体" w:hAnsi="宋体" w:eastAsia="宋体" w:cs="宋体"/>
                <w:sz w:val="18"/>
                <w:szCs w:val="18"/>
              </w:rPr>
            </w:pPr>
            <w:r>
              <w:rPr>
                <w:rFonts w:ascii="宋体" w:hAnsi="宋体" w:eastAsia="宋体" w:cs="宋体"/>
                <w:color w:val="212529"/>
                <w:spacing w:val="-5"/>
                <w:sz w:val="18"/>
                <w:szCs w:val="18"/>
              </w:rPr>
              <w:t>10.00</w:t>
            </w:r>
          </w:p>
        </w:tc>
        <w:tc>
          <w:tcPr>
            <w:tcW w:w="659" w:type="dxa"/>
            <w:vAlign w:val="top"/>
          </w:tcPr>
          <w:p w14:paraId="04EA60F8">
            <w:pPr>
              <w:pStyle w:val="6"/>
            </w:pPr>
          </w:p>
        </w:tc>
        <w:tc>
          <w:tcPr>
            <w:tcW w:w="1127" w:type="dxa"/>
            <w:vAlign w:val="top"/>
          </w:tcPr>
          <w:p w14:paraId="04DCED84">
            <w:pPr>
              <w:pStyle w:val="6"/>
            </w:pPr>
          </w:p>
        </w:tc>
        <w:tc>
          <w:tcPr>
            <w:tcW w:w="1103" w:type="dxa"/>
            <w:vAlign w:val="top"/>
          </w:tcPr>
          <w:p w14:paraId="39765AEB">
            <w:pPr>
              <w:pStyle w:val="6"/>
            </w:pPr>
          </w:p>
        </w:tc>
        <w:tc>
          <w:tcPr>
            <w:tcW w:w="845" w:type="dxa"/>
            <w:vAlign w:val="top"/>
          </w:tcPr>
          <w:p w14:paraId="0FE6FC89">
            <w:pPr>
              <w:pStyle w:val="6"/>
            </w:pPr>
          </w:p>
        </w:tc>
      </w:tr>
      <w:tr w14:paraId="1BC9A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08" w:type="dxa"/>
            <w:vAlign w:val="top"/>
          </w:tcPr>
          <w:p w14:paraId="36D155F1">
            <w:pPr>
              <w:spacing w:before="3" w:line="209" w:lineRule="auto"/>
              <w:ind w:left="10" w:right="16" w:firstLine="361"/>
              <w:rPr>
                <w:rFonts w:ascii="宋体" w:hAnsi="宋体" w:eastAsia="宋体" w:cs="宋体"/>
                <w:sz w:val="18"/>
                <w:szCs w:val="18"/>
              </w:rPr>
            </w:pPr>
            <w:r>
              <w:rPr>
                <w:rFonts w:ascii="宋体" w:hAnsi="宋体" w:eastAsia="宋体" w:cs="宋体"/>
                <w:color w:val="212529"/>
                <w:spacing w:val="-1"/>
                <w:sz w:val="18"/>
                <w:szCs w:val="18"/>
              </w:rPr>
              <w:t>行政审批局开办企业刻制印章业</w:t>
            </w:r>
            <w:r>
              <w:rPr>
                <w:rFonts w:ascii="宋体" w:hAnsi="宋体" w:eastAsia="宋体" w:cs="宋体"/>
                <w:color w:val="212529"/>
                <w:spacing w:val="2"/>
                <w:sz w:val="18"/>
                <w:szCs w:val="18"/>
              </w:rPr>
              <w:t xml:space="preserve"> </w:t>
            </w:r>
            <w:r>
              <w:rPr>
                <w:rFonts w:ascii="宋体" w:hAnsi="宋体" w:eastAsia="宋体" w:cs="宋体"/>
                <w:color w:val="212529"/>
                <w:sz w:val="18"/>
                <w:szCs w:val="18"/>
              </w:rPr>
              <w:t>务</w:t>
            </w:r>
          </w:p>
        </w:tc>
        <w:tc>
          <w:tcPr>
            <w:tcW w:w="1187" w:type="dxa"/>
            <w:vAlign w:val="top"/>
          </w:tcPr>
          <w:p w14:paraId="0ACDC6A5">
            <w:pPr>
              <w:spacing w:before="138" w:line="184" w:lineRule="auto"/>
              <w:ind w:right="8"/>
              <w:jc w:val="right"/>
              <w:rPr>
                <w:rFonts w:ascii="宋体" w:hAnsi="宋体" w:eastAsia="宋体" w:cs="宋体"/>
                <w:sz w:val="18"/>
                <w:szCs w:val="18"/>
              </w:rPr>
            </w:pPr>
            <w:r>
              <w:rPr>
                <w:rFonts w:ascii="宋体" w:hAnsi="宋体" w:eastAsia="宋体" w:cs="宋体"/>
                <w:color w:val="212529"/>
                <w:spacing w:val="-5"/>
                <w:sz w:val="18"/>
                <w:szCs w:val="18"/>
              </w:rPr>
              <w:t>10.00</w:t>
            </w:r>
          </w:p>
        </w:tc>
        <w:tc>
          <w:tcPr>
            <w:tcW w:w="1187" w:type="dxa"/>
            <w:vAlign w:val="top"/>
          </w:tcPr>
          <w:p w14:paraId="4735FF60">
            <w:pPr>
              <w:spacing w:before="138" w:line="184" w:lineRule="auto"/>
              <w:ind w:right="7"/>
              <w:jc w:val="right"/>
              <w:rPr>
                <w:rFonts w:ascii="宋体" w:hAnsi="宋体" w:eastAsia="宋体" w:cs="宋体"/>
                <w:sz w:val="18"/>
                <w:szCs w:val="18"/>
              </w:rPr>
            </w:pPr>
            <w:r>
              <w:rPr>
                <w:rFonts w:ascii="宋体" w:hAnsi="宋体" w:eastAsia="宋体" w:cs="宋体"/>
                <w:color w:val="212529"/>
                <w:spacing w:val="-5"/>
                <w:sz w:val="18"/>
                <w:szCs w:val="18"/>
              </w:rPr>
              <w:t>10.00</w:t>
            </w:r>
          </w:p>
        </w:tc>
        <w:tc>
          <w:tcPr>
            <w:tcW w:w="659" w:type="dxa"/>
            <w:vAlign w:val="top"/>
          </w:tcPr>
          <w:p w14:paraId="11171833">
            <w:pPr>
              <w:pStyle w:val="6"/>
            </w:pPr>
          </w:p>
        </w:tc>
        <w:tc>
          <w:tcPr>
            <w:tcW w:w="1127" w:type="dxa"/>
            <w:vAlign w:val="top"/>
          </w:tcPr>
          <w:p w14:paraId="6881E9F9">
            <w:pPr>
              <w:pStyle w:val="6"/>
            </w:pPr>
          </w:p>
        </w:tc>
        <w:tc>
          <w:tcPr>
            <w:tcW w:w="1103" w:type="dxa"/>
            <w:vAlign w:val="top"/>
          </w:tcPr>
          <w:p w14:paraId="7594A4BD">
            <w:pPr>
              <w:pStyle w:val="6"/>
            </w:pPr>
          </w:p>
        </w:tc>
        <w:tc>
          <w:tcPr>
            <w:tcW w:w="845" w:type="dxa"/>
            <w:vAlign w:val="top"/>
          </w:tcPr>
          <w:p w14:paraId="631A2747">
            <w:pPr>
              <w:pStyle w:val="6"/>
            </w:pPr>
          </w:p>
        </w:tc>
      </w:tr>
      <w:tr w14:paraId="1A161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08" w:type="dxa"/>
            <w:vAlign w:val="top"/>
          </w:tcPr>
          <w:p w14:paraId="5DE71B3D">
            <w:pPr>
              <w:spacing w:before="112" w:line="219" w:lineRule="auto"/>
              <w:ind w:left="372"/>
              <w:rPr>
                <w:rFonts w:ascii="宋体" w:hAnsi="宋体" w:eastAsia="宋体" w:cs="宋体"/>
                <w:sz w:val="18"/>
                <w:szCs w:val="18"/>
              </w:rPr>
            </w:pPr>
            <w:r>
              <w:rPr>
                <w:rFonts w:ascii="宋体" w:hAnsi="宋体" w:eastAsia="宋体" w:cs="宋体"/>
                <w:color w:val="212529"/>
                <w:spacing w:val="-2"/>
                <w:sz w:val="18"/>
                <w:szCs w:val="18"/>
              </w:rPr>
              <w:t>行政审批局业务费</w:t>
            </w:r>
          </w:p>
        </w:tc>
        <w:tc>
          <w:tcPr>
            <w:tcW w:w="1187" w:type="dxa"/>
            <w:vAlign w:val="top"/>
          </w:tcPr>
          <w:p w14:paraId="247CB1D1">
            <w:pPr>
              <w:spacing w:before="141"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39.00</w:t>
            </w:r>
          </w:p>
        </w:tc>
        <w:tc>
          <w:tcPr>
            <w:tcW w:w="1187" w:type="dxa"/>
            <w:vAlign w:val="top"/>
          </w:tcPr>
          <w:p w14:paraId="543E941B">
            <w:pPr>
              <w:spacing w:before="141" w:line="183" w:lineRule="auto"/>
              <w:ind w:right="7"/>
              <w:jc w:val="right"/>
              <w:rPr>
                <w:rFonts w:ascii="宋体" w:hAnsi="宋体" w:eastAsia="宋体" w:cs="宋体"/>
                <w:sz w:val="18"/>
                <w:szCs w:val="18"/>
              </w:rPr>
            </w:pPr>
            <w:r>
              <w:rPr>
                <w:rFonts w:ascii="宋体" w:hAnsi="宋体" w:eastAsia="宋体" w:cs="宋体"/>
                <w:color w:val="212529"/>
                <w:spacing w:val="-3"/>
                <w:sz w:val="18"/>
                <w:szCs w:val="18"/>
              </w:rPr>
              <w:t>39.00</w:t>
            </w:r>
          </w:p>
        </w:tc>
        <w:tc>
          <w:tcPr>
            <w:tcW w:w="659" w:type="dxa"/>
            <w:vAlign w:val="top"/>
          </w:tcPr>
          <w:p w14:paraId="658361A0">
            <w:pPr>
              <w:pStyle w:val="6"/>
            </w:pPr>
          </w:p>
        </w:tc>
        <w:tc>
          <w:tcPr>
            <w:tcW w:w="1127" w:type="dxa"/>
            <w:vAlign w:val="top"/>
          </w:tcPr>
          <w:p w14:paraId="0126EBAB">
            <w:pPr>
              <w:pStyle w:val="6"/>
            </w:pPr>
          </w:p>
        </w:tc>
        <w:tc>
          <w:tcPr>
            <w:tcW w:w="1103" w:type="dxa"/>
            <w:vAlign w:val="top"/>
          </w:tcPr>
          <w:p w14:paraId="02680496">
            <w:pPr>
              <w:pStyle w:val="6"/>
            </w:pPr>
          </w:p>
        </w:tc>
        <w:tc>
          <w:tcPr>
            <w:tcW w:w="845" w:type="dxa"/>
            <w:vAlign w:val="top"/>
          </w:tcPr>
          <w:p w14:paraId="617E9B1B">
            <w:pPr>
              <w:pStyle w:val="6"/>
            </w:pPr>
          </w:p>
        </w:tc>
      </w:tr>
      <w:tr w14:paraId="388AB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08" w:type="dxa"/>
            <w:vAlign w:val="top"/>
          </w:tcPr>
          <w:p w14:paraId="3EC17EEB">
            <w:pPr>
              <w:spacing w:before="5" w:line="208" w:lineRule="auto"/>
              <w:ind w:left="9" w:right="16" w:firstLine="362"/>
              <w:rPr>
                <w:rFonts w:ascii="宋体" w:hAnsi="宋体" w:eastAsia="宋体" w:cs="宋体"/>
                <w:sz w:val="18"/>
                <w:szCs w:val="18"/>
              </w:rPr>
            </w:pPr>
            <w:r>
              <w:rPr>
                <w:rFonts w:ascii="宋体" w:hAnsi="宋体" w:eastAsia="宋体" w:cs="宋体"/>
                <w:color w:val="212529"/>
                <w:spacing w:val="-1"/>
                <w:sz w:val="18"/>
                <w:szCs w:val="18"/>
              </w:rPr>
              <w:t>行政审批局机房网络安全运行维</w:t>
            </w:r>
            <w:r>
              <w:rPr>
                <w:rFonts w:ascii="宋体" w:hAnsi="宋体" w:eastAsia="宋体" w:cs="宋体"/>
                <w:color w:val="212529"/>
                <w:spacing w:val="2"/>
                <w:sz w:val="18"/>
                <w:szCs w:val="18"/>
              </w:rPr>
              <w:t xml:space="preserve"> </w:t>
            </w:r>
            <w:r>
              <w:rPr>
                <w:rFonts w:ascii="宋体" w:hAnsi="宋体" w:eastAsia="宋体" w:cs="宋体"/>
                <w:color w:val="212529"/>
                <w:spacing w:val="-5"/>
                <w:sz w:val="18"/>
                <w:szCs w:val="18"/>
              </w:rPr>
              <w:t>护费</w:t>
            </w:r>
          </w:p>
        </w:tc>
        <w:tc>
          <w:tcPr>
            <w:tcW w:w="1187" w:type="dxa"/>
            <w:vAlign w:val="top"/>
          </w:tcPr>
          <w:p w14:paraId="792BDA79">
            <w:pPr>
              <w:spacing w:before="141"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5.00</w:t>
            </w:r>
          </w:p>
        </w:tc>
        <w:tc>
          <w:tcPr>
            <w:tcW w:w="1187" w:type="dxa"/>
            <w:vAlign w:val="top"/>
          </w:tcPr>
          <w:p w14:paraId="1CE2ED55">
            <w:pPr>
              <w:spacing w:before="141" w:line="183" w:lineRule="auto"/>
              <w:ind w:right="1"/>
              <w:jc w:val="right"/>
              <w:rPr>
                <w:rFonts w:ascii="宋体" w:hAnsi="宋体" w:eastAsia="宋体" w:cs="宋体"/>
                <w:sz w:val="18"/>
                <w:szCs w:val="18"/>
              </w:rPr>
            </w:pPr>
            <w:r>
              <w:rPr>
                <w:rFonts w:ascii="宋体" w:hAnsi="宋体" w:eastAsia="宋体" w:cs="宋体"/>
                <w:color w:val="212529"/>
                <w:spacing w:val="-3"/>
                <w:sz w:val="18"/>
                <w:szCs w:val="18"/>
              </w:rPr>
              <w:t>5.00</w:t>
            </w:r>
          </w:p>
        </w:tc>
        <w:tc>
          <w:tcPr>
            <w:tcW w:w="659" w:type="dxa"/>
            <w:vAlign w:val="top"/>
          </w:tcPr>
          <w:p w14:paraId="28F68069">
            <w:pPr>
              <w:pStyle w:val="6"/>
            </w:pPr>
          </w:p>
        </w:tc>
        <w:tc>
          <w:tcPr>
            <w:tcW w:w="1127" w:type="dxa"/>
            <w:vAlign w:val="top"/>
          </w:tcPr>
          <w:p w14:paraId="24FA082D">
            <w:pPr>
              <w:pStyle w:val="6"/>
            </w:pPr>
          </w:p>
        </w:tc>
        <w:tc>
          <w:tcPr>
            <w:tcW w:w="1103" w:type="dxa"/>
            <w:vAlign w:val="top"/>
          </w:tcPr>
          <w:p w14:paraId="0D79CD28">
            <w:pPr>
              <w:pStyle w:val="6"/>
            </w:pPr>
          </w:p>
        </w:tc>
        <w:tc>
          <w:tcPr>
            <w:tcW w:w="845" w:type="dxa"/>
            <w:vAlign w:val="top"/>
          </w:tcPr>
          <w:p w14:paraId="362ECFCD">
            <w:pPr>
              <w:pStyle w:val="6"/>
            </w:pPr>
          </w:p>
        </w:tc>
      </w:tr>
      <w:tr w14:paraId="3DB9B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08" w:type="dxa"/>
            <w:vAlign w:val="top"/>
          </w:tcPr>
          <w:p w14:paraId="2F4DF934">
            <w:pPr>
              <w:spacing w:before="114" w:line="219" w:lineRule="auto"/>
              <w:ind w:left="371"/>
              <w:rPr>
                <w:rFonts w:ascii="宋体" w:hAnsi="宋体" w:eastAsia="宋体" w:cs="宋体"/>
                <w:sz w:val="18"/>
                <w:szCs w:val="18"/>
              </w:rPr>
            </w:pPr>
            <w:r>
              <w:rPr>
                <w:rFonts w:ascii="宋体" w:hAnsi="宋体" w:eastAsia="宋体" w:cs="宋体"/>
                <w:color w:val="212529"/>
                <w:spacing w:val="-1"/>
                <w:sz w:val="18"/>
                <w:szCs w:val="18"/>
              </w:rPr>
              <w:t>2023年党报党刊征订</w:t>
            </w:r>
          </w:p>
        </w:tc>
        <w:tc>
          <w:tcPr>
            <w:tcW w:w="1187" w:type="dxa"/>
            <w:vAlign w:val="top"/>
          </w:tcPr>
          <w:p w14:paraId="749FF968">
            <w:pPr>
              <w:spacing w:before="142"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0.49</w:t>
            </w:r>
          </w:p>
        </w:tc>
        <w:tc>
          <w:tcPr>
            <w:tcW w:w="1187" w:type="dxa"/>
            <w:vAlign w:val="top"/>
          </w:tcPr>
          <w:p w14:paraId="6A723EFC">
            <w:pPr>
              <w:spacing w:before="142" w:line="183" w:lineRule="auto"/>
              <w:ind w:right="1"/>
              <w:jc w:val="right"/>
              <w:rPr>
                <w:rFonts w:ascii="宋体" w:hAnsi="宋体" w:eastAsia="宋体" w:cs="宋体"/>
                <w:sz w:val="18"/>
                <w:szCs w:val="18"/>
              </w:rPr>
            </w:pPr>
            <w:r>
              <w:rPr>
                <w:rFonts w:ascii="宋体" w:hAnsi="宋体" w:eastAsia="宋体" w:cs="宋体"/>
                <w:color w:val="212529"/>
                <w:spacing w:val="-3"/>
                <w:sz w:val="18"/>
                <w:szCs w:val="18"/>
              </w:rPr>
              <w:t>0.49</w:t>
            </w:r>
          </w:p>
        </w:tc>
        <w:tc>
          <w:tcPr>
            <w:tcW w:w="659" w:type="dxa"/>
            <w:vAlign w:val="top"/>
          </w:tcPr>
          <w:p w14:paraId="771376B4">
            <w:pPr>
              <w:pStyle w:val="6"/>
            </w:pPr>
          </w:p>
        </w:tc>
        <w:tc>
          <w:tcPr>
            <w:tcW w:w="1127" w:type="dxa"/>
            <w:vAlign w:val="top"/>
          </w:tcPr>
          <w:p w14:paraId="54A4C775">
            <w:pPr>
              <w:pStyle w:val="6"/>
            </w:pPr>
          </w:p>
        </w:tc>
        <w:tc>
          <w:tcPr>
            <w:tcW w:w="1103" w:type="dxa"/>
            <w:vAlign w:val="top"/>
          </w:tcPr>
          <w:p w14:paraId="2F3AD4C6">
            <w:pPr>
              <w:pStyle w:val="6"/>
            </w:pPr>
          </w:p>
        </w:tc>
        <w:tc>
          <w:tcPr>
            <w:tcW w:w="845" w:type="dxa"/>
            <w:vAlign w:val="top"/>
          </w:tcPr>
          <w:p w14:paraId="4B83AB00">
            <w:pPr>
              <w:pStyle w:val="6"/>
            </w:pPr>
          </w:p>
        </w:tc>
      </w:tr>
      <w:tr w14:paraId="34463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908" w:type="dxa"/>
            <w:vAlign w:val="top"/>
          </w:tcPr>
          <w:p w14:paraId="39A2AC08">
            <w:pPr>
              <w:spacing w:before="115" w:line="219" w:lineRule="auto"/>
              <w:ind w:left="373"/>
              <w:rPr>
                <w:rFonts w:ascii="宋体" w:hAnsi="宋体" w:eastAsia="宋体" w:cs="宋体"/>
                <w:sz w:val="18"/>
                <w:szCs w:val="18"/>
              </w:rPr>
            </w:pPr>
            <w:r>
              <w:rPr>
                <w:rFonts w:ascii="宋体" w:hAnsi="宋体" w:eastAsia="宋体" w:cs="宋体"/>
                <w:color w:val="212529"/>
                <w:spacing w:val="-3"/>
                <w:sz w:val="18"/>
                <w:szCs w:val="18"/>
              </w:rPr>
              <w:t>劳务派遣经费</w:t>
            </w:r>
          </w:p>
        </w:tc>
        <w:tc>
          <w:tcPr>
            <w:tcW w:w="1187" w:type="dxa"/>
            <w:vAlign w:val="top"/>
          </w:tcPr>
          <w:p w14:paraId="7514F2A6">
            <w:pPr>
              <w:spacing w:before="142" w:line="184" w:lineRule="auto"/>
              <w:ind w:right="8"/>
              <w:jc w:val="right"/>
              <w:rPr>
                <w:rFonts w:ascii="宋体" w:hAnsi="宋体" w:eastAsia="宋体" w:cs="宋体"/>
                <w:sz w:val="18"/>
                <w:szCs w:val="18"/>
              </w:rPr>
            </w:pPr>
            <w:r>
              <w:rPr>
                <w:rFonts w:ascii="宋体" w:hAnsi="宋体" w:eastAsia="宋体" w:cs="宋体"/>
                <w:color w:val="212529"/>
                <w:spacing w:val="-5"/>
                <w:sz w:val="18"/>
                <w:szCs w:val="18"/>
              </w:rPr>
              <w:t>12.00</w:t>
            </w:r>
          </w:p>
        </w:tc>
        <w:tc>
          <w:tcPr>
            <w:tcW w:w="1187" w:type="dxa"/>
            <w:vAlign w:val="top"/>
          </w:tcPr>
          <w:p w14:paraId="49F4BEB5">
            <w:pPr>
              <w:spacing w:before="142" w:line="184" w:lineRule="auto"/>
              <w:ind w:right="7"/>
              <w:jc w:val="right"/>
              <w:rPr>
                <w:rFonts w:ascii="宋体" w:hAnsi="宋体" w:eastAsia="宋体" w:cs="宋体"/>
                <w:sz w:val="18"/>
                <w:szCs w:val="18"/>
              </w:rPr>
            </w:pPr>
            <w:r>
              <w:rPr>
                <w:rFonts w:ascii="宋体" w:hAnsi="宋体" w:eastAsia="宋体" w:cs="宋体"/>
                <w:color w:val="212529"/>
                <w:spacing w:val="-5"/>
                <w:sz w:val="18"/>
                <w:szCs w:val="18"/>
              </w:rPr>
              <w:t>12.00</w:t>
            </w:r>
          </w:p>
        </w:tc>
        <w:tc>
          <w:tcPr>
            <w:tcW w:w="659" w:type="dxa"/>
            <w:vAlign w:val="top"/>
          </w:tcPr>
          <w:p w14:paraId="5C497893">
            <w:pPr>
              <w:pStyle w:val="6"/>
            </w:pPr>
          </w:p>
        </w:tc>
        <w:tc>
          <w:tcPr>
            <w:tcW w:w="1127" w:type="dxa"/>
            <w:vAlign w:val="top"/>
          </w:tcPr>
          <w:p w14:paraId="4014F124">
            <w:pPr>
              <w:pStyle w:val="6"/>
            </w:pPr>
          </w:p>
        </w:tc>
        <w:tc>
          <w:tcPr>
            <w:tcW w:w="1103" w:type="dxa"/>
            <w:vAlign w:val="top"/>
          </w:tcPr>
          <w:p w14:paraId="53581AEF">
            <w:pPr>
              <w:pStyle w:val="6"/>
            </w:pPr>
          </w:p>
        </w:tc>
        <w:tc>
          <w:tcPr>
            <w:tcW w:w="845" w:type="dxa"/>
            <w:vAlign w:val="top"/>
          </w:tcPr>
          <w:p w14:paraId="6FAA2007">
            <w:pPr>
              <w:pStyle w:val="6"/>
            </w:pPr>
          </w:p>
        </w:tc>
      </w:tr>
    </w:tbl>
    <w:p w14:paraId="0774BE7A">
      <w:pPr>
        <w:rPr>
          <w:rFonts w:ascii="Arial"/>
          <w:sz w:val="21"/>
        </w:rPr>
      </w:pPr>
    </w:p>
    <w:p w14:paraId="5A669CD5">
      <w:pPr>
        <w:rPr>
          <w:rFonts w:ascii="Arial" w:hAnsi="Arial" w:eastAsia="Arial" w:cs="Arial"/>
          <w:sz w:val="21"/>
          <w:szCs w:val="21"/>
        </w:rPr>
        <w:sectPr>
          <w:footerReference r:id="rId24" w:type="default"/>
          <w:pgSz w:w="11900" w:h="16840"/>
          <w:pgMar w:top="610" w:right="600" w:bottom="312" w:left="600" w:header="357" w:footer="153" w:gutter="0"/>
          <w:cols w:space="720" w:num="1"/>
        </w:sectPr>
      </w:pPr>
    </w:p>
    <w:p w14:paraId="29D252E8">
      <w:pPr>
        <w:spacing w:before="6"/>
      </w:pPr>
    </w:p>
    <w:p w14:paraId="64E58793">
      <w:pPr>
        <w:spacing w:before="5"/>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58"/>
        <w:gridCol w:w="1139"/>
        <w:gridCol w:w="1259"/>
        <w:gridCol w:w="1211"/>
        <w:gridCol w:w="1349"/>
      </w:tblGrid>
      <w:tr w14:paraId="6AA77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4058" w:type="dxa"/>
            <w:tcBorders>
              <w:top w:val="single" w:color="FFFFFF" w:sz="4" w:space="0"/>
              <w:left w:val="single" w:color="FFFFFF" w:sz="2" w:space="0"/>
              <w:bottom w:val="single" w:color="FFFFFF" w:sz="4" w:space="0"/>
              <w:right w:val="single" w:color="FFFFFF" w:sz="2" w:space="0"/>
            </w:tcBorders>
            <w:vAlign w:val="top"/>
          </w:tcPr>
          <w:p w14:paraId="26BAEB20">
            <w:pPr>
              <w:pStyle w:val="6"/>
            </w:pPr>
          </w:p>
        </w:tc>
        <w:tc>
          <w:tcPr>
            <w:tcW w:w="1139" w:type="dxa"/>
            <w:tcBorders>
              <w:top w:val="single" w:color="FFFFFF" w:sz="4" w:space="0"/>
              <w:left w:val="single" w:color="FFFFFF" w:sz="2" w:space="0"/>
              <w:bottom w:val="single" w:color="FFFFFF" w:sz="4" w:space="0"/>
              <w:right w:val="single" w:color="FFFFFF" w:sz="2" w:space="0"/>
            </w:tcBorders>
            <w:vAlign w:val="top"/>
          </w:tcPr>
          <w:p w14:paraId="381657E7">
            <w:pPr>
              <w:pStyle w:val="6"/>
            </w:pPr>
          </w:p>
        </w:tc>
        <w:tc>
          <w:tcPr>
            <w:tcW w:w="1259" w:type="dxa"/>
            <w:tcBorders>
              <w:top w:val="single" w:color="FFFFFF" w:sz="4" w:space="0"/>
              <w:left w:val="single" w:color="FFFFFF" w:sz="2" w:space="0"/>
              <w:bottom w:val="single" w:color="FFFFFF" w:sz="4" w:space="0"/>
              <w:right w:val="single" w:color="FFFFFF" w:sz="2" w:space="0"/>
            </w:tcBorders>
            <w:vAlign w:val="top"/>
          </w:tcPr>
          <w:p w14:paraId="7404ECAE">
            <w:pPr>
              <w:pStyle w:val="6"/>
            </w:pPr>
          </w:p>
        </w:tc>
        <w:tc>
          <w:tcPr>
            <w:tcW w:w="1211" w:type="dxa"/>
            <w:tcBorders>
              <w:top w:val="single" w:color="FFFFFF" w:sz="4" w:space="0"/>
              <w:left w:val="single" w:color="FFFFFF" w:sz="2" w:space="0"/>
              <w:bottom w:val="single" w:color="FFFFFF" w:sz="4" w:space="0"/>
              <w:right w:val="single" w:color="FFFFFF" w:sz="2" w:space="0"/>
            </w:tcBorders>
            <w:vAlign w:val="top"/>
          </w:tcPr>
          <w:p w14:paraId="141BA7E6">
            <w:pPr>
              <w:pStyle w:val="6"/>
            </w:pPr>
          </w:p>
        </w:tc>
        <w:tc>
          <w:tcPr>
            <w:tcW w:w="1349" w:type="dxa"/>
            <w:tcBorders>
              <w:top w:val="single" w:color="FFFFFF" w:sz="4" w:space="0"/>
              <w:left w:val="single" w:color="FFFFFF" w:sz="2" w:space="0"/>
              <w:bottom w:val="single" w:color="FFFFFF" w:sz="4" w:space="0"/>
              <w:right w:val="single" w:color="FFFFFF" w:sz="2" w:space="0"/>
            </w:tcBorders>
            <w:vAlign w:val="top"/>
          </w:tcPr>
          <w:p w14:paraId="42FE9A82">
            <w:pPr>
              <w:spacing w:before="13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预算公开表13</w:t>
            </w:r>
          </w:p>
        </w:tc>
      </w:tr>
      <w:tr w14:paraId="61C78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5468C185">
            <w:pPr>
              <w:spacing w:before="92" w:line="219" w:lineRule="auto"/>
              <w:ind w:left="2591"/>
              <w:outlineLvl w:val="1"/>
              <w:rPr>
                <w:rFonts w:ascii="宋体" w:hAnsi="宋体" w:eastAsia="宋体" w:cs="宋体"/>
                <w:sz w:val="24"/>
                <w:szCs w:val="24"/>
              </w:rPr>
            </w:pPr>
            <w:bookmarkStart w:id="65" w:name="bookmark18"/>
            <w:bookmarkEnd w:id="65"/>
            <w:r>
              <w:rPr>
                <w:rFonts w:ascii="宋体" w:hAnsi="宋体" w:eastAsia="宋体" w:cs="宋体"/>
                <w:color w:val="212529"/>
                <w:spacing w:val="-1"/>
                <w:sz w:val="24"/>
                <w:szCs w:val="24"/>
              </w:rPr>
              <w:t>2023年项目支出预算表（上年结转）</w:t>
            </w:r>
          </w:p>
        </w:tc>
      </w:tr>
      <w:tr w14:paraId="59CF3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667" w:type="dxa"/>
            <w:gridSpan w:val="4"/>
            <w:tcBorders>
              <w:top w:val="single" w:color="FFFFFF" w:sz="4" w:space="0"/>
              <w:left w:val="single" w:color="FFFFFF" w:sz="2" w:space="0"/>
              <w:right w:val="single" w:color="FFFFFF" w:sz="2" w:space="0"/>
            </w:tcBorders>
            <w:vAlign w:val="top"/>
          </w:tcPr>
          <w:p w14:paraId="4F85E30A">
            <w:pPr>
              <w:spacing w:before="129" w:line="227" w:lineRule="auto"/>
              <w:ind w:left="11"/>
              <w:rPr>
                <w:rFonts w:ascii="宋体" w:hAnsi="宋体" w:eastAsia="宋体" w:cs="宋体"/>
                <w:sz w:val="15"/>
                <w:szCs w:val="15"/>
              </w:rPr>
            </w:pPr>
            <w:r>
              <w:rPr>
                <w:rFonts w:ascii="宋体" w:hAnsi="宋体" w:eastAsia="宋体" w:cs="宋体"/>
                <w:color w:val="212529"/>
                <w:spacing w:val="5"/>
                <w:sz w:val="15"/>
                <w:szCs w:val="15"/>
              </w:rPr>
              <w:t>单位名称：古县行政审批服务管理局</w:t>
            </w:r>
          </w:p>
        </w:tc>
        <w:tc>
          <w:tcPr>
            <w:tcW w:w="1349" w:type="dxa"/>
            <w:tcBorders>
              <w:top w:val="single" w:color="FFFFFF" w:sz="4" w:space="0"/>
              <w:left w:val="single" w:color="FFFFFF" w:sz="2" w:space="0"/>
              <w:right w:val="single" w:color="FFFFFF" w:sz="2" w:space="0"/>
            </w:tcBorders>
            <w:vAlign w:val="top"/>
          </w:tcPr>
          <w:p w14:paraId="45F8530A">
            <w:pPr>
              <w:spacing w:before="129"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0A24C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Merge w:val="restart"/>
            <w:tcBorders>
              <w:bottom w:val="nil"/>
            </w:tcBorders>
            <w:vAlign w:val="top"/>
          </w:tcPr>
          <w:p w14:paraId="39B563C8">
            <w:pPr>
              <w:pStyle w:val="6"/>
              <w:spacing w:line="265" w:lineRule="auto"/>
            </w:pPr>
          </w:p>
          <w:p w14:paraId="00E92F0C">
            <w:pPr>
              <w:spacing w:before="59" w:line="220" w:lineRule="auto"/>
              <w:ind w:left="1668"/>
              <w:rPr>
                <w:rFonts w:ascii="宋体" w:hAnsi="宋体" w:eastAsia="宋体" w:cs="宋体"/>
                <w:sz w:val="18"/>
                <w:szCs w:val="18"/>
              </w:rPr>
            </w:pPr>
            <w:r>
              <w:rPr>
                <w:rFonts w:ascii="宋体" w:hAnsi="宋体" w:eastAsia="宋体" w:cs="宋体"/>
                <w:color w:val="212529"/>
                <w:spacing w:val="-3"/>
                <w:sz w:val="18"/>
                <w:szCs w:val="18"/>
              </w:rPr>
              <w:t>项目名称</w:t>
            </w:r>
          </w:p>
        </w:tc>
        <w:tc>
          <w:tcPr>
            <w:tcW w:w="1139" w:type="dxa"/>
            <w:vMerge w:val="restart"/>
            <w:tcBorders>
              <w:bottom w:val="nil"/>
            </w:tcBorders>
            <w:vAlign w:val="top"/>
          </w:tcPr>
          <w:p w14:paraId="1FD0A783">
            <w:pPr>
              <w:pStyle w:val="6"/>
              <w:spacing w:line="265" w:lineRule="auto"/>
            </w:pPr>
          </w:p>
          <w:p w14:paraId="0191B093">
            <w:pPr>
              <w:spacing w:before="59" w:line="221" w:lineRule="auto"/>
              <w:ind w:left="386"/>
              <w:rPr>
                <w:rFonts w:ascii="宋体" w:hAnsi="宋体" w:eastAsia="宋体" w:cs="宋体"/>
                <w:sz w:val="18"/>
                <w:szCs w:val="18"/>
              </w:rPr>
            </w:pPr>
            <w:r>
              <w:rPr>
                <w:rFonts w:ascii="宋体" w:hAnsi="宋体" w:eastAsia="宋体" w:cs="宋体"/>
                <w:color w:val="212529"/>
                <w:spacing w:val="-5"/>
                <w:sz w:val="18"/>
                <w:szCs w:val="18"/>
              </w:rPr>
              <w:t>合计</w:t>
            </w:r>
          </w:p>
        </w:tc>
        <w:tc>
          <w:tcPr>
            <w:tcW w:w="3819" w:type="dxa"/>
            <w:gridSpan w:val="3"/>
            <w:vAlign w:val="top"/>
          </w:tcPr>
          <w:p w14:paraId="12331355">
            <w:pPr>
              <w:spacing w:before="110" w:line="219" w:lineRule="auto"/>
              <w:ind w:left="1277"/>
              <w:rPr>
                <w:rFonts w:ascii="宋体" w:hAnsi="宋体" w:eastAsia="宋体" w:cs="宋体"/>
                <w:sz w:val="18"/>
                <w:szCs w:val="18"/>
              </w:rPr>
            </w:pPr>
            <w:r>
              <w:rPr>
                <w:rFonts w:ascii="宋体" w:hAnsi="宋体" w:eastAsia="宋体" w:cs="宋体"/>
                <w:color w:val="212529"/>
                <w:spacing w:val="-2"/>
                <w:sz w:val="18"/>
                <w:szCs w:val="18"/>
              </w:rPr>
              <w:t>2023年财政拨款</w:t>
            </w:r>
          </w:p>
        </w:tc>
      </w:tr>
      <w:tr w14:paraId="7C0E1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Merge w:val="continue"/>
            <w:tcBorders>
              <w:top w:val="nil"/>
            </w:tcBorders>
            <w:vAlign w:val="top"/>
          </w:tcPr>
          <w:p w14:paraId="20E15A9B">
            <w:pPr>
              <w:pStyle w:val="6"/>
            </w:pPr>
          </w:p>
        </w:tc>
        <w:tc>
          <w:tcPr>
            <w:tcW w:w="1139" w:type="dxa"/>
            <w:vMerge w:val="continue"/>
            <w:tcBorders>
              <w:top w:val="nil"/>
            </w:tcBorders>
            <w:vAlign w:val="top"/>
          </w:tcPr>
          <w:p w14:paraId="5F590CF8">
            <w:pPr>
              <w:pStyle w:val="6"/>
            </w:pPr>
          </w:p>
        </w:tc>
        <w:tc>
          <w:tcPr>
            <w:tcW w:w="1259" w:type="dxa"/>
            <w:vAlign w:val="top"/>
          </w:tcPr>
          <w:p w14:paraId="27955A37">
            <w:pPr>
              <w:spacing w:before="111" w:line="219" w:lineRule="auto"/>
              <w:ind w:left="90"/>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211" w:type="dxa"/>
            <w:vAlign w:val="top"/>
          </w:tcPr>
          <w:p w14:paraId="3731FE02">
            <w:pPr>
              <w:spacing w:before="3" w:line="209" w:lineRule="auto"/>
              <w:ind w:left="426" w:right="154" w:hanging="272"/>
              <w:rPr>
                <w:rFonts w:ascii="宋体" w:hAnsi="宋体" w:eastAsia="宋体" w:cs="宋体"/>
                <w:sz w:val="18"/>
                <w:szCs w:val="18"/>
              </w:rPr>
            </w:pPr>
            <w:r>
              <w:rPr>
                <w:rFonts w:ascii="宋体" w:hAnsi="宋体" w:eastAsia="宋体" w:cs="宋体"/>
                <w:color w:val="212529"/>
                <w:spacing w:val="-2"/>
                <w:sz w:val="18"/>
                <w:szCs w:val="18"/>
              </w:rPr>
              <w:t>政府性基金</w:t>
            </w:r>
            <w:r>
              <w:rPr>
                <w:rFonts w:ascii="宋体" w:hAnsi="宋体" w:eastAsia="宋体" w:cs="宋体"/>
                <w:color w:val="212529"/>
                <w:spacing w:val="1"/>
                <w:sz w:val="18"/>
                <w:szCs w:val="18"/>
              </w:rPr>
              <w:t xml:space="preserve"> </w:t>
            </w:r>
            <w:r>
              <w:rPr>
                <w:rFonts w:ascii="宋体" w:hAnsi="宋体" w:eastAsia="宋体" w:cs="宋体"/>
                <w:color w:val="212529"/>
                <w:spacing w:val="-5"/>
                <w:sz w:val="18"/>
                <w:szCs w:val="18"/>
              </w:rPr>
              <w:t>预算</w:t>
            </w:r>
          </w:p>
        </w:tc>
        <w:tc>
          <w:tcPr>
            <w:tcW w:w="1349" w:type="dxa"/>
            <w:vAlign w:val="top"/>
          </w:tcPr>
          <w:p w14:paraId="281DCD5A">
            <w:pPr>
              <w:spacing w:before="3" w:line="209" w:lineRule="auto"/>
              <w:ind w:left="313" w:right="315" w:firstLine="16"/>
              <w:rPr>
                <w:rFonts w:ascii="宋体" w:hAnsi="宋体" w:eastAsia="宋体" w:cs="宋体"/>
                <w:sz w:val="18"/>
                <w:szCs w:val="18"/>
              </w:rPr>
            </w:pPr>
            <w:r>
              <w:rPr>
                <w:rFonts w:ascii="宋体" w:hAnsi="宋体" w:eastAsia="宋体" w:cs="宋体"/>
                <w:color w:val="212529"/>
                <w:spacing w:val="-7"/>
                <w:sz w:val="18"/>
                <w:szCs w:val="18"/>
              </w:rPr>
              <w:t>国有资本</w:t>
            </w:r>
            <w:r>
              <w:rPr>
                <w:rFonts w:ascii="宋体" w:hAnsi="宋体" w:eastAsia="宋体" w:cs="宋体"/>
                <w:color w:val="212529"/>
                <w:spacing w:val="1"/>
                <w:sz w:val="18"/>
                <w:szCs w:val="18"/>
              </w:rPr>
              <w:t xml:space="preserve"> </w:t>
            </w:r>
            <w:r>
              <w:rPr>
                <w:rFonts w:ascii="宋体" w:hAnsi="宋体" w:eastAsia="宋体" w:cs="宋体"/>
                <w:color w:val="212529"/>
                <w:spacing w:val="-3"/>
                <w:sz w:val="18"/>
                <w:szCs w:val="18"/>
              </w:rPr>
              <w:t>经营预算</w:t>
            </w:r>
          </w:p>
        </w:tc>
      </w:tr>
      <w:tr w14:paraId="3E980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Align w:val="top"/>
          </w:tcPr>
          <w:p w14:paraId="540FB893">
            <w:pPr>
              <w:spacing w:before="139" w:line="184" w:lineRule="auto"/>
              <w:ind w:left="1996"/>
              <w:rPr>
                <w:rFonts w:ascii="宋体" w:hAnsi="宋体" w:eastAsia="宋体" w:cs="宋体"/>
                <w:sz w:val="18"/>
                <w:szCs w:val="18"/>
              </w:rPr>
            </w:pPr>
            <w:r>
              <w:rPr>
                <w:rFonts w:ascii="宋体" w:hAnsi="宋体" w:eastAsia="宋体" w:cs="宋体"/>
                <w:color w:val="212529"/>
                <w:sz w:val="18"/>
                <w:szCs w:val="18"/>
              </w:rPr>
              <w:t>1</w:t>
            </w:r>
          </w:p>
        </w:tc>
        <w:tc>
          <w:tcPr>
            <w:tcW w:w="1139" w:type="dxa"/>
            <w:vAlign w:val="top"/>
          </w:tcPr>
          <w:p w14:paraId="76E00A79">
            <w:pPr>
              <w:spacing w:before="140" w:line="183" w:lineRule="auto"/>
              <w:ind w:left="526"/>
              <w:rPr>
                <w:rFonts w:ascii="宋体" w:hAnsi="宋体" w:eastAsia="宋体" w:cs="宋体"/>
                <w:sz w:val="18"/>
                <w:szCs w:val="18"/>
              </w:rPr>
            </w:pPr>
            <w:r>
              <w:rPr>
                <w:rFonts w:ascii="宋体" w:hAnsi="宋体" w:eastAsia="宋体" w:cs="宋体"/>
                <w:color w:val="212529"/>
                <w:sz w:val="18"/>
                <w:szCs w:val="18"/>
              </w:rPr>
              <w:t>2</w:t>
            </w:r>
          </w:p>
        </w:tc>
        <w:tc>
          <w:tcPr>
            <w:tcW w:w="1259" w:type="dxa"/>
            <w:vAlign w:val="top"/>
          </w:tcPr>
          <w:p w14:paraId="327E6C95">
            <w:pPr>
              <w:spacing w:before="140" w:line="183" w:lineRule="auto"/>
              <w:ind w:left="589"/>
              <w:rPr>
                <w:rFonts w:ascii="宋体" w:hAnsi="宋体" w:eastAsia="宋体" w:cs="宋体"/>
                <w:sz w:val="18"/>
                <w:szCs w:val="18"/>
              </w:rPr>
            </w:pPr>
            <w:r>
              <w:rPr>
                <w:rFonts w:ascii="宋体" w:hAnsi="宋体" w:eastAsia="宋体" w:cs="宋体"/>
                <w:color w:val="212529"/>
                <w:sz w:val="18"/>
                <w:szCs w:val="18"/>
              </w:rPr>
              <w:t>3</w:t>
            </w:r>
          </w:p>
        </w:tc>
        <w:tc>
          <w:tcPr>
            <w:tcW w:w="1211" w:type="dxa"/>
            <w:vAlign w:val="top"/>
          </w:tcPr>
          <w:p w14:paraId="51F14482">
            <w:pPr>
              <w:spacing w:before="140" w:line="183" w:lineRule="auto"/>
              <w:ind w:left="562"/>
              <w:rPr>
                <w:rFonts w:ascii="宋体" w:hAnsi="宋体" w:eastAsia="宋体" w:cs="宋体"/>
                <w:sz w:val="18"/>
                <w:szCs w:val="18"/>
              </w:rPr>
            </w:pPr>
            <w:r>
              <w:rPr>
                <w:rFonts w:ascii="宋体" w:hAnsi="宋体" w:eastAsia="宋体" w:cs="宋体"/>
                <w:color w:val="212529"/>
                <w:sz w:val="18"/>
                <w:szCs w:val="18"/>
              </w:rPr>
              <w:t>4</w:t>
            </w:r>
          </w:p>
        </w:tc>
        <w:tc>
          <w:tcPr>
            <w:tcW w:w="1349" w:type="dxa"/>
            <w:vAlign w:val="top"/>
          </w:tcPr>
          <w:p w14:paraId="23AEE98F">
            <w:pPr>
              <w:spacing w:before="141" w:line="182" w:lineRule="auto"/>
              <w:ind w:left="633"/>
              <w:rPr>
                <w:rFonts w:ascii="宋体" w:hAnsi="宋体" w:eastAsia="宋体" w:cs="宋体"/>
                <w:sz w:val="18"/>
                <w:szCs w:val="18"/>
              </w:rPr>
            </w:pPr>
            <w:r>
              <w:rPr>
                <w:rFonts w:ascii="宋体" w:hAnsi="宋体" w:eastAsia="宋体" w:cs="宋体"/>
                <w:color w:val="212529"/>
                <w:sz w:val="18"/>
                <w:szCs w:val="18"/>
              </w:rPr>
              <w:t>5</w:t>
            </w:r>
          </w:p>
        </w:tc>
      </w:tr>
      <w:tr w14:paraId="57E89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Align w:val="top"/>
          </w:tcPr>
          <w:p w14:paraId="6C974109">
            <w:pPr>
              <w:pStyle w:val="6"/>
            </w:pPr>
          </w:p>
        </w:tc>
        <w:tc>
          <w:tcPr>
            <w:tcW w:w="1139" w:type="dxa"/>
            <w:vAlign w:val="top"/>
          </w:tcPr>
          <w:p w14:paraId="0AAA089C">
            <w:pPr>
              <w:pStyle w:val="6"/>
            </w:pPr>
          </w:p>
        </w:tc>
        <w:tc>
          <w:tcPr>
            <w:tcW w:w="1259" w:type="dxa"/>
            <w:vAlign w:val="top"/>
          </w:tcPr>
          <w:p w14:paraId="0157E16B">
            <w:pPr>
              <w:pStyle w:val="6"/>
            </w:pPr>
          </w:p>
        </w:tc>
        <w:tc>
          <w:tcPr>
            <w:tcW w:w="1211" w:type="dxa"/>
            <w:vAlign w:val="top"/>
          </w:tcPr>
          <w:p w14:paraId="52CB7EB0">
            <w:pPr>
              <w:pStyle w:val="6"/>
            </w:pPr>
          </w:p>
        </w:tc>
        <w:tc>
          <w:tcPr>
            <w:tcW w:w="1349" w:type="dxa"/>
            <w:vAlign w:val="top"/>
          </w:tcPr>
          <w:p w14:paraId="7DBC1DDF">
            <w:pPr>
              <w:pStyle w:val="6"/>
            </w:pPr>
          </w:p>
        </w:tc>
      </w:tr>
      <w:tr w14:paraId="39EBF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4058" w:type="dxa"/>
            <w:tcBorders>
              <w:left w:val="single" w:color="FFFFFF" w:sz="2" w:space="0"/>
              <w:bottom w:val="single" w:color="FFFFFF" w:sz="4" w:space="0"/>
              <w:right w:val="single" w:color="FFFFFF" w:sz="2" w:space="0"/>
            </w:tcBorders>
            <w:vAlign w:val="top"/>
          </w:tcPr>
          <w:p w14:paraId="713A37D4">
            <w:pPr>
              <w:spacing w:before="113"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c>
          <w:tcPr>
            <w:tcW w:w="1139" w:type="dxa"/>
            <w:tcBorders>
              <w:left w:val="single" w:color="FFFFFF" w:sz="2" w:space="0"/>
              <w:bottom w:val="single" w:color="FFFFFF" w:sz="4" w:space="0"/>
              <w:right w:val="single" w:color="FFFFFF" w:sz="2" w:space="0"/>
            </w:tcBorders>
            <w:vAlign w:val="top"/>
          </w:tcPr>
          <w:p w14:paraId="1332CE32">
            <w:pPr>
              <w:pStyle w:val="6"/>
            </w:pPr>
          </w:p>
        </w:tc>
        <w:tc>
          <w:tcPr>
            <w:tcW w:w="1259" w:type="dxa"/>
            <w:tcBorders>
              <w:left w:val="single" w:color="FFFFFF" w:sz="2" w:space="0"/>
              <w:bottom w:val="single" w:color="FFFFFF" w:sz="4" w:space="0"/>
              <w:right w:val="single" w:color="FFFFFF" w:sz="2" w:space="0"/>
            </w:tcBorders>
            <w:vAlign w:val="top"/>
          </w:tcPr>
          <w:p w14:paraId="327A935B">
            <w:pPr>
              <w:pStyle w:val="6"/>
            </w:pPr>
          </w:p>
        </w:tc>
        <w:tc>
          <w:tcPr>
            <w:tcW w:w="1211" w:type="dxa"/>
            <w:tcBorders>
              <w:left w:val="single" w:color="FFFFFF" w:sz="2" w:space="0"/>
              <w:bottom w:val="single" w:color="FFFFFF" w:sz="4" w:space="0"/>
              <w:right w:val="single" w:color="FFFFFF" w:sz="2" w:space="0"/>
            </w:tcBorders>
            <w:vAlign w:val="top"/>
          </w:tcPr>
          <w:p w14:paraId="27624718">
            <w:pPr>
              <w:pStyle w:val="6"/>
            </w:pPr>
          </w:p>
        </w:tc>
        <w:tc>
          <w:tcPr>
            <w:tcW w:w="1349" w:type="dxa"/>
            <w:tcBorders>
              <w:left w:val="single" w:color="FFFFFF" w:sz="2" w:space="0"/>
              <w:bottom w:val="single" w:color="FFFFFF" w:sz="4" w:space="0"/>
              <w:right w:val="single" w:color="FFFFFF" w:sz="2" w:space="0"/>
            </w:tcBorders>
            <w:vAlign w:val="top"/>
          </w:tcPr>
          <w:p w14:paraId="53156764">
            <w:pPr>
              <w:pStyle w:val="6"/>
            </w:pPr>
          </w:p>
        </w:tc>
      </w:tr>
    </w:tbl>
    <w:p w14:paraId="5E4579BB">
      <w:pPr>
        <w:rPr>
          <w:rFonts w:ascii="Arial"/>
          <w:sz w:val="21"/>
        </w:rPr>
      </w:pPr>
    </w:p>
    <w:p w14:paraId="024148C7">
      <w:pPr>
        <w:rPr>
          <w:rFonts w:ascii="Arial" w:hAnsi="Arial" w:eastAsia="Arial" w:cs="Arial"/>
          <w:sz w:val="21"/>
          <w:szCs w:val="21"/>
        </w:rPr>
        <w:sectPr>
          <w:footerReference r:id="rId25" w:type="default"/>
          <w:pgSz w:w="11900" w:h="16840"/>
          <w:pgMar w:top="610" w:right="600" w:bottom="312" w:left="600" w:header="357" w:footer="153" w:gutter="0"/>
          <w:cols w:space="720" w:num="1"/>
        </w:sectPr>
      </w:pPr>
    </w:p>
    <w:p w14:paraId="3397E68D">
      <w:pPr>
        <w:spacing w:line="306" w:lineRule="auto"/>
        <w:rPr>
          <w:rFonts w:ascii="Arial"/>
          <w:sz w:val="21"/>
        </w:rPr>
      </w:pPr>
    </w:p>
    <w:p w14:paraId="013931F5">
      <w:pPr>
        <w:spacing w:line="307" w:lineRule="auto"/>
        <w:rPr>
          <w:rFonts w:ascii="Arial"/>
          <w:sz w:val="21"/>
        </w:rPr>
      </w:pPr>
    </w:p>
    <w:p w14:paraId="0B732934">
      <w:pPr>
        <w:spacing w:before="81" w:line="222" w:lineRule="auto"/>
        <w:ind w:left="3268"/>
        <w:outlineLvl w:val="0"/>
        <w:rPr>
          <w:rFonts w:ascii="黑体" w:hAnsi="黑体" w:eastAsia="黑体" w:cs="黑体"/>
          <w:sz w:val="25"/>
          <w:szCs w:val="25"/>
        </w:rPr>
      </w:pPr>
      <w:bookmarkStart w:id="66" w:name="bookmark19"/>
      <w:bookmarkEnd w:id="66"/>
      <w:r>
        <w:rPr>
          <w:rFonts w:ascii="黑体" w:hAnsi="黑体" w:eastAsia="黑体" w:cs="黑体"/>
          <w:spacing w:val="1"/>
          <w:sz w:val="25"/>
          <w:szCs w:val="25"/>
        </w:rPr>
        <w:t>第三部分 2023年度单位预算情况说明</w:t>
      </w:r>
    </w:p>
    <w:p w14:paraId="753AC326">
      <w:pPr>
        <w:spacing w:line="300" w:lineRule="auto"/>
        <w:rPr>
          <w:rFonts w:ascii="Arial"/>
          <w:sz w:val="21"/>
        </w:rPr>
      </w:pPr>
    </w:p>
    <w:p w14:paraId="6B86CF08">
      <w:pPr>
        <w:spacing w:before="81" w:line="223" w:lineRule="auto"/>
        <w:ind w:left="698"/>
        <w:outlineLvl w:val="1"/>
        <w:rPr>
          <w:rFonts w:ascii="黑体" w:hAnsi="黑体" w:eastAsia="黑体" w:cs="黑体"/>
          <w:sz w:val="25"/>
          <w:szCs w:val="25"/>
        </w:rPr>
      </w:pPr>
      <w:bookmarkStart w:id="67" w:name="bookmark20"/>
      <w:bookmarkEnd w:id="67"/>
      <w:r>
        <w:rPr>
          <w:rFonts w:ascii="黑体" w:hAnsi="黑体" w:eastAsia="黑体" w:cs="黑体"/>
          <w:spacing w:val="1"/>
          <w:sz w:val="25"/>
          <w:szCs w:val="25"/>
        </w:rPr>
        <w:t>一、单位预算收支数据变动情况及原因</w:t>
      </w:r>
    </w:p>
    <w:p w14:paraId="7DD33942">
      <w:pPr>
        <w:spacing w:before="130" w:line="304" w:lineRule="auto"/>
        <w:ind w:left="710" w:right="811" w:firstLine="495"/>
        <w:rPr>
          <w:rFonts w:ascii="仿宋" w:hAnsi="仿宋" w:eastAsia="仿宋" w:cs="仿宋"/>
          <w:sz w:val="25"/>
          <w:szCs w:val="25"/>
        </w:rPr>
      </w:pPr>
      <w:r>
        <w:rPr>
          <w:rFonts w:ascii="仿宋" w:hAnsi="仿宋" w:eastAsia="仿宋" w:cs="仿宋"/>
          <w:spacing w:val="1"/>
          <w:sz w:val="25"/>
          <w:szCs w:val="25"/>
        </w:rPr>
        <w:t>2023年度预算收入总计250.39万元，其中：本年收入250.39万元，上年结转0万</w:t>
      </w:r>
      <w:r>
        <w:rPr>
          <w:rFonts w:ascii="仿宋" w:hAnsi="仿宋" w:eastAsia="仿宋" w:cs="仿宋"/>
          <w:spacing w:val="13"/>
          <w:sz w:val="25"/>
          <w:szCs w:val="25"/>
        </w:rPr>
        <w:t xml:space="preserve"> </w:t>
      </w:r>
      <w:r>
        <w:rPr>
          <w:rFonts w:ascii="仿宋" w:hAnsi="仿宋" w:eastAsia="仿宋" w:cs="仿宋"/>
          <w:sz w:val="25"/>
          <w:szCs w:val="25"/>
        </w:rPr>
        <w:t>元，比上年增加94.74万元</w:t>
      </w:r>
      <w:r>
        <w:rPr>
          <w:rFonts w:ascii="仿宋" w:hAnsi="仿宋" w:eastAsia="仿宋" w:cs="仿宋"/>
          <w:spacing w:val="60"/>
          <w:sz w:val="25"/>
          <w:szCs w:val="25"/>
        </w:rPr>
        <w:t xml:space="preserve"> </w:t>
      </w:r>
      <w:r>
        <w:rPr>
          <w:rFonts w:ascii="仿宋" w:hAnsi="仿宋" w:eastAsia="仿宋" w:cs="仿宋"/>
          <w:sz w:val="25"/>
          <w:szCs w:val="25"/>
        </w:rPr>
        <w:t>，增加60.87%，主要原因是增加政务服务中心项目经</w:t>
      </w:r>
    </w:p>
    <w:p w14:paraId="76CC1813">
      <w:pPr>
        <w:spacing w:before="42" w:line="311" w:lineRule="auto"/>
        <w:ind w:left="706" w:right="805" w:firstLine="8"/>
        <w:rPr>
          <w:rFonts w:ascii="仿宋" w:hAnsi="仿宋" w:eastAsia="仿宋" w:cs="仿宋"/>
          <w:sz w:val="25"/>
          <w:szCs w:val="25"/>
        </w:rPr>
      </w:pPr>
      <w:r>
        <w:rPr>
          <w:rFonts w:ascii="仿宋" w:hAnsi="仿宋" w:eastAsia="仿宋" w:cs="仿宋"/>
          <w:spacing w:val="1"/>
          <w:sz w:val="25"/>
          <w:szCs w:val="25"/>
        </w:rPr>
        <w:t>费及网络维护费等，专家评审费、企业刻章政府支付2项年初预算提高；本年单位</w:t>
      </w:r>
      <w:r>
        <w:rPr>
          <w:rFonts w:ascii="仿宋" w:hAnsi="仿宋" w:eastAsia="仿宋" w:cs="仿宋"/>
          <w:spacing w:val="16"/>
          <w:sz w:val="25"/>
          <w:szCs w:val="25"/>
        </w:rPr>
        <w:t xml:space="preserve"> </w:t>
      </w:r>
      <w:r>
        <w:rPr>
          <w:rFonts w:ascii="仿宋" w:hAnsi="仿宋" w:eastAsia="仿宋" w:cs="仿宋"/>
          <w:sz w:val="25"/>
          <w:szCs w:val="25"/>
        </w:rPr>
        <w:t>预算支出总计250.39万元，其中：本年预算安排250.39万元，上年结转0万元，</w:t>
      </w:r>
      <w:r>
        <w:rPr>
          <w:rFonts w:ascii="仿宋" w:hAnsi="仿宋" w:eastAsia="仿宋" w:cs="仿宋"/>
          <w:spacing w:val="-63"/>
          <w:sz w:val="25"/>
          <w:szCs w:val="25"/>
        </w:rPr>
        <w:t xml:space="preserve"> </w:t>
      </w:r>
      <w:r>
        <w:rPr>
          <w:rFonts w:ascii="仿宋" w:hAnsi="仿宋" w:eastAsia="仿宋" w:cs="仿宋"/>
          <w:sz w:val="25"/>
          <w:szCs w:val="25"/>
        </w:rPr>
        <w:t xml:space="preserve">比上 </w:t>
      </w:r>
      <w:r>
        <w:rPr>
          <w:rFonts w:ascii="仿宋" w:hAnsi="仿宋" w:eastAsia="仿宋" w:cs="仿宋"/>
          <w:spacing w:val="2"/>
          <w:sz w:val="25"/>
          <w:szCs w:val="25"/>
        </w:rPr>
        <w:t>年增加94.74万元，增加60.87%，</w:t>
      </w:r>
      <w:r>
        <w:rPr>
          <w:rFonts w:ascii="仿宋" w:hAnsi="仿宋" w:eastAsia="仿宋" w:cs="仿宋"/>
          <w:spacing w:val="1"/>
          <w:sz w:val="25"/>
          <w:szCs w:val="25"/>
        </w:rPr>
        <w:t>主要原因是增加政务服务中心项目经费</w:t>
      </w:r>
      <w:bookmarkStart w:id="84" w:name="_GoBack"/>
      <w:bookmarkEnd w:id="84"/>
      <w:r>
        <w:rPr>
          <w:rFonts w:ascii="仿宋" w:hAnsi="仿宋" w:eastAsia="仿宋" w:cs="仿宋"/>
          <w:spacing w:val="1"/>
          <w:sz w:val="25"/>
          <w:szCs w:val="25"/>
        </w:rPr>
        <w:t>及网络维</w:t>
      </w:r>
      <w:r>
        <w:rPr>
          <w:rFonts w:ascii="仿宋" w:hAnsi="仿宋" w:eastAsia="仿宋" w:cs="仿宋"/>
          <w:sz w:val="25"/>
          <w:szCs w:val="25"/>
        </w:rPr>
        <w:t xml:space="preserve"> </w:t>
      </w:r>
      <w:r>
        <w:rPr>
          <w:rFonts w:ascii="仿宋" w:hAnsi="仿宋" w:eastAsia="仿宋" w:cs="仿宋"/>
          <w:spacing w:val="1"/>
          <w:sz w:val="25"/>
          <w:szCs w:val="25"/>
        </w:rPr>
        <w:t>护费等，专家评审费、企业刻章政府支付2项年初预算提高</w:t>
      </w:r>
    </w:p>
    <w:p w14:paraId="3098ABCA">
      <w:pPr>
        <w:spacing w:before="42" w:line="222" w:lineRule="auto"/>
        <w:ind w:left="698"/>
        <w:outlineLvl w:val="1"/>
        <w:rPr>
          <w:rFonts w:ascii="黑体" w:hAnsi="黑体" w:eastAsia="黑体" w:cs="黑体"/>
          <w:sz w:val="25"/>
          <w:szCs w:val="25"/>
        </w:rPr>
      </w:pPr>
      <w:bookmarkStart w:id="68" w:name="bookmark21"/>
      <w:bookmarkEnd w:id="68"/>
      <w:r>
        <w:rPr>
          <w:rFonts w:ascii="黑体" w:hAnsi="黑体" w:eastAsia="黑体" w:cs="黑体"/>
          <w:sz w:val="25"/>
          <w:szCs w:val="25"/>
        </w:rPr>
        <w:t>二、收入预算情况说明</w:t>
      </w:r>
    </w:p>
    <w:p w14:paraId="13B0A6B0">
      <w:pPr>
        <w:spacing w:before="131" w:line="223" w:lineRule="auto"/>
        <w:ind w:left="1206"/>
        <w:rPr>
          <w:rFonts w:ascii="仿宋" w:hAnsi="仿宋" w:eastAsia="仿宋" w:cs="仿宋"/>
          <w:sz w:val="25"/>
          <w:szCs w:val="25"/>
        </w:rPr>
      </w:pPr>
      <w:r>
        <w:rPr>
          <w:rFonts w:ascii="仿宋" w:hAnsi="仿宋" w:eastAsia="仿宋" w:cs="仿宋"/>
          <w:spacing w:val="1"/>
          <w:sz w:val="25"/>
          <w:szCs w:val="25"/>
        </w:rPr>
        <w:t>2023年度预算收入250.39万元，主要包括一般公共预算拨款收入250.39万元，</w:t>
      </w:r>
    </w:p>
    <w:p w14:paraId="6EB6CDF7">
      <w:pPr>
        <w:spacing w:before="131" w:line="310" w:lineRule="auto"/>
        <w:ind w:left="708" w:right="798" w:firstLine="41"/>
        <w:rPr>
          <w:rFonts w:ascii="仿宋" w:hAnsi="仿宋" w:eastAsia="仿宋" w:cs="仿宋"/>
          <w:sz w:val="25"/>
          <w:szCs w:val="25"/>
        </w:rPr>
      </w:pPr>
      <w:r>
        <w:rPr>
          <w:rFonts w:ascii="仿宋" w:hAnsi="仿宋" w:eastAsia="仿宋" w:cs="仿宋"/>
          <w:spacing w:val="-2"/>
          <w:sz w:val="25"/>
          <w:szCs w:val="25"/>
        </w:rPr>
        <w:t>占100.00%；政府性基金预算拨款收入0万元，</w:t>
      </w:r>
      <w:r>
        <w:rPr>
          <w:rFonts w:ascii="仿宋" w:hAnsi="仿宋" w:eastAsia="仿宋" w:cs="仿宋"/>
          <w:spacing w:val="-63"/>
          <w:sz w:val="25"/>
          <w:szCs w:val="25"/>
        </w:rPr>
        <w:t xml:space="preserve"> </w:t>
      </w:r>
      <w:r>
        <w:rPr>
          <w:rFonts w:ascii="仿宋" w:hAnsi="仿宋" w:eastAsia="仿宋" w:cs="仿宋"/>
          <w:spacing w:val="-2"/>
          <w:sz w:val="25"/>
          <w:szCs w:val="25"/>
        </w:rPr>
        <w:t>占0%；</w:t>
      </w:r>
      <w:r>
        <w:rPr>
          <w:rFonts w:ascii="仿宋" w:hAnsi="仿宋" w:eastAsia="仿宋" w:cs="仿宋"/>
          <w:spacing w:val="-71"/>
          <w:sz w:val="25"/>
          <w:szCs w:val="25"/>
        </w:rPr>
        <w:t xml:space="preserve"> </w:t>
      </w:r>
      <w:r>
        <w:rPr>
          <w:rFonts w:ascii="仿宋" w:hAnsi="仿宋" w:eastAsia="仿宋" w:cs="仿宋"/>
          <w:spacing w:val="-2"/>
          <w:sz w:val="25"/>
          <w:szCs w:val="25"/>
        </w:rPr>
        <w:t>国有资本经营</w:t>
      </w:r>
      <w:r>
        <w:rPr>
          <w:rFonts w:ascii="仿宋" w:hAnsi="仿宋" w:eastAsia="仿宋" w:cs="仿宋"/>
          <w:spacing w:val="-3"/>
          <w:sz w:val="25"/>
          <w:szCs w:val="25"/>
        </w:rPr>
        <w:t>预算拨款收入0万</w:t>
      </w:r>
      <w:r>
        <w:rPr>
          <w:rFonts w:ascii="仿宋" w:hAnsi="仿宋" w:eastAsia="仿宋" w:cs="仿宋"/>
          <w:sz w:val="25"/>
          <w:szCs w:val="25"/>
        </w:rPr>
        <w:t xml:space="preserve"> </w:t>
      </w:r>
      <w:r>
        <w:rPr>
          <w:rFonts w:ascii="仿宋" w:hAnsi="仿宋" w:eastAsia="仿宋" w:cs="仿宋"/>
          <w:spacing w:val="-3"/>
          <w:sz w:val="25"/>
          <w:szCs w:val="25"/>
        </w:rPr>
        <w:t>元，</w:t>
      </w:r>
      <w:r>
        <w:rPr>
          <w:rFonts w:ascii="仿宋" w:hAnsi="仿宋" w:eastAsia="仿宋" w:cs="仿宋"/>
          <w:spacing w:val="-58"/>
          <w:sz w:val="25"/>
          <w:szCs w:val="25"/>
        </w:rPr>
        <w:t xml:space="preserve"> </w:t>
      </w:r>
      <w:r>
        <w:rPr>
          <w:rFonts w:ascii="仿宋" w:hAnsi="仿宋" w:eastAsia="仿宋" w:cs="仿宋"/>
          <w:spacing w:val="-3"/>
          <w:sz w:val="25"/>
          <w:szCs w:val="25"/>
        </w:rPr>
        <w:t>占0%；财政专户管理资金收入0万元，</w:t>
      </w:r>
      <w:r>
        <w:rPr>
          <w:rFonts w:ascii="仿宋" w:hAnsi="仿宋" w:eastAsia="仿宋" w:cs="仿宋"/>
          <w:spacing w:val="-64"/>
          <w:sz w:val="25"/>
          <w:szCs w:val="25"/>
        </w:rPr>
        <w:t xml:space="preserve"> </w:t>
      </w:r>
      <w:r>
        <w:rPr>
          <w:rFonts w:ascii="仿宋" w:hAnsi="仿宋" w:eastAsia="仿宋" w:cs="仿宋"/>
          <w:spacing w:val="-3"/>
          <w:sz w:val="25"/>
          <w:szCs w:val="25"/>
        </w:rPr>
        <w:t>占0%；单位资金0万元，</w:t>
      </w:r>
      <w:r>
        <w:rPr>
          <w:rFonts w:ascii="仿宋" w:hAnsi="仿宋" w:eastAsia="仿宋" w:cs="仿宋"/>
          <w:spacing w:val="-64"/>
          <w:sz w:val="25"/>
          <w:szCs w:val="25"/>
        </w:rPr>
        <w:t xml:space="preserve"> </w:t>
      </w:r>
      <w:r>
        <w:rPr>
          <w:rFonts w:ascii="仿宋" w:hAnsi="仿宋" w:eastAsia="仿宋" w:cs="仿宋"/>
          <w:spacing w:val="-3"/>
          <w:sz w:val="25"/>
          <w:szCs w:val="25"/>
        </w:rPr>
        <w:t>占0%；上年结转0</w:t>
      </w:r>
      <w:r>
        <w:rPr>
          <w:rFonts w:ascii="仿宋" w:hAnsi="仿宋" w:eastAsia="仿宋" w:cs="仿宋"/>
          <w:sz w:val="25"/>
          <w:szCs w:val="25"/>
        </w:rPr>
        <w:t xml:space="preserve"> </w:t>
      </w:r>
      <w:r>
        <w:rPr>
          <w:rFonts w:ascii="仿宋" w:hAnsi="仿宋" w:eastAsia="仿宋" w:cs="仿宋"/>
          <w:spacing w:val="-11"/>
          <w:sz w:val="25"/>
          <w:szCs w:val="25"/>
        </w:rPr>
        <w:t>万元，</w:t>
      </w:r>
      <w:r>
        <w:rPr>
          <w:rFonts w:ascii="仿宋" w:hAnsi="仿宋" w:eastAsia="仿宋" w:cs="仿宋"/>
          <w:spacing w:val="-59"/>
          <w:sz w:val="25"/>
          <w:szCs w:val="25"/>
        </w:rPr>
        <w:t xml:space="preserve"> </w:t>
      </w:r>
      <w:r>
        <w:rPr>
          <w:rFonts w:ascii="仿宋" w:hAnsi="仿宋" w:eastAsia="仿宋" w:cs="仿宋"/>
          <w:spacing w:val="-11"/>
          <w:sz w:val="25"/>
          <w:szCs w:val="25"/>
        </w:rPr>
        <w:t>占0%。</w:t>
      </w:r>
    </w:p>
    <w:p w14:paraId="04A2D646">
      <w:pPr>
        <w:spacing w:line="375" w:lineRule="auto"/>
        <w:rPr>
          <w:rFonts w:ascii="Arial"/>
          <w:sz w:val="21"/>
        </w:rPr>
      </w:pPr>
    </w:p>
    <w:p w14:paraId="12D4AE2C">
      <w:pPr>
        <w:spacing w:before="1" w:line="3266" w:lineRule="exact"/>
        <w:ind w:firstLine="2804"/>
      </w:pPr>
      <w:r>
        <w:rPr>
          <w:position w:val="-65"/>
        </w:rPr>
        <w:drawing>
          <wp:inline distT="0" distB="0" distL="0" distR="0">
            <wp:extent cx="2608580" cy="20732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9"/>
                    <a:stretch>
                      <a:fillRect/>
                    </a:stretch>
                  </pic:blipFill>
                  <pic:spPr>
                    <a:xfrm>
                      <a:off x="0" y="0"/>
                      <a:ext cx="2609084" cy="2073780"/>
                    </a:xfrm>
                    <a:prstGeom prst="rect">
                      <a:avLst/>
                    </a:prstGeom>
                  </pic:spPr>
                </pic:pic>
              </a:graphicData>
            </a:graphic>
          </wp:inline>
        </w:drawing>
      </w:r>
    </w:p>
    <w:p w14:paraId="0B04DC37">
      <w:pPr>
        <w:spacing w:line="314" w:lineRule="auto"/>
        <w:rPr>
          <w:rFonts w:ascii="Arial"/>
          <w:sz w:val="21"/>
        </w:rPr>
      </w:pPr>
    </w:p>
    <w:p w14:paraId="499195D6">
      <w:pPr>
        <w:spacing w:line="314" w:lineRule="auto"/>
        <w:rPr>
          <w:rFonts w:ascii="Arial"/>
          <w:sz w:val="21"/>
        </w:rPr>
      </w:pPr>
    </w:p>
    <w:p w14:paraId="1E775EE1">
      <w:pPr>
        <w:spacing w:before="81" w:line="222" w:lineRule="auto"/>
        <w:ind w:left="699"/>
        <w:outlineLvl w:val="1"/>
        <w:rPr>
          <w:rFonts w:ascii="黑体" w:hAnsi="黑体" w:eastAsia="黑体" w:cs="黑体"/>
          <w:sz w:val="25"/>
          <w:szCs w:val="25"/>
        </w:rPr>
      </w:pPr>
      <w:bookmarkStart w:id="69" w:name="bookmark22"/>
      <w:bookmarkEnd w:id="69"/>
      <w:r>
        <w:rPr>
          <w:rFonts w:ascii="黑体" w:hAnsi="黑体" w:eastAsia="黑体" w:cs="黑体"/>
          <w:sz w:val="25"/>
          <w:szCs w:val="25"/>
        </w:rPr>
        <w:t>三、支出预算情况说明</w:t>
      </w:r>
    </w:p>
    <w:p w14:paraId="5D7232E6">
      <w:pPr>
        <w:spacing w:before="131" w:line="306" w:lineRule="auto"/>
        <w:ind w:left="732" w:right="805" w:firstLine="473"/>
        <w:rPr>
          <w:rFonts w:ascii="仿宋" w:hAnsi="仿宋" w:eastAsia="仿宋" w:cs="仿宋"/>
          <w:sz w:val="25"/>
          <w:szCs w:val="25"/>
        </w:rPr>
      </w:pPr>
      <w:r>
        <w:rPr>
          <w:rFonts w:ascii="仿宋" w:hAnsi="仿宋" w:eastAsia="仿宋" w:cs="仿宋"/>
          <w:sz w:val="25"/>
          <w:szCs w:val="25"/>
        </w:rPr>
        <w:t>2023年度支出预算250.39万元，其中：基本支出173.9万元，</w:t>
      </w:r>
      <w:r>
        <w:rPr>
          <w:rFonts w:ascii="仿宋" w:hAnsi="仿宋" w:eastAsia="仿宋" w:cs="仿宋"/>
          <w:spacing w:val="-63"/>
          <w:sz w:val="25"/>
          <w:szCs w:val="25"/>
        </w:rPr>
        <w:t xml:space="preserve"> </w:t>
      </w:r>
      <w:r>
        <w:rPr>
          <w:rFonts w:ascii="仿宋" w:hAnsi="仿宋" w:eastAsia="仿宋" w:cs="仿宋"/>
          <w:sz w:val="25"/>
          <w:szCs w:val="25"/>
        </w:rPr>
        <w:t xml:space="preserve">占69.45%；项目支 </w:t>
      </w:r>
      <w:r>
        <w:rPr>
          <w:rFonts w:ascii="仿宋" w:hAnsi="仿宋" w:eastAsia="仿宋" w:cs="仿宋"/>
          <w:spacing w:val="-5"/>
          <w:sz w:val="25"/>
          <w:szCs w:val="25"/>
        </w:rPr>
        <w:t>出76.49万元，</w:t>
      </w:r>
      <w:r>
        <w:rPr>
          <w:rFonts w:ascii="仿宋" w:hAnsi="仿宋" w:eastAsia="仿宋" w:cs="仿宋"/>
          <w:spacing w:val="-63"/>
          <w:sz w:val="25"/>
          <w:szCs w:val="25"/>
        </w:rPr>
        <w:t xml:space="preserve"> </w:t>
      </w:r>
      <w:r>
        <w:rPr>
          <w:rFonts w:ascii="仿宋" w:hAnsi="仿宋" w:eastAsia="仿宋" w:cs="仿宋"/>
          <w:spacing w:val="-5"/>
          <w:sz w:val="25"/>
          <w:szCs w:val="25"/>
        </w:rPr>
        <w:t>占30.55%。</w:t>
      </w:r>
    </w:p>
    <w:p w14:paraId="439879F0">
      <w:pPr>
        <w:spacing w:before="36" w:line="222" w:lineRule="auto"/>
        <w:ind w:left="714"/>
        <w:outlineLvl w:val="1"/>
        <w:rPr>
          <w:rFonts w:ascii="黑体" w:hAnsi="黑体" w:eastAsia="黑体" w:cs="黑体"/>
          <w:sz w:val="25"/>
          <w:szCs w:val="25"/>
        </w:rPr>
      </w:pPr>
      <w:bookmarkStart w:id="70" w:name="bookmark23"/>
      <w:bookmarkEnd w:id="70"/>
      <w:r>
        <w:rPr>
          <w:rFonts w:ascii="黑体" w:hAnsi="黑体" w:eastAsia="黑体" w:cs="黑体"/>
          <w:sz w:val="25"/>
          <w:szCs w:val="25"/>
        </w:rPr>
        <w:t>四、财政拨款收支预算总体情况说明</w:t>
      </w:r>
    </w:p>
    <w:p w14:paraId="2BBD758B">
      <w:pPr>
        <w:spacing w:before="132" w:line="311" w:lineRule="auto"/>
        <w:ind w:left="706" w:right="793" w:firstLine="499"/>
        <w:rPr>
          <w:rFonts w:ascii="仿宋" w:hAnsi="仿宋" w:eastAsia="仿宋" w:cs="仿宋"/>
          <w:sz w:val="25"/>
          <w:szCs w:val="25"/>
        </w:rPr>
      </w:pPr>
      <w:r>
        <w:rPr>
          <w:rFonts w:ascii="仿宋" w:hAnsi="仿宋" w:eastAsia="仿宋" w:cs="仿宋"/>
          <w:spacing w:val="1"/>
          <w:sz w:val="25"/>
          <w:szCs w:val="25"/>
        </w:rPr>
        <w:t>2023年度财政拨款收支总预算250.39万元。收入为一般公共预算拨款250.39万</w:t>
      </w:r>
      <w:r>
        <w:rPr>
          <w:rFonts w:ascii="仿宋" w:hAnsi="仿宋" w:eastAsia="仿宋" w:cs="仿宋"/>
          <w:spacing w:val="6"/>
          <w:sz w:val="25"/>
          <w:szCs w:val="25"/>
        </w:rPr>
        <w:t xml:space="preserve">  </w:t>
      </w:r>
      <w:r>
        <w:rPr>
          <w:rFonts w:ascii="仿宋" w:hAnsi="仿宋" w:eastAsia="仿宋" w:cs="仿宋"/>
          <w:sz w:val="25"/>
          <w:szCs w:val="25"/>
        </w:rPr>
        <w:t>元，政府性基金预算拨款0万元，</w:t>
      </w:r>
      <w:r>
        <w:rPr>
          <w:rFonts w:ascii="仿宋" w:hAnsi="仿宋" w:eastAsia="仿宋" w:cs="仿宋"/>
          <w:spacing w:val="-73"/>
          <w:sz w:val="25"/>
          <w:szCs w:val="25"/>
        </w:rPr>
        <w:t xml:space="preserve"> </w:t>
      </w:r>
      <w:r>
        <w:rPr>
          <w:rFonts w:ascii="仿宋" w:hAnsi="仿宋" w:eastAsia="仿宋" w:cs="仿宋"/>
          <w:sz w:val="25"/>
          <w:szCs w:val="25"/>
        </w:rPr>
        <w:t>国有资本经营预算拨款</w:t>
      </w:r>
      <w:r>
        <w:rPr>
          <w:rFonts w:ascii="仿宋" w:hAnsi="仿宋" w:eastAsia="仿宋" w:cs="仿宋"/>
          <w:spacing w:val="-1"/>
          <w:sz w:val="25"/>
          <w:szCs w:val="25"/>
        </w:rPr>
        <w:t>0万元。</w:t>
      </w:r>
      <w:r>
        <w:rPr>
          <w:rFonts w:ascii="仿宋" w:hAnsi="仿宋" w:eastAsia="仿宋" w:cs="仿宋"/>
          <w:spacing w:val="33"/>
          <w:sz w:val="25"/>
          <w:szCs w:val="25"/>
        </w:rPr>
        <w:t xml:space="preserve"> </w:t>
      </w:r>
      <w:r>
        <w:rPr>
          <w:rFonts w:ascii="仿宋" w:hAnsi="仿宋" w:eastAsia="仿宋" w:cs="仿宋"/>
          <w:spacing w:val="-1"/>
          <w:sz w:val="25"/>
          <w:szCs w:val="25"/>
        </w:rPr>
        <w:t>其中：当年拨款收</w:t>
      </w:r>
      <w:r>
        <w:rPr>
          <w:rFonts w:ascii="仿宋" w:hAnsi="仿宋" w:eastAsia="仿宋" w:cs="仿宋"/>
          <w:sz w:val="25"/>
          <w:szCs w:val="25"/>
        </w:rPr>
        <w:t xml:space="preserve"> </w:t>
      </w:r>
      <w:r>
        <w:rPr>
          <w:rFonts w:ascii="仿宋" w:hAnsi="仿宋" w:eastAsia="仿宋" w:cs="仿宋"/>
          <w:spacing w:val="1"/>
          <w:sz w:val="25"/>
          <w:szCs w:val="25"/>
        </w:rPr>
        <w:t>入250.39万元，上年结转收入0万元。支出包括：一般公共服务支出220.98万元、社</w:t>
      </w:r>
      <w:r>
        <w:rPr>
          <w:rFonts w:ascii="仿宋" w:hAnsi="仿宋" w:eastAsia="仿宋" w:cs="仿宋"/>
          <w:spacing w:val="18"/>
          <w:sz w:val="25"/>
          <w:szCs w:val="25"/>
        </w:rPr>
        <w:t xml:space="preserve"> </w:t>
      </w:r>
      <w:r>
        <w:rPr>
          <w:rFonts w:ascii="仿宋" w:hAnsi="仿宋" w:eastAsia="仿宋" w:cs="仿宋"/>
          <w:spacing w:val="1"/>
          <w:sz w:val="25"/>
          <w:szCs w:val="25"/>
        </w:rPr>
        <w:t>会保障和就业支出15.51万元、住房保障支出13.90万元。</w:t>
      </w:r>
    </w:p>
    <w:p w14:paraId="0F02E061">
      <w:pPr>
        <w:spacing w:before="44" w:line="222" w:lineRule="auto"/>
        <w:ind w:left="706"/>
        <w:outlineLvl w:val="1"/>
        <w:rPr>
          <w:rFonts w:ascii="黑体" w:hAnsi="黑体" w:eastAsia="黑体" w:cs="黑体"/>
          <w:sz w:val="25"/>
          <w:szCs w:val="25"/>
        </w:rPr>
      </w:pPr>
      <w:bookmarkStart w:id="71" w:name="bookmark24"/>
      <w:bookmarkEnd w:id="71"/>
      <w:r>
        <w:rPr>
          <w:rFonts w:ascii="黑体" w:hAnsi="黑体" w:eastAsia="黑体" w:cs="黑体"/>
          <w:sz w:val="25"/>
          <w:szCs w:val="25"/>
        </w:rPr>
        <w:t>五、一般公共预算支出情况说明</w:t>
      </w:r>
    </w:p>
    <w:p w14:paraId="665AEC00">
      <w:pPr>
        <w:spacing w:before="130" w:line="227" w:lineRule="auto"/>
        <w:ind w:left="1221"/>
        <w:rPr>
          <w:rFonts w:ascii="楷体" w:hAnsi="楷体" w:eastAsia="楷体" w:cs="楷体"/>
          <w:sz w:val="25"/>
          <w:szCs w:val="25"/>
        </w:rPr>
      </w:pPr>
      <w:r>
        <w:rPr>
          <w:rFonts w:ascii="楷体" w:hAnsi="楷体" w:eastAsia="楷体" w:cs="楷体"/>
          <w:sz w:val="25"/>
          <w:szCs w:val="25"/>
        </w:rPr>
        <w:t>（一）一般公共预算当年拨款规模变化情况</w:t>
      </w:r>
    </w:p>
    <w:p w14:paraId="4E2C271D">
      <w:pPr>
        <w:spacing w:line="227" w:lineRule="auto"/>
        <w:rPr>
          <w:rFonts w:ascii="楷体" w:hAnsi="楷体" w:eastAsia="楷体" w:cs="楷体"/>
          <w:sz w:val="25"/>
          <w:szCs w:val="25"/>
        </w:rPr>
        <w:sectPr>
          <w:footerReference r:id="rId26" w:type="default"/>
          <w:pgSz w:w="11900" w:h="16840"/>
          <w:pgMar w:top="610" w:right="600" w:bottom="312" w:left="600" w:header="357" w:footer="153" w:gutter="0"/>
          <w:cols w:space="720" w:num="1"/>
        </w:sectPr>
      </w:pPr>
    </w:p>
    <w:p w14:paraId="3531DB62">
      <w:pPr>
        <w:spacing w:line="361" w:lineRule="auto"/>
        <w:rPr>
          <w:rFonts w:ascii="Arial"/>
          <w:sz w:val="21"/>
        </w:rPr>
      </w:pPr>
    </w:p>
    <w:p w14:paraId="1EBCEB45">
      <w:pPr>
        <w:spacing w:before="82" w:line="311" w:lineRule="auto"/>
        <w:ind w:left="701" w:right="1165" w:firstLine="505"/>
        <w:rPr>
          <w:rFonts w:ascii="仿宋" w:hAnsi="仿宋" w:eastAsia="仿宋" w:cs="仿宋"/>
          <w:sz w:val="25"/>
          <w:szCs w:val="25"/>
        </w:rPr>
      </w:pPr>
      <w:r>
        <w:rPr>
          <w:rFonts w:ascii="仿宋" w:hAnsi="仿宋" w:eastAsia="仿宋" w:cs="仿宋"/>
          <w:spacing w:val="1"/>
          <w:sz w:val="25"/>
          <w:szCs w:val="25"/>
        </w:rPr>
        <w:t>2023 年度一般公共预算当年拨款250.</w:t>
      </w:r>
      <w:r>
        <w:rPr>
          <w:rFonts w:ascii="仿宋" w:hAnsi="仿宋" w:eastAsia="仿宋" w:cs="仿宋"/>
          <w:sz w:val="25"/>
          <w:szCs w:val="25"/>
        </w:rPr>
        <w:t>39万元,比上年增加94.74万元</w:t>
      </w:r>
      <w:r>
        <w:rPr>
          <w:rFonts w:ascii="仿宋" w:hAnsi="仿宋" w:eastAsia="仿宋" w:cs="仿宋"/>
          <w:spacing w:val="56"/>
          <w:sz w:val="25"/>
          <w:szCs w:val="25"/>
        </w:rPr>
        <w:t xml:space="preserve"> </w:t>
      </w:r>
      <w:r>
        <w:rPr>
          <w:rFonts w:ascii="仿宋" w:hAnsi="仿宋" w:eastAsia="仿宋" w:cs="仿宋"/>
          <w:sz w:val="25"/>
          <w:szCs w:val="25"/>
        </w:rPr>
        <w:t xml:space="preserve">，增加 </w:t>
      </w:r>
      <w:r>
        <w:rPr>
          <w:rFonts w:ascii="仿宋" w:hAnsi="仿宋" w:eastAsia="仿宋" w:cs="仿宋"/>
          <w:spacing w:val="-1"/>
          <w:sz w:val="25"/>
          <w:szCs w:val="25"/>
        </w:rPr>
        <w:t>60.87%。</w:t>
      </w:r>
    </w:p>
    <w:p w14:paraId="2D3E17CF">
      <w:pPr>
        <w:spacing w:before="21" w:line="227" w:lineRule="auto"/>
        <w:ind w:left="1221"/>
        <w:rPr>
          <w:rFonts w:ascii="楷体" w:hAnsi="楷体" w:eastAsia="楷体" w:cs="楷体"/>
          <w:sz w:val="25"/>
          <w:szCs w:val="25"/>
        </w:rPr>
      </w:pPr>
      <w:r>
        <w:rPr>
          <w:rFonts w:ascii="楷体" w:hAnsi="楷体" w:eastAsia="楷体" w:cs="楷体"/>
          <w:sz w:val="25"/>
          <w:szCs w:val="25"/>
        </w:rPr>
        <w:t>（二）一般公共预算当年拨款结构情况</w:t>
      </w:r>
    </w:p>
    <w:p w14:paraId="5589B3A3">
      <w:pPr>
        <w:spacing w:before="123" w:line="296" w:lineRule="auto"/>
        <w:ind w:left="706" w:right="805" w:firstLine="499"/>
        <w:rPr>
          <w:rFonts w:ascii="仿宋" w:hAnsi="仿宋" w:eastAsia="仿宋" w:cs="仿宋"/>
          <w:sz w:val="25"/>
          <w:szCs w:val="25"/>
        </w:rPr>
      </w:pPr>
      <w:r>
        <w:rPr>
          <w:rFonts w:ascii="仿宋" w:hAnsi="仿宋" w:eastAsia="仿宋" w:cs="仿宋"/>
          <w:spacing w:val="2"/>
          <w:sz w:val="25"/>
          <w:szCs w:val="25"/>
        </w:rPr>
        <w:t>2023年度一般公共预算当年拨款250.39</w:t>
      </w:r>
      <w:r>
        <w:rPr>
          <w:rFonts w:ascii="仿宋" w:hAnsi="仿宋" w:eastAsia="仿宋" w:cs="仿宋"/>
          <w:spacing w:val="1"/>
          <w:sz w:val="25"/>
          <w:szCs w:val="25"/>
        </w:rPr>
        <w:t>万元,主要用于以下方面：一般公共服务</w:t>
      </w:r>
      <w:r>
        <w:rPr>
          <w:rFonts w:ascii="仿宋" w:hAnsi="仿宋" w:eastAsia="仿宋" w:cs="仿宋"/>
          <w:sz w:val="25"/>
          <w:szCs w:val="25"/>
        </w:rPr>
        <w:t xml:space="preserve"> </w:t>
      </w:r>
      <w:r>
        <w:rPr>
          <w:rFonts w:ascii="仿宋" w:hAnsi="仿宋" w:eastAsia="仿宋" w:cs="仿宋"/>
          <w:spacing w:val="-1"/>
          <w:sz w:val="25"/>
          <w:szCs w:val="25"/>
        </w:rPr>
        <w:t>支出220.98万元，</w:t>
      </w:r>
      <w:r>
        <w:rPr>
          <w:rFonts w:ascii="仿宋" w:hAnsi="仿宋" w:eastAsia="仿宋" w:cs="仿宋"/>
          <w:spacing w:val="-63"/>
          <w:sz w:val="25"/>
          <w:szCs w:val="25"/>
        </w:rPr>
        <w:t xml:space="preserve"> </w:t>
      </w:r>
      <w:r>
        <w:rPr>
          <w:rFonts w:ascii="仿宋" w:hAnsi="仿宋" w:eastAsia="仿宋" w:cs="仿宋"/>
          <w:spacing w:val="-1"/>
          <w:sz w:val="25"/>
          <w:szCs w:val="25"/>
        </w:rPr>
        <w:t>占88.25%；社会保障和就业支出15.51万元，</w:t>
      </w:r>
      <w:r>
        <w:rPr>
          <w:rFonts w:ascii="仿宋" w:hAnsi="仿宋" w:eastAsia="仿宋" w:cs="仿宋"/>
          <w:spacing w:val="-64"/>
          <w:sz w:val="25"/>
          <w:szCs w:val="25"/>
        </w:rPr>
        <w:t xml:space="preserve"> </w:t>
      </w:r>
      <w:r>
        <w:rPr>
          <w:rFonts w:ascii="仿宋" w:hAnsi="仿宋" w:eastAsia="仿宋" w:cs="仿宋"/>
          <w:spacing w:val="-1"/>
          <w:sz w:val="25"/>
          <w:szCs w:val="25"/>
        </w:rPr>
        <w:t>占</w:t>
      </w:r>
      <w:r>
        <w:rPr>
          <w:rFonts w:ascii="仿宋" w:hAnsi="仿宋" w:eastAsia="仿宋" w:cs="仿宋"/>
          <w:spacing w:val="-2"/>
          <w:sz w:val="25"/>
          <w:szCs w:val="25"/>
        </w:rPr>
        <w:t>6.19%；住房保障</w:t>
      </w:r>
      <w:r>
        <w:rPr>
          <w:rFonts w:ascii="仿宋" w:hAnsi="仿宋" w:eastAsia="仿宋" w:cs="仿宋"/>
          <w:sz w:val="25"/>
          <w:szCs w:val="25"/>
        </w:rPr>
        <w:t xml:space="preserve">  </w:t>
      </w:r>
      <w:r>
        <w:rPr>
          <w:rFonts w:ascii="仿宋" w:hAnsi="仿宋" w:eastAsia="仿宋" w:cs="仿宋"/>
          <w:spacing w:val="-3"/>
          <w:sz w:val="25"/>
          <w:szCs w:val="25"/>
        </w:rPr>
        <w:t>支出13.90万元，</w:t>
      </w:r>
      <w:r>
        <w:rPr>
          <w:rFonts w:ascii="仿宋" w:hAnsi="仿宋" w:eastAsia="仿宋" w:cs="仿宋"/>
          <w:spacing w:val="-64"/>
          <w:sz w:val="25"/>
          <w:szCs w:val="25"/>
        </w:rPr>
        <w:t xml:space="preserve"> </w:t>
      </w:r>
      <w:r>
        <w:rPr>
          <w:rFonts w:ascii="仿宋" w:hAnsi="仿宋" w:eastAsia="仿宋" w:cs="仿宋"/>
          <w:spacing w:val="-3"/>
          <w:sz w:val="25"/>
          <w:szCs w:val="25"/>
        </w:rPr>
        <w:t>占5.55%。</w:t>
      </w:r>
    </w:p>
    <w:p w14:paraId="104DC38D">
      <w:pPr>
        <w:spacing w:line="2944" w:lineRule="exact"/>
        <w:ind w:firstLine="3143"/>
      </w:pPr>
      <w:r>
        <w:rPr>
          <w:position w:val="-58"/>
        </w:rPr>
        <w:drawing>
          <wp:inline distT="0" distB="0" distL="0" distR="0">
            <wp:extent cx="2595880" cy="186944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40"/>
                    <a:stretch>
                      <a:fillRect/>
                    </a:stretch>
                  </pic:blipFill>
                  <pic:spPr>
                    <a:xfrm>
                      <a:off x="0" y="0"/>
                      <a:ext cx="2596419" cy="1869737"/>
                    </a:xfrm>
                    <a:prstGeom prst="rect">
                      <a:avLst/>
                    </a:prstGeom>
                  </pic:spPr>
                </pic:pic>
              </a:graphicData>
            </a:graphic>
          </wp:inline>
        </w:drawing>
      </w:r>
    </w:p>
    <w:p w14:paraId="47A56D16">
      <w:pPr>
        <w:spacing w:line="333" w:lineRule="auto"/>
        <w:rPr>
          <w:rFonts w:ascii="Arial"/>
          <w:sz w:val="21"/>
        </w:rPr>
      </w:pPr>
    </w:p>
    <w:p w14:paraId="1568CDC2">
      <w:pPr>
        <w:spacing w:line="334" w:lineRule="auto"/>
        <w:rPr>
          <w:rFonts w:ascii="Arial"/>
          <w:sz w:val="21"/>
        </w:rPr>
      </w:pPr>
    </w:p>
    <w:p w14:paraId="7CB97AAB">
      <w:pPr>
        <w:spacing w:before="81" w:line="222" w:lineRule="auto"/>
        <w:ind w:left="707"/>
        <w:outlineLvl w:val="1"/>
        <w:rPr>
          <w:rFonts w:ascii="黑体" w:hAnsi="黑体" w:eastAsia="黑体" w:cs="黑体"/>
          <w:sz w:val="25"/>
          <w:szCs w:val="25"/>
        </w:rPr>
      </w:pPr>
      <w:bookmarkStart w:id="72" w:name="bookmark25"/>
      <w:bookmarkEnd w:id="72"/>
      <w:r>
        <w:rPr>
          <w:rFonts w:ascii="黑体" w:hAnsi="黑体" w:eastAsia="黑体" w:cs="黑体"/>
          <w:sz w:val="25"/>
          <w:szCs w:val="25"/>
        </w:rPr>
        <w:t>六、一般公共预算基本支出情况说明</w:t>
      </w:r>
    </w:p>
    <w:p w14:paraId="3BC881E4">
      <w:pPr>
        <w:spacing w:before="131" w:line="223" w:lineRule="auto"/>
        <w:ind w:left="1206"/>
        <w:rPr>
          <w:rFonts w:ascii="仿宋" w:hAnsi="仿宋" w:eastAsia="仿宋" w:cs="仿宋"/>
          <w:sz w:val="25"/>
          <w:szCs w:val="25"/>
        </w:rPr>
      </w:pPr>
      <w:r>
        <w:rPr>
          <w:rFonts w:ascii="仿宋" w:hAnsi="仿宋" w:eastAsia="仿宋" w:cs="仿宋"/>
          <w:sz w:val="25"/>
          <w:szCs w:val="25"/>
        </w:rPr>
        <w:t>2023 年度一般公共预算基本支出</w:t>
      </w:r>
      <w:r>
        <w:rPr>
          <w:rFonts w:ascii="仿宋" w:hAnsi="仿宋" w:eastAsia="仿宋" w:cs="仿宋"/>
          <w:spacing w:val="32"/>
          <w:sz w:val="25"/>
          <w:szCs w:val="25"/>
        </w:rPr>
        <w:t xml:space="preserve"> </w:t>
      </w:r>
      <w:r>
        <w:rPr>
          <w:rFonts w:ascii="仿宋" w:hAnsi="仿宋" w:eastAsia="仿宋" w:cs="仿宋"/>
          <w:sz w:val="25"/>
          <w:szCs w:val="25"/>
        </w:rPr>
        <w:t>173.90万元，其中：</w:t>
      </w:r>
    </w:p>
    <w:p w14:paraId="2FA200D0">
      <w:pPr>
        <w:spacing w:before="131" w:line="222" w:lineRule="auto"/>
        <w:ind w:left="1215"/>
        <w:rPr>
          <w:rFonts w:ascii="仿宋" w:hAnsi="仿宋" w:eastAsia="仿宋" w:cs="仿宋"/>
          <w:sz w:val="25"/>
          <w:szCs w:val="25"/>
        </w:rPr>
      </w:pPr>
      <w:r>
        <w:rPr>
          <w:rFonts w:ascii="仿宋" w:hAnsi="仿宋" w:eastAsia="仿宋" w:cs="仿宋"/>
          <w:spacing w:val="1"/>
          <w:sz w:val="25"/>
          <w:szCs w:val="25"/>
        </w:rPr>
        <w:t>人员经费150.22万元，主要包括：其他社会保障缴费、生活补助、基本工</w:t>
      </w:r>
    </w:p>
    <w:p w14:paraId="51889E90">
      <w:pPr>
        <w:spacing w:before="130" w:line="304" w:lineRule="auto"/>
        <w:ind w:left="714" w:right="1189" w:firstLine="4"/>
        <w:rPr>
          <w:rFonts w:ascii="仿宋" w:hAnsi="仿宋" w:eastAsia="仿宋" w:cs="仿宋"/>
          <w:sz w:val="25"/>
          <w:szCs w:val="25"/>
        </w:rPr>
      </w:pPr>
      <w:r>
        <w:rPr>
          <w:rFonts w:ascii="仿宋" w:hAnsi="仿宋" w:eastAsia="仿宋" w:cs="仿宋"/>
          <w:spacing w:val="1"/>
          <w:sz w:val="25"/>
          <w:szCs w:val="25"/>
        </w:rPr>
        <w:t>资、机关事业单位基本养老保险缴费、奖金、住房公积金、职工基本医疗保险缴</w:t>
      </w:r>
      <w:r>
        <w:rPr>
          <w:rFonts w:ascii="仿宋" w:hAnsi="仿宋" w:eastAsia="仿宋" w:cs="仿宋"/>
          <w:spacing w:val="4"/>
          <w:sz w:val="25"/>
          <w:szCs w:val="25"/>
        </w:rPr>
        <w:t xml:space="preserve"> </w:t>
      </w:r>
      <w:r>
        <w:rPr>
          <w:rFonts w:ascii="仿宋" w:hAnsi="仿宋" w:eastAsia="仿宋" w:cs="仿宋"/>
          <w:spacing w:val="-2"/>
          <w:sz w:val="25"/>
          <w:szCs w:val="25"/>
        </w:rPr>
        <w:t>费、津贴补贴等；</w:t>
      </w:r>
    </w:p>
    <w:p w14:paraId="047C371C">
      <w:pPr>
        <w:spacing w:before="41" w:line="304" w:lineRule="auto"/>
        <w:ind w:left="707" w:right="805" w:firstLine="508"/>
        <w:rPr>
          <w:rFonts w:ascii="仿宋" w:hAnsi="仿宋" w:eastAsia="仿宋" w:cs="仿宋"/>
          <w:sz w:val="25"/>
          <w:szCs w:val="25"/>
        </w:rPr>
      </w:pPr>
      <w:r>
        <w:rPr>
          <w:rFonts w:ascii="仿宋" w:hAnsi="仿宋" w:eastAsia="仿宋" w:cs="仿宋"/>
          <w:spacing w:val="1"/>
          <w:sz w:val="25"/>
          <w:szCs w:val="25"/>
        </w:rPr>
        <w:t>公用经费23.68万元，主要包括：印刷费、办公费、邮电费、电费、福利费、其</w:t>
      </w:r>
      <w:r>
        <w:rPr>
          <w:rFonts w:ascii="仿宋" w:hAnsi="仿宋" w:eastAsia="仿宋" w:cs="仿宋"/>
          <w:spacing w:val="15"/>
          <w:sz w:val="25"/>
          <w:szCs w:val="25"/>
        </w:rPr>
        <w:t xml:space="preserve"> </w:t>
      </w:r>
      <w:r>
        <w:rPr>
          <w:rFonts w:ascii="仿宋" w:hAnsi="仿宋" w:eastAsia="仿宋" w:cs="仿宋"/>
          <w:spacing w:val="1"/>
          <w:sz w:val="25"/>
          <w:szCs w:val="25"/>
        </w:rPr>
        <w:t>他交通费用、工会经费、差旅费、水费、劳务费等。</w:t>
      </w:r>
    </w:p>
    <w:p w14:paraId="343E5105">
      <w:pPr>
        <w:spacing w:before="42" w:line="222" w:lineRule="auto"/>
        <w:ind w:left="693"/>
        <w:outlineLvl w:val="1"/>
        <w:rPr>
          <w:rFonts w:ascii="黑体" w:hAnsi="黑体" w:eastAsia="黑体" w:cs="黑体"/>
          <w:sz w:val="25"/>
          <w:szCs w:val="25"/>
        </w:rPr>
      </w:pPr>
      <w:bookmarkStart w:id="73" w:name="bookmark26"/>
      <w:bookmarkEnd w:id="73"/>
      <w:r>
        <w:rPr>
          <w:rFonts w:ascii="黑体" w:hAnsi="黑体" w:eastAsia="黑体" w:cs="黑体"/>
          <w:spacing w:val="1"/>
          <w:sz w:val="25"/>
          <w:szCs w:val="25"/>
        </w:rPr>
        <w:t>七、“三公”经费增减变动原因说明</w:t>
      </w:r>
    </w:p>
    <w:p w14:paraId="59E5D146">
      <w:pPr>
        <w:spacing w:before="131" w:line="222" w:lineRule="auto"/>
        <w:ind w:left="1211"/>
        <w:rPr>
          <w:rFonts w:ascii="仿宋" w:hAnsi="仿宋" w:eastAsia="仿宋" w:cs="仿宋"/>
          <w:sz w:val="25"/>
          <w:szCs w:val="25"/>
        </w:rPr>
      </w:pPr>
      <w:r>
        <w:rPr>
          <w:rFonts w:ascii="仿宋" w:hAnsi="仿宋" w:eastAsia="仿宋" w:cs="仿宋"/>
          <w:spacing w:val="-3"/>
          <w:sz w:val="25"/>
          <w:szCs w:val="25"/>
        </w:rPr>
        <w:t>本单位无“三公</w:t>
      </w:r>
      <w:r>
        <w:rPr>
          <w:rFonts w:ascii="仿宋" w:hAnsi="仿宋" w:eastAsia="仿宋" w:cs="仿宋"/>
          <w:spacing w:val="-82"/>
          <w:sz w:val="25"/>
          <w:szCs w:val="25"/>
        </w:rPr>
        <w:t xml:space="preserve"> </w:t>
      </w:r>
      <w:r>
        <w:rPr>
          <w:rFonts w:ascii="仿宋" w:hAnsi="仿宋" w:eastAsia="仿宋" w:cs="仿宋"/>
          <w:spacing w:val="-3"/>
          <w:sz w:val="25"/>
          <w:szCs w:val="25"/>
        </w:rPr>
        <w:t>”经费预算。</w:t>
      </w:r>
    </w:p>
    <w:p w14:paraId="1E41F4A7">
      <w:pPr>
        <w:spacing w:before="132" w:line="222" w:lineRule="auto"/>
        <w:ind w:left="694"/>
        <w:outlineLvl w:val="1"/>
        <w:rPr>
          <w:rFonts w:ascii="黑体" w:hAnsi="黑体" w:eastAsia="黑体" w:cs="黑体"/>
          <w:sz w:val="25"/>
          <w:szCs w:val="25"/>
        </w:rPr>
      </w:pPr>
      <w:bookmarkStart w:id="74" w:name="bookmark27"/>
      <w:bookmarkEnd w:id="74"/>
      <w:r>
        <w:rPr>
          <w:rFonts w:ascii="黑体" w:hAnsi="黑体" w:eastAsia="黑体" w:cs="黑体"/>
          <w:spacing w:val="1"/>
          <w:sz w:val="25"/>
          <w:szCs w:val="25"/>
        </w:rPr>
        <w:t>八、机关运行经费增减变动原因说明</w:t>
      </w:r>
    </w:p>
    <w:p w14:paraId="629AA246">
      <w:pPr>
        <w:spacing w:before="131" w:line="304" w:lineRule="auto"/>
        <w:ind w:left="706" w:right="937" w:firstLine="500"/>
        <w:rPr>
          <w:rFonts w:ascii="仿宋" w:hAnsi="仿宋" w:eastAsia="仿宋" w:cs="仿宋"/>
          <w:sz w:val="25"/>
          <w:szCs w:val="25"/>
        </w:rPr>
      </w:pPr>
      <w:r>
        <w:rPr>
          <w:rFonts w:ascii="仿宋" w:hAnsi="仿宋" w:eastAsia="仿宋" w:cs="仿宋"/>
          <w:spacing w:val="1"/>
          <w:sz w:val="25"/>
          <w:szCs w:val="25"/>
        </w:rPr>
        <w:t>2023年机关运行经费23.68万元，2022年机关运行经费21.65万元，比2022年增</w:t>
      </w:r>
      <w:r>
        <w:rPr>
          <w:rFonts w:ascii="仿宋" w:hAnsi="仿宋" w:eastAsia="仿宋" w:cs="仿宋"/>
          <w:spacing w:val="10"/>
          <w:sz w:val="25"/>
          <w:szCs w:val="25"/>
        </w:rPr>
        <w:t xml:space="preserve"> </w:t>
      </w:r>
      <w:r>
        <w:rPr>
          <w:rFonts w:ascii="仿宋" w:hAnsi="仿宋" w:eastAsia="仿宋" w:cs="仿宋"/>
          <w:spacing w:val="1"/>
          <w:sz w:val="25"/>
          <w:szCs w:val="25"/>
        </w:rPr>
        <w:t>加2.03万元，比2022年增加9.38%，原因：工会经费、福利经费增加</w:t>
      </w:r>
    </w:p>
    <w:p w14:paraId="6E1E8864">
      <w:pPr>
        <w:spacing w:before="40" w:line="225" w:lineRule="auto"/>
        <w:ind w:left="700"/>
        <w:outlineLvl w:val="1"/>
        <w:rPr>
          <w:rFonts w:ascii="黑体" w:hAnsi="黑体" w:eastAsia="黑体" w:cs="黑体"/>
          <w:sz w:val="25"/>
          <w:szCs w:val="25"/>
        </w:rPr>
      </w:pPr>
      <w:bookmarkStart w:id="75" w:name="bookmark28"/>
      <w:bookmarkEnd w:id="75"/>
      <w:r>
        <w:rPr>
          <w:rFonts w:ascii="黑体" w:hAnsi="黑体" w:eastAsia="黑体" w:cs="黑体"/>
          <w:spacing w:val="-1"/>
          <w:sz w:val="25"/>
          <w:szCs w:val="25"/>
        </w:rPr>
        <w:t>九、政府采购情况</w:t>
      </w:r>
    </w:p>
    <w:p w14:paraId="4C2D9E0A">
      <w:pPr>
        <w:spacing w:before="129" w:line="222" w:lineRule="auto"/>
        <w:ind w:left="1206"/>
        <w:rPr>
          <w:rFonts w:ascii="仿宋" w:hAnsi="仿宋" w:eastAsia="仿宋" w:cs="仿宋"/>
          <w:sz w:val="25"/>
          <w:szCs w:val="25"/>
        </w:rPr>
      </w:pPr>
      <w:r>
        <w:rPr>
          <w:rFonts w:ascii="仿宋" w:hAnsi="仿宋" w:eastAsia="仿宋" w:cs="仿宋"/>
          <w:spacing w:val="2"/>
          <w:sz w:val="25"/>
          <w:szCs w:val="25"/>
        </w:rPr>
        <w:t>2023年古县行政审批服务管理局部门各单位政府采购预算总额1.32万元</w:t>
      </w:r>
      <w:r>
        <w:rPr>
          <w:rFonts w:ascii="仿宋" w:hAnsi="仿宋" w:eastAsia="仿宋" w:cs="仿宋"/>
          <w:spacing w:val="1"/>
          <w:sz w:val="25"/>
          <w:szCs w:val="25"/>
        </w:rPr>
        <w:t>。其</w:t>
      </w:r>
    </w:p>
    <w:p w14:paraId="4D56379E">
      <w:pPr>
        <w:spacing w:before="131" w:line="306" w:lineRule="auto"/>
        <w:ind w:left="710" w:right="793" w:firstLine="28"/>
        <w:rPr>
          <w:rFonts w:ascii="仿宋" w:hAnsi="仿宋" w:eastAsia="仿宋" w:cs="仿宋"/>
          <w:sz w:val="25"/>
          <w:szCs w:val="25"/>
        </w:rPr>
      </w:pPr>
      <w:r>
        <w:rPr>
          <w:rFonts w:ascii="仿宋" w:hAnsi="仿宋" w:eastAsia="仿宋" w:cs="仿宋"/>
          <w:spacing w:val="1"/>
          <w:sz w:val="25"/>
          <w:szCs w:val="25"/>
        </w:rPr>
        <w:t xml:space="preserve">中：政府采购货物预算1.32万元、政府采购工程预算 0万元、政府采购服务预算0万 </w:t>
      </w:r>
      <w:r>
        <w:rPr>
          <w:rFonts w:ascii="仿宋" w:hAnsi="仿宋" w:eastAsia="仿宋" w:cs="仿宋"/>
          <w:spacing w:val="-11"/>
          <w:sz w:val="25"/>
          <w:szCs w:val="25"/>
        </w:rPr>
        <w:t>元。</w:t>
      </w:r>
    </w:p>
    <w:p w14:paraId="742A5907">
      <w:pPr>
        <w:spacing w:before="36" w:line="222" w:lineRule="auto"/>
        <w:ind w:left="697"/>
        <w:outlineLvl w:val="1"/>
        <w:rPr>
          <w:rFonts w:ascii="黑体" w:hAnsi="黑体" w:eastAsia="黑体" w:cs="黑体"/>
          <w:sz w:val="25"/>
          <w:szCs w:val="25"/>
        </w:rPr>
      </w:pPr>
      <w:bookmarkStart w:id="76" w:name="bookmark29"/>
      <w:bookmarkEnd w:id="76"/>
      <w:r>
        <w:rPr>
          <w:rFonts w:ascii="黑体" w:hAnsi="黑体" w:eastAsia="黑体" w:cs="黑体"/>
          <w:sz w:val="25"/>
          <w:szCs w:val="25"/>
        </w:rPr>
        <w:t>十、绩效管理情况</w:t>
      </w:r>
    </w:p>
    <w:p w14:paraId="5889A7E5">
      <w:pPr>
        <w:spacing w:before="130" w:line="224" w:lineRule="auto"/>
        <w:ind w:left="1221"/>
        <w:rPr>
          <w:rFonts w:ascii="仿宋" w:hAnsi="仿宋" w:eastAsia="仿宋" w:cs="仿宋"/>
          <w:sz w:val="25"/>
          <w:szCs w:val="25"/>
        </w:rPr>
      </w:pPr>
      <w:r>
        <w:rPr>
          <w:rFonts w:ascii="仿宋" w:hAnsi="仿宋" w:eastAsia="仿宋" w:cs="仿宋"/>
          <w:spacing w:val="-2"/>
          <w:sz w:val="25"/>
          <w:szCs w:val="25"/>
        </w:rPr>
        <w:t>1、绩效管理情况</w:t>
      </w:r>
    </w:p>
    <w:p w14:paraId="6F902A2B">
      <w:pPr>
        <w:spacing w:before="129" w:line="284" w:lineRule="auto"/>
        <w:ind w:left="713" w:right="805" w:firstLine="492"/>
        <w:rPr>
          <w:rFonts w:ascii="仿宋" w:hAnsi="仿宋" w:eastAsia="仿宋" w:cs="仿宋"/>
          <w:sz w:val="25"/>
          <w:szCs w:val="25"/>
        </w:rPr>
      </w:pPr>
      <w:r>
        <w:rPr>
          <w:rFonts w:ascii="仿宋" w:hAnsi="仿宋" w:eastAsia="仿宋" w:cs="仿宋"/>
          <w:spacing w:val="2"/>
          <w:sz w:val="25"/>
          <w:szCs w:val="25"/>
        </w:rPr>
        <w:t>2023年古县行政审批服务管理局单位实行绩效目标管</w:t>
      </w:r>
      <w:r>
        <w:rPr>
          <w:rFonts w:ascii="仿宋" w:hAnsi="仿宋" w:eastAsia="仿宋" w:cs="仿宋"/>
          <w:spacing w:val="1"/>
          <w:sz w:val="25"/>
          <w:szCs w:val="25"/>
        </w:rPr>
        <w:t>理的项目6个，涉及一般公</w:t>
      </w:r>
      <w:r>
        <w:rPr>
          <w:rFonts w:ascii="仿宋" w:hAnsi="仿宋" w:eastAsia="仿宋" w:cs="仿宋"/>
          <w:sz w:val="25"/>
          <w:szCs w:val="25"/>
        </w:rPr>
        <w:t xml:space="preserve"> 共预算当年拨款76.49万元。</w:t>
      </w:r>
    </w:p>
    <w:p w14:paraId="496AF8D1">
      <w:pPr>
        <w:spacing w:line="84" w:lineRule="exact"/>
        <w:ind w:firstLine="690"/>
      </w:pPr>
      <w:r>
        <w:rPr>
          <w:position w:val="-1"/>
        </w:rPr>
        <w:drawing>
          <wp:inline distT="0" distB="0" distL="0" distR="0">
            <wp:extent cx="5914390" cy="5334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1"/>
                    <a:stretch>
                      <a:fillRect/>
                    </a:stretch>
                  </pic:blipFill>
                  <pic:spPr>
                    <a:xfrm>
                      <a:off x="0" y="0"/>
                      <a:ext cx="5914769" cy="53355"/>
                    </a:xfrm>
                    <a:prstGeom prst="rect">
                      <a:avLst/>
                    </a:prstGeom>
                  </pic:spPr>
                </pic:pic>
              </a:graphicData>
            </a:graphic>
          </wp:inline>
        </w:drawing>
      </w:r>
    </w:p>
    <w:p w14:paraId="024B5F8B">
      <w:pPr>
        <w:spacing w:line="84" w:lineRule="exact"/>
        <w:sectPr>
          <w:footerReference r:id="rId27" w:type="default"/>
          <w:pgSz w:w="11900" w:h="16840"/>
          <w:pgMar w:top="610" w:right="600" w:bottom="312" w:left="600" w:header="357" w:footer="153" w:gutter="0"/>
          <w:cols w:space="720" w:num="1"/>
        </w:sectPr>
      </w:pPr>
    </w:p>
    <w:p w14:paraId="1CD64199">
      <w:pPr>
        <w:spacing w:line="278" w:lineRule="auto"/>
        <w:rPr>
          <w:rFonts w:ascii="Arial"/>
          <w:sz w:val="21"/>
        </w:rPr>
      </w:pPr>
    </w:p>
    <w:p w14:paraId="07A6A793">
      <w:pPr>
        <w:spacing w:before="81" w:line="224" w:lineRule="auto"/>
        <w:ind w:left="1206"/>
        <w:rPr>
          <w:rFonts w:ascii="仿宋" w:hAnsi="仿宋" w:eastAsia="仿宋" w:cs="仿宋"/>
          <w:sz w:val="25"/>
          <w:szCs w:val="25"/>
        </w:rPr>
      </w:pPr>
      <w:r>
        <w:rPr>
          <w:rFonts w:ascii="仿宋" w:hAnsi="仿宋" w:eastAsia="仿宋" w:cs="仿宋"/>
          <w:sz w:val="25"/>
          <w:szCs w:val="25"/>
        </w:rPr>
        <w:t>2、绩效目标情况（附表说明）</w:t>
      </w:r>
    </w:p>
    <w:p w14:paraId="04CA7C6A">
      <w:pPr>
        <w:spacing w:before="128" w:line="304" w:lineRule="auto"/>
        <w:ind w:left="706" w:right="937" w:firstLine="499"/>
        <w:rPr>
          <w:rFonts w:ascii="仿宋" w:hAnsi="仿宋" w:eastAsia="仿宋" w:cs="仿宋"/>
          <w:sz w:val="25"/>
          <w:szCs w:val="25"/>
        </w:rPr>
      </w:pPr>
      <w:r>
        <w:rPr>
          <w:rFonts w:ascii="仿宋" w:hAnsi="仿宋" w:eastAsia="仿宋" w:cs="仿宋"/>
          <w:spacing w:val="1"/>
          <w:sz w:val="25"/>
          <w:szCs w:val="25"/>
        </w:rPr>
        <w:t>2023年审批局项目绩效：专家评审费10万元、政府刻制企业印章10万元、大厅</w:t>
      </w:r>
      <w:r>
        <w:rPr>
          <w:rFonts w:ascii="仿宋" w:hAnsi="仿宋" w:eastAsia="仿宋" w:cs="仿宋"/>
          <w:spacing w:val="17"/>
          <w:sz w:val="25"/>
          <w:szCs w:val="25"/>
        </w:rPr>
        <w:t xml:space="preserve"> </w:t>
      </w:r>
      <w:r>
        <w:rPr>
          <w:rFonts w:ascii="仿宋" w:hAnsi="仿宋" w:eastAsia="仿宋" w:cs="仿宋"/>
          <w:spacing w:val="1"/>
          <w:sz w:val="25"/>
          <w:szCs w:val="25"/>
        </w:rPr>
        <w:t>业务费39万元、网络维护费5万元、劳务派遣经费12万元、党报党刊0.49万元</w:t>
      </w:r>
    </w:p>
    <w:p w14:paraId="616EB4B1">
      <w:pPr>
        <w:spacing w:line="304" w:lineRule="auto"/>
        <w:rPr>
          <w:rFonts w:ascii="仿宋" w:hAnsi="仿宋" w:eastAsia="仿宋" w:cs="仿宋"/>
          <w:sz w:val="25"/>
          <w:szCs w:val="25"/>
        </w:rPr>
        <w:sectPr>
          <w:footerReference r:id="rId28" w:type="default"/>
          <w:pgSz w:w="11900" w:h="16840"/>
          <w:pgMar w:top="610" w:right="600" w:bottom="312" w:left="600" w:header="357" w:footer="153" w:gutter="0"/>
          <w:cols w:space="720" w:num="1"/>
        </w:sectPr>
      </w:pPr>
    </w:p>
    <w:p w14:paraId="6B82E3CB">
      <w:pPr>
        <w:spacing w:line="467" w:lineRule="auto"/>
        <w:rPr>
          <w:rFonts w:ascii="Arial"/>
          <w:sz w:val="21"/>
        </w:rPr>
      </w:pPr>
    </w:p>
    <w:p w14:paraId="36E1D387">
      <w:pPr>
        <w:spacing w:line="13455" w:lineRule="exact"/>
        <w:ind w:firstLine="570"/>
      </w:pPr>
      <w:r>
        <w:rPr>
          <w:position w:val="-269"/>
        </w:rPr>
        <w:drawing>
          <wp:inline distT="0" distB="0" distL="0" distR="0">
            <wp:extent cx="6097270" cy="85439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42"/>
                    <a:stretch>
                      <a:fillRect/>
                    </a:stretch>
                  </pic:blipFill>
                  <pic:spPr>
                    <a:xfrm>
                      <a:off x="0" y="0"/>
                      <a:ext cx="6097700" cy="8544402"/>
                    </a:xfrm>
                    <a:prstGeom prst="rect">
                      <a:avLst/>
                    </a:prstGeom>
                  </pic:spPr>
                </pic:pic>
              </a:graphicData>
            </a:graphic>
          </wp:inline>
        </w:drawing>
      </w:r>
    </w:p>
    <w:p w14:paraId="742D5AC1">
      <w:pPr>
        <w:spacing w:line="13455" w:lineRule="exact"/>
        <w:sectPr>
          <w:footerReference r:id="rId29" w:type="default"/>
          <w:pgSz w:w="11900" w:h="16840"/>
          <w:pgMar w:top="610" w:right="600" w:bottom="312" w:left="600" w:header="357" w:footer="153" w:gutter="0"/>
          <w:cols w:space="720" w:num="1"/>
        </w:sectPr>
      </w:pPr>
    </w:p>
    <w:p w14:paraId="4692A804">
      <w:pPr>
        <w:spacing w:line="467" w:lineRule="auto"/>
        <w:rPr>
          <w:rFonts w:ascii="Arial"/>
          <w:sz w:val="21"/>
        </w:rPr>
      </w:pPr>
    </w:p>
    <w:p w14:paraId="3D849842">
      <w:pPr>
        <w:spacing w:line="13455" w:lineRule="exact"/>
        <w:ind w:firstLine="570"/>
      </w:pPr>
      <w:r>
        <w:rPr>
          <w:position w:val="-269"/>
        </w:rPr>
        <w:drawing>
          <wp:inline distT="0" distB="0" distL="0" distR="0">
            <wp:extent cx="6097270" cy="85439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3"/>
                    <a:stretch>
                      <a:fillRect/>
                    </a:stretch>
                  </pic:blipFill>
                  <pic:spPr>
                    <a:xfrm>
                      <a:off x="0" y="0"/>
                      <a:ext cx="6097700" cy="8544402"/>
                    </a:xfrm>
                    <a:prstGeom prst="rect">
                      <a:avLst/>
                    </a:prstGeom>
                  </pic:spPr>
                </pic:pic>
              </a:graphicData>
            </a:graphic>
          </wp:inline>
        </w:drawing>
      </w:r>
    </w:p>
    <w:p w14:paraId="6049E32D">
      <w:pPr>
        <w:spacing w:line="13455" w:lineRule="exact"/>
        <w:sectPr>
          <w:footerReference r:id="rId30" w:type="default"/>
          <w:pgSz w:w="11900" w:h="16840"/>
          <w:pgMar w:top="610" w:right="600" w:bottom="312" w:left="600" w:header="357" w:footer="153" w:gutter="0"/>
          <w:cols w:space="720" w:num="1"/>
        </w:sectPr>
      </w:pPr>
    </w:p>
    <w:p w14:paraId="32E10F21">
      <w:pPr>
        <w:spacing w:line="467" w:lineRule="auto"/>
        <w:rPr>
          <w:rFonts w:ascii="Arial"/>
          <w:sz w:val="21"/>
        </w:rPr>
      </w:pPr>
    </w:p>
    <w:p w14:paraId="4F165BF4">
      <w:pPr>
        <w:spacing w:line="13455" w:lineRule="exact"/>
        <w:ind w:firstLine="570"/>
      </w:pPr>
      <w:r>
        <w:rPr>
          <w:position w:val="-269"/>
        </w:rPr>
        <w:drawing>
          <wp:inline distT="0" distB="0" distL="0" distR="0">
            <wp:extent cx="6097270" cy="85439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44"/>
                    <a:stretch>
                      <a:fillRect/>
                    </a:stretch>
                  </pic:blipFill>
                  <pic:spPr>
                    <a:xfrm>
                      <a:off x="0" y="0"/>
                      <a:ext cx="6097700" cy="8544402"/>
                    </a:xfrm>
                    <a:prstGeom prst="rect">
                      <a:avLst/>
                    </a:prstGeom>
                  </pic:spPr>
                </pic:pic>
              </a:graphicData>
            </a:graphic>
          </wp:inline>
        </w:drawing>
      </w:r>
    </w:p>
    <w:p w14:paraId="1B173F30">
      <w:pPr>
        <w:spacing w:line="13455" w:lineRule="exact"/>
        <w:sectPr>
          <w:footerReference r:id="rId31" w:type="default"/>
          <w:pgSz w:w="11900" w:h="16840"/>
          <w:pgMar w:top="610" w:right="600" w:bottom="312" w:left="600" w:header="357" w:footer="153" w:gutter="0"/>
          <w:cols w:space="720" w:num="1"/>
        </w:sectPr>
      </w:pPr>
    </w:p>
    <w:p w14:paraId="51E6AA0F">
      <w:pPr>
        <w:spacing w:line="467" w:lineRule="auto"/>
        <w:rPr>
          <w:rFonts w:ascii="Arial"/>
          <w:sz w:val="21"/>
        </w:rPr>
      </w:pPr>
    </w:p>
    <w:p w14:paraId="4B78AAD8">
      <w:pPr>
        <w:spacing w:line="13455" w:lineRule="exact"/>
        <w:ind w:firstLine="570"/>
      </w:pPr>
      <w:r>
        <w:rPr>
          <w:position w:val="-269"/>
        </w:rPr>
        <w:drawing>
          <wp:inline distT="0" distB="0" distL="0" distR="0">
            <wp:extent cx="6097270" cy="8543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45"/>
                    <a:stretch>
                      <a:fillRect/>
                    </a:stretch>
                  </pic:blipFill>
                  <pic:spPr>
                    <a:xfrm>
                      <a:off x="0" y="0"/>
                      <a:ext cx="6097700" cy="8544402"/>
                    </a:xfrm>
                    <a:prstGeom prst="rect">
                      <a:avLst/>
                    </a:prstGeom>
                  </pic:spPr>
                </pic:pic>
              </a:graphicData>
            </a:graphic>
          </wp:inline>
        </w:drawing>
      </w:r>
    </w:p>
    <w:p w14:paraId="3D7D5D5A">
      <w:pPr>
        <w:spacing w:line="13455" w:lineRule="exact"/>
        <w:sectPr>
          <w:footerReference r:id="rId32" w:type="default"/>
          <w:pgSz w:w="11900" w:h="16840"/>
          <w:pgMar w:top="610" w:right="600" w:bottom="312" w:left="600" w:header="357" w:footer="153" w:gutter="0"/>
          <w:cols w:space="720" w:num="1"/>
        </w:sectPr>
      </w:pPr>
    </w:p>
    <w:p w14:paraId="43F74343">
      <w:pPr>
        <w:spacing w:line="467" w:lineRule="auto"/>
        <w:rPr>
          <w:rFonts w:ascii="Arial"/>
          <w:sz w:val="21"/>
        </w:rPr>
      </w:pPr>
    </w:p>
    <w:p w14:paraId="7A22F67E">
      <w:pPr>
        <w:spacing w:line="13455" w:lineRule="exact"/>
        <w:ind w:firstLine="570"/>
      </w:pPr>
      <w:r>
        <w:rPr>
          <w:position w:val="-269"/>
        </w:rPr>
        <w:drawing>
          <wp:inline distT="0" distB="0" distL="0" distR="0">
            <wp:extent cx="6097270" cy="85439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46"/>
                    <a:stretch>
                      <a:fillRect/>
                    </a:stretch>
                  </pic:blipFill>
                  <pic:spPr>
                    <a:xfrm>
                      <a:off x="0" y="0"/>
                      <a:ext cx="6097700" cy="8544402"/>
                    </a:xfrm>
                    <a:prstGeom prst="rect">
                      <a:avLst/>
                    </a:prstGeom>
                  </pic:spPr>
                </pic:pic>
              </a:graphicData>
            </a:graphic>
          </wp:inline>
        </w:drawing>
      </w:r>
    </w:p>
    <w:p w14:paraId="043455AD">
      <w:pPr>
        <w:spacing w:line="13455" w:lineRule="exact"/>
        <w:sectPr>
          <w:footerReference r:id="rId33" w:type="default"/>
          <w:pgSz w:w="11900" w:h="16840"/>
          <w:pgMar w:top="610" w:right="600" w:bottom="312" w:left="600" w:header="357" w:footer="153" w:gutter="0"/>
          <w:cols w:space="720" w:num="1"/>
        </w:sectPr>
      </w:pPr>
    </w:p>
    <w:p w14:paraId="7E0B21CB">
      <w:pPr>
        <w:spacing w:line="467" w:lineRule="auto"/>
        <w:rPr>
          <w:rFonts w:ascii="Arial"/>
          <w:sz w:val="21"/>
        </w:rPr>
      </w:pPr>
    </w:p>
    <w:p w14:paraId="1059AE3C">
      <w:pPr>
        <w:spacing w:line="13455" w:lineRule="exact"/>
        <w:ind w:firstLine="570"/>
      </w:pPr>
      <w:r>
        <w:rPr>
          <w:position w:val="-269"/>
        </w:rPr>
        <w:drawing>
          <wp:inline distT="0" distB="0" distL="0" distR="0">
            <wp:extent cx="6097270" cy="85439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7"/>
                    <a:stretch>
                      <a:fillRect/>
                    </a:stretch>
                  </pic:blipFill>
                  <pic:spPr>
                    <a:xfrm>
                      <a:off x="0" y="0"/>
                      <a:ext cx="6097700" cy="8544402"/>
                    </a:xfrm>
                    <a:prstGeom prst="rect">
                      <a:avLst/>
                    </a:prstGeom>
                  </pic:spPr>
                </pic:pic>
              </a:graphicData>
            </a:graphic>
          </wp:inline>
        </w:drawing>
      </w:r>
    </w:p>
    <w:p w14:paraId="5B7522DA">
      <w:pPr>
        <w:spacing w:line="13455" w:lineRule="exact"/>
        <w:sectPr>
          <w:footerReference r:id="rId34" w:type="default"/>
          <w:pgSz w:w="11900" w:h="16840"/>
          <w:pgMar w:top="610" w:right="600" w:bottom="312" w:left="600" w:header="357" w:footer="153" w:gutter="0"/>
          <w:cols w:space="720" w:num="1"/>
        </w:sectPr>
      </w:pPr>
    </w:p>
    <w:p w14:paraId="677DA373">
      <w:pPr>
        <w:spacing w:line="362" w:lineRule="auto"/>
        <w:rPr>
          <w:rFonts w:ascii="Arial"/>
          <w:sz w:val="21"/>
        </w:rPr>
      </w:pPr>
    </w:p>
    <w:p w14:paraId="36D7A9B1">
      <w:pPr>
        <w:spacing w:before="81" w:line="223" w:lineRule="auto"/>
        <w:ind w:left="697"/>
        <w:outlineLvl w:val="1"/>
        <w:rPr>
          <w:rFonts w:ascii="黑体" w:hAnsi="黑体" w:eastAsia="黑体" w:cs="黑体"/>
          <w:sz w:val="25"/>
          <w:szCs w:val="25"/>
        </w:rPr>
      </w:pPr>
      <w:bookmarkStart w:id="77" w:name="bookmark30"/>
      <w:bookmarkEnd w:id="77"/>
      <w:r>
        <w:rPr>
          <w:rFonts w:ascii="黑体" w:hAnsi="黑体" w:eastAsia="黑体" w:cs="黑体"/>
          <w:sz w:val="25"/>
          <w:szCs w:val="25"/>
        </w:rPr>
        <w:t>十一、国有资产占有使用情况</w:t>
      </w:r>
    </w:p>
    <w:p w14:paraId="748F6144">
      <w:pPr>
        <w:spacing w:before="131" w:line="415" w:lineRule="auto"/>
        <w:ind w:left="1206" w:right="7924" w:firstLine="15"/>
        <w:jc w:val="both"/>
        <w:rPr>
          <w:rFonts w:ascii="仿宋" w:hAnsi="仿宋" w:eastAsia="仿宋" w:cs="仿宋"/>
          <w:sz w:val="25"/>
          <w:szCs w:val="25"/>
        </w:rPr>
      </w:pPr>
      <w:r>
        <w:rPr>
          <w:rFonts w:ascii="仿宋" w:hAnsi="仿宋" w:eastAsia="仿宋" w:cs="仿宋"/>
          <w:spacing w:val="-11"/>
          <w:sz w:val="25"/>
          <w:szCs w:val="25"/>
        </w:rPr>
        <w:t>1、车辆情况：</w:t>
      </w:r>
      <w:r>
        <w:rPr>
          <w:rFonts w:ascii="仿宋" w:hAnsi="仿宋" w:eastAsia="仿宋" w:cs="仿宋"/>
          <w:spacing w:val="4"/>
          <w:sz w:val="25"/>
          <w:szCs w:val="25"/>
        </w:rPr>
        <w:t xml:space="preserve"> </w:t>
      </w:r>
      <w:r>
        <w:rPr>
          <w:rFonts w:ascii="仿宋" w:hAnsi="仿宋" w:eastAsia="仿宋" w:cs="仿宋"/>
          <w:spacing w:val="-1"/>
          <w:sz w:val="25"/>
          <w:szCs w:val="25"/>
        </w:rPr>
        <w:t>我单位无车辆</w:t>
      </w:r>
      <w:r>
        <w:rPr>
          <w:rFonts w:ascii="仿宋" w:hAnsi="仿宋" w:eastAsia="仿宋" w:cs="仿宋"/>
          <w:spacing w:val="3"/>
          <w:sz w:val="25"/>
          <w:szCs w:val="25"/>
        </w:rPr>
        <w:t xml:space="preserve"> </w:t>
      </w:r>
      <w:r>
        <w:rPr>
          <w:rFonts w:ascii="仿宋" w:hAnsi="仿宋" w:eastAsia="仿宋" w:cs="仿宋"/>
          <w:spacing w:val="-8"/>
          <w:sz w:val="25"/>
          <w:szCs w:val="25"/>
        </w:rPr>
        <w:t>2、房屋情况：</w:t>
      </w:r>
    </w:p>
    <w:p w14:paraId="137B283C">
      <w:pPr>
        <w:spacing w:before="41" w:line="222" w:lineRule="auto"/>
        <w:ind w:left="1220"/>
        <w:rPr>
          <w:rFonts w:ascii="仿宋" w:hAnsi="仿宋" w:eastAsia="仿宋" w:cs="仿宋"/>
          <w:sz w:val="25"/>
          <w:szCs w:val="25"/>
        </w:rPr>
      </w:pPr>
      <w:r>
        <w:rPr>
          <w:rFonts w:ascii="仿宋" w:hAnsi="仿宋" w:eastAsia="仿宋" w:cs="仿宋"/>
          <w:sz w:val="25"/>
          <w:szCs w:val="25"/>
        </w:rPr>
        <w:t>我单位坐落于古县康庄街政务服务一楼</w:t>
      </w:r>
    </w:p>
    <w:p w14:paraId="3D51D136">
      <w:pPr>
        <w:spacing w:before="275" w:line="223" w:lineRule="auto"/>
        <w:ind w:left="1208"/>
        <w:rPr>
          <w:rFonts w:ascii="仿宋" w:hAnsi="仿宋" w:eastAsia="仿宋" w:cs="仿宋"/>
          <w:sz w:val="25"/>
          <w:szCs w:val="25"/>
        </w:rPr>
      </w:pPr>
      <w:r>
        <w:rPr>
          <w:rFonts w:ascii="仿宋" w:hAnsi="仿宋" w:eastAsia="仿宋" w:cs="仿宋"/>
          <w:sz w:val="25"/>
          <w:szCs w:val="25"/>
        </w:rPr>
        <w:t>3、其他国有资产占有使用情况：</w:t>
      </w:r>
    </w:p>
    <w:p w14:paraId="27E9B2D6">
      <w:pPr>
        <w:spacing w:before="273" w:line="305" w:lineRule="auto"/>
        <w:ind w:left="719" w:right="811" w:firstLine="500"/>
        <w:rPr>
          <w:rFonts w:ascii="仿宋" w:hAnsi="仿宋" w:eastAsia="仿宋" w:cs="仿宋"/>
          <w:sz w:val="25"/>
          <w:szCs w:val="25"/>
        </w:rPr>
      </w:pPr>
      <w:r>
        <w:rPr>
          <w:rFonts w:ascii="仿宋" w:hAnsi="仿宋" w:eastAsia="仿宋" w:cs="仿宋"/>
          <w:spacing w:val="1"/>
          <w:sz w:val="25"/>
          <w:szCs w:val="25"/>
        </w:rPr>
        <w:t>我单位通用设备35件，共计21.044万元，家具用具53件，共计5.284万元，无形</w:t>
      </w:r>
      <w:r>
        <w:rPr>
          <w:rFonts w:ascii="仿宋" w:hAnsi="仿宋" w:eastAsia="仿宋" w:cs="仿宋"/>
          <w:sz w:val="25"/>
          <w:szCs w:val="25"/>
        </w:rPr>
        <w:t xml:space="preserve"> </w:t>
      </w:r>
      <w:r>
        <w:rPr>
          <w:rFonts w:ascii="仿宋" w:hAnsi="仿宋" w:eastAsia="仿宋" w:cs="仿宋"/>
          <w:spacing w:val="-1"/>
          <w:sz w:val="25"/>
          <w:szCs w:val="25"/>
        </w:rPr>
        <w:t>资产互联网+监管298.7万元</w:t>
      </w:r>
    </w:p>
    <w:p w14:paraId="5A2B8202">
      <w:pPr>
        <w:spacing w:before="183" w:line="222" w:lineRule="auto"/>
        <w:ind w:left="697"/>
        <w:outlineLvl w:val="1"/>
        <w:rPr>
          <w:rFonts w:ascii="黑体" w:hAnsi="黑体" w:eastAsia="黑体" w:cs="黑体"/>
          <w:sz w:val="25"/>
          <w:szCs w:val="25"/>
        </w:rPr>
      </w:pPr>
      <w:bookmarkStart w:id="78" w:name="bookmark31"/>
      <w:bookmarkEnd w:id="78"/>
      <w:r>
        <w:rPr>
          <w:rFonts w:ascii="黑体" w:hAnsi="黑体" w:eastAsia="黑体" w:cs="黑体"/>
          <w:spacing w:val="-1"/>
          <w:sz w:val="25"/>
          <w:szCs w:val="25"/>
        </w:rPr>
        <w:t>十二、其他说明</w:t>
      </w:r>
    </w:p>
    <w:p w14:paraId="68202E9A">
      <w:pPr>
        <w:spacing w:before="131" w:line="225" w:lineRule="auto"/>
        <w:ind w:left="1221"/>
        <w:outlineLvl w:val="2"/>
        <w:rPr>
          <w:rFonts w:ascii="楷体" w:hAnsi="楷体" w:eastAsia="楷体" w:cs="楷体"/>
          <w:sz w:val="25"/>
          <w:szCs w:val="25"/>
        </w:rPr>
      </w:pPr>
      <w:bookmarkStart w:id="79" w:name="bookmark32"/>
      <w:bookmarkEnd w:id="79"/>
      <w:r>
        <w:rPr>
          <w:rFonts w:ascii="楷体" w:hAnsi="楷体" w:eastAsia="楷体" w:cs="楷体"/>
          <w:spacing w:val="-1"/>
          <w:sz w:val="25"/>
          <w:szCs w:val="25"/>
        </w:rPr>
        <w:t>（一）政府购买服务指导性目录</w:t>
      </w:r>
    </w:p>
    <w:p w14:paraId="63DB0031">
      <w:pPr>
        <w:spacing w:before="272" w:line="222" w:lineRule="auto"/>
        <w:ind w:left="1220"/>
        <w:rPr>
          <w:rFonts w:ascii="仿宋" w:hAnsi="仿宋" w:eastAsia="仿宋" w:cs="仿宋"/>
          <w:sz w:val="25"/>
          <w:szCs w:val="25"/>
        </w:rPr>
      </w:pPr>
      <w:r>
        <w:rPr>
          <w:rFonts w:ascii="仿宋" w:hAnsi="仿宋" w:eastAsia="仿宋" w:cs="仿宋"/>
          <w:spacing w:val="-1"/>
          <w:sz w:val="25"/>
          <w:szCs w:val="25"/>
        </w:rPr>
        <w:t>我单位无政府购买服务</w:t>
      </w:r>
    </w:p>
    <w:p w14:paraId="4161697C">
      <w:pPr>
        <w:spacing w:before="275" w:line="227" w:lineRule="auto"/>
        <w:ind w:left="1221"/>
        <w:outlineLvl w:val="2"/>
        <w:rPr>
          <w:rFonts w:ascii="楷体" w:hAnsi="楷体" w:eastAsia="楷体" w:cs="楷体"/>
          <w:sz w:val="25"/>
          <w:szCs w:val="25"/>
        </w:rPr>
      </w:pPr>
      <w:bookmarkStart w:id="80" w:name="bookmark33"/>
      <w:bookmarkEnd w:id="80"/>
      <w:r>
        <w:rPr>
          <w:rFonts w:ascii="楷体" w:hAnsi="楷体" w:eastAsia="楷体" w:cs="楷体"/>
          <w:spacing w:val="-4"/>
          <w:sz w:val="25"/>
          <w:szCs w:val="25"/>
        </w:rPr>
        <w:t>（二）其他</w:t>
      </w:r>
    </w:p>
    <w:p w14:paraId="15E9BABB">
      <w:pPr>
        <w:spacing w:before="269" w:line="222" w:lineRule="auto"/>
        <w:ind w:left="1220"/>
        <w:rPr>
          <w:rFonts w:ascii="仿宋" w:hAnsi="仿宋" w:eastAsia="仿宋" w:cs="仿宋"/>
          <w:sz w:val="25"/>
          <w:szCs w:val="25"/>
        </w:rPr>
      </w:pPr>
      <w:r>
        <w:rPr>
          <w:rFonts w:ascii="仿宋" w:hAnsi="仿宋" w:eastAsia="仿宋" w:cs="仿宋"/>
          <w:spacing w:val="-2"/>
          <w:sz w:val="25"/>
          <w:szCs w:val="25"/>
        </w:rPr>
        <w:t>我单位无其他说明</w:t>
      </w:r>
    </w:p>
    <w:p w14:paraId="5CCED99B">
      <w:pPr>
        <w:spacing w:line="222" w:lineRule="auto"/>
        <w:rPr>
          <w:rFonts w:ascii="仿宋" w:hAnsi="仿宋" w:eastAsia="仿宋" w:cs="仿宋"/>
          <w:sz w:val="25"/>
          <w:szCs w:val="25"/>
        </w:rPr>
        <w:sectPr>
          <w:footerReference r:id="rId35" w:type="default"/>
          <w:pgSz w:w="11900" w:h="16840"/>
          <w:pgMar w:top="610" w:right="600" w:bottom="312" w:left="600" w:header="357" w:footer="153" w:gutter="0"/>
          <w:cols w:space="720" w:num="1"/>
        </w:sectPr>
      </w:pPr>
    </w:p>
    <w:p w14:paraId="5C4D3772">
      <w:pPr>
        <w:spacing w:line="467" w:lineRule="auto"/>
        <w:rPr>
          <w:rFonts w:ascii="Arial"/>
          <w:sz w:val="21"/>
        </w:rPr>
      </w:pPr>
    </w:p>
    <w:p w14:paraId="199ABDE0">
      <w:pPr>
        <w:spacing w:line="11763" w:lineRule="exact"/>
        <w:ind w:firstLine="570"/>
      </w:pPr>
      <w:r>
        <w:rPr>
          <w:position w:val="-235"/>
        </w:rPr>
        <w:drawing>
          <wp:inline distT="0" distB="0" distL="0" distR="0">
            <wp:extent cx="5335270" cy="746950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8"/>
                    <a:stretch>
                      <a:fillRect/>
                    </a:stretch>
                  </pic:blipFill>
                  <pic:spPr>
                    <a:xfrm>
                      <a:off x="0" y="0"/>
                      <a:ext cx="5335488" cy="7469683"/>
                    </a:xfrm>
                    <a:prstGeom prst="rect">
                      <a:avLst/>
                    </a:prstGeom>
                  </pic:spPr>
                </pic:pic>
              </a:graphicData>
            </a:graphic>
          </wp:inline>
        </w:drawing>
      </w:r>
    </w:p>
    <w:p w14:paraId="2B753222">
      <w:pPr>
        <w:spacing w:line="11763" w:lineRule="exact"/>
        <w:sectPr>
          <w:footerReference r:id="rId36" w:type="default"/>
          <w:pgSz w:w="11900" w:h="16840"/>
          <w:pgMar w:top="610" w:right="600" w:bottom="312" w:left="600" w:header="357" w:footer="153" w:gutter="0"/>
          <w:cols w:space="720" w:num="1"/>
        </w:sectPr>
      </w:pPr>
    </w:p>
    <w:p w14:paraId="5D85F914">
      <w:pPr>
        <w:spacing w:line="290" w:lineRule="auto"/>
        <w:rPr>
          <w:rFonts w:ascii="Arial"/>
          <w:sz w:val="21"/>
        </w:rPr>
      </w:pPr>
    </w:p>
    <w:p w14:paraId="7BEDC963">
      <w:pPr>
        <w:spacing w:before="81" w:line="223" w:lineRule="auto"/>
        <w:ind w:left="4277"/>
        <w:outlineLvl w:val="0"/>
        <w:rPr>
          <w:rFonts w:ascii="黑体" w:hAnsi="黑体" w:eastAsia="黑体" w:cs="黑体"/>
          <w:sz w:val="25"/>
          <w:szCs w:val="25"/>
        </w:rPr>
      </w:pPr>
      <w:bookmarkStart w:id="81" w:name="bookmark34"/>
      <w:bookmarkEnd w:id="81"/>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6429599F">
      <w:pPr>
        <w:spacing w:before="201" w:line="272" w:lineRule="auto"/>
        <w:ind w:left="706" w:right="937" w:firstLine="501"/>
        <w:rPr>
          <w:rFonts w:ascii="仿宋" w:hAnsi="仿宋" w:eastAsia="仿宋" w:cs="仿宋"/>
          <w:sz w:val="25"/>
          <w:szCs w:val="25"/>
        </w:rPr>
      </w:pPr>
      <w:r>
        <w:rPr>
          <w:rFonts w:ascii="黑体" w:hAnsi="黑体" w:eastAsia="黑体" w:cs="黑体"/>
          <w:spacing w:val="2"/>
          <w:sz w:val="25"/>
          <w:szCs w:val="25"/>
        </w:rPr>
        <w:t>一、基本支出：</w:t>
      </w:r>
      <w:r>
        <w:rPr>
          <w:rFonts w:ascii="仿宋" w:hAnsi="仿宋" w:eastAsia="仿宋" w:cs="仿宋"/>
          <w:spacing w:val="2"/>
          <w:sz w:val="25"/>
          <w:szCs w:val="25"/>
        </w:rPr>
        <w:t>指为保障机构正常运转、完</w:t>
      </w:r>
      <w:r>
        <w:rPr>
          <w:rFonts w:ascii="仿宋" w:hAnsi="仿宋" w:eastAsia="仿宋" w:cs="仿宋"/>
          <w:spacing w:val="1"/>
          <w:sz w:val="25"/>
          <w:szCs w:val="25"/>
        </w:rPr>
        <w:t>成日常工作任务而发生的人员支出</w:t>
      </w:r>
      <w:r>
        <w:rPr>
          <w:rFonts w:ascii="仿宋" w:hAnsi="仿宋" w:eastAsia="仿宋" w:cs="仿宋"/>
          <w:sz w:val="25"/>
          <w:szCs w:val="25"/>
        </w:rPr>
        <w:t xml:space="preserve"> </w:t>
      </w:r>
      <w:r>
        <w:rPr>
          <w:rFonts w:ascii="仿宋" w:hAnsi="仿宋" w:eastAsia="仿宋" w:cs="仿宋"/>
          <w:spacing w:val="-2"/>
          <w:sz w:val="25"/>
          <w:szCs w:val="25"/>
        </w:rPr>
        <w:t>和公用支出。</w:t>
      </w:r>
    </w:p>
    <w:p w14:paraId="1E86C8B2">
      <w:pPr>
        <w:spacing w:before="128" w:line="272" w:lineRule="auto"/>
        <w:ind w:left="721" w:right="937" w:firstLine="486"/>
        <w:rPr>
          <w:rFonts w:ascii="仿宋" w:hAnsi="仿宋" w:eastAsia="仿宋" w:cs="仿宋"/>
          <w:sz w:val="25"/>
          <w:szCs w:val="25"/>
        </w:rPr>
      </w:pPr>
      <w:r>
        <w:rPr>
          <w:rFonts w:ascii="黑体" w:hAnsi="黑体" w:eastAsia="黑体" w:cs="黑体"/>
          <w:spacing w:val="2"/>
          <w:sz w:val="25"/>
          <w:szCs w:val="25"/>
        </w:rPr>
        <w:t>二、项目支出：</w:t>
      </w:r>
      <w:r>
        <w:rPr>
          <w:rFonts w:ascii="仿宋" w:hAnsi="仿宋" w:eastAsia="仿宋" w:cs="仿宋"/>
          <w:spacing w:val="2"/>
          <w:sz w:val="25"/>
          <w:szCs w:val="25"/>
        </w:rPr>
        <w:t>指在基本支出之外为完成特</w:t>
      </w:r>
      <w:r>
        <w:rPr>
          <w:rFonts w:ascii="仿宋" w:hAnsi="仿宋" w:eastAsia="仿宋" w:cs="仿宋"/>
          <w:spacing w:val="1"/>
          <w:sz w:val="25"/>
          <w:szCs w:val="25"/>
        </w:rPr>
        <w:t>定行政任务和事业发展目标所发生</w:t>
      </w:r>
      <w:r>
        <w:rPr>
          <w:rFonts w:ascii="仿宋" w:hAnsi="仿宋" w:eastAsia="仿宋" w:cs="仿宋"/>
          <w:sz w:val="25"/>
          <w:szCs w:val="25"/>
        </w:rPr>
        <w:t xml:space="preserve"> </w:t>
      </w:r>
      <w:r>
        <w:rPr>
          <w:rFonts w:ascii="仿宋" w:hAnsi="仿宋" w:eastAsia="仿宋" w:cs="仿宋"/>
          <w:spacing w:val="-7"/>
          <w:sz w:val="25"/>
          <w:szCs w:val="25"/>
        </w:rPr>
        <w:t>的支出。</w:t>
      </w:r>
    </w:p>
    <w:p w14:paraId="08F886C2">
      <w:pPr>
        <w:spacing w:before="127" w:line="270" w:lineRule="auto"/>
        <w:ind w:left="706" w:right="937" w:firstLine="502"/>
        <w:rPr>
          <w:rFonts w:ascii="仿宋" w:hAnsi="仿宋" w:eastAsia="仿宋" w:cs="仿宋"/>
          <w:sz w:val="25"/>
          <w:szCs w:val="25"/>
        </w:rPr>
      </w:pPr>
      <w:r>
        <w:rPr>
          <w:rFonts w:ascii="黑体" w:hAnsi="黑体" w:eastAsia="黑体" w:cs="黑体"/>
          <w:spacing w:val="1"/>
          <w:sz w:val="25"/>
          <w:szCs w:val="25"/>
        </w:rPr>
        <w:t>三、“三公”经费：</w:t>
      </w:r>
      <w:r>
        <w:rPr>
          <w:rFonts w:ascii="仿宋" w:hAnsi="仿宋" w:eastAsia="仿宋" w:cs="仿宋"/>
          <w:spacing w:val="1"/>
          <w:sz w:val="25"/>
          <w:szCs w:val="25"/>
        </w:rPr>
        <w:t>指省直部门用财政拨款安排的因公出国（境）费用、公务</w:t>
      </w:r>
      <w:r>
        <w:rPr>
          <w:rFonts w:ascii="仿宋" w:hAnsi="仿宋" w:eastAsia="仿宋" w:cs="仿宋"/>
          <w:spacing w:val="18"/>
          <w:sz w:val="25"/>
          <w:szCs w:val="25"/>
        </w:rPr>
        <w:t xml:space="preserve"> </w:t>
      </w:r>
      <w:r>
        <w:rPr>
          <w:rFonts w:ascii="仿宋" w:hAnsi="仿宋" w:eastAsia="仿宋" w:cs="仿宋"/>
          <w:spacing w:val="1"/>
          <w:sz w:val="25"/>
          <w:szCs w:val="25"/>
        </w:rPr>
        <w:t>用车购置及运行费和公务接待费。其中：因公出国（境）费用反映单位公务出国</w:t>
      </w:r>
    </w:p>
    <w:p w14:paraId="1A9384E5">
      <w:pPr>
        <w:spacing w:before="133" w:line="223" w:lineRule="auto"/>
        <w:ind w:left="707"/>
        <w:rPr>
          <w:rFonts w:ascii="仿宋" w:hAnsi="仿宋" w:eastAsia="仿宋" w:cs="仿宋"/>
          <w:sz w:val="25"/>
          <w:szCs w:val="25"/>
        </w:rPr>
      </w:pPr>
      <w:r>
        <w:rPr>
          <w:rFonts w:ascii="仿宋" w:hAnsi="仿宋" w:eastAsia="仿宋" w:cs="仿宋"/>
          <w:spacing w:val="1"/>
          <w:sz w:val="25"/>
          <w:szCs w:val="25"/>
        </w:rPr>
        <w:t>（境）的国际旅费、国外城市间交通费、住宿费、伙食费、培训费、公杂费等支</w:t>
      </w:r>
    </w:p>
    <w:p w14:paraId="415259FF">
      <w:pPr>
        <w:spacing w:before="130" w:line="270" w:lineRule="auto"/>
        <w:ind w:left="708" w:right="937" w:firstLine="23"/>
        <w:rPr>
          <w:rFonts w:ascii="仿宋" w:hAnsi="仿宋" w:eastAsia="仿宋" w:cs="仿宋"/>
          <w:sz w:val="25"/>
          <w:szCs w:val="25"/>
        </w:rPr>
      </w:pPr>
      <w:r>
        <w:rPr>
          <w:rFonts w:ascii="仿宋" w:hAnsi="仿宋" w:eastAsia="仿宋" w:cs="仿宋"/>
          <w:sz w:val="25"/>
          <w:szCs w:val="25"/>
        </w:rPr>
        <w:t>出；公务用车购置费反映公务用车购置支出（含车辆购置税、牌照费</w:t>
      </w:r>
      <w:r>
        <w:rPr>
          <w:rFonts w:ascii="仿宋" w:hAnsi="仿宋" w:eastAsia="仿宋" w:cs="仿宋"/>
          <w:spacing w:val="14"/>
          <w:sz w:val="25"/>
          <w:szCs w:val="25"/>
        </w:rPr>
        <w:t>）；</w:t>
      </w:r>
      <w:r>
        <w:rPr>
          <w:rFonts w:ascii="仿宋" w:hAnsi="仿宋" w:eastAsia="仿宋" w:cs="仿宋"/>
          <w:sz w:val="25"/>
          <w:szCs w:val="25"/>
        </w:rPr>
        <w:t>公务用车</w:t>
      </w:r>
      <w:r>
        <w:rPr>
          <w:rFonts w:ascii="仿宋" w:hAnsi="仿宋" w:eastAsia="仿宋" w:cs="仿宋"/>
          <w:spacing w:val="1"/>
          <w:sz w:val="25"/>
          <w:szCs w:val="25"/>
        </w:rPr>
        <w:t xml:space="preserve"> 运行维护费反映单位按规定保留的公务用车燃料费、维修费、过路过桥费、保险</w:t>
      </w:r>
    </w:p>
    <w:p w14:paraId="51324A7F">
      <w:pPr>
        <w:spacing w:before="133" w:line="271" w:lineRule="auto"/>
        <w:ind w:left="711" w:right="937" w:firstLine="3"/>
        <w:rPr>
          <w:rFonts w:ascii="仿宋" w:hAnsi="仿宋" w:eastAsia="仿宋" w:cs="仿宋"/>
          <w:sz w:val="25"/>
          <w:szCs w:val="25"/>
        </w:rPr>
      </w:pPr>
      <w:r>
        <w:rPr>
          <w:rFonts w:ascii="仿宋" w:hAnsi="仿宋" w:eastAsia="仿宋" w:cs="仿宋"/>
          <w:spacing w:val="1"/>
          <w:sz w:val="25"/>
          <w:szCs w:val="25"/>
        </w:rPr>
        <w:t>费、安全奖励费用等支出；公务接待费反映机关和参公事业单位按规定开支的各类</w:t>
      </w:r>
      <w:r>
        <w:rPr>
          <w:rFonts w:ascii="仿宋" w:hAnsi="仿宋" w:eastAsia="仿宋" w:cs="仿宋"/>
          <w:spacing w:val="10"/>
          <w:sz w:val="25"/>
          <w:szCs w:val="25"/>
        </w:rPr>
        <w:t xml:space="preserve"> </w:t>
      </w:r>
      <w:r>
        <w:rPr>
          <w:rFonts w:ascii="仿宋" w:hAnsi="仿宋" w:eastAsia="仿宋" w:cs="仿宋"/>
          <w:sz w:val="25"/>
          <w:szCs w:val="25"/>
        </w:rPr>
        <w:t>公务接待（含外宾接待）支出。</w:t>
      </w:r>
    </w:p>
    <w:p w14:paraId="21C36290">
      <w:pPr>
        <w:spacing w:before="131" w:line="271" w:lineRule="auto"/>
        <w:ind w:left="709" w:right="937" w:firstLine="509"/>
        <w:rPr>
          <w:rFonts w:ascii="仿宋" w:hAnsi="仿宋" w:eastAsia="仿宋" w:cs="仿宋"/>
          <w:sz w:val="25"/>
          <w:szCs w:val="25"/>
        </w:rPr>
      </w:pPr>
      <w:r>
        <w:rPr>
          <w:rFonts w:ascii="黑体" w:hAnsi="黑体" w:eastAsia="黑体" w:cs="黑体"/>
          <w:spacing w:val="1"/>
          <w:sz w:val="25"/>
          <w:szCs w:val="25"/>
        </w:rPr>
        <w:t>四、机关运行经费：</w:t>
      </w:r>
      <w:r>
        <w:rPr>
          <w:rFonts w:ascii="仿宋" w:hAnsi="仿宋" w:eastAsia="仿宋" w:cs="仿宋"/>
          <w:spacing w:val="1"/>
          <w:sz w:val="25"/>
          <w:szCs w:val="25"/>
        </w:rPr>
        <w:t>指行政单位和参照公务员法管理的事业单位使用财政拨款</w:t>
      </w:r>
      <w:r>
        <w:rPr>
          <w:rFonts w:ascii="仿宋" w:hAnsi="仿宋" w:eastAsia="仿宋" w:cs="仿宋"/>
          <w:spacing w:val="8"/>
          <w:sz w:val="25"/>
          <w:szCs w:val="25"/>
        </w:rPr>
        <w:t xml:space="preserve"> </w:t>
      </w:r>
      <w:r>
        <w:rPr>
          <w:rFonts w:ascii="仿宋" w:hAnsi="仿宋" w:eastAsia="仿宋" w:cs="仿宋"/>
          <w:sz w:val="25"/>
          <w:szCs w:val="25"/>
        </w:rPr>
        <w:t>安排的基本支出中的公用经费支出。</w:t>
      </w:r>
    </w:p>
    <w:p w14:paraId="03C1C8A0">
      <w:pPr>
        <w:spacing w:before="130" w:line="270" w:lineRule="auto"/>
        <w:ind w:left="707" w:right="937" w:firstLine="503"/>
        <w:rPr>
          <w:rFonts w:ascii="仿宋" w:hAnsi="仿宋" w:eastAsia="仿宋" w:cs="仿宋"/>
          <w:sz w:val="25"/>
          <w:szCs w:val="25"/>
        </w:rPr>
      </w:pPr>
      <w:r>
        <w:rPr>
          <w:rFonts w:ascii="黑体" w:hAnsi="黑体" w:eastAsia="黑体" w:cs="黑体"/>
          <w:spacing w:val="1"/>
          <w:sz w:val="25"/>
          <w:szCs w:val="25"/>
        </w:rPr>
        <w:t>五、政府购买服务：</w:t>
      </w:r>
      <w:r>
        <w:rPr>
          <w:rFonts w:ascii="仿宋" w:hAnsi="仿宋" w:eastAsia="仿宋" w:cs="仿宋"/>
          <w:spacing w:val="1"/>
          <w:sz w:val="25"/>
          <w:szCs w:val="25"/>
        </w:rPr>
        <w:t>根据我国现行政策规定，政府购买服务，是指充分发挥市</w:t>
      </w:r>
      <w:r>
        <w:rPr>
          <w:rFonts w:ascii="仿宋" w:hAnsi="仿宋" w:eastAsia="仿宋" w:cs="仿宋"/>
          <w:spacing w:val="16"/>
          <w:sz w:val="25"/>
          <w:szCs w:val="25"/>
        </w:rPr>
        <w:t xml:space="preserve"> </w:t>
      </w:r>
      <w:r>
        <w:rPr>
          <w:rFonts w:ascii="仿宋" w:hAnsi="仿宋" w:eastAsia="仿宋" w:cs="仿宋"/>
          <w:spacing w:val="1"/>
          <w:sz w:val="25"/>
          <w:szCs w:val="25"/>
        </w:rPr>
        <w:t>场机制作用，将国家机关属于自身职责范围且适合通过市场化方式提供的服务事</w:t>
      </w:r>
    </w:p>
    <w:p w14:paraId="0044063C">
      <w:pPr>
        <w:spacing w:before="132" w:line="271" w:lineRule="auto"/>
        <w:ind w:left="706" w:right="937" w:firstLine="1"/>
        <w:rPr>
          <w:rFonts w:ascii="仿宋" w:hAnsi="仿宋" w:eastAsia="仿宋" w:cs="仿宋"/>
          <w:sz w:val="25"/>
          <w:szCs w:val="25"/>
        </w:rPr>
      </w:pPr>
      <w:r>
        <w:rPr>
          <w:rFonts w:ascii="仿宋" w:hAnsi="仿宋" w:eastAsia="仿宋" w:cs="仿宋"/>
          <w:spacing w:val="1"/>
          <w:sz w:val="25"/>
          <w:szCs w:val="25"/>
        </w:rPr>
        <w:t>项，按照政府采购方式和程序，交由符合条件的服务供应商承担，并根据服务数量</w:t>
      </w:r>
      <w:r>
        <w:rPr>
          <w:rFonts w:ascii="仿宋" w:hAnsi="仿宋" w:eastAsia="仿宋" w:cs="仿宋"/>
          <w:spacing w:val="17"/>
          <w:sz w:val="25"/>
          <w:szCs w:val="25"/>
        </w:rPr>
        <w:t xml:space="preserve"> </w:t>
      </w:r>
      <w:r>
        <w:rPr>
          <w:rFonts w:ascii="仿宋" w:hAnsi="仿宋" w:eastAsia="仿宋" w:cs="仿宋"/>
          <w:sz w:val="25"/>
          <w:szCs w:val="25"/>
        </w:rPr>
        <w:t>和质量等情况向其支付费用的行为。</w:t>
      </w:r>
    </w:p>
    <w:p w14:paraId="66ECAE07">
      <w:pPr>
        <w:spacing w:before="131" w:line="223" w:lineRule="auto"/>
        <w:ind w:left="1211"/>
        <w:rPr>
          <w:rFonts w:ascii="黑体" w:hAnsi="黑体" w:eastAsia="黑体" w:cs="黑体"/>
          <w:sz w:val="25"/>
          <w:szCs w:val="25"/>
        </w:rPr>
      </w:pPr>
      <w:r>
        <w:rPr>
          <w:rFonts w:ascii="黑体" w:hAnsi="黑体" w:eastAsia="黑体" w:cs="黑体"/>
          <w:sz w:val="25"/>
          <w:szCs w:val="25"/>
        </w:rPr>
        <w:t>六、财政专户管理资金：</w:t>
      </w:r>
    </w:p>
    <w:p w14:paraId="1C9A8378">
      <w:pPr>
        <w:spacing w:before="167" w:line="303" w:lineRule="auto"/>
        <w:ind w:left="707" w:right="937" w:firstLine="506"/>
        <w:rPr>
          <w:rFonts w:ascii="仿宋" w:hAnsi="仿宋" w:eastAsia="仿宋" w:cs="仿宋"/>
          <w:sz w:val="25"/>
          <w:szCs w:val="25"/>
        </w:rPr>
      </w:pPr>
      <w:r>
        <w:rPr>
          <w:rFonts w:ascii="仿宋" w:hAnsi="仿宋" w:eastAsia="仿宋" w:cs="仿宋"/>
          <w:spacing w:val="1"/>
          <w:sz w:val="25"/>
          <w:szCs w:val="25"/>
        </w:rPr>
        <w:t>专指教育收费，包括目前在财政专户管理的高中以上学费、住宿费，高校委托</w:t>
      </w:r>
      <w:r>
        <w:rPr>
          <w:rFonts w:ascii="仿宋" w:hAnsi="仿宋" w:eastAsia="仿宋" w:cs="仿宋"/>
          <w:spacing w:val="13"/>
          <w:sz w:val="25"/>
          <w:szCs w:val="25"/>
        </w:rPr>
        <w:t xml:space="preserve"> </w:t>
      </w:r>
      <w:r>
        <w:rPr>
          <w:rFonts w:ascii="仿宋" w:hAnsi="仿宋" w:eastAsia="仿宋" w:cs="仿宋"/>
          <w:spacing w:val="1"/>
          <w:sz w:val="25"/>
          <w:szCs w:val="25"/>
        </w:rPr>
        <w:t>培养费，党校收费，教育考试考务费，函大、电大、夜大及短训班培训费等。</w:t>
      </w:r>
    </w:p>
    <w:p w14:paraId="23E2B300">
      <w:pPr>
        <w:spacing w:before="78" w:line="271" w:lineRule="auto"/>
        <w:ind w:left="706" w:right="937" w:firstLine="496"/>
        <w:rPr>
          <w:rFonts w:ascii="仿宋" w:hAnsi="仿宋" w:eastAsia="仿宋" w:cs="仿宋"/>
          <w:sz w:val="25"/>
          <w:szCs w:val="25"/>
        </w:rPr>
      </w:pPr>
      <w:r>
        <w:rPr>
          <w:rFonts w:ascii="黑体" w:hAnsi="黑体" w:eastAsia="黑体" w:cs="黑体"/>
          <w:spacing w:val="2"/>
          <w:sz w:val="25"/>
          <w:szCs w:val="25"/>
        </w:rPr>
        <w:t>七、单位资金：</w:t>
      </w:r>
      <w:r>
        <w:rPr>
          <w:rFonts w:ascii="仿宋" w:hAnsi="仿宋" w:eastAsia="仿宋" w:cs="仿宋"/>
          <w:spacing w:val="2"/>
          <w:sz w:val="25"/>
          <w:szCs w:val="25"/>
        </w:rPr>
        <w:t>是指除政府预算资金和财政专户管理资</w:t>
      </w:r>
      <w:r>
        <w:rPr>
          <w:rFonts w:ascii="仿宋" w:hAnsi="仿宋" w:eastAsia="仿宋" w:cs="仿宋"/>
          <w:spacing w:val="1"/>
          <w:sz w:val="25"/>
          <w:szCs w:val="25"/>
        </w:rPr>
        <w:t>金以外的资金，包括事</w:t>
      </w:r>
      <w:r>
        <w:rPr>
          <w:rFonts w:ascii="仿宋" w:hAnsi="仿宋" w:eastAsia="仿宋" w:cs="仿宋"/>
          <w:sz w:val="25"/>
          <w:szCs w:val="25"/>
        </w:rPr>
        <w:t xml:space="preserve"> </w:t>
      </w:r>
      <w:r>
        <w:rPr>
          <w:rFonts w:ascii="仿宋" w:hAnsi="仿宋" w:eastAsia="仿宋" w:cs="仿宋"/>
          <w:spacing w:val="1"/>
          <w:sz w:val="25"/>
          <w:szCs w:val="25"/>
        </w:rPr>
        <w:t>业收入、事业单位经营收入、上级补助收入、附属单位上缴收入、其他收入。</w:t>
      </w:r>
    </w:p>
    <w:p w14:paraId="1D0C1F00">
      <w:pPr>
        <w:spacing w:before="131" w:line="272" w:lineRule="auto"/>
        <w:ind w:left="719" w:right="937" w:firstLine="484"/>
        <w:rPr>
          <w:rFonts w:ascii="仿宋" w:hAnsi="仿宋" w:eastAsia="仿宋" w:cs="仿宋"/>
          <w:sz w:val="25"/>
          <w:szCs w:val="25"/>
        </w:rPr>
      </w:pPr>
      <w:r>
        <w:rPr>
          <w:rFonts w:ascii="黑体" w:hAnsi="黑体" w:eastAsia="黑体" w:cs="黑体"/>
          <w:spacing w:val="2"/>
          <w:sz w:val="25"/>
          <w:szCs w:val="25"/>
        </w:rPr>
        <w:t>八、上年结转：</w:t>
      </w:r>
      <w:r>
        <w:rPr>
          <w:rFonts w:ascii="仿宋" w:hAnsi="仿宋" w:eastAsia="仿宋" w:cs="仿宋"/>
          <w:spacing w:val="2"/>
          <w:sz w:val="25"/>
          <w:szCs w:val="25"/>
        </w:rPr>
        <w:t>指以前年度预算安排、结转到本年仍</w:t>
      </w:r>
      <w:r>
        <w:rPr>
          <w:rFonts w:ascii="仿宋" w:hAnsi="仿宋" w:eastAsia="仿宋" w:cs="仿宋"/>
          <w:spacing w:val="1"/>
          <w:sz w:val="25"/>
          <w:szCs w:val="25"/>
        </w:rPr>
        <w:t>按原规定用途继续使用的</w:t>
      </w:r>
      <w:r>
        <w:rPr>
          <w:rFonts w:ascii="仿宋" w:hAnsi="仿宋" w:eastAsia="仿宋" w:cs="仿宋"/>
          <w:sz w:val="25"/>
          <w:szCs w:val="25"/>
        </w:rPr>
        <w:t xml:space="preserve"> </w:t>
      </w:r>
      <w:r>
        <w:rPr>
          <w:rFonts w:ascii="仿宋" w:hAnsi="仿宋" w:eastAsia="仿宋" w:cs="仿宋"/>
          <w:spacing w:val="-10"/>
          <w:sz w:val="25"/>
          <w:szCs w:val="25"/>
        </w:rPr>
        <w:t>资金。</w:t>
      </w:r>
    </w:p>
    <w:p w14:paraId="62420A3B">
      <w:pPr>
        <w:spacing w:before="126" w:line="270" w:lineRule="auto"/>
        <w:ind w:left="708" w:right="976" w:firstLine="501"/>
        <w:rPr>
          <w:rFonts w:ascii="仿宋" w:hAnsi="仿宋" w:eastAsia="仿宋" w:cs="仿宋"/>
          <w:sz w:val="25"/>
          <w:szCs w:val="25"/>
        </w:rPr>
      </w:pPr>
      <w:r>
        <w:rPr>
          <w:rFonts w:ascii="黑体" w:hAnsi="黑体" w:eastAsia="黑体" w:cs="黑体"/>
          <w:sz w:val="25"/>
          <w:szCs w:val="25"/>
        </w:rPr>
        <w:t>九、一般公共预算</w:t>
      </w:r>
      <w:r>
        <w:rPr>
          <w:rFonts w:ascii="仿宋" w:hAnsi="仿宋" w:eastAsia="仿宋" w:cs="仿宋"/>
          <w:sz w:val="25"/>
          <w:szCs w:val="25"/>
        </w:rPr>
        <w:t>是指以税收为主体的财政收入，安排用于保障和改善民生、</w:t>
      </w:r>
      <w:r>
        <w:rPr>
          <w:rFonts w:ascii="仿宋" w:hAnsi="仿宋" w:eastAsia="仿宋" w:cs="仿宋"/>
          <w:spacing w:val="12"/>
          <w:sz w:val="25"/>
          <w:szCs w:val="25"/>
        </w:rPr>
        <w:t xml:space="preserve"> </w:t>
      </w:r>
      <w:r>
        <w:rPr>
          <w:rFonts w:ascii="仿宋" w:hAnsi="仿宋" w:eastAsia="仿宋" w:cs="仿宋"/>
          <w:spacing w:val="1"/>
          <w:sz w:val="25"/>
          <w:szCs w:val="25"/>
        </w:rPr>
        <w:t>推动经济社会发展、维护国家安全、维持国家机构正常运转等方面的收支预算。</w:t>
      </w:r>
    </w:p>
    <w:p w14:paraId="6E35B90D">
      <w:pPr>
        <w:spacing w:before="135" w:line="271" w:lineRule="auto"/>
        <w:ind w:left="711" w:right="937" w:firstLine="495"/>
        <w:rPr>
          <w:rFonts w:ascii="仿宋" w:hAnsi="仿宋" w:eastAsia="仿宋" w:cs="仿宋"/>
          <w:sz w:val="25"/>
          <w:szCs w:val="25"/>
        </w:rPr>
      </w:pPr>
      <w:r>
        <w:rPr>
          <w:rFonts w:ascii="黑体" w:hAnsi="黑体" w:eastAsia="黑体" w:cs="黑体"/>
          <w:spacing w:val="2"/>
          <w:sz w:val="25"/>
          <w:szCs w:val="25"/>
        </w:rPr>
        <w:t>十、政府性基金预算：</w:t>
      </w:r>
      <w:r>
        <w:rPr>
          <w:rFonts w:ascii="仿宋" w:hAnsi="仿宋" w:eastAsia="仿宋" w:cs="仿宋"/>
          <w:spacing w:val="2"/>
          <w:sz w:val="25"/>
          <w:szCs w:val="25"/>
        </w:rPr>
        <w:t>是对依照法律、行政法</w:t>
      </w:r>
      <w:r>
        <w:rPr>
          <w:rFonts w:ascii="仿宋" w:hAnsi="仿宋" w:eastAsia="仿宋" w:cs="仿宋"/>
          <w:spacing w:val="1"/>
          <w:sz w:val="25"/>
          <w:szCs w:val="25"/>
        </w:rPr>
        <w:t>规的规定在一定期限内向特定对</w:t>
      </w:r>
      <w:r>
        <w:rPr>
          <w:rFonts w:ascii="仿宋" w:hAnsi="仿宋" w:eastAsia="仿宋" w:cs="仿宋"/>
          <w:sz w:val="25"/>
          <w:szCs w:val="25"/>
        </w:rPr>
        <w:t xml:space="preserve"> </w:t>
      </w:r>
      <w:r>
        <w:rPr>
          <w:rFonts w:ascii="仿宋" w:hAnsi="仿宋" w:eastAsia="仿宋" w:cs="仿宋"/>
          <w:spacing w:val="1"/>
          <w:sz w:val="25"/>
          <w:szCs w:val="25"/>
        </w:rPr>
        <w:t>象征收、收取或者以其他方式筹集的资金，专项用于特定公共事业发展的收支预</w:t>
      </w:r>
    </w:p>
    <w:p w14:paraId="72210490">
      <w:pPr>
        <w:spacing w:before="130" w:line="223" w:lineRule="auto"/>
        <w:ind w:left="706"/>
        <w:rPr>
          <w:rFonts w:ascii="仿宋" w:hAnsi="仿宋" w:eastAsia="仿宋" w:cs="仿宋"/>
          <w:sz w:val="25"/>
          <w:szCs w:val="25"/>
        </w:rPr>
      </w:pPr>
      <w:r>
        <w:rPr>
          <w:rFonts w:ascii="仿宋" w:hAnsi="仿宋" w:eastAsia="仿宋" w:cs="仿宋"/>
          <w:spacing w:val="-9"/>
          <w:sz w:val="25"/>
          <w:szCs w:val="25"/>
        </w:rPr>
        <w:t>算。</w:t>
      </w:r>
    </w:p>
    <w:p w14:paraId="26F09D91">
      <w:pPr>
        <w:spacing w:before="129" w:line="222" w:lineRule="auto"/>
        <w:ind w:left="1207"/>
        <w:rPr>
          <w:rFonts w:ascii="仿宋" w:hAnsi="仿宋" w:eastAsia="仿宋" w:cs="仿宋"/>
          <w:sz w:val="25"/>
          <w:szCs w:val="25"/>
        </w:rPr>
      </w:pPr>
      <w:r>
        <w:rPr>
          <w:rFonts w:ascii="黑体" w:hAnsi="黑体" w:eastAsia="黑体" w:cs="黑体"/>
          <w:spacing w:val="1"/>
          <w:sz w:val="25"/>
          <w:szCs w:val="25"/>
        </w:rPr>
        <w:t>十一、国有资本经营预算</w:t>
      </w:r>
      <w:r>
        <w:rPr>
          <w:rFonts w:ascii="仿宋" w:hAnsi="仿宋" w:eastAsia="仿宋" w:cs="仿宋"/>
          <w:spacing w:val="1"/>
          <w:sz w:val="25"/>
          <w:szCs w:val="25"/>
        </w:rPr>
        <w:t>是对国有资本收益作出支出安排的收支预算。</w:t>
      </w:r>
    </w:p>
    <w:p w14:paraId="4C49CD98">
      <w:pPr>
        <w:spacing w:before="132" w:line="222" w:lineRule="auto"/>
        <w:ind w:left="1207"/>
        <w:rPr>
          <w:rFonts w:ascii="仿宋" w:hAnsi="仿宋" w:eastAsia="仿宋" w:cs="仿宋"/>
          <w:sz w:val="25"/>
          <w:szCs w:val="25"/>
        </w:rPr>
      </w:pPr>
      <w:r>
        <w:rPr>
          <w:rFonts w:ascii="黑体" w:hAnsi="黑体" w:eastAsia="黑体" w:cs="黑体"/>
          <w:spacing w:val="1"/>
          <w:sz w:val="25"/>
          <w:szCs w:val="25"/>
        </w:rPr>
        <w:t>十二、财政拨款：</w:t>
      </w:r>
      <w:r>
        <w:rPr>
          <w:rFonts w:ascii="仿宋" w:hAnsi="仿宋" w:eastAsia="仿宋" w:cs="仿宋"/>
          <w:spacing w:val="1"/>
          <w:sz w:val="25"/>
          <w:szCs w:val="25"/>
        </w:rPr>
        <w:t>包含一般公共预算、政府性基金预算、国有资本经营预算。</w:t>
      </w:r>
    </w:p>
    <w:sectPr>
      <w:footerReference r:id="rId37" w:type="default"/>
      <w:pgSz w:w="11900" w:h="16840"/>
      <w:pgMar w:top="610" w:right="600" w:bottom="312" w:left="60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DA2BC">
    <w:pPr>
      <w:pStyle w:val="2"/>
      <w:spacing w:line="172" w:lineRule="auto"/>
      <w:ind w:left="5286"/>
      <w:rPr>
        <w:sz w:val="16"/>
        <w:szCs w:val="16"/>
      </w:rPr>
    </w:pPr>
    <w:r>
      <w:rPr>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9FB5F">
    <w:pPr>
      <w:pStyle w:val="2"/>
      <w:spacing w:line="171" w:lineRule="auto"/>
      <w:ind w:left="5286"/>
      <w:rPr>
        <w:sz w:val="16"/>
        <w:szCs w:val="16"/>
      </w:rPr>
    </w:pPr>
    <w:r>
      <w:rPr>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C1856">
    <w:pPr>
      <w:pStyle w:val="2"/>
      <w:spacing w:line="171" w:lineRule="auto"/>
      <w:ind w:left="5286"/>
      <w:rPr>
        <w:sz w:val="16"/>
        <w:szCs w:val="16"/>
      </w:rPr>
    </w:pPr>
    <w:r>
      <w:rPr>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5D762">
    <w:pPr>
      <w:pStyle w:val="2"/>
      <w:spacing w:line="171" w:lineRule="auto"/>
      <w:ind w:left="5286"/>
      <w:rPr>
        <w:sz w:val="16"/>
        <w:szCs w:val="16"/>
      </w:rPr>
    </w:pPr>
    <w:r>
      <w:rPr>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09E29">
    <w:pPr>
      <w:pStyle w:val="2"/>
      <w:spacing w:line="170" w:lineRule="auto"/>
      <w:ind w:left="5286"/>
      <w:rPr>
        <w:sz w:val="16"/>
        <w:szCs w:val="16"/>
      </w:rPr>
    </w:pPr>
    <w:r>
      <w:rPr>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288AB">
    <w:pPr>
      <w:pStyle w:val="2"/>
      <w:spacing w:line="171" w:lineRule="auto"/>
      <w:ind w:left="7686"/>
      <w:rPr>
        <w:sz w:val="16"/>
        <w:szCs w:val="16"/>
      </w:rPr>
    </w:pPr>
    <w:r>
      <w:rPr>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B4787">
    <w:pPr>
      <w:pStyle w:val="2"/>
      <w:spacing w:line="170" w:lineRule="auto"/>
      <w:ind w:left="5286"/>
      <w:rPr>
        <w:sz w:val="16"/>
        <w:szCs w:val="16"/>
      </w:rPr>
    </w:pPr>
    <w:r>
      <w:rPr>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7DEA1">
    <w:pPr>
      <w:pStyle w:val="2"/>
      <w:spacing w:line="171" w:lineRule="auto"/>
      <w:ind w:left="5286"/>
      <w:rPr>
        <w:sz w:val="16"/>
        <w:szCs w:val="16"/>
      </w:rPr>
    </w:pPr>
    <w:r>
      <w:rPr>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712A6">
    <w:pPr>
      <w:pStyle w:val="2"/>
      <w:spacing w:line="171" w:lineRule="auto"/>
      <w:ind w:left="5286"/>
      <w:rPr>
        <w:sz w:val="16"/>
        <w:szCs w:val="16"/>
      </w:rPr>
    </w:pPr>
    <w:r>
      <w:rPr>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1D644">
    <w:pPr>
      <w:pStyle w:val="2"/>
      <w:spacing w:line="172" w:lineRule="auto"/>
      <w:ind w:left="5286"/>
      <w:rPr>
        <w:sz w:val="16"/>
        <w:szCs w:val="16"/>
      </w:rPr>
    </w:pPr>
    <w:r>
      <w:rPr>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4D24">
    <w:pPr>
      <w:pStyle w:val="2"/>
      <w:spacing w:line="172" w:lineRule="auto"/>
      <w:ind w:left="5286"/>
      <w:rPr>
        <w:sz w:val="16"/>
        <w:szCs w:val="16"/>
      </w:rPr>
    </w:pPr>
    <w:r>
      <w:rPr>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1262C">
    <w:pPr>
      <w:pStyle w:val="2"/>
      <w:spacing w:line="172" w:lineRule="auto"/>
      <w:ind w:left="5286"/>
      <w:rPr>
        <w:sz w:val="16"/>
        <w:szCs w:val="16"/>
      </w:rPr>
    </w:pPr>
    <w:r>
      <w:rPr>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76EA3">
    <w:pPr>
      <w:pStyle w:val="2"/>
      <w:spacing w:line="172" w:lineRule="auto"/>
      <w:ind w:left="5286"/>
      <w:rPr>
        <w:sz w:val="16"/>
        <w:szCs w:val="16"/>
      </w:rPr>
    </w:pPr>
    <w:r>
      <w:rPr>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47DF7">
    <w:pPr>
      <w:pStyle w:val="2"/>
      <w:spacing w:line="172" w:lineRule="auto"/>
      <w:ind w:left="5286"/>
      <w:rPr>
        <w:sz w:val="16"/>
        <w:szCs w:val="16"/>
      </w:rPr>
    </w:pPr>
    <w:r>
      <w:rPr>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3C5C1">
    <w:pPr>
      <w:pStyle w:val="2"/>
      <w:spacing w:line="172" w:lineRule="auto"/>
      <w:ind w:left="5286"/>
      <w:rPr>
        <w:sz w:val="16"/>
        <w:szCs w:val="16"/>
      </w:rPr>
    </w:pPr>
    <w:r>
      <w:rPr>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95AA0">
    <w:pPr>
      <w:pStyle w:val="2"/>
      <w:spacing w:line="172" w:lineRule="auto"/>
      <w:ind w:left="5286"/>
      <w:rPr>
        <w:sz w:val="16"/>
        <w:szCs w:val="16"/>
      </w:rPr>
    </w:pPr>
    <w:r>
      <w:rPr>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71540">
    <w:pPr>
      <w:pStyle w:val="2"/>
      <w:spacing w:line="172" w:lineRule="auto"/>
      <w:ind w:left="5286"/>
      <w:rPr>
        <w:sz w:val="16"/>
        <w:szCs w:val="16"/>
      </w:rPr>
    </w:pPr>
    <w:r>
      <w:rPr>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772BE">
    <w:pPr>
      <w:pStyle w:val="2"/>
      <w:spacing w:line="172" w:lineRule="auto"/>
      <w:ind w:left="5286"/>
      <w:rPr>
        <w:sz w:val="16"/>
        <w:szCs w:val="16"/>
      </w:rPr>
    </w:pPr>
    <w:r>
      <w:rPr>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90F6C">
    <w:pPr>
      <w:pStyle w:val="2"/>
      <w:spacing w:line="172" w:lineRule="auto"/>
      <w:ind w:left="5286"/>
      <w:rPr>
        <w:sz w:val="16"/>
        <w:szCs w:val="16"/>
      </w:rPr>
    </w:pPr>
    <w:r>
      <w:rPr>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5EBC7">
    <w:pPr>
      <w:pStyle w:val="2"/>
      <w:spacing w:line="171" w:lineRule="auto"/>
      <w:ind w:left="5286"/>
      <w:rPr>
        <w:sz w:val="16"/>
        <w:szCs w:val="16"/>
      </w:rPr>
    </w:pPr>
    <w:r>
      <w:rPr>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7438B">
    <w:pPr>
      <w:pStyle w:val="2"/>
      <w:spacing w:line="172" w:lineRule="auto"/>
      <w:ind w:left="5286"/>
      <w:rPr>
        <w:sz w:val="16"/>
        <w:szCs w:val="16"/>
      </w:rPr>
    </w:pPr>
    <w:r>
      <w:rPr>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F8D2B">
    <w:pPr>
      <w:pStyle w:val="2"/>
      <w:spacing w:line="171" w:lineRule="auto"/>
      <w:ind w:left="5286"/>
      <w:rPr>
        <w:sz w:val="16"/>
        <w:szCs w:val="16"/>
      </w:rPr>
    </w:pPr>
    <w:r>
      <w:rPr>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9374F">
    <w:pPr>
      <w:pStyle w:val="2"/>
      <w:spacing w:line="171" w:lineRule="auto"/>
      <w:ind w:left="5286"/>
      <w:rPr>
        <w:sz w:val="16"/>
        <w:szCs w:val="16"/>
      </w:rPr>
    </w:pPr>
    <w:r>
      <w:rPr>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5B23C">
    <w:pPr>
      <w:pStyle w:val="2"/>
      <w:spacing w:line="171" w:lineRule="auto"/>
      <w:ind w:left="5286"/>
      <w:rPr>
        <w:sz w:val="16"/>
        <w:szCs w:val="16"/>
      </w:rPr>
    </w:pPr>
    <w:r>
      <w:rPr>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6B690">
    <w:pPr>
      <w:pStyle w:val="2"/>
      <w:spacing w:line="171" w:lineRule="auto"/>
      <w:ind w:left="5286"/>
      <w:rPr>
        <w:sz w:val="16"/>
        <w:szCs w:val="16"/>
      </w:rPr>
    </w:pPr>
    <w:bookmarkStart w:id="82" w:name="bookmark50"/>
    <w:bookmarkEnd w:id="82"/>
    <w:r>
      <w:rPr>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3E795">
    <w:pPr>
      <w:pStyle w:val="2"/>
      <w:spacing w:line="171" w:lineRule="auto"/>
      <w:ind w:left="5286"/>
      <w:rPr>
        <w:sz w:val="16"/>
        <w:szCs w:val="16"/>
      </w:rPr>
    </w:pPr>
    <w:r>
      <w:rPr>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3C27A">
    <w:pPr>
      <w:pStyle w:val="2"/>
      <w:spacing w:line="171" w:lineRule="auto"/>
      <w:ind w:left="5286"/>
      <w:rPr>
        <w:sz w:val="16"/>
        <w:szCs w:val="16"/>
      </w:rPr>
    </w:pPr>
    <w:bookmarkStart w:id="83" w:name="bookmark51"/>
    <w:bookmarkEnd w:id="83"/>
    <w:r>
      <w:rPr>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0A0CA">
    <w:pPr>
      <w:pStyle w:val="2"/>
      <w:spacing w:line="171" w:lineRule="auto"/>
      <w:ind w:left="5286"/>
      <w:rPr>
        <w:sz w:val="16"/>
        <w:szCs w:val="16"/>
      </w:rPr>
    </w:pPr>
    <w:r>
      <w:rPr>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A5C74">
    <w:pPr>
      <w:pStyle w:val="2"/>
      <w:spacing w:line="171" w:lineRule="auto"/>
      <w:ind w:left="5286"/>
      <w:rPr>
        <w:sz w:val="16"/>
        <w:szCs w:val="16"/>
      </w:rPr>
    </w:pPr>
    <w:r>
      <w:rPr>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BACAC">
    <w:pPr>
      <w:pStyle w:val="2"/>
      <w:spacing w:line="171" w:lineRule="auto"/>
      <w:ind w:left="5286"/>
      <w:rPr>
        <w:sz w:val="16"/>
        <w:szCs w:val="16"/>
      </w:rPr>
    </w:pPr>
    <w:r>
      <w:rPr>
        <w:spacing w:val="-10"/>
        <w:sz w:val="16"/>
        <w:szCs w:val="16"/>
      </w:rPr>
      <w:t>-30-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2D9E7">
    <w:pPr>
      <w:pStyle w:val="2"/>
      <w:spacing w:before="1" w:line="210" w:lineRule="exact"/>
      <w:ind w:left="50"/>
      <w:rPr>
        <w:sz w:val="16"/>
        <w:szCs w:val="16"/>
      </w:rPr>
    </w:pPr>
    <w:r>
      <w:rPr>
        <w:spacing w:val="-2"/>
        <w:position w:val="1"/>
        <w:sz w:val="16"/>
        <w:szCs w:val="16"/>
      </w:rPr>
      <w:t>古县行政审批服务管理局2023年单位预算公开报告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DE1A5">
    <w:pPr>
      <w:pStyle w:val="2"/>
      <w:spacing w:before="1" w:line="210" w:lineRule="exact"/>
      <w:ind w:left="50"/>
      <w:rPr>
        <w:sz w:val="16"/>
        <w:szCs w:val="16"/>
      </w:rPr>
    </w:pPr>
    <w:r>
      <w:rPr>
        <w:spacing w:val="-2"/>
        <w:position w:val="1"/>
        <w:sz w:val="16"/>
        <w:szCs w:val="16"/>
      </w:rPr>
      <w:t>古县行政审批服务管理局2023年单位预算公开报告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F14F1">
    <w:pPr>
      <w:pStyle w:val="2"/>
      <w:spacing w:before="1" w:line="210" w:lineRule="exact"/>
      <w:ind w:left="50"/>
      <w:rPr>
        <w:sz w:val="16"/>
        <w:szCs w:val="16"/>
      </w:rPr>
    </w:pPr>
    <w:r>
      <w:rPr>
        <w:spacing w:val="-2"/>
        <w:position w:val="1"/>
        <w:sz w:val="16"/>
        <w:szCs w:val="16"/>
      </w:rPr>
      <w:t>古县行政审批服务管理局2023年单位预算公开报告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jkwOTgwMGQ0MTY1MzJlYjc0YzUwYWFlMGI1OWFmNDIifQ=="/>
  </w:docVars>
  <w:rsids>
    <w:rsidRoot w:val="00000000"/>
    <w:rsid w:val="208B18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4"/>
      <w:szCs w:val="3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9" Type="http://schemas.openxmlformats.org/officeDocument/2006/relationships/fontTable" Target="fontTable.xml"/><Relationship Id="rId48" Type="http://schemas.openxmlformats.org/officeDocument/2006/relationships/image" Target="media/image10.jpeg"/><Relationship Id="rId47" Type="http://schemas.openxmlformats.org/officeDocument/2006/relationships/image" Target="media/image9.jpeg"/><Relationship Id="rId46" Type="http://schemas.openxmlformats.org/officeDocument/2006/relationships/image" Target="media/image8.jpeg"/><Relationship Id="rId45" Type="http://schemas.openxmlformats.org/officeDocument/2006/relationships/image" Target="media/image7.jpeg"/><Relationship Id="rId44" Type="http://schemas.openxmlformats.org/officeDocument/2006/relationships/image" Target="media/image6.jpeg"/><Relationship Id="rId43" Type="http://schemas.openxmlformats.org/officeDocument/2006/relationships/image" Target="media/image5.jpeg"/><Relationship Id="rId42" Type="http://schemas.openxmlformats.org/officeDocument/2006/relationships/image" Target="media/image4.jpeg"/><Relationship Id="rId41" Type="http://schemas.openxmlformats.org/officeDocument/2006/relationships/image" Target="media/image3.jpeg"/><Relationship Id="rId40" Type="http://schemas.openxmlformats.org/officeDocument/2006/relationships/image" Target="media/image2.png"/><Relationship Id="rId4" Type="http://schemas.openxmlformats.org/officeDocument/2006/relationships/endnotes" Target="endnotes.xml"/><Relationship Id="rId39" Type="http://schemas.openxmlformats.org/officeDocument/2006/relationships/image" Target="media/image1.png"/><Relationship Id="rId38" Type="http://schemas.openxmlformats.org/officeDocument/2006/relationships/theme" Target="theme/theme1.xml"/><Relationship Id="rId37" Type="http://schemas.openxmlformats.org/officeDocument/2006/relationships/footer" Target="footer30.xml"/><Relationship Id="rId36" Type="http://schemas.openxmlformats.org/officeDocument/2006/relationships/footer" Target="footer29.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footnotes" Target="footnotes.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7340</Words>
  <Characters>8582</Characters>
  <TotalTime>0</TotalTime>
  <ScaleCrop>false</ScaleCrop>
  <LinksUpToDate>false</LinksUpToDate>
  <CharactersWithSpaces>8933</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2024-04-04T10:31:00Z</dcterms:created>
  <dc:creator>Administrator</dc:creator>
  <cp:lastModifiedBy>喵小咪创意吧（张薛瑞）</cp:lastModifiedBy>
  <dcterms:modified xsi:type="dcterms:W3CDTF">2024-10-15T08:47:53Z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2024-10-15T16:46:55Z</vt:filetime>
  </property>
  <property fmtid="{D5CDD505-2E9C-101B-9397-08002B2CF9AE}" pid="4" name="KSOProductBuildVer">
    <vt:lpwstr>2052-12.1.0.18276</vt:lpwstr>
  </property>
  <property fmtid="{D5CDD505-2E9C-101B-9397-08002B2CF9AE}" pid="5" name="ICV">
    <vt:lpwstr>501C5F7F28124125A995C0EF3792A08D_12</vt:lpwstr>
  </property>
</Properties>
</file>