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506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综 合 检</w:t>
      </w:r>
      <w:r>
        <w:rPr>
          <w:rFonts w:ascii="SimSun" w:hAnsi="SimSun" w:eastAsia="SimSun" w:cs="SimSun"/>
          <w:sz w:val="34"/>
          <w:szCs w:val="3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验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检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测 中 心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2" w:right="1450" w:firstLine="30"/>
        <w:spacing w:before="276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(一)贯彻执行国家食品药品、农产品、水产品、畜禽产品和有关产(商)品等质量安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全方面的法律法规和标准，依据有关规定实施检验检测工作。</w:t>
      </w:r>
    </w:p>
    <w:p>
      <w:pPr>
        <w:ind w:left="1343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(二)参与有关年度检验检测计划的制定;根据权限承担全县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食品药品、保健食品、</w:t>
      </w:r>
    </w:p>
    <w:p>
      <w:pPr>
        <w:ind w:left="1306" w:right="1324" w:firstLine="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化妆品、农产品、水产品、畜禽产品、铝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合金型材及制品和有关产(商)品的质量检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验、评价性检验、委托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检验和司法鉴定检验等任务。</w:t>
      </w:r>
    </w:p>
    <w:p>
      <w:pPr>
        <w:ind w:left="1307" w:right="1324" w:firstLine="35"/>
        <w:spacing w:before="44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(三)综合上报和反馈食品药品、保健食品</w:t>
      </w:r>
      <w:r>
        <w:rPr>
          <w:rFonts w:ascii="FangSong" w:hAnsi="FangSong" w:eastAsia="FangSong" w:cs="FangSong"/>
          <w:sz w:val="25"/>
          <w:szCs w:val="25"/>
        </w:rPr>
        <w:t>、化妆品、农产品、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水产品、畜禽产品、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铝合金型材及制品和有关产(商)品的质量信</w:t>
      </w:r>
      <w:r>
        <w:rPr>
          <w:rFonts w:ascii="FangSong" w:hAnsi="FangSong" w:eastAsia="FangSong" w:cs="FangSong"/>
          <w:sz w:val="25"/>
          <w:szCs w:val="25"/>
          <w:spacing w:val="3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息，</w:t>
      </w:r>
      <w:r>
        <w:rPr>
          <w:rFonts w:ascii="FangSong" w:hAnsi="FangSong" w:eastAsia="FangSong" w:cs="FangSong"/>
          <w:sz w:val="25"/>
          <w:szCs w:val="25"/>
        </w:rPr>
        <w:t>提供质量公告所需的技术数据和质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量分析报告。</w:t>
      </w:r>
    </w:p>
    <w:p>
      <w:pPr>
        <w:ind w:left="1306" w:right="1324" w:firstLine="36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(四)为各乡镇食品药品、农产品、水产品</w:t>
      </w:r>
      <w:r>
        <w:rPr>
          <w:rFonts w:ascii="FangSong" w:hAnsi="FangSong" w:eastAsia="FangSong" w:cs="FangSong"/>
          <w:sz w:val="25"/>
          <w:szCs w:val="25"/>
        </w:rPr>
        <w:t>、畜禽产品和有关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产(商)品生产、经营使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用单位提供质量检验的业务指导、技术咨询和服务;组织人员培训工作，协助解决技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术疑难问题。</w:t>
      </w:r>
    </w:p>
    <w:p>
      <w:pPr>
        <w:ind w:left="1307" w:right="1324" w:firstLine="35"/>
        <w:spacing w:before="130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(五)开展食品药品、农产品、水产品、畜禽产品和有关产(商)</w:t>
      </w:r>
      <w:r>
        <w:rPr>
          <w:rFonts w:ascii="FangSong" w:hAnsi="FangSong" w:eastAsia="FangSong" w:cs="FangSong"/>
          <w:sz w:val="25"/>
          <w:szCs w:val="25"/>
          <w:spacing w:val="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品检测新方法、新技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术的科研及推广工作。</w:t>
      </w:r>
    </w:p>
    <w:p>
      <w:pPr>
        <w:ind w:left="1343" w:right="1576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(六)协助有关政府职能部门做好食品药品、农产品、水产品、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畜禽产品和有关产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(商)品的监管执法和突发事件的应急处置工作。</w:t>
      </w:r>
    </w:p>
    <w:p>
      <w:pPr>
        <w:ind w:left="1306" w:right="1450" w:firstLine="36"/>
        <w:spacing w:before="130" w:line="28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(七)负责本单位的安全生产监管和维护稳定工作。为进一步提升产品质量和食品安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全检验检测能力和水平，改善检验检测服务质量，我县归并整合市场监督管理局所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属的产品。</w:t>
      </w:r>
    </w:p>
    <w:p>
      <w:pPr>
        <w:ind w:left="1808"/>
        <w:spacing w:before="272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450" w:firstLine="4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我部门2023年度部门决算由古县综合检验检测中心一个二级预算单位组成。根据主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要职责，古县综合检验检测中心本级设两个内设机构，分别是：办公室、业务股。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部门名称：古县综合检验检测中心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143.21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121.76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14.14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7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7.30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20138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4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市场监督管理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2013850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53"/>
        <w:gridCol w:w="1247"/>
        <w:gridCol w:w="1307"/>
        <w:gridCol w:w="1223"/>
        <w:gridCol w:w="1223"/>
        <w:gridCol w:w="551"/>
        <w:gridCol w:w="947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部门名称：古县综合检验检测中心</w:t>
            </w:r>
          </w:p>
        </w:tc>
        <w:tc>
          <w:tcPr>
            <w:tcW w:w="244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2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77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ind w:left="1197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399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3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07" w:type="dxa"/>
            <w:vAlign w:val="top"/>
          </w:tcPr>
          <w:p>
            <w:pPr>
              <w:ind w:left="59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23" w:type="dxa"/>
            <w:vAlign w:val="top"/>
          </w:tcPr>
          <w:p>
            <w:pPr>
              <w:ind w:left="55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23" w:type="dxa"/>
            <w:vAlign w:val="top"/>
          </w:tcPr>
          <w:p>
            <w:pPr>
              <w:ind w:left="55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4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91.64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74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3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20138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 w:right="160" w:firstLine="4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市场监督管理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3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123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2013850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3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76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2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2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 w:right="160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8"/>
        <w:gridCol w:w="2710"/>
        <w:gridCol w:w="1618"/>
        <w:gridCol w:w="1391"/>
        <w:gridCol w:w="146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3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618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15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3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7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ind w:left="1857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</w:tcPr>
          <w:p>
            <w:pPr>
              <w:ind w:left="53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10" w:type="dxa"/>
            <w:vAlign w:val="top"/>
          </w:tcPr>
          <w:p>
            <w:pPr>
              <w:ind w:left="97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18" w:type="dxa"/>
            <w:vAlign w:val="top"/>
          </w:tcPr>
          <w:p>
            <w:pPr>
              <w:ind w:left="609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91" w:type="dxa"/>
            <w:vAlign w:val="top"/>
          </w:tcPr>
          <w:p>
            <w:pPr>
              <w:ind w:left="32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5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759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pStyle w:val="TableText"/>
              <w:ind w:left="2074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143.21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91.64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5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20138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10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市场监督管理事务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5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2013850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121.76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5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70.20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51.57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2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2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14.14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 w:right="18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7.30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80.34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84.99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6.65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部门名称：古县综合检验检测中心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79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0.80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88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0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4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单位名称：古县综合检验检测中心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8" w:right="1450" w:firstLine="49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2023年度收入总计143.21万元，支出总计143.21万元。与上年相比，收入总计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减少59.99万元，下降29.52%，支出总计减少59.99万元，下降29.52%。主要原因</w:t>
      </w:r>
    </w:p>
    <w:p>
      <w:pPr>
        <w:ind w:left="1307"/>
        <w:spacing w:before="4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是2023减少了水质检测项目和食品安全抽检项</w:t>
      </w:r>
      <w:r>
        <w:rPr>
          <w:rFonts w:ascii="FangSong" w:hAnsi="FangSong" w:eastAsia="FangSong" w:cs="FangSong"/>
          <w:sz w:val="25"/>
          <w:szCs w:val="25"/>
        </w:rPr>
        <w:t>目。</w:t>
      </w:r>
    </w:p>
    <w:p>
      <w:pPr>
        <w:ind w:left="1802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2023年度收入合计143.21万元，其中：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财政拨款收入143.21万元，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2023年度支出合计143.21万元，其中：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基本支出91.64万元，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占比63.99%；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项目支出51.57万元，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占比36.01%；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33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2023年度财政拨款收入总计143.21万元，支出总计143.21万元。与上年相比，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财政拨款收入总计减少59.99万元，下降29.52%；财政拨款支出总计减少59.99万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元，下降29.52%。主要原因是2023减少了水质检测项目和食品安全抽检项目。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17" w:right="2207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2023年一般公共预算财政拨款决算支出143.</w:t>
      </w:r>
      <w:r>
        <w:rPr>
          <w:rFonts w:ascii="FangSong" w:hAnsi="FangSong" w:eastAsia="FangSong" w:cs="FangSong"/>
          <w:sz w:val="25"/>
          <w:szCs w:val="25"/>
          <w:spacing w:val="-1"/>
        </w:rPr>
        <w:t>21万元，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100.00%。与上年相比，一般公共预算财政拨款支出减少59.99万元，下降</w:t>
      </w:r>
    </w:p>
    <w:p>
      <w:pPr>
        <w:ind w:left="130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29.52%。主要原因是2023减少了水质检测项目和食品安全抽检项目。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2023年度一般公共预算财政拨款支出143.21万元，主要用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一般公共服务支出(类)121.76万元，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占比85.03%；</w:t>
      </w:r>
    </w:p>
    <w:p>
      <w:pPr>
        <w:ind w:left="18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社会保障和就业支出(类)14.14万元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占比9.87%；</w:t>
      </w:r>
    </w:p>
    <w:p>
      <w:pPr>
        <w:spacing w:line="222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住房保障支出(类)7.30万元，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占比5.10%。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2023年度一般公共预算财政拨款支出年初预算185.50万元，支出决算143.21万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元，完成年初预算的77.20%。其中：</w:t>
      </w:r>
    </w:p>
    <w:p>
      <w:pPr>
        <w:ind w:left="1304" w:right="1450" w:firstLine="510"/>
        <w:spacing w:before="4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一般公共服务支出年初预算165.08元，支出决算121.76万元，完成年初预算的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73.76%，用于基本人员支出、公用经费支出及实验室项目支出。较2022年决算减少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59.58万元，减少32.86%，主要原因是2023减少了水质检测项目和食品安全抽检项</w:t>
      </w:r>
    </w:p>
    <w:p>
      <w:pPr>
        <w:ind w:left="1306" w:right="1450" w:firstLine="44"/>
        <w:spacing w:before="4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目；社会保障和就业支出年初预算年初预算14.07万元，支出决算14.14万元，完成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年初预算的100.5%，用于在职人员社会保障缴费、离退休人员取暖费。较2022年决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算增加1.23万元，增加9.53%，主要原因2023年调整了各项保险基数，各项保险增</w:t>
      </w:r>
    </w:p>
    <w:p>
      <w:pPr>
        <w:ind w:left="1311" w:right="1324" w:hanging="5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加；住房保障支出年初预算年初预算6.35万元，支出决算7.3万元，完成年初预算的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114.96%，用于在职人员住房公积金。较2022年决算增加1.35万元，增加22.69%，主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要原因2023年调整公积金基数，公积金增加。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2023年度财政拨款基本支出91.64万元，其中：</w:t>
      </w:r>
    </w:p>
    <w:p>
      <w:pPr>
        <w:ind w:left="1307" w:right="1318" w:firstLine="507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人员经费84.99万元，主要包括基本工资、各项津贴、绩效工资、住房公积金及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各类保险等；</w:t>
      </w:r>
    </w:p>
    <w:p>
      <w:pPr>
        <w:ind w:left="181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公用经费6.65万元，主要包括办公费、印刷费、差旅费、工会费、福利费等。</w:t>
      </w:r>
    </w:p>
    <w:p>
      <w:pPr>
        <w:ind w:left="17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”经费财政拨款支出全年预算0.80万元，支出决算0.80万元，</w:t>
      </w:r>
    </w:p>
    <w:p>
      <w:pPr>
        <w:ind w:left="1311" w:right="1317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比上年度增加0.28万元，增长53.85%，主要原因是：2023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年检定任务增加，下乡次数增多，增加了公车运行费用其中：</w:t>
      </w:r>
    </w:p>
    <w:p>
      <w:pPr>
        <w:ind w:left="1307" w:right="1823" w:firstLine="528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是：我部门本年无因公出国（境）费支出；</w:t>
      </w:r>
    </w:p>
    <w:p>
      <w:pPr>
        <w:ind w:left="1307" w:right="1318" w:firstLine="508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部门本年无公务用车购置费支出；</w:t>
      </w:r>
    </w:p>
    <w:p>
      <w:pPr>
        <w:ind w:left="1301" w:right="1450" w:firstLine="514"/>
        <w:spacing w:before="45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公务用车运行维护费支出0.80万元，完成全年预算的100.00%，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0.28万元，增长53.85%，主要原因是：2023年检定任务增加，下乡次数增多，增加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了公车运行费用；</w:t>
      </w:r>
    </w:p>
    <w:p>
      <w:pPr>
        <w:spacing w:line="308" w:lineRule="auto"/>
        <w:sectPr>
          <w:headerReference w:type="default" r:id="rId3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7" w:right="1318" w:firstLine="508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本年无公务接待费支出。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11" w:right="1294" w:firstLine="509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我部门本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年无因公出国（境）费支出。</w:t>
      </w:r>
    </w:p>
    <w:p>
      <w:pPr>
        <w:ind w:left="1331" w:right="1306" w:firstLine="474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门本年无公务用车购置支出。</w:t>
      </w:r>
    </w:p>
    <w:p>
      <w:pPr>
        <w:ind w:left="1313" w:right="1570" w:firstLine="494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3、公务用车运行维护费支出0.80万元，使用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共1辆车，主要用于：下乡采集各项检测样</w:t>
      </w:r>
      <w:r>
        <w:rPr>
          <w:rFonts w:ascii="FangSong" w:hAnsi="FangSong" w:eastAsia="FangSong" w:cs="FangSong"/>
          <w:sz w:val="25"/>
          <w:szCs w:val="25"/>
        </w:rPr>
        <w:t>本。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本年无公务接待费支出；国（境）外接待费0万元，共接待国（境）外0批</w:t>
      </w:r>
      <w:r>
        <w:rPr>
          <w:rFonts w:ascii="FangSong" w:hAnsi="FangSong" w:eastAsia="FangSong" w:cs="FangSong"/>
          <w:sz w:val="25"/>
          <w:szCs w:val="25"/>
          <w:spacing w:val="1"/>
        </w:rPr>
        <w:t>次，0人</w:t>
      </w:r>
    </w:p>
    <w:p>
      <w:pPr>
        <w:ind w:left="1306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次，主要是我部门本年无国（境）外接待费。</w:t>
      </w:r>
    </w:p>
    <w:p>
      <w:pPr>
        <w:ind w:left="1801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他用车主要是国（境）外接待费；单价100万元（含）以上设备（不含车辆）0台</w:t>
      </w:r>
    </w:p>
    <w:p>
      <w:pPr>
        <w:ind w:left="1307"/>
        <w:spacing w:before="46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324" w:firstLine="1"/>
        <w:spacing w:before="134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绩效自评，涉及二级项目4个，资金51.57万元，其中一般公共预算项目支出51.57万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元，政府性基金预算项目支出0万元、国有资金经营预算项目支出0万元、社会保险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</w:t>
      </w:r>
      <w:r>
        <w:rPr>
          <w:rFonts w:ascii="FangSong" w:hAnsi="FangSong" w:eastAsia="FangSong" w:cs="FangSong"/>
          <w:sz w:val="25"/>
          <w:szCs w:val="25"/>
          <w:spacing w:val="-2"/>
        </w:rPr>
        <w:t>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</w:t>
      </w:r>
    </w:p>
    <w:p>
      <w:pPr>
        <w:ind w:left="1308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对“业务费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”“检验检测专项费用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”等“4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”个项目开展了部门评价，涉及资金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4" w:right="1324"/>
        <w:spacing w:before="8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51.57万元，其中一般公共预算支出51.57万元，政府性基金预算支出0万元、国有资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金经营预算支出0万元、社会保险基金预算支</w:t>
      </w:r>
      <w:r>
        <w:rPr>
          <w:rFonts w:ascii="FangSong" w:hAnsi="FangSong" w:eastAsia="FangSong" w:cs="FangSong"/>
          <w:sz w:val="25"/>
          <w:szCs w:val="25"/>
          <w:spacing w:val="1"/>
        </w:rPr>
        <w:t>出0万元。从评价结果来看，我部门所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有项目均完成了项目目标值。</w:t>
      </w:r>
    </w:p>
    <w:p>
      <w:pPr>
        <w:ind w:left="1317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附件：部门评价报告及项目绩效自评表。</w:t>
      </w:r>
    </w:p>
    <w:p>
      <w:pPr>
        <w:ind w:left="1315" w:right="7248" w:firstLine="490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我部门无其他需要说明的事项</w:t>
      </w:r>
    </w:p>
    <w:p>
      <w:pPr>
        <w:spacing w:line="304" w:lineRule="auto"/>
        <w:sectPr>
          <w:headerReference w:type="default" r:id="rId14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十三、一般公共服务支出：</w:t>
      </w:r>
    </w:p>
    <w:p>
      <w:pPr>
        <w:ind w:left="1307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反映政府提供一般公共服务的支出。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十四、社会保障和就业支出：</w:t>
      </w:r>
    </w:p>
    <w:p>
      <w:pPr>
        <w:ind w:left="1307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反映政府在社会保障与就业方面的支出。</w:t>
      </w:r>
    </w:p>
    <w:p>
      <w:pPr>
        <w:spacing w:line="22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十五、住房保障支出：</w:t>
      </w:r>
    </w:p>
    <w:p>
      <w:pPr>
        <w:ind w:left="1307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集中反映政府用于住房方面的支出。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4" style="position:absolute;margin-left:493.28pt;margin-top:49.1801pt;mso-position-vertical-relative:page;mso-position-horizontal-relative:page;width:99.4pt;height:18.7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6" style="position:absolute;margin-left:86.92pt;margin-top:44.1055pt;mso-position-vertical-relative:page;mso-position-horizontal-relative:page;width:119.4pt;height:18.8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68" style="position:absolute;margin-left:391.92pt;margin-top:234.112pt;mso-position-vertical-relative:text;mso-position-horizontal-relative:text;width:119.4pt;height:18.8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86.92pt;margin-top:478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4" style="position:absolute;margin-left:-13.08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6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8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0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8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0" style="position:absolute;margin-left:86.92pt;margin-top:44.1055pt;mso-position-vertical-relative:page;mso-position-horizontal-relative:page;width:119.4pt;height:18.8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0" style="position:absolute;margin-left:391.92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391.92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26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0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2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86.92pt;margin-top:44.1055pt;mso-position-vertical-relative:page;mso-position-horizontal-relative:page;width:119.4pt;height:18.8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493.28pt;margin-top:483.186pt;mso-position-vertical-relative:text;mso-position-horizontal-relative:text;width:99.4pt;height:18.7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9.1801pt;mso-position-vertical-relative:page;mso-position-horizontal-relative:page;width:99.4pt;height:18.7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6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86.92pt;margin-top:478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4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6" style="position:absolute;margin-left:86.92pt;margin-top:44.1055pt;mso-position-vertical-relative:page;mso-position-horizontal-relative:page;width:119.4pt;height:18.8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8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4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6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86.92pt;margin-top:44.1055pt;mso-position-vertical-relative:page;mso-position-horizontal-relative:page;width:119.4pt;height:18.8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0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8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2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8" style="position:absolute;margin-left:391.92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2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4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391.92pt;margin-top:234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2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4" style="position:absolute;margin-left:86.92pt;margin-top:44.1055pt;mso-position-vertical-relative:page;mso-position-horizontal-relative:page;width:119.4pt;height:18.8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6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86.92pt;margin-top:478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4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6" style="position:absolute;margin-left:86.92pt;margin-top:44.1055pt;mso-position-vertical-relative:page;mso-position-horizontal-relative:page;width:119.4pt;height:18.8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8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8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0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2" style="position:absolute;margin-left:-13.08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4" style="position:absolute;margin-left:86.92pt;margin-top:478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-13.08pt;margin-top:234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493.28pt;margin-top:49.1801pt;mso-position-vertical-relative:page;mso-position-horizontal-relative:page;width:99.4pt;height:18.75pt;z-index:251807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4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6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-13.08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6" style="position:absolute;margin-left:86.92pt;margin-top:44.1055pt;mso-position-vertical-relative:page;mso-position-horizontal-relative:page;width:119.4pt;height:18.8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8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6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8" style="position:absolute;margin-left:86.92pt;margin-top:44.1055pt;mso-position-vertical-relative:page;mso-position-horizontal-relative:page;width:119.4pt;height:18.8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493.28pt;margin-top:49.1801pt;mso-position-vertical-relative:page;mso-position-horizontal-relative:page;width:99.4pt;height:18.75pt;z-index:251830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2" style="position:absolute;margin-left:86.92pt;margin-top:478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493.28pt;margin-top:483.186pt;mso-position-vertical-relative:text;mso-position-horizontal-relative:text;width:99.4pt;height:18.7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6" style="position:absolute;margin-left:391.92pt;margin-top:234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-13.08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0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2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4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2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493.28pt;margin-top:49.1801pt;mso-position-vertical-relative:page;mso-position-horizontal-relative:page;width:99.4pt;height:18.7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6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4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493.28pt;margin-top:49.1801pt;mso-position-vertical-relative:page;mso-position-horizontal-relative:page;width:99.4pt;height:18.75pt;z-index:251847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8" style="position:absolute;margin-left:493.28pt;margin-top:483.186pt;mso-position-vertical-relative:text;mso-position-horizontal-relative:text;width:99.4pt;height:18.7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0" style="position:absolute;margin-left:-13.08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391.92pt;margin-top:234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86.92pt;margin-top:478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6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8" style="position:absolute;margin-left:86.92pt;margin-top:44.1055pt;mso-position-vertical-relative:page;mso-position-horizontal-relative:page;width:119.4pt;height:18.8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0" style="position:absolute;margin-left:493.28pt;margin-top:483.186pt;mso-position-vertical-relative:text;mso-position-horizontal-relative:text;width:99.4pt;height:18.7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2" style="position:absolute;margin-left:86.92pt;margin-top:478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-13.08pt;margin-top:234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8" style="position:absolute;margin-left:86.92pt;margin-top:44.1055pt;mso-position-vertical-relative:page;mso-position-horizontal-relative:page;width:119.4pt;height:18.8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493.28pt;margin-top:49.1801pt;mso-position-vertical-relative:page;mso-position-horizontal-relative:page;width:99.4pt;height:18.7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2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86.92pt;margin-top:478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0" style="position:absolute;margin-left:86.92pt;margin-top:44.1055pt;mso-position-vertical-relative:page;mso-position-horizontal-relative:page;width:119.4pt;height:18.8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493.28pt;margin-top:49.1801pt;mso-position-vertical-relative:page;mso-position-horizontal-relative:page;width:99.4pt;height:18.7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86.92pt;margin-top:478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83.186pt;mso-position-vertical-relative:text;mso-position-horizontal-relative:text;width:99.4pt;height:18.7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9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48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86.92pt;margin-top:26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-13.08pt;margin-top:288.105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4" style="position:absolute;margin-left:391.92pt;margin-top:288.105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532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493.28pt;margin-top:537.18pt;mso-position-vertical-relative:page;mso-position-horizontal-relative:page;width:99.4pt;height:18.7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2" style="position:absolute;margin-left:391.92pt;margin-top:776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-13.08pt;margin-top:27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312.92pt;margin-top:45.1055pt;mso-position-vertical-relative:page;mso-position-horizontal-relative:page;width:119.4pt;height:18.8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86.92pt;margin-top:287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638.92pt;margin-top:45.1055pt;mso-position-vertical-relative:page;mso-position-horizontal-relative:page;width:119.4pt;height:18.85pt;z-index:251759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45.0434pt;margin-top:406.395pt;mso-position-vertical-relative:page;mso-position-horizontal-relative:page;width:609.35pt;height:22.2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4" style="position:absolute;margin-left:282.314pt;margin-top:411.399pt;mso-position-vertical-relative:page;mso-position-horizontal-relative:page;width:589.35pt;height:22.2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6" style="position:absolute;margin-left:638.92pt;margin-top:529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688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古县综合检验检测中心2023年部门决算公开报告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styles" Target="styles.xml"/><Relationship Id="rId96" Type="http://schemas.openxmlformats.org/officeDocument/2006/relationships/settings" Target="settings.xml"/><Relationship Id="rId95" Type="http://schemas.openxmlformats.org/officeDocument/2006/relationships/image" Target="media/image29.jpeg"/><Relationship Id="rId94" Type="http://schemas.openxmlformats.org/officeDocument/2006/relationships/footer" Target="footer49.xml"/><Relationship Id="rId93" Type="http://schemas.openxmlformats.org/officeDocument/2006/relationships/image" Target="media/image28.jpeg"/><Relationship Id="rId92" Type="http://schemas.openxmlformats.org/officeDocument/2006/relationships/footer" Target="footer48.xml"/><Relationship Id="rId91" Type="http://schemas.openxmlformats.org/officeDocument/2006/relationships/image" Target="media/image27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6.jpeg"/><Relationship Id="rId88" Type="http://schemas.openxmlformats.org/officeDocument/2006/relationships/footer" Target="footer46.xml"/><Relationship Id="rId87" Type="http://schemas.openxmlformats.org/officeDocument/2006/relationships/image" Target="media/image25.jpeg"/><Relationship Id="rId86" Type="http://schemas.openxmlformats.org/officeDocument/2006/relationships/footer" Target="footer45.xml"/><Relationship Id="rId85" Type="http://schemas.openxmlformats.org/officeDocument/2006/relationships/image" Target="media/image24.jpeg"/><Relationship Id="rId84" Type="http://schemas.openxmlformats.org/officeDocument/2006/relationships/footer" Target="footer44.xml"/><Relationship Id="rId83" Type="http://schemas.openxmlformats.org/officeDocument/2006/relationships/image" Target="media/image23.jpeg"/><Relationship Id="rId82" Type="http://schemas.openxmlformats.org/officeDocument/2006/relationships/footer" Target="footer43.xml"/><Relationship Id="rId81" Type="http://schemas.openxmlformats.org/officeDocument/2006/relationships/image" Target="media/image22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21.jpeg"/><Relationship Id="rId78" Type="http://schemas.openxmlformats.org/officeDocument/2006/relationships/footer" Target="footer41.xml"/><Relationship Id="rId77" Type="http://schemas.openxmlformats.org/officeDocument/2006/relationships/image" Target="media/image20.jpeg"/><Relationship Id="rId76" Type="http://schemas.openxmlformats.org/officeDocument/2006/relationships/footer" Target="footer40.xml"/><Relationship Id="rId75" Type="http://schemas.openxmlformats.org/officeDocument/2006/relationships/image" Target="media/image19.jpeg"/><Relationship Id="rId74" Type="http://schemas.openxmlformats.org/officeDocument/2006/relationships/footer" Target="footer39.xml"/><Relationship Id="rId73" Type="http://schemas.openxmlformats.org/officeDocument/2006/relationships/image" Target="media/image18.jpeg"/><Relationship Id="rId72" Type="http://schemas.openxmlformats.org/officeDocument/2006/relationships/footer" Target="footer38.xml"/><Relationship Id="rId71" Type="http://schemas.openxmlformats.org/officeDocument/2006/relationships/image" Target="media/image17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6.jpeg"/><Relationship Id="rId68" Type="http://schemas.openxmlformats.org/officeDocument/2006/relationships/footer" Target="footer36.xml"/><Relationship Id="rId67" Type="http://schemas.openxmlformats.org/officeDocument/2006/relationships/image" Target="media/image15.jpeg"/><Relationship Id="rId66" Type="http://schemas.openxmlformats.org/officeDocument/2006/relationships/footer" Target="footer35.xml"/><Relationship Id="rId65" Type="http://schemas.openxmlformats.org/officeDocument/2006/relationships/image" Target="media/image14.jpeg"/><Relationship Id="rId64" Type="http://schemas.openxmlformats.org/officeDocument/2006/relationships/footer" Target="footer34.xml"/><Relationship Id="rId63" Type="http://schemas.openxmlformats.org/officeDocument/2006/relationships/image" Target="media/image13.jpeg"/><Relationship Id="rId62" Type="http://schemas.openxmlformats.org/officeDocument/2006/relationships/footer" Target="footer33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8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2024-09-19T16:22:50Z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2024-09-20T10:19:25</vt:filetime>
  </property>
</Properties>
</file>