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4736"/>
        <w:spacing w:before="111" w:line="217" w:lineRule="auto"/>
        <w:outlineLvl w:val="0"/>
        <w:rPr>
          <w:rFonts w:ascii="SimSun" w:hAnsi="SimSun" w:eastAsia="SimSun" w:cs="SimSun"/>
          <w:sz w:val="34"/>
          <w:szCs w:val="34"/>
        </w:rPr>
      </w:pPr>
      <w:r>
        <w:rPr>
          <w:rFonts w:ascii="SimSun" w:hAnsi="SimSun" w:eastAsia="SimSun" w:cs="SimSun"/>
          <w:sz w:val="34"/>
          <w:szCs w:val="34"/>
          <w:spacing w:val="-7"/>
        </w:rPr>
        <w:t>古 县 财</w:t>
      </w:r>
      <w:r>
        <w:rPr>
          <w:rFonts w:ascii="SimSun" w:hAnsi="SimSun" w:eastAsia="SimSun" w:cs="SimSun"/>
          <w:sz w:val="34"/>
          <w:szCs w:val="34"/>
          <w:spacing w:val="-16"/>
        </w:rPr>
        <w:t xml:space="preserve"> </w:t>
      </w:r>
      <w:r>
        <w:rPr>
          <w:rFonts w:ascii="SimSun" w:hAnsi="SimSun" w:eastAsia="SimSun" w:cs="SimSun"/>
          <w:sz w:val="34"/>
          <w:szCs w:val="34"/>
          <w:spacing w:val="-7"/>
        </w:rPr>
        <w:t>政 局</w:t>
      </w:r>
    </w:p>
    <w:p>
      <w:pPr>
        <w:pStyle w:val="BodyText"/>
        <w:spacing w:line="319" w:lineRule="auto"/>
        <w:rPr/>
      </w:pPr>
      <w:r/>
    </w:p>
    <w:p>
      <w:pPr>
        <w:pStyle w:val="BodyText"/>
        <w:spacing w:line="319"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rPr>
              <w:t>2</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b/>
                <w:bCs/>
                <w:spacing w:val="-3"/>
              </w:rPr>
              <w:t>3</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rPr>
              <w:t>3</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5</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4"/>
              </w:rPr>
              <w:t xml:space="preserve"> </w:t>
            </w:r>
            <w:r>
              <w:rPr>
                <w:rFonts w:ascii="FangSong" w:hAnsi="FangSong" w:eastAsia="FangSong" w:cs="FangSong"/>
                <w:sz w:val="26"/>
                <w:szCs w:val="26"/>
              </w:rPr>
              <w:t>6</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5"/>
              </w:rPr>
              <w:t xml:space="preserve"> </w:t>
            </w:r>
            <w:r>
              <w:rPr>
                <w:rFonts w:ascii="FangSong" w:hAnsi="FangSong" w:eastAsia="FangSong" w:cs="FangSong"/>
                <w:sz w:val="26"/>
                <w:szCs w:val="26"/>
              </w:rPr>
              <w:t>7</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9</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10</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12</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13</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14</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15</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16</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16</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16</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18</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6"/>
              </w:rPr>
              <w:t>20</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21</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9" w:id="29"/>
      <w:bookmarkEnd w:id="29"/>
      <w:bookmarkStart w:name="bookmark2" w:id="30"/>
      <w:bookmarkEnd w:id="30"/>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1"/>
      <w:bookmarkEnd w:id="31"/>
      <w:r>
        <w:rPr>
          <w:rFonts w:ascii="SimHei" w:hAnsi="SimHei" w:eastAsia="SimHei" w:cs="SimHei"/>
          <w:sz w:val="25"/>
          <w:szCs w:val="25"/>
        </w:rPr>
        <w:t>一、本部门（单位）职责</w:t>
      </w:r>
    </w:p>
    <w:p>
      <w:pPr>
        <w:ind w:left="1306" w:right="1324" w:firstLine="379"/>
        <w:spacing w:before="275" w:line="287" w:lineRule="auto"/>
        <w:rPr>
          <w:rFonts w:ascii="FangSong" w:hAnsi="FangSong" w:eastAsia="FangSong" w:cs="FangSong"/>
          <w:sz w:val="25"/>
          <w:szCs w:val="25"/>
        </w:rPr>
      </w:pPr>
      <w:r>
        <w:rPr>
          <w:rFonts w:ascii="FangSong" w:hAnsi="FangSong" w:eastAsia="FangSong" w:cs="FangSong"/>
          <w:sz w:val="25"/>
          <w:szCs w:val="25"/>
          <w:spacing w:val="1"/>
        </w:rPr>
        <w:t>（1）贯彻执行国家财政、税收宏观经济等各项方针政策；参与拟订全县各项宏</w:t>
      </w:r>
      <w:r>
        <w:rPr>
          <w:rFonts w:ascii="FangSong" w:hAnsi="FangSong" w:eastAsia="FangSong" w:cs="FangSong"/>
          <w:sz w:val="25"/>
          <w:szCs w:val="25"/>
          <w:spacing w:val="7"/>
        </w:rPr>
        <w:t xml:space="preserve">  </w:t>
      </w:r>
      <w:r>
        <w:rPr>
          <w:rFonts w:ascii="FangSong" w:hAnsi="FangSong" w:eastAsia="FangSong" w:cs="FangSong"/>
          <w:sz w:val="25"/>
          <w:szCs w:val="25"/>
        </w:rPr>
        <w:t>观经</w:t>
      </w:r>
      <w:r>
        <w:rPr>
          <w:rFonts w:ascii="FangSong" w:hAnsi="FangSong" w:eastAsia="FangSong" w:cs="FangSong"/>
          <w:sz w:val="25"/>
          <w:szCs w:val="25"/>
        </w:rPr>
        <w:t xml:space="preserve"> </w:t>
      </w:r>
      <w:r>
        <w:rPr>
          <w:rFonts w:ascii="FangSong" w:hAnsi="FangSong" w:eastAsia="FangSong" w:cs="FangSong"/>
          <w:sz w:val="25"/>
          <w:szCs w:val="25"/>
        </w:rPr>
        <w:t>济政策；拟订和执行全县财政税收发展战略、方针政策、</w:t>
      </w:r>
      <w:r>
        <w:rPr>
          <w:rFonts w:ascii="FangSong" w:hAnsi="FangSong" w:eastAsia="FangSong" w:cs="FangSong"/>
          <w:sz w:val="25"/>
          <w:szCs w:val="25"/>
          <w:spacing w:val="-70"/>
        </w:rPr>
        <w:t xml:space="preserve"> </w:t>
      </w:r>
      <w:r>
        <w:rPr>
          <w:rFonts w:ascii="FangSong" w:hAnsi="FangSong" w:eastAsia="FangSong" w:cs="FangSong"/>
          <w:sz w:val="25"/>
          <w:szCs w:val="25"/>
        </w:rPr>
        <w:t>中长期规划、改革方</w:t>
      </w:r>
      <w:r>
        <w:rPr>
          <w:rFonts w:ascii="FangSong" w:hAnsi="FangSong" w:eastAsia="FangSong" w:cs="FangSong"/>
          <w:sz w:val="25"/>
          <w:szCs w:val="25"/>
        </w:rPr>
        <w:t xml:space="preserve"> </w:t>
      </w:r>
      <w:r>
        <w:rPr>
          <w:rFonts w:ascii="FangSong" w:hAnsi="FangSong" w:eastAsia="FangSong" w:cs="FangSong"/>
          <w:sz w:val="25"/>
          <w:szCs w:val="25"/>
          <w:spacing w:val="1"/>
        </w:rPr>
        <w:t>案及其他有关政策；提出运用财税政策实施宏观调控和综合平衡社会财力的建议。</w:t>
      </w:r>
    </w:p>
    <w:p>
      <w:pPr>
        <w:ind w:left="1314" w:right="1490" w:firstLine="371"/>
        <w:spacing w:before="131" w:line="271" w:lineRule="auto"/>
        <w:rPr>
          <w:rFonts w:ascii="FangSong" w:hAnsi="FangSong" w:eastAsia="FangSong" w:cs="FangSong"/>
          <w:sz w:val="25"/>
          <w:szCs w:val="25"/>
        </w:rPr>
      </w:pPr>
      <w:r>
        <w:rPr>
          <w:rFonts w:ascii="FangSong" w:hAnsi="FangSong" w:eastAsia="FangSong" w:cs="FangSong"/>
          <w:sz w:val="25"/>
          <w:szCs w:val="25"/>
        </w:rPr>
        <w:t>（2）贯彻执行国家财政财务、会计管理及行政事业单位国有资产管理的法律、</w:t>
      </w:r>
      <w:r>
        <w:rPr>
          <w:rFonts w:ascii="FangSong" w:hAnsi="FangSong" w:eastAsia="FangSong" w:cs="FangSong"/>
          <w:sz w:val="25"/>
          <w:szCs w:val="25"/>
          <w:spacing w:val="11"/>
        </w:rPr>
        <w:t xml:space="preserve"> </w:t>
      </w:r>
      <w:r>
        <w:rPr>
          <w:rFonts w:ascii="FangSong" w:hAnsi="FangSong" w:eastAsia="FangSong" w:cs="FangSong"/>
          <w:sz w:val="25"/>
          <w:szCs w:val="25"/>
          <w:spacing w:val="-1"/>
        </w:rPr>
        <w:t>法规、规章及各项方针政策。</w:t>
      </w:r>
    </w:p>
    <w:p>
      <w:pPr>
        <w:ind w:left="1309" w:right="1450" w:firstLine="376"/>
        <w:spacing w:before="128" w:line="287" w:lineRule="auto"/>
        <w:rPr>
          <w:rFonts w:ascii="FangSong" w:hAnsi="FangSong" w:eastAsia="FangSong" w:cs="FangSong"/>
          <w:sz w:val="25"/>
          <w:szCs w:val="25"/>
        </w:rPr>
      </w:pPr>
      <w:r>
        <w:rPr>
          <w:rFonts w:ascii="FangSong" w:hAnsi="FangSong" w:eastAsia="FangSong" w:cs="FangSong"/>
          <w:sz w:val="25"/>
          <w:szCs w:val="25"/>
          <w:spacing w:val="1"/>
        </w:rPr>
        <w:t>（3）编制县本级年度预决算草案并组织执行。受县人民政府委托向县人民代表</w:t>
      </w:r>
      <w:r>
        <w:rPr>
          <w:rFonts w:ascii="FangSong" w:hAnsi="FangSong" w:eastAsia="FangSong" w:cs="FangSong"/>
          <w:sz w:val="25"/>
          <w:szCs w:val="25"/>
          <w:spacing w:val="15"/>
        </w:rPr>
        <w:t xml:space="preserve"> </w:t>
      </w:r>
      <w:r>
        <w:rPr>
          <w:rFonts w:ascii="FangSong" w:hAnsi="FangSong" w:eastAsia="FangSong" w:cs="FangSong"/>
          <w:sz w:val="25"/>
          <w:szCs w:val="25"/>
        </w:rPr>
        <w:t>大会报告全县预算及其执行情况，</w:t>
      </w:r>
      <w:r>
        <w:rPr>
          <w:rFonts w:ascii="FangSong" w:hAnsi="FangSong" w:eastAsia="FangSong" w:cs="FangSong"/>
          <w:sz w:val="25"/>
          <w:szCs w:val="25"/>
          <w:spacing w:val="-74"/>
        </w:rPr>
        <w:t xml:space="preserve"> </w:t>
      </w:r>
      <w:r>
        <w:rPr>
          <w:rFonts w:ascii="FangSong" w:hAnsi="FangSong" w:eastAsia="FangSong" w:cs="FangSong"/>
          <w:sz w:val="25"/>
          <w:szCs w:val="25"/>
        </w:rPr>
        <w:t>向县人大常委会报告县本级决算。深化部门预算</w:t>
      </w:r>
      <w:r>
        <w:rPr>
          <w:rFonts w:ascii="FangSong" w:hAnsi="FangSong" w:eastAsia="FangSong" w:cs="FangSong"/>
          <w:sz w:val="25"/>
          <w:szCs w:val="25"/>
        </w:rPr>
        <w:t xml:space="preserve"> </w:t>
      </w:r>
      <w:r>
        <w:rPr>
          <w:rFonts w:ascii="FangSong" w:hAnsi="FangSong" w:eastAsia="FangSong" w:cs="FangSong"/>
          <w:sz w:val="25"/>
          <w:szCs w:val="25"/>
          <w:spacing w:val="1"/>
        </w:rPr>
        <w:t>改革，组织制定经费开支标准、定额，负责审核批复部门（单位）的年度预决算。</w:t>
      </w:r>
    </w:p>
    <w:p>
      <w:pPr>
        <w:ind w:left="1307" w:right="1450" w:firstLine="378"/>
        <w:spacing w:before="132" w:line="270" w:lineRule="auto"/>
        <w:rPr>
          <w:rFonts w:ascii="FangSong" w:hAnsi="FangSong" w:eastAsia="FangSong" w:cs="FangSong"/>
          <w:sz w:val="25"/>
          <w:szCs w:val="25"/>
        </w:rPr>
      </w:pPr>
      <w:r>
        <w:rPr>
          <w:rFonts w:ascii="FangSong" w:hAnsi="FangSong" w:eastAsia="FangSong" w:cs="FangSong"/>
          <w:sz w:val="25"/>
          <w:szCs w:val="25"/>
          <w:spacing w:val="1"/>
        </w:rPr>
        <w:t>（4）负责政府非税收入管理，负责政府性基金管理及预算编制，按规定管理行</w:t>
      </w:r>
      <w:r>
        <w:rPr>
          <w:rFonts w:ascii="FangSong" w:hAnsi="FangSong" w:eastAsia="FangSong" w:cs="FangSong"/>
          <w:sz w:val="25"/>
          <w:szCs w:val="25"/>
          <w:spacing w:val="15"/>
        </w:rPr>
        <w:t xml:space="preserve"> </w:t>
      </w:r>
      <w:r>
        <w:rPr>
          <w:rFonts w:ascii="FangSong" w:hAnsi="FangSong" w:eastAsia="FangSong" w:cs="FangSong"/>
          <w:sz w:val="25"/>
          <w:szCs w:val="25"/>
          <w:spacing w:val="1"/>
        </w:rPr>
        <w:t>政事业性收费，管理财政票据，负责煤炭可持续发展基金的管理和监督检查。</w:t>
      </w:r>
    </w:p>
    <w:p>
      <w:pPr>
        <w:ind w:left="1307" w:right="1450" w:firstLine="378"/>
        <w:spacing w:before="129" w:line="300" w:lineRule="auto"/>
        <w:rPr>
          <w:rFonts w:ascii="FangSong" w:hAnsi="FangSong" w:eastAsia="FangSong" w:cs="FangSong"/>
          <w:sz w:val="25"/>
          <w:szCs w:val="25"/>
        </w:rPr>
      </w:pPr>
      <w:r>
        <w:rPr>
          <w:rFonts w:ascii="FangSong" w:hAnsi="FangSong" w:eastAsia="FangSong" w:cs="FangSong"/>
          <w:sz w:val="25"/>
          <w:szCs w:val="25"/>
          <w:spacing w:val="1"/>
        </w:rPr>
        <w:t>（5）贯彻执行国库管理制度、国库集中收付制度，推行县级财政国库集中收付</w:t>
      </w:r>
      <w:r>
        <w:rPr>
          <w:rFonts w:ascii="FangSong" w:hAnsi="FangSong" w:eastAsia="FangSong" w:cs="FangSong"/>
          <w:sz w:val="25"/>
          <w:szCs w:val="25"/>
          <w:spacing w:val="15"/>
        </w:rPr>
        <w:t xml:space="preserve"> </w:t>
      </w:r>
      <w:r>
        <w:rPr>
          <w:rFonts w:ascii="FangSong" w:hAnsi="FangSong" w:eastAsia="FangSong" w:cs="FangSong"/>
          <w:sz w:val="25"/>
          <w:szCs w:val="25"/>
          <w:spacing w:val="1"/>
        </w:rPr>
        <w:t>制度并进行监督管理，指导全县推行财政国库集中收付制度工作，负责审核和编制</w:t>
      </w:r>
      <w:r>
        <w:rPr>
          <w:rFonts w:ascii="FangSong" w:hAnsi="FangSong" w:eastAsia="FangSong" w:cs="FangSong"/>
          <w:sz w:val="25"/>
          <w:szCs w:val="25"/>
          <w:spacing w:val="17"/>
        </w:rPr>
        <w:t xml:space="preserve"> </w:t>
      </w:r>
      <w:r>
        <w:rPr>
          <w:rFonts w:ascii="FangSong" w:hAnsi="FangSong" w:eastAsia="FangSong" w:cs="FangSong"/>
          <w:sz w:val="25"/>
          <w:szCs w:val="25"/>
          <w:spacing w:val="1"/>
        </w:rPr>
        <w:t>汇总全县财政总决算和部门决算。负责管理县本级财政银行账户和县级预算单位银</w:t>
      </w:r>
      <w:r>
        <w:rPr>
          <w:rFonts w:ascii="FangSong" w:hAnsi="FangSong" w:eastAsia="FangSong" w:cs="FangSong"/>
          <w:sz w:val="25"/>
          <w:szCs w:val="25"/>
          <w:spacing w:val="17"/>
        </w:rPr>
        <w:t xml:space="preserve"> </w:t>
      </w:r>
      <w:r>
        <w:rPr>
          <w:rFonts w:ascii="FangSong" w:hAnsi="FangSong" w:eastAsia="FangSong" w:cs="FangSong"/>
          <w:sz w:val="25"/>
          <w:szCs w:val="25"/>
          <w:spacing w:val="1"/>
        </w:rPr>
        <w:t>行账户。制定地方国库现金管理制度，负责组织实施地方国库现金管理工作。负责</w:t>
      </w:r>
      <w:r>
        <w:rPr>
          <w:rFonts w:ascii="FangSong" w:hAnsi="FangSong" w:eastAsia="FangSong" w:cs="FangSong"/>
          <w:sz w:val="25"/>
          <w:szCs w:val="25"/>
          <w:spacing w:val="17"/>
        </w:rPr>
        <w:t xml:space="preserve"> </w:t>
      </w:r>
      <w:r>
        <w:rPr>
          <w:rFonts w:ascii="FangSong" w:hAnsi="FangSong" w:eastAsia="FangSong" w:cs="FangSong"/>
          <w:sz w:val="25"/>
          <w:szCs w:val="25"/>
          <w:spacing w:val="1"/>
        </w:rPr>
        <w:t>制定全县政府采购制度并监督管理，编制县级政府采购预算。</w:t>
      </w:r>
    </w:p>
    <w:p>
      <w:pPr>
        <w:ind w:left="1306" w:right="1450" w:firstLine="379"/>
        <w:spacing w:before="134" w:line="295" w:lineRule="auto"/>
        <w:rPr>
          <w:rFonts w:ascii="FangSong" w:hAnsi="FangSong" w:eastAsia="FangSong" w:cs="FangSong"/>
          <w:sz w:val="25"/>
          <w:szCs w:val="25"/>
        </w:rPr>
      </w:pPr>
      <w:r>
        <w:rPr>
          <w:rFonts w:ascii="FangSong" w:hAnsi="FangSong" w:eastAsia="FangSong" w:cs="FangSong"/>
          <w:sz w:val="25"/>
          <w:szCs w:val="25"/>
          <w:spacing w:val="1"/>
        </w:rPr>
        <w:t>（6）拟定并组织实施全县行政事业单位国有资产及其收益管理的规章制度，建</w:t>
      </w:r>
      <w:r>
        <w:rPr>
          <w:rFonts w:ascii="FangSong" w:hAnsi="FangSong" w:eastAsia="FangSong" w:cs="FangSong"/>
          <w:sz w:val="25"/>
          <w:szCs w:val="25"/>
          <w:spacing w:val="15"/>
        </w:rPr>
        <w:t xml:space="preserve"> </w:t>
      </w:r>
      <w:r>
        <w:rPr>
          <w:rFonts w:ascii="FangSong" w:hAnsi="FangSong" w:eastAsia="FangSong" w:cs="FangSong"/>
          <w:sz w:val="25"/>
          <w:szCs w:val="25"/>
          <w:spacing w:val="2"/>
        </w:rPr>
        <w:t>立行政事业单位国有资产配置、整合、调剂</w:t>
      </w:r>
      <w:r>
        <w:rPr>
          <w:rFonts w:ascii="FangSong" w:hAnsi="FangSong" w:eastAsia="FangSong" w:cs="FangSong"/>
          <w:sz w:val="25"/>
          <w:szCs w:val="25"/>
          <w:spacing w:val="1"/>
        </w:rPr>
        <w:t>、共享、公用机制，负责管理县级行政</w:t>
      </w:r>
      <w:r>
        <w:rPr>
          <w:rFonts w:ascii="FangSong" w:hAnsi="FangSong" w:eastAsia="FangSong" w:cs="FangSong"/>
          <w:sz w:val="25"/>
          <w:szCs w:val="25"/>
        </w:rPr>
        <w:t xml:space="preserve"> </w:t>
      </w:r>
      <w:r>
        <w:rPr>
          <w:rFonts w:ascii="FangSong" w:hAnsi="FangSong" w:eastAsia="FangSong" w:cs="FangSong"/>
          <w:sz w:val="25"/>
          <w:szCs w:val="25"/>
          <w:spacing w:val="2"/>
        </w:rPr>
        <w:t>事业单位国有资产及其收益，审核批复县级</w:t>
      </w:r>
      <w:r>
        <w:rPr>
          <w:rFonts w:ascii="FangSong" w:hAnsi="FangSong" w:eastAsia="FangSong" w:cs="FangSong"/>
          <w:sz w:val="25"/>
          <w:szCs w:val="25"/>
          <w:spacing w:val="1"/>
        </w:rPr>
        <w:t>行政事业单位国有资产配置、处置、产</w:t>
      </w:r>
      <w:r>
        <w:rPr>
          <w:rFonts w:ascii="FangSong" w:hAnsi="FangSong" w:eastAsia="FangSong" w:cs="FangSong"/>
          <w:sz w:val="25"/>
          <w:szCs w:val="25"/>
        </w:rPr>
        <w:t xml:space="preserve"> </w:t>
      </w:r>
      <w:r>
        <w:rPr>
          <w:rFonts w:ascii="FangSong" w:hAnsi="FangSong" w:eastAsia="FangSong" w:cs="FangSong"/>
          <w:sz w:val="25"/>
          <w:szCs w:val="25"/>
          <w:spacing w:val="-1"/>
        </w:rPr>
        <w:t>权界定等事项。</w:t>
      </w:r>
    </w:p>
    <w:p>
      <w:pPr>
        <w:ind w:left="1306" w:right="1450" w:firstLine="379"/>
        <w:spacing w:before="127" w:line="295" w:lineRule="auto"/>
        <w:rPr>
          <w:rFonts w:ascii="FangSong" w:hAnsi="FangSong" w:eastAsia="FangSong" w:cs="FangSong"/>
          <w:sz w:val="25"/>
          <w:szCs w:val="25"/>
        </w:rPr>
      </w:pPr>
      <w:r>
        <w:rPr>
          <w:rFonts w:ascii="FangSong" w:hAnsi="FangSong" w:eastAsia="FangSong" w:cs="FangSong"/>
          <w:sz w:val="25"/>
          <w:szCs w:val="25"/>
          <w:spacing w:val="1"/>
        </w:rPr>
        <w:t>（7）制定全县国有资本经营预算的制度和办法，负责审核和汇总编制国有资本</w:t>
      </w:r>
      <w:r>
        <w:rPr>
          <w:rFonts w:ascii="FangSong" w:hAnsi="FangSong" w:eastAsia="FangSong" w:cs="FangSong"/>
          <w:sz w:val="25"/>
          <w:szCs w:val="25"/>
          <w:spacing w:val="15"/>
        </w:rPr>
        <w:t xml:space="preserve"> </w:t>
      </w:r>
      <w:r>
        <w:rPr>
          <w:rFonts w:ascii="FangSong" w:hAnsi="FangSong" w:eastAsia="FangSong" w:cs="FangSong"/>
          <w:sz w:val="25"/>
          <w:szCs w:val="25"/>
          <w:spacing w:val="1"/>
        </w:rPr>
        <w:t>经营预决算草案，收取县级企业国有资本收益，制定并组织实施企业财务制度，管</w:t>
      </w:r>
      <w:r>
        <w:rPr>
          <w:rFonts w:ascii="FangSong" w:hAnsi="FangSong" w:eastAsia="FangSong" w:cs="FangSong"/>
          <w:sz w:val="25"/>
          <w:szCs w:val="25"/>
          <w:spacing w:val="18"/>
        </w:rPr>
        <w:t xml:space="preserve"> </w:t>
      </w:r>
      <w:r>
        <w:rPr>
          <w:rFonts w:ascii="FangSong" w:hAnsi="FangSong" w:eastAsia="FangSong" w:cs="FangSong"/>
          <w:sz w:val="25"/>
          <w:szCs w:val="25"/>
          <w:spacing w:val="1"/>
        </w:rPr>
        <w:t>理县级地方金融类企业国有资产，参与拟定企业国有资产管理相关制度，按规定管</w:t>
      </w:r>
      <w:r>
        <w:rPr>
          <w:rFonts w:ascii="FangSong" w:hAnsi="FangSong" w:eastAsia="FangSong" w:cs="FangSong"/>
          <w:sz w:val="25"/>
          <w:szCs w:val="25"/>
          <w:spacing w:val="18"/>
        </w:rPr>
        <w:t xml:space="preserve"> </w:t>
      </w:r>
      <w:r>
        <w:rPr>
          <w:rFonts w:ascii="FangSong" w:hAnsi="FangSong" w:eastAsia="FangSong" w:cs="FangSong"/>
          <w:sz w:val="25"/>
          <w:szCs w:val="25"/>
          <w:spacing w:val="-1"/>
        </w:rPr>
        <w:t>理资产评估工作。</w:t>
      </w:r>
    </w:p>
    <w:p>
      <w:pPr>
        <w:ind w:left="1685"/>
        <w:spacing w:before="133" w:line="222" w:lineRule="auto"/>
        <w:rPr>
          <w:rFonts w:ascii="FangSong" w:hAnsi="FangSong" w:eastAsia="FangSong" w:cs="FangSong"/>
          <w:sz w:val="25"/>
          <w:szCs w:val="25"/>
        </w:rPr>
      </w:pPr>
      <w:r>
        <w:rPr>
          <w:rFonts w:ascii="FangSong" w:hAnsi="FangSong" w:eastAsia="FangSong" w:cs="FangSong"/>
          <w:sz w:val="25"/>
          <w:szCs w:val="25"/>
          <w:spacing w:val="1"/>
        </w:rPr>
        <w:t>（8）负责办理和监督县级财政的经济发展支出、县级政府投资项目的财政拨</w:t>
      </w:r>
    </w:p>
    <w:p>
      <w:pPr>
        <w:ind w:left="1310" w:right="1450" w:hanging="4"/>
        <w:spacing w:before="129" w:line="287" w:lineRule="auto"/>
        <w:rPr>
          <w:rFonts w:ascii="FangSong" w:hAnsi="FangSong" w:eastAsia="FangSong" w:cs="FangSong"/>
          <w:sz w:val="25"/>
          <w:szCs w:val="25"/>
        </w:rPr>
      </w:pPr>
      <w:r>
        <w:rPr>
          <w:rFonts w:ascii="FangSong" w:hAnsi="FangSong" w:eastAsia="FangSong" w:cs="FangSong"/>
          <w:sz w:val="25"/>
          <w:szCs w:val="25"/>
          <w:spacing w:val="2"/>
        </w:rPr>
        <w:t>款，参与拟定全县建设投资的有关政策，拟</w:t>
      </w:r>
      <w:r>
        <w:rPr>
          <w:rFonts w:ascii="FangSong" w:hAnsi="FangSong" w:eastAsia="FangSong" w:cs="FangSong"/>
          <w:sz w:val="25"/>
          <w:szCs w:val="25"/>
          <w:spacing w:val="1"/>
        </w:rPr>
        <w:t>定基本建设财务制度，负责有关政策性</w:t>
      </w:r>
      <w:r>
        <w:rPr>
          <w:rFonts w:ascii="FangSong" w:hAnsi="FangSong" w:eastAsia="FangSong" w:cs="FangSong"/>
          <w:sz w:val="25"/>
          <w:szCs w:val="25"/>
        </w:rPr>
        <w:t xml:space="preserve"> </w:t>
      </w:r>
      <w:r>
        <w:rPr>
          <w:rFonts w:ascii="FangSong" w:hAnsi="FangSong" w:eastAsia="FangSong" w:cs="FangSong"/>
          <w:sz w:val="25"/>
          <w:szCs w:val="25"/>
          <w:spacing w:val="1"/>
        </w:rPr>
        <w:t>补贴和专项储备资金财政管理工作。负责全县农业综合开发管理工作，指导和推动</w:t>
      </w:r>
      <w:r>
        <w:rPr>
          <w:rFonts w:ascii="FangSong" w:hAnsi="FangSong" w:eastAsia="FangSong" w:cs="FangSong"/>
          <w:sz w:val="25"/>
          <w:szCs w:val="25"/>
          <w:spacing w:val="14"/>
        </w:rPr>
        <w:t xml:space="preserve"> </w:t>
      </w:r>
      <w:r>
        <w:rPr>
          <w:rFonts w:ascii="FangSong" w:hAnsi="FangSong" w:eastAsia="FangSong" w:cs="FangSong"/>
          <w:sz w:val="25"/>
          <w:szCs w:val="25"/>
          <w:spacing w:val="-1"/>
        </w:rPr>
        <w:t>全县农村综合改革工作。</w:t>
      </w:r>
    </w:p>
    <w:p>
      <w:pPr>
        <w:ind w:left="1331" w:right="1450" w:firstLine="354"/>
        <w:spacing w:before="131" w:line="271" w:lineRule="auto"/>
        <w:rPr>
          <w:rFonts w:ascii="FangSong" w:hAnsi="FangSong" w:eastAsia="FangSong" w:cs="FangSong"/>
          <w:sz w:val="25"/>
          <w:szCs w:val="25"/>
        </w:rPr>
      </w:pPr>
      <w:r>
        <w:rPr>
          <w:rFonts w:ascii="FangSong" w:hAnsi="FangSong" w:eastAsia="FangSong" w:cs="FangSong"/>
          <w:sz w:val="25"/>
          <w:szCs w:val="25"/>
          <w:spacing w:val="1"/>
        </w:rPr>
        <w:t>（9）会同有关部门管理县级财政社会保障和就业及医疗卫生支出，会同有关部</w:t>
      </w:r>
      <w:r>
        <w:rPr>
          <w:rFonts w:ascii="FangSong" w:hAnsi="FangSong" w:eastAsia="FangSong" w:cs="FangSong"/>
          <w:sz w:val="25"/>
          <w:szCs w:val="25"/>
          <w:spacing w:val="15"/>
        </w:rPr>
        <w:t xml:space="preserve"> </w:t>
      </w:r>
      <w:r>
        <w:rPr>
          <w:rFonts w:ascii="FangSong" w:hAnsi="FangSong" w:eastAsia="FangSong" w:cs="FangSong"/>
          <w:sz w:val="25"/>
          <w:szCs w:val="25"/>
          <w:spacing w:val="1"/>
        </w:rPr>
        <w:t>门拟定社会保障资金（基金）的财务管理制度，编制县本级社会</w:t>
      </w:r>
      <w:r>
        <w:rPr>
          <w:rFonts w:ascii="FangSong" w:hAnsi="FangSong" w:eastAsia="FangSong" w:cs="FangSong"/>
          <w:sz w:val="25"/>
          <w:szCs w:val="25"/>
        </w:rPr>
        <w:t>保障预决算草案。</w:t>
      </w:r>
    </w:p>
    <w:p>
      <w:pPr>
        <w:ind w:left="1685"/>
        <w:spacing w:before="132" w:line="222" w:lineRule="auto"/>
        <w:rPr>
          <w:rFonts w:ascii="FangSong" w:hAnsi="FangSong" w:eastAsia="FangSong" w:cs="FangSong"/>
          <w:sz w:val="25"/>
          <w:szCs w:val="25"/>
        </w:rPr>
      </w:pPr>
      <w:r>
        <w:rPr>
          <w:rFonts w:ascii="FangSong" w:hAnsi="FangSong" w:eastAsia="FangSong" w:cs="FangSong"/>
          <w:sz w:val="25"/>
          <w:szCs w:val="25"/>
          <w:spacing w:val="1"/>
        </w:rPr>
        <w:t>（10）贯彻执行国家关于国内债务和政府外债管理的各项方针政策、规章制度和</w:t>
      </w:r>
    </w:p>
    <w:p>
      <w:pPr>
        <w:spacing w:line="222"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306" w:right="1450" w:firstLine="14"/>
        <w:spacing w:before="82" w:line="303" w:lineRule="auto"/>
        <w:rPr>
          <w:rFonts w:ascii="FangSong" w:hAnsi="FangSong" w:eastAsia="FangSong" w:cs="FangSong"/>
          <w:sz w:val="25"/>
          <w:szCs w:val="25"/>
        </w:rPr>
      </w:pPr>
      <w:r>
        <w:rPr>
          <w:rFonts w:ascii="FangSong" w:hAnsi="FangSong" w:eastAsia="FangSong" w:cs="FangSong"/>
          <w:sz w:val="25"/>
          <w:szCs w:val="25"/>
          <w:spacing w:val="1"/>
        </w:rPr>
        <w:t>管理办法，负责地方政府内债会计核算工作。负责管理外国政府贷（赠）款和全县</w:t>
      </w:r>
      <w:r>
        <w:rPr>
          <w:rFonts w:ascii="FangSong" w:hAnsi="FangSong" w:eastAsia="FangSong" w:cs="FangSong"/>
          <w:sz w:val="25"/>
          <w:szCs w:val="25"/>
          <w:spacing w:val="5"/>
        </w:rPr>
        <w:t xml:space="preserve"> </w:t>
      </w:r>
      <w:r>
        <w:rPr>
          <w:rFonts w:ascii="FangSong" w:hAnsi="FangSong" w:eastAsia="FangSong" w:cs="FangSong"/>
          <w:sz w:val="25"/>
          <w:szCs w:val="25"/>
          <w:spacing w:val="1"/>
        </w:rPr>
        <w:t>利</w:t>
      </w:r>
      <w:r>
        <w:rPr>
          <w:rFonts w:ascii="FangSong" w:hAnsi="FangSong" w:eastAsia="FangSong" w:cs="FangSong"/>
          <w:sz w:val="25"/>
          <w:szCs w:val="25"/>
          <w:spacing w:val="1"/>
        </w:rPr>
        <w:t xml:space="preserve"> </w:t>
      </w:r>
      <w:r>
        <w:rPr>
          <w:rFonts w:ascii="FangSong" w:hAnsi="FangSong" w:eastAsia="FangSong" w:cs="FangSong"/>
          <w:sz w:val="25"/>
          <w:szCs w:val="25"/>
          <w:spacing w:val="1"/>
        </w:rPr>
        <w:t>用国际金融组织贷（赠）款工作，参与相关对外谈判工作。</w:t>
      </w:r>
    </w:p>
    <w:p>
      <w:pPr>
        <w:ind w:left="1308" w:right="1324" w:firstLine="377"/>
        <w:spacing w:before="45" w:line="308" w:lineRule="auto"/>
        <w:rPr>
          <w:rFonts w:ascii="FangSong" w:hAnsi="FangSong" w:eastAsia="FangSong" w:cs="FangSong"/>
          <w:sz w:val="25"/>
          <w:szCs w:val="25"/>
        </w:rPr>
      </w:pPr>
      <w:r>
        <w:rPr>
          <w:rFonts w:ascii="FangSong" w:hAnsi="FangSong" w:eastAsia="FangSong" w:cs="FangSong"/>
          <w:sz w:val="25"/>
          <w:szCs w:val="25"/>
          <w:spacing w:val="1"/>
        </w:rPr>
        <w:t>（11）负责管理全县的会计工作，监督和规范会计行为，拟定全县会计管理工作</w:t>
      </w:r>
      <w:r>
        <w:rPr>
          <w:rFonts w:ascii="FangSong" w:hAnsi="FangSong" w:eastAsia="FangSong" w:cs="FangSong"/>
          <w:sz w:val="25"/>
          <w:szCs w:val="25"/>
          <w:spacing w:val="15"/>
        </w:rPr>
        <w:t xml:space="preserve"> </w:t>
      </w:r>
      <w:r>
        <w:rPr>
          <w:rFonts w:ascii="FangSong" w:hAnsi="FangSong" w:eastAsia="FangSong" w:cs="FangSong"/>
          <w:sz w:val="25"/>
          <w:szCs w:val="25"/>
          <w:spacing w:val="1"/>
        </w:rPr>
        <w:t>的地方性法规、规章草案、制度及补充规定，负责全县会计专业技术资格管理，指</w:t>
      </w:r>
      <w:r>
        <w:rPr>
          <w:rFonts w:ascii="FangSong" w:hAnsi="FangSong" w:eastAsia="FangSong" w:cs="FangSong"/>
          <w:sz w:val="25"/>
          <w:szCs w:val="25"/>
          <w:spacing w:val="8"/>
        </w:rPr>
        <w:t xml:space="preserve">  </w:t>
      </w:r>
      <w:r>
        <w:rPr>
          <w:rFonts w:ascii="FangSong" w:hAnsi="FangSong" w:eastAsia="FangSong" w:cs="FangSong"/>
          <w:sz w:val="25"/>
          <w:szCs w:val="25"/>
          <w:spacing w:val="1"/>
        </w:rPr>
        <w:t>导和监督全县注册会计师、注册资产评估师、会计事务所和资产评估机构的业务，</w:t>
      </w:r>
    </w:p>
    <w:p>
      <w:pPr>
        <w:ind w:left="1306"/>
        <w:spacing w:before="43" w:line="222" w:lineRule="auto"/>
        <w:rPr>
          <w:rFonts w:ascii="FangSong" w:hAnsi="FangSong" w:eastAsia="FangSong" w:cs="FangSong"/>
          <w:sz w:val="25"/>
          <w:szCs w:val="25"/>
        </w:rPr>
      </w:pPr>
      <w:r>
        <w:rPr>
          <w:rFonts w:ascii="FangSong" w:hAnsi="FangSong" w:eastAsia="FangSong" w:cs="FangSong"/>
          <w:sz w:val="25"/>
          <w:szCs w:val="25"/>
        </w:rPr>
        <w:t>指导财产评估业务，指导合管理社会审计。</w:t>
      </w:r>
    </w:p>
    <w:p>
      <w:pPr>
        <w:ind w:left="1685"/>
        <w:spacing w:before="131" w:line="222" w:lineRule="auto"/>
        <w:rPr>
          <w:rFonts w:ascii="FangSong" w:hAnsi="FangSong" w:eastAsia="FangSong" w:cs="FangSong"/>
          <w:sz w:val="25"/>
          <w:szCs w:val="25"/>
        </w:rPr>
      </w:pPr>
      <w:r>
        <w:rPr>
          <w:rFonts w:ascii="FangSong" w:hAnsi="FangSong" w:eastAsia="FangSong" w:cs="FangSong"/>
          <w:sz w:val="25"/>
          <w:szCs w:val="25"/>
          <w:spacing w:val="1"/>
        </w:rPr>
        <w:t>（12）监督检查财税法规、政策的执行情况，反映财政收支管理中的重大问题。</w:t>
      </w:r>
    </w:p>
    <w:p>
      <w:pPr>
        <w:ind w:left="1307" w:right="1324" w:firstLine="378"/>
        <w:spacing w:before="132" w:line="270" w:lineRule="auto"/>
        <w:rPr>
          <w:rFonts w:ascii="FangSong" w:hAnsi="FangSong" w:eastAsia="FangSong" w:cs="FangSong"/>
          <w:sz w:val="25"/>
          <w:szCs w:val="25"/>
        </w:rPr>
      </w:pPr>
      <w:r>
        <w:rPr>
          <w:rFonts w:ascii="FangSong" w:hAnsi="FangSong" w:eastAsia="FangSong" w:cs="FangSong"/>
          <w:sz w:val="25"/>
          <w:szCs w:val="25"/>
          <w:spacing w:val="1"/>
        </w:rPr>
        <w:t>（13）制定全县财政科学研究和财政教育规划，组织全县财政人才培训，负责财</w:t>
      </w:r>
      <w:r>
        <w:rPr>
          <w:rFonts w:ascii="FangSong" w:hAnsi="FangSong" w:eastAsia="FangSong" w:cs="FangSong"/>
          <w:sz w:val="25"/>
          <w:szCs w:val="25"/>
          <w:spacing w:val="15"/>
        </w:rPr>
        <w:t xml:space="preserve"> </w:t>
      </w:r>
      <w:r>
        <w:rPr>
          <w:rFonts w:ascii="FangSong" w:hAnsi="FangSong" w:eastAsia="FangSong" w:cs="FangSong"/>
          <w:sz w:val="25"/>
          <w:szCs w:val="25"/>
        </w:rPr>
        <w:t>政信息和财政宣传工作。</w:t>
      </w:r>
    </w:p>
    <w:p>
      <w:pPr>
        <w:ind w:left="1685"/>
        <w:spacing w:before="132" w:line="223" w:lineRule="auto"/>
        <w:rPr>
          <w:rFonts w:ascii="FangSong" w:hAnsi="FangSong" w:eastAsia="FangSong" w:cs="FangSong"/>
          <w:sz w:val="25"/>
          <w:szCs w:val="25"/>
        </w:rPr>
      </w:pPr>
      <w:r>
        <w:rPr>
          <w:rFonts w:ascii="FangSong" w:hAnsi="FangSong" w:eastAsia="FangSong" w:cs="FangSong"/>
          <w:sz w:val="25"/>
          <w:szCs w:val="25"/>
          <w:spacing w:val="1"/>
        </w:rPr>
        <w:t>（14）承办县人民政府及上级财政部门交办的其他事项。</w:t>
      </w:r>
    </w:p>
    <w:p>
      <w:pPr>
        <w:ind w:left="1808"/>
        <w:spacing w:before="274" w:line="223" w:lineRule="auto"/>
        <w:outlineLvl w:val="1"/>
        <w:rPr>
          <w:rFonts w:ascii="SimHei" w:hAnsi="SimHei" w:eastAsia="SimHei" w:cs="SimHei"/>
          <w:sz w:val="25"/>
          <w:szCs w:val="25"/>
        </w:rPr>
      </w:pPr>
      <w:bookmarkStart w:name="bookmark4" w:id="32"/>
      <w:bookmarkEnd w:id="32"/>
      <w:r>
        <w:rPr>
          <w:rFonts w:ascii="SimHei" w:hAnsi="SimHei" w:eastAsia="SimHei" w:cs="SimHei"/>
          <w:sz w:val="25"/>
          <w:szCs w:val="25"/>
        </w:rPr>
        <w:t>二、机构设置情况</w:t>
      </w:r>
    </w:p>
    <w:p>
      <w:pPr>
        <w:ind w:left="1307" w:right="1324" w:firstLine="508"/>
        <w:spacing w:before="130" w:line="313" w:lineRule="auto"/>
        <w:jc w:val="both"/>
        <w:rPr>
          <w:rFonts w:ascii="FangSong" w:hAnsi="FangSong" w:eastAsia="FangSong" w:cs="FangSong"/>
          <w:sz w:val="25"/>
          <w:szCs w:val="25"/>
        </w:rPr>
      </w:pPr>
      <w:r>
        <w:rPr>
          <w:rFonts w:ascii="FangSong" w:hAnsi="FangSong" w:eastAsia="FangSong" w:cs="FangSong"/>
          <w:sz w:val="25"/>
          <w:szCs w:val="25"/>
          <w:spacing w:val="1"/>
        </w:rPr>
        <w:t>古县财政局部门2023年度部门决算由古县财政局本级、古县预算绩效评价中心</w:t>
      </w:r>
      <w:r>
        <w:rPr>
          <w:rFonts w:ascii="FangSong" w:hAnsi="FangSong" w:eastAsia="FangSong" w:cs="FangSong"/>
          <w:sz w:val="25"/>
          <w:szCs w:val="25"/>
          <w:spacing w:val="4"/>
        </w:rPr>
        <w:t xml:space="preserve">  </w:t>
      </w:r>
      <w:r>
        <w:rPr>
          <w:rFonts w:ascii="FangSong" w:hAnsi="FangSong" w:eastAsia="FangSong" w:cs="FangSong"/>
          <w:sz w:val="25"/>
          <w:szCs w:val="25"/>
          <w:spacing w:val="1"/>
        </w:rPr>
        <w:t>、古县财政事务服务中心3个二级预算单位组成。古县财政局机关内设6个股室,包括</w:t>
      </w:r>
      <w:r>
        <w:rPr>
          <w:rFonts w:ascii="FangSong" w:hAnsi="FangSong" w:eastAsia="FangSong" w:cs="FangSong"/>
          <w:sz w:val="25"/>
          <w:szCs w:val="25"/>
          <w:spacing w:val="16"/>
        </w:rPr>
        <w:t xml:space="preserve"> </w:t>
      </w:r>
      <w:r>
        <w:rPr>
          <w:rFonts w:ascii="FangSong" w:hAnsi="FangSong" w:eastAsia="FangSong" w:cs="FangSong"/>
          <w:sz w:val="25"/>
          <w:szCs w:val="25"/>
          <w:spacing w:val="1"/>
        </w:rPr>
        <w:t>办公室、预算股（内审股）、国库股、综合股、农业农村和社会保障股、采购和资</w:t>
      </w:r>
      <w:r>
        <w:rPr>
          <w:rFonts w:ascii="FangSong" w:hAnsi="FangSong" w:eastAsia="FangSong" w:cs="FangSong"/>
          <w:sz w:val="25"/>
          <w:szCs w:val="25"/>
          <w:spacing w:val="8"/>
        </w:rPr>
        <w:t xml:space="preserve">  </w:t>
      </w:r>
      <w:r>
        <w:rPr>
          <w:rFonts w:ascii="FangSong" w:hAnsi="FangSong" w:eastAsia="FangSong" w:cs="FangSong"/>
          <w:sz w:val="25"/>
          <w:szCs w:val="25"/>
        </w:rPr>
        <w:t>产管理股。</w:t>
      </w:r>
      <w:r>
        <w:rPr>
          <w:rFonts w:ascii="FangSong" w:hAnsi="FangSong" w:eastAsia="FangSong" w:cs="FangSong"/>
          <w:sz w:val="25"/>
          <w:szCs w:val="25"/>
          <w:spacing w:val="-60"/>
        </w:rPr>
        <w:t xml:space="preserve"> </w:t>
      </w:r>
      <w:r>
        <w:rPr>
          <w:rFonts w:ascii="FangSong" w:hAnsi="FangSong" w:eastAsia="FangSong" w:cs="FangSong"/>
          <w:sz w:val="25"/>
          <w:szCs w:val="25"/>
        </w:rPr>
        <w:t>自事业单位改革后有2个所属事业单位:古县</w:t>
      </w:r>
      <w:r>
        <w:rPr>
          <w:rFonts w:ascii="FangSong" w:hAnsi="FangSong" w:eastAsia="FangSong" w:cs="FangSong"/>
          <w:sz w:val="25"/>
          <w:szCs w:val="25"/>
          <w:spacing w:val="-1"/>
        </w:rPr>
        <w:t>预算绩效评价中心、古县财</w:t>
      </w:r>
      <w:r>
        <w:rPr>
          <w:rFonts w:ascii="FangSong" w:hAnsi="FangSong" w:eastAsia="FangSong" w:cs="FangSong"/>
          <w:sz w:val="25"/>
          <w:szCs w:val="25"/>
        </w:rPr>
        <w:t xml:space="preserve">  </w:t>
      </w:r>
      <w:r>
        <w:rPr>
          <w:rFonts w:ascii="FangSong" w:hAnsi="FangSong" w:eastAsia="FangSong" w:cs="FangSong"/>
          <w:sz w:val="25"/>
          <w:szCs w:val="25"/>
          <w:spacing w:val="-1"/>
        </w:rPr>
        <w:t>政事务服务中心。</w:t>
      </w:r>
    </w:p>
    <w:p>
      <w:pPr>
        <w:spacing w:line="313" w:lineRule="auto"/>
        <w:sectPr>
          <w:headerReference w:type="default" r:id="rId5"/>
          <w:footerReference w:type="default" r:id="rId6"/>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30" w:id="33"/>
      <w:bookmarkEnd w:id="33"/>
      <w:bookmarkStart w:name="bookmark5" w:id="34"/>
      <w:bookmarkEnd w:id="34"/>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5"/>
            <w:bookmarkEnd w:id="35"/>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部门名称：古县财政局</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9"/>
              <w:spacing w:before="154" w:line="190" w:lineRule="auto"/>
              <w:rPr>
                <w:sz w:val="15"/>
                <w:szCs w:val="15"/>
              </w:rPr>
            </w:pPr>
            <w:r>
              <w:rPr>
                <w:sz w:val="15"/>
                <w:szCs w:val="15"/>
                <w:color w:val="212529"/>
              </w:rPr>
              <w:t>1,315.71</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pStyle w:val="TableText"/>
              <w:ind w:left="1054"/>
              <w:spacing w:before="154" w:line="190" w:lineRule="auto"/>
              <w:rPr>
                <w:sz w:val="15"/>
                <w:szCs w:val="15"/>
              </w:rPr>
            </w:pPr>
            <w:r>
              <w:rPr>
                <w:sz w:val="15"/>
                <w:szCs w:val="15"/>
                <w:color w:val="212529"/>
              </w:rPr>
              <w:t>1,116.77</w:t>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rPr>
                <w:rFonts w:ascii="Arial"/>
                <w:sz w:val="21"/>
              </w:rPr>
            </w:pPr>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11"/>
              <w:spacing w:before="157" w:line="189" w:lineRule="auto"/>
              <w:rPr>
                <w:sz w:val="15"/>
                <w:szCs w:val="15"/>
              </w:rPr>
            </w:pPr>
            <w:r>
              <w:rPr>
                <w:sz w:val="15"/>
                <w:szCs w:val="15"/>
                <w:color w:val="212529"/>
                <w:spacing w:val="-1"/>
              </w:rPr>
              <w:t>132.86</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2"/>
              <w:spacing w:before="158" w:line="189" w:lineRule="auto"/>
              <w:rPr>
                <w:sz w:val="15"/>
                <w:szCs w:val="15"/>
              </w:rPr>
            </w:pPr>
            <w:r>
              <w:rPr>
                <w:sz w:val="15"/>
                <w:szCs w:val="15"/>
                <w:color w:val="212529"/>
                <w:spacing w:val="1"/>
              </w:rPr>
              <w:t>65.12</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pStyle w:val="TableText"/>
              <w:ind w:left="1356"/>
              <w:spacing w:before="160" w:line="188" w:lineRule="auto"/>
              <w:rPr>
                <w:sz w:val="15"/>
                <w:szCs w:val="15"/>
              </w:rPr>
            </w:pPr>
            <w:r>
              <w:rPr>
                <w:sz w:val="15"/>
                <w:szCs w:val="15"/>
                <w:color w:val="212529"/>
                <w:spacing w:val="1"/>
              </w:rPr>
              <w:t>0.96</w:t>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1" w:id="36"/>
            <w:bookmarkEnd w:id="36"/>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1,315.71</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1,315.71</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1,315.71</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1,315.71</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2" w:id="37"/>
            <w:bookmarkEnd w:id="37"/>
            <w:bookmarkStart w:name="bookmark7" w:id="38"/>
            <w:bookmarkEnd w:id="38"/>
            <w:r>
              <w:rPr>
                <w:sz w:val="22"/>
                <w:szCs w:val="22"/>
                <w:color w:val="212529"/>
                <w:spacing w:val="4"/>
              </w:rPr>
              <w:t>收入决算表</w:t>
            </w:r>
          </w:p>
        </w:tc>
      </w:tr>
      <w:tr>
        <w:trPr>
          <w:trHeight w:val="326"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26"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部门名称：古县财政局</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78"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26" w:hRule="atLeast"/>
        </w:trPr>
        <w:tc>
          <w:tcPr>
            <w:tcW w:w="2464" w:type="dxa"/>
            <w:vAlign w:val="top"/>
            <w:gridSpan w:val="2"/>
          </w:tcPr>
          <w:p>
            <w:pPr>
              <w:pStyle w:val="TableText"/>
              <w:ind w:left="1038"/>
              <w:spacing w:before="57"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81" w:hRule="atLeast"/>
        </w:trPr>
        <w:tc>
          <w:tcPr>
            <w:tcW w:w="1409" w:type="dxa"/>
            <w:vAlign w:val="top"/>
          </w:tcPr>
          <w:p>
            <w:pPr>
              <w:pStyle w:val="TableText"/>
              <w:ind w:left="327"/>
              <w:spacing w:before="129" w:line="219" w:lineRule="auto"/>
              <w:rPr/>
            </w:pPr>
            <w:r>
              <w:rPr>
                <w:color w:val="212529"/>
                <w:spacing w:val="-3"/>
              </w:rPr>
              <w:t>科目代码</w:t>
            </w:r>
          </w:p>
        </w:tc>
        <w:tc>
          <w:tcPr>
            <w:tcW w:w="1055" w:type="dxa"/>
            <w:vAlign w:val="top"/>
          </w:tcPr>
          <w:p>
            <w:pPr>
              <w:pStyle w:val="TableText"/>
              <w:ind w:left="148"/>
              <w:spacing w:before="129"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26"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86" w:line="184" w:lineRule="auto"/>
              <w:jc w:val="right"/>
              <w:rPr/>
            </w:pPr>
            <w:r>
              <w:rPr>
                <w:color w:val="212529"/>
                <w:spacing w:val="-3"/>
              </w:rPr>
              <w:t>1,315.71</w:t>
            </w:r>
          </w:p>
        </w:tc>
        <w:tc>
          <w:tcPr>
            <w:tcW w:w="1259" w:type="dxa"/>
            <w:vAlign w:val="top"/>
          </w:tcPr>
          <w:p>
            <w:pPr>
              <w:pStyle w:val="TableText"/>
              <w:ind w:right="25"/>
              <w:spacing w:before="86" w:line="184" w:lineRule="auto"/>
              <w:jc w:val="right"/>
              <w:rPr/>
            </w:pPr>
            <w:r>
              <w:rPr>
                <w:color w:val="212529"/>
                <w:spacing w:val="-3"/>
              </w:rPr>
              <w:t>1,315.71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2" w:line="184" w:lineRule="auto"/>
              <w:rPr/>
            </w:pPr>
            <w:r>
              <w:rPr>
                <w:color w:val="212529"/>
                <w:spacing w:val="-4"/>
              </w:rPr>
              <w:t>201</w:t>
            </w:r>
          </w:p>
        </w:tc>
        <w:tc>
          <w:tcPr>
            <w:tcW w:w="1055" w:type="dxa"/>
            <w:vAlign w:val="top"/>
          </w:tcPr>
          <w:p>
            <w:pPr>
              <w:pStyle w:val="TableText"/>
              <w:ind w:left="5" w:right="148" w:firstLine="1"/>
              <w:spacing w:before="1" w:line="204" w:lineRule="auto"/>
              <w:rPr/>
            </w:pPr>
            <w:r>
              <w:rPr>
                <w:color w:val="212529"/>
                <w:spacing w:val="-3"/>
              </w:rPr>
              <w:t>一般公共服</w:t>
            </w:r>
            <w:r>
              <w:rPr>
                <w:color w:val="212529"/>
                <w:spacing w:val="2"/>
              </w:rPr>
              <w:t xml:space="preserve"> </w:t>
            </w:r>
            <w:r>
              <w:rPr>
                <w:color w:val="212529"/>
                <w:spacing w:val="-4"/>
              </w:rPr>
              <w:t>务支出</w:t>
            </w:r>
          </w:p>
        </w:tc>
        <w:tc>
          <w:tcPr>
            <w:tcW w:w="1379" w:type="dxa"/>
            <w:vAlign w:val="top"/>
          </w:tcPr>
          <w:p>
            <w:pPr>
              <w:pStyle w:val="TableText"/>
              <w:ind w:right="26"/>
              <w:spacing w:before="122" w:line="184" w:lineRule="auto"/>
              <w:jc w:val="right"/>
              <w:rPr/>
            </w:pPr>
            <w:r>
              <w:rPr>
                <w:color w:val="212529"/>
                <w:spacing w:val="-3"/>
              </w:rPr>
              <w:t>1,116.77</w:t>
            </w:r>
          </w:p>
        </w:tc>
        <w:tc>
          <w:tcPr>
            <w:tcW w:w="1259" w:type="dxa"/>
            <w:vAlign w:val="top"/>
          </w:tcPr>
          <w:p>
            <w:pPr>
              <w:pStyle w:val="TableText"/>
              <w:ind w:right="25"/>
              <w:spacing w:before="122" w:line="184" w:lineRule="auto"/>
              <w:jc w:val="right"/>
              <w:rPr/>
            </w:pPr>
            <w:r>
              <w:rPr>
                <w:color w:val="212529"/>
                <w:spacing w:val="-3"/>
              </w:rPr>
              <w:t>1,116.77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7" w:line="184" w:lineRule="auto"/>
              <w:rPr/>
            </w:pPr>
            <w:r>
              <w:rPr>
                <w:color w:val="212529"/>
                <w:spacing w:val="-2"/>
              </w:rPr>
              <w:t>20106</w:t>
            </w:r>
          </w:p>
        </w:tc>
        <w:tc>
          <w:tcPr>
            <w:tcW w:w="1055" w:type="dxa"/>
            <w:vAlign w:val="top"/>
          </w:tcPr>
          <w:p>
            <w:pPr>
              <w:pStyle w:val="TableText"/>
              <w:ind w:left="5"/>
              <w:spacing w:before="60" w:line="219" w:lineRule="auto"/>
              <w:rPr/>
            </w:pPr>
            <w:r>
              <w:rPr>
                <w:color w:val="212529"/>
                <w:spacing w:val="-3"/>
              </w:rPr>
              <w:t>财政事务</w:t>
            </w:r>
          </w:p>
        </w:tc>
        <w:tc>
          <w:tcPr>
            <w:tcW w:w="1379" w:type="dxa"/>
            <w:vAlign w:val="top"/>
          </w:tcPr>
          <w:p>
            <w:pPr>
              <w:pStyle w:val="TableText"/>
              <w:ind w:right="26"/>
              <w:spacing w:before="87" w:line="184" w:lineRule="auto"/>
              <w:jc w:val="right"/>
              <w:rPr/>
            </w:pPr>
            <w:r>
              <w:rPr>
                <w:color w:val="212529"/>
                <w:spacing w:val="-3"/>
              </w:rPr>
              <w:t>1,116.77</w:t>
            </w:r>
          </w:p>
        </w:tc>
        <w:tc>
          <w:tcPr>
            <w:tcW w:w="1259" w:type="dxa"/>
            <w:vAlign w:val="top"/>
          </w:tcPr>
          <w:p>
            <w:pPr>
              <w:pStyle w:val="TableText"/>
              <w:ind w:right="25"/>
              <w:spacing w:before="87" w:line="184" w:lineRule="auto"/>
              <w:jc w:val="right"/>
              <w:rPr/>
            </w:pPr>
            <w:r>
              <w:rPr>
                <w:color w:val="212529"/>
                <w:spacing w:val="-3"/>
              </w:rPr>
              <w:t>1,116.77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8" w:line="184" w:lineRule="auto"/>
              <w:rPr/>
            </w:pPr>
            <w:r>
              <w:rPr>
                <w:color w:val="212529"/>
                <w:spacing w:val="-2"/>
              </w:rPr>
              <w:t>2010601</w:t>
            </w:r>
          </w:p>
        </w:tc>
        <w:tc>
          <w:tcPr>
            <w:tcW w:w="1055" w:type="dxa"/>
            <w:vAlign w:val="top"/>
          </w:tcPr>
          <w:p>
            <w:pPr>
              <w:pStyle w:val="TableText"/>
              <w:ind w:left="7"/>
              <w:spacing w:before="60" w:line="220" w:lineRule="auto"/>
              <w:rPr/>
            </w:pPr>
            <w:r>
              <w:rPr>
                <w:color w:val="212529"/>
                <w:spacing w:val="-3"/>
              </w:rPr>
              <w:t>行政运行</w:t>
            </w:r>
          </w:p>
        </w:tc>
        <w:tc>
          <w:tcPr>
            <w:tcW w:w="1379" w:type="dxa"/>
            <w:vAlign w:val="top"/>
          </w:tcPr>
          <w:p>
            <w:pPr>
              <w:pStyle w:val="TableText"/>
              <w:ind w:right="26"/>
              <w:spacing w:before="87" w:line="184" w:lineRule="auto"/>
              <w:jc w:val="right"/>
              <w:rPr/>
            </w:pPr>
            <w:r>
              <w:rPr>
                <w:color w:val="212529"/>
                <w:spacing w:val="-2"/>
              </w:rPr>
              <w:t>291.78</w:t>
            </w:r>
          </w:p>
        </w:tc>
        <w:tc>
          <w:tcPr>
            <w:tcW w:w="1259" w:type="dxa"/>
            <w:vAlign w:val="top"/>
          </w:tcPr>
          <w:p>
            <w:pPr>
              <w:pStyle w:val="TableText"/>
              <w:ind w:right="25"/>
              <w:spacing w:before="87" w:line="184" w:lineRule="auto"/>
              <w:jc w:val="right"/>
              <w:rPr/>
            </w:pPr>
            <w:r>
              <w:rPr>
                <w:color w:val="212529"/>
                <w:spacing w:val="-2"/>
              </w:rPr>
              <w:t>291.78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4" w:line="184" w:lineRule="auto"/>
              <w:rPr/>
            </w:pPr>
            <w:r>
              <w:rPr>
                <w:color w:val="212529"/>
                <w:spacing w:val="-2"/>
              </w:rPr>
              <w:t>2010608</w:t>
            </w:r>
          </w:p>
        </w:tc>
        <w:tc>
          <w:tcPr>
            <w:tcW w:w="1055" w:type="dxa"/>
            <w:vAlign w:val="top"/>
          </w:tcPr>
          <w:p>
            <w:pPr>
              <w:pStyle w:val="TableText"/>
              <w:ind w:left="5" w:right="148"/>
              <w:spacing w:before="1" w:line="204" w:lineRule="auto"/>
              <w:rPr/>
            </w:pPr>
            <w:r>
              <w:rPr>
                <w:color w:val="212529"/>
                <w:spacing w:val="-2"/>
              </w:rPr>
              <w:t>财政委托业</w:t>
            </w:r>
            <w:r>
              <w:rPr>
                <w:color w:val="212529"/>
              </w:rPr>
              <w:t xml:space="preserve"> </w:t>
            </w:r>
            <w:r>
              <w:rPr>
                <w:color w:val="212529"/>
                <w:spacing w:val="-4"/>
              </w:rPr>
              <w:t>务支出</w:t>
            </w:r>
          </w:p>
        </w:tc>
        <w:tc>
          <w:tcPr>
            <w:tcW w:w="1379" w:type="dxa"/>
            <w:vAlign w:val="top"/>
          </w:tcPr>
          <w:p>
            <w:pPr>
              <w:pStyle w:val="TableText"/>
              <w:ind w:right="26"/>
              <w:spacing w:before="124" w:line="183" w:lineRule="auto"/>
              <w:jc w:val="right"/>
              <w:rPr/>
            </w:pPr>
            <w:r>
              <w:rPr>
                <w:color w:val="212529"/>
                <w:spacing w:val="-2"/>
              </w:rPr>
              <w:t>327.59</w:t>
            </w:r>
          </w:p>
        </w:tc>
        <w:tc>
          <w:tcPr>
            <w:tcW w:w="1259" w:type="dxa"/>
            <w:vAlign w:val="top"/>
          </w:tcPr>
          <w:p>
            <w:pPr>
              <w:pStyle w:val="TableText"/>
              <w:ind w:right="25"/>
              <w:spacing w:before="124" w:line="183" w:lineRule="auto"/>
              <w:jc w:val="right"/>
              <w:rPr/>
            </w:pPr>
            <w:r>
              <w:rPr>
                <w:color w:val="212529"/>
                <w:spacing w:val="-2"/>
              </w:rPr>
              <w:t>327.59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9" w:line="184" w:lineRule="auto"/>
              <w:rPr/>
            </w:pPr>
            <w:r>
              <w:rPr>
                <w:color w:val="212529"/>
                <w:spacing w:val="-2"/>
              </w:rPr>
              <w:t>2010650</w:t>
            </w:r>
          </w:p>
        </w:tc>
        <w:tc>
          <w:tcPr>
            <w:tcW w:w="1055" w:type="dxa"/>
            <w:vAlign w:val="top"/>
          </w:tcPr>
          <w:p>
            <w:pPr>
              <w:pStyle w:val="TableText"/>
              <w:ind w:left="4"/>
              <w:spacing w:before="61" w:line="220" w:lineRule="auto"/>
              <w:rPr/>
            </w:pPr>
            <w:r>
              <w:rPr>
                <w:color w:val="212529"/>
                <w:spacing w:val="-3"/>
              </w:rPr>
              <w:t>事业运行</w:t>
            </w:r>
          </w:p>
        </w:tc>
        <w:tc>
          <w:tcPr>
            <w:tcW w:w="1379" w:type="dxa"/>
            <w:vAlign w:val="top"/>
          </w:tcPr>
          <w:p>
            <w:pPr>
              <w:pStyle w:val="TableText"/>
              <w:ind w:right="26"/>
              <w:spacing w:before="90" w:line="183" w:lineRule="auto"/>
              <w:jc w:val="right"/>
              <w:rPr/>
            </w:pPr>
            <w:r>
              <w:rPr>
                <w:color w:val="212529"/>
                <w:spacing w:val="-2"/>
              </w:rPr>
              <w:t>497.40</w:t>
            </w:r>
          </w:p>
        </w:tc>
        <w:tc>
          <w:tcPr>
            <w:tcW w:w="1259" w:type="dxa"/>
            <w:vAlign w:val="top"/>
          </w:tcPr>
          <w:p>
            <w:pPr>
              <w:pStyle w:val="TableText"/>
              <w:ind w:right="25"/>
              <w:spacing w:before="90" w:line="183" w:lineRule="auto"/>
              <w:jc w:val="right"/>
              <w:rPr/>
            </w:pPr>
            <w:r>
              <w:rPr>
                <w:color w:val="212529"/>
                <w:spacing w:val="-2"/>
              </w:rPr>
              <w:t>497.40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6" w:line="183" w:lineRule="auto"/>
              <w:rPr/>
            </w:pPr>
            <w:r>
              <w:rPr>
                <w:color w:val="212529"/>
                <w:spacing w:val="-4"/>
              </w:rPr>
              <w:t>208</w:t>
            </w:r>
          </w:p>
        </w:tc>
        <w:tc>
          <w:tcPr>
            <w:tcW w:w="1055" w:type="dxa"/>
            <w:vAlign w:val="top"/>
          </w:tcPr>
          <w:p>
            <w:pPr>
              <w:pStyle w:val="TableText"/>
              <w:ind w:left="5" w:right="148"/>
              <w:spacing w:before="1"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5" w:line="184" w:lineRule="auto"/>
              <w:jc w:val="right"/>
              <w:rPr/>
            </w:pPr>
            <w:r>
              <w:rPr>
                <w:color w:val="212529"/>
                <w:spacing w:val="-4"/>
              </w:rPr>
              <w:t>132.86</w:t>
            </w:r>
          </w:p>
        </w:tc>
        <w:tc>
          <w:tcPr>
            <w:tcW w:w="1259" w:type="dxa"/>
            <w:vAlign w:val="top"/>
          </w:tcPr>
          <w:p>
            <w:pPr>
              <w:pStyle w:val="TableText"/>
              <w:ind w:right="25"/>
              <w:spacing w:before="125" w:line="184" w:lineRule="auto"/>
              <w:jc w:val="right"/>
              <w:rPr/>
            </w:pPr>
            <w:r>
              <w:rPr>
                <w:color w:val="212529"/>
                <w:spacing w:val="-4"/>
              </w:rPr>
              <w:t>132.86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7" w:line="183" w:lineRule="auto"/>
              <w:rPr/>
            </w:pPr>
            <w:r>
              <w:rPr>
                <w:color w:val="212529"/>
                <w:spacing w:val="-2"/>
              </w:rPr>
              <w:t>20805</w:t>
            </w:r>
          </w:p>
        </w:tc>
        <w:tc>
          <w:tcPr>
            <w:tcW w:w="1055" w:type="dxa"/>
            <w:vAlign w:val="top"/>
          </w:tcPr>
          <w:p>
            <w:pPr>
              <w:pStyle w:val="TableText"/>
              <w:ind w:left="4" w:right="148" w:firstLine="2"/>
              <w:spacing w:before="3" w:line="203"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right="26"/>
              <w:spacing w:before="126" w:line="184" w:lineRule="auto"/>
              <w:jc w:val="right"/>
              <w:rPr/>
            </w:pPr>
            <w:r>
              <w:rPr>
                <w:color w:val="212529"/>
                <w:spacing w:val="-4"/>
              </w:rPr>
              <w:t>108.84</w:t>
            </w:r>
          </w:p>
        </w:tc>
        <w:tc>
          <w:tcPr>
            <w:tcW w:w="1259" w:type="dxa"/>
            <w:vAlign w:val="top"/>
          </w:tcPr>
          <w:p>
            <w:pPr>
              <w:pStyle w:val="TableText"/>
              <w:ind w:right="25"/>
              <w:spacing w:before="126" w:line="184" w:lineRule="auto"/>
              <w:jc w:val="right"/>
              <w:rPr/>
            </w:pPr>
            <w:r>
              <w:rPr>
                <w:color w:val="212529"/>
                <w:spacing w:val="-4"/>
              </w:rPr>
              <w:t>108.84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7" w:line="184" w:lineRule="auto"/>
              <w:rPr/>
            </w:pPr>
            <w:r>
              <w:rPr>
                <w:color w:val="212529"/>
                <w:spacing w:val="-2"/>
              </w:rPr>
              <w:t>2080501</w:t>
            </w:r>
          </w:p>
        </w:tc>
        <w:tc>
          <w:tcPr>
            <w:tcW w:w="1055" w:type="dxa"/>
            <w:vAlign w:val="top"/>
          </w:tcPr>
          <w:p>
            <w:pPr>
              <w:pStyle w:val="TableText"/>
              <w:ind w:left="5" w:right="148" w:firstLine="2"/>
              <w:spacing w:before="3" w:line="203" w:lineRule="auto"/>
              <w:rPr/>
            </w:pPr>
            <w:r>
              <w:rPr>
                <w:color w:val="212529"/>
                <w:spacing w:val="-3"/>
              </w:rPr>
              <w:t>行政单位离</w:t>
            </w:r>
            <w:r>
              <w:rPr>
                <w:color w:val="212529"/>
                <w:spacing w:val="2"/>
              </w:rPr>
              <w:t xml:space="preserve"> </w:t>
            </w:r>
            <w:r>
              <w:rPr>
                <w:color w:val="212529"/>
                <w:spacing w:val="-5"/>
              </w:rPr>
              <w:t>退休</w:t>
            </w:r>
          </w:p>
        </w:tc>
        <w:tc>
          <w:tcPr>
            <w:tcW w:w="1379" w:type="dxa"/>
            <w:vAlign w:val="top"/>
          </w:tcPr>
          <w:p>
            <w:pPr>
              <w:pStyle w:val="TableText"/>
              <w:ind w:right="26"/>
              <w:spacing w:before="128" w:line="183" w:lineRule="auto"/>
              <w:jc w:val="right"/>
              <w:rPr/>
            </w:pPr>
            <w:r>
              <w:rPr>
                <w:color w:val="212529"/>
                <w:spacing w:val="-3"/>
              </w:rPr>
              <w:t>6.53</w:t>
            </w:r>
          </w:p>
        </w:tc>
        <w:tc>
          <w:tcPr>
            <w:tcW w:w="1259" w:type="dxa"/>
            <w:vAlign w:val="top"/>
          </w:tcPr>
          <w:p>
            <w:pPr>
              <w:pStyle w:val="TableText"/>
              <w:ind w:right="25"/>
              <w:spacing w:before="128" w:line="183" w:lineRule="auto"/>
              <w:jc w:val="right"/>
              <w:rPr/>
            </w:pPr>
            <w:r>
              <w:rPr>
                <w:color w:val="212529"/>
                <w:spacing w:val="-3"/>
              </w:rPr>
              <w:t>6.53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3" w:lineRule="auto"/>
              <w:rPr/>
            </w:pPr>
            <w:r>
              <w:rPr>
                <w:color w:val="212529"/>
                <w:spacing w:val="-2"/>
              </w:rPr>
              <w:t>2080502</w:t>
            </w:r>
          </w:p>
        </w:tc>
        <w:tc>
          <w:tcPr>
            <w:tcW w:w="1055" w:type="dxa"/>
            <w:vAlign w:val="top"/>
          </w:tcPr>
          <w:p>
            <w:pPr>
              <w:pStyle w:val="TableText"/>
              <w:ind w:left="4" w:right="148"/>
              <w:spacing w:before="4" w:line="203"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left="896"/>
              <w:spacing w:before="129" w:line="183" w:lineRule="auto"/>
              <w:rPr/>
            </w:pPr>
            <w:r>
              <w:rPr>
                <w:color w:val="212529"/>
                <w:spacing w:val="-2"/>
              </w:rPr>
              <w:t>28.75</w:t>
            </w:r>
          </w:p>
        </w:tc>
        <w:tc>
          <w:tcPr>
            <w:tcW w:w="1259" w:type="dxa"/>
            <w:vAlign w:val="top"/>
          </w:tcPr>
          <w:p>
            <w:pPr>
              <w:pStyle w:val="TableText"/>
              <w:ind w:left="777"/>
              <w:spacing w:before="129" w:line="183" w:lineRule="auto"/>
              <w:rPr/>
            </w:pPr>
            <w:r>
              <w:rPr>
                <w:color w:val="212529"/>
                <w:spacing w:val="-2"/>
              </w:rPr>
              <w:t>28.75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3"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3" w:lineRule="auto"/>
              <w:rPr>
                <w:rFonts w:ascii="Arial"/>
                <w:sz w:val="21"/>
              </w:rPr>
            </w:pPr>
            <w:r/>
          </w:p>
          <w:p>
            <w:pPr>
              <w:pStyle w:val="TableText"/>
              <w:ind w:left="895"/>
              <w:spacing w:before="59" w:line="183" w:lineRule="auto"/>
              <w:rPr/>
            </w:pPr>
            <w:r>
              <w:rPr>
                <w:color w:val="212529"/>
                <w:spacing w:val="-2"/>
              </w:rPr>
              <w:t>60.05</w:t>
            </w:r>
          </w:p>
        </w:tc>
        <w:tc>
          <w:tcPr>
            <w:tcW w:w="1259" w:type="dxa"/>
            <w:vAlign w:val="top"/>
          </w:tcPr>
          <w:p>
            <w:pPr>
              <w:spacing w:line="273" w:lineRule="auto"/>
              <w:rPr>
                <w:rFonts w:ascii="Arial"/>
                <w:sz w:val="21"/>
              </w:rPr>
            </w:pPr>
            <w:r/>
          </w:p>
          <w:p>
            <w:pPr>
              <w:pStyle w:val="TableText"/>
              <w:ind w:left="776"/>
              <w:spacing w:before="59" w:line="183" w:lineRule="auto"/>
              <w:rPr/>
            </w:pPr>
            <w:r>
              <w:rPr>
                <w:color w:val="212529"/>
                <w:spacing w:val="-2"/>
              </w:rPr>
              <w:t>60.05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9" w:line="183" w:lineRule="auto"/>
              <w:rPr/>
            </w:pPr>
            <w:r>
              <w:rPr>
                <w:color w:val="212529"/>
                <w:spacing w:val="-2"/>
              </w:rPr>
              <w:t>2080506</w:t>
            </w:r>
          </w:p>
        </w:tc>
        <w:tc>
          <w:tcPr>
            <w:tcW w:w="1055" w:type="dxa"/>
            <w:vAlign w:val="top"/>
          </w:tcPr>
          <w:p>
            <w:pPr>
              <w:pStyle w:val="TableText"/>
              <w:ind w:left="2" w:right="148"/>
              <w:spacing w:before="6" w:line="204"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left="907"/>
              <w:spacing w:before="237" w:line="184" w:lineRule="auto"/>
              <w:rPr/>
            </w:pPr>
            <w:r>
              <w:rPr>
                <w:color w:val="212529"/>
                <w:spacing w:val="-5"/>
              </w:rPr>
              <w:t>13.51</w:t>
            </w:r>
          </w:p>
        </w:tc>
        <w:tc>
          <w:tcPr>
            <w:tcW w:w="1259" w:type="dxa"/>
            <w:vAlign w:val="top"/>
          </w:tcPr>
          <w:p>
            <w:pPr>
              <w:pStyle w:val="TableText"/>
              <w:ind w:left="788"/>
              <w:spacing w:before="237" w:line="184" w:lineRule="auto"/>
              <w:rPr/>
            </w:pPr>
            <w:r>
              <w:rPr>
                <w:color w:val="212529"/>
                <w:spacing w:val="-5"/>
              </w:rPr>
              <w:t>13.51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6" w:line="183" w:lineRule="auto"/>
              <w:rPr/>
            </w:pPr>
            <w:r>
              <w:rPr>
                <w:color w:val="212529"/>
                <w:spacing w:val="-2"/>
              </w:rPr>
              <w:t>20808</w:t>
            </w:r>
          </w:p>
        </w:tc>
        <w:tc>
          <w:tcPr>
            <w:tcW w:w="1055" w:type="dxa"/>
            <w:vAlign w:val="top"/>
          </w:tcPr>
          <w:p>
            <w:pPr>
              <w:pStyle w:val="TableText"/>
              <w:ind w:left="2"/>
              <w:spacing w:before="67" w:line="219" w:lineRule="auto"/>
              <w:rPr/>
            </w:pPr>
            <w:r>
              <w:rPr>
                <w:color w:val="212529"/>
                <w:spacing w:val="-4"/>
              </w:rPr>
              <w:t>抚恤</w:t>
            </w:r>
          </w:p>
        </w:tc>
        <w:tc>
          <w:tcPr>
            <w:tcW w:w="1379" w:type="dxa"/>
            <w:vAlign w:val="top"/>
          </w:tcPr>
          <w:p>
            <w:pPr>
              <w:pStyle w:val="TableText"/>
              <w:ind w:left="896"/>
              <w:spacing w:before="95" w:line="184" w:lineRule="auto"/>
              <w:rPr/>
            </w:pPr>
            <w:r>
              <w:rPr>
                <w:color w:val="212529"/>
                <w:spacing w:val="-2"/>
              </w:rPr>
              <w:t>24.01</w:t>
            </w:r>
          </w:p>
        </w:tc>
        <w:tc>
          <w:tcPr>
            <w:tcW w:w="1259" w:type="dxa"/>
            <w:vAlign w:val="top"/>
          </w:tcPr>
          <w:p>
            <w:pPr>
              <w:pStyle w:val="TableText"/>
              <w:ind w:left="777"/>
              <w:spacing w:before="95" w:line="184" w:lineRule="auto"/>
              <w:rPr/>
            </w:pPr>
            <w:r>
              <w:rPr>
                <w:color w:val="212529"/>
                <w:spacing w:val="-2"/>
              </w:rPr>
              <w:t>24.01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5" w:line="184" w:lineRule="auto"/>
              <w:rPr/>
            </w:pPr>
            <w:r>
              <w:rPr>
                <w:color w:val="212529"/>
                <w:spacing w:val="-2"/>
              </w:rPr>
              <w:t>2080801</w:t>
            </w:r>
          </w:p>
        </w:tc>
        <w:tc>
          <w:tcPr>
            <w:tcW w:w="1055" w:type="dxa"/>
            <w:vAlign w:val="top"/>
          </w:tcPr>
          <w:p>
            <w:pPr>
              <w:pStyle w:val="TableText"/>
              <w:ind w:left="5"/>
              <w:spacing w:before="67" w:line="219" w:lineRule="auto"/>
              <w:rPr/>
            </w:pPr>
            <w:r>
              <w:rPr>
                <w:color w:val="212529"/>
                <w:spacing w:val="-3"/>
              </w:rPr>
              <w:t>死亡抚恤</w:t>
            </w:r>
          </w:p>
        </w:tc>
        <w:tc>
          <w:tcPr>
            <w:tcW w:w="1379" w:type="dxa"/>
            <w:vAlign w:val="top"/>
          </w:tcPr>
          <w:p>
            <w:pPr>
              <w:pStyle w:val="TableText"/>
              <w:ind w:left="896"/>
              <w:spacing w:before="95" w:line="184" w:lineRule="auto"/>
              <w:rPr/>
            </w:pPr>
            <w:r>
              <w:rPr>
                <w:color w:val="212529"/>
                <w:spacing w:val="-2"/>
              </w:rPr>
              <w:t>24.01</w:t>
            </w:r>
          </w:p>
        </w:tc>
        <w:tc>
          <w:tcPr>
            <w:tcW w:w="1259" w:type="dxa"/>
            <w:vAlign w:val="top"/>
          </w:tcPr>
          <w:p>
            <w:pPr>
              <w:pStyle w:val="TableText"/>
              <w:ind w:left="777"/>
              <w:spacing w:before="95" w:line="184" w:lineRule="auto"/>
              <w:rPr/>
            </w:pPr>
            <w:r>
              <w:rPr>
                <w:color w:val="212529"/>
                <w:spacing w:val="-2"/>
              </w:rPr>
              <w:t>24.01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1" w:line="184" w:lineRule="auto"/>
              <w:rPr/>
            </w:pPr>
            <w:r>
              <w:rPr>
                <w:color w:val="212529"/>
                <w:spacing w:val="-4"/>
              </w:rPr>
              <w:t>221</w:t>
            </w:r>
          </w:p>
        </w:tc>
        <w:tc>
          <w:tcPr>
            <w:tcW w:w="1055" w:type="dxa"/>
            <w:vAlign w:val="top"/>
          </w:tcPr>
          <w:p>
            <w:pPr>
              <w:pStyle w:val="TableText"/>
              <w:ind w:left="19" w:right="148" w:hanging="16"/>
              <w:spacing w:before="8" w:line="201"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5"/>
              <w:spacing w:before="131" w:line="184" w:lineRule="auto"/>
              <w:rPr/>
            </w:pPr>
            <w:r>
              <w:rPr>
                <w:color w:val="212529"/>
                <w:spacing w:val="-2"/>
              </w:rPr>
              <w:t>65.12</w:t>
            </w:r>
          </w:p>
        </w:tc>
        <w:tc>
          <w:tcPr>
            <w:tcW w:w="1259" w:type="dxa"/>
            <w:vAlign w:val="top"/>
          </w:tcPr>
          <w:p>
            <w:pPr>
              <w:pStyle w:val="TableText"/>
              <w:ind w:left="776"/>
              <w:spacing w:before="131" w:line="184" w:lineRule="auto"/>
              <w:rPr/>
            </w:pPr>
            <w:r>
              <w:rPr>
                <w:color w:val="212529"/>
                <w:spacing w:val="-2"/>
              </w:rPr>
              <w:t>65.12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1" w:line="184" w:lineRule="auto"/>
              <w:rPr/>
            </w:pPr>
            <w:r>
              <w:rPr>
                <w:color w:val="212529"/>
                <w:spacing w:val="-2"/>
              </w:rPr>
              <w:t>22102</w:t>
            </w:r>
          </w:p>
        </w:tc>
        <w:tc>
          <w:tcPr>
            <w:tcW w:w="1055" w:type="dxa"/>
            <w:vAlign w:val="top"/>
          </w:tcPr>
          <w:p>
            <w:pPr>
              <w:pStyle w:val="TableText"/>
              <w:ind w:left="19" w:right="148" w:hanging="16"/>
              <w:spacing w:before="8" w:line="201"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5"/>
              <w:spacing w:before="131" w:line="184" w:lineRule="auto"/>
              <w:rPr/>
            </w:pPr>
            <w:r>
              <w:rPr>
                <w:color w:val="212529"/>
                <w:spacing w:val="-2"/>
              </w:rPr>
              <w:t>65.12</w:t>
            </w:r>
          </w:p>
        </w:tc>
        <w:tc>
          <w:tcPr>
            <w:tcW w:w="1259" w:type="dxa"/>
            <w:vAlign w:val="top"/>
          </w:tcPr>
          <w:p>
            <w:pPr>
              <w:pStyle w:val="TableText"/>
              <w:ind w:left="776"/>
              <w:spacing w:before="131" w:line="184" w:lineRule="auto"/>
              <w:rPr/>
            </w:pPr>
            <w:r>
              <w:rPr>
                <w:color w:val="212529"/>
                <w:spacing w:val="-2"/>
              </w:rPr>
              <w:t>65.12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5" w:line="184" w:lineRule="auto"/>
              <w:rPr/>
            </w:pPr>
            <w:r>
              <w:rPr>
                <w:color w:val="212529"/>
                <w:spacing w:val="-2"/>
              </w:rPr>
              <w:t>2210201</w:t>
            </w:r>
          </w:p>
        </w:tc>
        <w:tc>
          <w:tcPr>
            <w:tcW w:w="1055" w:type="dxa"/>
            <w:vAlign w:val="top"/>
          </w:tcPr>
          <w:p>
            <w:pPr>
              <w:pStyle w:val="TableText"/>
              <w:ind w:left="3"/>
              <w:spacing w:before="68" w:line="220" w:lineRule="auto"/>
              <w:rPr/>
            </w:pPr>
            <w:r>
              <w:rPr>
                <w:color w:val="212529"/>
                <w:spacing w:val="-2"/>
              </w:rPr>
              <w:t>住房公积金</w:t>
            </w:r>
          </w:p>
        </w:tc>
        <w:tc>
          <w:tcPr>
            <w:tcW w:w="1379" w:type="dxa"/>
            <w:vAlign w:val="top"/>
          </w:tcPr>
          <w:p>
            <w:pPr>
              <w:pStyle w:val="TableText"/>
              <w:ind w:left="895"/>
              <w:spacing w:before="95" w:line="184" w:lineRule="auto"/>
              <w:rPr/>
            </w:pPr>
            <w:r>
              <w:rPr>
                <w:color w:val="212529"/>
                <w:spacing w:val="-2"/>
              </w:rPr>
              <w:t>65.12</w:t>
            </w:r>
          </w:p>
        </w:tc>
        <w:tc>
          <w:tcPr>
            <w:tcW w:w="1259" w:type="dxa"/>
            <w:vAlign w:val="top"/>
          </w:tcPr>
          <w:p>
            <w:pPr>
              <w:pStyle w:val="TableText"/>
              <w:ind w:left="776"/>
              <w:spacing w:before="95" w:line="184" w:lineRule="auto"/>
              <w:rPr/>
            </w:pPr>
            <w:r>
              <w:rPr>
                <w:color w:val="212529"/>
                <w:spacing w:val="-2"/>
              </w:rPr>
              <w:t>65.12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6" w:line="183" w:lineRule="auto"/>
              <w:rPr/>
            </w:pPr>
            <w:r>
              <w:rPr>
                <w:color w:val="212529"/>
                <w:spacing w:val="-4"/>
              </w:rPr>
              <w:t>229</w:t>
            </w:r>
          </w:p>
        </w:tc>
        <w:tc>
          <w:tcPr>
            <w:tcW w:w="1055" w:type="dxa"/>
            <w:vAlign w:val="top"/>
          </w:tcPr>
          <w:p>
            <w:pPr>
              <w:pStyle w:val="TableText"/>
              <w:ind w:left="5"/>
              <w:spacing w:before="68" w:line="220" w:lineRule="auto"/>
              <w:rPr/>
            </w:pPr>
            <w:r>
              <w:rPr>
                <w:color w:val="212529"/>
                <w:spacing w:val="-3"/>
              </w:rPr>
              <w:t>其他支出</w:t>
            </w:r>
          </w:p>
        </w:tc>
        <w:tc>
          <w:tcPr>
            <w:tcW w:w="1379" w:type="dxa"/>
            <w:vAlign w:val="top"/>
          </w:tcPr>
          <w:p>
            <w:pPr>
              <w:pStyle w:val="TableText"/>
              <w:ind w:right="26"/>
              <w:spacing w:before="96" w:line="183" w:lineRule="auto"/>
              <w:jc w:val="right"/>
              <w:rPr/>
            </w:pPr>
            <w:r>
              <w:rPr>
                <w:color w:val="212529"/>
                <w:spacing w:val="-3"/>
              </w:rPr>
              <w:t>0.96</w:t>
            </w:r>
          </w:p>
        </w:tc>
        <w:tc>
          <w:tcPr>
            <w:tcW w:w="1259" w:type="dxa"/>
            <w:vAlign w:val="top"/>
          </w:tcPr>
          <w:p>
            <w:pPr>
              <w:pStyle w:val="TableText"/>
              <w:ind w:right="25"/>
              <w:spacing w:before="96" w:line="183" w:lineRule="auto"/>
              <w:jc w:val="right"/>
              <w:rPr/>
            </w:pPr>
            <w:r>
              <w:rPr>
                <w:color w:val="212529"/>
                <w:spacing w:val="-3"/>
              </w:rPr>
              <w:t>0.96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6" w:line="183" w:lineRule="auto"/>
              <w:rPr/>
            </w:pPr>
            <w:r>
              <w:rPr>
                <w:color w:val="212529"/>
                <w:spacing w:val="-2"/>
              </w:rPr>
              <w:t>22999</w:t>
            </w:r>
          </w:p>
        </w:tc>
        <w:tc>
          <w:tcPr>
            <w:tcW w:w="1055" w:type="dxa"/>
            <w:vAlign w:val="top"/>
          </w:tcPr>
          <w:p>
            <w:pPr>
              <w:pStyle w:val="TableText"/>
              <w:ind w:left="5"/>
              <w:spacing w:before="68" w:line="220" w:lineRule="auto"/>
              <w:rPr/>
            </w:pPr>
            <w:r>
              <w:rPr>
                <w:color w:val="212529"/>
                <w:spacing w:val="-3"/>
              </w:rPr>
              <w:t>其他支出</w:t>
            </w:r>
          </w:p>
        </w:tc>
        <w:tc>
          <w:tcPr>
            <w:tcW w:w="1379" w:type="dxa"/>
            <w:vAlign w:val="top"/>
          </w:tcPr>
          <w:p>
            <w:pPr>
              <w:pStyle w:val="TableText"/>
              <w:ind w:right="26"/>
              <w:spacing w:before="96" w:line="183" w:lineRule="auto"/>
              <w:jc w:val="right"/>
              <w:rPr/>
            </w:pPr>
            <w:r>
              <w:rPr>
                <w:color w:val="212529"/>
                <w:spacing w:val="-3"/>
              </w:rPr>
              <w:t>0.96</w:t>
            </w:r>
          </w:p>
        </w:tc>
        <w:tc>
          <w:tcPr>
            <w:tcW w:w="1259" w:type="dxa"/>
            <w:vAlign w:val="top"/>
          </w:tcPr>
          <w:p>
            <w:pPr>
              <w:pStyle w:val="TableText"/>
              <w:ind w:right="25"/>
              <w:spacing w:before="96" w:line="183" w:lineRule="auto"/>
              <w:jc w:val="right"/>
              <w:rPr/>
            </w:pPr>
            <w:r>
              <w:rPr>
                <w:color w:val="212529"/>
                <w:spacing w:val="-3"/>
              </w:rPr>
              <w:t>0.96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6" w:line="183" w:lineRule="auto"/>
              <w:rPr/>
            </w:pPr>
            <w:r>
              <w:rPr>
                <w:color w:val="212529"/>
                <w:spacing w:val="-2"/>
              </w:rPr>
              <w:t>2299999</w:t>
            </w:r>
          </w:p>
        </w:tc>
        <w:tc>
          <w:tcPr>
            <w:tcW w:w="1055" w:type="dxa"/>
            <w:vAlign w:val="top"/>
          </w:tcPr>
          <w:p>
            <w:pPr>
              <w:pStyle w:val="TableText"/>
              <w:ind w:left="5"/>
              <w:spacing w:before="68" w:line="220" w:lineRule="auto"/>
              <w:rPr/>
            </w:pPr>
            <w:r>
              <w:rPr>
                <w:color w:val="212529"/>
                <w:spacing w:val="-3"/>
              </w:rPr>
              <w:t>其他支出</w:t>
            </w:r>
          </w:p>
        </w:tc>
        <w:tc>
          <w:tcPr>
            <w:tcW w:w="1379" w:type="dxa"/>
            <w:vAlign w:val="top"/>
          </w:tcPr>
          <w:p>
            <w:pPr>
              <w:pStyle w:val="TableText"/>
              <w:ind w:right="26"/>
              <w:spacing w:before="96" w:line="183" w:lineRule="auto"/>
              <w:jc w:val="right"/>
              <w:rPr/>
            </w:pPr>
            <w:r>
              <w:rPr>
                <w:color w:val="212529"/>
                <w:spacing w:val="-3"/>
              </w:rPr>
              <w:t>0.96</w:t>
            </w:r>
          </w:p>
        </w:tc>
        <w:tc>
          <w:tcPr>
            <w:tcW w:w="1259" w:type="dxa"/>
            <w:vAlign w:val="top"/>
          </w:tcPr>
          <w:p>
            <w:pPr>
              <w:pStyle w:val="TableText"/>
              <w:ind w:right="25"/>
              <w:spacing w:before="96" w:line="183" w:lineRule="auto"/>
              <w:jc w:val="right"/>
              <w:rPr/>
            </w:pPr>
            <w:r>
              <w:rPr>
                <w:color w:val="212529"/>
                <w:spacing w:val="-3"/>
              </w:rPr>
              <w:t>0.96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32" w:hRule="atLeast"/>
        </w:trPr>
        <w:tc>
          <w:tcPr>
            <w:tcW w:w="9016" w:type="dxa"/>
            <w:vAlign w:val="top"/>
            <w:gridSpan w:val="9"/>
            <w:tcBorders>
              <w:bottom w:val="single" w:color="FFFFFF" w:sz="4" w:space="0"/>
              <w:left w:val="single" w:color="000000" w:sz="2" w:space="0"/>
              <w:right w:val="nil"/>
            </w:tcBorders>
          </w:tcPr>
          <w:p>
            <w:pPr>
              <w:ind w:left="7"/>
              <w:spacing w:before="4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5"/>
          <w:footerReference w:type="default" r:id="rId11"/>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93"/>
        <w:gridCol w:w="1199"/>
        <w:gridCol w:w="1451"/>
        <w:gridCol w:w="1259"/>
        <w:gridCol w:w="1259"/>
        <w:gridCol w:w="527"/>
        <w:gridCol w:w="911"/>
        <w:gridCol w:w="917"/>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9"/>
            <w:bookmarkEnd w:id="39"/>
            <w:r>
              <w:rPr>
                <w:sz w:val="22"/>
                <w:szCs w:val="22"/>
                <w:color w:val="212529"/>
                <w:spacing w:val="5"/>
              </w:rPr>
              <w:t>支出决算表</w:t>
            </w:r>
          </w:p>
        </w:tc>
      </w:tr>
      <w:tr>
        <w:trPr>
          <w:trHeight w:val="314" w:hRule="atLeast"/>
        </w:trPr>
        <w:tc>
          <w:tcPr>
            <w:tcW w:w="149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7" w:type="dxa"/>
            <w:vAlign w:val="top"/>
            <w:tcBorders>
              <w:bottom w:val="single" w:color="FFFFFF" w:sz="4" w:space="0"/>
              <w:top w:val="single" w:color="FFFFFF" w:sz="4" w:space="0"/>
              <w:left w:val="single" w:color="FFFFFF" w:sz="2" w:space="0"/>
              <w:right w:val="single" w:color="FFFFFF" w:sz="2" w:space="0"/>
            </w:tcBorders>
          </w:tcPr>
          <w:p>
            <w:pPr>
              <w:pStyle w:val="TableText"/>
              <w:ind w:left="317"/>
              <w:spacing w:before="76" w:line="226" w:lineRule="auto"/>
              <w:rPr>
                <w:sz w:val="14"/>
                <w:szCs w:val="14"/>
              </w:rPr>
            </w:pPr>
            <w:r>
              <w:rPr>
                <w:sz w:val="14"/>
                <w:szCs w:val="14"/>
                <w:color w:val="212529"/>
              </w:rPr>
              <w:t>公开03表</w:t>
            </w:r>
          </w:p>
        </w:tc>
      </w:tr>
      <w:tr>
        <w:trPr>
          <w:trHeight w:val="314" w:hRule="atLeast"/>
        </w:trPr>
        <w:tc>
          <w:tcPr>
            <w:tcW w:w="4143" w:type="dxa"/>
            <w:vAlign w:val="top"/>
            <w:gridSpan w:val="3"/>
            <w:tcBorders>
              <w:top w:val="single" w:color="FFFFFF" w:sz="4" w:space="0"/>
              <w:left w:val="single" w:color="000000" w:sz="2" w:space="0"/>
              <w:right w:val="single" w:color="000000" w:sz="2" w:space="0"/>
            </w:tcBorders>
          </w:tcPr>
          <w:p>
            <w:pPr>
              <w:pStyle w:val="TableText"/>
              <w:ind w:left="12"/>
              <w:spacing w:before="66" w:line="227" w:lineRule="auto"/>
              <w:rPr>
                <w:sz w:val="15"/>
                <w:szCs w:val="15"/>
              </w:rPr>
            </w:pPr>
            <w:r>
              <w:rPr>
                <w:sz w:val="15"/>
                <w:szCs w:val="15"/>
                <w:color w:val="212529"/>
                <w:spacing w:val="5"/>
              </w:rPr>
              <w:t>部门名称：古县财政局</w:t>
            </w:r>
          </w:p>
        </w:tc>
        <w:tc>
          <w:tcPr>
            <w:tcW w:w="2518" w:type="dxa"/>
            <w:vAlign w:val="top"/>
            <w:gridSpan w:val="2"/>
            <w:tcBorders>
              <w:top w:val="single" w:color="FFFFFF" w:sz="4" w:space="0"/>
              <w:left w:val="single" w:color="000000" w:sz="2" w:space="0"/>
              <w:right w:val="single" w:color="000000" w:sz="2" w:space="0"/>
            </w:tcBorders>
          </w:tcPr>
          <w:p>
            <w:pPr>
              <w:pStyle w:val="TableText"/>
              <w:ind w:left="10"/>
              <w:spacing w:before="76" w:line="225" w:lineRule="auto"/>
              <w:rPr>
                <w:sz w:val="14"/>
                <w:szCs w:val="14"/>
              </w:rPr>
            </w:pPr>
            <w:r>
              <w:rPr>
                <w:sz w:val="14"/>
                <w:szCs w:val="14"/>
                <w:color w:val="212529"/>
                <w:spacing w:val="1"/>
              </w:rPr>
              <w:t>2023年度</w:t>
            </w:r>
          </w:p>
        </w:tc>
        <w:tc>
          <w:tcPr>
            <w:tcW w:w="527" w:type="dxa"/>
            <w:vAlign w:val="top"/>
            <w:tcBorders>
              <w:top w:val="single" w:color="FFFFFF" w:sz="4" w:space="0"/>
              <w:left w:val="single" w:color="000000" w:sz="2" w:space="0"/>
              <w:right w:val="single" w:color="000000" w:sz="2" w:space="0"/>
            </w:tcBorders>
          </w:tcPr>
          <w:p>
            <w:pPr>
              <w:rPr>
                <w:rFonts w:ascii="Arial"/>
                <w:sz w:val="21"/>
              </w:rPr>
            </w:pPr>
            <w:r/>
          </w:p>
        </w:tc>
        <w:tc>
          <w:tcPr>
            <w:tcW w:w="1828" w:type="dxa"/>
            <w:vAlign w:val="top"/>
            <w:gridSpan w:val="2"/>
            <w:tcBorders>
              <w:top w:val="single" w:color="FFFFFF" w:sz="4" w:space="0"/>
              <w:left w:val="single" w:color="000000" w:sz="2" w:space="0"/>
              <w:right w:val="single" w:color="000000" w:sz="2" w:space="0"/>
            </w:tcBorders>
          </w:tcPr>
          <w:p>
            <w:pPr>
              <w:pStyle w:val="TableText"/>
              <w:ind w:left="793"/>
              <w:spacing w:before="76" w:line="225" w:lineRule="auto"/>
              <w:rPr>
                <w:sz w:val="14"/>
                <w:szCs w:val="14"/>
              </w:rPr>
            </w:pPr>
            <w:r>
              <w:rPr>
                <w:sz w:val="14"/>
                <w:szCs w:val="14"/>
                <w:color w:val="212529"/>
                <w:spacing w:val="2"/>
              </w:rPr>
              <w:t>金额单位：万元</w:t>
            </w:r>
          </w:p>
        </w:tc>
      </w:tr>
      <w:tr>
        <w:trPr>
          <w:trHeight w:val="314" w:hRule="atLeast"/>
        </w:trPr>
        <w:tc>
          <w:tcPr>
            <w:tcW w:w="2692" w:type="dxa"/>
            <w:vAlign w:val="top"/>
            <w:gridSpan w:val="2"/>
          </w:tcPr>
          <w:p>
            <w:pPr>
              <w:ind w:left="114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51" w:type="dxa"/>
            <w:vAlign w:val="top"/>
            <w:vMerge w:val="restart"/>
            <w:tcBorders>
              <w:bottom w:val="nil"/>
            </w:tcBorders>
          </w:tcPr>
          <w:p>
            <w:pPr>
              <w:pStyle w:val="TableText"/>
              <w:ind w:left="168"/>
              <w:spacing w:before="213" w:line="219" w:lineRule="auto"/>
              <w:rPr/>
            </w:pPr>
            <w:r>
              <w:rPr>
                <w:color w:val="212529"/>
                <w:spacing w:val="-2"/>
              </w:rPr>
              <w:t>本年支出合计</w:t>
            </w:r>
          </w:p>
        </w:tc>
        <w:tc>
          <w:tcPr>
            <w:tcW w:w="1259" w:type="dxa"/>
            <w:vAlign w:val="top"/>
            <w:vMerge w:val="restart"/>
            <w:tcBorders>
              <w:bottom w:val="nil"/>
            </w:tcBorders>
          </w:tcPr>
          <w:p>
            <w:pPr>
              <w:pStyle w:val="TableText"/>
              <w:ind w:left="253"/>
              <w:spacing w:before="213" w:line="219" w:lineRule="auto"/>
              <w:rPr/>
            </w:pPr>
            <w:r>
              <w:rPr>
                <w:color w:val="212529"/>
                <w:spacing w:val="-3"/>
              </w:rPr>
              <w:t>基本支出</w:t>
            </w:r>
          </w:p>
        </w:tc>
        <w:tc>
          <w:tcPr>
            <w:tcW w:w="1259" w:type="dxa"/>
            <w:vAlign w:val="top"/>
            <w:vMerge w:val="restart"/>
            <w:tcBorders>
              <w:bottom w:val="nil"/>
            </w:tcBorders>
          </w:tcPr>
          <w:p>
            <w:pPr>
              <w:pStyle w:val="TableText"/>
              <w:ind w:left="257"/>
              <w:spacing w:before="213" w:line="220" w:lineRule="auto"/>
              <w:rPr/>
            </w:pPr>
            <w:r>
              <w:rPr>
                <w:color w:val="212529"/>
                <w:spacing w:val="-3"/>
              </w:rPr>
              <w:t>项目支出</w:t>
            </w:r>
          </w:p>
        </w:tc>
        <w:tc>
          <w:tcPr>
            <w:tcW w:w="527" w:type="dxa"/>
            <w:vAlign w:val="top"/>
            <w:vMerge w:val="restart"/>
            <w:tcBorders>
              <w:bottom w:val="nil"/>
            </w:tcBorders>
          </w:tcPr>
          <w:p>
            <w:pPr>
              <w:pStyle w:val="TableText"/>
              <w:ind w:left="70" w:right="95"/>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11" w:type="dxa"/>
            <w:vAlign w:val="top"/>
            <w:vMerge w:val="restart"/>
            <w:tcBorders>
              <w:bottom w:val="nil"/>
            </w:tcBorders>
          </w:tcPr>
          <w:p>
            <w:pPr>
              <w:pStyle w:val="TableText"/>
              <w:ind w:left="84"/>
              <w:spacing w:before="213" w:line="220" w:lineRule="auto"/>
              <w:rPr/>
            </w:pPr>
            <w:r>
              <w:rPr>
                <w:color w:val="212529"/>
                <w:spacing w:val="-3"/>
              </w:rPr>
              <w:t>经营支出</w:t>
            </w:r>
          </w:p>
        </w:tc>
        <w:tc>
          <w:tcPr>
            <w:tcW w:w="917" w:type="dxa"/>
            <w:vAlign w:val="top"/>
            <w:vMerge w:val="restart"/>
            <w:tcBorders>
              <w:bottom w:val="nil"/>
            </w:tcBorders>
          </w:tcPr>
          <w:p>
            <w:pPr>
              <w:pStyle w:val="TableText"/>
              <w:ind w:left="83"/>
              <w:spacing w:before="9" w:line="209" w:lineRule="auto"/>
              <w:rPr/>
            </w:pPr>
            <w:r>
              <w:rPr>
                <w:color w:val="212529"/>
                <w:spacing w:val="-2"/>
              </w:rPr>
              <w:t>对附属单</w:t>
            </w:r>
          </w:p>
          <w:p>
            <w:pPr>
              <w:pStyle w:val="TableText"/>
              <w:ind w:left="174"/>
              <w:spacing w:line="209" w:lineRule="auto"/>
              <w:rPr/>
            </w:pPr>
            <w:r>
              <w:rPr>
                <w:color w:val="212529"/>
                <w:spacing w:val="-3"/>
              </w:rPr>
              <w:t>位补助</w:t>
            </w:r>
          </w:p>
          <w:p>
            <w:pPr>
              <w:pStyle w:val="TableText"/>
              <w:ind w:left="265"/>
              <w:spacing w:line="215" w:lineRule="auto"/>
              <w:rPr/>
            </w:pPr>
            <w:r>
              <w:rPr>
                <w:color w:val="212529"/>
                <w:spacing w:val="-5"/>
              </w:rPr>
              <w:t>支出</w:t>
            </w:r>
          </w:p>
        </w:tc>
      </w:tr>
      <w:tr>
        <w:trPr>
          <w:trHeight w:val="314" w:hRule="atLeast"/>
        </w:trPr>
        <w:tc>
          <w:tcPr>
            <w:tcW w:w="1493" w:type="dxa"/>
            <w:vAlign w:val="top"/>
          </w:tcPr>
          <w:p>
            <w:pPr>
              <w:pStyle w:val="TableText"/>
              <w:ind w:left="369"/>
              <w:spacing w:before="45" w:line="219" w:lineRule="auto"/>
              <w:rPr/>
            </w:pPr>
            <w:r>
              <w:rPr>
                <w:color w:val="212529"/>
                <w:spacing w:val="-3"/>
              </w:rPr>
              <w:t>科目代码</w:t>
            </w:r>
          </w:p>
        </w:tc>
        <w:tc>
          <w:tcPr>
            <w:tcW w:w="1199" w:type="dxa"/>
            <w:vAlign w:val="top"/>
          </w:tcPr>
          <w:p>
            <w:pPr>
              <w:pStyle w:val="TableText"/>
              <w:ind w:left="220"/>
              <w:spacing w:before="45" w:line="219" w:lineRule="auto"/>
              <w:rPr/>
            </w:pPr>
            <w:r>
              <w:rPr>
                <w:color w:val="212529"/>
                <w:spacing w:val="-3"/>
              </w:rPr>
              <w:t>科目名称</w:t>
            </w:r>
          </w:p>
        </w:tc>
        <w:tc>
          <w:tcPr>
            <w:tcW w:w="1451"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527" w:type="dxa"/>
            <w:vAlign w:val="top"/>
            <w:vMerge w:val="continue"/>
            <w:tcBorders>
              <w:top w:val="nil"/>
            </w:tcBorders>
          </w:tcPr>
          <w:p>
            <w:pPr>
              <w:rPr>
                <w:rFonts w:ascii="Arial"/>
                <w:sz w:val="21"/>
              </w:rPr>
            </w:pPr>
            <w:r/>
          </w:p>
        </w:tc>
        <w:tc>
          <w:tcPr>
            <w:tcW w:w="911" w:type="dxa"/>
            <w:vAlign w:val="top"/>
            <w:vMerge w:val="continue"/>
            <w:tcBorders>
              <w:top w:val="nil"/>
            </w:tcBorders>
          </w:tcPr>
          <w:p>
            <w:pPr>
              <w:rPr>
                <w:rFonts w:ascii="Arial"/>
                <w:sz w:val="21"/>
              </w:rPr>
            </w:pPr>
            <w:r/>
          </w:p>
        </w:tc>
        <w:tc>
          <w:tcPr>
            <w:tcW w:w="917" w:type="dxa"/>
            <w:vAlign w:val="top"/>
            <w:vMerge w:val="continue"/>
            <w:tcBorders>
              <w:top w:val="nil"/>
            </w:tcBorders>
          </w:tcPr>
          <w:p>
            <w:pPr>
              <w:rPr>
                <w:rFonts w:ascii="Arial"/>
                <w:sz w:val="21"/>
              </w:rPr>
            </w:pPr>
            <w:r/>
          </w:p>
        </w:tc>
      </w:tr>
      <w:tr>
        <w:trPr>
          <w:trHeight w:val="314" w:hRule="atLeast"/>
        </w:trPr>
        <w:tc>
          <w:tcPr>
            <w:tcW w:w="2692" w:type="dxa"/>
            <w:vAlign w:val="top"/>
            <w:gridSpan w:val="2"/>
          </w:tcPr>
          <w:p>
            <w:pPr>
              <w:pStyle w:val="TableText"/>
              <w:ind w:left="1149"/>
              <w:spacing w:before="46" w:line="219" w:lineRule="auto"/>
              <w:rPr/>
            </w:pPr>
            <w:r>
              <w:rPr>
                <w:color w:val="212529"/>
                <w:spacing w:val="-5"/>
              </w:rPr>
              <w:t>栏次</w:t>
            </w:r>
          </w:p>
        </w:tc>
        <w:tc>
          <w:tcPr>
            <w:tcW w:w="1451" w:type="dxa"/>
            <w:vAlign w:val="top"/>
          </w:tcPr>
          <w:p>
            <w:pPr>
              <w:ind w:left="671"/>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259" w:type="dxa"/>
            <w:vAlign w:val="top"/>
          </w:tcPr>
          <w:p>
            <w:pPr>
              <w:ind w:left="570"/>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5"/>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911" w:type="dxa"/>
            <w:vAlign w:val="top"/>
          </w:tcPr>
          <w:p>
            <w:pPr>
              <w:ind w:left="398"/>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917" w:type="dxa"/>
            <w:vAlign w:val="top"/>
          </w:tcPr>
          <w:p>
            <w:pPr>
              <w:ind w:left="401"/>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692" w:type="dxa"/>
            <w:vAlign w:val="top"/>
            <w:gridSpan w:val="2"/>
          </w:tcPr>
          <w:p>
            <w:pPr>
              <w:pStyle w:val="TableText"/>
              <w:ind w:left="1150"/>
              <w:spacing w:before="45" w:line="221" w:lineRule="auto"/>
              <w:rPr/>
            </w:pPr>
            <w:r>
              <w:rPr>
                <w:color w:val="212529"/>
                <w:spacing w:val="-5"/>
              </w:rPr>
              <w:t>合计</w:t>
            </w:r>
          </w:p>
        </w:tc>
        <w:tc>
          <w:tcPr>
            <w:tcW w:w="1451" w:type="dxa"/>
            <w:vAlign w:val="top"/>
          </w:tcPr>
          <w:p>
            <w:pPr>
              <w:pStyle w:val="TableText"/>
              <w:ind w:right="26"/>
              <w:spacing w:before="73" w:line="184" w:lineRule="auto"/>
              <w:jc w:val="right"/>
              <w:rPr/>
            </w:pPr>
            <w:r>
              <w:rPr>
                <w:color w:val="212529"/>
                <w:spacing w:val="-3"/>
              </w:rPr>
              <w:t>1,315.71</w:t>
            </w:r>
          </w:p>
        </w:tc>
        <w:tc>
          <w:tcPr>
            <w:tcW w:w="1259" w:type="dxa"/>
            <w:vAlign w:val="top"/>
          </w:tcPr>
          <w:p>
            <w:pPr>
              <w:pStyle w:val="TableText"/>
              <w:ind w:right="25"/>
              <w:spacing w:before="74" w:line="183" w:lineRule="auto"/>
              <w:jc w:val="right"/>
              <w:rPr/>
            </w:pPr>
            <w:r>
              <w:rPr>
                <w:color w:val="212529"/>
                <w:spacing w:val="-2"/>
              </w:rPr>
              <w:t>803.54</w:t>
            </w:r>
          </w:p>
        </w:tc>
        <w:tc>
          <w:tcPr>
            <w:tcW w:w="1259" w:type="dxa"/>
            <w:vAlign w:val="top"/>
          </w:tcPr>
          <w:p>
            <w:pPr>
              <w:pStyle w:val="TableText"/>
              <w:ind w:right="23"/>
              <w:spacing w:before="73" w:line="184" w:lineRule="auto"/>
              <w:jc w:val="right"/>
              <w:rPr/>
            </w:pPr>
            <w:r>
              <w:rPr>
                <w:color w:val="212529"/>
                <w:spacing w:val="-2"/>
              </w:rPr>
              <w:t>512.17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1" w:line="184" w:lineRule="auto"/>
              <w:rPr/>
            </w:pPr>
            <w:r>
              <w:rPr>
                <w:color w:val="212529"/>
                <w:spacing w:val="-4"/>
              </w:rPr>
              <w:t>201</w:t>
            </w:r>
          </w:p>
        </w:tc>
        <w:tc>
          <w:tcPr>
            <w:tcW w:w="1199" w:type="dxa"/>
            <w:vAlign w:val="top"/>
          </w:tcPr>
          <w:p>
            <w:pPr>
              <w:pStyle w:val="TableText"/>
              <w:ind w:left="5" w:right="112" w:firstLine="2"/>
              <w:spacing w:before="1" w:line="204" w:lineRule="auto"/>
              <w:rPr/>
            </w:pPr>
            <w:r>
              <w:rPr>
                <w:color w:val="212529"/>
                <w:spacing w:val="-2"/>
              </w:rPr>
              <w:t>一般公共服务</w:t>
            </w:r>
            <w:r>
              <w:rPr>
                <w:color w:val="212529"/>
              </w:rPr>
              <w:t xml:space="preserve"> </w:t>
            </w:r>
            <w:r>
              <w:rPr>
                <w:color w:val="212529"/>
                <w:spacing w:val="-5"/>
              </w:rPr>
              <w:t>支出</w:t>
            </w:r>
          </w:p>
        </w:tc>
        <w:tc>
          <w:tcPr>
            <w:tcW w:w="1451" w:type="dxa"/>
            <w:vAlign w:val="top"/>
          </w:tcPr>
          <w:p>
            <w:pPr>
              <w:pStyle w:val="TableText"/>
              <w:ind w:right="26"/>
              <w:spacing w:before="121" w:line="184" w:lineRule="auto"/>
              <w:jc w:val="right"/>
              <w:rPr/>
            </w:pPr>
            <w:r>
              <w:rPr>
                <w:color w:val="212529"/>
                <w:spacing w:val="-3"/>
              </w:rPr>
              <w:t>1,116.77</w:t>
            </w:r>
          </w:p>
        </w:tc>
        <w:tc>
          <w:tcPr>
            <w:tcW w:w="1259" w:type="dxa"/>
            <w:vAlign w:val="top"/>
          </w:tcPr>
          <w:p>
            <w:pPr>
              <w:pStyle w:val="TableText"/>
              <w:ind w:right="25"/>
              <w:spacing w:before="122" w:line="183" w:lineRule="auto"/>
              <w:jc w:val="right"/>
              <w:rPr/>
            </w:pPr>
            <w:r>
              <w:rPr>
                <w:color w:val="212529"/>
                <w:spacing w:val="-2"/>
              </w:rPr>
              <w:t>605.56</w:t>
            </w:r>
          </w:p>
        </w:tc>
        <w:tc>
          <w:tcPr>
            <w:tcW w:w="1259" w:type="dxa"/>
            <w:vAlign w:val="top"/>
          </w:tcPr>
          <w:p>
            <w:pPr>
              <w:pStyle w:val="TableText"/>
              <w:ind w:right="23"/>
              <w:spacing w:before="121" w:line="184" w:lineRule="auto"/>
              <w:jc w:val="right"/>
              <w:rPr/>
            </w:pPr>
            <w:r>
              <w:rPr>
                <w:color w:val="212529"/>
                <w:spacing w:val="-2"/>
              </w:rPr>
              <w:t>511.21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4" w:line="184" w:lineRule="auto"/>
              <w:rPr/>
            </w:pPr>
            <w:r>
              <w:rPr>
                <w:color w:val="212529"/>
                <w:spacing w:val="-2"/>
              </w:rPr>
              <w:t>20106</w:t>
            </w:r>
          </w:p>
        </w:tc>
        <w:tc>
          <w:tcPr>
            <w:tcW w:w="1199" w:type="dxa"/>
            <w:vAlign w:val="top"/>
          </w:tcPr>
          <w:p>
            <w:pPr>
              <w:pStyle w:val="TableText"/>
              <w:ind w:left="5"/>
              <w:spacing w:before="47" w:line="219" w:lineRule="auto"/>
              <w:rPr/>
            </w:pPr>
            <w:r>
              <w:rPr>
                <w:color w:val="212529"/>
                <w:spacing w:val="-3"/>
              </w:rPr>
              <w:t>财政事务</w:t>
            </w:r>
          </w:p>
        </w:tc>
        <w:tc>
          <w:tcPr>
            <w:tcW w:w="1451" w:type="dxa"/>
            <w:vAlign w:val="top"/>
          </w:tcPr>
          <w:p>
            <w:pPr>
              <w:pStyle w:val="TableText"/>
              <w:ind w:right="26"/>
              <w:spacing w:before="74" w:line="184" w:lineRule="auto"/>
              <w:jc w:val="right"/>
              <w:rPr/>
            </w:pPr>
            <w:r>
              <w:rPr>
                <w:color w:val="212529"/>
                <w:spacing w:val="-3"/>
              </w:rPr>
              <w:t>1,116.77</w:t>
            </w:r>
          </w:p>
        </w:tc>
        <w:tc>
          <w:tcPr>
            <w:tcW w:w="1259" w:type="dxa"/>
            <w:vAlign w:val="top"/>
          </w:tcPr>
          <w:p>
            <w:pPr>
              <w:pStyle w:val="TableText"/>
              <w:ind w:right="25"/>
              <w:spacing w:before="75" w:line="183" w:lineRule="auto"/>
              <w:jc w:val="right"/>
              <w:rPr/>
            </w:pPr>
            <w:r>
              <w:rPr>
                <w:color w:val="212529"/>
                <w:spacing w:val="-2"/>
              </w:rPr>
              <w:t>605.56</w:t>
            </w:r>
          </w:p>
        </w:tc>
        <w:tc>
          <w:tcPr>
            <w:tcW w:w="1259" w:type="dxa"/>
            <w:vAlign w:val="top"/>
          </w:tcPr>
          <w:p>
            <w:pPr>
              <w:pStyle w:val="TableText"/>
              <w:ind w:right="23"/>
              <w:spacing w:before="74" w:line="184" w:lineRule="auto"/>
              <w:jc w:val="right"/>
              <w:rPr/>
            </w:pPr>
            <w:r>
              <w:rPr>
                <w:color w:val="212529"/>
                <w:spacing w:val="-2"/>
              </w:rPr>
              <w:t>511.21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4" w:line="184" w:lineRule="auto"/>
              <w:rPr/>
            </w:pPr>
            <w:r>
              <w:rPr>
                <w:color w:val="212529"/>
                <w:spacing w:val="-2"/>
              </w:rPr>
              <w:t>2010601</w:t>
            </w:r>
          </w:p>
        </w:tc>
        <w:tc>
          <w:tcPr>
            <w:tcW w:w="1199" w:type="dxa"/>
            <w:vAlign w:val="top"/>
          </w:tcPr>
          <w:p>
            <w:pPr>
              <w:pStyle w:val="TableText"/>
              <w:ind w:left="7"/>
              <w:spacing w:before="47" w:line="220" w:lineRule="auto"/>
              <w:rPr/>
            </w:pPr>
            <w:r>
              <w:rPr>
                <w:color w:val="212529"/>
                <w:spacing w:val="-3"/>
              </w:rPr>
              <w:t>行政运行</w:t>
            </w:r>
          </w:p>
        </w:tc>
        <w:tc>
          <w:tcPr>
            <w:tcW w:w="1451" w:type="dxa"/>
            <w:vAlign w:val="top"/>
          </w:tcPr>
          <w:p>
            <w:pPr>
              <w:pStyle w:val="TableText"/>
              <w:ind w:right="26"/>
              <w:spacing w:before="74" w:line="184" w:lineRule="auto"/>
              <w:jc w:val="right"/>
              <w:rPr/>
            </w:pPr>
            <w:r>
              <w:rPr>
                <w:color w:val="212529"/>
                <w:spacing w:val="-2"/>
              </w:rPr>
              <w:t>291.78</w:t>
            </w:r>
          </w:p>
        </w:tc>
        <w:tc>
          <w:tcPr>
            <w:tcW w:w="1259" w:type="dxa"/>
            <w:vAlign w:val="top"/>
          </w:tcPr>
          <w:p>
            <w:pPr>
              <w:pStyle w:val="TableText"/>
              <w:ind w:right="25"/>
              <w:spacing w:before="74" w:line="184" w:lineRule="auto"/>
              <w:jc w:val="right"/>
              <w:rPr/>
            </w:pPr>
            <w:r>
              <w:rPr>
                <w:color w:val="212529"/>
                <w:spacing w:val="-4"/>
              </w:rPr>
              <w:t>108.16</w:t>
            </w:r>
          </w:p>
        </w:tc>
        <w:tc>
          <w:tcPr>
            <w:tcW w:w="1259" w:type="dxa"/>
            <w:vAlign w:val="top"/>
          </w:tcPr>
          <w:p>
            <w:pPr>
              <w:pStyle w:val="TableText"/>
              <w:ind w:right="23"/>
              <w:spacing w:before="74" w:line="184" w:lineRule="auto"/>
              <w:jc w:val="right"/>
              <w:rPr/>
            </w:pPr>
            <w:r>
              <w:rPr>
                <w:color w:val="212529"/>
                <w:spacing w:val="-4"/>
              </w:rPr>
              <w:t>183.62</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3" w:line="184" w:lineRule="auto"/>
              <w:rPr/>
            </w:pPr>
            <w:r>
              <w:rPr>
                <w:color w:val="212529"/>
                <w:spacing w:val="-2"/>
              </w:rPr>
              <w:t>2010608</w:t>
            </w:r>
          </w:p>
        </w:tc>
        <w:tc>
          <w:tcPr>
            <w:tcW w:w="1199" w:type="dxa"/>
            <w:vAlign w:val="top"/>
          </w:tcPr>
          <w:p>
            <w:pPr>
              <w:pStyle w:val="TableText"/>
              <w:ind w:left="5" w:right="112"/>
              <w:spacing w:before="1" w:line="204" w:lineRule="auto"/>
              <w:rPr/>
            </w:pPr>
            <w:r>
              <w:rPr>
                <w:color w:val="212529"/>
                <w:spacing w:val="-2"/>
              </w:rPr>
              <w:t>财政委托业务</w:t>
            </w:r>
            <w:r>
              <w:rPr>
                <w:color w:val="212529"/>
                <w:spacing w:val="2"/>
              </w:rPr>
              <w:t xml:space="preserve"> </w:t>
            </w:r>
            <w:r>
              <w:rPr>
                <w:color w:val="212529"/>
                <w:spacing w:val="-5"/>
              </w:rPr>
              <w:t>支出</w:t>
            </w:r>
          </w:p>
        </w:tc>
        <w:tc>
          <w:tcPr>
            <w:tcW w:w="1451" w:type="dxa"/>
            <w:vAlign w:val="top"/>
          </w:tcPr>
          <w:p>
            <w:pPr>
              <w:pStyle w:val="TableText"/>
              <w:ind w:right="26"/>
              <w:spacing w:before="123" w:line="183" w:lineRule="auto"/>
              <w:jc w:val="right"/>
              <w:rPr/>
            </w:pPr>
            <w:r>
              <w:rPr>
                <w:color w:val="212529"/>
                <w:spacing w:val="-2"/>
              </w:rPr>
              <w:t>327.59</w:t>
            </w:r>
          </w:p>
        </w:tc>
        <w:tc>
          <w:tcPr>
            <w:tcW w:w="1259" w:type="dxa"/>
            <w:vAlign w:val="top"/>
          </w:tcPr>
          <w:p>
            <w:pPr>
              <w:rPr>
                <w:rFonts w:ascii="Arial"/>
                <w:sz w:val="21"/>
              </w:rPr>
            </w:pPr>
            <w:r/>
          </w:p>
        </w:tc>
        <w:tc>
          <w:tcPr>
            <w:tcW w:w="1259" w:type="dxa"/>
            <w:vAlign w:val="top"/>
          </w:tcPr>
          <w:p>
            <w:pPr>
              <w:pStyle w:val="TableText"/>
              <w:ind w:right="23"/>
              <w:spacing w:before="123" w:line="183" w:lineRule="auto"/>
              <w:jc w:val="right"/>
              <w:rPr/>
            </w:pPr>
            <w:r>
              <w:rPr>
                <w:color w:val="212529"/>
                <w:spacing w:val="-2"/>
              </w:rPr>
              <w:t>327.59</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6" w:line="184" w:lineRule="auto"/>
              <w:rPr/>
            </w:pPr>
            <w:r>
              <w:rPr>
                <w:color w:val="212529"/>
                <w:spacing w:val="-2"/>
              </w:rPr>
              <w:t>2010650</w:t>
            </w:r>
          </w:p>
        </w:tc>
        <w:tc>
          <w:tcPr>
            <w:tcW w:w="1199" w:type="dxa"/>
            <w:vAlign w:val="top"/>
          </w:tcPr>
          <w:p>
            <w:pPr>
              <w:pStyle w:val="TableText"/>
              <w:ind w:left="4"/>
              <w:spacing w:before="48" w:line="220" w:lineRule="auto"/>
              <w:rPr/>
            </w:pPr>
            <w:r>
              <w:rPr>
                <w:color w:val="212529"/>
                <w:spacing w:val="-3"/>
              </w:rPr>
              <w:t>事业运行</w:t>
            </w:r>
          </w:p>
        </w:tc>
        <w:tc>
          <w:tcPr>
            <w:tcW w:w="1451" w:type="dxa"/>
            <w:vAlign w:val="top"/>
          </w:tcPr>
          <w:p>
            <w:pPr>
              <w:pStyle w:val="TableText"/>
              <w:ind w:right="26"/>
              <w:spacing w:before="76" w:line="183" w:lineRule="auto"/>
              <w:jc w:val="right"/>
              <w:rPr/>
            </w:pPr>
            <w:r>
              <w:rPr>
                <w:color w:val="212529"/>
                <w:spacing w:val="-2"/>
              </w:rPr>
              <w:t>497.40</w:t>
            </w:r>
          </w:p>
        </w:tc>
        <w:tc>
          <w:tcPr>
            <w:tcW w:w="1259" w:type="dxa"/>
            <w:vAlign w:val="top"/>
          </w:tcPr>
          <w:p>
            <w:pPr>
              <w:pStyle w:val="TableText"/>
              <w:ind w:right="25"/>
              <w:spacing w:before="76" w:line="183" w:lineRule="auto"/>
              <w:jc w:val="right"/>
              <w:rPr/>
            </w:pPr>
            <w:r>
              <w:rPr>
                <w:color w:val="212529"/>
                <w:spacing w:val="-2"/>
              </w:rPr>
              <w:t>497.40</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5" w:line="183" w:lineRule="auto"/>
              <w:rPr/>
            </w:pPr>
            <w:r>
              <w:rPr>
                <w:color w:val="212529"/>
                <w:spacing w:val="-4"/>
              </w:rPr>
              <w:t>208</w:t>
            </w:r>
          </w:p>
        </w:tc>
        <w:tc>
          <w:tcPr>
            <w:tcW w:w="1199" w:type="dxa"/>
            <w:vAlign w:val="top"/>
          </w:tcPr>
          <w:p>
            <w:pPr>
              <w:pStyle w:val="TableText"/>
              <w:ind w:left="3" w:right="112"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51" w:type="dxa"/>
            <w:vAlign w:val="top"/>
          </w:tcPr>
          <w:p>
            <w:pPr>
              <w:pStyle w:val="TableText"/>
              <w:ind w:right="26"/>
              <w:spacing w:before="124" w:line="184" w:lineRule="auto"/>
              <w:jc w:val="right"/>
              <w:rPr/>
            </w:pPr>
            <w:r>
              <w:rPr>
                <w:color w:val="212529"/>
                <w:spacing w:val="-4"/>
              </w:rPr>
              <w:t>132.86</w:t>
            </w:r>
          </w:p>
        </w:tc>
        <w:tc>
          <w:tcPr>
            <w:tcW w:w="1259" w:type="dxa"/>
            <w:vAlign w:val="top"/>
          </w:tcPr>
          <w:p>
            <w:pPr>
              <w:pStyle w:val="TableText"/>
              <w:ind w:right="25"/>
              <w:spacing w:before="124" w:line="184" w:lineRule="auto"/>
              <w:jc w:val="right"/>
              <w:rPr/>
            </w:pPr>
            <w:r>
              <w:rPr>
                <w:color w:val="212529"/>
                <w:spacing w:val="-4"/>
              </w:rPr>
              <w:t>132.86</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6" w:line="183" w:lineRule="auto"/>
              <w:rPr/>
            </w:pPr>
            <w:r>
              <w:rPr>
                <w:color w:val="212529"/>
                <w:spacing w:val="-2"/>
              </w:rPr>
              <w:t>20805</w:t>
            </w:r>
          </w:p>
        </w:tc>
        <w:tc>
          <w:tcPr>
            <w:tcW w:w="1199" w:type="dxa"/>
            <w:vAlign w:val="top"/>
          </w:tcPr>
          <w:p>
            <w:pPr>
              <w:pStyle w:val="TableText"/>
              <w:ind w:left="5" w:right="112"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51" w:type="dxa"/>
            <w:vAlign w:val="top"/>
          </w:tcPr>
          <w:p>
            <w:pPr>
              <w:pStyle w:val="TableText"/>
              <w:ind w:right="26"/>
              <w:spacing w:before="125" w:line="184" w:lineRule="auto"/>
              <w:jc w:val="right"/>
              <w:rPr/>
            </w:pPr>
            <w:r>
              <w:rPr>
                <w:color w:val="212529"/>
                <w:spacing w:val="-4"/>
              </w:rPr>
              <w:t>108.84</w:t>
            </w:r>
          </w:p>
        </w:tc>
        <w:tc>
          <w:tcPr>
            <w:tcW w:w="1259" w:type="dxa"/>
            <w:vAlign w:val="top"/>
          </w:tcPr>
          <w:p>
            <w:pPr>
              <w:pStyle w:val="TableText"/>
              <w:ind w:right="25"/>
              <w:spacing w:before="125" w:line="184" w:lineRule="auto"/>
              <w:jc w:val="right"/>
              <w:rPr/>
            </w:pPr>
            <w:r>
              <w:rPr>
                <w:color w:val="212529"/>
                <w:spacing w:val="-4"/>
              </w:rPr>
              <w:t>108.84</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6" w:line="184" w:lineRule="auto"/>
              <w:rPr/>
            </w:pPr>
            <w:r>
              <w:rPr>
                <w:color w:val="212529"/>
                <w:spacing w:val="-2"/>
              </w:rPr>
              <w:t>2080501</w:t>
            </w:r>
          </w:p>
        </w:tc>
        <w:tc>
          <w:tcPr>
            <w:tcW w:w="1199" w:type="dxa"/>
            <w:vAlign w:val="top"/>
          </w:tcPr>
          <w:p>
            <w:pPr>
              <w:pStyle w:val="TableText"/>
              <w:ind w:left="2" w:right="112" w:firstLine="4"/>
              <w:spacing w:before="3" w:line="203" w:lineRule="auto"/>
              <w:rPr/>
            </w:pPr>
            <w:r>
              <w:rPr>
                <w:color w:val="212529"/>
                <w:spacing w:val="-2"/>
              </w:rPr>
              <w:t>行政单位离退</w:t>
            </w:r>
            <w:r>
              <w:rPr>
                <w:color w:val="212529"/>
              </w:rPr>
              <w:t xml:space="preserve"> </w:t>
            </w:r>
            <w:r>
              <w:rPr>
                <w:color w:val="212529"/>
              </w:rPr>
              <w:t>休</w:t>
            </w:r>
          </w:p>
        </w:tc>
        <w:tc>
          <w:tcPr>
            <w:tcW w:w="1451" w:type="dxa"/>
            <w:vAlign w:val="top"/>
          </w:tcPr>
          <w:p>
            <w:pPr>
              <w:pStyle w:val="TableText"/>
              <w:ind w:right="26"/>
              <w:spacing w:before="127" w:line="183" w:lineRule="auto"/>
              <w:jc w:val="right"/>
              <w:rPr/>
            </w:pPr>
            <w:r>
              <w:rPr>
                <w:color w:val="212529"/>
                <w:spacing w:val="-3"/>
              </w:rPr>
              <w:t>6.53</w:t>
            </w:r>
          </w:p>
        </w:tc>
        <w:tc>
          <w:tcPr>
            <w:tcW w:w="1259" w:type="dxa"/>
            <w:vAlign w:val="top"/>
          </w:tcPr>
          <w:p>
            <w:pPr>
              <w:pStyle w:val="TableText"/>
              <w:ind w:right="25"/>
              <w:spacing w:before="127" w:line="183" w:lineRule="auto"/>
              <w:jc w:val="right"/>
              <w:rPr/>
            </w:pPr>
            <w:r>
              <w:rPr>
                <w:color w:val="212529"/>
                <w:spacing w:val="-3"/>
              </w:rPr>
              <w:t>6.53</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8" w:line="183" w:lineRule="auto"/>
              <w:rPr/>
            </w:pPr>
            <w:r>
              <w:rPr>
                <w:color w:val="212529"/>
                <w:spacing w:val="-2"/>
              </w:rPr>
              <w:t>2080502</w:t>
            </w:r>
          </w:p>
        </w:tc>
        <w:tc>
          <w:tcPr>
            <w:tcW w:w="1199" w:type="dxa"/>
            <w:vAlign w:val="top"/>
          </w:tcPr>
          <w:p>
            <w:pPr>
              <w:pStyle w:val="TableText"/>
              <w:ind w:left="2" w:right="112" w:firstLine="1"/>
              <w:spacing w:before="3" w:line="203" w:lineRule="auto"/>
              <w:rPr/>
            </w:pPr>
            <w:r>
              <w:rPr>
                <w:color w:val="212529"/>
                <w:spacing w:val="-2"/>
              </w:rPr>
              <w:t>事业单位离退</w:t>
            </w:r>
            <w:r>
              <w:rPr>
                <w:color w:val="212529"/>
                <w:spacing w:val="2"/>
              </w:rPr>
              <w:t xml:space="preserve"> </w:t>
            </w:r>
            <w:r>
              <w:rPr>
                <w:color w:val="212529"/>
              </w:rPr>
              <w:t>休</w:t>
            </w:r>
          </w:p>
        </w:tc>
        <w:tc>
          <w:tcPr>
            <w:tcW w:w="1451" w:type="dxa"/>
            <w:vAlign w:val="top"/>
          </w:tcPr>
          <w:p>
            <w:pPr>
              <w:pStyle w:val="TableText"/>
              <w:ind w:left="968"/>
              <w:spacing w:before="128" w:line="183" w:lineRule="auto"/>
              <w:rPr/>
            </w:pPr>
            <w:r>
              <w:rPr>
                <w:color w:val="212529"/>
                <w:spacing w:val="-2"/>
              </w:rPr>
              <w:t>28.75</w:t>
            </w:r>
          </w:p>
        </w:tc>
        <w:tc>
          <w:tcPr>
            <w:tcW w:w="1259" w:type="dxa"/>
            <w:vAlign w:val="top"/>
          </w:tcPr>
          <w:p>
            <w:pPr>
              <w:pStyle w:val="TableText"/>
              <w:ind w:left="777"/>
              <w:spacing w:before="128" w:line="183" w:lineRule="auto"/>
              <w:rPr/>
            </w:pPr>
            <w:r>
              <w:rPr>
                <w:color w:val="212529"/>
                <w:spacing w:val="-2"/>
              </w:rPr>
              <w:t>28.75</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7" w:line="183" w:lineRule="auto"/>
              <w:rPr/>
            </w:pPr>
            <w:r>
              <w:rPr>
                <w:color w:val="212529"/>
                <w:spacing w:val="-2"/>
              </w:rPr>
              <w:t>2080505</w:t>
            </w:r>
          </w:p>
        </w:tc>
        <w:tc>
          <w:tcPr>
            <w:tcW w:w="1199" w:type="dxa"/>
            <w:vAlign w:val="top"/>
          </w:tcPr>
          <w:p>
            <w:pPr>
              <w:pStyle w:val="TableText"/>
              <w:ind w:left="2" w:right="112"/>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51" w:type="dxa"/>
            <w:vAlign w:val="top"/>
          </w:tcPr>
          <w:p>
            <w:pPr>
              <w:pStyle w:val="TableText"/>
              <w:ind w:left="967"/>
              <w:spacing w:before="237" w:line="183" w:lineRule="auto"/>
              <w:rPr/>
            </w:pPr>
            <w:r>
              <w:rPr>
                <w:color w:val="212529"/>
                <w:spacing w:val="-2"/>
              </w:rPr>
              <w:t>60.05</w:t>
            </w:r>
          </w:p>
        </w:tc>
        <w:tc>
          <w:tcPr>
            <w:tcW w:w="1259" w:type="dxa"/>
            <w:vAlign w:val="top"/>
          </w:tcPr>
          <w:p>
            <w:pPr>
              <w:pStyle w:val="TableText"/>
              <w:ind w:left="776"/>
              <w:spacing w:before="237" w:line="183" w:lineRule="auto"/>
              <w:rPr/>
            </w:pPr>
            <w:r>
              <w:rPr>
                <w:color w:val="212529"/>
                <w:spacing w:val="-2"/>
              </w:rPr>
              <w:t>60.05</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8" w:line="183" w:lineRule="auto"/>
              <w:rPr/>
            </w:pPr>
            <w:r>
              <w:rPr>
                <w:color w:val="212529"/>
                <w:spacing w:val="-2"/>
              </w:rPr>
              <w:t>2080506</w:t>
            </w:r>
          </w:p>
        </w:tc>
        <w:tc>
          <w:tcPr>
            <w:tcW w:w="1199" w:type="dxa"/>
            <w:vAlign w:val="top"/>
          </w:tcPr>
          <w:p>
            <w:pPr>
              <w:pStyle w:val="TableText"/>
              <w:ind w:left="4" w:right="112" w:hanging="1"/>
              <w:spacing w:before="6" w:line="204"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51" w:type="dxa"/>
            <w:vAlign w:val="top"/>
          </w:tcPr>
          <w:p>
            <w:pPr>
              <w:pStyle w:val="TableText"/>
              <w:ind w:left="979"/>
              <w:spacing w:before="237" w:line="184" w:lineRule="auto"/>
              <w:rPr/>
            </w:pPr>
            <w:r>
              <w:rPr>
                <w:color w:val="212529"/>
                <w:spacing w:val="-5"/>
              </w:rPr>
              <w:t>13.51</w:t>
            </w:r>
          </w:p>
        </w:tc>
        <w:tc>
          <w:tcPr>
            <w:tcW w:w="1259" w:type="dxa"/>
            <w:vAlign w:val="top"/>
          </w:tcPr>
          <w:p>
            <w:pPr>
              <w:pStyle w:val="TableText"/>
              <w:ind w:left="788"/>
              <w:spacing w:before="237" w:line="184" w:lineRule="auto"/>
              <w:rPr/>
            </w:pPr>
            <w:r>
              <w:rPr>
                <w:color w:val="212529"/>
                <w:spacing w:val="-5"/>
              </w:rPr>
              <w:t>13.51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4" w:line="183" w:lineRule="auto"/>
              <w:rPr/>
            </w:pPr>
            <w:r>
              <w:rPr>
                <w:color w:val="212529"/>
                <w:spacing w:val="-2"/>
              </w:rPr>
              <w:t>20808</w:t>
            </w:r>
          </w:p>
        </w:tc>
        <w:tc>
          <w:tcPr>
            <w:tcW w:w="1199" w:type="dxa"/>
            <w:vAlign w:val="top"/>
          </w:tcPr>
          <w:p>
            <w:pPr>
              <w:pStyle w:val="TableText"/>
              <w:ind w:left="2"/>
              <w:spacing w:before="55" w:line="219" w:lineRule="auto"/>
              <w:rPr/>
            </w:pPr>
            <w:r>
              <w:rPr>
                <w:color w:val="212529"/>
                <w:spacing w:val="-4"/>
              </w:rPr>
              <w:t>抚恤</w:t>
            </w:r>
          </w:p>
        </w:tc>
        <w:tc>
          <w:tcPr>
            <w:tcW w:w="1451" w:type="dxa"/>
            <w:vAlign w:val="top"/>
          </w:tcPr>
          <w:p>
            <w:pPr>
              <w:pStyle w:val="TableText"/>
              <w:ind w:left="968"/>
              <w:spacing w:before="82" w:line="184" w:lineRule="auto"/>
              <w:rPr/>
            </w:pPr>
            <w:r>
              <w:rPr>
                <w:color w:val="212529"/>
                <w:spacing w:val="-2"/>
              </w:rPr>
              <w:t>24.01</w:t>
            </w:r>
          </w:p>
        </w:tc>
        <w:tc>
          <w:tcPr>
            <w:tcW w:w="1259" w:type="dxa"/>
            <w:vAlign w:val="top"/>
          </w:tcPr>
          <w:p>
            <w:pPr>
              <w:pStyle w:val="TableText"/>
              <w:ind w:left="777"/>
              <w:spacing w:before="82" w:line="184" w:lineRule="auto"/>
              <w:rPr/>
            </w:pPr>
            <w:r>
              <w:rPr>
                <w:color w:val="212529"/>
                <w:spacing w:val="-2"/>
              </w:rPr>
              <w:t>24.01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3" w:line="184" w:lineRule="auto"/>
              <w:rPr/>
            </w:pPr>
            <w:r>
              <w:rPr>
                <w:color w:val="212529"/>
                <w:spacing w:val="-2"/>
              </w:rPr>
              <w:t>2080801</w:t>
            </w:r>
          </w:p>
        </w:tc>
        <w:tc>
          <w:tcPr>
            <w:tcW w:w="1199" w:type="dxa"/>
            <w:vAlign w:val="top"/>
          </w:tcPr>
          <w:p>
            <w:pPr>
              <w:pStyle w:val="TableText"/>
              <w:ind w:left="5"/>
              <w:spacing w:before="55" w:line="219" w:lineRule="auto"/>
              <w:rPr/>
            </w:pPr>
            <w:r>
              <w:rPr>
                <w:color w:val="212529"/>
                <w:spacing w:val="-3"/>
              </w:rPr>
              <w:t>死亡抚恤</w:t>
            </w:r>
          </w:p>
        </w:tc>
        <w:tc>
          <w:tcPr>
            <w:tcW w:w="1451" w:type="dxa"/>
            <w:vAlign w:val="top"/>
          </w:tcPr>
          <w:p>
            <w:pPr>
              <w:pStyle w:val="TableText"/>
              <w:ind w:left="968"/>
              <w:spacing w:before="82" w:line="184" w:lineRule="auto"/>
              <w:rPr/>
            </w:pPr>
            <w:r>
              <w:rPr>
                <w:color w:val="212529"/>
                <w:spacing w:val="-2"/>
              </w:rPr>
              <w:t>24.01</w:t>
            </w:r>
          </w:p>
        </w:tc>
        <w:tc>
          <w:tcPr>
            <w:tcW w:w="1259" w:type="dxa"/>
            <w:vAlign w:val="top"/>
          </w:tcPr>
          <w:p>
            <w:pPr>
              <w:pStyle w:val="TableText"/>
              <w:ind w:left="777"/>
              <w:spacing w:before="82" w:line="184" w:lineRule="auto"/>
              <w:rPr/>
            </w:pPr>
            <w:r>
              <w:rPr>
                <w:color w:val="212529"/>
                <w:spacing w:val="-2"/>
              </w:rPr>
              <w:t>24.01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3" w:line="184" w:lineRule="auto"/>
              <w:rPr/>
            </w:pPr>
            <w:r>
              <w:rPr>
                <w:color w:val="212529"/>
                <w:spacing w:val="-4"/>
              </w:rPr>
              <w:t>221</w:t>
            </w:r>
          </w:p>
        </w:tc>
        <w:tc>
          <w:tcPr>
            <w:tcW w:w="1199" w:type="dxa"/>
            <w:vAlign w:val="top"/>
          </w:tcPr>
          <w:p>
            <w:pPr>
              <w:pStyle w:val="TableText"/>
              <w:ind w:left="3"/>
              <w:spacing w:before="55" w:line="219" w:lineRule="auto"/>
              <w:rPr/>
            </w:pPr>
            <w:r>
              <w:rPr>
                <w:color w:val="212529"/>
                <w:spacing w:val="-2"/>
              </w:rPr>
              <w:t>住房保障支出</w:t>
            </w:r>
          </w:p>
        </w:tc>
        <w:tc>
          <w:tcPr>
            <w:tcW w:w="1451" w:type="dxa"/>
            <w:vAlign w:val="top"/>
          </w:tcPr>
          <w:p>
            <w:pPr>
              <w:pStyle w:val="TableText"/>
              <w:ind w:left="967"/>
              <w:spacing w:before="83" w:line="184" w:lineRule="auto"/>
              <w:rPr/>
            </w:pPr>
            <w:r>
              <w:rPr>
                <w:color w:val="212529"/>
                <w:spacing w:val="-2"/>
              </w:rPr>
              <w:t>65.12</w:t>
            </w:r>
          </w:p>
        </w:tc>
        <w:tc>
          <w:tcPr>
            <w:tcW w:w="1259" w:type="dxa"/>
            <w:vAlign w:val="top"/>
          </w:tcPr>
          <w:p>
            <w:pPr>
              <w:pStyle w:val="TableText"/>
              <w:ind w:left="776"/>
              <w:spacing w:before="83" w:line="184" w:lineRule="auto"/>
              <w:rPr/>
            </w:pPr>
            <w:r>
              <w:rPr>
                <w:color w:val="212529"/>
                <w:spacing w:val="-2"/>
              </w:rPr>
              <w:t>65.12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3" w:line="184" w:lineRule="auto"/>
              <w:rPr/>
            </w:pPr>
            <w:r>
              <w:rPr>
                <w:color w:val="212529"/>
                <w:spacing w:val="-2"/>
              </w:rPr>
              <w:t>22102</w:t>
            </w:r>
          </w:p>
        </w:tc>
        <w:tc>
          <w:tcPr>
            <w:tcW w:w="1199" w:type="dxa"/>
            <w:vAlign w:val="top"/>
          </w:tcPr>
          <w:p>
            <w:pPr>
              <w:pStyle w:val="TableText"/>
              <w:ind w:left="3"/>
              <w:spacing w:before="55" w:line="219" w:lineRule="auto"/>
              <w:rPr/>
            </w:pPr>
            <w:r>
              <w:rPr>
                <w:color w:val="212529"/>
                <w:spacing w:val="-2"/>
              </w:rPr>
              <w:t>住房改革支出</w:t>
            </w:r>
          </w:p>
        </w:tc>
        <w:tc>
          <w:tcPr>
            <w:tcW w:w="1451" w:type="dxa"/>
            <w:vAlign w:val="top"/>
          </w:tcPr>
          <w:p>
            <w:pPr>
              <w:pStyle w:val="TableText"/>
              <w:ind w:left="967"/>
              <w:spacing w:before="83" w:line="184" w:lineRule="auto"/>
              <w:rPr/>
            </w:pPr>
            <w:r>
              <w:rPr>
                <w:color w:val="212529"/>
                <w:spacing w:val="-2"/>
              </w:rPr>
              <w:t>65.12</w:t>
            </w:r>
          </w:p>
        </w:tc>
        <w:tc>
          <w:tcPr>
            <w:tcW w:w="1259" w:type="dxa"/>
            <w:vAlign w:val="top"/>
          </w:tcPr>
          <w:p>
            <w:pPr>
              <w:pStyle w:val="TableText"/>
              <w:ind w:left="776"/>
              <w:spacing w:before="83" w:line="184" w:lineRule="auto"/>
              <w:rPr/>
            </w:pPr>
            <w:r>
              <w:rPr>
                <w:color w:val="212529"/>
                <w:spacing w:val="-2"/>
              </w:rPr>
              <w:t>65.12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3" w:line="184" w:lineRule="auto"/>
              <w:rPr/>
            </w:pPr>
            <w:r>
              <w:rPr>
                <w:color w:val="212529"/>
                <w:spacing w:val="-2"/>
              </w:rPr>
              <w:t>2210201</w:t>
            </w:r>
          </w:p>
        </w:tc>
        <w:tc>
          <w:tcPr>
            <w:tcW w:w="1199" w:type="dxa"/>
            <w:vAlign w:val="top"/>
          </w:tcPr>
          <w:p>
            <w:pPr>
              <w:pStyle w:val="TableText"/>
              <w:ind w:left="3"/>
              <w:spacing w:before="55" w:line="220" w:lineRule="auto"/>
              <w:rPr/>
            </w:pPr>
            <w:r>
              <w:rPr>
                <w:color w:val="212529"/>
                <w:spacing w:val="-2"/>
              </w:rPr>
              <w:t>住房公积金</w:t>
            </w:r>
          </w:p>
        </w:tc>
        <w:tc>
          <w:tcPr>
            <w:tcW w:w="1451" w:type="dxa"/>
            <w:vAlign w:val="top"/>
          </w:tcPr>
          <w:p>
            <w:pPr>
              <w:pStyle w:val="TableText"/>
              <w:ind w:left="967"/>
              <w:spacing w:before="83" w:line="184" w:lineRule="auto"/>
              <w:rPr/>
            </w:pPr>
            <w:r>
              <w:rPr>
                <w:color w:val="212529"/>
                <w:spacing w:val="-2"/>
              </w:rPr>
              <w:t>65.12</w:t>
            </w:r>
          </w:p>
        </w:tc>
        <w:tc>
          <w:tcPr>
            <w:tcW w:w="1259" w:type="dxa"/>
            <w:vAlign w:val="top"/>
          </w:tcPr>
          <w:p>
            <w:pPr>
              <w:pStyle w:val="TableText"/>
              <w:ind w:left="776"/>
              <w:spacing w:before="83" w:line="184" w:lineRule="auto"/>
              <w:rPr/>
            </w:pPr>
            <w:r>
              <w:rPr>
                <w:color w:val="212529"/>
                <w:spacing w:val="-2"/>
              </w:rPr>
              <w:t>65.12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4" w:line="183" w:lineRule="auto"/>
              <w:rPr/>
            </w:pPr>
            <w:r>
              <w:rPr>
                <w:color w:val="212529"/>
                <w:spacing w:val="-4"/>
              </w:rPr>
              <w:t>229</w:t>
            </w:r>
          </w:p>
        </w:tc>
        <w:tc>
          <w:tcPr>
            <w:tcW w:w="1199" w:type="dxa"/>
            <w:vAlign w:val="top"/>
          </w:tcPr>
          <w:p>
            <w:pPr>
              <w:pStyle w:val="TableText"/>
              <w:ind w:left="5"/>
              <w:spacing w:before="55" w:line="220" w:lineRule="auto"/>
              <w:rPr/>
            </w:pPr>
            <w:r>
              <w:rPr>
                <w:color w:val="212529"/>
                <w:spacing w:val="-3"/>
              </w:rPr>
              <w:t>其他支出</w:t>
            </w:r>
          </w:p>
        </w:tc>
        <w:tc>
          <w:tcPr>
            <w:tcW w:w="1451" w:type="dxa"/>
            <w:vAlign w:val="top"/>
          </w:tcPr>
          <w:p>
            <w:pPr>
              <w:pStyle w:val="TableText"/>
              <w:ind w:right="26"/>
              <w:spacing w:before="84" w:line="183" w:lineRule="auto"/>
              <w:jc w:val="right"/>
              <w:rPr/>
            </w:pPr>
            <w:r>
              <w:rPr>
                <w:color w:val="212529"/>
                <w:spacing w:val="-3"/>
              </w:rPr>
              <w:t>0.96</w:t>
            </w:r>
          </w:p>
        </w:tc>
        <w:tc>
          <w:tcPr>
            <w:tcW w:w="1259" w:type="dxa"/>
            <w:vAlign w:val="top"/>
          </w:tcPr>
          <w:p>
            <w:pPr>
              <w:rPr>
                <w:rFonts w:ascii="Arial"/>
                <w:sz w:val="21"/>
              </w:rPr>
            </w:pPr>
            <w:r/>
          </w:p>
        </w:tc>
        <w:tc>
          <w:tcPr>
            <w:tcW w:w="1259" w:type="dxa"/>
            <w:vAlign w:val="top"/>
          </w:tcPr>
          <w:p>
            <w:pPr>
              <w:pStyle w:val="TableText"/>
              <w:ind w:right="23"/>
              <w:spacing w:before="84" w:line="183" w:lineRule="auto"/>
              <w:jc w:val="right"/>
              <w:rPr/>
            </w:pPr>
            <w:r>
              <w:rPr>
                <w:color w:val="212529"/>
                <w:spacing w:val="-3"/>
              </w:rPr>
              <w:t>0.96</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4" w:line="183" w:lineRule="auto"/>
              <w:rPr/>
            </w:pPr>
            <w:r>
              <w:rPr>
                <w:color w:val="212529"/>
                <w:spacing w:val="-2"/>
              </w:rPr>
              <w:t>22999</w:t>
            </w:r>
          </w:p>
        </w:tc>
        <w:tc>
          <w:tcPr>
            <w:tcW w:w="1199" w:type="dxa"/>
            <w:vAlign w:val="top"/>
          </w:tcPr>
          <w:p>
            <w:pPr>
              <w:pStyle w:val="TableText"/>
              <w:ind w:left="5"/>
              <w:spacing w:before="55" w:line="220" w:lineRule="auto"/>
              <w:rPr/>
            </w:pPr>
            <w:r>
              <w:rPr>
                <w:color w:val="212529"/>
                <w:spacing w:val="-3"/>
              </w:rPr>
              <w:t>其他支出</w:t>
            </w:r>
          </w:p>
        </w:tc>
        <w:tc>
          <w:tcPr>
            <w:tcW w:w="1451" w:type="dxa"/>
            <w:vAlign w:val="top"/>
          </w:tcPr>
          <w:p>
            <w:pPr>
              <w:pStyle w:val="TableText"/>
              <w:ind w:right="26"/>
              <w:spacing w:before="84" w:line="183" w:lineRule="auto"/>
              <w:jc w:val="right"/>
              <w:rPr/>
            </w:pPr>
            <w:r>
              <w:rPr>
                <w:color w:val="212529"/>
                <w:spacing w:val="-3"/>
              </w:rPr>
              <w:t>0.96</w:t>
            </w:r>
          </w:p>
        </w:tc>
        <w:tc>
          <w:tcPr>
            <w:tcW w:w="1259" w:type="dxa"/>
            <w:vAlign w:val="top"/>
          </w:tcPr>
          <w:p>
            <w:pPr>
              <w:rPr>
                <w:rFonts w:ascii="Arial"/>
                <w:sz w:val="21"/>
              </w:rPr>
            </w:pPr>
            <w:r/>
          </w:p>
        </w:tc>
        <w:tc>
          <w:tcPr>
            <w:tcW w:w="1259" w:type="dxa"/>
            <w:vAlign w:val="top"/>
          </w:tcPr>
          <w:p>
            <w:pPr>
              <w:pStyle w:val="TableText"/>
              <w:ind w:right="23"/>
              <w:spacing w:before="84" w:line="183" w:lineRule="auto"/>
              <w:jc w:val="right"/>
              <w:rPr/>
            </w:pPr>
            <w:r>
              <w:rPr>
                <w:color w:val="212529"/>
                <w:spacing w:val="-3"/>
              </w:rPr>
              <w:t>0.96</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4" w:line="183" w:lineRule="auto"/>
              <w:rPr/>
            </w:pPr>
            <w:r>
              <w:rPr>
                <w:color w:val="212529"/>
                <w:spacing w:val="-2"/>
              </w:rPr>
              <w:t>2299999</w:t>
            </w:r>
          </w:p>
        </w:tc>
        <w:tc>
          <w:tcPr>
            <w:tcW w:w="1199" w:type="dxa"/>
            <w:vAlign w:val="top"/>
          </w:tcPr>
          <w:p>
            <w:pPr>
              <w:pStyle w:val="TableText"/>
              <w:ind w:left="5"/>
              <w:spacing w:before="56" w:line="220" w:lineRule="auto"/>
              <w:rPr/>
            </w:pPr>
            <w:r>
              <w:rPr>
                <w:color w:val="212529"/>
                <w:spacing w:val="-3"/>
              </w:rPr>
              <w:t>其他支出</w:t>
            </w:r>
          </w:p>
        </w:tc>
        <w:tc>
          <w:tcPr>
            <w:tcW w:w="1451" w:type="dxa"/>
            <w:vAlign w:val="top"/>
          </w:tcPr>
          <w:p>
            <w:pPr>
              <w:pStyle w:val="TableText"/>
              <w:ind w:right="26"/>
              <w:spacing w:before="84" w:line="183" w:lineRule="auto"/>
              <w:jc w:val="right"/>
              <w:rPr/>
            </w:pPr>
            <w:r>
              <w:rPr>
                <w:color w:val="212529"/>
                <w:spacing w:val="-3"/>
              </w:rPr>
              <w:t>0.96</w:t>
            </w:r>
          </w:p>
        </w:tc>
        <w:tc>
          <w:tcPr>
            <w:tcW w:w="1259" w:type="dxa"/>
            <w:vAlign w:val="top"/>
          </w:tcPr>
          <w:p>
            <w:pPr>
              <w:rPr>
                <w:rFonts w:ascii="Arial"/>
                <w:sz w:val="21"/>
              </w:rPr>
            </w:pPr>
            <w:r/>
          </w:p>
        </w:tc>
        <w:tc>
          <w:tcPr>
            <w:tcW w:w="1259" w:type="dxa"/>
            <w:vAlign w:val="top"/>
          </w:tcPr>
          <w:p>
            <w:pPr>
              <w:pStyle w:val="TableText"/>
              <w:ind w:right="23"/>
              <w:spacing w:before="84" w:line="183" w:lineRule="auto"/>
              <w:jc w:val="right"/>
              <w:rPr/>
            </w:pPr>
            <w:r>
              <w:rPr>
                <w:color w:val="212529"/>
                <w:spacing w:val="-3"/>
              </w:rPr>
              <w:t>0.96</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8"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12"/>
          <w:footerReference w:type="default" r:id="rId13"/>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3" w:id="40"/>
            <w:bookmarkEnd w:id="40"/>
            <w:bookmarkStart w:name="bookmark9" w:id="41"/>
            <w:bookmarkEnd w:id="41"/>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部门名称：古县财政局</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46"/>
              <w:spacing w:before="137" w:line="184" w:lineRule="auto"/>
              <w:rPr/>
            </w:pPr>
            <w:r>
              <w:rPr>
                <w:color w:val="212529"/>
                <w:spacing w:val="-3"/>
              </w:rPr>
              <w:t>1,315.71</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pStyle w:val="TableText"/>
              <w:ind w:right="23"/>
              <w:spacing w:before="137" w:line="184" w:lineRule="auto"/>
              <w:jc w:val="right"/>
              <w:rPr/>
            </w:pPr>
            <w:r>
              <w:rPr>
                <w:color w:val="212529"/>
                <w:spacing w:val="-3"/>
              </w:rPr>
              <w:t>1,116.77</w:t>
            </w:r>
          </w:p>
        </w:tc>
        <w:tc>
          <w:tcPr>
            <w:tcW w:w="1295" w:type="dxa"/>
            <w:vAlign w:val="top"/>
          </w:tcPr>
          <w:p>
            <w:pPr>
              <w:pStyle w:val="TableText"/>
              <w:ind w:right="22"/>
              <w:spacing w:before="137" w:line="184" w:lineRule="auto"/>
              <w:jc w:val="right"/>
              <w:rPr/>
            </w:pPr>
            <w:r>
              <w:rPr>
                <w:color w:val="212529"/>
                <w:spacing w:val="-3"/>
              </w:rPr>
              <w:t>1,116.77</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right="23"/>
              <w:spacing w:before="139" w:line="184" w:lineRule="auto"/>
              <w:jc w:val="right"/>
              <w:rPr/>
            </w:pPr>
            <w:r>
              <w:rPr>
                <w:color w:val="212529"/>
                <w:spacing w:val="-4"/>
              </w:rPr>
              <w:t>132.86</w:t>
            </w:r>
          </w:p>
        </w:tc>
        <w:tc>
          <w:tcPr>
            <w:tcW w:w="1295" w:type="dxa"/>
            <w:vAlign w:val="top"/>
          </w:tcPr>
          <w:p>
            <w:pPr>
              <w:pStyle w:val="TableText"/>
              <w:ind w:right="22"/>
              <w:spacing w:before="139" w:line="184" w:lineRule="auto"/>
              <w:jc w:val="right"/>
              <w:rPr/>
            </w:pPr>
            <w:r>
              <w:rPr>
                <w:color w:val="212529"/>
                <w:spacing w:val="-4"/>
              </w:rPr>
              <w:t>132.86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left="538"/>
              <w:spacing w:before="141" w:line="184" w:lineRule="auto"/>
              <w:rPr/>
            </w:pPr>
            <w:r>
              <w:rPr>
                <w:color w:val="212529"/>
                <w:spacing w:val="-2"/>
              </w:rPr>
              <w:t>65.12</w:t>
            </w:r>
          </w:p>
        </w:tc>
        <w:tc>
          <w:tcPr>
            <w:tcW w:w="1295" w:type="dxa"/>
            <w:vAlign w:val="top"/>
          </w:tcPr>
          <w:p>
            <w:pPr>
              <w:pStyle w:val="TableText"/>
              <w:ind w:left="815"/>
              <w:spacing w:before="141" w:line="184" w:lineRule="auto"/>
              <w:rPr/>
            </w:pPr>
            <w:r>
              <w:rPr>
                <w:color w:val="212529"/>
                <w:spacing w:val="-2"/>
              </w:rPr>
              <w:t>65.12</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pStyle w:val="TableText"/>
              <w:ind w:right="23"/>
              <w:spacing w:before="142" w:line="183" w:lineRule="auto"/>
              <w:jc w:val="right"/>
              <w:rPr/>
            </w:pPr>
            <w:r>
              <w:rPr>
                <w:color w:val="212529"/>
                <w:spacing w:val="-3"/>
              </w:rPr>
              <w:t>0.96</w:t>
            </w:r>
          </w:p>
        </w:tc>
        <w:tc>
          <w:tcPr>
            <w:tcW w:w="1295" w:type="dxa"/>
            <w:vAlign w:val="top"/>
          </w:tcPr>
          <w:p>
            <w:pPr>
              <w:pStyle w:val="TableText"/>
              <w:ind w:right="22"/>
              <w:spacing w:before="142" w:line="183" w:lineRule="auto"/>
              <w:jc w:val="right"/>
              <w:rPr/>
            </w:pPr>
            <w:r>
              <w:rPr>
                <w:color w:val="212529"/>
                <w:spacing w:val="-3"/>
              </w:rPr>
              <w:t>0.96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pStyle w:val="BodyText"/>
        <w:rPr/>
      </w:pPr>
      <w:r/>
    </w:p>
    <w:p>
      <w:pPr>
        <w:sectPr>
          <w:headerReference w:type="default" r:id="rId14"/>
          <w:footerReference w:type="default" r:id="rId15"/>
          <w:pgSz w:w="11900" w:h="16840"/>
          <w:pgMar w:top="610" w:right="86" w:bottom="311"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4" w:id="42"/>
            <w:bookmarkEnd w:id="42"/>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46"/>
              <w:spacing w:before="138" w:line="184" w:lineRule="auto"/>
              <w:rPr/>
            </w:pPr>
            <w:r>
              <w:rPr>
                <w:color w:val="212529"/>
                <w:spacing w:val="-3"/>
              </w:rPr>
              <w:t>1,315.71</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3"/>
              </w:rPr>
              <w:t>1,315.71</w:t>
            </w:r>
          </w:p>
        </w:tc>
        <w:tc>
          <w:tcPr>
            <w:tcW w:w="1295" w:type="dxa"/>
            <w:vAlign w:val="top"/>
          </w:tcPr>
          <w:p>
            <w:pPr>
              <w:pStyle w:val="TableText"/>
              <w:ind w:right="22"/>
              <w:spacing w:before="138" w:line="184" w:lineRule="auto"/>
              <w:jc w:val="right"/>
              <w:rPr/>
            </w:pPr>
            <w:r>
              <w:rPr>
                <w:color w:val="212529"/>
                <w:spacing w:val="-3"/>
              </w:rPr>
              <w:t>1,315.71</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46"/>
              <w:spacing w:before="139" w:line="184" w:lineRule="auto"/>
              <w:rPr/>
            </w:pPr>
            <w:r>
              <w:rPr>
                <w:color w:val="212529"/>
                <w:spacing w:val="-3"/>
              </w:rPr>
              <w:t>1,315.71</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3"/>
              </w:rPr>
              <w:t>1,315.71</w:t>
            </w:r>
          </w:p>
        </w:tc>
        <w:tc>
          <w:tcPr>
            <w:tcW w:w="1295" w:type="dxa"/>
            <w:vAlign w:val="top"/>
          </w:tcPr>
          <w:p>
            <w:pPr>
              <w:pStyle w:val="TableText"/>
              <w:ind w:right="22"/>
              <w:spacing w:before="139" w:line="184" w:lineRule="auto"/>
              <w:jc w:val="right"/>
              <w:rPr/>
            </w:pPr>
            <w:r>
              <w:rPr>
                <w:color w:val="212529"/>
                <w:spacing w:val="-3"/>
              </w:rPr>
              <w:t>1,315.71</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6"/>
          <w:footerReference w:type="default" r:id="rId17"/>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68"/>
        <w:gridCol w:w="2590"/>
        <w:gridCol w:w="1738"/>
        <w:gridCol w:w="1427"/>
        <w:gridCol w:w="1493"/>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3"/>
            <w:bookmarkEnd w:id="43"/>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76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9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3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93" w:type="dxa"/>
            <w:vAlign w:val="top"/>
            <w:tcBorders>
              <w:bottom w:val="single" w:color="FFFFFF" w:sz="4" w:space="0"/>
              <w:top w:val="single" w:color="FFFFFF" w:sz="4" w:space="0"/>
              <w:left w:val="single" w:color="FFFFFF" w:sz="2" w:space="0"/>
              <w:right w:val="single" w:color="FFFFFF" w:sz="2" w:space="0"/>
            </w:tcBorders>
          </w:tcPr>
          <w:p>
            <w:pPr>
              <w:pStyle w:val="TableText"/>
              <w:ind w:left="893"/>
              <w:spacing w:before="5" w:line="226" w:lineRule="auto"/>
              <w:rPr>
                <w:sz w:val="14"/>
                <w:szCs w:val="14"/>
              </w:rPr>
            </w:pPr>
            <w:r>
              <w:rPr>
                <w:sz w:val="14"/>
                <w:szCs w:val="14"/>
                <w:color w:val="212529"/>
              </w:rPr>
              <w:t>公开05表</w:t>
            </w:r>
          </w:p>
        </w:tc>
      </w:tr>
      <w:tr>
        <w:trPr>
          <w:trHeight w:val="337" w:hRule="atLeast"/>
        </w:trPr>
        <w:tc>
          <w:tcPr>
            <w:tcW w:w="4358" w:type="dxa"/>
            <w:vAlign w:val="top"/>
            <w:gridSpan w:val="2"/>
            <w:tcBorders>
              <w:top w:val="single" w:color="FFFFFF" w:sz="4" w:space="0"/>
              <w:left w:val="single" w:color="000000" w:sz="2" w:space="0"/>
              <w:right w:val="single" w:color="000000" w:sz="2" w:space="0"/>
            </w:tcBorders>
          </w:tcPr>
          <w:p>
            <w:pPr>
              <w:pStyle w:val="TableText"/>
              <w:ind w:left="11"/>
              <w:spacing w:before="90" w:line="225" w:lineRule="auto"/>
              <w:rPr>
                <w:sz w:val="14"/>
                <w:szCs w:val="14"/>
              </w:rPr>
            </w:pPr>
            <w:r>
              <w:rPr>
                <w:sz w:val="14"/>
                <w:szCs w:val="14"/>
                <w:color w:val="212529"/>
                <w:spacing w:val="3"/>
              </w:rPr>
              <w:t>部门名称：古县财政局</w:t>
            </w:r>
          </w:p>
        </w:tc>
        <w:tc>
          <w:tcPr>
            <w:tcW w:w="1738" w:type="dxa"/>
            <w:vAlign w:val="top"/>
            <w:tcBorders>
              <w:top w:val="single" w:color="FFFFFF" w:sz="4" w:space="0"/>
              <w:right w:val="single" w:color="FFFFFF" w:sz="2" w:space="0"/>
              <w:left w:val="single" w:color="000000" w:sz="2" w:space="0"/>
            </w:tcBorders>
          </w:tcPr>
          <w:p>
            <w:pPr>
              <w:pStyle w:val="TableText"/>
              <w:ind w:left="575"/>
              <w:spacing w:before="174" w:line="201" w:lineRule="auto"/>
              <w:rPr>
                <w:sz w:val="14"/>
                <w:szCs w:val="14"/>
              </w:rPr>
            </w:pPr>
            <w:r>
              <w:rPr>
                <w:sz w:val="14"/>
                <w:szCs w:val="14"/>
                <w:color w:val="212529"/>
                <w:spacing w:val="1"/>
              </w:rPr>
              <w:t>2023年度</w:t>
            </w:r>
          </w:p>
        </w:tc>
        <w:tc>
          <w:tcPr>
            <w:tcW w:w="1427" w:type="dxa"/>
            <w:vAlign w:val="top"/>
            <w:tcBorders>
              <w:top w:val="single" w:color="FFFFFF" w:sz="4" w:space="0"/>
              <w:left w:val="single" w:color="FFFFFF" w:sz="2" w:space="0"/>
              <w:right w:val="single" w:color="FFFFFF" w:sz="2" w:space="0"/>
            </w:tcBorders>
          </w:tcPr>
          <w:p>
            <w:pPr>
              <w:rPr>
                <w:rFonts w:ascii="Arial"/>
                <w:sz w:val="21"/>
              </w:rPr>
            </w:pPr>
            <w:r/>
          </w:p>
        </w:tc>
        <w:tc>
          <w:tcPr>
            <w:tcW w:w="1493" w:type="dxa"/>
            <w:vAlign w:val="top"/>
            <w:tcBorders>
              <w:top w:val="single" w:color="FFFFFF" w:sz="4" w:space="0"/>
              <w:left w:val="single" w:color="FFFFFF" w:sz="2" w:space="0"/>
              <w:right w:val="single" w:color="000000" w:sz="2" w:space="0"/>
            </w:tcBorders>
          </w:tcPr>
          <w:p>
            <w:pPr>
              <w:pStyle w:val="TableText"/>
              <w:ind w:left="458"/>
              <w:spacing w:before="90" w:line="225" w:lineRule="auto"/>
              <w:rPr>
                <w:sz w:val="14"/>
                <w:szCs w:val="14"/>
              </w:rPr>
            </w:pPr>
            <w:r>
              <w:rPr>
                <w:sz w:val="14"/>
                <w:szCs w:val="14"/>
                <w:color w:val="212529"/>
                <w:spacing w:val="2"/>
              </w:rPr>
              <w:t>金额单位：万元</w:t>
            </w:r>
          </w:p>
        </w:tc>
      </w:tr>
      <w:tr>
        <w:trPr>
          <w:trHeight w:val="325" w:hRule="atLeast"/>
        </w:trPr>
        <w:tc>
          <w:tcPr>
            <w:tcW w:w="4358" w:type="dxa"/>
            <w:vAlign w:val="top"/>
            <w:gridSpan w:val="2"/>
          </w:tcPr>
          <w:p>
            <w:pPr>
              <w:ind w:left="1977"/>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658" w:type="dxa"/>
            <w:vAlign w:val="top"/>
            <w:gridSpan w:val="3"/>
          </w:tcPr>
          <w:p>
            <w:pPr>
              <w:ind w:left="1947"/>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768" w:type="dxa"/>
            <w:vAlign w:val="top"/>
          </w:tcPr>
          <w:p>
            <w:pPr>
              <w:ind w:left="501"/>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90" w:type="dxa"/>
            <w:vAlign w:val="top"/>
          </w:tcPr>
          <w:p>
            <w:pPr>
              <w:ind w:left="91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38" w:type="dxa"/>
            <w:vAlign w:val="top"/>
          </w:tcPr>
          <w:p>
            <w:pPr>
              <w:ind w:left="669"/>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27" w:type="dxa"/>
            <w:vAlign w:val="top"/>
          </w:tcPr>
          <w:p>
            <w:pPr>
              <w:ind w:left="338"/>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93" w:type="dxa"/>
            <w:vAlign w:val="top"/>
          </w:tcPr>
          <w:p>
            <w:pPr>
              <w:ind w:left="366"/>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358" w:type="dxa"/>
            <w:vAlign w:val="top"/>
            <w:gridSpan w:val="2"/>
          </w:tcPr>
          <w:p>
            <w:pPr>
              <w:ind w:left="1975"/>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38" w:type="dxa"/>
            <w:vAlign w:val="top"/>
          </w:tcPr>
          <w:p>
            <w:pPr>
              <w:pStyle w:val="TableText"/>
              <w:ind w:left="819"/>
              <w:spacing w:before="90" w:line="184" w:lineRule="auto"/>
              <w:rPr/>
            </w:pPr>
            <w:r>
              <w:rPr>
                <w:color w:val="212529"/>
              </w:rPr>
              <w:t>1</w:t>
            </w:r>
          </w:p>
        </w:tc>
        <w:tc>
          <w:tcPr>
            <w:tcW w:w="1427" w:type="dxa"/>
            <w:vAlign w:val="top"/>
          </w:tcPr>
          <w:p>
            <w:pPr>
              <w:pStyle w:val="TableText"/>
              <w:ind w:left="655"/>
              <w:spacing w:before="91" w:line="183" w:lineRule="auto"/>
              <w:rPr/>
            </w:pPr>
            <w:r>
              <w:rPr>
                <w:color w:val="212529"/>
              </w:rPr>
              <w:t>2</w:t>
            </w:r>
          </w:p>
        </w:tc>
        <w:tc>
          <w:tcPr>
            <w:tcW w:w="1493" w:type="dxa"/>
            <w:vAlign w:val="top"/>
          </w:tcPr>
          <w:p>
            <w:pPr>
              <w:pStyle w:val="TableText"/>
              <w:ind w:left="687"/>
              <w:spacing w:before="91" w:line="183" w:lineRule="auto"/>
              <w:rPr/>
            </w:pPr>
            <w:r>
              <w:rPr>
                <w:color w:val="212529"/>
              </w:rPr>
              <w:t>3</w:t>
            </w:r>
          </w:p>
        </w:tc>
      </w:tr>
      <w:tr>
        <w:trPr>
          <w:trHeight w:val="326" w:hRule="atLeast"/>
        </w:trPr>
        <w:tc>
          <w:tcPr>
            <w:tcW w:w="4358" w:type="dxa"/>
            <w:vAlign w:val="top"/>
            <w:gridSpan w:val="2"/>
          </w:tcPr>
          <w:p>
            <w:pPr>
              <w:pStyle w:val="TableText"/>
              <w:ind w:left="1984"/>
              <w:spacing w:before="63" w:line="221" w:lineRule="auto"/>
              <w:rPr/>
            </w:pPr>
            <w:r>
              <w:rPr>
                <w:color w:val="212529"/>
                <w:spacing w:val="-5"/>
              </w:rPr>
              <w:t>合计</w:t>
            </w:r>
          </w:p>
        </w:tc>
        <w:tc>
          <w:tcPr>
            <w:tcW w:w="1738" w:type="dxa"/>
            <w:vAlign w:val="top"/>
          </w:tcPr>
          <w:p>
            <w:pPr>
              <w:pStyle w:val="TableText"/>
              <w:ind w:right="23"/>
              <w:spacing w:before="91" w:line="184" w:lineRule="auto"/>
              <w:jc w:val="right"/>
              <w:rPr/>
            </w:pPr>
            <w:r>
              <w:rPr>
                <w:color w:val="212529"/>
                <w:spacing w:val="-3"/>
              </w:rPr>
              <w:t>1,315.71</w:t>
            </w:r>
          </w:p>
        </w:tc>
        <w:tc>
          <w:tcPr>
            <w:tcW w:w="1427" w:type="dxa"/>
            <w:vAlign w:val="top"/>
          </w:tcPr>
          <w:p>
            <w:pPr>
              <w:pStyle w:val="TableText"/>
              <w:ind w:right="21"/>
              <w:spacing w:before="92" w:line="183" w:lineRule="auto"/>
              <w:jc w:val="right"/>
              <w:rPr/>
            </w:pPr>
            <w:r>
              <w:rPr>
                <w:color w:val="212529"/>
                <w:spacing w:val="-2"/>
              </w:rPr>
              <w:t>803.54</w:t>
            </w:r>
          </w:p>
        </w:tc>
        <w:tc>
          <w:tcPr>
            <w:tcW w:w="1493" w:type="dxa"/>
            <w:vAlign w:val="top"/>
          </w:tcPr>
          <w:p>
            <w:pPr>
              <w:pStyle w:val="TableText"/>
              <w:ind w:right="26"/>
              <w:spacing w:before="91" w:line="184" w:lineRule="auto"/>
              <w:jc w:val="right"/>
              <w:rPr/>
            </w:pPr>
            <w:r>
              <w:rPr>
                <w:color w:val="212529"/>
                <w:spacing w:val="-2"/>
              </w:rPr>
              <w:t>512.17</w:t>
            </w:r>
          </w:p>
        </w:tc>
      </w:tr>
      <w:tr>
        <w:trPr>
          <w:trHeight w:val="326" w:hRule="atLeast"/>
        </w:trPr>
        <w:tc>
          <w:tcPr>
            <w:tcW w:w="1768" w:type="dxa"/>
            <w:vAlign w:val="top"/>
          </w:tcPr>
          <w:p>
            <w:pPr>
              <w:pStyle w:val="TableText"/>
              <w:ind w:left="11"/>
              <w:spacing w:before="91" w:line="184" w:lineRule="auto"/>
              <w:rPr/>
            </w:pPr>
            <w:r>
              <w:rPr>
                <w:color w:val="212529"/>
                <w:spacing w:val="-4"/>
              </w:rPr>
              <w:t>201</w:t>
            </w:r>
          </w:p>
        </w:tc>
        <w:tc>
          <w:tcPr>
            <w:tcW w:w="2590" w:type="dxa"/>
            <w:vAlign w:val="top"/>
          </w:tcPr>
          <w:p>
            <w:pPr>
              <w:pStyle w:val="TableText"/>
              <w:ind w:left="8"/>
              <w:spacing w:before="64" w:line="219" w:lineRule="auto"/>
              <w:rPr/>
            </w:pPr>
            <w:r>
              <w:rPr>
                <w:color w:val="212529"/>
                <w:spacing w:val="-2"/>
              </w:rPr>
              <w:t>一般公共服务支出</w:t>
            </w:r>
          </w:p>
        </w:tc>
        <w:tc>
          <w:tcPr>
            <w:tcW w:w="1738" w:type="dxa"/>
            <w:vAlign w:val="top"/>
          </w:tcPr>
          <w:p>
            <w:pPr>
              <w:pStyle w:val="TableText"/>
              <w:ind w:right="23"/>
              <w:spacing w:before="91" w:line="184" w:lineRule="auto"/>
              <w:jc w:val="right"/>
              <w:rPr/>
            </w:pPr>
            <w:r>
              <w:rPr>
                <w:color w:val="212529"/>
                <w:spacing w:val="-3"/>
              </w:rPr>
              <w:t>1,116.77</w:t>
            </w:r>
          </w:p>
        </w:tc>
        <w:tc>
          <w:tcPr>
            <w:tcW w:w="1427" w:type="dxa"/>
            <w:vAlign w:val="top"/>
          </w:tcPr>
          <w:p>
            <w:pPr>
              <w:pStyle w:val="TableText"/>
              <w:ind w:right="21"/>
              <w:spacing w:before="92" w:line="183" w:lineRule="auto"/>
              <w:jc w:val="right"/>
              <w:rPr/>
            </w:pPr>
            <w:r>
              <w:rPr>
                <w:color w:val="212529"/>
                <w:spacing w:val="-2"/>
              </w:rPr>
              <w:t>605.56</w:t>
            </w:r>
          </w:p>
        </w:tc>
        <w:tc>
          <w:tcPr>
            <w:tcW w:w="1493" w:type="dxa"/>
            <w:vAlign w:val="top"/>
          </w:tcPr>
          <w:p>
            <w:pPr>
              <w:pStyle w:val="TableText"/>
              <w:ind w:right="26"/>
              <w:spacing w:before="91" w:line="184" w:lineRule="auto"/>
              <w:jc w:val="right"/>
              <w:rPr/>
            </w:pPr>
            <w:r>
              <w:rPr>
                <w:color w:val="212529"/>
                <w:spacing w:val="-2"/>
              </w:rPr>
              <w:t>511.21</w:t>
            </w:r>
          </w:p>
        </w:tc>
      </w:tr>
      <w:tr>
        <w:trPr>
          <w:trHeight w:val="326" w:hRule="atLeast"/>
        </w:trPr>
        <w:tc>
          <w:tcPr>
            <w:tcW w:w="1768" w:type="dxa"/>
            <w:vAlign w:val="top"/>
          </w:tcPr>
          <w:p>
            <w:pPr>
              <w:pStyle w:val="TableText"/>
              <w:ind w:left="11"/>
              <w:spacing w:before="91" w:line="184" w:lineRule="auto"/>
              <w:rPr/>
            </w:pPr>
            <w:r>
              <w:rPr>
                <w:color w:val="212529"/>
                <w:spacing w:val="-2"/>
              </w:rPr>
              <w:t>20106</w:t>
            </w:r>
          </w:p>
        </w:tc>
        <w:tc>
          <w:tcPr>
            <w:tcW w:w="2590" w:type="dxa"/>
            <w:vAlign w:val="top"/>
          </w:tcPr>
          <w:p>
            <w:pPr>
              <w:pStyle w:val="TableText"/>
              <w:ind w:left="6"/>
              <w:spacing w:before="64" w:line="219" w:lineRule="auto"/>
              <w:rPr/>
            </w:pPr>
            <w:r>
              <w:rPr>
                <w:color w:val="212529"/>
                <w:spacing w:val="-3"/>
              </w:rPr>
              <w:t>财政事务</w:t>
            </w:r>
          </w:p>
        </w:tc>
        <w:tc>
          <w:tcPr>
            <w:tcW w:w="1738" w:type="dxa"/>
            <w:vAlign w:val="top"/>
          </w:tcPr>
          <w:p>
            <w:pPr>
              <w:pStyle w:val="TableText"/>
              <w:ind w:right="23"/>
              <w:spacing w:before="91" w:line="184" w:lineRule="auto"/>
              <w:jc w:val="right"/>
              <w:rPr/>
            </w:pPr>
            <w:r>
              <w:rPr>
                <w:color w:val="212529"/>
                <w:spacing w:val="-3"/>
              </w:rPr>
              <w:t>1,116.77</w:t>
            </w:r>
          </w:p>
        </w:tc>
        <w:tc>
          <w:tcPr>
            <w:tcW w:w="1427" w:type="dxa"/>
            <w:vAlign w:val="top"/>
          </w:tcPr>
          <w:p>
            <w:pPr>
              <w:pStyle w:val="TableText"/>
              <w:ind w:right="21"/>
              <w:spacing w:before="92" w:line="183" w:lineRule="auto"/>
              <w:jc w:val="right"/>
              <w:rPr/>
            </w:pPr>
            <w:r>
              <w:rPr>
                <w:color w:val="212529"/>
                <w:spacing w:val="-2"/>
              </w:rPr>
              <w:t>605.56</w:t>
            </w:r>
          </w:p>
        </w:tc>
        <w:tc>
          <w:tcPr>
            <w:tcW w:w="1493" w:type="dxa"/>
            <w:vAlign w:val="top"/>
          </w:tcPr>
          <w:p>
            <w:pPr>
              <w:pStyle w:val="TableText"/>
              <w:ind w:right="26"/>
              <w:spacing w:before="91" w:line="184" w:lineRule="auto"/>
              <w:jc w:val="right"/>
              <w:rPr/>
            </w:pPr>
            <w:r>
              <w:rPr>
                <w:color w:val="212529"/>
                <w:spacing w:val="-2"/>
              </w:rPr>
              <w:t>511.21</w:t>
            </w:r>
          </w:p>
        </w:tc>
      </w:tr>
      <w:tr>
        <w:trPr>
          <w:trHeight w:val="326" w:hRule="atLeast"/>
        </w:trPr>
        <w:tc>
          <w:tcPr>
            <w:tcW w:w="1768" w:type="dxa"/>
            <w:vAlign w:val="top"/>
          </w:tcPr>
          <w:p>
            <w:pPr>
              <w:pStyle w:val="TableText"/>
              <w:ind w:left="11"/>
              <w:spacing w:before="91" w:line="184" w:lineRule="auto"/>
              <w:rPr/>
            </w:pPr>
            <w:r>
              <w:rPr>
                <w:color w:val="212529"/>
                <w:spacing w:val="-2"/>
              </w:rPr>
              <w:t>2010601</w:t>
            </w:r>
          </w:p>
        </w:tc>
        <w:tc>
          <w:tcPr>
            <w:tcW w:w="2590" w:type="dxa"/>
            <w:vAlign w:val="top"/>
          </w:tcPr>
          <w:p>
            <w:pPr>
              <w:pStyle w:val="TableText"/>
              <w:ind w:left="8"/>
              <w:spacing w:before="64" w:line="220" w:lineRule="auto"/>
              <w:rPr/>
            </w:pPr>
            <w:r>
              <w:rPr>
                <w:color w:val="212529"/>
                <w:spacing w:val="-3"/>
              </w:rPr>
              <w:t>行政运行</w:t>
            </w:r>
          </w:p>
        </w:tc>
        <w:tc>
          <w:tcPr>
            <w:tcW w:w="1738" w:type="dxa"/>
            <w:vAlign w:val="top"/>
          </w:tcPr>
          <w:p>
            <w:pPr>
              <w:pStyle w:val="TableText"/>
              <w:ind w:right="23"/>
              <w:spacing w:before="91" w:line="184" w:lineRule="auto"/>
              <w:jc w:val="right"/>
              <w:rPr/>
            </w:pPr>
            <w:r>
              <w:rPr>
                <w:color w:val="212529"/>
                <w:spacing w:val="-2"/>
              </w:rPr>
              <w:t>291.78</w:t>
            </w:r>
          </w:p>
        </w:tc>
        <w:tc>
          <w:tcPr>
            <w:tcW w:w="1427" w:type="dxa"/>
            <w:vAlign w:val="top"/>
          </w:tcPr>
          <w:p>
            <w:pPr>
              <w:pStyle w:val="TableText"/>
              <w:ind w:right="21"/>
              <w:spacing w:before="91" w:line="184" w:lineRule="auto"/>
              <w:jc w:val="right"/>
              <w:rPr/>
            </w:pPr>
            <w:r>
              <w:rPr>
                <w:color w:val="212529"/>
                <w:spacing w:val="-4"/>
              </w:rPr>
              <w:t>108.16</w:t>
            </w:r>
          </w:p>
        </w:tc>
        <w:tc>
          <w:tcPr>
            <w:tcW w:w="1493" w:type="dxa"/>
            <w:vAlign w:val="top"/>
          </w:tcPr>
          <w:p>
            <w:pPr>
              <w:pStyle w:val="TableText"/>
              <w:ind w:right="26"/>
              <w:spacing w:before="91" w:line="184" w:lineRule="auto"/>
              <w:jc w:val="right"/>
              <w:rPr/>
            </w:pPr>
            <w:r>
              <w:rPr>
                <w:color w:val="212529"/>
                <w:spacing w:val="-4"/>
              </w:rPr>
              <w:t>183.62</w:t>
            </w:r>
          </w:p>
        </w:tc>
      </w:tr>
      <w:tr>
        <w:trPr>
          <w:trHeight w:val="326" w:hRule="atLeast"/>
        </w:trPr>
        <w:tc>
          <w:tcPr>
            <w:tcW w:w="1768" w:type="dxa"/>
            <w:vAlign w:val="top"/>
          </w:tcPr>
          <w:p>
            <w:pPr>
              <w:pStyle w:val="TableText"/>
              <w:ind w:left="11"/>
              <w:spacing w:before="92" w:line="184" w:lineRule="auto"/>
              <w:rPr/>
            </w:pPr>
            <w:r>
              <w:rPr>
                <w:color w:val="212529"/>
                <w:spacing w:val="-2"/>
              </w:rPr>
              <w:t>2010608</w:t>
            </w:r>
          </w:p>
        </w:tc>
        <w:tc>
          <w:tcPr>
            <w:tcW w:w="2590" w:type="dxa"/>
            <w:vAlign w:val="top"/>
          </w:tcPr>
          <w:p>
            <w:pPr>
              <w:pStyle w:val="TableText"/>
              <w:ind w:left="6"/>
              <w:spacing w:before="64" w:line="219" w:lineRule="auto"/>
              <w:rPr/>
            </w:pPr>
            <w:r>
              <w:rPr>
                <w:color w:val="212529"/>
                <w:spacing w:val="-2"/>
              </w:rPr>
              <w:t>财政委托业务支出</w:t>
            </w:r>
          </w:p>
        </w:tc>
        <w:tc>
          <w:tcPr>
            <w:tcW w:w="1738" w:type="dxa"/>
            <w:vAlign w:val="top"/>
          </w:tcPr>
          <w:p>
            <w:pPr>
              <w:pStyle w:val="TableText"/>
              <w:ind w:right="23"/>
              <w:spacing w:before="92" w:line="183" w:lineRule="auto"/>
              <w:jc w:val="right"/>
              <w:rPr/>
            </w:pPr>
            <w:r>
              <w:rPr>
                <w:color w:val="212529"/>
                <w:spacing w:val="-2"/>
              </w:rPr>
              <w:t>327.59</w:t>
            </w:r>
          </w:p>
        </w:tc>
        <w:tc>
          <w:tcPr>
            <w:tcW w:w="1427" w:type="dxa"/>
            <w:vAlign w:val="top"/>
          </w:tcPr>
          <w:p>
            <w:pPr>
              <w:rPr>
                <w:rFonts w:ascii="Arial"/>
                <w:sz w:val="21"/>
              </w:rPr>
            </w:pPr>
            <w:r/>
          </w:p>
        </w:tc>
        <w:tc>
          <w:tcPr>
            <w:tcW w:w="1493" w:type="dxa"/>
            <w:vAlign w:val="top"/>
          </w:tcPr>
          <w:p>
            <w:pPr>
              <w:pStyle w:val="TableText"/>
              <w:ind w:right="26"/>
              <w:spacing w:before="92" w:line="183" w:lineRule="auto"/>
              <w:jc w:val="right"/>
              <w:rPr/>
            </w:pPr>
            <w:r>
              <w:rPr>
                <w:color w:val="212529"/>
                <w:spacing w:val="-2"/>
              </w:rPr>
              <w:t>327.59</w:t>
            </w:r>
          </w:p>
        </w:tc>
      </w:tr>
      <w:tr>
        <w:trPr>
          <w:trHeight w:val="326" w:hRule="atLeast"/>
        </w:trPr>
        <w:tc>
          <w:tcPr>
            <w:tcW w:w="1768" w:type="dxa"/>
            <w:vAlign w:val="top"/>
          </w:tcPr>
          <w:p>
            <w:pPr>
              <w:pStyle w:val="TableText"/>
              <w:ind w:left="11"/>
              <w:spacing w:before="92" w:line="184" w:lineRule="auto"/>
              <w:rPr/>
            </w:pPr>
            <w:r>
              <w:rPr>
                <w:color w:val="212529"/>
                <w:spacing w:val="-2"/>
              </w:rPr>
              <w:t>2010650</w:t>
            </w:r>
          </w:p>
        </w:tc>
        <w:tc>
          <w:tcPr>
            <w:tcW w:w="2590" w:type="dxa"/>
            <w:vAlign w:val="top"/>
          </w:tcPr>
          <w:p>
            <w:pPr>
              <w:pStyle w:val="TableText"/>
              <w:ind w:left="5"/>
              <w:spacing w:before="64" w:line="220" w:lineRule="auto"/>
              <w:rPr/>
            </w:pPr>
            <w:r>
              <w:rPr>
                <w:color w:val="212529"/>
                <w:spacing w:val="-3"/>
              </w:rPr>
              <w:t>事业运行</w:t>
            </w:r>
          </w:p>
        </w:tc>
        <w:tc>
          <w:tcPr>
            <w:tcW w:w="1738" w:type="dxa"/>
            <w:vAlign w:val="top"/>
          </w:tcPr>
          <w:p>
            <w:pPr>
              <w:pStyle w:val="TableText"/>
              <w:ind w:right="23"/>
              <w:spacing w:before="92" w:line="183" w:lineRule="auto"/>
              <w:jc w:val="right"/>
              <w:rPr/>
            </w:pPr>
            <w:r>
              <w:rPr>
                <w:color w:val="212529"/>
                <w:spacing w:val="-2"/>
              </w:rPr>
              <w:t>497.40</w:t>
            </w:r>
          </w:p>
        </w:tc>
        <w:tc>
          <w:tcPr>
            <w:tcW w:w="1427" w:type="dxa"/>
            <w:vAlign w:val="top"/>
          </w:tcPr>
          <w:p>
            <w:pPr>
              <w:pStyle w:val="TableText"/>
              <w:ind w:right="21"/>
              <w:spacing w:before="92" w:line="183" w:lineRule="auto"/>
              <w:jc w:val="right"/>
              <w:rPr/>
            </w:pPr>
            <w:r>
              <w:rPr>
                <w:color w:val="212529"/>
                <w:spacing w:val="-2"/>
              </w:rPr>
              <w:t>497.40</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3" w:line="183" w:lineRule="auto"/>
              <w:rPr/>
            </w:pPr>
            <w:r>
              <w:rPr>
                <w:color w:val="212529"/>
                <w:spacing w:val="-4"/>
              </w:rPr>
              <w:t>208</w:t>
            </w:r>
          </w:p>
        </w:tc>
        <w:tc>
          <w:tcPr>
            <w:tcW w:w="2590" w:type="dxa"/>
            <w:vAlign w:val="top"/>
          </w:tcPr>
          <w:p>
            <w:pPr>
              <w:pStyle w:val="TableText"/>
              <w:ind w:left="6"/>
              <w:spacing w:before="64" w:line="219" w:lineRule="auto"/>
              <w:rPr/>
            </w:pPr>
            <w:r>
              <w:rPr>
                <w:color w:val="212529"/>
                <w:spacing w:val="-2"/>
              </w:rPr>
              <w:t>社会保障和就业支出</w:t>
            </w:r>
          </w:p>
        </w:tc>
        <w:tc>
          <w:tcPr>
            <w:tcW w:w="1738" w:type="dxa"/>
            <w:vAlign w:val="top"/>
          </w:tcPr>
          <w:p>
            <w:pPr>
              <w:pStyle w:val="TableText"/>
              <w:ind w:right="23"/>
              <w:spacing w:before="92" w:line="184" w:lineRule="auto"/>
              <w:jc w:val="right"/>
              <w:rPr/>
            </w:pPr>
            <w:r>
              <w:rPr>
                <w:color w:val="212529"/>
                <w:spacing w:val="-4"/>
              </w:rPr>
              <w:t>132.86</w:t>
            </w:r>
          </w:p>
        </w:tc>
        <w:tc>
          <w:tcPr>
            <w:tcW w:w="1427" w:type="dxa"/>
            <w:vAlign w:val="top"/>
          </w:tcPr>
          <w:p>
            <w:pPr>
              <w:pStyle w:val="TableText"/>
              <w:ind w:right="21"/>
              <w:spacing w:before="92" w:line="184" w:lineRule="auto"/>
              <w:jc w:val="right"/>
              <w:rPr/>
            </w:pPr>
            <w:r>
              <w:rPr>
                <w:color w:val="212529"/>
                <w:spacing w:val="-4"/>
              </w:rPr>
              <w:t>132.86</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3" w:line="183" w:lineRule="auto"/>
              <w:rPr/>
            </w:pPr>
            <w:r>
              <w:rPr>
                <w:color w:val="212529"/>
                <w:spacing w:val="-2"/>
              </w:rPr>
              <w:t>20805</w:t>
            </w:r>
          </w:p>
        </w:tc>
        <w:tc>
          <w:tcPr>
            <w:tcW w:w="2590" w:type="dxa"/>
            <w:vAlign w:val="top"/>
          </w:tcPr>
          <w:p>
            <w:pPr>
              <w:pStyle w:val="TableText"/>
              <w:ind w:left="8"/>
              <w:spacing w:before="65" w:line="219" w:lineRule="auto"/>
              <w:rPr/>
            </w:pPr>
            <w:r>
              <w:rPr>
                <w:color w:val="212529"/>
                <w:spacing w:val="-2"/>
              </w:rPr>
              <w:t>行政事业单位养老支出</w:t>
            </w:r>
          </w:p>
        </w:tc>
        <w:tc>
          <w:tcPr>
            <w:tcW w:w="1738" w:type="dxa"/>
            <w:vAlign w:val="top"/>
          </w:tcPr>
          <w:p>
            <w:pPr>
              <w:pStyle w:val="TableText"/>
              <w:ind w:right="23"/>
              <w:spacing w:before="92" w:line="184" w:lineRule="auto"/>
              <w:jc w:val="right"/>
              <w:rPr/>
            </w:pPr>
            <w:r>
              <w:rPr>
                <w:color w:val="212529"/>
                <w:spacing w:val="-4"/>
              </w:rPr>
              <w:t>108.84</w:t>
            </w:r>
          </w:p>
        </w:tc>
        <w:tc>
          <w:tcPr>
            <w:tcW w:w="1427" w:type="dxa"/>
            <w:vAlign w:val="top"/>
          </w:tcPr>
          <w:p>
            <w:pPr>
              <w:pStyle w:val="TableText"/>
              <w:ind w:right="21"/>
              <w:spacing w:before="92" w:line="184" w:lineRule="auto"/>
              <w:jc w:val="right"/>
              <w:rPr/>
            </w:pPr>
            <w:r>
              <w:rPr>
                <w:color w:val="212529"/>
                <w:spacing w:val="-4"/>
              </w:rPr>
              <w:t>108.84</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2" w:line="184" w:lineRule="auto"/>
              <w:rPr/>
            </w:pPr>
            <w:r>
              <w:rPr>
                <w:color w:val="212529"/>
                <w:spacing w:val="-2"/>
              </w:rPr>
              <w:t>2080501</w:t>
            </w:r>
          </w:p>
        </w:tc>
        <w:tc>
          <w:tcPr>
            <w:tcW w:w="2590" w:type="dxa"/>
            <w:vAlign w:val="top"/>
          </w:tcPr>
          <w:p>
            <w:pPr>
              <w:pStyle w:val="TableText"/>
              <w:ind w:left="8"/>
              <w:spacing w:before="65" w:line="219" w:lineRule="auto"/>
              <w:rPr/>
            </w:pPr>
            <w:r>
              <w:rPr>
                <w:color w:val="212529"/>
                <w:spacing w:val="-2"/>
              </w:rPr>
              <w:t>行政单位离退休</w:t>
            </w:r>
          </w:p>
        </w:tc>
        <w:tc>
          <w:tcPr>
            <w:tcW w:w="1738" w:type="dxa"/>
            <w:vAlign w:val="top"/>
          </w:tcPr>
          <w:p>
            <w:pPr>
              <w:pStyle w:val="TableText"/>
              <w:ind w:right="23"/>
              <w:spacing w:before="93" w:line="183" w:lineRule="auto"/>
              <w:jc w:val="right"/>
              <w:rPr/>
            </w:pPr>
            <w:r>
              <w:rPr>
                <w:color w:val="212529"/>
                <w:spacing w:val="-3"/>
              </w:rPr>
              <w:t>6.53</w:t>
            </w:r>
          </w:p>
        </w:tc>
        <w:tc>
          <w:tcPr>
            <w:tcW w:w="1427" w:type="dxa"/>
            <w:vAlign w:val="top"/>
          </w:tcPr>
          <w:p>
            <w:pPr>
              <w:pStyle w:val="TableText"/>
              <w:ind w:right="21"/>
              <w:spacing w:before="93" w:line="183" w:lineRule="auto"/>
              <w:jc w:val="right"/>
              <w:rPr/>
            </w:pPr>
            <w:r>
              <w:rPr>
                <w:color w:val="212529"/>
                <w:spacing w:val="-3"/>
              </w:rPr>
              <w:t>6.53</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3" w:line="183" w:lineRule="auto"/>
              <w:rPr/>
            </w:pPr>
            <w:r>
              <w:rPr>
                <w:color w:val="212529"/>
                <w:spacing w:val="-2"/>
              </w:rPr>
              <w:t>2080502</w:t>
            </w:r>
          </w:p>
        </w:tc>
        <w:tc>
          <w:tcPr>
            <w:tcW w:w="2590" w:type="dxa"/>
            <w:vAlign w:val="top"/>
          </w:tcPr>
          <w:p>
            <w:pPr>
              <w:pStyle w:val="TableText"/>
              <w:ind w:left="5"/>
              <w:spacing w:before="65" w:line="219" w:lineRule="auto"/>
              <w:rPr/>
            </w:pPr>
            <w:r>
              <w:rPr>
                <w:color w:val="212529"/>
                <w:spacing w:val="-2"/>
              </w:rPr>
              <w:t>事业单位离退休</w:t>
            </w:r>
          </w:p>
        </w:tc>
        <w:tc>
          <w:tcPr>
            <w:tcW w:w="1738" w:type="dxa"/>
            <w:vAlign w:val="top"/>
          </w:tcPr>
          <w:p>
            <w:pPr>
              <w:pStyle w:val="TableText"/>
              <w:ind w:left="1258"/>
              <w:spacing w:before="93" w:line="183" w:lineRule="auto"/>
              <w:rPr/>
            </w:pPr>
            <w:r>
              <w:rPr>
                <w:color w:val="212529"/>
                <w:spacing w:val="-2"/>
              </w:rPr>
              <w:t>28.75</w:t>
            </w:r>
          </w:p>
        </w:tc>
        <w:tc>
          <w:tcPr>
            <w:tcW w:w="1427" w:type="dxa"/>
            <w:vAlign w:val="top"/>
          </w:tcPr>
          <w:p>
            <w:pPr>
              <w:pStyle w:val="TableText"/>
              <w:ind w:left="949"/>
              <w:spacing w:before="93" w:line="183" w:lineRule="auto"/>
              <w:rPr/>
            </w:pPr>
            <w:r>
              <w:rPr>
                <w:color w:val="212529"/>
                <w:spacing w:val="-2"/>
              </w:rPr>
              <w:t>28.75</w:t>
            </w:r>
          </w:p>
        </w:tc>
        <w:tc>
          <w:tcPr>
            <w:tcW w:w="1493" w:type="dxa"/>
            <w:vAlign w:val="top"/>
          </w:tcPr>
          <w:p>
            <w:pPr>
              <w:rPr>
                <w:rFonts w:ascii="Arial"/>
                <w:sz w:val="21"/>
              </w:rPr>
            </w:pPr>
            <w:r/>
          </w:p>
        </w:tc>
      </w:tr>
      <w:tr>
        <w:trPr>
          <w:trHeight w:val="409" w:hRule="atLeast"/>
        </w:trPr>
        <w:tc>
          <w:tcPr>
            <w:tcW w:w="1768" w:type="dxa"/>
            <w:vAlign w:val="top"/>
          </w:tcPr>
          <w:p>
            <w:pPr>
              <w:pStyle w:val="TableText"/>
              <w:ind w:left="11"/>
              <w:spacing w:before="129" w:line="183" w:lineRule="auto"/>
              <w:rPr/>
            </w:pPr>
            <w:r>
              <w:rPr>
                <w:color w:val="212529"/>
                <w:spacing w:val="-2"/>
              </w:rPr>
              <w:t>2080505</w:t>
            </w:r>
          </w:p>
        </w:tc>
        <w:tc>
          <w:tcPr>
            <w:tcW w:w="2590" w:type="dxa"/>
            <w:vAlign w:val="top"/>
          </w:tcPr>
          <w:p>
            <w:pPr>
              <w:pStyle w:val="TableText"/>
              <w:ind w:left="5" w:right="6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738" w:type="dxa"/>
            <w:vAlign w:val="top"/>
          </w:tcPr>
          <w:p>
            <w:pPr>
              <w:pStyle w:val="TableText"/>
              <w:ind w:left="1258"/>
              <w:spacing w:before="129" w:line="183" w:lineRule="auto"/>
              <w:rPr/>
            </w:pPr>
            <w:r>
              <w:rPr>
                <w:color w:val="212529"/>
                <w:spacing w:val="-2"/>
              </w:rPr>
              <w:t>60.05</w:t>
            </w:r>
          </w:p>
        </w:tc>
        <w:tc>
          <w:tcPr>
            <w:tcW w:w="1427" w:type="dxa"/>
            <w:vAlign w:val="top"/>
          </w:tcPr>
          <w:p>
            <w:pPr>
              <w:pStyle w:val="TableText"/>
              <w:ind w:left="948"/>
              <w:spacing w:before="129" w:line="183" w:lineRule="auto"/>
              <w:rPr/>
            </w:pPr>
            <w:r>
              <w:rPr>
                <w:color w:val="212529"/>
                <w:spacing w:val="-2"/>
              </w:rPr>
              <w:t>60.05</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4" w:line="183" w:lineRule="auto"/>
              <w:rPr/>
            </w:pPr>
            <w:r>
              <w:rPr>
                <w:color w:val="212529"/>
                <w:spacing w:val="-2"/>
              </w:rPr>
              <w:t>2080506</w:t>
            </w:r>
          </w:p>
        </w:tc>
        <w:tc>
          <w:tcPr>
            <w:tcW w:w="2590" w:type="dxa"/>
            <w:vAlign w:val="top"/>
          </w:tcPr>
          <w:p>
            <w:pPr>
              <w:pStyle w:val="TableText"/>
              <w:ind w:left="4"/>
              <w:spacing w:before="65" w:line="219" w:lineRule="auto"/>
              <w:rPr/>
            </w:pPr>
            <w:r>
              <w:rPr>
                <w:color w:val="212529"/>
                <w:spacing w:val="-1"/>
              </w:rPr>
              <w:t>机关事业单位职业年金缴费支出</w:t>
            </w:r>
          </w:p>
        </w:tc>
        <w:tc>
          <w:tcPr>
            <w:tcW w:w="1738" w:type="dxa"/>
            <w:vAlign w:val="top"/>
          </w:tcPr>
          <w:p>
            <w:pPr>
              <w:pStyle w:val="TableText"/>
              <w:ind w:left="1269"/>
              <w:spacing w:before="93" w:line="184" w:lineRule="auto"/>
              <w:rPr/>
            </w:pPr>
            <w:r>
              <w:rPr>
                <w:color w:val="212529"/>
                <w:spacing w:val="-5"/>
              </w:rPr>
              <w:t>13.51</w:t>
            </w:r>
          </w:p>
        </w:tc>
        <w:tc>
          <w:tcPr>
            <w:tcW w:w="1427" w:type="dxa"/>
            <w:vAlign w:val="top"/>
          </w:tcPr>
          <w:p>
            <w:pPr>
              <w:pStyle w:val="TableText"/>
              <w:ind w:left="960"/>
              <w:spacing w:before="93" w:line="184" w:lineRule="auto"/>
              <w:rPr/>
            </w:pPr>
            <w:r>
              <w:rPr>
                <w:color w:val="212529"/>
                <w:spacing w:val="-5"/>
              </w:rPr>
              <w:t>13.51</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4" w:line="183" w:lineRule="auto"/>
              <w:rPr/>
            </w:pPr>
            <w:r>
              <w:rPr>
                <w:color w:val="212529"/>
                <w:spacing w:val="-2"/>
              </w:rPr>
              <w:t>20808</w:t>
            </w:r>
          </w:p>
        </w:tc>
        <w:tc>
          <w:tcPr>
            <w:tcW w:w="2590" w:type="dxa"/>
            <w:vAlign w:val="top"/>
          </w:tcPr>
          <w:p>
            <w:pPr>
              <w:pStyle w:val="TableText"/>
              <w:ind w:left="4"/>
              <w:spacing w:before="66" w:line="219" w:lineRule="auto"/>
              <w:rPr/>
            </w:pPr>
            <w:r>
              <w:rPr>
                <w:color w:val="212529"/>
                <w:spacing w:val="-4"/>
              </w:rPr>
              <w:t>抚恤</w:t>
            </w:r>
          </w:p>
        </w:tc>
        <w:tc>
          <w:tcPr>
            <w:tcW w:w="1738" w:type="dxa"/>
            <w:vAlign w:val="top"/>
          </w:tcPr>
          <w:p>
            <w:pPr>
              <w:pStyle w:val="TableText"/>
              <w:ind w:left="1258"/>
              <w:spacing w:before="93" w:line="184" w:lineRule="auto"/>
              <w:rPr/>
            </w:pPr>
            <w:r>
              <w:rPr>
                <w:color w:val="212529"/>
                <w:spacing w:val="-2"/>
              </w:rPr>
              <w:t>24.01</w:t>
            </w:r>
          </w:p>
        </w:tc>
        <w:tc>
          <w:tcPr>
            <w:tcW w:w="1427" w:type="dxa"/>
            <w:vAlign w:val="top"/>
          </w:tcPr>
          <w:p>
            <w:pPr>
              <w:pStyle w:val="TableText"/>
              <w:ind w:left="949"/>
              <w:spacing w:before="93" w:line="184" w:lineRule="auto"/>
              <w:rPr/>
            </w:pPr>
            <w:r>
              <w:rPr>
                <w:color w:val="212529"/>
                <w:spacing w:val="-2"/>
              </w:rPr>
              <w:t>24.01</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3" w:line="184" w:lineRule="auto"/>
              <w:rPr/>
            </w:pPr>
            <w:r>
              <w:rPr>
                <w:color w:val="212529"/>
                <w:spacing w:val="-2"/>
              </w:rPr>
              <w:t>2080801</w:t>
            </w:r>
          </w:p>
        </w:tc>
        <w:tc>
          <w:tcPr>
            <w:tcW w:w="2590" w:type="dxa"/>
            <w:vAlign w:val="top"/>
          </w:tcPr>
          <w:p>
            <w:pPr>
              <w:pStyle w:val="TableText"/>
              <w:ind w:left="6"/>
              <w:spacing w:before="66" w:line="219" w:lineRule="auto"/>
              <w:rPr/>
            </w:pPr>
            <w:r>
              <w:rPr>
                <w:color w:val="212529"/>
                <w:spacing w:val="-3"/>
              </w:rPr>
              <w:t>死亡抚恤</w:t>
            </w:r>
          </w:p>
        </w:tc>
        <w:tc>
          <w:tcPr>
            <w:tcW w:w="1738" w:type="dxa"/>
            <w:vAlign w:val="top"/>
          </w:tcPr>
          <w:p>
            <w:pPr>
              <w:pStyle w:val="TableText"/>
              <w:ind w:left="1258"/>
              <w:spacing w:before="93" w:line="184" w:lineRule="auto"/>
              <w:rPr/>
            </w:pPr>
            <w:r>
              <w:rPr>
                <w:color w:val="212529"/>
                <w:spacing w:val="-2"/>
              </w:rPr>
              <w:t>24.01</w:t>
            </w:r>
          </w:p>
        </w:tc>
        <w:tc>
          <w:tcPr>
            <w:tcW w:w="1427" w:type="dxa"/>
            <w:vAlign w:val="top"/>
          </w:tcPr>
          <w:p>
            <w:pPr>
              <w:pStyle w:val="TableText"/>
              <w:ind w:left="949"/>
              <w:spacing w:before="93" w:line="184" w:lineRule="auto"/>
              <w:rPr/>
            </w:pPr>
            <w:r>
              <w:rPr>
                <w:color w:val="212529"/>
                <w:spacing w:val="-2"/>
              </w:rPr>
              <w:t>24.01</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3" w:line="184" w:lineRule="auto"/>
              <w:rPr/>
            </w:pPr>
            <w:r>
              <w:rPr>
                <w:color w:val="212529"/>
                <w:spacing w:val="-4"/>
              </w:rPr>
              <w:t>221</w:t>
            </w:r>
          </w:p>
        </w:tc>
        <w:tc>
          <w:tcPr>
            <w:tcW w:w="2590" w:type="dxa"/>
            <w:vAlign w:val="top"/>
          </w:tcPr>
          <w:p>
            <w:pPr>
              <w:pStyle w:val="TableText"/>
              <w:ind w:left="4"/>
              <w:spacing w:before="66" w:line="219" w:lineRule="auto"/>
              <w:rPr/>
            </w:pPr>
            <w:r>
              <w:rPr>
                <w:color w:val="212529"/>
                <w:spacing w:val="-2"/>
              </w:rPr>
              <w:t>住房保障支出</w:t>
            </w:r>
          </w:p>
        </w:tc>
        <w:tc>
          <w:tcPr>
            <w:tcW w:w="1738" w:type="dxa"/>
            <w:vAlign w:val="top"/>
          </w:tcPr>
          <w:p>
            <w:pPr>
              <w:pStyle w:val="TableText"/>
              <w:ind w:left="1258"/>
              <w:spacing w:before="93" w:line="184" w:lineRule="auto"/>
              <w:rPr/>
            </w:pPr>
            <w:r>
              <w:rPr>
                <w:color w:val="212529"/>
                <w:spacing w:val="-2"/>
              </w:rPr>
              <w:t>65.12</w:t>
            </w:r>
          </w:p>
        </w:tc>
        <w:tc>
          <w:tcPr>
            <w:tcW w:w="1427" w:type="dxa"/>
            <w:vAlign w:val="top"/>
          </w:tcPr>
          <w:p>
            <w:pPr>
              <w:pStyle w:val="TableText"/>
              <w:ind w:left="948"/>
              <w:spacing w:before="93" w:line="184" w:lineRule="auto"/>
              <w:rPr/>
            </w:pPr>
            <w:r>
              <w:rPr>
                <w:color w:val="212529"/>
                <w:spacing w:val="-2"/>
              </w:rPr>
              <w:t>65.12</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4" w:line="184" w:lineRule="auto"/>
              <w:rPr/>
            </w:pPr>
            <w:r>
              <w:rPr>
                <w:color w:val="212529"/>
                <w:spacing w:val="-2"/>
              </w:rPr>
              <w:t>22102</w:t>
            </w:r>
          </w:p>
        </w:tc>
        <w:tc>
          <w:tcPr>
            <w:tcW w:w="2590" w:type="dxa"/>
            <w:vAlign w:val="top"/>
          </w:tcPr>
          <w:p>
            <w:pPr>
              <w:pStyle w:val="TableText"/>
              <w:ind w:left="4"/>
              <w:spacing w:before="66" w:line="219" w:lineRule="auto"/>
              <w:rPr/>
            </w:pPr>
            <w:r>
              <w:rPr>
                <w:color w:val="212529"/>
                <w:spacing w:val="-2"/>
              </w:rPr>
              <w:t>住房改革支出</w:t>
            </w:r>
          </w:p>
        </w:tc>
        <w:tc>
          <w:tcPr>
            <w:tcW w:w="1738" w:type="dxa"/>
            <w:vAlign w:val="top"/>
          </w:tcPr>
          <w:p>
            <w:pPr>
              <w:pStyle w:val="TableText"/>
              <w:ind w:left="1258"/>
              <w:spacing w:before="93" w:line="184" w:lineRule="auto"/>
              <w:rPr/>
            </w:pPr>
            <w:r>
              <w:rPr>
                <w:color w:val="212529"/>
                <w:spacing w:val="-2"/>
              </w:rPr>
              <w:t>65.12</w:t>
            </w:r>
          </w:p>
        </w:tc>
        <w:tc>
          <w:tcPr>
            <w:tcW w:w="1427" w:type="dxa"/>
            <w:vAlign w:val="top"/>
          </w:tcPr>
          <w:p>
            <w:pPr>
              <w:pStyle w:val="TableText"/>
              <w:ind w:left="948"/>
              <w:spacing w:before="93" w:line="184" w:lineRule="auto"/>
              <w:rPr/>
            </w:pPr>
            <w:r>
              <w:rPr>
                <w:color w:val="212529"/>
                <w:spacing w:val="-2"/>
              </w:rPr>
              <w:t>65.12</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4" w:line="184" w:lineRule="auto"/>
              <w:rPr/>
            </w:pPr>
            <w:r>
              <w:rPr>
                <w:color w:val="212529"/>
                <w:spacing w:val="-2"/>
              </w:rPr>
              <w:t>2210201</w:t>
            </w:r>
          </w:p>
        </w:tc>
        <w:tc>
          <w:tcPr>
            <w:tcW w:w="2590" w:type="dxa"/>
            <w:vAlign w:val="top"/>
          </w:tcPr>
          <w:p>
            <w:pPr>
              <w:pStyle w:val="TableText"/>
              <w:ind w:left="4"/>
              <w:spacing w:before="66" w:line="220" w:lineRule="auto"/>
              <w:rPr/>
            </w:pPr>
            <w:r>
              <w:rPr>
                <w:color w:val="212529"/>
                <w:spacing w:val="-2"/>
              </w:rPr>
              <w:t>住房公积金</w:t>
            </w:r>
          </w:p>
        </w:tc>
        <w:tc>
          <w:tcPr>
            <w:tcW w:w="1738" w:type="dxa"/>
            <w:vAlign w:val="top"/>
          </w:tcPr>
          <w:p>
            <w:pPr>
              <w:pStyle w:val="TableText"/>
              <w:ind w:left="1258"/>
              <w:spacing w:before="94" w:line="184" w:lineRule="auto"/>
              <w:rPr/>
            </w:pPr>
            <w:r>
              <w:rPr>
                <w:color w:val="212529"/>
                <w:spacing w:val="-2"/>
              </w:rPr>
              <w:t>65.12</w:t>
            </w:r>
          </w:p>
        </w:tc>
        <w:tc>
          <w:tcPr>
            <w:tcW w:w="1427" w:type="dxa"/>
            <w:vAlign w:val="top"/>
          </w:tcPr>
          <w:p>
            <w:pPr>
              <w:pStyle w:val="TableText"/>
              <w:ind w:left="948"/>
              <w:spacing w:before="94" w:line="184" w:lineRule="auto"/>
              <w:rPr/>
            </w:pPr>
            <w:r>
              <w:rPr>
                <w:color w:val="212529"/>
                <w:spacing w:val="-2"/>
              </w:rPr>
              <w:t>65.12</w:t>
            </w:r>
          </w:p>
        </w:tc>
        <w:tc>
          <w:tcPr>
            <w:tcW w:w="1493" w:type="dxa"/>
            <w:vAlign w:val="top"/>
          </w:tcPr>
          <w:p>
            <w:pPr>
              <w:rPr>
                <w:rFonts w:ascii="Arial"/>
                <w:sz w:val="21"/>
              </w:rPr>
            </w:pPr>
            <w:r/>
          </w:p>
        </w:tc>
      </w:tr>
      <w:tr>
        <w:trPr>
          <w:trHeight w:val="326" w:hRule="atLeast"/>
        </w:trPr>
        <w:tc>
          <w:tcPr>
            <w:tcW w:w="1768" w:type="dxa"/>
            <w:vAlign w:val="top"/>
          </w:tcPr>
          <w:p>
            <w:pPr>
              <w:pStyle w:val="TableText"/>
              <w:ind w:left="11"/>
              <w:spacing w:before="95" w:line="183" w:lineRule="auto"/>
              <w:rPr/>
            </w:pPr>
            <w:r>
              <w:rPr>
                <w:color w:val="212529"/>
                <w:spacing w:val="-4"/>
              </w:rPr>
              <w:t>229</w:t>
            </w:r>
          </w:p>
        </w:tc>
        <w:tc>
          <w:tcPr>
            <w:tcW w:w="2590" w:type="dxa"/>
            <w:vAlign w:val="top"/>
          </w:tcPr>
          <w:p>
            <w:pPr>
              <w:pStyle w:val="TableText"/>
              <w:ind w:left="6"/>
              <w:spacing w:before="66" w:line="220" w:lineRule="auto"/>
              <w:rPr/>
            </w:pPr>
            <w:r>
              <w:rPr>
                <w:color w:val="212529"/>
                <w:spacing w:val="-3"/>
              </w:rPr>
              <w:t>其他支出</w:t>
            </w:r>
          </w:p>
        </w:tc>
        <w:tc>
          <w:tcPr>
            <w:tcW w:w="1738" w:type="dxa"/>
            <w:vAlign w:val="top"/>
          </w:tcPr>
          <w:p>
            <w:pPr>
              <w:pStyle w:val="TableText"/>
              <w:ind w:right="23"/>
              <w:spacing w:before="95" w:line="183" w:lineRule="auto"/>
              <w:jc w:val="right"/>
              <w:rPr/>
            </w:pPr>
            <w:r>
              <w:rPr>
                <w:color w:val="212529"/>
                <w:spacing w:val="-3"/>
              </w:rPr>
              <w:t>0.96</w:t>
            </w:r>
          </w:p>
        </w:tc>
        <w:tc>
          <w:tcPr>
            <w:tcW w:w="1427" w:type="dxa"/>
            <w:vAlign w:val="top"/>
          </w:tcPr>
          <w:p>
            <w:pPr>
              <w:rPr>
                <w:rFonts w:ascii="Arial"/>
                <w:sz w:val="21"/>
              </w:rPr>
            </w:pPr>
            <w:r/>
          </w:p>
        </w:tc>
        <w:tc>
          <w:tcPr>
            <w:tcW w:w="1493" w:type="dxa"/>
            <w:vAlign w:val="top"/>
          </w:tcPr>
          <w:p>
            <w:pPr>
              <w:pStyle w:val="TableText"/>
              <w:ind w:right="26"/>
              <w:spacing w:before="95" w:line="183" w:lineRule="auto"/>
              <w:jc w:val="right"/>
              <w:rPr/>
            </w:pPr>
            <w:r>
              <w:rPr>
                <w:color w:val="212529"/>
                <w:spacing w:val="-3"/>
              </w:rPr>
              <w:t>0.96</w:t>
            </w:r>
          </w:p>
        </w:tc>
      </w:tr>
      <w:tr>
        <w:trPr>
          <w:trHeight w:val="326" w:hRule="atLeast"/>
        </w:trPr>
        <w:tc>
          <w:tcPr>
            <w:tcW w:w="1768" w:type="dxa"/>
            <w:vAlign w:val="top"/>
          </w:tcPr>
          <w:p>
            <w:pPr>
              <w:pStyle w:val="TableText"/>
              <w:ind w:left="11"/>
              <w:spacing w:before="95" w:line="183" w:lineRule="auto"/>
              <w:rPr/>
            </w:pPr>
            <w:r>
              <w:rPr>
                <w:color w:val="212529"/>
                <w:spacing w:val="-2"/>
              </w:rPr>
              <w:t>22999</w:t>
            </w:r>
          </w:p>
        </w:tc>
        <w:tc>
          <w:tcPr>
            <w:tcW w:w="2590" w:type="dxa"/>
            <w:vAlign w:val="top"/>
          </w:tcPr>
          <w:p>
            <w:pPr>
              <w:pStyle w:val="TableText"/>
              <w:ind w:left="6"/>
              <w:spacing w:before="66" w:line="220" w:lineRule="auto"/>
              <w:rPr/>
            </w:pPr>
            <w:r>
              <w:rPr>
                <w:color w:val="212529"/>
                <w:spacing w:val="-3"/>
              </w:rPr>
              <w:t>其他支出</w:t>
            </w:r>
          </w:p>
        </w:tc>
        <w:tc>
          <w:tcPr>
            <w:tcW w:w="1738" w:type="dxa"/>
            <w:vAlign w:val="top"/>
          </w:tcPr>
          <w:p>
            <w:pPr>
              <w:pStyle w:val="TableText"/>
              <w:ind w:right="23"/>
              <w:spacing w:before="95" w:line="183" w:lineRule="auto"/>
              <w:jc w:val="right"/>
              <w:rPr/>
            </w:pPr>
            <w:r>
              <w:rPr>
                <w:color w:val="212529"/>
                <w:spacing w:val="-3"/>
              </w:rPr>
              <w:t>0.96</w:t>
            </w:r>
          </w:p>
        </w:tc>
        <w:tc>
          <w:tcPr>
            <w:tcW w:w="1427" w:type="dxa"/>
            <w:vAlign w:val="top"/>
          </w:tcPr>
          <w:p>
            <w:pPr>
              <w:rPr>
                <w:rFonts w:ascii="Arial"/>
                <w:sz w:val="21"/>
              </w:rPr>
            </w:pPr>
            <w:r/>
          </w:p>
        </w:tc>
        <w:tc>
          <w:tcPr>
            <w:tcW w:w="1493" w:type="dxa"/>
            <w:vAlign w:val="top"/>
          </w:tcPr>
          <w:p>
            <w:pPr>
              <w:pStyle w:val="TableText"/>
              <w:ind w:right="26"/>
              <w:spacing w:before="95" w:line="183" w:lineRule="auto"/>
              <w:jc w:val="right"/>
              <w:rPr/>
            </w:pPr>
            <w:r>
              <w:rPr>
                <w:color w:val="212529"/>
                <w:spacing w:val="-3"/>
              </w:rPr>
              <w:t>0.96</w:t>
            </w:r>
          </w:p>
        </w:tc>
      </w:tr>
      <w:tr>
        <w:trPr>
          <w:trHeight w:val="326" w:hRule="atLeast"/>
        </w:trPr>
        <w:tc>
          <w:tcPr>
            <w:tcW w:w="1768" w:type="dxa"/>
            <w:vAlign w:val="top"/>
          </w:tcPr>
          <w:p>
            <w:pPr>
              <w:pStyle w:val="TableText"/>
              <w:ind w:left="11"/>
              <w:spacing w:before="95" w:line="183" w:lineRule="auto"/>
              <w:rPr/>
            </w:pPr>
            <w:r>
              <w:rPr>
                <w:color w:val="212529"/>
                <w:spacing w:val="-2"/>
              </w:rPr>
              <w:t>2299999</w:t>
            </w:r>
          </w:p>
        </w:tc>
        <w:tc>
          <w:tcPr>
            <w:tcW w:w="2590" w:type="dxa"/>
            <w:vAlign w:val="top"/>
          </w:tcPr>
          <w:p>
            <w:pPr>
              <w:pStyle w:val="TableText"/>
              <w:ind w:left="6"/>
              <w:spacing w:before="66" w:line="220" w:lineRule="auto"/>
              <w:rPr/>
            </w:pPr>
            <w:r>
              <w:rPr>
                <w:color w:val="212529"/>
                <w:spacing w:val="-3"/>
              </w:rPr>
              <w:t>其他支出</w:t>
            </w:r>
          </w:p>
        </w:tc>
        <w:tc>
          <w:tcPr>
            <w:tcW w:w="1738" w:type="dxa"/>
            <w:vAlign w:val="top"/>
          </w:tcPr>
          <w:p>
            <w:pPr>
              <w:pStyle w:val="TableText"/>
              <w:ind w:right="23"/>
              <w:spacing w:before="95" w:line="183" w:lineRule="auto"/>
              <w:jc w:val="right"/>
              <w:rPr/>
            </w:pPr>
            <w:r>
              <w:rPr>
                <w:color w:val="212529"/>
                <w:spacing w:val="-3"/>
              </w:rPr>
              <w:t>0.96</w:t>
            </w:r>
          </w:p>
        </w:tc>
        <w:tc>
          <w:tcPr>
            <w:tcW w:w="1427" w:type="dxa"/>
            <w:vAlign w:val="top"/>
          </w:tcPr>
          <w:p>
            <w:pPr>
              <w:rPr>
                <w:rFonts w:ascii="Arial"/>
                <w:sz w:val="21"/>
              </w:rPr>
            </w:pPr>
            <w:r/>
          </w:p>
        </w:tc>
        <w:tc>
          <w:tcPr>
            <w:tcW w:w="1493" w:type="dxa"/>
            <w:vAlign w:val="top"/>
          </w:tcPr>
          <w:p>
            <w:pPr>
              <w:pStyle w:val="TableText"/>
              <w:ind w:right="26"/>
              <w:spacing w:before="95" w:line="183" w:lineRule="auto"/>
              <w:jc w:val="right"/>
              <w:rPr/>
            </w:pPr>
            <w:r>
              <w:rPr>
                <w:color w:val="212529"/>
                <w:spacing w:val="-3"/>
              </w:rPr>
              <w:t>0.96</w:t>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8"/>
          <w:footerReference w:type="default" r:id="rId19"/>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5" w:id="44"/>
            <w:bookmarkEnd w:id="44"/>
            <w:bookmarkStart w:name="bookmark11" w:id="45"/>
            <w:bookmarkEnd w:id="45"/>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部门名称：古县财政局</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3"/>
              <w:spacing w:before="151" w:line="187" w:lineRule="auto"/>
              <w:rPr>
                <w:sz w:val="14"/>
                <w:szCs w:val="14"/>
              </w:rPr>
            </w:pPr>
            <w:r>
              <w:rPr>
                <w:sz w:val="14"/>
                <w:szCs w:val="14"/>
                <w:color w:val="212529"/>
              </w:rPr>
              <w:t>700.70</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1"/>
              <w:spacing w:before="151" w:line="187" w:lineRule="auto"/>
              <w:rPr>
                <w:sz w:val="14"/>
                <w:szCs w:val="14"/>
              </w:rPr>
            </w:pPr>
            <w:r>
              <w:rPr>
                <w:sz w:val="14"/>
                <w:szCs w:val="14"/>
                <w:color w:val="212529"/>
              </w:rPr>
              <w:t>43.55</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62"/>
              <w:spacing w:before="151" w:line="187" w:lineRule="auto"/>
              <w:rPr>
                <w:sz w:val="14"/>
                <w:szCs w:val="14"/>
              </w:rPr>
            </w:pPr>
            <w:r>
              <w:rPr>
                <w:sz w:val="14"/>
                <w:szCs w:val="14"/>
                <w:color w:val="212529"/>
              </w:rPr>
              <w:t>232.03</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7"/>
              <w:spacing w:before="151" w:line="187" w:lineRule="auto"/>
              <w:rPr>
                <w:sz w:val="14"/>
                <w:szCs w:val="14"/>
              </w:rPr>
            </w:pPr>
            <w:r>
              <w:rPr>
                <w:sz w:val="14"/>
                <w:szCs w:val="14"/>
                <w:color w:val="212529"/>
                <w:spacing w:val="-1"/>
              </w:rPr>
              <w:t>3.85</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471"/>
              <w:spacing w:before="152" w:line="188" w:lineRule="auto"/>
              <w:rPr>
                <w:sz w:val="14"/>
                <w:szCs w:val="14"/>
              </w:rPr>
            </w:pPr>
            <w:r>
              <w:rPr>
                <w:sz w:val="14"/>
                <w:szCs w:val="14"/>
                <w:color w:val="212529"/>
                <w:spacing w:val="-1"/>
              </w:rPr>
              <w:t>141.28</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5"/>
              <w:spacing w:before="152" w:line="188" w:lineRule="auto"/>
              <w:rPr>
                <w:sz w:val="14"/>
                <w:szCs w:val="14"/>
              </w:rPr>
            </w:pPr>
            <w:r>
              <w:rPr>
                <w:sz w:val="14"/>
                <w:szCs w:val="14"/>
                <w:color w:val="212529"/>
              </w:rPr>
              <w:t>2.61</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605"/>
              <w:spacing w:before="153" w:line="187" w:lineRule="auto"/>
              <w:rPr>
                <w:sz w:val="14"/>
                <w:szCs w:val="14"/>
              </w:rPr>
            </w:pPr>
            <w:r>
              <w:rPr>
                <w:sz w:val="14"/>
                <w:szCs w:val="14"/>
                <w:color w:val="212529"/>
              </w:rPr>
              <w:t>9.08</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471"/>
              <w:spacing w:before="152" w:line="188" w:lineRule="auto"/>
              <w:rPr>
                <w:sz w:val="14"/>
                <w:szCs w:val="14"/>
              </w:rPr>
            </w:pPr>
            <w:r>
              <w:rPr>
                <w:sz w:val="14"/>
                <w:szCs w:val="14"/>
                <w:color w:val="212529"/>
                <w:spacing w:val="-1"/>
              </w:rPr>
              <w:t>146.69</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3"/>
              <w:spacing w:before="153" w:line="187" w:lineRule="auto"/>
              <w:rPr>
                <w:sz w:val="14"/>
                <w:szCs w:val="14"/>
              </w:rPr>
            </w:pPr>
            <w:r>
              <w:rPr>
                <w:sz w:val="14"/>
                <w:szCs w:val="14"/>
                <w:color w:val="212529"/>
              </w:rPr>
              <w:t>60.05</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pStyle w:val="TableText"/>
              <w:ind w:left="544"/>
              <w:spacing w:before="153" w:line="188" w:lineRule="auto"/>
              <w:rPr>
                <w:sz w:val="14"/>
                <w:szCs w:val="14"/>
              </w:rPr>
            </w:pPr>
            <w:r>
              <w:rPr>
                <w:sz w:val="14"/>
                <w:szCs w:val="14"/>
                <w:color w:val="212529"/>
                <w:spacing w:val="-3"/>
              </w:rPr>
              <w:t>1.70</w:t>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43"/>
              <w:spacing w:before="153" w:line="188" w:lineRule="auto"/>
              <w:rPr>
                <w:sz w:val="14"/>
                <w:szCs w:val="14"/>
              </w:rPr>
            </w:pPr>
            <w:r>
              <w:rPr>
                <w:sz w:val="14"/>
                <w:szCs w:val="14"/>
                <w:color w:val="212529"/>
                <w:spacing w:val="-2"/>
              </w:rPr>
              <w:t>13.51</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44"/>
              <w:spacing w:before="153" w:line="188" w:lineRule="auto"/>
              <w:rPr>
                <w:sz w:val="14"/>
                <w:szCs w:val="14"/>
              </w:rPr>
            </w:pPr>
            <w:r>
              <w:rPr>
                <w:sz w:val="14"/>
                <w:szCs w:val="14"/>
                <w:color w:val="212529"/>
                <w:spacing w:val="-3"/>
              </w:rPr>
              <w:t>1.20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34"/>
              <w:spacing w:before="154" w:line="187" w:lineRule="auto"/>
              <w:rPr>
                <w:sz w:val="14"/>
                <w:szCs w:val="14"/>
              </w:rPr>
            </w:pPr>
            <w:r>
              <w:rPr>
                <w:sz w:val="14"/>
                <w:szCs w:val="14"/>
                <w:color w:val="212529"/>
              </w:rPr>
              <w:t>26.27</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5"/>
              <w:spacing w:before="154" w:line="187" w:lineRule="auto"/>
              <w:rPr>
                <w:sz w:val="14"/>
                <w:szCs w:val="14"/>
              </w:rPr>
            </w:pPr>
            <w:r>
              <w:rPr>
                <w:sz w:val="14"/>
                <w:szCs w:val="14"/>
                <w:color w:val="212529"/>
              </w:rPr>
              <w:t>6.65</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7"/>
              <w:spacing w:before="154" w:line="188" w:lineRule="auto"/>
              <w:rPr>
                <w:sz w:val="14"/>
                <w:szCs w:val="14"/>
              </w:rPr>
            </w:pPr>
            <w:r>
              <w:rPr>
                <w:sz w:val="14"/>
                <w:szCs w:val="14"/>
                <w:color w:val="212529"/>
                <w:spacing w:val="-1"/>
              </w:rPr>
              <w:t>3.13</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3"/>
              <w:spacing w:before="154" w:line="188" w:lineRule="auto"/>
              <w:rPr>
                <w:sz w:val="14"/>
                <w:szCs w:val="14"/>
              </w:rPr>
            </w:pPr>
            <w:r>
              <w:rPr>
                <w:sz w:val="14"/>
                <w:szCs w:val="14"/>
                <w:color w:val="212529"/>
              </w:rPr>
              <w:t>65.12</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pStyle w:val="TableText"/>
              <w:ind w:left="535"/>
              <w:spacing w:before="155" w:line="187" w:lineRule="auto"/>
              <w:rPr>
                <w:sz w:val="14"/>
                <w:szCs w:val="14"/>
              </w:rPr>
            </w:pPr>
            <w:r>
              <w:rPr>
                <w:sz w:val="14"/>
                <w:szCs w:val="14"/>
                <w:color w:val="212529"/>
              </w:rPr>
              <w:t>0.39</w:t>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35"/>
              <w:spacing w:before="155" w:line="187" w:lineRule="auto"/>
              <w:rPr>
                <w:sz w:val="14"/>
                <w:szCs w:val="14"/>
              </w:rPr>
            </w:pPr>
            <w:r>
              <w:rPr>
                <w:sz w:val="14"/>
                <w:szCs w:val="14"/>
                <w:color w:val="212529"/>
              </w:rPr>
              <w:t>59.29</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20"/>
          <w:footerReference w:type="default" r:id="rId21"/>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5"/>
              <w:spacing w:before="153" w:line="187" w:lineRule="auto"/>
              <w:rPr>
                <w:sz w:val="14"/>
                <w:szCs w:val="14"/>
              </w:rPr>
            </w:pPr>
            <w:r>
              <w:rPr>
                <w:sz w:val="14"/>
                <w:szCs w:val="14"/>
                <w:color w:val="212529"/>
              </w:rPr>
              <w:t>35.28</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pStyle w:val="TableText"/>
              <w:ind w:left="534"/>
              <w:spacing w:before="148" w:line="188" w:lineRule="auto"/>
              <w:rPr>
                <w:sz w:val="14"/>
                <w:szCs w:val="14"/>
              </w:rPr>
            </w:pPr>
            <w:r>
              <w:rPr>
                <w:sz w:val="14"/>
                <w:szCs w:val="14"/>
                <w:color w:val="212529"/>
              </w:rPr>
              <w:t>24.01</w:t>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44"/>
              <w:spacing w:before="150" w:line="188" w:lineRule="auto"/>
              <w:rPr>
                <w:sz w:val="14"/>
                <w:szCs w:val="14"/>
              </w:rPr>
            </w:pPr>
            <w:r>
              <w:rPr>
                <w:sz w:val="14"/>
                <w:szCs w:val="14"/>
                <w:color w:val="212529"/>
                <w:spacing w:val="-3"/>
              </w:rPr>
              <w:t>1.83</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4"/>
              <w:spacing w:before="151" w:line="187" w:lineRule="auto"/>
              <w:rPr>
                <w:sz w:val="14"/>
                <w:szCs w:val="14"/>
              </w:rPr>
            </w:pPr>
            <w:r>
              <w:rPr>
                <w:sz w:val="14"/>
                <w:szCs w:val="14"/>
                <w:color w:val="212529"/>
              </w:rPr>
              <w:t>8.03</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72"/>
              <w:spacing w:before="151" w:line="188" w:lineRule="auto"/>
              <w:rPr>
                <w:sz w:val="14"/>
                <w:szCs w:val="14"/>
              </w:rPr>
            </w:pPr>
            <w:r>
              <w:rPr>
                <w:sz w:val="14"/>
                <w:szCs w:val="14"/>
                <w:color w:val="212529"/>
                <w:spacing w:val="-2"/>
              </w:rPr>
              <w:t>13.76</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5"/>
              <w:spacing w:before="153" w:line="187" w:lineRule="auto"/>
              <w:rPr>
                <w:sz w:val="14"/>
                <w:szCs w:val="14"/>
              </w:rPr>
            </w:pPr>
            <w:r>
              <w:rPr>
                <w:sz w:val="14"/>
                <w:szCs w:val="14"/>
                <w:color w:val="212529"/>
              </w:rPr>
              <w:t>6.57</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35"/>
              <w:spacing w:before="154" w:line="187" w:lineRule="auto"/>
              <w:rPr>
                <w:sz w:val="14"/>
                <w:szCs w:val="14"/>
              </w:rPr>
            </w:pPr>
            <w:r>
              <w:rPr>
                <w:sz w:val="14"/>
                <w:szCs w:val="14"/>
                <w:color w:val="212529"/>
              </w:rPr>
              <w:t>0.49</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3"/>
              <w:spacing w:before="154" w:line="187" w:lineRule="auto"/>
              <w:rPr>
                <w:sz w:val="14"/>
                <w:szCs w:val="14"/>
              </w:rPr>
            </w:pPr>
            <w:r>
              <w:rPr>
                <w:sz w:val="14"/>
                <w:szCs w:val="14"/>
                <w:color w:val="212529"/>
              </w:rPr>
              <w:t>759.99</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2"/>
              <w:spacing w:before="154" w:line="187" w:lineRule="auto"/>
              <w:rPr>
                <w:sz w:val="14"/>
                <w:szCs w:val="14"/>
              </w:rPr>
            </w:pPr>
            <w:r>
              <w:rPr>
                <w:sz w:val="14"/>
                <w:szCs w:val="14"/>
                <w:color w:val="212529"/>
              </w:rPr>
              <w:t>43.55</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6" w:id="46"/>
            <w:bookmarkEnd w:id="46"/>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2"/>
          <w:footerReference w:type="default" r:id="rId23"/>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7" w:id="47"/>
            <w:bookmarkEnd w:id="47"/>
            <w:bookmarkStart w:name="bookmark12" w:id="48"/>
            <w:bookmarkEnd w:id="48"/>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部门名称：古县财政局</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24"/>
          <w:footerReference w:type="default" r:id="rId25"/>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8" w:id="49"/>
            <w:bookmarkEnd w:id="49"/>
            <w:bookmarkStart w:name="bookmark13" w:id="50"/>
            <w:bookmarkEnd w:id="50"/>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部门名称：古县财政局</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26"/>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9" w:id="51"/>
            <w:bookmarkEnd w:id="51"/>
            <w:bookmarkStart w:name="bookmark14" w:id="52"/>
            <w:bookmarkEnd w:id="52"/>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部门名称：古县财政局</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220"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22"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24"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226"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7"/>
          <w:footerReference w:type="default" r:id="rId28"/>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40" w:id="53"/>
            <w:bookmarkEnd w:id="53"/>
            <w:bookmarkStart w:name="bookmark15" w:id="54"/>
            <w:bookmarkEnd w:id="54"/>
            <w:r>
              <w:rPr>
                <w:sz w:val="22"/>
                <w:szCs w:val="22"/>
                <w:color w:val="212529"/>
                <w:spacing w:val="7"/>
              </w:rPr>
              <w:t>部门决算公开相关信息统计表</w:t>
            </w:r>
          </w:p>
        </w:tc>
      </w:tr>
      <w:tr>
        <w:trPr>
          <w:trHeight w:val="422"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127" w:line="228" w:lineRule="auto"/>
              <w:rPr>
                <w:sz w:val="15"/>
                <w:szCs w:val="15"/>
              </w:rPr>
            </w:pPr>
            <w:r>
              <w:rPr>
                <w:sz w:val="15"/>
                <w:szCs w:val="15"/>
                <w:color w:val="212529"/>
                <w:spacing w:val="2"/>
              </w:rPr>
              <w:t>公开10表</w:t>
            </w:r>
          </w:p>
        </w:tc>
      </w:tr>
      <w:tr>
        <w:trPr>
          <w:trHeight w:val="421"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125" w:line="225" w:lineRule="auto"/>
              <w:rPr>
                <w:sz w:val="14"/>
                <w:szCs w:val="14"/>
              </w:rPr>
            </w:pPr>
            <w:r>
              <w:rPr>
                <w:sz w:val="14"/>
                <w:szCs w:val="14"/>
                <w:color w:val="212529"/>
                <w:spacing w:val="3"/>
              </w:rPr>
              <w:t>单位名称：古县财政局</w:t>
            </w:r>
          </w:p>
        </w:tc>
        <w:tc>
          <w:tcPr>
            <w:tcW w:w="971" w:type="dxa"/>
            <w:vAlign w:val="top"/>
            <w:tcBorders>
              <w:left w:val="single" w:color="FFFFFF" w:sz="2" w:space="0"/>
              <w:right w:val="single" w:color="FFFFFF" w:sz="2" w:space="0"/>
              <w:top w:val="single" w:color="FFFFFF" w:sz="4" w:space="0"/>
            </w:tcBorders>
          </w:tcPr>
          <w:p>
            <w:pPr>
              <w:pStyle w:val="TableText"/>
              <w:ind w:left="191"/>
              <w:spacing w:before="125"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442" w:type="dxa"/>
            <w:vAlign w:val="top"/>
          </w:tcPr>
          <w:p>
            <w:pPr>
              <w:pStyle w:val="TableText"/>
              <w:ind w:left="2028"/>
              <w:spacing w:before="108" w:line="220" w:lineRule="auto"/>
              <w:rPr/>
            </w:pPr>
            <w:r>
              <w:rPr>
                <w:color w:val="212529"/>
                <w:spacing w:val="-6"/>
              </w:rPr>
              <w:t>项目</w:t>
            </w:r>
          </w:p>
        </w:tc>
        <w:tc>
          <w:tcPr>
            <w:tcW w:w="971" w:type="dxa"/>
            <w:vAlign w:val="top"/>
          </w:tcPr>
          <w:p>
            <w:pPr>
              <w:pStyle w:val="TableText"/>
              <w:ind w:left="293"/>
              <w:spacing w:before="108" w:line="219" w:lineRule="auto"/>
              <w:rPr/>
            </w:pPr>
            <w:r>
              <w:rPr>
                <w:color w:val="212529"/>
                <w:spacing w:val="-6"/>
              </w:rPr>
              <w:t>行次</w:t>
            </w:r>
          </w:p>
        </w:tc>
        <w:tc>
          <w:tcPr>
            <w:tcW w:w="3603" w:type="dxa"/>
            <w:vAlign w:val="top"/>
          </w:tcPr>
          <w:p>
            <w:pPr>
              <w:pStyle w:val="TableText"/>
              <w:ind w:left="1520"/>
              <w:spacing w:before="108" w:line="219" w:lineRule="auto"/>
              <w:rPr/>
            </w:pPr>
            <w:r>
              <w:rPr>
                <w:color w:val="212529"/>
                <w:spacing w:val="-5"/>
              </w:rPr>
              <w:t>统计数</w:t>
            </w:r>
          </w:p>
        </w:tc>
      </w:tr>
      <w:tr>
        <w:trPr>
          <w:trHeight w:val="421" w:hRule="atLeast"/>
        </w:trPr>
        <w:tc>
          <w:tcPr>
            <w:tcW w:w="4442" w:type="dxa"/>
            <w:vAlign w:val="top"/>
          </w:tcPr>
          <w:p>
            <w:pPr>
              <w:pStyle w:val="TableText"/>
              <w:ind w:left="2032"/>
              <w:spacing w:before="107" w:line="221" w:lineRule="auto"/>
              <w:rPr/>
            </w:pPr>
            <w:r>
              <w:rPr>
                <w:color w:val="212529"/>
                <w:spacing w:val="-5"/>
              </w:rPr>
              <w:t>合计</w:t>
            </w:r>
          </w:p>
        </w:tc>
        <w:tc>
          <w:tcPr>
            <w:tcW w:w="971" w:type="dxa"/>
            <w:vAlign w:val="top"/>
          </w:tcPr>
          <w:p>
            <w:pPr>
              <w:pStyle w:val="TableText"/>
              <w:ind w:left="441"/>
              <w:spacing w:before="135" w:line="184" w:lineRule="auto"/>
              <w:rPr/>
            </w:pPr>
            <w:r>
              <w:rPr>
                <w:color w:val="212529"/>
              </w:rPr>
              <w:t>1</w:t>
            </w:r>
          </w:p>
        </w:tc>
        <w:tc>
          <w:tcPr>
            <w:tcW w:w="3603" w:type="dxa"/>
            <w:vAlign w:val="top"/>
          </w:tcPr>
          <w:p>
            <w:pPr>
              <w:pStyle w:val="TableText"/>
              <w:ind w:right="26"/>
              <w:spacing w:before="135" w:line="184" w:lineRule="auto"/>
              <w:jc w:val="right"/>
              <w:rPr/>
            </w:pPr>
            <w:r>
              <w:rPr>
                <w:color w:val="212529"/>
                <w:spacing w:val="-6"/>
              </w:rPr>
              <w:t>1.84</w:t>
            </w:r>
          </w:p>
        </w:tc>
      </w:tr>
      <w:tr>
        <w:trPr>
          <w:trHeight w:val="422" w:hRule="atLeast"/>
        </w:trPr>
        <w:tc>
          <w:tcPr>
            <w:tcW w:w="4442" w:type="dxa"/>
            <w:vAlign w:val="top"/>
          </w:tcPr>
          <w:p>
            <w:pPr>
              <w:pStyle w:val="TableText"/>
              <w:ind w:left="2035"/>
              <w:spacing w:before="108" w:line="219" w:lineRule="auto"/>
              <w:rPr/>
            </w:pPr>
            <w:r>
              <w:rPr>
                <w:color w:val="212529"/>
                <w:spacing w:val="-7"/>
              </w:rPr>
              <w:t>货物</w:t>
            </w:r>
          </w:p>
        </w:tc>
        <w:tc>
          <w:tcPr>
            <w:tcW w:w="971" w:type="dxa"/>
            <w:vAlign w:val="top"/>
          </w:tcPr>
          <w:p>
            <w:pPr>
              <w:pStyle w:val="TableText"/>
              <w:ind w:left="430"/>
              <w:spacing w:before="137" w:line="183" w:lineRule="auto"/>
              <w:rPr/>
            </w:pPr>
            <w:r>
              <w:rPr>
                <w:color w:val="212529"/>
              </w:rPr>
              <w:t>2</w:t>
            </w:r>
          </w:p>
        </w:tc>
        <w:tc>
          <w:tcPr>
            <w:tcW w:w="3603" w:type="dxa"/>
            <w:vAlign w:val="top"/>
          </w:tcPr>
          <w:p>
            <w:pPr>
              <w:pStyle w:val="TableText"/>
              <w:ind w:right="26"/>
              <w:spacing w:before="136" w:line="184" w:lineRule="auto"/>
              <w:jc w:val="right"/>
              <w:rPr/>
            </w:pPr>
            <w:r>
              <w:rPr>
                <w:color w:val="212529"/>
                <w:spacing w:val="-6"/>
              </w:rPr>
              <w:t>1.84</w:t>
            </w:r>
          </w:p>
        </w:tc>
      </w:tr>
      <w:tr>
        <w:trPr>
          <w:trHeight w:val="421" w:hRule="atLeast"/>
        </w:trPr>
        <w:tc>
          <w:tcPr>
            <w:tcW w:w="4442" w:type="dxa"/>
            <w:vAlign w:val="top"/>
          </w:tcPr>
          <w:p>
            <w:pPr>
              <w:pStyle w:val="TableText"/>
              <w:ind w:left="2033"/>
              <w:spacing w:before="109" w:line="220" w:lineRule="auto"/>
              <w:rPr/>
            </w:pPr>
            <w:r>
              <w:rPr>
                <w:color w:val="212529"/>
                <w:spacing w:val="-6"/>
              </w:rPr>
              <w:t>工程</w:t>
            </w:r>
          </w:p>
        </w:tc>
        <w:tc>
          <w:tcPr>
            <w:tcW w:w="971" w:type="dxa"/>
            <w:vAlign w:val="top"/>
          </w:tcPr>
          <w:p>
            <w:pPr>
              <w:pStyle w:val="TableText"/>
              <w:ind w:left="431"/>
              <w:spacing w:before="137" w:line="183" w:lineRule="auto"/>
              <w:rPr/>
            </w:pPr>
            <w:r>
              <w:rPr>
                <w:color w:val="212529"/>
              </w:rPr>
              <w:t>3</w:t>
            </w:r>
          </w:p>
        </w:tc>
        <w:tc>
          <w:tcPr>
            <w:tcW w:w="3603" w:type="dxa"/>
            <w:vAlign w:val="top"/>
          </w:tcPr>
          <w:p>
            <w:pPr>
              <w:rPr>
                <w:rFonts w:ascii="Arial"/>
                <w:sz w:val="21"/>
              </w:rPr>
            </w:pPr>
            <w:r/>
          </w:p>
        </w:tc>
      </w:tr>
      <w:tr>
        <w:trPr>
          <w:trHeight w:val="422" w:hRule="atLeast"/>
        </w:trPr>
        <w:tc>
          <w:tcPr>
            <w:tcW w:w="4442" w:type="dxa"/>
            <w:vAlign w:val="top"/>
          </w:tcPr>
          <w:p>
            <w:pPr>
              <w:pStyle w:val="TableText"/>
              <w:ind w:left="2031"/>
              <w:spacing w:before="110" w:line="219" w:lineRule="auto"/>
              <w:rPr/>
            </w:pPr>
            <w:r>
              <w:rPr>
                <w:color w:val="212529"/>
                <w:spacing w:val="-5"/>
              </w:rPr>
              <w:t>服务</w:t>
            </w:r>
          </w:p>
        </w:tc>
        <w:tc>
          <w:tcPr>
            <w:tcW w:w="971" w:type="dxa"/>
            <w:vAlign w:val="top"/>
          </w:tcPr>
          <w:p>
            <w:pPr>
              <w:pStyle w:val="TableText"/>
              <w:ind w:left="427"/>
              <w:spacing w:before="138" w:line="183" w:lineRule="auto"/>
              <w:rPr/>
            </w:pPr>
            <w:r>
              <w:rPr>
                <w:color w:val="212529"/>
              </w:rPr>
              <w:t>4</w:t>
            </w:r>
          </w:p>
        </w:tc>
        <w:tc>
          <w:tcPr>
            <w:tcW w:w="3603"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442" w:type="dxa"/>
            <w:vAlign w:val="top"/>
          </w:tcPr>
          <w:p>
            <w:pPr>
              <w:pStyle w:val="TableText"/>
              <w:ind w:left="2028"/>
              <w:spacing w:before="111"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111" w:line="219" w:lineRule="auto"/>
              <w:rPr/>
            </w:pPr>
            <w:r>
              <w:rPr>
                <w:color w:val="212529"/>
                <w:spacing w:val="-5"/>
              </w:rPr>
              <w:t>统计数</w:t>
            </w:r>
          </w:p>
        </w:tc>
      </w:tr>
      <w:tr>
        <w:trPr>
          <w:trHeight w:val="421" w:hRule="atLeast"/>
        </w:trPr>
        <w:tc>
          <w:tcPr>
            <w:tcW w:w="4442" w:type="dxa"/>
            <w:vAlign w:val="top"/>
          </w:tcPr>
          <w:p>
            <w:pPr>
              <w:pStyle w:val="TableText"/>
              <w:ind w:left="13"/>
              <w:spacing w:before="111" w:line="220" w:lineRule="auto"/>
              <w:rPr/>
            </w:pPr>
            <w:r>
              <w:rPr>
                <w:color w:val="212529"/>
                <w:spacing w:val="-2"/>
              </w:rPr>
              <w:t>（一）行政单位</w:t>
            </w:r>
          </w:p>
        </w:tc>
        <w:tc>
          <w:tcPr>
            <w:tcW w:w="971" w:type="dxa"/>
            <w:vAlign w:val="top"/>
          </w:tcPr>
          <w:p>
            <w:pPr>
              <w:pStyle w:val="TableText"/>
              <w:ind w:left="431"/>
              <w:spacing w:before="141" w:line="182" w:lineRule="auto"/>
              <w:rPr/>
            </w:pPr>
            <w:r>
              <w:rPr>
                <w:color w:val="212529"/>
              </w:rPr>
              <w:t>5</w:t>
            </w:r>
          </w:p>
        </w:tc>
        <w:tc>
          <w:tcPr>
            <w:tcW w:w="3603" w:type="dxa"/>
            <w:vAlign w:val="top"/>
          </w:tcPr>
          <w:p>
            <w:pPr>
              <w:pStyle w:val="TableText"/>
              <w:ind w:left="3131"/>
              <w:spacing w:before="139" w:line="184" w:lineRule="auto"/>
              <w:rPr/>
            </w:pPr>
            <w:r>
              <w:rPr>
                <w:color w:val="212529"/>
                <w:spacing w:val="-5"/>
              </w:rPr>
              <w:t>16.09</w:t>
            </w:r>
          </w:p>
        </w:tc>
      </w:tr>
      <w:tr>
        <w:trPr>
          <w:trHeight w:val="422" w:hRule="atLeast"/>
        </w:trPr>
        <w:tc>
          <w:tcPr>
            <w:tcW w:w="4442" w:type="dxa"/>
            <w:vAlign w:val="top"/>
          </w:tcPr>
          <w:p>
            <w:pPr>
              <w:pStyle w:val="TableText"/>
              <w:ind w:left="13"/>
              <w:spacing w:before="113" w:line="219" w:lineRule="auto"/>
              <w:rPr/>
            </w:pPr>
            <w:r>
              <w:rPr>
                <w:color w:val="212529"/>
                <w:spacing w:val="-1"/>
              </w:rPr>
              <w:t>（二）参照公务员法管理事业单位</w:t>
            </w:r>
          </w:p>
        </w:tc>
        <w:tc>
          <w:tcPr>
            <w:tcW w:w="971" w:type="dxa"/>
            <w:vAlign w:val="top"/>
          </w:tcPr>
          <w:p>
            <w:pPr>
              <w:pStyle w:val="TableText"/>
              <w:ind w:left="429"/>
              <w:spacing w:before="141" w:line="183" w:lineRule="auto"/>
              <w:rPr/>
            </w:pPr>
            <w:r>
              <w:rPr>
                <w:color w:val="212529"/>
              </w:rPr>
              <w:t>6</w:t>
            </w:r>
          </w:p>
        </w:tc>
        <w:tc>
          <w:tcPr>
            <w:tcW w:w="3603"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442" w:type="dxa"/>
            <w:vAlign w:val="top"/>
          </w:tcPr>
          <w:p>
            <w:pPr>
              <w:pStyle w:val="TableText"/>
              <w:ind w:left="13"/>
              <w:spacing w:before="113" w:line="219" w:lineRule="auto"/>
              <w:rPr/>
            </w:pPr>
            <w:r>
              <w:rPr>
                <w:color w:val="212529"/>
                <w:spacing w:val="-2"/>
              </w:rPr>
              <w:t>（一）车辆数合计（辆）</w:t>
            </w:r>
          </w:p>
        </w:tc>
        <w:tc>
          <w:tcPr>
            <w:tcW w:w="971" w:type="dxa"/>
            <w:vAlign w:val="top"/>
          </w:tcPr>
          <w:p>
            <w:pPr>
              <w:pStyle w:val="TableText"/>
              <w:ind w:left="432"/>
              <w:spacing w:before="142" w:line="182" w:lineRule="auto"/>
              <w:rPr/>
            </w:pPr>
            <w:r>
              <w:rPr>
                <w:color w:val="212529"/>
              </w:rPr>
              <w:t>7</w:t>
            </w:r>
          </w:p>
        </w:tc>
        <w:tc>
          <w:tcPr>
            <w:tcW w:w="3603" w:type="dxa"/>
            <w:vAlign w:val="top"/>
          </w:tcPr>
          <w:p>
            <w:pPr>
              <w:rPr>
                <w:rFonts w:ascii="Arial"/>
                <w:sz w:val="21"/>
              </w:rPr>
            </w:pPr>
            <w:r/>
          </w:p>
        </w:tc>
      </w:tr>
      <w:tr>
        <w:trPr>
          <w:trHeight w:val="422" w:hRule="atLeast"/>
        </w:trPr>
        <w:tc>
          <w:tcPr>
            <w:tcW w:w="4442" w:type="dxa"/>
            <w:vAlign w:val="top"/>
          </w:tcPr>
          <w:p>
            <w:pPr>
              <w:pStyle w:val="TableText"/>
              <w:ind w:left="112"/>
              <w:spacing w:before="113" w:line="219" w:lineRule="auto"/>
              <w:rPr/>
            </w:pPr>
            <w:r>
              <w:rPr>
                <w:color w:val="212529"/>
                <w:spacing w:val="-2"/>
              </w:rPr>
              <w:t>1.副部（省）级及以上领导用车</w:t>
            </w:r>
          </w:p>
        </w:tc>
        <w:tc>
          <w:tcPr>
            <w:tcW w:w="971" w:type="dxa"/>
            <w:vAlign w:val="top"/>
          </w:tcPr>
          <w:p>
            <w:pPr>
              <w:pStyle w:val="TableText"/>
              <w:ind w:left="429"/>
              <w:spacing w:before="141" w:line="183" w:lineRule="auto"/>
              <w:rPr/>
            </w:pPr>
            <w:r>
              <w:rPr>
                <w:color w:val="212529"/>
              </w:rPr>
              <w:t>8</w:t>
            </w:r>
          </w:p>
        </w:tc>
        <w:tc>
          <w:tcPr>
            <w:tcW w:w="3603" w:type="dxa"/>
            <w:vAlign w:val="top"/>
          </w:tcPr>
          <w:p>
            <w:pPr>
              <w:rPr>
                <w:rFonts w:ascii="Arial"/>
                <w:sz w:val="21"/>
              </w:rPr>
            </w:pPr>
            <w:r/>
          </w:p>
        </w:tc>
      </w:tr>
      <w:tr>
        <w:trPr>
          <w:trHeight w:val="422" w:hRule="atLeast"/>
        </w:trPr>
        <w:tc>
          <w:tcPr>
            <w:tcW w:w="4442" w:type="dxa"/>
            <w:vAlign w:val="top"/>
          </w:tcPr>
          <w:p>
            <w:pPr>
              <w:pStyle w:val="TableText"/>
              <w:ind w:left="101"/>
              <w:spacing w:before="113" w:line="219" w:lineRule="auto"/>
              <w:rPr/>
            </w:pPr>
            <w:r>
              <w:rPr>
                <w:color w:val="212529"/>
                <w:spacing w:val="-2"/>
              </w:rPr>
              <w:t>2.主要负责人用车</w:t>
            </w:r>
          </w:p>
        </w:tc>
        <w:tc>
          <w:tcPr>
            <w:tcW w:w="971" w:type="dxa"/>
            <w:vAlign w:val="top"/>
          </w:tcPr>
          <w:p>
            <w:pPr>
              <w:pStyle w:val="TableText"/>
              <w:ind w:left="429"/>
              <w:spacing w:before="142" w:line="183" w:lineRule="auto"/>
              <w:rPr/>
            </w:pPr>
            <w:r>
              <w:rPr>
                <w:color w:val="212529"/>
              </w:rPr>
              <w:t>9</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3.机要通信用车</w:t>
            </w:r>
          </w:p>
        </w:tc>
        <w:tc>
          <w:tcPr>
            <w:tcW w:w="971" w:type="dxa"/>
            <w:vAlign w:val="top"/>
          </w:tcPr>
          <w:p>
            <w:pPr>
              <w:pStyle w:val="TableText"/>
              <w:ind w:left="399"/>
              <w:spacing w:before="141" w:line="184" w:lineRule="auto"/>
              <w:rPr/>
            </w:pPr>
            <w:r>
              <w:rPr>
                <w:color w:val="212529"/>
                <w:spacing w:val="-11"/>
              </w:rPr>
              <w:t>10</w:t>
            </w:r>
          </w:p>
        </w:tc>
        <w:tc>
          <w:tcPr>
            <w:tcW w:w="3603" w:type="dxa"/>
            <w:vAlign w:val="top"/>
          </w:tcPr>
          <w:p>
            <w:pPr>
              <w:rPr>
                <w:rFonts w:ascii="Arial"/>
                <w:sz w:val="21"/>
              </w:rPr>
            </w:pPr>
            <w:r/>
          </w:p>
        </w:tc>
      </w:tr>
      <w:tr>
        <w:trPr>
          <w:trHeight w:val="422" w:hRule="atLeast"/>
        </w:trPr>
        <w:tc>
          <w:tcPr>
            <w:tcW w:w="4442" w:type="dxa"/>
            <w:vAlign w:val="top"/>
          </w:tcPr>
          <w:p>
            <w:pPr>
              <w:pStyle w:val="TableText"/>
              <w:ind w:left="98"/>
              <w:spacing w:before="113" w:line="219" w:lineRule="auto"/>
              <w:rPr/>
            </w:pPr>
            <w:r>
              <w:rPr>
                <w:color w:val="212529"/>
                <w:spacing w:val="-1"/>
              </w:rPr>
              <w:t>4.应急保障用车</w:t>
            </w:r>
          </w:p>
        </w:tc>
        <w:tc>
          <w:tcPr>
            <w:tcW w:w="971" w:type="dxa"/>
            <w:vAlign w:val="top"/>
          </w:tcPr>
          <w:p>
            <w:pPr>
              <w:pStyle w:val="TableText"/>
              <w:ind w:left="399"/>
              <w:spacing w:before="141" w:line="184" w:lineRule="auto"/>
              <w:rPr/>
            </w:pPr>
            <w:r>
              <w:rPr>
                <w:color w:val="212529"/>
                <w:spacing w:val="-11"/>
              </w:rPr>
              <w:t>11</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5.执法执勤用车</w:t>
            </w:r>
          </w:p>
        </w:tc>
        <w:tc>
          <w:tcPr>
            <w:tcW w:w="971" w:type="dxa"/>
            <w:vAlign w:val="top"/>
          </w:tcPr>
          <w:p>
            <w:pPr>
              <w:pStyle w:val="TableText"/>
              <w:ind w:left="399"/>
              <w:spacing w:before="141" w:line="184" w:lineRule="auto"/>
              <w:rPr/>
            </w:pPr>
            <w:r>
              <w:rPr>
                <w:color w:val="212529"/>
                <w:spacing w:val="-11"/>
              </w:rPr>
              <w:t>12</w:t>
            </w:r>
          </w:p>
        </w:tc>
        <w:tc>
          <w:tcPr>
            <w:tcW w:w="3603" w:type="dxa"/>
            <w:vAlign w:val="top"/>
          </w:tcPr>
          <w:p>
            <w:pPr>
              <w:rPr>
                <w:rFonts w:ascii="Arial"/>
                <w:sz w:val="21"/>
              </w:rPr>
            </w:pPr>
            <w:r/>
          </w:p>
        </w:tc>
      </w:tr>
      <w:tr>
        <w:trPr>
          <w:trHeight w:val="422" w:hRule="atLeast"/>
        </w:trPr>
        <w:tc>
          <w:tcPr>
            <w:tcW w:w="4442" w:type="dxa"/>
            <w:vAlign w:val="top"/>
          </w:tcPr>
          <w:p>
            <w:pPr>
              <w:pStyle w:val="TableText"/>
              <w:ind w:left="100"/>
              <w:spacing w:before="114" w:line="219" w:lineRule="auto"/>
              <w:rPr/>
            </w:pPr>
            <w:r>
              <w:rPr>
                <w:color w:val="212529"/>
                <w:spacing w:val="-1"/>
              </w:rPr>
              <w:t>6.特种专业技术用车</w:t>
            </w:r>
          </w:p>
        </w:tc>
        <w:tc>
          <w:tcPr>
            <w:tcW w:w="971" w:type="dxa"/>
            <w:vAlign w:val="top"/>
          </w:tcPr>
          <w:p>
            <w:pPr>
              <w:pStyle w:val="TableText"/>
              <w:ind w:left="399"/>
              <w:spacing w:before="141" w:line="184" w:lineRule="auto"/>
              <w:rPr/>
            </w:pPr>
            <w:r>
              <w:rPr>
                <w:color w:val="212529"/>
                <w:spacing w:val="-11"/>
              </w:rPr>
              <w:t>13</w:t>
            </w:r>
          </w:p>
        </w:tc>
        <w:tc>
          <w:tcPr>
            <w:tcW w:w="3603" w:type="dxa"/>
            <w:vAlign w:val="top"/>
          </w:tcPr>
          <w:p>
            <w:pPr>
              <w:rPr>
                <w:rFonts w:ascii="Arial"/>
                <w:sz w:val="21"/>
              </w:rPr>
            </w:pPr>
            <w:r/>
          </w:p>
        </w:tc>
      </w:tr>
      <w:tr>
        <w:trPr>
          <w:trHeight w:val="422" w:hRule="atLeast"/>
        </w:trPr>
        <w:tc>
          <w:tcPr>
            <w:tcW w:w="4442" w:type="dxa"/>
            <w:vAlign w:val="top"/>
          </w:tcPr>
          <w:p>
            <w:pPr>
              <w:pStyle w:val="TableText"/>
              <w:ind w:left="103"/>
              <w:spacing w:before="113" w:line="219" w:lineRule="auto"/>
              <w:rPr/>
            </w:pPr>
            <w:r>
              <w:rPr>
                <w:color w:val="212529"/>
                <w:spacing w:val="-2"/>
              </w:rPr>
              <w:t>7.离退休干部服务用车</w:t>
            </w:r>
          </w:p>
        </w:tc>
        <w:tc>
          <w:tcPr>
            <w:tcW w:w="971" w:type="dxa"/>
            <w:vAlign w:val="top"/>
          </w:tcPr>
          <w:p>
            <w:pPr>
              <w:pStyle w:val="TableText"/>
              <w:ind w:left="399"/>
              <w:spacing w:before="141" w:line="184" w:lineRule="auto"/>
              <w:rPr/>
            </w:pPr>
            <w:r>
              <w:rPr>
                <w:color w:val="212529"/>
                <w:spacing w:val="-11"/>
              </w:rPr>
              <w:t>14</w:t>
            </w:r>
          </w:p>
        </w:tc>
        <w:tc>
          <w:tcPr>
            <w:tcW w:w="3603" w:type="dxa"/>
            <w:vAlign w:val="top"/>
          </w:tcPr>
          <w:p>
            <w:pPr>
              <w:rPr>
                <w:rFonts w:ascii="Arial"/>
                <w:sz w:val="21"/>
              </w:rPr>
            </w:pPr>
            <w:r/>
          </w:p>
        </w:tc>
      </w:tr>
      <w:tr>
        <w:trPr>
          <w:trHeight w:val="422" w:hRule="atLeast"/>
        </w:trPr>
        <w:tc>
          <w:tcPr>
            <w:tcW w:w="4442" w:type="dxa"/>
            <w:vAlign w:val="top"/>
          </w:tcPr>
          <w:p>
            <w:pPr>
              <w:pStyle w:val="TableText"/>
              <w:ind w:left="99"/>
              <w:spacing w:before="114" w:line="219" w:lineRule="auto"/>
              <w:rPr/>
            </w:pPr>
            <w:r>
              <w:rPr>
                <w:color w:val="212529"/>
                <w:spacing w:val="-2"/>
              </w:rPr>
              <w:t>8.其他用车</w:t>
            </w:r>
          </w:p>
        </w:tc>
        <w:tc>
          <w:tcPr>
            <w:tcW w:w="971" w:type="dxa"/>
            <w:vAlign w:val="top"/>
          </w:tcPr>
          <w:p>
            <w:pPr>
              <w:pStyle w:val="TableText"/>
              <w:ind w:left="399"/>
              <w:spacing w:before="141" w:line="184" w:lineRule="auto"/>
              <w:rPr/>
            </w:pPr>
            <w:r>
              <w:rPr>
                <w:color w:val="212529"/>
                <w:spacing w:val="-11"/>
              </w:rPr>
              <w:t>15</w:t>
            </w:r>
          </w:p>
        </w:tc>
        <w:tc>
          <w:tcPr>
            <w:tcW w:w="3603" w:type="dxa"/>
            <w:vAlign w:val="top"/>
          </w:tcPr>
          <w:p>
            <w:pPr>
              <w:rPr>
                <w:rFonts w:ascii="Arial"/>
                <w:sz w:val="21"/>
              </w:rPr>
            </w:pPr>
            <w:r/>
          </w:p>
        </w:tc>
      </w:tr>
      <w:tr>
        <w:trPr>
          <w:trHeight w:val="422" w:hRule="atLeast"/>
        </w:trPr>
        <w:tc>
          <w:tcPr>
            <w:tcW w:w="4442" w:type="dxa"/>
            <w:vAlign w:val="top"/>
          </w:tcPr>
          <w:p>
            <w:pPr>
              <w:pStyle w:val="TableText"/>
              <w:ind w:left="13"/>
              <w:spacing w:before="114" w:line="218" w:lineRule="auto"/>
              <w:rPr/>
            </w:pPr>
            <w:r>
              <w:rPr>
                <w:color w:val="212529"/>
                <w:spacing w:val="-1"/>
              </w:rPr>
              <w:t>（二）单价100万元（含）以上设备（不含车辆）</w:t>
            </w:r>
          </w:p>
        </w:tc>
        <w:tc>
          <w:tcPr>
            <w:tcW w:w="971" w:type="dxa"/>
            <w:vAlign w:val="top"/>
          </w:tcPr>
          <w:p>
            <w:pPr>
              <w:pStyle w:val="TableText"/>
              <w:ind w:left="399"/>
              <w:spacing w:before="141" w:line="184" w:lineRule="auto"/>
              <w:rPr/>
            </w:pPr>
            <w:r>
              <w:rPr>
                <w:color w:val="212529"/>
                <w:spacing w:val="-11"/>
              </w:rPr>
              <w:t>17</w:t>
            </w:r>
          </w:p>
        </w:tc>
        <w:tc>
          <w:tcPr>
            <w:tcW w:w="3603"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9"/>
          <w:footerReference w:type="default" r:id="rId30"/>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1" w:id="55"/>
      <w:bookmarkEnd w:id="55"/>
      <w:bookmarkStart w:name="bookmark16" w:id="56"/>
      <w:bookmarkEnd w:id="56"/>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7"/>
      <w:bookmarkEnd w:id="57"/>
      <w:r>
        <w:rPr>
          <w:rFonts w:ascii="SimHei" w:hAnsi="SimHei" w:eastAsia="SimHei" w:cs="SimHei"/>
          <w:sz w:val="25"/>
          <w:szCs w:val="25"/>
        </w:rPr>
        <w:t>一、收入支出决算总体情况说明</w:t>
      </w:r>
    </w:p>
    <w:p>
      <w:pPr>
        <w:ind w:left="1317" w:right="1450" w:firstLine="488"/>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2023年度收入总计1,315.71万元，支出总计1,315.71万元。与上年相比，收入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总计增加151.40万元，增长13%，支出总计增加151.40万元，增长13%。主要原因</w:t>
      </w:r>
    </w:p>
    <w:p>
      <w:pPr>
        <w:ind w:left="1307"/>
        <w:spacing w:before="40" w:line="224" w:lineRule="auto"/>
        <w:rPr>
          <w:rFonts w:ascii="FangSong" w:hAnsi="FangSong" w:eastAsia="FangSong" w:cs="FangSong"/>
          <w:sz w:val="25"/>
          <w:szCs w:val="25"/>
        </w:rPr>
      </w:pPr>
      <w:r>
        <w:rPr>
          <w:rFonts w:ascii="FangSong" w:hAnsi="FangSong" w:eastAsia="FangSong" w:cs="FangSong"/>
          <w:sz w:val="25"/>
          <w:szCs w:val="25"/>
          <w:spacing w:val="1"/>
        </w:rPr>
        <w:t>是2023年人员经费增加、财政投资项目评审费等项目支出增加。</w:t>
      </w:r>
    </w:p>
    <w:p>
      <w:pPr>
        <w:ind w:left="1802"/>
        <w:spacing w:before="129" w:line="222" w:lineRule="auto"/>
        <w:outlineLvl w:val="1"/>
        <w:rPr>
          <w:rFonts w:ascii="SimHei" w:hAnsi="SimHei" w:eastAsia="SimHei" w:cs="SimHei"/>
          <w:sz w:val="25"/>
          <w:szCs w:val="25"/>
        </w:rPr>
      </w:pPr>
      <w:bookmarkStart w:name="bookmark18" w:id="58"/>
      <w:bookmarkEnd w:id="58"/>
      <w:r>
        <w:rPr>
          <w:rFonts w:ascii="SimHei" w:hAnsi="SimHei" w:eastAsia="SimHei" w:cs="SimHei"/>
          <w:sz w:val="25"/>
          <w:szCs w:val="25"/>
        </w:rPr>
        <w:t>二、收入决算情况说明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2023年度收入合计1,315.71万元</w:t>
      </w:r>
      <w:r>
        <w:rPr>
          <w:rFonts w:ascii="FangSong" w:hAnsi="FangSong" w:eastAsia="FangSong" w:cs="FangSong"/>
          <w:sz w:val="25"/>
          <w:szCs w:val="25"/>
        </w:rPr>
        <w:t>，其中：</w:t>
      </w:r>
    </w:p>
    <w:p>
      <w:pPr>
        <w:ind w:left="1812" w:right="5159"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财政拨款收入1,315.71万元，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9"/>
      <w:bookmarkEnd w:id="59"/>
      <w:r>
        <w:rPr>
          <w:rFonts w:ascii="SimHei" w:hAnsi="SimHei" w:eastAsia="SimHei" w:cs="SimHei"/>
          <w:sz w:val="25"/>
          <w:szCs w:val="25"/>
        </w:rPr>
        <w:t>三、支出决算情况说明</w:t>
      </w:r>
    </w:p>
    <w:p>
      <w:pPr>
        <w:ind w:left="1810" w:right="5539"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2023年度支出合计1,315.71万元，其中：</w:t>
      </w:r>
      <w:r>
        <w:rPr>
          <w:rFonts w:ascii="FangSong" w:hAnsi="FangSong" w:eastAsia="FangSong" w:cs="FangSong"/>
          <w:sz w:val="25"/>
          <w:szCs w:val="25"/>
          <w:spacing w:val="15"/>
        </w:rPr>
        <w:t xml:space="preserve"> </w:t>
      </w:r>
      <w:r>
        <w:rPr>
          <w:rFonts w:ascii="FangSong" w:hAnsi="FangSong" w:eastAsia="FangSong" w:cs="FangSong"/>
          <w:sz w:val="25"/>
          <w:szCs w:val="25"/>
          <w:spacing w:val="-3"/>
        </w:rPr>
        <w:t>基本支出803.54万元，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占比61.07%；</w:t>
      </w:r>
    </w:p>
    <w:p>
      <w:pPr>
        <w:ind w:left="1811"/>
        <w:spacing w:before="40" w:line="224" w:lineRule="auto"/>
        <w:rPr>
          <w:rFonts w:ascii="FangSong" w:hAnsi="FangSong" w:eastAsia="FangSong" w:cs="FangSong"/>
          <w:sz w:val="25"/>
          <w:szCs w:val="25"/>
        </w:rPr>
      </w:pPr>
      <w:r>
        <w:rPr>
          <w:rFonts w:ascii="FangSong" w:hAnsi="FangSong" w:eastAsia="FangSong" w:cs="FangSong"/>
          <w:sz w:val="25"/>
          <w:szCs w:val="25"/>
          <w:spacing w:val="-3"/>
        </w:rPr>
        <w:t>项目支出512.17万元，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占比38.93%；</w:t>
      </w:r>
    </w:p>
    <w:p>
      <w:pPr>
        <w:ind w:left="1810" w:right="6672" w:firstLine="2"/>
        <w:spacing w:before="130"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1" w:line="222" w:lineRule="auto"/>
        <w:outlineLvl w:val="1"/>
        <w:rPr>
          <w:rFonts w:ascii="SimHei" w:hAnsi="SimHei" w:eastAsia="SimHei" w:cs="SimHei"/>
          <w:sz w:val="25"/>
          <w:szCs w:val="25"/>
        </w:rPr>
      </w:pPr>
      <w:bookmarkStart w:name="bookmark20" w:id="60"/>
      <w:bookmarkEnd w:id="60"/>
      <w:r>
        <w:rPr>
          <w:rFonts w:ascii="SimHei" w:hAnsi="SimHei" w:eastAsia="SimHei" w:cs="SimHei"/>
          <w:sz w:val="25"/>
          <w:szCs w:val="25"/>
        </w:rPr>
        <w:t>四、财政拨款收支决算总体情况说明</w:t>
      </w:r>
    </w:p>
    <w:p>
      <w:pPr>
        <w:ind w:left="1306" w:right="1318" w:firstLine="500"/>
        <w:spacing w:before="132" w:line="313" w:lineRule="auto"/>
        <w:rPr>
          <w:rFonts w:ascii="FangSong" w:hAnsi="FangSong" w:eastAsia="FangSong" w:cs="FangSong"/>
          <w:sz w:val="25"/>
          <w:szCs w:val="25"/>
        </w:rPr>
      </w:pPr>
      <w:r>
        <w:rPr>
          <w:rFonts w:ascii="FangSong" w:hAnsi="FangSong" w:eastAsia="FangSong" w:cs="FangSong"/>
          <w:sz w:val="25"/>
          <w:szCs w:val="25"/>
          <w:spacing w:val="1"/>
        </w:rPr>
        <w:t>2023年度财政拨款收入总计1,315.71万元，支出总计1,315.71万元。与上年相</w:t>
      </w:r>
      <w:r>
        <w:rPr>
          <w:rFonts w:ascii="FangSong" w:hAnsi="FangSong" w:eastAsia="FangSong" w:cs="FangSong"/>
          <w:sz w:val="25"/>
          <w:szCs w:val="25"/>
          <w:spacing w:val="5"/>
        </w:rPr>
        <w:t xml:space="preserve">  </w:t>
      </w:r>
      <w:r>
        <w:rPr>
          <w:rFonts w:ascii="FangSong" w:hAnsi="FangSong" w:eastAsia="FangSong" w:cs="FangSong"/>
          <w:sz w:val="25"/>
          <w:szCs w:val="25"/>
          <w:spacing w:val="1"/>
        </w:rPr>
        <w:t>比，财政拨款收入总计增加151.40万元，增长13%；财政拨款支出总计增加151.40万</w:t>
      </w:r>
      <w:r>
        <w:rPr>
          <w:rFonts w:ascii="FangSong" w:hAnsi="FangSong" w:eastAsia="FangSong" w:cs="FangSong"/>
          <w:sz w:val="25"/>
          <w:szCs w:val="25"/>
          <w:spacing w:val="18"/>
        </w:rPr>
        <w:t xml:space="preserve"> </w:t>
      </w:r>
      <w:r>
        <w:rPr>
          <w:rFonts w:ascii="FangSong" w:hAnsi="FangSong" w:eastAsia="FangSong" w:cs="FangSong"/>
          <w:sz w:val="25"/>
          <w:szCs w:val="25"/>
          <w:spacing w:val="2"/>
        </w:rPr>
        <w:t>元，增长13%。主要原因是2023年人员经费</w:t>
      </w:r>
      <w:r>
        <w:rPr>
          <w:rFonts w:ascii="FangSong" w:hAnsi="FangSong" w:eastAsia="FangSong" w:cs="FangSong"/>
          <w:sz w:val="25"/>
          <w:szCs w:val="25"/>
          <w:spacing w:val="1"/>
        </w:rPr>
        <w:t>增加、财政投资项目评审费等项目支出增</w:t>
      </w:r>
      <w:r>
        <w:rPr>
          <w:rFonts w:ascii="FangSong" w:hAnsi="FangSong" w:eastAsia="FangSong" w:cs="FangSong"/>
          <w:sz w:val="25"/>
          <w:szCs w:val="25"/>
        </w:rPr>
        <w:t xml:space="preserve"> </w:t>
      </w:r>
      <w:r>
        <w:rPr>
          <w:rFonts w:ascii="FangSong" w:hAnsi="FangSong" w:eastAsia="FangSong" w:cs="FangSong"/>
          <w:sz w:val="25"/>
          <w:szCs w:val="25"/>
          <w:spacing w:val="-8"/>
        </w:rPr>
        <w:t>加。</w:t>
      </w:r>
    </w:p>
    <w:p>
      <w:pPr>
        <w:ind w:left="1804"/>
        <w:spacing w:before="33" w:line="222" w:lineRule="auto"/>
        <w:outlineLvl w:val="1"/>
        <w:rPr>
          <w:rFonts w:ascii="SimHei" w:hAnsi="SimHei" w:eastAsia="SimHei" w:cs="SimHei"/>
          <w:sz w:val="25"/>
          <w:szCs w:val="25"/>
        </w:rPr>
      </w:pPr>
      <w:bookmarkStart w:name="bookmark21" w:id="61"/>
      <w:bookmarkEnd w:id="61"/>
      <w:r>
        <w:rPr>
          <w:rFonts w:ascii="SimHei" w:hAnsi="SimHei" w:eastAsia="SimHei" w:cs="SimHei"/>
          <w:sz w:val="25"/>
          <w:szCs w:val="25"/>
          <w:spacing w:val="1"/>
        </w:rPr>
        <w:t>五、一般公共预算财政拨款支出决算情况说明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2"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2023年一般公共预算财政拨款决算支出1,315.71</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11" w:right="1438" w:firstLine="5"/>
        <w:spacing w:before="130" w:line="304"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100.00%。与上年相比，一般公共预算财政拨款支出增加151.40万元，增长13%。主</w:t>
      </w:r>
      <w:r>
        <w:rPr>
          <w:rFonts w:ascii="FangSong" w:hAnsi="FangSong" w:eastAsia="FangSong" w:cs="FangSong"/>
          <w:sz w:val="25"/>
          <w:szCs w:val="25"/>
          <w:spacing w:val="12"/>
        </w:rPr>
        <w:t xml:space="preserve"> </w:t>
      </w:r>
      <w:r>
        <w:rPr>
          <w:rFonts w:ascii="FangSong" w:hAnsi="FangSong" w:eastAsia="FangSong" w:cs="FangSong"/>
          <w:sz w:val="25"/>
          <w:szCs w:val="25"/>
          <w:spacing w:val="1"/>
        </w:rPr>
        <w:t>要原因是2023年人员经费增加、财政投资项目评审费等项目支出增加。</w:t>
      </w:r>
    </w:p>
    <w:p>
      <w:pPr>
        <w:ind w:left="1821"/>
        <w:spacing w:before="41"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010"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2023年度一般公共预算财政拨款支出1,315.71万元，主要用于以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1"/>
        </w:rPr>
        <w:t>一般公共服务支出(类)1,116.77万元，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w:t>
      </w:r>
      <w:r>
        <w:rPr>
          <w:rFonts w:ascii="FangSong" w:hAnsi="FangSong" w:eastAsia="FangSong" w:cs="FangSong"/>
          <w:sz w:val="25"/>
          <w:szCs w:val="25"/>
          <w:spacing w:val="-2"/>
        </w:rPr>
        <w:t>比84.88%；</w:t>
      </w:r>
    </w:p>
    <w:p>
      <w:pPr>
        <w:spacing w:line="304" w:lineRule="auto"/>
        <w:sectPr>
          <w:headerReference w:type="default" r:id="rId31"/>
          <w:footerReference w:type="default" r:id="rId32"/>
          <w:pgSz w:w="11900" w:h="16840"/>
          <w:pgMar w:top="610" w:right="86" w:bottom="312" w:left="0" w:header="357" w:footer="153" w:gutter="0"/>
        </w:sectPr>
        <w:rPr>
          <w:rFonts w:ascii="FangSong" w:hAnsi="FangSong" w:eastAsia="FangSong" w:cs="FangSong"/>
          <w:sz w:val="25"/>
          <w:szCs w:val="25"/>
        </w:rPr>
      </w:pPr>
    </w:p>
    <w:p>
      <w:pPr>
        <w:pStyle w:val="BodyText"/>
        <w:spacing w:line="422" w:lineRule="auto"/>
        <w:rPr/>
      </w:pPr>
      <w:r/>
    </w:p>
    <w:p>
      <w:pPr>
        <w:ind w:left="1810" w:right="4277"/>
        <w:spacing w:before="8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社会保障和就业支出(类)132.86万元，</w:t>
      </w:r>
      <w:r>
        <w:rPr>
          <w:rFonts w:ascii="FangSong" w:hAnsi="FangSong" w:eastAsia="FangSong" w:cs="FangSong"/>
          <w:sz w:val="25"/>
          <w:szCs w:val="25"/>
          <w:spacing w:val="-62"/>
        </w:rPr>
        <w:t xml:space="preserve"> </w:t>
      </w:r>
      <w:r>
        <w:rPr>
          <w:rFonts w:ascii="FangSong" w:hAnsi="FangSong" w:eastAsia="FangSong" w:cs="FangSong"/>
          <w:sz w:val="25"/>
          <w:szCs w:val="25"/>
          <w:spacing w:val="-3"/>
        </w:rPr>
        <w:t>占比10.10%；</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住房保障支出(类)65.12万元，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占比4.95%；</w:t>
      </w:r>
    </w:p>
    <w:p>
      <w:pPr>
        <w:ind w:left="1812"/>
        <w:spacing w:before="42" w:line="223" w:lineRule="auto"/>
        <w:rPr>
          <w:rFonts w:ascii="FangSong" w:hAnsi="FangSong" w:eastAsia="FangSong" w:cs="FangSong"/>
          <w:sz w:val="25"/>
          <w:szCs w:val="25"/>
        </w:rPr>
      </w:pPr>
      <w:r>
        <w:rPr>
          <w:rFonts w:ascii="FangSong" w:hAnsi="FangSong" w:eastAsia="FangSong" w:cs="FangSong"/>
          <w:sz w:val="25"/>
          <w:szCs w:val="25"/>
          <w:spacing w:val="-3"/>
        </w:rPr>
        <w:t>其他支出(类)0.96万元，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占比0.07%。</w:t>
      </w:r>
    </w:p>
    <w:p>
      <w:pPr>
        <w:ind w:left="1821"/>
        <w:spacing w:before="130"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7" w:right="2207" w:firstLine="488"/>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2023年度一般公共预算财政拨款支出年初预算1,314.65万元，支出决算</w:t>
      </w:r>
      <w:r>
        <w:rPr>
          <w:rFonts w:ascii="FangSong" w:hAnsi="FangSong" w:eastAsia="FangSong" w:cs="FangSong"/>
          <w:sz w:val="25"/>
          <w:szCs w:val="25"/>
          <w:spacing w:val="12"/>
        </w:rPr>
        <w:t xml:space="preserve"> </w:t>
      </w:r>
      <w:r>
        <w:rPr>
          <w:rFonts w:ascii="FangSong" w:hAnsi="FangSong" w:eastAsia="FangSong" w:cs="FangSong"/>
          <w:sz w:val="25"/>
          <w:szCs w:val="25"/>
        </w:rPr>
        <w:t>1,315.71万元，完成年初预算的100.08%。其中：</w:t>
      </w:r>
    </w:p>
    <w:p>
      <w:pPr>
        <w:ind w:left="1306" w:right="1450" w:firstLine="508"/>
        <w:spacing w:before="41" w:line="304" w:lineRule="auto"/>
        <w:rPr>
          <w:rFonts w:ascii="FangSong" w:hAnsi="FangSong" w:eastAsia="FangSong" w:cs="FangSong"/>
          <w:sz w:val="25"/>
          <w:szCs w:val="25"/>
        </w:rPr>
      </w:pPr>
      <w:r>
        <w:rPr>
          <w:rFonts w:ascii="FangSong" w:hAnsi="FangSong" w:eastAsia="FangSong" w:cs="FangSong"/>
          <w:sz w:val="25"/>
          <w:szCs w:val="25"/>
          <w:spacing w:val="1"/>
        </w:rPr>
        <w:t>一般公共服务支出年初预算1148.34万元，支出决算1116.77万元，完成年初预</w:t>
      </w:r>
      <w:r>
        <w:rPr>
          <w:rFonts w:ascii="FangSong" w:hAnsi="FangSong" w:eastAsia="FangSong" w:cs="FangSong"/>
          <w:sz w:val="25"/>
          <w:szCs w:val="25"/>
          <w:spacing w:val="5"/>
        </w:rPr>
        <w:t xml:space="preserve"> </w:t>
      </w:r>
      <w:r>
        <w:rPr>
          <w:rFonts w:ascii="FangSong" w:hAnsi="FangSong" w:eastAsia="FangSong" w:cs="FangSong"/>
          <w:sz w:val="25"/>
          <w:szCs w:val="25"/>
          <w:spacing w:val="1"/>
        </w:rPr>
        <w:t>算的97.25%，主要用于人员工资及财政投资项目评审费等项目经费。较上年决算</w:t>
      </w:r>
    </w:p>
    <w:p>
      <w:pPr>
        <w:ind w:left="1300"/>
        <w:spacing w:before="41" w:line="224" w:lineRule="auto"/>
        <w:rPr>
          <w:rFonts w:ascii="FangSong" w:hAnsi="FangSong" w:eastAsia="FangSong" w:cs="FangSong"/>
          <w:sz w:val="25"/>
          <w:szCs w:val="25"/>
        </w:rPr>
      </w:pPr>
      <w:r>
        <w:rPr>
          <w:rFonts w:ascii="FangSong" w:hAnsi="FangSong" w:eastAsia="FangSong" w:cs="FangSong"/>
          <w:sz w:val="25"/>
          <w:szCs w:val="25"/>
          <w:spacing w:val="1"/>
        </w:rPr>
        <w:t>995.51万元增加121.26万元，增长12.18%，主要原因是财政投资项目评审费增加；</w:t>
      </w:r>
    </w:p>
    <w:p>
      <w:pPr>
        <w:ind w:left="1306" w:right="1324"/>
        <w:spacing w:before="132" w:line="315" w:lineRule="auto"/>
        <w:rPr>
          <w:rFonts w:ascii="FangSong" w:hAnsi="FangSong" w:eastAsia="FangSong" w:cs="FangSong"/>
          <w:sz w:val="25"/>
          <w:szCs w:val="25"/>
        </w:rPr>
      </w:pPr>
      <w:r>
        <w:rPr>
          <w:rFonts w:ascii="FangSong" w:hAnsi="FangSong" w:eastAsia="FangSong" w:cs="FangSong"/>
          <w:sz w:val="25"/>
          <w:szCs w:val="25"/>
          <w:spacing w:val="1"/>
        </w:rPr>
        <w:t>社会保障和就业支出支出年初预算110.7万元，支出决算132.86万元，完成年初预算</w:t>
      </w:r>
      <w:r>
        <w:rPr>
          <w:rFonts w:ascii="FangSong" w:hAnsi="FangSong" w:eastAsia="FangSong" w:cs="FangSong"/>
          <w:sz w:val="25"/>
          <w:szCs w:val="25"/>
          <w:spacing w:val="13"/>
        </w:rPr>
        <w:t xml:space="preserve"> </w:t>
      </w:r>
      <w:r>
        <w:rPr>
          <w:rFonts w:ascii="FangSong" w:hAnsi="FangSong" w:eastAsia="FangSong" w:cs="FangSong"/>
          <w:sz w:val="25"/>
          <w:szCs w:val="25"/>
          <w:spacing w:val="1"/>
        </w:rPr>
        <w:t>的120.02%，主要用于在职人员社会保险缴费。较上年决算101.22万元增加31.64万</w:t>
      </w:r>
      <w:r>
        <w:rPr>
          <w:rFonts w:ascii="FangSong" w:hAnsi="FangSong" w:eastAsia="FangSong" w:cs="FangSong"/>
          <w:sz w:val="25"/>
          <w:szCs w:val="25"/>
          <w:spacing w:val="5"/>
        </w:rPr>
        <w:t xml:space="preserve">  </w:t>
      </w:r>
      <w:r>
        <w:rPr>
          <w:rFonts w:ascii="FangSong" w:hAnsi="FangSong" w:eastAsia="FangSong" w:cs="FangSong"/>
          <w:sz w:val="25"/>
          <w:szCs w:val="25"/>
          <w:spacing w:val="1"/>
        </w:rPr>
        <w:t>元，增长31.26%，主要原因是职业年金记实、发放抚恤金等；住房保障支出年初预</w:t>
      </w:r>
      <w:r>
        <w:rPr>
          <w:rFonts w:ascii="FangSong" w:hAnsi="FangSong" w:eastAsia="FangSong" w:cs="FangSong"/>
          <w:sz w:val="25"/>
          <w:szCs w:val="25"/>
          <w:spacing w:val="8"/>
        </w:rPr>
        <w:t xml:space="preserve">  </w:t>
      </w:r>
      <w:r>
        <w:rPr>
          <w:rFonts w:ascii="FangSong" w:hAnsi="FangSong" w:eastAsia="FangSong" w:cs="FangSong"/>
          <w:sz w:val="25"/>
          <w:szCs w:val="25"/>
          <w:spacing w:val="1"/>
        </w:rPr>
        <w:t>算55.61万元，支出决算65.12万元，完成年初预算的117.1%，主要用于在职人员的</w:t>
      </w:r>
      <w:r>
        <w:rPr>
          <w:rFonts w:ascii="FangSong" w:hAnsi="FangSong" w:eastAsia="FangSong" w:cs="FangSong"/>
          <w:sz w:val="25"/>
          <w:szCs w:val="25"/>
          <w:spacing w:val="5"/>
        </w:rPr>
        <w:t xml:space="preserve">  </w:t>
      </w:r>
      <w:r>
        <w:rPr>
          <w:rFonts w:ascii="FangSong" w:hAnsi="FangSong" w:eastAsia="FangSong" w:cs="FangSong"/>
          <w:sz w:val="25"/>
          <w:szCs w:val="25"/>
          <w:spacing w:val="1"/>
        </w:rPr>
        <w:t>住房公积金。较上年决算60.48万元增加4.64万元，增长7.67%，主要原因是缴费基</w:t>
      </w:r>
      <w:r>
        <w:rPr>
          <w:rFonts w:ascii="FangSong" w:hAnsi="FangSong" w:eastAsia="FangSong" w:cs="FangSong"/>
          <w:sz w:val="25"/>
          <w:szCs w:val="25"/>
          <w:spacing w:val="6"/>
        </w:rPr>
        <w:t xml:space="preserve">  </w:t>
      </w:r>
      <w:r>
        <w:rPr>
          <w:rFonts w:ascii="FangSong" w:hAnsi="FangSong" w:eastAsia="FangSong" w:cs="FangSong"/>
          <w:sz w:val="25"/>
          <w:szCs w:val="25"/>
          <w:spacing w:val="1"/>
        </w:rPr>
        <w:t>数增加；其他支出年初预算0万元，支出决算0.96万</w:t>
      </w:r>
      <w:r>
        <w:rPr>
          <w:rFonts w:ascii="FangSong" w:hAnsi="FangSong" w:eastAsia="FangSong" w:cs="FangSong"/>
          <w:sz w:val="25"/>
          <w:szCs w:val="25"/>
        </w:rPr>
        <w:t>元，完成年初预算的</w:t>
      </w:r>
      <w:r>
        <w:rPr>
          <w:rFonts w:ascii="FangSong" w:hAnsi="FangSong" w:eastAsia="FangSong" w:cs="FangSong"/>
          <w:sz w:val="25"/>
          <w:szCs w:val="25"/>
          <w:spacing w:val="-95"/>
        </w:rPr>
        <w:t xml:space="preserve"> </w:t>
      </w:r>
      <w:r>
        <w:rPr>
          <w:rFonts w:ascii="FangSong" w:hAnsi="FangSong" w:eastAsia="FangSong" w:cs="FangSong"/>
          <w:sz w:val="25"/>
          <w:szCs w:val="25"/>
        </w:rPr>
        <w:t>∞%，主要</w:t>
      </w:r>
      <w:r>
        <w:rPr>
          <w:rFonts w:ascii="FangSong" w:hAnsi="FangSong" w:eastAsia="FangSong" w:cs="FangSong"/>
          <w:sz w:val="25"/>
          <w:szCs w:val="25"/>
        </w:rPr>
        <w:t xml:space="preserve">  </w:t>
      </w:r>
      <w:r>
        <w:rPr>
          <w:rFonts w:ascii="FangSong" w:hAnsi="FangSong" w:eastAsia="FangSong" w:cs="FangSong"/>
          <w:sz w:val="25"/>
          <w:szCs w:val="25"/>
          <w:spacing w:val="1"/>
        </w:rPr>
        <w:t>用于公务员年度目标责任考核奖。较上年决算0万元增加</w:t>
      </w:r>
      <w:r>
        <w:rPr>
          <w:rFonts w:ascii="FangSong" w:hAnsi="FangSong" w:eastAsia="FangSong" w:cs="FangSong"/>
          <w:sz w:val="25"/>
          <w:szCs w:val="25"/>
        </w:rPr>
        <w:t>0.96万元，增长</w:t>
      </w:r>
      <w:r>
        <w:rPr>
          <w:rFonts w:ascii="FangSong" w:hAnsi="FangSong" w:eastAsia="FangSong" w:cs="FangSong"/>
          <w:sz w:val="25"/>
          <w:szCs w:val="25"/>
          <w:spacing w:val="-95"/>
        </w:rPr>
        <w:t xml:space="preserve"> </w:t>
      </w:r>
      <w:r>
        <w:rPr>
          <w:rFonts w:ascii="FangSong" w:hAnsi="FangSong" w:eastAsia="FangSong" w:cs="FangSong"/>
          <w:sz w:val="25"/>
          <w:szCs w:val="25"/>
        </w:rPr>
        <w:t>∞%，主要</w:t>
      </w:r>
      <w:r>
        <w:rPr>
          <w:rFonts w:ascii="FangSong" w:hAnsi="FangSong" w:eastAsia="FangSong" w:cs="FangSong"/>
          <w:sz w:val="25"/>
          <w:szCs w:val="25"/>
        </w:rPr>
        <w:t xml:space="preserve">  </w:t>
      </w:r>
      <w:r>
        <w:rPr>
          <w:rFonts w:ascii="FangSong" w:hAnsi="FangSong" w:eastAsia="FangSong" w:cs="FangSong"/>
          <w:sz w:val="25"/>
          <w:szCs w:val="25"/>
          <w:spacing w:val="1"/>
        </w:rPr>
        <w:t>原因是补发2021年公务员年度目标责任考核奖。</w:t>
      </w:r>
    </w:p>
    <w:p>
      <w:pPr>
        <w:ind w:left="1805"/>
        <w:spacing w:before="42" w:line="222" w:lineRule="auto"/>
        <w:outlineLvl w:val="1"/>
        <w:rPr>
          <w:rFonts w:ascii="SimHei" w:hAnsi="SimHei" w:eastAsia="SimHei" w:cs="SimHei"/>
          <w:sz w:val="25"/>
          <w:szCs w:val="25"/>
        </w:rPr>
      </w:pPr>
      <w:bookmarkStart w:name="bookmark22" w:id="62"/>
      <w:bookmarkEnd w:id="62"/>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2023年度财政拨款基本支出803.54万元，其中：</w:t>
      </w:r>
    </w:p>
    <w:p>
      <w:pPr>
        <w:ind w:left="1306" w:right="1450" w:firstLine="508"/>
        <w:spacing w:before="129" w:line="304" w:lineRule="auto"/>
        <w:rPr>
          <w:rFonts w:ascii="FangSong" w:hAnsi="FangSong" w:eastAsia="FangSong" w:cs="FangSong"/>
          <w:sz w:val="25"/>
          <w:szCs w:val="25"/>
        </w:rPr>
      </w:pPr>
      <w:r>
        <w:rPr>
          <w:rFonts w:ascii="FangSong" w:hAnsi="FangSong" w:eastAsia="FangSong" w:cs="FangSong"/>
          <w:sz w:val="25"/>
          <w:szCs w:val="25"/>
          <w:spacing w:val="1"/>
        </w:rPr>
        <w:t>人员经费759.99万元，主要包括工资福利支出700.70万元、对个人和家庭的补</w:t>
      </w:r>
      <w:r>
        <w:rPr>
          <w:rFonts w:ascii="FangSong" w:hAnsi="FangSong" w:eastAsia="FangSong" w:cs="FangSong"/>
          <w:sz w:val="25"/>
          <w:szCs w:val="25"/>
          <w:spacing w:val="6"/>
        </w:rPr>
        <w:t xml:space="preserve"> </w:t>
      </w:r>
      <w:r>
        <w:rPr>
          <w:rFonts w:ascii="FangSong" w:hAnsi="FangSong" w:eastAsia="FangSong" w:cs="FangSong"/>
          <w:sz w:val="25"/>
          <w:szCs w:val="25"/>
          <w:spacing w:val="-1"/>
        </w:rPr>
        <w:t>助支出59.29万元；</w:t>
      </w:r>
    </w:p>
    <w:p>
      <w:pPr>
        <w:ind w:left="1307" w:right="1318" w:firstLine="508"/>
        <w:spacing w:before="40" w:line="304" w:lineRule="auto"/>
        <w:rPr>
          <w:rFonts w:ascii="FangSong" w:hAnsi="FangSong" w:eastAsia="FangSong" w:cs="FangSong"/>
          <w:sz w:val="25"/>
          <w:szCs w:val="25"/>
        </w:rPr>
      </w:pPr>
      <w:r>
        <w:rPr>
          <w:rFonts w:ascii="FangSong" w:hAnsi="FangSong" w:eastAsia="FangSong" w:cs="FangSong"/>
          <w:sz w:val="25"/>
          <w:szCs w:val="25"/>
          <w:spacing w:val="1"/>
        </w:rPr>
        <w:t>公用经费43.55万元，主要包括办公费、印刷费、电费、邮电费、差旅费、维修</w:t>
      </w:r>
      <w:r>
        <w:rPr>
          <w:rFonts w:ascii="FangSong" w:hAnsi="FangSong" w:eastAsia="FangSong" w:cs="FangSong"/>
          <w:sz w:val="25"/>
          <w:szCs w:val="25"/>
          <w:spacing w:val="15"/>
        </w:rPr>
        <w:t xml:space="preserve"> </w:t>
      </w:r>
      <w:r>
        <w:rPr>
          <w:rFonts w:ascii="FangSong" w:hAnsi="FangSong" w:eastAsia="FangSong" w:cs="FangSong"/>
          <w:sz w:val="25"/>
          <w:szCs w:val="25"/>
          <w:spacing w:val="1"/>
        </w:rPr>
        <w:t>（护）费、劳务费、工会经费、福利费、其他交通费用及其他商品和服务支出。</w:t>
      </w:r>
    </w:p>
    <w:p>
      <w:pPr>
        <w:ind w:left="1797"/>
        <w:spacing w:before="42" w:line="222" w:lineRule="auto"/>
        <w:outlineLvl w:val="1"/>
        <w:rPr>
          <w:rFonts w:ascii="SimHei" w:hAnsi="SimHei" w:eastAsia="SimHei" w:cs="SimHei"/>
          <w:sz w:val="25"/>
          <w:szCs w:val="25"/>
        </w:rPr>
      </w:pPr>
      <w:bookmarkStart w:name="bookmark23" w:id="63"/>
      <w:bookmarkEnd w:id="63"/>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30" w:line="222" w:lineRule="auto"/>
        <w:outlineLvl w:val="1"/>
        <w:rPr>
          <w:rFonts w:ascii="SimHei" w:hAnsi="SimHei" w:eastAsia="SimHei" w:cs="SimHei"/>
          <w:sz w:val="25"/>
          <w:szCs w:val="25"/>
        </w:rPr>
      </w:pPr>
      <w:bookmarkStart w:name="bookmark24" w:id="64"/>
      <w:bookmarkEnd w:id="64"/>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5"/>
      <w:bookmarkEnd w:id="65"/>
      <w:r>
        <w:rPr>
          <w:rFonts w:ascii="SimHei" w:hAnsi="SimHei" w:eastAsia="SimHei" w:cs="SimHei"/>
          <w:sz w:val="25"/>
          <w:szCs w:val="25"/>
          <w:spacing w:val="1"/>
        </w:rPr>
        <w:t>九、财政拨款“三公”经费支出决算情况说明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是：本单位无因公出国（境）费用支出；</w:t>
      </w:r>
    </w:p>
    <w:p>
      <w:pPr>
        <w:ind w:left="1816"/>
        <w:spacing w:before="43" w:line="221" w:lineRule="auto"/>
        <w:rPr>
          <w:rFonts w:ascii="FangSong" w:hAnsi="FangSong" w:eastAsia="FangSong" w:cs="FangSong"/>
          <w:sz w:val="25"/>
          <w:szCs w:val="25"/>
        </w:rPr>
      </w:pPr>
      <w:r>
        <w:rPr>
          <w:rFonts w:ascii="FangSong" w:hAnsi="FangSong" w:eastAsia="FangSong" w:cs="FangSong"/>
          <w:sz w:val="25"/>
          <w:szCs w:val="25"/>
          <w:spacing w:val="2"/>
        </w:rPr>
        <w:t>公务用车购置费支出0万元，完成全年预算的0%，与上年相同，主要原因是</w:t>
      </w:r>
      <w:r>
        <w:rPr>
          <w:rFonts w:ascii="FangSong" w:hAnsi="FangSong" w:eastAsia="FangSong" w:cs="FangSong"/>
          <w:sz w:val="25"/>
          <w:szCs w:val="25"/>
          <w:spacing w:val="1"/>
        </w:rPr>
        <w:t>：本</w:t>
      </w:r>
    </w:p>
    <w:p>
      <w:pPr>
        <w:spacing w:line="221" w:lineRule="auto"/>
        <w:sectPr>
          <w:headerReference w:type="default" r:id="rId7"/>
          <w:footerReference w:type="default" r:id="rId33"/>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11"/>
        <w:spacing w:before="81" w:line="221" w:lineRule="auto"/>
        <w:rPr>
          <w:rFonts w:ascii="FangSong" w:hAnsi="FangSong" w:eastAsia="FangSong" w:cs="FangSong"/>
          <w:sz w:val="25"/>
          <w:szCs w:val="25"/>
        </w:rPr>
      </w:pPr>
      <w:bookmarkStart w:name="bookmark42" w:id="66"/>
      <w:bookmarkEnd w:id="66"/>
      <w:r>
        <w:rPr>
          <w:rFonts w:ascii="FangSong" w:hAnsi="FangSong" w:eastAsia="FangSong" w:cs="FangSong"/>
          <w:sz w:val="25"/>
          <w:szCs w:val="25"/>
        </w:rPr>
        <w:t>单位无公务用车购置费用支出；</w:t>
      </w:r>
    </w:p>
    <w:p>
      <w:pPr>
        <w:ind w:left="1307" w:right="1570" w:firstLine="508"/>
        <w:spacing w:before="131"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是：本单位无公务用车运行维护费用支出；</w:t>
      </w:r>
    </w:p>
    <w:p>
      <w:pPr>
        <w:ind w:left="1309" w:right="1318"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无公务接待费用支出。</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本单位无</w:t>
      </w:r>
      <w:r>
        <w:rPr>
          <w:rFonts w:ascii="FangSong" w:hAnsi="FangSong" w:eastAsia="FangSong" w:cs="FangSong"/>
          <w:sz w:val="25"/>
          <w:szCs w:val="25"/>
        </w:rPr>
        <w:t xml:space="preserve"> </w:t>
      </w:r>
      <w:r>
        <w:rPr>
          <w:rFonts w:ascii="FangSong" w:hAnsi="FangSong" w:eastAsia="FangSong" w:cs="FangSong"/>
          <w:sz w:val="25"/>
          <w:szCs w:val="25"/>
          <w:spacing w:val="-2"/>
        </w:rPr>
        <w:t>因公出国（境）费用支出。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位无公务用车购置费用支出。</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车，主要用于：本单位无公务用车运行维护费用</w:t>
      </w:r>
      <w:r>
        <w:rPr>
          <w:rFonts w:ascii="FangSong" w:hAnsi="FangSong" w:eastAsia="FangSong" w:cs="FangSong"/>
          <w:sz w:val="25"/>
          <w:szCs w:val="25"/>
        </w:rPr>
        <w:t>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9" w:right="1294" w:hanging="2"/>
        <w:spacing w:before="128" w:line="309"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无公务接待费用支出；国（境）外接待费0万元，共接待国（境）外0批次，0人次，</w:t>
      </w:r>
      <w:r>
        <w:rPr>
          <w:rFonts w:ascii="FangSong" w:hAnsi="FangSong" w:eastAsia="FangSong" w:cs="FangSong"/>
          <w:sz w:val="25"/>
          <w:szCs w:val="25"/>
          <w:spacing w:val="6"/>
        </w:rPr>
        <w:t xml:space="preserve"> </w:t>
      </w:r>
      <w:r>
        <w:rPr>
          <w:rFonts w:ascii="FangSong" w:hAnsi="FangSong" w:eastAsia="FangSong" w:cs="FangSong"/>
          <w:sz w:val="25"/>
          <w:szCs w:val="25"/>
        </w:rPr>
        <w:t>主要是本单位无国（境）外接待费用支出。</w:t>
      </w:r>
    </w:p>
    <w:p>
      <w:pPr>
        <w:ind w:left="1801"/>
        <w:spacing w:before="43" w:line="222" w:lineRule="auto"/>
        <w:outlineLvl w:val="1"/>
        <w:rPr>
          <w:rFonts w:ascii="SimHei" w:hAnsi="SimHei" w:eastAsia="SimHei" w:cs="SimHei"/>
          <w:sz w:val="25"/>
          <w:szCs w:val="25"/>
        </w:rPr>
      </w:pPr>
      <w:bookmarkStart w:name="bookmark26" w:id="67"/>
      <w:bookmarkEnd w:id="67"/>
      <w:r>
        <w:rPr>
          <w:rFonts w:ascii="SimHei" w:hAnsi="SimHei" w:eastAsia="SimHei" w:cs="SimHei"/>
          <w:sz w:val="25"/>
          <w:szCs w:val="25"/>
        </w:rPr>
        <w:t>十、其他重要事项情况说明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438" w:firstLine="494"/>
        <w:spacing w:before="131" w:line="304" w:lineRule="auto"/>
        <w:rPr>
          <w:rFonts w:ascii="FangSong" w:hAnsi="FangSong" w:eastAsia="FangSong" w:cs="FangSong"/>
          <w:sz w:val="25"/>
          <w:szCs w:val="25"/>
        </w:rPr>
      </w:pPr>
      <w:r>
        <w:rPr>
          <w:rFonts w:ascii="FangSong" w:hAnsi="FangSong" w:eastAsia="FangSong" w:cs="FangSong"/>
          <w:sz w:val="25"/>
          <w:szCs w:val="25"/>
        </w:rPr>
        <w:t>2023年机关运行经费支出16.09万元，</w:t>
      </w:r>
      <w:r>
        <w:rPr>
          <w:rFonts w:ascii="FangSong" w:hAnsi="FangSong" w:eastAsia="FangSong" w:cs="FangSong"/>
          <w:sz w:val="25"/>
          <w:szCs w:val="25"/>
          <w:spacing w:val="-58"/>
        </w:rPr>
        <w:t xml:space="preserve"> </w:t>
      </w:r>
      <w:r>
        <w:rPr>
          <w:rFonts w:ascii="FangSong" w:hAnsi="FangSong" w:eastAsia="FangSong" w:cs="FangSong"/>
          <w:sz w:val="25"/>
          <w:szCs w:val="25"/>
        </w:rPr>
        <w:t>比2022年减少0.94万元，下降5.52%，主</w:t>
      </w:r>
      <w:r>
        <w:rPr>
          <w:rFonts w:ascii="FangSong" w:hAnsi="FangSong" w:eastAsia="FangSong" w:cs="FangSong"/>
          <w:sz w:val="25"/>
          <w:szCs w:val="25"/>
        </w:rPr>
        <w:t xml:space="preserve"> </w:t>
      </w:r>
      <w:r>
        <w:rPr>
          <w:rFonts w:ascii="FangSong" w:hAnsi="FangSong" w:eastAsia="FangSong" w:cs="FangSong"/>
          <w:sz w:val="25"/>
          <w:szCs w:val="25"/>
        </w:rPr>
        <w:t>要原因落实过紧日子，按要求压减支出。</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7" w:right="1450" w:firstLine="498"/>
        <w:spacing w:before="132" w:line="304" w:lineRule="auto"/>
        <w:rPr>
          <w:rFonts w:ascii="FangSong" w:hAnsi="FangSong" w:eastAsia="FangSong" w:cs="FangSong"/>
          <w:sz w:val="25"/>
          <w:szCs w:val="25"/>
        </w:rPr>
      </w:pPr>
      <w:r>
        <w:rPr>
          <w:rFonts w:ascii="FangSong" w:hAnsi="FangSong" w:eastAsia="FangSong" w:cs="FangSong"/>
          <w:sz w:val="25"/>
          <w:szCs w:val="25"/>
          <w:spacing w:val="1"/>
        </w:rPr>
        <w:t>2023年度政府采购支出总额1.84万元，其中：政府采购货物支出1.84万元、政</w:t>
      </w:r>
      <w:r>
        <w:rPr>
          <w:rFonts w:ascii="FangSong" w:hAnsi="FangSong" w:eastAsia="FangSong" w:cs="FangSong"/>
          <w:sz w:val="25"/>
          <w:szCs w:val="25"/>
          <w:spacing w:val="15"/>
        </w:rPr>
        <w:t xml:space="preserve"> </w:t>
      </w:r>
      <w:r>
        <w:rPr>
          <w:rFonts w:ascii="FangSong" w:hAnsi="FangSong" w:eastAsia="FangSong" w:cs="FangSong"/>
          <w:sz w:val="25"/>
          <w:szCs w:val="25"/>
          <w:spacing w:val="2"/>
        </w:rPr>
        <w:t>府采购工程支出0万元、政府采购服务支出0万元。政府采购</w:t>
      </w:r>
      <w:r>
        <w:rPr>
          <w:rFonts w:ascii="FangSong" w:hAnsi="FangSong" w:eastAsia="FangSong" w:cs="FangSong"/>
          <w:sz w:val="25"/>
          <w:szCs w:val="25"/>
          <w:spacing w:val="1"/>
        </w:rPr>
        <w:t>授予中小企业合同金</w:t>
      </w:r>
    </w:p>
    <w:p>
      <w:pPr>
        <w:ind w:left="1308" w:right="1438" w:hanging="2"/>
        <w:spacing w:before="41" w:line="304" w:lineRule="auto"/>
        <w:rPr>
          <w:rFonts w:ascii="FangSong" w:hAnsi="FangSong" w:eastAsia="FangSong" w:cs="FangSong"/>
          <w:sz w:val="25"/>
          <w:szCs w:val="25"/>
        </w:rPr>
      </w:pPr>
      <w:r>
        <w:rPr>
          <w:rFonts w:ascii="FangSong" w:hAnsi="FangSong" w:eastAsia="FangSong" w:cs="FangSong"/>
          <w:sz w:val="25"/>
          <w:szCs w:val="25"/>
          <w:spacing w:val="-1"/>
        </w:rPr>
        <w:t>额0万元，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占政府采购支出总额的0%。其中</w:t>
      </w:r>
      <w:r>
        <w:rPr>
          <w:rFonts w:ascii="FangSong" w:hAnsi="FangSong" w:eastAsia="FangSong" w:cs="FangSong"/>
          <w:sz w:val="25"/>
          <w:szCs w:val="25"/>
          <w:spacing w:val="-2"/>
        </w:rPr>
        <w:t>：授予小微企业合同金额0万元，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占政府</w:t>
      </w:r>
      <w:r>
        <w:rPr>
          <w:rFonts w:ascii="FangSong" w:hAnsi="FangSong" w:eastAsia="FangSong" w:cs="FangSong"/>
          <w:sz w:val="25"/>
          <w:szCs w:val="25"/>
        </w:rPr>
        <w:t xml:space="preserve"> </w:t>
      </w:r>
      <w:r>
        <w:rPr>
          <w:rFonts w:ascii="FangSong" w:hAnsi="FangSong" w:eastAsia="FangSong" w:cs="FangSong"/>
          <w:sz w:val="25"/>
          <w:szCs w:val="25"/>
          <w:spacing w:val="-1"/>
        </w:rPr>
        <w:t>采购支出总额的0%。</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他用车主要是本单位无其他用车；单价100万元（含）以上设备（不含车辆）0台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811"/>
        <w:spacing w:before="133" w:line="222"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w:t>
      </w:r>
    </w:p>
    <w:p>
      <w:pPr>
        <w:spacing w:line="222" w:lineRule="auto"/>
        <w:sectPr>
          <w:headerReference w:type="default" r:id="rId34"/>
          <w:footerReference w:type="default" r:id="rId35"/>
          <w:pgSz w:w="11900" w:h="16840"/>
          <w:pgMar w:top="610" w:right="86" w:bottom="312" w:left="0" w:header="357" w:footer="153" w:gutter="0"/>
        </w:sectPr>
        <w:rPr>
          <w:rFonts w:ascii="FangSong" w:hAnsi="FangSong" w:eastAsia="FangSong" w:cs="FangSong"/>
          <w:sz w:val="25"/>
          <w:szCs w:val="25"/>
        </w:rPr>
      </w:pPr>
    </w:p>
    <w:p>
      <w:pPr>
        <w:pStyle w:val="BodyText"/>
        <w:spacing w:line="276" w:lineRule="auto"/>
        <w:rPr/>
      </w:pPr>
      <w:r/>
    </w:p>
    <w:p>
      <w:pPr>
        <w:ind w:left="1306" w:right="1323" w:firstLine="1"/>
        <w:spacing w:before="81" w:line="312" w:lineRule="auto"/>
        <w:jc w:val="both"/>
        <w:rPr>
          <w:rFonts w:ascii="FangSong" w:hAnsi="FangSong" w:eastAsia="FangSong" w:cs="FangSong"/>
          <w:sz w:val="25"/>
          <w:szCs w:val="25"/>
        </w:rPr>
      </w:pPr>
      <w:bookmarkStart w:name="bookmark43" w:id="68"/>
      <w:bookmarkEnd w:id="68"/>
      <w:r>
        <w:rPr>
          <w:rFonts w:ascii="FangSong" w:hAnsi="FangSong" w:eastAsia="FangSong" w:cs="FangSong"/>
          <w:sz w:val="25"/>
          <w:szCs w:val="25"/>
          <w:spacing w:val="1"/>
        </w:rPr>
        <w:t>展了绩效自评，涉及二级项目8个，共涉及资金512.17万元，其中一般公共预算项目</w:t>
      </w:r>
      <w:r>
        <w:rPr>
          <w:rFonts w:ascii="FangSong" w:hAnsi="FangSong" w:eastAsia="FangSong" w:cs="FangSong"/>
          <w:sz w:val="25"/>
          <w:szCs w:val="25"/>
          <w:spacing w:val="14"/>
        </w:rPr>
        <w:t xml:space="preserve"> </w:t>
      </w:r>
      <w:r>
        <w:rPr>
          <w:rFonts w:ascii="FangSong" w:hAnsi="FangSong" w:eastAsia="FangSong" w:cs="FangSong"/>
          <w:sz w:val="25"/>
          <w:szCs w:val="25"/>
          <w:spacing w:val="1"/>
        </w:rPr>
        <w:t>支出512.17万元、政府性基金预算项目支出0万元、国有资金经营预算项目支出0万</w:t>
      </w:r>
      <w:r>
        <w:rPr>
          <w:rFonts w:ascii="FangSong" w:hAnsi="FangSong" w:eastAsia="FangSong" w:cs="FangSong"/>
          <w:sz w:val="25"/>
          <w:szCs w:val="25"/>
          <w:spacing w:val="7"/>
        </w:rPr>
        <w:t xml:space="preserve">  </w:t>
      </w:r>
      <w:r>
        <w:rPr>
          <w:rFonts w:ascii="FangSong" w:hAnsi="FangSong" w:eastAsia="FangSong" w:cs="FangSong"/>
          <w:sz w:val="25"/>
          <w:szCs w:val="25"/>
          <w:spacing w:val="-1"/>
        </w:rPr>
        <w:t>元、社会保险基金预算项目支出0万元。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自评结果为：8个项目自评等</w:t>
      </w:r>
      <w:r>
        <w:rPr>
          <w:rFonts w:ascii="FangSong" w:hAnsi="FangSong" w:eastAsia="FangSong" w:cs="FangSong"/>
          <w:sz w:val="25"/>
          <w:szCs w:val="25"/>
          <w:spacing w:val="-2"/>
        </w:rPr>
        <w:t>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”，0</w:t>
      </w:r>
      <w:r>
        <w:rPr>
          <w:rFonts w:ascii="FangSong" w:hAnsi="FangSong" w:eastAsia="FangSong" w:cs="FangSong"/>
          <w:sz w:val="25"/>
          <w:szCs w:val="25"/>
        </w:rPr>
        <w:t xml:space="preserve"> </w:t>
      </w:r>
      <w:r>
        <w:rPr>
          <w:rFonts w:ascii="FangSong" w:hAnsi="FangSong" w:eastAsia="FangSong" w:cs="FangSong"/>
          <w:sz w:val="25"/>
          <w:szCs w:val="25"/>
          <w:spacing w:val="-4"/>
        </w:rPr>
        <w:t>个项目自评等级为“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4"/>
        </w:rPr>
        <w:t>良</w:t>
      </w:r>
      <w:r>
        <w:rPr>
          <w:rFonts w:ascii="FangSong" w:hAnsi="FangSong" w:eastAsia="FangSong" w:cs="FangSong"/>
          <w:sz w:val="25"/>
          <w:szCs w:val="25"/>
          <w:spacing w:val="-90"/>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73"/>
        </w:rPr>
        <w:t xml:space="preserve"> </w:t>
      </w:r>
      <w:r>
        <w:rPr>
          <w:rFonts w:ascii="FangSong" w:hAnsi="FangSong" w:eastAsia="FangSong" w:cs="FangSong"/>
          <w:sz w:val="25"/>
          <w:szCs w:val="25"/>
          <w:spacing w:val="-4"/>
        </w:rPr>
        <w:t>中</w:t>
      </w:r>
      <w:r>
        <w:rPr>
          <w:rFonts w:ascii="FangSong" w:hAnsi="FangSong" w:eastAsia="FangSong" w:cs="FangSong"/>
          <w:sz w:val="25"/>
          <w:szCs w:val="25"/>
          <w:spacing w:val="-90"/>
        </w:rPr>
        <w:t xml:space="preserve"> </w:t>
      </w:r>
      <w:r>
        <w:rPr>
          <w:rFonts w:ascii="FangSong" w:hAnsi="FangSong" w:eastAsia="FangSong" w:cs="FangSong"/>
          <w:sz w:val="25"/>
          <w:szCs w:val="25"/>
          <w:spacing w:val="-4"/>
        </w:rPr>
        <w:t>”，0个项目自评等级</w:t>
      </w:r>
    </w:p>
    <w:p>
      <w:pPr>
        <w:ind w:left="1307" w:right="1324" w:firstLine="8"/>
        <w:spacing w:before="40" w:line="314" w:lineRule="auto"/>
        <w:jc w:val="both"/>
        <w:rPr>
          <w:rFonts w:ascii="FangSong" w:hAnsi="FangSong" w:eastAsia="FangSong" w:cs="FangSong"/>
          <w:sz w:val="25"/>
          <w:szCs w:val="25"/>
        </w:rPr>
      </w:pPr>
      <w:r>
        <w:rPr>
          <w:rFonts w:ascii="FangSong" w:hAnsi="FangSong" w:eastAsia="FangSong" w:cs="FangSong"/>
          <w:sz w:val="25"/>
          <w:szCs w:val="25"/>
          <w:spacing w:val="-3"/>
        </w:rPr>
        <w:t>为“差</w:t>
      </w:r>
      <w:r>
        <w:rPr>
          <w:rFonts w:ascii="FangSong" w:hAnsi="FangSong" w:eastAsia="FangSong" w:cs="FangSong"/>
          <w:sz w:val="25"/>
          <w:szCs w:val="25"/>
          <w:spacing w:val="-89"/>
        </w:rPr>
        <w:t xml:space="preserve"> </w:t>
      </w:r>
      <w:r>
        <w:rPr>
          <w:rFonts w:ascii="FangSong" w:hAnsi="FangSong" w:eastAsia="FangSong" w:cs="FangSong"/>
          <w:sz w:val="25"/>
          <w:szCs w:val="25"/>
          <w:spacing w:val="-3"/>
        </w:rPr>
        <w:t>”。二是组织对“财政评审服务费项目</w:t>
      </w:r>
      <w:r>
        <w:rPr>
          <w:rFonts w:ascii="FangSong" w:hAnsi="FangSong" w:eastAsia="FangSong" w:cs="FangSong"/>
          <w:sz w:val="25"/>
          <w:szCs w:val="25"/>
          <w:spacing w:val="-90"/>
        </w:rPr>
        <w:t xml:space="preserve"> </w:t>
      </w:r>
      <w:r>
        <w:rPr>
          <w:rFonts w:ascii="FangSong" w:hAnsi="FangSong" w:eastAsia="FangSong" w:cs="FangSong"/>
          <w:sz w:val="25"/>
          <w:szCs w:val="25"/>
          <w:spacing w:val="-3"/>
        </w:rPr>
        <w:t>”、“</w:t>
      </w:r>
      <w:r>
        <w:rPr>
          <w:rFonts w:ascii="FangSong" w:hAnsi="FangSong" w:eastAsia="FangSong" w:cs="FangSong"/>
          <w:sz w:val="25"/>
          <w:szCs w:val="25"/>
          <w:spacing w:val="-78"/>
        </w:rPr>
        <w:t xml:space="preserve"> </w:t>
      </w:r>
      <w:r>
        <w:rPr>
          <w:rFonts w:ascii="FangSong" w:hAnsi="FangSong" w:eastAsia="FangSong" w:cs="FangSong"/>
          <w:sz w:val="25"/>
          <w:szCs w:val="25"/>
          <w:spacing w:val="-3"/>
        </w:rPr>
        <w:t>网络运行维护费项目</w:t>
      </w:r>
      <w:r>
        <w:rPr>
          <w:rFonts w:ascii="FangSong" w:hAnsi="FangSong" w:eastAsia="FangSong" w:cs="FangSong"/>
          <w:sz w:val="25"/>
          <w:szCs w:val="25"/>
          <w:spacing w:val="-90"/>
        </w:rPr>
        <w:t xml:space="preserve"> </w:t>
      </w:r>
      <w:r>
        <w:rPr>
          <w:rFonts w:ascii="FangSong" w:hAnsi="FangSong" w:eastAsia="FangSong" w:cs="FangSong"/>
          <w:sz w:val="25"/>
          <w:szCs w:val="25"/>
          <w:spacing w:val="-3"/>
        </w:rPr>
        <w:t>”、“绩</w:t>
      </w:r>
      <w:r>
        <w:rPr>
          <w:rFonts w:ascii="FangSong" w:hAnsi="FangSong" w:eastAsia="FangSong" w:cs="FangSong"/>
          <w:sz w:val="25"/>
          <w:szCs w:val="25"/>
        </w:rPr>
        <w:t xml:space="preserve">  </w:t>
      </w:r>
      <w:r>
        <w:rPr>
          <w:rFonts w:ascii="FangSong" w:hAnsi="FangSong" w:eastAsia="FangSong" w:cs="FangSong"/>
          <w:sz w:val="25"/>
          <w:szCs w:val="25"/>
        </w:rPr>
        <w:t>效评价服务费项目</w:t>
      </w:r>
      <w:r>
        <w:rPr>
          <w:rFonts w:ascii="FangSong" w:hAnsi="FangSong" w:eastAsia="FangSong" w:cs="FangSong"/>
          <w:sz w:val="25"/>
          <w:szCs w:val="25"/>
          <w:spacing w:val="-89"/>
        </w:rPr>
        <w:t xml:space="preserve"> </w:t>
      </w:r>
      <w:r>
        <w:rPr>
          <w:rFonts w:ascii="FangSong" w:hAnsi="FangSong" w:eastAsia="FangSong" w:cs="FangSong"/>
          <w:sz w:val="25"/>
          <w:szCs w:val="25"/>
        </w:rPr>
        <w:t>”等“3</w:t>
      </w:r>
      <w:r>
        <w:rPr>
          <w:rFonts w:ascii="FangSong" w:hAnsi="FangSong" w:eastAsia="FangSong" w:cs="FangSong"/>
          <w:sz w:val="25"/>
          <w:szCs w:val="25"/>
          <w:spacing w:val="-91"/>
        </w:rPr>
        <w:t xml:space="preserve"> </w:t>
      </w:r>
      <w:r>
        <w:rPr>
          <w:rFonts w:ascii="FangSong" w:hAnsi="FangSong" w:eastAsia="FangSong" w:cs="FangSong"/>
          <w:sz w:val="25"/>
          <w:szCs w:val="25"/>
        </w:rPr>
        <w:t>”个项目开展了部门评价，</w:t>
      </w:r>
      <w:r>
        <w:rPr>
          <w:rFonts w:ascii="FangSong" w:hAnsi="FangSong" w:eastAsia="FangSong" w:cs="FangSong"/>
          <w:sz w:val="25"/>
          <w:szCs w:val="25"/>
          <w:spacing w:val="-1"/>
        </w:rPr>
        <w:t>涉及资金387.45万元，其中一</w:t>
      </w:r>
      <w:r>
        <w:rPr>
          <w:rFonts w:ascii="FangSong" w:hAnsi="FangSong" w:eastAsia="FangSong" w:cs="FangSong"/>
          <w:sz w:val="25"/>
          <w:szCs w:val="25"/>
        </w:rPr>
        <w:t xml:space="preserve"> </w:t>
      </w:r>
      <w:r>
        <w:rPr>
          <w:rFonts w:ascii="FangSong" w:hAnsi="FangSong" w:eastAsia="FangSong" w:cs="FangSong"/>
          <w:sz w:val="25"/>
          <w:szCs w:val="25"/>
          <w:spacing w:val="1"/>
        </w:rPr>
        <w:t>般公共预算支出387.45万元、政府性基金预算支出0万元、国有资金经营预算支出0</w:t>
      </w:r>
      <w:r>
        <w:rPr>
          <w:rFonts w:ascii="FangSong" w:hAnsi="FangSong" w:eastAsia="FangSong" w:cs="FangSong"/>
          <w:sz w:val="25"/>
          <w:szCs w:val="25"/>
          <w:spacing w:val="7"/>
        </w:rPr>
        <w:t xml:space="preserve">  </w:t>
      </w:r>
      <w:r>
        <w:rPr>
          <w:rFonts w:ascii="FangSong" w:hAnsi="FangSong" w:eastAsia="FangSong" w:cs="FangSong"/>
          <w:sz w:val="25"/>
          <w:szCs w:val="25"/>
          <w:spacing w:val="1"/>
        </w:rPr>
        <w:t>万元、社会保险基金预算支出0万元。从评价结果来看，绩效目标设定不够规范，对</w:t>
      </w:r>
      <w:r>
        <w:rPr>
          <w:rFonts w:ascii="FangSong" w:hAnsi="FangSong" w:eastAsia="FangSong" w:cs="FangSong"/>
          <w:sz w:val="25"/>
          <w:szCs w:val="25"/>
          <w:spacing w:val="17"/>
        </w:rPr>
        <w:t xml:space="preserve"> </w:t>
      </w:r>
      <w:r>
        <w:rPr>
          <w:rFonts w:ascii="FangSong" w:hAnsi="FangSong" w:eastAsia="FangSong" w:cs="FangSong"/>
          <w:sz w:val="25"/>
          <w:szCs w:val="25"/>
          <w:spacing w:val="1"/>
        </w:rPr>
        <w:t>重点工作任务的目标设定不够具体，在今后的工作中及时调整和优化本部门后续项</w:t>
      </w:r>
      <w:r>
        <w:rPr>
          <w:rFonts w:ascii="FangSong" w:hAnsi="FangSong" w:eastAsia="FangSong" w:cs="FangSong"/>
          <w:sz w:val="25"/>
          <w:szCs w:val="25"/>
          <w:spacing w:val="8"/>
        </w:rPr>
        <w:t xml:space="preserve">  </w:t>
      </w:r>
      <w:r>
        <w:rPr>
          <w:rFonts w:ascii="FangSong" w:hAnsi="FangSong" w:eastAsia="FangSong" w:cs="FangSong"/>
          <w:sz w:val="25"/>
          <w:szCs w:val="25"/>
          <w:spacing w:val="1"/>
        </w:rPr>
        <w:t>目和预算支出的方向，合理配置资源，加强财务管理，提高资金使用效率。</w:t>
      </w:r>
    </w:p>
    <w:p>
      <w:pPr>
        <w:ind w:left="1693" w:right="7374" w:firstLine="112"/>
        <w:spacing w:before="40" w:line="304"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3"/>
        </w:rPr>
        <w:t>无其他需要说明的事项。</w:t>
      </w:r>
    </w:p>
    <w:p>
      <w:pPr>
        <w:spacing w:line="304" w:lineRule="auto"/>
        <w:sectPr>
          <w:headerReference w:type="default" r:id="rId36"/>
          <w:footerReference w:type="default" r:id="rId37"/>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9"/>
      <w:bookmarkEnd w:id="69"/>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4" w:lineRule="auto"/>
        <w:rPr>
          <w:rFonts w:ascii="FangSong" w:hAnsi="FangSong" w:eastAsia="FangSong" w:cs="FangSong"/>
          <w:sz w:val="25"/>
          <w:szCs w:val="25"/>
        </w:rPr>
      </w:pPr>
      <w:r>
        <w:rPr>
          <w:rFonts w:ascii="FangSong" w:hAnsi="FangSong" w:eastAsia="FangSong" w:cs="FangSong"/>
          <w:sz w:val="25"/>
          <w:szCs w:val="25"/>
          <w:spacing w:val="1"/>
        </w:rPr>
        <w:t>十三、一般公共服务支出：指反映政府提供一般公共服务的支出。</w:t>
      </w:r>
    </w:p>
    <w:p>
      <w:pPr>
        <w:ind w:left="13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十四、社会保障和就业支出：指反映政府在社会保障与就业方面的支出。</w:t>
      </w:r>
    </w:p>
    <w:p>
      <w:pPr>
        <w:ind w:left="13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十五、住房保障支出：指集中反映政府用于住房方面的支出。</w:t>
      </w:r>
    </w:p>
    <w:p>
      <w:pPr>
        <w:ind w:left="1313"/>
        <w:spacing w:before="131" w:line="223" w:lineRule="auto"/>
        <w:rPr>
          <w:rFonts w:ascii="FangSong" w:hAnsi="FangSong" w:eastAsia="FangSong" w:cs="FangSong"/>
          <w:sz w:val="25"/>
          <w:szCs w:val="25"/>
        </w:rPr>
      </w:pPr>
      <w:r>
        <w:rPr>
          <w:rFonts w:ascii="FangSong" w:hAnsi="FangSong" w:eastAsia="FangSong" w:cs="FangSong"/>
          <w:sz w:val="25"/>
          <w:szCs w:val="25"/>
          <w:spacing w:val="1"/>
        </w:rPr>
        <w:t>十六、其他支出：指反映不能划分到上述功能科目的其他政府支出。</w:t>
      </w:r>
    </w:p>
    <w:p>
      <w:pPr>
        <w:spacing w:line="223" w:lineRule="auto"/>
        <w:sectPr>
          <w:headerReference w:type="default" r:id="rId38"/>
          <w:footerReference w:type="default" r:id="rId39"/>
          <w:pgSz w:w="11900" w:h="16840"/>
          <w:pgMar w:top="610" w:right="86" w:bottom="312" w:left="0" w:header="357" w:footer="153" w:gutter="0"/>
        </w:sectPr>
        <w:rPr>
          <w:rFonts w:ascii="FangSong" w:hAnsi="FangSong" w:eastAsia="FangSong" w:cs="FangSong"/>
          <w:sz w:val="25"/>
          <w:szCs w:val="25"/>
        </w:rPr>
      </w:pPr>
    </w:p>
    <w:p>
      <w:pPr>
        <w:pStyle w:val="BodyText"/>
        <w:spacing w:line="362" w:lineRule="auto"/>
        <w:rPr/>
      </w:pPr>
      <w:r/>
    </w:p>
    <w:p>
      <w:pPr>
        <w:ind w:left="5129"/>
        <w:spacing w:before="81" w:line="223" w:lineRule="auto"/>
        <w:outlineLvl w:val="0"/>
        <w:rPr>
          <w:rFonts w:ascii="SimHei" w:hAnsi="SimHei" w:eastAsia="SimHei" w:cs="SimHei"/>
          <w:sz w:val="25"/>
          <w:szCs w:val="25"/>
        </w:rPr>
      </w:pPr>
      <w:r>
        <w:pict>
          <v:shape id="_x0000_s308" style="position:absolute;margin-left:296.816pt;margin-top:776.656pt;mso-position-vertical-relative:text;mso-position-horizontal-relative:text;width:8.65pt;height:10pt;z-index:251686912;"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6"/>
                      <w:szCs w:val="16"/>
                    </w:rPr>
                  </w:pPr>
                  <w:r>
                    <w:rPr>
                      <w:rFonts w:ascii="SimSun" w:hAnsi="SimSun" w:eastAsia="SimSun" w:cs="SimSun"/>
                      <w:sz w:val="16"/>
                      <w:szCs w:val="16"/>
                      <w:spacing w:val="-7"/>
                    </w:rPr>
                    <w:t>21</w:t>
                  </w:r>
                </w:p>
              </w:txbxContent>
            </v:textbox>
          </v:shape>
        </w:pict>
      </w:r>
      <w:bookmarkStart w:name="bookmark28" w:id="70"/>
      <w:bookmarkEnd w:id="70"/>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16"/>
          <w:footerReference w:type="default" r:id="rId40"/>
          <w:pgSz w:w="11900" w:h="16840"/>
          <w:pgMar w:top="610" w:right="86" w:bottom="255" w:left="0" w:header="357" w:footer="0" w:gutter="0"/>
        </w:sectPr>
        <w:rPr>
          <w:rFonts w:ascii="SimHei" w:hAnsi="SimHei" w:eastAsia="SimHei" w:cs="SimHei"/>
          <w:sz w:val="25"/>
          <w:szCs w:val="25"/>
        </w:rPr>
      </w:pPr>
    </w:p>
    <w:p>
      <w:pPr>
        <w:pStyle w:val="BodyText"/>
        <w:spacing w:line="467" w:lineRule="auto"/>
        <w:rPr/>
      </w:pPr>
      <w:r>
        <w:pict>
          <v:shape id="_x0000_s314" style="position:absolute;margin-left:493.28pt;margin-top:49.1801pt;mso-position-vertical-relative:page;mso-position-horizontal-relative:page;width:99.4pt;height:18.75pt;z-index:251691008;rotation:330;" o:allowincell="f" fillcolor="#404040" filled="true" stroked="false" type="#_x0000_t136">
            <v:fill opacity="0.400000"/>
            <v:textpath style="font-family:&quot;SimSun&quot;;font-size:20;v-text-kern:t;mso-text-shadow:auto" string="仅供内部审"/>
          </v:shape>
        </w:pict>
      </w:r>
      <w:r>
        <w:pict>
          <v:shape id="_x0000_s316" style="position:absolute;margin-left:86.92pt;margin-top:44.1055pt;mso-position-vertical-relative:page;mso-position-horizontal-relative:page;width:119.4pt;height:18.85pt;z-index:251694080;rotation:330;" o:allowincell="f" fillcolor="#404040" filled="true" stroked="false" type="#_x0000_t136">
            <v:fill opacity="0.400000"/>
            <v:textpath style="font-family:&quot;SimSun&quot;;font-size:20;v-text-kern:t;mso-text-shadow:auto" string="仅供内部审核"/>
          </v:shape>
        </w:pict>
      </w:r>
      <w:r/>
    </w:p>
    <w:p>
      <w:pPr>
        <w:ind w:firstLine="1170"/>
        <w:spacing w:line="13491" w:lineRule="exact"/>
        <w:rPr/>
      </w:pPr>
      <w:r>
        <w:pict>
          <v:shape id="_x0000_s318" style="position:absolute;margin-left:391.92pt;margin-top:234.112pt;mso-position-vertical-relative:text;mso-position-horizontal-relative:text;width:119.4pt;height:18.85pt;z-index:251692032;rotation:330;" fillcolor="#404040" filled="true" stroked="false" type="#_x0000_t136">
            <v:fill opacity="0.400000"/>
            <v:textpath style="font-family:&quot;SimSun&quot;;font-size:20;v-text-kern:t;mso-text-shadow:auto" string="仅供内部审核"/>
          </v:shape>
        </w:pict>
      </w:r>
      <w:r>
        <w:pict>
          <v:shape id="_x0000_s320" style="position:absolute;margin-left:86.92pt;margin-top:478.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322" style="position:absolute;margin-left:-13.08pt;margin-top:234.112pt;mso-position-vertical-relative:text;mso-position-horizontal-relative:text;width:119.4pt;height:18.85pt;z-index:251695104;rotation:330;" fillcolor="#404040" filled="true" stroked="false" type="#_x0000_t136">
            <v:fill opacity="0.400000"/>
            <v:textpath style="font-family:&quot;SimSun&quot;;font-size:20;v-text-kern:t;mso-text-shadow:auto" string="仅供内部审核"/>
          </v:shape>
        </w:pict>
      </w:r>
      <w:r>
        <w:pict>
          <v:shape id="_x0000_s324" style="position:absolute;margin-left:493.28pt;margin-top:483.186pt;mso-position-vertical-relative:text;mso-position-horizontal-relative:text;width:99.4pt;height:18.75pt;z-index:2516961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67269"/>
            <wp:effectExtent l="0" t="0" r="0" b="0"/>
            <wp:docPr id="2" name="IM 2"/>
            <wp:cNvGraphicFramePr/>
            <a:graphic>
              <a:graphicData uri="http://schemas.openxmlformats.org/drawingml/2006/picture">
                <pic:pic>
                  <pic:nvPicPr>
                    <pic:cNvPr id="2" name="IM 2"/>
                    <pic:cNvPicPr/>
                  </pic:nvPicPr>
                  <pic:blipFill>
                    <a:blip r:embed="rId43"/>
                    <a:stretch>
                      <a:fillRect/>
                    </a:stretch>
                  </pic:blipFill>
                  <pic:spPr>
                    <a:xfrm rot="0">
                      <a:off x="0" y="0"/>
                      <a:ext cx="6097700" cy="8567269"/>
                    </a:xfrm>
                    <a:prstGeom prst="rect">
                      <a:avLst/>
                    </a:prstGeom>
                  </pic:spPr>
                </pic:pic>
              </a:graphicData>
            </a:graphic>
          </wp:inline>
        </w:drawing>
      </w:r>
    </w:p>
    <w:p>
      <w:pPr>
        <w:spacing w:line="13491" w:lineRule="exact"/>
        <w:sectPr>
          <w:headerReference w:type="default" r:id="rId41"/>
          <w:footerReference w:type="default" r:id="rId42"/>
          <w:pgSz w:w="11900" w:h="16840"/>
          <w:pgMar w:top="610" w:right="86" w:bottom="312" w:left="0" w:header="357" w:footer="153" w:gutter="0"/>
        </w:sectPr>
        <w:rPr/>
      </w:pPr>
    </w:p>
    <w:p>
      <w:pPr>
        <w:pStyle w:val="BodyText"/>
        <w:spacing w:line="467" w:lineRule="auto"/>
        <w:rPr/>
      </w:pPr>
      <w:r>
        <w:pict>
          <v:shape id="_x0000_s326" style="position:absolute;margin-left:86.92pt;margin-top:44.1055pt;mso-position-vertical-relative:page;mso-position-horizontal-relative:page;width:119.4pt;height:18.85pt;z-index:251700224;rotation:330;" o:allowincell="f" fillcolor="#404040" filled="true" stroked="false" type="#_x0000_t136">
            <v:fill opacity="0.400000"/>
            <v:textpath style="font-family:&quot;SimSun&quot;;font-size:20;v-text-kern:t;mso-text-shadow:auto" string="仅供内部审核"/>
          </v:shape>
        </w:pict>
      </w:r>
      <w:r>
        <w:pict>
          <v:shape id="_x0000_s328" style="position:absolute;margin-left:493.28pt;margin-top:49.1801pt;mso-position-vertical-relative:page;mso-position-horizontal-relative:page;width:99.4pt;height:18.75pt;z-index:251701248;rotation:330;" o:allowincell="f" fillcolor="#404040" filled="true" stroked="false" type="#_x0000_t136">
            <v:fill opacity="0.400000"/>
            <v:textpath style="font-family:&quot;SimSun&quot;;font-size:20;v-text-kern:t;mso-text-shadow:auto" string="仅供内部审"/>
          </v:shape>
        </w:pict>
      </w:r>
      <w:r/>
    </w:p>
    <w:p>
      <w:pPr>
        <w:ind w:firstLine="1170"/>
        <w:spacing w:line="13443" w:lineRule="exact"/>
        <w:rPr/>
      </w:pPr>
      <w:r>
        <w:pict>
          <v:shape id="_x0000_s330" style="position:absolute;margin-left:-13.08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332" style="position:absolute;margin-left:391.92pt;margin-top:234.112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_x0000_s334" style="position:absolute;margin-left:86.92pt;margin-top:478.112pt;mso-position-vertical-relative:text;mso-position-horizontal-relative:text;width:119.4pt;height:18.85pt;z-index:251699200;rotation:330;" fillcolor="#404040" filled="true" stroked="false" type="#_x0000_t136">
            <v:fill opacity="0.400000"/>
            <v:textpath style="font-family:&quot;SimSun&quot;;font-size:20;v-text-kern:t;mso-text-shadow:auto" string="仅供内部审核"/>
          </v:shape>
        </w:pict>
      </w:r>
      <w:r>
        <w:pict>
          <v:shape id="_x0000_s336" style="position:absolute;margin-left:493.28pt;margin-top:483.186pt;mso-position-vertical-relative:text;mso-position-horizontal-relative:text;width:99.4pt;height:18.75pt;z-index:251702272;rotation:330;" fillcolor="#404040" filled="true" stroked="false" type="#_x0000_t136">
            <v:fill opacity="0.400000"/>
            <v:textpath style="font-family:&quot;SimSun&quot;;font-size:20;v-text-kern:t;mso-text-shadow:auto" string="仅供内部审"/>
          </v:shape>
        </w:pict>
      </w:r>
      <w:r>
        <w:rPr>
          <w:position w:val="-268"/>
        </w:rPr>
        <w:drawing>
          <wp:inline distT="0" distB="0" distL="0" distR="0">
            <wp:extent cx="6097700" cy="8536781"/>
            <wp:effectExtent l="0" t="0" r="0" b="0"/>
            <wp:docPr id="4" name="IM 4"/>
            <wp:cNvGraphicFramePr/>
            <a:graphic>
              <a:graphicData uri="http://schemas.openxmlformats.org/drawingml/2006/picture">
                <pic:pic>
                  <pic:nvPicPr>
                    <pic:cNvPr id="4" name="IM 4"/>
                    <pic:cNvPicPr/>
                  </pic:nvPicPr>
                  <pic:blipFill>
                    <a:blip r:embed="rId45"/>
                    <a:stretch>
                      <a:fillRect/>
                    </a:stretch>
                  </pic:blipFill>
                  <pic:spPr>
                    <a:xfrm rot="0">
                      <a:off x="0" y="0"/>
                      <a:ext cx="6097700" cy="8536781"/>
                    </a:xfrm>
                    <a:prstGeom prst="rect">
                      <a:avLst/>
                    </a:prstGeom>
                  </pic:spPr>
                </pic:pic>
              </a:graphicData>
            </a:graphic>
          </wp:inline>
        </w:drawing>
      </w:r>
    </w:p>
    <w:p>
      <w:pPr>
        <w:spacing w:line="13443" w:lineRule="exact"/>
        <w:sectPr>
          <w:footerReference w:type="default" r:id="rId44"/>
          <w:pgSz w:w="11900" w:h="16840"/>
          <w:pgMar w:top="610" w:right="86" w:bottom="312" w:left="0" w:header="357" w:footer="153" w:gutter="0"/>
        </w:sectPr>
        <w:rPr/>
      </w:pPr>
    </w:p>
    <w:p>
      <w:pPr>
        <w:pStyle w:val="BodyText"/>
        <w:spacing w:line="467" w:lineRule="auto"/>
        <w:rPr/>
      </w:pPr>
      <w:r>
        <w:pict>
          <v:shape id="_x0000_s338" style="position:absolute;margin-left:86.92pt;margin-top:44.1055pt;mso-position-vertical-relative:page;mso-position-horizontal-relative:page;width:119.4pt;height:18.85pt;z-index:251704320;rotation:330;" o:allowincell="f" fillcolor="#404040" filled="true" stroked="false" type="#_x0000_t136">
            <v:fill opacity="0.400000"/>
            <v:textpath style="font-family:&quot;SimSun&quot;;font-size:20;v-text-kern:t;mso-text-shadow:auto" string="仅供内部审核"/>
          </v:shape>
        </w:pict>
      </w:r>
      <w:r>
        <w:pict>
          <v:shape id="_x0000_s340"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
    <w:p>
      <w:pPr>
        <w:ind w:firstLine="1170"/>
        <w:spacing w:line="13479" w:lineRule="exact"/>
        <w:rPr/>
      </w:pPr>
      <w:r>
        <w:pict>
          <v:shape id="_x0000_s342" style="position:absolute;margin-left:-13.08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344" style="position:absolute;margin-left:391.92pt;margin-top:234.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346" style="position:absolute;margin-left:86.92pt;margin-top:478.112pt;mso-position-vertical-relative:text;mso-position-horizontal-relative:text;width:119.4pt;height:18.85pt;z-index:251707392;rotation:330;" fillcolor="#404040" filled="true" stroked="false" type="#_x0000_t136">
            <v:fill opacity="0.400000"/>
            <v:textpath style="font-family:&quot;SimSun&quot;;font-size:20;v-text-kern:t;mso-text-shadow:auto" string="仅供内部审核"/>
          </v:shape>
        </w:pict>
      </w:r>
      <w:r>
        <w:pict>
          <v:shape id="_x0000_s348" style="position:absolute;margin-left:493.28pt;margin-top:483.186pt;mso-position-vertical-relative:text;mso-position-horizontal-relative:text;width:99.4pt;height:18.75pt;z-index:2517084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9647"/>
            <wp:effectExtent l="0" t="0" r="0" b="0"/>
            <wp:docPr id="6" name="IM 6"/>
            <wp:cNvGraphicFramePr/>
            <a:graphic>
              <a:graphicData uri="http://schemas.openxmlformats.org/drawingml/2006/picture">
                <pic:pic>
                  <pic:nvPicPr>
                    <pic:cNvPr id="6" name="IM 6"/>
                    <pic:cNvPicPr/>
                  </pic:nvPicPr>
                  <pic:blipFill>
                    <a:blip r:embed="rId47"/>
                    <a:stretch>
                      <a:fillRect/>
                    </a:stretch>
                  </pic:blipFill>
                  <pic:spPr>
                    <a:xfrm rot="0">
                      <a:off x="0" y="0"/>
                      <a:ext cx="6097700" cy="8559647"/>
                    </a:xfrm>
                    <a:prstGeom prst="rect">
                      <a:avLst/>
                    </a:prstGeom>
                  </pic:spPr>
                </pic:pic>
              </a:graphicData>
            </a:graphic>
          </wp:inline>
        </w:drawing>
      </w:r>
    </w:p>
    <w:p>
      <w:pPr>
        <w:spacing w:line="13479" w:lineRule="exact"/>
        <w:sectPr>
          <w:footerReference w:type="default" r:id="rId46"/>
          <w:pgSz w:w="11900" w:h="16840"/>
          <w:pgMar w:top="610" w:right="86" w:bottom="312" w:left="0" w:header="357" w:footer="153" w:gutter="0"/>
        </w:sectPr>
        <w:rPr/>
      </w:pPr>
    </w:p>
    <w:p>
      <w:pPr>
        <w:pStyle w:val="BodyText"/>
        <w:spacing w:line="467" w:lineRule="auto"/>
        <w:rPr/>
      </w:pPr>
      <w:r>
        <w:pict>
          <v:shape id="_x0000_s350" style="position:absolute;margin-left:86.92pt;margin-top:44.1055pt;mso-position-vertical-relative:page;mso-position-horizontal-relative:page;width:119.4pt;height:18.85pt;z-index:251710464;rotation:330;" o:allowincell="f" fillcolor="#404040" filled="true" stroked="false" type="#_x0000_t136">
            <v:fill opacity="0.400000"/>
            <v:textpath style="font-family:&quot;SimSun&quot;;font-size:20;v-text-kern:t;mso-text-shadow:auto" string="仅供内部审核"/>
          </v:shape>
        </w:pict>
      </w:r>
      <w:r>
        <w:pict>
          <v:shape id="_x0000_s352" style="position:absolute;margin-left:493.28pt;margin-top:49.1801pt;mso-position-vertical-relative:page;mso-position-horizontal-relative:page;width:99.4pt;height:18.75pt;z-index:25171148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54"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56" style="position:absolute;margin-left:391.92pt;margin-top:234.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pict>
          <v:shape id="_x0000_s358" style="position:absolute;margin-left:86.92pt;margin-top:478.112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pict>
          <v:shape id="_x0000_s360" style="position:absolute;margin-left:493.28pt;margin-top:483.186pt;mso-position-vertical-relative:text;mso-position-horizontal-relative:text;width:99.4pt;height:18.75pt;z-index:2517145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49"/>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8"/>
          <w:pgSz w:w="11900" w:h="16840"/>
          <w:pgMar w:top="610" w:right="86" w:bottom="312" w:left="0" w:header="357" w:footer="153" w:gutter="0"/>
        </w:sectPr>
        <w:rPr/>
      </w:pPr>
    </w:p>
    <w:p>
      <w:pPr>
        <w:pStyle w:val="BodyText"/>
        <w:spacing w:line="467" w:lineRule="auto"/>
        <w:rPr/>
      </w:pPr>
      <w:r>
        <w:pict>
          <v:shape id="_x0000_s362" style="position:absolute;margin-left:86.92pt;margin-top:44.1055pt;mso-position-vertical-relative:page;mso-position-horizontal-relative:page;width:119.4pt;height:18.85pt;z-index:251717632;rotation:330;" o:allowincell="f" fillcolor="#404040" filled="true" stroked="false" type="#_x0000_t136">
            <v:fill opacity="0.400000"/>
            <v:textpath style="font-family:&quot;SimSun&quot;;font-size:20;v-text-kern:t;mso-text-shadow:auto" string="仅供内部审核"/>
          </v:shape>
        </w:pict>
      </w:r>
      <w:r>
        <w:pict>
          <v:shape id="_x0000_s364" style="position:absolute;margin-left:493.28pt;margin-top:49.1801pt;mso-position-vertical-relative:page;mso-position-horizontal-relative:page;width:99.4pt;height:18.75pt;z-index:251718656;rotation:330;" o:allowincell="f" fillcolor="#404040" filled="true" stroked="false" type="#_x0000_t136">
            <v:fill opacity="0.400000"/>
            <v:textpath style="font-family:&quot;SimSun&quot;;font-size:20;v-text-kern:t;mso-text-shadow:auto" string="仅供内部审"/>
          </v:shape>
        </w:pict>
      </w:r>
      <w:r/>
    </w:p>
    <w:p>
      <w:pPr>
        <w:ind w:firstLine="1170"/>
        <w:spacing w:line="13443" w:lineRule="exact"/>
        <w:rPr/>
      </w:pPr>
      <w:r>
        <w:pict>
          <v:shape id="_x0000_s366" style="position:absolute;margin-left:391.92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68" style="position:absolute;margin-left:-13.08pt;margin-top:234.112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_x0000_s370" style="position:absolute;margin-left:86.92pt;margin-top:478.112pt;mso-position-vertical-relative:text;mso-position-horizontal-relative:text;width:119.4pt;height:18.85pt;z-index:251719680;rotation:330;" fillcolor="#404040" filled="true" stroked="false" type="#_x0000_t136">
            <v:fill opacity="0.400000"/>
            <v:textpath style="font-family:&quot;SimSun&quot;;font-size:20;v-text-kern:t;mso-text-shadow:auto" string="仅供内部审核"/>
          </v:shape>
        </w:pict>
      </w:r>
      <w:r>
        <w:pict>
          <v:shape id="_x0000_s372" style="position:absolute;margin-left:493.28pt;margin-top:483.186pt;mso-position-vertical-relative:text;mso-position-horizontal-relative:text;width:99.4pt;height:18.75pt;z-index:251720704;rotation:330;" fillcolor="#404040" filled="true" stroked="false" type="#_x0000_t136">
            <v:fill opacity="0.400000"/>
            <v:textpath style="font-family:&quot;SimSun&quot;;font-size:20;v-text-kern:t;mso-text-shadow:auto" string="仅供内部审"/>
          </v:shape>
        </w:pict>
      </w:r>
      <w:r>
        <w:rPr>
          <w:position w:val="-268"/>
        </w:rPr>
        <w:drawing>
          <wp:inline distT="0" distB="0" distL="0" distR="0">
            <wp:extent cx="6097700" cy="8536781"/>
            <wp:effectExtent l="0" t="0" r="0" b="0"/>
            <wp:docPr id="10" name="IM 10"/>
            <wp:cNvGraphicFramePr/>
            <a:graphic>
              <a:graphicData uri="http://schemas.openxmlformats.org/drawingml/2006/picture">
                <pic:pic>
                  <pic:nvPicPr>
                    <pic:cNvPr id="10" name="IM 10"/>
                    <pic:cNvPicPr/>
                  </pic:nvPicPr>
                  <pic:blipFill>
                    <a:blip r:embed="rId51"/>
                    <a:stretch>
                      <a:fillRect/>
                    </a:stretch>
                  </pic:blipFill>
                  <pic:spPr>
                    <a:xfrm rot="0">
                      <a:off x="0" y="0"/>
                      <a:ext cx="6097700" cy="8536781"/>
                    </a:xfrm>
                    <a:prstGeom prst="rect">
                      <a:avLst/>
                    </a:prstGeom>
                  </pic:spPr>
                </pic:pic>
              </a:graphicData>
            </a:graphic>
          </wp:inline>
        </w:drawing>
      </w:r>
    </w:p>
    <w:p>
      <w:pPr>
        <w:spacing w:line="13443" w:lineRule="exact"/>
        <w:sectPr>
          <w:footerReference w:type="default" r:id="rId50"/>
          <w:pgSz w:w="11900" w:h="16840"/>
          <w:pgMar w:top="610" w:right="86" w:bottom="312" w:left="0" w:header="357" w:footer="153" w:gutter="0"/>
        </w:sectPr>
        <w:rPr/>
      </w:pPr>
    </w:p>
    <w:p>
      <w:pPr>
        <w:pStyle w:val="BodyText"/>
        <w:spacing w:line="467" w:lineRule="auto"/>
        <w:rPr/>
      </w:pPr>
      <w:r>
        <w:pict>
          <v:shape id="_x0000_s374" style="position:absolute;margin-left:86.92pt;margin-top:44.1055pt;mso-position-vertical-relative:page;mso-position-horizontal-relative:page;width:119.4pt;height:18.85pt;z-index:251722752;rotation:330;" o:allowincell="f" fillcolor="#404040" filled="true" stroked="false" type="#_x0000_t136">
            <v:fill opacity="0.400000"/>
            <v:textpath style="font-family:&quot;SimSun&quot;;font-size:20;v-text-kern:t;mso-text-shadow:auto" string="仅供内部审核"/>
          </v:shape>
        </w:pict>
      </w:r>
      <w:r>
        <w:pict>
          <v:shape id="_x0000_s376" style="position:absolute;margin-left:493.28pt;margin-top:49.1801pt;mso-position-vertical-relative:page;mso-position-horizontal-relative:page;width:99.4pt;height:18.75pt;z-index:25172377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78" style="position:absolute;margin-left:-13.08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80" style="position:absolute;margin-left:391.92pt;margin-top:234.112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_x0000_s382" style="position:absolute;margin-left:86.92pt;margin-top:478.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pict>
          <v:shape id="_x0000_s384" style="position:absolute;margin-left:493.28pt;margin-top:483.186pt;mso-position-vertical-relative:text;mso-position-horizontal-relative:text;width:99.4pt;height:18.75pt;z-index:2517268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5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2"/>
          <w:pgSz w:w="11900" w:h="16840"/>
          <w:pgMar w:top="610" w:right="86" w:bottom="312" w:left="0" w:header="357" w:footer="153" w:gutter="0"/>
        </w:sectPr>
        <w:rPr/>
      </w:pPr>
    </w:p>
    <w:p>
      <w:pPr>
        <w:pStyle w:val="BodyText"/>
        <w:spacing w:line="467" w:lineRule="auto"/>
        <w:rPr/>
      </w:pPr>
      <w:r>
        <w:pict>
          <v:shape id="_x0000_s386" style="position:absolute;margin-left:86.92pt;margin-top:44.1055pt;mso-position-vertical-relative:page;mso-position-horizontal-relative:page;width:119.4pt;height:18.85pt;z-index:251730944;rotation:330;" o:allowincell="f" fillcolor="#404040" filled="true" stroked="false" type="#_x0000_t136">
            <v:fill opacity="0.400000"/>
            <v:textpath style="font-family:&quot;SimSun&quot;;font-size:20;v-text-kern:t;mso-text-shadow:auto" string="仅供内部审核"/>
          </v:shape>
        </w:pict>
      </w:r>
      <w:r>
        <w:pict>
          <v:shape id="_x0000_s388" style="position:absolute;margin-left:493.28pt;margin-top:49.1801pt;mso-position-vertical-relative:page;mso-position-horizontal-relative:page;width:99.4pt;height:18.75pt;z-index:251731968;rotation:330;" o:allowincell="f" fillcolor="#404040" filled="true" stroked="false" type="#_x0000_t136">
            <v:fill opacity="0.400000"/>
            <v:textpath style="font-family:&quot;SimSun&quot;;font-size:20;v-text-kern:t;mso-text-shadow:auto" string="仅供内部审"/>
          </v:shape>
        </w:pict>
      </w:r>
      <w:r/>
    </w:p>
    <w:p>
      <w:pPr>
        <w:ind w:firstLine="1170"/>
        <w:spacing w:line="13503" w:lineRule="exact"/>
        <w:rPr/>
      </w:pPr>
      <w:r>
        <w:pict>
          <v:shape id="_x0000_s390" style="position:absolute;margin-left:493.28pt;margin-top:483.186pt;mso-position-vertical-relative:text;mso-position-horizontal-relative:text;width:99.4pt;height:18.75pt;z-index:251727872;rotation:330;" fillcolor="#404040" filled="true" stroked="false" type="#_x0000_t136">
            <v:fill opacity="0.400000"/>
            <v:textpath style="font-family:&quot;SimSun&quot;;font-size:20;v-text-kern:t;mso-text-shadow:auto" string="仅供内部审"/>
          </v:shape>
        </w:pict>
      </w:r>
      <w:r>
        <w:pict>
          <v:shape id="_x0000_s392" style="position:absolute;margin-left:391.92pt;margin-top:234.112pt;mso-position-vertical-relative:text;mso-position-horizontal-relative:text;width:119.4pt;height:18.85pt;z-index:251728896;rotation:330;" fillcolor="#404040" filled="true" stroked="false" type="#_x0000_t136">
            <v:fill opacity="0.400000"/>
            <v:textpath style="font-family:&quot;SimSun&quot;;font-size:20;v-text-kern:t;mso-text-shadow:auto" string="仅供内部审核"/>
          </v:shape>
        </w:pict>
      </w:r>
      <w:r>
        <w:pict>
          <v:shape id="_x0000_s394" style="position:absolute;margin-left:-13.08pt;margin-top:234.112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_x0000_s396" style="position:absolute;margin-left:86.92pt;margin-top:478.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rPr>
          <w:position w:val="-270"/>
        </w:rPr>
        <w:drawing>
          <wp:inline distT="0" distB="0" distL="0" distR="0">
            <wp:extent cx="6097700" cy="8574891"/>
            <wp:effectExtent l="0" t="0" r="0" b="0"/>
            <wp:docPr id="14" name="IM 14"/>
            <wp:cNvGraphicFramePr/>
            <a:graphic>
              <a:graphicData uri="http://schemas.openxmlformats.org/drawingml/2006/picture">
                <pic:pic>
                  <pic:nvPicPr>
                    <pic:cNvPr id="14" name="IM 14"/>
                    <pic:cNvPicPr/>
                  </pic:nvPicPr>
                  <pic:blipFill>
                    <a:blip r:embed="rId55"/>
                    <a:stretch>
                      <a:fillRect/>
                    </a:stretch>
                  </pic:blipFill>
                  <pic:spPr>
                    <a:xfrm rot="0">
                      <a:off x="0" y="0"/>
                      <a:ext cx="6097700" cy="8574891"/>
                    </a:xfrm>
                    <a:prstGeom prst="rect">
                      <a:avLst/>
                    </a:prstGeom>
                  </pic:spPr>
                </pic:pic>
              </a:graphicData>
            </a:graphic>
          </wp:inline>
        </w:drawing>
      </w:r>
    </w:p>
    <w:p>
      <w:pPr>
        <w:spacing w:line="13503" w:lineRule="exact"/>
        <w:sectPr>
          <w:footerReference w:type="default" r:id="rId54"/>
          <w:pgSz w:w="11900" w:h="16840"/>
          <w:pgMar w:top="610" w:right="86" w:bottom="312" w:left="0" w:header="357" w:footer="153" w:gutter="0"/>
        </w:sectPr>
        <w:rPr/>
      </w:pPr>
    </w:p>
    <w:p>
      <w:pPr>
        <w:pStyle w:val="BodyText"/>
        <w:spacing w:line="467" w:lineRule="auto"/>
        <w:rPr/>
      </w:pPr>
      <w:r>
        <w:pict>
          <v:shape id="_x0000_s398" style="position:absolute;margin-left:86.92pt;margin-top:44.1055pt;mso-position-vertical-relative:page;mso-position-horizontal-relative:page;width:119.4pt;height:18.85pt;z-index:251734016;rotation:330;" o:allowincell="f" fillcolor="#404040" filled="true" stroked="false" type="#_x0000_t136">
            <v:fill opacity="0.400000"/>
            <v:textpath style="font-family:&quot;SimSun&quot;;font-size:20;v-text-kern:t;mso-text-shadow:auto" string="仅供内部审核"/>
          </v:shape>
        </w:pict>
      </w:r>
      <w:r>
        <w:pict>
          <v:shape id="_x0000_s400" style="position:absolute;margin-left:493.28pt;margin-top:49.1801pt;mso-position-vertical-relative:page;mso-position-horizontal-relative:page;width:99.4pt;height:18.75pt;z-index:251735040;rotation:330;" o:allowincell="f" fillcolor="#404040" filled="true" stroked="false" type="#_x0000_t136">
            <v:fill opacity="0.400000"/>
            <v:textpath style="font-family:&quot;SimSun&quot;;font-size:20;v-text-kern:t;mso-text-shadow:auto" string="仅供内部审"/>
          </v:shape>
        </w:pict>
      </w:r>
      <w:r/>
    </w:p>
    <w:p>
      <w:pPr>
        <w:ind w:firstLine="1170"/>
        <w:spacing w:line="13479" w:lineRule="exact"/>
        <w:rPr/>
      </w:pPr>
      <w:r>
        <w:pict>
          <v:shape id="_x0000_s402" style="position:absolute;margin-left:-13.08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404" style="position:absolute;margin-left:391.92pt;margin-top:234.112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_x0000_s406" style="position:absolute;margin-left:86.92pt;margin-top:478.112pt;mso-position-vertical-relative:text;mso-position-horizontal-relative:text;width:119.4pt;height:18.85pt;z-index:251738112;rotation:330;" fillcolor="#404040" filled="true" stroked="false" type="#_x0000_t136">
            <v:fill opacity="0.400000"/>
            <v:textpath style="font-family:&quot;SimSun&quot;;font-size:20;v-text-kern:t;mso-text-shadow:auto" string="仅供内部审核"/>
          </v:shape>
        </w:pict>
      </w:r>
      <w:r>
        <w:pict>
          <v:shape id="_x0000_s408" style="position:absolute;margin-left:493.28pt;margin-top:483.186pt;mso-position-vertical-relative:text;mso-position-horizontal-relative:text;width:99.4pt;height:18.75pt;z-index:2517391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9647"/>
            <wp:effectExtent l="0" t="0" r="0" b="0"/>
            <wp:docPr id="16" name="IM 16"/>
            <wp:cNvGraphicFramePr/>
            <a:graphic>
              <a:graphicData uri="http://schemas.openxmlformats.org/drawingml/2006/picture">
                <pic:pic>
                  <pic:nvPicPr>
                    <pic:cNvPr id="16" name="IM 16"/>
                    <pic:cNvPicPr/>
                  </pic:nvPicPr>
                  <pic:blipFill>
                    <a:blip r:embed="rId57"/>
                    <a:stretch>
                      <a:fillRect/>
                    </a:stretch>
                  </pic:blipFill>
                  <pic:spPr>
                    <a:xfrm rot="0">
                      <a:off x="0" y="0"/>
                      <a:ext cx="6097700" cy="8559647"/>
                    </a:xfrm>
                    <a:prstGeom prst="rect">
                      <a:avLst/>
                    </a:prstGeom>
                  </pic:spPr>
                </pic:pic>
              </a:graphicData>
            </a:graphic>
          </wp:inline>
        </w:drawing>
      </w:r>
    </w:p>
    <w:p>
      <w:pPr>
        <w:spacing w:line="13479" w:lineRule="exact"/>
        <w:sectPr>
          <w:footerReference w:type="default" r:id="rId56"/>
          <w:pgSz w:w="11900" w:h="16840"/>
          <w:pgMar w:top="610" w:right="86" w:bottom="312" w:left="0" w:header="357" w:footer="153" w:gutter="0"/>
        </w:sectPr>
        <w:rPr/>
      </w:pPr>
    </w:p>
    <w:p>
      <w:pPr>
        <w:pStyle w:val="BodyText"/>
        <w:spacing w:line="467" w:lineRule="auto"/>
        <w:rPr/>
      </w:pPr>
      <w:r>
        <w:pict>
          <v:shape id="_x0000_s410" style="position:absolute;margin-left:86.92pt;margin-top:44.1055pt;mso-position-vertical-relative:page;mso-position-horizontal-relative:page;width:119.4pt;height:18.85pt;z-index:251744256;rotation:330;" o:allowincell="f" fillcolor="#404040" filled="true" stroked="false" type="#_x0000_t136">
            <v:fill opacity="0.400000"/>
            <v:textpath style="font-family:&quot;SimSun&quot;;font-size:20;v-text-kern:t;mso-text-shadow:auto" string="仅供内部审核"/>
          </v:shape>
        </w:pict>
      </w:r>
      <w:r>
        <w:pict>
          <v:shape id="_x0000_s412" style="position:absolute;margin-left:493.28pt;margin-top:49.1801pt;mso-position-vertical-relative:page;mso-position-horizontal-relative:page;width:99.4pt;height:18.75pt;z-index:251745280;rotation:330;" o:allowincell="f" fillcolor="#404040" filled="true" stroked="false" type="#_x0000_t136">
            <v:fill opacity="0.400000"/>
            <v:textpath style="font-family:&quot;SimSun&quot;;font-size:20;v-text-kern:t;mso-text-shadow:auto" string="仅供内部审"/>
          </v:shape>
        </w:pict>
      </w:r>
      <w:r/>
    </w:p>
    <w:p>
      <w:pPr>
        <w:ind w:firstLine="1170"/>
        <w:spacing w:line="13515" w:lineRule="exact"/>
        <w:rPr/>
      </w:pPr>
      <w:r>
        <w:pict>
          <v:shape id="_x0000_s414" style="position:absolute;margin-left:-13.08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416" style="position:absolute;margin-left:391.92pt;margin-top:234.112pt;mso-position-vertical-relative:text;mso-position-horizontal-relative:text;width:119.4pt;height:18.85pt;z-index:251741184;rotation:330;" fillcolor="#404040" filled="true" stroked="false" type="#_x0000_t136">
            <v:fill opacity="0.400000"/>
            <v:textpath style="font-family:&quot;SimSun&quot;;font-size:20;v-text-kern:t;mso-text-shadow:auto" string="仅供内部审核"/>
          </v:shape>
        </w:pict>
      </w:r>
      <w:r>
        <w:pict>
          <v:shape id="_x0000_s418" style="position:absolute;margin-left:86.92pt;margin-top:478.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420" style="position:absolute;margin-left:493.28pt;margin-top:483.186pt;mso-position-vertical-relative:text;mso-position-horizontal-relative:text;width:99.4pt;height:18.75pt;z-index:251743232;rotation:330;" fillcolor="#404040" filled="true" stroked="false" type="#_x0000_t136">
            <v:fill opacity="0.400000"/>
            <v:textpath style="font-family:&quot;SimSun&quot;;font-size:20;v-text-kern:t;mso-text-shadow:auto" string="仅供内部审"/>
          </v:shape>
        </w:pict>
      </w:r>
      <w:r>
        <w:rPr>
          <w:position w:val="-270"/>
        </w:rPr>
        <w:drawing>
          <wp:inline distT="0" distB="0" distL="0" distR="0">
            <wp:extent cx="6097700" cy="8582513"/>
            <wp:effectExtent l="0" t="0" r="0" b="0"/>
            <wp:docPr id="18" name="IM 18"/>
            <wp:cNvGraphicFramePr/>
            <a:graphic>
              <a:graphicData uri="http://schemas.openxmlformats.org/drawingml/2006/picture">
                <pic:pic>
                  <pic:nvPicPr>
                    <pic:cNvPr id="18" name="IM 18"/>
                    <pic:cNvPicPr/>
                  </pic:nvPicPr>
                  <pic:blipFill>
                    <a:blip r:embed="rId59"/>
                    <a:stretch>
                      <a:fillRect/>
                    </a:stretch>
                  </pic:blipFill>
                  <pic:spPr>
                    <a:xfrm rot="0">
                      <a:off x="0" y="0"/>
                      <a:ext cx="6097700" cy="8582513"/>
                    </a:xfrm>
                    <a:prstGeom prst="rect">
                      <a:avLst/>
                    </a:prstGeom>
                  </pic:spPr>
                </pic:pic>
              </a:graphicData>
            </a:graphic>
          </wp:inline>
        </w:drawing>
      </w:r>
    </w:p>
    <w:p>
      <w:pPr>
        <w:spacing w:line="13515" w:lineRule="exact"/>
        <w:sectPr>
          <w:footerReference w:type="default" r:id="rId58"/>
          <w:pgSz w:w="11900" w:h="16840"/>
          <w:pgMar w:top="610" w:right="86" w:bottom="312" w:left="0" w:header="357" w:footer="153" w:gutter="0"/>
        </w:sectPr>
        <w:rPr/>
      </w:pPr>
    </w:p>
    <w:p>
      <w:pPr>
        <w:pStyle w:val="BodyText"/>
        <w:spacing w:line="467" w:lineRule="auto"/>
        <w:rPr/>
      </w:pPr>
      <w:r>
        <w:pict>
          <v:shape id="_x0000_s422" style="position:absolute;margin-left:493.28pt;margin-top:49.1801pt;mso-position-vertical-relative:page;mso-position-horizontal-relative:page;width:99.4pt;height:18.75pt;z-index:251748352;rotation:330;" o:allowincell="f" fillcolor="#404040" filled="true" stroked="false" type="#_x0000_t136">
            <v:fill opacity="0.400000"/>
            <v:textpath style="font-family:&quot;SimSun&quot;;font-size:20;v-text-kern:t;mso-text-shadow:auto" string="仅供内部审"/>
          </v:shape>
        </w:pict>
      </w:r>
      <w:r>
        <w:pict>
          <v:shape id="_x0000_s424" style="position:absolute;margin-left:86.92pt;margin-top:44.1055pt;mso-position-vertical-relative:page;mso-position-horizontal-relative:page;width:119.4pt;height:18.85pt;z-index:2517493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26" style="position:absolute;margin-left:86.92pt;margin-top:478.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428" style="position:absolute;margin-left:493.28pt;margin-top:483.186pt;mso-position-vertical-relative:text;mso-position-horizontal-relative:text;width:99.4pt;height:18.75pt;z-index:251747328;rotation:330;" fillcolor="#404040" filled="true" stroked="false" type="#_x0000_t136">
            <v:fill opacity="0.400000"/>
            <v:textpath style="font-family:&quot;SimSun&quot;;font-size:20;v-text-kern:t;mso-text-shadow:auto" string="仅供内部审"/>
          </v:shape>
        </w:pict>
      </w:r>
      <w:r>
        <w:pict>
          <v:shape id="_x0000_s430" style="position:absolute;margin-left:-13.08pt;margin-top:234.112pt;mso-position-vertical-relative:text;mso-position-horizontal-relative:text;width:119.4pt;height:18.85pt;z-index:251750400;rotation:330;" fillcolor="#404040" filled="true" stroked="false" type="#_x0000_t136">
            <v:fill opacity="0.400000"/>
            <v:textpath style="font-family:&quot;SimSun&quot;;font-size:20;v-text-kern:t;mso-text-shadow:auto" string="仅供内部审核"/>
          </v:shape>
        </w:pict>
      </w:r>
      <w:r>
        <w:pict>
          <v:shape id="_x0000_s432" style="position:absolute;margin-left:391.92pt;margin-top:234.112pt;mso-position-vertical-relative:text;mso-position-horizontal-relative:text;width:119.4pt;height:18.85pt;z-index:2517514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6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0"/>
          <w:pgSz w:w="11900" w:h="16840"/>
          <w:pgMar w:top="610" w:right="86" w:bottom="312" w:left="0" w:header="357" w:footer="153" w:gutter="0"/>
        </w:sectPr>
        <w:rPr/>
      </w:pPr>
    </w:p>
    <w:p>
      <w:pPr>
        <w:pStyle w:val="BodyText"/>
        <w:spacing w:line="467" w:lineRule="auto"/>
        <w:rPr/>
      </w:pPr>
      <w:r>
        <w:pict>
          <v:shape id="_x0000_s434" style="position:absolute;margin-left:86.92pt;margin-top:44.1055pt;mso-position-vertical-relative:page;mso-position-horizontal-relative:page;width:119.4pt;height:18.85pt;z-index:251752448;rotation:330;" o:allowincell="f" fillcolor="#404040" filled="true" stroked="false" type="#_x0000_t136">
            <v:fill opacity="0.400000"/>
            <v:textpath style="font-family:&quot;SimSun&quot;;font-size:20;v-text-kern:t;mso-text-shadow:auto" string="仅供内部审核"/>
          </v:shape>
        </w:pict>
      </w:r>
      <w:r>
        <w:pict>
          <v:shape id="_x0000_s436" style="position:absolute;margin-left:493.28pt;margin-top:49.1801pt;mso-position-vertical-relative:page;mso-position-horizontal-relative:page;width:99.4pt;height:18.75pt;z-index:251757568;rotation:330;" o:allowincell="f" fillcolor="#404040" filled="true" stroked="false" type="#_x0000_t136">
            <v:fill opacity="0.400000"/>
            <v:textpath style="font-family:&quot;SimSun&quot;;font-size:20;v-text-kern:t;mso-text-shadow:auto" string="仅供内部审"/>
          </v:shape>
        </w:pict>
      </w:r>
      <w:r/>
    </w:p>
    <w:p>
      <w:pPr>
        <w:ind w:firstLine="1170"/>
        <w:spacing w:line="13539" w:lineRule="exact"/>
        <w:rPr/>
      </w:pPr>
      <w:r>
        <w:pict>
          <v:shape id="_x0000_s438" style="position:absolute;margin-left:-13.08pt;margin-top:234.112pt;mso-position-vertical-relative:text;mso-position-horizontal-relative:text;width:119.4pt;height:18.85pt;z-index:251753472;rotation:330;" fillcolor="#404040" filled="true" stroked="false" type="#_x0000_t136">
            <v:fill opacity="0.400000"/>
            <v:textpath style="font-family:&quot;SimSun&quot;;font-size:20;v-text-kern:t;mso-text-shadow:auto" string="仅供内部审核"/>
          </v:shape>
        </w:pict>
      </w:r>
      <w:r>
        <w:pict>
          <v:shape id="_x0000_s440" style="position:absolute;margin-left:391.92pt;margin-top:234.112pt;mso-position-vertical-relative:text;mso-position-horizontal-relative:text;width:119.4pt;height:18.85pt;z-index:251754496;rotation:330;" fillcolor="#404040" filled="true" stroked="false" type="#_x0000_t136">
            <v:fill opacity="0.400000"/>
            <v:textpath style="font-family:&quot;SimSun&quot;;font-size:20;v-text-kern:t;mso-text-shadow:auto" string="仅供内部审核"/>
          </v:shape>
        </w:pict>
      </w:r>
      <w:r>
        <w:pict>
          <v:shape id="_x0000_s442" style="position:absolute;margin-left:86.92pt;margin-top:478.112pt;mso-position-vertical-relative:text;mso-position-horizontal-relative:text;width:119.4pt;height:18.85pt;z-index:251755520;rotation:330;" fillcolor="#404040" filled="true" stroked="false" type="#_x0000_t136">
            <v:fill opacity="0.400000"/>
            <v:textpath style="font-family:&quot;SimSun&quot;;font-size:20;v-text-kern:t;mso-text-shadow:auto" string="仅供内部审核"/>
          </v:shape>
        </w:pict>
      </w:r>
      <w:r>
        <w:pict>
          <v:shape id="_x0000_s444" style="position:absolute;margin-left:493.28pt;margin-top:483.186pt;mso-position-vertical-relative:text;mso-position-horizontal-relative:text;width:99.4pt;height:18.75pt;z-index:251756544;rotation:330;" fillcolor="#404040" filled="true" stroked="false" type="#_x0000_t136">
            <v:fill opacity="0.400000"/>
            <v:textpath style="font-family:&quot;SimSun&quot;;font-size:20;v-text-kern:t;mso-text-shadow:auto" string="仅供内部审"/>
          </v:shape>
        </w:pict>
      </w:r>
      <w:r>
        <w:rPr>
          <w:position w:val="-270"/>
        </w:rPr>
        <w:drawing>
          <wp:inline distT="0" distB="0" distL="0" distR="0">
            <wp:extent cx="6097700" cy="8597756"/>
            <wp:effectExtent l="0" t="0" r="0" b="0"/>
            <wp:docPr id="22" name="IM 22"/>
            <wp:cNvGraphicFramePr/>
            <a:graphic>
              <a:graphicData uri="http://schemas.openxmlformats.org/drawingml/2006/picture">
                <pic:pic>
                  <pic:nvPicPr>
                    <pic:cNvPr id="22" name="IM 22"/>
                    <pic:cNvPicPr/>
                  </pic:nvPicPr>
                  <pic:blipFill>
                    <a:blip r:embed="rId63"/>
                    <a:stretch>
                      <a:fillRect/>
                    </a:stretch>
                  </pic:blipFill>
                  <pic:spPr>
                    <a:xfrm rot="0">
                      <a:off x="0" y="0"/>
                      <a:ext cx="6097700" cy="8597756"/>
                    </a:xfrm>
                    <a:prstGeom prst="rect">
                      <a:avLst/>
                    </a:prstGeom>
                  </pic:spPr>
                </pic:pic>
              </a:graphicData>
            </a:graphic>
          </wp:inline>
        </w:drawing>
      </w:r>
    </w:p>
    <w:p>
      <w:pPr>
        <w:spacing w:line="13539" w:lineRule="exact"/>
        <w:sectPr>
          <w:footerReference w:type="default" r:id="rId62"/>
          <w:pgSz w:w="11900" w:h="16840"/>
          <w:pgMar w:top="610" w:right="86" w:bottom="312" w:left="0" w:header="357" w:footer="153" w:gutter="0"/>
        </w:sectPr>
        <w:rPr/>
      </w:pPr>
    </w:p>
    <w:p>
      <w:pPr>
        <w:pStyle w:val="BodyText"/>
        <w:spacing w:line="467" w:lineRule="auto"/>
        <w:rPr/>
      </w:pPr>
      <w:r>
        <w:pict>
          <v:shape id="_x0000_s446" style="position:absolute;margin-left:86.92pt;margin-top:44.1055pt;mso-position-vertical-relative:page;mso-position-horizontal-relative:page;width:119.4pt;height:18.85pt;z-index:251760640;rotation:330;" o:allowincell="f" fillcolor="#404040" filled="true" stroked="false" type="#_x0000_t136">
            <v:fill opacity="0.400000"/>
            <v:textpath style="font-family:&quot;SimSun&quot;;font-size:20;v-text-kern:t;mso-text-shadow:auto" string="仅供内部审核"/>
          </v:shape>
        </w:pict>
      </w:r>
      <w:r>
        <w:pict>
          <v:shape id="_x0000_s448" style="position:absolute;margin-left:493.28pt;margin-top:49.1801pt;mso-position-vertical-relative:page;mso-position-horizontal-relative:page;width:99.4pt;height:18.75pt;z-index:251763712;rotation:330;" o:allowincell="f" fillcolor="#404040" filled="true" stroked="false" type="#_x0000_t136">
            <v:fill opacity="0.400000"/>
            <v:textpath style="font-family:&quot;SimSun&quot;;font-size:20;v-text-kern:t;mso-text-shadow:auto" string="仅供内部审"/>
          </v:shape>
        </w:pict>
      </w:r>
      <w:r/>
    </w:p>
    <w:p>
      <w:pPr>
        <w:ind w:firstLine="1170"/>
        <w:spacing w:line="13551" w:lineRule="exact"/>
        <w:rPr/>
      </w:pPr>
      <w:r>
        <w:pict>
          <v:shape id="_x0000_s450"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52" style="position:absolute;margin-left:86.92pt;margin-top:478.112pt;mso-position-vertical-relative:text;mso-position-horizontal-relative:text;width:119.4pt;height:18.85pt;z-index:251759616;rotation:330;" fillcolor="#404040" filled="true" stroked="false" type="#_x0000_t136">
            <v:fill opacity="0.400000"/>
            <v:textpath style="font-family:&quot;SimSun&quot;;font-size:20;v-text-kern:t;mso-text-shadow:auto" string="仅供内部审核"/>
          </v:shape>
        </w:pict>
      </w:r>
      <w:r>
        <w:pict>
          <v:shape id="_x0000_s454" style="position:absolute;margin-left:493.28pt;margin-top:483.186pt;mso-position-vertical-relative:text;mso-position-horizontal-relative:text;width:99.4pt;height:18.75pt;z-index:251761664;rotation:330;" fillcolor="#404040" filled="true" stroked="false" type="#_x0000_t136">
            <v:fill opacity="0.400000"/>
            <v:textpath style="font-family:&quot;SimSun&quot;;font-size:20;v-text-kern:t;mso-text-shadow:auto" string="仅供内部审"/>
          </v:shape>
        </w:pict>
      </w:r>
      <w:r>
        <w:pict>
          <v:shape id="_x0000_s456" style="position:absolute;margin-left:391.92pt;margin-top:234.112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rPr>
          <w:position w:val="-271"/>
        </w:rPr>
        <w:drawing>
          <wp:inline distT="0" distB="0" distL="0" distR="0">
            <wp:extent cx="6097700" cy="8605380"/>
            <wp:effectExtent l="0" t="0" r="0" b="0"/>
            <wp:docPr id="24" name="IM 24"/>
            <wp:cNvGraphicFramePr/>
            <a:graphic>
              <a:graphicData uri="http://schemas.openxmlformats.org/drawingml/2006/picture">
                <pic:pic>
                  <pic:nvPicPr>
                    <pic:cNvPr id="24" name="IM 24"/>
                    <pic:cNvPicPr/>
                  </pic:nvPicPr>
                  <pic:blipFill>
                    <a:blip r:embed="rId65"/>
                    <a:stretch>
                      <a:fillRect/>
                    </a:stretch>
                  </pic:blipFill>
                  <pic:spPr>
                    <a:xfrm rot="0">
                      <a:off x="0" y="0"/>
                      <a:ext cx="6097700" cy="8605380"/>
                    </a:xfrm>
                    <a:prstGeom prst="rect">
                      <a:avLst/>
                    </a:prstGeom>
                  </pic:spPr>
                </pic:pic>
              </a:graphicData>
            </a:graphic>
          </wp:inline>
        </w:drawing>
      </w:r>
    </w:p>
    <w:p>
      <w:pPr>
        <w:spacing w:line="13551" w:lineRule="exact"/>
        <w:sectPr>
          <w:footerReference w:type="default" r:id="rId64"/>
          <w:pgSz w:w="11900" w:h="16840"/>
          <w:pgMar w:top="610" w:right="86" w:bottom="312" w:left="0" w:header="357" w:footer="153" w:gutter="0"/>
        </w:sectPr>
        <w:rPr/>
      </w:pPr>
    </w:p>
    <w:p>
      <w:pPr>
        <w:pStyle w:val="BodyText"/>
        <w:spacing w:line="467" w:lineRule="auto"/>
        <w:rPr/>
      </w:pPr>
      <w:r>
        <w:pict>
          <v:shape id="_x0000_s458" style="position:absolute;margin-left:493.28pt;margin-top:49.1801pt;mso-position-vertical-relative:page;mso-position-horizontal-relative:page;width:99.4pt;height:18.75pt;z-index:251764736;rotation:330;" o:allowincell="f" fillcolor="#404040" filled="true" stroked="false" type="#_x0000_t136">
            <v:fill opacity="0.400000"/>
            <v:textpath style="font-family:&quot;SimSun&quot;;font-size:20;v-text-kern:t;mso-text-shadow:auto" string="仅供内部审"/>
          </v:shape>
        </w:pict>
      </w:r>
      <w:r>
        <w:pict>
          <v:shape id="_x0000_s460" style="position:absolute;margin-left:86.92pt;margin-top:44.1055pt;mso-position-vertical-relative:page;mso-position-horizontal-relative:page;width:119.4pt;height:18.85pt;z-index:251766784;rotation:330;" o:allowincell="f" fillcolor="#404040" filled="true" stroked="false" type="#_x0000_t136">
            <v:fill opacity="0.400000"/>
            <v:textpath style="font-family:&quot;SimSun&quot;;font-size:20;v-text-kern:t;mso-text-shadow:auto" string="仅供内部审核"/>
          </v:shape>
        </w:pict>
      </w:r>
      <w:r/>
    </w:p>
    <w:p>
      <w:pPr>
        <w:ind w:firstLine="1170"/>
        <w:spacing w:line="13563" w:lineRule="exact"/>
        <w:rPr/>
      </w:pPr>
      <w:r>
        <w:pict>
          <v:shape id="_x0000_s462" style="position:absolute;margin-left:86.92pt;margin-top:478.112pt;mso-position-vertical-relative:text;mso-position-horizontal-relative:text;width:119.4pt;height:18.85pt;z-index:251765760;rotation:330;" fillcolor="#404040" filled="true" stroked="false" type="#_x0000_t136">
            <v:fill opacity="0.400000"/>
            <v:textpath style="font-family:&quot;SimSun&quot;;font-size:20;v-text-kern:t;mso-text-shadow:auto" string="仅供内部审核"/>
          </v:shape>
        </w:pict>
      </w:r>
      <w:r>
        <w:pict>
          <v:shape id="_x0000_s464" style="position:absolute;margin-left:391.92pt;margin-top:234.112pt;mso-position-vertical-relative:text;mso-position-horizontal-relative:text;width:119.4pt;height:18.85pt;z-index:251767808;rotation:330;" fillcolor="#404040" filled="true" stroked="false" type="#_x0000_t136">
            <v:fill opacity="0.400000"/>
            <v:textpath style="font-family:&quot;SimSun&quot;;font-size:20;v-text-kern:t;mso-text-shadow:auto" string="仅供内部审核"/>
          </v:shape>
        </w:pict>
      </w:r>
      <w:r>
        <w:pict>
          <v:shape id="_x0000_s466" style="position:absolute;margin-left:493.28pt;margin-top:483.186pt;mso-position-vertical-relative:text;mso-position-horizontal-relative:text;width:99.4pt;height:18.75pt;z-index:251768832;rotation:330;" fillcolor="#404040" filled="true" stroked="false" type="#_x0000_t136">
            <v:fill opacity="0.400000"/>
            <v:textpath style="font-family:&quot;SimSun&quot;;font-size:20;v-text-kern:t;mso-text-shadow:auto" string="仅供内部审"/>
          </v:shape>
        </w:pict>
      </w:r>
      <w:r>
        <w:pict>
          <v:shape id="_x0000_s468" style="position:absolute;margin-left:-13.08pt;margin-top:234.112pt;mso-position-vertical-relative:text;mso-position-horizontal-relative:text;width:119.4pt;height:18.85pt;z-index:251769856;rotation:330;" fillcolor="#404040" filled="true" stroked="false" type="#_x0000_t136">
            <v:fill opacity="0.400000"/>
            <v:textpath style="font-family:&quot;SimSun&quot;;font-size:20;v-text-kern:t;mso-text-shadow:auto" string="仅供内部审核"/>
          </v:shape>
        </w:pict>
      </w:r>
      <w:r>
        <w:rPr>
          <w:position w:val="-271"/>
        </w:rPr>
        <w:drawing>
          <wp:inline distT="0" distB="0" distL="0" distR="0">
            <wp:extent cx="6097700" cy="8613001"/>
            <wp:effectExtent l="0" t="0" r="0" b="0"/>
            <wp:docPr id="26" name="IM 26"/>
            <wp:cNvGraphicFramePr/>
            <a:graphic>
              <a:graphicData uri="http://schemas.openxmlformats.org/drawingml/2006/picture">
                <pic:pic>
                  <pic:nvPicPr>
                    <pic:cNvPr id="26" name="IM 26"/>
                    <pic:cNvPicPr/>
                  </pic:nvPicPr>
                  <pic:blipFill>
                    <a:blip r:embed="rId67"/>
                    <a:stretch>
                      <a:fillRect/>
                    </a:stretch>
                  </pic:blipFill>
                  <pic:spPr>
                    <a:xfrm rot="0">
                      <a:off x="0" y="0"/>
                      <a:ext cx="6097700" cy="8613001"/>
                    </a:xfrm>
                    <a:prstGeom prst="rect">
                      <a:avLst/>
                    </a:prstGeom>
                  </pic:spPr>
                </pic:pic>
              </a:graphicData>
            </a:graphic>
          </wp:inline>
        </w:drawing>
      </w:r>
    </w:p>
    <w:p>
      <w:pPr>
        <w:spacing w:line="13563" w:lineRule="exact"/>
        <w:sectPr>
          <w:footerReference w:type="default" r:id="rId66"/>
          <w:pgSz w:w="11900" w:h="16840"/>
          <w:pgMar w:top="610" w:right="86" w:bottom="312" w:left="0" w:header="357" w:footer="153" w:gutter="0"/>
        </w:sectPr>
        <w:rPr/>
      </w:pPr>
    </w:p>
    <w:p>
      <w:pPr>
        <w:pStyle w:val="BodyText"/>
        <w:spacing w:line="467" w:lineRule="auto"/>
        <w:rPr/>
      </w:pPr>
      <w:r>
        <w:pict>
          <v:shape id="_x0000_s470" style="position:absolute;margin-left:86.92pt;margin-top:44.1055pt;mso-position-vertical-relative:page;mso-position-horizontal-relative:page;width:119.4pt;height:18.85pt;z-index:251770880;rotation:330;" o:allowincell="f" fillcolor="#404040" filled="true" stroked="false" type="#_x0000_t136">
            <v:fill opacity="0.400000"/>
            <v:textpath style="font-family:&quot;SimSun&quot;;font-size:20;v-text-kern:t;mso-text-shadow:auto" string="仅供内部审核"/>
          </v:shape>
        </w:pict>
      </w:r>
      <w:r>
        <w:pict>
          <v:shape id="_x0000_s472" style="position:absolute;margin-left:493.28pt;margin-top:49.1801pt;mso-position-vertical-relative:page;mso-position-horizontal-relative:page;width:99.4pt;height:18.75pt;z-index:251772928;rotation:330;" o:allowincell="f" fillcolor="#404040" filled="true" stroked="false" type="#_x0000_t136">
            <v:fill opacity="0.400000"/>
            <v:textpath style="font-family:&quot;SimSun&quot;;font-size:20;v-text-kern:t;mso-text-shadow:auto" string="仅供内部审"/>
          </v:shape>
        </w:pict>
      </w:r>
      <w:r/>
    </w:p>
    <w:p>
      <w:pPr>
        <w:ind w:firstLine="1170"/>
        <w:spacing w:line="13575" w:lineRule="exact"/>
        <w:rPr/>
      </w:pPr>
      <w:r>
        <w:pict>
          <v:shape id="_x0000_s474" style="position:absolute;margin-left:391.92pt;margin-top:234.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pict>
          <v:shape id="_x0000_s476" style="position:absolute;margin-left:86.92pt;margin-top:478.112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_x0000_s478" style="position:absolute;margin-left:493.28pt;margin-top:483.186pt;mso-position-vertical-relative:text;mso-position-horizontal-relative:text;width:99.4pt;height:18.75pt;z-index:251774976;rotation:330;" fillcolor="#404040" filled="true" stroked="false" type="#_x0000_t136">
            <v:fill opacity="0.400000"/>
            <v:textpath style="font-family:&quot;SimSun&quot;;font-size:20;v-text-kern:t;mso-text-shadow:auto" string="仅供内部审"/>
          </v:shape>
        </w:pict>
      </w:r>
      <w:r>
        <w:pict>
          <v:shape id="_x0000_s480" style="position:absolute;margin-left:-13.08pt;margin-top:234.112pt;mso-position-vertical-relative:text;mso-position-horizontal-relative:text;width:119.4pt;height:18.85pt;z-index:251776000;rotation:330;" fillcolor="#404040" filled="true" stroked="false" type="#_x0000_t136">
            <v:fill opacity="0.400000"/>
            <v:textpath style="font-family:&quot;SimSun&quot;;font-size:20;v-text-kern:t;mso-text-shadow:auto" string="仅供内部审核"/>
          </v:shape>
        </w:pict>
      </w:r>
      <w:r>
        <w:rPr>
          <w:position w:val="-271"/>
        </w:rPr>
        <w:drawing>
          <wp:inline distT="0" distB="0" distL="0" distR="0">
            <wp:extent cx="6097700" cy="8620622"/>
            <wp:effectExtent l="0" t="0" r="0" b="0"/>
            <wp:docPr id="28" name="IM 28"/>
            <wp:cNvGraphicFramePr/>
            <a:graphic>
              <a:graphicData uri="http://schemas.openxmlformats.org/drawingml/2006/picture">
                <pic:pic>
                  <pic:nvPicPr>
                    <pic:cNvPr id="28" name="IM 28"/>
                    <pic:cNvPicPr/>
                  </pic:nvPicPr>
                  <pic:blipFill>
                    <a:blip r:embed="rId69"/>
                    <a:stretch>
                      <a:fillRect/>
                    </a:stretch>
                  </pic:blipFill>
                  <pic:spPr>
                    <a:xfrm rot="0">
                      <a:off x="0" y="0"/>
                      <a:ext cx="6097700" cy="8620622"/>
                    </a:xfrm>
                    <a:prstGeom prst="rect">
                      <a:avLst/>
                    </a:prstGeom>
                  </pic:spPr>
                </pic:pic>
              </a:graphicData>
            </a:graphic>
          </wp:inline>
        </w:drawing>
      </w:r>
    </w:p>
    <w:p>
      <w:pPr>
        <w:spacing w:line="13575" w:lineRule="exact"/>
        <w:sectPr>
          <w:footerReference w:type="default" r:id="rId68"/>
          <w:pgSz w:w="11900" w:h="16840"/>
          <w:pgMar w:top="610" w:right="86" w:bottom="312" w:left="0" w:header="357" w:footer="153" w:gutter="0"/>
        </w:sectPr>
        <w:rPr/>
      </w:pPr>
    </w:p>
    <w:p>
      <w:pPr>
        <w:pStyle w:val="BodyText"/>
        <w:spacing w:line="467" w:lineRule="auto"/>
        <w:rPr/>
      </w:pPr>
      <w:r>
        <w:pict>
          <v:shape id="_x0000_s482" style="position:absolute;margin-left:86.92pt;margin-top:44.1055pt;mso-position-vertical-relative:page;mso-position-horizontal-relative:page;width:119.4pt;height:18.85pt;z-index:251778048;rotation:330;" o:allowincell="f" fillcolor="#404040" filled="true" stroked="false" type="#_x0000_t136">
            <v:fill opacity="0.400000"/>
            <v:textpath style="font-family:&quot;SimSun&quot;;font-size:20;v-text-kern:t;mso-text-shadow:auto" string="仅供内部审核"/>
          </v:shape>
        </w:pict>
      </w:r>
      <w:r>
        <w:pict>
          <v:shape id="_x0000_s484" style="position:absolute;margin-left:493.28pt;margin-top:49.1801pt;mso-position-vertical-relative:page;mso-position-horizontal-relative:page;width:99.4pt;height:18.75pt;z-index:251779072;rotation:330;" o:allowincell="f" fillcolor="#404040" filled="true" stroked="false" type="#_x0000_t136">
            <v:fill opacity="0.400000"/>
            <v:textpath style="font-family:&quot;SimSun&quot;;font-size:20;v-text-kern:t;mso-text-shadow:auto" string="仅供内部审"/>
          </v:shape>
        </w:pict>
      </w:r>
      <w:r/>
    </w:p>
    <w:p>
      <w:pPr>
        <w:ind w:firstLine="1170"/>
        <w:spacing w:line="13539" w:lineRule="exact"/>
        <w:rPr/>
      </w:pPr>
      <w:r>
        <w:pict>
          <v:shape id="_x0000_s486"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88" style="position:absolute;margin-left:86.92pt;margin-top:478.112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_x0000_s490" style="position:absolute;margin-left:493.28pt;margin-top:483.186pt;mso-position-vertical-relative:text;mso-position-horizontal-relative:text;width:99.4pt;height:18.75pt;z-index:251781120;rotation:330;" fillcolor="#404040" filled="true" stroked="false" type="#_x0000_t136">
            <v:fill opacity="0.400000"/>
            <v:textpath style="font-family:&quot;SimSun&quot;;font-size:20;v-text-kern:t;mso-text-shadow:auto" string="仅供内部审"/>
          </v:shape>
        </w:pict>
      </w:r>
      <w:r>
        <w:pict>
          <v:shape id="_x0000_s492" style="position:absolute;margin-left:391.92pt;margin-top:234.112pt;mso-position-vertical-relative:text;mso-position-horizontal-relative:text;width:119.4pt;height:18.85pt;z-index:251782144;rotation:330;" fillcolor="#404040" filled="true" stroked="false" type="#_x0000_t136">
            <v:fill opacity="0.400000"/>
            <v:textpath style="font-family:&quot;SimSun&quot;;font-size:20;v-text-kern:t;mso-text-shadow:auto" string="仅供内部审核"/>
          </v:shape>
        </w:pict>
      </w:r>
      <w:r>
        <w:rPr>
          <w:position w:val="-270"/>
        </w:rPr>
        <w:drawing>
          <wp:inline distT="0" distB="0" distL="0" distR="0">
            <wp:extent cx="6097700" cy="8597756"/>
            <wp:effectExtent l="0" t="0" r="0" b="0"/>
            <wp:docPr id="30" name="IM 30"/>
            <wp:cNvGraphicFramePr/>
            <a:graphic>
              <a:graphicData uri="http://schemas.openxmlformats.org/drawingml/2006/picture">
                <pic:pic>
                  <pic:nvPicPr>
                    <pic:cNvPr id="30" name="IM 30"/>
                    <pic:cNvPicPr/>
                  </pic:nvPicPr>
                  <pic:blipFill>
                    <a:blip r:embed="rId71"/>
                    <a:stretch>
                      <a:fillRect/>
                    </a:stretch>
                  </pic:blipFill>
                  <pic:spPr>
                    <a:xfrm rot="0">
                      <a:off x="0" y="0"/>
                      <a:ext cx="6097700" cy="8597756"/>
                    </a:xfrm>
                    <a:prstGeom prst="rect">
                      <a:avLst/>
                    </a:prstGeom>
                  </pic:spPr>
                </pic:pic>
              </a:graphicData>
            </a:graphic>
          </wp:inline>
        </w:drawing>
      </w:r>
    </w:p>
    <w:p>
      <w:pPr>
        <w:spacing w:line="13539" w:lineRule="exact"/>
        <w:sectPr>
          <w:footerReference w:type="default" r:id="rId70"/>
          <w:pgSz w:w="11900" w:h="16840"/>
          <w:pgMar w:top="610" w:right="86" w:bottom="312" w:left="0" w:header="357" w:footer="153" w:gutter="0"/>
        </w:sectPr>
        <w:rPr/>
      </w:pPr>
    </w:p>
    <w:p>
      <w:pPr>
        <w:pStyle w:val="BodyText"/>
        <w:spacing w:line="467" w:lineRule="auto"/>
        <w:rPr/>
      </w:pPr>
      <w:r>
        <w:pict>
          <v:shape id="_x0000_s494" style="position:absolute;margin-left:493.28pt;margin-top:49.1801pt;mso-position-vertical-relative:page;mso-position-horizontal-relative:page;width:99.4pt;height:18.75pt;z-index:251783168;rotation:330;" o:allowincell="f" fillcolor="#404040" filled="true" stroked="false" type="#_x0000_t136">
            <v:fill opacity="0.400000"/>
            <v:textpath style="font-family:&quot;SimSun&quot;;font-size:20;v-text-kern:t;mso-text-shadow:auto" string="仅供内部审"/>
          </v:shape>
        </w:pict>
      </w:r>
      <w:r>
        <w:pict>
          <v:shape id="_x0000_s496" style="position:absolute;margin-left:86.92pt;margin-top:44.1055pt;mso-position-vertical-relative:page;mso-position-horizontal-relative:page;width:119.4pt;height:18.85pt;z-index:251784192;rotation:330;" o:allowincell="f" fillcolor="#404040" filled="true" stroked="false" type="#_x0000_t136">
            <v:fill opacity="0.400000"/>
            <v:textpath style="font-family:&quot;SimSun&quot;;font-size:20;v-text-kern:t;mso-text-shadow:auto" string="仅供内部审核"/>
          </v:shape>
        </w:pict>
      </w:r>
      <w:r/>
    </w:p>
    <w:p>
      <w:pPr>
        <w:ind w:firstLine="1170"/>
        <w:spacing w:line="13563" w:lineRule="exact"/>
        <w:rPr/>
      </w:pPr>
      <w:r>
        <w:pict>
          <v:shape id="_x0000_s498" style="position:absolute;margin-left:391.92pt;margin-top:234.112pt;mso-position-vertical-relative:text;mso-position-horizontal-relative:text;width:119.4pt;height:18.85pt;z-index:251785216;rotation:330;" fillcolor="#404040" filled="true" stroked="false" type="#_x0000_t136">
            <v:fill opacity="0.400000"/>
            <v:textpath style="font-family:&quot;SimSun&quot;;font-size:20;v-text-kern:t;mso-text-shadow:auto" string="仅供内部审核"/>
          </v:shape>
        </w:pict>
      </w:r>
      <w:r>
        <w:pict>
          <v:shape id="_x0000_s500" style="position:absolute;margin-left:86.92pt;margin-top:478.112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_x0000_s502" style="position:absolute;margin-left:493.28pt;margin-top:483.186pt;mso-position-vertical-relative:text;mso-position-horizontal-relative:text;width:99.4pt;height:18.75pt;z-index:251787264;rotation:330;" fillcolor="#404040" filled="true" stroked="false" type="#_x0000_t136">
            <v:fill opacity="0.400000"/>
            <v:textpath style="font-family:&quot;SimSun&quot;;font-size:20;v-text-kern:t;mso-text-shadow:auto" string="仅供内部审"/>
          </v:shape>
        </w:pict>
      </w:r>
      <w:r>
        <w:pict>
          <v:shape id="_x0000_s504" style="position:absolute;margin-left:-13.08pt;margin-top:234.112pt;mso-position-vertical-relative:text;mso-position-horizontal-relative:text;width:119.4pt;height:18.85pt;z-index:251788288;rotation:330;" fillcolor="#404040" filled="true" stroked="false" type="#_x0000_t136">
            <v:fill opacity="0.400000"/>
            <v:textpath style="font-family:&quot;SimSun&quot;;font-size:20;v-text-kern:t;mso-text-shadow:auto" string="仅供内部审核"/>
          </v:shape>
        </w:pict>
      </w:r>
      <w:r>
        <w:rPr>
          <w:position w:val="-271"/>
        </w:rPr>
        <w:drawing>
          <wp:inline distT="0" distB="0" distL="0" distR="0">
            <wp:extent cx="6097700" cy="8613001"/>
            <wp:effectExtent l="0" t="0" r="0" b="0"/>
            <wp:docPr id="32" name="IM 32"/>
            <wp:cNvGraphicFramePr/>
            <a:graphic>
              <a:graphicData uri="http://schemas.openxmlformats.org/drawingml/2006/picture">
                <pic:pic>
                  <pic:nvPicPr>
                    <pic:cNvPr id="32" name="IM 32"/>
                    <pic:cNvPicPr/>
                  </pic:nvPicPr>
                  <pic:blipFill>
                    <a:blip r:embed="rId73"/>
                    <a:stretch>
                      <a:fillRect/>
                    </a:stretch>
                  </pic:blipFill>
                  <pic:spPr>
                    <a:xfrm rot="0">
                      <a:off x="0" y="0"/>
                      <a:ext cx="6097700" cy="8613001"/>
                    </a:xfrm>
                    <a:prstGeom prst="rect">
                      <a:avLst/>
                    </a:prstGeom>
                  </pic:spPr>
                </pic:pic>
              </a:graphicData>
            </a:graphic>
          </wp:inline>
        </w:drawing>
      </w:r>
    </w:p>
    <w:p>
      <w:pPr>
        <w:spacing w:line="13563" w:lineRule="exact"/>
        <w:sectPr>
          <w:footerReference w:type="default" r:id="rId72"/>
          <w:pgSz w:w="11900" w:h="16840"/>
          <w:pgMar w:top="610" w:right="86" w:bottom="312" w:left="0" w:header="357" w:footer="153" w:gutter="0"/>
        </w:sectPr>
        <w:rPr/>
      </w:pPr>
    </w:p>
    <w:p>
      <w:pPr>
        <w:pStyle w:val="BodyText"/>
        <w:spacing w:line="467" w:lineRule="auto"/>
        <w:rPr/>
      </w:pPr>
      <w:r>
        <w:pict>
          <v:shape id="_x0000_s506" style="position:absolute;margin-left:86.92pt;margin-top:44.1055pt;mso-position-vertical-relative:page;mso-position-horizontal-relative:page;width:119.4pt;height:18.85pt;z-index:251790336;rotation:330;" o:allowincell="f" fillcolor="#404040" filled="true" stroked="false" type="#_x0000_t136">
            <v:fill opacity="0.400000"/>
            <v:textpath style="font-family:&quot;SimSun&quot;;font-size:20;v-text-kern:t;mso-text-shadow:auto" string="仅供内部审核"/>
          </v:shape>
        </w:pict>
      </w:r>
      <w:r>
        <w:pict>
          <v:shape id="_x0000_s508" style="position:absolute;margin-left:493.28pt;margin-top:49.1801pt;mso-position-vertical-relative:page;mso-position-horizontal-relative:page;width:99.4pt;height:18.75pt;z-index:251791360;rotation:330;" o:allowincell="f" fillcolor="#404040" filled="true" stroked="false" type="#_x0000_t136">
            <v:fill opacity="0.400000"/>
            <v:textpath style="font-family:&quot;SimSun&quot;;font-size:20;v-text-kern:t;mso-text-shadow:auto" string="仅供内部审"/>
          </v:shape>
        </w:pict>
      </w:r>
      <w:r/>
    </w:p>
    <w:p>
      <w:pPr>
        <w:ind w:firstLine="1170"/>
        <w:spacing w:line="13551" w:lineRule="exact"/>
        <w:rPr/>
      </w:pPr>
      <w:r>
        <w:pict>
          <v:shape id="_x0000_s510"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512" style="position:absolute;margin-left:391.92pt;margin-top:234.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514" style="position:absolute;margin-left:86.92pt;margin-top:478.112pt;mso-position-vertical-relative:text;mso-position-horizontal-relative:text;width:119.4pt;height:18.85pt;z-index:251793408;rotation:330;" fillcolor="#404040" filled="true" stroked="false" type="#_x0000_t136">
            <v:fill opacity="0.400000"/>
            <v:textpath style="font-family:&quot;SimSun&quot;;font-size:20;v-text-kern:t;mso-text-shadow:auto" string="仅供内部审核"/>
          </v:shape>
        </w:pict>
      </w:r>
      <w:r>
        <w:pict>
          <v:shape id="_x0000_s516" style="position:absolute;margin-left:493.28pt;margin-top:483.186pt;mso-position-vertical-relative:text;mso-position-horizontal-relative:text;width:99.4pt;height:18.75pt;z-index:251794432;rotation:330;" fillcolor="#404040" filled="true" stroked="false" type="#_x0000_t136">
            <v:fill opacity="0.400000"/>
            <v:textpath style="font-family:&quot;SimSun&quot;;font-size:20;v-text-kern:t;mso-text-shadow:auto" string="仅供内部审"/>
          </v:shape>
        </w:pict>
      </w:r>
      <w:r>
        <w:rPr>
          <w:position w:val="-271"/>
        </w:rPr>
        <w:drawing>
          <wp:inline distT="0" distB="0" distL="0" distR="0">
            <wp:extent cx="6097700" cy="8605380"/>
            <wp:effectExtent l="0" t="0" r="0" b="0"/>
            <wp:docPr id="34" name="IM 34"/>
            <wp:cNvGraphicFramePr/>
            <a:graphic>
              <a:graphicData uri="http://schemas.openxmlformats.org/drawingml/2006/picture">
                <pic:pic>
                  <pic:nvPicPr>
                    <pic:cNvPr id="34" name="IM 34"/>
                    <pic:cNvPicPr/>
                  </pic:nvPicPr>
                  <pic:blipFill>
                    <a:blip r:embed="rId75"/>
                    <a:stretch>
                      <a:fillRect/>
                    </a:stretch>
                  </pic:blipFill>
                  <pic:spPr>
                    <a:xfrm rot="0">
                      <a:off x="0" y="0"/>
                      <a:ext cx="6097700" cy="8605380"/>
                    </a:xfrm>
                    <a:prstGeom prst="rect">
                      <a:avLst/>
                    </a:prstGeom>
                  </pic:spPr>
                </pic:pic>
              </a:graphicData>
            </a:graphic>
          </wp:inline>
        </w:drawing>
      </w:r>
    </w:p>
    <w:p>
      <w:pPr>
        <w:spacing w:line="13551" w:lineRule="exact"/>
        <w:sectPr>
          <w:footerReference w:type="default" r:id="rId74"/>
          <w:pgSz w:w="11900" w:h="16840"/>
          <w:pgMar w:top="610" w:right="86" w:bottom="312" w:left="0" w:header="357" w:footer="153" w:gutter="0"/>
        </w:sectPr>
        <w:rPr/>
      </w:pPr>
    </w:p>
    <w:p>
      <w:pPr>
        <w:pStyle w:val="BodyText"/>
        <w:spacing w:line="467" w:lineRule="auto"/>
        <w:rPr/>
      </w:pPr>
      <w:r>
        <w:pict>
          <v:shape id="_x0000_s518" style="position:absolute;margin-left:86.92pt;margin-top:44.1055pt;mso-position-vertical-relative:page;mso-position-horizontal-relative:page;width:119.4pt;height:18.85pt;z-index:251796480;rotation:330;" o:allowincell="f" fillcolor="#404040" filled="true" stroked="false" type="#_x0000_t136">
            <v:fill opacity="0.400000"/>
            <v:textpath style="font-family:&quot;SimSun&quot;;font-size:20;v-text-kern:t;mso-text-shadow:auto" string="仅供内部审核"/>
          </v:shape>
        </w:pict>
      </w:r>
      <w:r>
        <w:pict>
          <v:shape id="_x0000_s520" style="position:absolute;margin-left:493.28pt;margin-top:49.1801pt;mso-position-vertical-relative:page;mso-position-horizontal-relative:page;width:99.4pt;height:18.75pt;z-index:251798528;rotation:330;" o:allowincell="f" fillcolor="#404040" filled="true" stroked="false" type="#_x0000_t136">
            <v:fill opacity="0.400000"/>
            <v:textpath style="font-family:&quot;SimSun&quot;;font-size:20;v-text-kern:t;mso-text-shadow:auto" string="仅供内部审"/>
          </v:shape>
        </w:pict>
      </w:r>
      <w:r/>
    </w:p>
    <w:p>
      <w:pPr>
        <w:ind w:firstLine="1170"/>
        <w:spacing w:line="13551" w:lineRule="exact"/>
        <w:rPr/>
      </w:pPr>
      <w:r>
        <w:pict>
          <v:shape id="_x0000_s522" style="position:absolute;margin-left:-13.08pt;margin-top:234.112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_x0000_s524" style="position:absolute;margin-left:86.92pt;margin-top:478.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526" style="position:absolute;margin-left:391.92pt;margin-top:234.112pt;mso-position-vertical-relative:text;mso-position-horizontal-relative:text;width:119.4pt;height:18.85pt;z-index:251799552;rotation:330;" fillcolor="#404040" filled="true" stroked="false" type="#_x0000_t136">
            <v:fill opacity="0.400000"/>
            <v:textpath style="font-family:&quot;SimSun&quot;;font-size:20;v-text-kern:t;mso-text-shadow:auto" string="仅供内部审核"/>
          </v:shape>
        </w:pict>
      </w:r>
      <w:r>
        <w:pict>
          <v:shape id="_x0000_s528" style="position:absolute;margin-left:493.28pt;margin-top:483.186pt;mso-position-vertical-relative:text;mso-position-horizontal-relative:text;width:99.4pt;height:18.75pt;z-index:251800576;rotation:330;" fillcolor="#404040" filled="true" stroked="false" type="#_x0000_t136">
            <v:fill opacity="0.400000"/>
            <v:textpath style="font-family:&quot;SimSun&quot;;font-size:20;v-text-kern:t;mso-text-shadow:auto" string="仅供内部审"/>
          </v:shape>
        </w:pict>
      </w:r>
      <w:r>
        <w:rPr>
          <w:position w:val="-271"/>
        </w:rPr>
        <w:drawing>
          <wp:inline distT="0" distB="0" distL="0" distR="0">
            <wp:extent cx="6097700" cy="8605380"/>
            <wp:effectExtent l="0" t="0" r="0" b="0"/>
            <wp:docPr id="36" name="IM 36"/>
            <wp:cNvGraphicFramePr/>
            <a:graphic>
              <a:graphicData uri="http://schemas.openxmlformats.org/drawingml/2006/picture">
                <pic:pic>
                  <pic:nvPicPr>
                    <pic:cNvPr id="36" name="IM 36"/>
                    <pic:cNvPicPr/>
                  </pic:nvPicPr>
                  <pic:blipFill>
                    <a:blip r:embed="rId77"/>
                    <a:stretch>
                      <a:fillRect/>
                    </a:stretch>
                  </pic:blipFill>
                  <pic:spPr>
                    <a:xfrm rot="0">
                      <a:off x="0" y="0"/>
                      <a:ext cx="6097700" cy="8605380"/>
                    </a:xfrm>
                    <a:prstGeom prst="rect">
                      <a:avLst/>
                    </a:prstGeom>
                  </pic:spPr>
                </pic:pic>
              </a:graphicData>
            </a:graphic>
          </wp:inline>
        </w:drawing>
      </w:r>
    </w:p>
    <w:sectPr>
      <w:footerReference w:type="default" r:id="rId76"/>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86.92pt;margin-top:44.105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13.08pt;margin-top:288.10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391.92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86.92pt;margin-top:532.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493.28pt;margin-top:537.18pt;mso-position-vertical-relative:page;mso-position-horizontal-relative:page;width:99.4pt;height:18.75pt;z-index:-251648000;rotation:330;" o:allowincell="f" fillcolor="#404040" filled="true" stroked="false" type="#_x0000_t136">
          <v:fill opacity="0.400000"/>
          <v:textpath style="font-family:&quot;SimSun&quot;;font-size:20;v-text-kern:t;mso-text-shadow:auto" string="仅供内部审"/>
        </v:shape>
      </w:pict>
    </w:r>
    <w:r>
      <w:pict>
        <v:shape id="PowerPlusWaterMarkObject24" style="position:absolute;margin-left:-13.08pt;margin-top:776.106pt;mso-position-vertical-relative:page;mso-position-horizontal-relative:page;width:119.4pt;height:18.85pt;z-index:-251646976;rotation:330;" o:allowincell="f" fillcolor="#404040" filled="true" stroked="false" type="#_x0000_t136">
          <v:fill opacity="0.400000"/>
          <v:textpath style="font-family:&quot;SimSun&quot;;font-size:20;v-text-kern:t;mso-text-shadow:auto" string="仅供内部审核"/>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776.106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288.105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40832;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9984;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8960;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1616;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5472;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2400;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7280;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52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5584;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1920;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3968;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29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3776;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3728;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7824;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475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30" style="position:absolute;margin-left:86.92pt;margin-top:26.2223pt;mso-position-vertical-relative:text;mso-position-horizontal-relative:text;width:119.4pt;height:18.85pt;z-index:251731968;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13.08pt;margin-top:288.105pt;mso-position-vertical-relative:page;mso-position-horizontal-relative:page;width:119.4pt;height:18.85pt;z-index:-251585536;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493.28pt;margin-top:49.1801pt;mso-position-vertical-relative:page;mso-position-horizontal-relative:page;width:99.4pt;height:18.75pt;z-index:251732992;rotation:330;" o:allowincell="f" fillcolor="#404040" filled="true" stroked="false" type="#_x0000_t136">
          <v:fill opacity="0.400000"/>
          <v:textpath style="font-family:&quot;SimSun&quot;;font-size:20;v-text-kern:t;mso-text-shadow:auto" string="仅供内部审"/>
        </v:shape>
      </w:pict>
    </w:r>
    <w:r>
      <w:pict>
        <v:shape id="PowerPlusWaterMarkObject136" style="position:absolute;margin-left:391.92pt;margin-top:288.105pt;mso-position-vertical-relative:page;mso-position-horizontal-relative:page;width:119.4pt;height:18.85pt;z-index:-251586560;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86.92pt;margin-top:532.106pt;mso-position-vertical-relative:page;mso-position-horizontal-relative:page;width:119.4pt;height:18.85pt;z-index:-251589632;rotation:330;" o:allowincell="f" fillcolor="#404040" filled="true" stroked="false" type="#_x0000_t136">
          <v:fill opacity="0.400000"/>
          <v:textpath style="font-family:&quot;SimSun&quot;;font-size:20;v-text-kern:t;mso-text-shadow:auto" string="仅供内部审核"/>
        </v:shape>
      </w:pict>
    </w:r>
    <w:r>
      <w:pict>
        <v:shape id="PowerPlusWaterMarkObject140" style="position:absolute;margin-left:-13.08pt;margin-top:776.106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pict>
        <v:shape id="PowerPlusWaterMarkObject142" style="position:absolute;margin-left:493.28pt;margin-top:537.18pt;mso-position-vertical-relative:page;mso-position-horizontal-relative:page;width:99.4pt;height:18.75pt;z-index:-251590656;rotation:330;" o:allowincell="f" fillcolor="#404040" filled="true" stroked="false" type="#_x0000_t136">
          <v:fill opacity="0.400000"/>
          <v:textpath style="font-family:&quot;SimSun&quot;;font-size:20;v-text-kern:t;mso-text-shadow:auto" string="仅供内部审"/>
        </v:shape>
      </w:pict>
    </w:r>
    <w:r>
      <w:pict>
        <v:shape id="PowerPlusWaterMarkObject144" style="position:absolute;margin-left:391.92pt;margin-top:776.106pt;mso-position-vertical-relative:page;mso-position-horizontal-relative:page;width:119.4pt;height:18.85pt;z-index:-2515886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6" style="position:absolute;margin-left:86.92pt;margin-top:26.2223pt;mso-position-vertical-relative:text;mso-position-horizontal-relative:text;width:119.4pt;height:18.85pt;z-index:251741184;rotation:330;" fillcolor="#404040" filled="true" stroked="false" type="#_x0000_t136">
          <v:fill opacity="0.400000"/>
          <v:textpath style="font-family:&quot;SimSun&quot;;font-size:20;v-text-kern:t;mso-text-shadow:auto" string="仅供内部审核"/>
        </v:shape>
      </w:pict>
    </w:r>
    <w:r>
      <w:pict>
        <v:shape id="PowerPlusWaterMarkObject148" style="position:absolute;margin-left:-13.08pt;margin-top:288.105pt;mso-position-vertical-relative:page;mso-position-horizontal-relative:page;width:119.4pt;height:18.85pt;z-index:-251580416;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493.28pt;margin-top:49.1801pt;mso-position-vertical-relative:page;mso-position-horizontal-relative:page;width:99.4pt;height:18.75pt;z-index:251740160;rotation:330;" o:allowincell="f" fillcolor="#404040" filled="true" stroked="false" type="#_x0000_t136">
          <v:fill opacity="0.400000"/>
          <v:textpath style="font-family:&quot;SimSun&quot;;font-size:20;v-text-kern:t;mso-text-shadow:auto" string="仅供内部审"/>
        </v:shape>
      </w:pict>
    </w:r>
    <w:r>
      <w:pict>
        <v:shape id="PowerPlusWaterMarkObject152" style="position:absolute;margin-left:391.92pt;margin-top:288.105pt;mso-position-vertical-relative:page;mso-position-horizontal-relative:page;width:119.4pt;height:18.85pt;z-index:-251579392;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86.92pt;margin-top:532.106pt;mso-position-vertical-relative:page;mso-position-horizontal-relative:page;width:119.4pt;height:18.85pt;z-index:-251582464;rotation:330;" o:allowincell="f" fillcolor="#404040" filled="true" stroked="false" type="#_x0000_t136">
          <v:fill opacity="0.400000"/>
          <v:textpath style="font-family:&quot;SimSun&quot;;font-size:20;v-text-kern:t;mso-text-shadow:auto" string="仅供内部审核"/>
        </v:shape>
      </w:pict>
    </w:r>
    <w:r>
      <w:pict>
        <v:shape id="PowerPlusWaterMarkObject156" style="position:absolute;margin-left:-13.08pt;margin-top:776.106pt;mso-position-vertical-relative:page;mso-position-horizontal-relative:page;width:119.4pt;height:18.85pt;z-index:-251577344;rotation:330;" o:allowincell="f" fillcolor="#404040" filled="true" stroked="false" type="#_x0000_t136">
          <v:fill opacity="0.400000"/>
          <v:textpath style="font-family:&quot;SimSun&quot;;font-size:20;v-text-kern:t;mso-text-shadow:auto" string="仅供内部审核"/>
        </v:shape>
      </w:pict>
    </w:r>
    <w:r>
      <w:pict>
        <v:shape id="PowerPlusWaterMarkObject158" style="position:absolute;margin-left:493.28pt;margin-top:537.18pt;mso-position-vertical-relative:page;mso-position-horizontal-relative:page;width:99.4pt;height:18.75pt;z-index:-251581440;rotation:330;" o:allowincell="f" fillcolor="#404040" filled="true" stroked="false" type="#_x0000_t136">
          <v:fill opacity="0.400000"/>
          <v:textpath style="font-family:&quot;SimSun&quot;;font-size:20;v-text-kern:t;mso-text-shadow:auto" string="仅供内部审"/>
        </v:shape>
      </w:pict>
    </w:r>
    <w:r>
      <w:pict>
        <v:shape id="PowerPlusWaterMarkObject160" style="position:absolute;margin-left:391.92pt;margin-top:776.106pt;mso-position-vertical-relative:page;mso-position-horizontal-relative:page;width:119.4pt;height:18.85pt;z-index:-2515783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62" style="position:absolute;margin-left:-13.08pt;margin-top:27.2223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PowerPlusWaterMarkObject164" style="position:absolute;margin-left:312.92pt;margin-top:45.1055pt;mso-position-vertical-relative:page;mso-position-horizontal-relative:page;width:119.4pt;height:18.85pt;z-index:251747328;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86.92pt;margin-top:287.106pt;mso-position-vertical-relative:page;mso-position-horizontal-relative:page;width:119.4pt;height:18.85pt;z-index:-251574272;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638.92pt;margin-top:45.1055pt;mso-position-vertical-relative:page;mso-position-horizontal-relative:page;width:119.4pt;height:18.85pt;z-index:251746304;rotation:330;" o:allowincell="f" fillcolor="#404040" filled="true" stroked="false" type="#_x0000_t136">
          <v:fill opacity="0.400000"/>
          <v:textpath style="font-family:&quot;SimSun&quot;;font-size:20;v-text-kern:t;mso-text-shadow:auto" string="仅供内部审核"/>
        </v:shape>
      </w:pict>
    </w:r>
    <w:r>
      <w:pict>
        <v:shape id="PowerPlusWaterMarkObject170" style="position:absolute;margin-left:-45.0434pt;margin-top:406.395pt;mso-position-vertical-relative:page;mso-position-horizontal-relative:page;width:609.35pt;height:22.25pt;z-index:-25157324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72" style="position:absolute;margin-left:282.314pt;margin-top:411.399pt;mso-position-vertical-relative:page;mso-position-horizontal-relative:page;width:589.35pt;height:22.25pt;z-index:-25157222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4" style="position:absolute;margin-left:638.92pt;margin-top:529.106pt;mso-position-vertical-relative:page;mso-position-horizontal-relative:page;width:119.4pt;height:18.85pt;z-index:-2515712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76" style="position:absolute;margin-left:-13.08pt;margin-top:27.2223pt;mso-position-vertical-relative:text;mso-position-horizontal-relative:text;width:119.4pt;height:18.85pt;z-index:251753472;rotation:330;" fillcolor="#404040" filled="true" stroked="false" type="#_x0000_t136">
          <v:fill opacity="0.400000"/>
          <v:textpath style="font-family:&quot;SimSun&quot;;font-size:20;v-text-kern:t;mso-text-shadow:auto" string="仅供内部审核"/>
        </v:shape>
      </w:pict>
    </w:r>
    <w:r>
      <w:pict>
        <v:shape id="PowerPlusWaterMarkObject178" style="position:absolute;margin-left:312.92pt;margin-top:45.1055pt;mso-position-vertical-relative:page;mso-position-horizontal-relative:page;width:119.4pt;height:18.85pt;z-index:251754496;rotation:330;" o:allowincell="f" fillcolor="#404040" filled="true" stroked="false" type="#_x0000_t136">
          <v:fill opacity="0.400000"/>
          <v:textpath style="font-family:&quot;SimSun&quot;;font-size:20;v-text-kern:t;mso-text-shadow:auto" string="仅供内部审核"/>
        </v:shape>
      </w:pict>
    </w:r>
    <w:r>
      <w:pict>
        <v:shape id="PowerPlusWaterMarkObject180" style="position:absolute;margin-left:86.92pt;margin-top:287.106pt;mso-position-vertical-relative:page;mso-position-horizontal-relative:page;width:119.4pt;height:18.85pt;z-index:-251566080;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638.92pt;margin-top:45.1055pt;mso-position-vertical-relative:page;mso-position-horizontal-relative:page;width:119.4pt;height:18.85pt;z-index:251755520;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45.0434pt;margin-top:406.395pt;mso-position-vertical-relative:page;mso-position-horizontal-relative:page;width:609.35pt;height:22.25pt;z-index:-251565056;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86" style="position:absolute;margin-left:282.314pt;margin-top:411.399pt;mso-position-vertical-relative:page;mso-position-horizontal-relative:page;width:589.35pt;height:22.25pt;z-index:-25156710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88" style="position:absolute;margin-left:638.92pt;margin-top:529.106pt;mso-position-vertical-relative:page;mso-position-horizontal-relative:page;width:119.4pt;height:18.85pt;z-index:-2515640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0" style="position:absolute;margin-left:86.92pt;margin-top:26.2223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PowerPlusWaterMarkObject192" style="position:absolute;margin-left:-13.08pt;margin-top:288.105pt;mso-position-vertical-relative:page;mso-position-horizontal-relative:page;width:119.4pt;height:18.85pt;z-index:-251559936;rotation:330;" o:allowincell="f" fillcolor="#404040" filled="true" stroked="false" type="#_x0000_t136">
          <v:fill opacity="0.400000"/>
          <v:textpath style="font-family:&quot;SimSun&quot;;font-size:20;v-text-kern:t;mso-text-shadow:auto" string="仅供内部审核"/>
        </v:shape>
      </w:pict>
    </w:r>
    <w:r>
      <w:pict>
        <v:shape id="PowerPlusWaterMarkObject194" style="position:absolute;margin-left:493.28pt;margin-top:49.1801pt;mso-position-vertical-relative:page;mso-position-horizontal-relative:page;width:99.4pt;height:18.75pt;z-index:251763712;rotation:330;" o:allowincell="f" fillcolor="#404040" filled="true" stroked="false" type="#_x0000_t136">
          <v:fill opacity="0.400000"/>
          <v:textpath style="font-family:&quot;SimSun&quot;;font-size:20;v-text-kern:t;mso-text-shadow:auto" string="仅供内部审"/>
        </v:shape>
      </w:pict>
    </w:r>
    <w:r>
      <w:pict>
        <v:shape id="PowerPlusWaterMarkObject196" style="position:absolute;margin-left:391.92pt;margin-top:288.105pt;mso-position-vertical-relative:page;mso-position-horizontal-relative:page;width:119.4pt;height:18.85pt;z-index:-251558912;rotation:330;" o:allowincell="f" fillcolor="#404040" filled="true" stroked="false" type="#_x0000_t136">
          <v:fill opacity="0.400000"/>
          <v:textpath style="font-family:&quot;SimSun&quot;;font-size:20;v-text-kern:t;mso-text-shadow:auto" string="仅供内部审核"/>
        </v:shape>
      </w:pict>
    </w:r>
    <w:r>
      <w:pict>
        <v:shape id="PowerPlusWaterMarkObject198" style="position:absolute;margin-left:86.92pt;margin-top:532.106pt;mso-position-vertical-relative:page;mso-position-horizontal-relative:page;width:119.4pt;height:18.85pt;z-index:-251556864;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13.08pt;margin-top:776.106pt;mso-position-vertical-relative:page;mso-position-horizontal-relative:page;width:119.4pt;height:18.85pt;z-index:-251554816;rotation:330;" o:allowincell="f" fillcolor="#404040" filled="true" stroked="false" type="#_x0000_t136">
          <v:fill opacity="0.400000"/>
          <v:textpath style="font-family:&quot;SimSun&quot;;font-size:20;v-text-kern:t;mso-text-shadow:auto" string="仅供内部审核"/>
        </v:shape>
      </w:pict>
    </w:r>
    <w:r>
      <w:pict>
        <v:shape id="PowerPlusWaterMarkObject202" style="position:absolute;margin-left:493.28pt;margin-top:537.18pt;mso-position-vertical-relative:page;mso-position-horizontal-relative:page;width:99.4pt;height:18.75pt;z-index:-251557888;rotation:330;" o:allowincell="f" fillcolor="#404040" filled="true" stroked="false" type="#_x0000_t136">
          <v:fill opacity="0.400000"/>
          <v:textpath style="font-family:&quot;SimSun&quot;;font-size:20;v-text-kern:t;mso-text-shadow:auto" string="仅供内部审"/>
        </v:shape>
      </w:pict>
    </w:r>
    <w:r>
      <w:pict>
        <v:shape id="PowerPlusWaterMarkObject204" style="position:absolute;margin-left:391.92pt;margin-top:776.106pt;mso-position-vertical-relative:page;mso-position-horizontal-relative:page;width:119.4pt;height:18.85pt;z-index:-25155584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06" style="position:absolute;margin-left:-13.08pt;margin-top:27.2223pt;mso-position-vertical-relative:text;mso-position-horizontal-relative:text;width:119.4pt;height:18.85pt;z-index:251774976;rotation:330;" fillcolor="#404040" filled="true" stroked="false" type="#_x0000_t136">
          <v:fill opacity="0.400000"/>
          <v:textpath style="font-family:&quot;SimSun&quot;;font-size:20;v-text-kern:t;mso-text-shadow:auto" string="仅供内部审核"/>
        </v:shape>
      </w:pict>
    </w:r>
    <w:r>
      <w:pict>
        <v:shape id="PowerPlusWaterMarkObject208" style="position:absolute;margin-left:312.92pt;margin-top:45.1055pt;mso-position-vertical-relative:page;mso-position-horizontal-relative:page;width:119.4pt;height:18.85pt;z-index:251773952;rotation:330;" o:allowincell="f" fillcolor="#404040" filled="true" stroked="false" type="#_x0000_t136">
          <v:fill opacity="0.400000"/>
          <v:textpath style="font-family:&quot;SimSun&quot;;font-size:20;v-text-kern:t;mso-text-shadow:auto" string="仅供内部审核"/>
        </v:shape>
      </w:pict>
    </w:r>
    <w:r>
      <w:pict>
        <v:shape id="PowerPlusWaterMarkObject210" style="position:absolute;margin-left:86.92pt;margin-top:287.106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pict>
        <v:shape id="PowerPlusWaterMarkObject212" style="position:absolute;margin-left:638.92pt;margin-top:45.1055pt;mso-position-vertical-relative:page;mso-position-horizontal-relative:page;width:119.4pt;height:18.85pt;z-index:251772928;rotation:330;" o:allowincell="f" fillcolor="#404040" filled="true" stroked="false" type="#_x0000_t136">
          <v:fill opacity="0.400000"/>
          <v:textpath style="font-family:&quot;SimSun&quot;;font-size:20;v-text-kern:t;mso-text-shadow:auto" string="仅供内部审核"/>
        </v:shape>
      </w:pict>
    </w:r>
    <w:r>
      <w:pict>
        <v:shape id="PowerPlusWaterMarkObject214" style="position:absolute;margin-left:-45.0434pt;margin-top:406.395pt;mso-position-vertical-relative:page;mso-position-horizontal-relative:page;width:609.35pt;height:22.25pt;z-index:-25154764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216" style="position:absolute;margin-left:282.314pt;margin-top:411.399pt;mso-position-vertical-relative:page;mso-position-horizontal-relative:page;width:589.35pt;height:22.25pt;z-index:-25154560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218" style="position:absolute;margin-left:638.92pt;margin-top:529.106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40480;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82144;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38432;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39456;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35360;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37408;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363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791360;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31264;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792384;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26144;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30240;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28192;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29216;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60" style="position:absolute;margin-left:86.92pt;margin-top:26.2223pt;mso-position-vertical-relative:text;mso-position-horizontal-relative:text;width:119.4pt;height:18.85pt;z-index:251804672;rotation:330;" fillcolor="#404040" filled="true" stroked="false" type="#_x0000_t136">
          <v:fill opacity="0.400000"/>
          <v:textpath style="font-family:&quot;SimSun&quot;;font-size:20;v-text-kern:t;mso-text-shadow:auto" string="仅供内部审核"/>
        </v:shape>
      </w:pict>
    </w:r>
    <w:r>
      <w:pict>
        <v:shape id="PowerPlusWaterMarkObject262" style="position:absolute;margin-left:-13.08pt;margin-top:288.105pt;mso-position-vertical-relative:page;mso-position-horizontal-relative:page;width:119.4pt;height:18.85pt;z-index:-251518976;rotation:330;" o:allowincell="f" fillcolor="#404040" filled="true" stroked="false" type="#_x0000_t136">
          <v:fill opacity="0.400000"/>
          <v:textpath style="font-family:&quot;SimSun&quot;;font-size:20;v-text-kern:t;mso-text-shadow:auto" string="仅供内部审核"/>
        </v:shape>
      </w:pict>
    </w:r>
    <w:r>
      <w:pict>
        <v:shape id="PowerPlusWaterMarkObject264" style="position:absolute;margin-left:493.28pt;margin-top:49.1801pt;mso-position-vertical-relative:page;mso-position-horizontal-relative:page;width:99.4pt;height:18.75pt;z-index:251803648;rotation:330;" o:allowincell="f" fillcolor="#404040" filled="true" stroked="false" type="#_x0000_t136">
          <v:fill opacity="0.400000"/>
          <v:textpath style="font-family:&quot;SimSun&quot;;font-size:20;v-text-kern:t;mso-text-shadow:auto" string="仅供内部审"/>
        </v:shape>
      </w:pict>
    </w:r>
    <w:r>
      <w:pict>
        <v:shape id="PowerPlusWaterMarkObject266" style="position:absolute;margin-left:391.92pt;margin-top:288.105pt;mso-position-vertical-relative:page;mso-position-horizontal-relative:page;width:119.4pt;height:18.85pt;z-index:-251517952;rotation:330;" o:allowincell="f" fillcolor="#404040" filled="true" stroked="false" type="#_x0000_t136">
          <v:fill opacity="0.400000"/>
          <v:textpath style="font-family:&quot;SimSun&quot;;font-size:20;v-text-kern:t;mso-text-shadow:auto" string="仅供内部审核"/>
        </v:shape>
      </w:pict>
    </w:r>
    <w:r>
      <w:pict>
        <v:shape id="PowerPlusWaterMarkObject268" style="position:absolute;margin-left:86.92pt;margin-top:532.106pt;mso-position-vertical-relative:page;mso-position-horizontal-relative:page;width:119.4pt;height:18.85pt;z-index:-251516928;rotation:330;" o:allowincell="f" fillcolor="#404040" filled="true" stroked="false" type="#_x0000_t136">
          <v:fill opacity="0.400000"/>
          <v:textpath style="font-family:&quot;SimSun&quot;;font-size:20;v-text-kern:t;mso-text-shadow:auto" string="仅供内部审核"/>
        </v:shape>
      </w:pict>
    </w:r>
    <w:r>
      <w:pict>
        <v:shape id="PowerPlusWaterMarkObject270" style="position:absolute;margin-left:-13.08pt;margin-top:776.106pt;mso-position-vertical-relative:page;mso-position-horizontal-relative:page;width:119.4pt;height:18.85pt;z-index:-251514880;rotation:330;" o:allowincell="f" fillcolor="#404040" filled="true" stroked="false" type="#_x0000_t136">
          <v:fill opacity="0.400000"/>
          <v:textpath style="font-family:&quot;SimSun&quot;;font-size:20;v-text-kern:t;mso-text-shadow:auto" string="仅供内部审核"/>
        </v:shape>
      </w:pict>
    </w:r>
    <w:r>
      <w:pict>
        <v:shape id="PowerPlusWaterMarkObject272" style="position:absolute;margin-left:493.28pt;margin-top:537.18pt;mso-position-vertical-relative:page;mso-position-horizontal-relative:page;width:99.4pt;height:18.75pt;z-index:-251515904;rotation:330;" o:allowincell="f" fillcolor="#404040" filled="true" stroked="false" type="#_x0000_t136">
          <v:fill opacity="0.400000"/>
          <v:textpath style="font-family:&quot;SimSun&quot;;font-size:20;v-text-kern:t;mso-text-shadow:auto" string="仅供内部审"/>
        </v:shape>
      </w:pict>
    </w:r>
    <w:r>
      <w:pict>
        <v:shape id="PowerPlusWaterMarkObject274" style="position:absolute;margin-left:391.92pt;margin-top:776.106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76" style="position:absolute;margin-left:86.92pt;margin-top:26.2223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PowerPlusWaterMarkObject278" style="position:absolute;margin-left:-13.08pt;margin-top:288.105pt;mso-position-vertical-relative:page;mso-position-horizontal-relative:page;width:119.4pt;height:18.85pt;z-index:-251509760;rotation:330;" o:allowincell="f" fillcolor="#404040" filled="true" stroked="false" type="#_x0000_t136">
          <v:fill opacity="0.400000"/>
          <v:textpath style="font-family:&quot;SimSun&quot;;font-size:20;v-text-kern:t;mso-text-shadow:auto" string="仅供内部审核"/>
        </v:shape>
      </w:pict>
    </w:r>
    <w:r>
      <w:pict>
        <v:shape id="PowerPlusWaterMarkObject280" style="position:absolute;margin-left:493.28pt;margin-top:49.1801pt;mso-position-vertical-relative:page;mso-position-horizontal-relative:page;width:99.4pt;height:18.75pt;z-index:251812864;rotation:330;" o:allowincell="f" fillcolor="#404040" filled="true" stroked="false" type="#_x0000_t136">
          <v:fill opacity="0.400000"/>
          <v:textpath style="font-family:&quot;SimSun&quot;;font-size:20;v-text-kern:t;mso-text-shadow:auto" string="仅供内部审"/>
        </v:shape>
      </w:pict>
    </w:r>
    <w:r>
      <w:pict>
        <v:shape id="PowerPlusWaterMarkObject282" style="position:absolute;margin-left:391.92pt;margin-top:288.105pt;mso-position-vertical-relative:page;mso-position-horizontal-relative:page;width:119.4pt;height:18.85pt;z-index:-251504640;rotation:330;" o:allowincell="f" fillcolor="#404040" filled="true" stroked="false" type="#_x0000_t136">
          <v:fill opacity="0.400000"/>
          <v:textpath style="font-family:&quot;SimSun&quot;;font-size:20;v-text-kern:t;mso-text-shadow:auto" string="仅供内部审核"/>
        </v:shape>
      </w:pict>
    </w:r>
    <w:r>
      <w:pict>
        <v:shape id="PowerPlusWaterMarkObject284" style="position:absolute;margin-left:86.92pt;margin-top:532.106pt;mso-position-vertical-relative:page;mso-position-horizontal-relative:page;width:119.4pt;height:18.85pt;z-index:-251507712;rotation:330;" o:allowincell="f" fillcolor="#404040" filled="true" stroked="false" type="#_x0000_t136">
          <v:fill opacity="0.400000"/>
          <v:textpath style="font-family:&quot;SimSun&quot;;font-size:20;v-text-kern:t;mso-text-shadow:auto" string="仅供内部审核"/>
        </v:shape>
      </w:pict>
    </w:r>
    <w:r>
      <w:pict>
        <v:shape id="PowerPlusWaterMarkObject286" style="position:absolute;margin-left:-13.08pt;margin-top:776.106pt;mso-position-vertical-relative:page;mso-position-horizontal-relative:page;width:119.4pt;height:18.85pt;z-index:-251505664;rotation:330;" o:allowincell="f" fillcolor="#404040" filled="true" stroked="false" type="#_x0000_t136">
          <v:fill opacity="0.400000"/>
          <v:textpath style="font-family:&quot;SimSun&quot;;font-size:20;v-text-kern:t;mso-text-shadow:auto" string="仅供内部审核"/>
        </v:shape>
      </w:pict>
    </w:r>
    <w:r>
      <w:pict>
        <v:shape id="PowerPlusWaterMarkObject288" style="position:absolute;margin-left:493.28pt;margin-top:537.18pt;mso-position-vertical-relative:page;mso-position-horizontal-relative:page;width:99.4pt;height:18.75pt;z-index:-251508736;rotation:330;" o:allowincell="f" fillcolor="#404040" filled="true" stroked="false" type="#_x0000_t136">
          <v:fill opacity="0.400000"/>
          <v:textpath style="font-family:&quot;SimSun&quot;;font-size:20;v-text-kern:t;mso-text-shadow:auto" string="仅供内部审"/>
        </v:shape>
      </w:pict>
    </w:r>
    <w:r>
      <w:pict>
        <v:shape id="PowerPlusWaterMarkObject290" style="position:absolute;margin-left:391.92pt;margin-top:776.106pt;mso-position-vertical-relative:page;mso-position-horizontal-relative:page;width:119.4pt;height:18.85pt;z-index:-25150668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92" style="position:absolute;margin-left:86.92pt;margin-top:26.2223pt;mso-position-vertical-relative:text;mso-position-horizontal-relative:text;width:119.4pt;height:18.85pt;z-index:251822080;rotation:330;" fillcolor="#404040" filled="true" stroked="false" type="#_x0000_t136">
          <v:fill opacity="0.400000"/>
          <v:textpath style="font-family:&quot;SimSun&quot;;font-size:20;v-text-kern:t;mso-text-shadow:auto" string="仅供内部审核"/>
        </v:shape>
      </w:pict>
    </w:r>
    <w:r>
      <w:pict>
        <v:shape id="PowerPlusWaterMarkObject294" style="position:absolute;margin-left:-13.08pt;margin-top:288.105pt;mso-position-vertical-relative:page;mso-position-horizontal-relative:page;width:119.4pt;height:18.85pt;z-index:-251500544;rotation:330;" o:allowincell="f" fillcolor="#404040" filled="true" stroked="false" type="#_x0000_t136">
          <v:fill opacity="0.400000"/>
          <v:textpath style="font-family:&quot;SimSun&quot;;font-size:20;v-text-kern:t;mso-text-shadow:auto" string="仅供内部审核"/>
        </v:shape>
      </w:pict>
    </w:r>
    <w:r>
      <w:pict>
        <v:shape id="PowerPlusWaterMarkObject296" style="position:absolute;margin-left:493.28pt;margin-top:49.1801pt;mso-position-vertical-relative:page;mso-position-horizontal-relative:page;width:99.4pt;height:18.75pt;z-index:251823104;rotation:330;" o:allowincell="f" fillcolor="#404040" filled="true" stroked="false" type="#_x0000_t136">
          <v:fill opacity="0.400000"/>
          <v:textpath style="font-family:&quot;SimSun&quot;;font-size:20;v-text-kern:t;mso-text-shadow:auto" string="仅供内部审"/>
        </v:shape>
      </w:pict>
    </w:r>
    <w:r>
      <w:pict>
        <v:shape id="PowerPlusWaterMarkObject298" style="position:absolute;margin-left:391.92pt;margin-top:288.105pt;mso-position-vertical-relative:page;mso-position-horizontal-relative:page;width:119.4pt;height:18.85pt;z-index:-251499520;rotation:330;" o:allowincell="f" fillcolor="#404040" filled="true" stroked="false" type="#_x0000_t136">
          <v:fill opacity="0.400000"/>
          <v:textpath style="font-family:&quot;SimSun&quot;;font-size:20;v-text-kern:t;mso-text-shadow:auto" string="仅供内部审核"/>
        </v:shape>
      </w:pict>
    </w:r>
    <w:r>
      <w:pict>
        <v:shape id="PowerPlusWaterMarkObject300" style="position:absolute;margin-left:86.92pt;margin-top:532.106pt;mso-position-vertical-relative:page;mso-position-horizontal-relative:page;width:119.4pt;height:18.85pt;z-index:-251498496;rotation:330;" o:allowincell="f" fillcolor="#404040" filled="true" stroked="false" type="#_x0000_t136">
          <v:fill opacity="0.400000"/>
          <v:textpath style="font-family:&quot;SimSun&quot;;font-size:20;v-text-kern:t;mso-text-shadow:auto" string="仅供内部审核"/>
        </v:shape>
      </w:pict>
    </w:r>
    <w:r>
      <w:pict>
        <v:shape id="PowerPlusWaterMarkObject302" style="position:absolute;margin-left:-13.08pt;margin-top:776.106pt;mso-position-vertical-relative:page;mso-position-horizontal-relative:page;width:119.4pt;height:18.85pt;z-index:-251497472;rotation:330;" o:allowincell="f" fillcolor="#404040" filled="true" stroked="false" type="#_x0000_t136">
          <v:fill opacity="0.400000"/>
          <v:textpath style="font-family:&quot;SimSun&quot;;font-size:20;v-text-kern:t;mso-text-shadow:auto" string="仅供内部审核"/>
        </v:shape>
      </w:pict>
    </w:r>
    <w:r>
      <w:pict>
        <v:shape id="PowerPlusWaterMarkObject304" style="position:absolute;margin-left:493.28pt;margin-top:537.18pt;mso-position-vertical-relative:page;mso-position-horizontal-relative:page;width:99.4pt;height:18.75pt;z-index:-251496448;rotation:330;" o:allowincell="f" fillcolor="#404040" filled="true" stroked="false" type="#_x0000_t136">
          <v:fill opacity="0.400000"/>
          <v:textpath style="font-family:&quot;SimSun&quot;;font-size:20;v-text-kern:t;mso-text-shadow:auto" string="仅供内部审"/>
        </v:shape>
      </w:pict>
    </w:r>
    <w:r>
      <w:pict>
        <v:shape id="PowerPlusWaterMarkObject306" style="position:absolute;margin-left:391.92pt;margin-top:776.106pt;mso-position-vertical-relative:page;mso-position-horizontal-relative:page;width:119.4pt;height:18.85pt;z-index:-251495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10" style="position:absolute;margin-left:-13.08pt;margin-top:776.106pt;mso-position-vertical-relative:page;mso-position-horizontal-relative:page;width:119.4pt;height:18.85pt;z-index:-251487232;rotation:330;" o:allowincell="f" fillcolor="#404040" filled="true" stroked="false" type="#_x0000_t136">
          <v:fill opacity="0.400000"/>
          <v:textpath style="font-family:&quot;SimSun&quot;;font-size:20;v-text-kern:t;mso-text-shadow:auto" string="仅供内部审核"/>
        </v:shape>
      </w:pict>
    </w:r>
    <w:r>
      <w:pict>
        <v:shape id="PowerPlusWaterMarkObject312" style="position:absolute;margin-left:391.92pt;margin-top:776.106pt;mso-position-vertical-relative:page;mso-position-horizontal-relative:page;width:119.4pt;height:18.85pt;z-index:-2514882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古县财政局2023年部门决算公开报告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0" Type="http://schemas.openxmlformats.org/officeDocument/2006/relationships/fontTable" Target="fontTable.xml"/><Relationship Id="rId8" Type="http://schemas.openxmlformats.org/officeDocument/2006/relationships/footer" Target="footer3.xml"/><Relationship Id="rId79" Type="http://schemas.openxmlformats.org/officeDocument/2006/relationships/styles" Target="styles.xml"/><Relationship Id="rId78" Type="http://schemas.openxmlformats.org/officeDocument/2006/relationships/settings" Target="settings.xml"/><Relationship Id="rId77" Type="http://schemas.openxmlformats.org/officeDocument/2006/relationships/image" Target="media/image18.jpeg"/><Relationship Id="rId76" Type="http://schemas.openxmlformats.org/officeDocument/2006/relationships/footer" Target="footer39.xml"/><Relationship Id="rId75" Type="http://schemas.openxmlformats.org/officeDocument/2006/relationships/image" Target="media/image17.jpeg"/><Relationship Id="rId74" Type="http://schemas.openxmlformats.org/officeDocument/2006/relationships/footer" Target="footer38.xml"/><Relationship Id="rId73" Type="http://schemas.openxmlformats.org/officeDocument/2006/relationships/image" Target="media/image16.jpeg"/><Relationship Id="rId72" Type="http://schemas.openxmlformats.org/officeDocument/2006/relationships/footer" Target="footer37.xml"/><Relationship Id="rId71" Type="http://schemas.openxmlformats.org/officeDocument/2006/relationships/image" Target="media/image15.jpeg"/><Relationship Id="rId70" Type="http://schemas.openxmlformats.org/officeDocument/2006/relationships/footer" Target="footer36.xml"/><Relationship Id="rId7" Type="http://schemas.openxmlformats.org/officeDocument/2006/relationships/header" Target="header5.xml"/><Relationship Id="rId69" Type="http://schemas.openxmlformats.org/officeDocument/2006/relationships/image" Target="media/image14.jpeg"/><Relationship Id="rId68" Type="http://schemas.openxmlformats.org/officeDocument/2006/relationships/footer" Target="footer35.xml"/><Relationship Id="rId67" Type="http://schemas.openxmlformats.org/officeDocument/2006/relationships/image" Target="media/image13.jpeg"/><Relationship Id="rId66" Type="http://schemas.openxmlformats.org/officeDocument/2006/relationships/footer" Target="footer34.xml"/><Relationship Id="rId65" Type="http://schemas.openxmlformats.org/officeDocument/2006/relationships/image" Target="media/image12.jpeg"/><Relationship Id="rId64" Type="http://schemas.openxmlformats.org/officeDocument/2006/relationships/footer" Target="footer33.xml"/><Relationship Id="rId63" Type="http://schemas.openxmlformats.org/officeDocument/2006/relationships/image" Target="media/image11.jpeg"/><Relationship Id="rId62" Type="http://schemas.openxmlformats.org/officeDocument/2006/relationships/footer" Target="footer32.xml"/><Relationship Id="rId61" Type="http://schemas.openxmlformats.org/officeDocument/2006/relationships/image" Target="media/image10.jpeg"/><Relationship Id="rId60" Type="http://schemas.openxmlformats.org/officeDocument/2006/relationships/footer" Target="footer31.xml"/><Relationship Id="rId6" Type="http://schemas.openxmlformats.org/officeDocument/2006/relationships/footer" Target="footer2.xml"/><Relationship Id="rId59" Type="http://schemas.openxmlformats.org/officeDocument/2006/relationships/image" Target="media/image9.jpeg"/><Relationship Id="rId58" Type="http://schemas.openxmlformats.org/officeDocument/2006/relationships/footer" Target="footer30.xml"/><Relationship Id="rId57" Type="http://schemas.openxmlformats.org/officeDocument/2006/relationships/image" Target="media/image8.jpeg"/><Relationship Id="rId56" Type="http://schemas.openxmlformats.org/officeDocument/2006/relationships/footer" Target="footer29.xml"/><Relationship Id="rId55" Type="http://schemas.openxmlformats.org/officeDocument/2006/relationships/image" Target="media/image7.jpeg"/><Relationship Id="rId54" Type="http://schemas.openxmlformats.org/officeDocument/2006/relationships/footer" Target="footer28.xml"/><Relationship Id="rId53" Type="http://schemas.openxmlformats.org/officeDocument/2006/relationships/image" Target="media/image6.jpeg"/><Relationship Id="rId52" Type="http://schemas.openxmlformats.org/officeDocument/2006/relationships/footer" Target="footer27.xml"/><Relationship Id="rId51" Type="http://schemas.openxmlformats.org/officeDocument/2006/relationships/image" Target="media/image5.jpeg"/><Relationship Id="rId50" Type="http://schemas.openxmlformats.org/officeDocument/2006/relationships/footer" Target="footer26.xml"/><Relationship Id="rId5" Type="http://schemas.openxmlformats.org/officeDocument/2006/relationships/header" Target="header4.xml"/><Relationship Id="rId49" Type="http://schemas.openxmlformats.org/officeDocument/2006/relationships/image" Target="media/image4.jpeg"/><Relationship Id="rId48" Type="http://schemas.openxmlformats.org/officeDocument/2006/relationships/footer" Target="footer25.xml"/><Relationship Id="rId47" Type="http://schemas.openxmlformats.org/officeDocument/2006/relationships/image" Target="media/image3.jpeg"/><Relationship Id="rId46" Type="http://schemas.openxmlformats.org/officeDocument/2006/relationships/footer" Target="footer24.xml"/><Relationship Id="rId45" Type="http://schemas.openxmlformats.org/officeDocument/2006/relationships/image" Target="media/image2.jpeg"/><Relationship Id="rId44" Type="http://schemas.openxmlformats.org/officeDocument/2006/relationships/footer" Target="footer23.xml"/><Relationship Id="rId43" Type="http://schemas.openxmlformats.org/officeDocument/2006/relationships/image" Target="media/image1.jpeg"/><Relationship Id="rId42" Type="http://schemas.openxmlformats.org/officeDocument/2006/relationships/footer" Target="footer22.xml"/><Relationship Id="rId41" Type="http://schemas.openxmlformats.org/officeDocument/2006/relationships/header" Target="header20.xml"/><Relationship Id="rId40" Type="http://schemas.openxmlformats.org/officeDocument/2006/relationships/footer" Target="footer21.xml"/><Relationship Id="rId4" Type="http://schemas.openxmlformats.org/officeDocument/2006/relationships/footer" Target="footer1.xml"/><Relationship Id="rId39" Type="http://schemas.openxmlformats.org/officeDocument/2006/relationships/footer" Target="footer20.xml"/><Relationship Id="rId38" Type="http://schemas.openxmlformats.org/officeDocument/2006/relationships/header" Target="header19.xml"/><Relationship Id="rId37" Type="http://schemas.openxmlformats.org/officeDocument/2006/relationships/footer" Target="footer19.xml"/><Relationship Id="rId36" Type="http://schemas.openxmlformats.org/officeDocument/2006/relationships/header" Target="header18.xml"/><Relationship Id="rId35" Type="http://schemas.openxmlformats.org/officeDocument/2006/relationships/footer" Target="footer18.xml"/><Relationship Id="rId34" Type="http://schemas.openxmlformats.org/officeDocument/2006/relationships/header" Target="header17.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header" Target="header16.xml"/><Relationship Id="rId30" Type="http://schemas.openxmlformats.org/officeDocument/2006/relationships/footer" Target="footer15.xml"/><Relationship Id="rId3" Type="http://schemas.openxmlformats.org/officeDocument/2006/relationships/header" Target="header3.xml"/><Relationship Id="rId29" Type="http://schemas.openxmlformats.org/officeDocument/2006/relationships/header" Target="header15.xml"/><Relationship Id="rId28" Type="http://schemas.openxmlformats.org/officeDocument/2006/relationships/footer" Target="footer14.xml"/><Relationship Id="rId27" Type="http://schemas.openxmlformats.org/officeDocument/2006/relationships/header" Target="head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3.xml"/><Relationship Id="rId23" Type="http://schemas.openxmlformats.org/officeDocument/2006/relationships/footer" Target="footer11.xml"/><Relationship Id="rId22" Type="http://schemas.openxmlformats.org/officeDocument/2006/relationships/header" Target="header12.xml"/><Relationship Id="rId21" Type="http://schemas.openxmlformats.org/officeDocument/2006/relationships/footer" Target="footer10.xml"/><Relationship Id="rId20" Type="http://schemas.openxmlformats.org/officeDocument/2006/relationships/header" Target="header11.xml"/><Relationship Id="rId2" Type="http://schemas.openxmlformats.org/officeDocument/2006/relationships/header" Target="header2.xml"/><Relationship Id="rId19" Type="http://schemas.openxmlformats.org/officeDocument/2006/relationships/footer" Target="footer9.xml"/><Relationship Id="rId18" Type="http://schemas.openxmlformats.org/officeDocument/2006/relationships/header" Target="header10.xml"/><Relationship Id="rId17" Type="http://schemas.openxmlformats.org/officeDocument/2006/relationships/footer" Target="footer8.xml"/><Relationship Id="rId16" Type="http://schemas.openxmlformats.org/officeDocument/2006/relationships/header" Target="header9.xml"/><Relationship Id="rId15" Type="http://schemas.openxmlformats.org/officeDocument/2006/relationships/footer" Target="footer7.xml"/><Relationship Id="rId14" Type="http://schemas.openxmlformats.org/officeDocument/2006/relationships/header" Target="header8.xml"/><Relationship Id="rId13" Type="http://schemas.openxmlformats.org/officeDocument/2006/relationships/footer" Target="footer6.xml"/><Relationship Id="rId12" Type="http://schemas.openxmlformats.org/officeDocument/2006/relationships/header" Target="header7.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2024-09-19T15:36:37Z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2024-09-20T10:14:52</vt:filetime>
  </property>
</Properties>
</file>