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Cs/>
          <w:color w:val="000000" w:themeColor="text1"/>
          <w:sz w:val="30"/>
          <w:szCs w:val="30"/>
          <w14:textFill>
            <w14:solidFill>
              <w14:schemeClr w14:val="tx1"/>
            </w14:solidFill>
          </w14:textFill>
        </w:rPr>
      </w:pPr>
    </w:p>
    <w:p>
      <w:pPr>
        <w:jc w:val="center"/>
        <w:rPr>
          <w:rFonts w:hint="eastAsia" w:ascii="黑体" w:hAnsi="黑体" w:eastAsia="黑体" w:cs="黑体"/>
          <w:bCs/>
          <w:color w:val="000000" w:themeColor="text1"/>
          <w:sz w:val="30"/>
          <w:szCs w:val="30"/>
          <w14:textFill>
            <w14:solidFill>
              <w14:schemeClr w14:val="tx1"/>
            </w14:solidFill>
          </w14:textFill>
        </w:rPr>
      </w:pPr>
    </w:p>
    <w:p>
      <w:pPr>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山西省工程建设</w:t>
      </w:r>
      <w:r>
        <w:rPr>
          <w:rFonts w:hint="eastAsia" w:ascii="黑体" w:hAnsi="黑体" w:eastAsia="黑体" w:cs="黑体"/>
          <w:bCs/>
          <w:color w:val="000000" w:themeColor="text1"/>
          <w:sz w:val="30"/>
          <w:szCs w:val="30"/>
          <w:lang w:eastAsia="zh-CN"/>
          <w14:textFill>
            <w14:solidFill>
              <w14:schemeClr w14:val="tx1"/>
            </w14:solidFill>
          </w14:textFill>
        </w:rPr>
        <w:t>地方</w:t>
      </w:r>
      <w:r>
        <w:rPr>
          <w:rFonts w:hint="eastAsia" w:ascii="黑体" w:hAnsi="黑体" w:eastAsia="黑体" w:cs="黑体"/>
          <w:bCs/>
          <w:color w:val="000000" w:themeColor="text1"/>
          <w:sz w:val="30"/>
          <w:szCs w:val="30"/>
          <w14:textFill>
            <w14:solidFill>
              <w14:schemeClr w14:val="tx1"/>
            </w14:solidFill>
          </w14:textFill>
        </w:rPr>
        <w:t>标准</w:t>
      </w:r>
    </w:p>
    <w:p>
      <w:pPr>
        <w:jc w:val="center"/>
        <w:rPr>
          <w:rFonts w:hint="eastAsia" w:ascii="黑体" w:hAnsi="黑体" w:eastAsia="黑体" w:cs="黑体"/>
          <w:bCs/>
          <w:color w:val="000000" w:themeColor="text1"/>
          <w:szCs w:val="21"/>
          <w:lang w:val="en-US" w:eastAsia="zh-CN"/>
          <w14:textFill>
            <w14:solidFill>
              <w14:schemeClr w14:val="tx1"/>
            </w14:solidFill>
          </w14:textFill>
        </w:rPr>
      </w:pPr>
    </w:p>
    <w:p>
      <w:pPr>
        <w:jc w:val="center"/>
        <w:rPr>
          <w:rFonts w:ascii="宋体" w:hAnsi="宋体" w:eastAsia="宋体" w:cs="仿宋"/>
          <w:bCs/>
          <w:color w:val="000000" w:themeColor="text1"/>
          <w:sz w:val="32"/>
          <w:szCs w:val="32"/>
          <w14:textFill>
            <w14:solidFill>
              <w14:schemeClr w14:val="tx1"/>
            </w14:solidFill>
          </w14:textFill>
        </w:rPr>
      </w:pPr>
      <w:r>
        <w:rPr>
          <w:rFonts w:hint="eastAsia" w:ascii="宋体" w:hAnsi="宋体" w:eastAsia="宋体" w:cs="仿宋"/>
          <w:bCs/>
          <w:color w:val="000000" w:themeColor="text1"/>
          <w:sz w:val="32"/>
          <w:szCs w:val="32"/>
          <w14:textFill>
            <w14:solidFill>
              <w14:schemeClr w14:val="tx1"/>
            </w14:solidFill>
          </w14:textFill>
        </w:rPr>
        <w:t>住宅和商务楼宇光纤到房间</w:t>
      </w:r>
    </w:p>
    <w:p>
      <w:pPr>
        <w:jc w:val="center"/>
        <w:rPr>
          <w:rFonts w:ascii="宋体" w:hAnsi="宋体" w:eastAsia="宋体" w:cs="仿宋"/>
          <w:bCs/>
          <w:color w:val="000000" w:themeColor="text1"/>
          <w:sz w:val="32"/>
          <w:szCs w:val="32"/>
          <w14:textFill>
            <w14:solidFill>
              <w14:schemeClr w14:val="tx1"/>
            </w14:solidFill>
          </w14:textFill>
        </w:rPr>
      </w:pPr>
      <w:r>
        <w:rPr>
          <w:rFonts w:hint="eastAsia" w:ascii="宋体" w:hAnsi="宋体" w:eastAsia="宋体" w:cs="仿宋"/>
          <w:bCs/>
          <w:color w:val="000000" w:themeColor="text1"/>
          <w:sz w:val="32"/>
          <w:szCs w:val="32"/>
          <w14:textFill>
            <w14:solidFill>
              <w14:schemeClr w14:val="tx1"/>
            </w14:solidFill>
          </w14:textFill>
        </w:rPr>
        <w:t>（FTTR)工程技术标准</w:t>
      </w:r>
    </w:p>
    <w:p>
      <w:pPr>
        <w:jc w:val="center"/>
        <w:rPr>
          <w:rFonts w:hint="eastAsia" w:ascii="宋体" w:hAnsi="宋体" w:eastAsia="宋体" w:cs="仿宋"/>
          <w:bCs/>
          <w:color w:val="000000" w:themeColor="text1"/>
          <w:szCs w:val="21"/>
          <w:lang w:eastAsia="zh-CN"/>
          <w14:textFill>
            <w14:solidFill>
              <w14:schemeClr w14:val="tx1"/>
            </w14:solidFill>
          </w14:textFill>
        </w:rPr>
      </w:pPr>
      <w:r>
        <w:rPr>
          <w:rFonts w:hint="eastAsia" w:ascii="宋体" w:hAnsi="宋体" w:eastAsia="宋体" w:cs="仿宋"/>
          <w:bCs/>
          <w:color w:val="000000" w:themeColor="text1"/>
          <w:sz w:val="24"/>
          <w:szCs w:val="24"/>
          <w:lang w:eastAsia="zh-CN"/>
          <w14:textFill>
            <w14:solidFill>
              <w14:schemeClr w14:val="tx1"/>
            </w14:solidFill>
          </w14:textFill>
        </w:rPr>
        <w:t>（征求意见稿）</w:t>
      </w:r>
    </w:p>
    <w:p>
      <w:pPr>
        <w:jc w:val="center"/>
        <w:rPr>
          <w:rFonts w:ascii="宋体" w:hAnsi="宋体" w:eastAsia="宋体" w:cs="仿宋"/>
          <w:bCs/>
          <w:color w:val="000000" w:themeColor="text1"/>
          <w:szCs w:val="21"/>
          <w14:textFill>
            <w14:solidFill>
              <w14:schemeClr w14:val="tx1"/>
            </w14:solidFill>
          </w14:textFill>
        </w:rPr>
      </w:pPr>
    </w:p>
    <w:p>
      <w:pPr>
        <w:jc w:val="center"/>
        <w:rPr>
          <w:rFonts w:ascii="宋体" w:hAnsi="宋体" w:eastAsia="宋体" w:cs="仿宋"/>
          <w:bCs/>
          <w:color w:val="000000" w:themeColor="text1"/>
          <w:szCs w:val="21"/>
          <w14:textFill>
            <w14:solidFill>
              <w14:schemeClr w14:val="tx1"/>
            </w14:solidFill>
          </w14:textFill>
        </w:rPr>
      </w:pPr>
      <w:r>
        <w:rPr>
          <w:rFonts w:hint="eastAsia" w:ascii="宋体" w:hAnsi="宋体" w:eastAsia="宋体" w:cs="仿宋"/>
          <w:bCs/>
          <w:color w:val="000000" w:themeColor="text1"/>
          <w:szCs w:val="21"/>
          <w14:textFill>
            <w14:solidFill>
              <w14:schemeClr w14:val="tx1"/>
            </w14:solidFill>
          </w14:textFill>
        </w:rPr>
        <w:t xml:space="preserve"> </w:t>
      </w:r>
    </w:p>
    <w:p>
      <w:pPr>
        <w:jc w:val="center"/>
        <w:rPr>
          <w:rFonts w:ascii="宋体" w:hAnsi="宋体" w:eastAsia="宋体" w:cs="仿宋"/>
          <w:b/>
          <w:color w:val="000000" w:themeColor="text1"/>
          <w:sz w:val="32"/>
          <w:szCs w:val="32"/>
          <w14:textFill>
            <w14:solidFill>
              <w14:schemeClr w14:val="tx1"/>
            </w14:solidFill>
          </w14:textFill>
        </w:rPr>
      </w:pPr>
    </w:p>
    <w:p>
      <w:pPr>
        <w:jc w:val="center"/>
        <w:rPr>
          <w:rFonts w:ascii="宋体" w:hAnsi="宋体" w:eastAsia="宋体" w:cs="仿宋"/>
          <w:b/>
          <w:color w:val="000000" w:themeColor="text1"/>
          <w:sz w:val="32"/>
          <w:szCs w:val="32"/>
          <w14:textFill>
            <w14:solidFill>
              <w14:schemeClr w14:val="tx1"/>
            </w14:solidFill>
          </w14:textFill>
        </w:rPr>
      </w:pPr>
    </w:p>
    <w:p>
      <w:pPr>
        <w:rPr>
          <w:rFonts w:ascii="宋体" w:hAnsi="宋体" w:eastAsia="宋体" w:cs="仿宋"/>
          <w:b/>
          <w:color w:val="000000" w:themeColor="text1"/>
          <w:szCs w:val="21"/>
          <w14:textFill>
            <w14:solidFill>
              <w14:schemeClr w14:val="tx1"/>
            </w14:solidFill>
          </w14:textFill>
        </w:rPr>
      </w:pPr>
    </w:p>
    <w:p>
      <w:pPr>
        <w:rPr>
          <w:rFonts w:ascii="宋体" w:hAnsi="宋体" w:eastAsia="宋体" w:cs="仿宋"/>
          <w:b/>
          <w:color w:val="000000" w:themeColor="text1"/>
          <w:szCs w:val="21"/>
          <w14:textFill>
            <w14:solidFill>
              <w14:schemeClr w14:val="tx1"/>
            </w14:solidFill>
          </w14:textFill>
        </w:rPr>
      </w:pPr>
    </w:p>
    <w:p>
      <w:pPr>
        <w:jc w:val="center"/>
        <w:rPr>
          <w:rFonts w:hint="eastAsia" w:ascii="宋体" w:hAnsi="宋体" w:eastAsia="宋体" w:cs="仿宋"/>
          <w:b/>
          <w:color w:val="000000" w:themeColor="text1"/>
          <w:szCs w:val="21"/>
          <w:lang w:val="en-US" w:eastAsia="zh-CN"/>
          <w14:textFill>
            <w14:solidFill>
              <w14:schemeClr w14:val="tx1"/>
            </w14:solidFill>
          </w14:textFill>
        </w:rPr>
      </w:pPr>
      <w:r>
        <w:rPr>
          <w:rFonts w:hint="eastAsia" w:ascii="宋体" w:hAnsi="宋体" w:eastAsia="宋体" w:cs="仿宋"/>
          <w:b/>
          <w:color w:val="000000" w:themeColor="text1"/>
          <w:szCs w:val="21"/>
          <w:lang w:val="en-US" w:eastAsia="zh-CN"/>
          <w14:textFill>
            <w14:solidFill>
              <w14:schemeClr w14:val="tx1"/>
            </w14:solidFill>
          </w14:textFill>
        </w:rPr>
        <w:t xml:space="preserve"> </w:t>
      </w:r>
    </w:p>
    <w:p>
      <w:pPr>
        <w:jc w:val="center"/>
        <w:rPr>
          <w:rFonts w:hint="eastAsia" w:ascii="宋体" w:hAnsi="宋体" w:eastAsia="宋体" w:cs="仿宋"/>
          <w:b/>
          <w:color w:val="000000" w:themeColor="text1"/>
          <w:szCs w:val="21"/>
          <w:lang w:val="en-US" w:eastAsia="zh-CN"/>
          <w14:textFill>
            <w14:solidFill>
              <w14:schemeClr w14:val="tx1"/>
            </w14:solidFill>
          </w14:textFill>
        </w:rPr>
      </w:pPr>
    </w:p>
    <w:p>
      <w:pPr>
        <w:jc w:val="center"/>
        <w:rPr>
          <w:rFonts w:hint="eastAsia" w:ascii="宋体" w:hAnsi="宋体" w:eastAsia="宋体" w:cs="仿宋"/>
          <w:b/>
          <w:color w:val="000000" w:themeColor="text1"/>
          <w:szCs w:val="21"/>
          <w:lang w:val="en-US" w:eastAsia="zh-CN"/>
          <w14:textFill>
            <w14:solidFill>
              <w14:schemeClr w14:val="tx1"/>
            </w14:solidFill>
          </w14:textFill>
        </w:rPr>
      </w:pPr>
    </w:p>
    <w:p>
      <w:pPr>
        <w:jc w:val="center"/>
        <w:rPr>
          <w:rFonts w:asciiTheme="minorEastAsia" w:hAnsiTheme="minorEastAsia" w:cstheme="minorEastAsia"/>
          <w:bCs/>
          <w:color w:val="000000" w:themeColor="text1"/>
          <w:sz w:val="30"/>
          <w:szCs w:val="30"/>
          <w14:textFill>
            <w14:solidFill>
              <w14:schemeClr w14:val="tx1"/>
            </w14:solidFill>
          </w14:textFill>
        </w:rPr>
      </w:pPr>
      <w:bookmarkStart w:id="56" w:name="_GoBack"/>
      <w:bookmarkEnd w:id="56"/>
      <w:r>
        <w:rPr>
          <w:rStyle w:val="18"/>
          <w:rFonts w:hint="eastAsia" w:ascii="黑体" w:hAnsi="黑体" w:eastAsia="黑体" w:cs="黑体"/>
          <w:b w:val="0"/>
          <w:bCs/>
          <w:color w:val="000000" w:themeColor="text1"/>
          <w:sz w:val="30"/>
          <w:szCs w:val="30"/>
          <w:shd w:val="clear" w:color="auto" w:fill="FFFFFF"/>
          <w14:textFill>
            <w14:solidFill>
              <w14:schemeClr w14:val="tx1"/>
            </w14:solidFill>
          </w14:textFill>
        </w:rPr>
        <w:t>前 言</w:t>
      </w:r>
    </w:p>
    <w:p>
      <w:pPr>
        <w:snapToGrid w:val="0"/>
        <w:ind w:firstLine="360" w:firstLineChars="200"/>
        <w:rPr>
          <w:rFonts w:asciiTheme="minorEastAsia" w:hAnsiTheme="minorEastAsia" w:cstheme="minorEastAsia"/>
          <w:color w:val="000000" w:themeColor="text1"/>
          <w:kern w:val="0"/>
          <w:sz w:val="18"/>
          <w:szCs w:val="18"/>
          <w:shd w:val="clear" w:color="auto" w:fill="FFFFFF"/>
          <w14:textFill>
            <w14:solidFill>
              <w14:schemeClr w14:val="tx1"/>
            </w14:solidFill>
          </w14:textFill>
        </w:rPr>
      </w:pPr>
    </w:p>
    <w:p>
      <w:pPr>
        <w:spacing w:line="360" w:lineRule="atLeast"/>
        <w:ind w:firstLine="360" w:firstLineChars="200"/>
        <w:rPr>
          <w:rFonts w:asciiTheme="minorEastAsia" w:hAnsiTheme="minorEastAsia" w:cstheme="minorEastAsia"/>
          <w:color w:val="000000" w:themeColor="text1"/>
          <w:kern w:val="0"/>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根据《山西省住房和城乡建设厅关于印发2023年山西省工程建设地方标准制（修）订计划的通知》晋建科字[</w:t>
      </w:r>
      <w:r>
        <w:rPr>
          <w:rFonts w:asciiTheme="minorEastAsia" w:hAnsiTheme="minorEastAsia" w:cstheme="minorEastAsia"/>
          <w:color w:val="000000" w:themeColor="text1"/>
          <w:kern w:val="0"/>
          <w:sz w:val="18"/>
          <w:szCs w:val="18"/>
          <w:shd w:val="clear" w:color="auto" w:fill="FFFFFF"/>
          <w14:textFill>
            <w14:solidFill>
              <w14:schemeClr w14:val="tx1"/>
            </w14:solidFill>
          </w14:textFill>
        </w:rPr>
        <w:t>2023]87</w:t>
      </w: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号的要求，由山西信息规划设计院有限公司会同有关单位经过深入调查研究，参考相关标准，结合本省千兆光纤网络工程建设的发展情况，编制完成本标准。</w:t>
      </w:r>
    </w:p>
    <w:p>
      <w:pPr>
        <w:spacing w:line="360" w:lineRule="atLeast"/>
        <w:ind w:firstLine="360" w:firstLineChars="200"/>
        <w:rPr>
          <w:rFonts w:asciiTheme="minorEastAsia" w:hAnsiTheme="minorEastAsia" w:cstheme="minorEastAsia"/>
          <w:color w:val="000000" w:themeColor="text1"/>
          <w:kern w:val="0"/>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本标准共分6章和</w:t>
      </w:r>
      <w:r>
        <w:rPr>
          <w:rFonts w:hint="eastAsia" w:asciiTheme="minorEastAsia" w:hAnsiTheme="minorEastAsia" w:cstheme="minorEastAsia"/>
          <w:color w:val="000000" w:themeColor="text1"/>
          <w:kern w:val="0"/>
          <w:sz w:val="18"/>
          <w:szCs w:val="18"/>
          <w:shd w:val="clear" w:color="auto" w:fill="FFFFFF"/>
          <w:lang w:val="en-US" w:eastAsia="zh-CN"/>
          <w14:textFill>
            <w14:solidFill>
              <w14:schemeClr w14:val="tx1"/>
            </w14:solidFill>
          </w14:textFill>
        </w:rPr>
        <w:t>4</w:t>
      </w: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个附录，主要内容包括：总则、术语和符号、工程设计、施工要求、工程验收、运行维护等。</w:t>
      </w:r>
    </w:p>
    <w:p>
      <w:pPr>
        <w:spacing w:line="360" w:lineRule="atLeast"/>
        <w:ind w:firstLine="360" w:firstLineChars="200"/>
        <w:rPr>
          <w:rFonts w:asciiTheme="minorEastAsia" w:hAnsiTheme="minorEastAsia" w:cstheme="minorEastAsia"/>
          <w:color w:val="000000" w:themeColor="text1"/>
          <w:kern w:val="0"/>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本标准由山西省住房和城乡建设厅负责管理，山西省</w:t>
      </w:r>
      <w:r>
        <w:rPr>
          <w:rFonts w:hint="eastAsia" w:asciiTheme="minorEastAsia" w:hAnsiTheme="minorEastAsia" w:cstheme="minorEastAsia"/>
          <w:color w:val="000000" w:themeColor="text1"/>
          <w:kern w:val="0"/>
          <w:sz w:val="18"/>
          <w:szCs w:val="18"/>
          <w:shd w:val="clear" w:color="auto" w:fill="FFFFFF"/>
          <w:lang w:val="en-US" w:eastAsia="zh-CN"/>
          <w14:textFill>
            <w14:solidFill>
              <w14:schemeClr w14:val="tx1"/>
            </w14:solidFill>
          </w14:textFill>
        </w:rPr>
        <w:t>通信管理局</w:t>
      </w: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负责日常管理，</w:t>
      </w:r>
      <w:r>
        <w:rPr>
          <w:rFonts w:hint="eastAsia" w:asciiTheme="minorEastAsia" w:hAnsiTheme="minorEastAsia" w:cstheme="minorEastAsia"/>
          <w:color w:val="000000" w:themeColor="text1"/>
          <w:kern w:val="0"/>
          <w:sz w:val="18"/>
          <w:szCs w:val="18"/>
          <w:shd w:val="clear" w:color="auto" w:fill="FFFFFF"/>
          <w:lang w:val="en-US" w:eastAsia="zh-CN"/>
          <w14:textFill>
            <w14:solidFill>
              <w14:schemeClr w14:val="tx1"/>
            </w14:solidFill>
          </w14:textFill>
        </w:rPr>
        <w:t>由</w:t>
      </w: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山西信息规划设计院有限公司负责对具体技术内容的解释。本标准在</w:t>
      </w:r>
      <w:r>
        <w:rPr>
          <w:rFonts w:hint="eastAsia" w:asciiTheme="minorEastAsia" w:hAnsiTheme="minorEastAsia" w:cstheme="minorEastAsia"/>
          <w:color w:val="000000" w:themeColor="text1"/>
          <w:kern w:val="0"/>
          <w:sz w:val="18"/>
          <w:szCs w:val="18"/>
          <w:shd w:val="clear" w:color="auto" w:fill="FFFFFF"/>
          <w:lang w:val="en-US" w:eastAsia="zh-CN"/>
          <w14:textFill>
            <w14:solidFill>
              <w14:schemeClr w14:val="tx1"/>
            </w14:solidFill>
          </w14:textFill>
        </w:rPr>
        <w:t>执行</w:t>
      </w: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过程中如有意见或建议，请寄送至山西信息规划设计院有限公司(地址：太原市青年路56号，邮政编码：030012，</w:t>
      </w:r>
      <w:r>
        <w:rPr>
          <w:rFonts w:hint="eastAsia" w:asciiTheme="minorEastAsia" w:hAnsiTheme="minorEastAsia" w:cstheme="minorEastAsia"/>
          <w:kern w:val="0"/>
          <w:sz w:val="18"/>
          <w:szCs w:val="18"/>
          <w:shd w:val="clear" w:color="auto" w:fill="FFFFFF"/>
        </w:rPr>
        <w:t>邮箱：sxpdi@vip.163.com</w:t>
      </w: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)，以供</w:t>
      </w:r>
      <w:r>
        <w:rPr>
          <w:rFonts w:hint="eastAsia" w:asciiTheme="minorEastAsia" w:hAnsiTheme="minorEastAsia" w:cstheme="minorEastAsia"/>
          <w:color w:val="000000" w:themeColor="text1"/>
          <w:kern w:val="0"/>
          <w:sz w:val="18"/>
          <w:szCs w:val="18"/>
          <w:shd w:val="clear" w:color="auto" w:fill="FFFFFF"/>
          <w:lang w:val="en-US" w:eastAsia="zh-CN"/>
          <w14:textFill>
            <w14:solidFill>
              <w14:schemeClr w14:val="tx1"/>
            </w14:solidFill>
          </w14:textFill>
        </w:rPr>
        <w:t>今后</w:t>
      </w: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修订时参考。</w:t>
      </w:r>
    </w:p>
    <w:p>
      <w:pPr>
        <w:spacing w:line="360" w:lineRule="atLeast"/>
        <w:ind w:firstLine="360" w:firstLineChars="200"/>
        <w:rPr>
          <w:rFonts w:hint="eastAsia" w:asciiTheme="minorEastAsia" w:hAnsiTheme="minorEastAsia" w:cstheme="minorEastAsia"/>
          <w:color w:val="000000" w:themeColor="text1"/>
          <w:kern w:val="0"/>
          <w:sz w:val="18"/>
          <w:szCs w:val="18"/>
          <w:shd w:val="clear" w:color="auto" w:fill="FFFFFF"/>
          <w:lang w:val="en-US" w:eastAsia="zh-CN"/>
          <w14:textFill>
            <w14:solidFill>
              <w14:schemeClr w14:val="tx1"/>
            </w14:solidFill>
          </w14:textFill>
        </w:rPr>
      </w:pPr>
      <w:r>
        <w:rPr>
          <w:rFonts w:hint="eastAsia" w:asciiTheme="minorEastAsia" w:hAnsiTheme="minorEastAsia" w:cstheme="minorEastAsia"/>
          <w:color w:val="000000" w:themeColor="text1"/>
          <w:kern w:val="0"/>
          <w:sz w:val="18"/>
          <w:szCs w:val="18"/>
          <w:shd w:val="clear" w:color="auto" w:fill="FFFFFF"/>
          <w:lang w:val="en-US" w:eastAsia="zh-CN"/>
          <w14:textFill>
            <w14:solidFill>
              <w14:schemeClr w14:val="tx1"/>
            </w14:solidFill>
          </w14:textFill>
        </w:rPr>
        <w:t>本标准主编单位、参编单位、主要起草人和主要审查人：</w:t>
      </w:r>
    </w:p>
    <w:p>
      <w:pPr>
        <w:spacing w:line="360" w:lineRule="atLeast"/>
        <w:ind w:firstLine="360" w:firstLineChars="200"/>
        <w:rPr>
          <w:rFonts w:hint="eastAsia" w:asciiTheme="minorEastAsia" w:hAnsiTheme="minorEastAsia" w:cstheme="minorEastAsia"/>
          <w:color w:val="000000" w:themeColor="text1"/>
          <w:sz w:val="18"/>
          <w:szCs w:val="18"/>
          <w:shd w:val="clear" w:color="auto" w:fill="FFFFFF"/>
          <w14:textFill>
            <w14:solidFill>
              <w14:schemeClr w14:val="tx1"/>
            </w14:solidFill>
          </w14:textFill>
        </w:rPr>
      </w:pPr>
      <w:r>
        <w:rPr>
          <w:rFonts w:hint="eastAsia" w:ascii="黑体" w:hAnsi="黑体" w:eastAsia="黑体" w:cs="黑体"/>
          <w:color w:val="000000" w:themeColor="text1"/>
          <w:sz w:val="18"/>
          <w:szCs w:val="18"/>
          <w:shd w:val="clear" w:color="auto" w:fill="FFFFFF"/>
          <w14:textFill>
            <w14:solidFill>
              <w14:schemeClr w14:val="tx1"/>
            </w14:solidFill>
          </w14:textFill>
        </w:rPr>
        <w:t>主编单位：</w:t>
      </w:r>
      <w:r>
        <w:rPr>
          <w:rFonts w:hint="eastAsia" w:asciiTheme="minorEastAsia" w:hAnsiTheme="minorEastAsia" w:cstheme="minorEastAsia"/>
          <w:color w:val="000000" w:themeColor="text1"/>
          <w:sz w:val="18"/>
          <w:szCs w:val="18"/>
          <w:shd w:val="clear" w:color="auto" w:fill="FFFFFF"/>
          <w14:textFill>
            <w14:solidFill>
              <w14:schemeClr w14:val="tx1"/>
            </w14:solidFill>
          </w14:textFill>
        </w:rPr>
        <w:t>山西信息规划设计院有限公司</w:t>
      </w:r>
    </w:p>
    <w:p>
      <w:pPr>
        <w:spacing w:line="360" w:lineRule="atLeast"/>
        <w:ind w:firstLine="360" w:firstLineChars="200"/>
        <w:rPr>
          <w:rFonts w:hint="eastAsia" w:asciiTheme="minorEastAsia" w:hAnsiTheme="minorEastAsia" w:cstheme="minorEastAsia"/>
          <w:color w:val="000000" w:themeColor="text1"/>
          <w:sz w:val="18"/>
          <w:szCs w:val="18"/>
          <w:shd w:val="clear" w:color="auto" w:fill="FFFFFF"/>
          <w14:textFill>
            <w14:solidFill>
              <w14:schemeClr w14:val="tx1"/>
            </w14:solidFill>
          </w14:textFill>
        </w:rPr>
      </w:pPr>
      <w:r>
        <w:rPr>
          <w:rFonts w:hint="eastAsia" w:ascii="黑体" w:hAnsi="黑体" w:eastAsia="黑体" w:cs="黑体"/>
          <w:color w:val="000000" w:themeColor="text1"/>
          <w:sz w:val="18"/>
          <w:szCs w:val="18"/>
          <w:shd w:val="clear" w:color="auto" w:fill="FFFFFF"/>
          <w14:textFill>
            <w14:solidFill>
              <w14:schemeClr w14:val="tx1"/>
            </w14:solidFill>
          </w14:textFill>
        </w:rPr>
        <w:t>参编单位：</w:t>
      </w:r>
      <w:r>
        <w:rPr>
          <w:rFonts w:hint="eastAsia" w:asciiTheme="minorEastAsia" w:hAnsiTheme="minorEastAsia" w:cstheme="minorEastAsia"/>
          <w:color w:val="000000" w:themeColor="text1"/>
          <w:sz w:val="18"/>
          <w:szCs w:val="18"/>
          <w:shd w:val="clear" w:color="auto" w:fill="FFFFFF"/>
          <w14:textFill>
            <w14:solidFill>
              <w14:schemeClr w14:val="tx1"/>
            </w14:solidFill>
          </w14:textFill>
        </w:rPr>
        <w:t>中国联合网络有限公司山西省分公司</w:t>
      </w:r>
    </w:p>
    <w:p>
      <w:pPr>
        <w:spacing w:line="360" w:lineRule="atLeast"/>
        <w:ind w:firstLine="1260" w:firstLineChars="700"/>
        <w:rPr>
          <w:rFonts w:hint="eastAsia" w:asciiTheme="minorEastAsia" w:hAnsiTheme="minorEastAsia" w:cstheme="minorEastAsia"/>
          <w:color w:val="000000" w:themeColor="text1"/>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sz w:val="18"/>
          <w:szCs w:val="18"/>
          <w:shd w:val="clear" w:color="auto" w:fill="FFFFFF"/>
          <w14:textFill>
            <w14:solidFill>
              <w14:schemeClr w14:val="tx1"/>
            </w14:solidFill>
          </w14:textFill>
        </w:rPr>
        <w:t>中国电信股份有限公司山西分公司</w:t>
      </w:r>
    </w:p>
    <w:p>
      <w:pPr>
        <w:spacing w:line="360" w:lineRule="atLeast"/>
        <w:ind w:firstLine="1260" w:firstLineChars="700"/>
        <w:rPr>
          <w:rFonts w:hint="eastAsia" w:asciiTheme="minorEastAsia" w:hAnsiTheme="minorEastAsia" w:cstheme="minorEastAsia"/>
          <w:color w:val="000000" w:themeColor="text1"/>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sz w:val="18"/>
          <w:szCs w:val="18"/>
          <w:shd w:val="clear" w:color="auto" w:fill="FFFFFF"/>
          <w14:textFill>
            <w14:solidFill>
              <w14:schemeClr w14:val="tx1"/>
            </w14:solidFill>
          </w14:textFill>
        </w:rPr>
        <w:t>中国移动通信集团山西有限公司</w:t>
      </w:r>
    </w:p>
    <w:p>
      <w:pPr>
        <w:spacing w:line="360" w:lineRule="atLeast"/>
        <w:ind w:firstLine="1260" w:firstLineChars="700"/>
        <w:rPr>
          <w:rFonts w:asciiTheme="minorEastAsia" w:hAnsiTheme="minorEastAsia" w:cstheme="minorEastAsia"/>
          <w:color w:val="000000" w:themeColor="text1"/>
          <w:sz w:val="18"/>
          <w:szCs w:val="18"/>
          <w:shd w:val="clear" w:color="auto" w:fill="FFFFFF"/>
          <w14:textFill>
            <w14:solidFill>
              <w14:schemeClr w14:val="tx1"/>
            </w14:solidFill>
          </w14:textFill>
        </w:rPr>
      </w:pPr>
    </w:p>
    <w:p>
      <w:pPr>
        <w:pStyle w:val="14"/>
        <w:widowControl/>
        <w:shd w:val="clear" w:color="auto" w:fill="FFFFFF"/>
        <w:snapToGrid w:val="0"/>
        <w:spacing w:beforeAutospacing="0" w:afterAutospacing="0"/>
        <w:ind w:firstLine="360" w:firstLineChars="200"/>
        <w:rPr>
          <w:rFonts w:asciiTheme="minorEastAsia" w:hAnsiTheme="minorEastAsia" w:cstheme="minorEastAsia"/>
          <w:color w:val="000000" w:themeColor="text1"/>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sz w:val="18"/>
          <w:szCs w:val="18"/>
          <w:shd w:val="clear" w:color="auto" w:fill="FFFFFF"/>
          <w14:textFill>
            <w14:solidFill>
              <w14:schemeClr w14:val="tx1"/>
            </w14:solidFill>
          </w14:textFill>
        </w:rPr>
        <w:t xml:space="preserve">            </w:t>
      </w:r>
    </w:p>
    <w:p>
      <w:pPr>
        <w:pStyle w:val="14"/>
        <w:widowControl/>
        <w:shd w:val="clear" w:color="auto" w:fill="FFFFFF"/>
        <w:snapToGrid w:val="0"/>
        <w:spacing w:beforeAutospacing="0" w:afterAutospacing="0"/>
        <w:ind w:left="1500" w:leftChars="200" w:hanging="1080" w:hangingChars="600"/>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pPr>
      <w:r>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t>主要起草人：郭亚涛 王县平 郭永强 连瑞峰 张  晟</w:t>
      </w:r>
    </w:p>
    <w:p>
      <w:pPr>
        <w:pStyle w:val="14"/>
        <w:widowControl/>
        <w:shd w:val="clear" w:color="auto" w:fill="FFFFFF"/>
        <w:snapToGrid w:val="0"/>
        <w:spacing w:beforeAutospacing="0" w:afterAutospacing="0"/>
        <w:ind w:left="1491" w:leftChars="710" w:firstLine="0" w:firstLineChars="0"/>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pPr>
      <w:r>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t xml:space="preserve">郭霄龙 王  宁 侯丽娟 王志斌 樊勇田    </w:t>
      </w:r>
    </w:p>
    <w:p>
      <w:pPr>
        <w:pStyle w:val="14"/>
        <w:widowControl/>
        <w:shd w:val="clear" w:color="auto" w:fill="FFFFFF"/>
        <w:snapToGrid w:val="0"/>
        <w:spacing w:beforeAutospacing="0" w:afterAutospacing="0"/>
        <w:ind w:left="1491" w:leftChars="710" w:firstLine="0" w:firstLineChars="0"/>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pPr>
      <w:r>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t>褚凌霞 杨新春 张  伟 荆俊伟 刘瑞红</w:t>
      </w:r>
    </w:p>
    <w:p>
      <w:pPr>
        <w:pStyle w:val="14"/>
        <w:widowControl/>
        <w:shd w:val="clear" w:color="auto" w:fill="FFFFFF"/>
        <w:snapToGrid w:val="0"/>
        <w:spacing w:beforeAutospacing="0" w:afterAutospacing="0"/>
        <w:ind w:left="1491" w:leftChars="710" w:firstLine="0" w:firstLineChars="0"/>
        <w:rPr>
          <w:rFonts w:hint="default"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pPr>
      <w:r>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t xml:space="preserve">朱  斌 李清涛 韩丙寅 赵  亮 王红泽 </w:t>
      </w:r>
    </w:p>
    <w:p>
      <w:pPr>
        <w:pStyle w:val="14"/>
        <w:widowControl/>
        <w:shd w:val="clear" w:color="auto" w:fill="FFFFFF"/>
        <w:snapToGrid w:val="0"/>
        <w:spacing w:beforeAutospacing="0" w:afterAutospacing="0"/>
        <w:ind w:left="1500" w:leftChars="200" w:hanging="1080" w:hangingChars="600"/>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pPr>
      <w:r>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t xml:space="preserve"> </w:t>
      </w:r>
    </w:p>
    <w:p>
      <w:pPr>
        <w:pStyle w:val="14"/>
        <w:widowControl/>
        <w:shd w:val="clear" w:color="auto" w:fill="FFFFFF"/>
        <w:snapToGrid w:val="0"/>
        <w:spacing w:beforeAutospacing="0" w:afterAutospacing="0"/>
        <w:ind w:left="1500" w:leftChars="200" w:hanging="1080" w:hangingChars="600"/>
        <w:rPr>
          <w:rFonts w:hint="eastAsia" w:asciiTheme="minorEastAsia" w:hAnsiTheme="minorEastAsia" w:cstheme="minorEastAsia"/>
          <w:color w:val="000000" w:themeColor="text1"/>
          <w:sz w:val="18"/>
          <w:szCs w:val="18"/>
          <w:shd w:val="clear" w:color="auto" w:fill="FFFFFF"/>
          <w14:textFill>
            <w14:solidFill>
              <w14:schemeClr w14:val="tx1"/>
            </w14:solidFill>
          </w14:textFill>
        </w:rPr>
      </w:pPr>
    </w:p>
    <w:p>
      <w:pPr>
        <w:pStyle w:val="14"/>
        <w:widowControl/>
        <w:shd w:val="clear" w:color="auto" w:fill="FFFFFF"/>
        <w:snapToGrid w:val="0"/>
        <w:spacing w:beforeAutospacing="0" w:afterAutospacing="0"/>
        <w:ind w:left="1500" w:leftChars="200" w:hanging="1080" w:hangingChars="600"/>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pPr>
      <w:r>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t xml:space="preserve"> </w:t>
      </w:r>
    </w:p>
    <w:p>
      <w:pPr>
        <w:pStyle w:val="14"/>
        <w:widowControl/>
        <w:shd w:val="clear" w:color="auto" w:fill="FFFFFF"/>
        <w:snapToGrid w:val="0"/>
        <w:spacing w:beforeAutospacing="0" w:afterAutospacing="0"/>
        <w:ind w:left="1500" w:leftChars="200" w:hanging="1080" w:hangingChars="600"/>
        <w:rPr>
          <w:rFonts w:hint="default"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pPr>
      <w:r>
        <w:rPr>
          <w:rFonts w:hint="eastAsia" w:ascii="黑体" w:hAnsi="黑体" w:eastAsia="黑体" w:cs="黑体"/>
          <w:color w:val="000000" w:themeColor="text1"/>
          <w:kern w:val="2"/>
          <w:sz w:val="18"/>
          <w:szCs w:val="18"/>
          <w:shd w:val="clear" w:color="auto" w:fill="FFFFFF"/>
          <w:lang w:val="en-US" w:eastAsia="zh-CN" w:bidi="ar-SA"/>
          <w14:textFill>
            <w14:solidFill>
              <w14:schemeClr w14:val="tx1"/>
            </w14:solidFill>
          </w14:textFill>
        </w:rPr>
        <w:t xml:space="preserve">主要审查人：陈志萍 宋大为 </w:t>
      </w:r>
    </w:p>
    <w:p>
      <w:pPr>
        <w:jc w:val="center"/>
        <w:rPr>
          <w:rFonts w:ascii="宋体" w:hAnsi="宋体" w:eastAsia="宋体" w:cs="仿宋"/>
          <w:b/>
          <w:color w:val="000000" w:themeColor="text1"/>
          <w:sz w:val="32"/>
          <w:szCs w:val="32"/>
          <w14:textFill>
            <w14:solidFill>
              <w14:schemeClr w14:val="tx1"/>
            </w14:solidFill>
          </w14:textFill>
        </w:rPr>
      </w:pPr>
    </w:p>
    <w:p>
      <w:pPr>
        <w:jc w:val="center"/>
        <w:rPr>
          <w:rFonts w:ascii="宋体" w:hAnsi="宋体" w:eastAsia="宋体" w:cs="仿宋"/>
          <w:b/>
          <w:color w:val="000000" w:themeColor="text1"/>
          <w:sz w:val="32"/>
          <w:szCs w:val="32"/>
          <w14:textFill>
            <w14:solidFill>
              <w14:schemeClr w14:val="tx1"/>
            </w14:solidFill>
          </w14:textFill>
        </w:rPr>
      </w:pPr>
    </w:p>
    <w:p>
      <w:pPr>
        <w:jc w:val="center"/>
        <w:rPr>
          <w:rFonts w:ascii="宋体" w:hAnsi="宋体" w:eastAsia="宋体" w:cs="仿宋"/>
          <w:b/>
          <w:color w:val="000000" w:themeColor="text1"/>
          <w:sz w:val="32"/>
          <w:szCs w:val="32"/>
          <w14:textFill>
            <w14:solidFill>
              <w14:schemeClr w14:val="tx1"/>
            </w14:solidFill>
          </w14:textFill>
        </w:rPr>
      </w:pPr>
    </w:p>
    <w:p>
      <w:pPr>
        <w:jc w:val="center"/>
        <w:rPr>
          <w:rFonts w:ascii="宋体" w:hAnsi="宋体" w:eastAsia="宋体" w:cs="仿宋"/>
          <w:b/>
          <w:color w:val="000000" w:themeColor="text1"/>
          <w:sz w:val="32"/>
          <w:szCs w:val="32"/>
          <w14:textFill>
            <w14:solidFill>
              <w14:schemeClr w14:val="tx1"/>
            </w14:solidFill>
          </w14:textFill>
        </w:rPr>
      </w:pPr>
    </w:p>
    <w:p>
      <w:pPr>
        <w:jc w:val="center"/>
        <w:rPr>
          <w:rFonts w:ascii="宋体" w:hAnsi="宋体" w:eastAsia="宋体" w:cs="仿宋"/>
          <w:b/>
          <w:color w:val="000000" w:themeColor="text1"/>
          <w:sz w:val="32"/>
          <w:szCs w:val="32"/>
          <w14:textFill>
            <w14:solidFill>
              <w14:schemeClr w14:val="tx1"/>
            </w14:solidFill>
          </w14:textFill>
        </w:rPr>
      </w:pPr>
    </w:p>
    <w:p>
      <w:pPr>
        <w:jc w:val="center"/>
        <w:rPr>
          <w:rFonts w:ascii="宋体" w:hAnsi="宋体" w:eastAsia="宋体" w:cs="仿宋"/>
          <w:b/>
          <w:color w:val="000000" w:themeColor="text1"/>
          <w:sz w:val="32"/>
          <w:szCs w:val="32"/>
          <w14:textFill>
            <w14:solidFill>
              <w14:schemeClr w14:val="tx1"/>
            </w14:solidFill>
          </w14:textFill>
        </w:rPr>
        <w:sectPr>
          <w:footerReference r:id="rId3" w:type="default"/>
          <w:pgSz w:w="7370" w:h="10431"/>
          <w:pgMar w:top="1327" w:right="1026" w:bottom="1327" w:left="1026" w:header="851" w:footer="992" w:gutter="0"/>
          <w:pgBorders>
            <w:top w:val="none" w:sz="0" w:space="0"/>
            <w:left w:val="none" w:sz="0" w:space="0"/>
            <w:bottom w:val="none" w:sz="0" w:space="0"/>
            <w:right w:val="none" w:sz="0" w:space="0"/>
          </w:pgBorders>
          <w:pgNumType w:start="1"/>
          <w:cols w:space="0" w:num="1"/>
          <w:docGrid w:type="lines" w:linePitch="312" w:charSpace="0"/>
        </w:sectPr>
      </w:pPr>
    </w:p>
    <w:p>
      <w:pPr>
        <w:ind w:firstLine="2400" w:firstLineChars="800"/>
        <w:rPr>
          <w:rFonts w:ascii="宋体" w:hAnsi="宋体" w:eastAsia="宋体" w:cs="仿宋"/>
          <w:bCs/>
          <w:color w:val="000000" w:themeColor="text1"/>
          <w:sz w:val="30"/>
          <w:szCs w:val="30"/>
          <w14:textFill>
            <w14:solidFill>
              <w14:schemeClr w14:val="tx1"/>
            </w14:solidFill>
          </w14:textFill>
        </w:rPr>
      </w:pPr>
      <w:r>
        <w:rPr>
          <w:rFonts w:hint="eastAsia" w:ascii="宋体" w:hAnsi="宋体" w:eastAsia="宋体" w:cs="仿宋"/>
          <w:bCs/>
          <w:color w:val="000000" w:themeColor="text1"/>
          <w:sz w:val="30"/>
          <w:szCs w:val="30"/>
          <w14:textFill>
            <w14:solidFill>
              <w14:schemeClr w14:val="tx1"/>
            </w14:solidFill>
          </w14:textFill>
        </w:rPr>
        <w:t>目  次</w:t>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b/>
          <w:color w:val="000000" w:themeColor="text1"/>
          <w:szCs w:val="21"/>
          <w14:textFill>
            <w14:solidFill>
              <w14:schemeClr w14:val="tx1"/>
            </w14:solidFill>
          </w14:textFill>
        </w:rPr>
        <w:fldChar w:fldCharType="begin"/>
      </w:r>
      <w:r>
        <w:rPr>
          <w:rFonts w:hint="eastAsia" w:ascii="宋体" w:hAnsi="宋体" w:eastAsia="宋体" w:cs="宋体"/>
          <w:b/>
          <w:color w:val="000000" w:themeColor="text1"/>
          <w:szCs w:val="21"/>
          <w14:textFill>
            <w14:solidFill>
              <w14:schemeClr w14:val="tx1"/>
            </w14:solidFill>
          </w14:textFill>
        </w:rPr>
        <w:instrText xml:space="preserve"> TOC \o "1-3" \h \z \u </w:instrText>
      </w:r>
      <w:r>
        <w:rPr>
          <w:rFonts w:hint="eastAsia" w:ascii="宋体" w:hAnsi="宋体" w:eastAsia="宋体" w:cs="宋体"/>
          <w:b/>
          <w:color w:val="000000" w:themeColor="text1"/>
          <w:szCs w:val="21"/>
          <w14:textFill>
            <w14:solidFill>
              <w14:schemeClr w14:val="tx1"/>
            </w14:solidFill>
          </w14:textFill>
        </w:rPr>
        <w:fldChar w:fldCharType="separate"/>
      </w: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_Toc15330 </w:instrText>
      </w:r>
      <w:r>
        <w:rPr>
          <w:rFonts w:hint="eastAsia" w:ascii="宋体" w:hAnsi="宋体" w:eastAsia="宋体" w:cs="宋体"/>
          <w:sz w:val="18"/>
          <w:szCs w:val="18"/>
        </w:rPr>
        <w:fldChar w:fldCharType="separate"/>
      </w:r>
      <w:r>
        <w:rPr>
          <w:rFonts w:hint="eastAsia" w:ascii="宋体" w:hAnsi="宋体" w:eastAsia="宋体" w:cs="宋体"/>
          <w:bCs/>
          <w:sz w:val="18"/>
          <w:szCs w:val="18"/>
        </w:rPr>
        <w:t>1 总  则</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_Toc15330 \h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_Toc26938 </w:instrText>
      </w:r>
      <w:r>
        <w:rPr>
          <w:rFonts w:hint="eastAsia" w:ascii="宋体" w:hAnsi="宋体" w:eastAsia="宋体" w:cs="宋体"/>
          <w:sz w:val="18"/>
          <w:szCs w:val="18"/>
        </w:rPr>
        <w:fldChar w:fldCharType="separate"/>
      </w:r>
      <w:r>
        <w:rPr>
          <w:rFonts w:hint="eastAsia" w:ascii="宋体" w:hAnsi="宋体" w:eastAsia="宋体" w:cs="宋体"/>
          <w:bCs/>
          <w:sz w:val="18"/>
          <w:szCs w:val="18"/>
        </w:rPr>
        <w:t>2 术语和符号</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_Toc26938 \h </w:instrText>
      </w:r>
      <w:r>
        <w:rPr>
          <w:rFonts w:hint="eastAsia" w:ascii="宋体" w:hAnsi="宋体" w:eastAsia="宋体" w:cs="宋体"/>
          <w:sz w:val="18"/>
          <w:szCs w:val="18"/>
        </w:rPr>
        <w:fldChar w:fldCharType="separate"/>
      </w:r>
      <w:r>
        <w:rPr>
          <w:rFonts w:hint="eastAsia" w:ascii="宋体" w:hAnsi="宋体" w:eastAsia="宋体" w:cs="宋体"/>
          <w:sz w:val="18"/>
          <w:szCs w:val="18"/>
        </w:rPr>
        <w:t>2</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_Toc19236 </w:instrText>
      </w:r>
      <w:r>
        <w:rPr>
          <w:rFonts w:hint="eastAsia" w:ascii="宋体" w:hAnsi="宋体" w:eastAsia="宋体" w:cs="宋体"/>
          <w:sz w:val="18"/>
          <w:szCs w:val="18"/>
        </w:rPr>
        <w:fldChar w:fldCharType="separate"/>
      </w:r>
      <w:r>
        <w:rPr>
          <w:rFonts w:hint="eastAsia" w:ascii="宋体" w:hAnsi="宋体" w:eastAsia="宋体" w:cs="宋体"/>
          <w:bCs/>
          <w:sz w:val="18"/>
          <w:szCs w:val="18"/>
        </w:rPr>
        <w:t>2.1 术语</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_Toc19236 \h </w:instrText>
      </w:r>
      <w:r>
        <w:rPr>
          <w:rFonts w:hint="eastAsia" w:ascii="宋体" w:hAnsi="宋体" w:eastAsia="宋体" w:cs="宋体"/>
          <w:sz w:val="18"/>
          <w:szCs w:val="18"/>
        </w:rPr>
        <w:fldChar w:fldCharType="separate"/>
      </w:r>
      <w:r>
        <w:rPr>
          <w:rFonts w:hint="eastAsia" w:ascii="宋体" w:hAnsi="宋体" w:eastAsia="宋体" w:cs="宋体"/>
          <w:sz w:val="18"/>
          <w:szCs w:val="18"/>
        </w:rPr>
        <w:t>2</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_Toc6146 </w:instrText>
      </w:r>
      <w:r>
        <w:rPr>
          <w:rFonts w:hint="eastAsia" w:ascii="宋体" w:hAnsi="宋体" w:eastAsia="宋体" w:cs="宋体"/>
          <w:sz w:val="18"/>
          <w:szCs w:val="18"/>
        </w:rPr>
        <w:fldChar w:fldCharType="separate"/>
      </w:r>
      <w:r>
        <w:rPr>
          <w:rFonts w:hint="eastAsia" w:ascii="宋体" w:hAnsi="宋体" w:eastAsia="宋体" w:cs="宋体"/>
          <w:bCs/>
          <w:sz w:val="18"/>
          <w:szCs w:val="18"/>
        </w:rPr>
        <w:t>2.2 符号</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_Toc6146 \h </w:instrText>
      </w:r>
      <w:r>
        <w:rPr>
          <w:rFonts w:hint="eastAsia" w:ascii="宋体" w:hAnsi="宋体" w:eastAsia="宋体" w:cs="宋体"/>
          <w:sz w:val="18"/>
          <w:szCs w:val="18"/>
        </w:rPr>
        <w:fldChar w:fldCharType="separate"/>
      </w:r>
      <w:r>
        <w:rPr>
          <w:rFonts w:hint="eastAsia" w:ascii="宋体" w:hAnsi="宋体" w:eastAsia="宋体" w:cs="宋体"/>
          <w:sz w:val="18"/>
          <w:szCs w:val="18"/>
        </w:rPr>
        <w:t>5</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_Toc2118 </w:instrText>
      </w:r>
      <w:r>
        <w:rPr>
          <w:rFonts w:hint="eastAsia" w:ascii="宋体" w:hAnsi="宋体" w:eastAsia="宋体" w:cs="宋体"/>
          <w:sz w:val="18"/>
          <w:szCs w:val="18"/>
        </w:rPr>
        <w:fldChar w:fldCharType="separate"/>
      </w:r>
      <w:r>
        <w:rPr>
          <w:rFonts w:hint="eastAsia" w:ascii="宋体" w:hAnsi="宋体" w:eastAsia="宋体" w:cs="宋体"/>
          <w:bCs/>
          <w:sz w:val="18"/>
          <w:szCs w:val="18"/>
        </w:rPr>
        <w:t>3 工程设计</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_Toc2118 \h </w:instrText>
      </w:r>
      <w:r>
        <w:rPr>
          <w:rFonts w:hint="eastAsia" w:ascii="宋体" w:hAnsi="宋体" w:eastAsia="宋体" w:cs="宋体"/>
          <w:sz w:val="18"/>
          <w:szCs w:val="18"/>
        </w:rPr>
        <w:fldChar w:fldCharType="separate"/>
      </w:r>
      <w:r>
        <w:rPr>
          <w:rFonts w:hint="eastAsia" w:ascii="宋体" w:hAnsi="宋体" w:eastAsia="宋体" w:cs="宋体"/>
          <w:sz w:val="18"/>
          <w:szCs w:val="18"/>
        </w:rPr>
        <w:t>6</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_Toc26324 </w:instrText>
      </w:r>
      <w:r>
        <w:rPr>
          <w:rFonts w:hint="eastAsia" w:ascii="宋体" w:hAnsi="宋体" w:eastAsia="宋体" w:cs="宋体"/>
          <w:sz w:val="18"/>
          <w:szCs w:val="18"/>
        </w:rPr>
        <w:fldChar w:fldCharType="separate"/>
      </w:r>
      <w:r>
        <w:rPr>
          <w:rFonts w:hint="eastAsia" w:ascii="宋体" w:hAnsi="宋体" w:eastAsia="宋体" w:cs="宋体"/>
          <w:bCs/>
          <w:sz w:val="18"/>
          <w:szCs w:val="18"/>
          <w:lang w:val="en-US" w:eastAsia="zh-CN"/>
        </w:rPr>
        <w:t>3.1一般规定</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_Toc26324 \h </w:instrText>
      </w:r>
      <w:r>
        <w:rPr>
          <w:rFonts w:hint="eastAsia" w:ascii="宋体" w:hAnsi="宋体" w:eastAsia="宋体" w:cs="宋体"/>
          <w:sz w:val="18"/>
          <w:szCs w:val="18"/>
        </w:rPr>
        <w:fldChar w:fldCharType="separate"/>
      </w:r>
      <w:r>
        <w:rPr>
          <w:rFonts w:hint="eastAsia" w:ascii="宋体" w:hAnsi="宋体" w:eastAsia="宋体" w:cs="宋体"/>
          <w:sz w:val="18"/>
          <w:szCs w:val="18"/>
        </w:rPr>
        <w:t>6</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_Toc24906 </w:instrText>
      </w:r>
      <w:r>
        <w:rPr>
          <w:rFonts w:hint="eastAsia" w:ascii="宋体" w:hAnsi="宋体" w:eastAsia="宋体" w:cs="宋体"/>
          <w:sz w:val="18"/>
          <w:szCs w:val="18"/>
        </w:rPr>
        <w:fldChar w:fldCharType="separate"/>
      </w:r>
      <w:r>
        <w:rPr>
          <w:rFonts w:hint="eastAsia" w:ascii="宋体" w:hAnsi="宋体" w:eastAsia="宋体" w:cs="宋体"/>
          <w:bCs/>
          <w:sz w:val="18"/>
          <w:szCs w:val="18"/>
        </w:rPr>
        <w:t>3.</w:t>
      </w:r>
      <w:r>
        <w:rPr>
          <w:rFonts w:hint="eastAsia" w:ascii="宋体" w:hAnsi="宋体" w:eastAsia="宋体" w:cs="宋体"/>
          <w:bCs/>
          <w:sz w:val="18"/>
          <w:szCs w:val="18"/>
          <w:lang w:val="en-US" w:eastAsia="zh-CN"/>
        </w:rPr>
        <w:t>2</w:t>
      </w:r>
      <w:r>
        <w:rPr>
          <w:rFonts w:hint="eastAsia" w:ascii="宋体" w:hAnsi="宋体" w:eastAsia="宋体" w:cs="宋体"/>
          <w:bCs/>
          <w:sz w:val="18"/>
          <w:szCs w:val="18"/>
        </w:rPr>
        <w:t xml:space="preserve"> 系统构成</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_Toc24906 \h </w:instrText>
      </w:r>
      <w:r>
        <w:rPr>
          <w:rFonts w:hint="eastAsia" w:ascii="宋体" w:hAnsi="宋体" w:eastAsia="宋体" w:cs="宋体"/>
          <w:sz w:val="18"/>
          <w:szCs w:val="18"/>
        </w:rPr>
        <w:fldChar w:fldCharType="separate"/>
      </w:r>
      <w:r>
        <w:rPr>
          <w:rFonts w:hint="eastAsia" w:ascii="宋体" w:hAnsi="宋体" w:eastAsia="宋体" w:cs="宋体"/>
          <w:sz w:val="18"/>
          <w:szCs w:val="18"/>
        </w:rPr>
        <w:t>6</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_Toc765 </w:instrText>
      </w:r>
      <w:r>
        <w:rPr>
          <w:rFonts w:hint="eastAsia" w:ascii="宋体" w:hAnsi="宋体" w:eastAsia="宋体" w:cs="宋体"/>
          <w:sz w:val="18"/>
          <w:szCs w:val="18"/>
        </w:rPr>
        <w:fldChar w:fldCharType="separate"/>
      </w:r>
      <w:r>
        <w:rPr>
          <w:rFonts w:hint="eastAsia" w:ascii="宋体" w:hAnsi="宋体" w:eastAsia="宋体" w:cs="宋体"/>
          <w:bCs/>
          <w:sz w:val="18"/>
          <w:szCs w:val="18"/>
        </w:rPr>
        <w:t>3.</w:t>
      </w:r>
      <w:r>
        <w:rPr>
          <w:rFonts w:hint="eastAsia" w:ascii="宋体" w:hAnsi="宋体" w:eastAsia="宋体" w:cs="宋体"/>
          <w:bCs/>
          <w:sz w:val="18"/>
          <w:szCs w:val="18"/>
          <w:lang w:val="en-US" w:eastAsia="zh-CN"/>
        </w:rPr>
        <w:t>3</w:t>
      </w:r>
      <w:r>
        <w:rPr>
          <w:rFonts w:hint="eastAsia" w:ascii="宋体" w:hAnsi="宋体" w:eastAsia="宋体" w:cs="宋体"/>
          <w:bCs/>
          <w:sz w:val="18"/>
          <w:szCs w:val="18"/>
        </w:rPr>
        <w:t xml:space="preserve"> 网络设计</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_Toc765 \h </w:instrText>
      </w:r>
      <w:r>
        <w:rPr>
          <w:rFonts w:hint="eastAsia" w:ascii="宋体" w:hAnsi="宋体" w:eastAsia="宋体" w:cs="宋体"/>
          <w:sz w:val="18"/>
          <w:szCs w:val="18"/>
        </w:rPr>
        <w:fldChar w:fldCharType="separate"/>
      </w:r>
      <w:r>
        <w:rPr>
          <w:rFonts w:hint="eastAsia" w:ascii="宋体" w:hAnsi="宋体" w:eastAsia="宋体" w:cs="宋体"/>
          <w:sz w:val="18"/>
          <w:szCs w:val="18"/>
        </w:rPr>
        <w:t>8</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_Toc12370 </w:instrText>
      </w:r>
      <w:r>
        <w:rPr>
          <w:rFonts w:hint="eastAsia" w:ascii="宋体" w:hAnsi="宋体" w:eastAsia="宋体" w:cs="宋体"/>
          <w:sz w:val="18"/>
          <w:szCs w:val="18"/>
        </w:rPr>
        <w:fldChar w:fldCharType="separate"/>
      </w:r>
      <w:r>
        <w:rPr>
          <w:rFonts w:hint="eastAsia" w:ascii="宋体" w:hAnsi="宋体" w:eastAsia="宋体" w:cs="宋体"/>
          <w:bCs/>
          <w:sz w:val="18"/>
          <w:szCs w:val="18"/>
        </w:rPr>
        <w:t>3.</w:t>
      </w:r>
      <w:r>
        <w:rPr>
          <w:rFonts w:hint="eastAsia" w:ascii="宋体" w:hAnsi="宋体" w:eastAsia="宋体" w:cs="宋体"/>
          <w:bCs/>
          <w:sz w:val="18"/>
          <w:szCs w:val="18"/>
          <w:lang w:val="en-US" w:eastAsia="zh-CN"/>
        </w:rPr>
        <w:t>4</w:t>
      </w:r>
      <w:r>
        <w:rPr>
          <w:rFonts w:hint="eastAsia" w:ascii="宋体" w:hAnsi="宋体" w:eastAsia="宋体" w:cs="宋体"/>
          <w:bCs/>
          <w:sz w:val="18"/>
          <w:szCs w:val="18"/>
        </w:rPr>
        <w:t xml:space="preserve"> 设备配置</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_Toc12370 \h </w:instrText>
      </w:r>
      <w:r>
        <w:rPr>
          <w:rFonts w:hint="eastAsia" w:ascii="宋体" w:hAnsi="宋体" w:eastAsia="宋体" w:cs="宋体"/>
          <w:sz w:val="18"/>
          <w:szCs w:val="18"/>
        </w:rPr>
        <w:fldChar w:fldCharType="separate"/>
      </w:r>
      <w:r>
        <w:rPr>
          <w:rFonts w:hint="eastAsia" w:ascii="宋体" w:hAnsi="宋体" w:eastAsia="宋体" w:cs="宋体"/>
          <w:sz w:val="18"/>
          <w:szCs w:val="18"/>
        </w:rPr>
        <w:t>11</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_Toc24567 </w:instrText>
      </w:r>
      <w:r>
        <w:rPr>
          <w:rFonts w:hint="eastAsia" w:ascii="宋体" w:hAnsi="宋体" w:eastAsia="宋体" w:cs="宋体"/>
          <w:sz w:val="18"/>
          <w:szCs w:val="18"/>
        </w:rPr>
        <w:fldChar w:fldCharType="separate"/>
      </w:r>
      <w:r>
        <w:rPr>
          <w:rFonts w:hint="eastAsia" w:ascii="宋体" w:hAnsi="宋体" w:eastAsia="宋体" w:cs="宋体"/>
          <w:bCs/>
          <w:sz w:val="18"/>
          <w:szCs w:val="18"/>
        </w:rPr>
        <w:t>3.</w:t>
      </w:r>
      <w:r>
        <w:rPr>
          <w:rFonts w:hint="eastAsia" w:ascii="宋体" w:hAnsi="宋体" w:eastAsia="宋体" w:cs="宋体"/>
          <w:bCs/>
          <w:sz w:val="18"/>
          <w:szCs w:val="18"/>
          <w:lang w:val="en-US" w:eastAsia="zh-CN"/>
        </w:rPr>
        <w:t>5</w:t>
      </w:r>
      <w:r>
        <w:rPr>
          <w:rFonts w:hint="eastAsia" w:ascii="宋体" w:hAnsi="宋体" w:eastAsia="宋体" w:cs="宋体"/>
          <w:bCs/>
          <w:sz w:val="18"/>
          <w:szCs w:val="18"/>
        </w:rPr>
        <w:t xml:space="preserve"> 户内管网设计</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_Toc24567 \h </w:instrText>
      </w:r>
      <w:r>
        <w:rPr>
          <w:rFonts w:hint="eastAsia" w:ascii="宋体" w:hAnsi="宋体" w:eastAsia="宋体" w:cs="宋体"/>
          <w:sz w:val="18"/>
          <w:szCs w:val="18"/>
        </w:rPr>
        <w:fldChar w:fldCharType="separate"/>
      </w:r>
      <w:r>
        <w:rPr>
          <w:rFonts w:hint="eastAsia" w:ascii="宋体" w:hAnsi="宋体" w:eastAsia="宋体" w:cs="宋体"/>
          <w:sz w:val="18"/>
          <w:szCs w:val="18"/>
        </w:rPr>
        <w:t>14</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_Toc7502 </w:instrText>
      </w:r>
      <w:r>
        <w:rPr>
          <w:rFonts w:hint="eastAsia" w:ascii="宋体" w:hAnsi="宋体" w:eastAsia="宋体" w:cs="宋体"/>
          <w:sz w:val="18"/>
          <w:szCs w:val="18"/>
        </w:rPr>
        <w:fldChar w:fldCharType="separate"/>
      </w:r>
      <w:r>
        <w:rPr>
          <w:rFonts w:hint="eastAsia" w:ascii="宋体" w:hAnsi="宋体" w:eastAsia="宋体" w:cs="宋体"/>
          <w:bCs/>
          <w:sz w:val="18"/>
          <w:szCs w:val="18"/>
        </w:rPr>
        <w:t>3.</w:t>
      </w:r>
      <w:r>
        <w:rPr>
          <w:rFonts w:hint="eastAsia" w:ascii="宋体" w:hAnsi="宋体" w:eastAsia="宋体" w:cs="宋体"/>
          <w:bCs/>
          <w:sz w:val="18"/>
          <w:szCs w:val="18"/>
          <w:lang w:val="en-US" w:eastAsia="zh-CN"/>
        </w:rPr>
        <w:t>6</w:t>
      </w:r>
      <w:r>
        <w:rPr>
          <w:rFonts w:hint="eastAsia" w:ascii="宋体" w:hAnsi="宋体" w:eastAsia="宋体" w:cs="宋体"/>
          <w:bCs/>
          <w:sz w:val="18"/>
          <w:szCs w:val="18"/>
        </w:rPr>
        <w:t xml:space="preserve"> 户内光缆设计</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_Toc7502 \h </w:instrText>
      </w:r>
      <w:r>
        <w:rPr>
          <w:rFonts w:hint="eastAsia" w:ascii="宋体" w:hAnsi="宋体" w:eastAsia="宋体" w:cs="宋体"/>
          <w:sz w:val="18"/>
          <w:szCs w:val="18"/>
        </w:rPr>
        <w:fldChar w:fldCharType="separate"/>
      </w:r>
      <w:r>
        <w:rPr>
          <w:rFonts w:hint="eastAsia" w:ascii="宋体" w:hAnsi="宋体" w:eastAsia="宋体" w:cs="宋体"/>
          <w:sz w:val="18"/>
          <w:szCs w:val="18"/>
        </w:rPr>
        <w:t>16</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_Toc26340 </w:instrText>
      </w:r>
      <w:r>
        <w:rPr>
          <w:rFonts w:hint="eastAsia" w:ascii="宋体" w:hAnsi="宋体" w:eastAsia="宋体" w:cs="宋体"/>
          <w:sz w:val="18"/>
          <w:szCs w:val="18"/>
        </w:rPr>
        <w:fldChar w:fldCharType="separate"/>
      </w:r>
      <w:r>
        <w:rPr>
          <w:rFonts w:hint="eastAsia" w:ascii="宋体" w:hAnsi="宋体" w:eastAsia="宋体" w:cs="宋体"/>
          <w:bCs/>
          <w:sz w:val="18"/>
          <w:szCs w:val="18"/>
        </w:rPr>
        <w:t>4 施工要求</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_Toc26340 \h </w:instrText>
      </w:r>
      <w:r>
        <w:rPr>
          <w:rFonts w:hint="eastAsia" w:ascii="宋体" w:hAnsi="宋体" w:eastAsia="宋体" w:cs="宋体"/>
          <w:sz w:val="18"/>
          <w:szCs w:val="18"/>
        </w:rPr>
        <w:fldChar w:fldCharType="separate"/>
      </w:r>
      <w:r>
        <w:rPr>
          <w:rFonts w:hint="eastAsia" w:ascii="宋体" w:hAnsi="宋体" w:eastAsia="宋体" w:cs="宋体"/>
          <w:sz w:val="18"/>
          <w:szCs w:val="18"/>
        </w:rPr>
        <w:t>18</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_Toc4607 </w:instrText>
      </w:r>
      <w:r>
        <w:rPr>
          <w:rFonts w:hint="eastAsia" w:ascii="宋体" w:hAnsi="宋体" w:eastAsia="宋体" w:cs="宋体"/>
          <w:sz w:val="18"/>
          <w:szCs w:val="18"/>
        </w:rPr>
        <w:fldChar w:fldCharType="separate"/>
      </w:r>
      <w:r>
        <w:rPr>
          <w:rFonts w:hint="eastAsia" w:ascii="宋体" w:hAnsi="宋体" w:eastAsia="宋体" w:cs="宋体"/>
          <w:bCs/>
          <w:sz w:val="18"/>
          <w:szCs w:val="18"/>
        </w:rPr>
        <w:t>4.1 施工前检查</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_Toc4607 \h </w:instrText>
      </w:r>
      <w:r>
        <w:rPr>
          <w:rFonts w:hint="eastAsia" w:ascii="宋体" w:hAnsi="宋体" w:eastAsia="宋体" w:cs="宋体"/>
          <w:sz w:val="18"/>
          <w:szCs w:val="18"/>
        </w:rPr>
        <w:fldChar w:fldCharType="separate"/>
      </w:r>
      <w:r>
        <w:rPr>
          <w:rFonts w:hint="eastAsia" w:ascii="宋体" w:hAnsi="宋体" w:eastAsia="宋体" w:cs="宋体"/>
          <w:sz w:val="18"/>
          <w:szCs w:val="18"/>
        </w:rPr>
        <w:t>18</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_Toc4871 </w:instrText>
      </w:r>
      <w:r>
        <w:rPr>
          <w:rFonts w:hint="eastAsia" w:ascii="宋体" w:hAnsi="宋体" w:eastAsia="宋体" w:cs="宋体"/>
          <w:sz w:val="18"/>
          <w:szCs w:val="18"/>
        </w:rPr>
        <w:fldChar w:fldCharType="separate"/>
      </w:r>
      <w:r>
        <w:rPr>
          <w:rFonts w:hint="eastAsia" w:ascii="宋体" w:hAnsi="宋体" w:eastAsia="宋体" w:cs="宋体"/>
          <w:bCs/>
          <w:sz w:val="18"/>
          <w:szCs w:val="18"/>
        </w:rPr>
        <w:t>4.2 设备安装</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_Toc4871 \h </w:instrText>
      </w:r>
      <w:r>
        <w:rPr>
          <w:rFonts w:hint="eastAsia" w:ascii="宋体" w:hAnsi="宋体" w:eastAsia="宋体" w:cs="宋体"/>
          <w:sz w:val="18"/>
          <w:szCs w:val="18"/>
        </w:rPr>
        <w:fldChar w:fldCharType="separate"/>
      </w:r>
      <w:r>
        <w:rPr>
          <w:rFonts w:hint="eastAsia" w:ascii="宋体" w:hAnsi="宋体" w:eastAsia="宋体" w:cs="宋体"/>
          <w:sz w:val="18"/>
          <w:szCs w:val="18"/>
        </w:rPr>
        <w:t>19</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_Toc31514 </w:instrText>
      </w:r>
      <w:r>
        <w:rPr>
          <w:rFonts w:hint="eastAsia" w:ascii="宋体" w:hAnsi="宋体" w:eastAsia="宋体" w:cs="宋体"/>
          <w:sz w:val="18"/>
          <w:szCs w:val="18"/>
        </w:rPr>
        <w:fldChar w:fldCharType="separate"/>
      </w:r>
      <w:r>
        <w:rPr>
          <w:rFonts w:hint="eastAsia" w:ascii="宋体" w:hAnsi="宋体" w:eastAsia="宋体" w:cs="宋体"/>
          <w:bCs/>
          <w:sz w:val="18"/>
          <w:szCs w:val="18"/>
        </w:rPr>
        <w:t xml:space="preserve">4.3 </w:t>
      </w:r>
      <w:r>
        <w:rPr>
          <w:rFonts w:hint="eastAsia" w:ascii="宋体" w:hAnsi="宋体" w:eastAsia="宋体" w:cs="宋体"/>
          <w:bCs/>
          <w:sz w:val="18"/>
          <w:szCs w:val="18"/>
          <w:lang w:val="en-US" w:eastAsia="zh-CN"/>
        </w:rPr>
        <w:t>安全电源及接地要求</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_Toc31514 \h </w:instrText>
      </w:r>
      <w:r>
        <w:rPr>
          <w:rFonts w:hint="eastAsia" w:ascii="宋体" w:hAnsi="宋体" w:eastAsia="宋体" w:cs="宋体"/>
          <w:sz w:val="18"/>
          <w:szCs w:val="18"/>
        </w:rPr>
        <w:fldChar w:fldCharType="separate"/>
      </w:r>
      <w:r>
        <w:rPr>
          <w:rFonts w:hint="eastAsia" w:ascii="宋体" w:hAnsi="宋体" w:eastAsia="宋体" w:cs="宋体"/>
          <w:sz w:val="18"/>
          <w:szCs w:val="18"/>
        </w:rPr>
        <w:t>20</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_Toc27342 </w:instrText>
      </w:r>
      <w:r>
        <w:rPr>
          <w:rFonts w:hint="eastAsia" w:ascii="宋体" w:hAnsi="宋体" w:eastAsia="宋体" w:cs="宋体"/>
          <w:sz w:val="18"/>
          <w:szCs w:val="18"/>
        </w:rPr>
        <w:fldChar w:fldCharType="separate"/>
      </w:r>
      <w:r>
        <w:rPr>
          <w:rFonts w:hint="eastAsia" w:ascii="宋体" w:hAnsi="宋体" w:eastAsia="宋体" w:cs="宋体"/>
          <w:bCs/>
          <w:sz w:val="18"/>
          <w:szCs w:val="18"/>
        </w:rPr>
        <w:t>4.</w:t>
      </w:r>
      <w:r>
        <w:rPr>
          <w:rFonts w:hint="eastAsia" w:ascii="宋体" w:hAnsi="宋体" w:eastAsia="宋体" w:cs="宋体"/>
          <w:bCs/>
          <w:sz w:val="18"/>
          <w:szCs w:val="18"/>
          <w:lang w:val="en-US" w:eastAsia="zh-CN"/>
        </w:rPr>
        <w:t>4</w:t>
      </w:r>
      <w:r>
        <w:rPr>
          <w:rFonts w:hint="eastAsia" w:ascii="宋体" w:hAnsi="宋体" w:eastAsia="宋体" w:cs="宋体"/>
          <w:bCs/>
          <w:sz w:val="18"/>
          <w:szCs w:val="18"/>
        </w:rPr>
        <w:t xml:space="preserve"> 设备功能检查与单机测试</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_Toc27342 \h </w:instrText>
      </w:r>
      <w:r>
        <w:rPr>
          <w:rFonts w:hint="eastAsia" w:ascii="宋体" w:hAnsi="宋体" w:eastAsia="宋体" w:cs="宋体"/>
          <w:sz w:val="18"/>
          <w:szCs w:val="18"/>
        </w:rPr>
        <w:fldChar w:fldCharType="separate"/>
      </w:r>
      <w:r>
        <w:rPr>
          <w:rFonts w:hint="eastAsia" w:ascii="宋体" w:hAnsi="宋体" w:eastAsia="宋体" w:cs="宋体"/>
          <w:sz w:val="18"/>
          <w:szCs w:val="18"/>
        </w:rPr>
        <w:t>21</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_Toc10137 </w:instrText>
      </w:r>
      <w:r>
        <w:rPr>
          <w:rFonts w:hint="eastAsia" w:ascii="宋体" w:hAnsi="宋体" w:eastAsia="宋体" w:cs="宋体"/>
          <w:sz w:val="18"/>
          <w:szCs w:val="18"/>
        </w:rPr>
        <w:fldChar w:fldCharType="separate"/>
      </w:r>
      <w:r>
        <w:rPr>
          <w:rFonts w:hint="eastAsia" w:ascii="宋体" w:hAnsi="宋体" w:eastAsia="宋体" w:cs="宋体"/>
          <w:bCs/>
          <w:sz w:val="18"/>
          <w:szCs w:val="18"/>
        </w:rPr>
        <w:t>4.</w:t>
      </w:r>
      <w:r>
        <w:rPr>
          <w:rFonts w:hint="eastAsia" w:ascii="宋体" w:hAnsi="宋体" w:eastAsia="宋体" w:cs="宋体"/>
          <w:bCs/>
          <w:sz w:val="18"/>
          <w:szCs w:val="18"/>
          <w:lang w:val="en-US" w:eastAsia="zh-CN"/>
        </w:rPr>
        <w:t>5</w:t>
      </w:r>
      <w:r>
        <w:rPr>
          <w:rFonts w:hint="eastAsia" w:ascii="宋体" w:hAnsi="宋体" w:eastAsia="宋体" w:cs="宋体"/>
          <w:bCs/>
          <w:sz w:val="18"/>
          <w:szCs w:val="18"/>
        </w:rPr>
        <w:t xml:space="preserve"> 光缆布放与连接</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_Toc10137 \h </w:instrText>
      </w:r>
      <w:r>
        <w:rPr>
          <w:rFonts w:hint="eastAsia" w:ascii="宋体" w:hAnsi="宋体" w:eastAsia="宋体" w:cs="宋体"/>
          <w:sz w:val="18"/>
          <w:szCs w:val="18"/>
        </w:rPr>
        <w:fldChar w:fldCharType="separate"/>
      </w:r>
      <w:r>
        <w:rPr>
          <w:rFonts w:hint="eastAsia" w:ascii="宋体" w:hAnsi="宋体" w:eastAsia="宋体" w:cs="宋体"/>
          <w:sz w:val="18"/>
          <w:szCs w:val="18"/>
        </w:rPr>
        <w:t>22</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8"/>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_Toc623 </w:instrText>
      </w:r>
      <w:r>
        <w:rPr>
          <w:rFonts w:hint="eastAsia" w:ascii="宋体" w:hAnsi="宋体" w:eastAsia="宋体" w:cs="宋体"/>
          <w:sz w:val="18"/>
          <w:szCs w:val="18"/>
        </w:rPr>
        <w:fldChar w:fldCharType="separate"/>
      </w:r>
      <w:r>
        <w:rPr>
          <w:rFonts w:hint="eastAsia" w:ascii="宋体" w:hAnsi="宋体" w:eastAsia="宋体" w:cs="宋体"/>
          <w:bCs/>
          <w:sz w:val="18"/>
          <w:szCs w:val="18"/>
        </w:rPr>
        <w:t>4.</w:t>
      </w:r>
      <w:r>
        <w:rPr>
          <w:rFonts w:hint="eastAsia" w:ascii="宋体" w:hAnsi="宋体" w:eastAsia="宋体" w:cs="宋体"/>
          <w:bCs/>
          <w:sz w:val="18"/>
          <w:szCs w:val="18"/>
          <w:lang w:val="en-US" w:eastAsia="zh-CN"/>
        </w:rPr>
        <w:t>6</w:t>
      </w:r>
      <w:r>
        <w:rPr>
          <w:rFonts w:hint="eastAsia" w:ascii="宋体" w:hAnsi="宋体" w:eastAsia="宋体" w:cs="宋体"/>
          <w:bCs/>
          <w:sz w:val="18"/>
          <w:szCs w:val="18"/>
        </w:rPr>
        <w:t xml:space="preserve"> 系统测试</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_Toc623 \h </w:instrText>
      </w:r>
      <w:r>
        <w:rPr>
          <w:rFonts w:hint="eastAsia" w:ascii="宋体" w:hAnsi="宋体" w:eastAsia="宋体" w:cs="宋体"/>
          <w:sz w:val="18"/>
          <w:szCs w:val="18"/>
        </w:rPr>
        <w:fldChar w:fldCharType="separate"/>
      </w:r>
      <w:r>
        <w:rPr>
          <w:rFonts w:hint="eastAsia" w:ascii="宋体" w:hAnsi="宋体" w:eastAsia="宋体" w:cs="宋体"/>
          <w:sz w:val="18"/>
          <w:szCs w:val="18"/>
        </w:rPr>
        <w:t>26</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_Toc24442 </w:instrText>
      </w:r>
      <w:r>
        <w:rPr>
          <w:rFonts w:hint="eastAsia" w:ascii="宋体" w:hAnsi="宋体" w:eastAsia="宋体" w:cs="宋体"/>
          <w:sz w:val="18"/>
          <w:szCs w:val="18"/>
        </w:rPr>
        <w:fldChar w:fldCharType="separate"/>
      </w:r>
      <w:r>
        <w:rPr>
          <w:rFonts w:hint="eastAsia" w:ascii="宋体" w:hAnsi="宋体" w:eastAsia="宋体" w:cs="宋体"/>
          <w:bCs/>
          <w:sz w:val="18"/>
          <w:szCs w:val="18"/>
        </w:rPr>
        <w:t>5 工程验收</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_Toc24442 \h </w:instrText>
      </w:r>
      <w:r>
        <w:rPr>
          <w:rFonts w:hint="eastAsia" w:ascii="宋体" w:hAnsi="宋体" w:eastAsia="宋体" w:cs="宋体"/>
          <w:sz w:val="18"/>
          <w:szCs w:val="18"/>
        </w:rPr>
        <w:fldChar w:fldCharType="separate"/>
      </w:r>
      <w:r>
        <w:rPr>
          <w:rFonts w:hint="eastAsia" w:ascii="宋体" w:hAnsi="宋体" w:eastAsia="宋体" w:cs="宋体"/>
          <w:sz w:val="18"/>
          <w:szCs w:val="18"/>
        </w:rPr>
        <w:t>27</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_Toc23589 </w:instrText>
      </w:r>
      <w:r>
        <w:rPr>
          <w:rFonts w:hint="eastAsia" w:ascii="宋体" w:hAnsi="宋体" w:eastAsia="宋体" w:cs="宋体"/>
          <w:sz w:val="18"/>
          <w:szCs w:val="18"/>
        </w:rPr>
        <w:fldChar w:fldCharType="separate"/>
      </w:r>
      <w:r>
        <w:rPr>
          <w:rFonts w:hint="eastAsia" w:ascii="宋体" w:hAnsi="宋体" w:eastAsia="宋体" w:cs="宋体"/>
          <w:bCs/>
          <w:sz w:val="18"/>
          <w:szCs w:val="18"/>
        </w:rPr>
        <w:t>6 运行维护</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_Toc23589 \h </w:instrText>
      </w:r>
      <w:r>
        <w:rPr>
          <w:rFonts w:hint="eastAsia" w:ascii="宋体" w:hAnsi="宋体" w:eastAsia="宋体" w:cs="宋体"/>
          <w:sz w:val="18"/>
          <w:szCs w:val="18"/>
        </w:rPr>
        <w:fldChar w:fldCharType="separate"/>
      </w:r>
      <w:r>
        <w:rPr>
          <w:rFonts w:hint="eastAsia" w:ascii="宋体" w:hAnsi="宋体" w:eastAsia="宋体" w:cs="宋体"/>
          <w:sz w:val="18"/>
          <w:szCs w:val="18"/>
        </w:rPr>
        <w:t>29</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_Toc21876 </w:instrText>
      </w:r>
      <w:r>
        <w:rPr>
          <w:rFonts w:hint="eastAsia" w:ascii="宋体" w:hAnsi="宋体" w:eastAsia="宋体" w:cs="宋体"/>
          <w:sz w:val="18"/>
          <w:szCs w:val="18"/>
        </w:rPr>
        <w:fldChar w:fldCharType="separate"/>
      </w:r>
      <w:r>
        <w:rPr>
          <w:rFonts w:hint="eastAsia" w:ascii="宋体" w:hAnsi="宋体" w:eastAsia="宋体" w:cs="宋体"/>
          <w:bCs/>
          <w:sz w:val="18"/>
          <w:szCs w:val="18"/>
        </w:rPr>
        <w:t>附录A FTTR工程验收检验项目及内容</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_Toc21876 \h </w:instrText>
      </w:r>
      <w:r>
        <w:rPr>
          <w:rFonts w:hint="eastAsia" w:ascii="宋体" w:hAnsi="宋体" w:eastAsia="宋体" w:cs="宋体"/>
          <w:sz w:val="18"/>
          <w:szCs w:val="18"/>
        </w:rPr>
        <w:fldChar w:fldCharType="separate"/>
      </w:r>
      <w:r>
        <w:rPr>
          <w:rFonts w:hint="eastAsia" w:ascii="宋体" w:hAnsi="宋体" w:eastAsia="宋体" w:cs="宋体"/>
          <w:sz w:val="18"/>
          <w:szCs w:val="18"/>
        </w:rPr>
        <w:t>30</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_Toc23433 </w:instrText>
      </w:r>
      <w:r>
        <w:rPr>
          <w:rFonts w:hint="eastAsia" w:ascii="宋体" w:hAnsi="宋体" w:eastAsia="宋体" w:cs="宋体"/>
          <w:sz w:val="18"/>
          <w:szCs w:val="18"/>
        </w:rPr>
        <w:fldChar w:fldCharType="separate"/>
      </w:r>
      <w:r>
        <w:rPr>
          <w:rFonts w:hint="eastAsia" w:ascii="宋体" w:hAnsi="宋体" w:eastAsia="宋体" w:cs="宋体"/>
          <w:bCs/>
          <w:sz w:val="18"/>
          <w:szCs w:val="18"/>
        </w:rPr>
        <w:t>附录B FTTR设备典型规格表</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_Toc23433 \h </w:instrText>
      </w:r>
      <w:r>
        <w:rPr>
          <w:rFonts w:hint="eastAsia" w:ascii="宋体" w:hAnsi="宋体" w:eastAsia="宋体" w:cs="宋体"/>
          <w:sz w:val="18"/>
          <w:szCs w:val="18"/>
        </w:rPr>
        <w:fldChar w:fldCharType="separate"/>
      </w:r>
      <w:r>
        <w:rPr>
          <w:rFonts w:hint="eastAsia" w:ascii="宋体" w:hAnsi="宋体" w:eastAsia="宋体" w:cs="宋体"/>
          <w:sz w:val="18"/>
          <w:szCs w:val="18"/>
        </w:rPr>
        <w:t>31</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_Toc29555 </w:instrText>
      </w:r>
      <w:r>
        <w:rPr>
          <w:rFonts w:hint="eastAsia" w:ascii="宋体" w:hAnsi="宋体" w:eastAsia="宋体" w:cs="宋体"/>
          <w:sz w:val="18"/>
          <w:szCs w:val="18"/>
        </w:rPr>
        <w:fldChar w:fldCharType="separate"/>
      </w:r>
      <w:r>
        <w:rPr>
          <w:rFonts w:hint="eastAsia" w:ascii="宋体" w:hAnsi="宋体" w:eastAsia="宋体" w:cs="宋体"/>
          <w:bCs/>
          <w:sz w:val="18"/>
          <w:szCs w:val="18"/>
        </w:rPr>
        <w:t>附录C Wi-Fi信</w:t>
      </w:r>
      <w:r>
        <w:rPr>
          <w:rFonts w:hint="eastAsia" w:ascii="宋体" w:hAnsi="宋体" w:eastAsia="宋体" w:cs="宋体"/>
          <w:bCs/>
          <w:sz w:val="18"/>
          <w:szCs w:val="18"/>
          <w:highlight w:val="none"/>
        </w:rPr>
        <w:t>号覆盖强度参考表</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_Toc29555 \h </w:instrText>
      </w:r>
      <w:r>
        <w:rPr>
          <w:rFonts w:hint="eastAsia" w:ascii="宋体" w:hAnsi="宋体" w:eastAsia="宋体" w:cs="宋体"/>
          <w:sz w:val="18"/>
          <w:szCs w:val="18"/>
        </w:rPr>
        <w:fldChar w:fldCharType="separate"/>
      </w:r>
      <w:r>
        <w:rPr>
          <w:rFonts w:hint="eastAsia" w:ascii="宋体" w:hAnsi="宋体" w:eastAsia="宋体" w:cs="宋体"/>
          <w:sz w:val="18"/>
          <w:szCs w:val="18"/>
        </w:rPr>
        <w:t>33</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_Toc27816 </w:instrText>
      </w:r>
      <w:r>
        <w:rPr>
          <w:rFonts w:hint="eastAsia" w:ascii="宋体" w:hAnsi="宋体" w:eastAsia="宋体" w:cs="宋体"/>
          <w:sz w:val="18"/>
          <w:szCs w:val="18"/>
        </w:rPr>
        <w:fldChar w:fldCharType="separate"/>
      </w:r>
      <w:r>
        <w:rPr>
          <w:rFonts w:hint="eastAsia" w:ascii="宋体" w:hAnsi="宋体" w:eastAsia="宋体" w:cs="宋体"/>
          <w:bCs/>
          <w:sz w:val="18"/>
          <w:szCs w:val="18"/>
        </w:rPr>
        <w:t>附录D 线缆敷设施工</w:t>
      </w:r>
      <w:r>
        <w:rPr>
          <w:rFonts w:hint="eastAsia" w:ascii="宋体" w:hAnsi="宋体" w:eastAsia="宋体" w:cs="宋体"/>
          <w:bCs/>
          <w:sz w:val="18"/>
          <w:szCs w:val="18"/>
          <w:lang w:val="en-US" w:eastAsia="zh-CN"/>
        </w:rPr>
        <w:t>操作流程</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_Toc27816 \h </w:instrText>
      </w:r>
      <w:r>
        <w:rPr>
          <w:rFonts w:hint="eastAsia" w:ascii="宋体" w:hAnsi="宋体" w:eastAsia="宋体" w:cs="宋体"/>
          <w:sz w:val="18"/>
          <w:szCs w:val="18"/>
        </w:rPr>
        <w:fldChar w:fldCharType="separate"/>
      </w:r>
      <w:r>
        <w:rPr>
          <w:rFonts w:hint="eastAsia" w:ascii="宋体" w:hAnsi="宋体" w:eastAsia="宋体" w:cs="宋体"/>
          <w:sz w:val="18"/>
          <w:szCs w:val="18"/>
        </w:rPr>
        <w:t>34</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_Toc16347 </w:instrText>
      </w:r>
      <w:r>
        <w:rPr>
          <w:rFonts w:hint="eastAsia" w:ascii="宋体" w:hAnsi="宋体" w:eastAsia="宋体" w:cs="宋体"/>
          <w:sz w:val="18"/>
          <w:szCs w:val="18"/>
        </w:rPr>
        <w:fldChar w:fldCharType="separate"/>
      </w:r>
      <w:r>
        <w:rPr>
          <w:rFonts w:hint="eastAsia" w:ascii="宋体" w:hAnsi="宋体" w:eastAsia="宋体" w:cs="宋体"/>
          <w:bCs/>
          <w:sz w:val="18"/>
          <w:szCs w:val="18"/>
        </w:rPr>
        <w:t>本标准用词说明</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_Toc16347 \h </w:instrText>
      </w:r>
      <w:r>
        <w:rPr>
          <w:rFonts w:hint="eastAsia" w:ascii="宋体" w:hAnsi="宋体" w:eastAsia="宋体" w:cs="宋体"/>
          <w:sz w:val="18"/>
          <w:szCs w:val="18"/>
        </w:rPr>
        <w:fldChar w:fldCharType="separate"/>
      </w:r>
      <w:r>
        <w:rPr>
          <w:rFonts w:hint="eastAsia" w:ascii="宋体" w:hAnsi="宋体" w:eastAsia="宋体" w:cs="宋体"/>
          <w:sz w:val="18"/>
          <w:szCs w:val="18"/>
        </w:rPr>
        <w:t>38</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sz w:val="18"/>
          <w:szCs w:val="18"/>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_Toc17598 </w:instrText>
      </w:r>
      <w:r>
        <w:rPr>
          <w:rFonts w:hint="eastAsia" w:ascii="宋体" w:hAnsi="宋体" w:eastAsia="宋体" w:cs="宋体"/>
          <w:sz w:val="18"/>
          <w:szCs w:val="18"/>
        </w:rPr>
        <w:fldChar w:fldCharType="separate"/>
      </w:r>
      <w:r>
        <w:rPr>
          <w:rFonts w:hint="eastAsia" w:ascii="宋体" w:hAnsi="宋体" w:eastAsia="宋体" w:cs="宋体"/>
          <w:bCs/>
          <w:sz w:val="18"/>
          <w:szCs w:val="18"/>
        </w:rPr>
        <w:t>引用标准名录</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_Toc17598 \h </w:instrText>
      </w:r>
      <w:r>
        <w:rPr>
          <w:rFonts w:hint="eastAsia" w:ascii="宋体" w:hAnsi="宋体" w:eastAsia="宋体" w:cs="宋体"/>
          <w:sz w:val="18"/>
          <w:szCs w:val="18"/>
        </w:rPr>
        <w:fldChar w:fldCharType="separate"/>
      </w:r>
      <w:r>
        <w:rPr>
          <w:rFonts w:hint="eastAsia" w:ascii="宋体" w:hAnsi="宋体" w:eastAsia="宋体" w:cs="宋体"/>
          <w:sz w:val="18"/>
          <w:szCs w:val="18"/>
        </w:rPr>
        <w:t>39</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pStyle w:val="13"/>
        <w:keepNext w:val="0"/>
        <w:keepLines w:val="0"/>
        <w:pageBreakBefore w:val="0"/>
        <w:widowControl w:val="0"/>
        <w:tabs>
          <w:tab w:val="right" w:leader="dot" w:pos="5262"/>
        </w:tabs>
        <w:kinsoku/>
        <w:wordWrap/>
        <w:overflowPunct/>
        <w:topLinePunct w:val="0"/>
        <w:autoSpaceDE/>
        <w:autoSpaceDN/>
        <w:bidi w:val="0"/>
        <w:adjustRightInd/>
        <w:snapToGrid/>
        <w:spacing w:line="240" w:lineRule="auto"/>
        <w:textAlignment w:val="auto"/>
        <w:rPr>
          <w:rFonts w:hint="eastAsia" w:ascii="宋体" w:hAnsi="宋体" w:eastAsia="宋体" w:cs="宋体"/>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_Toc18903 </w:instrText>
      </w:r>
      <w:r>
        <w:rPr>
          <w:rFonts w:hint="eastAsia" w:ascii="宋体" w:hAnsi="宋体" w:eastAsia="宋体" w:cs="宋体"/>
          <w:sz w:val="18"/>
          <w:szCs w:val="18"/>
        </w:rPr>
        <w:fldChar w:fldCharType="separate"/>
      </w:r>
      <w:r>
        <w:rPr>
          <w:rFonts w:hint="eastAsia" w:ascii="宋体" w:hAnsi="宋体" w:eastAsia="宋体" w:cs="宋体"/>
          <w:bCs/>
          <w:sz w:val="18"/>
          <w:szCs w:val="18"/>
          <w:lang w:val="en-US" w:eastAsia="zh-CN"/>
        </w:rPr>
        <w:t>条 文 说 明</w:t>
      </w:r>
      <w:r>
        <w:rPr>
          <w:rFonts w:hint="eastAsia" w:ascii="宋体" w:hAnsi="宋体" w:eastAsia="宋体" w:cs="宋体"/>
          <w:sz w:val="18"/>
          <w:szCs w:val="18"/>
        </w:rPr>
        <w:tab/>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PAGEREF _Toc18903 \h </w:instrText>
      </w:r>
      <w:r>
        <w:rPr>
          <w:rFonts w:hint="eastAsia" w:ascii="宋体" w:hAnsi="宋体" w:eastAsia="宋体" w:cs="宋体"/>
          <w:sz w:val="18"/>
          <w:szCs w:val="18"/>
        </w:rPr>
        <w:fldChar w:fldCharType="separate"/>
      </w:r>
      <w:r>
        <w:rPr>
          <w:rFonts w:hint="eastAsia" w:ascii="宋体" w:hAnsi="宋体" w:eastAsia="宋体" w:cs="宋体"/>
          <w:sz w:val="18"/>
          <w:szCs w:val="18"/>
        </w:rPr>
        <w:t>41</w:t>
      </w:r>
      <w:r>
        <w:rPr>
          <w:rFonts w:hint="eastAsia" w:ascii="宋体" w:hAnsi="宋体" w:eastAsia="宋体" w:cs="宋体"/>
          <w:sz w:val="18"/>
          <w:szCs w:val="18"/>
        </w:rPr>
        <w:fldChar w:fldCharType="end"/>
      </w:r>
      <w:r>
        <w:rPr>
          <w:rFonts w:hint="eastAsia" w:ascii="宋体" w:hAnsi="宋体" w:eastAsia="宋体" w:cs="宋体"/>
          <w:color w:val="000000" w:themeColor="text1"/>
          <w:sz w:val="18"/>
          <w:szCs w:val="18"/>
          <w14:textFill>
            <w14:solidFill>
              <w14:schemeClr w14:val="tx1"/>
            </w14:solidFill>
          </w14:textFill>
        </w:rPr>
        <w:fldChar w:fldCharType="end"/>
      </w:r>
    </w:p>
    <w:p>
      <w:pPr>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fldChar w:fldCharType="end"/>
      </w:r>
      <w:bookmarkStart w:id="0" w:name="_Toc16084472"/>
      <w:bookmarkStart w:id="1" w:name="_Toc9751"/>
      <w:bookmarkStart w:id="2" w:name="_Toc25725"/>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000000" w:themeColor="text1"/>
          <w:sz w:val="28"/>
          <w:szCs w:val="28"/>
          <w14:textFill>
            <w14:solidFill>
              <w14:schemeClr w14:val="tx1"/>
            </w14:solidFill>
          </w14:textFill>
        </w:rPr>
      </w:pPr>
    </w:p>
    <w:p>
      <w:pPr>
        <w:jc w:val="center"/>
        <w:rPr>
          <w:rFonts w:ascii="宋体" w:hAnsi="宋体" w:eastAsia="宋体" w:cs="仿宋"/>
          <w:color w:val="auto"/>
          <w:sz w:val="30"/>
          <w:szCs w:val="30"/>
        </w:rPr>
      </w:pPr>
      <w:r>
        <w:rPr>
          <w:rFonts w:hint="eastAsia" w:ascii="宋体" w:hAnsi="宋体" w:eastAsia="宋体" w:cs="仿宋"/>
          <w:color w:val="auto"/>
          <w:sz w:val="30"/>
          <w:szCs w:val="30"/>
        </w:rPr>
        <w:t>Contents</w:t>
      </w:r>
    </w:p>
    <w:p>
      <w:pPr>
        <w:jc w:val="center"/>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1  General provisions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1</w:t>
      </w:r>
    </w:p>
    <w:p>
      <w:pPr>
        <w:jc w:val="both"/>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 xml:space="preserve"> Terms</w:t>
      </w:r>
      <w:r>
        <w:rPr>
          <w:rFonts w:hint="eastAsia" w:ascii="宋体" w:hAnsi="宋体" w:eastAsia="宋体" w:cs="仿宋"/>
          <w:color w:val="000000" w:themeColor="text1"/>
          <w:sz w:val="18"/>
          <w:szCs w:val="18"/>
          <w:lang w:val="en-US" w:eastAsia="zh-CN"/>
          <w14:textFill>
            <w14:solidFill>
              <w14:schemeClr w14:val="tx1"/>
            </w14:solidFill>
          </w14:textFill>
        </w:rPr>
        <w:t xml:space="preserve"> and symbols</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2</w:t>
      </w:r>
    </w:p>
    <w:p>
      <w:pPr>
        <w:jc w:val="center"/>
        <w:rPr>
          <w:rFonts w:hint="eastAsia" w:ascii="Arial" w:hAnsi="Arial" w:eastAsia="宋体" w:cs="Arial"/>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  2.1 Terms</w:t>
      </w:r>
      <w:r>
        <w:rPr>
          <w:rFonts w:ascii="Arial" w:hAnsi="Arial" w:eastAsia="宋体" w:cs="Arial"/>
          <w:color w:val="000000" w:themeColor="text1"/>
          <w:sz w:val="18"/>
          <w:szCs w:val="18"/>
          <w14:textFill>
            <w14:solidFill>
              <w14:schemeClr w14:val="tx1"/>
            </w14:solidFill>
          </w14:textFill>
        </w:rPr>
        <w:t>…………………………………</w:t>
      </w:r>
      <w:r>
        <w:rPr>
          <w:rFonts w:hint="eastAsia" w:ascii="Arial" w:hAnsi="Arial" w:eastAsia="宋体" w:cs="Arial"/>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2</w:t>
      </w:r>
    </w:p>
    <w:p>
      <w:pPr>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  2.2 Symbols</w:t>
      </w:r>
      <w:r>
        <w:rPr>
          <w:rFonts w:ascii="Arial" w:hAnsi="Arial" w:eastAsia="宋体" w:cs="Arial"/>
          <w:color w:val="000000" w:themeColor="text1"/>
          <w:sz w:val="18"/>
          <w:szCs w:val="18"/>
          <w14:textFill>
            <w14:solidFill>
              <w14:schemeClr w14:val="tx1"/>
            </w14:solidFill>
          </w14:textFill>
        </w:rPr>
        <w:t>………………………………………………</w:t>
      </w:r>
      <w:r>
        <w:rPr>
          <w:rFonts w:hint="eastAsia" w:ascii="Arial" w:hAnsi="Arial" w:eastAsia="宋体" w:cs="Arial"/>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5</w:t>
      </w:r>
    </w:p>
    <w:p>
      <w:pPr>
        <w:ind w:left="180" w:hanging="180" w:hangingChars="100"/>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3 </w:t>
      </w:r>
      <w:r>
        <w:rPr>
          <w:rFonts w:hint="eastAsia" w:ascii="宋体" w:hAnsi="宋体" w:eastAsia="宋体" w:cs="仿宋"/>
          <w:color w:val="000000" w:themeColor="text1"/>
          <w:sz w:val="18"/>
          <w:szCs w:val="18"/>
          <w:lang w:val="en-US" w:eastAsia="zh-CN"/>
          <w14:textFill>
            <w14:solidFill>
              <w14:schemeClr w14:val="tx1"/>
            </w14:solidFill>
          </w14:textFill>
        </w:rPr>
        <w:t>E</w:t>
      </w:r>
      <w:r>
        <w:rPr>
          <w:rFonts w:hint="eastAsia" w:ascii="宋体" w:hAnsi="宋体" w:eastAsia="宋体" w:cs="仿宋"/>
          <w:color w:val="000000" w:themeColor="text1"/>
          <w:sz w:val="18"/>
          <w:szCs w:val="18"/>
          <w14:textFill>
            <w14:solidFill>
              <w14:schemeClr w14:val="tx1"/>
            </w14:solidFill>
          </w14:textFill>
        </w:rPr>
        <w:t xml:space="preserve">ngineering design </w:t>
      </w:r>
      <w:r>
        <w:rPr>
          <w:rFonts w:ascii="Arial" w:hAnsi="Arial" w:eastAsia="宋体" w:cs="Arial"/>
          <w:color w:val="000000" w:themeColor="text1"/>
          <w:sz w:val="18"/>
          <w:szCs w:val="18"/>
          <w14:textFill>
            <w14:solidFill>
              <w14:schemeClr w14:val="tx1"/>
            </w14:solidFill>
          </w14:textFill>
        </w:rPr>
        <w:t>………………………………………………</w:t>
      </w:r>
      <w:r>
        <w:rPr>
          <w:rFonts w:hint="eastAsia" w:ascii="Arial" w:hAnsi="Arial" w:eastAsia="宋体" w:cs="Arial"/>
          <w:color w:val="000000" w:themeColor="text1"/>
          <w:sz w:val="18"/>
          <w:szCs w:val="18"/>
          <w:lang w:val="en-US" w:eastAsia="zh-CN"/>
          <w14:textFill>
            <w14:solidFill>
              <w14:schemeClr w14:val="tx1"/>
            </w14:solidFill>
          </w14:textFill>
        </w:rPr>
        <w:t xml:space="preserve"> </w:t>
      </w:r>
      <w:r>
        <w:rPr>
          <w:rFonts w:hint="eastAsia" w:ascii="宋体" w:hAnsi="宋体" w:eastAsia="宋体" w:cs="宋体"/>
          <w:color w:val="000000" w:themeColor="text1"/>
          <w:sz w:val="18"/>
          <w:szCs w:val="18"/>
          <w:lang w:val="en-US" w:eastAsia="zh-CN"/>
          <w14:textFill>
            <w14:solidFill>
              <w14:schemeClr w14:val="tx1"/>
            </w14:solidFill>
          </w14:textFill>
        </w:rPr>
        <w:t>6</w:t>
      </w:r>
    </w:p>
    <w:p>
      <w:pPr>
        <w:ind w:left="178" w:leftChars="85" w:firstLine="0" w:firstLineChars="0"/>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3.1 </w:t>
      </w:r>
      <w:r>
        <w:rPr>
          <w:rFonts w:hint="eastAsia" w:ascii="宋体" w:hAnsi="宋体" w:eastAsia="宋体" w:cs="仿宋"/>
          <w:color w:val="000000" w:themeColor="text1"/>
          <w:sz w:val="18"/>
          <w:szCs w:val="18"/>
          <w:lang w:val="en-US" w:eastAsia="zh-CN"/>
          <w14:textFill>
            <w14:solidFill>
              <w14:schemeClr w14:val="tx1"/>
            </w14:solidFill>
          </w14:textFill>
        </w:rPr>
        <w:t>Interface of project</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6</w:t>
      </w:r>
    </w:p>
    <w:p>
      <w:pPr>
        <w:ind w:left="180" w:hanging="180" w:hangingChars="10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  3.</w:t>
      </w: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 xml:space="preserve"> System composition</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6</w:t>
      </w:r>
    </w:p>
    <w:p>
      <w:pPr>
        <w:jc w:val="left"/>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  3.</w:t>
      </w: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 xml:space="preserve"> Network design</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9</w:t>
      </w:r>
    </w:p>
    <w:p>
      <w:pPr>
        <w:ind w:firstLine="180" w:firstLineChars="100"/>
        <w:jc w:val="left"/>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 xml:space="preserve">4 </w:t>
      </w:r>
      <w:r>
        <w:rPr>
          <w:rFonts w:hint="eastAsia" w:ascii="宋体" w:hAnsi="宋体" w:eastAsia="宋体" w:cs="仿宋"/>
          <w:color w:val="000000" w:themeColor="text1"/>
          <w:sz w:val="18"/>
          <w:szCs w:val="18"/>
          <w14:textFill>
            <w14:solidFill>
              <w14:schemeClr w14:val="tx1"/>
            </w14:solidFill>
          </w14:textFill>
        </w:rPr>
        <w:t>Configuration</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Arial" w:hAnsi="Arial" w:eastAsia="宋体" w:cs="Arial"/>
          <w:color w:val="000000" w:themeColor="text1"/>
          <w:sz w:val="18"/>
          <w:szCs w:val="18"/>
          <w:lang w:val="en-US" w:eastAsia="zh-CN"/>
          <w14:textFill>
            <w14:solidFill>
              <w14:schemeClr w14:val="tx1"/>
            </w14:solidFill>
          </w14:textFill>
        </w:rPr>
        <w:t xml:space="preserve"> </w:t>
      </w:r>
      <w:r>
        <w:rPr>
          <w:rFonts w:hint="eastAsia" w:ascii="宋体" w:hAnsi="宋体" w:eastAsia="宋体" w:cs="宋体"/>
          <w:color w:val="000000" w:themeColor="text1"/>
          <w:sz w:val="18"/>
          <w:szCs w:val="18"/>
          <w:lang w:val="en-US" w:eastAsia="zh-CN"/>
          <w14:textFill>
            <w14:solidFill>
              <w14:schemeClr w14:val="tx1"/>
            </w14:solidFill>
          </w14:textFill>
        </w:rPr>
        <w:t>11</w:t>
      </w:r>
    </w:p>
    <w:p>
      <w:pPr>
        <w:ind w:firstLine="180" w:firstLineChars="100"/>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3.5 Indoor pipeline network design</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14</w:t>
      </w:r>
    </w:p>
    <w:p>
      <w:pPr>
        <w:ind w:firstLine="180" w:firstLineChars="1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3.6 </w:t>
      </w:r>
      <w:r>
        <w:rPr>
          <w:rFonts w:hint="default" w:ascii="宋体" w:hAnsi="宋体" w:eastAsia="宋体" w:cs="仿宋"/>
          <w:color w:val="000000" w:themeColor="text1"/>
          <w:sz w:val="18"/>
          <w:szCs w:val="18"/>
          <w:lang w:val="en-US" w:eastAsia="zh-CN"/>
          <w14:textFill>
            <w14:solidFill>
              <w14:schemeClr w14:val="tx1"/>
            </w14:solidFill>
          </w14:textFill>
        </w:rPr>
        <w:t>Indoor fiber optic cable design</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16</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Construction</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 xml:space="preserve">requirements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 xml:space="preserve"> 18 </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  4.1 Pre construction inspection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 xml:space="preserve">18 </w:t>
      </w:r>
    </w:p>
    <w:p>
      <w:pP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  4.2 </w:t>
      </w:r>
      <w:r>
        <w:rPr>
          <w:rFonts w:hint="eastAsia" w:ascii="宋体" w:hAnsi="宋体" w:eastAsia="宋体" w:cs="仿宋"/>
          <w:color w:val="000000" w:themeColor="text1"/>
          <w:sz w:val="18"/>
          <w:szCs w:val="18"/>
          <w:lang w:val="en-US" w:eastAsia="zh-CN"/>
          <w14:textFill>
            <w14:solidFill>
              <w14:schemeClr w14:val="tx1"/>
            </w14:solidFill>
          </w14:textFill>
        </w:rPr>
        <w:t>E</w:t>
      </w:r>
      <w:r>
        <w:rPr>
          <w:rFonts w:hint="eastAsia" w:ascii="宋体" w:hAnsi="宋体" w:eastAsia="宋体" w:cs="仿宋"/>
          <w:color w:val="000000" w:themeColor="text1"/>
          <w:sz w:val="18"/>
          <w:szCs w:val="18"/>
          <w14:textFill>
            <w14:solidFill>
              <w14:schemeClr w14:val="tx1"/>
            </w14:solidFill>
          </w14:textFill>
        </w:rPr>
        <w:t xml:space="preserve">quipment installation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19</w:t>
      </w:r>
    </w:p>
    <w:p>
      <w:pPr>
        <w:ind w:firstLine="180" w:firstLineChars="10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 xml:space="preserve"> </w:t>
      </w:r>
      <w:r>
        <w:rPr>
          <w:rFonts w:hint="eastAsia" w:ascii="宋体" w:hAnsi="宋体" w:eastAsia="宋体" w:cs="仿宋"/>
          <w:color w:val="000000" w:themeColor="text1"/>
          <w:sz w:val="18"/>
          <w:szCs w:val="18"/>
          <w:lang w:val="en-US" w:eastAsia="zh-CN"/>
          <w14:textFill>
            <w14:solidFill>
              <w14:schemeClr w14:val="tx1"/>
            </w14:solidFill>
          </w14:textFill>
        </w:rPr>
        <w:t>Safety power supply and grounding requirements</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20</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  4.</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 xml:space="preserve"> Equipment Function Inspection and Single</w:t>
      </w:r>
    </w:p>
    <w:p>
      <w:pPr>
        <w:ind w:firstLine="540" w:firstLineChars="30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M</w:t>
      </w:r>
      <w:r>
        <w:rPr>
          <w:rFonts w:hint="eastAsia" w:ascii="宋体" w:hAnsi="宋体" w:eastAsia="宋体" w:cs="仿宋"/>
          <w:color w:val="000000" w:themeColor="text1"/>
          <w:sz w:val="18"/>
          <w:szCs w:val="18"/>
          <w14:textFill>
            <w14:solidFill>
              <w14:schemeClr w14:val="tx1"/>
            </w14:solidFill>
          </w14:textFill>
        </w:rPr>
        <w:t>achine</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Testing</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Arial" w:hAnsi="Arial" w:eastAsia="宋体" w:cs="Arial"/>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21</w:t>
      </w:r>
    </w:p>
    <w:p>
      <w:pPr>
        <w:ind w:firstLine="180" w:firstLineChars="1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4.5 Fiber optic cable layout and connection</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22</w:t>
      </w:r>
    </w:p>
    <w:p>
      <w:pPr>
        <w:ind w:firstLine="180" w:firstLineChars="1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4.6 System testing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26</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 Engineering acceptance</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 xml:space="preserve">27 </w:t>
      </w:r>
    </w:p>
    <w:p>
      <w:pPr>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 Operation and maintenance</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29</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Appendix A FTTR Engineering Acceptance </w:t>
      </w:r>
    </w:p>
    <w:p>
      <w:pP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i</w:t>
      </w:r>
      <w:r>
        <w:rPr>
          <w:rFonts w:hint="eastAsia" w:ascii="宋体" w:hAnsi="宋体" w:eastAsia="宋体" w:cs="仿宋"/>
          <w:color w:val="000000" w:themeColor="text1"/>
          <w:sz w:val="18"/>
          <w:szCs w:val="18"/>
          <w14:textFill>
            <w14:solidFill>
              <w14:schemeClr w14:val="tx1"/>
            </w14:solidFill>
          </w14:textFill>
        </w:rPr>
        <w:t xml:space="preserve">nspection Items and Content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30</w:t>
      </w:r>
    </w:p>
    <w:p>
      <w:pP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Appendix B Typical Specification Table for FTTR Equipment</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31</w:t>
      </w:r>
    </w:p>
    <w:p>
      <w:pP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Appendix C Wi Fi Signal Coverage Strength Reference Table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33</w:t>
      </w:r>
    </w:p>
    <w:p>
      <w:pP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 xml:space="preserve">Appendix D Cable laying construction operation process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34</w:t>
      </w:r>
    </w:p>
    <w:p>
      <w:pPr>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Explanation of the wording used in this standard</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38</w:t>
      </w:r>
    </w:p>
    <w:p>
      <w:pPr>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List of Referenced Standards</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39</w:t>
      </w:r>
    </w:p>
    <w:p>
      <w:pPr>
        <w:jc w:val="both"/>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Article Explanation</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Arial" w:hAnsi="Arial" w:eastAsia="宋体" w:cs="Arial"/>
          <w:color w:val="000000" w:themeColor="text1"/>
          <w:sz w:val="18"/>
          <w:szCs w:val="18"/>
          <w:lang w:val="en-US" w:eastAsia="zh-CN"/>
          <w14:textFill>
            <w14:solidFill>
              <w14:schemeClr w14:val="tx1"/>
            </w14:solidFill>
          </w14:textFill>
        </w:rPr>
        <w:t xml:space="preserve"> </w:t>
      </w:r>
      <w:r>
        <w:rPr>
          <w:rFonts w:ascii="Arial" w:hAnsi="Arial" w:eastAsia="宋体" w:cs="Arial"/>
          <w:color w:val="000000" w:themeColor="text1"/>
          <w:sz w:val="18"/>
          <w:szCs w:val="18"/>
          <w14:textFill>
            <w14:solidFill>
              <w14:schemeClr w14:val="tx1"/>
            </w14:solidFill>
          </w14:textFill>
        </w:rPr>
        <w:t>…………………………</w:t>
      </w:r>
      <w:r>
        <w:rPr>
          <w:rFonts w:hint="eastAsia" w:ascii="宋体" w:hAnsi="宋体" w:eastAsia="宋体" w:cs="宋体"/>
          <w:color w:val="000000" w:themeColor="text1"/>
          <w:sz w:val="18"/>
          <w:szCs w:val="18"/>
          <w:lang w:val="en-US" w:eastAsia="zh-CN"/>
          <w14:textFill>
            <w14:solidFill>
              <w14:schemeClr w14:val="tx1"/>
            </w14:solidFill>
          </w14:textFill>
        </w:rPr>
        <w:t>41</w:t>
      </w:r>
    </w:p>
    <w:p>
      <w:pPr>
        <w:rPr>
          <w:rFonts w:ascii="宋体" w:hAnsi="宋体" w:eastAsia="宋体" w:cs="仿宋"/>
          <w:color w:val="000000" w:themeColor="text1"/>
          <w:sz w:val="18"/>
          <w:szCs w:val="18"/>
          <w14:textFill>
            <w14:solidFill>
              <w14:schemeClr w14:val="tx1"/>
            </w14:solidFill>
          </w14:textFill>
        </w:rPr>
      </w:pPr>
    </w:p>
    <w:p>
      <w:pPr>
        <w:rPr>
          <w:rFonts w:ascii="宋体" w:hAnsi="宋体" w:eastAsia="宋体" w:cs="仿宋"/>
          <w:color w:val="000000" w:themeColor="text1"/>
          <w:sz w:val="18"/>
          <w:szCs w:val="18"/>
          <w14:textFill>
            <w14:solidFill>
              <w14:schemeClr w14:val="tx1"/>
            </w14:solidFill>
          </w14:textFill>
        </w:rPr>
        <w:sectPr>
          <w:footerReference r:id="rId4" w:type="default"/>
          <w:pgSz w:w="7314" w:h="10376"/>
          <w:pgMar w:top="1327" w:right="1026" w:bottom="1327" w:left="1026" w:header="851" w:footer="992" w:gutter="0"/>
          <w:pgBorders>
            <w:top w:val="none" w:sz="0" w:space="0"/>
            <w:left w:val="none" w:sz="0" w:space="0"/>
            <w:bottom w:val="none" w:sz="0" w:space="0"/>
            <w:right w:val="none" w:sz="0" w:space="0"/>
          </w:pgBorders>
          <w:pgNumType w:start="1"/>
          <w:cols w:space="0" w:num="1"/>
          <w:docGrid w:type="lines" w:linePitch="312" w:charSpace="0"/>
        </w:sectPr>
      </w:pPr>
    </w:p>
    <w:p>
      <w:pPr>
        <w:pStyle w:val="3"/>
        <w:spacing w:line="240" w:lineRule="auto"/>
        <w:jc w:val="center"/>
        <w:rPr>
          <w:rFonts w:hint="eastAsia" w:ascii="宋体" w:hAnsi="宋体" w:eastAsia="宋体" w:cs="宋体"/>
          <w:b w:val="0"/>
          <w:bCs/>
          <w:color w:val="000000" w:themeColor="text1"/>
          <w:sz w:val="30"/>
          <w:szCs w:val="30"/>
          <w14:textFill>
            <w14:solidFill>
              <w14:schemeClr w14:val="tx1"/>
            </w14:solidFill>
          </w14:textFill>
        </w:rPr>
      </w:pPr>
      <w:bookmarkStart w:id="3" w:name="_Toc15330"/>
      <w:r>
        <w:rPr>
          <w:rFonts w:hint="eastAsia" w:ascii="宋体" w:hAnsi="宋体" w:eastAsia="宋体" w:cs="宋体"/>
          <w:b w:val="0"/>
          <w:bCs/>
          <w:color w:val="000000" w:themeColor="text1"/>
          <w:sz w:val="30"/>
          <w:szCs w:val="30"/>
          <w14:textFill>
            <w14:solidFill>
              <w14:schemeClr w14:val="tx1"/>
            </w14:solidFill>
          </w14:textFill>
        </w:rPr>
        <w:t>1 总  则</w:t>
      </w:r>
      <w:bookmarkEnd w:id="0"/>
      <w:bookmarkEnd w:id="1"/>
      <w:bookmarkEnd w:id="2"/>
      <w:bookmarkEnd w:id="3"/>
    </w:p>
    <w:p>
      <w:pPr>
        <w:ind w:left="7"/>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1.0.1 为了促进光纤网络的建设升级，满足住宅和商务楼宇千兆业务的需求，规范光纤到房间、光纤到桌面的建设，制定本标准。</w:t>
      </w:r>
    </w:p>
    <w:p>
      <w:pPr>
        <w:ind w:left="7"/>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1.0.2 本标准适用于山西省内住宅建筑和商务楼宇</w:t>
      </w:r>
      <w:r>
        <w:rPr>
          <w:rFonts w:hint="eastAsia" w:ascii="宋体" w:hAnsi="宋体" w:eastAsia="宋体" w:cs="仿宋"/>
          <w:sz w:val="18"/>
          <w:szCs w:val="18"/>
        </w:rPr>
        <w:t>光纤到房间（FTTR）</w:t>
      </w:r>
      <w:r>
        <w:rPr>
          <w:rFonts w:hint="eastAsia" w:ascii="宋体" w:hAnsi="宋体" w:eastAsia="宋体" w:cs="仿宋"/>
          <w:color w:val="000000" w:themeColor="text1"/>
          <w:sz w:val="18"/>
          <w:szCs w:val="18"/>
          <w:lang w:val="en-US" w:eastAsia="zh-CN"/>
          <w14:textFill>
            <w14:solidFill>
              <w14:schemeClr w14:val="tx1"/>
            </w14:solidFill>
          </w14:textFill>
        </w:rPr>
        <w:t>新建</w:t>
      </w:r>
      <w:r>
        <w:rPr>
          <w:rFonts w:hint="eastAsia" w:ascii="宋体" w:hAnsi="宋体" w:eastAsia="宋体" w:cs="仿宋"/>
          <w:color w:val="000000" w:themeColor="text1"/>
          <w:sz w:val="18"/>
          <w:szCs w:val="18"/>
          <w14:textFill>
            <w14:solidFill>
              <w14:schemeClr w14:val="tx1"/>
            </w14:solidFill>
          </w14:textFill>
        </w:rPr>
        <w:t>工程</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lang w:val="en-US" w:eastAsia="zh-CN"/>
          <w14:textFill>
            <w14:solidFill>
              <w14:schemeClr w14:val="tx1"/>
            </w14:solidFill>
          </w14:textFill>
        </w:rPr>
        <w:t>改、扩建工程可参照使用。</w:t>
      </w:r>
    </w:p>
    <w:p>
      <w:pPr>
        <w:ind w:left="7"/>
        <w:rPr>
          <w:rFonts w:ascii="宋体" w:hAnsi="宋体" w:eastAsia="宋体" w:cs="仿宋"/>
          <w:color w:val="auto"/>
          <w:sz w:val="18"/>
          <w:szCs w:val="18"/>
        </w:rPr>
      </w:pPr>
      <w:r>
        <w:rPr>
          <w:rFonts w:hint="eastAsia" w:ascii="宋体" w:hAnsi="宋体" w:eastAsia="宋体" w:cs="仿宋"/>
          <w:color w:val="000000" w:themeColor="text1"/>
          <w:sz w:val="18"/>
          <w:szCs w:val="18"/>
          <w14:textFill>
            <w14:solidFill>
              <w14:schemeClr w14:val="tx1"/>
            </w14:solidFill>
          </w14:textFill>
        </w:rPr>
        <w:t>1.0.3 住</w:t>
      </w:r>
      <w:r>
        <w:rPr>
          <w:rFonts w:hint="eastAsia" w:ascii="宋体" w:hAnsi="宋体" w:eastAsia="宋体" w:cs="仿宋"/>
          <w:color w:val="auto"/>
          <w:sz w:val="18"/>
          <w:szCs w:val="18"/>
        </w:rPr>
        <w:t>宅和商务楼宇光纤到房间（FTTR）工程应纳入建筑的统一规划和设计中，并应做到安全可靠、技术先进、经济合理、整体美观、维护管理方便。</w:t>
      </w:r>
    </w:p>
    <w:p>
      <w:pPr>
        <w:ind w:left="7"/>
        <w:rPr>
          <w:rFonts w:ascii="宋体" w:hAnsi="宋体" w:eastAsia="宋体" w:cs="仿宋"/>
          <w:color w:val="auto"/>
          <w:sz w:val="18"/>
          <w:szCs w:val="18"/>
        </w:rPr>
      </w:pPr>
      <w:r>
        <w:rPr>
          <w:rFonts w:hint="eastAsia" w:ascii="宋体" w:hAnsi="宋体" w:eastAsia="宋体" w:cs="仿宋"/>
          <w:color w:val="auto"/>
          <w:sz w:val="18"/>
          <w:szCs w:val="18"/>
        </w:rPr>
        <w:t>1.0.4 住宅和商务楼宇光纤到房间（FTTR）工程的配线管网应与建筑物同步设计，同步实施。</w:t>
      </w:r>
    </w:p>
    <w:p>
      <w:pPr>
        <w:ind w:left="7"/>
        <w:rPr>
          <w:rFonts w:ascii="宋体" w:hAnsi="宋体" w:eastAsia="宋体" w:cs="仿宋"/>
          <w:color w:val="auto"/>
          <w:sz w:val="18"/>
          <w:szCs w:val="18"/>
        </w:rPr>
      </w:pPr>
      <w:r>
        <w:rPr>
          <w:rFonts w:hint="eastAsia" w:ascii="宋体" w:hAnsi="宋体" w:eastAsia="宋体" w:cs="仿宋"/>
          <w:color w:val="auto"/>
          <w:sz w:val="18"/>
          <w:szCs w:val="18"/>
        </w:rPr>
        <w:t>1.0.5 光纤到房间（FTTR）工程应选用具有合格检验证书、符合国家有关技术标准的产品。</w:t>
      </w:r>
    </w:p>
    <w:p>
      <w:pPr>
        <w:ind w:left="7"/>
        <w:rPr>
          <w:rFonts w:hint="eastAsia" w:ascii="宋体" w:hAnsi="宋体" w:eastAsia="宋体" w:cs="仿宋"/>
          <w:color w:val="auto"/>
          <w:sz w:val="18"/>
          <w:szCs w:val="18"/>
        </w:rPr>
      </w:pPr>
      <w:r>
        <w:rPr>
          <w:rFonts w:hint="eastAsia" w:ascii="宋体" w:hAnsi="宋体" w:eastAsia="宋体" w:cs="仿宋"/>
          <w:color w:val="auto"/>
          <w:sz w:val="18"/>
          <w:szCs w:val="18"/>
        </w:rPr>
        <w:t>1.0.6 光纤到房间（FTTR）工程的设计、施工及验收，除应符合本标准外，尚应符合国</w:t>
      </w:r>
      <w:r>
        <w:rPr>
          <w:rFonts w:hint="eastAsia" w:ascii="宋体" w:hAnsi="宋体" w:eastAsia="宋体" w:cs="仿宋"/>
          <w:color w:val="auto"/>
          <w:sz w:val="18"/>
          <w:szCs w:val="18"/>
          <w:lang w:val="en-US" w:eastAsia="zh-CN"/>
        </w:rPr>
        <w:t>家、行业</w:t>
      </w:r>
      <w:r>
        <w:rPr>
          <w:rFonts w:hint="eastAsia" w:ascii="宋体" w:hAnsi="宋体" w:eastAsia="宋体" w:cs="仿宋"/>
          <w:color w:val="auto"/>
          <w:sz w:val="18"/>
          <w:szCs w:val="18"/>
        </w:rPr>
        <w:t>和山西省现行相关标准的规定。</w:t>
      </w:r>
      <w:bookmarkStart w:id="4" w:name="_Toc16084473"/>
      <w:bookmarkStart w:id="5" w:name="_Toc15535"/>
      <w:bookmarkStart w:id="6" w:name="_Toc8997"/>
    </w:p>
    <w:p>
      <w:pPr>
        <w:rPr>
          <w:rFonts w:ascii="宋体" w:hAnsi="宋体" w:eastAsia="宋体" w:cs="宋体"/>
          <w:bCs/>
          <w:color w:val="000000" w:themeColor="text1"/>
          <w:sz w:val="30"/>
          <w:szCs w:val="30"/>
          <w14:textFill>
            <w14:solidFill>
              <w14:schemeClr w14:val="tx1"/>
            </w14:solidFill>
          </w14:textFill>
        </w:rPr>
      </w:pPr>
    </w:p>
    <w:p>
      <w:pPr>
        <w:rPr>
          <w:rFonts w:ascii="宋体" w:hAnsi="宋体" w:eastAsia="宋体" w:cs="宋体"/>
          <w:bCs/>
          <w:color w:val="000000" w:themeColor="text1"/>
          <w:sz w:val="30"/>
          <w:szCs w:val="30"/>
          <w14:textFill>
            <w14:solidFill>
              <w14:schemeClr w14:val="tx1"/>
            </w14:solidFill>
          </w14:textFill>
        </w:rPr>
      </w:pPr>
    </w:p>
    <w:p>
      <w:pPr>
        <w:rPr>
          <w:rFonts w:ascii="宋体" w:hAnsi="宋体" w:eastAsia="宋体" w:cs="宋体"/>
          <w:bCs/>
          <w:color w:val="000000" w:themeColor="text1"/>
          <w:sz w:val="30"/>
          <w:szCs w:val="30"/>
          <w14:textFill>
            <w14:solidFill>
              <w14:schemeClr w14:val="tx1"/>
            </w14:solidFill>
          </w14:textFill>
        </w:rPr>
      </w:pPr>
    </w:p>
    <w:p>
      <w:pPr>
        <w:pStyle w:val="3"/>
        <w:spacing w:line="240" w:lineRule="auto"/>
        <w:ind w:firstLine="1800" w:firstLineChars="600"/>
        <w:rPr>
          <w:rFonts w:ascii="宋体" w:hAnsi="宋体" w:eastAsia="宋体" w:cs="宋体"/>
          <w:b w:val="0"/>
          <w:bCs/>
          <w:color w:val="000000" w:themeColor="text1"/>
          <w14:textFill>
            <w14:solidFill>
              <w14:schemeClr w14:val="tx1"/>
            </w14:solidFill>
          </w14:textFill>
        </w:rPr>
      </w:pPr>
      <w:bookmarkStart w:id="7" w:name="_Toc26938"/>
      <w:r>
        <w:rPr>
          <w:rFonts w:hint="eastAsia" w:ascii="宋体" w:hAnsi="宋体" w:eastAsia="宋体" w:cs="宋体"/>
          <w:b w:val="0"/>
          <w:bCs/>
          <w:color w:val="000000" w:themeColor="text1"/>
          <w:sz w:val="30"/>
          <w:szCs w:val="30"/>
          <w14:textFill>
            <w14:solidFill>
              <w14:schemeClr w14:val="tx1"/>
            </w14:solidFill>
          </w14:textFill>
        </w:rPr>
        <w:t>2 术语</w:t>
      </w:r>
      <w:bookmarkEnd w:id="4"/>
      <w:bookmarkEnd w:id="5"/>
      <w:bookmarkEnd w:id="6"/>
      <w:r>
        <w:rPr>
          <w:rFonts w:hint="eastAsia" w:ascii="宋体" w:hAnsi="宋体" w:eastAsia="宋体" w:cs="宋体"/>
          <w:b w:val="0"/>
          <w:bCs/>
          <w:color w:val="000000" w:themeColor="text1"/>
          <w:sz w:val="30"/>
          <w:szCs w:val="30"/>
          <w14:textFill>
            <w14:solidFill>
              <w14:schemeClr w14:val="tx1"/>
            </w14:solidFill>
          </w14:textFill>
        </w:rPr>
        <w:t>和符号</w:t>
      </w:r>
      <w:bookmarkEnd w:id="7"/>
    </w:p>
    <w:p>
      <w:pPr>
        <w:pStyle w:val="4"/>
        <w:spacing w:line="240" w:lineRule="auto"/>
        <w:jc w:val="center"/>
        <w:rPr>
          <w:rFonts w:ascii="黑体" w:hAnsi="黑体" w:eastAsia="黑体" w:cs="黑体"/>
          <w:b w:val="0"/>
          <w:bCs/>
          <w:color w:val="000000" w:themeColor="text1"/>
          <w:sz w:val="21"/>
          <w:szCs w:val="21"/>
          <w14:textFill>
            <w14:solidFill>
              <w14:schemeClr w14:val="tx1"/>
            </w14:solidFill>
          </w14:textFill>
        </w:rPr>
      </w:pPr>
      <w:bookmarkStart w:id="8" w:name="_Toc19236"/>
      <w:r>
        <w:rPr>
          <w:rFonts w:hint="eastAsia" w:ascii="黑体" w:hAnsi="黑体" w:eastAsia="黑体" w:cs="黑体"/>
          <w:b w:val="0"/>
          <w:bCs/>
          <w:color w:val="000000" w:themeColor="text1"/>
          <w:sz w:val="21"/>
          <w:szCs w:val="21"/>
          <w14:textFill>
            <w14:solidFill>
              <w14:schemeClr w14:val="tx1"/>
            </w14:solidFill>
          </w14:textFill>
        </w:rPr>
        <w:t>2.1 术语</w:t>
      </w:r>
      <w:bookmarkEnd w:id="8"/>
    </w:p>
    <w:p>
      <w:pPr>
        <w:ind w:left="7"/>
        <w:rPr>
          <w:rFonts w:ascii="宋体" w:hAnsi="宋体" w:eastAsia="宋体" w:cs="仿宋"/>
          <w:color w:val="auto"/>
          <w:sz w:val="18"/>
          <w:szCs w:val="18"/>
          <w:highlight w:val="none"/>
        </w:rPr>
      </w:pPr>
      <w:r>
        <w:rPr>
          <w:rFonts w:hint="eastAsia" w:ascii="宋体" w:hAnsi="宋体" w:eastAsia="宋体" w:cs="仿宋"/>
          <w:color w:val="000000" w:themeColor="text1"/>
          <w:sz w:val="18"/>
          <w:szCs w:val="18"/>
          <w14:textFill>
            <w14:solidFill>
              <w14:schemeClr w14:val="tx1"/>
            </w14:solidFill>
          </w14:textFill>
        </w:rPr>
        <w:t xml:space="preserve">2.1.1 住宅区和住宅建筑内光纤到户通信设施    fiber to the home communication facilities in residential districts and </w:t>
      </w:r>
      <w:r>
        <w:rPr>
          <w:rFonts w:hint="eastAsia" w:ascii="宋体" w:hAnsi="宋体" w:eastAsia="宋体" w:cs="仿宋"/>
          <w:color w:val="auto"/>
          <w:sz w:val="18"/>
          <w:szCs w:val="18"/>
          <w:highlight w:val="none"/>
        </w:rPr>
        <w:t>residential buildings</w:t>
      </w:r>
    </w:p>
    <w:p>
      <w:pPr>
        <w:ind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指住宅</w:t>
      </w:r>
      <w:r>
        <w:rPr>
          <w:rFonts w:hint="eastAsia" w:ascii="宋体" w:hAnsi="宋体" w:eastAsia="宋体" w:cs="仿宋"/>
          <w:color w:val="auto"/>
          <w:sz w:val="18"/>
          <w:szCs w:val="18"/>
          <w:highlight w:val="none"/>
          <w:lang w:val="en-US" w:eastAsia="zh-CN"/>
        </w:rPr>
        <w:t>区和住宅</w:t>
      </w:r>
      <w:r>
        <w:rPr>
          <w:rFonts w:hint="eastAsia" w:ascii="宋体" w:hAnsi="宋体" w:eastAsia="宋体" w:cs="仿宋"/>
          <w:color w:val="auto"/>
          <w:sz w:val="18"/>
          <w:szCs w:val="18"/>
          <w:highlight w:val="none"/>
        </w:rPr>
        <w:t>建筑内管槽及通信线缆、光配线设备，</w:t>
      </w:r>
      <w:r>
        <w:rPr>
          <w:rFonts w:hint="eastAsia" w:ascii="宋体" w:hAnsi="宋体" w:eastAsia="宋体" w:cs="仿宋"/>
          <w:color w:val="auto"/>
          <w:sz w:val="18"/>
          <w:szCs w:val="18"/>
          <w:highlight w:val="none"/>
          <w:lang w:val="en-US" w:eastAsia="zh-CN"/>
        </w:rPr>
        <w:t>房间</w:t>
      </w:r>
      <w:r>
        <w:rPr>
          <w:rFonts w:hint="eastAsia" w:ascii="宋体" w:hAnsi="宋体" w:eastAsia="宋体" w:cs="仿宋"/>
          <w:color w:val="auto"/>
          <w:sz w:val="18"/>
          <w:szCs w:val="18"/>
          <w:highlight w:val="none"/>
        </w:rPr>
        <w:t>内家居配线箱、</w:t>
      </w:r>
      <w:r>
        <w:rPr>
          <w:rFonts w:hint="eastAsia" w:ascii="宋体" w:hAnsi="宋体" w:eastAsia="宋体" w:cs="仿宋"/>
          <w:color w:val="auto"/>
          <w:sz w:val="18"/>
          <w:szCs w:val="18"/>
          <w:highlight w:val="none"/>
          <w:lang w:val="en-US" w:eastAsia="zh-CN"/>
        </w:rPr>
        <w:t>房间</w:t>
      </w:r>
      <w:r>
        <w:rPr>
          <w:rFonts w:hint="eastAsia" w:ascii="宋体" w:hAnsi="宋体" w:eastAsia="宋体" w:cs="仿宋"/>
          <w:color w:val="auto"/>
          <w:sz w:val="18"/>
          <w:szCs w:val="18"/>
          <w:highlight w:val="none"/>
        </w:rPr>
        <w:t>内管线及各类通信业务信息插座，预留的设备间、电信间等设备安装空间。</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2.1.2 设备间    equipment room</w:t>
      </w:r>
    </w:p>
    <w:p>
      <w:pPr>
        <w:ind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住宅区</w:t>
      </w:r>
      <w:r>
        <w:rPr>
          <w:rFonts w:hint="eastAsia" w:ascii="宋体" w:hAnsi="宋体" w:eastAsia="宋体" w:cs="仿宋"/>
          <w:color w:val="auto"/>
          <w:sz w:val="18"/>
          <w:szCs w:val="18"/>
          <w:highlight w:val="none"/>
          <w:lang w:val="en-US" w:eastAsia="zh-CN"/>
        </w:rPr>
        <w:t>内和商务楼宇内</w:t>
      </w:r>
      <w:r>
        <w:rPr>
          <w:rFonts w:hint="eastAsia" w:ascii="宋体" w:hAnsi="宋体" w:eastAsia="宋体" w:cs="仿宋"/>
          <w:color w:val="auto"/>
          <w:sz w:val="18"/>
          <w:szCs w:val="18"/>
          <w:highlight w:val="none"/>
        </w:rPr>
        <w:t>具备线缆引入、安装通信配线设备条件的房屋。</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2.1.3 电信间    telecommunications room</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 xml:space="preserve">    建筑内放置光缆终结的配线设备，并进行线缆交接的专用空间。</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2.1.4 户内线缆    indoor cable</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家居配线箱至户内信息插座之间连接的线缆。</w:t>
      </w:r>
    </w:p>
    <w:p>
      <w:pPr>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 xml:space="preserve">2.1.5 尾纤    tail fiber </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一根一端带有光纤连接器插头的光缆组件。</w:t>
      </w:r>
    </w:p>
    <w:p>
      <w:pPr>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2.1.6 家居配线箱    household distribution box</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安装于住宅户内，能完成信息互通与通信业务接入的多功能配线箱体。</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2.1.7</w:t>
      </w:r>
      <w:r>
        <w:rPr>
          <w:rFonts w:hint="eastAsia" w:ascii="宋体" w:hAnsi="宋体" w:eastAsia="宋体" w:cs="仿宋"/>
          <w:color w:val="auto"/>
          <w:sz w:val="18"/>
          <w:szCs w:val="18"/>
          <w:highlight w:val="none"/>
        </w:rPr>
        <w:t>光纤到房间  Fibre to the room</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一种基于光纤的驻地网，通常由一个FTTR主设备和一个或多个FTTR从设备以及连接主设备和从设备的室内光分配网络等组成。FTTR提供终端互联、数据回传、Wi-Fi 协调、网络管理等功能。</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2.1.8</w:t>
      </w:r>
      <w:r>
        <w:rPr>
          <w:rFonts w:hint="eastAsia" w:ascii="宋体" w:hAnsi="宋体" w:eastAsia="宋体" w:cs="仿宋"/>
          <w:color w:val="auto"/>
          <w:sz w:val="18"/>
          <w:szCs w:val="18"/>
          <w:highlight w:val="none"/>
        </w:rPr>
        <w:t xml:space="preserve"> FTTR主设备  FTTR main unit</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上行连接光纤接入网节点设备，下行提供光接口连接从设备，同时可以实现对从设备的统一管理和配置的网络终端设备</w:t>
      </w:r>
      <w:r>
        <w:rPr>
          <w:rFonts w:hint="eastAsia" w:ascii="宋体" w:hAnsi="宋体" w:eastAsia="宋体" w:cs="仿宋"/>
          <w:color w:val="auto"/>
          <w:sz w:val="18"/>
          <w:szCs w:val="18"/>
          <w:highlight w:val="none"/>
        </w:rPr>
        <w:t>。</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2.1.9</w:t>
      </w:r>
      <w:r>
        <w:rPr>
          <w:rFonts w:hint="eastAsia" w:ascii="宋体" w:hAnsi="宋体" w:eastAsia="宋体" w:cs="仿宋"/>
          <w:color w:val="auto"/>
          <w:sz w:val="18"/>
          <w:szCs w:val="18"/>
          <w:highlight w:val="none"/>
        </w:rPr>
        <w:t xml:space="preserve"> FTTR从设备  FTTR sub unit</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上行通过光纤连接主设备，下行提供无线接入的设备。</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2.1.10</w:t>
      </w:r>
      <w:r>
        <w:rPr>
          <w:rFonts w:hint="eastAsia" w:ascii="宋体" w:hAnsi="宋体" w:eastAsia="宋体" w:cs="仿宋"/>
          <w:color w:val="auto"/>
          <w:sz w:val="18"/>
          <w:szCs w:val="18"/>
          <w:highlight w:val="none"/>
        </w:rPr>
        <w:t xml:space="preserve"> FTTR光分配网络  FTTR optical distribution network</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点对多点光纤基础设施，可以是完全无源的，由一个或多个通过光缆互连的光分路器构成，也可包含如合波器、滤波器等其它无源光学组件。FTTR光分配网络也可以通过使用光电混合电缆和光电分路器为FTTR从设备提供远程馈电功能。</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2.1.11</w:t>
      </w:r>
      <w:r>
        <w:rPr>
          <w:rFonts w:hint="eastAsia" w:ascii="宋体" w:hAnsi="宋体" w:eastAsia="宋体" w:cs="仿宋"/>
          <w:color w:val="auto"/>
          <w:sz w:val="18"/>
          <w:szCs w:val="18"/>
          <w:highlight w:val="none"/>
        </w:rPr>
        <w:t xml:space="preserve"> P2MP   point to multiple point</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lang w:val="en-US" w:eastAsia="zh-CN"/>
        </w:rPr>
        <w:t>一种网络通信架构，主要用于一个源点（发送方）向多个目标点（接收方）同时发送数据。</w:t>
      </w:r>
    </w:p>
    <w:p>
      <w:pPr>
        <w:ind w:left="7"/>
        <w:rPr>
          <w:rFonts w:ascii="宋体" w:hAnsi="宋体" w:eastAsia="宋体" w:cs="仿宋"/>
          <w:color w:val="0000FF"/>
          <w:sz w:val="18"/>
          <w:szCs w:val="18"/>
          <w:highlight w:val="none"/>
        </w:rPr>
      </w:pPr>
      <w:r>
        <w:rPr>
          <w:rFonts w:hint="eastAsia" w:ascii="宋体" w:hAnsi="宋体" w:eastAsia="宋体" w:cs="仿宋"/>
          <w:color w:val="auto"/>
          <w:sz w:val="18"/>
          <w:szCs w:val="18"/>
          <w:highlight w:val="none"/>
        </w:rPr>
        <w:t>2.</w:t>
      </w:r>
      <w:r>
        <w:rPr>
          <w:rFonts w:hint="eastAsia" w:ascii="宋体" w:hAnsi="宋体" w:eastAsia="宋体" w:cs="仿宋"/>
          <w:color w:val="auto"/>
          <w:sz w:val="18"/>
          <w:szCs w:val="18"/>
          <w:highlight w:val="none"/>
          <w:lang w:val="en-US" w:eastAsia="zh-CN"/>
        </w:rPr>
        <w:t>1.12</w:t>
      </w:r>
      <w:r>
        <w:rPr>
          <w:rFonts w:hint="eastAsia" w:ascii="宋体" w:hAnsi="宋体" w:eastAsia="宋体" w:cs="仿宋"/>
          <w:color w:val="auto"/>
          <w:sz w:val="18"/>
          <w:szCs w:val="18"/>
          <w:highlight w:val="none"/>
        </w:rPr>
        <w:t xml:space="preserve"> P2P  point to point</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P2P是</w:t>
      </w:r>
      <w:r>
        <w:rPr>
          <w:rFonts w:hint="eastAsia" w:ascii="宋体" w:hAnsi="宋体" w:eastAsia="宋体" w:cs="仿宋"/>
          <w:color w:val="auto"/>
          <w:sz w:val="18"/>
          <w:szCs w:val="18"/>
          <w:highlight w:val="none"/>
          <w:lang w:val="en-US" w:eastAsia="zh-CN"/>
        </w:rPr>
        <w:t>一种以非集中化方式使用分布式资源来完成一些关键任务的系统和应用。</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w:t>
      </w:r>
      <w:r>
        <w:rPr>
          <w:rFonts w:hint="eastAsia" w:ascii="宋体" w:hAnsi="宋体" w:eastAsia="宋体" w:cs="仿宋"/>
          <w:color w:val="auto"/>
          <w:sz w:val="18"/>
          <w:szCs w:val="18"/>
          <w:highlight w:val="none"/>
          <w:lang w:val="en-US" w:eastAsia="zh-CN"/>
        </w:rPr>
        <w:t>1.13</w:t>
      </w:r>
      <w:r>
        <w:rPr>
          <w:rFonts w:hint="eastAsia" w:ascii="宋体" w:hAnsi="宋体" w:eastAsia="宋体" w:cs="仿宋"/>
          <w:color w:val="auto"/>
          <w:sz w:val="18"/>
          <w:szCs w:val="18"/>
          <w:highlight w:val="none"/>
        </w:rPr>
        <w:t>通信用光电混合缆(Communication Optical and Electrical</w:t>
      </w:r>
      <w:r>
        <w:rPr>
          <w:rFonts w:hint="eastAsia" w:ascii="宋体" w:hAnsi="宋体" w:eastAsia="宋体" w:cs="仿宋"/>
          <w:color w:val="auto"/>
          <w:sz w:val="18"/>
          <w:szCs w:val="18"/>
          <w:highlight w:val="none"/>
          <w:lang w:val="en-US" w:eastAsia="zh-CN"/>
        </w:rPr>
        <w:t xml:space="preserve"> </w:t>
      </w:r>
      <w:r>
        <w:rPr>
          <w:rFonts w:hint="eastAsia" w:ascii="宋体" w:hAnsi="宋体" w:eastAsia="宋体" w:cs="仿宋"/>
          <w:color w:val="auto"/>
          <w:sz w:val="18"/>
          <w:szCs w:val="18"/>
          <w:highlight w:val="none"/>
        </w:rPr>
        <w:t>Hybrid Cables)</w:t>
      </w:r>
    </w:p>
    <w:p>
      <w:pPr>
        <w:ind w:left="7" w:firstLine="360" w:firstLineChars="200"/>
        <w:rPr>
          <w:rFonts w:hint="eastAsia" w:ascii="宋体" w:hAnsi="宋体" w:eastAsia="宋体" w:cs="仿宋"/>
          <w:color w:val="auto"/>
          <w:sz w:val="18"/>
          <w:szCs w:val="18"/>
          <w:highlight w:val="none"/>
        </w:rPr>
      </w:pPr>
      <w:r>
        <w:rPr>
          <w:rFonts w:hint="eastAsia" w:ascii="宋体" w:hAnsi="宋体" w:eastAsia="宋体" w:cs="仿宋"/>
          <w:color w:val="auto"/>
          <w:sz w:val="18"/>
          <w:szCs w:val="18"/>
          <w:highlight w:val="none"/>
        </w:rPr>
        <w:t>一种应用于通信行业的、由光纤单元和绝缘导线复合而成的、能够同时传输光信号和电能的复合型线缆，本规范中简称为光电混合缆。</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w:t>
      </w:r>
      <w:r>
        <w:rPr>
          <w:rFonts w:hint="eastAsia" w:ascii="宋体" w:hAnsi="宋体" w:eastAsia="宋体" w:cs="仿宋"/>
          <w:color w:val="auto"/>
          <w:sz w:val="18"/>
          <w:szCs w:val="18"/>
          <w:highlight w:val="none"/>
          <w:lang w:val="en-US" w:eastAsia="zh-CN"/>
        </w:rPr>
        <w:t>.1.14</w:t>
      </w:r>
      <w:r>
        <w:rPr>
          <w:rFonts w:hint="eastAsia" w:ascii="宋体" w:hAnsi="宋体" w:eastAsia="宋体" w:cs="仿宋"/>
          <w:color w:val="auto"/>
          <w:sz w:val="18"/>
          <w:szCs w:val="18"/>
          <w:highlight w:val="none"/>
        </w:rPr>
        <w:t xml:space="preserve"> 光分路器  optical fiber splitter</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又称分光器，是一种可以将一路或两路光信号分成多路光信号以及完成相反过程的无源器件，本规范中的光分路器指的是基于光功率分路的器件。光分路器连接业务网络侧端口称为合路侧端口，连接用户侧的端口称为支路侧端口。</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w:t>
      </w:r>
      <w:r>
        <w:rPr>
          <w:rFonts w:hint="eastAsia" w:ascii="宋体" w:hAnsi="宋体" w:eastAsia="宋体" w:cs="仿宋"/>
          <w:color w:val="auto"/>
          <w:sz w:val="18"/>
          <w:szCs w:val="18"/>
          <w:highlight w:val="none"/>
          <w:lang w:val="en-US" w:eastAsia="zh-CN"/>
        </w:rPr>
        <w:t>1.15</w:t>
      </w:r>
      <w:r>
        <w:rPr>
          <w:rFonts w:hint="eastAsia" w:ascii="宋体" w:hAnsi="宋体" w:eastAsia="宋体" w:cs="仿宋"/>
          <w:color w:val="auto"/>
          <w:sz w:val="18"/>
          <w:szCs w:val="18"/>
          <w:highlight w:val="none"/>
        </w:rPr>
        <w:t xml:space="preserve"> 光电分路器  optical and electrical hybrid splitter</w:t>
      </w:r>
    </w:p>
    <w:p>
      <w:pPr>
        <w:ind w:left="7" w:firstLine="360" w:firstLineChars="20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可提供电源分配的光分路器。</w:t>
      </w:r>
    </w:p>
    <w:p>
      <w:pPr>
        <w:ind w:left="7"/>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2.</w:t>
      </w:r>
      <w:r>
        <w:rPr>
          <w:rFonts w:hint="eastAsia" w:ascii="宋体" w:hAnsi="宋体" w:eastAsia="宋体" w:cs="仿宋"/>
          <w:color w:val="auto"/>
          <w:sz w:val="18"/>
          <w:szCs w:val="18"/>
          <w:highlight w:val="none"/>
          <w:lang w:val="en-US" w:eastAsia="zh-CN"/>
        </w:rPr>
        <w:t>1.16</w:t>
      </w:r>
      <w:r>
        <w:rPr>
          <w:rFonts w:hint="eastAsia" w:ascii="宋体" w:hAnsi="宋体" w:eastAsia="宋体" w:cs="仿宋"/>
          <w:color w:val="auto"/>
          <w:sz w:val="18"/>
          <w:szCs w:val="18"/>
          <w:highlight w:val="none"/>
        </w:rPr>
        <w:t xml:space="preserve"> 非均匀分路器  uneven splitter</w:t>
      </w:r>
    </w:p>
    <w:p>
      <w:pPr>
        <w:ind w:left="7" w:firstLine="360" w:firstLineChars="200"/>
        <w:rPr>
          <w:rFonts w:hint="eastAsia" w:ascii="宋体" w:hAnsi="宋体" w:eastAsia="宋体" w:cs="仿宋"/>
          <w:color w:val="auto"/>
          <w:sz w:val="18"/>
          <w:szCs w:val="18"/>
          <w:highlight w:val="none"/>
        </w:rPr>
      </w:pPr>
      <w:r>
        <w:rPr>
          <w:rFonts w:hint="eastAsia" w:ascii="宋体" w:hAnsi="宋体" w:eastAsia="宋体" w:cs="仿宋"/>
          <w:color w:val="auto"/>
          <w:sz w:val="18"/>
          <w:szCs w:val="18"/>
          <w:highlight w:val="none"/>
        </w:rPr>
        <w:t>输出端口光功率不均匀分配的光分路器，又称不等比分路器。</w:t>
      </w:r>
    </w:p>
    <w:p>
      <w:pPr>
        <w:rPr>
          <w:rFonts w:hint="eastAsia"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lang w:val="en-US" w:eastAsia="zh-CN"/>
        </w:rPr>
        <w:t>2.1.17 用户接入点 the subscriber access point</w:t>
      </w:r>
    </w:p>
    <w:p>
      <w:pPr>
        <w:ind w:firstLine="360"/>
        <w:rPr>
          <w:rFonts w:hint="eastAsia"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lang w:val="en-US" w:eastAsia="zh-CN"/>
        </w:rPr>
        <w:t>电信业务经营者和有线电视业务经营者为用户提供业务接入的连接节点。</w:t>
      </w:r>
    </w:p>
    <w:p>
      <w:pPr>
        <w:rPr>
          <w:rFonts w:hint="eastAsia"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lang w:val="en-US" w:eastAsia="zh-CN"/>
        </w:rPr>
        <w:t>2.1.18 用户单元 subscriber unit</w:t>
      </w:r>
    </w:p>
    <w:p>
      <w:pPr>
        <w:ind w:firstLine="360"/>
        <w:rPr>
          <w:rFonts w:hint="eastAsia"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lang w:val="en-US" w:eastAsia="zh-CN"/>
        </w:rPr>
        <w:t>建筑物内占有一定空间、使用者或使用业务会发生变化的，需要直接与公用电信网互联互能的用户区域。</w:t>
      </w:r>
    </w:p>
    <w:p>
      <w:pPr>
        <w:rPr>
          <w:rFonts w:hint="eastAsia"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lang w:val="en-US" w:eastAsia="zh-CN"/>
        </w:rPr>
        <w:t>2.1.19 用户接入点 the subscriber access point</w:t>
      </w:r>
    </w:p>
    <w:p>
      <w:pPr>
        <w:ind w:firstLine="360"/>
        <w:rPr>
          <w:rFonts w:hint="default"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lang w:val="en-US" w:eastAsia="zh-CN"/>
        </w:rPr>
        <w:t>多家电信业务经营者的电信业务共同接入的部位，是电信业务经营者与建筑建设方的工程界面。</w:t>
      </w:r>
    </w:p>
    <w:p>
      <w:pPr>
        <w:rPr>
          <w:rFonts w:hint="default" w:eastAsiaTheme="minorEastAsia"/>
          <w:color w:val="auto"/>
          <w:highlight w:val="none"/>
          <w:lang w:val="en-US" w:eastAsia="zh-CN"/>
        </w:rPr>
      </w:pPr>
      <w:r>
        <w:rPr>
          <w:rFonts w:hint="eastAsia"/>
          <w:color w:val="auto"/>
          <w:highlight w:val="none"/>
          <w:lang w:val="en-US" w:eastAsia="zh-CN"/>
        </w:rPr>
        <w:t xml:space="preserve">    </w:t>
      </w:r>
    </w:p>
    <w:p>
      <w:pPr>
        <w:ind w:firstLine="360" w:firstLineChars="200"/>
        <w:rPr>
          <w:rFonts w:ascii="宋体" w:hAnsi="宋体" w:eastAsia="宋体" w:cs="仿宋"/>
          <w:color w:val="auto"/>
          <w:sz w:val="18"/>
          <w:szCs w:val="18"/>
          <w:highlight w:val="none"/>
        </w:rPr>
      </w:pPr>
    </w:p>
    <w:p>
      <w:pPr>
        <w:ind w:firstLine="360" w:firstLineChars="200"/>
        <w:rPr>
          <w:rFonts w:ascii="宋体" w:hAnsi="宋体" w:eastAsia="宋体" w:cs="仿宋"/>
          <w:color w:val="auto"/>
          <w:sz w:val="18"/>
          <w:szCs w:val="18"/>
          <w:highlight w:val="none"/>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pStyle w:val="4"/>
        <w:spacing w:line="240" w:lineRule="auto"/>
        <w:jc w:val="center"/>
        <w:rPr>
          <w:rFonts w:hint="eastAsia" w:ascii="黑体" w:hAnsi="黑体" w:eastAsia="黑体" w:cs="黑体"/>
          <w:b w:val="0"/>
          <w:bCs/>
          <w:color w:val="000000" w:themeColor="text1"/>
          <w:sz w:val="21"/>
          <w:szCs w:val="21"/>
          <w14:textFill>
            <w14:solidFill>
              <w14:schemeClr w14:val="tx1"/>
            </w14:solidFill>
          </w14:textFill>
        </w:rPr>
      </w:pPr>
      <w:bookmarkStart w:id="9" w:name="_Toc6146"/>
      <w:r>
        <w:rPr>
          <w:rFonts w:hint="eastAsia" w:ascii="黑体" w:hAnsi="黑体" w:eastAsia="黑体" w:cs="黑体"/>
          <w:b w:val="0"/>
          <w:bCs/>
          <w:color w:val="000000" w:themeColor="text1"/>
          <w:sz w:val="21"/>
          <w:szCs w:val="21"/>
          <w14:textFill>
            <w14:solidFill>
              <w14:schemeClr w14:val="tx1"/>
            </w14:solidFill>
          </w14:textFill>
        </w:rPr>
        <w:t>2.2 符号</w:t>
      </w:r>
      <w:bookmarkEnd w:id="9"/>
    </w:p>
    <w:tbl>
      <w:tblPr>
        <w:tblStyle w:val="15"/>
        <w:tblW w:w="515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3"/>
        <w:gridCol w:w="2680"/>
        <w:gridCol w:w="2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bookmarkStart w:id="10" w:name="_Toc16084475"/>
            <w:bookmarkStart w:id="11" w:name="_Toc31440"/>
            <w:bookmarkStart w:id="12" w:name="_Toc5630"/>
            <w:r>
              <w:rPr>
                <w:rFonts w:hint="eastAsia" w:ascii="宋体" w:hAnsi="宋体" w:eastAsia="宋体" w:cs="宋体"/>
                <w:i w:val="0"/>
                <w:iCs w:val="0"/>
                <w:color w:val="000000"/>
                <w:kern w:val="0"/>
                <w:sz w:val="15"/>
                <w:szCs w:val="15"/>
                <w:u w:val="none"/>
                <w:lang w:val="en-US" w:eastAsia="zh-CN" w:bidi="ar"/>
              </w:rPr>
              <w:t xml:space="preserve">英文缩写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英文名称</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中文名称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FTTR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Fiber To The Room              </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光纤到房间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P2MP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Point to multiple point</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点到多点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P2P</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Point to point</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点到点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Wi-Fi</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Wireless fidelity</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无线热点/无线网络通信技术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Wi-Fi 4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Wireless fidelity 4</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802.11n协议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Wi-Fi 6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Wireless fidelity 6</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802.11ax协议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GE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Gigabit Ethernet</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1000M传输速率的以太网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PON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Passive optical network</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无源光网络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EPON</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ethernet passive optical network</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以太网无源光网络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XG-PON</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10-Gigabit-capable passive optical network</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10吉比特无源光网络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POTS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Plain old telephone service</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传统电话业务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IP</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Internet protocol</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互联网协议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PSTN</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Public switched telephone network</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公共交换电话网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AWG</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American wire gauge</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美国线规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AC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Alternating current </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交流电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APP</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Application program</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应用程序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Andlink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And link</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Andlink协议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IPTV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Internet protocol television</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互联网电视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USB</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Universal serial bus</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通用串行总线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WLAN  </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Wireless local area networks</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无线局域网络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PoE</w:t>
            </w:r>
          </w:p>
        </w:tc>
        <w:tc>
          <w:tcPr>
            <w:tcW w:w="234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Power over ethernet</w:t>
            </w:r>
          </w:p>
        </w:tc>
        <w:tc>
          <w:tcPr>
            <w:tcW w:w="187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以太网供电</w:t>
            </w:r>
          </w:p>
        </w:tc>
      </w:tr>
    </w:tbl>
    <w:p>
      <w:pPr>
        <w:pStyle w:val="3"/>
        <w:spacing w:line="240" w:lineRule="auto"/>
        <w:ind w:firstLine="1800" w:firstLineChars="600"/>
        <w:rPr>
          <w:rFonts w:ascii="宋体" w:hAnsi="宋体" w:eastAsia="宋体" w:cs="宋体"/>
          <w:b w:val="0"/>
          <w:bCs/>
          <w:color w:val="000000" w:themeColor="text1"/>
          <w:sz w:val="30"/>
          <w:szCs w:val="30"/>
          <w14:textFill>
            <w14:solidFill>
              <w14:schemeClr w14:val="tx1"/>
            </w14:solidFill>
          </w14:textFill>
        </w:rPr>
      </w:pPr>
      <w:bookmarkStart w:id="13" w:name="_Toc2118"/>
      <w:r>
        <w:rPr>
          <w:rFonts w:hint="eastAsia" w:ascii="宋体" w:hAnsi="宋体" w:eastAsia="宋体" w:cs="宋体"/>
          <w:b w:val="0"/>
          <w:bCs/>
          <w:color w:val="000000" w:themeColor="text1"/>
          <w:sz w:val="30"/>
          <w:szCs w:val="30"/>
          <w14:textFill>
            <w14:solidFill>
              <w14:schemeClr w14:val="tx1"/>
            </w14:solidFill>
          </w14:textFill>
        </w:rPr>
        <w:t>3 工程设计</w:t>
      </w:r>
      <w:bookmarkEnd w:id="13"/>
    </w:p>
    <w:p>
      <w:pPr>
        <w:pStyle w:val="4"/>
        <w:spacing w:line="240" w:lineRule="auto"/>
        <w:ind w:firstLine="1890" w:firstLineChars="900"/>
        <w:rPr>
          <w:rFonts w:hint="eastAsia" w:ascii="黑体" w:hAnsi="黑体" w:eastAsia="黑体" w:cs="黑体"/>
          <w:b w:val="0"/>
          <w:bCs/>
          <w:color w:val="000000" w:themeColor="text1"/>
          <w:sz w:val="21"/>
          <w:szCs w:val="21"/>
          <w:lang w:val="en-US" w:eastAsia="zh-CN"/>
          <w14:textFill>
            <w14:solidFill>
              <w14:schemeClr w14:val="tx1"/>
            </w14:solidFill>
          </w14:textFill>
        </w:rPr>
      </w:pPr>
      <w:bookmarkStart w:id="14" w:name="_Toc26324"/>
      <w:r>
        <w:rPr>
          <w:rFonts w:hint="eastAsia" w:ascii="黑体" w:hAnsi="黑体" w:eastAsia="黑体" w:cs="黑体"/>
          <w:b w:val="0"/>
          <w:bCs/>
          <w:color w:val="000000" w:themeColor="text1"/>
          <w:sz w:val="21"/>
          <w:szCs w:val="21"/>
          <w:lang w:val="en-US" w:eastAsia="zh-CN"/>
          <w14:textFill>
            <w14:solidFill>
              <w14:schemeClr w14:val="tx1"/>
            </w14:solidFill>
          </w14:textFill>
        </w:rPr>
        <w:t>3.1一般规定</w:t>
      </w:r>
      <w:bookmarkEnd w:id="14"/>
    </w:p>
    <w:p>
      <w:pPr>
        <w:ind w:left="7"/>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3.1.1 新建住宅及商务楼宇固定宽带应采用光纤到户的接入方式，户内应采用光纤布线系统。</w:t>
      </w:r>
    </w:p>
    <w:p>
      <w:pPr>
        <w:ind w:left="7"/>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3.1.2 新建住宅和商务楼宇通信配套设施的专业分工应符合下列规定：</w:t>
      </w:r>
    </w:p>
    <w:p>
      <w:pPr>
        <w:ind w:left="7" w:firstLine="360" w:firstLineChars="20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 从家居配线箱到房间信息插座之间的户内管网或通道由建设单位负责建设；</w:t>
      </w:r>
    </w:p>
    <w:p>
      <w:pPr>
        <w:ind w:left="7" w:firstLine="360" w:firstLineChars="20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 电信业务经营者和建设单位共用配线箱或配线架时，箱体或配线架由建设单位负责建设；</w:t>
      </w:r>
    </w:p>
    <w:p>
      <w:pPr>
        <w:ind w:left="7" w:firstLine="360" w:firstLineChars="20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 用户接入点外线侧以外的配线设备及光缆由电信业务经营者负责建设，用户接入点用户侧以内配线设备、家居配线箱、信息插座、用户光缆及用户室内线缆由建设单位负责建设。</w:t>
      </w:r>
    </w:p>
    <w:p>
      <w:pPr>
        <w:pStyle w:val="4"/>
        <w:spacing w:line="240" w:lineRule="auto"/>
        <w:ind w:firstLine="1890" w:firstLineChars="900"/>
        <w:rPr>
          <w:rFonts w:ascii="黑体" w:hAnsi="黑体" w:eastAsia="黑体" w:cs="黑体"/>
          <w:color w:val="000000" w:themeColor="text1"/>
          <w:sz w:val="21"/>
          <w:szCs w:val="21"/>
          <w14:textFill>
            <w14:solidFill>
              <w14:schemeClr w14:val="tx1"/>
            </w14:solidFill>
          </w14:textFill>
        </w:rPr>
      </w:pPr>
      <w:bookmarkStart w:id="15" w:name="_Toc24906"/>
      <w:r>
        <w:rPr>
          <w:rFonts w:hint="eastAsia" w:ascii="黑体" w:hAnsi="黑体" w:eastAsia="黑体" w:cs="黑体"/>
          <w:b w:val="0"/>
          <w:bCs/>
          <w:color w:val="000000" w:themeColor="text1"/>
          <w:sz w:val="21"/>
          <w:szCs w:val="21"/>
          <w14:textFill>
            <w14:solidFill>
              <w14:schemeClr w14:val="tx1"/>
            </w14:solidFill>
          </w14:textFill>
        </w:rPr>
        <w:t>3.</w:t>
      </w:r>
      <w:r>
        <w:rPr>
          <w:rFonts w:hint="eastAsia" w:ascii="黑体" w:hAnsi="黑体" w:eastAsia="黑体" w:cs="黑体"/>
          <w:b w:val="0"/>
          <w:bCs/>
          <w:color w:val="000000" w:themeColor="text1"/>
          <w:sz w:val="21"/>
          <w:szCs w:val="21"/>
          <w:lang w:val="en-US" w:eastAsia="zh-CN"/>
          <w14:textFill>
            <w14:solidFill>
              <w14:schemeClr w14:val="tx1"/>
            </w14:solidFill>
          </w14:textFill>
        </w:rPr>
        <w:t>2</w:t>
      </w:r>
      <w:r>
        <w:rPr>
          <w:rFonts w:hint="eastAsia" w:ascii="黑体" w:hAnsi="黑体" w:eastAsia="黑体" w:cs="黑体"/>
          <w:b w:val="0"/>
          <w:bCs/>
          <w:color w:val="000000" w:themeColor="text1"/>
          <w:sz w:val="21"/>
          <w:szCs w:val="21"/>
          <w14:textFill>
            <w14:solidFill>
              <w14:schemeClr w14:val="tx1"/>
            </w14:solidFill>
          </w14:textFill>
        </w:rPr>
        <w:t xml:space="preserve"> 系统构成</w:t>
      </w:r>
      <w:bookmarkEnd w:id="15"/>
    </w:p>
    <w:p>
      <w:pPr>
        <w:ind w:left="7"/>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.1 光纤到房间（FTTR）是一个基</w:t>
      </w:r>
      <w:r>
        <w:rPr>
          <w:rFonts w:hint="eastAsia" w:ascii="宋体" w:hAnsi="宋体" w:eastAsia="宋体" w:cs="仿宋"/>
          <w:color w:val="auto"/>
          <w:sz w:val="18"/>
          <w:szCs w:val="18"/>
        </w:rPr>
        <w:t>于点到多点（P2MP）组网方式，可实现光纤传输和无线网络（Wi-Fi）协同配置的系统。</w:t>
      </w:r>
    </w:p>
    <w:p>
      <w:pPr>
        <w:ind w:left="7"/>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.2 光纤到房间（FTTR）系统的构成应符合下列规定：</w:t>
      </w:r>
    </w:p>
    <w:p>
      <w:pPr>
        <w:ind w:left="7"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住宅户内和</w:t>
      </w:r>
      <w:r>
        <w:rPr>
          <w:rFonts w:hint="eastAsia" w:ascii="宋体" w:hAnsi="宋体" w:eastAsia="宋体" w:cs="仿宋"/>
          <w:color w:val="000000" w:themeColor="text1"/>
          <w:sz w:val="18"/>
          <w:szCs w:val="18"/>
          <w:lang w:val="en-US" w:eastAsia="zh-CN"/>
          <w14:textFill>
            <w14:solidFill>
              <w14:schemeClr w14:val="tx1"/>
            </w14:solidFill>
          </w14:textFill>
        </w:rPr>
        <w:t>商务楼宇</w:t>
      </w:r>
      <w:r>
        <w:rPr>
          <w:rFonts w:hint="eastAsia" w:ascii="宋体" w:hAnsi="宋体" w:eastAsia="宋体" w:cs="仿宋"/>
          <w:color w:val="000000" w:themeColor="text1"/>
          <w:sz w:val="18"/>
          <w:szCs w:val="18"/>
          <w14:textFill>
            <w14:solidFill>
              <w14:schemeClr w14:val="tx1"/>
            </w14:solidFill>
          </w14:textFill>
        </w:rPr>
        <w:t>内采用FTTR系统时，以主</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从FTTR设备为核心设备构建建筑物室内全光网络系统。上联端口应通过入口设施与公用通信网光线路终端（OLT）互通，下行FTTR光接口通过一个光分路器或多个级联的扩展光分路器，接入多个从FTTR设备，如图</w:t>
      </w:r>
      <w:r>
        <w:rPr>
          <w:rFonts w:hint="eastAsia" w:ascii="宋体" w:hAnsi="宋体" w:eastAsia="宋体" w:cs="仿宋"/>
          <w:color w:val="000000" w:themeColor="text1"/>
          <w:sz w:val="18"/>
          <w:szCs w:val="18"/>
          <w:lang w:val="en-US" w:eastAsia="zh-CN"/>
          <w14:textFill>
            <w14:solidFill>
              <w14:schemeClr w14:val="tx1"/>
            </w14:solidFill>
          </w14:textFill>
        </w:rPr>
        <w:t>3.2.2-1</w:t>
      </w:r>
      <w:r>
        <w:rPr>
          <w:rFonts w:hint="eastAsia" w:ascii="宋体" w:hAnsi="宋体" w:eastAsia="宋体" w:cs="仿宋"/>
          <w:color w:val="000000" w:themeColor="text1"/>
          <w:sz w:val="18"/>
          <w:szCs w:val="18"/>
          <w14:textFill>
            <w14:solidFill>
              <w14:schemeClr w14:val="tx1"/>
            </w14:solidFill>
          </w14:textFill>
        </w:rPr>
        <w:t>和图</w:t>
      </w:r>
      <w:r>
        <w:rPr>
          <w:rFonts w:hint="eastAsia" w:ascii="宋体" w:hAnsi="宋体" w:eastAsia="宋体" w:cs="仿宋"/>
          <w:color w:val="000000" w:themeColor="text1"/>
          <w:sz w:val="18"/>
          <w:szCs w:val="18"/>
          <w:lang w:val="en-US" w:eastAsia="zh-CN"/>
          <w14:textFill>
            <w14:solidFill>
              <w14:schemeClr w14:val="tx1"/>
            </w14:solidFill>
          </w14:textFill>
        </w:rPr>
        <w:t>3.2.2-2</w:t>
      </w:r>
      <w:r>
        <w:rPr>
          <w:rFonts w:hint="eastAsia" w:ascii="宋体" w:hAnsi="宋体" w:eastAsia="宋体" w:cs="仿宋"/>
          <w:color w:val="000000" w:themeColor="text1"/>
          <w:sz w:val="18"/>
          <w:szCs w:val="18"/>
          <w14:textFill>
            <w14:solidFill>
              <w14:schemeClr w14:val="tx1"/>
            </w14:solidFill>
          </w14:textFill>
        </w:rPr>
        <w:t>所示。</w:t>
      </w:r>
    </w:p>
    <w:p>
      <w:pPr>
        <w:ind w:left="7" w:firstLine="420" w:firstLineChars="200"/>
        <w:rPr>
          <w:rFonts w:hint="eastAsia" w:ascii="宋体" w:hAnsi="宋体" w:eastAsia="宋体" w:cs="仿宋"/>
          <w:color w:val="000000" w:themeColor="text1"/>
          <w:sz w:val="18"/>
          <w:szCs w:val="18"/>
          <w14:textFill>
            <w14:solidFill>
              <w14:schemeClr w14:val="tx1"/>
            </w14:solidFill>
          </w14:textFill>
        </w:rPr>
      </w:pPr>
      <w:r>
        <w:drawing>
          <wp:anchor distT="0" distB="0" distL="114300" distR="114300" simplePos="0" relativeHeight="251661312" behindDoc="0" locked="0" layoutInCell="1" allowOverlap="1">
            <wp:simplePos x="0" y="0"/>
            <wp:positionH relativeFrom="column">
              <wp:posOffset>508000</wp:posOffset>
            </wp:positionH>
            <wp:positionV relativeFrom="paragraph">
              <wp:posOffset>103505</wp:posOffset>
            </wp:positionV>
            <wp:extent cx="2429510" cy="1228725"/>
            <wp:effectExtent l="0" t="0" r="8890" b="5715"/>
            <wp:wrapNone/>
            <wp:docPr id="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true"/>
                    </pic:cNvPicPr>
                  </pic:nvPicPr>
                  <pic:blipFill>
                    <a:blip r:embed="rId7"/>
                    <a:stretch>
                      <a:fillRect/>
                    </a:stretch>
                  </pic:blipFill>
                  <pic:spPr>
                    <a:xfrm>
                      <a:off x="0" y="0"/>
                      <a:ext cx="2429510" cy="1228725"/>
                    </a:xfrm>
                    <a:prstGeom prst="rect">
                      <a:avLst/>
                    </a:prstGeom>
                    <a:noFill/>
                    <a:ln>
                      <a:noFill/>
                    </a:ln>
                  </pic:spPr>
                </pic:pic>
              </a:graphicData>
            </a:graphic>
          </wp:anchor>
        </w:drawing>
      </w:r>
    </w:p>
    <w:p>
      <w:pPr>
        <w:ind w:left="7" w:firstLine="360" w:firstLineChars="200"/>
        <w:rPr>
          <w:rFonts w:hint="eastAsia" w:ascii="宋体" w:hAnsi="宋体" w:eastAsia="宋体" w:cs="仿宋"/>
          <w:color w:val="000000" w:themeColor="text1"/>
          <w:sz w:val="18"/>
          <w:szCs w:val="18"/>
          <w14:textFill>
            <w14:solidFill>
              <w14:schemeClr w14:val="tx1"/>
            </w14:solidFill>
          </w14:textFill>
        </w:rPr>
      </w:pPr>
    </w:p>
    <w:p>
      <w:pPr>
        <w:ind w:left="7" w:firstLine="360" w:firstLineChars="200"/>
        <w:rPr>
          <w:rFonts w:hint="eastAsia" w:ascii="宋体" w:hAnsi="宋体" w:eastAsia="宋体" w:cs="仿宋"/>
          <w:color w:val="000000" w:themeColor="text1"/>
          <w:sz w:val="18"/>
          <w:szCs w:val="18"/>
          <w14:textFill>
            <w14:solidFill>
              <w14:schemeClr w14:val="tx1"/>
            </w14:solidFill>
          </w14:textFill>
        </w:rPr>
      </w:pPr>
    </w:p>
    <w:p>
      <w:pPr>
        <w:ind w:left="7" w:firstLine="360" w:firstLineChars="200"/>
        <w:rPr>
          <w:rFonts w:hint="eastAsia" w:ascii="宋体" w:hAnsi="宋体" w:eastAsia="宋体" w:cs="仿宋"/>
          <w:color w:val="000000" w:themeColor="text1"/>
          <w:sz w:val="18"/>
          <w:szCs w:val="18"/>
          <w14:textFill>
            <w14:solidFill>
              <w14:schemeClr w14:val="tx1"/>
            </w14:solidFill>
          </w14:textFill>
        </w:rPr>
      </w:pPr>
    </w:p>
    <w:p>
      <w:pPr>
        <w:ind w:left="7" w:firstLine="360" w:firstLineChars="200"/>
        <w:rPr>
          <w:rFonts w:hint="eastAsia" w:ascii="宋体" w:hAnsi="宋体" w:eastAsia="宋体" w:cs="仿宋"/>
          <w:color w:val="000000" w:themeColor="text1"/>
          <w:sz w:val="18"/>
          <w:szCs w:val="18"/>
          <w14:textFill>
            <w14:solidFill>
              <w14:schemeClr w14:val="tx1"/>
            </w14:solidFill>
          </w14:textFill>
        </w:rPr>
      </w:pPr>
    </w:p>
    <w:p>
      <w:pPr>
        <w:ind w:left="7" w:firstLine="360" w:firstLineChars="200"/>
        <w:rPr>
          <w:rFonts w:hint="eastAsia" w:ascii="宋体" w:hAnsi="宋体" w:eastAsia="宋体" w:cs="仿宋"/>
          <w:color w:val="000000" w:themeColor="text1"/>
          <w:sz w:val="18"/>
          <w:szCs w:val="18"/>
          <w14:textFill>
            <w14:solidFill>
              <w14:schemeClr w14:val="tx1"/>
            </w14:solidFill>
          </w14:textFill>
        </w:rPr>
      </w:pPr>
    </w:p>
    <w:p>
      <w:pPr>
        <w:ind w:left="7" w:firstLine="360" w:firstLineChars="200"/>
        <w:rPr>
          <w:rFonts w:hint="eastAsia" w:ascii="宋体" w:hAnsi="宋体" w:eastAsia="宋体" w:cs="仿宋"/>
          <w:color w:val="000000" w:themeColor="text1"/>
          <w:sz w:val="18"/>
          <w:szCs w:val="18"/>
          <w:lang w:val="en-US" w:eastAsia="zh-CN"/>
          <w14:textFill>
            <w14:solidFill>
              <w14:schemeClr w14:val="tx1"/>
            </w14:solidFill>
          </w14:textFill>
        </w:rPr>
      </w:pPr>
    </w:p>
    <w:p>
      <w:pPr>
        <w:jc w:val="center"/>
        <w:rPr>
          <w:rFonts w:hint="eastAsia"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 xml:space="preserve">  </w:t>
      </w:r>
      <w:r>
        <w:rPr>
          <w:rFonts w:hint="eastAsia" w:ascii="宋体" w:hAnsi="宋体" w:eastAsia="宋体" w:cs="仿宋"/>
          <w:b/>
          <w:bCs/>
          <w:color w:val="000000" w:themeColor="text1"/>
          <w:sz w:val="15"/>
          <w:szCs w:val="15"/>
          <w:lang w:val="en-US" w:eastAsia="zh-CN"/>
          <w14:textFill>
            <w14:solidFill>
              <w14:schemeClr w14:val="tx1"/>
            </w14:solidFill>
          </w14:textFill>
        </w:rPr>
        <w:t>图3.2.2-1 光纤到房间（FTTR）系统单个光分路器架构</w:t>
      </w:r>
    </w:p>
    <w:p>
      <w:pPr>
        <w:jc w:val="center"/>
        <w:rPr>
          <w:rFonts w:hint="eastAsia" w:ascii="宋体" w:hAnsi="宋体" w:eastAsia="宋体" w:cs="仿宋"/>
          <w:color w:val="000000" w:themeColor="text1"/>
          <w:sz w:val="15"/>
          <w:szCs w:val="15"/>
          <w:lang w:val="en-US" w:eastAsia="zh-CN"/>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296545</wp:posOffset>
            </wp:positionH>
            <wp:positionV relativeFrom="paragraph">
              <wp:posOffset>152400</wp:posOffset>
            </wp:positionV>
            <wp:extent cx="2829560" cy="948690"/>
            <wp:effectExtent l="0" t="0" r="5080" b="11430"/>
            <wp:wrapNone/>
            <wp:docPr id="8"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true"/>
                    </pic:cNvPicPr>
                  </pic:nvPicPr>
                  <pic:blipFill>
                    <a:blip r:embed="rId8"/>
                    <a:stretch>
                      <a:fillRect/>
                    </a:stretch>
                  </pic:blipFill>
                  <pic:spPr>
                    <a:xfrm>
                      <a:off x="0" y="0"/>
                      <a:ext cx="2829560" cy="948690"/>
                    </a:xfrm>
                    <a:prstGeom prst="rect">
                      <a:avLst/>
                    </a:prstGeom>
                    <a:noFill/>
                    <a:ln>
                      <a:noFill/>
                    </a:ln>
                  </pic:spPr>
                </pic:pic>
              </a:graphicData>
            </a:graphic>
          </wp:anchor>
        </w:drawing>
      </w:r>
    </w:p>
    <w:p>
      <w:pPr>
        <w:jc w:val="center"/>
        <w:rPr>
          <w:rFonts w:hint="eastAsia" w:ascii="宋体" w:hAnsi="宋体" w:eastAsia="宋体" w:cs="仿宋"/>
          <w:color w:val="000000" w:themeColor="text1"/>
          <w:sz w:val="15"/>
          <w:szCs w:val="15"/>
          <w:lang w:val="en-US" w:eastAsia="zh-CN"/>
          <w14:textFill>
            <w14:solidFill>
              <w14:schemeClr w14:val="tx1"/>
            </w14:solidFill>
          </w14:textFill>
        </w:rPr>
      </w:pPr>
    </w:p>
    <w:p>
      <w:pPr>
        <w:jc w:val="center"/>
        <w:rPr>
          <w:rFonts w:hint="eastAsia" w:ascii="宋体" w:hAnsi="宋体" w:eastAsia="宋体" w:cs="仿宋"/>
          <w:color w:val="000000" w:themeColor="text1"/>
          <w:sz w:val="15"/>
          <w:szCs w:val="15"/>
          <w:lang w:val="en-US" w:eastAsia="zh-CN"/>
          <w14:textFill>
            <w14:solidFill>
              <w14:schemeClr w14:val="tx1"/>
            </w14:solidFill>
          </w14:textFill>
        </w:rPr>
      </w:pPr>
    </w:p>
    <w:p>
      <w:pPr>
        <w:jc w:val="center"/>
        <w:rPr>
          <w:rFonts w:hint="eastAsia" w:ascii="宋体" w:hAnsi="宋体" w:eastAsia="宋体" w:cs="仿宋"/>
          <w:color w:val="000000" w:themeColor="text1"/>
          <w:sz w:val="15"/>
          <w:szCs w:val="15"/>
          <w:lang w:val="en-US" w:eastAsia="zh-CN"/>
          <w14:textFill>
            <w14:solidFill>
              <w14:schemeClr w14:val="tx1"/>
            </w14:solidFill>
          </w14:textFill>
        </w:rPr>
      </w:pPr>
    </w:p>
    <w:p>
      <w:pPr>
        <w:jc w:val="center"/>
        <w:rPr>
          <w:rFonts w:hint="default" w:ascii="宋体" w:hAnsi="宋体" w:eastAsia="宋体" w:cs="仿宋"/>
          <w:color w:val="000000" w:themeColor="text1"/>
          <w:sz w:val="15"/>
          <w:szCs w:val="15"/>
          <w:lang w:val="en-US" w:eastAsia="zh-CN"/>
          <w14:textFill>
            <w14:solidFill>
              <w14:schemeClr w14:val="tx1"/>
            </w14:solidFill>
          </w14:textFill>
        </w:rPr>
      </w:pPr>
    </w:p>
    <w:p>
      <w:pPr>
        <w:jc w:val="center"/>
        <w:rPr>
          <w:rFonts w:hint="default" w:ascii="宋体" w:hAnsi="宋体" w:eastAsia="宋体" w:cs="仿宋"/>
          <w:color w:val="000000" w:themeColor="text1"/>
          <w:sz w:val="15"/>
          <w:szCs w:val="15"/>
          <w:lang w:val="en-US" w:eastAsia="zh-CN"/>
          <w14:textFill>
            <w14:solidFill>
              <w14:schemeClr w14:val="tx1"/>
            </w14:solidFill>
          </w14:textFill>
        </w:rPr>
      </w:pPr>
    </w:p>
    <w:p>
      <w:pPr>
        <w:ind w:left="7" w:firstLine="301" w:firstLineChars="200"/>
        <w:jc w:val="center"/>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5"/>
          <w:szCs w:val="15"/>
          <w:lang w:val="en-US" w:eastAsia="zh-CN"/>
          <w14:textFill>
            <w14:solidFill>
              <w14:schemeClr w14:val="tx1"/>
            </w14:solidFill>
          </w14:textFill>
        </w:rPr>
        <w:t>图3.2.2-2 光纤到房间（FTTR）系统多个光分路器级联架构</w:t>
      </w:r>
    </w:p>
    <w:p>
      <w:pPr>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FF"/>
          <w:sz w:val="18"/>
          <w:szCs w:val="18"/>
        </w:rPr>
        <w:t>3.</w:t>
      </w:r>
      <w:r>
        <w:rPr>
          <w:rFonts w:hint="eastAsia" w:ascii="宋体" w:hAnsi="宋体" w:eastAsia="宋体" w:cs="仿宋"/>
          <w:color w:val="0000FF"/>
          <w:sz w:val="18"/>
          <w:szCs w:val="18"/>
          <w:lang w:val="en-US" w:eastAsia="zh-CN"/>
        </w:rPr>
        <w:t>2</w:t>
      </w:r>
      <w:r>
        <w:rPr>
          <w:rFonts w:hint="eastAsia" w:ascii="宋体" w:hAnsi="宋体" w:eastAsia="宋体" w:cs="仿宋"/>
          <w:color w:val="0000FF"/>
          <w:sz w:val="18"/>
          <w:szCs w:val="18"/>
        </w:rPr>
        <w:t>.3 光纤到房间（FTTR）系统</w:t>
      </w:r>
      <w:r>
        <w:rPr>
          <w:rFonts w:hint="eastAsia" w:ascii="宋体" w:hAnsi="宋体" w:eastAsia="宋体" w:cs="仿宋"/>
          <w:color w:val="0000FF"/>
          <w:sz w:val="18"/>
          <w:szCs w:val="18"/>
          <w:lang w:val="en-US" w:eastAsia="zh-CN"/>
        </w:rPr>
        <w:t>各设备应根据建筑的</w:t>
      </w:r>
      <w:r>
        <w:rPr>
          <w:rFonts w:hint="eastAsia" w:ascii="宋体" w:hAnsi="宋体" w:eastAsia="宋体" w:cs="仿宋"/>
          <w:color w:val="0000FF"/>
          <w:sz w:val="18"/>
          <w:szCs w:val="18"/>
        </w:rPr>
        <w:t>不同场景</w:t>
      </w:r>
      <w:r>
        <w:rPr>
          <w:rFonts w:hint="eastAsia" w:ascii="宋体" w:hAnsi="宋体" w:eastAsia="宋体" w:cs="仿宋"/>
          <w:color w:val="0000FF"/>
          <w:sz w:val="18"/>
          <w:szCs w:val="18"/>
          <w:lang w:val="en-US" w:eastAsia="zh-CN"/>
        </w:rPr>
        <w:t>和FTTR从设备的数量确定设置的位置，应符合以下规定：</w:t>
      </w:r>
    </w:p>
    <w:p>
      <w:pPr>
        <w:ind w:firstLine="180" w:firstLineChars="10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  1 住宅场景</w:t>
      </w:r>
    </w:p>
    <w:p>
      <w:pPr>
        <w:numPr>
          <w:ilvl w:val="0"/>
          <w:numId w:val="0"/>
        </w:numPr>
        <w:ind w:firstLine="360" w:firstLineChars="2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default" w:ascii="宋体" w:hAnsi="宋体" w:eastAsia="宋体" w:cs="仿宋"/>
          <w:color w:val="000000" w:themeColor="text1"/>
          <w:sz w:val="18"/>
          <w:szCs w:val="18"/>
          <w:lang w:val="en-US" w:eastAsia="zh-CN"/>
          <w14:textFill>
            <w14:solidFill>
              <w14:schemeClr w14:val="tx1"/>
            </w14:solidFill>
          </w14:textFill>
        </w:rPr>
        <w:t>每户应设置家居配线箱，箱体宜设置在户内布线管网的汇聚处；</w:t>
      </w:r>
    </w:p>
    <w:p>
      <w:pPr>
        <w:numPr>
          <w:ilvl w:val="0"/>
          <w:numId w:val="0"/>
        </w:numPr>
        <w:ind w:firstLine="360" w:firstLineChars="2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default" w:ascii="宋体" w:hAnsi="宋体" w:eastAsia="宋体" w:cs="仿宋"/>
          <w:color w:val="000000" w:themeColor="text1"/>
          <w:sz w:val="18"/>
          <w:szCs w:val="18"/>
          <w:lang w:val="en-US" w:eastAsia="zh-CN"/>
          <w14:textFill>
            <w14:solidFill>
              <w14:schemeClr w14:val="tx1"/>
            </w14:solidFill>
          </w14:textFill>
        </w:rPr>
        <w:t>住宅户内的光纤接入系统应该采用光纤到房间接入方式，住户内光缆以</w:t>
      </w:r>
      <w:r>
        <w:rPr>
          <w:rFonts w:hint="eastAsia" w:ascii="宋体" w:hAnsi="宋体" w:eastAsia="宋体" w:cs="仿宋"/>
          <w:color w:val="000000" w:themeColor="text1"/>
          <w:sz w:val="18"/>
          <w:szCs w:val="18"/>
          <w:lang w:val="en-US" w:eastAsia="zh-CN"/>
          <w14:textFill>
            <w14:solidFill>
              <w14:schemeClr w14:val="tx1"/>
            </w14:solidFill>
          </w14:textFill>
        </w:rPr>
        <w:t>信息配线箱</w:t>
      </w:r>
      <w:r>
        <w:rPr>
          <w:rFonts w:hint="default" w:ascii="宋体" w:hAnsi="宋体" w:eastAsia="宋体" w:cs="仿宋"/>
          <w:color w:val="000000" w:themeColor="text1"/>
          <w:sz w:val="18"/>
          <w:szCs w:val="18"/>
          <w:lang w:val="en-US" w:eastAsia="zh-CN"/>
          <w14:textFill>
            <w14:solidFill>
              <w14:schemeClr w14:val="tx1"/>
            </w14:solidFill>
          </w14:textFill>
        </w:rPr>
        <w:t>为中心向住户内各房间的光纤信息插座敷设光缆，对于多层住宅或别墅建筑宜采用分层汇聚方式</w:t>
      </w:r>
      <w:r>
        <w:rPr>
          <w:rFonts w:hint="eastAsia" w:ascii="宋体" w:hAnsi="宋体" w:eastAsia="宋体" w:cs="仿宋"/>
          <w:color w:val="000000" w:themeColor="text1"/>
          <w:sz w:val="18"/>
          <w:szCs w:val="18"/>
          <w:lang w:val="en-US" w:eastAsia="zh-CN"/>
          <w14:textFill>
            <w14:solidFill>
              <w14:schemeClr w14:val="tx1"/>
            </w14:solidFill>
          </w14:textFill>
        </w:rPr>
        <w:t>；</w:t>
      </w:r>
    </w:p>
    <w:p>
      <w:pPr>
        <w:numPr>
          <w:ilvl w:val="0"/>
          <w:numId w:val="0"/>
        </w:numPr>
        <w:ind w:firstLine="360" w:firstLineChars="2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default" w:ascii="宋体" w:hAnsi="宋体" w:eastAsia="宋体" w:cs="仿宋"/>
          <w:color w:val="000000" w:themeColor="text1"/>
          <w:sz w:val="18"/>
          <w:szCs w:val="18"/>
          <w:lang w:val="en-US" w:eastAsia="zh-CN"/>
          <w14:textFill>
            <w14:solidFill>
              <w14:schemeClr w14:val="tx1"/>
            </w14:solidFill>
          </w14:textFill>
        </w:rPr>
        <w:t>单个光分路器或级联光分路器可与主FTTR设备设于同一安装位置，级联扩展光分路器宜设置于住宅套内分层处，从FTTR设备宜设置于住宅套内房间；</w:t>
      </w:r>
    </w:p>
    <w:p>
      <w:pPr>
        <w:numPr>
          <w:ilvl w:val="0"/>
          <w:numId w:val="0"/>
        </w:numPr>
        <w:ind w:firstLine="360" w:firstLineChars="2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default" w:ascii="宋体" w:hAnsi="宋体" w:eastAsia="宋体" w:cs="仿宋"/>
          <w:color w:val="000000" w:themeColor="text1"/>
          <w:sz w:val="18"/>
          <w:szCs w:val="18"/>
          <w:lang w:val="en-US" w:eastAsia="zh-CN"/>
          <w14:textFill>
            <w14:solidFill>
              <w14:schemeClr w14:val="tx1"/>
            </w14:solidFill>
          </w14:textFill>
        </w:rPr>
        <w:t>FTTR的户内光缆芯数应根据户内各房间对通信及有线电视业务的需求和配置等级确定。户内光缆配置宜符合</w:t>
      </w:r>
      <w:r>
        <w:rPr>
          <w:rFonts w:hint="default" w:ascii="宋体" w:hAnsi="宋体" w:eastAsia="宋体" w:cs="仿宋"/>
          <w:color w:val="auto"/>
          <w:sz w:val="18"/>
          <w:szCs w:val="18"/>
          <w:lang w:val="en-US" w:eastAsia="zh-CN"/>
        </w:rPr>
        <w:t>下表</w:t>
      </w:r>
      <w:r>
        <w:rPr>
          <w:rFonts w:hint="eastAsia" w:ascii="宋体" w:hAnsi="宋体" w:eastAsia="宋体" w:cs="仿宋"/>
          <w:color w:val="auto"/>
          <w:sz w:val="18"/>
          <w:szCs w:val="18"/>
          <w:lang w:val="en-US" w:eastAsia="zh-CN"/>
        </w:rPr>
        <w:t>3.2.3</w:t>
      </w:r>
      <w:r>
        <w:rPr>
          <w:rFonts w:hint="default" w:ascii="宋体" w:hAnsi="宋体" w:eastAsia="宋体" w:cs="仿宋"/>
          <w:color w:val="000000" w:themeColor="text1"/>
          <w:sz w:val="18"/>
          <w:szCs w:val="18"/>
          <w:lang w:val="en-US" w:eastAsia="zh-CN"/>
          <w14:textFill>
            <w14:solidFill>
              <w14:schemeClr w14:val="tx1"/>
            </w14:solidFill>
          </w14:textFill>
        </w:rPr>
        <w:t>的规定：</w:t>
      </w:r>
    </w:p>
    <w:p>
      <w:pPr>
        <w:numPr>
          <w:ilvl w:val="0"/>
          <w:numId w:val="0"/>
        </w:numPr>
        <w:ind w:leftChars="1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eastAsia="宋体"/>
          <w:lang w:val="en-US" w:eastAsia="zh-CN"/>
        </w:rPr>
        <w:t xml:space="preserve">             </w:t>
      </w:r>
      <w:r>
        <w:rPr>
          <w:rFonts w:hint="eastAsia" w:eastAsia="宋体"/>
          <w:b/>
          <w:bCs/>
          <w:lang w:val="en-US" w:eastAsia="zh-CN"/>
        </w:rPr>
        <w:t xml:space="preserve"> </w:t>
      </w:r>
      <w:r>
        <w:rPr>
          <w:rFonts w:hint="eastAsia" w:eastAsia="宋体"/>
          <w:b/>
          <w:bCs/>
          <w:sz w:val="18"/>
          <w:szCs w:val="18"/>
          <w:lang w:val="en-US" w:eastAsia="zh-CN"/>
        </w:rPr>
        <w:t>表3.2.3 户内光缆配置</w:t>
      </w:r>
    </w:p>
    <w:tbl>
      <w:tblPr>
        <w:tblStyle w:val="16"/>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787"/>
        <w:gridCol w:w="1545"/>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房间</w:t>
            </w:r>
          </w:p>
        </w:tc>
        <w:tc>
          <w:tcPr>
            <w:tcW w:w="787"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等级</w:t>
            </w:r>
          </w:p>
        </w:tc>
        <w:tc>
          <w:tcPr>
            <w:tcW w:w="154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光缆纤芯数量（芯）</w:t>
            </w:r>
          </w:p>
        </w:tc>
        <w:tc>
          <w:tcPr>
            <w:tcW w:w="148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光缆条数量（条）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主起居室、客厅</w:t>
            </w:r>
          </w:p>
        </w:tc>
        <w:tc>
          <w:tcPr>
            <w:tcW w:w="787"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w:t>
            </w:r>
          </w:p>
        </w:tc>
        <w:tc>
          <w:tcPr>
            <w:tcW w:w="154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1</w:t>
            </w:r>
          </w:p>
        </w:tc>
        <w:tc>
          <w:tcPr>
            <w:tcW w:w="148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restart"/>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除主起居室、客厅以外的房间</w:t>
            </w:r>
          </w:p>
        </w:tc>
        <w:tc>
          <w:tcPr>
            <w:tcW w:w="787"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低配置</w:t>
            </w:r>
          </w:p>
        </w:tc>
        <w:tc>
          <w:tcPr>
            <w:tcW w:w="154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1</w:t>
            </w:r>
          </w:p>
        </w:tc>
        <w:tc>
          <w:tcPr>
            <w:tcW w:w="148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vMerge w:val="continue"/>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p>
        </w:tc>
        <w:tc>
          <w:tcPr>
            <w:tcW w:w="787"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高配置</w:t>
            </w:r>
          </w:p>
        </w:tc>
        <w:tc>
          <w:tcPr>
            <w:tcW w:w="154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1</w:t>
            </w:r>
          </w:p>
        </w:tc>
        <w:tc>
          <w:tcPr>
            <w:tcW w:w="1485" w:type="dxa"/>
          </w:tcPr>
          <w:p>
            <w:pPr>
              <w:numPr>
                <w:ilvl w:val="0"/>
                <w:numId w:val="0"/>
              </w:numPr>
              <w:jc w:val="center"/>
              <w:rPr>
                <w:rFonts w:hint="default" w:ascii="宋体" w:hAnsi="宋体" w:eastAsia="宋体" w:cs="仿宋"/>
                <w:color w:val="000000" w:themeColor="text1"/>
                <w:sz w:val="15"/>
                <w:szCs w:val="15"/>
                <w:vertAlign w:val="baseline"/>
                <w:lang w:val="en-US" w:eastAsia="zh-CN"/>
                <w14:textFill>
                  <w14:solidFill>
                    <w14:schemeClr w14:val="tx1"/>
                  </w14:solidFill>
                </w14:textFill>
              </w:rPr>
            </w:pPr>
            <w:r>
              <w:rPr>
                <w:rFonts w:hint="eastAsia" w:ascii="宋体" w:hAnsi="宋体" w:eastAsia="宋体" w:cs="仿宋"/>
                <w:color w:val="000000" w:themeColor="text1"/>
                <w:sz w:val="15"/>
                <w:szCs w:val="15"/>
                <w:vertAlign w:val="baseline"/>
                <w:lang w:val="en-US" w:eastAsia="zh-CN"/>
                <w14:textFill>
                  <w14:solidFill>
                    <w14:schemeClr w14:val="tx1"/>
                  </w14:solidFill>
                </w14:textFill>
              </w:rPr>
              <w:t>1</w:t>
            </w:r>
          </w:p>
        </w:tc>
      </w:tr>
    </w:tbl>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w:t>
      </w:r>
      <w:r>
        <w:rPr>
          <w:rFonts w:hint="eastAsia" w:ascii="宋体" w:hAnsi="宋体" w:eastAsia="宋体" w:cs="仿宋"/>
          <w:color w:val="000000" w:themeColor="text1"/>
          <w:sz w:val="18"/>
          <w:szCs w:val="18"/>
          <w:lang w:val="en-US" w:eastAsia="zh-CN"/>
          <w14:textFill>
            <w14:solidFill>
              <w14:schemeClr w14:val="tx1"/>
            </w14:solidFill>
          </w14:textFill>
        </w:rPr>
        <w:t xml:space="preserve"> 商务楼宇</w:t>
      </w:r>
      <w:r>
        <w:rPr>
          <w:rFonts w:hint="eastAsia" w:ascii="宋体" w:hAnsi="宋体" w:eastAsia="宋体" w:cs="仿宋"/>
          <w:color w:val="000000" w:themeColor="text1"/>
          <w:sz w:val="18"/>
          <w:szCs w:val="18"/>
          <w14:textFill>
            <w14:solidFill>
              <w14:schemeClr w14:val="tx1"/>
            </w14:solidFill>
          </w14:textFill>
        </w:rPr>
        <w:t>场景</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从FTTR设备分布较为密集，数量较多，光网络光分路器采用级联扩展链路架构时，主FTTR设备宜分为1个或多个群（每1个群接入的从FTTR设备数量不宜超过32个），设置于楼层用户单元内安装的信息配线箱内；</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从FTTR设备分布较为分散，数量较少，光网络采用单个光分路器架构时宜设置于楼层电信间（弱电间）或用户单元区域的信息配线箱内；</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单个光分路器宜设置于主FTTR设备安装位置，扩展光分路器宜设置在楼层的用户单元内，从FTTR设备宜按Wi-Fi覆盖需求设置于楼层每一个用户单元或房间内。</w:t>
      </w:r>
    </w:p>
    <w:p>
      <w:pPr>
        <w:pStyle w:val="4"/>
        <w:spacing w:line="240" w:lineRule="auto"/>
        <w:ind w:firstLine="1890" w:firstLineChars="900"/>
        <w:rPr>
          <w:rFonts w:ascii="黑体" w:hAnsi="黑体" w:eastAsia="黑体" w:cs="黑体"/>
          <w:color w:val="000000" w:themeColor="text1"/>
          <w:sz w:val="21"/>
          <w:szCs w:val="21"/>
          <w14:textFill>
            <w14:solidFill>
              <w14:schemeClr w14:val="tx1"/>
            </w14:solidFill>
          </w14:textFill>
        </w:rPr>
      </w:pPr>
      <w:bookmarkStart w:id="16" w:name="_Toc765"/>
      <w:r>
        <w:rPr>
          <w:rFonts w:hint="eastAsia" w:ascii="黑体" w:hAnsi="黑体" w:eastAsia="黑体" w:cs="黑体"/>
          <w:b w:val="0"/>
          <w:bCs/>
          <w:color w:val="000000" w:themeColor="text1"/>
          <w:sz w:val="21"/>
          <w:szCs w:val="21"/>
          <w14:textFill>
            <w14:solidFill>
              <w14:schemeClr w14:val="tx1"/>
            </w14:solidFill>
          </w14:textFill>
        </w:rPr>
        <w:t>3.</w:t>
      </w:r>
      <w:r>
        <w:rPr>
          <w:rFonts w:hint="eastAsia" w:ascii="黑体" w:hAnsi="黑体" w:eastAsia="黑体" w:cs="黑体"/>
          <w:b w:val="0"/>
          <w:bCs/>
          <w:color w:val="000000" w:themeColor="text1"/>
          <w:sz w:val="21"/>
          <w:szCs w:val="21"/>
          <w:lang w:val="en-US" w:eastAsia="zh-CN"/>
          <w14:textFill>
            <w14:solidFill>
              <w14:schemeClr w14:val="tx1"/>
            </w14:solidFill>
          </w14:textFill>
        </w:rPr>
        <w:t>3</w:t>
      </w:r>
      <w:r>
        <w:rPr>
          <w:rFonts w:hint="eastAsia" w:ascii="黑体" w:hAnsi="黑体" w:eastAsia="黑体" w:cs="黑体"/>
          <w:b w:val="0"/>
          <w:bCs/>
          <w:color w:val="000000" w:themeColor="text1"/>
          <w:sz w:val="21"/>
          <w:szCs w:val="21"/>
          <w14:textFill>
            <w14:solidFill>
              <w14:schemeClr w14:val="tx1"/>
            </w14:solidFill>
          </w14:textFill>
        </w:rPr>
        <w:t xml:space="preserve"> 网络设计</w:t>
      </w:r>
      <w:bookmarkEnd w:id="16"/>
    </w:p>
    <w:p>
      <w:pPr>
        <w:ind w:left="7"/>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.1网络设计应符合下列规定：</w:t>
      </w:r>
    </w:p>
    <w:p>
      <w:pPr>
        <w:ind w:left="7"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1 </w:t>
      </w:r>
      <w:r>
        <w:rPr>
          <w:rFonts w:hint="eastAsia" w:ascii="宋体" w:hAnsi="宋体" w:eastAsia="宋体" w:cs="仿宋"/>
          <w:color w:val="000000" w:themeColor="text1"/>
          <w:sz w:val="18"/>
          <w:szCs w:val="18"/>
          <w14:textFill>
            <w14:solidFill>
              <w14:schemeClr w14:val="tx1"/>
            </w14:solidFill>
          </w14:textFill>
        </w:rPr>
        <w:t>宜采用单纤双向传输；工作波长应符合</w:t>
      </w:r>
      <w:r>
        <w:rPr>
          <w:rFonts w:hint="eastAsia" w:ascii="宋体" w:hAnsi="宋体" w:eastAsia="宋体" w:cs="仿宋"/>
          <w:color w:val="000000" w:themeColor="text1"/>
          <w:sz w:val="18"/>
          <w:szCs w:val="18"/>
          <w:lang w:val="en-US" w:eastAsia="zh-CN"/>
          <w14:textFill>
            <w14:solidFill>
              <w14:schemeClr w14:val="tx1"/>
            </w14:solidFill>
          </w14:textFill>
        </w:rPr>
        <w:t>现行国家标准</w:t>
      </w:r>
      <w:r>
        <w:rPr>
          <w:rFonts w:hint="eastAsia" w:ascii="宋体" w:hAnsi="宋体" w:eastAsia="宋体" w:cs="仿宋"/>
          <w:color w:val="000000" w:themeColor="text1"/>
          <w:sz w:val="18"/>
          <w:szCs w:val="18"/>
          <w14:textFill>
            <w14:solidFill>
              <w14:schemeClr w14:val="tx1"/>
            </w14:solidFill>
          </w14:textFill>
        </w:rPr>
        <w:t>《宽带光纤接入工程技术标准》（GB/T 51380）中的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规定；</w:t>
      </w:r>
    </w:p>
    <w:p>
      <w:pPr>
        <w:ind w:left="7"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FTTR主设备上联带宽测算应符合</w:t>
      </w:r>
      <w:r>
        <w:rPr>
          <w:rFonts w:hint="eastAsia" w:ascii="宋体" w:hAnsi="宋体" w:eastAsia="宋体" w:cs="仿宋"/>
          <w:color w:val="000000" w:themeColor="text1"/>
          <w:sz w:val="18"/>
          <w:szCs w:val="18"/>
          <w:lang w:val="en-US" w:eastAsia="zh-CN"/>
          <w14:textFill>
            <w14:solidFill>
              <w14:schemeClr w14:val="tx1"/>
            </w14:solidFill>
          </w14:textFill>
        </w:rPr>
        <w:t>现行国家标准</w:t>
      </w:r>
      <w:r>
        <w:rPr>
          <w:rFonts w:hint="eastAsia" w:ascii="宋体" w:hAnsi="宋体" w:eastAsia="宋体" w:cs="仿宋"/>
          <w:color w:val="000000" w:themeColor="text1"/>
          <w:sz w:val="18"/>
          <w:szCs w:val="18"/>
          <w14:textFill>
            <w14:solidFill>
              <w14:schemeClr w14:val="tx1"/>
            </w14:solidFill>
          </w14:textFill>
        </w:rPr>
        <w:t>《宽带光纤接入工程技术标准》（GB/T 51380）中的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规定；</w:t>
      </w:r>
    </w:p>
    <w:p>
      <w:pPr>
        <w:ind w:left="7" w:firstLine="360" w:firstLineChars="200"/>
        <w:rPr>
          <w:rFonts w:ascii="宋体" w:hAnsi="宋体" w:eastAsia="宋体" w:cs="仿宋"/>
          <w:color w:val="auto"/>
          <w:sz w:val="18"/>
          <w:szCs w:val="18"/>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FTTR</w:t>
      </w:r>
      <w:r>
        <w:rPr>
          <w:rFonts w:hint="eastAsia" w:ascii="宋体" w:hAnsi="宋体" w:eastAsia="宋体" w:cs="仿宋"/>
          <w:color w:val="auto"/>
          <w:sz w:val="18"/>
          <w:szCs w:val="18"/>
        </w:rPr>
        <w:t>主设备R/S端至FTTR从设备S/R端之间全程光链路衰耗指标应位于0dB～23d</w:t>
      </w:r>
      <w:r>
        <w:rPr>
          <w:rFonts w:hint="eastAsia" w:ascii="宋体" w:hAnsi="宋体" w:eastAsia="宋体" w:cs="仿宋"/>
          <w:color w:val="auto"/>
          <w:sz w:val="18"/>
          <w:szCs w:val="18"/>
          <w:lang w:val="en-US" w:eastAsia="zh-CN"/>
        </w:rPr>
        <w:t>B</w:t>
      </w:r>
      <w:r>
        <w:rPr>
          <w:rFonts w:hint="eastAsia" w:ascii="宋体" w:hAnsi="宋体" w:eastAsia="宋体" w:cs="仿宋"/>
          <w:color w:val="auto"/>
          <w:sz w:val="18"/>
          <w:szCs w:val="18"/>
        </w:rPr>
        <w:t>之间。</w:t>
      </w:r>
    </w:p>
    <w:p>
      <w:pPr>
        <w:rPr>
          <w:rFonts w:ascii="宋体" w:hAnsi="宋体" w:eastAsia="宋体" w:cs="仿宋"/>
          <w:color w:val="auto"/>
          <w:sz w:val="18"/>
          <w:szCs w:val="18"/>
          <w:highlight w:val="none"/>
        </w:rPr>
      </w:pPr>
      <w:r>
        <w:rPr>
          <w:rFonts w:hint="eastAsia" w:ascii="宋体" w:hAnsi="宋体" w:eastAsia="宋体" w:cs="仿宋"/>
          <w:color w:val="auto"/>
          <w:sz w:val="18"/>
          <w:szCs w:val="18"/>
        </w:rPr>
        <w:t>3.</w:t>
      </w:r>
      <w:r>
        <w:rPr>
          <w:rFonts w:hint="eastAsia" w:ascii="宋体" w:hAnsi="宋体" w:eastAsia="宋体" w:cs="仿宋"/>
          <w:color w:val="auto"/>
          <w:sz w:val="18"/>
          <w:szCs w:val="18"/>
          <w:lang w:val="en-US" w:eastAsia="zh-CN"/>
        </w:rPr>
        <w:t>3</w:t>
      </w:r>
      <w:r>
        <w:rPr>
          <w:rFonts w:hint="eastAsia" w:ascii="宋体" w:hAnsi="宋体" w:eastAsia="宋体" w:cs="仿宋"/>
          <w:color w:val="auto"/>
          <w:sz w:val="18"/>
          <w:szCs w:val="18"/>
        </w:rPr>
        <w:t>.2 FTTR主设</w:t>
      </w:r>
      <w:r>
        <w:rPr>
          <w:rFonts w:hint="eastAsia" w:ascii="宋体" w:hAnsi="宋体" w:eastAsia="宋体" w:cs="仿宋"/>
          <w:color w:val="auto"/>
          <w:sz w:val="18"/>
          <w:szCs w:val="18"/>
          <w:highlight w:val="none"/>
        </w:rPr>
        <w:t>备功能要求应符合下列规定：</w:t>
      </w:r>
    </w:p>
    <w:p>
      <w:pPr>
        <w:ind w:left="7" w:firstLine="360"/>
        <w:rPr>
          <w:rFonts w:ascii="宋体" w:hAnsi="宋体" w:eastAsia="宋体" w:cs="仿宋"/>
          <w:color w:val="auto"/>
          <w:sz w:val="18"/>
          <w:szCs w:val="18"/>
          <w:highlight w:val="none"/>
        </w:rPr>
      </w:pPr>
      <w:r>
        <w:rPr>
          <w:rFonts w:hint="eastAsia" w:ascii="宋体" w:hAnsi="宋体" w:eastAsia="宋体" w:cs="仿宋"/>
          <w:color w:val="auto"/>
          <w:sz w:val="18"/>
          <w:szCs w:val="18"/>
          <w:highlight w:val="none"/>
        </w:rPr>
        <w:t>1 上联应支持XG-PON</w:t>
      </w:r>
      <w:r>
        <w:rPr>
          <w:rFonts w:hint="eastAsia" w:ascii="宋体" w:hAnsi="宋体" w:eastAsia="宋体" w:cs="仿宋"/>
          <w:color w:val="auto"/>
          <w:sz w:val="18"/>
          <w:szCs w:val="18"/>
          <w:highlight w:val="none"/>
          <w:lang w:val="en-US" w:eastAsia="zh-CN"/>
        </w:rPr>
        <w:t>/</w:t>
      </w:r>
      <w:r>
        <w:rPr>
          <w:rFonts w:hint="eastAsia" w:ascii="宋体" w:hAnsi="宋体" w:eastAsia="宋体" w:cs="仿宋"/>
          <w:color w:val="auto"/>
          <w:sz w:val="18"/>
          <w:szCs w:val="18"/>
          <w:highlight w:val="none"/>
        </w:rPr>
        <w:t>1</w:t>
      </w:r>
      <w:r>
        <w:rPr>
          <w:rFonts w:ascii="宋体" w:hAnsi="宋体" w:eastAsia="宋体" w:cs="仿宋"/>
          <w:color w:val="auto"/>
          <w:sz w:val="18"/>
          <w:szCs w:val="18"/>
          <w:highlight w:val="none"/>
        </w:rPr>
        <w:t>0</w:t>
      </w:r>
      <w:r>
        <w:rPr>
          <w:rFonts w:hint="eastAsia" w:ascii="宋体" w:hAnsi="宋体" w:eastAsia="宋体" w:cs="仿宋"/>
          <w:color w:val="auto"/>
          <w:sz w:val="18"/>
          <w:szCs w:val="18"/>
          <w:highlight w:val="none"/>
        </w:rPr>
        <w:t>G</w:t>
      </w:r>
      <w:r>
        <w:rPr>
          <w:rFonts w:ascii="宋体" w:hAnsi="宋体" w:eastAsia="宋体" w:cs="仿宋"/>
          <w:color w:val="auto"/>
          <w:sz w:val="18"/>
          <w:szCs w:val="18"/>
          <w:highlight w:val="none"/>
        </w:rPr>
        <w:t xml:space="preserve"> </w:t>
      </w:r>
      <w:r>
        <w:rPr>
          <w:rFonts w:hint="eastAsia" w:ascii="宋体" w:hAnsi="宋体" w:eastAsia="宋体" w:cs="仿宋"/>
          <w:color w:val="auto"/>
          <w:sz w:val="18"/>
          <w:szCs w:val="18"/>
          <w:highlight w:val="none"/>
        </w:rPr>
        <w:t>EPON等10G</w:t>
      </w:r>
      <w:r>
        <w:rPr>
          <w:rFonts w:hint="eastAsia" w:ascii="宋体" w:hAnsi="宋体" w:eastAsia="宋体" w:cs="仿宋"/>
          <w:color w:val="auto"/>
          <w:sz w:val="18"/>
          <w:szCs w:val="18"/>
          <w:highlight w:val="none"/>
          <w:lang w:val="en-US" w:eastAsia="zh-CN"/>
        </w:rPr>
        <w:t xml:space="preserve"> </w:t>
      </w:r>
      <w:r>
        <w:rPr>
          <w:rFonts w:hint="eastAsia" w:ascii="宋体" w:hAnsi="宋体" w:eastAsia="宋体" w:cs="仿宋"/>
          <w:color w:val="auto"/>
          <w:sz w:val="18"/>
          <w:szCs w:val="18"/>
          <w:highlight w:val="none"/>
        </w:rPr>
        <w:t>PON接口功能要求；</w:t>
      </w:r>
    </w:p>
    <w:p>
      <w:pPr>
        <w:ind w:left="7" w:firstLine="360"/>
        <w:rPr>
          <w:rFonts w:hint="eastAsia" w:ascii="宋体" w:hAnsi="宋体" w:eastAsia="宋体" w:cs="仿宋"/>
          <w:color w:val="auto"/>
          <w:sz w:val="18"/>
          <w:szCs w:val="18"/>
          <w:lang w:eastAsia="zh-CN"/>
        </w:rPr>
      </w:pPr>
      <w:r>
        <w:rPr>
          <w:rFonts w:hint="eastAsia" w:ascii="宋体" w:hAnsi="宋体" w:eastAsia="宋体" w:cs="仿宋"/>
          <w:color w:val="auto"/>
          <w:sz w:val="18"/>
          <w:szCs w:val="18"/>
          <w:highlight w:val="none"/>
        </w:rPr>
        <w:t>2 下行光接口应支持通过分光器连接或多级级联从设备，</w:t>
      </w:r>
      <w:r>
        <w:rPr>
          <w:rFonts w:hint="eastAsia" w:ascii="宋体" w:hAnsi="宋体" w:eastAsia="宋体" w:cs="仿宋"/>
          <w:color w:val="auto"/>
          <w:sz w:val="18"/>
          <w:szCs w:val="18"/>
        </w:rPr>
        <w:t>最大从设备接入数量不少于16个</w:t>
      </w:r>
      <w:r>
        <w:rPr>
          <w:rFonts w:hint="eastAsia" w:ascii="宋体" w:hAnsi="宋体" w:eastAsia="宋体" w:cs="仿宋"/>
          <w:color w:val="auto"/>
          <w:sz w:val="18"/>
          <w:szCs w:val="18"/>
          <w:lang w:eastAsia="zh-CN"/>
        </w:rPr>
        <w:t>；</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auto"/>
          <w:sz w:val="18"/>
          <w:szCs w:val="18"/>
        </w:rPr>
        <w:t>3 下联应支持上行1.25Gbit/s和下行2.5Gbit/s光接</w:t>
      </w:r>
      <w:r>
        <w:rPr>
          <w:rFonts w:hint="eastAsia" w:ascii="宋体" w:hAnsi="宋体" w:eastAsia="宋体" w:cs="仿宋"/>
          <w:color w:val="000000" w:themeColor="text1"/>
          <w:sz w:val="18"/>
          <w:szCs w:val="18"/>
          <w14:textFill>
            <w14:solidFill>
              <w14:schemeClr w14:val="tx1"/>
            </w14:solidFill>
          </w14:textFill>
        </w:rPr>
        <w:t>口功能要求</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 可管理FTTR从设备内置或外设接入的Wi-Fi及路由器功能；</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 可监测和显示工作/故障状态；</w:t>
      </w:r>
    </w:p>
    <w:p>
      <w:pPr>
        <w:ind w:left="7" w:firstLine="360"/>
        <w:rPr>
          <w:rFonts w:ascii="宋体" w:hAnsi="宋体" w:eastAsia="宋体" w:cs="仿宋"/>
          <w:color w:val="000000" w:themeColor="text1"/>
          <w:sz w:val="18"/>
          <w:szCs w:val="18"/>
          <w:highlight w:val="none"/>
          <w14:textFill>
            <w14:solidFill>
              <w14:schemeClr w14:val="tx1"/>
            </w14:solidFill>
          </w14:textFill>
        </w:rPr>
      </w:pPr>
      <w:r>
        <w:rPr>
          <w:rFonts w:hint="eastAsia" w:ascii="宋体" w:hAnsi="宋体" w:eastAsia="宋体" w:cs="仿宋"/>
          <w:color w:val="000000" w:themeColor="text1"/>
          <w:sz w:val="18"/>
          <w:szCs w:val="18"/>
          <w:highlight w:val="none"/>
          <w14:textFill>
            <w14:solidFill>
              <w14:schemeClr w14:val="tx1"/>
            </w14:solidFill>
          </w14:textFill>
        </w:rPr>
        <w:t>6 根据工程需要可提供以太网接口、Wi-Fi接口</w:t>
      </w:r>
      <w:r>
        <w:rPr>
          <w:rFonts w:hint="eastAsia" w:ascii="宋体" w:hAnsi="宋体" w:eastAsia="宋体" w:cs="仿宋"/>
          <w:color w:val="000000" w:themeColor="text1"/>
          <w:sz w:val="18"/>
          <w:szCs w:val="18"/>
          <w:highlight w:val="none"/>
          <w:lang w:eastAsia="zh-CN"/>
          <w14:textFill>
            <w14:solidFill>
              <w14:schemeClr w14:val="tx1"/>
            </w14:solidFill>
          </w14:textFill>
        </w:rPr>
        <w:t>、</w:t>
      </w:r>
      <w:r>
        <w:rPr>
          <w:rFonts w:hint="eastAsia" w:ascii="宋体" w:hAnsi="宋体" w:eastAsia="宋体" w:cs="仿宋"/>
          <w:color w:val="000000" w:themeColor="text1"/>
          <w:sz w:val="18"/>
          <w:szCs w:val="18"/>
          <w:highlight w:val="none"/>
          <w14:textFill>
            <w14:solidFill>
              <w14:schemeClr w14:val="tx1"/>
            </w14:solidFill>
          </w14:textFill>
        </w:rPr>
        <w:t>POTS接口及USB接口；</w:t>
      </w:r>
    </w:p>
    <w:p>
      <w:pPr>
        <w:ind w:left="7" w:firstLine="360"/>
        <w:rPr>
          <w:rFonts w:ascii="宋体" w:hAnsi="宋体" w:eastAsia="宋体" w:cs="仿宋"/>
          <w:color w:val="000000" w:themeColor="text1"/>
          <w:sz w:val="18"/>
          <w:szCs w:val="18"/>
          <w:highlight w:val="none"/>
          <w14:textFill>
            <w14:solidFill>
              <w14:schemeClr w14:val="tx1"/>
            </w14:solidFill>
          </w14:textFill>
        </w:rPr>
      </w:pPr>
      <w:r>
        <w:rPr>
          <w:rFonts w:hint="eastAsia" w:ascii="宋体" w:hAnsi="宋体" w:eastAsia="宋体" w:cs="仿宋"/>
          <w:color w:val="000000" w:themeColor="text1"/>
          <w:sz w:val="18"/>
          <w:szCs w:val="18"/>
          <w:highlight w:val="none"/>
          <w14:textFill>
            <w14:solidFill>
              <w14:schemeClr w14:val="tx1"/>
            </w14:solidFill>
          </w14:textFill>
        </w:rPr>
        <w:t>7 宜内置电源模块，也可提供外接直流电源输入端口，功耗不宜大于30W。</w:t>
      </w:r>
    </w:p>
    <w:p>
      <w:pPr>
        <w:rPr>
          <w:rFonts w:ascii="宋体" w:hAnsi="宋体" w:eastAsia="宋体" w:cs="仿宋"/>
          <w:color w:val="000000" w:themeColor="text1"/>
          <w:sz w:val="18"/>
          <w:szCs w:val="18"/>
          <w:highlight w:val="none"/>
          <w14:textFill>
            <w14:solidFill>
              <w14:schemeClr w14:val="tx1"/>
            </w14:solidFill>
          </w14:textFill>
        </w:rPr>
      </w:pPr>
      <w:r>
        <w:rPr>
          <w:rFonts w:hint="eastAsia" w:ascii="宋体" w:hAnsi="宋体" w:eastAsia="宋体" w:cs="仿宋"/>
          <w:color w:val="000000" w:themeColor="text1"/>
          <w:sz w:val="18"/>
          <w:szCs w:val="18"/>
          <w:highlight w:val="none"/>
          <w14:textFill>
            <w14:solidFill>
              <w14:schemeClr w14:val="tx1"/>
            </w14:solidFill>
          </w14:textFill>
        </w:rPr>
        <w:t>3.</w:t>
      </w:r>
      <w:r>
        <w:rPr>
          <w:rFonts w:hint="eastAsia" w:ascii="宋体" w:hAnsi="宋体" w:eastAsia="宋体" w:cs="仿宋"/>
          <w:color w:val="000000" w:themeColor="text1"/>
          <w:sz w:val="18"/>
          <w:szCs w:val="18"/>
          <w:highlight w:val="none"/>
          <w:lang w:val="en-US" w:eastAsia="zh-CN"/>
          <w14:textFill>
            <w14:solidFill>
              <w14:schemeClr w14:val="tx1"/>
            </w14:solidFill>
          </w14:textFill>
        </w:rPr>
        <w:t>3</w:t>
      </w:r>
      <w:r>
        <w:rPr>
          <w:rFonts w:hint="eastAsia" w:ascii="宋体" w:hAnsi="宋体" w:eastAsia="宋体" w:cs="仿宋"/>
          <w:color w:val="000000" w:themeColor="text1"/>
          <w:sz w:val="18"/>
          <w:szCs w:val="18"/>
          <w:highlight w:val="none"/>
          <w14:textFill>
            <w14:solidFill>
              <w14:schemeClr w14:val="tx1"/>
            </w14:solidFill>
          </w14:textFill>
        </w:rPr>
        <w:t>.3 FTTR从设备功能要求应符合下列规定：</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highlight w:val="none"/>
          <w14:textFill>
            <w14:solidFill>
              <w14:schemeClr w14:val="tx1"/>
            </w14:solidFill>
          </w14:textFill>
        </w:rPr>
        <w:t>1上联应支持上行1.25Gbit/s,下行2.5Gbit/s传输速率的光接口功能要求。上行光接口为光电</w:t>
      </w:r>
      <w:r>
        <w:rPr>
          <w:rFonts w:hint="eastAsia" w:ascii="宋体" w:hAnsi="宋体" w:eastAsia="宋体" w:cs="仿宋"/>
          <w:color w:val="000000" w:themeColor="text1"/>
          <w:sz w:val="18"/>
          <w:szCs w:val="18"/>
          <w14:textFill>
            <w14:solidFill>
              <w14:schemeClr w14:val="tx1"/>
            </w14:solidFill>
          </w14:textFill>
        </w:rPr>
        <w:t>复合接口时，同时提供光信号和电源输入</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ascii="宋体" w:hAnsi="宋体" w:eastAsia="宋体" w:cs="仿宋"/>
          <w:color w:val="000000" w:themeColor="text1"/>
          <w:sz w:val="18"/>
          <w:szCs w:val="18"/>
          <w:highlight w:val="none"/>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 支持接入1000Mbit/s电端口，用于接入各类IP业务终端设备；</w:t>
      </w:r>
    </w:p>
    <w:p>
      <w:pPr>
        <w:ind w:left="7" w:firstLine="360"/>
        <w:rPr>
          <w:rFonts w:ascii="宋体" w:hAnsi="宋体" w:eastAsia="宋体" w:cs="仿宋"/>
          <w:color w:val="000000" w:themeColor="text1"/>
          <w:sz w:val="18"/>
          <w:szCs w:val="18"/>
          <w:highlight w:val="none"/>
          <w14:textFill>
            <w14:solidFill>
              <w14:schemeClr w14:val="tx1"/>
            </w14:solidFill>
          </w14:textFill>
        </w:rPr>
      </w:pPr>
      <w:r>
        <w:rPr>
          <w:rFonts w:hint="eastAsia" w:ascii="宋体" w:hAnsi="宋体" w:eastAsia="宋体" w:cs="仿宋"/>
          <w:color w:val="000000" w:themeColor="text1"/>
          <w:sz w:val="18"/>
          <w:szCs w:val="18"/>
          <w:highlight w:val="none"/>
          <w14:textFill>
            <w14:solidFill>
              <w14:schemeClr w14:val="tx1"/>
            </w14:solidFill>
          </w14:textFill>
        </w:rPr>
        <w:t>3 支持2.4GHz/5GHz双频Wi-Fi</w:t>
      </w:r>
      <w:r>
        <w:rPr>
          <w:rFonts w:ascii="宋体" w:hAnsi="宋体" w:eastAsia="宋体" w:cs="仿宋"/>
          <w:color w:val="000000" w:themeColor="text1"/>
          <w:sz w:val="18"/>
          <w:szCs w:val="18"/>
          <w:highlight w:val="none"/>
          <w14:textFill>
            <w14:solidFill>
              <w14:schemeClr w14:val="tx1"/>
            </w14:solidFill>
          </w14:textFill>
        </w:rPr>
        <w:t>6</w:t>
      </w:r>
      <w:r>
        <w:rPr>
          <w:rFonts w:hint="eastAsia" w:ascii="宋体" w:hAnsi="宋体" w:eastAsia="宋体" w:cs="仿宋"/>
          <w:color w:val="000000" w:themeColor="text1"/>
          <w:sz w:val="18"/>
          <w:szCs w:val="18"/>
          <w:highlight w:val="none"/>
          <w14:textFill>
            <w14:solidFill>
              <w14:schemeClr w14:val="tx1"/>
            </w14:solidFill>
          </w14:textFill>
        </w:rPr>
        <w:t>接入；</w:t>
      </w:r>
    </w:p>
    <w:p>
      <w:pPr>
        <w:ind w:left="7" w:firstLine="360"/>
        <w:rPr>
          <w:rFonts w:ascii="宋体" w:hAnsi="宋体" w:eastAsia="宋体" w:cs="仿宋"/>
          <w:color w:val="000000" w:themeColor="text1"/>
          <w:sz w:val="18"/>
          <w:szCs w:val="18"/>
          <w:highlight w:val="none"/>
          <w14:textFill>
            <w14:solidFill>
              <w14:schemeClr w14:val="tx1"/>
            </w14:solidFill>
          </w14:textFill>
        </w:rPr>
      </w:pPr>
      <w:r>
        <w:rPr>
          <w:rFonts w:hint="eastAsia" w:ascii="宋体" w:hAnsi="宋体" w:eastAsia="宋体" w:cs="仿宋"/>
          <w:color w:val="000000" w:themeColor="text1"/>
          <w:sz w:val="18"/>
          <w:szCs w:val="18"/>
          <w:highlight w:val="none"/>
          <w14:textFill>
            <w14:solidFill>
              <w14:schemeClr w14:val="tx1"/>
            </w14:solidFill>
          </w14:textFill>
        </w:rPr>
        <w:t>4 支持PSTN语音接入；</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 FTTR从设备输入直流电压不应小于38V</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6 </w:t>
      </w:r>
      <w:r>
        <w:rPr>
          <w:rFonts w:hint="eastAsia" w:ascii="宋体" w:hAnsi="宋体" w:eastAsia="宋体" w:cs="仿宋"/>
          <w:color w:val="000000" w:themeColor="text1"/>
          <w:sz w:val="18"/>
          <w:szCs w:val="18"/>
          <w14:textFill>
            <w14:solidFill>
              <w14:schemeClr w14:val="tx1"/>
            </w14:solidFill>
          </w14:textFill>
        </w:rPr>
        <w:t>根据工程需要可提供无线网络（Wi-Fi）和千兆以太网（GE）接口接入各种上网终端</w:t>
      </w:r>
      <w:r>
        <w:rPr>
          <w:rFonts w:hint="eastAsia" w:ascii="宋体" w:hAnsi="宋体" w:eastAsia="宋体" w:cs="仿宋"/>
          <w:color w:val="000000" w:themeColor="text1"/>
          <w:sz w:val="18"/>
          <w:szCs w:val="18"/>
          <w:lang w:eastAsia="zh-CN"/>
          <w14:textFill>
            <w14:solidFill>
              <w14:schemeClr w14:val="tx1"/>
            </w14:solidFill>
          </w14:textFill>
        </w:rPr>
        <w:t>。</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.4 光分配网络设计应符合下列规定：</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 光分配网络的设计方案应结合入户光缆、建筑室内结构、客户需求等因素综合确定</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 光纤宜选用G.657a2类单模光纤；光缆芯数宜为单芯或双芯，外护套颜色宜为白色，其光缆特性应符合</w:t>
      </w:r>
      <w:r>
        <w:rPr>
          <w:rFonts w:hint="eastAsia" w:ascii="宋体" w:hAnsi="宋体" w:eastAsia="宋体" w:cs="仿宋"/>
          <w:color w:val="000000" w:themeColor="text1"/>
          <w:sz w:val="18"/>
          <w:szCs w:val="18"/>
          <w:lang w:val="en-US" w:eastAsia="zh-CN"/>
          <w14:textFill>
            <w14:solidFill>
              <w14:schemeClr w14:val="tx1"/>
            </w14:solidFill>
          </w14:textFill>
        </w:rPr>
        <w:t>现行行业标准</w:t>
      </w:r>
      <w:r>
        <w:rPr>
          <w:rFonts w:hint="eastAsia" w:ascii="宋体" w:hAnsi="宋体" w:eastAsia="宋体" w:cs="仿宋"/>
          <w:color w:val="000000" w:themeColor="text1"/>
          <w:sz w:val="18"/>
          <w:szCs w:val="18"/>
          <w14:textFill>
            <w14:solidFill>
              <w14:schemeClr w14:val="tx1"/>
            </w14:solidFill>
          </w14:textFill>
        </w:rPr>
        <w:t>《室内光缆系列第3部分：房屋布线用单芯和双芯光缆》（YD/T 1258.3）中的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要求；</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 光缆明线敷设时宜选用隐形光缆，其特性应符合</w:t>
      </w:r>
      <w:r>
        <w:rPr>
          <w:rFonts w:hint="eastAsia" w:ascii="宋体" w:hAnsi="宋体" w:eastAsia="宋体" w:cs="仿宋"/>
          <w:color w:val="000000" w:themeColor="text1"/>
          <w:sz w:val="18"/>
          <w:szCs w:val="18"/>
          <w:lang w:val="en-US" w:eastAsia="zh-CN"/>
          <w14:textFill>
            <w14:solidFill>
              <w14:schemeClr w14:val="tx1"/>
            </w14:solidFill>
          </w14:textFill>
        </w:rPr>
        <w:t>现行行业标准</w:t>
      </w:r>
      <w:r>
        <w:rPr>
          <w:rFonts w:hint="eastAsia" w:ascii="宋体" w:hAnsi="宋体" w:eastAsia="宋体" w:cs="仿宋"/>
          <w:color w:val="000000" w:themeColor="text1"/>
          <w:sz w:val="18"/>
          <w:szCs w:val="18"/>
          <w14:textFill>
            <w14:solidFill>
              <w14:schemeClr w14:val="tx1"/>
            </w14:solidFill>
          </w14:textFill>
        </w:rPr>
        <w:t>《室内光缆 第7部分：隐形光缆》（YD/T 1258.7）中的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要求；</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 光缆暗管敷设时宜选用蝶形光缆，其特性应符合</w:t>
      </w:r>
      <w:r>
        <w:rPr>
          <w:rFonts w:hint="eastAsia" w:ascii="宋体" w:hAnsi="宋体" w:eastAsia="宋体" w:cs="仿宋"/>
          <w:color w:val="000000" w:themeColor="text1"/>
          <w:sz w:val="18"/>
          <w:szCs w:val="18"/>
          <w:lang w:val="en-US" w:eastAsia="zh-CN"/>
          <w14:textFill>
            <w14:solidFill>
              <w14:schemeClr w14:val="tx1"/>
            </w14:solidFill>
          </w14:textFill>
        </w:rPr>
        <w:t>现行行业标准</w:t>
      </w:r>
      <w:r>
        <w:rPr>
          <w:rFonts w:hint="eastAsia" w:ascii="宋体" w:hAnsi="宋体" w:eastAsia="宋体" w:cs="仿宋"/>
          <w:color w:val="000000" w:themeColor="text1"/>
          <w:sz w:val="18"/>
          <w:szCs w:val="18"/>
          <w14:textFill>
            <w14:solidFill>
              <w14:schemeClr w14:val="tx1"/>
            </w14:solidFill>
          </w14:textFill>
        </w:rPr>
        <w:t>《通信用引入光缆 第1部分：蝶形光缆》（YD/T 1997.1）中的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要求；</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 当光电分路器或FTTR从设备取电困难时宜选用光电混合缆，其特性应符合</w:t>
      </w:r>
      <w:r>
        <w:rPr>
          <w:rFonts w:hint="eastAsia" w:ascii="宋体" w:hAnsi="宋体" w:eastAsia="宋体" w:cs="仿宋"/>
          <w:color w:val="000000" w:themeColor="text1"/>
          <w:sz w:val="18"/>
          <w:szCs w:val="18"/>
          <w:lang w:val="en-US" w:eastAsia="zh-CN"/>
          <w14:textFill>
            <w14:solidFill>
              <w14:schemeClr w14:val="tx1"/>
            </w14:solidFill>
          </w14:textFill>
        </w:rPr>
        <w:t>现行标准</w:t>
      </w:r>
      <w:r>
        <w:rPr>
          <w:rFonts w:hint="eastAsia" w:ascii="宋体" w:hAnsi="宋体" w:eastAsia="宋体" w:cs="仿宋"/>
          <w:color w:val="000000" w:themeColor="text1"/>
          <w:sz w:val="18"/>
          <w:szCs w:val="18"/>
          <w14:textFill>
            <w14:solidFill>
              <w14:schemeClr w14:val="tx1"/>
            </w14:solidFill>
          </w14:textFill>
        </w:rPr>
        <w:t>《通信用引入光缆 第4部分：光电混合缆》（YD/T 1997.4）中的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要求，其中光电混合缆中的供电电线规格应符合下列规定</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FTTR主设备为单个光电分路器供电时，电线外径不应小于0.813mm（20AWG）。</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光电分路器为FTTR从设备供电时，电线外径不应小于0.404mm（26AWG）。</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.5 FTTR网管系统设计宜采用集中化管理，独立部署，FTTR网管系统应具备以下功能：</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1具有对光纤到房间（FTTR）工程系统内的FTTR主设备、FTTR从设备及Wi-Fi网络进行统一管理能力；</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2可实时地对网络拓扑结构、设备运行信息，实现检测和配置；</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3可实现远程故障定位，自动识别网络干扰、覆盖、连接状况及设备类故障快速分析；</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4可实现对室内Wi-Fi网络运行参数优化</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5具有安全认证管理的功能。</w:t>
      </w:r>
    </w:p>
    <w:p>
      <w:pPr>
        <w:pStyle w:val="4"/>
        <w:spacing w:line="240" w:lineRule="auto"/>
        <w:ind w:firstLine="1890" w:firstLineChars="900"/>
        <w:rPr>
          <w:rFonts w:ascii="黑体" w:hAnsi="黑体" w:eastAsia="黑体" w:cs="黑体"/>
          <w:color w:val="000000" w:themeColor="text1"/>
          <w:sz w:val="21"/>
          <w:szCs w:val="21"/>
          <w14:textFill>
            <w14:solidFill>
              <w14:schemeClr w14:val="tx1"/>
            </w14:solidFill>
          </w14:textFill>
        </w:rPr>
      </w:pPr>
      <w:bookmarkStart w:id="17" w:name="_Toc12370"/>
      <w:r>
        <w:rPr>
          <w:rFonts w:hint="eastAsia" w:ascii="黑体" w:hAnsi="黑体" w:eastAsia="黑体" w:cs="黑体"/>
          <w:b w:val="0"/>
          <w:bCs/>
          <w:color w:val="000000" w:themeColor="text1"/>
          <w:sz w:val="21"/>
          <w:szCs w:val="21"/>
          <w14:textFill>
            <w14:solidFill>
              <w14:schemeClr w14:val="tx1"/>
            </w14:solidFill>
          </w14:textFill>
        </w:rPr>
        <w:t>3.</w:t>
      </w:r>
      <w:r>
        <w:rPr>
          <w:rFonts w:hint="eastAsia" w:ascii="黑体" w:hAnsi="黑体" w:eastAsia="黑体" w:cs="黑体"/>
          <w:b w:val="0"/>
          <w:bCs/>
          <w:color w:val="000000" w:themeColor="text1"/>
          <w:sz w:val="21"/>
          <w:szCs w:val="21"/>
          <w:lang w:val="en-US" w:eastAsia="zh-CN"/>
          <w14:textFill>
            <w14:solidFill>
              <w14:schemeClr w14:val="tx1"/>
            </w14:solidFill>
          </w14:textFill>
        </w:rPr>
        <w:t>4</w:t>
      </w:r>
      <w:r>
        <w:rPr>
          <w:rFonts w:hint="eastAsia" w:ascii="黑体" w:hAnsi="黑体" w:eastAsia="黑体" w:cs="黑体"/>
          <w:b w:val="0"/>
          <w:bCs/>
          <w:color w:val="000000" w:themeColor="text1"/>
          <w:sz w:val="21"/>
          <w:szCs w:val="21"/>
          <w14:textFill>
            <w14:solidFill>
              <w14:schemeClr w14:val="tx1"/>
            </w14:solidFill>
          </w14:textFill>
        </w:rPr>
        <w:t xml:space="preserve"> 设备配置</w:t>
      </w:r>
      <w:bookmarkEnd w:id="17"/>
    </w:p>
    <w:p>
      <w:pPr>
        <w:ind w:left="7"/>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.1 FTTR主从设备安装位置设计应结合室内线缆走向路由及敷设安装、运行维护等多种因素，并应符合下列规定：</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1住宅内的客厅或家居配线箱处宜设置FTTR主设备。卧室、书房、厨房宜各设置1个FTTR从设备</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 商务楼宇内的每个业务房间宜配置1个FTTR从设备，当室内未划定功能区域时，宜约40㎡面积设置1个FTTR从设备，或按楼层平面规划布局设置。FTTR主设备宜设置于单位或公司机房内的信息配线箱或网络柜中；</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 当室内设置1个FTTR主设备和1个FTTR从设备，宜成对角放置；当室内设置1个FTTR主设备和2个FTTR从设备，宜成“品”字形放置。</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.2 FTTR主从设备可采用桌面式、面板式、插座式、吸顶式安装或机柜内安装，安装环境应符合下列规定：</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 桌面式安装环境应符合下列规定：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应选择覆盖区域中心位置或开阔处进行安装；</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不应放置在金属屋内、承重墙内或金属支架下；</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不应靠近易燃物品摆放，避免阳光直射，远离潮湿、油腻、腐蚀和强磁的环境；</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不应与其他发热设备堆叠摆放；</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天线的方向上不要有遮挡物；</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不宜放置于地面，应保持一定的高度，一般宜放置于桌/柜面上。</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 面板式或插座式安装环境应符合下列规定：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面板式宜安装于具备AC 220V电源插座旁；且距地面高度应与电源插座距地面高度相同，应不低于300mm；</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插座式宜与光电混合缆配合使用，宜安装于侧墙面上，安装高度可根据用户要求设定</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 吸顶式安装位置应符合下列规定：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宜选择覆盖区域中心的正上方位置；</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不宜安装于天花板、吊顶内。</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 机柜内安装环境要求应符合</w:t>
      </w:r>
      <w:r>
        <w:rPr>
          <w:rFonts w:hint="eastAsia" w:ascii="宋体" w:hAnsi="宋体" w:eastAsia="宋体" w:cs="仿宋"/>
          <w:color w:val="000000" w:themeColor="text1"/>
          <w:sz w:val="18"/>
          <w:szCs w:val="18"/>
          <w:lang w:val="en-US" w:eastAsia="zh-CN"/>
          <w14:textFill>
            <w14:solidFill>
              <w14:schemeClr w14:val="tx1"/>
            </w14:solidFill>
          </w14:textFill>
        </w:rPr>
        <w:t>现行行业规范</w:t>
      </w:r>
      <w:r>
        <w:rPr>
          <w:rFonts w:hint="eastAsia" w:ascii="宋体" w:hAnsi="宋体" w:eastAsia="宋体" w:cs="仿宋"/>
          <w:color w:val="000000" w:themeColor="text1"/>
          <w:sz w:val="18"/>
          <w:szCs w:val="18"/>
          <w14:textFill>
            <w14:solidFill>
              <w14:schemeClr w14:val="tx1"/>
            </w14:solidFill>
          </w14:textFill>
        </w:rPr>
        <w:t>《有线接入网设备安装工程设计规范》（YD/T 5139）中的</w:t>
      </w:r>
      <w:r>
        <w:rPr>
          <w:rFonts w:hint="eastAsia" w:ascii="宋体" w:hAnsi="宋体" w:eastAsia="宋体" w:cs="仿宋"/>
          <w:color w:val="000000" w:themeColor="text1"/>
          <w:sz w:val="18"/>
          <w:szCs w:val="18"/>
          <w:lang w:val="en-US" w:eastAsia="zh-CN"/>
          <w14:textFill>
            <w14:solidFill>
              <w14:schemeClr w14:val="tx1"/>
            </w14:solidFill>
          </w14:textFill>
        </w:rPr>
        <w:t>有</w:t>
      </w:r>
      <w:r>
        <w:rPr>
          <w:rFonts w:hint="eastAsia" w:ascii="宋体" w:hAnsi="宋体" w:eastAsia="宋体" w:cs="仿宋"/>
          <w:color w:val="000000" w:themeColor="text1"/>
          <w:sz w:val="18"/>
          <w:szCs w:val="18"/>
          <w14:textFill>
            <w14:solidFill>
              <w14:schemeClr w14:val="tx1"/>
            </w14:solidFill>
          </w14:textFill>
        </w:rPr>
        <w:t>关规定。</w:t>
      </w:r>
    </w:p>
    <w:p>
      <w:pPr>
        <w:rPr>
          <w:rFonts w:ascii="宋体" w:hAnsi="宋体" w:eastAsia="宋体" w:cs="仿宋"/>
          <w:color w:val="FF0000"/>
          <w:sz w:val="18"/>
          <w:szCs w:val="18"/>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.3光/光电分路器设计应符合下列规定：</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1当FTTR从设备采用桌面式安装时，宜选用光分路器；当FTTR从设备采用吸顶式或面板式安装时，宜选用光电分路器</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2光/光电分路器宜选用面板式，应具有1类激光产品说明标记，其标记应符合</w:t>
      </w:r>
      <w:r>
        <w:rPr>
          <w:rFonts w:hint="eastAsia" w:ascii="宋体" w:hAnsi="宋体" w:eastAsia="宋体" w:cs="仿宋"/>
          <w:color w:val="000000" w:themeColor="text1"/>
          <w:sz w:val="18"/>
          <w:szCs w:val="18"/>
          <w:lang w:val="en-US" w:eastAsia="zh-CN"/>
          <w14:textFill>
            <w14:solidFill>
              <w14:schemeClr w14:val="tx1"/>
            </w14:solidFill>
          </w14:textFill>
        </w:rPr>
        <w:t>现行国家标准</w:t>
      </w:r>
      <w:r>
        <w:rPr>
          <w:rFonts w:hint="eastAsia" w:ascii="宋体" w:hAnsi="宋体" w:eastAsia="宋体" w:cs="仿宋"/>
          <w:color w:val="000000" w:themeColor="text1"/>
          <w:sz w:val="18"/>
          <w:szCs w:val="18"/>
          <w14:textFill>
            <w14:solidFill>
              <w14:schemeClr w14:val="tx1"/>
            </w14:solidFill>
          </w14:textFill>
        </w:rPr>
        <w:t>《激光产品的安全第1部分：设备分类、要求》（GB 7247.1）中的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要求。</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3光分路器选用</w:t>
      </w:r>
      <w:r>
        <w:rPr>
          <w:rFonts w:hint="eastAsia" w:ascii="宋体" w:hAnsi="宋体" w:eastAsia="宋体" w:cs="仿宋"/>
          <w:color w:val="000000" w:themeColor="text1"/>
          <w:sz w:val="18"/>
          <w:szCs w:val="18"/>
          <w:lang w:val="en-US" w:eastAsia="zh-CN"/>
          <w14:textFill>
            <w14:solidFill>
              <w14:schemeClr w14:val="tx1"/>
            </w14:solidFill>
          </w14:textFill>
        </w:rPr>
        <w:t>宜符合以下</w:t>
      </w:r>
      <w:r>
        <w:rPr>
          <w:rFonts w:hint="eastAsia" w:ascii="宋体" w:hAnsi="宋体" w:eastAsia="宋体" w:cs="仿宋"/>
          <w:color w:val="000000" w:themeColor="text1"/>
          <w:sz w:val="18"/>
          <w:szCs w:val="18"/>
          <w14:textFill>
            <w14:solidFill>
              <w14:schemeClr w14:val="tx1"/>
            </w14:solidFill>
          </w14:textFill>
        </w:rPr>
        <w:t>要求</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等比光分路器宜选用1×4和1×8型号，其光学性能应符</w:t>
      </w:r>
    </w:p>
    <w:p>
      <w:pPr>
        <w:numPr>
          <w:ilvl w:val="0"/>
          <w:numId w:val="0"/>
        </w:numPr>
        <w:ind w:leftChars="-3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合</w:t>
      </w:r>
      <w:r>
        <w:rPr>
          <w:rFonts w:hint="eastAsia" w:ascii="宋体" w:hAnsi="宋体" w:eastAsia="宋体" w:cs="仿宋"/>
          <w:color w:val="000000" w:themeColor="text1"/>
          <w:sz w:val="18"/>
          <w:szCs w:val="18"/>
          <w:lang w:val="en-US" w:eastAsia="zh-CN"/>
          <w14:textFill>
            <w14:solidFill>
              <w14:schemeClr w14:val="tx1"/>
            </w14:solidFill>
          </w14:textFill>
        </w:rPr>
        <w:t>现行行业标准</w:t>
      </w:r>
      <w:r>
        <w:rPr>
          <w:rFonts w:hint="eastAsia" w:ascii="宋体" w:hAnsi="宋体" w:eastAsia="宋体" w:cs="仿宋"/>
          <w:color w:val="000000" w:themeColor="text1"/>
          <w:sz w:val="18"/>
          <w:szCs w:val="18"/>
          <w14:textFill>
            <w14:solidFill>
              <w14:schemeClr w14:val="tx1"/>
            </w14:solidFill>
          </w14:textFill>
        </w:rPr>
        <w:t>《平面光波导集成光路器件 第1部分：基于平面光波导(PLC)的光功率分路器》（YD/T 2000.1）中的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要求；</w:t>
      </w:r>
    </w:p>
    <w:p>
      <w:pPr>
        <w:numPr>
          <w:ilvl w:val="0"/>
          <w:numId w:val="0"/>
        </w:num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不等比光分路器宜选用1×5和1×9型号，其光学性能应符</w:t>
      </w:r>
    </w:p>
    <w:p>
      <w:pPr>
        <w:numPr>
          <w:ilvl w:val="0"/>
          <w:numId w:val="0"/>
        </w:numPr>
        <w:ind w:leftChars="-3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合</w:t>
      </w:r>
      <w:r>
        <w:rPr>
          <w:rFonts w:hint="eastAsia" w:ascii="宋体" w:hAnsi="宋体" w:eastAsia="宋体" w:cs="仿宋"/>
          <w:color w:val="000000" w:themeColor="text1"/>
          <w:sz w:val="18"/>
          <w:szCs w:val="18"/>
          <w:lang w:val="en-US" w:eastAsia="zh-CN"/>
          <w14:textFill>
            <w14:solidFill>
              <w14:schemeClr w14:val="tx1"/>
            </w14:solidFill>
          </w14:textFill>
        </w:rPr>
        <w:t>现行行业标准</w:t>
      </w:r>
      <w:r>
        <w:rPr>
          <w:rFonts w:hint="eastAsia" w:ascii="宋体" w:hAnsi="宋体" w:eastAsia="宋体" w:cs="仿宋"/>
          <w:color w:val="000000" w:themeColor="text1"/>
          <w:sz w:val="18"/>
          <w:szCs w:val="18"/>
          <w14:textFill>
            <w14:solidFill>
              <w14:schemeClr w14:val="tx1"/>
            </w14:solidFill>
          </w14:textFill>
        </w:rPr>
        <w:t>《全光纤型分支器件技术条件》（YD/T 1117）中的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要求；</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4光电分路器选用除了满足光分路器的选用要求外，还应符合下列规定：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光电分路器应具有电源或光电混合端口；</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光电分路器的电源为电源输入端口，应采用现场外置AC 220V交流电源适配器供给的方式；</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光电分路器的电源为光电混合输入端口，应采用FTTR主设备供给的方式；</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光电分路器的电源端口输出直流电压应为48V～57V；</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光电分路器内的直流电源模块应具有输入过流保护、输入欠压保护、输出过压保护、输出过流保护等功能。</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 光/光电分路器设置</w:t>
      </w:r>
      <w:r>
        <w:rPr>
          <w:rFonts w:hint="eastAsia" w:ascii="宋体" w:hAnsi="宋体" w:eastAsia="宋体" w:cs="仿宋"/>
          <w:color w:val="000000" w:themeColor="text1"/>
          <w:sz w:val="18"/>
          <w:szCs w:val="18"/>
          <w:lang w:val="en-US" w:eastAsia="zh-CN"/>
          <w14:textFill>
            <w14:solidFill>
              <w14:schemeClr w14:val="tx1"/>
            </w14:solidFill>
          </w14:textFill>
        </w:rPr>
        <w:t>宜符合以下</w:t>
      </w:r>
      <w:r>
        <w:rPr>
          <w:rFonts w:hint="eastAsia" w:ascii="宋体" w:hAnsi="宋体" w:eastAsia="宋体" w:cs="仿宋"/>
          <w:color w:val="000000" w:themeColor="text1"/>
          <w:sz w:val="18"/>
          <w:szCs w:val="18"/>
          <w14:textFill>
            <w14:solidFill>
              <w14:schemeClr w14:val="tx1"/>
            </w14:solidFill>
          </w14:textFill>
        </w:rPr>
        <w:t>要求</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光/光电分路器级联时，级联数不宜大于4级；</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光/光电分路器宜设置于居住建筑内的信息配线箱、公共建</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筑内的电信间或设备间等光缆汇聚点位置；</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电源输入的光电分路器时,宜设置于具备AC 220V带保护接地的单相交流单元插座旁。</w:t>
      </w:r>
    </w:p>
    <w:p>
      <w:pPr>
        <w:rPr>
          <w:rFonts w:ascii="宋体" w:hAnsi="宋体" w:eastAsia="宋体" w:cs="仿宋"/>
          <w:color w:val="FF0000"/>
          <w:sz w:val="18"/>
          <w:szCs w:val="18"/>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.4光纤面板设计应符合下列规定：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1光纤面板宜采用标准86系列面板，底盒深度不应小于60mm；</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rPr>
        <w:t>2光纤面板宜设置于电源插座旁，面板底边应与电源插座底边平行，距地高度宜为300mm；当采用PoE或光电混合缆进行远程供电时，其安装位置可不受电源插座位置的限制</w:t>
      </w:r>
      <w:r>
        <w:rPr>
          <w:rFonts w:hint="eastAsia" w:ascii="宋体" w:hAnsi="宋体" w:eastAsia="宋体" w:cs="仿宋"/>
          <w:color w:val="auto"/>
          <w:sz w:val="18"/>
          <w:szCs w:val="18"/>
          <w:lang w:eastAsia="zh-CN"/>
        </w:rPr>
        <w:t>；</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3光纤面板应具有1类激光产品说明标记，其标记应符合</w:t>
      </w:r>
      <w:r>
        <w:rPr>
          <w:rFonts w:hint="eastAsia" w:ascii="宋体" w:hAnsi="宋体" w:eastAsia="宋体" w:cs="仿宋"/>
          <w:color w:val="auto"/>
          <w:sz w:val="18"/>
          <w:szCs w:val="18"/>
          <w:lang w:val="en-US" w:eastAsia="zh-CN"/>
        </w:rPr>
        <w:t>现行国家标准</w:t>
      </w:r>
      <w:r>
        <w:rPr>
          <w:rFonts w:hint="eastAsia" w:ascii="宋体" w:hAnsi="宋体" w:eastAsia="宋体" w:cs="仿宋"/>
          <w:color w:val="auto"/>
          <w:sz w:val="18"/>
          <w:szCs w:val="18"/>
        </w:rPr>
        <w:t>《激光产品的安全 第1部分:设备分类、要求》（GB 7247.1）中的</w:t>
      </w:r>
      <w:r>
        <w:rPr>
          <w:rFonts w:hint="eastAsia" w:ascii="宋体" w:hAnsi="宋体" w:eastAsia="宋体" w:cs="仿宋"/>
          <w:color w:val="auto"/>
          <w:sz w:val="18"/>
          <w:szCs w:val="18"/>
          <w:lang w:val="en-US" w:eastAsia="zh-CN"/>
        </w:rPr>
        <w:t>有关</w:t>
      </w:r>
      <w:r>
        <w:rPr>
          <w:rFonts w:hint="eastAsia" w:ascii="宋体" w:hAnsi="宋体" w:eastAsia="宋体" w:cs="仿宋"/>
          <w:color w:val="auto"/>
          <w:sz w:val="18"/>
          <w:szCs w:val="18"/>
        </w:rPr>
        <w:t>要求；</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4光纤面板过纤盒宜设置于下列位置：</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lang w:val="en-US" w:eastAsia="zh-CN"/>
        </w:rPr>
        <w:t>1)</w:t>
      </w:r>
      <w:r>
        <w:rPr>
          <w:rFonts w:hint="eastAsia" w:ascii="宋体" w:hAnsi="宋体" w:eastAsia="宋体" w:cs="仿宋"/>
          <w:color w:val="auto"/>
          <w:sz w:val="18"/>
          <w:szCs w:val="18"/>
        </w:rPr>
        <w:t>导管直线敷设时，每30m处；</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lang w:val="en-US" w:eastAsia="zh-CN"/>
        </w:rPr>
        <w:t>2)</w:t>
      </w:r>
      <w:r>
        <w:rPr>
          <w:rFonts w:hint="eastAsia" w:ascii="宋体" w:hAnsi="宋体" w:eastAsia="宋体" w:cs="仿宋"/>
          <w:color w:val="auto"/>
          <w:sz w:val="18"/>
          <w:szCs w:val="18"/>
        </w:rPr>
        <w:t>导管弯曲敷设时，有1个转弯且暗管长度大于20m时；</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lang w:val="en-US" w:eastAsia="zh-CN"/>
        </w:rPr>
        <w:t>3)</w:t>
      </w:r>
      <w:r>
        <w:rPr>
          <w:rFonts w:hint="eastAsia" w:ascii="宋体" w:hAnsi="宋体" w:eastAsia="宋体" w:cs="仿宋"/>
          <w:color w:val="auto"/>
          <w:sz w:val="18"/>
          <w:szCs w:val="18"/>
        </w:rPr>
        <w:t>导管弯曲敷设时，有2个转弯且暗管长度不大于15m时；</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auto"/>
          <w:sz w:val="18"/>
          <w:szCs w:val="18"/>
          <w:lang w:val="en-US" w:eastAsia="zh-CN"/>
        </w:rPr>
        <w:t>4)</w:t>
      </w:r>
      <w:r>
        <w:rPr>
          <w:rFonts w:hint="eastAsia" w:ascii="宋体" w:hAnsi="宋体" w:eastAsia="宋体" w:cs="仿宋"/>
          <w:color w:val="auto"/>
          <w:sz w:val="18"/>
          <w:szCs w:val="18"/>
        </w:rPr>
        <w:t>导管弯曲敷设时，路由中有反向（U</w:t>
      </w:r>
      <w:r>
        <w:rPr>
          <w:rFonts w:hint="eastAsia" w:ascii="宋体" w:hAnsi="宋体" w:eastAsia="宋体" w:cs="仿宋"/>
          <w:color w:val="000000" w:themeColor="text1"/>
          <w:sz w:val="18"/>
          <w:szCs w:val="18"/>
          <w14:textFill>
            <w14:solidFill>
              <w14:schemeClr w14:val="tx1"/>
            </w14:solidFill>
          </w14:textFill>
        </w:rPr>
        <w:t>形）弯曲的位置；</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5单芯光缆成端宜选用单纤面板盒；双芯光缆成端宜选用双纤面板盒；</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w:t>
      </w:r>
      <w:r>
        <w:rPr>
          <w:rFonts w:ascii="宋体" w:hAnsi="宋体" w:eastAsia="宋体" w:cs="仿宋"/>
          <w:color w:val="000000" w:themeColor="text1"/>
          <w:sz w:val="18"/>
          <w:szCs w:val="18"/>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光纤面板端口宜采用SC或小微化接口光纤适配器。</w:t>
      </w:r>
    </w:p>
    <w:p>
      <w:pPr>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3.4.5 室内光纤基础设施：由光缆、光分路器、光缆面板构成的室内光纤基础设施，实现主从FTTR设备的全光纤连接。室内光纤基础设施可以在前装时由开发商负责建设，也可通过电信运营商的专业施工团队进行现场施工改造。</w:t>
      </w:r>
    </w:p>
    <w:p>
      <w:pPr>
        <w:pStyle w:val="4"/>
        <w:spacing w:line="240" w:lineRule="auto"/>
        <w:jc w:val="center"/>
        <w:rPr>
          <w:rFonts w:ascii="黑体" w:hAnsi="黑体" w:eastAsia="黑体" w:cs="黑体"/>
          <w:color w:val="000000" w:themeColor="text1"/>
          <w:sz w:val="21"/>
          <w:szCs w:val="21"/>
          <w14:textFill>
            <w14:solidFill>
              <w14:schemeClr w14:val="tx1"/>
            </w14:solidFill>
          </w14:textFill>
        </w:rPr>
      </w:pPr>
      <w:bookmarkStart w:id="18" w:name="_Toc24567"/>
      <w:r>
        <w:rPr>
          <w:rFonts w:hint="eastAsia" w:ascii="黑体" w:hAnsi="黑体" w:eastAsia="黑体" w:cs="黑体"/>
          <w:b w:val="0"/>
          <w:bCs/>
          <w:color w:val="000000" w:themeColor="text1"/>
          <w:sz w:val="21"/>
          <w:szCs w:val="21"/>
          <w14:textFill>
            <w14:solidFill>
              <w14:schemeClr w14:val="tx1"/>
            </w14:solidFill>
          </w14:textFill>
        </w:rPr>
        <w:t>3.</w:t>
      </w:r>
      <w:r>
        <w:rPr>
          <w:rFonts w:hint="eastAsia" w:ascii="黑体" w:hAnsi="黑体" w:eastAsia="黑体" w:cs="黑体"/>
          <w:b w:val="0"/>
          <w:bCs/>
          <w:color w:val="000000" w:themeColor="text1"/>
          <w:sz w:val="21"/>
          <w:szCs w:val="21"/>
          <w:lang w:val="en-US" w:eastAsia="zh-CN"/>
          <w14:textFill>
            <w14:solidFill>
              <w14:schemeClr w14:val="tx1"/>
            </w14:solidFill>
          </w14:textFill>
        </w:rPr>
        <w:t>5</w:t>
      </w:r>
      <w:r>
        <w:rPr>
          <w:rFonts w:hint="eastAsia" w:ascii="黑体" w:hAnsi="黑体" w:eastAsia="黑体" w:cs="黑体"/>
          <w:b w:val="0"/>
          <w:bCs/>
          <w:color w:val="000000" w:themeColor="text1"/>
          <w:sz w:val="21"/>
          <w:szCs w:val="21"/>
          <w14:textFill>
            <w14:solidFill>
              <w14:schemeClr w14:val="tx1"/>
            </w14:solidFill>
          </w14:textFill>
        </w:rPr>
        <w:t xml:space="preserve"> 户内管网设计</w:t>
      </w:r>
      <w:bookmarkEnd w:id="18"/>
    </w:p>
    <w:p>
      <w:pPr>
        <w:ind w:left="7"/>
        <w:rPr>
          <w:rFonts w:ascii="宋体" w:hAnsi="宋体" w:eastAsia="宋体" w:cs="仿宋"/>
          <w:color w:val="auto"/>
          <w:sz w:val="18"/>
          <w:szCs w:val="18"/>
        </w:rPr>
      </w:pPr>
      <w:r>
        <w:rPr>
          <w:rFonts w:hint="eastAsia" w:ascii="宋体" w:hAnsi="宋体" w:eastAsia="宋体" w:cs="仿宋"/>
          <w:color w:val="auto"/>
          <w:sz w:val="18"/>
          <w:szCs w:val="18"/>
        </w:rPr>
        <w:t>3.</w:t>
      </w:r>
      <w:r>
        <w:rPr>
          <w:rFonts w:hint="eastAsia" w:ascii="宋体" w:hAnsi="宋体" w:eastAsia="宋体" w:cs="仿宋"/>
          <w:color w:val="auto"/>
          <w:sz w:val="18"/>
          <w:szCs w:val="18"/>
          <w:lang w:val="en-US" w:eastAsia="zh-CN"/>
        </w:rPr>
        <w:t>5</w:t>
      </w:r>
      <w:r>
        <w:rPr>
          <w:rFonts w:hint="eastAsia" w:ascii="宋体" w:hAnsi="宋体" w:eastAsia="宋体" w:cs="仿宋"/>
          <w:color w:val="auto"/>
          <w:sz w:val="18"/>
          <w:szCs w:val="18"/>
        </w:rPr>
        <w:t>.1 新建筑户内光缆导管应采用暗管敷设；在改建建筑物内，宜采用原有暗管敷设，当不具备暗管敷设条件时，也可采用明管暗线或明线敷设。</w:t>
      </w:r>
    </w:p>
    <w:p>
      <w:pPr>
        <w:rPr>
          <w:rFonts w:ascii="宋体" w:hAnsi="宋体" w:eastAsia="宋体" w:cs="仿宋"/>
          <w:color w:val="auto"/>
          <w:sz w:val="18"/>
          <w:szCs w:val="18"/>
        </w:rPr>
      </w:pPr>
      <w:r>
        <w:rPr>
          <w:rFonts w:hint="eastAsia" w:ascii="宋体" w:hAnsi="宋体" w:eastAsia="宋体" w:cs="仿宋"/>
          <w:color w:val="auto"/>
          <w:sz w:val="18"/>
          <w:szCs w:val="18"/>
        </w:rPr>
        <w:t>3.</w:t>
      </w:r>
      <w:r>
        <w:rPr>
          <w:rFonts w:hint="eastAsia" w:ascii="宋体" w:hAnsi="宋体" w:eastAsia="宋体" w:cs="仿宋"/>
          <w:color w:val="auto"/>
          <w:sz w:val="18"/>
          <w:szCs w:val="18"/>
          <w:lang w:val="en-US" w:eastAsia="zh-CN"/>
        </w:rPr>
        <w:t>5</w:t>
      </w:r>
      <w:r>
        <w:rPr>
          <w:rFonts w:hint="eastAsia" w:ascii="宋体" w:hAnsi="宋体" w:eastAsia="宋体" w:cs="仿宋"/>
          <w:color w:val="auto"/>
          <w:sz w:val="18"/>
          <w:szCs w:val="18"/>
        </w:rPr>
        <w:t>.2 住宅内的家居配线箱至卧室、书房、餐厅和卫生间应布放导管。商务楼宇内的机房或信息配线箱中至各业务房间应预留布线通道。</w:t>
      </w:r>
    </w:p>
    <w:p>
      <w:pPr>
        <w:rPr>
          <w:rFonts w:ascii="宋体" w:hAnsi="宋体" w:eastAsia="宋体" w:cs="仿宋"/>
          <w:color w:val="auto"/>
          <w:sz w:val="18"/>
          <w:szCs w:val="18"/>
        </w:rPr>
      </w:pPr>
      <w:r>
        <w:rPr>
          <w:rFonts w:hint="eastAsia" w:ascii="宋体" w:hAnsi="宋体" w:eastAsia="宋体" w:cs="仿宋"/>
          <w:color w:val="auto"/>
          <w:sz w:val="18"/>
          <w:szCs w:val="18"/>
        </w:rPr>
        <w:t>3.</w:t>
      </w:r>
      <w:r>
        <w:rPr>
          <w:rFonts w:hint="eastAsia" w:ascii="宋体" w:hAnsi="宋体" w:eastAsia="宋体" w:cs="仿宋"/>
          <w:color w:val="auto"/>
          <w:sz w:val="18"/>
          <w:szCs w:val="18"/>
          <w:lang w:val="en-US" w:eastAsia="zh-CN"/>
        </w:rPr>
        <w:t>5</w:t>
      </w:r>
      <w:r>
        <w:rPr>
          <w:rFonts w:hint="eastAsia" w:ascii="宋体" w:hAnsi="宋体" w:eastAsia="宋体" w:cs="仿宋"/>
          <w:color w:val="auto"/>
          <w:sz w:val="18"/>
          <w:szCs w:val="18"/>
        </w:rPr>
        <w:t>.3 住宅建筑套内线缆导管敷设可采用金属导管或阻燃型硬质塑料管，暗敷设的金属导管管壁厚度不应小于1.5mm，暗敷设的塑料管管壁厚度不应小于2.0mm。</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auto"/>
          <w:sz w:val="18"/>
          <w:szCs w:val="18"/>
        </w:rPr>
        <w:t>3.</w:t>
      </w:r>
      <w:r>
        <w:rPr>
          <w:rFonts w:hint="eastAsia" w:ascii="宋体" w:hAnsi="宋体" w:eastAsia="宋体" w:cs="仿宋"/>
          <w:color w:val="auto"/>
          <w:sz w:val="18"/>
          <w:szCs w:val="18"/>
          <w:lang w:val="en-US" w:eastAsia="zh-CN"/>
        </w:rPr>
        <w:t>5</w:t>
      </w:r>
      <w:r>
        <w:rPr>
          <w:rFonts w:hint="eastAsia" w:ascii="宋体" w:hAnsi="宋体" w:eastAsia="宋体" w:cs="仿宋"/>
          <w:color w:val="auto"/>
          <w:sz w:val="18"/>
          <w:szCs w:val="18"/>
        </w:rPr>
        <w:t>.4 暗敷设在钢筋混凝土现浇楼板内的布线导管最大外径不应大于楼板厚度的1/3，暗敷设在垫层的线缆保护导管最大外径不应大于垫层厚度的1/2。埋设在墙体内的导管外径不应大于50mm，导管外径宜为15mm～25mm。与卫生间无关的线缆导管不得进入和穿过卫生间，卫生间的线缆导管不应敷设在有</w:t>
      </w:r>
      <w:r>
        <w:rPr>
          <w:rFonts w:hint="eastAsia" w:ascii="宋体" w:hAnsi="宋体" w:eastAsia="宋体" w:cs="仿宋"/>
          <w:color w:val="000000" w:themeColor="text1"/>
          <w:sz w:val="18"/>
          <w:szCs w:val="18"/>
          <w14:textFill>
            <w14:solidFill>
              <w14:schemeClr w14:val="tx1"/>
            </w14:solidFill>
          </w14:textFill>
        </w:rPr>
        <w:t>水的区域</w:t>
      </w:r>
      <w:r>
        <w:rPr>
          <w:rFonts w:hint="eastAsia" w:ascii="宋体" w:hAnsi="宋体" w:eastAsia="宋体" w:cs="仿宋"/>
          <w:color w:val="000000" w:themeColor="text1"/>
          <w:sz w:val="18"/>
          <w:szCs w:val="18"/>
          <w:lang w:eastAsia="zh-CN"/>
          <w14:textFill>
            <w14:solidFill>
              <w14:schemeClr w14:val="tx1"/>
            </w14:solidFill>
          </w14:textFill>
        </w:rPr>
        <w:t>。</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.5 导管暗敷设应符合下列规定：</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 导管直线敷设每30m处，应加装过路箱（盒）</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 导管的连接宜采用专用附件</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 导管弯曲敷设时，其路由长度应小于15m，且该段内不得有S弯。连续弯曲超过两次时，应加装过路箱（盒）</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 导管的弯曲部位应安排在管路的端部，管路夹角不得小于90°</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 导管弯曲半径不得小于该管外径的10倍，引入线导管弯曲半径不得小于该管外径的6倍</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6导管内宜穿放不少于一根带线，带线中间不得有接头</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7 导管管口伸出地面部分应为25mm～50mm。</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.6 导管明敷时，在距接线盒300mm处、弯头处两端和直线段每隔3m处，应采用管卡固定</w:t>
      </w:r>
      <w:r>
        <w:rPr>
          <w:rFonts w:hint="eastAsia" w:ascii="宋体" w:hAnsi="宋体" w:eastAsia="宋体" w:cs="仿宋"/>
          <w:color w:val="000000" w:themeColor="text1"/>
          <w:sz w:val="18"/>
          <w:szCs w:val="18"/>
          <w:lang w:eastAsia="zh-CN"/>
          <w14:textFill>
            <w14:solidFill>
              <w14:schemeClr w14:val="tx1"/>
            </w14:solidFill>
          </w14:textFill>
        </w:rPr>
        <w:t>。</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.7 导管在穿越建筑结构伸缩缝、沉降缝、变形缝时，应采取补偿措施。</w:t>
      </w:r>
    </w:p>
    <w:p>
      <w:pPr>
        <w:pStyle w:val="4"/>
        <w:spacing w:line="240" w:lineRule="auto"/>
        <w:jc w:val="center"/>
        <w:rPr>
          <w:rFonts w:ascii="黑体" w:hAnsi="黑体" w:eastAsia="黑体" w:cs="黑体"/>
          <w:b w:val="0"/>
          <w:bCs/>
          <w:color w:val="000000" w:themeColor="text1"/>
          <w:sz w:val="21"/>
          <w:szCs w:val="21"/>
          <w14:textFill>
            <w14:solidFill>
              <w14:schemeClr w14:val="tx1"/>
            </w14:solidFill>
          </w14:textFill>
        </w:rPr>
      </w:pPr>
      <w:bookmarkStart w:id="19" w:name="_Toc7502"/>
      <w:r>
        <w:rPr>
          <w:rFonts w:hint="eastAsia" w:ascii="黑体" w:hAnsi="黑体" w:eastAsia="黑体" w:cs="黑体"/>
          <w:b w:val="0"/>
          <w:bCs/>
          <w:color w:val="000000" w:themeColor="text1"/>
          <w:sz w:val="21"/>
          <w:szCs w:val="21"/>
          <w14:textFill>
            <w14:solidFill>
              <w14:schemeClr w14:val="tx1"/>
            </w14:solidFill>
          </w14:textFill>
        </w:rPr>
        <w:t>3.</w:t>
      </w:r>
      <w:r>
        <w:rPr>
          <w:rFonts w:hint="eastAsia" w:ascii="黑体" w:hAnsi="黑体" w:eastAsia="黑体" w:cs="黑体"/>
          <w:b w:val="0"/>
          <w:bCs/>
          <w:color w:val="000000" w:themeColor="text1"/>
          <w:sz w:val="21"/>
          <w:szCs w:val="21"/>
          <w:lang w:val="en-US" w:eastAsia="zh-CN"/>
          <w14:textFill>
            <w14:solidFill>
              <w14:schemeClr w14:val="tx1"/>
            </w14:solidFill>
          </w14:textFill>
        </w:rPr>
        <w:t>6</w:t>
      </w:r>
      <w:r>
        <w:rPr>
          <w:rFonts w:hint="eastAsia" w:ascii="黑体" w:hAnsi="黑体" w:eastAsia="黑体" w:cs="黑体"/>
          <w:b w:val="0"/>
          <w:bCs/>
          <w:color w:val="000000" w:themeColor="text1"/>
          <w:sz w:val="21"/>
          <w:szCs w:val="21"/>
          <w14:textFill>
            <w14:solidFill>
              <w14:schemeClr w14:val="tx1"/>
            </w14:solidFill>
          </w14:textFill>
        </w:rPr>
        <w:t xml:space="preserve"> 户内光缆设计</w:t>
      </w:r>
      <w:bookmarkEnd w:id="19"/>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.1 光缆的敷设安装设计应符合下列规定：</w:t>
      </w:r>
    </w:p>
    <w:p>
      <w:pPr>
        <w:ind w:left="7" w:firstLine="360"/>
        <w:rPr>
          <w:rFonts w:ascii="宋体" w:hAnsi="宋体" w:eastAsia="宋体" w:cs="仿宋"/>
          <w:color w:val="auto"/>
          <w:sz w:val="18"/>
          <w:szCs w:val="18"/>
        </w:rPr>
      </w:pPr>
      <w:r>
        <w:rPr>
          <w:rFonts w:hint="eastAsia" w:ascii="宋体" w:hAnsi="宋体" w:eastAsia="宋体" w:cs="仿宋"/>
          <w:color w:val="000000" w:themeColor="text1"/>
          <w:sz w:val="18"/>
          <w:szCs w:val="18"/>
          <w14:textFill>
            <w14:solidFill>
              <w14:schemeClr w14:val="tx1"/>
            </w14:solidFill>
          </w14:textFill>
        </w:rPr>
        <w:t>1在新建、扩建建筑物内，光缆应采用暗管敷设；在改建建筑物内，宜采用原有暗管敷设，当不具备暗管敷设条件时，可采用明管暗线或明线敷</w:t>
      </w:r>
      <w:r>
        <w:rPr>
          <w:rFonts w:hint="eastAsia" w:ascii="宋体" w:hAnsi="宋体" w:eastAsia="宋体" w:cs="仿宋"/>
          <w:color w:val="auto"/>
          <w:sz w:val="18"/>
          <w:szCs w:val="18"/>
        </w:rPr>
        <w:t>设，明线敷设时应考虑安全可靠、美观和高效，线缆敷设施工要求要符合现行行业标准《信息通信综合布线系统场景与要求 住宅》</w:t>
      </w:r>
      <w:r>
        <w:rPr>
          <w:rFonts w:hint="eastAsia" w:ascii="宋体" w:hAnsi="宋体" w:eastAsia="宋体" w:cs="仿宋"/>
          <w:color w:val="auto"/>
          <w:sz w:val="18"/>
          <w:szCs w:val="18"/>
          <w:lang w:val="en-US" w:eastAsia="zh-CN"/>
        </w:rPr>
        <w:t>(</w:t>
      </w:r>
      <w:r>
        <w:rPr>
          <w:rFonts w:hint="eastAsia" w:ascii="宋体" w:hAnsi="宋体" w:eastAsia="宋体" w:cs="仿宋"/>
          <w:color w:val="auto"/>
          <w:sz w:val="18"/>
          <w:szCs w:val="18"/>
        </w:rPr>
        <w:t>YD/T 1384-2023</w:t>
      </w:r>
      <w:r>
        <w:rPr>
          <w:rFonts w:hint="eastAsia" w:ascii="宋体" w:hAnsi="宋体" w:eastAsia="宋体" w:cs="仿宋"/>
          <w:color w:val="auto"/>
          <w:sz w:val="18"/>
          <w:szCs w:val="18"/>
          <w:lang w:val="en-US" w:eastAsia="zh-CN"/>
        </w:rPr>
        <w:t>)中的有关要求</w:t>
      </w:r>
      <w:r>
        <w:rPr>
          <w:rFonts w:hint="eastAsia" w:ascii="宋体" w:hAnsi="宋体" w:eastAsia="宋体" w:cs="仿宋"/>
          <w:color w:val="auto"/>
          <w:sz w:val="18"/>
          <w:szCs w:val="18"/>
        </w:rPr>
        <w:t>；</w:t>
      </w:r>
    </w:p>
    <w:p>
      <w:pPr>
        <w:ind w:left="7" w:firstLine="360"/>
        <w:rPr>
          <w:rFonts w:ascii="宋体" w:hAnsi="宋体" w:eastAsia="宋体" w:cs="仿宋"/>
          <w:color w:val="auto"/>
          <w:sz w:val="18"/>
          <w:szCs w:val="18"/>
        </w:rPr>
      </w:pPr>
      <w:r>
        <w:rPr>
          <w:rFonts w:hint="eastAsia" w:ascii="宋体" w:hAnsi="宋体" w:eastAsia="宋体" w:cs="仿宋"/>
          <w:color w:val="auto"/>
          <w:sz w:val="18"/>
          <w:szCs w:val="18"/>
        </w:rPr>
        <w:t>2光缆路由应选择距离短、安全和经济的路由；</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auto"/>
          <w:sz w:val="18"/>
          <w:szCs w:val="18"/>
        </w:rPr>
        <w:t>3同一根导管内敷设多根户内光缆时，</w:t>
      </w:r>
      <w:r>
        <w:rPr>
          <w:rFonts w:hint="eastAsia" w:ascii="宋体" w:hAnsi="宋体" w:eastAsia="宋体" w:cs="仿宋"/>
          <w:color w:val="000000" w:themeColor="text1"/>
          <w:sz w:val="18"/>
          <w:szCs w:val="18"/>
          <w14:textFill>
            <w14:solidFill>
              <w14:schemeClr w14:val="tx1"/>
            </w14:solidFill>
          </w14:textFill>
        </w:rPr>
        <w:t>弯导管的管径利用率应为40％～50％，直线管路的管径利用率应为50％～60％，截面利用率应为25％～30％；槽盒内的截面利用率应为30％～50％；</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4光缆采用明线敷设时，应符合下列要求：</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采用钉固方式时，卡钉间距应为不应大于0.5m；</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阴阳转角处应采用转角保护件保护固定；</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对易触及的部分可采用塑料管或钢管保护；</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光缆与其他管线交叉或相邻时，应按防护要求采取保护隔离措施；</w:t>
      </w:r>
    </w:p>
    <w:p>
      <w:pPr>
        <w:ind w:left="7" w:firstLine="36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光缆与其他管线平行敷设时，净距要求应符合</w:t>
      </w:r>
      <w:r>
        <w:rPr>
          <w:rFonts w:hint="eastAsia" w:ascii="宋体" w:hAnsi="宋体" w:eastAsia="宋体" w:cs="仿宋"/>
          <w:color w:val="000000" w:themeColor="text1"/>
          <w:sz w:val="18"/>
          <w:szCs w:val="18"/>
          <w:lang w:val="en-US" w:eastAsia="zh-CN"/>
          <w14:textFill>
            <w14:solidFill>
              <w14:schemeClr w14:val="tx1"/>
            </w14:solidFill>
          </w14:textFill>
        </w:rPr>
        <w:t>现行国家标准</w:t>
      </w:r>
      <w:r>
        <w:rPr>
          <w:rFonts w:hint="eastAsia" w:ascii="宋体" w:hAnsi="宋体" w:eastAsia="宋体" w:cs="仿宋"/>
          <w:color w:val="000000" w:themeColor="text1"/>
          <w:sz w:val="18"/>
          <w:szCs w:val="18"/>
          <w14:textFill>
            <w14:solidFill>
              <w14:schemeClr w14:val="tx1"/>
            </w14:solidFill>
          </w14:textFill>
        </w:rPr>
        <w:t>《综合布线系统工程设计规范》（GB 50311）中的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规定</w:t>
      </w:r>
      <w:r>
        <w:rPr>
          <w:rFonts w:hint="eastAsia" w:ascii="宋体" w:hAnsi="宋体" w:eastAsia="宋体" w:cs="仿宋"/>
          <w:color w:val="000000" w:themeColor="text1"/>
          <w:sz w:val="18"/>
          <w:szCs w:val="18"/>
          <w:lang w:eastAsia="zh-CN"/>
          <w14:textFill>
            <w14:solidFill>
              <w14:schemeClr w14:val="tx1"/>
            </w14:solidFill>
          </w14:textFill>
        </w:rPr>
        <w:t>；</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5穿越墙体时应用塑料管保护；</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6光缆敷设安装时的弯曲半径、拉伸力、压扁力应符合本规范</w:t>
      </w:r>
      <w:r>
        <w:rPr>
          <w:rFonts w:hint="eastAsia" w:ascii="宋体" w:hAnsi="宋体" w:eastAsia="宋体" w:cs="仿宋"/>
          <w:sz w:val="18"/>
          <w:szCs w:val="18"/>
        </w:rPr>
        <w:t>表4.4.1-1、表4.4.1-2条款要求；</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7光电混合缆的设计应符合下列规定：</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光电混合缆宜敷设于暗管内；明线敷设时，应穿塑料管保护；</w:t>
      </w:r>
    </w:p>
    <w:p>
      <w:pPr>
        <w:ind w:left="7" w:firstLine="360"/>
        <w:rPr>
          <w:rFonts w:ascii="宋体" w:hAnsi="宋体" w:eastAsia="宋体" w:cs="仿宋"/>
          <w:sz w:val="18"/>
          <w:szCs w:val="18"/>
        </w:rPr>
      </w:pPr>
      <w:r>
        <w:rPr>
          <w:rFonts w:hint="eastAsia" w:ascii="宋体" w:hAnsi="宋体" w:eastAsia="宋体" w:cs="仿宋"/>
          <w:sz w:val="18"/>
          <w:szCs w:val="18"/>
          <w:lang w:val="en-US" w:eastAsia="zh-CN"/>
        </w:rPr>
        <w:t>2)</w:t>
      </w:r>
      <w:r>
        <w:rPr>
          <w:rFonts w:hint="eastAsia" w:ascii="宋体" w:hAnsi="宋体" w:eastAsia="宋体" w:cs="仿宋"/>
          <w:sz w:val="18"/>
          <w:szCs w:val="18"/>
        </w:rPr>
        <w:t>采用低压安全电压供电，直流电压应为48V～57V，每段光电混合缆的供电距离不宜大于150m；</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光电混合缆不得敷设在热力管道、燃气管道旁；</w:t>
      </w:r>
    </w:p>
    <w:p>
      <w:pPr>
        <w:ind w:left="7" w:firstLine="36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光电混合缆的其他设计要求应符合</w:t>
      </w:r>
      <w:r>
        <w:rPr>
          <w:rFonts w:hint="eastAsia" w:ascii="宋体" w:hAnsi="宋体" w:eastAsia="宋体" w:cs="仿宋"/>
          <w:color w:val="000000" w:themeColor="text1"/>
          <w:sz w:val="18"/>
          <w:szCs w:val="18"/>
          <w:lang w:val="en-US" w:eastAsia="zh-CN"/>
          <w14:textFill>
            <w14:solidFill>
              <w14:schemeClr w14:val="tx1"/>
            </w14:solidFill>
          </w14:textFill>
        </w:rPr>
        <w:t>现行行业规范</w:t>
      </w:r>
      <w:r>
        <w:rPr>
          <w:rFonts w:hint="eastAsia" w:ascii="宋体" w:hAnsi="宋体" w:eastAsia="宋体" w:cs="仿宋"/>
          <w:color w:val="000000" w:themeColor="text1"/>
          <w:sz w:val="18"/>
          <w:szCs w:val="18"/>
          <w14:textFill>
            <w14:solidFill>
              <w14:schemeClr w14:val="tx1"/>
            </w14:solidFill>
          </w14:textFill>
        </w:rPr>
        <w:t>《通信用光电混合缆工程技术规范》（YD/T 5242）中的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规定。</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.2光连接线（软跳线）设计符合下列规定：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1光连接线宜选用非金属加强构件、紧套光纤、低烟无卤阻燃聚烯烃护套终端光缆组件用室内光缆，外径宜为2.0mm；</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2光连接线两端的插头应与适配器适配，光纤类型应与光纤链路兼容</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3光连接线长度应合理，预留长度不宜大于0.5m</w:t>
      </w:r>
      <w:r>
        <w:rPr>
          <w:rFonts w:hint="eastAsia" w:ascii="宋体" w:hAnsi="宋体" w:eastAsia="宋体" w:cs="仿宋"/>
          <w:color w:val="000000" w:themeColor="text1"/>
          <w:sz w:val="18"/>
          <w:szCs w:val="18"/>
          <w:lang w:eastAsia="zh-CN"/>
          <w14:textFill>
            <w14:solidFill>
              <w14:schemeClr w14:val="tx1"/>
            </w14:solidFill>
          </w14:textFill>
        </w:rPr>
        <w:t>。</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.3光缆成端设计应符合下列规定：</w:t>
      </w:r>
    </w:p>
    <w:p>
      <w:pPr>
        <w:ind w:firstLine="360" w:firstLineChars="200"/>
        <w:rPr>
          <w:rFonts w:hint="eastAsia" w:ascii="宋体" w:hAnsi="宋体" w:eastAsia="宋体" w:cs="仿宋"/>
          <w:color w:val="auto"/>
          <w:sz w:val="18"/>
          <w:szCs w:val="18"/>
          <w:lang w:val="en-US" w:eastAsia="zh-CN"/>
        </w:rPr>
      </w:pPr>
      <w:r>
        <w:rPr>
          <w:rFonts w:hint="eastAsia" w:ascii="宋体" w:hAnsi="宋体" w:eastAsia="宋体" w:cs="仿宋"/>
          <w:color w:val="000000" w:themeColor="text1"/>
          <w:sz w:val="18"/>
          <w:szCs w:val="18"/>
          <w14:textFill>
            <w14:solidFill>
              <w14:schemeClr w14:val="tx1"/>
            </w14:solidFill>
          </w14:textFill>
        </w:rPr>
        <w:t>1光缆成端宜采用带光纤活动连接器的尾纤现场熔接的方式，熔接</w:t>
      </w:r>
      <w:r>
        <w:rPr>
          <w:rFonts w:hint="eastAsia" w:ascii="宋体" w:hAnsi="宋体" w:eastAsia="宋体" w:cs="仿宋"/>
          <w:color w:val="auto"/>
          <w:sz w:val="18"/>
          <w:szCs w:val="18"/>
        </w:rPr>
        <w:t>处</w:t>
      </w:r>
      <w:r>
        <w:rPr>
          <w:rFonts w:hint="eastAsia" w:ascii="宋体" w:hAnsi="宋体" w:eastAsia="宋体" w:cs="仿宋"/>
          <w:color w:val="auto"/>
          <w:sz w:val="18"/>
          <w:szCs w:val="18"/>
          <w:lang w:val="en-US" w:eastAsia="zh-CN"/>
        </w:rPr>
        <w:t>应</w:t>
      </w:r>
      <w:r>
        <w:rPr>
          <w:rFonts w:hint="eastAsia" w:ascii="宋体" w:hAnsi="宋体" w:eastAsia="宋体" w:cs="仿宋"/>
          <w:color w:val="auto"/>
          <w:sz w:val="18"/>
          <w:szCs w:val="18"/>
        </w:rPr>
        <w:t>加以保护；</w:t>
      </w:r>
      <w:r>
        <w:rPr>
          <w:rFonts w:hint="eastAsia" w:ascii="宋体" w:hAnsi="宋体" w:eastAsia="宋体" w:cs="仿宋"/>
          <w:color w:val="auto"/>
          <w:sz w:val="18"/>
          <w:szCs w:val="18"/>
          <w:lang w:val="en-US" w:eastAsia="zh-CN"/>
        </w:rPr>
        <w:t>每个接续点的熔接损耗值应符合表3.6.3的要求：</w:t>
      </w:r>
    </w:p>
    <w:p>
      <w:pPr>
        <w:ind w:firstLine="1084" w:firstLineChars="600"/>
        <w:rPr>
          <w:rFonts w:hint="default" w:ascii="宋体" w:hAnsi="宋体" w:eastAsia="宋体" w:cs="仿宋"/>
          <w:b/>
          <w:bCs/>
          <w:color w:val="FF0000"/>
          <w:sz w:val="18"/>
          <w:szCs w:val="18"/>
          <w:lang w:val="en-US" w:eastAsia="zh-CN"/>
        </w:rPr>
      </w:pPr>
      <w:r>
        <w:rPr>
          <w:rFonts w:hint="eastAsia" w:ascii="宋体" w:hAnsi="宋体" w:eastAsia="宋体" w:cs="仿宋"/>
          <w:b/>
          <w:bCs/>
          <w:color w:val="auto"/>
          <w:sz w:val="18"/>
          <w:szCs w:val="18"/>
          <w:lang w:val="en-US" w:eastAsia="zh-CN"/>
        </w:rPr>
        <w:t>表3.6.3  单模光纤熔接损耗要求（dB）</w:t>
      </w:r>
    </w:p>
    <w:tbl>
      <w:tblPr>
        <w:tblStyle w:val="16"/>
        <w:tblW w:w="0" w:type="auto"/>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1277"/>
        <w:gridCol w:w="1303"/>
        <w:gridCol w:w="1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gridSpan w:val="2"/>
          </w:tcPr>
          <w:p>
            <w:pPr>
              <w:jc w:val="center"/>
              <w:rPr>
                <w:rFonts w:hint="default" w:ascii="宋体" w:hAnsi="宋体" w:eastAsia="宋体" w:cs="仿宋"/>
                <w:color w:val="auto"/>
                <w:sz w:val="18"/>
                <w:szCs w:val="18"/>
                <w:vertAlign w:val="baseline"/>
                <w:lang w:val="en-US" w:eastAsia="zh-CN"/>
              </w:rPr>
            </w:pPr>
            <w:r>
              <w:rPr>
                <w:rFonts w:hint="eastAsia" w:ascii="宋体" w:hAnsi="宋体" w:eastAsia="宋体" w:cs="仿宋"/>
                <w:color w:val="auto"/>
                <w:sz w:val="18"/>
                <w:szCs w:val="18"/>
                <w:vertAlign w:val="baseline"/>
                <w:lang w:val="en-US" w:eastAsia="zh-CN"/>
              </w:rPr>
              <w:t>单纤</w:t>
            </w:r>
          </w:p>
        </w:tc>
        <w:tc>
          <w:tcPr>
            <w:tcW w:w="2585" w:type="dxa"/>
            <w:gridSpan w:val="2"/>
          </w:tcPr>
          <w:p>
            <w:pPr>
              <w:jc w:val="center"/>
              <w:rPr>
                <w:rFonts w:hint="default" w:ascii="宋体" w:hAnsi="宋体" w:eastAsia="宋体" w:cs="仿宋"/>
                <w:color w:val="auto"/>
                <w:sz w:val="18"/>
                <w:szCs w:val="18"/>
                <w:vertAlign w:val="baseline"/>
                <w:lang w:val="en-US" w:eastAsia="zh-CN"/>
              </w:rPr>
            </w:pPr>
            <w:r>
              <w:rPr>
                <w:rFonts w:hint="eastAsia" w:ascii="宋体" w:hAnsi="宋体" w:eastAsia="宋体" w:cs="仿宋"/>
                <w:color w:val="auto"/>
                <w:sz w:val="18"/>
                <w:szCs w:val="18"/>
                <w:vertAlign w:val="baseline"/>
                <w:lang w:val="en-US" w:eastAsia="zh-CN"/>
              </w:rPr>
              <w:t>光纤带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tcPr>
          <w:p>
            <w:pPr>
              <w:jc w:val="center"/>
              <w:rPr>
                <w:rFonts w:hint="default" w:ascii="宋体" w:hAnsi="宋体" w:eastAsia="宋体" w:cs="仿宋"/>
                <w:color w:val="auto"/>
                <w:sz w:val="18"/>
                <w:szCs w:val="18"/>
                <w:vertAlign w:val="baseline"/>
                <w:lang w:val="en-US" w:eastAsia="zh-CN"/>
              </w:rPr>
            </w:pPr>
            <w:r>
              <w:rPr>
                <w:rFonts w:hint="eastAsia" w:ascii="宋体" w:hAnsi="宋体" w:eastAsia="宋体" w:cs="仿宋"/>
                <w:color w:val="auto"/>
                <w:sz w:val="18"/>
                <w:szCs w:val="18"/>
                <w:vertAlign w:val="baseline"/>
                <w:lang w:val="en-US" w:eastAsia="zh-CN"/>
              </w:rPr>
              <w:t>双向平均值</w:t>
            </w:r>
          </w:p>
        </w:tc>
        <w:tc>
          <w:tcPr>
            <w:tcW w:w="1277" w:type="dxa"/>
          </w:tcPr>
          <w:p>
            <w:pPr>
              <w:jc w:val="center"/>
              <w:rPr>
                <w:rFonts w:hint="default" w:ascii="宋体" w:hAnsi="宋体" w:eastAsia="宋体" w:cs="仿宋"/>
                <w:color w:val="auto"/>
                <w:sz w:val="18"/>
                <w:szCs w:val="18"/>
                <w:vertAlign w:val="baseline"/>
                <w:lang w:val="en-US" w:eastAsia="zh-CN"/>
              </w:rPr>
            </w:pPr>
            <w:r>
              <w:rPr>
                <w:rFonts w:hint="eastAsia" w:ascii="宋体" w:hAnsi="宋体" w:eastAsia="宋体" w:cs="仿宋"/>
                <w:color w:val="auto"/>
                <w:sz w:val="18"/>
                <w:szCs w:val="18"/>
                <w:vertAlign w:val="baseline"/>
                <w:lang w:val="en-US" w:eastAsia="zh-CN"/>
              </w:rPr>
              <w:t>单向最大值</w:t>
            </w:r>
          </w:p>
        </w:tc>
        <w:tc>
          <w:tcPr>
            <w:tcW w:w="1303" w:type="dxa"/>
          </w:tcPr>
          <w:p>
            <w:pPr>
              <w:jc w:val="center"/>
              <w:rPr>
                <w:rFonts w:hint="default" w:ascii="宋体" w:hAnsi="宋体" w:eastAsia="宋体" w:cs="仿宋"/>
                <w:color w:val="auto"/>
                <w:sz w:val="18"/>
                <w:szCs w:val="18"/>
                <w:vertAlign w:val="baseline"/>
                <w:lang w:val="en-US" w:eastAsia="zh-CN"/>
              </w:rPr>
            </w:pPr>
            <w:r>
              <w:rPr>
                <w:rFonts w:hint="eastAsia" w:ascii="宋体" w:hAnsi="宋体" w:eastAsia="宋体" w:cs="仿宋"/>
                <w:color w:val="auto"/>
                <w:sz w:val="18"/>
                <w:szCs w:val="18"/>
                <w:vertAlign w:val="baseline"/>
                <w:lang w:val="en-US" w:eastAsia="zh-CN"/>
              </w:rPr>
              <w:t>双向平均值</w:t>
            </w:r>
          </w:p>
        </w:tc>
        <w:tc>
          <w:tcPr>
            <w:tcW w:w="1282" w:type="dxa"/>
          </w:tcPr>
          <w:p>
            <w:pPr>
              <w:jc w:val="center"/>
              <w:rPr>
                <w:rFonts w:hint="default" w:ascii="宋体" w:hAnsi="宋体" w:eastAsia="宋体" w:cs="仿宋"/>
                <w:color w:val="auto"/>
                <w:sz w:val="18"/>
                <w:szCs w:val="18"/>
                <w:vertAlign w:val="baseline"/>
                <w:lang w:val="en-US" w:eastAsia="zh-CN"/>
              </w:rPr>
            </w:pPr>
            <w:r>
              <w:rPr>
                <w:rFonts w:hint="eastAsia" w:ascii="宋体" w:hAnsi="宋体" w:eastAsia="宋体" w:cs="仿宋"/>
                <w:color w:val="auto"/>
                <w:sz w:val="18"/>
                <w:szCs w:val="18"/>
                <w:vertAlign w:val="baseline"/>
                <w:lang w:val="en-US" w:eastAsia="zh-CN"/>
              </w:rPr>
              <w:t>单向最大值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tcPr>
          <w:p>
            <w:pPr>
              <w:jc w:val="center"/>
              <w:rPr>
                <w:rFonts w:hint="default" w:ascii="宋体" w:hAnsi="宋体" w:eastAsia="宋体" w:cs="仿宋"/>
                <w:color w:val="auto"/>
                <w:sz w:val="18"/>
                <w:szCs w:val="18"/>
                <w:vertAlign w:val="baseline"/>
                <w:lang w:val="en-US" w:eastAsia="zh-CN"/>
              </w:rPr>
            </w:pPr>
            <w:r>
              <w:rPr>
                <w:rFonts w:hint="eastAsia" w:ascii="微软雅黑" w:hAnsi="微软雅黑" w:eastAsia="微软雅黑" w:cs="微软雅黑"/>
                <w:color w:val="auto"/>
                <w:sz w:val="18"/>
                <w:szCs w:val="18"/>
                <w:vertAlign w:val="baseline"/>
                <w:lang w:val="en-US" w:eastAsia="zh-CN"/>
              </w:rPr>
              <w:t>≤</w:t>
            </w:r>
            <w:r>
              <w:rPr>
                <w:rFonts w:hint="eastAsia" w:ascii="宋体" w:hAnsi="宋体" w:eastAsia="宋体" w:cs="仿宋"/>
                <w:color w:val="auto"/>
                <w:sz w:val="18"/>
                <w:szCs w:val="18"/>
                <w:vertAlign w:val="baseline"/>
                <w:lang w:val="en-US" w:eastAsia="zh-CN"/>
              </w:rPr>
              <w:t>0.08</w:t>
            </w:r>
          </w:p>
        </w:tc>
        <w:tc>
          <w:tcPr>
            <w:tcW w:w="1277" w:type="dxa"/>
          </w:tcPr>
          <w:p>
            <w:pPr>
              <w:jc w:val="center"/>
              <w:rPr>
                <w:rFonts w:hint="default" w:ascii="宋体" w:hAnsi="宋体" w:eastAsia="宋体" w:cs="仿宋"/>
                <w:color w:val="auto"/>
                <w:sz w:val="18"/>
                <w:szCs w:val="18"/>
                <w:vertAlign w:val="baseline"/>
                <w:lang w:val="en-US" w:eastAsia="zh-CN"/>
              </w:rPr>
            </w:pPr>
            <w:r>
              <w:rPr>
                <w:rFonts w:hint="eastAsia" w:ascii="微软雅黑" w:hAnsi="微软雅黑" w:eastAsia="微软雅黑" w:cs="微软雅黑"/>
                <w:color w:val="auto"/>
                <w:sz w:val="18"/>
                <w:szCs w:val="18"/>
                <w:vertAlign w:val="baseline"/>
                <w:lang w:val="en-US" w:eastAsia="zh-CN"/>
              </w:rPr>
              <w:t>≤</w:t>
            </w:r>
            <w:r>
              <w:rPr>
                <w:rFonts w:hint="eastAsia" w:ascii="宋体" w:hAnsi="宋体" w:eastAsia="宋体" w:cs="仿宋"/>
                <w:color w:val="auto"/>
                <w:sz w:val="18"/>
                <w:szCs w:val="18"/>
                <w:vertAlign w:val="baseline"/>
                <w:lang w:val="en-US" w:eastAsia="zh-CN"/>
              </w:rPr>
              <w:t>0.1</w:t>
            </w:r>
          </w:p>
        </w:tc>
        <w:tc>
          <w:tcPr>
            <w:tcW w:w="1303" w:type="dxa"/>
          </w:tcPr>
          <w:p>
            <w:pPr>
              <w:jc w:val="center"/>
              <w:rPr>
                <w:rFonts w:hint="default" w:ascii="宋体" w:hAnsi="宋体" w:eastAsia="宋体" w:cs="仿宋"/>
                <w:color w:val="auto"/>
                <w:sz w:val="18"/>
                <w:szCs w:val="18"/>
                <w:vertAlign w:val="baseline"/>
                <w:lang w:val="en-US" w:eastAsia="zh-CN"/>
              </w:rPr>
            </w:pPr>
            <w:r>
              <w:rPr>
                <w:rFonts w:hint="eastAsia" w:ascii="微软雅黑" w:hAnsi="微软雅黑" w:eastAsia="微软雅黑" w:cs="微软雅黑"/>
                <w:color w:val="auto"/>
                <w:sz w:val="18"/>
                <w:szCs w:val="18"/>
                <w:vertAlign w:val="baseline"/>
                <w:lang w:val="en-US" w:eastAsia="zh-CN"/>
              </w:rPr>
              <w:t>≤</w:t>
            </w:r>
            <w:r>
              <w:rPr>
                <w:rFonts w:hint="eastAsia" w:ascii="宋体" w:hAnsi="宋体" w:eastAsia="宋体" w:cs="仿宋"/>
                <w:color w:val="auto"/>
                <w:sz w:val="18"/>
                <w:szCs w:val="18"/>
                <w:vertAlign w:val="baseline"/>
                <w:lang w:val="en-US" w:eastAsia="zh-CN"/>
              </w:rPr>
              <w:t>0.2</w:t>
            </w:r>
          </w:p>
        </w:tc>
        <w:tc>
          <w:tcPr>
            <w:tcW w:w="1282" w:type="dxa"/>
          </w:tcPr>
          <w:p>
            <w:pPr>
              <w:jc w:val="center"/>
              <w:rPr>
                <w:rFonts w:hint="default" w:ascii="宋体" w:hAnsi="宋体" w:eastAsia="宋体" w:cs="仿宋"/>
                <w:color w:val="auto"/>
                <w:sz w:val="18"/>
                <w:szCs w:val="18"/>
                <w:vertAlign w:val="baseline"/>
                <w:lang w:val="en-US" w:eastAsia="zh-CN"/>
              </w:rPr>
            </w:pPr>
            <w:r>
              <w:rPr>
                <w:rFonts w:hint="eastAsia" w:ascii="微软雅黑" w:hAnsi="微软雅黑" w:eastAsia="微软雅黑" w:cs="微软雅黑"/>
                <w:color w:val="auto"/>
                <w:sz w:val="18"/>
                <w:szCs w:val="18"/>
                <w:vertAlign w:val="baseline"/>
                <w:lang w:val="en-US" w:eastAsia="zh-CN"/>
              </w:rPr>
              <w:t>≤</w:t>
            </w:r>
            <w:r>
              <w:rPr>
                <w:rFonts w:hint="eastAsia" w:ascii="宋体" w:hAnsi="宋体" w:eastAsia="宋体" w:cs="仿宋"/>
                <w:color w:val="auto"/>
                <w:sz w:val="18"/>
                <w:szCs w:val="18"/>
                <w:vertAlign w:val="baseline"/>
                <w:lang w:val="en-US" w:eastAsia="zh-CN"/>
              </w:rPr>
              <w:t>0.25</w:t>
            </w:r>
          </w:p>
        </w:tc>
      </w:tr>
    </w:tbl>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2光缆成端的光纤接头衰减限值应符合</w:t>
      </w:r>
      <w:r>
        <w:rPr>
          <w:rFonts w:hint="eastAsia" w:ascii="宋体" w:hAnsi="宋体" w:eastAsia="宋体" w:cs="仿宋"/>
          <w:color w:val="000000" w:themeColor="text1"/>
          <w:sz w:val="18"/>
          <w:szCs w:val="18"/>
          <w:lang w:val="en-US" w:eastAsia="zh-CN"/>
          <w14:textFill>
            <w14:solidFill>
              <w14:schemeClr w14:val="tx1"/>
            </w14:solidFill>
          </w14:textFill>
        </w:rPr>
        <w:t>现行国家规范</w:t>
      </w:r>
      <w:r>
        <w:rPr>
          <w:rFonts w:hint="eastAsia" w:ascii="宋体" w:hAnsi="宋体" w:eastAsia="宋体" w:cs="仿宋"/>
          <w:color w:val="000000" w:themeColor="text1"/>
          <w:sz w:val="18"/>
          <w:szCs w:val="18"/>
          <w14:textFill>
            <w14:solidFill>
              <w14:schemeClr w14:val="tx1"/>
            </w14:solidFill>
          </w14:textFill>
        </w:rPr>
        <w:t>《通信线路工程设计规范》（GB 51158）</w:t>
      </w:r>
      <w:r>
        <w:rPr>
          <w:rFonts w:hint="eastAsia" w:ascii="宋体" w:hAnsi="宋体" w:eastAsia="宋体" w:cs="仿宋"/>
          <w:color w:val="000000" w:themeColor="text1"/>
          <w:sz w:val="18"/>
          <w:szCs w:val="18"/>
          <w:lang w:val="en-US" w:eastAsia="zh-CN"/>
          <w14:textFill>
            <w14:solidFill>
              <w14:schemeClr w14:val="tx1"/>
            </w14:solidFill>
          </w14:textFill>
        </w:rPr>
        <w:t>中</w:t>
      </w:r>
      <w:r>
        <w:rPr>
          <w:rFonts w:hint="eastAsia" w:ascii="宋体" w:hAnsi="宋体" w:eastAsia="宋体" w:cs="仿宋"/>
          <w:color w:val="000000" w:themeColor="text1"/>
          <w:sz w:val="18"/>
          <w:szCs w:val="18"/>
          <w14:textFill>
            <w14:solidFill>
              <w14:schemeClr w14:val="tx1"/>
            </w14:solidFill>
          </w14:textFill>
        </w:rPr>
        <w:t>的有关规定；</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3光电混合缆宜采用预制成端；</w:t>
      </w:r>
      <w:r>
        <w:rPr>
          <w:rFonts w:hint="eastAsia" w:ascii="宋体" w:hAnsi="宋体" w:eastAsia="宋体" w:cs="仿宋"/>
          <w:color w:val="000000" w:themeColor="text1"/>
          <w:sz w:val="18"/>
          <w:szCs w:val="18"/>
          <w:lang w:val="en-US" w:eastAsia="zh-CN"/>
          <w14:textFill>
            <w14:solidFill>
              <w14:schemeClr w14:val="tx1"/>
            </w14:solidFill>
          </w14:textFill>
        </w:rPr>
        <w:t>如不具备预成端或者预成端损坏时，可以采用熔接或者现场组装预埋光纤连接器成端，</w:t>
      </w:r>
      <w:r>
        <w:rPr>
          <w:rFonts w:hint="eastAsia" w:ascii="宋体" w:hAnsi="宋体" w:eastAsia="宋体" w:cs="仿宋"/>
          <w:color w:val="000000" w:themeColor="text1"/>
          <w:sz w:val="18"/>
          <w:szCs w:val="18"/>
          <w14:textFill>
            <w14:solidFill>
              <w14:schemeClr w14:val="tx1"/>
            </w14:solidFill>
          </w14:textFill>
        </w:rPr>
        <w:t>应符合</w:t>
      </w:r>
      <w:r>
        <w:rPr>
          <w:rFonts w:hint="eastAsia" w:ascii="宋体" w:hAnsi="宋体" w:eastAsia="宋体" w:cs="仿宋"/>
          <w:color w:val="000000" w:themeColor="text1"/>
          <w:sz w:val="18"/>
          <w:szCs w:val="18"/>
          <w:lang w:val="en-US" w:eastAsia="zh-CN"/>
          <w14:textFill>
            <w14:solidFill>
              <w14:schemeClr w14:val="tx1"/>
            </w14:solidFill>
          </w14:textFill>
        </w:rPr>
        <w:t>现行行业规范《通信用光电混合缆工程技术规范》（YD/T 5242）中的有关</w:t>
      </w:r>
      <w:r>
        <w:rPr>
          <w:rFonts w:hint="eastAsia" w:ascii="宋体" w:hAnsi="宋体" w:eastAsia="宋体" w:cs="仿宋"/>
          <w:color w:val="000000" w:themeColor="text1"/>
          <w:sz w:val="18"/>
          <w:szCs w:val="18"/>
          <w14:textFill>
            <w14:solidFill>
              <w14:schemeClr w14:val="tx1"/>
            </w14:solidFill>
          </w14:textFill>
        </w:rPr>
        <w:t>规定</w:t>
      </w:r>
      <w:r>
        <w:rPr>
          <w:rFonts w:hint="eastAsia" w:ascii="宋体" w:hAnsi="宋体" w:eastAsia="宋体" w:cs="仿宋"/>
          <w:color w:val="000000" w:themeColor="text1"/>
          <w:sz w:val="18"/>
          <w:szCs w:val="18"/>
          <w:lang w:eastAsia="zh-CN"/>
          <w14:textFill>
            <w14:solidFill>
              <w14:schemeClr w14:val="tx1"/>
            </w14:solidFill>
          </w14:textFill>
        </w:rPr>
        <w:t>。</w:t>
      </w:r>
    </w:p>
    <w:p>
      <w:pPr>
        <w:pStyle w:val="3"/>
        <w:spacing w:line="240" w:lineRule="auto"/>
        <w:jc w:val="center"/>
        <w:rPr>
          <w:rFonts w:hint="eastAsia" w:ascii="宋体" w:hAnsi="宋体" w:eastAsia="宋体" w:cs="宋体"/>
          <w:b w:val="0"/>
          <w:bCs/>
          <w:color w:val="000000" w:themeColor="text1"/>
          <w:sz w:val="30"/>
          <w:szCs w:val="30"/>
          <w14:textFill>
            <w14:solidFill>
              <w14:schemeClr w14:val="tx1"/>
            </w14:solidFill>
          </w14:textFill>
        </w:rPr>
      </w:pPr>
      <w:bookmarkStart w:id="20" w:name="_Toc26340"/>
      <w:r>
        <w:rPr>
          <w:rFonts w:hint="eastAsia" w:ascii="宋体" w:hAnsi="宋体" w:eastAsia="宋体" w:cs="宋体"/>
          <w:b w:val="0"/>
          <w:bCs/>
          <w:color w:val="000000" w:themeColor="text1"/>
          <w:sz w:val="30"/>
          <w:szCs w:val="30"/>
          <w14:textFill>
            <w14:solidFill>
              <w14:schemeClr w14:val="tx1"/>
            </w14:solidFill>
          </w14:textFill>
        </w:rPr>
        <w:t xml:space="preserve">4 </w:t>
      </w:r>
      <w:bookmarkEnd w:id="10"/>
      <w:bookmarkEnd w:id="11"/>
      <w:bookmarkEnd w:id="12"/>
      <w:r>
        <w:rPr>
          <w:rFonts w:hint="eastAsia" w:ascii="宋体" w:hAnsi="宋体" w:eastAsia="宋体" w:cs="宋体"/>
          <w:b w:val="0"/>
          <w:bCs/>
          <w:color w:val="000000" w:themeColor="text1"/>
          <w:sz w:val="30"/>
          <w:szCs w:val="30"/>
          <w14:textFill>
            <w14:solidFill>
              <w14:schemeClr w14:val="tx1"/>
            </w14:solidFill>
          </w14:textFill>
        </w:rPr>
        <w:t>施工要求</w:t>
      </w:r>
      <w:bookmarkEnd w:id="20"/>
    </w:p>
    <w:p>
      <w:pPr>
        <w:pStyle w:val="4"/>
        <w:spacing w:line="240" w:lineRule="auto"/>
        <w:jc w:val="center"/>
        <w:rPr>
          <w:rFonts w:ascii="黑体" w:hAnsi="黑体" w:eastAsia="黑体" w:cs="黑体"/>
          <w:b w:val="0"/>
          <w:bCs/>
          <w:color w:val="000000" w:themeColor="text1"/>
          <w:sz w:val="21"/>
          <w:szCs w:val="21"/>
          <w14:textFill>
            <w14:solidFill>
              <w14:schemeClr w14:val="tx1"/>
            </w14:solidFill>
          </w14:textFill>
        </w:rPr>
      </w:pPr>
      <w:bookmarkStart w:id="21" w:name="_Toc16084476"/>
      <w:bookmarkStart w:id="22" w:name="_Toc2435"/>
      <w:bookmarkStart w:id="23" w:name="_Toc22688"/>
      <w:bookmarkStart w:id="24" w:name="_Toc4607"/>
      <w:r>
        <w:rPr>
          <w:rFonts w:hint="eastAsia" w:ascii="黑体" w:hAnsi="黑体" w:eastAsia="黑体" w:cs="黑体"/>
          <w:b w:val="0"/>
          <w:bCs/>
          <w:color w:val="000000" w:themeColor="text1"/>
          <w:sz w:val="21"/>
          <w:szCs w:val="21"/>
          <w14:textFill>
            <w14:solidFill>
              <w14:schemeClr w14:val="tx1"/>
            </w14:solidFill>
          </w14:textFill>
        </w:rPr>
        <w:t xml:space="preserve">4.1 </w:t>
      </w:r>
      <w:bookmarkEnd w:id="21"/>
      <w:bookmarkEnd w:id="22"/>
      <w:bookmarkEnd w:id="23"/>
      <w:r>
        <w:rPr>
          <w:rFonts w:hint="eastAsia" w:ascii="黑体" w:hAnsi="黑体" w:eastAsia="黑体" w:cs="黑体"/>
          <w:b w:val="0"/>
          <w:bCs/>
          <w:color w:val="000000" w:themeColor="text1"/>
          <w:sz w:val="21"/>
          <w:szCs w:val="21"/>
          <w14:textFill>
            <w14:solidFill>
              <w14:schemeClr w14:val="tx1"/>
            </w14:solidFill>
          </w14:textFill>
        </w:rPr>
        <w:t>施工前检查</w:t>
      </w:r>
      <w:bookmarkEnd w:id="24"/>
      <w:bookmarkStart w:id="25" w:name="_Toc16084481"/>
      <w:bookmarkStart w:id="26" w:name="_Toc24216"/>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4.1.1施工前应用光功率计检查入户光缆的接收光功率是否达标。若不达标，则停止施工，反馈入户光缆整改需求；若达标，则记录数据。</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4.1.2检查施工现场环</w:t>
      </w:r>
      <w:r>
        <w:rPr>
          <w:rFonts w:hint="eastAsia" w:ascii="宋体" w:hAnsi="宋体" w:eastAsia="宋体" w:cs="仿宋"/>
          <w:color w:val="auto"/>
          <w:sz w:val="18"/>
          <w:szCs w:val="18"/>
        </w:rPr>
        <w:t>境的防火、用电及其他安全措施并应符合</w:t>
      </w:r>
      <w:r>
        <w:rPr>
          <w:rFonts w:hint="eastAsia" w:ascii="宋体" w:hAnsi="宋体" w:eastAsia="宋体" w:cs="仿宋"/>
          <w:color w:val="auto"/>
          <w:sz w:val="18"/>
          <w:szCs w:val="18"/>
          <w:lang w:val="en-US" w:eastAsia="zh-CN"/>
        </w:rPr>
        <w:t>现行行业规范</w:t>
      </w:r>
      <w:r>
        <w:rPr>
          <w:rFonts w:hint="eastAsia" w:ascii="宋体" w:hAnsi="宋体" w:eastAsia="宋体" w:cs="仿宋"/>
          <w:color w:val="auto"/>
          <w:sz w:val="18"/>
          <w:szCs w:val="18"/>
        </w:rPr>
        <w:t>《通信建设工程安全生产操作规范》（YD 5201-2014）中的</w:t>
      </w:r>
      <w:r>
        <w:rPr>
          <w:rFonts w:hint="eastAsia" w:ascii="宋体" w:hAnsi="宋体" w:eastAsia="宋体" w:cs="仿宋"/>
          <w:color w:val="auto"/>
          <w:sz w:val="18"/>
          <w:szCs w:val="18"/>
          <w:lang w:val="en-US" w:eastAsia="zh-CN"/>
        </w:rPr>
        <w:t>有</w:t>
      </w:r>
      <w:r>
        <w:rPr>
          <w:rFonts w:hint="eastAsia" w:ascii="宋体" w:hAnsi="宋体" w:eastAsia="宋体" w:cs="仿宋"/>
          <w:color w:val="000000" w:themeColor="text1"/>
          <w:sz w:val="18"/>
          <w:szCs w:val="18"/>
          <w14:textFill>
            <w14:solidFill>
              <w14:schemeClr w14:val="tx1"/>
            </w14:solidFill>
          </w14:textFill>
        </w:rPr>
        <w:t>关规定。</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4.1.3明线敷设光缆项目，应核对设计图纸，检查光缆路由是否有尖锐器物，以及妨碍光缆敷设的其他障碍物。</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4.1.4暗管敷设光缆项目，施工前应检查下列内容：</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1检查建筑内暗管中是否预留穿线铁丝、线缆等；</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2检查信息配线箱内是否配置电源线、接地线等</w:t>
      </w:r>
      <w:r>
        <w:rPr>
          <w:rFonts w:hint="eastAsia" w:ascii="宋体" w:hAnsi="宋体" w:eastAsia="宋体" w:cs="仿宋"/>
          <w:color w:val="000000" w:themeColor="text1"/>
          <w:sz w:val="18"/>
          <w:szCs w:val="18"/>
          <w:lang w:eastAsia="zh-CN"/>
          <w14:textFill>
            <w14:solidFill>
              <w14:schemeClr w14:val="tx1"/>
            </w14:solidFill>
          </w14:textFill>
        </w:rPr>
        <w:t>。</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4.1.5器材设施检查应符合下列规定：</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1进行器材检查时，应有建设方代表或监理方代表和施工方代表同时在场。检查结果需要各方同时签字确认</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2器材的规格、程式、型号和数量应符合设计要求。外包装完整无破损，包装内合产品检验格证、测试资料完整</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3光缆检查。检查光缆外观有无破损，核对出厂资料。不符合设计要求的光缆，不得在工程中使用</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4光/光电分路器检查应符合下列要求：</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lang w:val="en-US" w:eastAsia="zh-CN"/>
        </w:rPr>
        <w:t>1)</w:t>
      </w:r>
      <w:r>
        <w:rPr>
          <w:rFonts w:hint="eastAsia" w:ascii="宋体" w:hAnsi="宋体" w:eastAsia="宋体" w:cs="仿宋"/>
          <w:color w:val="auto"/>
          <w:sz w:val="18"/>
          <w:szCs w:val="18"/>
        </w:rPr>
        <w:t>光/光电分路器和光纤连接器件应外观平滑、端面洁净、无油污、毛刺、伤痕及裂纹等缺陷</w:t>
      </w:r>
      <w:r>
        <w:rPr>
          <w:rFonts w:hint="eastAsia" w:ascii="宋体" w:hAnsi="宋体" w:eastAsia="宋体" w:cs="仿宋"/>
          <w:color w:val="auto"/>
          <w:sz w:val="18"/>
          <w:szCs w:val="18"/>
          <w:lang w:eastAsia="zh-CN"/>
        </w:rPr>
        <w:t>；</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lang w:val="en-US" w:eastAsia="zh-CN"/>
        </w:rPr>
        <w:t>2)</w:t>
      </w:r>
      <w:r>
        <w:rPr>
          <w:rFonts w:hint="eastAsia" w:ascii="宋体" w:hAnsi="宋体" w:eastAsia="宋体" w:cs="仿宋"/>
          <w:color w:val="auto"/>
          <w:sz w:val="18"/>
          <w:szCs w:val="18"/>
        </w:rPr>
        <w:t>各零部件组合应严密、平整，连接器插头与适配器的插拔应平顺、轻巧</w:t>
      </w:r>
      <w:r>
        <w:rPr>
          <w:rFonts w:hint="eastAsia" w:ascii="宋体" w:hAnsi="宋体" w:eastAsia="宋体" w:cs="仿宋"/>
          <w:color w:val="auto"/>
          <w:sz w:val="18"/>
          <w:szCs w:val="18"/>
          <w:lang w:eastAsia="zh-CN"/>
        </w:rPr>
        <w:t>；</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lang w:val="en-US" w:eastAsia="zh-CN"/>
        </w:rPr>
        <w:t>3)</w:t>
      </w:r>
      <w:r>
        <w:rPr>
          <w:rFonts w:hint="eastAsia" w:ascii="宋体" w:hAnsi="宋体" w:eastAsia="宋体" w:cs="仿宋"/>
          <w:color w:val="auto"/>
          <w:sz w:val="18"/>
          <w:szCs w:val="18"/>
        </w:rPr>
        <w:t>连接器件的接续模块、成端模块、信息点及其他插件的部件应完整，材质应符合有关规定</w:t>
      </w:r>
      <w:r>
        <w:rPr>
          <w:rFonts w:hint="eastAsia" w:ascii="宋体" w:hAnsi="宋体" w:eastAsia="宋体" w:cs="仿宋"/>
          <w:color w:val="auto"/>
          <w:sz w:val="18"/>
          <w:szCs w:val="18"/>
          <w:lang w:eastAsia="zh-CN"/>
        </w:rPr>
        <w:t>；</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lang w:val="en-US" w:eastAsia="zh-CN"/>
        </w:rPr>
        <w:t>4)</w:t>
      </w:r>
      <w:r>
        <w:rPr>
          <w:rFonts w:hint="eastAsia" w:ascii="宋体" w:hAnsi="宋体" w:eastAsia="宋体" w:cs="仿宋"/>
          <w:color w:val="auto"/>
          <w:sz w:val="18"/>
          <w:szCs w:val="18"/>
        </w:rPr>
        <w:t>测试光/光电分路器的插入损耗，测试结果应符合设计要求。</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5 FTTR主从设备检查应符合下列要求：</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lang w:val="en-US" w:eastAsia="zh-CN"/>
        </w:rPr>
        <w:t>1)</w:t>
      </w:r>
      <w:r>
        <w:rPr>
          <w:rFonts w:hint="eastAsia" w:ascii="宋体" w:hAnsi="宋体" w:eastAsia="宋体" w:cs="仿宋"/>
          <w:color w:val="auto"/>
          <w:sz w:val="18"/>
          <w:szCs w:val="18"/>
        </w:rPr>
        <w:t>设备成品外观完好，无损坏、变形、脏污；外箱标贴应完好，字迹清晰完整，标签条形码应可辨、能扫描</w:t>
      </w:r>
      <w:r>
        <w:rPr>
          <w:rFonts w:hint="eastAsia" w:ascii="宋体" w:hAnsi="宋体" w:eastAsia="宋体" w:cs="仿宋"/>
          <w:color w:val="auto"/>
          <w:sz w:val="18"/>
          <w:szCs w:val="18"/>
          <w:lang w:eastAsia="zh-CN"/>
        </w:rPr>
        <w:t>；</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lang w:val="en-US" w:eastAsia="zh-CN"/>
        </w:rPr>
        <w:t>2)</w:t>
      </w:r>
      <w:r>
        <w:rPr>
          <w:rFonts w:hint="eastAsia" w:ascii="宋体" w:hAnsi="宋体" w:eastAsia="宋体" w:cs="仿宋"/>
          <w:color w:val="auto"/>
          <w:sz w:val="18"/>
          <w:szCs w:val="18"/>
        </w:rPr>
        <w:t>依据设备装箱单对设备实物进行核对，确认合同号、收货单位、工程名称、包装箱号、包装箱件数等准确无误，并做好记录</w:t>
      </w:r>
      <w:r>
        <w:rPr>
          <w:rFonts w:hint="eastAsia" w:ascii="宋体" w:hAnsi="宋体" w:eastAsia="宋体" w:cs="仿宋"/>
          <w:color w:val="auto"/>
          <w:sz w:val="18"/>
          <w:szCs w:val="18"/>
          <w:lang w:eastAsia="zh-CN"/>
        </w:rPr>
        <w:t>；</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lang w:val="en-US" w:eastAsia="zh-CN"/>
        </w:rPr>
        <w:t>3)</w:t>
      </w:r>
      <w:r>
        <w:rPr>
          <w:rFonts w:hint="eastAsia" w:ascii="宋体" w:hAnsi="宋体" w:eastAsia="宋体" w:cs="仿宋"/>
          <w:color w:val="auto"/>
          <w:sz w:val="18"/>
          <w:szCs w:val="18"/>
        </w:rPr>
        <w:t>检查设备出厂测试记录，并符合设计要求。</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6 施工机具仪表检查应符合下列要求：</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lang w:val="en-US" w:eastAsia="zh-CN"/>
        </w:rPr>
        <w:t>1)</w:t>
      </w:r>
      <w:r>
        <w:rPr>
          <w:rFonts w:hint="eastAsia" w:ascii="宋体" w:hAnsi="宋体" w:eastAsia="宋体" w:cs="仿宋"/>
          <w:color w:val="auto"/>
          <w:sz w:val="18"/>
          <w:szCs w:val="18"/>
        </w:rPr>
        <w:t>各种施工机具应经检查确认符合要求后，方可使用</w:t>
      </w:r>
      <w:r>
        <w:rPr>
          <w:rFonts w:hint="eastAsia" w:ascii="宋体" w:hAnsi="宋体" w:eastAsia="宋体" w:cs="仿宋"/>
          <w:color w:val="auto"/>
          <w:sz w:val="18"/>
          <w:szCs w:val="18"/>
          <w:lang w:eastAsia="zh-CN"/>
        </w:rPr>
        <w:t>；</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lang w:val="en-US" w:eastAsia="zh-CN"/>
        </w:rPr>
        <w:t>2)</w:t>
      </w:r>
      <w:r>
        <w:rPr>
          <w:rFonts w:hint="eastAsia" w:ascii="宋体" w:hAnsi="宋体" w:eastAsia="宋体" w:cs="仿宋"/>
          <w:color w:val="auto"/>
          <w:sz w:val="18"/>
          <w:szCs w:val="18"/>
        </w:rPr>
        <w:t>手持式电动工具的电源线应采用橡胶护套铜芯软电缆，中间不得有接头</w:t>
      </w:r>
      <w:r>
        <w:rPr>
          <w:rFonts w:hint="eastAsia" w:ascii="宋体" w:hAnsi="宋体" w:eastAsia="宋体" w:cs="仿宋"/>
          <w:color w:val="auto"/>
          <w:sz w:val="18"/>
          <w:szCs w:val="18"/>
          <w:lang w:eastAsia="zh-CN"/>
        </w:rPr>
        <w:t>；</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lang w:val="en-US" w:eastAsia="zh-CN"/>
        </w:rPr>
        <w:t>3)</w:t>
      </w:r>
      <w:r>
        <w:rPr>
          <w:rFonts w:hint="eastAsia" w:ascii="宋体" w:hAnsi="宋体" w:eastAsia="宋体" w:cs="仿宋"/>
          <w:color w:val="auto"/>
          <w:sz w:val="18"/>
          <w:szCs w:val="18"/>
        </w:rPr>
        <w:t>工程中使用的仪器、仪表，应在检定部门调校后确定的有效周期内。</w:t>
      </w:r>
    </w:p>
    <w:p>
      <w:pPr>
        <w:pStyle w:val="4"/>
        <w:spacing w:line="240" w:lineRule="auto"/>
        <w:jc w:val="center"/>
        <w:rPr>
          <w:rFonts w:ascii="黑体" w:hAnsi="黑体" w:eastAsia="黑体" w:cs="黑体"/>
          <w:b w:val="0"/>
          <w:bCs/>
          <w:color w:val="000000" w:themeColor="text1"/>
          <w:sz w:val="21"/>
          <w:szCs w:val="21"/>
          <w14:textFill>
            <w14:solidFill>
              <w14:schemeClr w14:val="tx1"/>
            </w14:solidFill>
          </w14:textFill>
        </w:rPr>
      </w:pPr>
      <w:bookmarkStart w:id="27" w:name="_Toc4871"/>
      <w:r>
        <w:rPr>
          <w:rFonts w:hint="eastAsia" w:ascii="黑体" w:hAnsi="黑体" w:eastAsia="黑体" w:cs="黑体"/>
          <w:b w:val="0"/>
          <w:bCs/>
          <w:color w:val="000000" w:themeColor="text1"/>
          <w:sz w:val="21"/>
          <w:szCs w:val="21"/>
          <w14:textFill>
            <w14:solidFill>
              <w14:schemeClr w14:val="tx1"/>
            </w14:solidFill>
          </w14:textFill>
        </w:rPr>
        <w:t xml:space="preserve">4.2 </w:t>
      </w:r>
      <w:bookmarkEnd w:id="25"/>
      <w:bookmarkEnd w:id="26"/>
      <w:r>
        <w:rPr>
          <w:rFonts w:hint="eastAsia" w:ascii="黑体" w:hAnsi="黑体" w:eastAsia="黑体" w:cs="黑体"/>
          <w:b w:val="0"/>
          <w:bCs/>
          <w:color w:val="000000" w:themeColor="text1"/>
          <w:sz w:val="21"/>
          <w:szCs w:val="21"/>
          <w14:textFill>
            <w14:solidFill>
              <w14:schemeClr w14:val="tx1"/>
            </w14:solidFill>
          </w14:textFill>
        </w:rPr>
        <w:t>设备安装</w:t>
      </w:r>
      <w:bookmarkEnd w:id="27"/>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4.2.1 FTTR主从设备、光/光电分路器、设备连接线终端位置、型号和数量应符合设计要求。</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4.2.2设备安装应符合下列要求：</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 FTTR主设备安装于机柜内时，不宜堆叠放置；安装要求应符合</w:t>
      </w:r>
      <w:r>
        <w:rPr>
          <w:rFonts w:hint="eastAsia" w:ascii="宋体" w:hAnsi="宋体" w:eastAsia="宋体" w:cs="仿宋"/>
          <w:color w:val="000000" w:themeColor="text1"/>
          <w:sz w:val="18"/>
          <w:szCs w:val="18"/>
          <w:lang w:val="en-US" w:eastAsia="zh-CN"/>
          <w14:textFill>
            <w14:solidFill>
              <w14:schemeClr w14:val="tx1"/>
            </w14:solidFill>
          </w14:textFill>
        </w:rPr>
        <w:t>现行行业规范</w:t>
      </w:r>
      <w:r>
        <w:rPr>
          <w:rFonts w:hint="eastAsia" w:ascii="宋体" w:hAnsi="宋体" w:eastAsia="宋体" w:cs="仿宋"/>
          <w:color w:val="000000" w:themeColor="text1"/>
          <w:sz w:val="18"/>
          <w:szCs w:val="18"/>
          <w14:textFill>
            <w14:solidFill>
              <w14:schemeClr w14:val="tx1"/>
            </w14:solidFill>
          </w14:textFill>
        </w:rPr>
        <w:t>《有线接入网设备安装工程验收规范》（YD/T 5140）中的</w:t>
      </w:r>
      <w:r>
        <w:rPr>
          <w:rFonts w:hint="eastAsia" w:ascii="宋体" w:hAnsi="宋体" w:eastAsia="宋体" w:cs="仿宋"/>
          <w:color w:val="000000" w:themeColor="text1"/>
          <w:sz w:val="18"/>
          <w:szCs w:val="18"/>
          <w:lang w:val="en-US" w:eastAsia="zh-CN"/>
          <w14:textFill>
            <w14:solidFill>
              <w14:schemeClr w14:val="tx1"/>
            </w14:solidFill>
          </w14:textFill>
        </w:rPr>
        <w:t>有</w:t>
      </w:r>
      <w:r>
        <w:rPr>
          <w:rFonts w:hint="eastAsia" w:ascii="宋体" w:hAnsi="宋体" w:eastAsia="宋体" w:cs="仿宋"/>
          <w:color w:val="000000" w:themeColor="text1"/>
          <w:sz w:val="18"/>
          <w:szCs w:val="18"/>
          <w14:textFill>
            <w14:solidFill>
              <w14:schemeClr w14:val="tx1"/>
            </w14:solidFill>
          </w14:textFill>
        </w:rPr>
        <w:t>关规定</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2 </w:t>
      </w:r>
      <w:r>
        <w:rPr>
          <w:rFonts w:hint="eastAsia" w:ascii="宋体" w:hAnsi="宋体" w:eastAsia="宋体" w:cs="仿宋"/>
          <w:color w:val="000000" w:themeColor="text1"/>
          <w:sz w:val="18"/>
          <w:szCs w:val="18"/>
          <w14:textFill>
            <w14:solidFill>
              <w14:schemeClr w14:val="tx1"/>
            </w14:solidFill>
          </w14:textFill>
        </w:rPr>
        <w:t>房间内安装FTTR从设备与信息点86底盒为预埋或明装的固定方法，宜高出地面300mm。固定螺丝需拧紧，不应产生松动现象</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3 </w:t>
      </w:r>
      <w:r>
        <w:rPr>
          <w:rFonts w:hint="eastAsia" w:ascii="宋体" w:hAnsi="宋体" w:eastAsia="宋体" w:cs="仿宋"/>
          <w:color w:val="000000" w:themeColor="text1"/>
          <w:sz w:val="18"/>
          <w:szCs w:val="18"/>
          <w14:textFill>
            <w14:solidFill>
              <w14:schemeClr w14:val="tx1"/>
            </w14:solidFill>
          </w14:textFill>
        </w:rPr>
        <w:t>插座面板应有标签，以颜色、图形、文字表示所接终端设备的类型</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4 </w:t>
      </w:r>
      <w:r>
        <w:rPr>
          <w:rFonts w:hint="eastAsia" w:ascii="宋体" w:hAnsi="宋体" w:eastAsia="宋体" w:cs="仿宋"/>
          <w:color w:val="000000" w:themeColor="text1"/>
          <w:sz w:val="18"/>
          <w:szCs w:val="18"/>
          <w14:textFill>
            <w14:solidFill>
              <w14:schemeClr w14:val="tx1"/>
            </w14:solidFill>
          </w14:textFill>
        </w:rPr>
        <w:t>机柜、家居/信息配线箱等设备的安装宜采用螺栓固定</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5 </w:t>
      </w:r>
      <w:r>
        <w:rPr>
          <w:rFonts w:hint="eastAsia" w:ascii="宋体" w:hAnsi="宋体" w:eastAsia="宋体" w:cs="仿宋"/>
          <w:color w:val="000000" w:themeColor="text1"/>
          <w:sz w:val="18"/>
          <w:szCs w:val="18"/>
          <w14:textFill>
            <w14:solidFill>
              <w14:schemeClr w14:val="tx1"/>
            </w14:solidFill>
          </w14:textFill>
        </w:rPr>
        <w:t>在抗震设防地区，设备安装应采减震措施，并按规定进行基础抗震</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6 </w:t>
      </w:r>
      <w:r>
        <w:rPr>
          <w:rFonts w:hint="eastAsia" w:ascii="宋体" w:hAnsi="宋体" w:eastAsia="宋体" w:cs="仿宋"/>
          <w:color w:val="000000" w:themeColor="text1"/>
          <w:sz w:val="18"/>
          <w:szCs w:val="18"/>
          <w14:textFill>
            <w14:solidFill>
              <w14:schemeClr w14:val="tx1"/>
            </w14:solidFill>
          </w14:textFill>
        </w:rPr>
        <w:t>标准机柜内安装设备、线缆、端口等应有明显的标识</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7 </w:t>
      </w:r>
      <w:r>
        <w:rPr>
          <w:rFonts w:hint="eastAsia" w:ascii="宋体" w:hAnsi="宋体" w:eastAsia="宋体" w:cs="仿宋"/>
          <w:color w:val="000000" w:themeColor="text1"/>
          <w:sz w:val="18"/>
          <w:szCs w:val="18"/>
          <w14:textFill>
            <w14:solidFill>
              <w14:schemeClr w14:val="tx1"/>
            </w14:solidFill>
          </w14:textFill>
        </w:rPr>
        <w:t>面板式或吸顶式设备安装应端正牢固，固定螺丝需拧紧，</w:t>
      </w:r>
      <w:r>
        <w:rPr>
          <w:rFonts w:hint="eastAsia" w:ascii="宋体" w:hAnsi="宋体" w:eastAsia="宋体" w:cs="仿宋"/>
          <w:color w:val="000000" w:themeColor="text1"/>
          <w:sz w:val="18"/>
          <w:szCs w:val="18"/>
          <w:lang w:val="en-US" w:eastAsia="zh-CN"/>
          <w14:textFill>
            <w14:solidFill>
              <w14:schemeClr w14:val="tx1"/>
            </w14:solidFill>
          </w14:textFill>
        </w:rPr>
        <w:t>固定螺栓应不少于3颗且</w:t>
      </w:r>
      <w:r>
        <w:rPr>
          <w:rFonts w:hint="eastAsia" w:ascii="宋体" w:hAnsi="宋体" w:eastAsia="宋体" w:cs="仿宋"/>
          <w:color w:val="000000" w:themeColor="text1"/>
          <w:sz w:val="18"/>
          <w:szCs w:val="18"/>
          <w14:textFill>
            <w14:solidFill>
              <w14:schemeClr w14:val="tx1"/>
            </w14:solidFill>
          </w14:textFill>
        </w:rPr>
        <w:t>不应产生松动现象；</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8 </w:t>
      </w:r>
      <w:r>
        <w:rPr>
          <w:rFonts w:hint="eastAsia" w:ascii="宋体" w:hAnsi="宋体" w:eastAsia="宋体" w:cs="仿宋"/>
          <w:color w:val="000000" w:themeColor="text1"/>
          <w:sz w:val="18"/>
          <w:szCs w:val="18"/>
          <w14:textFill>
            <w14:solidFill>
              <w14:schemeClr w14:val="tx1"/>
            </w14:solidFill>
          </w14:textFill>
        </w:rPr>
        <w:t>插座式设备安装，设备正前方不宜有遮挡物；</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9 </w:t>
      </w:r>
      <w:r>
        <w:rPr>
          <w:rFonts w:hint="eastAsia" w:ascii="宋体" w:hAnsi="宋体" w:eastAsia="宋体" w:cs="仿宋"/>
          <w:color w:val="000000" w:themeColor="text1"/>
          <w:sz w:val="18"/>
          <w:szCs w:val="18"/>
          <w14:textFill>
            <w14:solidFill>
              <w14:schemeClr w14:val="tx1"/>
            </w14:solidFill>
          </w14:textFill>
        </w:rPr>
        <w:t>桌面式设备安装，设备上方不应堆积物体；</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 xml:space="preserve">10 </w:t>
      </w:r>
      <w:r>
        <w:rPr>
          <w:rFonts w:hint="eastAsia" w:ascii="宋体" w:hAnsi="宋体" w:eastAsia="宋体" w:cs="仿宋"/>
          <w:color w:val="000000" w:themeColor="text1"/>
          <w:sz w:val="18"/>
          <w:szCs w:val="18"/>
          <w14:textFill>
            <w14:solidFill>
              <w14:schemeClr w14:val="tx1"/>
            </w14:solidFill>
          </w14:textFill>
        </w:rPr>
        <w:t>应对设备连接端子进行标识。</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4.2.3设备连接线安装应符合下列要求：</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1应留有余长、排列整齐、绑扎松紧适度，上方不得有重物压迫；</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2尾纤和光纤连接线的静态弯曲半径应符合下列规定：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1)</w:t>
      </w:r>
      <w:r>
        <w:rPr>
          <w:rFonts w:hint="eastAsia" w:ascii="宋体" w:hAnsi="宋体" w:eastAsia="宋体" w:cs="仿宋"/>
          <w:color w:val="000000" w:themeColor="text1"/>
          <w:sz w:val="18"/>
          <w:szCs w:val="18"/>
          <w14:textFill>
            <w14:solidFill>
              <w14:schemeClr w14:val="tx1"/>
            </w14:solidFill>
          </w14:textFill>
        </w:rPr>
        <w:t>G.652D光纤不应小于30mm；</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2)</w:t>
      </w:r>
      <w:r>
        <w:rPr>
          <w:rFonts w:hint="eastAsia" w:ascii="宋体" w:hAnsi="宋体" w:eastAsia="宋体" w:cs="仿宋"/>
          <w:color w:val="000000" w:themeColor="text1"/>
          <w:sz w:val="18"/>
          <w:szCs w:val="18"/>
          <w14:textFill>
            <w14:solidFill>
              <w14:schemeClr w14:val="tx1"/>
            </w14:solidFill>
          </w14:textFill>
        </w:rPr>
        <w:t>G.657a2光纤不应小于15mm。</w:t>
      </w:r>
    </w:p>
    <w:p>
      <w:pPr>
        <w:pStyle w:val="4"/>
        <w:spacing w:line="240" w:lineRule="auto"/>
        <w:jc w:val="center"/>
        <w:rPr>
          <w:rFonts w:hint="default" w:ascii="黑体" w:hAnsi="黑体" w:eastAsia="黑体" w:cs="黑体"/>
          <w:b w:val="0"/>
          <w:bCs/>
          <w:color w:val="000000" w:themeColor="text1"/>
          <w:sz w:val="21"/>
          <w:szCs w:val="21"/>
          <w:lang w:val="en-US" w:eastAsia="zh-CN"/>
          <w14:textFill>
            <w14:solidFill>
              <w14:schemeClr w14:val="tx1"/>
            </w14:solidFill>
          </w14:textFill>
        </w:rPr>
      </w:pPr>
      <w:bookmarkStart w:id="28" w:name="_Toc31514"/>
      <w:r>
        <w:rPr>
          <w:rFonts w:hint="eastAsia" w:ascii="黑体" w:hAnsi="黑体" w:eastAsia="黑体" w:cs="黑体"/>
          <w:b w:val="0"/>
          <w:bCs/>
          <w:color w:val="000000" w:themeColor="text1"/>
          <w:sz w:val="21"/>
          <w:szCs w:val="21"/>
          <w14:textFill>
            <w14:solidFill>
              <w14:schemeClr w14:val="tx1"/>
            </w14:solidFill>
          </w14:textFill>
        </w:rPr>
        <w:t xml:space="preserve">4.3 </w:t>
      </w:r>
      <w:r>
        <w:rPr>
          <w:rFonts w:hint="eastAsia" w:ascii="黑体" w:hAnsi="黑体" w:eastAsia="黑体" w:cs="黑体"/>
          <w:b w:val="0"/>
          <w:bCs/>
          <w:color w:val="000000" w:themeColor="text1"/>
          <w:sz w:val="21"/>
          <w:szCs w:val="21"/>
          <w:lang w:val="en-US" w:eastAsia="zh-CN"/>
          <w14:textFill>
            <w14:solidFill>
              <w14:schemeClr w14:val="tx1"/>
            </w14:solidFill>
          </w14:textFill>
        </w:rPr>
        <w:t>安全电源及接地要求</w:t>
      </w:r>
      <w:bookmarkEnd w:id="28"/>
    </w:p>
    <w:p>
      <w:pPr>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4.3.1 FTTR场景中所使用到的所有设备和管道材料等，都应符合有关建筑规范的防火要求。</w:t>
      </w:r>
    </w:p>
    <w:p>
      <w:pPr>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4.3.2对于商务楼宇场景中FTTR主设备需要考虑接地，设备机柜的接地采取联合接地，即柜体的保护接地（包括屏蔽接地和建筑防雷接地）与楼体共同合用一组接地体的联合接地方式。</w:t>
      </w:r>
    </w:p>
    <w:p>
      <w:pPr>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4.3.3 FTTR设备需要考虑有防雷击保护的设计，如使用光电复合缆时，需考虑防雷击等安全问题。对于公共建筑配线间内设备机柜严格执行《建筑物防雷设计规范》（GB 50057-2010）以及《通信局（站）防雷与接地工程设计规范》（GB 50689-2011）。</w:t>
      </w:r>
    </w:p>
    <w:p>
      <w:pPr>
        <w:pStyle w:val="4"/>
        <w:spacing w:line="240" w:lineRule="auto"/>
        <w:jc w:val="center"/>
        <w:rPr>
          <w:rFonts w:ascii="黑体" w:hAnsi="黑体" w:eastAsia="黑体" w:cs="黑体"/>
          <w:b w:val="0"/>
          <w:bCs/>
          <w:color w:val="000000" w:themeColor="text1"/>
          <w:sz w:val="21"/>
          <w:szCs w:val="21"/>
          <w14:textFill>
            <w14:solidFill>
              <w14:schemeClr w14:val="tx1"/>
            </w14:solidFill>
          </w14:textFill>
        </w:rPr>
      </w:pPr>
      <w:bookmarkStart w:id="29" w:name="_Toc27342"/>
      <w:r>
        <w:rPr>
          <w:rFonts w:hint="eastAsia" w:ascii="黑体" w:hAnsi="黑体" w:eastAsia="黑体" w:cs="黑体"/>
          <w:b w:val="0"/>
          <w:bCs/>
          <w:color w:val="000000" w:themeColor="text1"/>
          <w:sz w:val="21"/>
          <w:szCs w:val="21"/>
          <w14:textFill>
            <w14:solidFill>
              <w14:schemeClr w14:val="tx1"/>
            </w14:solidFill>
          </w14:textFill>
        </w:rPr>
        <w:t>4.</w:t>
      </w:r>
      <w:r>
        <w:rPr>
          <w:rFonts w:hint="eastAsia" w:ascii="黑体" w:hAnsi="黑体" w:eastAsia="黑体" w:cs="黑体"/>
          <w:b w:val="0"/>
          <w:bCs/>
          <w:color w:val="000000" w:themeColor="text1"/>
          <w:sz w:val="21"/>
          <w:szCs w:val="21"/>
          <w:lang w:val="en-US" w:eastAsia="zh-CN"/>
          <w14:textFill>
            <w14:solidFill>
              <w14:schemeClr w14:val="tx1"/>
            </w14:solidFill>
          </w14:textFill>
        </w:rPr>
        <w:t>4</w:t>
      </w:r>
      <w:r>
        <w:rPr>
          <w:rFonts w:hint="eastAsia" w:ascii="黑体" w:hAnsi="黑体" w:eastAsia="黑体" w:cs="黑体"/>
          <w:b w:val="0"/>
          <w:bCs/>
          <w:color w:val="000000" w:themeColor="text1"/>
          <w:sz w:val="21"/>
          <w:szCs w:val="21"/>
          <w14:textFill>
            <w14:solidFill>
              <w14:schemeClr w14:val="tx1"/>
            </w14:solidFill>
          </w14:textFill>
        </w:rPr>
        <w:t xml:space="preserve"> 设备功能检查与单机测试</w:t>
      </w:r>
      <w:bookmarkEnd w:id="29"/>
    </w:p>
    <w:p>
      <w:pPr>
        <w:rPr>
          <w:rFonts w:ascii="宋体" w:hAnsi="宋体" w:eastAsia="宋体" w:cs="仿宋"/>
          <w:color w:val="000000" w:themeColor="text1"/>
          <w:sz w:val="18"/>
          <w:szCs w:val="18"/>
          <w14:textFill>
            <w14:solidFill>
              <w14:schemeClr w14:val="tx1"/>
            </w14:solidFill>
          </w14:textFill>
        </w:rPr>
      </w:pPr>
      <w:bookmarkStart w:id="30" w:name="_Toc16084483"/>
      <w:bookmarkStart w:id="31" w:name="_Toc18759"/>
      <w:bookmarkStart w:id="32" w:name="_Toc15899"/>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.1设备加电之前，应检查各种连接线并符合FTTR主从设备、光电光分路器的安装说明书要求。</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.2检查下列告警功能应符合设备技术文件的规定：</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1电源故障</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 FTTR主设备与FTTR从设备之间断纤(LoS)</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 FTTR从设备掉电。</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.3设备基本功能检查应符合下列规定：</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1启动及上电加载完成后，系统状态应正常</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2掉电重启后，业务应能快速恢复</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3应检查设备是否加入网管系统。</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.4 FTTR主从设备检查测试应符合下列规定：</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1测试FTTR主设备上下行接口平均发射光功率应符合设计要求</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2测试FTTR从设备上行接口平均发射光功率应符合设计要求。</w:t>
      </w:r>
    </w:p>
    <w:p>
      <w:pPr>
        <w:pStyle w:val="4"/>
        <w:keepNext/>
        <w:keepLines/>
        <w:pageBreakBefore w:val="0"/>
        <w:widowControl w:val="0"/>
        <w:kinsoku/>
        <w:wordWrap/>
        <w:overflowPunct/>
        <w:topLinePunct w:val="0"/>
        <w:autoSpaceDE/>
        <w:autoSpaceDN/>
        <w:bidi w:val="0"/>
        <w:adjustRightInd/>
        <w:snapToGrid/>
        <w:spacing w:before="200" w:after="200" w:line="240" w:lineRule="auto"/>
        <w:jc w:val="center"/>
        <w:textAlignment w:val="auto"/>
        <w:rPr>
          <w:rFonts w:hint="eastAsia" w:ascii="黑体" w:hAnsi="黑体" w:eastAsia="黑体" w:cs="黑体"/>
          <w:b w:val="0"/>
          <w:bCs/>
          <w:color w:val="000000" w:themeColor="text1"/>
          <w:sz w:val="21"/>
          <w:szCs w:val="21"/>
          <w14:textFill>
            <w14:solidFill>
              <w14:schemeClr w14:val="tx1"/>
            </w14:solidFill>
          </w14:textFill>
        </w:rPr>
      </w:pPr>
      <w:bookmarkStart w:id="33" w:name="_Toc10137"/>
    </w:p>
    <w:p>
      <w:pPr>
        <w:pStyle w:val="4"/>
        <w:keepNext/>
        <w:keepLines/>
        <w:pageBreakBefore w:val="0"/>
        <w:widowControl w:val="0"/>
        <w:kinsoku/>
        <w:wordWrap/>
        <w:overflowPunct/>
        <w:topLinePunct w:val="0"/>
        <w:autoSpaceDE/>
        <w:autoSpaceDN/>
        <w:bidi w:val="0"/>
        <w:adjustRightInd/>
        <w:snapToGrid/>
        <w:spacing w:before="200" w:after="200" w:line="240" w:lineRule="auto"/>
        <w:jc w:val="center"/>
        <w:textAlignment w:val="auto"/>
        <w:rPr>
          <w:rFonts w:ascii="黑体" w:hAnsi="黑体" w:eastAsia="黑体" w:cs="黑体"/>
          <w:b w:val="0"/>
          <w:bCs/>
          <w:color w:val="000000" w:themeColor="text1"/>
          <w:sz w:val="21"/>
          <w:szCs w:val="21"/>
          <w14:textFill>
            <w14:solidFill>
              <w14:schemeClr w14:val="tx1"/>
            </w14:solidFill>
          </w14:textFill>
        </w:rPr>
      </w:pPr>
      <w:r>
        <w:rPr>
          <w:rFonts w:hint="eastAsia" w:ascii="黑体" w:hAnsi="黑体" w:eastAsia="黑体" w:cs="黑体"/>
          <w:b w:val="0"/>
          <w:bCs/>
          <w:color w:val="000000" w:themeColor="text1"/>
          <w:sz w:val="21"/>
          <w:szCs w:val="21"/>
          <w14:textFill>
            <w14:solidFill>
              <w14:schemeClr w14:val="tx1"/>
            </w14:solidFill>
          </w14:textFill>
        </w:rPr>
        <w:t>4.</w:t>
      </w:r>
      <w:r>
        <w:rPr>
          <w:rFonts w:hint="eastAsia" w:ascii="黑体" w:hAnsi="黑体" w:eastAsia="黑体" w:cs="黑体"/>
          <w:b w:val="0"/>
          <w:bCs/>
          <w:color w:val="000000" w:themeColor="text1"/>
          <w:sz w:val="21"/>
          <w:szCs w:val="21"/>
          <w:lang w:val="en-US" w:eastAsia="zh-CN"/>
          <w14:textFill>
            <w14:solidFill>
              <w14:schemeClr w14:val="tx1"/>
            </w14:solidFill>
          </w14:textFill>
        </w:rPr>
        <w:t>5</w:t>
      </w:r>
      <w:r>
        <w:rPr>
          <w:rFonts w:hint="eastAsia" w:ascii="黑体" w:hAnsi="黑体" w:eastAsia="黑体" w:cs="黑体"/>
          <w:b w:val="0"/>
          <w:bCs/>
          <w:color w:val="000000" w:themeColor="text1"/>
          <w:sz w:val="21"/>
          <w:szCs w:val="21"/>
          <w14:textFill>
            <w14:solidFill>
              <w14:schemeClr w14:val="tx1"/>
            </w14:solidFill>
          </w14:textFill>
        </w:rPr>
        <w:t xml:space="preserve"> </w:t>
      </w:r>
      <w:bookmarkEnd w:id="30"/>
      <w:bookmarkEnd w:id="31"/>
      <w:bookmarkEnd w:id="32"/>
      <w:r>
        <w:rPr>
          <w:rFonts w:hint="eastAsia" w:ascii="黑体" w:hAnsi="黑体" w:eastAsia="黑体" w:cs="黑体"/>
          <w:b w:val="0"/>
          <w:bCs/>
          <w:color w:val="000000" w:themeColor="text1"/>
          <w:sz w:val="21"/>
          <w:szCs w:val="21"/>
          <w14:textFill>
            <w14:solidFill>
              <w14:schemeClr w14:val="tx1"/>
            </w14:solidFill>
          </w14:textFill>
        </w:rPr>
        <w:t>光缆布放与连接</w:t>
      </w:r>
      <w:bookmarkEnd w:id="33"/>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.1一般要求</w:t>
      </w:r>
    </w:p>
    <w:p>
      <w:pPr>
        <w:rPr>
          <w:rFonts w:hint="eastAsia" w:ascii="宋体" w:hAnsi="宋体" w:eastAsia="宋体" w:cs="仿宋"/>
          <w:color w:val="auto"/>
          <w:sz w:val="18"/>
          <w:szCs w:val="18"/>
          <w:lang w:eastAsia="zh-CN"/>
        </w:rPr>
      </w:pPr>
      <w:r>
        <w:rPr>
          <w:rFonts w:hint="eastAsia" w:ascii="宋体" w:hAnsi="宋体" w:eastAsia="宋体" w:cs="仿宋"/>
          <w:color w:val="000000" w:themeColor="text1"/>
          <w:sz w:val="18"/>
          <w:szCs w:val="18"/>
          <w14:textFill>
            <w14:solidFill>
              <w14:schemeClr w14:val="tx1"/>
            </w14:solidFill>
          </w14:textFill>
        </w:rPr>
        <w:t xml:space="preserve"> </w:t>
      </w:r>
      <w:r>
        <w:rPr>
          <w:rFonts w:hint="eastAsia" w:ascii="宋体" w:hAnsi="宋体" w:eastAsia="宋体" w:cs="仿宋"/>
          <w:color w:val="auto"/>
          <w:sz w:val="18"/>
          <w:szCs w:val="18"/>
        </w:rPr>
        <w:t xml:space="preserve">  </w:t>
      </w:r>
      <w:r>
        <w:rPr>
          <w:rFonts w:hint="eastAsia" w:ascii="宋体" w:hAnsi="宋体" w:eastAsia="宋体" w:cs="仿宋"/>
          <w:color w:val="auto"/>
          <w:sz w:val="18"/>
          <w:szCs w:val="18"/>
          <w:lang w:val="en-US" w:eastAsia="zh-CN"/>
        </w:rPr>
        <w:t xml:space="preserve"> 1 </w:t>
      </w:r>
      <w:r>
        <w:rPr>
          <w:rFonts w:hint="eastAsia" w:ascii="宋体" w:hAnsi="宋体" w:eastAsia="宋体" w:cs="仿宋"/>
          <w:color w:val="auto"/>
          <w:sz w:val="18"/>
          <w:szCs w:val="18"/>
        </w:rPr>
        <w:t>户内光缆在敷设时不应超过所选用光缆的最大拉伸载荷和压扁力。当户内光缆为扁形光缆时，应在扁平方向进行弯曲</w:t>
      </w:r>
      <w:r>
        <w:rPr>
          <w:rFonts w:hint="eastAsia" w:ascii="宋体" w:hAnsi="宋体" w:eastAsia="宋体" w:cs="仿宋"/>
          <w:color w:val="auto"/>
          <w:sz w:val="18"/>
          <w:szCs w:val="18"/>
          <w:lang w:eastAsia="zh-CN"/>
        </w:rPr>
        <w:t>，</w:t>
      </w:r>
      <w:r>
        <w:rPr>
          <w:rFonts w:hint="eastAsia" w:ascii="宋体" w:hAnsi="宋体" w:eastAsia="宋体" w:cs="仿宋"/>
          <w:color w:val="auto"/>
          <w:sz w:val="18"/>
          <w:szCs w:val="18"/>
        </w:rPr>
        <w:t>户内光缆及光电混合缆所允许的最小弯曲半径应符合表4.</w:t>
      </w:r>
      <w:r>
        <w:rPr>
          <w:rFonts w:hint="eastAsia" w:ascii="宋体" w:hAnsi="宋体" w:eastAsia="宋体" w:cs="仿宋"/>
          <w:color w:val="auto"/>
          <w:sz w:val="18"/>
          <w:szCs w:val="18"/>
          <w:lang w:val="en-US" w:eastAsia="zh-CN"/>
        </w:rPr>
        <w:t>5</w:t>
      </w:r>
      <w:r>
        <w:rPr>
          <w:rFonts w:hint="eastAsia" w:ascii="宋体" w:hAnsi="宋体" w:eastAsia="宋体" w:cs="仿宋"/>
          <w:color w:val="auto"/>
          <w:sz w:val="18"/>
          <w:szCs w:val="18"/>
        </w:rPr>
        <w:t>.1-1</w:t>
      </w:r>
      <w:r>
        <w:rPr>
          <w:rFonts w:hint="eastAsia" w:ascii="宋体" w:hAnsi="宋体" w:eastAsia="宋体" w:cs="仿宋"/>
          <w:color w:val="auto"/>
          <w:sz w:val="18"/>
          <w:szCs w:val="18"/>
          <w:lang w:val="en-US" w:eastAsia="zh-CN"/>
        </w:rPr>
        <w:t>规定，</w:t>
      </w:r>
      <w:r>
        <w:rPr>
          <w:rFonts w:hint="eastAsia" w:ascii="宋体" w:hAnsi="宋体" w:eastAsia="宋体" w:cs="仿宋"/>
          <w:color w:val="000000" w:themeColor="text1"/>
          <w:sz w:val="18"/>
          <w:szCs w:val="18"/>
          <w14:textFill>
            <w14:solidFill>
              <w14:schemeClr w14:val="tx1"/>
            </w14:solidFill>
          </w14:textFill>
        </w:rPr>
        <w:t>光缆敷设安装的允许的拉伸力和压扁力应符合表4.</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.1-2中的规定</w:t>
      </w:r>
      <w:r>
        <w:rPr>
          <w:rFonts w:hint="eastAsia" w:ascii="宋体" w:hAnsi="宋体" w:eastAsia="宋体" w:cs="仿宋"/>
          <w:color w:val="000000" w:themeColor="text1"/>
          <w:sz w:val="18"/>
          <w:szCs w:val="18"/>
          <w:lang w:eastAsia="zh-CN"/>
          <w14:textFill>
            <w14:solidFill>
              <w14:schemeClr w14:val="tx1"/>
            </w14:solidFill>
          </w14:textFill>
        </w:rPr>
        <w:t>。</w:t>
      </w:r>
    </w:p>
    <w:p>
      <w:pPr>
        <w:ind w:firstLine="903" w:firstLineChars="500"/>
        <w:rPr>
          <w:rFonts w:ascii="宋体" w:hAnsi="宋体" w:eastAsia="宋体" w:cs="仿宋"/>
          <w:color w:val="auto"/>
          <w:sz w:val="18"/>
          <w:szCs w:val="18"/>
        </w:rPr>
      </w:pPr>
      <w:r>
        <w:rPr>
          <w:rFonts w:hint="eastAsia" w:ascii="宋体" w:hAnsi="宋体" w:eastAsia="宋体" w:cs="仿宋"/>
          <w:b/>
          <w:bCs/>
          <w:color w:val="auto"/>
          <w:sz w:val="18"/>
          <w:szCs w:val="18"/>
        </w:rPr>
        <w:t>表4.</w:t>
      </w:r>
      <w:r>
        <w:rPr>
          <w:rFonts w:hint="eastAsia" w:ascii="宋体" w:hAnsi="宋体" w:eastAsia="宋体" w:cs="仿宋"/>
          <w:b/>
          <w:bCs/>
          <w:color w:val="auto"/>
          <w:sz w:val="18"/>
          <w:szCs w:val="18"/>
          <w:lang w:val="en-US" w:eastAsia="zh-CN"/>
        </w:rPr>
        <w:t>5</w:t>
      </w:r>
      <w:r>
        <w:rPr>
          <w:rFonts w:hint="eastAsia" w:ascii="宋体" w:hAnsi="宋体" w:eastAsia="宋体" w:cs="仿宋"/>
          <w:b/>
          <w:bCs/>
          <w:color w:val="auto"/>
          <w:sz w:val="18"/>
          <w:szCs w:val="18"/>
        </w:rPr>
        <w:t>.1-1 光缆敷设安装的最小弯曲半径</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1103"/>
        <w:gridCol w:w="1695"/>
        <w:gridCol w:w="1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类别</w:t>
            </w:r>
          </w:p>
        </w:tc>
        <w:tc>
          <w:tcPr>
            <w:tcW w:w="1103"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光纤类型</w:t>
            </w:r>
          </w:p>
        </w:tc>
        <w:tc>
          <w:tcPr>
            <w:tcW w:w="1695"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最小动态弯曲半径（mm）</w:t>
            </w:r>
          </w:p>
        </w:tc>
        <w:tc>
          <w:tcPr>
            <w:tcW w:w="1652"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最小静态弯曲半径（mm）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Merge w:val="restart"/>
          </w:tcPr>
          <w:p>
            <w:pPr>
              <w:rPr>
                <w:rFonts w:ascii="宋体" w:hAnsi="宋体" w:eastAsia="宋体" w:cs="仿宋"/>
                <w:color w:val="auto"/>
                <w:sz w:val="15"/>
                <w:szCs w:val="15"/>
              </w:rPr>
            </w:pPr>
          </w:p>
          <w:p>
            <w:pPr>
              <w:rPr>
                <w:color w:val="auto"/>
                <w:sz w:val="15"/>
                <w:szCs w:val="15"/>
              </w:rPr>
            </w:pPr>
          </w:p>
          <w:p>
            <w:pPr>
              <w:rPr>
                <w:color w:val="auto"/>
                <w:sz w:val="15"/>
                <w:szCs w:val="15"/>
              </w:rPr>
            </w:pPr>
          </w:p>
          <w:p>
            <w:pPr>
              <w:jc w:val="center"/>
              <w:rPr>
                <w:color w:val="auto"/>
                <w:sz w:val="15"/>
                <w:szCs w:val="15"/>
              </w:rPr>
            </w:pPr>
            <w:r>
              <w:rPr>
                <w:rFonts w:hint="eastAsia"/>
                <w:color w:val="auto"/>
                <w:sz w:val="15"/>
                <w:szCs w:val="15"/>
              </w:rPr>
              <w:t>光缆</w:t>
            </w:r>
          </w:p>
        </w:tc>
        <w:tc>
          <w:tcPr>
            <w:tcW w:w="1103"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OM3、0M4、0M5</w:t>
            </w:r>
          </w:p>
        </w:tc>
        <w:tc>
          <w:tcPr>
            <w:tcW w:w="1695"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20D或20H，且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20mm</w:t>
            </w:r>
          </w:p>
        </w:tc>
        <w:tc>
          <w:tcPr>
            <w:tcW w:w="1652"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10D或10H，且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083" w:type="dxa"/>
            <w:vMerge w:val="continue"/>
          </w:tcPr>
          <w:p>
            <w:pPr>
              <w:rPr>
                <w:rFonts w:ascii="宋体" w:hAnsi="宋体" w:eastAsia="宋体" w:cs="仿宋"/>
                <w:color w:val="auto"/>
                <w:sz w:val="15"/>
                <w:szCs w:val="15"/>
              </w:rPr>
            </w:pPr>
          </w:p>
        </w:tc>
        <w:tc>
          <w:tcPr>
            <w:tcW w:w="1103"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B1.3</w:t>
            </w:r>
          </w:p>
        </w:tc>
        <w:tc>
          <w:tcPr>
            <w:tcW w:w="1695"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20D或20H，且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60mm</w:t>
            </w:r>
          </w:p>
        </w:tc>
        <w:tc>
          <w:tcPr>
            <w:tcW w:w="1652"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10D或10H，且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30mm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Merge w:val="continue"/>
          </w:tcPr>
          <w:p>
            <w:pPr>
              <w:rPr>
                <w:rFonts w:ascii="宋体" w:hAnsi="宋体" w:eastAsia="宋体" w:cs="仿宋"/>
                <w:color w:val="auto"/>
                <w:sz w:val="15"/>
                <w:szCs w:val="15"/>
              </w:rPr>
            </w:pPr>
          </w:p>
        </w:tc>
        <w:tc>
          <w:tcPr>
            <w:tcW w:w="1103"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B6a1、B6a2</w:t>
            </w:r>
          </w:p>
        </w:tc>
        <w:tc>
          <w:tcPr>
            <w:tcW w:w="1695"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10D或10H，且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30mm</w:t>
            </w:r>
          </w:p>
        </w:tc>
        <w:tc>
          <w:tcPr>
            <w:tcW w:w="1652"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5D或5H，且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15mm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Merge w:val="continue"/>
          </w:tcPr>
          <w:p>
            <w:pPr>
              <w:rPr>
                <w:rFonts w:ascii="宋体" w:hAnsi="宋体" w:eastAsia="宋体" w:cs="仿宋"/>
                <w:color w:val="auto"/>
                <w:sz w:val="15"/>
                <w:szCs w:val="15"/>
              </w:rPr>
            </w:pPr>
          </w:p>
        </w:tc>
        <w:tc>
          <w:tcPr>
            <w:tcW w:w="1103"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B6b2、B6b3</w:t>
            </w:r>
          </w:p>
        </w:tc>
        <w:tc>
          <w:tcPr>
            <w:tcW w:w="1695"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10D或10H，且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20mm</w:t>
            </w:r>
          </w:p>
        </w:tc>
        <w:tc>
          <w:tcPr>
            <w:tcW w:w="1652"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5D或5H，且</w:t>
            </w:r>
            <w:r>
              <w:rPr>
                <w:rFonts w:ascii="Arial" w:hAnsi="Arial" w:eastAsia="宋体" w:cs="Arial"/>
                <w:color w:val="auto"/>
                <w:sz w:val="15"/>
                <w:szCs w:val="15"/>
                <w:shd w:val="clear" w:color="auto" w:fill="FFFFFF"/>
              </w:rPr>
              <w:t>≥</w:t>
            </w:r>
            <w:r>
              <w:rPr>
                <w:rFonts w:hint="eastAsia" w:ascii="Arial" w:hAnsi="Arial" w:eastAsia="宋体" w:cs="Arial"/>
                <w:color w:val="auto"/>
                <w:sz w:val="15"/>
                <w:szCs w:val="15"/>
                <w:shd w:val="clear" w:color="auto" w:fill="FFFFFF"/>
              </w:rPr>
              <w:t>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tcPr>
          <w:p>
            <w:pPr>
              <w:jc w:val="center"/>
              <w:rPr>
                <w:rFonts w:ascii="宋体" w:hAnsi="宋体" w:eastAsia="宋体" w:cs="仿宋"/>
                <w:color w:val="auto"/>
                <w:sz w:val="15"/>
                <w:szCs w:val="15"/>
              </w:rPr>
            </w:pPr>
            <w:r>
              <w:rPr>
                <w:rFonts w:hint="eastAsia" w:ascii="宋体" w:hAnsi="宋体" w:eastAsia="宋体" w:cs="仿宋"/>
                <w:color w:val="auto"/>
                <w:sz w:val="15"/>
                <w:szCs w:val="15"/>
              </w:rPr>
              <w:t>光电混合缆</w:t>
            </w:r>
          </w:p>
        </w:tc>
        <w:tc>
          <w:tcPr>
            <w:tcW w:w="1103"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B6a2</w:t>
            </w:r>
          </w:p>
        </w:tc>
        <w:tc>
          <w:tcPr>
            <w:tcW w:w="1695"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15D或15H</w:t>
            </w:r>
          </w:p>
        </w:tc>
        <w:tc>
          <w:tcPr>
            <w:tcW w:w="1652" w:type="dxa"/>
            <w:vAlign w:val="center"/>
          </w:tcPr>
          <w:p>
            <w:pPr>
              <w:jc w:val="center"/>
              <w:rPr>
                <w:rFonts w:ascii="宋体" w:hAnsi="宋体" w:eastAsia="宋体" w:cs="仿宋"/>
                <w:color w:val="auto"/>
                <w:sz w:val="15"/>
                <w:szCs w:val="15"/>
              </w:rPr>
            </w:pPr>
            <w:r>
              <w:rPr>
                <w:rFonts w:hint="eastAsia" w:ascii="宋体" w:hAnsi="宋体" w:eastAsia="宋体" w:cs="仿宋"/>
                <w:color w:val="auto"/>
                <w:sz w:val="15"/>
                <w:szCs w:val="15"/>
              </w:rPr>
              <w:t>10D或10H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3" w:type="dxa"/>
            <w:gridSpan w:val="4"/>
            <w:vAlign w:val="top"/>
          </w:tcPr>
          <w:p>
            <w:pPr>
              <w:rPr>
                <w:rFonts w:ascii="宋体" w:hAnsi="宋体" w:eastAsia="宋体" w:cs="仿宋"/>
                <w:color w:val="auto"/>
                <w:sz w:val="15"/>
                <w:szCs w:val="15"/>
              </w:rPr>
            </w:pPr>
            <w:r>
              <w:rPr>
                <w:rFonts w:hint="eastAsia" w:ascii="宋体" w:hAnsi="宋体" w:eastAsia="宋体" w:cs="仿宋"/>
                <w:color w:val="auto"/>
                <w:sz w:val="15"/>
                <w:szCs w:val="15"/>
              </w:rPr>
              <w:t>注1:动态弯曲指弯曲时伴随有拉力，例如安装和移动使用期间，静态弯曲指单纯地弯曲，例如固定使用期间。</w:t>
            </w:r>
          </w:p>
          <w:p>
            <w:pPr>
              <w:rPr>
                <w:rFonts w:ascii="宋体" w:hAnsi="宋体" w:eastAsia="宋体" w:cs="仿宋"/>
                <w:color w:val="auto"/>
                <w:sz w:val="15"/>
                <w:szCs w:val="15"/>
              </w:rPr>
            </w:pPr>
            <w:r>
              <w:rPr>
                <w:rFonts w:hint="eastAsia" w:ascii="宋体" w:hAnsi="宋体" w:eastAsia="宋体" w:cs="仿宋"/>
                <w:color w:val="auto"/>
                <w:sz w:val="15"/>
                <w:szCs w:val="15"/>
              </w:rPr>
              <w:t>注2：D为外形为圆形的光缆或光电混合缆的外径，H为外形为扁形的光缆或光电混合缆的高度。</w:t>
            </w:r>
          </w:p>
        </w:tc>
      </w:tr>
    </w:tbl>
    <w:p>
      <w:pPr>
        <w:ind w:firstLine="540" w:firstLineChars="300"/>
        <w:rPr>
          <w:rFonts w:hint="eastAsia" w:ascii="宋体" w:hAnsi="宋体" w:eastAsia="宋体" w:cs="仿宋"/>
          <w:color w:val="000000" w:themeColor="text1"/>
          <w:sz w:val="18"/>
          <w:szCs w:val="18"/>
          <w14:textFill>
            <w14:solidFill>
              <w14:schemeClr w14:val="tx1"/>
            </w14:solidFill>
          </w14:textFill>
        </w:rPr>
      </w:pPr>
    </w:p>
    <w:p>
      <w:pPr>
        <w:ind w:firstLine="540" w:firstLineChars="300"/>
        <w:rPr>
          <w:rFonts w:hint="eastAsia" w:ascii="宋体" w:hAnsi="宋体" w:eastAsia="宋体" w:cs="仿宋"/>
          <w:color w:val="000000" w:themeColor="text1"/>
          <w:sz w:val="18"/>
          <w:szCs w:val="18"/>
          <w14:textFill>
            <w14:solidFill>
              <w14:schemeClr w14:val="tx1"/>
            </w14:solidFill>
          </w14:textFill>
        </w:rPr>
      </w:pPr>
    </w:p>
    <w:p>
      <w:pPr>
        <w:ind w:firstLine="540" w:firstLineChars="300"/>
        <w:rPr>
          <w:rFonts w:hint="eastAsia" w:ascii="宋体" w:hAnsi="宋体" w:eastAsia="宋体" w:cs="仿宋"/>
          <w:color w:val="000000" w:themeColor="text1"/>
          <w:sz w:val="18"/>
          <w:szCs w:val="18"/>
          <w14:textFill>
            <w14:solidFill>
              <w14:schemeClr w14:val="tx1"/>
            </w14:solidFill>
          </w14:textFill>
        </w:rPr>
      </w:pPr>
    </w:p>
    <w:p>
      <w:pPr>
        <w:ind w:firstLine="542" w:firstLineChars="300"/>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表4.</w:t>
      </w:r>
      <w:r>
        <w:rPr>
          <w:rFonts w:hint="eastAsia" w:ascii="宋体" w:hAnsi="宋体" w:eastAsia="宋体" w:cs="仿宋"/>
          <w:b/>
          <w:bCs/>
          <w:color w:val="000000" w:themeColor="text1"/>
          <w:sz w:val="18"/>
          <w:szCs w:val="18"/>
          <w:lang w:val="en-US" w:eastAsia="zh-CN"/>
          <w14:textFill>
            <w14:solidFill>
              <w14:schemeClr w14:val="tx1"/>
            </w14:solidFill>
          </w14:textFill>
        </w:rPr>
        <w:t>5</w:t>
      </w:r>
      <w:r>
        <w:rPr>
          <w:rFonts w:hint="eastAsia" w:ascii="宋体" w:hAnsi="宋体" w:eastAsia="宋体" w:cs="仿宋"/>
          <w:b/>
          <w:bCs/>
          <w:color w:val="000000" w:themeColor="text1"/>
          <w:sz w:val="18"/>
          <w:szCs w:val="18"/>
          <w14:textFill>
            <w14:solidFill>
              <w14:schemeClr w14:val="tx1"/>
            </w14:solidFill>
          </w14:textFill>
        </w:rPr>
        <w:t>.1-2 光缆敷设安装的允许的拉伸力和压扁力</w:t>
      </w:r>
    </w:p>
    <w:tbl>
      <w:tblPr>
        <w:tblStyle w:val="16"/>
        <w:tblW w:w="5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795"/>
        <w:gridCol w:w="720"/>
        <w:gridCol w:w="1110"/>
        <w:gridCol w:w="840"/>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restart"/>
            <w:vAlign w:val="center"/>
          </w:tcPr>
          <w:p>
            <w:pPr>
              <w:jc w:val="cente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auto"/>
                <w:sz w:val="15"/>
                <w:szCs w:val="15"/>
              </w:rPr>
              <w:t>类别</w:t>
            </w:r>
          </w:p>
        </w:tc>
        <w:tc>
          <w:tcPr>
            <w:tcW w:w="1515" w:type="dxa"/>
            <w:gridSpan w:val="2"/>
            <w:vAlign w:val="center"/>
          </w:tcPr>
          <w:p>
            <w:pPr>
              <w:rPr>
                <w:rFonts w:hint="eastAsia" w:ascii="宋体" w:hAnsi="宋体" w:eastAsia="宋体" w:cs="仿宋"/>
                <w:color w:val="auto"/>
                <w:sz w:val="15"/>
                <w:szCs w:val="15"/>
              </w:rPr>
            </w:pPr>
            <w:r>
              <w:rPr>
                <w:rFonts w:hint="eastAsia" w:ascii="宋体" w:hAnsi="宋体" w:eastAsia="宋体" w:cs="仿宋"/>
                <w:color w:val="auto"/>
                <w:sz w:val="15"/>
                <w:szCs w:val="15"/>
              </w:rPr>
              <w:t>允许拉伸力（N，最小值）</w:t>
            </w:r>
          </w:p>
        </w:tc>
        <w:tc>
          <w:tcPr>
            <w:tcW w:w="1950" w:type="dxa"/>
            <w:gridSpan w:val="2"/>
            <w:vAlign w:val="center"/>
          </w:tcPr>
          <w:p>
            <w:pPr>
              <w:rPr>
                <w:rFonts w:hint="eastAsia" w:ascii="宋体" w:hAnsi="宋体" w:eastAsia="宋体" w:cs="仿宋"/>
                <w:color w:val="auto"/>
                <w:sz w:val="15"/>
                <w:szCs w:val="15"/>
              </w:rPr>
            </w:pPr>
            <w:r>
              <w:rPr>
                <w:rFonts w:hint="eastAsia" w:ascii="宋体" w:hAnsi="宋体" w:eastAsia="宋体" w:cs="仿宋"/>
                <w:color w:val="auto"/>
                <w:sz w:val="15"/>
                <w:szCs w:val="15"/>
              </w:rPr>
              <w:t>允许压扁力（N/100mm，最小值）</w:t>
            </w:r>
          </w:p>
        </w:tc>
        <w:tc>
          <w:tcPr>
            <w:tcW w:w="766" w:type="dxa"/>
            <w:vMerge w:val="restart"/>
            <w:vAlign w:val="center"/>
          </w:tcPr>
          <w:p>
            <w:pPr>
              <w:rPr>
                <w:rFonts w:hint="eastAsia" w:ascii="宋体" w:hAnsi="宋体" w:eastAsia="宋体" w:cs="仿宋"/>
                <w:color w:val="auto"/>
                <w:sz w:val="15"/>
                <w:szCs w:val="15"/>
              </w:rPr>
            </w:pPr>
            <w:r>
              <w:rPr>
                <w:rFonts w:hint="eastAsia" w:ascii="宋体" w:hAnsi="宋体" w:eastAsia="宋体" w:cs="仿宋"/>
                <w:color w:val="auto"/>
                <w:sz w:val="15"/>
                <w:szCs w:val="15"/>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pPr>
              <w:rPr>
                <w:rFonts w:ascii="宋体" w:hAnsi="宋体" w:eastAsia="宋体" w:cs="仿宋"/>
                <w:color w:val="000000" w:themeColor="text1"/>
                <w:sz w:val="18"/>
                <w:szCs w:val="18"/>
                <w14:textFill>
                  <w14:solidFill>
                    <w14:schemeClr w14:val="tx1"/>
                  </w14:solidFill>
                </w14:textFill>
              </w:rPr>
            </w:pPr>
          </w:p>
        </w:tc>
        <w:tc>
          <w:tcPr>
            <w:tcW w:w="795"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短期</w:t>
            </w:r>
          </w:p>
        </w:tc>
        <w:tc>
          <w:tcPr>
            <w:tcW w:w="72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长期</w:t>
            </w:r>
          </w:p>
        </w:tc>
        <w:tc>
          <w:tcPr>
            <w:tcW w:w="111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短期</w:t>
            </w:r>
          </w:p>
        </w:tc>
        <w:tc>
          <w:tcPr>
            <w:tcW w:w="84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长期</w:t>
            </w:r>
          </w:p>
        </w:tc>
        <w:tc>
          <w:tcPr>
            <w:tcW w:w="766" w:type="dxa"/>
            <w:vMerge w:val="continue"/>
          </w:tcPr>
          <w:p>
            <w:pPr>
              <w:rPr>
                <w:rFonts w:hint="eastAsia" w:ascii="宋体" w:hAnsi="宋体" w:eastAsia="宋体" w:cs="仿宋"/>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蝶形光缆</w:t>
            </w:r>
          </w:p>
        </w:tc>
        <w:tc>
          <w:tcPr>
            <w:tcW w:w="795"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80</w:t>
            </w:r>
          </w:p>
        </w:tc>
        <w:tc>
          <w:tcPr>
            <w:tcW w:w="72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40</w:t>
            </w:r>
          </w:p>
        </w:tc>
        <w:tc>
          <w:tcPr>
            <w:tcW w:w="111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1000</w:t>
            </w:r>
          </w:p>
        </w:tc>
        <w:tc>
          <w:tcPr>
            <w:tcW w:w="84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500</w:t>
            </w:r>
          </w:p>
        </w:tc>
        <w:tc>
          <w:tcPr>
            <w:tcW w:w="766"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GJXFH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隐形光缆</w:t>
            </w:r>
          </w:p>
        </w:tc>
        <w:tc>
          <w:tcPr>
            <w:tcW w:w="795"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10</w:t>
            </w:r>
          </w:p>
        </w:tc>
        <w:tc>
          <w:tcPr>
            <w:tcW w:w="72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w:t>
            </w:r>
          </w:p>
        </w:tc>
        <w:tc>
          <w:tcPr>
            <w:tcW w:w="111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1000</w:t>
            </w:r>
          </w:p>
        </w:tc>
        <w:tc>
          <w:tcPr>
            <w:tcW w:w="84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300</w:t>
            </w:r>
          </w:p>
        </w:tc>
        <w:tc>
          <w:tcPr>
            <w:tcW w:w="766" w:type="dxa"/>
          </w:tcPr>
          <w:p>
            <w:pPr>
              <w:rPr>
                <w:rFonts w:hint="eastAsia" w:ascii="宋体" w:hAnsi="宋体" w:eastAsia="宋体" w:cs="仿宋"/>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光电混合缆</w:t>
            </w:r>
          </w:p>
        </w:tc>
        <w:tc>
          <w:tcPr>
            <w:tcW w:w="795"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120</w:t>
            </w:r>
          </w:p>
        </w:tc>
        <w:tc>
          <w:tcPr>
            <w:tcW w:w="72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60</w:t>
            </w:r>
          </w:p>
        </w:tc>
        <w:tc>
          <w:tcPr>
            <w:tcW w:w="111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1000</w:t>
            </w:r>
          </w:p>
        </w:tc>
        <w:tc>
          <w:tcPr>
            <w:tcW w:w="840" w:type="dxa"/>
          </w:tcPr>
          <w:p>
            <w:pPr>
              <w:rPr>
                <w:rFonts w:hint="eastAsia" w:ascii="宋体" w:hAnsi="宋体" w:eastAsia="宋体" w:cs="仿宋"/>
                <w:color w:val="auto"/>
                <w:sz w:val="15"/>
                <w:szCs w:val="15"/>
              </w:rPr>
            </w:pPr>
            <w:r>
              <w:rPr>
                <w:rFonts w:hint="eastAsia" w:ascii="宋体" w:hAnsi="宋体" w:eastAsia="宋体" w:cs="仿宋"/>
                <w:color w:val="auto"/>
                <w:sz w:val="15"/>
                <w:szCs w:val="15"/>
              </w:rPr>
              <w:t>500</w:t>
            </w:r>
          </w:p>
        </w:tc>
        <w:tc>
          <w:tcPr>
            <w:tcW w:w="766" w:type="dxa"/>
          </w:tcPr>
          <w:p>
            <w:pPr>
              <w:rPr>
                <w:rFonts w:hint="eastAsia" w:ascii="宋体" w:hAnsi="宋体" w:eastAsia="宋体" w:cs="仿宋"/>
                <w:color w:val="auto"/>
                <w:sz w:val="15"/>
                <w:szCs w:val="15"/>
              </w:rPr>
            </w:pPr>
          </w:p>
        </w:tc>
      </w:tr>
    </w:tbl>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光缆预留长度应符合下列规定：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1)光缆在配线柜（架）处光缆预留长度为3.0～5.0m；</w:t>
      </w:r>
    </w:p>
    <w:p>
      <w:pPr>
        <w:ind w:firstLine="360" w:firstLineChars="20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2)在光/光电分路器、FTTR主从设备旁，光缆预留长度不宜大于0.5m</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default"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3)</w:t>
      </w:r>
      <w:r>
        <w:rPr>
          <w:rFonts w:hint="eastAsia" w:ascii="宋体" w:hAnsi="宋体" w:eastAsia="宋体" w:cs="仿宋"/>
          <w:color w:val="000000" w:themeColor="text1"/>
          <w:sz w:val="18"/>
          <w:szCs w:val="18"/>
          <w14:textFill>
            <w14:solidFill>
              <w14:schemeClr w14:val="tx1"/>
            </w14:solidFill>
          </w14:textFill>
        </w:rPr>
        <w:t>光缆在楼层光缆配线箱处预留光纤长度为1.0～1.5m；</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4)</w:t>
      </w:r>
      <w:r>
        <w:rPr>
          <w:rFonts w:hint="eastAsia" w:ascii="宋体" w:hAnsi="宋体" w:eastAsia="宋体" w:cs="仿宋"/>
          <w:color w:val="000000" w:themeColor="text1"/>
          <w:sz w:val="18"/>
          <w:szCs w:val="18"/>
          <w14:textFill>
            <w14:solidFill>
              <w14:schemeClr w14:val="tx1"/>
            </w14:solidFill>
          </w14:textFill>
        </w:rPr>
        <w:t>光缆在</w:t>
      </w:r>
      <w:r>
        <w:rPr>
          <w:rFonts w:hint="eastAsia" w:ascii="宋体" w:hAnsi="宋体" w:eastAsia="宋体" w:cs="仿宋"/>
          <w:color w:val="000000" w:themeColor="text1"/>
          <w:sz w:val="18"/>
          <w:szCs w:val="18"/>
          <w:lang w:eastAsia="zh-CN"/>
          <w14:textFill>
            <w14:solidFill>
              <w14:schemeClr w14:val="tx1"/>
            </w14:solidFill>
          </w14:textFill>
        </w:rPr>
        <w:t>家居配线箱</w:t>
      </w:r>
      <w:r>
        <w:rPr>
          <w:rFonts w:hint="eastAsia" w:ascii="宋体" w:hAnsi="宋体" w:eastAsia="宋体" w:cs="仿宋"/>
          <w:color w:val="000000" w:themeColor="text1"/>
          <w:sz w:val="18"/>
          <w:szCs w:val="18"/>
          <w14:textFill>
            <w14:solidFill>
              <w14:schemeClr w14:val="tx1"/>
            </w14:solidFill>
          </w14:textFill>
        </w:rPr>
        <w:t>终接时，预留长度应不小于0.5m；</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光缆在光纤信息插座终接时，预留长度应不宜小于0.5m</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光缆在楼层、室外墙体上安装的配线箱的预留长度应不小于1.0m；</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7)</w:t>
      </w:r>
      <w:r>
        <w:rPr>
          <w:rFonts w:hint="eastAsia" w:ascii="宋体" w:hAnsi="宋体" w:eastAsia="宋体" w:cs="仿宋"/>
          <w:color w:val="000000" w:themeColor="text1"/>
          <w:sz w:val="18"/>
          <w:szCs w:val="18"/>
          <w14:textFill>
            <w14:solidFill>
              <w14:schemeClr w14:val="tx1"/>
            </w14:solidFill>
          </w14:textFill>
        </w:rPr>
        <w:t>用户光缆纤芯在用户侧配线模块不做终接时，应保留光缆</w:t>
      </w:r>
      <w:r>
        <w:rPr>
          <w:rFonts w:hint="eastAsia" w:ascii="宋体" w:hAnsi="宋体" w:eastAsia="宋体" w:cs="仿宋"/>
          <w:color w:val="000000" w:themeColor="text1"/>
          <w:sz w:val="18"/>
          <w:szCs w:val="18"/>
          <w:lang w:val="en-US" w:eastAsia="zh-CN"/>
          <w14:textFill>
            <w14:solidFill>
              <w14:schemeClr w14:val="tx1"/>
            </w14:solidFill>
          </w14:textFill>
        </w:rPr>
        <w:t>后期施工</w:t>
      </w:r>
      <w:r>
        <w:rPr>
          <w:rFonts w:hint="eastAsia" w:ascii="宋体" w:hAnsi="宋体" w:eastAsia="宋体" w:cs="仿宋"/>
          <w:color w:val="000000" w:themeColor="text1"/>
          <w:sz w:val="18"/>
          <w:szCs w:val="18"/>
          <w14:textFill>
            <w14:solidFill>
              <w14:schemeClr w14:val="tx1"/>
            </w14:solidFill>
          </w14:textFill>
        </w:rPr>
        <w:t>时的预留长度</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严禁光缆打小圈及弯折、扭曲</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w:t>
      </w:r>
      <w:r>
        <w:rPr>
          <w:rFonts w:hint="eastAsia" w:ascii="宋体" w:hAnsi="宋体" w:eastAsia="宋体" w:cs="仿宋"/>
          <w:color w:val="000000" w:themeColor="text1"/>
          <w:sz w:val="18"/>
          <w:szCs w:val="18"/>
          <w:lang w:val="en-US" w:eastAsia="zh-CN"/>
          <w14:textFill>
            <w14:solidFill>
              <w14:schemeClr w14:val="tx1"/>
            </w14:solidFill>
          </w14:textFill>
        </w:rPr>
        <w:t xml:space="preserve"> </w:t>
      </w:r>
      <w:r>
        <w:rPr>
          <w:rFonts w:hint="eastAsia" w:ascii="宋体" w:hAnsi="宋体" w:eastAsia="宋体" w:cs="仿宋"/>
          <w:color w:val="000000" w:themeColor="text1"/>
          <w:sz w:val="18"/>
          <w:szCs w:val="18"/>
          <w14:textFill>
            <w14:solidFill>
              <w14:schemeClr w14:val="tx1"/>
            </w14:solidFill>
          </w14:textFill>
        </w:rPr>
        <w:t>在敷设光缆的全过程中，应保证光缆外护套不受损伤，密封性能良好。</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.2光缆的规格、数量、敷设路由、敷设方式及布放间距应符合设计要求；</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.3蝶形光缆采用暗管敷设时，应符合下列规定：</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1将光缆绑扎在牵引绳或穿管器的牵引头上，并用胶带绑扎固定，绑扎固定不应小于2处，重合长度不应小于100mm</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2在暗管的另一端匀速抽出，直至光缆被拉出，拉出长度不宜小于500mm；</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3当敷设多条光缆时，暗管使用截面积应符合</w:t>
      </w:r>
      <w:r>
        <w:rPr>
          <w:rFonts w:hint="eastAsia" w:ascii="宋体" w:hAnsi="宋体" w:eastAsia="宋体" w:cs="仿宋"/>
          <w:color w:val="000000" w:themeColor="text1"/>
          <w:sz w:val="18"/>
          <w:szCs w:val="18"/>
          <w:lang w:val="en-US" w:eastAsia="zh-CN"/>
          <w14:textFill>
            <w14:solidFill>
              <w14:schemeClr w14:val="tx1"/>
            </w14:solidFill>
          </w14:textFill>
        </w:rPr>
        <w:t>现行国家规范</w:t>
      </w:r>
      <w:r>
        <w:rPr>
          <w:rFonts w:hint="eastAsia" w:ascii="宋体" w:hAnsi="宋体" w:eastAsia="宋体" w:cs="仿宋"/>
          <w:color w:val="000000" w:themeColor="text1"/>
          <w:sz w:val="18"/>
          <w:szCs w:val="18"/>
          <w14:textFill>
            <w14:solidFill>
              <w14:schemeClr w14:val="tx1"/>
            </w14:solidFill>
          </w14:textFill>
        </w:rPr>
        <w:t>《综合布线系统工程验收规范》（GBT 50312）中的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规定</w:t>
      </w:r>
      <w:r>
        <w:rPr>
          <w:rFonts w:hint="eastAsia" w:ascii="宋体" w:hAnsi="宋体" w:eastAsia="宋体" w:cs="仿宋"/>
          <w:color w:val="000000" w:themeColor="text1"/>
          <w:sz w:val="18"/>
          <w:szCs w:val="18"/>
          <w:lang w:eastAsia="zh-CN"/>
          <w14:textFill>
            <w14:solidFill>
              <w14:schemeClr w14:val="tx1"/>
            </w14:solidFill>
          </w14:textFill>
        </w:rPr>
        <w:t>。</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.4隐形光缆采用明线敷设时，应符合下列规定：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1采用钉固、线槽、波纹管保护方式敷设光缆时，应符合</w:t>
      </w:r>
      <w:r>
        <w:rPr>
          <w:rFonts w:hint="eastAsia" w:ascii="宋体" w:hAnsi="宋体" w:eastAsia="宋体" w:cs="仿宋"/>
          <w:color w:val="000000" w:themeColor="text1"/>
          <w:sz w:val="18"/>
          <w:szCs w:val="18"/>
          <w:lang w:val="en-US" w:eastAsia="zh-CN"/>
          <w14:textFill>
            <w14:solidFill>
              <w14:schemeClr w14:val="tx1"/>
            </w14:solidFill>
          </w14:textFill>
        </w:rPr>
        <w:t>现行行业规程</w:t>
      </w:r>
      <w:r>
        <w:rPr>
          <w:rFonts w:hint="eastAsia" w:ascii="宋体" w:hAnsi="宋体" w:eastAsia="宋体" w:cs="仿宋"/>
          <w:color w:val="000000" w:themeColor="text1"/>
          <w:sz w:val="18"/>
          <w:szCs w:val="18"/>
          <w14:textFill>
            <w14:solidFill>
              <w14:schemeClr w14:val="tx1"/>
            </w14:solidFill>
          </w14:textFill>
        </w:rPr>
        <w:t>《光纤到户（FTTH）工程施工操作规程》（YD/T 5228）中的</w:t>
      </w:r>
      <w:r>
        <w:rPr>
          <w:rFonts w:hint="eastAsia" w:ascii="宋体" w:hAnsi="宋体" w:eastAsia="宋体" w:cs="仿宋"/>
          <w:color w:val="000000" w:themeColor="text1"/>
          <w:sz w:val="18"/>
          <w:szCs w:val="18"/>
          <w:lang w:val="en-US" w:eastAsia="zh-CN"/>
          <w14:textFill>
            <w14:solidFill>
              <w14:schemeClr w14:val="tx1"/>
            </w14:solidFill>
          </w14:textFill>
        </w:rPr>
        <w:t>有关</w:t>
      </w:r>
      <w:r>
        <w:rPr>
          <w:rFonts w:hint="eastAsia" w:ascii="宋体" w:hAnsi="宋体" w:eastAsia="宋体" w:cs="仿宋"/>
          <w:color w:val="000000" w:themeColor="text1"/>
          <w:sz w:val="18"/>
          <w:szCs w:val="18"/>
          <w14:textFill>
            <w14:solidFill>
              <w14:schemeClr w14:val="tx1"/>
            </w14:solidFill>
          </w14:textFill>
        </w:rPr>
        <w:t>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2采用PVC透明防水贴敷设光缆，应符合下列规定：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1)粘贴的表面应光滑平整，无开裂、水渍和灰尘，不能是白漆墙面等易脱落的表面；</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2)光缆粘贴固定后，应挤压排出透明防水贴与墙之间的空气，使其粘合紧密。</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3采用热熔杆敷设光缆，应符合下列规定：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1)施工墙面应光滑平整，无开裂、水渍和灰尘，不能是白漆墙面等易脱落的表面；</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2)热熔杆上的热熔温度恒定，应能充分熔化光缆的热熔胶；</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3)热熔杆与被粘接平面应尽量垂直，贴合墙面匀速滑动，滑动速率不宜大于1.5m/min；</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4)阳角处，应在拐角处粘贴拐角保护器</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5)光缆贴地、过门场景，应用热熔胶将光缆完全封闭，不能裸露。</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4采用热熔胶枪点胶敷设光缆时，应符合下列规定：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1)直线路段，每间隔15</w:t>
      </w:r>
      <w:r>
        <w:rPr>
          <w:rFonts w:hint="eastAsia" w:ascii="宋体" w:hAnsi="宋体" w:eastAsia="宋体" w:cs="仿宋"/>
          <w:color w:val="auto"/>
          <w:sz w:val="18"/>
          <w:szCs w:val="18"/>
        </w:rPr>
        <w:t>0mm～20</w:t>
      </w:r>
      <w:r>
        <w:rPr>
          <w:rFonts w:hint="eastAsia" w:ascii="宋体" w:hAnsi="宋体" w:eastAsia="宋体" w:cs="仿宋"/>
          <w:color w:val="000000" w:themeColor="text1"/>
          <w:sz w:val="18"/>
          <w:szCs w:val="18"/>
          <w14:textFill>
            <w14:solidFill>
              <w14:schemeClr w14:val="tx1"/>
            </w14:solidFill>
          </w14:textFill>
        </w:rPr>
        <w:t>0mm进行点胶；</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2)转角处，距离转角点50mm点胶，且禁止打扭</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3)阳角处，应在拐角处粘贴拐角保护器；</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4)光缆贴地、过门场景，应用热熔胶将光缆完全封闭，不能裸露。</w:t>
      </w:r>
    </w:p>
    <w:p>
      <w:pPr>
        <w:rPr>
          <w:rFonts w:ascii="宋体" w:hAnsi="宋体" w:eastAsia="宋体" w:cs="仿宋"/>
          <w:color w:val="auto"/>
          <w:sz w:val="18"/>
          <w:szCs w:val="18"/>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5</w:t>
      </w:r>
      <w:r>
        <w:rPr>
          <w:rFonts w:hint="eastAsia" w:ascii="宋体" w:hAnsi="宋体" w:eastAsia="宋体" w:cs="仿宋"/>
          <w:color w:val="000000" w:themeColor="text1"/>
          <w:sz w:val="18"/>
          <w:szCs w:val="18"/>
          <w14:textFill>
            <w14:solidFill>
              <w14:schemeClr w14:val="tx1"/>
            </w14:solidFill>
          </w14:textFill>
        </w:rPr>
        <w:t>.5</w:t>
      </w:r>
      <w:r>
        <w:rPr>
          <w:rFonts w:hint="eastAsia" w:ascii="宋体" w:hAnsi="宋体" w:eastAsia="宋体" w:cs="仿宋"/>
          <w:color w:val="auto"/>
          <w:sz w:val="18"/>
          <w:szCs w:val="18"/>
        </w:rPr>
        <w:t>光电混合缆敷设时，应符合下列规定：</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1室内型光电混合缆安装时环境温度应不低于-5℃，室外型光电混合缆安装时环境温度应不低于-15℃；</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2光电混合缆中的馈电线导体的工作温度不得高于70℃；</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rPr>
        <w:t>3 混合缆安装施工时最小弯曲半径应不小于成品缆外径的15倍，其中扁平形和蝶形混合缆应不小于短轴长度的15倍，在布放定位及运行时混合缆最小弯曲半径应不小于成品缆外径的10倍，其中扁平形和蝶形混合缆应不小于短轴长度的10倍</w:t>
      </w:r>
      <w:r>
        <w:rPr>
          <w:rFonts w:hint="eastAsia" w:ascii="宋体" w:hAnsi="宋体" w:eastAsia="宋体" w:cs="仿宋"/>
          <w:color w:val="auto"/>
          <w:sz w:val="18"/>
          <w:szCs w:val="18"/>
          <w:lang w:eastAsia="zh-CN"/>
        </w:rPr>
        <w:t>；</w:t>
      </w:r>
    </w:p>
    <w:p>
      <w:pPr>
        <w:ind w:firstLine="360" w:firstLineChars="200"/>
        <w:rPr>
          <w:rFonts w:hint="eastAsia" w:ascii="宋体" w:hAnsi="宋体" w:eastAsia="宋体" w:cs="仿宋"/>
          <w:color w:val="auto"/>
          <w:sz w:val="18"/>
          <w:szCs w:val="18"/>
          <w:lang w:eastAsia="zh-CN"/>
        </w:rPr>
      </w:pPr>
      <w:r>
        <w:rPr>
          <w:rFonts w:hint="eastAsia" w:ascii="宋体" w:hAnsi="宋体" w:eastAsia="宋体" w:cs="仿宋"/>
          <w:color w:val="auto"/>
          <w:sz w:val="18"/>
          <w:szCs w:val="18"/>
        </w:rPr>
        <w:t>4 混合缆安装施工时所施加的最大拖拽力应不大于其拉伸试验时的短期拉伸力</w:t>
      </w:r>
      <w:r>
        <w:rPr>
          <w:rFonts w:hint="eastAsia" w:ascii="宋体" w:hAnsi="宋体" w:eastAsia="宋体" w:cs="仿宋"/>
          <w:color w:val="auto"/>
          <w:sz w:val="18"/>
          <w:szCs w:val="18"/>
          <w:lang w:eastAsia="zh-CN"/>
        </w:rPr>
        <w:t>；</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5光电混合缆安装时不得使包装盘处于平放位置；</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6光电混合缆的其余敷设安装要求应符合</w:t>
      </w:r>
      <w:r>
        <w:rPr>
          <w:rFonts w:hint="eastAsia" w:ascii="宋体" w:hAnsi="宋体" w:eastAsia="宋体" w:cs="仿宋"/>
          <w:color w:val="auto"/>
          <w:sz w:val="18"/>
          <w:szCs w:val="18"/>
          <w:lang w:val="en-US" w:eastAsia="zh-CN"/>
        </w:rPr>
        <w:t>现行行业规范</w:t>
      </w:r>
      <w:r>
        <w:rPr>
          <w:rFonts w:hint="eastAsia" w:ascii="宋体" w:hAnsi="宋体" w:eastAsia="宋体" w:cs="仿宋"/>
          <w:color w:val="auto"/>
          <w:sz w:val="18"/>
          <w:szCs w:val="18"/>
        </w:rPr>
        <w:t>《通信用光电混合缆工程技术规范》（YD/T 5242）中的</w:t>
      </w:r>
      <w:r>
        <w:rPr>
          <w:rFonts w:hint="eastAsia" w:ascii="宋体" w:hAnsi="宋体" w:eastAsia="宋体" w:cs="仿宋"/>
          <w:color w:val="auto"/>
          <w:sz w:val="18"/>
          <w:szCs w:val="18"/>
          <w:lang w:val="en-US" w:eastAsia="zh-CN"/>
        </w:rPr>
        <w:t>有关</w:t>
      </w:r>
      <w:r>
        <w:rPr>
          <w:rFonts w:hint="eastAsia" w:ascii="宋体" w:hAnsi="宋体" w:eastAsia="宋体" w:cs="仿宋"/>
          <w:color w:val="auto"/>
          <w:sz w:val="18"/>
          <w:szCs w:val="18"/>
        </w:rPr>
        <w:t>规定。</w:t>
      </w:r>
    </w:p>
    <w:p>
      <w:pPr>
        <w:rPr>
          <w:rFonts w:ascii="宋体" w:hAnsi="宋体" w:eastAsia="宋体" w:cs="仿宋"/>
          <w:color w:val="auto"/>
          <w:sz w:val="18"/>
          <w:szCs w:val="18"/>
        </w:rPr>
      </w:pPr>
      <w:r>
        <w:rPr>
          <w:rFonts w:hint="eastAsia" w:ascii="宋体" w:hAnsi="宋体" w:eastAsia="宋体" w:cs="仿宋"/>
          <w:color w:val="auto"/>
          <w:sz w:val="18"/>
          <w:szCs w:val="18"/>
        </w:rPr>
        <w:t>4.</w:t>
      </w:r>
      <w:r>
        <w:rPr>
          <w:rFonts w:hint="eastAsia" w:ascii="宋体" w:hAnsi="宋体" w:eastAsia="宋体" w:cs="仿宋"/>
          <w:color w:val="auto"/>
          <w:sz w:val="18"/>
          <w:szCs w:val="18"/>
          <w:lang w:val="en-US" w:eastAsia="zh-CN"/>
        </w:rPr>
        <w:t>5</w:t>
      </w:r>
      <w:r>
        <w:rPr>
          <w:rFonts w:hint="eastAsia" w:ascii="宋体" w:hAnsi="宋体" w:eastAsia="宋体" w:cs="仿宋"/>
          <w:color w:val="auto"/>
          <w:sz w:val="18"/>
          <w:szCs w:val="18"/>
        </w:rPr>
        <w:t>.6光缆接续应符合下列要求：</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1隐形光缆和蝶形光缆的接续应符合</w:t>
      </w:r>
      <w:r>
        <w:rPr>
          <w:rFonts w:hint="eastAsia" w:ascii="宋体" w:hAnsi="宋体" w:eastAsia="宋体" w:cs="仿宋"/>
          <w:color w:val="auto"/>
          <w:sz w:val="18"/>
          <w:szCs w:val="18"/>
          <w:lang w:val="en-US" w:eastAsia="zh-CN"/>
        </w:rPr>
        <w:t>现行行业规程</w:t>
      </w:r>
      <w:r>
        <w:rPr>
          <w:rFonts w:hint="eastAsia" w:ascii="宋体" w:hAnsi="宋体" w:eastAsia="宋体" w:cs="仿宋"/>
          <w:color w:val="auto"/>
          <w:sz w:val="18"/>
          <w:szCs w:val="18"/>
        </w:rPr>
        <w:t>《光纤到户（FTTH）工程施工操作规程》（YD/T 5228）中的</w:t>
      </w:r>
      <w:r>
        <w:rPr>
          <w:rFonts w:hint="eastAsia" w:ascii="宋体" w:hAnsi="宋体" w:eastAsia="宋体" w:cs="仿宋"/>
          <w:color w:val="auto"/>
          <w:sz w:val="18"/>
          <w:szCs w:val="18"/>
          <w:lang w:val="en-US" w:eastAsia="zh-CN"/>
        </w:rPr>
        <w:t>有关</w:t>
      </w:r>
      <w:r>
        <w:rPr>
          <w:rFonts w:hint="eastAsia" w:ascii="宋体" w:hAnsi="宋体" w:eastAsia="宋体" w:cs="仿宋"/>
          <w:color w:val="auto"/>
          <w:sz w:val="18"/>
          <w:szCs w:val="18"/>
        </w:rPr>
        <w:t>规定；</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2光电混合缆接续应符合</w:t>
      </w:r>
      <w:r>
        <w:rPr>
          <w:rFonts w:hint="eastAsia" w:ascii="宋体" w:hAnsi="宋体" w:eastAsia="宋体" w:cs="仿宋"/>
          <w:color w:val="auto"/>
          <w:sz w:val="18"/>
          <w:szCs w:val="18"/>
          <w:lang w:val="en-US" w:eastAsia="zh-CN"/>
        </w:rPr>
        <w:t>现行行业规范</w:t>
      </w:r>
      <w:r>
        <w:rPr>
          <w:rFonts w:hint="eastAsia" w:ascii="宋体" w:hAnsi="宋体" w:eastAsia="宋体" w:cs="仿宋"/>
          <w:color w:val="auto"/>
          <w:sz w:val="18"/>
          <w:szCs w:val="18"/>
        </w:rPr>
        <w:t>《通信用光电混合缆工程技术规范》（YD/T 5242）中的</w:t>
      </w:r>
      <w:r>
        <w:rPr>
          <w:rFonts w:hint="eastAsia" w:ascii="宋体" w:hAnsi="宋体" w:eastAsia="宋体" w:cs="仿宋"/>
          <w:color w:val="auto"/>
          <w:sz w:val="18"/>
          <w:szCs w:val="18"/>
          <w:lang w:val="en-US" w:eastAsia="zh-CN"/>
        </w:rPr>
        <w:t>有关</w:t>
      </w:r>
      <w:r>
        <w:rPr>
          <w:rFonts w:hint="eastAsia" w:ascii="宋体" w:hAnsi="宋体" w:eastAsia="宋体" w:cs="仿宋"/>
          <w:color w:val="auto"/>
          <w:sz w:val="18"/>
          <w:szCs w:val="18"/>
        </w:rPr>
        <w:t>规定。</w:t>
      </w:r>
    </w:p>
    <w:p>
      <w:pPr>
        <w:rPr>
          <w:rFonts w:ascii="宋体" w:hAnsi="宋体" w:eastAsia="宋体" w:cs="仿宋"/>
          <w:color w:val="auto"/>
          <w:sz w:val="18"/>
          <w:szCs w:val="18"/>
        </w:rPr>
      </w:pPr>
      <w:r>
        <w:rPr>
          <w:rFonts w:hint="eastAsia" w:ascii="宋体" w:hAnsi="宋体" w:eastAsia="宋体" w:cs="仿宋"/>
          <w:color w:val="auto"/>
          <w:sz w:val="18"/>
          <w:szCs w:val="18"/>
        </w:rPr>
        <w:t>4.</w:t>
      </w:r>
      <w:r>
        <w:rPr>
          <w:rFonts w:hint="eastAsia" w:ascii="宋体" w:hAnsi="宋体" w:eastAsia="宋体" w:cs="仿宋"/>
          <w:color w:val="auto"/>
          <w:sz w:val="18"/>
          <w:szCs w:val="18"/>
          <w:lang w:val="en-US" w:eastAsia="zh-CN"/>
        </w:rPr>
        <w:t>5</w:t>
      </w:r>
      <w:r>
        <w:rPr>
          <w:rFonts w:hint="eastAsia" w:ascii="宋体" w:hAnsi="宋体" w:eastAsia="宋体" w:cs="仿宋"/>
          <w:color w:val="auto"/>
          <w:sz w:val="18"/>
          <w:szCs w:val="18"/>
        </w:rPr>
        <w:t>.7光纤面板安装要求：</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1光纤面板的安装位置应该隐蔽且易于跳接；</w:t>
      </w:r>
    </w:p>
    <w:p>
      <w:pPr>
        <w:ind w:firstLine="360" w:firstLineChars="200"/>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auto"/>
          <w:sz w:val="18"/>
          <w:szCs w:val="18"/>
        </w:rPr>
        <w:t>2盖上光纤面板的上盖，注意不要损伤光缆</w:t>
      </w:r>
      <w:r>
        <w:rPr>
          <w:rFonts w:hint="eastAsia" w:ascii="宋体" w:hAnsi="宋体" w:eastAsia="宋体" w:cs="仿宋"/>
          <w:color w:val="000000" w:themeColor="text1"/>
          <w:sz w:val="18"/>
          <w:szCs w:val="18"/>
          <w14:textFill>
            <w14:solidFill>
              <w14:schemeClr w14:val="tx1"/>
            </w14:solidFill>
          </w14:textFill>
        </w:rPr>
        <w:t>；光缆固定后，应满足光纤的弯曲半径要求。</w:t>
      </w:r>
    </w:p>
    <w:p>
      <w:pPr>
        <w:pStyle w:val="4"/>
        <w:spacing w:line="240" w:lineRule="auto"/>
        <w:jc w:val="center"/>
        <w:rPr>
          <w:rFonts w:ascii="黑体" w:hAnsi="黑体" w:eastAsia="黑体" w:cs="黑体"/>
          <w:b w:val="0"/>
          <w:bCs/>
          <w:color w:val="000000" w:themeColor="text1"/>
          <w:sz w:val="21"/>
          <w:szCs w:val="21"/>
          <w14:textFill>
            <w14:solidFill>
              <w14:schemeClr w14:val="tx1"/>
            </w14:solidFill>
          </w14:textFill>
        </w:rPr>
      </w:pPr>
      <w:bookmarkStart w:id="34" w:name="_Toc1072"/>
      <w:bookmarkStart w:id="35" w:name="_Toc23758"/>
      <w:bookmarkStart w:id="36" w:name="_Toc16084487"/>
      <w:bookmarkStart w:id="37" w:name="_Toc623"/>
      <w:r>
        <w:rPr>
          <w:rFonts w:hint="eastAsia" w:ascii="黑体" w:hAnsi="黑体" w:eastAsia="黑体" w:cs="黑体"/>
          <w:b w:val="0"/>
          <w:bCs/>
          <w:color w:val="000000" w:themeColor="text1"/>
          <w:sz w:val="21"/>
          <w:szCs w:val="21"/>
          <w14:textFill>
            <w14:solidFill>
              <w14:schemeClr w14:val="tx1"/>
            </w14:solidFill>
          </w14:textFill>
        </w:rPr>
        <w:t>4.</w:t>
      </w:r>
      <w:r>
        <w:rPr>
          <w:rFonts w:hint="eastAsia" w:ascii="黑体" w:hAnsi="黑体" w:eastAsia="黑体" w:cs="黑体"/>
          <w:b w:val="0"/>
          <w:bCs/>
          <w:color w:val="000000" w:themeColor="text1"/>
          <w:sz w:val="21"/>
          <w:szCs w:val="21"/>
          <w:lang w:val="en-US" w:eastAsia="zh-CN"/>
          <w14:textFill>
            <w14:solidFill>
              <w14:schemeClr w14:val="tx1"/>
            </w14:solidFill>
          </w14:textFill>
        </w:rPr>
        <w:t>6</w:t>
      </w:r>
      <w:r>
        <w:rPr>
          <w:rFonts w:hint="eastAsia" w:ascii="黑体" w:hAnsi="黑体" w:eastAsia="黑体" w:cs="黑体"/>
          <w:b w:val="0"/>
          <w:bCs/>
          <w:color w:val="000000" w:themeColor="text1"/>
          <w:sz w:val="21"/>
          <w:szCs w:val="21"/>
          <w14:textFill>
            <w14:solidFill>
              <w14:schemeClr w14:val="tx1"/>
            </w14:solidFill>
          </w14:textFill>
        </w:rPr>
        <w:t xml:space="preserve"> </w:t>
      </w:r>
      <w:bookmarkEnd w:id="34"/>
      <w:bookmarkEnd w:id="35"/>
      <w:bookmarkEnd w:id="36"/>
      <w:r>
        <w:rPr>
          <w:rFonts w:hint="eastAsia" w:ascii="黑体" w:hAnsi="黑体" w:eastAsia="黑体" w:cs="黑体"/>
          <w:b w:val="0"/>
          <w:bCs/>
          <w:color w:val="000000" w:themeColor="text1"/>
          <w:sz w:val="21"/>
          <w:szCs w:val="21"/>
          <w14:textFill>
            <w14:solidFill>
              <w14:schemeClr w14:val="tx1"/>
            </w14:solidFill>
          </w14:textFill>
        </w:rPr>
        <w:t>系统测试</w:t>
      </w:r>
      <w:bookmarkEnd w:id="37"/>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.1系统测试应符合下列规定：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1应测试FTTR主设备与FTTR从设备之间的光纤链路全程衰减。</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2应根据系统采用相应的上行和下行波长测试FTTR光分配网的衰减，测试结果应符合设计要求。</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.2应测试FTTR从设备的入纤光功率且小于FTTR从设备接收光功率要求。</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4.</w:t>
      </w:r>
      <w:r>
        <w:rPr>
          <w:rFonts w:hint="eastAsia" w:ascii="宋体" w:hAnsi="宋体" w:eastAsia="宋体" w:cs="仿宋"/>
          <w:color w:val="000000" w:themeColor="text1"/>
          <w:sz w:val="18"/>
          <w:szCs w:val="18"/>
          <w:lang w:val="en-US" w:eastAsia="zh-CN"/>
          <w14:textFill>
            <w14:solidFill>
              <w14:schemeClr w14:val="tx1"/>
            </w14:solidFill>
          </w14:textFill>
        </w:rPr>
        <w:t>6</w:t>
      </w:r>
      <w:r>
        <w:rPr>
          <w:rFonts w:hint="eastAsia" w:ascii="宋体" w:hAnsi="宋体" w:eastAsia="宋体" w:cs="仿宋"/>
          <w:color w:val="000000" w:themeColor="text1"/>
          <w:sz w:val="18"/>
          <w:szCs w:val="18"/>
          <w14:textFill>
            <w14:solidFill>
              <w14:schemeClr w14:val="tx1"/>
            </w14:solidFill>
          </w14:textFill>
        </w:rPr>
        <w:t>.3手机APP测试应符合下列要求：</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1应正确显示FTTR主从设备之间接入关系、接入终端数、FTTR主从设备信息及接入速率</w:t>
      </w:r>
      <w:r>
        <w:rPr>
          <w:rFonts w:hint="eastAsia" w:ascii="宋体" w:hAnsi="宋体" w:eastAsia="宋体" w:cs="仿宋"/>
          <w:color w:val="000000" w:themeColor="text1"/>
          <w:sz w:val="18"/>
          <w:szCs w:val="18"/>
          <w:lang w:eastAsia="zh-CN"/>
          <w14:textFill>
            <w14:solidFill>
              <w14:schemeClr w14:val="tx1"/>
            </w14:solidFill>
          </w14:textFill>
        </w:rPr>
        <w:t>；</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2应支持对室内网络的Wi-Fi热点开关、功率进行统一设置；应支持对FTTR主从设备进行远程重启、远程开关等；应支持其他</w:t>
      </w:r>
      <w:r>
        <w:rPr>
          <w:rFonts w:hint="eastAsia" w:ascii="宋体" w:hAnsi="宋体" w:eastAsia="宋体" w:cs="仿宋"/>
          <w:color w:val="000000" w:themeColor="text1"/>
          <w:sz w:val="18"/>
          <w:szCs w:val="18"/>
          <w:lang w:val="en-US" w:eastAsia="zh-CN"/>
          <w14:textFill>
            <w14:solidFill>
              <w14:schemeClr w14:val="tx1"/>
            </w14:solidFill>
          </w14:textFill>
        </w:rPr>
        <w:t>A</w:t>
      </w:r>
      <w:r>
        <w:rPr>
          <w:rFonts w:hint="eastAsia" w:ascii="宋体" w:hAnsi="宋体" w:eastAsia="宋体" w:cs="仿宋"/>
          <w:color w:val="000000" w:themeColor="text1"/>
          <w:sz w:val="18"/>
          <w:szCs w:val="18"/>
          <w14:textFill>
            <w14:solidFill>
              <w14:schemeClr w14:val="tx1"/>
            </w14:solidFill>
          </w14:textFill>
        </w:rPr>
        <w:t>ndlink协议的设备快速连接。</w:t>
      </w:r>
    </w:p>
    <w:p>
      <w:pPr>
        <w:rPr>
          <w:rFonts w:ascii="宋体" w:hAnsi="宋体" w:eastAsia="宋体" w:cs="宋体"/>
          <w:color w:val="000000" w:themeColor="text1"/>
          <w:sz w:val="30"/>
          <w:szCs w:val="30"/>
          <w14:textFill>
            <w14:solidFill>
              <w14:schemeClr w14:val="tx1"/>
            </w14:solidFill>
          </w14:textFill>
        </w:rPr>
      </w:pPr>
    </w:p>
    <w:p>
      <w:pPr>
        <w:rPr>
          <w:rFonts w:ascii="宋体" w:hAnsi="宋体" w:eastAsia="宋体" w:cs="宋体"/>
          <w:color w:val="000000" w:themeColor="text1"/>
          <w:sz w:val="30"/>
          <w:szCs w:val="30"/>
          <w14:textFill>
            <w14:solidFill>
              <w14:schemeClr w14:val="tx1"/>
            </w14:solidFill>
          </w14:textFill>
        </w:rPr>
      </w:pPr>
    </w:p>
    <w:p>
      <w:pPr>
        <w:rPr>
          <w:rFonts w:ascii="宋体" w:hAnsi="宋体" w:eastAsia="宋体" w:cs="宋体"/>
          <w:color w:val="000000" w:themeColor="text1"/>
          <w:sz w:val="30"/>
          <w:szCs w:val="30"/>
          <w14:textFill>
            <w14:solidFill>
              <w14:schemeClr w14:val="tx1"/>
            </w14:solidFill>
          </w14:textFill>
        </w:rPr>
      </w:pPr>
    </w:p>
    <w:p>
      <w:pPr>
        <w:rPr>
          <w:rFonts w:ascii="宋体" w:hAnsi="宋体" w:eastAsia="宋体" w:cs="宋体"/>
          <w:color w:val="000000" w:themeColor="text1"/>
          <w:sz w:val="30"/>
          <w:szCs w:val="30"/>
          <w14:textFill>
            <w14:solidFill>
              <w14:schemeClr w14:val="tx1"/>
            </w14:solidFill>
          </w14:textFill>
        </w:rPr>
      </w:pPr>
    </w:p>
    <w:p>
      <w:pPr>
        <w:pStyle w:val="3"/>
        <w:spacing w:line="240" w:lineRule="auto"/>
        <w:ind w:firstLine="1800" w:firstLineChars="600"/>
        <w:rPr>
          <w:rFonts w:ascii="宋体" w:hAnsi="宋体" w:eastAsia="宋体" w:cs="宋体"/>
          <w:b w:val="0"/>
          <w:bCs/>
          <w:color w:val="000000" w:themeColor="text1"/>
          <w:sz w:val="30"/>
          <w:szCs w:val="30"/>
          <w14:textFill>
            <w14:solidFill>
              <w14:schemeClr w14:val="tx1"/>
            </w14:solidFill>
          </w14:textFill>
        </w:rPr>
      </w:pPr>
      <w:bookmarkStart w:id="38" w:name="_Toc24442"/>
      <w:r>
        <w:rPr>
          <w:rFonts w:hint="eastAsia" w:ascii="宋体" w:hAnsi="宋体" w:eastAsia="宋体" w:cs="宋体"/>
          <w:b w:val="0"/>
          <w:bCs/>
          <w:color w:val="000000" w:themeColor="text1"/>
          <w:sz w:val="30"/>
          <w:szCs w:val="30"/>
          <w14:textFill>
            <w14:solidFill>
              <w14:schemeClr w14:val="tx1"/>
            </w14:solidFill>
          </w14:textFill>
        </w:rPr>
        <w:t>5 工程验收</w:t>
      </w:r>
      <w:bookmarkEnd w:id="38"/>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5.0.1 FTTR工程质量验收应符合下列规定：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1检验光缆走向，光缆预留盘留收纳状态，安装美观；</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2检验阴阳角、转角及光纤面板内的光缆转弯半径不应小于表4.4.1-1中的规定；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3光电混合缆验收应符合</w:t>
      </w:r>
      <w:r>
        <w:rPr>
          <w:rFonts w:hint="eastAsia" w:ascii="宋体" w:hAnsi="宋体" w:eastAsia="宋体" w:cs="仿宋"/>
          <w:color w:val="000000" w:themeColor="text1"/>
          <w:sz w:val="18"/>
          <w:szCs w:val="18"/>
          <w:lang w:val="en-US" w:eastAsia="zh-CN"/>
          <w14:textFill>
            <w14:solidFill>
              <w14:schemeClr w14:val="tx1"/>
            </w14:solidFill>
          </w14:textFill>
        </w:rPr>
        <w:t>现行行业规范</w:t>
      </w:r>
      <w:r>
        <w:rPr>
          <w:rFonts w:hint="eastAsia" w:ascii="宋体" w:hAnsi="宋体" w:eastAsia="宋体" w:cs="仿宋"/>
          <w:color w:val="000000" w:themeColor="text1"/>
          <w:sz w:val="18"/>
          <w:szCs w:val="18"/>
          <w14:textFill>
            <w14:solidFill>
              <w14:schemeClr w14:val="tx1"/>
            </w14:solidFill>
          </w14:textFill>
        </w:rPr>
        <w:t>《通信用光电混合缆工程技术规范》（YD/T 5242）中的相关规定；</w:t>
      </w:r>
    </w:p>
    <w:p>
      <w:pPr>
        <w:ind w:firstLine="360" w:firstLineChars="200"/>
        <w:rPr>
          <w:rFonts w:ascii="宋体" w:hAnsi="宋体" w:eastAsia="宋体" w:cs="仿宋"/>
          <w:color w:val="auto"/>
          <w:sz w:val="18"/>
          <w:szCs w:val="18"/>
        </w:rPr>
      </w:pPr>
      <w:r>
        <w:rPr>
          <w:rFonts w:hint="eastAsia" w:ascii="宋体" w:hAnsi="宋体" w:eastAsia="宋体" w:cs="仿宋"/>
          <w:color w:val="000000" w:themeColor="text1"/>
          <w:sz w:val="18"/>
          <w:szCs w:val="18"/>
          <w14:textFill>
            <w14:solidFill>
              <w14:schemeClr w14:val="tx1"/>
            </w14:solidFill>
          </w14:textFill>
        </w:rPr>
        <w:t>4检验FTTR主设备和FTTR</w:t>
      </w:r>
      <w:r>
        <w:rPr>
          <w:rFonts w:hint="eastAsia" w:ascii="宋体" w:hAnsi="宋体" w:eastAsia="宋体" w:cs="仿宋"/>
          <w:color w:val="auto"/>
          <w:sz w:val="18"/>
          <w:szCs w:val="18"/>
        </w:rPr>
        <w:t>从设备之间的接收光功率应符合下列规定：</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1)P2MP模式下，接收光功率为0dBm～23dBm；</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2)P2P模式下，接收光功率为0dBm～6dBm。</w:t>
      </w:r>
    </w:p>
    <w:p>
      <w:pPr>
        <w:ind w:firstLine="360" w:firstLineChars="200"/>
        <w:rPr>
          <w:rFonts w:ascii="宋体" w:hAnsi="宋体" w:eastAsia="宋体" w:cs="仿宋"/>
          <w:color w:val="auto"/>
          <w:sz w:val="18"/>
          <w:szCs w:val="18"/>
        </w:rPr>
      </w:pPr>
      <w:r>
        <w:rPr>
          <w:rFonts w:hint="eastAsia" w:ascii="宋体" w:hAnsi="宋体" w:eastAsia="宋体" w:cs="仿宋"/>
          <w:color w:val="auto"/>
          <w:sz w:val="18"/>
          <w:szCs w:val="18"/>
        </w:rPr>
        <w:t>5检验设备安装固定，指示灯显示正常；</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6光纤连接器或光/光电分路器验收应符合下列规定：</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1)光纤连接器端面应洁净，插接牢固；</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2)暂时未用的光端口或光纤连接器端面应用防尘帽保护；</w:t>
      </w:r>
    </w:p>
    <w:p>
      <w:pPr>
        <w:ind w:firstLine="360" w:firstLine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3)带锁扣或螺旋装置的插件，插接后应将锁扣扣紧或拧牢；</w:t>
      </w:r>
    </w:p>
    <w:p>
      <w:pPr>
        <w:ind w:firstLine="360" w:firstLineChars="200"/>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7检验线缆和设备标签标识，内容应清晰可辨认，固定可靠</w:t>
      </w:r>
      <w:r>
        <w:rPr>
          <w:rFonts w:hint="eastAsia" w:ascii="宋体" w:hAnsi="宋体" w:eastAsia="宋体" w:cs="仿宋"/>
          <w:color w:val="000000" w:themeColor="text1"/>
          <w:sz w:val="18"/>
          <w:szCs w:val="18"/>
          <w:lang w:eastAsia="zh-CN"/>
          <w14:textFill>
            <w14:solidFill>
              <w14:schemeClr w14:val="tx1"/>
            </w14:solidFill>
          </w14:textFill>
        </w:rPr>
        <w:t>。</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5.0.2网络性能验收应符合下列规定：</w:t>
      </w:r>
    </w:p>
    <w:p>
      <w:pPr>
        <w:ind w:firstLine="360"/>
        <w:rPr>
          <w:rFonts w:hint="eastAsia" w:ascii="宋体" w:hAnsi="宋体" w:eastAsia="宋体" w:cs="仿宋"/>
          <w:color w:val="000000" w:themeColor="text1"/>
          <w:sz w:val="18"/>
          <w:szCs w:val="18"/>
          <w:lang w:val="en-US" w:eastAsia="zh-CN"/>
          <w14:textFill>
            <w14:solidFill>
              <w14:schemeClr w14:val="tx1"/>
            </w14:solidFill>
          </w14:textFill>
        </w:rPr>
      </w:pPr>
      <w:r>
        <w:rPr>
          <w:rFonts w:hint="eastAsia" w:ascii="宋体" w:hAnsi="宋体" w:eastAsia="宋体" w:cs="仿宋"/>
          <w:color w:val="000000" w:themeColor="text1"/>
          <w:sz w:val="18"/>
          <w:szCs w:val="18"/>
          <w:lang w:val="en-US" w:eastAsia="zh-CN"/>
          <w14:textFill>
            <w14:solidFill>
              <w14:schemeClr w14:val="tx1"/>
            </w14:solidFill>
          </w14:textFill>
        </w:rPr>
        <w:t>网络性能指标应符合现行行业标准《宽带互联网业务体验网络评分计算方法 网页/视频、测速业务》（YD/T 3341-2018）中的相关规定；千兆宽带体验关键指标见表5.0.2-1，千兆宽带Wi-Fi关键指标见表5.0.2-2。</w:t>
      </w:r>
    </w:p>
    <w:p>
      <w:pPr>
        <w:ind w:firstLine="1027" w:firstLineChars="571"/>
        <w:rPr>
          <w:rFonts w:hint="eastAsia" w:ascii="宋体" w:hAnsi="宋体" w:eastAsia="宋体" w:cs="仿宋"/>
          <w:color w:val="000000" w:themeColor="text1"/>
          <w:sz w:val="18"/>
          <w:szCs w:val="18"/>
          <w:lang w:val="en-US" w:eastAsia="zh-CN"/>
          <w14:textFill>
            <w14:solidFill>
              <w14:schemeClr w14:val="tx1"/>
            </w14:solidFill>
          </w14:textFill>
        </w:rPr>
      </w:pPr>
    </w:p>
    <w:p>
      <w:pPr>
        <w:jc w:val="center"/>
        <w:rPr>
          <w:rFonts w:hint="eastAsia" w:ascii="宋体" w:hAnsi="宋体" w:eastAsia="宋体" w:cs="仿宋"/>
          <w:b/>
          <w:bCs/>
          <w:color w:val="000000" w:themeColor="text1"/>
          <w:sz w:val="18"/>
          <w:szCs w:val="18"/>
          <w:lang w:val="en-US" w:eastAsia="zh-CN"/>
          <w14:textFill>
            <w14:solidFill>
              <w14:schemeClr w14:val="tx1"/>
            </w14:solidFill>
          </w14:textFill>
        </w:rPr>
      </w:pPr>
      <w:r>
        <w:rPr>
          <w:rFonts w:hint="eastAsia" w:ascii="宋体" w:hAnsi="宋体" w:eastAsia="宋体" w:cs="仿宋"/>
          <w:b/>
          <w:bCs/>
          <w:color w:val="000000" w:themeColor="text1"/>
          <w:sz w:val="18"/>
          <w:szCs w:val="18"/>
          <w:lang w:val="en-US" w:eastAsia="zh-CN"/>
          <w14:textFill>
            <w14:solidFill>
              <w14:schemeClr w14:val="tx1"/>
            </w14:solidFill>
          </w14:textFill>
        </w:rPr>
        <w:t>表5.0.2-1 千兆宽带体验关键指标</w:t>
      </w:r>
    </w:p>
    <w:tbl>
      <w:tblPr>
        <w:tblStyle w:val="16"/>
        <w:tblW w:w="0" w:type="auto"/>
        <w:tblInd w:w="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2715"/>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验收项</w:t>
            </w:r>
          </w:p>
        </w:tc>
        <w:tc>
          <w:tcPr>
            <w:tcW w:w="2715" w:type="dxa"/>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验收内容</w:t>
            </w:r>
          </w:p>
        </w:tc>
        <w:tc>
          <w:tcPr>
            <w:tcW w:w="1530" w:type="dxa"/>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测速</w:t>
            </w:r>
          </w:p>
        </w:tc>
        <w:tc>
          <w:tcPr>
            <w:tcW w:w="271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有线连接光猫千兆口中进行测速</w:t>
            </w:r>
          </w:p>
        </w:tc>
        <w:tc>
          <w:tcPr>
            <w:tcW w:w="1530"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下载速率大于套餐的90%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p>
        </w:tc>
        <w:tc>
          <w:tcPr>
            <w:tcW w:w="271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5GHz Wi-Fi在线常上网的区域，例如客厅、卧室、书房等多个地点测速</w:t>
            </w:r>
          </w:p>
        </w:tc>
        <w:tc>
          <w:tcPr>
            <w:tcW w:w="1530"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建议：下载速率</w:t>
            </w:r>
            <w:r>
              <w:rPr>
                <w:rFonts w:hint="default" w:ascii="Arial" w:hAnsi="Arial" w:eastAsia="宋体" w:cs="Arial"/>
                <w:color w:val="000000" w:themeColor="text1"/>
                <w:sz w:val="13"/>
                <w:szCs w:val="13"/>
                <w:vertAlign w:val="baseline"/>
                <w:lang w:val="en-US" w:eastAsia="zh-CN"/>
                <w14:textFill>
                  <w14:solidFill>
                    <w14:schemeClr w14:val="tx1"/>
                  </w14:solidFill>
                </w14:textFill>
              </w:rPr>
              <w:t>≥</w:t>
            </w:r>
            <w:r>
              <w:rPr>
                <w:rFonts w:hint="eastAsia" w:ascii="宋体" w:hAnsi="宋体" w:eastAsia="宋体" w:cs="仿宋"/>
                <w:color w:val="000000" w:themeColor="text1"/>
                <w:sz w:val="13"/>
                <w:szCs w:val="13"/>
                <w:vertAlign w:val="baseline"/>
                <w:lang w:val="en-US" w:eastAsia="zh-CN"/>
                <w14:textFill>
                  <w14:solidFill>
                    <w14:schemeClr w14:val="tx1"/>
                  </w14:solidFill>
                </w14:textFill>
              </w:rPr>
              <w:t>套餐的90%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业务体验</w:t>
            </w:r>
          </w:p>
        </w:tc>
        <w:tc>
          <w:tcPr>
            <w:tcW w:w="271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用户常用区域使用5GHz Wi-Fi拨测网页</w:t>
            </w:r>
          </w:p>
        </w:tc>
        <w:tc>
          <w:tcPr>
            <w:tcW w:w="1530"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建议：MOS</w:t>
            </w:r>
            <w:r>
              <w:rPr>
                <w:rFonts w:hint="default" w:ascii="Arial" w:hAnsi="Arial" w:eastAsia="宋体" w:cs="Arial"/>
                <w:color w:val="000000" w:themeColor="text1"/>
                <w:sz w:val="13"/>
                <w:szCs w:val="13"/>
                <w:vertAlign w:val="baseline"/>
                <w:lang w:val="en-US" w:eastAsia="zh-CN"/>
                <w14:textFill>
                  <w14:solidFill>
                    <w14:schemeClr w14:val="tx1"/>
                  </w14:solidFill>
                </w14:textFill>
              </w:rPr>
              <w:t>≥</w:t>
            </w:r>
            <w:r>
              <w:rPr>
                <w:rFonts w:hint="eastAsia" w:ascii="宋体" w:hAnsi="宋体" w:eastAsia="宋体" w:cs="仿宋"/>
                <w:color w:val="000000" w:themeColor="text1"/>
                <w:sz w:val="13"/>
                <w:szCs w:val="13"/>
                <w:vertAlign w:val="baseline"/>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pPr>
              <w:rPr>
                <w:rFonts w:hint="default" w:ascii="宋体" w:hAnsi="宋体" w:eastAsia="宋体" w:cs="仿宋"/>
                <w:color w:val="000000" w:themeColor="text1"/>
                <w:sz w:val="13"/>
                <w:szCs w:val="13"/>
                <w:vertAlign w:val="baseline"/>
                <w:lang w:val="en-US" w:eastAsia="zh-CN"/>
                <w14:textFill>
                  <w14:solidFill>
                    <w14:schemeClr w14:val="tx1"/>
                  </w14:solidFill>
                </w14:textFill>
              </w:rPr>
            </w:pPr>
          </w:p>
        </w:tc>
        <w:tc>
          <w:tcPr>
            <w:tcW w:w="271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用户常用区域使用5GHz Wi-Fi拨测视频</w:t>
            </w:r>
          </w:p>
        </w:tc>
        <w:tc>
          <w:tcPr>
            <w:tcW w:w="1530"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建议：MOS</w:t>
            </w:r>
            <w:r>
              <w:rPr>
                <w:rFonts w:hint="default" w:ascii="Arial" w:hAnsi="Arial" w:eastAsia="宋体" w:cs="Arial"/>
                <w:color w:val="000000" w:themeColor="text1"/>
                <w:sz w:val="13"/>
                <w:szCs w:val="13"/>
                <w:vertAlign w:val="baseline"/>
                <w:lang w:val="en-US" w:eastAsia="zh-CN"/>
                <w14:textFill>
                  <w14:solidFill>
                    <w14:schemeClr w14:val="tx1"/>
                  </w14:solidFill>
                </w14:textFill>
              </w:rPr>
              <w:t>≥</w:t>
            </w:r>
            <w:r>
              <w:rPr>
                <w:rFonts w:hint="eastAsia" w:ascii="宋体" w:hAnsi="宋体" w:eastAsia="宋体" w:cs="仿宋"/>
                <w:color w:val="000000" w:themeColor="text1"/>
                <w:sz w:val="13"/>
                <w:szCs w:val="13"/>
                <w:vertAlign w:val="baseline"/>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pPr>
              <w:rPr>
                <w:rFonts w:hint="default" w:ascii="宋体" w:hAnsi="宋体" w:eastAsia="宋体" w:cs="仿宋"/>
                <w:color w:val="000000" w:themeColor="text1"/>
                <w:sz w:val="13"/>
                <w:szCs w:val="13"/>
                <w:vertAlign w:val="baseline"/>
                <w:lang w:val="en-US" w:eastAsia="zh-CN"/>
                <w14:textFill>
                  <w14:solidFill>
                    <w14:schemeClr w14:val="tx1"/>
                  </w14:solidFill>
                </w14:textFill>
              </w:rPr>
            </w:pPr>
          </w:p>
        </w:tc>
        <w:tc>
          <w:tcPr>
            <w:tcW w:w="271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用户常用区域使用5GHz Wi-Fi拨测游戏</w:t>
            </w:r>
          </w:p>
        </w:tc>
        <w:tc>
          <w:tcPr>
            <w:tcW w:w="1530"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建议：MOS</w:t>
            </w:r>
            <w:r>
              <w:rPr>
                <w:rFonts w:hint="default" w:ascii="Arial" w:hAnsi="Arial" w:eastAsia="宋体" w:cs="Arial"/>
                <w:color w:val="000000" w:themeColor="text1"/>
                <w:sz w:val="13"/>
                <w:szCs w:val="13"/>
                <w:vertAlign w:val="baseline"/>
                <w:lang w:val="en-US" w:eastAsia="zh-CN"/>
                <w14:textFill>
                  <w14:solidFill>
                    <w14:schemeClr w14:val="tx1"/>
                  </w14:solidFill>
                </w14:textFill>
              </w:rPr>
              <w:t>≥</w:t>
            </w:r>
            <w:r>
              <w:rPr>
                <w:rFonts w:hint="eastAsia" w:ascii="宋体" w:hAnsi="宋体" w:eastAsia="宋体" w:cs="仿宋"/>
                <w:color w:val="000000" w:themeColor="text1"/>
                <w:sz w:val="13"/>
                <w:szCs w:val="13"/>
                <w:vertAlign w:val="baseline"/>
                <w:lang w:val="en-US" w:eastAsia="zh-CN"/>
                <w14:textFill>
                  <w14:solidFill>
                    <w14:schemeClr w14:val="tx1"/>
                  </w14:solidFill>
                </w14:textFill>
              </w:rPr>
              <w:t>4</w:t>
            </w:r>
          </w:p>
        </w:tc>
      </w:tr>
    </w:tbl>
    <w:p>
      <w:pPr>
        <w:jc w:val="center"/>
        <w:rPr>
          <w:rFonts w:hint="eastAsia" w:ascii="宋体" w:hAnsi="宋体" w:eastAsia="宋体" w:cs="仿宋"/>
          <w:b/>
          <w:bCs/>
          <w:color w:val="000000" w:themeColor="text1"/>
          <w:sz w:val="18"/>
          <w:szCs w:val="18"/>
          <w:lang w:val="en-US" w:eastAsia="zh-CN"/>
          <w14:textFill>
            <w14:solidFill>
              <w14:schemeClr w14:val="tx1"/>
            </w14:solidFill>
          </w14:textFill>
        </w:rPr>
      </w:pPr>
    </w:p>
    <w:p>
      <w:pPr>
        <w:jc w:val="center"/>
        <w:rPr>
          <w:rFonts w:hint="eastAsia" w:ascii="宋体" w:hAnsi="宋体" w:eastAsia="宋体" w:cs="仿宋"/>
          <w:b/>
          <w:bCs/>
          <w:color w:val="000000" w:themeColor="text1"/>
          <w:sz w:val="18"/>
          <w:szCs w:val="18"/>
          <w:lang w:val="en-US" w:eastAsia="zh-CN"/>
          <w14:textFill>
            <w14:solidFill>
              <w14:schemeClr w14:val="tx1"/>
            </w14:solidFill>
          </w14:textFill>
        </w:rPr>
      </w:pPr>
      <w:r>
        <w:rPr>
          <w:rFonts w:hint="eastAsia" w:ascii="宋体" w:hAnsi="宋体" w:eastAsia="宋体" w:cs="仿宋"/>
          <w:b/>
          <w:bCs/>
          <w:color w:val="000000" w:themeColor="text1"/>
          <w:sz w:val="18"/>
          <w:szCs w:val="18"/>
          <w:lang w:val="en-US" w:eastAsia="zh-CN"/>
          <w14:textFill>
            <w14:solidFill>
              <w14:schemeClr w14:val="tx1"/>
            </w14:solidFill>
          </w14:textFill>
        </w:rPr>
        <w:t>表5.0.2-1 千兆宽带Wi-Fi关键指标</w:t>
      </w:r>
    </w:p>
    <w:tbl>
      <w:tblPr>
        <w:tblStyle w:val="16"/>
        <w:tblW w:w="0" w:type="auto"/>
        <w:tblInd w:w="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2717"/>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检测项</w:t>
            </w:r>
          </w:p>
        </w:tc>
        <w:tc>
          <w:tcPr>
            <w:tcW w:w="2717" w:type="dxa"/>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检测内容</w:t>
            </w:r>
          </w:p>
        </w:tc>
        <w:tc>
          <w:tcPr>
            <w:tcW w:w="1445" w:type="dxa"/>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检测标准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pPr>
              <w:jc w:val="center"/>
              <w:rPr>
                <w:rFonts w:hint="default" w:ascii="宋体" w:hAnsi="宋体" w:eastAsia="宋体" w:cs="仿宋"/>
                <w:color w:val="auto"/>
                <w:sz w:val="13"/>
                <w:szCs w:val="13"/>
                <w:vertAlign w:val="baseline"/>
                <w:lang w:val="en-US" w:eastAsia="zh-CN"/>
              </w:rPr>
            </w:pPr>
            <w:r>
              <w:rPr>
                <w:rFonts w:hint="eastAsia" w:ascii="宋体" w:hAnsi="宋体" w:eastAsia="宋体" w:cs="仿宋"/>
                <w:color w:val="auto"/>
                <w:sz w:val="13"/>
                <w:szCs w:val="13"/>
                <w:vertAlign w:val="baseline"/>
                <w:lang w:val="en-US" w:eastAsia="zh-CN"/>
              </w:rPr>
              <w:t>光调制解调器</w:t>
            </w:r>
          </w:p>
        </w:tc>
        <w:tc>
          <w:tcPr>
            <w:tcW w:w="2717" w:type="dxa"/>
            <w:vAlign w:val="center"/>
          </w:tcPr>
          <w:p>
            <w:pPr>
              <w:jc w:val="left"/>
              <w:rPr>
                <w:rFonts w:hint="default" w:ascii="宋体" w:hAnsi="宋体" w:eastAsia="宋体" w:cs="仿宋"/>
                <w:color w:val="auto"/>
                <w:sz w:val="13"/>
                <w:szCs w:val="13"/>
                <w:vertAlign w:val="baseline"/>
                <w:lang w:val="en-US" w:eastAsia="zh-CN"/>
              </w:rPr>
            </w:pPr>
            <w:r>
              <w:rPr>
                <w:rFonts w:hint="eastAsia" w:ascii="宋体" w:hAnsi="宋体" w:eastAsia="宋体" w:cs="仿宋"/>
                <w:color w:val="auto"/>
                <w:sz w:val="13"/>
                <w:szCs w:val="13"/>
                <w:vertAlign w:val="baseline"/>
                <w:lang w:val="en-US" w:eastAsia="zh-CN"/>
              </w:rPr>
              <w:t>光调制解调器型号、单双频、GE接口</w:t>
            </w:r>
          </w:p>
        </w:tc>
        <w:tc>
          <w:tcPr>
            <w:tcW w:w="1445" w:type="dxa"/>
            <w:vAlign w:val="center"/>
          </w:tcPr>
          <w:p>
            <w:pPr>
              <w:jc w:val="left"/>
              <w:rPr>
                <w:rFonts w:hint="default" w:ascii="宋体" w:hAnsi="宋体" w:eastAsia="宋体" w:cs="仿宋"/>
                <w:color w:val="auto"/>
                <w:sz w:val="13"/>
                <w:szCs w:val="13"/>
                <w:vertAlign w:val="baseline"/>
                <w:lang w:val="en-US" w:eastAsia="zh-CN"/>
              </w:rPr>
            </w:pPr>
            <w:r>
              <w:rPr>
                <w:rFonts w:hint="eastAsia" w:ascii="宋体" w:hAnsi="宋体" w:eastAsia="宋体" w:cs="仿宋"/>
                <w:color w:val="auto"/>
                <w:sz w:val="13"/>
                <w:szCs w:val="13"/>
                <w:vertAlign w:val="baseline"/>
                <w:lang w:val="en-US" w:eastAsia="zh-CN"/>
              </w:rPr>
              <w:t>千兆或万兆双频光调制解调器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新建房屋光纤覆盖</w:t>
            </w:r>
          </w:p>
        </w:tc>
        <w:tc>
          <w:tcPr>
            <w:tcW w:w="2717"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每房间光纤是否部署</w:t>
            </w:r>
          </w:p>
        </w:tc>
        <w:tc>
          <w:tcPr>
            <w:tcW w:w="144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各房间光纤均已部署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758" w:type="dxa"/>
            <w:vMerge w:val="restart"/>
            <w:vAlign w:val="center"/>
          </w:tcPr>
          <w:p>
            <w:pPr>
              <w:jc w:val="cente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老旧房屋网线/光纤连接</w:t>
            </w:r>
          </w:p>
        </w:tc>
        <w:tc>
          <w:tcPr>
            <w:tcW w:w="2717"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家庭路由器与ONT之间的网线连接是否正确</w:t>
            </w:r>
          </w:p>
        </w:tc>
        <w:tc>
          <w:tcPr>
            <w:tcW w:w="144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路由器应连接ONT的千兆口或以上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tcPr>
          <w:p>
            <w:pPr>
              <w:rPr>
                <w:rFonts w:hint="default" w:ascii="宋体" w:hAnsi="宋体" w:eastAsia="宋体" w:cs="仿宋"/>
                <w:color w:val="000000" w:themeColor="text1"/>
                <w:sz w:val="13"/>
                <w:szCs w:val="13"/>
                <w:vertAlign w:val="baseline"/>
                <w:lang w:val="en-US" w:eastAsia="zh-CN"/>
                <w14:textFill>
                  <w14:solidFill>
                    <w14:schemeClr w14:val="tx1"/>
                  </w14:solidFill>
                </w14:textFill>
              </w:rPr>
            </w:pPr>
          </w:p>
        </w:tc>
        <w:tc>
          <w:tcPr>
            <w:tcW w:w="2717"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从ONT/家庭路由器与ONT之间的网线是否满足千兆速率要求</w:t>
            </w:r>
          </w:p>
        </w:tc>
        <w:tc>
          <w:tcPr>
            <w:tcW w:w="144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使用光纤/六类网线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tcPr>
          <w:p>
            <w:pPr>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Wi-Fi信号</w:t>
            </w:r>
          </w:p>
        </w:tc>
        <w:tc>
          <w:tcPr>
            <w:tcW w:w="2717"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在经常上网的区域，例如客厅、卧室、书房两个地点以上测量Wi-Fi信号强度</w:t>
            </w:r>
          </w:p>
        </w:tc>
        <w:tc>
          <w:tcPr>
            <w:tcW w:w="1445" w:type="dxa"/>
            <w:vAlign w:val="center"/>
          </w:tcPr>
          <w:p>
            <w:pPr>
              <w:jc w:val="left"/>
              <w:rPr>
                <w:rFonts w:hint="default" w:ascii="宋体" w:hAnsi="宋体" w:eastAsia="宋体" w:cs="仿宋"/>
                <w:color w:val="000000" w:themeColor="text1"/>
                <w:sz w:val="13"/>
                <w:szCs w:val="13"/>
                <w:vertAlign w:val="baseline"/>
                <w:lang w:val="en-US" w:eastAsia="zh-CN"/>
                <w14:textFill>
                  <w14:solidFill>
                    <w14:schemeClr w14:val="tx1"/>
                  </w14:solidFill>
                </w14:textFill>
              </w:rPr>
            </w:pPr>
            <w:r>
              <w:rPr>
                <w:rFonts w:hint="eastAsia" w:ascii="宋体" w:hAnsi="宋体" w:eastAsia="宋体" w:cs="仿宋"/>
                <w:color w:val="000000" w:themeColor="text1"/>
                <w:sz w:val="13"/>
                <w:szCs w:val="13"/>
                <w:vertAlign w:val="baseline"/>
                <w:lang w:val="en-US" w:eastAsia="zh-CN"/>
                <w14:textFill>
                  <w14:solidFill>
                    <w14:schemeClr w14:val="tx1"/>
                  </w14:solidFill>
                </w14:textFill>
              </w:rPr>
              <w:t>建议：5GH Wi-Fi信号</w:t>
            </w:r>
            <w:r>
              <w:rPr>
                <w:rFonts w:hint="default" w:ascii="Arial" w:hAnsi="Arial" w:eastAsia="宋体" w:cs="Arial"/>
                <w:color w:val="000000" w:themeColor="text1"/>
                <w:sz w:val="13"/>
                <w:szCs w:val="13"/>
                <w:vertAlign w:val="baseline"/>
                <w:lang w:val="en-US" w:eastAsia="zh-CN"/>
                <w14:textFill>
                  <w14:solidFill>
                    <w14:schemeClr w14:val="tx1"/>
                  </w14:solidFill>
                </w14:textFill>
              </w:rPr>
              <w:t>≥</w:t>
            </w:r>
            <w:r>
              <w:rPr>
                <w:rFonts w:hint="eastAsia" w:ascii="宋体" w:hAnsi="宋体" w:eastAsia="宋体" w:cs="仿宋"/>
                <w:color w:val="000000" w:themeColor="text1"/>
                <w:sz w:val="13"/>
                <w:szCs w:val="13"/>
                <w:vertAlign w:val="baseline"/>
                <w:lang w:val="en-US" w:eastAsia="zh-CN"/>
                <w14:textFill>
                  <w14:solidFill>
                    <w14:schemeClr w14:val="tx1"/>
                  </w14:solidFill>
                </w14:textFill>
              </w:rPr>
              <w:t>-60dbm</w:t>
            </w:r>
          </w:p>
        </w:tc>
      </w:tr>
    </w:tbl>
    <w:p>
      <w:pPr>
        <w:ind w:firstLine="1027" w:firstLineChars="571"/>
        <w:rPr>
          <w:rFonts w:hint="default" w:ascii="宋体" w:hAnsi="宋体" w:eastAsia="宋体" w:cs="仿宋"/>
          <w:color w:val="000000" w:themeColor="text1"/>
          <w:sz w:val="18"/>
          <w:szCs w:val="18"/>
          <w:lang w:val="en-US" w:eastAsia="zh-CN"/>
          <w14:textFill>
            <w14:solidFill>
              <w14:schemeClr w14:val="tx1"/>
            </w14:solidFill>
          </w14:textFill>
        </w:rPr>
      </w:pPr>
    </w:p>
    <w:p>
      <w:pPr>
        <w:ind w:firstLine="360" w:firstLineChars="200"/>
        <w:rPr>
          <w:rFonts w:hint="eastAsia" w:ascii="宋体" w:hAnsi="宋体" w:eastAsia="宋体" w:cs="仿宋"/>
          <w:color w:val="FF0000"/>
          <w:sz w:val="18"/>
          <w:szCs w:val="18"/>
        </w:rPr>
      </w:pPr>
    </w:p>
    <w:p>
      <w:pPr>
        <w:pStyle w:val="3"/>
        <w:spacing w:line="240" w:lineRule="auto"/>
        <w:ind w:firstLine="1800" w:firstLineChars="600"/>
        <w:rPr>
          <w:rFonts w:hint="eastAsia" w:ascii="宋体" w:hAnsi="宋体" w:eastAsia="宋体" w:cs="宋体"/>
          <w:b w:val="0"/>
          <w:bCs/>
          <w:color w:val="000000" w:themeColor="text1"/>
          <w:sz w:val="30"/>
          <w:szCs w:val="30"/>
          <w14:textFill>
            <w14:solidFill>
              <w14:schemeClr w14:val="tx1"/>
            </w14:solidFill>
          </w14:textFill>
        </w:rPr>
      </w:pPr>
      <w:bookmarkStart w:id="39" w:name="_Toc23589"/>
      <w:r>
        <w:rPr>
          <w:rFonts w:hint="eastAsia" w:ascii="宋体" w:hAnsi="宋体" w:eastAsia="宋体" w:cs="宋体"/>
          <w:b w:val="0"/>
          <w:bCs/>
          <w:color w:val="000000" w:themeColor="text1"/>
          <w:sz w:val="30"/>
          <w:szCs w:val="30"/>
          <w14:textFill>
            <w14:solidFill>
              <w14:schemeClr w14:val="tx1"/>
            </w14:solidFill>
          </w14:textFill>
        </w:rPr>
        <w:t>6 运行维护</w:t>
      </w:r>
      <w:bookmarkEnd w:id="39"/>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6.0.1运行维护管理单位应建立健全完善、可行的维护管理制度，并应对操作人员进行维护质量检查。</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6.0.2运行维护管理单位应对维护工作建立技术资料档案并妥善保管，技术资料应真实、完整、齐全。</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6.0.3运行维护管理单位应对操作人员的权限进行管理和记录。</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6.0.4应定期检查FTTR主从设备的运行状态。</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6.0.5 FTTR用户可通过手机APP自主运行维护FTTR网络，实现FTTR全光组网的自助、简易管理和运行维护。</w:t>
      </w: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ind w:firstLine="360" w:firstLineChars="200"/>
        <w:rPr>
          <w:rFonts w:ascii="宋体" w:hAnsi="宋体" w:eastAsia="宋体" w:cs="仿宋"/>
          <w:color w:val="000000" w:themeColor="text1"/>
          <w:sz w:val="18"/>
          <w:szCs w:val="18"/>
          <w14:textFill>
            <w14:solidFill>
              <w14:schemeClr w14:val="tx1"/>
            </w14:solidFill>
          </w14:textFill>
        </w:rPr>
      </w:pPr>
    </w:p>
    <w:p>
      <w:pPr>
        <w:bidi w:val="0"/>
      </w:pPr>
    </w:p>
    <w:p>
      <w:pPr>
        <w:rPr>
          <w:rFonts w:ascii="宋体" w:hAnsi="宋体" w:eastAsia="宋体" w:cs="宋体"/>
          <w:color w:val="000000" w:themeColor="text1"/>
          <w:sz w:val="30"/>
          <w:szCs w:val="30"/>
          <w14:textFill>
            <w14:solidFill>
              <w14:schemeClr w14:val="tx1"/>
            </w14:solidFill>
          </w14:textFill>
        </w:rPr>
      </w:pPr>
    </w:p>
    <w:p>
      <w:pPr>
        <w:rPr>
          <w:rFonts w:ascii="宋体" w:hAnsi="宋体" w:eastAsia="宋体" w:cs="宋体"/>
          <w:color w:val="000000" w:themeColor="text1"/>
          <w:sz w:val="30"/>
          <w:szCs w:val="30"/>
          <w14:textFill>
            <w14:solidFill>
              <w14:schemeClr w14:val="tx1"/>
            </w14:solidFill>
          </w14:textFill>
        </w:rPr>
      </w:pPr>
    </w:p>
    <w:p>
      <w:pPr>
        <w:rPr>
          <w:rFonts w:ascii="宋体" w:hAnsi="宋体" w:eastAsia="宋体" w:cs="宋体"/>
          <w:color w:val="000000" w:themeColor="text1"/>
          <w:sz w:val="30"/>
          <w:szCs w:val="30"/>
          <w14:textFill>
            <w14:solidFill>
              <w14:schemeClr w14:val="tx1"/>
            </w14:solidFill>
          </w14:textFill>
        </w:rPr>
      </w:pPr>
    </w:p>
    <w:p>
      <w:pPr>
        <w:pStyle w:val="3"/>
        <w:spacing w:line="240" w:lineRule="auto"/>
        <w:jc w:val="center"/>
        <w:rPr>
          <w:rFonts w:ascii="宋体" w:hAnsi="宋体" w:eastAsia="宋体" w:cs="宋体"/>
          <w:b w:val="0"/>
          <w:bCs/>
          <w:color w:val="000000" w:themeColor="text1"/>
          <w:sz w:val="30"/>
          <w:szCs w:val="30"/>
          <w14:textFill>
            <w14:solidFill>
              <w14:schemeClr w14:val="tx1"/>
            </w14:solidFill>
          </w14:textFill>
        </w:rPr>
      </w:pPr>
      <w:bookmarkStart w:id="40" w:name="_Toc21876"/>
      <w:r>
        <w:rPr>
          <w:rFonts w:hint="eastAsia" w:ascii="宋体" w:hAnsi="宋体" w:eastAsia="宋体" w:cs="宋体"/>
          <w:b w:val="0"/>
          <w:bCs/>
          <w:color w:val="000000" w:themeColor="text1"/>
          <w:sz w:val="30"/>
          <w:szCs w:val="30"/>
          <w14:textFill>
            <w14:solidFill>
              <w14:schemeClr w14:val="tx1"/>
            </w14:solidFill>
          </w14:textFill>
        </w:rPr>
        <w:t>附录A FTTR工程验收检验项目及内容</w:t>
      </w:r>
      <w:bookmarkEnd w:id="40"/>
    </w:p>
    <w:p>
      <w:pPr>
        <w:pStyle w:val="7"/>
        <w:spacing w:before="122"/>
        <w:ind w:right="14"/>
        <w:jc w:val="center"/>
        <w:rPr>
          <w:b/>
          <w:bCs/>
          <w:sz w:val="18"/>
          <w:szCs w:val="18"/>
        </w:rPr>
      </w:pPr>
      <w:r>
        <w:rPr>
          <w:rFonts w:hint="eastAsia"/>
          <w:b/>
          <w:bCs/>
          <w:sz w:val="18"/>
          <w:szCs w:val="18"/>
        </w:rPr>
        <w:t>表A 工程验收检验项目及内容</w:t>
      </w:r>
    </w:p>
    <w:tbl>
      <w:tblPr>
        <w:tblStyle w:val="16"/>
        <w:tblpPr w:leftFromText="180" w:rightFromText="180" w:vertAnchor="text" w:horzAnchor="page" w:tblpX="1044" w:tblpY="308"/>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80"/>
        <w:gridCol w:w="835"/>
        <w:gridCol w:w="1291"/>
        <w:gridCol w:w="2127"/>
        <w:gridCol w:w="8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80"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序号</w:t>
            </w:r>
          </w:p>
        </w:tc>
        <w:tc>
          <w:tcPr>
            <w:tcW w:w="835"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阶段</w:t>
            </w:r>
          </w:p>
        </w:tc>
        <w:tc>
          <w:tcPr>
            <w:tcW w:w="1291"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检验项目</w:t>
            </w:r>
          </w:p>
        </w:tc>
        <w:tc>
          <w:tcPr>
            <w:tcW w:w="2127"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检验内容</w:t>
            </w:r>
          </w:p>
        </w:tc>
        <w:tc>
          <w:tcPr>
            <w:tcW w:w="845"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检验方式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380" w:type="dxa"/>
            <w:vMerge w:val="restart"/>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1</w:t>
            </w:r>
          </w:p>
        </w:tc>
        <w:tc>
          <w:tcPr>
            <w:tcW w:w="835" w:type="dxa"/>
            <w:vMerge w:val="restart"/>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施工前检查</w:t>
            </w:r>
          </w:p>
        </w:tc>
        <w:tc>
          <w:tcPr>
            <w:tcW w:w="1291" w:type="dxa"/>
            <w:tcBorders>
              <w:tl2br w:val="nil"/>
              <w:tr2bl w:val="nil"/>
            </w:tcBorders>
            <w:vAlign w:val="center"/>
          </w:tcPr>
          <w:p>
            <w:pPr>
              <w:jc w:val="center"/>
              <w:rPr>
                <w:rFonts w:hint="default"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设备安装环境</w:t>
            </w:r>
          </w:p>
        </w:tc>
        <w:tc>
          <w:tcPr>
            <w:tcW w:w="2127" w:type="dxa"/>
            <w:tcBorders>
              <w:tl2br w:val="nil"/>
              <w:tr2bl w:val="nil"/>
            </w:tcBorders>
          </w:tcPr>
          <w:p>
            <w:pPr>
              <w:rPr>
                <w:rFonts w:hint="default"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建筑物内布线和安装光网关环境条件</w:t>
            </w:r>
          </w:p>
        </w:tc>
        <w:tc>
          <w:tcPr>
            <w:tcW w:w="845" w:type="dxa"/>
            <w:vMerge w:val="restart"/>
            <w:tcBorders>
              <w:tl2br w:val="nil"/>
              <w:tr2bl w:val="nil"/>
            </w:tcBorders>
            <w:vAlign w:val="center"/>
          </w:tcPr>
          <w:p>
            <w:pPr>
              <w:jc w:val="center"/>
              <w:rPr>
                <w:rFonts w:hint="default"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施工前检查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0" w:type="dxa"/>
            <w:vMerge w:val="continue"/>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p>
        </w:tc>
        <w:tc>
          <w:tcPr>
            <w:tcW w:w="835" w:type="dxa"/>
            <w:vMerge w:val="continue"/>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p>
        </w:tc>
        <w:tc>
          <w:tcPr>
            <w:tcW w:w="1291"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器材检验</w:t>
            </w:r>
          </w:p>
        </w:tc>
        <w:tc>
          <w:tcPr>
            <w:tcW w:w="2127" w:type="dxa"/>
            <w:tcBorders>
              <w:tl2br w:val="nil"/>
              <w:tr2bl w:val="nil"/>
            </w:tcBorders>
          </w:tcPr>
          <w:p>
            <w:pPr>
              <w:rPr>
                <w:rFonts w:hint="eastAsia"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规格、梳理和检查；</w:t>
            </w:r>
          </w:p>
          <w:p>
            <w:pPr>
              <w:rPr>
                <w:rFonts w:hint="default"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光缆/光电缆及连接器</w:t>
            </w:r>
          </w:p>
        </w:tc>
        <w:tc>
          <w:tcPr>
            <w:tcW w:w="845" w:type="dxa"/>
            <w:vMerge w:val="continue"/>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0" w:type="dxa"/>
            <w:tcBorders>
              <w:tl2br w:val="nil"/>
              <w:tr2bl w:val="nil"/>
            </w:tcBorders>
            <w:vAlign w:val="center"/>
          </w:tcPr>
          <w:p>
            <w:pPr>
              <w:jc w:val="center"/>
              <w:rPr>
                <w:rFonts w:hint="eastAsia" w:ascii="宋体" w:hAnsi="宋体" w:eastAsia="宋体" w:cs="仿宋"/>
                <w:color w:val="000000" w:themeColor="text1"/>
                <w:sz w:val="15"/>
                <w:szCs w:val="15"/>
                <w:lang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2</w:t>
            </w:r>
          </w:p>
        </w:tc>
        <w:tc>
          <w:tcPr>
            <w:tcW w:w="835" w:type="dxa"/>
            <w:tcBorders>
              <w:tl2br w:val="nil"/>
              <w:tr2bl w:val="nil"/>
            </w:tcBorders>
            <w:vAlign w:val="center"/>
          </w:tcPr>
          <w:p>
            <w:pPr>
              <w:jc w:val="center"/>
              <w:rPr>
                <w:rFonts w:hint="default"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线缆敷设及连接</w:t>
            </w:r>
          </w:p>
        </w:tc>
        <w:tc>
          <w:tcPr>
            <w:tcW w:w="1291" w:type="dxa"/>
            <w:tcBorders>
              <w:tl2br w:val="nil"/>
              <w:tr2bl w:val="nil"/>
            </w:tcBorders>
            <w:vAlign w:val="center"/>
          </w:tcPr>
          <w:p>
            <w:pPr>
              <w:jc w:val="center"/>
              <w:rPr>
                <w:rFonts w:hint="default"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室内光缆/光电混合缆</w:t>
            </w:r>
          </w:p>
        </w:tc>
        <w:tc>
          <w:tcPr>
            <w:tcW w:w="2127" w:type="dxa"/>
            <w:tcBorders>
              <w:tl2br w:val="nil"/>
              <w:tr2bl w:val="nil"/>
            </w:tcBorders>
          </w:tcPr>
          <w:p>
            <w:pPr>
              <w:rPr>
                <w:rFonts w:hint="eastAsia"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管孔孔位及占用梳理；</w:t>
            </w:r>
          </w:p>
          <w:p>
            <w:pPr>
              <w:rPr>
                <w:rFonts w:hint="eastAsia"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敷设路由；</w:t>
            </w:r>
          </w:p>
          <w:p>
            <w:pPr>
              <w:rPr>
                <w:rFonts w:hint="eastAsia"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线缆保护措施；</w:t>
            </w:r>
          </w:p>
          <w:p>
            <w:pPr>
              <w:rPr>
                <w:rFonts w:hint="default" w:ascii="宋体" w:hAnsi="宋体" w:eastAsia="宋体" w:cs="仿宋"/>
                <w:color w:val="000000" w:themeColor="text1"/>
                <w:sz w:val="15"/>
                <w:szCs w:val="15"/>
                <w:lang w:val="en-US"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线缆接续与成端</w:t>
            </w:r>
          </w:p>
        </w:tc>
        <w:tc>
          <w:tcPr>
            <w:tcW w:w="845"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随工检查</w:t>
            </w:r>
          </w:p>
          <w:p>
            <w:pPr>
              <w:jc w:val="center"/>
              <w:rPr>
                <w:rFonts w:ascii="宋体" w:hAnsi="宋体" w:eastAsia="宋体" w:cs="仿宋"/>
                <w:color w:val="000000" w:themeColor="text1"/>
                <w:sz w:val="15"/>
                <w:szCs w:val="15"/>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380" w:type="dxa"/>
            <w:tcBorders>
              <w:tl2br w:val="nil"/>
              <w:tr2bl w:val="nil"/>
            </w:tcBorders>
            <w:vAlign w:val="center"/>
          </w:tcPr>
          <w:p>
            <w:pPr>
              <w:jc w:val="center"/>
              <w:rPr>
                <w:rFonts w:hint="eastAsia" w:ascii="宋体" w:hAnsi="宋体" w:eastAsia="宋体" w:cs="仿宋"/>
                <w:color w:val="000000" w:themeColor="text1"/>
                <w:sz w:val="15"/>
                <w:szCs w:val="15"/>
                <w:lang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3</w:t>
            </w:r>
          </w:p>
        </w:tc>
        <w:tc>
          <w:tcPr>
            <w:tcW w:w="835"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系统测试</w:t>
            </w:r>
          </w:p>
        </w:tc>
        <w:tc>
          <w:tcPr>
            <w:tcW w:w="1291"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光纤链路测试</w:t>
            </w:r>
          </w:p>
        </w:tc>
        <w:tc>
          <w:tcPr>
            <w:tcW w:w="2127" w:type="dxa"/>
            <w:tcBorders>
              <w:tl2br w:val="nil"/>
              <w:tr2bl w:val="nil"/>
            </w:tcBorders>
            <w:vAlign w:val="center"/>
          </w:tcPr>
          <w:p>
            <w:pPr>
              <w:jc w:val="both"/>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光纤链路衰减值及记录</w:t>
            </w:r>
          </w:p>
        </w:tc>
        <w:tc>
          <w:tcPr>
            <w:tcW w:w="845"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随工检查</w:t>
            </w:r>
          </w:p>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竣工检验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0" w:type="dxa"/>
            <w:vMerge w:val="restart"/>
            <w:tcBorders>
              <w:tl2br w:val="nil"/>
              <w:tr2bl w:val="nil"/>
            </w:tcBorders>
            <w:vAlign w:val="center"/>
          </w:tcPr>
          <w:p>
            <w:pPr>
              <w:jc w:val="center"/>
              <w:rPr>
                <w:rFonts w:hint="eastAsia" w:ascii="宋体" w:hAnsi="宋体" w:eastAsia="宋体" w:cs="仿宋"/>
                <w:color w:val="000000" w:themeColor="text1"/>
                <w:sz w:val="15"/>
                <w:szCs w:val="15"/>
                <w:lang w:eastAsia="zh-CN"/>
                <w14:textFill>
                  <w14:solidFill>
                    <w14:schemeClr w14:val="tx1"/>
                  </w14:solidFill>
                </w14:textFill>
              </w:rPr>
            </w:pPr>
            <w:r>
              <w:rPr>
                <w:rFonts w:hint="eastAsia" w:ascii="宋体" w:hAnsi="宋体" w:eastAsia="宋体" w:cs="仿宋"/>
                <w:color w:val="000000" w:themeColor="text1"/>
                <w:sz w:val="15"/>
                <w:szCs w:val="15"/>
                <w:lang w:val="en-US" w:eastAsia="zh-CN"/>
                <w14:textFill>
                  <w14:solidFill>
                    <w14:schemeClr w14:val="tx1"/>
                  </w14:solidFill>
                </w14:textFill>
              </w:rPr>
              <w:t>4</w:t>
            </w:r>
          </w:p>
        </w:tc>
        <w:tc>
          <w:tcPr>
            <w:tcW w:w="835" w:type="dxa"/>
            <w:vMerge w:val="restart"/>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工程竣工验收</w:t>
            </w:r>
          </w:p>
        </w:tc>
        <w:tc>
          <w:tcPr>
            <w:tcW w:w="1291"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竣工技术文件</w:t>
            </w:r>
          </w:p>
        </w:tc>
        <w:tc>
          <w:tcPr>
            <w:tcW w:w="2127" w:type="dxa"/>
            <w:tcBorders>
              <w:tl2br w:val="nil"/>
              <w:tr2bl w:val="nil"/>
            </w:tcBorders>
          </w:tcPr>
          <w:p>
            <w:pP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清点、交接技术资料</w:t>
            </w:r>
          </w:p>
        </w:tc>
        <w:tc>
          <w:tcPr>
            <w:tcW w:w="845"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竣工检验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0" w:type="dxa"/>
            <w:vMerge w:val="continue"/>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p>
        </w:tc>
        <w:tc>
          <w:tcPr>
            <w:tcW w:w="835" w:type="dxa"/>
            <w:vMerge w:val="continue"/>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p>
        </w:tc>
        <w:tc>
          <w:tcPr>
            <w:tcW w:w="1291"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工程验收评价</w:t>
            </w:r>
          </w:p>
        </w:tc>
        <w:tc>
          <w:tcPr>
            <w:tcW w:w="2127" w:type="dxa"/>
            <w:tcBorders>
              <w:tl2br w:val="nil"/>
              <w:tr2bl w:val="nil"/>
            </w:tcBorders>
          </w:tcPr>
          <w:p>
            <w:pP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考核工程质量，确认检验结果</w:t>
            </w:r>
          </w:p>
        </w:tc>
        <w:tc>
          <w:tcPr>
            <w:tcW w:w="845" w:type="dxa"/>
            <w:tcBorders>
              <w:tl2br w:val="nil"/>
              <w:tr2bl w:val="nil"/>
            </w:tcBorders>
            <w:vAlign w:val="center"/>
          </w:tcPr>
          <w:p>
            <w:pPr>
              <w:jc w:val="center"/>
              <w:rPr>
                <w:rFonts w:ascii="宋体" w:hAnsi="宋体" w:eastAsia="宋体" w:cs="仿宋"/>
                <w:color w:val="000000" w:themeColor="text1"/>
                <w:sz w:val="15"/>
                <w:szCs w:val="15"/>
                <w14:textFill>
                  <w14:solidFill>
                    <w14:schemeClr w14:val="tx1"/>
                  </w14:solidFill>
                </w14:textFill>
              </w:rPr>
            </w:pPr>
            <w:r>
              <w:rPr>
                <w:rFonts w:hint="eastAsia" w:ascii="宋体" w:hAnsi="宋体" w:eastAsia="宋体" w:cs="仿宋"/>
                <w:color w:val="000000" w:themeColor="text1"/>
                <w:sz w:val="15"/>
                <w:szCs w:val="15"/>
                <w14:textFill>
                  <w14:solidFill>
                    <w14:schemeClr w14:val="tx1"/>
                  </w14:solidFill>
                </w14:textFill>
              </w:rPr>
              <w:t>竣工检验</w:t>
            </w:r>
          </w:p>
        </w:tc>
      </w:tr>
    </w:tbl>
    <w:p>
      <w:pPr>
        <w:jc w:val="center"/>
        <w:rPr>
          <w:rFonts w:ascii="黑体" w:hAnsi="黑体" w:eastAsia="黑体" w:cs="黑体"/>
          <w:color w:val="000000" w:themeColor="text1"/>
          <w:sz w:val="18"/>
          <w:szCs w:val="18"/>
          <w14:textFill>
            <w14:solidFill>
              <w14:schemeClr w14:val="tx1"/>
            </w14:solidFill>
          </w14:textFill>
        </w:rPr>
      </w:pPr>
    </w:p>
    <w:p>
      <w:pPr>
        <w:bidi w:val="0"/>
        <w:rPr>
          <w:rFonts w:hint="eastAsia"/>
        </w:rPr>
      </w:pPr>
    </w:p>
    <w:p>
      <w:pPr>
        <w:pStyle w:val="3"/>
        <w:spacing w:line="240" w:lineRule="auto"/>
        <w:jc w:val="center"/>
        <w:rPr>
          <w:rFonts w:hint="eastAsia" w:ascii="宋体" w:hAnsi="宋体" w:eastAsia="宋体" w:cs="宋体"/>
          <w:b w:val="0"/>
          <w:bCs/>
          <w:color w:val="000000" w:themeColor="text1"/>
          <w:sz w:val="30"/>
          <w:szCs w:val="30"/>
          <w14:textFill>
            <w14:solidFill>
              <w14:schemeClr w14:val="tx1"/>
            </w14:solidFill>
          </w14:textFill>
        </w:rPr>
      </w:pPr>
      <w:bookmarkStart w:id="41" w:name="_Toc23433"/>
      <w:r>
        <w:rPr>
          <w:rFonts w:hint="eastAsia" w:ascii="宋体" w:hAnsi="宋体" w:eastAsia="宋体" w:cs="宋体"/>
          <w:b w:val="0"/>
          <w:bCs/>
          <w:color w:val="000000" w:themeColor="text1"/>
          <w:sz w:val="30"/>
          <w:szCs w:val="30"/>
          <w14:textFill>
            <w14:solidFill>
              <w14:schemeClr w14:val="tx1"/>
            </w14:solidFill>
          </w14:textFill>
        </w:rPr>
        <w:t>附录B FTTR设备典型规格表</w:t>
      </w:r>
      <w:bookmarkEnd w:id="41"/>
    </w:p>
    <w:p>
      <w:pPr>
        <w:pStyle w:val="7"/>
        <w:spacing w:before="122"/>
        <w:ind w:right="14"/>
        <w:jc w:val="center"/>
        <w:rPr>
          <w:b/>
          <w:bCs/>
          <w:sz w:val="18"/>
          <w:szCs w:val="18"/>
        </w:rPr>
      </w:pPr>
      <w:r>
        <w:rPr>
          <w:b/>
          <w:bCs/>
          <w:sz w:val="18"/>
          <w:szCs w:val="18"/>
        </w:rPr>
        <w:t>表</w:t>
      </w:r>
      <w:r>
        <w:rPr>
          <w:rFonts w:hint="eastAsia"/>
          <w:b/>
          <w:bCs/>
          <w:sz w:val="18"/>
          <w:szCs w:val="18"/>
          <w:lang w:val="en-US" w:eastAsia="zh-CN"/>
        </w:rPr>
        <w:t>B</w:t>
      </w:r>
      <w:r>
        <w:rPr>
          <w:b/>
          <w:bCs/>
          <w:sz w:val="18"/>
          <w:szCs w:val="18"/>
        </w:rPr>
        <w:t>-1 FTTR主设备典型配置表</w:t>
      </w:r>
    </w:p>
    <w:tbl>
      <w:tblPr>
        <w:tblStyle w:val="15"/>
        <w:tblW w:w="543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8"/>
        <w:gridCol w:w="1060"/>
        <w:gridCol w:w="1803"/>
        <w:gridCol w:w="18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68" w:type="dxa"/>
            <w:gridSpan w:val="2"/>
            <w:tcBorders>
              <w:top w:val="single" w:color="000000" w:sz="8" w:space="0"/>
              <w:left w:val="single" w:color="000000" w:sz="8" w:space="0"/>
              <w:bottom w:val="single" w:color="000000" w:sz="8" w:space="0"/>
              <w:right w:val="single" w:color="000000" w:sz="8" w:space="0"/>
            </w:tcBorders>
            <w:shd w:val="clear" w:color="auto" w:fill="F1F1F1"/>
            <w:vAlign w:val="top"/>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组网方式</w:t>
            </w:r>
          </w:p>
        </w:tc>
        <w:tc>
          <w:tcPr>
            <w:tcW w:w="1803" w:type="dxa"/>
            <w:tcBorders>
              <w:top w:val="single" w:color="000000" w:sz="8" w:space="0"/>
              <w:left w:val="single" w:color="000000" w:sz="8" w:space="0"/>
              <w:bottom w:val="single" w:color="000000" w:sz="8" w:space="0"/>
              <w:right w:val="single" w:color="000000" w:sz="8" w:space="0"/>
            </w:tcBorders>
            <w:shd w:val="clear" w:color="auto" w:fill="F1F1F1"/>
            <w:vAlign w:val="top"/>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P2MP</w:t>
            </w:r>
          </w:p>
        </w:tc>
        <w:tc>
          <w:tcPr>
            <w:tcW w:w="1867" w:type="dxa"/>
            <w:tcBorders>
              <w:top w:val="single" w:color="000000" w:sz="8" w:space="0"/>
              <w:left w:val="single" w:color="000000" w:sz="8" w:space="0"/>
              <w:bottom w:val="single" w:color="000000" w:sz="8" w:space="0"/>
              <w:right w:val="single" w:color="000000" w:sz="8" w:space="0"/>
            </w:tcBorders>
            <w:shd w:val="clear" w:color="auto" w:fill="F1F1F1"/>
            <w:vAlign w:val="top"/>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P2P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8" w:hRule="atLeast"/>
        </w:trPr>
        <w:tc>
          <w:tcPr>
            <w:tcW w:w="1768"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网络侧接口</w:t>
            </w:r>
          </w:p>
        </w:tc>
        <w:tc>
          <w:tcPr>
            <w:tcW w:w="180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1个，10G EPON（非对称）/10G EPON（对称）/XG（S）-PON</w:t>
            </w:r>
          </w:p>
        </w:tc>
        <w:tc>
          <w:tcPr>
            <w:tcW w:w="186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1个，10G EPON（非对称）/10G EPON（对称）/XG（S）-PON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用户侧接口</w:t>
            </w:r>
          </w:p>
        </w:tc>
        <w:tc>
          <w:tcPr>
            <w:tcW w:w="106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光口</w:t>
            </w:r>
          </w:p>
        </w:tc>
        <w:tc>
          <w:tcPr>
            <w:tcW w:w="180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1个GPON口</w:t>
            </w:r>
          </w:p>
        </w:tc>
        <w:tc>
          <w:tcPr>
            <w:tcW w:w="186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光口：3～4×GE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8"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pPr>
              <w:jc w:val="left"/>
              <w:rPr>
                <w:rFonts w:hint="eastAsia" w:ascii="宋体" w:hAnsi="宋体" w:eastAsia="宋体" w:cs="宋体"/>
                <w:i w:val="0"/>
                <w:iCs w:val="0"/>
                <w:color w:val="000000"/>
                <w:sz w:val="15"/>
                <w:szCs w:val="15"/>
                <w:u w:val="none"/>
              </w:rPr>
            </w:pPr>
          </w:p>
        </w:tc>
        <w:tc>
          <w:tcPr>
            <w:tcW w:w="106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电口</w:t>
            </w:r>
          </w:p>
        </w:tc>
        <w:tc>
          <w:tcPr>
            <w:tcW w:w="180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4×GE（宜包含1个2.5GE）</w:t>
            </w:r>
          </w:p>
        </w:tc>
        <w:tc>
          <w:tcPr>
            <w:tcW w:w="186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至少1×GE，建议2×GE及以上（宜包含1个2.5GE）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8"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pPr>
              <w:jc w:val="left"/>
              <w:rPr>
                <w:rFonts w:hint="eastAsia" w:ascii="宋体" w:hAnsi="宋体" w:eastAsia="宋体" w:cs="宋体"/>
                <w:i w:val="0"/>
                <w:iCs w:val="0"/>
                <w:color w:val="000000"/>
                <w:sz w:val="15"/>
                <w:szCs w:val="15"/>
                <w:u w:val="none"/>
              </w:rPr>
            </w:pPr>
          </w:p>
        </w:tc>
        <w:tc>
          <w:tcPr>
            <w:tcW w:w="106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POTS接口</w:t>
            </w:r>
          </w:p>
        </w:tc>
        <w:tc>
          <w:tcPr>
            <w:tcW w:w="180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1个</w:t>
            </w:r>
          </w:p>
        </w:tc>
        <w:tc>
          <w:tcPr>
            <w:tcW w:w="186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708"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5"/>
                <w:szCs w:val="15"/>
                <w:u w:val="none"/>
              </w:rPr>
            </w:pPr>
          </w:p>
        </w:tc>
        <w:tc>
          <w:tcPr>
            <w:tcW w:w="106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WLAN接口</w:t>
            </w:r>
          </w:p>
        </w:tc>
        <w:tc>
          <w:tcPr>
            <w:tcW w:w="180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Style w:val="32"/>
                <w:sz w:val="15"/>
                <w:szCs w:val="15"/>
                <w:lang w:val="en-US" w:eastAsia="zh-CN" w:bidi="ar"/>
              </w:rPr>
            </w:pPr>
            <w:r>
              <w:rPr>
                <w:rStyle w:val="32"/>
                <w:sz w:val="15"/>
                <w:szCs w:val="15"/>
                <w:lang w:val="en-US" w:eastAsia="zh-CN" w:bidi="ar"/>
              </w:rPr>
              <w:t>2.4GHz 802.11ax（2×2）+5GHz 802.11a</w:t>
            </w:r>
          </w:p>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×（2×2）及以上</w:t>
            </w:r>
          </w:p>
        </w:tc>
        <w:tc>
          <w:tcPr>
            <w:tcW w:w="186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2.4GHz 802.11ax（2×2）+5GHz 802.11ax（2×2）及以上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rPr>
                <w:rFonts w:hint="eastAsia" w:ascii="宋体" w:hAnsi="宋体" w:eastAsia="宋体" w:cs="宋体"/>
                <w:i w:val="0"/>
                <w:iCs w:val="0"/>
                <w:color w:val="000000"/>
                <w:sz w:val="15"/>
                <w:szCs w:val="15"/>
                <w:u w:val="none"/>
              </w:rPr>
            </w:pPr>
          </w:p>
        </w:tc>
        <w:tc>
          <w:tcPr>
            <w:tcW w:w="106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其它接口</w:t>
            </w:r>
          </w:p>
        </w:tc>
        <w:tc>
          <w:tcPr>
            <w:tcW w:w="180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1</w:t>
            </w:r>
            <w:r>
              <w:rPr>
                <w:rStyle w:val="33"/>
                <w:rFonts w:eastAsia="宋体"/>
                <w:sz w:val="15"/>
                <w:szCs w:val="15"/>
                <w:lang w:val="en-US" w:eastAsia="zh-CN" w:bidi="ar"/>
              </w:rPr>
              <w:t>~</w:t>
            </w:r>
            <w:r>
              <w:rPr>
                <w:rStyle w:val="32"/>
                <w:sz w:val="15"/>
                <w:szCs w:val="15"/>
                <w:lang w:val="en-US" w:eastAsia="zh-CN" w:bidi="ar"/>
              </w:rPr>
              <w:t>2个USB Host接口（宜支持USB3.0）</w:t>
            </w:r>
          </w:p>
        </w:tc>
        <w:tc>
          <w:tcPr>
            <w:tcW w:w="186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Style w:val="32"/>
                <w:sz w:val="15"/>
                <w:szCs w:val="15"/>
                <w:lang w:val="en-US" w:eastAsia="zh-CN" w:bidi="ar"/>
              </w:rPr>
              <w:t>1</w:t>
            </w:r>
            <w:r>
              <w:rPr>
                <w:rStyle w:val="33"/>
                <w:rFonts w:eastAsia="宋体"/>
                <w:sz w:val="15"/>
                <w:szCs w:val="15"/>
                <w:lang w:val="en-US" w:eastAsia="zh-CN" w:bidi="ar"/>
              </w:rPr>
              <w:t>~</w:t>
            </w:r>
            <w:r>
              <w:rPr>
                <w:rStyle w:val="32"/>
                <w:sz w:val="15"/>
                <w:szCs w:val="15"/>
                <w:lang w:val="en-US" w:eastAsia="zh-CN" w:bidi="ar"/>
              </w:rPr>
              <w:t>2个USB Host接口（宜支持USB3.0）</w:t>
            </w:r>
          </w:p>
        </w:tc>
      </w:tr>
    </w:tbl>
    <w:p>
      <w:pPr>
        <w:pStyle w:val="7"/>
        <w:rPr>
          <w:sz w:val="20"/>
        </w:rPr>
      </w:pPr>
    </w:p>
    <w:p>
      <w:pPr>
        <w:pStyle w:val="7"/>
        <w:spacing w:before="4"/>
      </w:pPr>
    </w:p>
    <w:p>
      <w:pPr>
        <w:pStyle w:val="7"/>
        <w:spacing w:before="4"/>
      </w:pPr>
    </w:p>
    <w:p>
      <w:pPr>
        <w:pStyle w:val="7"/>
        <w:spacing w:before="122"/>
        <w:ind w:right="14"/>
        <w:jc w:val="center"/>
        <w:rPr>
          <w:b/>
          <w:bCs/>
          <w:sz w:val="18"/>
          <w:szCs w:val="18"/>
        </w:rPr>
      </w:pPr>
      <w:r>
        <w:rPr>
          <w:b/>
          <w:bCs/>
          <w:sz w:val="18"/>
          <w:szCs w:val="18"/>
        </w:rPr>
        <w:t>表</w:t>
      </w:r>
      <w:r>
        <w:rPr>
          <w:rFonts w:hint="eastAsia"/>
          <w:b/>
          <w:bCs/>
          <w:sz w:val="18"/>
          <w:szCs w:val="18"/>
          <w:lang w:val="en-US" w:eastAsia="zh-CN"/>
        </w:rPr>
        <w:t>B</w:t>
      </w:r>
      <w:r>
        <w:rPr>
          <w:b/>
          <w:bCs/>
          <w:sz w:val="18"/>
          <w:szCs w:val="18"/>
        </w:rPr>
        <w:t>-2 FTTR从设备典型配置表</w:t>
      </w:r>
    </w:p>
    <w:tbl>
      <w:tblPr>
        <w:tblStyle w:val="15"/>
        <w:tblW w:w="545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1053"/>
        <w:gridCol w:w="2100"/>
        <w:gridCol w:w="16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741" w:type="dxa"/>
            <w:gridSpan w:val="2"/>
            <w:tcBorders>
              <w:top w:val="single" w:color="000000" w:sz="8" w:space="0"/>
              <w:left w:val="single" w:color="000000" w:sz="8" w:space="0"/>
              <w:bottom w:val="single" w:color="000000" w:sz="8" w:space="0"/>
              <w:right w:val="single" w:color="000000" w:sz="8" w:space="0"/>
            </w:tcBorders>
            <w:shd w:val="clear" w:color="auto" w:fill="F1F1F1"/>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组网方式</w:t>
            </w:r>
          </w:p>
        </w:tc>
        <w:tc>
          <w:tcPr>
            <w:tcW w:w="2100" w:type="dxa"/>
            <w:tcBorders>
              <w:top w:val="single" w:color="000000" w:sz="8" w:space="0"/>
              <w:left w:val="single" w:color="000000" w:sz="8" w:space="0"/>
              <w:bottom w:val="single" w:color="000000" w:sz="8" w:space="0"/>
              <w:right w:val="single" w:color="000000" w:sz="8" w:space="0"/>
            </w:tcBorders>
            <w:shd w:val="clear" w:color="auto" w:fill="F1F1F1"/>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P2MP</w:t>
            </w:r>
          </w:p>
        </w:tc>
        <w:tc>
          <w:tcPr>
            <w:tcW w:w="1617" w:type="dxa"/>
            <w:tcBorders>
              <w:top w:val="single" w:color="000000" w:sz="8" w:space="0"/>
              <w:left w:val="single" w:color="000000" w:sz="8" w:space="0"/>
              <w:bottom w:val="single" w:color="000000" w:sz="8" w:space="0"/>
              <w:right w:val="single" w:color="000000" w:sz="8" w:space="0"/>
            </w:tcBorders>
            <w:shd w:val="clear" w:color="auto" w:fill="F1F1F1"/>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P2P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1741"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网络侧接口</w:t>
            </w:r>
          </w:p>
        </w:tc>
        <w:tc>
          <w:tcPr>
            <w:tcW w:w="210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1×GPON口（宜XG(S)-PON口）</w:t>
            </w:r>
          </w:p>
        </w:tc>
        <w:tc>
          <w:tcPr>
            <w:tcW w:w="161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1×GE（光）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68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用户侧接口</w:t>
            </w:r>
          </w:p>
        </w:tc>
        <w:tc>
          <w:tcPr>
            <w:tcW w:w="105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以太网接口</w:t>
            </w:r>
          </w:p>
        </w:tc>
        <w:tc>
          <w:tcPr>
            <w:tcW w:w="210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电口：2～4个GE口</w:t>
            </w:r>
          </w:p>
        </w:tc>
        <w:tc>
          <w:tcPr>
            <w:tcW w:w="161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电口：2～4个GE口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68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p>
        </w:tc>
        <w:tc>
          <w:tcPr>
            <w:tcW w:w="105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WLAN接口</w:t>
            </w:r>
          </w:p>
        </w:tc>
        <w:tc>
          <w:tcPr>
            <w:tcW w:w="210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2.4GHz 802.11ax（2×2）+5GHz 802.11ax</w:t>
            </w:r>
          </w:p>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（2×2）及以上</w:t>
            </w:r>
          </w:p>
        </w:tc>
        <w:tc>
          <w:tcPr>
            <w:tcW w:w="161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2.4GHz 802.11ax（2×2）+5GHz 802.11ax</w:t>
            </w:r>
          </w:p>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（2×2）及以上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68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105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其它接口</w:t>
            </w:r>
          </w:p>
        </w:tc>
        <w:tc>
          <w:tcPr>
            <w:tcW w:w="210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可选支持USB Host</w:t>
            </w:r>
          </w:p>
        </w:tc>
        <w:tc>
          <w:tcPr>
            <w:tcW w:w="161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可选支持USB Host</w:t>
            </w:r>
          </w:p>
        </w:tc>
      </w:tr>
    </w:tbl>
    <w:p>
      <w:pPr>
        <w:pStyle w:val="7"/>
        <w:spacing w:before="10"/>
        <w:rPr>
          <w:sz w:val="11"/>
        </w:rPr>
      </w:pPr>
    </w:p>
    <w:p>
      <w:pPr>
        <w:jc w:val="center"/>
        <w:rPr>
          <w:rFonts w:ascii="宋体" w:hAnsi="宋体" w:eastAsia="宋体" w:cs="仿宋"/>
          <w:color w:val="000000" w:themeColor="text1"/>
          <w:sz w:val="15"/>
          <w:szCs w:val="15"/>
          <w14:textFill>
            <w14:solidFill>
              <w14:schemeClr w14:val="tx1"/>
            </w14:solidFill>
          </w14:textFill>
        </w:rPr>
      </w:pPr>
    </w:p>
    <w:p>
      <w:pPr>
        <w:rPr>
          <w:rFonts w:ascii="宋体" w:hAnsi="宋体" w:eastAsia="宋体" w:cs="宋体"/>
          <w:bCs/>
          <w:color w:val="000000" w:themeColor="text1"/>
          <w:sz w:val="30"/>
          <w:szCs w:val="30"/>
          <w14:textFill>
            <w14:solidFill>
              <w14:schemeClr w14:val="tx1"/>
            </w14:solidFill>
          </w14:textFill>
        </w:rPr>
      </w:pPr>
    </w:p>
    <w:p>
      <w:pPr>
        <w:rPr>
          <w:rFonts w:ascii="宋体" w:hAnsi="宋体" w:eastAsia="宋体" w:cs="宋体"/>
          <w:bCs/>
          <w:color w:val="000000" w:themeColor="text1"/>
          <w:sz w:val="30"/>
          <w:szCs w:val="30"/>
          <w14:textFill>
            <w14:solidFill>
              <w14:schemeClr w14:val="tx1"/>
            </w14:solidFill>
          </w14:textFill>
        </w:rPr>
      </w:pPr>
    </w:p>
    <w:p>
      <w:pPr>
        <w:rPr>
          <w:rFonts w:ascii="宋体" w:hAnsi="宋体" w:eastAsia="宋体" w:cs="宋体"/>
          <w:bCs/>
          <w:color w:val="000000" w:themeColor="text1"/>
          <w:sz w:val="30"/>
          <w:szCs w:val="30"/>
          <w14:textFill>
            <w14:solidFill>
              <w14:schemeClr w14:val="tx1"/>
            </w14:solidFill>
          </w14:textFill>
        </w:rPr>
      </w:pPr>
    </w:p>
    <w:p>
      <w:pPr>
        <w:pStyle w:val="3"/>
        <w:spacing w:line="240" w:lineRule="auto"/>
        <w:jc w:val="center"/>
        <w:rPr>
          <w:rFonts w:ascii="宋体" w:hAnsi="宋体" w:eastAsia="宋体" w:cs="宋体"/>
          <w:b w:val="0"/>
          <w:bCs/>
          <w:color w:val="auto"/>
          <w:sz w:val="30"/>
          <w:szCs w:val="30"/>
          <w:highlight w:val="none"/>
        </w:rPr>
      </w:pPr>
      <w:bookmarkStart w:id="42" w:name="_Toc29555"/>
      <w:r>
        <w:rPr>
          <w:rFonts w:hint="eastAsia" w:ascii="宋体" w:hAnsi="宋体" w:eastAsia="宋体" w:cs="宋体"/>
          <w:b w:val="0"/>
          <w:bCs/>
          <w:color w:val="000000" w:themeColor="text1"/>
          <w:sz w:val="30"/>
          <w:szCs w:val="30"/>
          <w14:textFill>
            <w14:solidFill>
              <w14:schemeClr w14:val="tx1"/>
            </w14:solidFill>
          </w14:textFill>
        </w:rPr>
        <w:t>附录C Wi-Fi信</w:t>
      </w:r>
      <w:r>
        <w:rPr>
          <w:rFonts w:hint="eastAsia" w:ascii="宋体" w:hAnsi="宋体" w:eastAsia="宋体" w:cs="宋体"/>
          <w:b w:val="0"/>
          <w:bCs/>
          <w:color w:val="auto"/>
          <w:sz w:val="30"/>
          <w:szCs w:val="30"/>
          <w:highlight w:val="none"/>
        </w:rPr>
        <w:t>号覆盖强度参考表</w:t>
      </w:r>
      <w:bookmarkEnd w:id="42"/>
    </w:p>
    <w:p>
      <w:pPr>
        <w:autoSpaceDE w:val="0"/>
        <w:autoSpaceDN w:val="0"/>
        <w:jc w:val="left"/>
        <w:rPr>
          <w:rFonts w:ascii="宋体" w:hAnsi="宋体" w:eastAsia="宋体" w:cs="宋体"/>
          <w:color w:val="auto"/>
          <w:sz w:val="20"/>
          <w:szCs w:val="21"/>
          <w:highlight w:val="none"/>
        </w:rPr>
      </w:pPr>
      <w:r>
        <w:rPr>
          <w:rFonts w:ascii="宋体" w:hAnsi="宋体" w:eastAsia="宋体" w:cs="宋体"/>
          <w:color w:val="auto"/>
          <w:szCs w:val="21"/>
          <w:highlight w:val="none"/>
        </w:rPr>
        <w:t>Wi-Fi信号强度应满足居住建筑和公共建筑内部的覆盖范围，具体参考指标如表</w:t>
      </w:r>
      <w:r>
        <w:rPr>
          <w:rFonts w:hint="eastAsia" w:ascii="宋体" w:hAnsi="宋体" w:eastAsia="宋体" w:cs="宋体"/>
          <w:color w:val="auto"/>
          <w:szCs w:val="21"/>
          <w:highlight w:val="none"/>
        </w:rPr>
        <w:t>C</w:t>
      </w:r>
      <w:r>
        <w:rPr>
          <w:rFonts w:ascii="宋体" w:hAnsi="宋体" w:eastAsia="宋体" w:cs="宋体"/>
          <w:color w:val="auto"/>
          <w:szCs w:val="21"/>
          <w:highlight w:val="none"/>
        </w:rPr>
        <w:t>-1所示。</w:t>
      </w:r>
    </w:p>
    <w:p>
      <w:pPr>
        <w:autoSpaceDE w:val="0"/>
        <w:autoSpaceDN w:val="0"/>
        <w:ind w:left="410" w:right="7"/>
        <w:jc w:val="center"/>
        <w:rPr>
          <w:rFonts w:ascii="宋体" w:hAnsi="宋体" w:eastAsia="宋体" w:cs="宋体"/>
          <w:b/>
          <w:bCs/>
          <w:color w:val="auto"/>
          <w:sz w:val="18"/>
          <w:szCs w:val="18"/>
          <w:highlight w:val="none"/>
        </w:rPr>
      </w:pPr>
      <w:r>
        <w:rPr>
          <w:rFonts w:ascii="宋体" w:hAnsi="宋体" w:eastAsia="宋体" w:cs="宋体"/>
          <w:b/>
          <w:bCs/>
          <w:color w:val="auto"/>
          <w:sz w:val="18"/>
          <w:szCs w:val="18"/>
          <w:highlight w:val="none"/>
        </w:rPr>
        <w:t>表</w:t>
      </w:r>
      <w:r>
        <w:rPr>
          <w:rFonts w:hint="eastAsia" w:ascii="宋体" w:hAnsi="宋体" w:eastAsia="宋体" w:cs="宋体"/>
          <w:b/>
          <w:bCs/>
          <w:color w:val="auto"/>
          <w:sz w:val="18"/>
          <w:szCs w:val="18"/>
          <w:highlight w:val="none"/>
        </w:rPr>
        <w:t>C</w:t>
      </w:r>
      <w:r>
        <w:rPr>
          <w:rFonts w:ascii="宋体" w:hAnsi="宋体" w:eastAsia="宋体" w:cs="宋体"/>
          <w:b/>
          <w:bCs/>
          <w:color w:val="auto"/>
          <w:sz w:val="18"/>
          <w:szCs w:val="18"/>
          <w:highlight w:val="none"/>
        </w:rPr>
        <w:t>-1</w:t>
      </w:r>
      <w:r>
        <w:rPr>
          <w:rFonts w:ascii="宋体" w:hAnsi="宋体" w:eastAsia="宋体" w:cs="宋体"/>
          <w:b/>
          <w:bCs/>
          <w:color w:val="auto"/>
          <w:spacing w:val="103"/>
          <w:sz w:val="18"/>
          <w:szCs w:val="18"/>
          <w:highlight w:val="none"/>
        </w:rPr>
        <w:t xml:space="preserve"> </w:t>
      </w:r>
      <w:r>
        <w:rPr>
          <w:rFonts w:ascii="宋体" w:hAnsi="宋体" w:eastAsia="宋体" w:cs="宋体"/>
          <w:b/>
          <w:bCs/>
          <w:color w:val="auto"/>
          <w:sz w:val="18"/>
          <w:szCs w:val="18"/>
          <w:highlight w:val="none"/>
        </w:rPr>
        <w:t>Wi-Fi信号强度的覆盖范围参考指标</w:t>
      </w:r>
    </w:p>
    <w:tbl>
      <w:tblPr>
        <w:tblStyle w:val="15"/>
        <w:tblW w:w="435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9"/>
        <w:gridCol w:w="2027"/>
        <w:gridCol w:w="14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频段（Hz）</w:t>
            </w: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覆盖范围</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信号强度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restar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2.4G（2×2）</w:t>
            </w: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10米无间隔</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continue"/>
            <w:vAlign w:val="center"/>
          </w:tcPr>
          <w:p>
            <w:pPr>
              <w:widowControl/>
              <w:jc w:val="left"/>
              <w:rPr>
                <w:rFonts w:ascii="宋体" w:hAnsi="宋体" w:eastAsia="宋体" w:cs="宋体"/>
                <w:color w:val="auto"/>
                <w:kern w:val="0"/>
                <w:sz w:val="15"/>
                <w:szCs w:val="15"/>
                <w:highlight w:val="none"/>
              </w:rPr>
            </w:pP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5米隔一堵墙</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continue"/>
            <w:vAlign w:val="center"/>
          </w:tcPr>
          <w:p>
            <w:pPr>
              <w:widowControl/>
              <w:jc w:val="left"/>
              <w:rPr>
                <w:rFonts w:ascii="宋体" w:hAnsi="宋体" w:eastAsia="宋体" w:cs="宋体"/>
                <w:color w:val="auto"/>
                <w:kern w:val="0"/>
                <w:sz w:val="15"/>
                <w:szCs w:val="15"/>
                <w:highlight w:val="none"/>
              </w:rPr>
            </w:pP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8米隔两堵墙</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restar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2.4G（4×4）</w:t>
            </w: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10米无间隔</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continue"/>
            <w:shd w:val="clear" w:color="auto" w:fill="auto"/>
            <w:vAlign w:val="center"/>
          </w:tcPr>
          <w:p>
            <w:pPr>
              <w:widowControl/>
              <w:jc w:val="left"/>
              <w:rPr>
                <w:rFonts w:ascii="宋体" w:hAnsi="宋体" w:eastAsia="宋体" w:cs="宋体"/>
                <w:color w:val="auto"/>
                <w:kern w:val="0"/>
                <w:sz w:val="15"/>
                <w:szCs w:val="15"/>
                <w:highlight w:val="none"/>
              </w:rPr>
            </w:pP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5米隔一堵墙</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continue"/>
            <w:shd w:val="clear" w:color="auto" w:fill="auto"/>
            <w:vAlign w:val="center"/>
          </w:tcPr>
          <w:p>
            <w:pPr>
              <w:widowControl/>
              <w:jc w:val="left"/>
              <w:rPr>
                <w:rFonts w:ascii="宋体" w:hAnsi="宋体" w:eastAsia="宋体" w:cs="宋体"/>
                <w:color w:val="auto"/>
                <w:kern w:val="0"/>
                <w:sz w:val="15"/>
                <w:szCs w:val="15"/>
                <w:highlight w:val="none"/>
              </w:rPr>
            </w:pP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8米隔两堵墙</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restar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5G（2×2）</w:t>
            </w: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5米无间隔</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continue"/>
            <w:vAlign w:val="center"/>
          </w:tcPr>
          <w:p>
            <w:pPr>
              <w:widowControl/>
              <w:jc w:val="left"/>
              <w:rPr>
                <w:rFonts w:ascii="宋体" w:hAnsi="宋体" w:eastAsia="宋体" w:cs="宋体"/>
                <w:color w:val="auto"/>
                <w:kern w:val="0"/>
                <w:sz w:val="15"/>
                <w:szCs w:val="15"/>
                <w:highlight w:val="none"/>
              </w:rPr>
            </w:pP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5米隔一堵墙</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1359" w:type="pct"/>
            <w:vMerge w:val="restar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5G（4×4）</w:t>
            </w: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5米无间隔</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-40dBm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359" w:type="pct"/>
            <w:vMerge w:val="continue"/>
            <w:shd w:val="clear" w:color="auto" w:fill="auto"/>
            <w:vAlign w:val="center"/>
          </w:tcPr>
          <w:p>
            <w:pPr>
              <w:widowControl/>
              <w:jc w:val="left"/>
              <w:rPr>
                <w:rFonts w:ascii="宋体" w:hAnsi="宋体" w:eastAsia="宋体" w:cs="宋体"/>
                <w:color w:val="auto"/>
                <w:kern w:val="0"/>
                <w:sz w:val="15"/>
                <w:szCs w:val="15"/>
                <w:highlight w:val="none"/>
              </w:rPr>
            </w:pPr>
          </w:p>
        </w:tc>
        <w:tc>
          <w:tcPr>
            <w:tcW w:w="2104"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5米隔一堵墙</w:t>
            </w:r>
          </w:p>
        </w:tc>
        <w:tc>
          <w:tcPr>
            <w:tcW w:w="1537" w:type="pct"/>
            <w:shd w:val="clear" w:color="auto" w:fill="auto"/>
            <w:vAlign w:val="center"/>
          </w:tcPr>
          <w:p>
            <w:pPr>
              <w:widowControl/>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-50dBm</w:t>
            </w:r>
          </w:p>
        </w:tc>
      </w:tr>
    </w:tbl>
    <w:p>
      <w:pPr>
        <w:autoSpaceDE w:val="0"/>
        <w:autoSpaceDN w:val="0"/>
        <w:ind w:left="410" w:right="7"/>
        <w:jc w:val="center"/>
        <w:rPr>
          <w:rFonts w:ascii="宋体" w:hAnsi="宋体" w:eastAsia="宋体" w:cs="宋体"/>
          <w:szCs w:val="21"/>
        </w:rPr>
      </w:pPr>
    </w:p>
    <w:p>
      <w:pPr>
        <w:autoSpaceDE w:val="0"/>
        <w:autoSpaceDN w:val="0"/>
        <w:ind w:left="410" w:right="7"/>
        <w:jc w:val="center"/>
        <w:rPr>
          <w:rFonts w:ascii="宋体" w:hAnsi="宋体" w:eastAsia="宋体" w:cs="宋体"/>
          <w:szCs w:val="21"/>
        </w:rPr>
      </w:pPr>
    </w:p>
    <w:p>
      <w:pPr>
        <w:rPr>
          <w:rFonts w:asciiTheme="minorEastAsia" w:hAnsiTheme="minorEastAsia" w:cstheme="minorEastAsia"/>
          <w:bCs/>
          <w:color w:val="000000" w:themeColor="text1"/>
          <w:sz w:val="18"/>
          <w:szCs w:val="18"/>
          <w14:textFill>
            <w14:solidFill>
              <w14:schemeClr w14:val="tx1"/>
            </w14:solidFill>
          </w14:textFill>
        </w:rPr>
      </w:pPr>
    </w:p>
    <w:p>
      <w:pPr>
        <w:rPr>
          <w:rFonts w:asciiTheme="minorEastAsia" w:hAnsiTheme="minorEastAsia" w:cstheme="minorEastAsia"/>
          <w:bCs/>
          <w:color w:val="000000" w:themeColor="text1"/>
          <w:sz w:val="18"/>
          <w:szCs w:val="18"/>
          <w14:textFill>
            <w14:solidFill>
              <w14:schemeClr w14:val="tx1"/>
            </w14:solidFill>
          </w14:textFill>
        </w:rPr>
      </w:pPr>
    </w:p>
    <w:p>
      <w:pPr>
        <w:rPr>
          <w:rFonts w:asciiTheme="minorEastAsia" w:hAnsiTheme="minorEastAsia" w:cstheme="minorEastAsia"/>
          <w:bCs/>
          <w:color w:val="000000" w:themeColor="text1"/>
          <w:sz w:val="18"/>
          <w:szCs w:val="18"/>
          <w14:textFill>
            <w14:solidFill>
              <w14:schemeClr w14:val="tx1"/>
            </w14:solidFill>
          </w14:textFill>
        </w:rPr>
      </w:pPr>
    </w:p>
    <w:p>
      <w:pPr>
        <w:rPr>
          <w:rFonts w:asciiTheme="minorEastAsia" w:hAnsiTheme="minorEastAsia" w:cstheme="minorEastAsia"/>
          <w:bCs/>
          <w:color w:val="000000" w:themeColor="text1"/>
          <w:sz w:val="18"/>
          <w:szCs w:val="18"/>
          <w14:textFill>
            <w14:solidFill>
              <w14:schemeClr w14:val="tx1"/>
            </w14:solidFill>
          </w14:textFill>
        </w:rPr>
      </w:pPr>
    </w:p>
    <w:p>
      <w:pPr>
        <w:pStyle w:val="3"/>
        <w:spacing w:line="240" w:lineRule="auto"/>
        <w:jc w:val="center"/>
        <w:rPr>
          <w:rFonts w:hint="default" w:ascii="宋体" w:hAnsi="宋体" w:eastAsia="宋体" w:cs="宋体"/>
          <w:b w:val="0"/>
          <w:bCs/>
          <w:color w:val="000000" w:themeColor="text1"/>
          <w:sz w:val="30"/>
          <w:szCs w:val="30"/>
          <w:lang w:val="en-US"/>
          <w14:textFill>
            <w14:solidFill>
              <w14:schemeClr w14:val="tx1"/>
            </w14:solidFill>
          </w14:textFill>
        </w:rPr>
      </w:pPr>
      <w:bookmarkStart w:id="43" w:name="_Toc27816"/>
      <w:r>
        <w:rPr>
          <w:rFonts w:hint="eastAsia" w:ascii="宋体" w:hAnsi="宋体" w:eastAsia="宋体" w:cs="宋体"/>
          <w:b w:val="0"/>
          <w:bCs/>
          <w:color w:val="000000" w:themeColor="text1"/>
          <w:sz w:val="30"/>
          <w:szCs w:val="30"/>
          <w14:textFill>
            <w14:solidFill>
              <w14:schemeClr w14:val="tx1"/>
            </w14:solidFill>
          </w14:textFill>
        </w:rPr>
        <w:t>附录D 线缆敷设施工</w:t>
      </w:r>
      <w:r>
        <w:rPr>
          <w:rFonts w:hint="eastAsia" w:ascii="宋体" w:hAnsi="宋体" w:eastAsia="宋体" w:cs="宋体"/>
          <w:b w:val="0"/>
          <w:bCs/>
          <w:color w:val="000000" w:themeColor="text1"/>
          <w:sz w:val="30"/>
          <w:szCs w:val="30"/>
          <w:lang w:val="en-US" w:eastAsia="zh-CN"/>
          <w14:textFill>
            <w14:solidFill>
              <w14:schemeClr w14:val="tx1"/>
            </w14:solidFill>
          </w14:textFill>
        </w:rPr>
        <w:t>操作流程</w:t>
      </w:r>
      <w:bookmarkEnd w:id="43"/>
    </w:p>
    <w:p>
      <w:pPr>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D.1 施工指导</w:t>
      </w:r>
    </w:p>
    <w:p>
      <w:pPr>
        <w:ind w:firstLine="360" w:firstLine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住宅布线施工界面主要涉及从家居信息箱至各房间信息插座之间的线缆布线作业。从施工方式上可大致分为暗敷设和明敷设两种方式。</w:t>
      </w:r>
    </w:p>
    <w:p>
      <w:pPr>
        <w:ind w:firstLine="360" w:firstLine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住宅套内新装修时，布线通常采用暗敷设施工方式,线缆线路导管的设计宜与住宅套内其他设施的暗管线路整体布局相结合;住宅套内已装修需要进行布线时，可视情况采用暗敷设或明敷设方式，当没有可用暗管时，可采用明敷设方式。</w:t>
      </w:r>
    </w:p>
    <w:p>
      <w:pPr>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w:t>
      </w:r>
      <w:r>
        <w:rPr>
          <w:rFonts w:ascii="宋体" w:hAnsi="宋体" w:eastAsia="宋体" w:cs="仿宋"/>
          <w:b/>
          <w:bCs/>
          <w:color w:val="000000" w:themeColor="text1"/>
          <w:sz w:val="18"/>
          <w:szCs w:val="18"/>
          <w14:textFill>
            <w14:solidFill>
              <w14:schemeClr w14:val="tx1"/>
            </w14:solidFill>
          </w14:textFill>
        </w:rPr>
        <w:t>.2 暗敷设施工</w:t>
      </w:r>
    </w:p>
    <w:p>
      <w:pPr>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w:t>
      </w:r>
      <w:r>
        <w:rPr>
          <w:rFonts w:ascii="宋体" w:hAnsi="宋体" w:eastAsia="宋体" w:cs="仿宋"/>
          <w:b/>
          <w:bCs/>
          <w:color w:val="000000" w:themeColor="text1"/>
          <w:sz w:val="18"/>
          <w:szCs w:val="18"/>
          <w14:textFill>
            <w14:solidFill>
              <w14:schemeClr w14:val="tx1"/>
            </w14:solidFill>
          </w14:textFill>
        </w:rPr>
        <w:t>.2.1 方式一:利用原有线缆牵引安装</w:t>
      </w:r>
    </w:p>
    <w:p>
      <w:pPr>
        <w:ind w:firstLine="360" w:firstLine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在施工前，与住宅用户协商确认可抽出的线缆，例如电话线、对称电缆或同轴电缆等，施工时可参考以下操作步骤。</w:t>
      </w:r>
    </w:p>
    <w:p>
      <w:pPr>
        <w:ind w:left="360" w:hanging="360" w:hanging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宜采取布线润滑剂等措施，确保布放时的线缆拉力不超过其允许值。</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利用原有的并可抽动的线缆或预埋绳。</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将线缆头部或者微型连接器通过牵引绳绑定。</w:t>
      </w:r>
    </w:p>
    <w:p>
      <w:pPr>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从另一端反向拉出，成功部署线缆在导管内。</w:t>
      </w:r>
    </w:p>
    <w:p>
      <w:pPr>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w:t>
      </w:r>
      <w:r>
        <w:rPr>
          <w:rFonts w:ascii="宋体" w:hAnsi="宋体" w:eastAsia="宋体" w:cs="仿宋"/>
          <w:b/>
          <w:bCs/>
          <w:color w:val="000000" w:themeColor="text1"/>
          <w:sz w:val="18"/>
          <w:szCs w:val="18"/>
          <w14:textFill>
            <w14:solidFill>
              <w14:schemeClr w14:val="tx1"/>
            </w14:solidFill>
          </w14:textFill>
        </w:rPr>
        <w:t>.2.2 方式二:橄榄头弹簧穿管器</w:t>
      </w:r>
    </w:p>
    <w:p>
      <w:pPr>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橄榄头弹簧穿管器施工方式可参考以下操作步骤。</w:t>
      </w:r>
    </w:p>
    <w:p>
      <w:pPr>
        <w:ind w:left="360" w:hanging="360" w:hanging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宜采取布线润滑剂等措施，确保布放时的线缆拉力不超过其允许值。</w:t>
      </w:r>
    </w:p>
    <w:p>
      <w:pPr>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使用橄榄头弹簧穿管器穿管，直到穿通导管。</w:t>
      </w:r>
    </w:p>
    <w:p>
      <w:pPr>
        <w:ind w:left="360" w:hanging="360" w:hanging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剪一段约50cm的牵引绳，将穿管器的头部和牵引绳一端缠绕固定，将线缆头部或者微型连接器与牵引绳另一端固定。匀速抽出穿管器，将线缆引出管孔，完成穿管，</w:t>
      </w:r>
    </w:p>
    <w:p>
      <w:pPr>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w:t>
      </w:r>
      <w:r>
        <w:rPr>
          <w:rFonts w:ascii="宋体" w:hAnsi="宋体" w:eastAsia="宋体" w:cs="仿宋"/>
          <w:b/>
          <w:bCs/>
          <w:color w:val="000000" w:themeColor="text1"/>
          <w:sz w:val="18"/>
          <w:szCs w:val="18"/>
          <w14:textFill>
            <w14:solidFill>
              <w14:schemeClr w14:val="tx1"/>
            </w14:solidFill>
          </w14:textFill>
        </w:rPr>
        <w:t>.3 明敷设施工</w:t>
      </w:r>
    </w:p>
    <w:p>
      <w:pPr>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w:t>
      </w:r>
      <w:r>
        <w:rPr>
          <w:rFonts w:ascii="宋体" w:hAnsi="宋体" w:eastAsia="宋体" w:cs="仿宋"/>
          <w:b/>
          <w:bCs/>
          <w:color w:val="000000" w:themeColor="text1"/>
          <w:sz w:val="18"/>
          <w:szCs w:val="18"/>
          <w14:textFill>
            <w14:solidFill>
              <w14:schemeClr w14:val="tx1"/>
            </w14:solidFill>
          </w14:textFill>
        </w:rPr>
        <w:t>.3.1 方式一:PVC透明防水贴施工(仅适用于光纤布线)</w:t>
      </w:r>
    </w:p>
    <w:p>
      <w:pPr>
        <w:ind w:firstLine="360" w:firstLine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当选择PVC透明防水贴施工时，宜采用双折防水贴、隐形光缆和双面胶，可参考以下操作步骤进行施工。</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测量并选择合适长度的隐形光缆。</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规划路由，标注落定位置和弯曲参考线。</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擦拭墙面和踢脚线，确保无水渍和灰尘。</w:t>
      </w:r>
    </w:p>
    <w:p>
      <w:pPr>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沿规划路线铺设双面胶。</w:t>
      </w:r>
    </w:p>
    <w:p>
      <w:pPr>
        <w:ind w:left="360" w:hanging="360" w:hanging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一边撕开双面胶，一边将隐形光缆较宽的一面粘贴到双面胶正中间。</w:t>
      </w:r>
    </w:p>
    <w:p>
      <w:pPr>
        <w:ind w:left="360" w:hanging="360" w:hanging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撕开PVC防水贴，然后将防水贴覆盖粘贴到隐形光缆上。</w:t>
      </w:r>
    </w:p>
    <w:p>
      <w:pPr>
        <w:ind w:left="360" w:hanging="360" w:hanging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光缆固定后，尽量挤压排出透明防水贴与墙(踢脚线)之间的空气，使其黏合</w:t>
      </w:r>
      <w:r>
        <w:rPr>
          <w:rFonts w:hint="eastAsia" w:ascii="宋体" w:hAnsi="宋体" w:eastAsia="宋体" w:cs="仿宋"/>
          <w:color w:val="000000" w:themeColor="text1"/>
          <w:sz w:val="18"/>
          <w:szCs w:val="18"/>
          <w14:textFill>
            <w14:solidFill>
              <w14:schemeClr w14:val="tx1"/>
            </w14:solidFill>
          </w14:textFill>
        </w:rPr>
        <w:t>紧</w:t>
      </w:r>
      <w:r>
        <w:rPr>
          <w:rFonts w:ascii="宋体" w:hAnsi="宋体" w:eastAsia="宋体" w:cs="仿宋"/>
          <w:color w:val="000000" w:themeColor="text1"/>
          <w:sz w:val="18"/>
          <w:szCs w:val="18"/>
          <w14:textFill>
            <w14:solidFill>
              <w14:schemeClr w14:val="tx1"/>
            </w14:solidFill>
          </w14:textFill>
        </w:rPr>
        <w:t>密</w:t>
      </w:r>
      <w:r>
        <w:rPr>
          <w:rFonts w:hint="eastAsia" w:ascii="宋体" w:hAnsi="宋体" w:eastAsia="宋体" w:cs="仿宋"/>
          <w:color w:val="000000" w:themeColor="text1"/>
          <w:sz w:val="18"/>
          <w:szCs w:val="18"/>
          <w14:textFill>
            <w14:solidFill>
              <w14:schemeClr w14:val="tx1"/>
            </w14:solidFill>
          </w14:textFill>
        </w:rPr>
        <w:t>。</w:t>
      </w:r>
    </w:p>
    <w:p>
      <w:pPr>
        <w:ind w:left="361" w:hanging="361" w:hangingChars="20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w:t>
      </w:r>
      <w:r>
        <w:rPr>
          <w:rFonts w:ascii="宋体" w:hAnsi="宋体" w:eastAsia="宋体" w:cs="仿宋"/>
          <w:b/>
          <w:bCs/>
          <w:color w:val="000000" w:themeColor="text1"/>
          <w:sz w:val="18"/>
          <w:szCs w:val="18"/>
          <w14:textFill>
            <w14:solidFill>
              <w14:schemeClr w14:val="tx1"/>
            </w14:solidFill>
          </w14:textFill>
        </w:rPr>
        <w:t>.3.2 方式二:自带热熔胶(外配冷凝胶或外配热熔胶棒)隐形光缆(仅适用于光纤布线)</w:t>
      </w:r>
    </w:p>
    <w:p>
      <w:pPr>
        <w:ind w:firstLine="360" w:firstLine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在不破坏住宅用户原有装修布局的情况下,可采用隐形光缆进行室内布线。隐形光缆可通过热烙胶枪、手持加热工具或冷凝胶粘贴在室内墙体表面(例如，门框、踢脚线等位置)，完成敷设。宣在易段落的光缆外层，再粘贴一层透明防水贴，以加强防护，延长隐形光缆的使用寿命。</w:t>
      </w:r>
    </w:p>
    <w:p>
      <w:pPr>
        <w:ind w:left="361" w:hanging="361" w:hangingChars="200"/>
        <w:rPr>
          <w:rFonts w:ascii="宋体" w:hAnsi="宋体" w:eastAsia="宋体" w:cs="仿宋"/>
          <w:b/>
          <w:bCs/>
          <w:color w:val="000000" w:themeColor="text1"/>
          <w:sz w:val="18"/>
          <w:szCs w:val="18"/>
          <w14:textFill>
            <w14:solidFill>
              <w14:schemeClr w14:val="tx1"/>
            </w14:solidFill>
          </w14:textFill>
        </w:rPr>
      </w:pPr>
      <w:r>
        <w:rPr>
          <w:rFonts w:hint="eastAsia" w:ascii="宋体" w:hAnsi="宋体" w:eastAsia="宋体" w:cs="仿宋"/>
          <w:b/>
          <w:bCs/>
          <w:color w:val="000000" w:themeColor="text1"/>
          <w:sz w:val="18"/>
          <w:szCs w:val="18"/>
          <w14:textFill>
            <w14:solidFill>
              <w14:schemeClr w14:val="tx1"/>
            </w14:solidFill>
          </w14:textFill>
        </w:rPr>
        <w:t>D</w:t>
      </w:r>
      <w:r>
        <w:rPr>
          <w:rFonts w:ascii="宋体" w:hAnsi="宋体" w:eastAsia="宋体" w:cs="仿宋"/>
          <w:b/>
          <w:bCs/>
          <w:color w:val="000000" w:themeColor="text1"/>
          <w:sz w:val="18"/>
          <w:szCs w:val="18"/>
          <w14:textFill>
            <w14:solidFill>
              <w14:schemeClr w14:val="tx1"/>
            </w14:solidFill>
          </w14:textFill>
        </w:rPr>
        <w:t>.3.3 方式三:户内明槽盒方式(通常适用于对称电缆布线)</w:t>
      </w:r>
    </w:p>
    <w:p>
      <w:pPr>
        <w:ind w:firstLine="360" w:firstLineChars="20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户内明槽盒方式主要适用于在无旧暗管可利用的情况下,注重户内线缆防护,可接受槽盒对装修布局影响的住宅场景。</w:t>
      </w:r>
    </w:p>
    <w:p>
      <w:pPr>
        <w:ind w:left="357" w:leftChars="17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明槽盒安装方式主要有两种，采用双面胶粘贴方式和螺钉固定</w:t>
      </w:r>
    </w:p>
    <w:p>
      <w:pPr>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方式，如图</w:t>
      </w:r>
      <w:r>
        <w:rPr>
          <w:rFonts w:hint="eastAsia" w:ascii="宋体" w:hAnsi="宋体" w:eastAsia="宋体" w:cs="仿宋"/>
          <w:color w:val="000000" w:themeColor="text1"/>
          <w:sz w:val="18"/>
          <w:szCs w:val="18"/>
          <w14:textFill>
            <w14:solidFill>
              <w14:schemeClr w14:val="tx1"/>
            </w14:solidFill>
          </w14:textFill>
        </w:rPr>
        <w:t>D</w:t>
      </w:r>
      <w:r>
        <w:rPr>
          <w:rFonts w:hint="eastAsia" w:ascii="宋体" w:hAnsi="宋体" w:eastAsia="宋体" w:cs="仿宋"/>
          <w:color w:val="000000" w:themeColor="text1"/>
          <w:sz w:val="18"/>
          <w:szCs w:val="18"/>
          <w:lang w:val="en-US" w:eastAsia="zh-CN"/>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1和图</w:t>
      </w:r>
      <w:r>
        <w:rPr>
          <w:rFonts w:hint="eastAsia" w:ascii="宋体" w:hAnsi="宋体" w:eastAsia="宋体" w:cs="仿宋"/>
          <w:color w:val="000000" w:themeColor="text1"/>
          <w:sz w:val="18"/>
          <w:szCs w:val="18"/>
          <w14:textFill>
            <w14:solidFill>
              <w14:schemeClr w14:val="tx1"/>
            </w14:solidFill>
          </w14:textFill>
        </w:rPr>
        <w:t>D</w:t>
      </w:r>
      <w:r>
        <w:rPr>
          <w:rFonts w:hint="eastAsia" w:ascii="宋体" w:hAnsi="宋体" w:eastAsia="宋体" w:cs="仿宋"/>
          <w:color w:val="000000" w:themeColor="text1"/>
          <w:sz w:val="18"/>
          <w:szCs w:val="18"/>
          <w:lang w:val="en-US" w:eastAsia="zh-CN"/>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2所示。</w:t>
      </w:r>
    </w:p>
    <w:p>
      <w:pPr>
        <w:ind w:left="717" w:leftChars="170" w:hanging="360" w:hangingChars="200"/>
        <w:rPr>
          <w:rFonts w:ascii="宋体" w:hAnsi="宋体" w:eastAsia="宋体" w:cs="仿宋"/>
          <w:color w:val="auto"/>
          <w:sz w:val="18"/>
          <w:szCs w:val="18"/>
        </w:rPr>
      </w:pPr>
      <w:r>
        <w:rPr>
          <w:rFonts w:hint="eastAsia" w:ascii="宋体" w:hAnsi="宋体" w:eastAsia="宋体" w:cs="仿宋"/>
          <w:color w:val="000000" w:themeColor="text1"/>
          <w:sz w:val="18"/>
          <w:szCs w:val="18"/>
          <w14:textFill>
            <w14:solidFill>
              <w14:schemeClr w14:val="tx1"/>
            </w14:solidFill>
          </w14:textFill>
        </w:rPr>
        <w:t>----</w:t>
      </w:r>
      <w:r>
        <w:rPr>
          <w:rFonts w:ascii="宋体" w:hAnsi="宋体" w:eastAsia="宋体" w:cs="仿宋"/>
          <w:color w:val="000000" w:themeColor="text1"/>
          <w:sz w:val="18"/>
          <w:szCs w:val="18"/>
          <w14:textFill>
            <w14:solidFill>
              <w14:schemeClr w14:val="tx1"/>
            </w14:solidFill>
          </w14:textFill>
        </w:rPr>
        <w:t>采用双面胶粘贴方式时，尽量用布擦拭槽盒布放路由上的墙面，使墙面上没有灰尘和垃圾，然后将双面胶贴在槽盒及其配件</w:t>
      </w:r>
      <w:r>
        <w:rPr>
          <w:rFonts w:ascii="宋体" w:hAnsi="宋体" w:eastAsia="宋体" w:cs="仿宋"/>
          <w:color w:val="auto"/>
          <w:sz w:val="18"/>
          <w:szCs w:val="18"/>
        </w:rPr>
        <w:t>上，并粘贴固定在墙面上。当直线敷设距离较长时，每隔15</w:t>
      </w:r>
      <w:r>
        <w:rPr>
          <w:rFonts w:hint="eastAsia" w:ascii="宋体" w:hAnsi="宋体" w:eastAsia="宋体" w:cs="仿宋"/>
          <w:color w:val="auto"/>
          <w:sz w:val="18"/>
          <w:szCs w:val="18"/>
        </w:rPr>
        <w:t>～</w:t>
      </w:r>
      <w:r>
        <w:rPr>
          <w:rFonts w:ascii="宋体" w:hAnsi="宋体" w:eastAsia="宋体" w:cs="仿宋"/>
          <w:color w:val="auto"/>
          <w:sz w:val="18"/>
          <w:szCs w:val="18"/>
        </w:rPr>
        <w:t>2m用螺钉固定1次。</w:t>
      </w:r>
    </w:p>
    <w:p>
      <w:pPr>
        <w:ind w:left="357" w:leftChars="170"/>
        <w:rPr>
          <w:rFonts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auto"/>
          <w:sz w:val="18"/>
          <w:szCs w:val="18"/>
        </w:rPr>
        <w:t>----</w:t>
      </w:r>
      <w:r>
        <w:rPr>
          <w:rFonts w:ascii="宋体" w:hAnsi="宋体" w:eastAsia="宋体" w:cs="仿宋"/>
          <w:color w:val="auto"/>
          <w:sz w:val="18"/>
          <w:szCs w:val="18"/>
        </w:rPr>
        <w:t>采用螺钉固定方式时，可</w:t>
      </w:r>
      <w:r>
        <w:rPr>
          <w:rFonts w:ascii="宋体" w:hAnsi="宋体" w:eastAsia="宋体" w:cs="仿宋"/>
          <w:color w:val="000000" w:themeColor="text1"/>
          <w:sz w:val="18"/>
          <w:szCs w:val="18"/>
          <w14:textFill>
            <w14:solidFill>
              <w14:schemeClr w14:val="tx1"/>
            </w14:solidFill>
          </w14:textFill>
        </w:rPr>
        <w:t>根据槽盒及其配件上标注的螺钉</w:t>
      </w:r>
    </w:p>
    <w:p>
      <w:pPr>
        <w:ind w:left="714" w:leftChars="34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t>固定位置，将槽盒及其配件固定在增面上，一般1m直槽盒用3颗螺钉进行固定。</w:t>
      </w:r>
    </w:p>
    <w:p>
      <w:pPr>
        <w:ind w:left="714" w:leftChars="340"/>
        <w:rPr>
          <w:rFonts w:ascii="宋体" w:hAnsi="宋体" w:eastAsia="宋体" w:cs="仿宋"/>
          <w:color w:val="000000" w:themeColor="text1"/>
          <w:sz w:val="18"/>
          <w:szCs w:val="18"/>
          <w14:textFill>
            <w14:solidFill>
              <w14:schemeClr w14:val="tx1"/>
            </w14:solidFill>
          </w14:textFill>
        </w:rPr>
      </w:pPr>
      <w:r>
        <w:rPr>
          <w:rFonts w:ascii="宋体" w:hAnsi="宋体" w:eastAsia="宋体" w:cs="仿宋"/>
          <w:color w:val="000000" w:themeColor="text1"/>
          <w:sz w:val="18"/>
          <w:szCs w:val="18"/>
          <w14:textFill>
            <w14:solidFill>
              <w14:schemeClr w14:val="tx1"/>
            </w14:solidFill>
          </w14:textFill>
        </w:rPr>
        <w:drawing>
          <wp:anchor distT="0" distB="0" distL="114300" distR="114300" simplePos="0" relativeHeight="251659264" behindDoc="0" locked="0" layoutInCell="1" allowOverlap="1">
            <wp:simplePos x="0" y="0"/>
            <wp:positionH relativeFrom="column">
              <wp:posOffset>422910</wp:posOffset>
            </wp:positionH>
            <wp:positionV relativeFrom="paragraph">
              <wp:posOffset>8255</wp:posOffset>
            </wp:positionV>
            <wp:extent cx="2659380" cy="1196340"/>
            <wp:effectExtent l="0" t="0" r="7620" b="7620"/>
            <wp:wrapNone/>
            <wp:docPr id="3" name="图片 3" descr="3eae17d36c581e313bc1bc4a00ee15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3eae17d36c581e313bc1bc4a00ee1521"/>
                    <pic:cNvPicPr>
                      <a:picLocks noChangeAspect="true"/>
                    </pic:cNvPicPr>
                  </pic:nvPicPr>
                  <pic:blipFill>
                    <a:blip r:embed="rId9"/>
                    <a:stretch>
                      <a:fillRect/>
                    </a:stretch>
                  </pic:blipFill>
                  <pic:spPr>
                    <a:xfrm>
                      <a:off x="0" y="0"/>
                      <a:ext cx="2659380" cy="1196340"/>
                    </a:xfrm>
                    <a:prstGeom prst="rect">
                      <a:avLst/>
                    </a:prstGeom>
                  </pic:spPr>
                </pic:pic>
              </a:graphicData>
            </a:graphic>
          </wp:anchor>
        </w:drawing>
      </w:r>
    </w:p>
    <w:p>
      <w:pPr>
        <w:rPr>
          <w:rFonts w:ascii="宋体" w:hAnsi="宋体" w:eastAsia="宋体" w:cs="仿宋"/>
          <w:color w:val="000000" w:themeColor="text1"/>
          <w:sz w:val="18"/>
          <w:szCs w:val="18"/>
          <w14:textFill>
            <w14:solidFill>
              <w14:schemeClr w14:val="tx1"/>
            </w14:solidFill>
          </w14:textFill>
        </w:rPr>
      </w:pPr>
    </w:p>
    <w:p>
      <w:pPr>
        <w:rPr>
          <w:rFonts w:ascii="宋体" w:hAnsi="宋体" w:eastAsia="宋体" w:cs="宋体"/>
          <w:bCs/>
          <w:color w:val="000000" w:themeColor="text1"/>
          <w:sz w:val="30"/>
          <w:szCs w:val="30"/>
          <w14:textFill>
            <w14:solidFill>
              <w14:schemeClr w14:val="tx1"/>
            </w14:solidFill>
          </w14:textFill>
        </w:rPr>
      </w:pPr>
    </w:p>
    <w:p>
      <w:pPr>
        <w:rPr>
          <w:rFonts w:hint="eastAsia" w:ascii="宋体" w:hAnsi="宋体" w:eastAsia="宋体" w:cs="宋体"/>
          <w:bCs/>
          <w:color w:val="000000" w:themeColor="text1"/>
          <w:sz w:val="30"/>
          <w:szCs w:val="30"/>
          <w14:textFill>
            <w14:solidFill>
              <w14:schemeClr w14:val="tx1"/>
            </w14:solidFill>
          </w14:textFill>
        </w:rPr>
      </w:pPr>
      <w:r>
        <w:rPr>
          <w:rFonts w:hint="eastAsia" w:ascii="宋体" w:hAnsi="宋体" w:eastAsia="宋体" w:cs="宋体"/>
          <w:bCs/>
          <w:color w:val="000000" w:themeColor="text1"/>
          <w:sz w:val="30"/>
          <w:szCs w:val="30"/>
          <w14:textFill>
            <w14:solidFill>
              <w14:schemeClr w14:val="tx1"/>
            </w14:solidFill>
          </w14:textFill>
        </w:rPr>
        <w:t xml:space="preserve">   </w:t>
      </w:r>
    </w:p>
    <w:p>
      <w:pPr>
        <w:jc w:val="center"/>
        <w:rPr>
          <w:rFonts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图D</w:t>
      </w:r>
      <w:r>
        <w:rPr>
          <w:rFonts w:hint="eastAsia" w:ascii="宋体" w:hAnsi="宋体" w:eastAsia="宋体" w:cs="宋体"/>
          <w:bCs/>
          <w:color w:val="000000" w:themeColor="text1"/>
          <w:sz w:val="18"/>
          <w:szCs w:val="18"/>
          <w:lang w:val="en-US" w:eastAsia="zh-CN"/>
          <w14:textFill>
            <w14:solidFill>
              <w14:schemeClr w14:val="tx1"/>
            </w14:solidFill>
          </w14:textFill>
        </w:rPr>
        <w:t>.</w:t>
      </w:r>
      <w:r>
        <w:rPr>
          <w:rFonts w:hint="eastAsia" w:ascii="宋体" w:hAnsi="宋体" w:eastAsia="宋体" w:cs="宋体"/>
          <w:bCs/>
          <w:color w:val="000000" w:themeColor="text1"/>
          <w:sz w:val="18"/>
          <w:szCs w:val="18"/>
          <w14:textFill>
            <w14:solidFill>
              <w14:schemeClr w14:val="tx1"/>
            </w14:solidFill>
          </w14:textFill>
        </w:rPr>
        <w:t>1 明槽盒双面胶粘贴方式</w:t>
      </w:r>
    </w:p>
    <w:p>
      <w:pPr>
        <w:rPr>
          <w:rFonts w:ascii="宋体" w:hAnsi="宋体" w:eastAsia="宋体" w:cs="宋体"/>
          <w:bCs/>
          <w:color w:val="000000" w:themeColor="text1"/>
          <w:sz w:val="18"/>
          <w:szCs w:val="18"/>
          <w14:textFill>
            <w14:solidFill>
              <w14:schemeClr w14:val="tx1"/>
            </w14:solidFill>
          </w14:textFill>
        </w:rPr>
      </w:pPr>
      <w:r>
        <w:drawing>
          <wp:anchor distT="0" distB="0" distL="114300" distR="114300" simplePos="0" relativeHeight="251660288" behindDoc="0" locked="0" layoutInCell="1" allowOverlap="1">
            <wp:simplePos x="0" y="0"/>
            <wp:positionH relativeFrom="column">
              <wp:posOffset>445135</wp:posOffset>
            </wp:positionH>
            <wp:positionV relativeFrom="paragraph">
              <wp:posOffset>93345</wp:posOffset>
            </wp:positionV>
            <wp:extent cx="2621280" cy="1178560"/>
            <wp:effectExtent l="0" t="0" r="0" b="10160"/>
            <wp:wrapNone/>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10"/>
                    <a:stretch>
                      <a:fillRect/>
                    </a:stretch>
                  </pic:blipFill>
                  <pic:spPr>
                    <a:xfrm>
                      <a:off x="0" y="0"/>
                      <a:ext cx="2621280" cy="1178560"/>
                    </a:xfrm>
                    <a:prstGeom prst="rect">
                      <a:avLst/>
                    </a:prstGeom>
                    <a:noFill/>
                    <a:ln>
                      <a:noFill/>
                    </a:ln>
                  </pic:spPr>
                </pic:pic>
              </a:graphicData>
            </a:graphic>
          </wp:anchor>
        </w:drawing>
      </w:r>
    </w:p>
    <w:p>
      <w:pPr>
        <w:rPr>
          <w:rFonts w:ascii="宋体" w:hAnsi="宋体" w:eastAsia="宋体" w:cs="宋体"/>
          <w:bCs/>
          <w:color w:val="000000" w:themeColor="text1"/>
          <w:sz w:val="18"/>
          <w:szCs w:val="18"/>
          <w14:textFill>
            <w14:solidFill>
              <w14:schemeClr w14:val="tx1"/>
            </w14:solidFill>
          </w14:textFill>
        </w:rPr>
      </w:pPr>
    </w:p>
    <w:p>
      <w:pPr>
        <w:rPr>
          <w:rFonts w:ascii="宋体" w:hAnsi="宋体" w:eastAsia="宋体" w:cs="宋体"/>
          <w:bCs/>
          <w:color w:val="000000" w:themeColor="text1"/>
          <w:sz w:val="18"/>
          <w:szCs w:val="18"/>
          <w14:textFill>
            <w14:solidFill>
              <w14:schemeClr w14:val="tx1"/>
            </w14:solidFill>
          </w14:textFill>
        </w:rPr>
      </w:pPr>
    </w:p>
    <w:p>
      <w:pPr>
        <w:rPr>
          <w:rFonts w:ascii="宋体" w:hAnsi="宋体" w:eastAsia="宋体" w:cs="宋体"/>
          <w:bCs/>
          <w:color w:val="000000" w:themeColor="text1"/>
          <w:sz w:val="18"/>
          <w:szCs w:val="18"/>
          <w14:textFill>
            <w14:solidFill>
              <w14:schemeClr w14:val="tx1"/>
            </w14:solidFill>
          </w14:textFill>
        </w:rPr>
      </w:pPr>
    </w:p>
    <w:p>
      <w:pPr>
        <w:rPr>
          <w:rFonts w:ascii="宋体" w:hAnsi="宋体" w:eastAsia="宋体" w:cs="宋体"/>
          <w:bCs/>
          <w:color w:val="000000" w:themeColor="text1"/>
          <w:sz w:val="18"/>
          <w:szCs w:val="18"/>
          <w14:textFill>
            <w14:solidFill>
              <w14:schemeClr w14:val="tx1"/>
            </w14:solidFill>
          </w14:textFill>
        </w:rPr>
      </w:pPr>
    </w:p>
    <w:p>
      <w:pPr>
        <w:rPr>
          <w:rFonts w:ascii="宋体" w:hAnsi="宋体" w:eastAsia="宋体" w:cs="宋体"/>
          <w:bCs/>
          <w:color w:val="000000" w:themeColor="text1"/>
          <w:sz w:val="18"/>
          <w:szCs w:val="18"/>
          <w14:textFill>
            <w14:solidFill>
              <w14:schemeClr w14:val="tx1"/>
            </w14:solidFill>
          </w14:textFill>
        </w:rPr>
      </w:pPr>
    </w:p>
    <w:p>
      <w:pPr>
        <w:rPr>
          <w:rFonts w:ascii="宋体" w:hAnsi="宋体" w:eastAsia="宋体" w:cs="宋体"/>
          <w:bCs/>
          <w:color w:val="000000" w:themeColor="text1"/>
          <w:sz w:val="18"/>
          <w:szCs w:val="18"/>
          <w14:textFill>
            <w14:solidFill>
              <w14:schemeClr w14:val="tx1"/>
            </w14:solidFill>
          </w14:textFill>
        </w:rPr>
      </w:pPr>
    </w:p>
    <w:p>
      <w:pPr>
        <w:jc w:val="center"/>
        <w:rPr>
          <w:rFonts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图D</w:t>
      </w:r>
      <w:r>
        <w:rPr>
          <w:rFonts w:hint="eastAsia" w:ascii="宋体" w:hAnsi="宋体" w:eastAsia="宋体" w:cs="宋体"/>
          <w:bCs/>
          <w:color w:val="000000" w:themeColor="text1"/>
          <w:sz w:val="18"/>
          <w:szCs w:val="18"/>
          <w:lang w:val="en-US" w:eastAsia="zh-CN"/>
          <w14:textFill>
            <w14:solidFill>
              <w14:schemeClr w14:val="tx1"/>
            </w14:solidFill>
          </w14:textFill>
        </w:rPr>
        <w:t>.</w:t>
      </w:r>
      <w:r>
        <w:rPr>
          <w:rFonts w:hint="eastAsia" w:ascii="宋体" w:hAnsi="宋体" w:eastAsia="宋体" w:cs="宋体"/>
          <w:bCs/>
          <w:color w:val="000000" w:themeColor="text1"/>
          <w:sz w:val="18"/>
          <w:szCs w:val="18"/>
          <w14:textFill>
            <w14:solidFill>
              <w14:schemeClr w14:val="tx1"/>
            </w14:solidFill>
          </w14:textFill>
        </w:rPr>
        <w:t>2 明槽盒螺钉固定方式</w:t>
      </w:r>
    </w:p>
    <w:p>
      <w:pPr>
        <w:rPr>
          <w:rFonts w:ascii="宋体" w:hAnsi="宋体" w:eastAsia="宋体" w:cs="宋体"/>
          <w:b/>
          <w:color w:val="000000" w:themeColor="text1"/>
          <w:sz w:val="18"/>
          <w:szCs w:val="18"/>
          <w14:textFill>
            <w14:solidFill>
              <w14:schemeClr w14:val="tx1"/>
            </w14:solidFill>
          </w14:textFill>
        </w:rPr>
      </w:pPr>
      <w:r>
        <w:rPr>
          <w:rFonts w:hint="eastAsia" w:ascii="宋体" w:hAnsi="宋体" w:eastAsia="宋体" w:cs="宋体"/>
          <w:b/>
          <w:color w:val="000000" w:themeColor="text1"/>
          <w:sz w:val="18"/>
          <w:szCs w:val="18"/>
          <w14:textFill>
            <w14:solidFill>
              <w14:schemeClr w14:val="tx1"/>
            </w14:solidFill>
          </w14:textFill>
        </w:rPr>
        <w:t>D.3.4 方式四:户内明管方式(通常适用于对称电缆布线)</w:t>
      </w:r>
    </w:p>
    <w:p>
      <w:pPr>
        <w:ind w:firstLine="360" w:firstLineChars="200"/>
        <w:rPr>
          <w:rFonts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户内明管方式与户内明槽盒方式的应用场景类似,在施工时,尽量提前规划路由,再进行导管敷设,敷设时通常使用管卡、管座等配件进行固定和支撑。当直线敷设距离较长时，一般在导管的中间直线段安装配件，配件尽可能均匀安装，且间距不宜大于1m。</w:t>
      </w:r>
    </w:p>
    <w:p>
      <w:pPr>
        <w:rPr>
          <w:rFonts w:ascii="宋体" w:hAnsi="宋体" w:eastAsia="宋体" w:cs="宋体"/>
          <w:b/>
          <w:color w:val="000000" w:themeColor="text1"/>
          <w:sz w:val="18"/>
          <w:szCs w:val="18"/>
          <w14:textFill>
            <w14:solidFill>
              <w14:schemeClr w14:val="tx1"/>
            </w14:solidFill>
          </w14:textFill>
        </w:rPr>
      </w:pPr>
      <w:r>
        <w:rPr>
          <w:rFonts w:hint="eastAsia" w:ascii="宋体" w:hAnsi="宋体" w:eastAsia="宋体" w:cs="宋体"/>
          <w:b/>
          <w:color w:val="000000" w:themeColor="text1"/>
          <w:sz w:val="18"/>
          <w:szCs w:val="18"/>
          <w14:textFill>
            <w14:solidFill>
              <w14:schemeClr w14:val="tx1"/>
            </w14:solidFill>
          </w14:textFill>
        </w:rPr>
        <w:t>D.3.5 方式五:户内沿墙钉固方式(通常适用于对称电缆布线)</w:t>
      </w:r>
    </w:p>
    <w:p>
      <w:pPr>
        <w:ind w:firstLine="360" w:firstLineChars="200"/>
        <w:rPr>
          <w:rFonts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通常沿门框边沿和踢脚线安装卡钉扣，卡钉扣间距约50cm，待卡钉扣全部安装完成，将线缆逐个扣入卡钉扣内。不可先将线缆扣入卡钉扣，然后再安装、敲击卡钉扣。</w:t>
      </w:r>
    </w:p>
    <w:p>
      <w:pPr>
        <w:ind w:firstLine="360" w:firstLineChars="200"/>
        <w:rPr>
          <w:rFonts w:hint="eastAsia"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在墙角的弯角处，线缆宜留有一定的弧度，以保证线缆的弯曲半径，并用套管进行保护。严禁将线缆贴住墙面沿直角弯转弯，如图D</w:t>
      </w:r>
      <w:r>
        <w:rPr>
          <w:rFonts w:hint="eastAsia" w:ascii="宋体" w:hAnsi="宋体" w:eastAsia="宋体" w:cs="宋体"/>
          <w:bCs/>
          <w:color w:val="000000" w:themeColor="text1"/>
          <w:sz w:val="18"/>
          <w:szCs w:val="18"/>
          <w:lang w:val="en-US" w:eastAsia="zh-CN"/>
          <w14:textFill>
            <w14:solidFill>
              <w14:schemeClr w14:val="tx1"/>
            </w14:solidFill>
          </w14:textFill>
        </w:rPr>
        <w:t>.3</w:t>
      </w:r>
      <w:r>
        <w:rPr>
          <w:rFonts w:hint="eastAsia" w:ascii="宋体" w:hAnsi="宋体" w:eastAsia="宋体" w:cs="宋体"/>
          <w:bCs/>
          <w:color w:val="000000" w:themeColor="text1"/>
          <w:sz w:val="18"/>
          <w:szCs w:val="18"/>
          <w14:textFill>
            <w14:solidFill>
              <w14:schemeClr w14:val="tx1"/>
            </w14:solidFill>
          </w14:textFill>
        </w:rPr>
        <w:t>所示。采用钉固方式布放线缆时,须注意线缆的弯曲、绞结、扭曲、损伤等现象。</w:t>
      </w:r>
    </w:p>
    <w:p>
      <w:pPr>
        <w:ind w:firstLine="360" w:firstLineChars="200"/>
        <w:rPr>
          <w:rFonts w:hint="eastAsia" w:ascii="宋体" w:hAnsi="宋体" w:eastAsia="宋体" w:cs="宋体"/>
          <w:bCs/>
          <w:color w:val="000000" w:themeColor="text1"/>
          <w:sz w:val="18"/>
          <w:szCs w:val="18"/>
          <w14:textFill>
            <w14:solidFill>
              <w14:schemeClr w14:val="tx1"/>
            </w14:solidFill>
          </w14:textFill>
        </w:rPr>
      </w:pPr>
    </w:p>
    <w:p>
      <w:pPr>
        <w:ind w:firstLine="420" w:firstLineChars="200"/>
        <w:rPr>
          <w:rFonts w:ascii="宋体" w:hAnsi="宋体" w:eastAsia="宋体" w:cs="宋体"/>
          <w:bCs/>
          <w:color w:val="000000" w:themeColor="text1"/>
          <w:sz w:val="18"/>
          <w:szCs w:val="18"/>
          <w14:textFill>
            <w14:solidFill>
              <w14:schemeClr w14:val="tx1"/>
            </w14:solidFill>
          </w14:textFill>
        </w:rPr>
      </w:pPr>
      <w:r>
        <w:drawing>
          <wp:inline distT="0" distB="0" distL="114300" distR="114300">
            <wp:extent cx="2924175" cy="973455"/>
            <wp:effectExtent l="0" t="0" r="1905" b="190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1"/>
                    <a:stretch>
                      <a:fillRect/>
                    </a:stretch>
                  </pic:blipFill>
                  <pic:spPr>
                    <a:xfrm>
                      <a:off x="0" y="0"/>
                      <a:ext cx="2924175" cy="973455"/>
                    </a:xfrm>
                    <a:prstGeom prst="rect">
                      <a:avLst/>
                    </a:prstGeom>
                    <a:noFill/>
                    <a:ln>
                      <a:noFill/>
                    </a:ln>
                  </pic:spPr>
                </pic:pic>
              </a:graphicData>
            </a:graphic>
          </wp:inline>
        </w:drawing>
      </w:r>
    </w:p>
    <w:p>
      <w:pPr>
        <w:ind w:firstLine="1440" w:firstLineChars="800"/>
        <w:rPr>
          <w:rFonts w:hint="eastAsia" w:ascii="宋体" w:hAnsi="宋体" w:eastAsia="宋体" w:cs="宋体"/>
          <w:bCs/>
          <w:color w:val="000000" w:themeColor="text1"/>
          <w:sz w:val="18"/>
          <w:szCs w:val="18"/>
          <w14:textFill>
            <w14:solidFill>
              <w14:schemeClr w14:val="tx1"/>
            </w14:solidFill>
          </w14:textFill>
        </w:rPr>
      </w:pPr>
    </w:p>
    <w:p>
      <w:pPr>
        <w:jc w:val="center"/>
        <w:rPr>
          <w:rFonts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图D</w:t>
      </w:r>
      <w:r>
        <w:rPr>
          <w:rFonts w:hint="eastAsia" w:ascii="宋体" w:hAnsi="宋体" w:eastAsia="宋体" w:cs="宋体"/>
          <w:bCs/>
          <w:color w:val="000000" w:themeColor="text1"/>
          <w:sz w:val="18"/>
          <w:szCs w:val="18"/>
          <w:lang w:val="en-US" w:eastAsia="zh-CN"/>
          <w14:textFill>
            <w14:solidFill>
              <w14:schemeClr w14:val="tx1"/>
            </w14:solidFill>
          </w14:textFill>
        </w:rPr>
        <w:t>.</w:t>
      </w:r>
      <w:r>
        <w:rPr>
          <w:rFonts w:hint="eastAsia" w:ascii="宋体" w:hAnsi="宋体" w:eastAsia="宋体" w:cs="宋体"/>
          <w:bCs/>
          <w:color w:val="000000" w:themeColor="text1"/>
          <w:sz w:val="18"/>
          <w:szCs w:val="18"/>
          <w14:textFill>
            <w14:solidFill>
              <w14:schemeClr w14:val="tx1"/>
            </w14:solidFill>
          </w14:textFill>
        </w:rPr>
        <w:t>3</w:t>
      </w:r>
      <w:r>
        <w:rPr>
          <w:rFonts w:hint="eastAsia" w:ascii="宋体" w:hAnsi="宋体" w:eastAsia="宋体" w:cs="宋体"/>
          <w:bCs/>
          <w:color w:val="000000" w:themeColor="text1"/>
          <w:sz w:val="18"/>
          <w:szCs w:val="18"/>
          <w:lang w:val="en-US" w:eastAsia="zh-CN"/>
          <w14:textFill>
            <w14:solidFill>
              <w14:schemeClr w14:val="tx1"/>
            </w14:solidFill>
          </w14:textFill>
        </w:rPr>
        <w:t xml:space="preserve"> </w:t>
      </w:r>
      <w:r>
        <w:rPr>
          <w:rFonts w:hint="eastAsia" w:ascii="宋体" w:hAnsi="宋体" w:eastAsia="宋体" w:cs="宋体"/>
          <w:bCs/>
          <w:color w:val="000000" w:themeColor="text1"/>
          <w:sz w:val="18"/>
          <w:szCs w:val="18"/>
          <w14:textFill>
            <w14:solidFill>
              <w14:schemeClr w14:val="tx1"/>
            </w14:solidFill>
          </w14:textFill>
        </w:rPr>
        <w:t>钉固布放示意</w:t>
      </w:r>
    </w:p>
    <w:p>
      <w:pPr>
        <w:ind w:firstLine="360" w:firstLineChars="200"/>
        <w:rPr>
          <w:rFonts w:ascii="宋体" w:hAnsi="宋体" w:eastAsia="宋体" w:cs="宋体"/>
          <w:bCs/>
          <w:color w:val="000000" w:themeColor="text1"/>
          <w:sz w:val="18"/>
          <w:szCs w:val="18"/>
          <w14:textFill>
            <w14:solidFill>
              <w14:schemeClr w14:val="tx1"/>
            </w14:solidFill>
          </w14:textFill>
        </w:rPr>
      </w:pPr>
    </w:p>
    <w:p>
      <w:pPr>
        <w:rPr>
          <w:rFonts w:ascii="宋体" w:hAnsi="宋体" w:eastAsia="宋体" w:cs="宋体"/>
          <w:bCs/>
          <w:color w:val="000000" w:themeColor="text1"/>
          <w:sz w:val="18"/>
          <w:szCs w:val="18"/>
          <w14:textFill>
            <w14:solidFill>
              <w14:schemeClr w14:val="tx1"/>
            </w14:solidFill>
          </w14:textFill>
        </w:rPr>
      </w:pPr>
    </w:p>
    <w:p>
      <w:pPr>
        <w:rPr>
          <w:rFonts w:ascii="宋体" w:hAnsi="宋体" w:eastAsia="宋体" w:cs="宋体"/>
          <w:bCs/>
          <w:color w:val="000000" w:themeColor="text1"/>
          <w:sz w:val="30"/>
          <w:szCs w:val="30"/>
          <w14:textFill>
            <w14:solidFill>
              <w14:schemeClr w14:val="tx1"/>
            </w14:solidFill>
          </w14:textFill>
        </w:rPr>
      </w:pPr>
    </w:p>
    <w:p>
      <w:pPr>
        <w:pStyle w:val="3"/>
        <w:spacing w:line="240" w:lineRule="auto"/>
        <w:jc w:val="center"/>
        <w:rPr>
          <w:rFonts w:ascii="宋体" w:hAnsi="宋体" w:eastAsia="宋体" w:cs="宋体"/>
          <w:b w:val="0"/>
          <w:bCs/>
          <w:color w:val="000000" w:themeColor="text1"/>
          <w:sz w:val="30"/>
          <w:szCs w:val="30"/>
          <w14:textFill>
            <w14:solidFill>
              <w14:schemeClr w14:val="tx1"/>
            </w14:solidFill>
          </w14:textFill>
        </w:rPr>
      </w:pPr>
      <w:bookmarkStart w:id="44" w:name="_Toc16347"/>
      <w:r>
        <w:rPr>
          <w:rFonts w:hint="eastAsia" w:ascii="宋体" w:hAnsi="宋体" w:eastAsia="宋体" w:cs="宋体"/>
          <w:b w:val="0"/>
          <w:bCs/>
          <w:color w:val="000000" w:themeColor="text1"/>
          <w:sz w:val="30"/>
          <w:szCs w:val="30"/>
          <w14:textFill>
            <w14:solidFill>
              <w14:schemeClr w14:val="tx1"/>
            </w14:solidFill>
          </w14:textFill>
        </w:rPr>
        <w:t>本标准用词说明</w:t>
      </w:r>
      <w:bookmarkEnd w:id="44"/>
    </w:p>
    <w:p>
      <w:pPr>
        <w:ind w:firstLine="361" w:firstLineChars="2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b/>
          <w:bCs/>
          <w:color w:val="000000" w:themeColor="text1"/>
          <w:sz w:val="18"/>
          <w:szCs w:val="18"/>
          <w14:textFill>
            <w14:solidFill>
              <w14:schemeClr w14:val="tx1"/>
            </w14:solidFill>
          </w14:textFill>
        </w:rPr>
        <w:t>1</w:t>
      </w:r>
      <w:r>
        <w:rPr>
          <w:rFonts w:hint="eastAsia" w:asciiTheme="minorEastAsia" w:hAnsiTheme="minorEastAsia" w:cstheme="minorEastAsia"/>
          <w:color w:val="000000" w:themeColor="text1"/>
          <w:sz w:val="18"/>
          <w:szCs w:val="18"/>
          <w14:textFill>
            <w14:solidFill>
              <w14:schemeClr w14:val="tx1"/>
            </w14:solidFill>
          </w14:textFill>
        </w:rPr>
        <w:t xml:space="preserve"> 为便于在执行本标准条文时区别对待，对要求严格程度不同的用词说明如下：</w:t>
      </w:r>
    </w:p>
    <w:p>
      <w:pPr>
        <w:ind w:firstLine="542" w:firstLineChars="3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b/>
          <w:bCs/>
          <w:color w:val="000000" w:themeColor="text1"/>
          <w:sz w:val="18"/>
          <w:szCs w:val="18"/>
          <w14:textFill>
            <w14:solidFill>
              <w14:schemeClr w14:val="tx1"/>
            </w14:solidFill>
          </w14:textFill>
        </w:rPr>
        <w:t>1</w:t>
      </w:r>
      <w:r>
        <w:rPr>
          <w:rFonts w:hint="eastAsia" w:asciiTheme="minorEastAsia" w:hAnsiTheme="minorEastAsia" w:cstheme="minorEastAsia"/>
          <w:color w:val="000000" w:themeColor="text1"/>
          <w:sz w:val="18"/>
          <w:szCs w:val="18"/>
          <w14:textFill>
            <w14:solidFill>
              <w14:schemeClr w14:val="tx1"/>
            </w14:solidFill>
          </w14:textFill>
        </w:rPr>
        <w:t>）表示很严格，非这样做不可的：</w:t>
      </w:r>
    </w:p>
    <w:p>
      <w:pPr>
        <w:ind w:firstLine="720" w:firstLineChars="4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正面词采用“必须”，反面词采用“严禁”。</w:t>
      </w:r>
    </w:p>
    <w:p>
      <w:pPr>
        <w:ind w:firstLine="542" w:firstLineChars="3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b/>
          <w:bCs/>
          <w:color w:val="000000" w:themeColor="text1"/>
          <w:sz w:val="18"/>
          <w:szCs w:val="18"/>
          <w14:textFill>
            <w14:solidFill>
              <w14:schemeClr w14:val="tx1"/>
            </w14:solidFill>
          </w14:textFill>
        </w:rPr>
        <w:t>2</w:t>
      </w:r>
      <w:r>
        <w:rPr>
          <w:rFonts w:hint="eastAsia" w:asciiTheme="minorEastAsia" w:hAnsiTheme="minorEastAsia" w:cstheme="minorEastAsia"/>
          <w:color w:val="000000" w:themeColor="text1"/>
          <w:sz w:val="18"/>
          <w:szCs w:val="18"/>
          <w14:textFill>
            <w14:solidFill>
              <w14:schemeClr w14:val="tx1"/>
            </w14:solidFill>
          </w14:textFill>
        </w:rPr>
        <w:t>）表示严格，在正常情况下均应这样做的：</w:t>
      </w:r>
    </w:p>
    <w:p>
      <w:pPr>
        <w:ind w:firstLine="720" w:firstLineChars="4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正面词采用“应”，反面词采用“不应”或“不得”。</w:t>
      </w:r>
    </w:p>
    <w:p>
      <w:pPr>
        <w:ind w:firstLine="542" w:firstLineChars="3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b/>
          <w:bCs/>
          <w:color w:val="000000" w:themeColor="text1"/>
          <w:sz w:val="18"/>
          <w:szCs w:val="18"/>
          <w14:textFill>
            <w14:solidFill>
              <w14:schemeClr w14:val="tx1"/>
            </w14:solidFill>
          </w14:textFill>
        </w:rPr>
        <w:t>3</w:t>
      </w:r>
      <w:r>
        <w:rPr>
          <w:rFonts w:hint="eastAsia" w:asciiTheme="minorEastAsia" w:hAnsiTheme="minorEastAsia" w:cstheme="minorEastAsia"/>
          <w:color w:val="000000" w:themeColor="text1"/>
          <w:sz w:val="18"/>
          <w:szCs w:val="18"/>
          <w14:textFill>
            <w14:solidFill>
              <w14:schemeClr w14:val="tx1"/>
            </w14:solidFill>
          </w14:textFill>
        </w:rPr>
        <w:t>）表示允许稍有选择，在条件许可时首先应这样做的：</w:t>
      </w:r>
    </w:p>
    <w:p>
      <w:pPr>
        <w:ind w:firstLine="720" w:firstLineChars="4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正面词采用“宜”，反面词采用“不宜”。</w:t>
      </w:r>
    </w:p>
    <w:p>
      <w:pPr>
        <w:ind w:firstLine="542" w:firstLineChars="30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b/>
          <w:bCs/>
          <w:color w:val="000000" w:themeColor="text1"/>
          <w:sz w:val="18"/>
          <w:szCs w:val="18"/>
          <w14:textFill>
            <w14:solidFill>
              <w14:schemeClr w14:val="tx1"/>
            </w14:solidFill>
          </w14:textFill>
        </w:rPr>
        <w:t>4</w:t>
      </w:r>
      <w:r>
        <w:rPr>
          <w:rFonts w:hint="eastAsia" w:asciiTheme="minorEastAsia" w:hAnsiTheme="minorEastAsia" w:cstheme="minorEastAsia"/>
          <w:color w:val="000000" w:themeColor="text1"/>
          <w:sz w:val="18"/>
          <w:szCs w:val="18"/>
          <w14:textFill>
            <w14:solidFill>
              <w14:schemeClr w14:val="tx1"/>
            </w14:solidFill>
          </w14:textFill>
        </w:rPr>
        <w:t>）表示有选择，在一定条件下可以这样做的，采用“可”。</w:t>
      </w:r>
    </w:p>
    <w:p>
      <w:pPr>
        <w:ind w:firstLine="361" w:firstLineChars="200"/>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b/>
          <w:bCs/>
          <w:color w:val="000000" w:themeColor="text1"/>
          <w:sz w:val="18"/>
          <w:szCs w:val="18"/>
          <w14:textFill>
            <w14:solidFill>
              <w14:schemeClr w14:val="tx1"/>
            </w14:solidFill>
          </w14:textFill>
        </w:rPr>
        <w:t>2</w:t>
      </w:r>
      <w:r>
        <w:rPr>
          <w:rFonts w:hint="eastAsia" w:asciiTheme="minorEastAsia" w:hAnsiTheme="minorEastAsia" w:cstheme="minorEastAsia"/>
          <w:color w:val="000000" w:themeColor="text1"/>
          <w:sz w:val="18"/>
          <w:szCs w:val="18"/>
          <w14:textFill>
            <w14:solidFill>
              <w14:schemeClr w14:val="tx1"/>
            </w14:solidFill>
          </w14:textFill>
        </w:rPr>
        <w:t xml:space="preserve"> 条文中指明应按其他有关标准执行的写法为：“应符合……的规定”或“应按……执行”。</w:t>
      </w:r>
    </w:p>
    <w:p>
      <w:pPr>
        <w:rPr>
          <w:rFonts w:asciiTheme="minorEastAsia" w:hAnsiTheme="minorEastAsia" w:cstheme="minorEastAsia"/>
          <w:color w:val="000000" w:themeColor="text1"/>
          <w:sz w:val="24"/>
          <w:szCs w:val="24"/>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pStyle w:val="3"/>
        <w:spacing w:line="240" w:lineRule="auto"/>
        <w:jc w:val="center"/>
        <w:rPr>
          <w:rFonts w:ascii="宋体" w:hAnsi="宋体" w:eastAsia="宋体" w:cs="宋体"/>
          <w:b w:val="0"/>
          <w:bCs/>
          <w:color w:val="000000" w:themeColor="text1"/>
          <w:sz w:val="30"/>
          <w:szCs w:val="30"/>
          <w14:textFill>
            <w14:solidFill>
              <w14:schemeClr w14:val="tx1"/>
            </w14:solidFill>
          </w14:textFill>
        </w:rPr>
      </w:pPr>
      <w:bookmarkStart w:id="45" w:name="_Toc17598"/>
      <w:bookmarkStart w:id="46" w:name="_Toc16084498"/>
      <w:bookmarkStart w:id="47" w:name="_Toc14526"/>
      <w:bookmarkStart w:id="48" w:name="_Toc67"/>
      <w:r>
        <w:rPr>
          <w:rFonts w:hint="eastAsia" w:ascii="宋体" w:hAnsi="宋体" w:eastAsia="宋体" w:cs="宋体"/>
          <w:b w:val="0"/>
          <w:bCs/>
          <w:color w:val="000000" w:themeColor="text1"/>
          <w:sz w:val="30"/>
          <w:szCs w:val="30"/>
          <w14:textFill>
            <w14:solidFill>
              <w14:schemeClr w14:val="tx1"/>
            </w14:solidFill>
          </w14:textFill>
        </w:rPr>
        <w:t>引用标准名录</w:t>
      </w:r>
      <w:bookmarkEnd w:id="45"/>
      <w:bookmarkEnd w:id="46"/>
      <w:bookmarkEnd w:id="47"/>
      <w:bookmarkEnd w:id="48"/>
    </w:p>
    <w:p>
      <w:pP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《综合布线系统工程设计规范》GB 50311</w:t>
      </w:r>
    </w:p>
    <w:p>
      <w:pPr>
        <w:rPr>
          <w:rFonts w:hint="eastAsia"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《综合布线系统工程验收规范》GB 50312</w:t>
      </w:r>
    </w:p>
    <w:p>
      <w:pP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《住宅区和住宅建筑内光纤到户通信设施工程设计规范》GB 50846</w:t>
      </w:r>
    </w:p>
    <w:p>
      <w:pPr>
        <w:rPr>
          <w:rFonts w:hint="eastAsia"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《住宅区和住宅建筑内光纤到户通信设施工程施工及验收规范》GB 50847</w:t>
      </w:r>
    </w:p>
    <w:p>
      <w:pPr>
        <w:rPr>
          <w:rFonts w:hint="eastAsia" w:ascii="宋体" w:hAnsi="宋体" w:eastAsia="宋体" w:cs="仿宋"/>
          <w:color w:val="auto"/>
          <w:sz w:val="18"/>
          <w:szCs w:val="18"/>
        </w:rPr>
      </w:pPr>
      <w:r>
        <w:rPr>
          <w:rFonts w:hint="eastAsia" w:ascii="宋体" w:hAnsi="宋体" w:eastAsia="宋体" w:cs="仿宋"/>
          <w:color w:val="auto"/>
          <w:sz w:val="18"/>
          <w:szCs w:val="18"/>
          <w:lang w:eastAsia="zh-CN"/>
        </w:rPr>
        <w:t>《</w:t>
      </w:r>
      <w:r>
        <w:rPr>
          <w:rFonts w:hint="eastAsia" w:ascii="宋体" w:hAnsi="宋体" w:eastAsia="宋体" w:cs="仿宋"/>
          <w:color w:val="auto"/>
          <w:sz w:val="18"/>
          <w:szCs w:val="18"/>
        </w:rPr>
        <w:t>宽带光纤接入工程技术标准</w:t>
      </w:r>
      <w:r>
        <w:rPr>
          <w:rFonts w:hint="eastAsia" w:ascii="宋体" w:hAnsi="宋体" w:eastAsia="宋体" w:cs="仿宋"/>
          <w:color w:val="auto"/>
          <w:sz w:val="18"/>
          <w:szCs w:val="18"/>
          <w:lang w:eastAsia="zh-CN"/>
        </w:rPr>
        <w:t>》</w:t>
      </w:r>
      <w:r>
        <w:rPr>
          <w:rFonts w:hint="eastAsia" w:ascii="宋体" w:hAnsi="宋体" w:eastAsia="宋体" w:cs="仿宋"/>
          <w:color w:val="auto"/>
          <w:sz w:val="18"/>
          <w:szCs w:val="18"/>
        </w:rPr>
        <w:t>GB/T 51380</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公共建筑光纤宽带接入工程技术标准</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GB 51433</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激光产品的安全 第1部分：设备分类、要求</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GB 7247.1</w:t>
      </w:r>
    </w:p>
    <w:p>
      <w:pPr>
        <w:rPr>
          <w:rFonts w:hint="eastAsia"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《信息通信综合布线系统场景与要求 住宅》YD/T 1384-2023</w:t>
      </w:r>
    </w:p>
    <w:p>
      <w:pP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pPr>
      <w:r>
        <w:rPr>
          <w:rFonts w:hint="eastAsia" w:asciiTheme="minorEastAsia" w:hAnsiTheme="minorEastAsia" w:cstheme="minorEastAsia"/>
          <w:color w:val="auto"/>
          <w:sz w:val="18"/>
          <w:szCs w:val="18"/>
        </w:rPr>
        <w:t>《住宅建筑电气设计规范》JGJ242</w:t>
      </w:r>
    </w:p>
    <w:p>
      <w:pPr>
        <w:rPr>
          <w:rFonts w:asciiTheme="minorEastAsia" w:hAnsiTheme="minorEastAsia" w:cstheme="minorEastAsia"/>
          <w:color w:val="000000" w:themeColor="text1"/>
          <w:kern w:val="0"/>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《接入网用室内外光缆》YD/T 1770</w:t>
      </w:r>
    </w:p>
    <w:p>
      <w:pPr>
        <w:rPr>
          <w:rFonts w:asciiTheme="minorEastAsia" w:hAnsiTheme="minorEastAsia" w:cstheme="minorEastAsia"/>
          <w:color w:val="000000" w:themeColor="text1"/>
          <w:kern w:val="0"/>
          <w:sz w:val="18"/>
          <w:szCs w:val="18"/>
          <w:shd w:val="clear" w:color="auto" w:fill="FFFFFF"/>
          <w14:textFill>
            <w14:solidFill>
              <w14:schemeClr w14:val="tx1"/>
            </w14:solidFill>
          </w14:textFill>
        </w:rPr>
      </w:pPr>
      <w:r>
        <w:rPr>
          <w:rFonts w:hint="eastAsia" w:asciiTheme="minorEastAsia" w:hAnsiTheme="minorEastAsia" w:cstheme="minorEastAsia"/>
          <w:color w:val="000000" w:themeColor="text1"/>
          <w:kern w:val="0"/>
          <w:sz w:val="18"/>
          <w:szCs w:val="18"/>
          <w:shd w:val="clear" w:color="auto" w:fill="FFFFFF"/>
          <w14:textFill>
            <w14:solidFill>
              <w14:schemeClr w14:val="tx1"/>
            </w14:solidFill>
          </w14:textFill>
        </w:rPr>
        <w:t>《接入网用蝶形引入光缆》YD/T 1997</w:t>
      </w:r>
    </w:p>
    <w:p>
      <w:pP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《光纤到户用户接入点到家居配线箱光纤链路衰减测试方法》YD/T 3116</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质量管理体系 基础和术语</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GB/T 19000</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通信电源设备电磁兼容性要求及测量方法</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983</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全光纤型分支器件技术条件YD/T 1258.1 室内光缆 第1部分：总则</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 xml:space="preserve">YD/T 1117 </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室内光缆系列 第2部分：终端光缆组件用单芯和双芯光缆</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w:t>
      </w:r>
      <w:r>
        <w:rPr>
          <w:rFonts w:hint="eastAsia" w:ascii="宋体" w:hAnsi="宋体" w:eastAsia="宋体" w:cs="仿宋"/>
          <w:color w:val="000000" w:themeColor="text1"/>
          <w:sz w:val="18"/>
          <w:szCs w:val="18"/>
          <w:lang w:val="en-US"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T 1258.2</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室内光缆系列 第3部分：房屋布线用单芯和双芯光缆</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w:t>
      </w:r>
      <w:r>
        <w:rPr>
          <w:rFonts w:hint="eastAsia" w:ascii="宋体" w:hAnsi="宋体" w:eastAsia="宋体" w:cs="仿宋"/>
          <w:color w:val="000000" w:themeColor="text1"/>
          <w:sz w:val="18"/>
          <w:szCs w:val="18"/>
          <w:lang w:val="en-US"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T 1258.3</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室内光缆 第7部分：隐形光缆</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1258.7</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接入网技术要求</w:t>
      </w:r>
      <w:r>
        <w:rPr>
          <w:rFonts w:hint="eastAsia" w:ascii="宋体" w:hAnsi="宋体" w:eastAsia="宋体" w:cs="仿宋"/>
          <w:color w:val="000000" w:themeColor="text1"/>
          <w:sz w:val="18"/>
          <w:szCs w:val="18"/>
          <w:lang w:val="en-US"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点对点（P2P）光以太网接入系统</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1807</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通信用引入光缆 第1部分：蝶形光缆</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1997.1</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通信用引入光缆 第3部分：预制成端光缆组件</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1997.3</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通信用引入光缆 第4部分：光电混合缆</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1997.4</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平面光波导集成光路器件 第1部分：基于平面光波导(PLC)的光功率分路器</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2000.1</w:t>
      </w:r>
    </w:p>
    <w:p>
      <w:pPr>
        <w:rPr>
          <w:rFonts w:hint="eastAsia" w:ascii="宋体" w:hAnsi="宋体" w:eastAsia="宋体" w:cs="仿宋"/>
          <w:color w:val="000000" w:themeColor="text1"/>
          <w:sz w:val="18"/>
          <w:szCs w:val="18"/>
          <w14:textFill>
            <w14:solidFill>
              <w14:schemeClr w14:val="tx1"/>
            </w14:solidFill>
          </w14:textFill>
        </w:rPr>
      </w:pPr>
      <w:r>
        <w:rPr>
          <w:rFonts w:hint="eastAsia" w:asciiTheme="minorEastAsia" w:hAnsiTheme="minorEastAsia" w:cstheme="minorEastAsia"/>
          <w:color w:val="auto"/>
          <w:sz w:val="18"/>
          <w:szCs w:val="18"/>
        </w:rPr>
        <w:t>《电信设备安装抗震设计规范》YD 5059</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有线接入网设备安装工程设计规范</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5139</w:t>
      </w:r>
    </w:p>
    <w:p>
      <w:pPr>
        <w:rPr>
          <w:rFonts w:hint="eastAsia" w:ascii="宋体" w:hAnsi="宋体" w:eastAsia="宋体" w:cs="仿宋"/>
          <w:color w:val="000000" w:themeColor="text1"/>
          <w:sz w:val="18"/>
          <w:szCs w:val="18"/>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有线接入网设备安装工程验收规范</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5140</w:t>
      </w:r>
    </w:p>
    <w:p>
      <w:pP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《宽带光纤接入工程设计规范》YD 5206</w:t>
      </w:r>
    </w:p>
    <w:p>
      <w:pPr>
        <w:rPr>
          <w:rFonts w:hint="eastAsia" w:ascii="宋体" w:hAnsi="宋体" w:eastAsia="宋体" w:cs="仿宋"/>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《宽带光纤接入工程验收规范》YD 5207</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光纤到户（FTTH）工程施工操作规程</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5228</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通信用光电混合缆工程技术规范</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YD/T 5242</w:t>
      </w:r>
      <w:r>
        <w:rPr>
          <w:rFonts w:hint="eastAsia" w:ascii="宋体" w:hAnsi="宋体" w:eastAsia="宋体" w:cs="仿宋"/>
          <w:color w:val="000000" w:themeColor="text1"/>
          <w:sz w:val="18"/>
          <w:szCs w:val="18"/>
          <w:lang w:val="en-US" w:eastAsia="zh-CN"/>
          <w14:textFill>
            <w14:solidFill>
              <w14:schemeClr w14:val="tx1"/>
            </w14:solidFill>
          </w14:textFill>
        </w:rPr>
        <w:t>-2018</w:t>
      </w:r>
    </w:p>
    <w:p>
      <w:pPr>
        <w:rPr>
          <w:rFonts w:hint="eastAsia" w:ascii="宋体" w:hAnsi="宋体" w:eastAsia="宋体" w:cs="仿宋"/>
          <w:color w:val="000000" w:themeColor="text1"/>
          <w:sz w:val="18"/>
          <w:szCs w:val="18"/>
          <w:lang w:eastAsia="zh-CN"/>
          <w14:textFill>
            <w14:solidFill>
              <w14:schemeClr w14:val="tx1"/>
            </w14:solidFill>
          </w14:textFill>
        </w:rPr>
      </w:pP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建筑室内全光网络系统工程技术标准</w:t>
      </w:r>
      <w:r>
        <w:rPr>
          <w:rFonts w:hint="eastAsia" w:ascii="宋体" w:hAnsi="宋体" w:eastAsia="宋体" w:cs="仿宋"/>
          <w:color w:val="000000" w:themeColor="text1"/>
          <w:sz w:val="18"/>
          <w:szCs w:val="18"/>
          <w:lang w:eastAsia="zh-CN"/>
          <w14:textFill>
            <w14:solidFill>
              <w14:schemeClr w14:val="tx1"/>
            </w14:solidFill>
          </w14:textFill>
        </w:rPr>
        <w:t>》</w:t>
      </w:r>
      <w:r>
        <w:rPr>
          <w:rFonts w:hint="eastAsia" w:ascii="宋体" w:hAnsi="宋体" w:eastAsia="宋体" w:cs="仿宋"/>
          <w:color w:val="000000" w:themeColor="text1"/>
          <w:sz w:val="18"/>
          <w:szCs w:val="18"/>
          <w14:textFill>
            <w14:solidFill>
              <w14:schemeClr w14:val="tx1"/>
            </w14:solidFill>
          </w14:textFill>
        </w:rPr>
        <w:t>T/DZJN 63</w:t>
      </w:r>
    </w:p>
    <w:p>
      <w:pPr>
        <w:rPr>
          <w:rFonts w:asciiTheme="minorEastAsia" w:hAnsiTheme="minorEastAsia" w:cstheme="minorEastAsia"/>
          <w:color w:val="000000" w:themeColor="text1"/>
          <w:kern w:val="0"/>
          <w:sz w:val="18"/>
          <w:szCs w:val="18"/>
          <w:shd w:val="clear" w:color="auto" w:fill="FFFFFF"/>
          <w14:textFill>
            <w14:solidFill>
              <w14:schemeClr w14:val="tx1"/>
            </w14:solidFill>
          </w14:textFill>
        </w:rPr>
      </w:pPr>
    </w:p>
    <w:p>
      <w:pPr>
        <w:rPr>
          <w:rFonts w:asciiTheme="minorEastAsia" w:hAnsiTheme="minorEastAsia" w:cstheme="minorEastAsia"/>
          <w:color w:val="000000" w:themeColor="text1"/>
          <w:sz w:val="24"/>
          <w:szCs w:val="24"/>
          <w14:textFill>
            <w14:solidFill>
              <w14:schemeClr w14:val="tx1"/>
            </w14:solidFill>
          </w14:textFill>
        </w:rPr>
      </w:pPr>
    </w:p>
    <w:p>
      <w:pPr>
        <w:rPr>
          <w:rStyle w:val="26"/>
          <w:rFonts w:ascii="宋体" w:hAnsi="宋体" w:eastAsia="宋体" w:cs="宋体"/>
          <w:b w:val="0"/>
          <w:bCs/>
          <w:color w:val="000000" w:themeColor="text1"/>
          <w14:textFill>
            <w14:solidFill>
              <w14:schemeClr w14:val="tx1"/>
            </w14:solidFill>
          </w14:textFill>
        </w:rPr>
      </w:pPr>
      <w:bookmarkStart w:id="49" w:name="_Toc6405"/>
      <w:bookmarkStart w:id="50" w:name="_Toc16084499"/>
      <w:bookmarkStart w:id="51" w:name="_Toc10415"/>
    </w:p>
    <w:p>
      <w:pPr>
        <w:rPr>
          <w:rStyle w:val="26"/>
          <w:rFonts w:ascii="宋体" w:hAnsi="宋体" w:eastAsia="宋体" w:cs="宋体"/>
          <w:b w:val="0"/>
          <w:bCs/>
          <w:color w:val="000000" w:themeColor="text1"/>
          <w14:textFill>
            <w14:solidFill>
              <w14:schemeClr w14:val="tx1"/>
            </w14:solidFill>
          </w14:textFill>
        </w:rPr>
      </w:pPr>
    </w:p>
    <w:p>
      <w:pPr>
        <w:rPr>
          <w:rStyle w:val="26"/>
          <w:rFonts w:ascii="宋体" w:hAnsi="宋体" w:eastAsia="宋体" w:cs="宋体"/>
          <w:b w:val="0"/>
          <w:bCs/>
          <w:color w:val="000000" w:themeColor="text1"/>
          <w14:textFill>
            <w14:solidFill>
              <w14:schemeClr w14:val="tx1"/>
            </w14:solidFill>
          </w14:textFill>
        </w:rPr>
      </w:pPr>
    </w:p>
    <w:p>
      <w:pPr>
        <w:rPr>
          <w:rStyle w:val="26"/>
          <w:rFonts w:ascii="宋体" w:hAnsi="宋体" w:eastAsia="宋体" w:cs="宋体"/>
          <w:b w:val="0"/>
          <w:bCs/>
          <w:color w:val="000000" w:themeColor="text1"/>
          <w14:textFill>
            <w14:solidFill>
              <w14:schemeClr w14:val="tx1"/>
            </w14:solidFill>
          </w14:textFill>
        </w:rPr>
      </w:pPr>
    </w:p>
    <w:bookmarkEnd w:id="49"/>
    <w:bookmarkEnd w:id="50"/>
    <w:bookmarkEnd w:id="51"/>
    <w:p>
      <w:pPr>
        <w:jc w:val="center"/>
        <w:rPr>
          <w:rFonts w:hint="eastAsia" w:ascii="宋体" w:hAnsi="宋体" w:eastAsia="宋体" w:cs="仿宋"/>
          <w:color w:val="000000" w:themeColor="text1"/>
          <w:sz w:val="32"/>
          <w:szCs w:val="32"/>
          <w:lang w:val="en-US" w:eastAsia="zh-CN"/>
          <w14:textFill>
            <w14:solidFill>
              <w14:schemeClr w14:val="tx1"/>
            </w14:solidFill>
          </w14:textFill>
        </w:rPr>
      </w:pPr>
    </w:p>
    <w:p>
      <w:pPr>
        <w:jc w:val="center"/>
        <w:rPr>
          <w:rFonts w:ascii="宋体" w:hAnsi="宋体" w:eastAsia="宋体" w:cs="仿宋"/>
          <w:color w:val="000000" w:themeColor="text1"/>
          <w:sz w:val="32"/>
          <w:szCs w:val="32"/>
          <w14:textFill>
            <w14:solidFill>
              <w14:schemeClr w14:val="tx1"/>
            </w14:solidFill>
          </w14:textFill>
        </w:rPr>
      </w:pPr>
      <w:r>
        <w:rPr>
          <w:rFonts w:hint="eastAsia" w:ascii="宋体" w:hAnsi="宋体" w:eastAsia="宋体" w:cs="仿宋"/>
          <w:color w:val="000000" w:themeColor="text1"/>
          <w:sz w:val="32"/>
          <w:szCs w:val="32"/>
          <w:lang w:val="en-US" w:eastAsia="zh-CN"/>
          <w14:textFill>
            <w14:solidFill>
              <w14:schemeClr w14:val="tx1"/>
            </w14:solidFill>
          </w14:textFill>
        </w:rPr>
        <w:t>山西省工程建设地方标准</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jc w:val="center"/>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住宅和商务楼宇光纤到房间</w:t>
      </w:r>
    </w:p>
    <w:p>
      <w:pPr>
        <w:jc w:val="center"/>
        <w:rPr>
          <w:rFonts w:hint="eastAsia" w:ascii="宋体" w:hAnsi="宋体" w:eastAsia="宋体" w:cs="仿宋"/>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（FTTR)工程技术标准</w:t>
      </w:r>
    </w:p>
    <w:p>
      <w:pPr>
        <w:jc w:val="center"/>
        <w:rPr>
          <w:rFonts w:hint="eastAsia" w:ascii="黑体" w:hAnsi="黑体" w:eastAsia="黑体" w:cs="黑体"/>
          <w:bCs/>
          <w:color w:val="000000" w:themeColor="text1"/>
          <w:sz w:val="28"/>
          <w:szCs w:val="28"/>
          <w:lang w:val="en-US" w:eastAsia="zh-CN"/>
          <w14:textFill>
            <w14:solidFill>
              <w14:schemeClr w14:val="tx1"/>
            </w14:solidFill>
          </w14:textFill>
        </w:rPr>
      </w:pPr>
      <w:r>
        <w:rPr>
          <w:rFonts w:hint="eastAsia" w:ascii="黑体" w:hAnsi="黑体" w:eastAsia="黑体" w:cs="黑体"/>
          <w:bCs/>
          <w:color w:val="000000" w:themeColor="text1"/>
          <w:sz w:val="28"/>
          <w:szCs w:val="28"/>
          <w:lang w:val="en-US" w:eastAsia="zh-CN"/>
          <w14:textFill>
            <w14:solidFill>
              <w14:schemeClr w14:val="tx1"/>
            </w14:solidFill>
          </w14:textFill>
        </w:rPr>
        <w:t>DBxx/T xx-2024</w:t>
      </w:r>
    </w:p>
    <w:p>
      <w:pPr>
        <w:pStyle w:val="3"/>
        <w:spacing w:line="240" w:lineRule="auto"/>
        <w:jc w:val="center"/>
        <w:rPr>
          <w:rFonts w:hint="default" w:ascii="宋体" w:hAnsi="宋体" w:eastAsia="宋体" w:cs="宋体"/>
          <w:b w:val="0"/>
          <w:bCs/>
          <w:color w:val="000000" w:themeColor="text1"/>
          <w:sz w:val="32"/>
          <w:szCs w:val="32"/>
          <w:lang w:val="en-US" w:eastAsia="zh-CN"/>
          <w14:textFill>
            <w14:solidFill>
              <w14:schemeClr w14:val="tx1"/>
            </w14:solidFill>
          </w14:textFill>
        </w:rPr>
      </w:pPr>
      <w:bookmarkStart w:id="52" w:name="_Toc18903"/>
      <w:r>
        <w:rPr>
          <w:rFonts w:hint="eastAsia" w:ascii="宋体" w:hAnsi="宋体" w:eastAsia="宋体" w:cs="宋体"/>
          <w:b w:val="0"/>
          <w:bCs/>
          <w:color w:val="000000" w:themeColor="text1"/>
          <w:sz w:val="32"/>
          <w:szCs w:val="32"/>
          <w:lang w:val="en-US" w:eastAsia="zh-CN"/>
          <w14:textFill>
            <w14:solidFill>
              <w14:schemeClr w14:val="tx1"/>
            </w14:solidFill>
          </w14:textFill>
        </w:rPr>
        <w:t>条 文 说 明</w:t>
      </w:r>
      <w:bookmarkEnd w:id="52"/>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jc w:val="center"/>
        <w:rPr>
          <w:rFonts w:hint="eastAsia"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制定说明</w:t>
      </w:r>
    </w:p>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《住宅和商务楼宇光纤到房间（FTTR)工程技术标准》 </w:t>
      </w:r>
      <w:r>
        <w:rPr>
          <w:rFonts w:hint="eastAsia"/>
          <w:color w:val="FF0000"/>
        </w:rPr>
        <w:t>DBJ</w:t>
      </w:r>
      <w:r>
        <w:rPr>
          <w:rFonts w:hint="eastAsia"/>
          <w:color w:val="FF0000"/>
          <w:lang w:val="en-US" w:eastAsia="zh-CN"/>
        </w:rPr>
        <w:t>XX</w:t>
      </w:r>
      <w:r>
        <w:rPr>
          <w:rFonts w:hint="eastAsia"/>
          <w:color w:val="FF0000"/>
        </w:rPr>
        <w:t xml:space="preserve">/ T </w:t>
      </w:r>
      <w:r>
        <w:rPr>
          <w:rFonts w:hint="eastAsia"/>
          <w:color w:val="FF0000"/>
          <w:lang w:val="en-US" w:eastAsia="zh-CN"/>
        </w:rPr>
        <w:t>XX-</w:t>
      </w:r>
      <w:r>
        <w:rPr>
          <w:rFonts w:hint="eastAsia"/>
          <w:color w:val="FF0000"/>
        </w:rPr>
        <w:t>202</w:t>
      </w:r>
      <w:r>
        <w:rPr>
          <w:rFonts w:hint="eastAsia"/>
          <w:color w:val="FF0000"/>
          <w:lang w:val="en-US" w:eastAsia="zh-CN"/>
        </w:rPr>
        <w:t>4</w:t>
      </w:r>
      <w:r>
        <w:rPr>
          <w:rFonts w:hint="eastAsia"/>
          <w:color w:val="000000" w:themeColor="text1"/>
          <w14:textFill>
            <w14:solidFill>
              <w14:schemeClr w14:val="tx1"/>
            </w14:solidFill>
          </w14:textFill>
        </w:rPr>
        <w:t>经山西省住房和城乡建设厅</w:t>
      </w:r>
      <w:r>
        <w:rPr>
          <w:rFonts w:hint="eastAsia"/>
          <w:color w:val="FF0000"/>
        </w:rPr>
        <w:t>202</w:t>
      </w:r>
      <w:r>
        <w:rPr>
          <w:rFonts w:hint="eastAsia"/>
          <w:color w:val="FF0000"/>
          <w:lang w:val="en-US" w:eastAsia="zh-CN"/>
        </w:rPr>
        <w:t>4</w:t>
      </w:r>
      <w:r>
        <w:rPr>
          <w:rFonts w:hint="eastAsia"/>
          <w:color w:val="FF0000"/>
        </w:rPr>
        <w:t>年</w:t>
      </w:r>
      <w:r>
        <w:rPr>
          <w:rFonts w:hint="eastAsia"/>
          <w:color w:val="FF0000"/>
          <w:lang w:val="en-US" w:eastAsia="zh-CN"/>
        </w:rPr>
        <w:t>X</w:t>
      </w:r>
      <w:r>
        <w:rPr>
          <w:rFonts w:hint="eastAsia"/>
          <w:color w:val="FF0000"/>
        </w:rPr>
        <w:t>月</w:t>
      </w:r>
      <w:r>
        <w:rPr>
          <w:rFonts w:hint="eastAsia"/>
          <w:color w:val="FF0000"/>
          <w:lang w:val="en-US" w:eastAsia="zh-CN"/>
        </w:rPr>
        <w:t>X</w:t>
      </w:r>
      <w:r>
        <w:rPr>
          <w:rFonts w:hint="eastAsia"/>
          <w:color w:val="FF0000"/>
        </w:rPr>
        <w:t>日以第</w:t>
      </w:r>
      <w:r>
        <w:rPr>
          <w:rFonts w:hint="eastAsia"/>
          <w:color w:val="FF0000"/>
          <w:lang w:val="en-US" w:eastAsia="zh-CN"/>
        </w:rPr>
        <w:t>XX</w:t>
      </w:r>
      <w:r>
        <w:rPr>
          <w:rFonts w:hint="eastAsia"/>
          <w:color w:val="FF0000"/>
        </w:rPr>
        <w:t>号公告批准发布</w:t>
      </w:r>
      <w:r>
        <w:rPr>
          <w:rFonts w:hint="eastAsia"/>
          <w:color w:val="000000" w:themeColor="text1"/>
          <w14:textFill>
            <w14:solidFill>
              <w14:schemeClr w14:val="tx1"/>
            </w14:solidFill>
          </w14:textFill>
        </w:rPr>
        <w:t>。</w:t>
      </w:r>
    </w:p>
    <w:p>
      <w:pPr>
        <w:ind w:firstLine="42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本标准制定过程中，编制组进行广泛的调查研究，</w:t>
      </w:r>
      <w:r>
        <w:rPr>
          <w:rFonts w:hint="eastAsia"/>
          <w:color w:val="000000" w:themeColor="text1"/>
          <w14:textFill>
            <w14:solidFill>
              <w14:schemeClr w14:val="tx1"/>
            </w14:solidFill>
          </w14:textFill>
        </w:rPr>
        <w:t>在《住宅区和住宅建筑内光纤到户通信设施工程设计规范》GB 50846-2012、《住宅区和住宅建筑内光纤到户通信设施工程施工及验收规范》GB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50847-2012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光纤到户（FTTH）工程施工操作规程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YD/T 5228和《信息通信综合布线系统场景与要求 住宅》YD/T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1384-2023</w:t>
      </w:r>
      <w:r>
        <w:rPr>
          <w:rFonts w:hint="eastAsia"/>
          <w:color w:val="000000" w:themeColor="text1"/>
          <w:lang w:val="en-US" w:eastAsia="zh-CN"/>
          <w14:textFill>
            <w14:solidFill>
              <w14:schemeClr w14:val="tx1"/>
            </w14:solidFill>
          </w14:textFill>
        </w:rPr>
        <w:t>的</w:t>
      </w:r>
      <w:r>
        <w:rPr>
          <w:rFonts w:hint="eastAsia"/>
          <w:color w:val="000000" w:themeColor="text1"/>
          <w14:textFill>
            <w14:solidFill>
              <w14:schemeClr w14:val="tx1"/>
            </w14:solidFill>
          </w14:textFill>
        </w:rPr>
        <w:t>基础上，结合本省光纤到户工程建设情况编制而成的，对住宅和</w:t>
      </w:r>
      <w:r>
        <w:rPr>
          <w:rFonts w:hint="eastAsia"/>
          <w:color w:val="000000" w:themeColor="text1"/>
          <w:lang w:val="en-US" w:eastAsia="zh-CN"/>
          <w14:textFill>
            <w14:solidFill>
              <w14:schemeClr w14:val="tx1"/>
            </w14:solidFill>
          </w14:textFill>
        </w:rPr>
        <w:t>商务楼宇</w:t>
      </w:r>
      <w:r>
        <w:rPr>
          <w:rFonts w:hint="eastAsia"/>
          <w:color w:val="000000" w:themeColor="text1"/>
          <w14:textFill>
            <w14:solidFill>
              <w14:schemeClr w14:val="tx1"/>
            </w14:solidFill>
          </w14:textFill>
        </w:rPr>
        <w:t>光纤到户通信设施工程提出设计、施工和验收的技术要求。</w:t>
      </w:r>
    </w:p>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为便于广大设计、施工、管理等单位有关人员在使用本标准时能正确理解和执行条文规定，编制组按照章、节、条顺序编制了本标准的条文说明，对条文规定的目的、依据以及执行中需要注意的有关事项进行了说明。但是，本条文说明不具备与标准正文同等的法律效力，仅供使用者作为理解和把握标准规定的参考。</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jc w:val="center"/>
        <w:rPr>
          <w:rFonts w:hint="eastAsia"/>
          <w:color w:val="000000" w:themeColor="text1"/>
          <w:sz w:val="30"/>
          <w:szCs w:val="30"/>
          <w:lang w:val="en-US" w:eastAsia="zh-CN"/>
          <w14:textFill>
            <w14:solidFill>
              <w14:schemeClr w14:val="tx1"/>
            </w14:solidFill>
          </w14:textFill>
        </w:rPr>
      </w:pPr>
      <w:r>
        <w:rPr>
          <w:rFonts w:hint="eastAsia"/>
          <w:color w:val="000000" w:themeColor="text1"/>
          <w:sz w:val="30"/>
          <w:szCs w:val="30"/>
          <w:lang w:val="en-US" w:eastAsia="zh-CN"/>
          <w14:textFill>
            <w14:solidFill>
              <w14:schemeClr w14:val="tx1"/>
            </w14:solidFill>
          </w14:textFill>
        </w:rPr>
        <w:t>目   次</w:t>
      </w:r>
    </w:p>
    <w:p>
      <w:pPr>
        <w:pStyle w:val="13"/>
        <w:tabs>
          <w:tab w:val="right" w:leader="dot" w:pos="5262"/>
        </w:tabs>
        <w:rPr>
          <w:rFonts w:hint="eastAsia" w:ascii="宋体" w:hAnsi="宋体" w:eastAsia="宋体" w:cs="宋体"/>
          <w:sz w:val="18"/>
          <w:szCs w:val="18"/>
          <w:lang w:eastAsia="zh-CN"/>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_Toc8122 </w:instrText>
      </w:r>
      <w:r>
        <w:rPr>
          <w:rFonts w:hint="eastAsia" w:ascii="宋体" w:hAnsi="宋体" w:eastAsia="宋体" w:cs="宋体"/>
          <w:sz w:val="18"/>
          <w:szCs w:val="18"/>
        </w:rPr>
        <w:fldChar w:fldCharType="separate"/>
      </w:r>
      <w:r>
        <w:rPr>
          <w:rFonts w:hint="eastAsia" w:ascii="宋体" w:hAnsi="宋体" w:eastAsia="宋体" w:cs="宋体"/>
          <w:bCs/>
          <w:sz w:val="18"/>
          <w:szCs w:val="18"/>
        </w:rPr>
        <w:t>1 总  则</w:t>
      </w:r>
      <w:r>
        <w:rPr>
          <w:rFonts w:hint="eastAsia" w:ascii="宋体" w:hAnsi="宋体" w:eastAsia="宋体" w:cs="宋体"/>
          <w:sz w:val="18"/>
          <w:szCs w:val="18"/>
        </w:rPr>
        <w:tab/>
      </w:r>
      <w:r>
        <w:rPr>
          <w:rFonts w:hint="eastAsia" w:ascii="宋体" w:hAnsi="宋体" w:eastAsia="宋体" w:cs="宋体"/>
          <w:sz w:val="18"/>
          <w:szCs w:val="18"/>
          <w:lang w:val="en-US" w:eastAsia="zh-CN"/>
        </w:rPr>
        <w:t>45</w:t>
      </w:r>
      <w:r>
        <w:rPr>
          <w:rFonts w:hint="eastAsia" w:ascii="宋体" w:hAnsi="宋体" w:eastAsia="宋体" w:cs="宋体"/>
          <w:color w:val="000000" w:themeColor="text1"/>
          <w:sz w:val="18"/>
          <w:szCs w:val="18"/>
          <w14:textFill>
            <w14:solidFill>
              <w14:schemeClr w14:val="tx1"/>
            </w14:solidFill>
          </w14:textFill>
        </w:rPr>
        <w:fldChar w:fldCharType="end"/>
      </w:r>
    </w:p>
    <w:p>
      <w:pPr>
        <w:pStyle w:val="13"/>
        <w:tabs>
          <w:tab w:val="right" w:leader="dot" w:pos="5262"/>
        </w:tabs>
        <w:rPr>
          <w:rFonts w:hint="eastAsia" w:ascii="宋体" w:hAnsi="宋体" w:eastAsia="宋体" w:cs="宋体"/>
          <w:sz w:val="18"/>
          <w:szCs w:val="18"/>
          <w:lang w:val="en-US" w:eastAsia="zh-CN"/>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_Toc995 </w:instrText>
      </w:r>
      <w:r>
        <w:rPr>
          <w:rFonts w:hint="eastAsia" w:ascii="宋体" w:hAnsi="宋体" w:eastAsia="宋体" w:cs="宋体"/>
          <w:sz w:val="18"/>
          <w:szCs w:val="18"/>
        </w:rPr>
        <w:fldChar w:fldCharType="separate"/>
      </w:r>
      <w:r>
        <w:rPr>
          <w:rFonts w:hint="eastAsia" w:ascii="宋体" w:hAnsi="宋体" w:eastAsia="宋体" w:cs="宋体"/>
          <w:bCs/>
          <w:sz w:val="18"/>
          <w:szCs w:val="18"/>
        </w:rPr>
        <w:t>2 术语和符号</w:t>
      </w:r>
      <w:r>
        <w:rPr>
          <w:rFonts w:hint="eastAsia" w:ascii="宋体" w:hAnsi="宋体" w:eastAsia="宋体" w:cs="宋体"/>
          <w:sz w:val="18"/>
          <w:szCs w:val="18"/>
        </w:rPr>
        <w:tab/>
      </w:r>
      <w:r>
        <w:rPr>
          <w:rFonts w:hint="eastAsia" w:ascii="宋体" w:hAnsi="宋体" w:eastAsia="宋体" w:cs="宋体"/>
          <w:sz w:val="18"/>
          <w:szCs w:val="18"/>
          <w:lang w:val="en-US" w:eastAsia="zh-CN"/>
        </w:rPr>
        <w:t>4</w:t>
      </w:r>
      <w:r>
        <w:rPr>
          <w:rFonts w:hint="eastAsia" w:ascii="宋体" w:hAnsi="宋体" w:eastAsia="宋体" w:cs="宋体"/>
          <w:color w:val="000000" w:themeColor="text1"/>
          <w:sz w:val="18"/>
          <w:szCs w:val="18"/>
          <w14:textFill>
            <w14:solidFill>
              <w14:schemeClr w14:val="tx1"/>
            </w14:solidFill>
          </w14:textFill>
        </w:rPr>
        <w:fldChar w:fldCharType="end"/>
      </w:r>
      <w:r>
        <w:rPr>
          <w:rFonts w:hint="eastAsia" w:ascii="宋体" w:hAnsi="宋体" w:eastAsia="宋体" w:cs="宋体"/>
          <w:color w:val="000000" w:themeColor="text1"/>
          <w:sz w:val="18"/>
          <w:szCs w:val="18"/>
          <w:lang w:val="en-US" w:eastAsia="zh-CN"/>
          <w14:textFill>
            <w14:solidFill>
              <w14:schemeClr w14:val="tx1"/>
            </w14:solidFill>
          </w14:textFill>
        </w:rPr>
        <w:t>6</w:t>
      </w:r>
    </w:p>
    <w:p>
      <w:pPr>
        <w:pStyle w:val="13"/>
        <w:tabs>
          <w:tab w:val="right" w:leader="dot" w:pos="5262"/>
        </w:tabs>
        <w:rPr>
          <w:rFonts w:hint="eastAsia" w:ascii="宋体" w:hAnsi="宋体" w:eastAsia="宋体" w:cs="宋体"/>
          <w:sz w:val="18"/>
          <w:szCs w:val="18"/>
          <w:lang w:val="en-US" w:eastAsia="zh-CN"/>
        </w:rPr>
      </w:pPr>
      <w:r>
        <w:rPr>
          <w:rFonts w:hint="eastAsia" w:ascii="宋体" w:hAnsi="宋体" w:eastAsia="宋体" w:cs="宋体"/>
          <w:color w:val="000000" w:themeColor="text1"/>
          <w:sz w:val="18"/>
          <w:szCs w:val="18"/>
          <w14:textFill>
            <w14:solidFill>
              <w14:schemeClr w14:val="tx1"/>
            </w14:solidFill>
          </w14:textFill>
        </w:rPr>
        <w:fldChar w:fldCharType="begin"/>
      </w:r>
      <w:r>
        <w:rPr>
          <w:rFonts w:hint="eastAsia" w:ascii="宋体" w:hAnsi="宋体" w:eastAsia="宋体" w:cs="宋体"/>
          <w:sz w:val="18"/>
          <w:szCs w:val="18"/>
        </w:rPr>
        <w:instrText xml:space="preserve"> HYPERLINK \l _Toc20874 </w:instrText>
      </w:r>
      <w:r>
        <w:rPr>
          <w:rFonts w:hint="eastAsia" w:ascii="宋体" w:hAnsi="宋体" w:eastAsia="宋体" w:cs="宋体"/>
          <w:sz w:val="18"/>
          <w:szCs w:val="18"/>
        </w:rPr>
        <w:fldChar w:fldCharType="separate"/>
      </w:r>
      <w:r>
        <w:rPr>
          <w:rFonts w:hint="eastAsia" w:ascii="宋体" w:hAnsi="宋体" w:eastAsia="宋体" w:cs="宋体"/>
          <w:bCs/>
          <w:sz w:val="18"/>
          <w:szCs w:val="18"/>
        </w:rPr>
        <w:t>3 工程设计</w:t>
      </w:r>
      <w:r>
        <w:rPr>
          <w:rFonts w:hint="eastAsia" w:ascii="宋体" w:hAnsi="宋体" w:eastAsia="宋体" w:cs="宋体"/>
          <w:sz w:val="18"/>
          <w:szCs w:val="18"/>
        </w:rPr>
        <w:tab/>
      </w:r>
      <w:r>
        <w:rPr>
          <w:rFonts w:hint="eastAsia" w:ascii="宋体" w:hAnsi="宋体" w:eastAsia="宋体" w:cs="宋体"/>
          <w:sz w:val="18"/>
          <w:szCs w:val="18"/>
          <w:lang w:val="en-US" w:eastAsia="zh-CN"/>
        </w:rPr>
        <w:t>4</w:t>
      </w:r>
      <w:r>
        <w:rPr>
          <w:rFonts w:hint="eastAsia" w:ascii="宋体" w:hAnsi="宋体" w:eastAsia="宋体" w:cs="宋体"/>
          <w:color w:val="000000" w:themeColor="text1"/>
          <w:sz w:val="18"/>
          <w:szCs w:val="18"/>
          <w14:textFill>
            <w14:solidFill>
              <w14:schemeClr w14:val="tx1"/>
            </w14:solidFill>
          </w14:textFill>
        </w:rPr>
        <w:fldChar w:fldCharType="end"/>
      </w:r>
      <w:r>
        <w:rPr>
          <w:rFonts w:hint="eastAsia" w:ascii="宋体" w:hAnsi="宋体" w:eastAsia="宋体" w:cs="宋体"/>
          <w:color w:val="000000" w:themeColor="text1"/>
          <w:sz w:val="18"/>
          <w:szCs w:val="18"/>
          <w:lang w:val="en-US" w:eastAsia="zh-CN"/>
          <w14:textFill>
            <w14:solidFill>
              <w14:schemeClr w14:val="tx1"/>
            </w14:solidFill>
          </w14:textFill>
        </w:rPr>
        <w:t>7</w:t>
      </w:r>
    </w:p>
    <w:p>
      <w:pPr>
        <w:pStyle w:val="13"/>
        <w:tabs>
          <w:tab w:val="right" w:leader="dot" w:pos="5262"/>
        </w:tabs>
        <w:rPr>
          <w:rFonts w:hint="eastAsia" w:ascii="宋体" w:hAnsi="宋体" w:eastAsia="宋体" w:cs="宋体"/>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pStyle w:val="3"/>
        <w:spacing w:line="240" w:lineRule="auto"/>
        <w:jc w:val="center"/>
        <w:rPr>
          <w:rFonts w:hint="eastAsia" w:ascii="宋体" w:hAnsi="宋体" w:eastAsia="宋体" w:cs="宋体"/>
          <w:b w:val="0"/>
          <w:bCs/>
          <w:color w:val="000000" w:themeColor="text1"/>
          <w:sz w:val="30"/>
          <w:szCs w:val="30"/>
          <w14:textFill>
            <w14:solidFill>
              <w14:schemeClr w14:val="tx1"/>
            </w14:solidFill>
          </w14:textFill>
        </w:rPr>
      </w:pPr>
      <w:bookmarkStart w:id="53" w:name="_Toc4534"/>
      <w:r>
        <w:rPr>
          <w:rFonts w:hint="eastAsia" w:ascii="宋体" w:hAnsi="宋体" w:eastAsia="宋体" w:cs="宋体"/>
          <w:b w:val="0"/>
          <w:bCs/>
          <w:color w:val="000000" w:themeColor="text1"/>
          <w:sz w:val="30"/>
          <w:szCs w:val="30"/>
          <w14:textFill>
            <w14:solidFill>
              <w14:schemeClr w14:val="tx1"/>
            </w14:solidFill>
          </w14:textFill>
        </w:rPr>
        <w:t>1 总  则</w:t>
      </w:r>
      <w:bookmarkEnd w:id="53"/>
    </w:p>
    <w:p>
      <w:pPr>
        <w:ind w:left="7"/>
        <w:rPr>
          <w:rFonts w:hint="eastAsia" w:ascii="宋体" w:hAnsi="宋体" w:eastAsia="宋体" w:cs="仿宋"/>
          <w:color w:val="auto"/>
          <w:sz w:val="18"/>
          <w:szCs w:val="18"/>
          <w:highlight w:val="none"/>
          <w:lang w:val="en-US" w:eastAsia="zh-CN"/>
        </w:rPr>
      </w:pPr>
      <w:r>
        <w:rPr>
          <w:rFonts w:hint="eastAsia" w:ascii="宋体" w:hAnsi="宋体" w:eastAsia="宋体" w:cs="仿宋"/>
          <w:color w:val="auto"/>
          <w:sz w:val="18"/>
          <w:szCs w:val="18"/>
        </w:rPr>
        <w:t xml:space="preserve">1.0.1 </w:t>
      </w:r>
      <w:r>
        <w:rPr>
          <w:rFonts w:hint="eastAsia" w:ascii="宋体" w:hAnsi="宋体" w:eastAsia="宋体" w:cs="仿宋"/>
          <w:color w:val="auto"/>
          <w:sz w:val="18"/>
          <w:szCs w:val="18"/>
          <w:lang w:val="en-US" w:eastAsia="zh-CN"/>
        </w:rPr>
        <w:t>为全面贯</w:t>
      </w:r>
      <w:r>
        <w:rPr>
          <w:rFonts w:hint="eastAsia" w:ascii="宋体" w:hAnsi="宋体" w:eastAsia="宋体" w:cs="仿宋"/>
          <w:color w:val="auto"/>
          <w:sz w:val="18"/>
          <w:szCs w:val="18"/>
          <w:highlight w:val="none"/>
          <w:lang w:val="en-US" w:eastAsia="zh-CN"/>
        </w:rPr>
        <w:t>彻落实</w:t>
      </w:r>
      <w:r>
        <w:rPr>
          <w:rFonts w:hint="eastAsia" w:ascii="宋体" w:hAnsi="宋体" w:eastAsia="宋体" w:cs="仿宋"/>
          <w:color w:val="auto"/>
          <w:sz w:val="18"/>
          <w:szCs w:val="18"/>
          <w:highlight w:val="none"/>
        </w:rPr>
        <w:t>为贯彻落实工业和信息化部《“双千兆”网络协同发展行动计划（2021－2023年）》（工信部通信〔2021〕34号）</w:t>
      </w:r>
      <w:r>
        <w:rPr>
          <w:rFonts w:hint="eastAsia" w:ascii="宋体" w:hAnsi="宋体" w:eastAsia="宋体" w:cs="仿宋"/>
          <w:color w:val="auto"/>
          <w:sz w:val="18"/>
          <w:szCs w:val="18"/>
          <w:lang w:val="en-US" w:eastAsia="zh-CN"/>
        </w:rPr>
        <w:t>和</w:t>
      </w:r>
      <w:r>
        <w:rPr>
          <w:rFonts w:hint="eastAsia" w:ascii="宋体" w:hAnsi="宋体" w:eastAsia="宋体" w:cs="仿宋"/>
          <w:color w:val="auto"/>
          <w:sz w:val="18"/>
          <w:szCs w:val="18"/>
          <w:highlight w:val="none"/>
        </w:rPr>
        <w:t>《山西省“双千兆”网络协同发展实施方案（2021-2023年）》</w:t>
      </w:r>
      <w:r>
        <w:rPr>
          <w:rFonts w:hint="eastAsia" w:ascii="宋体" w:hAnsi="宋体" w:eastAsia="宋体" w:cs="仿宋"/>
          <w:color w:val="auto"/>
          <w:sz w:val="18"/>
          <w:szCs w:val="18"/>
          <w:highlight w:val="none"/>
          <w:lang w:val="en-US" w:eastAsia="zh-CN"/>
        </w:rPr>
        <w:t>的实施，有效改变光纤到房间工程建设中存在着标准不落实，千兆宽带建设受制约，宽带用户权益受损的现象，编制了本标准，以进一步规范我省住宅和商务楼宇光纤到房间通信设施工程的建设。</w:t>
      </w:r>
    </w:p>
    <w:p>
      <w:pPr>
        <w:ind w:left="7"/>
        <w:rPr>
          <w:rFonts w:hint="default"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lang w:val="en-US" w:eastAsia="zh-CN"/>
        </w:rPr>
        <w:t>1.0.2 本标准适用于山西省内新建住宅和商务楼宇</w:t>
      </w:r>
      <w:r>
        <w:rPr>
          <w:rFonts w:hint="eastAsia" w:ascii="宋体" w:hAnsi="宋体" w:eastAsia="宋体" w:cs="仿宋"/>
          <w:sz w:val="18"/>
          <w:szCs w:val="18"/>
        </w:rPr>
        <w:t>光纤到房间（FTTR）</w:t>
      </w:r>
      <w:r>
        <w:rPr>
          <w:rFonts w:hint="eastAsia" w:ascii="宋体" w:hAnsi="宋体" w:eastAsia="宋体" w:cs="仿宋"/>
          <w:color w:val="auto"/>
          <w:sz w:val="18"/>
          <w:szCs w:val="18"/>
          <w:highlight w:val="none"/>
          <w:lang w:val="en-US" w:eastAsia="zh-CN"/>
        </w:rPr>
        <w:t>的新建工程。改、扩建住宅和商务楼宇可参照执行。已建成的住宅和商务楼宇的可按本标准进行逐步改造建设。</w:t>
      </w:r>
    </w:p>
    <w:p>
      <w:pPr>
        <w:ind w:left="7"/>
        <w:rPr>
          <w:rFonts w:hint="default" w:eastAsia="宋体"/>
          <w:color w:val="000000" w:themeColor="text1"/>
          <w:sz w:val="18"/>
          <w:szCs w:val="18"/>
          <w:lang w:val="en-US" w:eastAsia="zh-CN"/>
          <w14:textFill>
            <w14:solidFill>
              <w14:schemeClr w14:val="tx1"/>
            </w14:solidFill>
          </w14:textFill>
        </w:rPr>
      </w:pPr>
      <w:r>
        <w:rPr>
          <w:rFonts w:hint="eastAsia" w:ascii="宋体" w:hAnsi="宋体" w:eastAsia="宋体" w:cs="仿宋"/>
          <w:color w:val="auto"/>
          <w:sz w:val="18"/>
          <w:szCs w:val="18"/>
        </w:rPr>
        <w:t xml:space="preserve">1.0.6 </w:t>
      </w:r>
      <w:r>
        <w:rPr>
          <w:rFonts w:hint="eastAsia" w:ascii="宋体" w:hAnsi="宋体" w:eastAsia="宋体" w:cs="仿宋"/>
          <w:color w:val="auto"/>
          <w:sz w:val="18"/>
          <w:szCs w:val="18"/>
          <w:lang w:val="en-US" w:eastAsia="zh-CN"/>
        </w:rPr>
        <w:t>本标准与新颁布国家、行业标准不一致或未涵盖内容，以新颁布国家、行业标准相关内容为准。</w:t>
      </w:r>
    </w:p>
    <w:p>
      <w:pPr>
        <w:ind w:left="7"/>
        <w:rPr>
          <w:rFonts w:hint="eastAsia"/>
          <w:color w:val="000000" w:themeColor="text1"/>
          <w:sz w:val="18"/>
          <w:szCs w:val="18"/>
          <w:lang w:val="en-US" w:eastAsia="zh-CN"/>
          <w14:textFill>
            <w14:solidFill>
              <w14:schemeClr w14:val="tx1"/>
            </w14:solidFill>
          </w14:textFill>
        </w:rPr>
      </w:pPr>
    </w:p>
    <w:p>
      <w:pPr>
        <w:ind w:left="7"/>
        <w:rPr>
          <w:rFonts w:hint="eastAsia"/>
          <w:color w:val="000000" w:themeColor="text1"/>
          <w:sz w:val="18"/>
          <w:szCs w:val="18"/>
          <w:lang w:val="en-US" w:eastAsia="zh-CN"/>
          <w14:textFill>
            <w14:solidFill>
              <w14:schemeClr w14:val="tx1"/>
            </w14:solidFill>
          </w14:textFill>
        </w:rPr>
      </w:pPr>
    </w:p>
    <w:p>
      <w:pPr>
        <w:ind w:left="7"/>
        <w:rPr>
          <w:rFonts w:hint="eastAsia"/>
          <w:color w:val="000000" w:themeColor="text1"/>
          <w:sz w:val="18"/>
          <w:szCs w:val="18"/>
          <w:lang w:val="en-US" w:eastAsia="zh-CN"/>
          <w14:textFill>
            <w14:solidFill>
              <w14:schemeClr w14:val="tx1"/>
            </w14:solidFill>
          </w14:textFill>
        </w:rPr>
      </w:pPr>
    </w:p>
    <w:p>
      <w:pPr>
        <w:ind w:left="7"/>
        <w:rPr>
          <w:rFonts w:hint="eastAsia"/>
          <w:color w:val="000000" w:themeColor="text1"/>
          <w:sz w:val="18"/>
          <w:szCs w:val="18"/>
          <w:lang w:val="en-US" w:eastAsia="zh-CN"/>
          <w14:textFill>
            <w14:solidFill>
              <w14:schemeClr w14:val="tx1"/>
            </w14:solidFill>
          </w14:textFill>
        </w:rPr>
      </w:pPr>
    </w:p>
    <w:p>
      <w:pPr>
        <w:ind w:left="7"/>
        <w:rPr>
          <w:rFonts w:hint="eastAsia"/>
          <w:color w:val="000000" w:themeColor="text1"/>
          <w:sz w:val="18"/>
          <w:szCs w:val="18"/>
          <w:lang w:val="en-US" w:eastAsia="zh-CN"/>
          <w14:textFill>
            <w14:solidFill>
              <w14:schemeClr w14:val="tx1"/>
            </w14:solidFill>
          </w14:textFill>
        </w:rPr>
      </w:pPr>
    </w:p>
    <w:p>
      <w:pPr>
        <w:rPr>
          <w:rFonts w:hint="eastAsia"/>
          <w:color w:val="000000" w:themeColor="text1"/>
          <w:sz w:val="18"/>
          <w:szCs w:val="18"/>
          <w:lang w:val="en-US" w:eastAsia="zh-CN"/>
          <w14:textFill>
            <w14:solidFill>
              <w14:schemeClr w14:val="tx1"/>
            </w14:solidFill>
          </w14:textFill>
        </w:rPr>
      </w:pPr>
    </w:p>
    <w:p>
      <w:pPr>
        <w:ind w:left="7"/>
        <w:rPr>
          <w:rFonts w:hint="eastAsia"/>
          <w:color w:val="000000" w:themeColor="text1"/>
          <w:sz w:val="18"/>
          <w:szCs w:val="18"/>
          <w:lang w:val="en-US" w:eastAsia="zh-CN"/>
          <w14:textFill>
            <w14:solidFill>
              <w14:schemeClr w14:val="tx1"/>
            </w14:solidFill>
          </w14:textFill>
        </w:rPr>
      </w:pPr>
    </w:p>
    <w:p>
      <w:pPr>
        <w:pStyle w:val="3"/>
        <w:spacing w:line="240" w:lineRule="auto"/>
        <w:ind w:firstLine="1800" w:firstLineChars="600"/>
        <w:rPr>
          <w:rFonts w:ascii="宋体" w:hAnsi="宋体" w:eastAsia="宋体" w:cs="宋体"/>
          <w:b w:val="0"/>
          <w:bCs/>
          <w:color w:val="000000" w:themeColor="text1"/>
          <w14:textFill>
            <w14:solidFill>
              <w14:schemeClr w14:val="tx1"/>
            </w14:solidFill>
          </w14:textFill>
        </w:rPr>
      </w:pPr>
      <w:bookmarkStart w:id="54" w:name="_Toc15689"/>
      <w:r>
        <w:rPr>
          <w:rFonts w:hint="eastAsia" w:ascii="宋体" w:hAnsi="宋体" w:eastAsia="宋体" w:cs="宋体"/>
          <w:b w:val="0"/>
          <w:bCs/>
          <w:color w:val="000000" w:themeColor="text1"/>
          <w:sz w:val="30"/>
          <w:szCs w:val="30"/>
          <w14:textFill>
            <w14:solidFill>
              <w14:schemeClr w14:val="tx1"/>
            </w14:solidFill>
          </w14:textFill>
        </w:rPr>
        <w:t>2 术语和符号</w:t>
      </w:r>
      <w:bookmarkEnd w:id="54"/>
    </w:p>
    <w:p>
      <w:pPr>
        <w:ind w:left="7"/>
        <w:rPr>
          <w:rFonts w:hint="eastAsia" w:ascii="宋体" w:hAnsi="宋体" w:eastAsia="宋体" w:cs="仿宋"/>
          <w:color w:val="FF0000"/>
          <w:sz w:val="18"/>
          <w:szCs w:val="18"/>
          <w:lang w:val="en-US" w:eastAsia="zh-CN"/>
        </w:rPr>
      </w:pPr>
      <w:r>
        <w:rPr>
          <w:rFonts w:hint="eastAsia" w:ascii="宋体" w:hAnsi="宋体" w:eastAsia="宋体" w:cs="仿宋"/>
          <w:color w:val="auto"/>
          <w:sz w:val="18"/>
          <w:szCs w:val="18"/>
        </w:rPr>
        <w:t xml:space="preserve">2.1.1 </w:t>
      </w:r>
      <w:r>
        <w:rPr>
          <w:rFonts w:hint="eastAsia" w:ascii="宋体" w:hAnsi="宋体" w:eastAsia="宋体" w:cs="仿宋"/>
          <w:color w:val="auto"/>
          <w:sz w:val="18"/>
          <w:szCs w:val="18"/>
          <w:lang w:val="en-US" w:eastAsia="zh-CN"/>
        </w:rPr>
        <w:t>住宅区和住宅建筑内光纤到户通信设施的内容不含安全监控、火灾自动报警、计算机局域网及智能化弱电系统等房间内通信配套设施。</w:t>
      </w:r>
    </w:p>
    <w:p>
      <w:pPr>
        <w:ind w:left="7"/>
        <w:rPr>
          <w:rFonts w:hint="default" w:ascii="宋体" w:hAnsi="宋体" w:eastAsia="宋体" w:cs="仿宋"/>
          <w:color w:val="auto"/>
          <w:sz w:val="18"/>
          <w:szCs w:val="18"/>
          <w:highlight w:val="none"/>
          <w:lang w:val="en-US" w:eastAsia="zh-CN"/>
        </w:rPr>
      </w:pPr>
      <w:r>
        <w:rPr>
          <w:rFonts w:hint="eastAsia" w:ascii="宋体" w:hAnsi="宋体" w:eastAsia="宋体" w:cs="仿宋"/>
          <w:color w:val="auto"/>
          <w:sz w:val="18"/>
          <w:szCs w:val="18"/>
          <w:highlight w:val="none"/>
        </w:rPr>
        <w:t>2.1.4 户内线缆</w:t>
      </w:r>
      <w:r>
        <w:rPr>
          <w:rFonts w:hint="eastAsia" w:ascii="宋体" w:hAnsi="宋体" w:eastAsia="宋体" w:cs="仿宋"/>
          <w:color w:val="auto"/>
          <w:sz w:val="18"/>
          <w:szCs w:val="18"/>
          <w:highlight w:val="none"/>
          <w:lang w:val="en-US" w:eastAsia="zh-CN"/>
        </w:rPr>
        <w:t>可采用光缆布线和光电混合缆布线。</w:t>
      </w:r>
    </w:p>
    <w:p>
      <w:pPr>
        <w:ind w:left="7"/>
        <w:rPr>
          <w:rFonts w:hint="default"/>
          <w:color w:val="000000" w:themeColor="text1"/>
          <w:sz w:val="18"/>
          <w:szCs w:val="18"/>
          <w:lang w:val="en-US" w:eastAsia="zh-CN"/>
          <w14:textFill>
            <w14:solidFill>
              <w14:schemeClr w14:val="tx1"/>
            </w14:solidFill>
          </w14:textFill>
        </w:rPr>
      </w:pPr>
    </w:p>
    <w:p>
      <w:pPr>
        <w:ind w:left="7"/>
        <w:rPr>
          <w:rFonts w:hint="default" w:ascii="宋体" w:hAnsi="宋体" w:eastAsia="宋体" w:cs="仿宋"/>
          <w:color w:val="auto"/>
          <w:sz w:val="18"/>
          <w:szCs w:val="18"/>
          <w:highlight w:val="none"/>
          <w:lang w:val="en-US" w:eastAsia="zh-CN"/>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jc w:val="center"/>
        <w:rPr>
          <w:rFonts w:hint="default" w:ascii="宋体" w:hAnsi="宋体" w:eastAsia="宋体" w:cs="宋体"/>
          <w:color w:val="000000" w:themeColor="text1"/>
          <w:szCs w:val="21"/>
          <w:lang w:val="en-US" w:eastAsia="zh-CN"/>
          <w14:textFill>
            <w14:solidFill>
              <w14:schemeClr w14:val="tx1"/>
            </w14:solidFill>
          </w14:textFill>
        </w:rPr>
      </w:pPr>
    </w:p>
    <w:p>
      <w:pPr>
        <w:pStyle w:val="3"/>
        <w:spacing w:line="240" w:lineRule="auto"/>
        <w:ind w:firstLine="1800" w:firstLineChars="600"/>
        <w:rPr>
          <w:rFonts w:hint="eastAsia" w:ascii="宋体" w:hAnsi="宋体" w:eastAsia="宋体" w:cs="宋体"/>
          <w:b w:val="0"/>
          <w:bCs/>
          <w:color w:val="000000" w:themeColor="text1"/>
          <w:sz w:val="30"/>
          <w:szCs w:val="30"/>
          <w14:textFill>
            <w14:solidFill>
              <w14:schemeClr w14:val="tx1"/>
            </w14:solidFill>
          </w14:textFill>
        </w:rPr>
      </w:pPr>
      <w:bookmarkStart w:id="55" w:name="_Toc22254"/>
      <w:r>
        <w:rPr>
          <w:rFonts w:hint="eastAsia" w:ascii="宋体" w:hAnsi="宋体" w:eastAsia="宋体" w:cs="宋体"/>
          <w:b w:val="0"/>
          <w:bCs/>
          <w:color w:val="000000" w:themeColor="text1"/>
          <w:sz w:val="30"/>
          <w:szCs w:val="30"/>
          <w14:textFill>
            <w14:solidFill>
              <w14:schemeClr w14:val="tx1"/>
            </w14:solidFill>
          </w14:textFill>
        </w:rPr>
        <w:t>3 工程设计</w:t>
      </w:r>
      <w:bookmarkEnd w:id="55"/>
    </w:p>
    <w:p>
      <w:pPr>
        <w:jc w:val="center"/>
        <w:rPr>
          <w:rFonts w:hint="eastAsia"/>
        </w:rPr>
      </w:pPr>
      <w:r>
        <w:rPr>
          <w:rFonts w:hint="eastAsia" w:ascii="宋体" w:hAnsi="宋体" w:eastAsia="宋体" w:cs="宋体"/>
          <w:b w:val="0"/>
          <w:bCs/>
          <w:color w:val="000000" w:themeColor="text1"/>
          <w:sz w:val="28"/>
          <w:szCs w:val="28"/>
          <w:lang w:val="en-US" w:eastAsia="zh-CN"/>
          <w14:textFill>
            <w14:solidFill>
              <w14:schemeClr w14:val="tx1"/>
            </w14:solidFill>
          </w14:textFill>
        </w:rPr>
        <w:t>3.1一般规定</w:t>
      </w:r>
    </w:p>
    <w:p>
      <w:pPr>
        <w:ind w:left="7"/>
        <w:rPr>
          <w:rFonts w:hint="default" w:ascii="宋体" w:hAnsi="宋体" w:eastAsia="宋体" w:cs="仿宋"/>
          <w:color w:val="auto"/>
          <w:sz w:val="18"/>
          <w:szCs w:val="18"/>
          <w:lang w:val="en-US" w:eastAsia="zh-CN"/>
        </w:rPr>
      </w:pPr>
      <w:r>
        <w:rPr>
          <w:rFonts w:hint="eastAsia" w:ascii="宋体" w:hAnsi="宋体" w:eastAsia="宋体" w:cs="仿宋"/>
          <w:color w:val="auto"/>
          <w:sz w:val="18"/>
          <w:szCs w:val="18"/>
          <w:lang w:val="en-US" w:eastAsia="zh-CN"/>
        </w:rPr>
        <w:t>3.1.2</w:t>
      </w:r>
      <w:r>
        <w:rPr>
          <w:rFonts w:hint="default" w:ascii="宋体" w:hAnsi="宋体" w:eastAsia="宋体" w:cs="仿宋"/>
          <w:color w:val="auto"/>
          <w:sz w:val="18"/>
          <w:szCs w:val="18"/>
          <w:lang w:val="en-US" w:eastAsia="zh-CN"/>
        </w:rPr>
        <w:t>光缆设施工程建设分工:</w:t>
      </w:r>
    </w:p>
    <w:p>
      <w:pPr>
        <w:ind w:firstLine="360" w:firstLineChars="200"/>
        <w:rPr>
          <w:rFonts w:hint="default" w:ascii="宋体" w:hAnsi="宋体" w:eastAsia="宋体" w:cs="仿宋"/>
          <w:color w:val="auto"/>
          <w:sz w:val="18"/>
          <w:szCs w:val="18"/>
          <w:lang w:val="en-US" w:eastAsia="zh-CN"/>
        </w:rPr>
      </w:pPr>
      <w:r>
        <w:rPr>
          <w:rFonts w:hint="default" w:ascii="宋体" w:hAnsi="宋体" w:eastAsia="宋体" w:cs="仿宋"/>
          <w:color w:val="auto"/>
          <w:sz w:val="18"/>
          <w:szCs w:val="18"/>
          <w:lang w:val="en-US" w:eastAsia="zh-CN"/>
        </w:rPr>
        <w:t>建设单位：负责</w:t>
      </w:r>
      <w:r>
        <w:rPr>
          <w:rFonts w:hint="eastAsia" w:ascii="宋体" w:hAnsi="宋体" w:eastAsia="宋体" w:cs="仿宋"/>
          <w:color w:val="auto"/>
          <w:sz w:val="18"/>
          <w:szCs w:val="18"/>
          <w:lang w:val="en-US" w:eastAsia="zh-CN"/>
        </w:rPr>
        <w:t>家居配线箱</w:t>
      </w:r>
      <w:r>
        <w:rPr>
          <w:rFonts w:hint="default" w:ascii="宋体" w:hAnsi="宋体" w:eastAsia="宋体" w:cs="仿宋"/>
          <w:color w:val="auto"/>
          <w:sz w:val="18"/>
          <w:szCs w:val="18"/>
          <w:lang w:val="en-US" w:eastAsia="zh-CN"/>
        </w:rPr>
        <w:t>、信息插座及用户室内光缆建设。</w:t>
      </w:r>
    </w:p>
    <w:p>
      <w:pPr>
        <w:ind w:left="7" w:firstLine="360" w:firstLineChars="200"/>
        <w:rPr>
          <w:rFonts w:hint="default" w:ascii="宋体" w:hAnsi="宋体" w:eastAsia="宋体" w:cs="仿宋"/>
          <w:color w:val="auto"/>
          <w:sz w:val="18"/>
          <w:szCs w:val="18"/>
          <w:lang w:val="en-US" w:eastAsia="zh-CN"/>
        </w:rPr>
      </w:pPr>
      <w:r>
        <w:rPr>
          <w:rFonts w:hint="default" w:ascii="宋体" w:hAnsi="宋体" w:eastAsia="宋体" w:cs="仿宋"/>
          <w:color w:val="auto"/>
          <w:sz w:val="18"/>
          <w:szCs w:val="18"/>
          <w:lang w:val="en-US" w:eastAsia="zh-CN"/>
        </w:rPr>
        <w:t>电信业务经营者：</w:t>
      </w:r>
      <w:r>
        <w:rPr>
          <w:rFonts w:hint="eastAsia" w:ascii="宋体" w:hAnsi="宋体" w:eastAsia="宋体" w:cs="仿宋"/>
          <w:color w:val="auto"/>
          <w:sz w:val="18"/>
          <w:szCs w:val="18"/>
          <w:lang w:val="en-US" w:eastAsia="zh-CN"/>
        </w:rPr>
        <w:t>负责主从FTTR设备、光分路器</w:t>
      </w:r>
      <w:r>
        <w:rPr>
          <w:rFonts w:hint="default" w:ascii="宋体" w:hAnsi="宋体" w:eastAsia="宋体" w:cs="仿宋"/>
          <w:color w:val="auto"/>
          <w:sz w:val="18"/>
          <w:szCs w:val="18"/>
          <w:lang w:val="en-US" w:eastAsia="zh-CN"/>
        </w:rPr>
        <w:t>的建设。</w:t>
      </w:r>
    </w:p>
    <w:p>
      <w:pPr>
        <w:ind w:left="7"/>
        <w:rPr>
          <w:rFonts w:hint="eastAsia" w:ascii="宋体" w:hAnsi="宋体" w:eastAsia="宋体" w:cs="仿宋"/>
          <w:color w:val="auto"/>
          <w:sz w:val="18"/>
          <w:szCs w:val="18"/>
        </w:rPr>
      </w:pPr>
    </w:p>
    <w:p>
      <w:pPr>
        <w:jc w:val="center"/>
        <w:rPr>
          <w:rFonts w:hint="eastAsia" w:ascii="宋体" w:hAnsi="宋体" w:eastAsia="宋体" w:cs="宋体"/>
          <w:b w:val="0"/>
          <w:bCs/>
          <w:color w:val="000000" w:themeColor="text1"/>
          <w:sz w:val="28"/>
          <w:szCs w:val="28"/>
          <w:lang w:val="en-US" w:eastAsia="zh-CN"/>
          <w14:textFill>
            <w14:solidFill>
              <w14:schemeClr w14:val="tx1"/>
            </w14:solidFill>
          </w14:textFill>
        </w:rPr>
      </w:pPr>
      <w:r>
        <w:rPr>
          <w:rFonts w:hint="eastAsia" w:ascii="宋体" w:hAnsi="宋体" w:eastAsia="宋体" w:cs="宋体"/>
          <w:b w:val="0"/>
          <w:bCs/>
          <w:color w:val="000000" w:themeColor="text1"/>
          <w:sz w:val="28"/>
          <w:szCs w:val="28"/>
          <w:lang w:val="en-US" w:eastAsia="zh-CN"/>
          <w14:textFill>
            <w14:solidFill>
              <w14:schemeClr w14:val="tx1"/>
            </w14:solidFill>
          </w14:textFill>
        </w:rPr>
        <w:t>3.6户内光缆设计</w:t>
      </w:r>
    </w:p>
    <w:p>
      <w:pPr>
        <w:ind w:left="7"/>
        <w:rPr>
          <w:rFonts w:hint="eastAsia" w:ascii="宋体" w:hAnsi="宋体" w:eastAsia="宋体" w:cs="仿宋"/>
          <w:color w:val="auto"/>
          <w:sz w:val="18"/>
          <w:szCs w:val="18"/>
          <w:lang w:val="en-US" w:eastAsia="zh-CN"/>
        </w:rPr>
      </w:pPr>
      <w:r>
        <w:rPr>
          <w:rFonts w:hint="eastAsia" w:ascii="宋体" w:hAnsi="宋体" w:eastAsia="宋体" w:cs="仿宋"/>
          <w:color w:val="auto"/>
          <w:sz w:val="18"/>
          <w:szCs w:val="18"/>
          <w:lang w:val="en-US" w:eastAsia="zh-CN"/>
        </w:rPr>
        <w:t>3.6.1光缆的敷设安装设计</w:t>
      </w:r>
    </w:p>
    <w:p>
      <w:pPr>
        <w:ind w:left="7" w:firstLine="360" w:firstLineChars="200"/>
        <w:rPr>
          <w:rFonts w:hint="default" w:ascii="宋体" w:hAnsi="宋体" w:eastAsia="宋体" w:cs="仿宋"/>
          <w:color w:val="auto"/>
          <w:sz w:val="18"/>
          <w:szCs w:val="18"/>
          <w:lang w:val="en-US" w:eastAsia="zh-CN"/>
        </w:rPr>
      </w:pPr>
      <w:r>
        <w:rPr>
          <w:rFonts w:hint="eastAsia" w:ascii="宋体" w:hAnsi="宋体" w:eastAsia="宋体" w:cs="仿宋"/>
          <w:color w:val="auto"/>
          <w:sz w:val="18"/>
          <w:szCs w:val="18"/>
          <w:lang w:val="en-US" w:eastAsia="zh-CN"/>
        </w:rPr>
        <w:t>缆线的占空比会直接影响到施工的质量与网络的正常运行，用户光缆采用导管方式布放时，应预留一定的冗余量。为避免拉伤线缆，保证传输性能，故提出管径利用率在25%～60%的范围。</w:t>
      </w:r>
    </w:p>
    <w:sectPr>
      <w:footerReference r:id="rId5" w:type="default"/>
      <w:pgSz w:w="7370" w:h="10431"/>
      <w:pgMar w:top="1327" w:right="1026" w:bottom="1327" w:left="1026" w:header="851" w:footer="992" w:gutter="0"/>
      <w:pgBorders>
        <w:top w:val="none" w:sz="0" w:space="0"/>
        <w:left w:val="none" w:sz="0" w:space="0"/>
        <w:bottom w:val="none" w:sz="0" w:space="0"/>
        <w:right w:val="none" w:sz="0" w:space="0"/>
      </w:pgBorders>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iMWZlNGExNmQ3NmE1YmVmOTAzYzIwYTk3ZDVjMWYifQ=="/>
  </w:docVars>
  <w:rsids>
    <w:rsidRoot w:val="00D626A3"/>
    <w:rsid w:val="00004099"/>
    <w:rsid w:val="000062FD"/>
    <w:rsid w:val="00012D72"/>
    <w:rsid w:val="0002561E"/>
    <w:rsid w:val="00046637"/>
    <w:rsid w:val="000645A9"/>
    <w:rsid w:val="0007208F"/>
    <w:rsid w:val="00081658"/>
    <w:rsid w:val="00093BB7"/>
    <w:rsid w:val="000B3152"/>
    <w:rsid w:val="000B31DA"/>
    <w:rsid w:val="000C2A86"/>
    <w:rsid w:val="000D4D5C"/>
    <w:rsid w:val="00116569"/>
    <w:rsid w:val="0011760F"/>
    <w:rsid w:val="00120AA6"/>
    <w:rsid w:val="00130D44"/>
    <w:rsid w:val="00175D3E"/>
    <w:rsid w:val="0018447B"/>
    <w:rsid w:val="001A2E78"/>
    <w:rsid w:val="001B223C"/>
    <w:rsid w:val="001C0C9B"/>
    <w:rsid w:val="001C35EE"/>
    <w:rsid w:val="001D5066"/>
    <w:rsid w:val="001D5DA4"/>
    <w:rsid w:val="002112BC"/>
    <w:rsid w:val="002326BB"/>
    <w:rsid w:val="002506FA"/>
    <w:rsid w:val="0025385F"/>
    <w:rsid w:val="00282C06"/>
    <w:rsid w:val="002B33AC"/>
    <w:rsid w:val="002C0420"/>
    <w:rsid w:val="002C0D19"/>
    <w:rsid w:val="002D7A48"/>
    <w:rsid w:val="002E1963"/>
    <w:rsid w:val="002F7C25"/>
    <w:rsid w:val="00311CF7"/>
    <w:rsid w:val="00311DFB"/>
    <w:rsid w:val="00320845"/>
    <w:rsid w:val="00373CCD"/>
    <w:rsid w:val="003D01B3"/>
    <w:rsid w:val="003D08E6"/>
    <w:rsid w:val="003E06A4"/>
    <w:rsid w:val="003F338D"/>
    <w:rsid w:val="00420D0B"/>
    <w:rsid w:val="004247AB"/>
    <w:rsid w:val="00432319"/>
    <w:rsid w:val="0043590F"/>
    <w:rsid w:val="004444E8"/>
    <w:rsid w:val="00467B5A"/>
    <w:rsid w:val="004739F8"/>
    <w:rsid w:val="00473C8D"/>
    <w:rsid w:val="0048217C"/>
    <w:rsid w:val="00494373"/>
    <w:rsid w:val="00494FFB"/>
    <w:rsid w:val="004955A7"/>
    <w:rsid w:val="004C3D97"/>
    <w:rsid w:val="0053702B"/>
    <w:rsid w:val="00537B16"/>
    <w:rsid w:val="005471C4"/>
    <w:rsid w:val="005539A0"/>
    <w:rsid w:val="005724FF"/>
    <w:rsid w:val="00575B99"/>
    <w:rsid w:val="00594369"/>
    <w:rsid w:val="005955C2"/>
    <w:rsid w:val="005A0FB6"/>
    <w:rsid w:val="005A0FC3"/>
    <w:rsid w:val="005B73AC"/>
    <w:rsid w:val="005C7F77"/>
    <w:rsid w:val="005D2150"/>
    <w:rsid w:val="005E729E"/>
    <w:rsid w:val="005F1B36"/>
    <w:rsid w:val="00642033"/>
    <w:rsid w:val="00646667"/>
    <w:rsid w:val="00647717"/>
    <w:rsid w:val="00670453"/>
    <w:rsid w:val="00670877"/>
    <w:rsid w:val="00691D00"/>
    <w:rsid w:val="006A68F5"/>
    <w:rsid w:val="006A6AA1"/>
    <w:rsid w:val="006B70CB"/>
    <w:rsid w:val="006D30C8"/>
    <w:rsid w:val="006E4FAD"/>
    <w:rsid w:val="0070588B"/>
    <w:rsid w:val="007163F8"/>
    <w:rsid w:val="0073217B"/>
    <w:rsid w:val="007479E5"/>
    <w:rsid w:val="0075567A"/>
    <w:rsid w:val="00771407"/>
    <w:rsid w:val="007A419C"/>
    <w:rsid w:val="007B73F0"/>
    <w:rsid w:val="007C18A0"/>
    <w:rsid w:val="007C7D9A"/>
    <w:rsid w:val="007E589F"/>
    <w:rsid w:val="007F27B7"/>
    <w:rsid w:val="0081430E"/>
    <w:rsid w:val="00815BE3"/>
    <w:rsid w:val="008363C6"/>
    <w:rsid w:val="008421DA"/>
    <w:rsid w:val="008436EF"/>
    <w:rsid w:val="0084662C"/>
    <w:rsid w:val="00850116"/>
    <w:rsid w:val="00864850"/>
    <w:rsid w:val="008776BB"/>
    <w:rsid w:val="00897399"/>
    <w:rsid w:val="008A79D6"/>
    <w:rsid w:val="008D4EE8"/>
    <w:rsid w:val="008E0979"/>
    <w:rsid w:val="008E3FE1"/>
    <w:rsid w:val="008F162A"/>
    <w:rsid w:val="00906786"/>
    <w:rsid w:val="009138CA"/>
    <w:rsid w:val="00930985"/>
    <w:rsid w:val="00946A7E"/>
    <w:rsid w:val="009664CC"/>
    <w:rsid w:val="00974D96"/>
    <w:rsid w:val="0097720D"/>
    <w:rsid w:val="00980047"/>
    <w:rsid w:val="009A3B38"/>
    <w:rsid w:val="009B04EC"/>
    <w:rsid w:val="009D6E4C"/>
    <w:rsid w:val="009F69FA"/>
    <w:rsid w:val="00A055BA"/>
    <w:rsid w:val="00A13A91"/>
    <w:rsid w:val="00A14663"/>
    <w:rsid w:val="00A231B9"/>
    <w:rsid w:val="00A3727B"/>
    <w:rsid w:val="00A374A1"/>
    <w:rsid w:val="00A47020"/>
    <w:rsid w:val="00A805AC"/>
    <w:rsid w:val="00A85B95"/>
    <w:rsid w:val="00A911E0"/>
    <w:rsid w:val="00AA1936"/>
    <w:rsid w:val="00AA2E2A"/>
    <w:rsid w:val="00AB7A64"/>
    <w:rsid w:val="00AC4811"/>
    <w:rsid w:val="00AE3C7E"/>
    <w:rsid w:val="00AF52BA"/>
    <w:rsid w:val="00B00BD6"/>
    <w:rsid w:val="00B07FBB"/>
    <w:rsid w:val="00B17483"/>
    <w:rsid w:val="00B414AA"/>
    <w:rsid w:val="00B51905"/>
    <w:rsid w:val="00B62850"/>
    <w:rsid w:val="00B644E9"/>
    <w:rsid w:val="00B81B1F"/>
    <w:rsid w:val="00B831C2"/>
    <w:rsid w:val="00B91384"/>
    <w:rsid w:val="00BA3803"/>
    <w:rsid w:val="00BB4B1A"/>
    <w:rsid w:val="00BC2EC1"/>
    <w:rsid w:val="00BD2D7E"/>
    <w:rsid w:val="00BE20A8"/>
    <w:rsid w:val="00BE32F3"/>
    <w:rsid w:val="00C12990"/>
    <w:rsid w:val="00C326F5"/>
    <w:rsid w:val="00C37454"/>
    <w:rsid w:val="00C43304"/>
    <w:rsid w:val="00C43F63"/>
    <w:rsid w:val="00CB3C62"/>
    <w:rsid w:val="00CB73A3"/>
    <w:rsid w:val="00CF55F7"/>
    <w:rsid w:val="00CF7A0A"/>
    <w:rsid w:val="00D03026"/>
    <w:rsid w:val="00D053E4"/>
    <w:rsid w:val="00D15F8B"/>
    <w:rsid w:val="00D16685"/>
    <w:rsid w:val="00D16A13"/>
    <w:rsid w:val="00D56CC4"/>
    <w:rsid w:val="00D626A3"/>
    <w:rsid w:val="00D629F3"/>
    <w:rsid w:val="00DA42C9"/>
    <w:rsid w:val="00DE33F3"/>
    <w:rsid w:val="00E0790A"/>
    <w:rsid w:val="00E3206B"/>
    <w:rsid w:val="00E45C15"/>
    <w:rsid w:val="00E57024"/>
    <w:rsid w:val="00E6365D"/>
    <w:rsid w:val="00E71217"/>
    <w:rsid w:val="00E84A2A"/>
    <w:rsid w:val="00E856E6"/>
    <w:rsid w:val="00E924FE"/>
    <w:rsid w:val="00EA5896"/>
    <w:rsid w:val="00EB0C03"/>
    <w:rsid w:val="00F26235"/>
    <w:rsid w:val="00F41406"/>
    <w:rsid w:val="00F551C9"/>
    <w:rsid w:val="00F639C5"/>
    <w:rsid w:val="00F92B47"/>
    <w:rsid w:val="00F944B9"/>
    <w:rsid w:val="00FB4B5D"/>
    <w:rsid w:val="00FB62F5"/>
    <w:rsid w:val="00FC4033"/>
    <w:rsid w:val="010B405F"/>
    <w:rsid w:val="01115B19"/>
    <w:rsid w:val="01187807"/>
    <w:rsid w:val="012375FA"/>
    <w:rsid w:val="01347A59"/>
    <w:rsid w:val="013730A5"/>
    <w:rsid w:val="013E2686"/>
    <w:rsid w:val="015C093B"/>
    <w:rsid w:val="015C48BA"/>
    <w:rsid w:val="016245C6"/>
    <w:rsid w:val="016D145B"/>
    <w:rsid w:val="01802C9E"/>
    <w:rsid w:val="019F1377"/>
    <w:rsid w:val="01A4698D"/>
    <w:rsid w:val="01AC5842"/>
    <w:rsid w:val="01B6046E"/>
    <w:rsid w:val="01BB2C92"/>
    <w:rsid w:val="01C2715E"/>
    <w:rsid w:val="01CA3F1A"/>
    <w:rsid w:val="01D027EB"/>
    <w:rsid w:val="01D76C73"/>
    <w:rsid w:val="01DB2302"/>
    <w:rsid w:val="01FB0577"/>
    <w:rsid w:val="0201417A"/>
    <w:rsid w:val="021D0A29"/>
    <w:rsid w:val="0227136C"/>
    <w:rsid w:val="023A2E4D"/>
    <w:rsid w:val="023D46EC"/>
    <w:rsid w:val="02445A7A"/>
    <w:rsid w:val="0248724F"/>
    <w:rsid w:val="024C0DD3"/>
    <w:rsid w:val="02555ED9"/>
    <w:rsid w:val="025F0B06"/>
    <w:rsid w:val="02702D13"/>
    <w:rsid w:val="02777BFD"/>
    <w:rsid w:val="0284231A"/>
    <w:rsid w:val="02845648"/>
    <w:rsid w:val="02882E14"/>
    <w:rsid w:val="028D5673"/>
    <w:rsid w:val="02924A37"/>
    <w:rsid w:val="029702A0"/>
    <w:rsid w:val="029D33DC"/>
    <w:rsid w:val="02BD21E4"/>
    <w:rsid w:val="02CD1F13"/>
    <w:rsid w:val="02D7069C"/>
    <w:rsid w:val="02DA63DE"/>
    <w:rsid w:val="02EE3C38"/>
    <w:rsid w:val="02F53218"/>
    <w:rsid w:val="030D0562"/>
    <w:rsid w:val="031C07A5"/>
    <w:rsid w:val="031F2043"/>
    <w:rsid w:val="03204C72"/>
    <w:rsid w:val="032A66E3"/>
    <w:rsid w:val="03305FFE"/>
    <w:rsid w:val="03465822"/>
    <w:rsid w:val="03475EDF"/>
    <w:rsid w:val="03612DAE"/>
    <w:rsid w:val="0365214C"/>
    <w:rsid w:val="03655CA8"/>
    <w:rsid w:val="0371289F"/>
    <w:rsid w:val="03724869"/>
    <w:rsid w:val="03795BF7"/>
    <w:rsid w:val="037E320E"/>
    <w:rsid w:val="03922815"/>
    <w:rsid w:val="03A37700"/>
    <w:rsid w:val="03AA7B5F"/>
    <w:rsid w:val="03AF190D"/>
    <w:rsid w:val="03B062ED"/>
    <w:rsid w:val="03BE360A"/>
    <w:rsid w:val="03CC21CB"/>
    <w:rsid w:val="03D270B5"/>
    <w:rsid w:val="03DA48E8"/>
    <w:rsid w:val="03E05C76"/>
    <w:rsid w:val="03E5328D"/>
    <w:rsid w:val="03FB03BA"/>
    <w:rsid w:val="03FB485E"/>
    <w:rsid w:val="040D6B8B"/>
    <w:rsid w:val="040F3E66"/>
    <w:rsid w:val="04213338"/>
    <w:rsid w:val="0429473C"/>
    <w:rsid w:val="043B4C5B"/>
    <w:rsid w:val="044B5AAE"/>
    <w:rsid w:val="045126D0"/>
    <w:rsid w:val="04A24CDA"/>
    <w:rsid w:val="04A3117E"/>
    <w:rsid w:val="04A9786D"/>
    <w:rsid w:val="04B53F67"/>
    <w:rsid w:val="04B62533"/>
    <w:rsid w:val="04C37B86"/>
    <w:rsid w:val="04CB25D7"/>
    <w:rsid w:val="04D23811"/>
    <w:rsid w:val="04D72BD5"/>
    <w:rsid w:val="04D76A33"/>
    <w:rsid w:val="04D806FC"/>
    <w:rsid w:val="04E36675"/>
    <w:rsid w:val="04EB042F"/>
    <w:rsid w:val="04EF5E6F"/>
    <w:rsid w:val="05095B3F"/>
    <w:rsid w:val="050F05C1"/>
    <w:rsid w:val="05146DF7"/>
    <w:rsid w:val="05257DE5"/>
    <w:rsid w:val="0526590B"/>
    <w:rsid w:val="052C76C3"/>
    <w:rsid w:val="053022E6"/>
    <w:rsid w:val="05445D91"/>
    <w:rsid w:val="0548762F"/>
    <w:rsid w:val="054E09BE"/>
    <w:rsid w:val="05504736"/>
    <w:rsid w:val="055B650F"/>
    <w:rsid w:val="056D08A5"/>
    <w:rsid w:val="057A17B3"/>
    <w:rsid w:val="05810D93"/>
    <w:rsid w:val="05850883"/>
    <w:rsid w:val="059565ED"/>
    <w:rsid w:val="05A94AB8"/>
    <w:rsid w:val="05AB4E2D"/>
    <w:rsid w:val="05B31180"/>
    <w:rsid w:val="05B66C8F"/>
    <w:rsid w:val="05B80C59"/>
    <w:rsid w:val="05C07B0D"/>
    <w:rsid w:val="05C5553D"/>
    <w:rsid w:val="05C70041"/>
    <w:rsid w:val="05C70E9C"/>
    <w:rsid w:val="05FA493F"/>
    <w:rsid w:val="0600615C"/>
    <w:rsid w:val="061D0ABC"/>
    <w:rsid w:val="062076F2"/>
    <w:rsid w:val="06316315"/>
    <w:rsid w:val="063858F6"/>
    <w:rsid w:val="0649793E"/>
    <w:rsid w:val="064A5629"/>
    <w:rsid w:val="06587D46"/>
    <w:rsid w:val="065B5A88"/>
    <w:rsid w:val="066B41F4"/>
    <w:rsid w:val="067E2D0E"/>
    <w:rsid w:val="06856661"/>
    <w:rsid w:val="068E5516"/>
    <w:rsid w:val="0696261C"/>
    <w:rsid w:val="06B17456"/>
    <w:rsid w:val="06D027CD"/>
    <w:rsid w:val="06DC3451"/>
    <w:rsid w:val="06DE3B4B"/>
    <w:rsid w:val="06DF5D71"/>
    <w:rsid w:val="06EE4206"/>
    <w:rsid w:val="06F23CF7"/>
    <w:rsid w:val="06F640A1"/>
    <w:rsid w:val="06F832D7"/>
    <w:rsid w:val="07047ECE"/>
    <w:rsid w:val="070E2AFA"/>
    <w:rsid w:val="07124399"/>
    <w:rsid w:val="07177C01"/>
    <w:rsid w:val="071D4AEC"/>
    <w:rsid w:val="071F0F10"/>
    <w:rsid w:val="0721638A"/>
    <w:rsid w:val="07241C47"/>
    <w:rsid w:val="07267E44"/>
    <w:rsid w:val="072F4F4B"/>
    <w:rsid w:val="0737795B"/>
    <w:rsid w:val="073E518E"/>
    <w:rsid w:val="07474FE1"/>
    <w:rsid w:val="0749768F"/>
    <w:rsid w:val="07687BBF"/>
    <w:rsid w:val="077B0190"/>
    <w:rsid w:val="078057A6"/>
    <w:rsid w:val="0788465B"/>
    <w:rsid w:val="078B7CA7"/>
    <w:rsid w:val="0790350F"/>
    <w:rsid w:val="07A1396F"/>
    <w:rsid w:val="07A174CB"/>
    <w:rsid w:val="07C1191B"/>
    <w:rsid w:val="07EA2C20"/>
    <w:rsid w:val="07EA49A8"/>
    <w:rsid w:val="07F43A9E"/>
    <w:rsid w:val="08043469"/>
    <w:rsid w:val="08161C67"/>
    <w:rsid w:val="087B7D1C"/>
    <w:rsid w:val="087E15BA"/>
    <w:rsid w:val="088531DE"/>
    <w:rsid w:val="088F6827"/>
    <w:rsid w:val="089A7CAF"/>
    <w:rsid w:val="08A52FEB"/>
    <w:rsid w:val="08A96637"/>
    <w:rsid w:val="08AA0601"/>
    <w:rsid w:val="08BD6586"/>
    <w:rsid w:val="08CC4A1B"/>
    <w:rsid w:val="08DD2BA6"/>
    <w:rsid w:val="08F16230"/>
    <w:rsid w:val="09120680"/>
    <w:rsid w:val="091B505B"/>
    <w:rsid w:val="09297778"/>
    <w:rsid w:val="0959014C"/>
    <w:rsid w:val="095E1B17"/>
    <w:rsid w:val="098B21E0"/>
    <w:rsid w:val="099A2423"/>
    <w:rsid w:val="099F5C8C"/>
    <w:rsid w:val="09AD65FB"/>
    <w:rsid w:val="09B30424"/>
    <w:rsid w:val="09B72FD5"/>
    <w:rsid w:val="09B94F9F"/>
    <w:rsid w:val="09DC7FC2"/>
    <w:rsid w:val="0A195A3E"/>
    <w:rsid w:val="0A1F36D8"/>
    <w:rsid w:val="0A23066B"/>
    <w:rsid w:val="0A2543E3"/>
    <w:rsid w:val="0A2F5262"/>
    <w:rsid w:val="0A466107"/>
    <w:rsid w:val="0A51425D"/>
    <w:rsid w:val="0A5A2E82"/>
    <w:rsid w:val="0A642BB8"/>
    <w:rsid w:val="0A72306C"/>
    <w:rsid w:val="0A784D07"/>
    <w:rsid w:val="0A801619"/>
    <w:rsid w:val="0A8455AD"/>
    <w:rsid w:val="0A943317"/>
    <w:rsid w:val="0A9B63EE"/>
    <w:rsid w:val="0AA51080"/>
    <w:rsid w:val="0AA7304A"/>
    <w:rsid w:val="0AA979B2"/>
    <w:rsid w:val="0AAA2B3A"/>
    <w:rsid w:val="0AB13EC9"/>
    <w:rsid w:val="0AC91212"/>
    <w:rsid w:val="0AE222D4"/>
    <w:rsid w:val="0AE71698"/>
    <w:rsid w:val="0AEE5EB8"/>
    <w:rsid w:val="0AFC07E1"/>
    <w:rsid w:val="0B057D70"/>
    <w:rsid w:val="0B0E4E77"/>
    <w:rsid w:val="0B1C57E6"/>
    <w:rsid w:val="0B2C4E98"/>
    <w:rsid w:val="0B2E72C7"/>
    <w:rsid w:val="0B2F35E2"/>
    <w:rsid w:val="0B3568A8"/>
    <w:rsid w:val="0B422D73"/>
    <w:rsid w:val="0B497F1C"/>
    <w:rsid w:val="0B5036E2"/>
    <w:rsid w:val="0B5E5DFE"/>
    <w:rsid w:val="0B6251C3"/>
    <w:rsid w:val="0B647277"/>
    <w:rsid w:val="0B7367EA"/>
    <w:rsid w:val="0B796FFB"/>
    <w:rsid w:val="0B7D66D2"/>
    <w:rsid w:val="0B8213C1"/>
    <w:rsid w:val="0B941820"/>
    <w:rsid w:val="0BA14013"/>
    <w:rsid w:val="0BAB4DBC"/>
    <w:rsid w:val="0BB34F8A"/>
    <w:rsid w:val="0BB377CC"/>
    <w:rsid w:val="0BCF0AAA"/>
    <w:rsid w:val="0BCF771F"/>
    <w:rsid w:val="0BD36DF2"/>
    <w:rsid w:val="0BEB340A"/>
    <w:rsid w:val="0BEF2EFA"/>
    <w:rsid w:val="0C006EB6"/>
    <w:rsid w:val="0C0F6320"/>
    <w:rsid w:val="0C127A9F"/>
    <w:rsid w:val="0C405504"/>
    <w:rsid w:val="0C540FAF"/>
    <w:rsid w:val="0C767178"/>
    <w:rsid w:val="0C90360D"/>
    <w:rsid w:val="0CA13776"/>
    <w:rsid w:val="0CA43CE5"/>
    <w:rsid w:val="0CA72FB3"/>
    <w:rsid w:val="0CAA5177"/>
    <w:rsid w:val="0CC46135"/>
    <w:rsid w:val="0CC53C5B"/>
    <w:rsid w:val="0CC872A8"/>
    <w:rsid w:val="0CE56C55"/>
    <w:rsid w:val="0CE80B4D"/>
    <w:rsid w:val="0CF4534E"/>
    <w:rsid w:val="0D1129FD"/>
    <w:rsid w:val="0D1424ED"/>
    <w:rsid w:val="0D350DE1"/>
    <w:rsid w:val="0D35493D"/>
    <w:rsid w:val="0D3606B5"/>
    <w:rsid w:val="0D4D200C"/>
    <w:rsid w:val="0D6214AA"/>
    <w:rsid w:val="0D7A2C98"/>
    <w:rsid w:val="0D8E6D0D"/>
    <w:rsid w:val="0D915BF5"/>
    <w:rsid w:val="0DA33F9D"/>
    <w:rsid w:val="0DA9532B"/>
    <w:rsid w:val="0DAD0977"/>
    <w:rsid w:val="0DC8373D"/>
    <w:rsid w:val="0DC932D7"/>
    <w:rsid w:val="0DDA5762"/>
    <w:rsid w:val="0DDC300B"/>
    <w:rsid w:val="0DF60101"/>
    <w:rsid w:val="0DFF319D"/>
    <w:rsid w:val="0E0D1416"/>
    <w:rsid w:val="0E0F1632"/>
    <w:rsid w:val="0E130163"/>
    <w:rsid w:val="0E13321E"/>
    <w:rsid w:val="0E15476E"/>
    <w:rsid w:val="0E2C1C05"/>
    <w:rsid w:val="0E3E3CC5"/>
    <w:rsid w:val="0E4806A0"/>
    <w:rsid w:val="0E4C74B9"/>
    <w:rsid w:val="0E52151F"/>
    <w:rsid w:val="0E6C0832"/>
    <w:rsid w:val="0E8B0890"/>
    <w:rsid w:val="0E927B6D"/>
    <w:rsid w:val="0EAE0E4B"/>
    <w:rsid w:val="0EBE4E06"/>
    <w:rsid w:val="0EC75F33"/>
    <w:rsid w:val="0ED85EC8"/>
    <w:rsid w:val="0EDB38A2"/>
    <w:rsid w:val="0EEA1757"/>
    <w:rsid w:val="0EF16F8A"/>
    <w:rsid w:val="0EFE3455"/>
    <w:rsid w:val="0F135152"/>
    <w:rsid w:val="0F1727CE"/>
    <w:rsid w:val="0F2A11D0"/>
    <w:rsid w:val="0F346E76"/>
    <w:rsid w:val="0F41055B"/>
    <w:rsid w:val="0F474DFC"/>
    <w:rsid w:val="0F4E7F38"/>
    <w:rsid w:val="0F54564B"/>
    <w:rsid w:val="0F562846"/>
    <w:rsid w:val="0F5B4403"/>
    <w:rsid w:val="0F625791"/>
    <w:rsid w:val="0F657030"/>
    <w:rsid w:val="0F732D5E"/>
    <w:rsid w:val="0F985657"/>
    <w:rsid w:val="0F9A4F2B"/>
    <w:rsid w:val="0F9C5147"/>
    <w:rsid w:val="0FA97864"/>
    <w:rsid w:val="0FBC30F4"/>
    <w:rsid w:val="0FC14BAE"/>
    <w:rsid w:val="0FF87EA4"/>
    <w:rsid w:val="100131FC"/>
    <w:rsid w:val="10223BD7"/>
    <w:rsid w:val="1032785A"/>
    <w:rsid w:val="104319ED"/>
    <w:rsid w:val="10463DDE"/>
    <w:rsid w:val="104B091B"/>
    <w:rsid w:val="105C0433"/>
    <w:rsid w:val="105D430E"/>
    <w:rsid w:val="10727C56"/>
    <w:rsid w:val="107439CE"/>
    <w:rsid w:val="10751948"/>
    <w:rsid w:val="10A65B52"/>
    <w:rsid w:val="10A939CA"/>
    <w:rsid w:val="10B4026F"/>
    <w:rsid w:val="10C2298C"/>
    <w:rsid w:val="10C55FD8"/>
    <w:rsid w:val="10C7659F"/>
    <w:rsid w:val="10CF32FA"/>
    <w:rsid w:val="10D4446D"/>
    <w:rsid w:val="10E24DDC"/>
    <w:rsid w:val="10EC6CB1"/>
    <w:rsid w:val="11286567"/>
    <w:rsid w:val="11292A0B"/>
    <w:rsid w:val="112F1F07"/>
    <w:rsid w:val="114C66F9"/>
    <w:rsid w:val="116E7063"/>
    <w:rsid w:val="117A5014"/>
    <w:rsid w:val="118934A9"/>
    <w:rsid w:val="11967974"/>
    <w:rsid w:val="119D0D03"/>
    <w:rsid w:val="11A325BE"/>
    <w:rsid w:val="11A7392F"/>
    <w:rsid w:val="11B37942"/>
    <w:rsid w:val="11B61715"/>
    <w:rsid w:val="11BA18B5"/>
    <w:rsid w:val="11BB73DB"/>
    <w:rsid w:val="11C95F9C"/>
    <w:rsid w:val="11F052D6"/>
    <w:rsid w:val="11F1104F"/>
    <w:rsid w:val="11F56D91"/>
    <w:rsid w:val="11FF3F33"/>
    <w:rsid w:val="11FF551A"/>
    <w:rsid w:val="12011292"/>
    <w:rsid w:val="122B630F"/>
    <w:rsid w:val="12301B77"/>
    <w:rsid w:val="12303925"/>
    <w:rsid w:val="1230601B"/>
    <w:rsid w:val="12331667"/>
    <w:rsid w:val="12371430"/>
    <w:rsid w:val="123941E9"/>
    <w:rsid w:val="123C49C0"/>
    <w:rsid w:val="124D097B"/>
    <w:rsid w:val="12635AA8"/>
    <w:rsid w:val="126637EB"/>
    <w:rsid w:val="1285458F"/>
    <w:rsid w:val="129B368C"/>
    <w:rsid w:val="12A6008B"/>
    <w:rsid w:val="12A61E39"/>
    <w:rsid w:val="12A84612"/>
    <w:rsid w:val="12C624DB"/>
    <w:rsid w:val="12CC7AF2"/>
    <w:rsid w:val="12D6271E"/>
    <w:rsid w:val="12DD309C"/>
    <w:rsid w:val="12FB3F33"/>
    <w:rsid w:val="13051EB2"/>
    <w:rsid w:val="130A686C"/>
    <w:rsid w:val="130D3C66"/>
    <w:rsid w:val="131D034D"/>
    <w:rsid w:val="1324792E"/>
    <w:rsid w:val="132C67E2"/>
    <w:rsid w:val="133D279D"/>
    <w:rsid w:val="13424BB6"/>
    <w:rsid w:val="134B0934"/>
    <w:rsid w:val="135A334F"/>
    <w:rsid w:val="1384217A"/>
    <w:rsid w:val="13946135"/>
    <w:rsid w:val="13955E87"/>
    <w:rsid w:val="13AC347F"/>
    <w:rsid w:val="13AF71AE"/>
    <w:rsid w:val="13CF35B9"/>
    <w:rsid w:val="13D6674E"/>
    <w:rsid w:val="13E23345"/>
    <w:rsid w:val="13E56991"/>
    <w:rsid w:val="13FA243C"/>
    <w:rsid w:val="13FB26A0"/>
    <w:rsid w:val="140F7C7A"/>
    <w:rsid w:val="142B6A9A"/>
    <w:rsid w:val="142C45C0"/>
    <w:rsid w:val="142E658A"/>
    <w:rsid w:val="144575C9"/>
    <w:rsid w:val="14467430"/>
    <w:rsid w:val="145765ED"/>
    <w:rsid w:val="145A5736"/>
    <w:rsid w:val="145A737F"/>
    <w:rsid w:val="14706BA3"/>
    <w:rsid w:val="148B12E6"/>
    <w:rsid w:val="148B578A"/>
    <w:rsid w:val="148C6A0C"/>
    <w:rsid w:val="149A3C1F"/>
    <w:rsid w:val="149E54BE"/>
    <w:rsid w:val="14A14FAE"/>
    <w:rsid w:val="14A66120"/>
    <w:rsid w:val="14C64A14"/>
    <w:rsid w:val="14E1184E"/>
    <w:rsid w:val="15023C9F"/>
    <w:rsid w:val="15065777"/>
    <w:rsid w:val="150903C2"/>
    <w:rsid w:val="1525173B"/>
    <w:rsid w:val="1525798D"/>
    <w:rsid w:val="15267261"/>
    <w:rsid w:val="152E4A94"/>
    <w:rsid w:val="153B4ABB"/>
    <w:rsid w:val="154A2F50"/>
    <w:rsid w:val="1562473D"/>
    <w:rsid w:val="156264EB"/>
    <w:rsid w:val="156A69D8"/>
    <w:rsid w:val="156C736A"/>
    <w:rsid w:val="156E7876"/>
    <w:rsid w:val="158521DA"/>
    <w:rsid w:val="15897F1C"/>
    <w:rsid w:val="158F4E06"/>
    <w:rsid w:val="159468C1"/>
    <w:rsid w:val="15966195"/>
    <w:rsid w:val="15995BBE"/>
    <w:rsid w:val="159B2A7F"/>
    <w:rsid w:val="15C251DC"/>
    <w:rsid w:val="15C90318"/>
    <w:rsid w:val="15E038B4"/>
    <w:rsid w:val="16021A7C"/>
    <w:rsid w:val="16092E0B"/>
    <w:rsid w:val="1618304E"/>
    <w:rsid w:val="161C0D90"/>
    <w:rsid w:val="16361726"/>
    <w:rsid w:val="163727FD"/>
    <w:rsid w:val="16414353"/>
    <w:rsid w:val="164200CB"/>
    <w:rsid w:val="166167A3"/>
    <w:rsid w:val="16664E01"/>
    <w:rsid w:val="167D1103"/>
    <w:rsid w:val="167D5BE9"/>
    <w:rsid w:val="16900E36"/>
    <w:rsid w:val="1695644C"/>
    <w:rsid w:val="169923E1"/>
    <w:rsid w:val="16A82624"/>
    <w:rsid w:val="16B257E0"/>
    <w:rsid w:val="16B8213B"/>
    <w:rsid w:val="16D03928"/>
    <w:rsid w:val="16DC407B"/>
    <w:rsid w:val="16E45CCE"/>
    <w:rsid w:val="16F05D79"/>
    <w:rsid w:val="16F47617"/>
    <w:rsid w:val="16F564D8"/>
    <w:rsid w:val="17011036"/>
    <w:rsid w:val="170576D4"/>
    <w:rsid w:val="17141A67"/>
    <w:rsid w:val="17367C2F"/>
    <w:rsid w:val="17396E67"/>
    <w:rsid w:val="173E6AE4"/>
    <w:rsid w:val="174270B0"/>
    <w:rsid w:val="174F2A9F"/>
    <w:rsid w:val="1752433D"/>
    <w:rsid w:val="175E421D"/>
    <w:rsid w:val="17650515"/>
    <w:rsid w:val="17760D30"/>
    <w:rsid w:val="177D6498"/>
    <w:rsid w:val="178070FD"/>
    <w:rsid w:val="179B3F36"/>
    <w:rsid w:val="17A96653"/>
    <w:rsid w:val="17AC2EC2"/>
    <w:rsid w:val="17AF09BA"/>
    <w:rsid w:val="17B84AE8"/>
    <w:rsid w:val="17C355BE"/>
    <w:rsid w:val="17C84600"/>
    <w:rsid w:val="17CC2342"/>
    <w:rsid w:val="17CE7E68"/>
    <w:rsid w:val="17D31922"/>
    <w:rsid w:val="17E7717C"/>
    <w:rsid w:val="17EA27C8"/>
    <w:rsid w:val="17ED0AFC"/>
    <w:rsid w:val="17F01D15"/>
    <w:rsid w:val="17F04282"/>
    <w:rsid w:val="17F2779E"/>
    <w:rsid w:val="17F43647"/>
    <w:rsid w:val="180B58B3"/>
    <w:rsid w:val="180E295A"/>
    <w:rsid w:val="181E2472"/>
    <w:rsid w:val="182757CA"/>
    <w:rsid w:val="183C433F"/>
    <w:rsid w:val="18400AE6"/>
    <w:rsid w:val="184A3267"/>
    <w:rsid w:val="185C36C6"/>
    <w:rsid w:val="18635FBC"/>
    <w:rsid w:val="18671F82"/>
    <w:rsid w:val="1867206B"/>
    <w:rsid w:val="187D363C"/>
    <w:rsid w:val="18954E2A"/>
    <w:rsid w:val="189A2443"/>
    <w:rsid w:val="18AE37F5"/>
    <w:rsid w:val="18B21538"/>
    <w:rsid w:val="18C82B09"/>
    <w:rsid w:val="18C94AD3"/>
    <w:rsid w:val="18CE5C46"/>
    <w:rsid w:val="18D84D0B"/>
    <w:rsid w:val="18DA7ADF"/>
    <w:rsid w:val="18DC65B5"/>
    <w:rsid w:val="18DD40DB"/>
    <w:rsid w:val="18DF3CF8"/>
    <w:rsid w:val="18E15979"/>
    <w:rsid w:val="18ED4334"/>
    <w:rsid w:val="18F2402A"/>
    <w:rsid w:val="18FC6C57"/>
    <w:rsid w:val="190855FC"/>
    <w:rsid w:val="190B0D39"/>
    <w:rsid w:val="19137AFC"/>
    <w:rsid w:val="1916004E"/>
    <w:rsid w:val="191B4799"/>
    <w:rsid w:val="192835A8"/>
    <w:rsid w:val="19325B02"/>
    <w:rsid w:val="193361C3"/>
    <w:rsid w:val="193A77B2"/>
    <w:rsid w:val="19457E98"/>
    <w:rsid w:val="195B291D"/>
    <w:rsid w:val="19632832"/>
    <w:rsid w:val="198A24CD"/>
    <w:rsid w:val="198B7A74"/>
    <w:rsid w:val="198F1879"/>
    <w:rsid w:val="19977565"/>
    <w:rsid w:val="19996E8D"/>
    <w:rsid w:val="19A30E80"/>
    <w:rsid w:val="19A76BC3"/>
    <w:rsid w:val="19B65058"/>
    <w:rsid w:val="19BE0E8F"/>
    <w:rsid w:val="19C21C4E"/>
    <w:rsid w:val="19CF6119"/>
    <w:rsid w:val="19D41982"/>
    <w:rsid w:val="19D570A3"/>
    <w:rsid w:val="19E82D37"/>
    <w:rsid w:val="19E962F6"/>
    <w:rsid w:val="19F53DD2"/>
    <w:rsid w:val="1A0062D3"/>
    <w:rsid w:val="1A0933D9"/>
    <w:rsid w:val="1A2F0966"/>
    <w:rsid w:val="1A381F10"/>
    <w:rsid w:val="1A3A7B2F"/>
    <w:rsid w:val="1A5D4C37"/>
    <w:rsid w:val="1A5F749D"/>
    <w:rsid w:val="1A961C18"/>
    <w:rsid w:val="1A9F2BFB"/>
    <w:rsid w:val="1AA44EB0"/>
    <w:rsid w:val="1AA475A6"/>
    <w:rsid w:val="1AAC10B1"/>
    <w:rsid w:val="1ABF618E"/>
    <w:rsid w:val="1AC75FC3"/>
    <w:rsid w:val="1AC9700C"/>
    <w:rsid w:val="1AD25EC1"/>
    <w:rsid w:val="1AD559B1"/>
    <w:rsid w:val="1AE96D67"/>
    <w:rsid w:val="1AEF5A10"/>
    <w:rsid w:val="1AFC1190"/>
    <w:rsid w:val="1B012302"/>
    <w:rsid w:val="1B2B04D1"/>
    <w:rsid w:val="1B2B2B54"/>
    <w:rsid w:val="1B327E84"/>
    <w:rsid w:val="1B3F5132"/>
    <w:rsid w:val="1B4262FD"/>
    <w:rsid w:val="1B484871"/>
    <w:rsid w:val="1B4E4C23"/>
    <w:rsid w:val="1B6A7D6E"/>
    <w:rsid w:val="1B761C0E"/>
    <w:rsid w:val="1B787AE3"/>
    <w:rsid w:val="1B9E5DA3"/>
    <w:rsid w:val="1BB13D28"/>
    <w:rsid w:val="1BC33A5C"/>
    <w:rsid w:val="1BD05DB4"/>
    <w:rsid w:val="1BD47729"/>
    <w:rsid w:val="1BD619E1"/>
    <w:rsid w:val="1BDE43F2"/>
    <w:rsid w:val="1BEF2AA3"/>
    <w:rsid w:val="1BF400B9"/>
    <w:rsid w:val="1BF6798D"/>
    <w:rsid w:val="1C057C34"/>
    <w:rsid w:val="1C250273"/>
    <w:rsid w:val="1C2564C4"/>
    <w:rsid w:val="1C33298F"/>
    <w:rsid w:val="1C3B5CE8"/>
    <w:rsid w:val="1C3F7FC2"/>
    <w:rsid w:val="1C6074FD"/>
    <w:rsid w:val="1C672639"/>
    <w:rsid w:val="1C687C73"/>
    <w:rsid w:val="1C6E5776"/>
    <w:rsid w:val="1C754EB1"/>
    <w:rsid w:val="1C80194D"/>
    <w:rsid w:val="1C84143D"/>
    <w:rsid w:val="1C8C02F2"/>
    <w:rsid w:val="1C997BE2"/>
    <w:rsid w:val="1C9A0C60"/>
    <w:rsid w:val="1C9F3340"/>
    <w:rsid w:val="1CB6711D"/>
    <w:rsid w:val="1CB82E95"/>
    <w:rsid w:val="1CBF5FD1"/>
    <w:rsid w:val="1CC161ED"/>
    <w:rsid w:val="1CC57360"/>
    <w:rsid w:val="1CCC06EE"/>
    <w:rsid w:val="1CCF5742"/>
    <w:rsid w:val="1CD04682"/>
    <w:rsid w:val="1CE71497"/>
    <w:rsid w:val="1CF26D01"/>
    <w:rsid w:val="1D012A8E"/>
    <w:rsid w:val="1D0205B4"/>
    <w:rsid w:val="1D0E742D"/>
    <w:rsid w:val="1D1D0F4A"/>
    <w:rsid w:val="1D1D613C"/>
    <w:rsid w:val="1D232A04"/>
    <w:rsid w:val="1D2642A2"/>
    <w:rsid w:val="1D2B18B9"/>
    <w:rsid w:val="1D2C3EF7"/>
    <w:rsid w:val="1D37025D"/>
    <w:rsid w:val="1D5170CA"/>
    <w:rsid w:val="1D594B7C"/>
    <w:rsid w:val="1D77197C"/>
    <w:rsid w:val="1D7F08B9"/>
    <w:rsid w:val="1D8C78A5"/>
    <w:rsid w:val="1D9E208B"/>
    <w:rsid w:val="1D9E7874"/>
    <w:rsid w:val="1DAF24EA"/>
    <w:rsid w:val="1DB01DBE"/>
    <w:rsid w:val="1DB23D88"/>
    <w:rsid w:val="1DBC715C"/>
    <w:rsid w:val="1DC840A8"/>
    <w:rsid w:val="1DCA10D2"/>
    <w:rsid w:val="1DD60F0D"/>
    <w:rsid w:val="1DE45C08"/>
    <w:rsid w:val="1DF55F4A"/>
    <w:rsid w:val="1DF75C3F"/>
    <w:rsid w:val="1DFF1ED7"/>
    <w:rsid w:val="1E032835"/>
    <w:rsid w:val="1E0C3A57"/>
    <w:rsid w:val="1E1B6F22"/>
    <w:rsid w:val="1E206F43"/>
    <w:rsid w:val="1E220F0E"/>
    <w:rsid w:val="1E4E1D03"/>
    <w:rsid w:val="1E513FF3"/>
    <w:rsid w:val="1E51534F"/>
    <w:rsid w:val="1E5633AE"/>
    <w:rsid w:val="1E5A77C8"/>
    <w:rsid w:val="1E646E41"/>
    <w:rsid w:val="1E6E4153"/>
    <w:rsid w:val="1E734C40"/>
    <w:rsid w:val="1E760144"/>
    <w:rsid w:val="1EA31703"/>
    <w:rsid w:val="1EAA2CB1"/>
    <w:rsid w:val="1EB51D82"/>
    <w:rsid w:val="1EC114EA"/>
    <w:rsid w:val="1EC57AEB"/>
    <w:rsid w:val="1EC91389"/>
    <w:rsid w:val="1EDD3086"/>
    <w:rsid w:val="1EF76613"/>
    <w:rsid w:val="1F106FB8"/>
    <w:rsid w:val="1F1D7927"/>
    <w:rsid w:val="1F204D21"/>
    <w:rsid w:val="1F264A2D"/>
    <w:rsid w:val="1F460C2C"/>
    <w:rsid w:val="1F494278"/>
    <w:rsid w:val="1F552C1D"/>
    <w:rsid w:val="1F572E39"/>
    <w:rsid w:val="1F576995"/>
    <w:rsid w:val="1F6317DE"/>
    <w:rsid w:val="1F7C215B"/>
    <w:rsid w:val="1F7F413E"/>
    <w:rsid w:val="1F913348"/>
    <w:rsid w:val="1FA0658E"/>
    <w:rsid w:val="1FA31BDA"/>
    <w:rsid w:val="1FAB6CE1"/>
    <w:rsid w:val="1FAD4807"/>
    <w:rsid w:val="1FB24FF4"/>
    <w:rsid w:val="1FB931AC"/>
    <w:rsid w:val="1FC61CE9"/>
    <w:rsid w:val="2007660D"/>
    <w:rsid w:val="200A1BDC"/>
    <w:rsid w:val="2020684D"/>
    <w:rsid w:val="202B54FC"/>
    <w:rsid w:val="204607B7"/>
    <w:rsid w:val="20480F46"/>
    <w:rsid w:val="204D7D98"/>
    <w:rsid w:val="205E3D53"/>
    <w:rsid w:val="20686980"/>
    <w:rsid w:val="207D32C4"/>
    <w:rsid w:val="207E43F5"/>
    <w:rsid w:val="20826125"/>
    <w:rsid w:val="20996921"/>
    <w:rsid w:val="209C6E54"/>
    <w:rsid w:val="209E05F3"/>
    <w:rsid w:val="209F6845"/>
    <w:rsid w:val="20A26336"/>
    <w:rsid w:val="20AF495F"/>
    <w:rsid w:val="20B40695"/>
    <w:rsid w:val="20BE74B3"/>
    <w:rsid w:val="20C11717"/>
    <w:rsid w:val="21001F4B"/>
    <w:rsid w:val="21127F8C"/>
    <w:rsid w:val="21423675"/>
    <w:rsid w:val="21522262"/>
    <w:rsid w:val="21556F04"/>
    <w:rsid w:val="215F1C47"/>
    <w:rsid w:val="21667363"/>
    <w:rsid w:val="21696E53"/>
    <w:rsid w:val="21707EDA"/>
    <w:rsid w:val="21845A3B"/>
    <w:rsid w:val="218D48F0"/>
    <w:rsid w:val="218D5FC4"/>
    <w:rsid w:val="21916BF9"/>
    <w:rsid w:val="21937A2C"/>
    <w:rsid w:val="219A525F"/>
    <w:rsid w:val="219C5C35"/>
    <w:rsid w:val="219F2875"/>
    <w:rsid w:val="219F6C98"/>
    <w:rsid w:val="21AB5B56"/>
    <w:rsid w:val="21BA145D"/>
    <w:rsid w:val="21C347B6"/>
    <w:rsid w:val="21C46C8E"/>
    <w:rsid w:val="21C978F2"/>
    <w:rsid w:val="21CB71C6"/>
    <w:rsid w:val="21CE6CB6"/>
    <w:rsid w:val="21D818E3"/>
    <w:rsid w:val="21DE514B"/>
    <w:rsid w:val="21F11323"/>
    <w:rsid w:val="220A4192"/>
    <w:rsid w:val="222114DC"/>
    <w:rsid w:val="222F1E4B"/>
    <w:rsid w:val="22347461"/>
    <w:rsid w:val="22372AAE"/>
    <w:rsid w:val="225B2C40"/>
    <w:rsid w:val="225C2514"/>
    <w:rsid w:val="22605DD5"/>
    <w:rsid w:val="226B2757"/>
    <w:rsid w:val="22793142"/>
    <w:rsid w:val="227E06DD"/>
    <w:rsid w:val="228A52D3"/>
    <w:rsid w:val="228B03EA"/>
    <w:rsid w:val="22A5210D"/>
    <w:rsid w:val="22C5630B"/>
    <w:rsid w:val="22C82EA6"/>
    <w:rsid w:val="22D2646E"/>
    <w:rsid w:val="22E83DA8"/>
    <w:rsid w:val="22EC4296"/>
    <w:rsid w:val="22ED68F0"/>
    <w:rsid w:val="22F4274D"/>
    <w:rsid w:val="22F83FEB"/>
    <w:rsid w:val="23056708"/>
    <w:rsid w:val="230D0ED6"/>
    <w:rsid w:val="231132FF"/>
    <w:rsid w:val="231921B3"/>
    <w:rsid w:val="231D7E1D"/>
    <w:rsid w:val="233203DD"/>
    <w:rsid w:val="23333275"/>
    <w:rsid w:val="233A0AA7"/>
    <w:rsid w:val="234C07DB"/>
    <w:rsid w:val="235002CB"/>
    <w:rsid w:val="23574F07"/>
    <w:rsid w:val="235F24E3"/>
    <w:rsid w:val="23690CAB"/>
    <w:rsid w:val="2369138D"/>
    <w:rsid w:val="237D0994"/>
    <w:rsid w:val="23805875"/>
    <w:rsid w:val="23827D58"/>
    <w:rsid w:val="238E494F"/>
    <w:rsid w:val="239301B8"/>
    <w:rsid w:val="2393640A"/>
    <w:rsid w:val="239F090A"/>
    <w:rsid w:val="23A45F21"/>
    <w:rsid w:val="23BA5744"/>
    <w:rsid w:val="23C30A9D"/>
    <w:rsid w:val="23CB7951"/>
    <w:rsid w:val="23D26F32"/>
    <w:rsid w:val="23D5432C"/>
    <w:rsid w:val="23E12CD1"/>
    <w:rsid w:val="23E629DD"/>
    <w:rsid w:val="23E822B1"/>
    <w:rsid w:val="23F30C56"/>
    <w:rsid w:val="241C1F5B"/>
    <w:rsid w:val="2420680B"/>
    <w:rsid w:val="24221DCC"/>
    <w:rsid w:val="242F6132"/>
    <w:rsid w:val="243B4AD7"/>
    <w:rsid w:val="243C43AB"/>
    <w:rsid w:val="243E45C7"/>
    <w:rsid w:val="24403968"/>
    <w:rsid w:val="245F009A"/>
    <w:rsid w:val="246E0C6B"/>
    <w:rsid w:val="247753E3"/>
    <w:rsid w:val="2482683B"/>
    <w:rsid w:val="24831FDA"/>
    <w:rsid w:val="249C5741"/>
    <w:rsid w:val="24A106B2"/>
    <w:rsid w:val="24A263FE"/>
    <w:rsid w:val="24AF7273"/>
    <w:rsid w:val="24B11017"/>
    <w:rsid w:val="24B707B9"/>
    <w:rsid w:val="24B86128"/>
    <w:rsid w:val="24BC729A"/>
    <w:rsid w:val="24C85C3F"/>
    <w:rsid w:val="24CF521F"/>
    <w:rsid w:val="24D26ABE"/>
    <w:rsid w:val="24D62E06"/>
    <w:rsid w:val="24D82326"/>
    <w:rsid w:val="24DC16EA"/>
    <w:rsid w:val="24DD5B8E"/>
    <w:rsid w:val="24EA3D79"/>
    <w:rsid w:val="24EB1E31"/>
    <w:rsid w:val="24F1163A"/>
    <w:rsid w:val="24F84776"/>
    <w:rsid w:val="25237319"/>
    <w:rsid w:val="252A06A8"/>
    <w:rsid w:val="252F1AE8"/>
    <w:rsid w:val="253357AE"/>
    <w:rsid w:val="256242E5"/>
    <w:rsid w:val="25697422"/>
    <w:rsid w:val="25755DC7"/>
    <w:rsid w:val="25761B3F"/>
    <w:rsid w:val="25781413"/>
    <w:rsid w:val="25872554"/>
    <w:rsid w:val="259D0E7A"/>
    <w:rsid w:val="25A93F7B"/>
    <w:rsid w:val="25B16263"/>
    <w:rsid w:val="25B3069D"/>
    <w:rsid w:val="25B775B1"/>
    <w:rsid w:val="25C91C6F"/>
    <w:rsid w:val="25CA334A"/>
    <w:rsid w:val="25D32AED"/>
    <w:rsid w:val="25DC4098"/>
    <w:rsid w:val="260A6859"/>
    <w:rsid w:val="2627651F"/>
    <w:rsid w:val="2628197C"/>
    <w:rsid w:val="26282E39"/>
    <w:rsid w:val="265770DF"/>
    <w:rsid w:val="266A3452"/>
    <w:rsid w:val="266B71CA"/>
    <w:rsid w:val="266F2816"/>
    <w:rsid w:val="26773DC1"/>
    <w:rsid w:val="267F67D1"/>
    <w:rsid w:val="26832765"/>
    <w:rsid w:val="26881206"/>
    <w:rsid w:val="269C15C8"/>
    <w:rsid w:val="269C55D5"/>
    <w:rsid w:val="26BD5C77"/>
    <w:rsid w:val="26C03072"/>
    <w:rsid w:val="26C1503C"/>
    <w:rsid w:val="26C214EB"/>
    <w:rsid w:val="26CB1A16"/>
    <w:rsid w:val="26DE0F6E"/>
    <w:rsid w:val="26EA3BF4"/>
    <w:rsid w:val="26EF3957"/>
    <w:rsid w:val="26F85D4F"/>
    <w:rsid w:val="270B7AE7"/>
    <w:rsid w:val="270D0F81"/>
    <w:rsid w:val="27117D71"/>
    <w:rsid w:val="2714160F"/>
    <w:rsid w:val="27160EE4"/>
    <w:rsid w:val="271B299E"/>
    <w:rsid w:val="271D04C4"/>
    <w:rsid w:val="27223D2C"/>
    <w:rsid w:val="2725381D"/>
    <w:rsid w:val="272C6609"/>
    <w:rsid w:val="27324AFE"/>
    <w:rsid w:val="273A0CE8"/>
    <w:rsid w:val="27455C6D"/>
    <w:rsid w:val="27483067"/>
    <w:rsid w:val="274A6DDF"/>
    <w:rsid w:val="276B5AE1"/>
    <w:rsid w:val="27781B9E"/>
    <w:rsid w:val="27887A53"/>
    <w:rsid w:val="279369D8"/>
    <w:rsid w:val="27A26C1B"/>
    <w:rsid w:val="27B626C7"/>
    <w:rsid w:val="27BA5FBC"/>
    <w:rsid w:val="27C60B5C"/>
    <w:rsid w:val="27D35027"/>
    <w:rsid w:val="27D84FB5"/>
    <w:rsid w:val="27DF1C1D"/>
    <w:rsid w:val="27E64D5A"/>
    <w:rsid w:val="28047C1D"/>
    <w:rsid w:val="282633A8"/>
    <w:rsid w:val="282B09BF"/>
    <w:rsid w:val="283006CB"/>
    <w:rsid w:val="283755B5"/>
    <w:rsid w:val="283D06F2"/>
    <w:rsid w:val="284D66ED"/>
    <w:rsid w:val="286345FC"/>
    <w:rsid w:val="286B7E55"/>
    <w:rsid w:val="28757E8C"/>
    <w:rsid w:val="28920A3E"/>
    <w:rsid w:val="28A15125"/>
    <w:rsid w:val="28A30E9D"/>
    <w:rsid w:val="28A864B3"/>
    <w:rsid w:val="28CB56A3"/>
    <w:rsid w:val="28E87A85"/>
    <w:rsid w:val="28EF3ACE"/>
    <w:rsid w:val="28EF4C46"/>
    <w:rsid w:val="28EF7C3E"/>
    <w:rsid w:val="28F4137E"/>
    <w:rsid w:val="290851A4"/>
    <w:rsid w:val="290A4EA3"/>
    <w:rsid w:val="290E4ED2"/>
    <w:rsid w:val="291D066E"/>
    <w:rsid w:val="29233D8C"/>
    <w:rsid w:val="29283150"/>
    <w:rsid w:val="29312005"/>
    <w:rsid w:val="293271A5"/>
    <w:rsid w:val="293B10D5"/>
    <w:rsid w:val="2968319A"/>
    <w:rsid w:val="29695805"/>
    <w:rsid w:val="29885530"/>
    <w:rsid w:val="298E3D79"/>
    <w:rsid w:val="298E7457"/>
    <w:rsid w:val="29910CF5"/>
    <w:rsid w:val="29931FE9"/>
    <w:rsid w:val="29A25EB5"/>
    <w:rsid w:val="29A51F1F"/>
    <w:rsid w:val="29B01A8B"/>
    <w:rsid w:val="29C0782D"/>
    <w:rsid w:val="29CF181E"/>
    <w:rsid w:val="29F03A80"/>
    <w:rsid w:val="29F70520"/>
    <w:rsid w:val="29FA2D3E"/>
    <w:rsid w:val="2A104310"/>
    <w:rsid w:val="2A110088"/>
    <w:rsid w:val="2A1132FB"/>
    <w:rsid w:val="2A16744D"/>
    <w:rsid w:val="2A293624"/>
    <w:rsid w:val="2A3A138D"/>
    <w:rsid w:val="2A50295E"/>
    <w:rsid w:val="2A522B7B"/>
    <w:rsid w:val="2A5E32CD"/>
    <w:rsid w:val="2A6401B8"/>
    <w:rsid w:val="2A6D3510"/>
    <w:rsid w:val="2A7D127A"/>
    <w:rsid w:val="2A89317C"/>
    <w:rsid w:val="2A944F41"/>
    <w:rsid w:val="2A952A67"/>
    <w:rsid w:val="2A97233B"/>
    <w:rsid w:val="2A9A007E"/>
    <w:rsid w:val="2A9A1E2C"/>
    <w:rsid w:val="2AAA4765"/>
    <w:rsid w:val="2AAD51F3"/>
    <w:rsid w:val="2AB54EB7"/>
    <w:rsid w:val="2AB70C30"/>
    <w:rsid w:val="2AB949A8"/>
    <w:rsid w:val="2AC33E99"/>
    <w:rsid w:val="2ACB0237"/>
    <w:rsid w:val="2ACB6D8B"/>
    <w:rsid w:val="2AD749A5"/>
    <w:rsid w:val="2ADC2444"/>
    <w:rsid w:val="2AFA28CA"/>
    <w:rsid w:val="2B141BDE"/>
    <w:rsid w:val="2B1C0A93"/>
    <w:rsid w:val="2B1C6CE5"/>
    <w:rsid w:val="2B2436DC"/>
    <w:rsid w:val="2B312790"/>
    <w:rsid w:val="2B4029D3"/>
    <w:rsid w:val="2B481888"/>
    <w:rsid w:val="2B522260"/>
    <w:rsid w:val="2B5566C2"/>
    <w:rsid w:val="2B663FF8"/>
    <w:rsid w:val="2B692A3F"/>
    <w:rsid w:val="2B6A5CA2"/>
    <w:rsid w:val="2B6A7A50"/>
    <w:rsid w:val="2B715FD2"/>
    <w:rsid w:val="2B807762"/>
    <w:rsid w:val="2B9176D3"/>
    <w:rsid w:val="2BA07916"/>
    <w:rsid w:val="2BB46F1D"/>
    <w:rsid w:val="2BD30C4F"/>
    <w:rsid w:val="2BF10171"/>
    <w:rsid w:val="2C027C88"/>
    <w:rsid w:val="2C0A3B4A"/>
    <w:rsid w:val="2C1005F7"/>
    <w:rsid w:val="2C167BD8"/>
    <w:rsid w:val="2C1A1476"/>
    <w:rsid w:val="2C1C3440"/>
    <w:rsid w:val="2C2B5431"/>
    <w:rsid w:val="2C31056E"/>
    <w:rsid w:val="2C42277B"/>
    <w:rsid w:val="2C5123DB"/>
    <w:rsid w:val="2C602C01"/>
    <w:rsid w:val="2C6B3A80"/>
    <w:rsid w:val="2C894183"/>
    <w:rsid w:val="2C972AC7"/>
    <w:rsid w:val="2CC612CF"/>
    <w:rsid w:val="2CC82C80"/>
    <w:rsid w:val="2CCB3541"/>
    <w:rsid w:val="2CCD473A"/>
    <w:rsid w:val="2CEB696E"/>
    <w:rsid w:val="2CEF2903"/>
    <w:rsid w:val="2CF03F85"/>
    <w:rsid w:val="2D085772"/>
    <w:rsid w:val="2D0A14EA"/>
    <w:rsid w:val="2D0D3DC3"/>
    <w:rsid w:val="2D1007D8"/>
    <w:rsid w:val="2D152ECD"/>
    <w:rsid w:val="2D1F0EDE"/>
    <w:rsid w:val="2D216834"/>
    <w:rsid w:val="2D257DDB"/>
    <w:rsid w:val="2D32459D"/>
    <w:rsid w:val="2D434DF2"/>
    <w:rsid w:val="2D4367AA"/>
    <w:rsid w:val="2D564730"/>
    <w:rsid w:val="2D594220"/>
    <w:rsid w:val="2D6230D5"/>
    <w:rsid w:val="2D742E08"/>
    <w:rsid w:val="2D766B80"/>
    <w:rsid w:val="2D811081"/>
    <w:rsid w:val="2D880661"/>
    <w:rsid w:val="2DAB44BC"/>
    <w:rsid w:val="2DAD00C8"/>
    <w:rsid w:val="2DD1025A"/>
    <w:rsid w:val="2DD12008"/>
    <w:rsid w:val="2DD80C0B"/>
    <w:rsid w:val="2DE24215"/>
    <w:rsid w:val="2DED347A"/>
    <w:rsid w:val="2DF06932"/>
    <w:rsid w:val="2E0777D8"/>
    <w:rsid w:val="2E0E0B66"/>
    <w:rsid w:val="2E160BD7"/>
    <w:rsid w:val="2E171ED1"/>
    <w:rsid w:val="2E174A11"/>
    <w:rsid w:val="2E1D349F"/>
    <w:rsid w:val="2E352597"/>
    <w:rsid w:val="2E444588"/>
    <w:rsid w:val="2E536437"/>
    <w:rsid w:val="2E5537A2"/>
    <w:rsid w:val="2E6A6780"/>
    <w:rsid w:val="2E7F1A64"/>
    <w:rsid w:val="2E894B47"/>
    <w:rsid w:val="2E8B21B7"/>
    <w:rsid w:val="2E8F4E79"/>
    <w:rsid w:val="2EA45BC6"/>
    <w:rsid w:val="2EA6465D"/>
    <w:rsid w:val="2ECB2EFB"/>
    <w:rsid w:val="2EED10C4"/>
    <w:rsid w:val="2EED4C20"/>
    <w:rsid w:val="2EED69CE"/>
    <w:rsid w:val="2F041F69"/>
    <w:rsid w:val="2F081A5A"/>
    <w:rsid w:val="2F0A3A24"/>
    <w:rsid w:val="2F155F25"/>
    <w:rsid w:val="2F1A79DF"/>
    <w:rsid w:val="2F1C72B3"/>
    <w:rsid w:val="2F234AE5"/>
    <w:rsid w:val="2F3565C7"/>
    <w:rsid w:val="2F3960B7"/>
    <w:rsid w:val="2F40000E"/>
    <w:rsid w:val="2F473CEA"/>
    <w:rsid w:val="2F594063"/>
    <w:rsid w:val="2F5A7DDB"/>
    <w:rsid w:val="2F5C3B54"/>
    <w:rsid w:val="2F625E5E"/>
    <w:rsid w:val="2F81180C"/>
    <w:rsid w:val="2F884949"/>
    <w:rsid w:val="2F8D01B1"/>
    <w:rsid w:val="2F8D1F5F"/>
    <w:rsid w:val="2F8F217B"/>
    <w:rsid w:val="2F947237"/>
    <w:rsid w:val="2F9652B7"/>
    <w:rsid w:val="2F9C21A2"/>
    <w:rsid w:val="2FA07EE4"/>
    <w:rsid w:val="2FAD44A4"/>
    <w:rsid w:val="2FB3473C"/>
    <w:rsid w:val="2FBB6ACC"/>
    <w:rsid w:val="2FBE036A"/>
    <w:rsid w:val="2FC811E9"/>
    <w:rsid w:val="2FD162F0"/>
    <w:rsid w:val="2FDE27BA"/>
    <w:rsid w:val="2FDE6C5E"/>
    <w:rsid w:val="2FE801F3"/>
    <w:rsid w:val="2FEC4ED7"/>
    <w:rsid w:val="2FFB15BE"/>
    <w:rsid w:val="2FFC1D2A"/>
    <w:rsid w:val="30032221"/>
    <w:rsid w:val="300466C5"/>
    <w:rsid w:val="300E12F2"/>
    <w:rsid w:val="302848BB"/>
    <w:rsid w:val="303B2136"/>
    <w:rsid w:val="30422D49"/>
    <w:rsid w:val="304E16EE"/>
    <w:rsid w:val="30676C54"/>
    <w:rsid w:val="306A22A0"/>
    <w:rsid w:val="30766E97"/>
    <w:rsid w:val="307C26FF"/>
    <w:rsid w:val="307F3F9D"/>
    <w:rsid w:val="3088148F"/>
    <w:rsid w:val="30906277"/>
    <w:rsid w:val="30980BBB"/>
    <w:rsid w:val="30A21A3A"/>
    <w:rsid w:val="30AB6B41"/>
    <w:rsid w:val="30B5176D"/>
    <w:rsid w:val="30BB5106"/>
    <w:rsid w:val="30BD068F"/>
    <w:rsid w:val="30C340B3"/>
    <w:rsid w:val="30C714A1"/>
    <w:rsid w:val="30CE77AE"/>
    <w:rsid w:val="30D42DE0"/>
    <w:rsid w:val="30D81900"/>
    <w:rsid w:val="30E03A94"/>
    <w:rsid w:val="30E43E01"/>
    <w:rsid w:val="30F960DF"/>
    <w:rsid w:val="30FF6E8C"/>
    <w:rsid w:val="31133301"/>
    <w:rsid w:val="311961A0"/>
    <w:rsid w:val="311C3ACB"/>
    <w:rsid w:val="312220E2"/>
    <w:rsid w:val="312608BD"/>
    <w:rsid w:val="31322DBE"/>
    <w:rsid w:val="31327262"/>
    <w:rsid w:val="313C66E7"/>
    <w:rsid w:val="31480833"/>
    <w:rsid w:val="314C6250"/>
    <w:rsid w:val="3175714F"/>
    <w:rsid w:val="31772EC7"/>
    <w:rsid w:val="31821C7E"/>
    <w:rsid w:val="318E32AB"/>
    <w:rsid w:val="31A0707C"/>
    <w:rsid w:val="31A677D0"/>
    <w:rsid w:val="31AA504A"/>
    <w:rsid w:val="31B4400C"/>
    <w:rsid w:val="31B47C77"/>
    <w:rsid w:val="31BB1005"/>
    <w:rsid w:val="31BC0551"/>
    <w:rsid w:val="31CA1248"/>
    <w:rsid w:val="31D64091"/>
    <w:rsid w:val="31D71BB7"/>
    <w:rsid w:val="31E0176A"/>
    <w:rsid w:val="31E3230A"/>
    <w:rsid w:val="31ED2C2C"/>
    <w:rsid w:val="32036508"/>
    <w:rsid w:val="321C75CA"/>
    <w:rsid w:val="32233483"/>
    <w:rsid w:val="32250B75"/>
    <w:rsid w:val="322A618B"/>
    <w:rsid w:val="322E6940"/>
    <w:rsid w:val="32392AEE"/>
    <w:rsid w:val="323963CE"/>
    <w:rsid w:val="32432DA9"/>
    <w:rsid w:val="324C7EAF"/>
    <w:rsid w:val="324E00CB"/>
    <w:rsid w:val="32527273"/>
    <w:rsid w:val="3253123E"/>
    <w:rsid w:val="32676A97"/>
    <w:rsid w:val="32B55A55"/>
    <w:rsid w:val="32C21624"/>
    <w:rsid w:val="32D103B5"/>
    <w:rsid w:val="32E71EAF"/>
    <w:rsid w:val="32EB3B6C"/>
    <w:rsid w:val="32FA3DAF"/>
    <w:rsid w:val="32FC7B27"/>
    <w:rsid w:val="33010C9A"/>
    <w:rsid w:val="33161DFC"/>
    <w:rsid w:val="33242BDA"/>
    <w:rsid w:val="334D51BC"/>
    <w:rsid w:val="3350577D"/>
    <w:rsid w:val="33770F5C"/>
    <w:rsid w:val="33811DDB"/>
    <w:rsid w:val="33995376"/>
    <w:rsid w:val="33B8247C"/>
    <w:rsid w:val="33C04A33"/>
    <w:rsid w:val="33D04B10"/>
    <w:rsid w:val="33DE0FDB"/>
    <w:rsid w:val="33EF184B"/>
    <w:rsid w:val="33F00D0E"/>
    <w:rsid w:val="33F26834"/>
    <w:rsid w:val="34014CC9"/>
    <w:rsid w:val="340A7BE9"/>
    <w:rsid w:val="34125129"/>
    <w:rsid w:val="34180991"/>
    <w:rsid w:val="34190265"/>
    <w:rsid w:val="341E2C77"/>
    <w:rsid w:val="34321327"/>
    <w:rsid w:val="34543504"/>
    <w:rsid w:val="34637732"/>
    <w:rsid w:val="346E6803"/>
    <w:rsid w:val="34725BC1"/>
    <w:rsid w:val="34750451"/>
    <w:rsid w:val="34767465"/>
    <w:rsid w:val="347B1C7B"/>
    <w:rsid w:val="347D2504"/>
    <w:rsid w:val="347E631A"/>
    <w:rsid w:val="34A32BCF"/>
    <w:rsid w:val="34AF2977"/>
    <w:rsid w:val="34AF4725"/>
    <w:rsid w:val="34CE1050"/>
    <w:rsid w:val="34DB551B"/>
    <w:rsid w:val="34DD5737"/>
    <w:rsid w:val="34E60018"/>
    <w:rsid w:val="34F21F0F"/>
    <w:rsid w:val="35004F81"/>
    <w:rsid w:val="35153512"/>
    <w:rsid w:val="35156C7E"/>
    <w:rsid w:val="351849C1"/>
    <w:rsid w:val="355443ED"/>
    <w:rsid w:val="35702DD7"/>
    <w:rsid w:val="357E2A76"/>
    <w:rsid w:val="35831E3A"/>
    <w:rsid w:val="35855D03"/>
    <w:rsid w:val="359747C8"/>
    <w:rsid w:val="359A53D6"/>
    <w:rsid w:val="359C114E"/>
    <w:rsid w:val="35A63D7A"/>
    <w:rsid w:val="35AD6EB7"/>
    <w:rsid w:val="35B00755"/>
    <w:rsid w:val="35B71AE4"/>
    <w:rsid w:val="35BE7316"/>
    <w:rsid w:val="35BF4E3C"/>
    <w:rsid w:val="35C54E2A"/>
    <w:rsid w:val="35D46B3A"/>
    <w:rsid w:val="35D86C1A"/>
    <w:rsid w:val="35F04FF6"/>
    <w:rsid w:val="360C62D3"/>
    <w:rsid w:val="36246045"/>
    <w:rsid w:val="36296BDA"/>
    <w:rsid w:val="364315C9"/>
    <w:rsid w:val="365417BD"/>
    <w:rsid w:val="365F41F8"/>
    <w:rsid w:val="36835E6A"/>
    <w:rsid w:val="368960E2"/>
    <w:rsid w:val="368A71F8"/>
    <w:rsid w:val="368E4F3A"/>
    <w:rsid w:val="36941E25"/>
    <w:rsid w:val="36C06BEC"/>
    <w:rsid w:val="36CC7811"/>
    <w:rsid w:val="36CF0EC8"/>
    <w:rsid w:val="37023232"/>
    <w:rsid w:val="370E7E29"/>
    <w:rsid w:val="37305293"/>
    <w:rsid w:val="374049B2"/>
    <w:rsid w:val="374101FF"/>
    <w:rsid w:val="375021F0"/>
    <w:rsid w:val="375A6BCB"/>
    <w:rsid w:val="376B202F"/>
    <w:rsid w:val="377C2FE5"/>
    <w:rsid w:val="37863E63"/>
    <w:rsid w:val="378934B9"/>
    <w:rsid w:val="378A03FA"/>
    <w:rsid w:val="37A91EAD"/>
    <w:rsid w:val="37CD4981"/>
    <w:rsid w:val="37D72911"/>
    <w:rsid w:val="37DA7D0B"/>
    <w:rsid w:val="37EB1F18"/>
    <w:rsid w:val="37EB3CC7"/>
    <w:rsid w:val="37ED7A3F"/>
    <w:rsid w:val="37F05781"/>
    <w:rsid w:val="37F30DCD"/>
    <w:rsid w:val="37F324E9"/>
    <w:rsid w:val="380134EA"/>
    <w:rsid w:val="3814146F"/>
    <w:rsid w:val="3818577D"/>
    <w:rsid w:val="381B0A50"/>
    <w:rsid w:val="384A544F"/>
    <w:rsid w:val="384B0C09"/>
    <w:rsid w:val="385B0E4C"/>
    <w:rsid w:val="387C3249"/>
    <w:rsid w:val="388163D9"/>
    <w:rsid w:val="388C54AA"/>
    <w:rsid w:val="38AB0FC7"/>
    <w:rsid w:val="38B247E4"/>
    <w:rsid w:val="38C2711D"/>
    <w:rsid w:val="38C369F1"/>
    <w:rsid w:val="38CA5FD2"/>
    <w:rsid w:val="38CD30C2"/>
    <w:rsid w:val="38D66725"/>
    <w:rsid w:val="38D806EF"/>
    <w:rsid w:val="38EA0422"/>
    <w:rsid w:val="39153875"/>
    <w:rsid w:val="39167469"/>
    <w:rsid w:val="391B4A7F"/>
    <w:rsid w:val="39225162"/>
    <w:rsid w:val="39331DC9"/>
    <w:rsid w:val="393671C3"/>
    <w:rsid w:val="393B0B25"/>
    <w:rsid w:val="39442284"/>
    <w:rsid w:val="395835DE"/>
    <w:rsid w:val="39641F82"/>
    <w:rsid w:val="397F1F9B"/>
    <w:rsid w:val="39A64349"/>
    <w:rsid w:val="39BD1693"/>
    <w:rsid w:val="39C96289"/>
    <w:rsid w:val="39D0586A"/>
    <w:rsid w:val="39EE7A9E"/>
    <w:rsid w:val="39F32D23"/>
    <w:rsid w:val="39F4021F"/>
    <w:rsid w:val="39FA4695"/>
    <w:rsid w:val="3A080B60"/>
    <w:rsid w:val="3A0B0650"/>
    <w:rsid w:val="3A2630EE"/>
    <w:rsid w:val="3A4131B7"/>
    <w:rsid w:val="3A4B275D"/>
    <w:rsid w:val="3A4F678F"/>
    <w:rsid w:val="3A6854CC"/>
    <w:rsid w:val="3A887EF3"/>
    <w:rsid w:val="3A9C74FA"/>
    <w:rsid w:val="3AB94550"/>
    <w:rsid w:val="3AD3639A"/>
    <w:rsid w:val="3AD9074E"/>
    <w:rsid w:val="3AE77F14"/>
    <w:rsid w:val="3AEA1C5C"/>
    <w:rsid w:val="3AF92B9E"/>
    <w:rsid w:val="3B111C96"/>
    <w:rsid w:val="3B135AA1"/>
    <w:rsid w:val="3B183024"/>
    <w:rsid w:val="3B1E43B3"/>
    <w:rsid w:val="3B2714BA"/>
    <w:rsid w:val="3B3B31B7"/>
    <w:rsid w:val="3B424545"/>
    <w:rsid w:val="3B453BF2"/>
    <w:rsid w:val="3B457B92"/>
    <w:rsid w:val="3B491430"/>
    <w:rsid w:val="3B4F1F95"/>
    <w:rsid w:val="3B5B5607"/>
    <w:rsid w:val="3B697D24"/>
    <w:rsid w:val="3B702585"/>
    <w:rsid w:val="3B79050B"/>
    <w:rsid w:val="3B841D82"/>
    <w:rsid w:val="3B89264E"/>
    <w:rsid w:val="3B935005"/>
    <w:rsid w:val="3BA0301A"/>
    <w:rsid w:val="3BA24FE4"/>
    <w:rsid w:val="3BA90120"/>
    <w:rsid w:val="3BAC7C11"/>
    <w:rsid w:val="3BC1546A"/>
    <w:rsid w:val="3BC66F24"/>
    <w:rsid w:val="3BD66A3C"/>
    <w:rsid w:val="3BE13D5E"/>
    <w:rsid w:val="3BE253E0"/>
    <w:rsid w:val="3BE473AB"/>
    <w:rsid w:val="3BEF7F7D"/>
    <w:rsid w:val="3BF3526B"/>
    <w:rsid w:val="3BFF41E4"/>
    <w:rsid w:val="3C0D4B53"/>
    <w:rsid w:val="3C0F63DC"/>
    <w:rsid w:val="3C1E0ED5"/>
    <w:rsid w:val="3C3C71E7"/>
    <w:rsid w:val="3C466F8F"/>
    <w:rsid w:val="3C494920"/>
    <w:rsid w:val="3C4E2A76"/>
    <w:rsid w:val="3C5C5193"/>
    <w:rsid w:val="3C601127"/>
    <w:rsid w:val="3C6D2BC8"/>
    <w:rsid w:val="3C7249B6"/>
    <w:rsid w:val="3C793F97"/>
    <w:rsid w:val="3C7B0D9F"/>
    <w:rsid w:val="3C8A7F52"/>
    <w:rsid w:val="3C990195"/>
    <w:rsid w:val="3CB22460"/>
    <w:rsid w:val="3CB260B1"/>
    <w:rsid w:val="3CB66F99"/>
    <w:rsid w:val="3CC316B6"/>
    <w:rsid w:val="3CD016DD"/>
    <w:rsid w:val="3CD71A19"/>
    <w:rsid w:val="3CF74EBC"/>
    <w:rsid w:val="3CFF417E"/>
    <w:rsid w:val="3D0960C7"/>
    <w:rsid w:val="3D18555E"/>
    <w:rsid w:val="3D2B5956"/>
    <w:rsid w:val="3D2E2FD3"/>
    <w:rsid w:val="3D30798F"/>
    <w:rsid w:val="3D3879AE"/>
    <w:rsid w:val="3D4346CC"/>
    <w:rsid w:val="3D43781F"/>
    <w:rsid w:val="3D4A148F"/>
    <w:rsid w:val="3D502BD6"/>
    <w:rsid w:val="3D516B7C"/>
    <w:rsid w:val="3D525A43"/>
    <w:rsid w:val="3D5B369C"/>
    <w:rsid w:val="3D5F13DF"/>
    <w:rsid w:val="3D65328A"/>
    <w:rsid w:val="3D6562C9"/>
    <w:rsid w:val="3D7A2471"/>
    <w:rsid w:val="3D9170BE"/>
    <w:rsid w:val="3D93116D"/>
    <w:rsid w:val="3D956BAE"/>
    <w:rsid w:val="3D9F7A2D"/>
    <w:rsid w:val="3DA07301"/>
    <w:rsid w:val="3DA212CB"/>
    <w:rsid w:val="3DAE1A1E"/>
    <w:rsid w:val="3DB1150E"/>
    <w:rsid w:val="3DB7359E"/>
    <w:rsid w:val="3DB8307D"/>
    <w:rsid w:val="3DDA6CB7"/>
    <w:rsid w:val="3DFF156B"/>
    <w:rsid w:val="3DFF4CF7"/>
    <w:rsid w:val="3E1F46CA"/>
    <w:rsid w:val="3E2B23AB"/>
    <w:rsid w:val="3E2C6DE7"/>
    <w:rsid w:val="3E410AE4"/>
    <w:rsid w:val="3E682515"/>
    <w:rsid w:val="3E740EBA"/>
    <w:rsid w:val="3E775D57"/>
    <w:rsid w:val="3E7C38CA"/>
    <w:rsid w:val="3EA1776C"/>
    <w:rsid w:val="3EA846BF"/>
    <w:rsid w:val="3EB672E8"/>
    <w:rsid w:val="3EC534C3"/>
    <w:rsid w:val="3EC92544"/>
    <w:rsid w:val="3ECC2AA4"/>
    <w:rsid w:val="3ED03C16"/>
    <w:rsid w:val="3EDE6333"/>
    <w:rsid w:val="3EDF25B2"/>
    <w:rsid w:val="3EE51447"/>
    <w:rsid w:val="3EEC4EF4"/>
    <w:rsid w:val="3EF45B57"/>
    <w:rsid w:val="3EF67EB8"/>
    <w:rsid w:val="3F0264C5"/>
    <w:rsid w:val="3F075E87"/>
    <w:rsid w:val="3F0F2990"/>
    <w:rsid w:val="3F2A1578"/>
    <w:rsid w:val="3F310B59"/>
    <w:rsid w:val="3F4563B2"/>
    <w:rsid w:val="3F4A1C1A"/>
    <w:rsid w:val="3F4D34B9"/>
    <w:rsid w:val="3F544847"/>
    <w:rsid w:val="3F56236D"/>
    <w:rsid w:val="3F5B7984"/>
    <w:rsid w:val="3F6251B6"/>
    <w:rsid w:val="3F6921F7"/>
    <w:rsid w:val="3F760C61"/>
    <w:rsid w:val="3F780536"/>
    <w:rsid w:val="3F786788"/>
    <w:rsid w:val="3F8C3FE1"/>
    <w:rsid w:val="3F95733A"/>
    <w:rsid w:val="3FA7706D"/>
    <w:rsid w:val="3FB30AE9"/>
    <w:rsid w:val="3FBE7F13"/>
    <w:rsid w:val="3FC217B1"/>
    <w:rsid w:val="3FE63019"/>
    <w:rsid w:val="3FE75C55"/>
    <w:rsid w:val="3FF32092"/>
    <w:rsid w:val="3FF43934"/>
    <w:rsid w:val="3FFA719D"/>
    <w:rsid w:val="3FFB2F15"/>
    <w:rsid w:val="4024421A"/>
    <w:rsid w:val="402974E0"/>
    <w:rsid w:val="403837A1"/>
    <w:rsid w:val="403B48D8"/>
    <w:rsid w:val="403E4E33"/>
    <w:rsid w:val="403E62C3"/>
    <w:rsid w:val="404037B6"/>
    <w:rsid w:val="404623E2"/>
    <w:rsid w:val="405014B2"/>
    <w:rsid w:val="405C0DCE"/>
    <w:rsid w:val="40610FCA"/>
    <w:rsid w:val="406665E0"/>
    <w:rsid w:val="406C5EC1"/>
    <w:rsid w:val="40827192"/>
    <w:rsid w:val="40833431"/>
    <w:rsid w:val="408F1FDB"/>
    <w:rsid w:val="409135AE"/>
    <w:rsid w:val="40925627"/>
    <w:rsid w:val="40B305F7"/>
    <w:rsid w:val="40E13578"/>
    <w:rsid w:val="40E37C31"/>
    <w:rsid w:val="40EA3E1D"/>
    <w:rsid w:val="40FB141E"/>
    <w:rsid w:val="40FB7670"/>
    <w:rsid w:val="40FC0CF2"/>
    <w:rsid w:val="40FF07E3"/>
    <w:rsid w:val="41036525"/>
    <w:rsid w:val="41136ECA"/>
    <w:rsid w:val="411F26BD"/>
    <w:rsid w:val="41281AE7"/>
    <w:rsid w:val="41306BEE"/>
    <w:rsid w:val="413B6CF4"/>
    <w:rsid w:val="41411018"/>
    <w:rsid w:val="41483F38"/>
    <w:rsid w:val="414F176A"/>
    <w:rsid w:val="415A4AB8"/>
    <w:rsid w:val="415C79E3"/>
    <w:rsid w:val="41766CF7"/>
    <w:rsid w:val="417B420E"/>
    <w:rsid w:val="417E5B4F"/>
    <w:rsid w:val="41945D25"/>
    <w:rsid w:val="41B24CC0"/>
    <w:rsid w:val="41B25852"/>
    <w:rsid w:val="41B4781F"/>
    <w:rsid w:val="41C31810"/>
    <w:rsid w:val="41D852BC"/>
    <w:rsid w:val="41DD42A4"/>
    <w:rsid w:val="41E023C2"/>
    <w:rsid w:val="41E55C2A"/>
    <w:rsid w:val="41EA0ADA"/>
    <w:rsid w:val="41F45E6E"/>
    <w:rsid w:val="41F83BB0"/>
    <w:rsid w:val="4202058A"/>
    <w:rsid w:val="420662CD"/>
    <w:rsid w:val="4213695A"/>
    <w:rsid w:val="42147FC6"/>
    <w:rsid w:val="42277FF1"/>
    <w:rsid w:val="42383FAC"/>
    <w:rsid w:val="42426BD9"/>
    <w:rsid w:val="42497F67"/>
    <w:rsid w:val="424E557E"/>
    <w:rsid w:val="42641245"/>
    <w:rsid w:val="4269685C"/>
    <w:rsid w:val="42700FCB"/>
    <w:rsid w:val="42823479"/>
    <w:rsid w:val="42980EEF"/>
    <w:rsid w:val="42A41642"/>
    <w:rsid w:val="42A47284"/>
    <w:rsid w:val="42B0199B"/>
    <w:rsid w:val="42CC2AB3"/>
    <w:rsid w:val="42FA1F60"/>
    <w:rsid w:val="42FA74B4"/>
    <w:rsid w:val="430A1DED"/>
    <w:rsid w:val="43234C5C"/>
    <w:rsid w:val="432F1853"/>
    <w:rsid w:val="43317379"/>
    <w:rsid w:val="433C187A"/>
    <w:rsid w:val="43421755"/>
    <w:rsid w:val="435C1410"/>
    <w:rsid w:val="43672D9B"/>
    <w:rsid w:val="43686B13"/>
    <w:rsid w:val="43687E11"/>
    <w:rsid w:val="436B215F"/>
    <w:rsid w:val="436D237B"/>
    <w:rsid w:val="43737864"/>
    <w:rsid w:val="43760954"/>
    <w:rsid w:val="43792ACE"/>
    <w:rsid w:val="437B18E6"/>
    <w:rsid w:val="43813731"/>
    <w:rsid w:val="4387362C"/>
    <w:rsid w:val="4391606A"/>
    <w:rsid w:val="43972F54"/>
    <w:rsid w:val="43A044FF"/>
    <w:rsid w:val="43AB7C4E"/>
    <w:rsid w:val="43BC75C6"/>
    <w:rsid w:val="43D61CCF"/>
    <w:rsid w:val="43D917BF"/>
    <w:rsid w:val="43E268C5"/>
    <w:rsid w:val="43F65ECD"/>
    <w:rsid w:val="44071E88"/>
    <w:rsid w:val="44095C00"/>
    <w:rsid w:val="440C3942"/>
    <w:rsid w:val="441540A8"/>
    <w:rsid w:val="44250560"/>
    <w:rsid w:val="442B201A"/>
    <w:rsid w:val="44332C7D"/>
    <w:rsid w:val="443469F5"/>
    <w:rsid w:val="44366C11"/>
    <w:rsid w:val="44377BDC"/>
    <w:rsid w:val="44562E10"/>
    <w:rsid w:val="445972F8"/>
    <w:rsid w:val="446F7A2D"/>
    <w:rsid w:val="44703ED1"/>
    <w:rsid w:val="44873376"/>
    <w:rsid w:val="4492209A"/>
    <w:rsid w:val="449F519C"/>
    <w:rsid w:val="44AD0C81"/>
    <w:rsid w:val="44B6565C"/>
    <w:rsid w:val="44D53D34"/>
    <w:rsid w:val="44DE67DA"/>
    <w:rsid w:val="44F15C34"/>
    <w:rsid w:val="450B59A8"/>
    <w:rsid w:val="450C5795"/>
    <w:rsid w:val="45102FBE"/>
    <w:rsid w:val="451F3201"/>
    <w:rsid w:val="452627E2"/>
    <w:rsid w:val="45321187"/>
    <w:rsid w:val="45333E46"/>
    <w:rsid w:val="4541586E"/>
    <w:rsid w:val="4541668A"/>
    <w:rsid w:val="45561319"/>
    <w:rsid w:val="455C4F86"/>
    <w:rsid w:val="455C6204"/>
    <w:rsid w:val="456C7242"/>
    <w:rsid w:val="457F208C"/>
    <w:rsid w:val="45921C25"/>
    <w:rsid w:val="45A80F6C"/>
    <w:rsid w:val="45B55914"/>
    <w:rsid w:val="45B63BB5"/>
    <w:rsid w:val="45C7209C"/>
    <w:rsid w:val="45CC15DB"/>
    <w:rsid w:val="45CE07A3"/>
    <w:rsid w:val="45D24718"/>
    <w:rsid w:val="45D40490"/>
    <w:rsid w:val="45DD43B9"/>
    <w:rsid w:val="45ED3300"/>
    <w:rsid w:val="46032B23"/>
    <w:rsid w:val="46080F8D"/>
    <w:rsid w:val="46132D66"/>
    <w:rsid w:val="46160AA8"/>
    <w:rsid w:val="46232426"/>
    <w:rsid w:val="462A5D51"/>
    <w:rsid w:val="46392332"/>
    <w:rsid w:val="46405F19"/>
    <w:rsid w:val="46447445"/>
    <w:rsid w:val="46456C98"/>
    <w:rsid w:val="465D2233"/>
    <w:rsid w:val="46625A9C"/>
    <w:rsid w:val="46674E60"/>
    <w:rsid w:val="46695941"/>
    <w:rsid w:val="46696E2A"/>
    <w:rsid w:val="467121DE"/>
    <w:rsid w:val="467C2B9E"/>
    <w:rsid w:val="4689127A"/>
    <w:rsid w:val="4698326B"/>
    <w:rsid w:val="469A3487"/>
    <w:rsid w:val="469B2D5C"/>
    <w:rsid w:val="46A460B4"/>
    <w:rsid w:val="46A75BA4"/>
    <w:rsid w:val="46AC31BB"/>
    <w:rsid w:val="46B06807"/>
    <w:rsid w:val="46CB1893"/>
    <w:rsid w:val="46CC1167"/>
    <w:rsid w:val="46D10617"/>
    <w:rsid w:val="46DD15C6"/>
    <w:rsid w:val="46DF0E9A"/>
    <w:rsid w:val="46E01B11"/>
    <w:rsid w:val="46F012F9"/>
    <w:rsid w:val="46F34F40"/>
    <w:rsid w:val="46F365B9"/>
    <w:rsid w:val="470152B5"/>
    <w:rsid w:val="471159AF"/>
    <w:rsid w:val="471E7C15"/>
    <w:rsid w:val="4723522B"/>
    <w:rsid w:val="47253181"/>
    <w:rsid w:val="47255D2E"/>
    <w:rsid w:val="47290367"/>
    <w:rsid w:val="473236C0"/>
    <w:rsid w:val="477041E8"/>
    <w:rsid w:val="479B74B7"/>
    <w:rsid w:val="47A520E4"/>
    <w:rsid w:val="47AD46DA"/>
    <w:rsid w:val="47B9793D"/>
    <w:rsid w:val="47BE4F54"/>
    <w:rsid w:val="47C85DD2"/>
    <w:rsid w:val="47CA38F8"/>
    <w:rsid w:val="47CC39BE"/>
    <w:rsid w:val="47CC5E95"/>
    <w:rsid w:val="47CF43F7"/>
    <w:rsid w:val="47D6229D"/>
    <w:rsid w:val="47D66741"/>
    <w:rsid w:val="47E23F21"/>
    <w:rsid w:val="47E726FC"/>
    <w:rsid w:val="480014B3"/>
    <w:rsid w:val="4800556C"/>
    <w:rsid w:val="48052B82"/>
    <w:rsid w:val="480F755D"/>
    <w:rsid w:val="481B05F8"/>
    <w:rsid w:val="481C61E7"/>
    <w:rsid w:val="4820176A"/>
    <w:rsid w:val="48266CE6"/>
    <w:rsid w:val="482D3042"/>
    <w:rsid w:val="48382F58"/>
    <w:rsid w:val="4840005F"/>
    <w:rsid w:val="48455675"/>
    <w:rsid w:val="48475294"/>
    <w:rsid w:val="485D651B"/>
    <w:rsid w:val="48604040"/>
    <w:rsid w:val="48625944"/>
    <w:rsid w:val="48741AB6"/>
    <w:rsid w:val="48790E7B"/>
    <w:rsid w:val="488525CB"/>
    <w:rsid w:val="488E4B80"/>
    <w:rsid w:val="48A44462"/>
    <w:rsid w:val="48AC1250"/>
    <w:rsid w:val="48C91E02"/>
    <w:rsid w:val="48CC18F2"/>
    <w:rsid w:val="48D16F09"/>
    <w:rsid w:val="48DB1B35"/>
    <w:rsid w:val="48DD3919"/>
    <w:rsid w:val="48E72288"/>
    <w:rsid w:val="48EE671D"/>
    <w:rsid w:val="48F21359"/>
    <w:rsid w:val="48F30C2D"/>
    <w:rsid w:val="490746D8"/>
    <w:rsid w:val="49080B7C"/>
    <w:rsid w:val="49117305"/>
    <w:rsid w:val="491312CF"/>
    <w:rsid w:val="49170DBF"/>
    <w:rsid w:val="491C4628"/>
    <w:rsid w:val="49262DB0"/>
    <w:rsid w:val="49325BF9"/>
    <w:rsid w:val="493D18CA"/>
    <w:rsid w:val="493F3E72"/>
    <w:rsid w:val="495E0BE5"/>
    <w:rsid w:val="4968786D"/>
    <w:rsid w:val="4981092F"/>
    <w:rsid w:val="499E328F"/>
    <w:rsid w:val="49B00F56"/>
    <w:rsid w:val="49BE748D"/>
    <w:rsid w:val="49CC7DFC"/>
    <w:rsid w:val="49D56585"/>
    <w:rsid w:val="49F17862"/>
    <w:rsid w:val="4A17094B"/>
    <w:rsid w:val="4A174DEF"/>
    <w:rsid w:val="4A1C3F43"/>
    <w:rsid w:val="4A2D4613"/>
    <w:rsid w:val="4A45195C"/>
    <w:rsid w:val="4A5676C5"/>
    <w:rsid w:val="4A722844"/>
    <w:rsid w:val="4A78588E"/>
    <w:rsid w:val="4A8F0E29"/>
    <w:rsid w:val="4A9621B8"/>
    <w:rsid w:val="4A9B6A47"/>
    <w:rsid w:val="4AB668F2"/>
    <w:rsid w:val="4AC22CDA"/>
    <w:rsid w:val="4AC2626D"/>
    <w:rsid w:val="4AD8632C"/>
    <w:rsid w:val="4AE80397"/>
    <w:rsid w:val="4AF34F14"/>
    <w:rsid w:val="4AF501F4"/>
    <w:rsid w:val="4AF71451"/>
    <w:rsid w:val="4AFE3E0E"/>
    <w:rsid w:val="4B13217B"/>
    <w:rsid w:val="4B221C9D"/>
    <w:rsid w:val="4B2B6DA4"/>
    <w:rsid w:val="4B441C14"/>
    <w:rsid w:val="4B49547C"/>
    <w:rsid w:val="4B4E65EF"/>
    <w:rsid w:val="4B5F25AA"/>
    <w:rsid w:val="4B616322"/>
    <w:rsid w:val="4B6978CC"/>
    <w:rsid w:val="4B83273C"/>
    <w:rsid w:val="4B967D41"/>
    <w:rsid w:val="4B9F6E4A"/>
    <w:rsid w:val="4BAD4783"/>
    <w:rsid w:val="4BC25225"/>
    <w:rsid w:val="4BC36FDC"/>
    <w:rsid w:val="4BDC009E"/>
    <w:rsid w:val="4BF1117F"/>
    <w:rsid w:val="4BF47196"/>
    <w:rsid w:val="4C0A4C0B"/>
    <w:rsid w:val="4C0E29C1"/>
    <w:rsid w:val="4C122757"/>
    <w:rsid w:val="4C136DB7"/>
    <w:rsid w:val="4C1A2EC5"/>
    <w:rsid w:val="4C1A4723"/>
    <w:rsid w:val="4C1E4213"/>
    <w:rsid w:val="4C2555A1"/>
    <w:rsid w:val="4C272ABE"/>
    <w:rsid w:val="4C2A705C"/>
    <w:rsid w:val="4C3677AE"/>
    <w:rsid w:val="4C3E48B5"/>
    <w:rsid w:val="4C4B0ACB"/>
    <w:rsid w:val="4C4D68A6"/>
    <w:rsid w:val="4C60482B"/>
    <w:rsid w:val="4C653BF0"/>
    <w:rsid w:val="4C742085"/>
    <w:rsid w:val="4CA062F8"/>
    <w:rsid w:val="4CA9150D"/>
    <w:rsid w:val="4CA961D2"/>
    <w:rsid w:val="4CBB7CB4"/>
    <w:rsid w:val="4CC93E90"/>
    <w:rsid w:val="4CD27BF9"/>
    <w:rsid w:val="4CD945DE"/>
    <w:rsid w:val="4CE30FB8"/>
    <w:rsid w:val="4CF3744D"/>
    <w:rsid w:val="4D1473C4"/>
    <w:rsid w:val="4D185106"/>
    <w:rsid w:val="4D196FC1"/>
    <w:rsid w:val="4D1F46E6"/>
    <w:rsid w:val="4D225F85"/>
    <w:rsid w:val="4D27359B"/>
    <w:rsid w:val="4D2E0486"/>
    <w:rsid w:val="4D3006A2"/>
    <w:rsid w:val="4D4001B9"/>
    <w:rsid w:val="4D4128AF"/>
    <w:rsid w:val="4D4B54DB"/>
    <w:rsid w:val="4D553C64"/>
    <w:rsid w:val="4D5A571F"/>
    <w:rsid w:val="4D5D01A2"/>
    <w:rsid w:val="4D64034B"/>
    <w:rsid w:val="4D886C60"/>
    <w:rsid w:val="4DB52955"/>
    <w:rsid w:val="4DB66CDC"/>
    <w:rsid w:val="4DBA61BD"/>
    <w:rsid w:val="4DC25072"/>
    <w:rsid w:val="4DC62DB4"/>
    <w:rsid w:val="4DD51249"/>
    <w:rsid w:val="4DE90EB2"/>
    <w:rsid w:val="4DEF1F77"/>
    <w:rsid w:val="4DF06B51"/>
    <w:rsid w:val="4DF571F5"/>
    <w:rsid w:val="4E015B9A"/>
    <w:rsid w:val="4E0B4C1E"/>
    <w:rsid w:val="4E0F078C"/>
    <w:rsid w:val="4E1B3100"/>
    <w:rsid w:val="4E2B70BB"/>
    <w:rsid w:val="4E395334"/>
    <w:rsid w:val="4E397599"/>
    <w:rsid w:val="4E4D5283"/>
    <w:rsid w:val="4E524648"/>
    <w:rsid w:val="4E571C5E"/>
    <w:rsid w:val="4E612ADD"/>
    <w:rsid w:val="4E6B32CF"/>
    <w:rsid w:val="4E704ACE"/>
    <w:rsid w:val="4E880069"/>
    <w:rsid w:val="4E9C3B15"/>
    <w:rsid w:val="4E9D1D67"/>
    <w:rsid w:val="4E9D36C9"/>
    <w:rsid w:val="4EA74993"/>
    <w:rsid w:val="4EA76741"/>
    <w:rsid w:val="4EBA25AD"/>
    <w:rsid w:val="4EBC7D13"/>
    <w:rsid w:val="4ED137BE"/>
    <w:rsid w:val="4ED96B17"/>
    <w:rsid w:val="4EE259CC"/>
    <w:rsid w:val="4EF37BD9"/>
    <w:rsid w:val="4EF63225"/>
    <w:rsid w:val="4F082F58"/>
    <w:rsid w:val="4F161B19"/>
    <w:rsid w:val="4F165675"/>
    <w:rsid w:val="4F18319B"/>
    <w:rsid w:val="4F1B0EDE"/>
    <w:rsid w:val="4F247AF6"/>
    <w:rsid w:val="4F337FD5"/>
    <w:rsid w:val="4F44095C"/>
    <w:rsid w:val="4F59795E"/>
    <w:rsid w:val="4F6C798B"/>
    <w:rsid w:val="4F756840"/>
    <w:rsid w:val="4F7E77AB"/>
    <w:rsid w:val="4F8042F7"/>
    <w:rsid w:val="4F9B5B7A"/>
    <w:rsid w:val="4FA709C3"/>
    <w:rsid w:val="4FA85AF4"/>
    <w:rsid w:val="4FB1539E"/>
    <w:rsid w:val="4FC53246"/>
    <w:rsid w:val="4FD23C92"/>
    <w:rsid w:val="4FE14605"/>
    <w:rsid w:val="4FFA3C5B"/>
    <w:rsid w:val="4FFC486B"/>
    <w:rsid w:val="50066510"/>
    <w:rsid w:val="500E459E"/>
    <w:rsid w:val="50106568"/>
    <w:rsid w:val="50144FB4"/>
    <w:rsid w:val="50176F62"/>
    <w:rsid w:val="502364EA"/>
    <w:rsid w:val="50243C92"/>
    <w:rsid w:val="50324731"/>
    <w:rsid w:val="503314C3"/>
    <w:rsid w:val="503E6C32"/>
    <w:rsid w:val="50574197"/>
    <w:rsid w:val="50605F1B"/>
    <w:rsid w:val="506348EA"/>
    <w:rsid w:val="50642F47"/>
    <w:rsid w:val="50697A27"/>
    <w:rsid w:val="507408A5"/>
    <w:rsid w:val="50746AF7"/>
    <w:rsid w:val="507B1FA1"/>
    <w:rsid w:val="50834F8C"/>
    <w:rsid w:val="508A1E77"/>
    <w:rsid w:val="50901457"/>
    <w:rsid w:val="509E3B74"/>
    <w:rsid w:val="50AF18DD"/>
    <w:rsid w:val="50B96C00"/>
    <w:rsid w:val="50BC5A39"/>
    <w:rsid w:val="50E21C1C"/>
    <w:rsid w:val="50EC2B32"/>
    <w:rsid w:val="50EF43D0"/>
    <w:rsid w:val="51022355"/>
    <w:rsid w:val="51076D0B"/>
    <w:rsid w:val="51201AE2"/>
    <w:rsid w:val="512C73D2"/>
    <w:rsid w:val="512D6CA6"/>
    <w:rsid w:val="514217A5"/>
    <w:rsid w:val="51493AE0"/>
    <w:rsid w:val="514E636D"/>
    <w:rsid w:val="5151508A"/>
    <w:rsid w:val="515F1555"/>
    <w:rsid w:val="5167665C"/>
    <w:rsid w:val="51736DAF"/>
    <w:rsid w:val="5180327A"/>
    <w:rsid w:val="518C1C1F"/>
    <w:rsid w:val="519A258E"/>
    <w:rsid w:val="51A72AF0"/>
    <w:rsid w:val="51AB1B6F"/>
    <w:rsid w:val="51BA49DE"/>
    <w:rsid w:val="51BF3DA2"/>
    <w:rsid w:val="51C615D4"/>
    <w:rsid w:val="51F779E0"/>
    <w:rsid w:val="520E6AD8"/>
    <w:rsid w:val="520F496B"/>
    <w:rsid w:val="522B1280"/>
    <w:rsid w:val="52344B41"/>
    <w:rsid w:val="523C53F3"/>
    <w:rsid w:val="52495D62"/>
    <w:rsid w:val="524B33A4"/>
    <w:rsid w:val="52635075"/>
    <w:rsid w:val="52642B9B"/>
    <w:rsid w:val="526D5005"/>
    <w:rsid w:val="52854FEC"/>
    <w:rsid w:val="529A65BD"/>
    <w:rsid w:val="52AB4326"/>
    <w:rsid w:val="52CD6993"/>
    <w:rsid w:val="52E52DC9"/>
    <w:rsid w:val="52E57BEC"/>
    <w:rsid w:val="52EB0BC7"/>
    <w:rsid w:val="52F7254D"/>
    <w:rsid w:val="52F72A1E"/>
    <w:rsid w:val="52F854E8"/>
    <w:rsid w:val="52FD1026"/>
    <w:rsid w:val="52FE4D9E"/>
    <w:rsid w:val="530D1C98"/>
    <w:rsid w:val="531445C2"/>
    <w:rsid w:val="53213917"/>
    <w:rsid w:val="53330C50"/>
    <w:rsid w:val="534A7FE3"/>
    <w:rsid w:val="535E6B48"/>
    <w:rsid w:val="53682217"/>
    <w:rsid w:val="536A2433"/>
    <w:rsid w:val="5373753A"/>
    <w:rsid w:val="53755DED"/>
    <w:rsid w:val="53784B50"/>
    <w:rsid w:val="5386726D"/>
    <w:rsid w:val="53884126"/>
    <w:rsid w:val="539A4EB5"/>
    <w:rsid w:val="53A019B1"/>
    <w:rsid w:val="53AE40CE"/>
    <w:rsid w:val="53C51418"/>
    <w:rsid w:val="53FD32A8"/>
    <w:rsid w:val="540939FA"/>
    <w:rsid w:val="540B32CF"/>
    <w:rsid w:val="541C372E"/>
    <w:rsid w:val="541F321E"/>
    <w:rsid w:val="543619A8"/>
    <w:rsid w:val="54453AE3"/>
    <w:rsid w:val="545C3613"/>
    <w:rsid w:val="546F6218"/>
    <w:rsid w:val="547605CF"/>
    <w:rsid w:val="547F3CBD"/>
    <w:rsid w:val="54A55E78"/>
    <w:rsid w:val="54AA360B"/>
    <w:rsid w:val="54B81BBC"/>
    <w:rsid w:val="54BA6AA3"/>
    <w:rsid w:val="54C31DFB"/>
    <w:rsid w:val="54C47921"/>
    <w:rsid w:val="54C811C0"/>
    <w:rsid w:val="54DB5397"/>
    <w:rsid w:val="54ED50CA"/>
    <w:rsid w:val="54F92D68"/>
    <w:rsid w:val="551E34D6"/>
    <w:rsid w:val="5543118E"/>
    <w:rsid w:val="554C7F05"/>
    <w:rsid w:val="55563C7F"/>
    <w:rsid w:val="55654C60"/>
    <w:rsid w:val="556E620B"/>
    <w:rsid w:val="55845185"/>
    <w:rsid w:val="5590334A"/>
    <w:rsid w:val="55942700"/>
    <w:rsid w:val="559D65BC"/>
    <w:rsid w:val="55A416BE"/>
    <w:rsid w:val="55A559A5"/>
    <w:rsid w:val="55BA1450"/>
    <w:rsid w:val="55D43B94"/>
    <w:rsid w:val="55DB3175"/>
    <w:rsid w:val="55E71B19"/>
    <w:rsid w:val="56004989"/>
    <w:rsid w:val="56026953"/>
    <w:rsid w:val="560426CB"/>
    <w:rsid w:val="562341D8"/>
    <w:rsid w:val="56323D77"/>
    <w:rsid w:val="56446FE3"/>
    <w:rsid w:val="565A22EB"/>
    <w:rsid w:val="565F5B54"/>
    <w:rsid w:val="56794E67"/>
    <w:rsid w:val="56892BD1"/>
    <w:rsid w:val="568B06F7"/>
    <w:rsid w:val="568B4B9B"/>
    <w:rsid w:val="569D66DE"/>
    <w:rsid w:val="569E48CE"/>
    <w:rsid w:val="569F23F4"/>
    <w:rsid w:val="56AB2B47"/>
    <w:rsid w:val="56B45F77"/>
    <w:rsid w:val="56BC4D54"/>
    <w:rsid w:val="56C355CD"/>
    <w:rsid w:val="56C77866"/>
    <w:rsid w:val="56C854A7"/>
    <w:rsid w:val="56D24578"/>
    <w:rsid w:val="56E334AF"/>
    <w:rsid w:val="56F00EA2"/>
    <w:rsid w:val="570404A9"/>
    <w:rsid w:val="57085403"/>
    <w:rsid w:val="570F55D3"/>
    <w:rsid w:val="5712706A"/>
    <w:rsid w:val="571526B6"/>
    <w:rsid w:val="57203535"/>
    <w:rsid w:val="572753F9"/>
    <w:rsid w:val="573E55F0"/>
    <w:rsid w:val="574109C5"/>
    <w:rsid w:val="57572CCF"/>
    <w:rsid w:val="57574A7D"/>
    <w:rsid w:val="575E405D"/>
    <w:rsid w:val="57603931"/>
    <w:rsid w:val="576176AA"/>
    <w:rsid w:val="576553EC"/>
    <w:rsid w:val="576616C9"/>
    <w:rsid w:val="5768684E"/>
    <w:rsid w:val="578357F2"/>
    <w:rsid w:val="57843928"/>
    <w:rsid w:val="57AB617A"/>
    <w:rsid w:val="57AE0B41"/>
    <w:rsid w:val="57CA6432"/>
    <w:rsid w:val="57E00F16"/>
    <w:rsid w:val="57F84AD0"/>
    <w:rsid w:val="580249E9"/>
    <w:rsid w:val="58214D78"/>
    <w:rsid w:val="58276B45"/>
    <w:rsid w:val="58360B36"/>
    <w:rsid w:val="58382B00"/>
    <w:rsid w:val="583A6878"/>
    <w:rsid w:val="584210D0"/>
    <w:rsid w:val="586F3899"/>
    <w:rsid w:val="58734B97"/>
    <w:rsid w:val="587A0A23"/>
    <w:rsid w:val="587A4EC7"/>
    <w:rsid w:val="58826196"/>
    <w:rsid w:val="5886386C"/>
    <w:rsid w:val="58937D37"/>
    <w:rsid w:val="589661EB"/>
    <w:rsid w:val="58A33850"/>
    <w:rsid w:val="58AE4B70"/>
    <w:rsid w:val="58B54151"/>
    <w:rsid w:val="58C425E6"/>
    <w:rsid w:val="58CB30F7"/>
    <w:rsid w:val="58D5133F"/>
    <w:rsid w:val="58F76517"/>
    <w:rsid w:val="59030A18"/>
    <w:rsid w:val="592117E6"/>
    <w:rsid w:val="5923730C"/>
    <w:rsid w:val="59396B30"/>
    <w:rsid w:val="593C3F2A"/>
    <w:rsid w:val="595079D6"/>
    <w:rsid w:val="59570D64"/>
    <w:rsid w:val="59597927"/>
    <w:rsid w:val="595B4835"/>
    <w:rsid w:val="5963595B"/>
    <w:rsid w:val="596A5E04"/>
    <w:rsid w:val="5975743C"/>
    <w:rsid w:val="597731B4"/>
    <w:rsid w:val="597933D0"/>
    <w:rsid w:val="597E09E7"/>
    <w:rsid w:val="59837DAB"/>
    <w:rsid w:val="59B63CDD"/>
    <w:rsid w:val="59C609FF"/>
    <w:rsid w:val="59CA4A5C"/>
    <w:rsid w:val="59DD570D"/>
    <w:rsid w:val="59E36A9C"/>
    <w:rsid w:val="59E44CEE"/>
    <w:rsid w:val="59EE791A"/>
    <w:rsid w:val="5A0E58C7"/>
    <w:rsid w:val="5A201A9E"/>
    <w:rsid w:val="5A2A0227"/>
    <w:rsid w:val="5A3D43FE"/>
    <w:rsid w:val="5A3E3CD2"/>
    <w:rsid w:val="5A44578C"/>
    <w:rsid w:val="5A4E6CE6"/>
    <w:rsid w:val="5A4F5EDF"/>
    <w:rsid w:val="5A5B2AD6"/>
    <w:rsid w:val="5A6000EC"/>
    <w:rsid w:val="5A7F67C4"/>
    <w:rsid w:val="5A8D6375"/>
    <w:rsid w:val="5A8E6A07"/>
    <w:rsid w:val="5AB47DD2"/>
    <w:rsid w:val="5AC643F3"/>
    <w:rsid w:val="5AC97A40"/>
    <w:rsid w:val="5ADC7773"/>
    <w:rsid w:val="5ADF1011"/>
    <w:rsid w:val="5AEB20AC"/>
    <w:rsid w:val="5AF30F60"/>
    <w:rsid w:val="5AF905A1"/>
    <w:rsid w:val="5AFF16B3"/>
    <w:rsid w:val="5B057826"/>
    <w:rsid w:val="5B0726B0"/>
    <w:rsid w:val="5B1A290A"/>
    <w:rsid w:val="5B411CCC"/>
    <w:rsid w:val="5B4700E5"/>
    <w:rsid w:val="5B4D241F"/>
    <w:rsid w:val="5B7E082A"/>
    <w:rsid w:val="5B8147BE"/>
    <w:rsid w:val="5B8A3F97"/>
    <w:rsid w:val="5B940898"/>
    <w:rsid w:val="5BD747C1"/>
    <w:rsid w:val="5BED3C02"/>
    <w:rsid w:val="5BFE7BBD"/>
    <w:rsid w:val="5C050F4B"/>
    <w:rsid w:val="5C186ED1"/>
    <w:rsid w:val="5C1B7AB2"/>
    <w:rsid w:val="5C1E5E58"/>
    <w:rsid w:val="5C207B33"/>
    <w:rsid w:val="5C2F7D76"/>
    <w:rsid w:val="5C311D40"/>
    <w:rsid w:val="5C317F92"/>
    <w:rsid w:val="5C3B671B"/>
    <w:rsid w:val="5C4952DC"/>
    <w:rsid w:val="5C4A2E02"/>
    <w:rsid w:val="5C4A4BB0"/>
    <w:rsid w:val="5C59709E"/>
    <w:rsid w:val="5C5C2865"/>
    <w:rsid w:val="5C735EB5"/>
    <w:rsid w:val="5C7D17A1"/>
    <w:rsid w:val="5C7F75E3"/>
    <w:rsid w:val="5C8C6F77"/>
    <w:rsid w:val="5C961BA3"/>
    <w:rsid w:val="5C967DF5"/>
    <w:rsid w:val="5CA42512"/>
    <w:rsid w:val="5CB32755"/>
    <w:rsid w:val="5CBA7F88"/>
    <w:rsid w:val="5CC42BB4"/>
    <w:rsid w:val="5CD13449"/>
    <w:rsid w:val="5CDA4186"/>
    <w:rsid w:val="5D027239"/>
    <w:rsid w:val="5D0C2D12"/>
    <w:rsid w:val="5D283143"/>
    <w:rsid w:val="5D355860"/>
    <w:rsid w:val="5D3F5DB4"/>
    <w:rsid w:val="5D467E93"/>
    <w:rsid w:val="5D481670"/>
    <w:rsid w:val="5D4D6706"/>
    <w:rsid w:val="5D5F6439"/>
    <w:rsid w:val="5D6D06C2"/>
    <w:rsid w:val="5D6F1A63"/>
    <w:rsid w:val="5D867E6A"/>
    <w:rsid w:val="5D9F0F2C"/>
    <w:rsid w:val="5DBF1772"/>
    <w:rsid w:val="5DC56BE4"/>
    <w:rsid w:val="5DD15589"/>
    <w:rsid w:val="5DD5494D"/>
    <w:rsid w:val="5DE45415"/>
    <w:rsid w:val="5DF72B16"/>
    <w:rsid w:val="5E0C4813"/>
    <w:rsid w:val="5E0F2387"/>
    <w:rsid w:val="5E156AE1"/>
    <w:rsid w:val="5E176D14"/>
    <w:rsid w:val="5E2957AB"/>
    <w:rsid w:val="5E2C7E94"/>
    <w:rsid w:val="5E396C2B"/>
    <w:rsid w:val="5E4A70E9"/>
    <w:rsid w:val="5E4F64AE"/>
    <w:rsid w:val="5E517B20"/>
    <w:rsid w:val="5E72002B"/>
    <w:rsid w:val="5E767EDE"/>
    <w:rsid w:val="5E7B54F5"/>
    <w:rsid w:val="5E8B1517"/>
    <w:rsid w:val="5EB56C59"/>
    <w:rsid w:val="5EBE5143"/>
    <w:rsid w:val="5ED35331"/>
    <w:rsid w:val="5EDD4CF4"/>
    <w:rsid w:val="5EEB5E1D"/>
    <w:rsid w:val="5EF37781"/>
    <w:rsid w:val="5EF64B7B"/>
    <w:rsid w:val="5EF90C7A"/>
    <w:rsid w:val="5EF90CDF"/>
    <w:rsid w:val="5F0B0627"/>
    <w:rsid w:val="5F0B46FE"/>
    <w:rsid w:val="5F0E6369"/>
    <w:rsid w:val="5F1209A7"/>
    <w:rsid w:val="5F531FCE"/>
    <w:rsid w:val="5F5C5326"/>
    <w:rsid w:val="5F6338B3"/>
    <w:rsid w:val="5F661D01"/>
    <w:rsid w:val="5F6E5059"/>
    <w:rsid w:val="5F730678"/>
    <w:rsid w:val="5F7D704B"/>
    <w:rsid w:val="5F916244"/>
    <w:rsid w:val="5FA36AB1"/>
    <w:rsid w:val="5FA82319"/>
    <w:rsid w:val="5FA853CC"/>
    <w:rsid w:val="5FAA07F1"/>
    <w:rsid w:val="5FAE5456"/>
    <w:rsid w:val="5FB52C88"/>
    <w:rsid w:val="5FBE023A"/>
    <w:rsid w:val="5FED6B42"/>
    <w:rsid w:val="60065292"/>
    <w:rsid w:val="60132BA4"/>
    <w:rsid w:val="602816AC"/>
    <w:rsid w:val="6032168D"/>
    <w:rsid w:val="60352AA6"/>
    <w:rsid w:val="604858AA"/>
    <w:rsid w:val="604A33D1"/>
    <w:rsid w:val="606647BC"/>
    <w:rsid w:val="607246D5"/>
    <w:rsid w:val="607355F5"/>
    <w:rsid w:val="609640D7"/>
    <w:rsid w:val="60B62814"/>
    <w:rsid w:val="60CC64DC"/>
    <w:rsid w:val="60D333C6"/>
    <w:rsid w:val="60E06756"/>
    <w:rsid w:val="61002061"/>
    <w:rsid w:val="613852B2"/>
    <w:rsid w:val="613A73DF"/>
    <w:rsid w:val="615F10FE"/>
    <w:rsid w:val="61700C15"/>
    <w:rsid w:val="6171498D"/>
    <w:rsid w:val="61730705"/>
    <w:rsid w:val="6176110A"/>
    <w:rsid w:val="617A3504"/>
    <w:rsid w:val="617E77D6"/>
    <w:rsid w:val="61811074"/>
    <w:rsid w:val="618B5A4F"/>
    <w:rsid w:val="61930DA7"/>
    <w:rsid w:val="619C5EAE"/>
    <w:rsid w:val="61B2122D"/>
    <w:rsid w:val="61CB0541"/>
    <w:rsid w:val="61D27B22"/>
    <w:rsid w:val="61E635CD"/>
    <w:rsid w:val="61ED198E"/>
    <w:rsid w:val="61F061FA"/>
    <w:rsid w:val="61F5604B"/>
    <w:rsid w:val="61F71336"/>
    <w:rsid w:val="61F77588"/>
    <w:rsid w:val="62061579"/>
    <w:rsid w:val="621F43E9"/>
    <w:rsid w:val="62312A9A"/>
    <w:rsid w:val="623447AC"/>
    <w:rsid w:val="623600B0"/>
    <w:rsid w:val="624327CD"/>
    <w:rsid w:val="6243457B"/>
    <w:rsid w:val="62465E1A"/>
    <w:rsid w:val="624A590A"/>
    <w:rsid w:val="625978FB"/>
    <w:rsid w:val="626510D4"/>
    <w:rsid w:val="6271733B"/>
    <w:rsid w:val="62724E61"/>
    <w:rsid w:val="62744735"/>
    <w:rsid w:val="627666FF"/>
    <w:rsid w:val="6283706E"/>
    <w:rsid w:val="628801E0"/>
    <w:rsid w:val="628D3A49"/>
    <w:rsid w:val="62A274F4"/>
    <w:rsid w:val="62A96AD4"/>
    <w:rsid w:val="62B114E5"/>
    <w:rsid w:val="62C11E48"/>
    <w:rsid w:val="62CC631F"/>
    <w:rsid w:val="62D1713E"/>
    <w:rsid w:val="62DB248C"/>
    <w:rsid w:val="62DD677E"/>
    <w:rsid w:val="62E713AB"/>
    <w:rsid w:val="62E73159"/>
    <w:rsid w:val="62F37D50"/>
    <w:rsid w:val="63027872"/>
    <w:rsid w:val="6310365C"/>
    <w:rsid w:val="631B72A6"/>
    <w:rsid w:val="631E1DA2"/>
    <w:rsid w:val="632B573B"/>
    <w:rsid w:val="633640E0"/>
    <w:rsid w:val="63443525"/>
    <w:rsid w:val="634E142A"/>
    <w:rsid w:val="63514A76"/>
    <w:rsid w:val="635B76A3"/>
    <w:rsid w:val="635F2726"/>
    <w:rsid w:val="636B1616"/>
    <w:rsid w:val="63727F71"/>
    <w:rsid w:val="63B03B91"/>
    <w:rsid w:val="63B23767"/>
    <w:rsid w:val="63E94FFB"/>
    <w:rsid w:val="63EC3C41"/>
    <w:rsid w:val="63F20007"/>
    <w:rsid w:val="64020817"/>
    <w:rsid w:val="64030466"/>
    <w:rsid w:val="641206A9"/>
    <w:rsid w:val="64160874"/>
    <w:rsid w:val="641E2BAA"/>
    <w:rsid w:val="644562A7"/>
    <w:rsid w:val="645846EF"/>
    <w:rsid w:val="64826A7F"/>
    <w:rsid w:val="64855D3C"/>
    <w:rsid w:val="6488096B"/>
    <w:rsid w:val="648B3FB8"/>
    <w:rsid w:val="649479AB"/>
    <w:rsid w:val="64A61603"/>
    <w:rsid w:val="64A96829"/>
    <w:rsid w:val="64B6225F"/>
    <w:rsid w:val="64B96D77"/>
    <w:rsid w:val="64BB7A0C"/>
    <w:rsid w:val="64C23E7D"/>
    <w:rsid w:val="64C51278"/>
    <w:rsid w:val="64EB0664"/>
    <w:rsid w:val="64F953C5"/>
    <w:rsid w:val="65136487"/>
    <w:rsid w:val="65217C55"/>
    <w:rsid w:val="65283873"/>
    <w:rsid w:val="65332685"/>
    <w:rsid w:val="653809AA"/>
    <w:rsid w:val="653D0230"/>
    <w:rsid w:val="65442AE4"/>
    <w:rsid w:val="656B0071"/>
    <w:rsid w:val="65744A4C"/>
    <w:rsid w:val="657A6506"/>
    <w:rsid w:val="65913850"/>
    <w:rsid w:val="659155FE"/>
    <w:rsid w:val="65A5311F"/>
    <w:rsid w:val="65A76BCF"/>
    <w:rsid w:val="65BD63F3"/>
    <w:rsid w:val="65CD76A5"/>
    <w:rsid w:val="65CE0600"/>
    <w:rsid w:val="65D52E12"/>
    <w:rsid w:val="660758C0"/>
    <w:rsid w:val="660F4777"/>
    <w:rsid w:val="661A3845"/>
    <w:rsid w:val="6646463A"/>
    <w:rsid w:val="66502FE4"/>
    <w:rsid w:val="665A306C"/>
    <w:rsid w:val="66666A8A"/>
    <w:rsid w:val="667034AE"/>
    <w:rsid w:val="66770C98"/>
    <w:rsid w:val="668B029F"/>
    <w:rsid w:val="66A343C8"/>
    <w:rsid w:val="66B9284F"/>
    <w:rsid w:val="66C35995"/>
    <w:rsid w:val="66C67529"/>
    <w:rsid w:val="66D47E80"/>
    <w:rsid w:val="66D6776C"/>
    <w:rsid w:val="66ED0F5A"/>
    <w:rsid w:val="66EF4CD2"/>
    <w:rsid w:val="66F34B17"/>
    <w:rsid w:val="66FA1D33"/>
    <w:rsid w:val="670562A3"/>
    <w:rsid w:val="6707201B"/>
    <w:rsid w:val="67144738"/>
    <w:rsid w:val="67206C39"/>
    <w:rsid w:val="673B7F17"/>
    <w:rsid w:val="67446DCC"/>
    <w:rsid w:val="675B44A0"/>
    <w:rsid w:val="676034DA"/>
    <w:rsid w:val="6760797E"/>
    <w:rsid w:val="67627252"/>
    <w:rsid w:val="67672ABA"/>
    <w:rsid w:val="676A4358"/>
    <w:rsid w:val="676E3346"/>
    <w:rsid w:val="677668F5"/>
    <w:rsid w:val="6779459B"/>
    <w:rsid w:val="67803B7C"/>
    <w:rsid w:val="6787315C"/>
    <w:rsid w:val="67896ED4"/>
    <w:rsid w:val="678A7704"/>
    <w:rsid w:val="67962771"/>
    <w:rsid w:val="67BF6452"/>
    <w:rsid w:val="67C25F42"/>
    <w:rsid w:val="67C43A69"/>
    <w:rsid w:val="67CC0B6F"/>
    <w:rsid w:val="67DA328C"/>
    <w:rsid w:val="67E759A9"/>
    <w:rsid w:val="680B78E9"/>
    <w:rsid w:val="680E2F36"/>
    <w:rsid w:val="681358A2"/>
    <w:rsid w:val="681542C4"/>
    <w:rsid w:val="682B7F8C"/>
    <w:rsid w:val="682D0A8C"/>
    <w:rsid w:val="68384686"/>
    <w:rsid w:val="68390DDE"/>
    <w:rsid w:val="683D57FD"/>
    <w:rsid w:val="68437083"/>
    <w:rsid w:val="68490D6F"/>
    <w:rsid w:val="685A7E97"/>
    <w:rsid w:val="685E3EBD"/>
    <w:rsid w:val="68617509"/>
    <w:rsid w:val="6865349E"/>
    <w:rsid w:val="68681BEC"/>
    <w:rsid w:val="68727990"/>
    <w:rsid w:val="68882CE8"/>
    <w:rsid w:val="688A3A0E"/>
    <w:rsid w:val="688F22C8"/>
    <w:rsid w:val="689F5992"/>
    <w:rsid w:val="68A37B22"/>
    <w:rsid w:val="68AD09A1"/>
    <w:rsid w:val="68B0223F"/>
    <w:rsid w:val="68B37E40"/>
    <w:rsid w:val="68B7181F"/>
    <w:rsid w:val="68BC375E"/>
    <w:rsid w:val="68D72731"/>
    <w:rsid w:val="68E06E87"/>
    <w:rsid w:val="69166546"/>
    <w:rsid w:val="69202706"/>
    <w:rsid w:val="692549DB"/>
    <w:rsid w:val="69293D62"/>
    <w:rsid w:val="693C1F76"/>
    <w:rsid w:val="694C72A5"/>
    <w:rsid w:val="69513A22"/>
    <w:rsid w:val="69540E1C"/>
    <w:rsid w:val="695B21AB"/>
    <w:rsid w:val="69674FF3"/>
    <w:rsid w:val="696E6382"/>
    <w:rsid w:val="697414BE"/>
    <w:rsid w:val="69855479"/>
    <w:rsid w:val="69886D18"/>
    <w:rsid w:val="698C2CAC"/>
    <w:rsid w:val="69951B60"/>
    <w:rsid w:val="69A972C8"/>
    <w:rsid w:val="69B1626F"/>
    <w:rsid w:val="69BE3E37"/>
    <w:rsid w:val="69C04704"/>
    <w:rsid w:val="69CC30A8"/>
    <w:rsid w:val="69D244EE"/>
    <w:rsid w:val="69EE74C3"/>
    <w:rsid w:val="69FA19C4"/>
    <w:rsid w:val="69FB6C35"/>
    <w:rsid w:val="6A0942FC"/>
    <w:rsid w:val="6A1231B1"/>
    <w:rsid w:val="6A37023A"/>
    <w:rsid w:val="6A3D5D54"/>
    <w:rsid w:val="6A464C09"/>
    <w:rsid w:val="6A502267"/>
    <w:rsid w:val="6A584576"/>
    <w:rsid w:val="6A590DE0"/>
    <w:rsid w:val="6A7C687C"/>
    <w:rsid w:val="6A7F011B"/>
    <w:rsid w:val="6A9260A0"/>
    <w:rsid w:val="6A9516EC"/>
    <w:rsid w:val="6A9D599D"/>
    <w:rsid w:val="6AA10B75"/>
    <w:rsid w:val="6AB149E1"/>
    <w:rsid w:val="6AC326FD"/>
    <w:rsid w:val="6ACB2257"/>
    <w:rsid w:val="6AE52674"/>
    <w:rsid w:val="6AF44665"/>
    <w:rsid w:val="6AF955F8"/>
    <w:rsid w:val="6B013226"/>
    <w:rsid w:val="6B036F9E"/>
    <w:rsid w:val="6B0C5E52"/>
    <w:rsid w:val="6B1D005F"/>
    <w:rsid w:val="6B1D2776"/>
    <w:rsid w:val="6B2A62D8"/>
    <w:rsid w:val="6B2B3DFF"/>
    <w:rsid w:val="6B39651C"/>
    <w:rsid w:val="6B427AC6"/>
    <w:rsid w:val="6B6A0DCB"/>
    <w:rsid w:val="6B721A2E"/>
    <w:rsid w:val="6B975E2B"/>
    <w:rsid w:val="6BAA566B"/>
    <w:rsid w:val="6BAF2C82"/>
    <w:rsid w:val="6BC02799"/>
    <w:rsid w:val="6BCC78EC"/>
    <w:rsid w:val="6BE653A8"/>
    <w:rsid w:val="6BEC5C84"/>
    <w:rsid w:val="6BF123BD"/>
    <w:rsid w:val="6BFF1513"/>
    <w:rsid w:val="6C2C468A"/>
    <w:rsid w:val="6C2E5D15"/>
    <w:rsid w:val="6C3C2767"/>
    <w:rsid w:val="6C4038DA"/>
    <w:rsid w:val="6C4433CA"/>
    <w:rsid w:val="6C5F6456"/>
    <w:rsid w:val="6C6475C8"/>
    <w:rsid w:val="6C6F3F8D"/>
    <w:rsid w:val="6C7672FB"/>
    <w:rsid w:val="6C7A6DEC"/>
    <w:rsid w:val="6C865790"/>
    <w:rsid w:val="6C871509"/>
    <w:rsid w:val="6C88775B"/>
    <w:rsid w:val="6C933351"/>
    <w:rsid w:val="6C9A4982"/>
    <w:rsid w:val="6C9D0D2C"/>
    <w:rsid w:val="6CB342AF"/>
    <w:rsid w:val="6CC83FFB"/>
    <w:rsid w:val="6CCA0AD6"/>
    <w:rsid w:val="6CDC7AA6"/>
    <w:rsid w:val="6CED104F"/>
    <w:rsid w:val="6CF43042"/>
    <w:rsid w:val="6D073968"/>
    <w:rsid w:val="6D077647"/>
    <w:rsid w:val="6D0B038C"/>
    <w:rsid w:val="6D1F7993"/>
    <w:rsid w:val="6D2058FC"/>
    <w:rsid w:val="6D276B42"/>
    <w:rsid w:val="6D286848"/>
    <w:rsid w:val="6D400958"/>
    <w:rsid w:val="6D463082"/>
    <w:rsid w:val="6D521755"/>
    <w:rsid w:val="6D5E495F"/>
    <w:rsid w:val="6D5E670D"/>
    <w:rsid w:val="6D655CEE"/>
    <w:rsid w:val="6D661DA2"/>
    <w:rsid w:val="6D6A6E60"/>
    <w:rsid w:val="6D714693"/>
    <w:rsid w:val="6D785A21"/>
    <w:rsid w:val="6D800432"/>
    <w:rsid w:val="6D914E97"/>
    <w:rsid w:val="6DA35951"/>
    <w:rsid w:val="6DB90BC0"/>
    <w:rsid w:val="6DBE278F"/>
    <w:rsid w:val="6DC36570"/>
    <w:rsid w:val="6DD16EDF"/>
    <w:rsid w:val="6DEF55B7"/>
    <w:rsid w:val="6DF047D1"/>
    <w:rsid w:val="6E001573"/>
    <w:rsid w:val="6E027099"/>
    <w:rsid w:val="6E041BA0"/>
    <w:rsid w:val="6E076DA5"/>
    <w:rsid w:val="6E0F7A08"/>
    <w:rsid w:val="6E250FD9"/>
    <w:rsid w:val="6E273EB7"/>
    <w:rsid w:val="6E315BD0"/>
    <w:rsid w:val="6E5C2B68"/>
    <w:rsid w:val="6E7361E8"/>
    <w:rsid w:val="6E751F61"/>
    <w:rsid w:val="6EAA4C15"/>
    <w:rsid w:val="6EAB3BD4"/>
    <w:rsid w:val="6EB011EB"/>
    <w:rsid w:val="6EB1286D"/>
    <w:rsid w:val="6EBE124D"/>
    <w:rsid w:val="6EC32CCC"/>
    <w:rsid w:val="6EF2535F"/>
    <w:rsid w:val="6EFF182A"/>
    <w:rsid w:val="6F045092"/>
    <w:rsid w:val="6F0D03EB"/>
    <w:rsid w:val="6F11681F"/>
    <w:rsid w:val="6F285225"/>
    <w:rsid w:val="6F286FD3"/>
    <w:rsid w:val="6F2C3918"/>
    <w:rsid w:val="6F2D45E9"/>
    <w:rsid w:val="6F347726"/>
    <w:rsid w:val="6F377216"/>
    <w:rsid w:val="6F6D294A"/>
    <w:rsid w:val="6F7C731F"/>
    <w:rsid w:val="6F991C7F"/>
    <w:rsid w:val="6F9D0CED"/>
    <w:rsid w:val="6FA04DBB"/>
    <w:rsid w:val="6FA3261F"/>
    <w:rsid w:val="6FA80114"/>
    <w:rsid w:val="6FB46AB9"/>
    <w:rsid w:val="6FBD3BBF"/>
    <w:rsid w:val="6FC2793C"/>
    <w:rsid w:val="6FC333AA"/>
    <w:rsid w:val="6FCC7DF6"/>
    <w:rsid w:val="6FD63969"/>
    <w:rsid w:val="6FDD7DBD"/>
    <w:rsid w:val="6FE4739E"/>
    <w:rsid w:val="6FE80F9D"/>
    <w:rsid w:val="6FED3D79"/>
    <w:rsid w:val="70001CFE"/>
    <w:rsid w:val="700215D2"/>
    <w:rsid w:val="70180DF5"/>
    <w:rsid w:val="703954FC"/>
    <w:rsid w:val="704020FA"/>
    <w:rsid w:val="70422316"/>
    <w:rsid w:val="70476728"/>
    <w:rsid w:val="70497201"/>
    <w:rsid w:val="704A4D27"/>
    <w:rsid w:val="704F233D"/>
    <w:rsid w:val="705636CC"/>
    <w:rsid w:val="705E6D36"/>
    <w:rsid w:val="7064769C"/>
    <w:rsid w:val="70716758"/>
    <w:rsid w:val="70812E3F"/>
    <w:rsid w:val="70820965"/>
    <w:rsid w:val="70C1323B"/>
    <w:rsid w:val="70CC1BE0"/>
    <w:rsid w:val="70D016D0"/>
    <w:rsid w:val="70EC49AE"/>
    <w:rsid w:val="70F03B20"/>
    <w:rsid w:val="70F942ED"/>
    <w:rsid w:val="7110480E"/>
    <w:rsid w:val="71245578"/>
    <w:rsid w:val="713170E0"/>
    <w:rsid w:val="71341C5F"/>
    <w:rsid w:val="715A570D"/>
    <w:rsid w:val="715D4E31"/>
    <w:rsid w:val="715F2A54"/>
    <w:rsid w:val="7167298A"/>
    <w:rsid w:val="719170B1"/>
    <w:rsid w:val="71940950"/>
    <w:rsid w:val="719646C8"/>
    <w:rsid w:val="71981D91"/>
    <w:rsid w:val="719941B8"/>
    <w:rsid w:val="719C15B2"/>
    <w:rsid w:val="719C7798"/>
    <w:rsid w:val="71B608C6"/>
    <w:rsid w:val="71C07997"/>
    <w:rsid w:val="71DA4DA3"/>
    <w:rsid w:val="71E52F59"/>
    <w:rsid w:val="71E76CD1"/>
    <w:rsid w:val="71F31B1A"/>
    <w:rsid w:val="71F500E5"/>
    <w:rsid w:val="71F94C57"/>
    <w:rsid w:val="71FE226D"/>
    <w:rsid w:val="72021D5D"/>
    <w:rsid w:val="72077373"/>
    <w:rsid w:val="72086C48"/>
    <w:rsid w:val="720A0C12"/>
    <w:rsid w:val="720C498A"/>
    <w:rsid w:val="721675B7"/>
    <w:rsid w:val="721B4BCD"/>
    <w:rsid w:val="721B59EE"/>
    <w:rsid w:val="721D6B97"/>
    <w:rsid w:val="723B526F"/>
    <w:rsid w:val="72442622"/>
    <w:rsid w:val="72484962"/>
    <w:rsid w:val="724C745A"/>
    <w:rsid w:val="72514A93"/>
    <w:rsid w:val="725B7D61"/>
    <w:rsid w:val="72712A3F"/>
    <w:rsid w:val="727442DD"/>
    <w:rsid w:val="7283546D"/>
    <w:rsid w:val="72897D89"/>
    <w:rsid w:val="72964253"/>
    <w:rsid w:val="729F16E9"/>
    <w:rsid w:val="72A746B3"/>
    <w:rsid w:val="72A858A4"/>
    <w:rsid w:val="72A921D9"/>
    <w:rsid w:val="72B1108D"/>
    <w:rsid w:val="72B172DF"/>
    <w:rsid w:val="72BF37AA"/>
    <w:rsid w:val="72BF7C4E"/>
    <w:rsid w:val="72C74D55"/>
    <w:rsid w:val="72D66243"/>
    <w:rsid w:val="73013DC3"/>
    <w:rsid w:val="73163AB9"/>
    <w:rsid w:val="7329331A"/>
    <w:rsid w:val="733A5527"/>
    <w:rsid w:val="733C129F"/>
    <w:rsid w:val="734168B5"/>
    <w:rsid w:val="73530005"/>
    <w:rsid w:val="73555EBD"/>
    <w:rsid w:val="73612AB3"/>
    <w:rsid w:val="738A200A"/>
    <w:rsid w:val="739C6215"/>
    <w:rsid w:val="73CD0149"/>
    <w:rsid w:val="73DC213A"/>
    <w:rsid w:val="73FC27DC"/>
    <w:rsid w:val="7400407A"/>
    <w:rsid w:val="741146B9"/>
    <w:rsid w:val="741D2E7E"/>
    <w:rsid w:val="742F617E"/>
    <w:rsid w:val="743C0E2B"/>
    <w:rsid w:val="743E4BA3"/>
    <w:rsid w:val="74406B6D"/>
    <w:rsid w:val="74684BCE"/>
    <w:rsid w:val="7472484C"/>
    <w:rsid w:val="747D56CB"/>
    <w:rsid w:val="74890514"/>
    <w:rsid w:val="7499002B"/>
    <w:rsid w:val="749E5641"/>
    <w:rsid w:val="74A013B9"/>
    <w:rsid w:val="74AA2238"/>
    <w:rsid w:val="74B135C7"/>
    <w:rsid w:val="74B2229B"/>
    <w:rsid w:val="74C432FA"/>
    <w:rsid w:val="74D472B5"/>
    <w:rsid w:val="74DF0134"/>
    <w:rsid w:val="74E90FB2"/>
    <w:rsid w:val="74EB4D2A"/>
    <w:rsid w:val="74F55BA9"/>
    <w:rsid w:val="74FD05BA"/>
    <w:rsid w:val="74FE7ABF"/>
    <w:rsid w:val="750722DF"/>
    <w:rsid w:val="75093403"/>
    <w:rsid w:val="7510653F"/>
    <w:rsid w:val="751C1388"/>
    <w:rsid w:val="75210E82"/>
    <w:rsid w:val="75232716"/>
    <w:rsid w:val="75273889"/>
    <w:rsid w:val="75322959"/>
    <w:rsid w:val="75363ACC"/>
    <w:rsid w:val="75383CE8"/>
    <w:rsid w:val="75436915"/>
    <w:rsid w:val="75575F1C"/>
    <w:rsid w:val="75587EE6"/>
    <w:rsid w:val="75630D65"/>
    <w:rsid w:val="75660855"/>
    <w:rsid w:val="7579001D"/>
    <w:rsid w:val="757A1C0A"/>
    <w:rsid w:val="757C5983"/>
    <w:rsid w:val="757F678D"/>
    <w:rsid w:val="75826D11"/>
    <w:rsid w:val="75874A3F"/>
    <w:rsid w:val="758962F1"/>
    <w:rsid w:val="75AA13BC"/>
    <w:rsid w:val="75B55338"/>
    <w:rsid w:val="75CD72E8"/>
    <w:rsid w:val="75D87076"/>
    <w:rsid w:val="75EF6E70"/>
    <w:rsid w:val="760D0CD1"/>
    <w:rsid w:val="760E08AE"/>
    <w:rsid w:val="761402B1"/>
    <w:rsid w:val="76197675"/>
    <w:rsid w:val="7631490D"/>
    <w:rsid w:val="76492368"/>
    <w:rsid w:val="764D37C3"/>
    <w:rsid w:val="764D5B71"/>
    <w:rsid w:val="765854EF"/>
    <w:rsid w:val="76623842"/>
    <w:rsid w:val="76636B42"/>
    <w:rsid w:val="767D5E56"/>
    <w:rsid w:val="768076F4"/>
    <w:rsid w:val="768A2321"/>
    <w:rsid w:val="76992564"/>
    <w:rsid w:val="769B62DC"/>
    <w:rsid w:val="76A038F3"/>
    <w:rsid w:val="76A74C81"/>
    <w:rsid w:val="76AB714E"/>
    <w:rsid w:val="76C45833"/>
    <w:rsid w:val="76D67314"/>
    <w:rsid w:val="76FB321F"/>
    <w:rsid w:val="76FD0D45"/>
    <w:rsid w:val="76FD6F97"/>
    <w:rsid w:val="76FE0619"/>
    <w:rsid w:val="77122D87"/>
    <w:rsid w:val="77183DD1"/>
    <w:rsid w:val="772054B7"/>
    <w:rsid w:val="7722255A"/>
    <w:rsid w:val="772956DC"/>
    <w:rsid w:val="772D2A80"/>
    <w:rsid w:val="773029DE"/>
    <w:rsid w:val="773724A9"/>
    <w:rsid w:val="775462FD"/>
    <w:rsid w:val="77735F00"/>
    <w:rsid w:val="77876861"/>
    <w:rsid w:val="778E5E41"/>
    <w:rsid w:val="77976AA4"/>
    <w:rsid w:val="77AD62C7"/>
    <w:rsid w:val="77BC29AE"/>
    <w:rsid w:val="77CD482C"/>
    <w:rsid w:val="77CD6969"/>
    <w:rsid w:val="77CE623E"/>
    <w:rsid w:val="77ED0DBA"/>
    <w:rsid w:val="78216CB5"/>
    <w:rsid w:val="783B7D77"/>
    <w:rsid w:val="78491679"/>
    <w:rsid w:val="78501064"/>
    <w:rsid w:val="785B291E"/>
    <w:rsid w:val="78644D65"/>
    <w:rsid w:val="7867302D"/>
    <w:rsid w:val="78732537"/>
    <w:rsid w:val="787826DC"/>
    <w:rsid w:val="7879089F"/>
    <w:rsid w:val="788A2AAC"/>
    <w:rsid w:val="789D27E0"/>
    <w:rsid w:val="78B57075"/>
    <w:rsid w:val="78B96EEE"/>
    <w:rsid w:val="78C064CE"/>
    <w:rsid w:val="78D12489"/>
    <w:rsid w:val="78E0091E"/>
    <w:rsid w:val="78E83C07"/>
    <w:rsid w:val="78E97B0F"/>
    <w:rsid w:val="78EF56DA"/>
    <w:rsid w:val="78FB5758"/>
    <w:rsid w:val="78FB7AC1"/>
    <w:rsid w:val="79005453"/>
    <w:rsid w:val="790A14F7"/>
    <w:rsid w:val="792720A9"/>
    <w:rsid w:val="794C38BE"/>
    <w:rsid w:val="795A422D"/>
    <w:rsid w:val="795A5FDB"/>
    <w:rsid w:val="796B2ECF"/>
    <w:rsid w:val="797F5A41"/>
    <w:rsid w:val="799744F1"/>
    <w:rsid w:val="799C2A97"/>
    <w:rsid w:val="79A11E5C"/>
    <w:rsid w:val="79A8143C"/>
    <w:rsid w:val="79CF2E7D"/>
    <w:rsid w:val="79DA35C0"/>
    <w:rsid w:val="79DF0BD6"/>
    <w:rsid w:val="79F301DD"/>
    <w:rsid w:val="79FC3536"/>
    <w:rsid w:val="79FC7092"/>
    <w:rsid w:val="79FE105C"/>
    <w:rsid w:val="7A106FE1"/>
    <w:rsid w:val="7A1C3389"/>
    <w:rsid w:val="7A2465E9"/>
    <w:rsid w:val="7A293BFF"/>
    <w:rsid w:val="7A3031E0"/>
    <w:rsid w:val="7A3C1B84"/>
    <w:rsid w:val="7A553384"/>
    <w:rsid w:val="7A6A0BEA"/>
    <w:rsid w:val="7A725303"/>
    <w:rsid w:val="7A904F4C"/>
    <w:rsid w:val="7AA5597C"/>
    <w:rsid w:val="7AAB490D"/>
    <w:rsid w:val="7AAD65DE"/>
    <w:rsid w:val="7AC06311"/>
    <w:rsid w:val="7ACD0A2E"/>
    <w:rsid w:val="7AD166F6"/>
    <w:rsid w:val="7AD46261"/>
    <w:rsid w:val="7B046B46"/>
    <w:rsid w:val="7B092FAB"/>
    <w:rsid w:val="7B0B1975"/>
    <w:rsid w:val="7B165110"/>
    <w:rsid w:val="7B166879"/>
    <w:rsid w:val="7B1D5512"/>
    <w:rsid w:val="7B2014A6"/>
    <w:rsid w:val="7B2A7C2F"/>
    <w:rsid w:val="7B346CFF"/>
    <w:rsid w:val="7B454A69"/>
    <w:rsid w:val="7B476A33"/>
    <w:rsid w:val="7B57359C"/>
    <w:rsid w:val="7B58479C"/>
    <w:rsid w:val="7B5E7194"/>
    <w:rsid w:val="7B6A2721"/>
    <w:rsid w:val="7B735A7A"/>
    <w:rsid w:val="7B737828"/>
    <w:rsid w:val="7B767318"/>
    <w:rsid w:val="7B786BEC"/>
    <w:rsid w:val="7B7F7F7B"/>
    <w:rsid w:val="7B837922"/>
    <w:rsid w:val="7B851309"/>
    <w:rsid w:val="7B9A4DB4"/>
    <w:rsid w:val="7BB5399C"/>
    <w:rsid w:val="7BBC2F7D"/>
    <w:rsid w:val="7BC02341"/>
    <w:rsid w:val="7BD32074"/>
    <w:rsid w:val="7BE129E3"/>
    <w:rsid w:val="7C0641F8"/>
    <w:rsid w:val="7C0E7550"/>
    <w:rsid w:val="7C142940"/>
    <w:rsid w:val="7C1C1C6D"/>
    <w:rsid w:val="7C1E1D84"/>
    <w:rsid w:val="7C1E59E5"/>
    <w:rsid w:val="7C223BA7"/>
    <w:rsid w:val="7C32323F"/>
    <w:rsid w:val="7C366375"/>
    <w:rsid w:val="7C442F72"/>
    <w:rsid w:val="7C596A1E"/>
    <w:rsid w:val="7C602029"/>
    <w:rsid w:val="7C684EB3"/>
    <w:rsid w:val="7C6F7FEF"/>
    <w:rsid w:val="7C72188D"/>
    <w:rsid w:val="7C8068CE"/>
    <w:rsid w:val="7C947A56"/>
    <w:rsid w:val="7CA659DB"/>
    <w:rsid w:val="7CA67789"/>
    <w:rsid w:val="7CB41EA6"/>
    <w:rsid w:val="7CCA16C9"/>
    <w:rsid w:val="7CD04806"/>
    <w:rsid w:val="7CD17B30"/>
    <w:rsid w:val="7CDD764F"/>
    <w:rsid w:val="7CE342B8"/>
    <w:rsid w:val="7CE54755"/>
    <w:rsid w:val="7CEE6147"/>
    <w:rsid w:val="7D020E63"/>
    <w:rsid w:val="7D0F1D0F"/>
    <w:rsid w:val="7D1142C2"/>
    <w:rsid w:val="7D162B61"/>
    <w:rsid w:val="7D1D5C9D"/>
    <w:rsid w:val="7D1E680D"/>
    <w:rsid w:val="7D261BD0"/>
    <w:rsid w:val="7D3F20B7"/>
    <w:rsid w:val="7D8201F6"/>
    <w:rsid w:val="7D871368"/>
    <w:rsid w:val="7D87580C"/>
    <w:rsid w:val="7DB842E6"/>
    <w:rsid w:val="7DC600E3"/>
    <w:rsid w:val="7DD10836"/>
    <w:rsid w:val="7DD32800"/>
    <w:rsid w:val="7DE61830"/>
    <w:rsid w:val="7E1A042F"/>
    <w:rsid w:val="7E205AAD"/>
    <w:rsid w:val="7E2438A1"/>
    <w:rsid w:val="7E2748F9"/>
    <w:rsid w:val="7E3A287F"/>
    <w:rsid w:val="7E3E236F"/>
    <w:rsid w:val="7E494870"/>
    <w:rsid w:val="7E4B528A"/>
    <w:rsid w:val="7E5D2768"/>
    <w:rsid w:val="7E607762"/>
    <w:rsid w:val="7E611BB9"/>
    <w:rsid w:val="7E7111D8"/>
    <w:rsid w:val="7E835FD4"/>
    <w:rsid w:val="7E8F2BCB"/>
    <w:rsid w:val="7E904897"/>
    <w:rsid w:val="7EA877E8"/>
    <w:rsid w:val="7EAC0F2D"/>
    <w:rsid w:val="7EAD1609"/>
    <w:rsid w:val="7EBC14E6"/>
    <w:rsid w:val="7EBC7738"/>
    <w:rsid w:val="7ED405DD"/>
    <w:rsid w:val="7ED6157A"/>
    <w:rsid w:val="7EE60311"/>
    <w:rsid w:val="7F032C71"/>
    <w:rsid w:val="7F0C2A46"/>
    <w:rsid w:val="7F10538E"/>
    <w:rsid w:val="7F166E48"/>
    <w:rsid w:val="7F2E23E3"/>
    <w:rsid w:val="7F376DBE"/>
    <w:rsid w:val="7F42715A"/>
    <w:rsid w:val="7F4C4618"/>
    <w:rsid w:val="7F81059C"/>
    <w:rsid w:val="7F8256E1"/>
    <w:rsid w:val="7F8A15E4"/>
    <w:rsid w:val="7F8C710A"/>
    <w:rsid w:val="7F8E4C30"/>
    <w:rsid w:val="7F8F6BFA"/>
    <w:rsid w:val="7F9E7405"/>
    <w:rsid w:val="7FA84C57"/>
    <w:rsid w:val="7FBD5515"/>
    <w:rsid w:val="7FC40652"/>
    <w:rsid w:val="7FE67861"/>
    <w:rsid w:val="7FF151BF"/>
    <w:rsid w:val="7FFA0856"/>
    <w:rsid w:val="7FFB7DEC"/>
    <w:rsid w:val="7FFD3F32"/>
    <w:rsid w:val="FDF89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8"/>
    <w:qFormat/>
    <w:uiPriority w:val="9"/>
    <w:pPr>
      <w:keepNext/>
      <w:keepLines/>
      <w:spacing w:before="340" w:after="330" w:line="576" w:lineRule="auto"/>
      <w:outlineLvl w:val="0"/>
    </w:pPr>
    <w:rPr>
      <w:b/>
      <w:kern w:val="44"/>
      <w:sz w:val="44"/>
    </w:rPr>
  </w:style>
  <w:style w:type="paragraph" w:styleId="3">
    <w:name w:val="heading 2"/>
    <w:basedOn w:val="1"/>
    <w:next w:val="1"/>
    <w:link w:val="26"/>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link w:val="27"/>
    <w:unhideWhenUsed/>
    <w:qFormat/>
    <w:uiPriority w:val="9"/>
    <w:pPr>
      <w:keepNext/>
      <w:keepLines/>
      <w:spacing w:before="260" w:after="260" w:line="413" w:lineRule="auto"/>
      <w:outlineLvl w:val="2"/>
    </w:pPr>
    <w:rPr>
      <w:b/>
      <w:sz w:val="32"/>
    </w:rPr>
  </w:style>
  <w:style w:type="paragraph" w:styleId="5">
    <w:name w:val="heading 4"/>
    <w:basedOn w:val="1"/>
    <w:next w:val="1"/>
    <w:link w:val="2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unhideWhenUsed/>
    <w:qFormat/>
    <w:uiPriority w:val="9"/>
    <w:pPr>
      <w:keepNext/>
      <w:keepLines/>
      <w:spacing w:before="280" w:beforeLines="0" w:beforeAutospacing="0" w:after="290" w:afterLines="0" w:afterAutospacing="0" w:line="372" w:lineRule="auto"/>
      <w:outlineLvl w:val="4"/>
    </w:pPr>
    <w:rPr>
      <w:b/>
      <w:sz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7">
    <w:name w:val="Body Text"/>
    <w:basedOn w:val="1"/>
    <w:qFormat/>
    <w:uiPriority w:val="1"/>
    <w:rPr>
      <w:rFonts w:ascii="宋体" w:hAnsi="宋体" w:eastAsia="宋体" w:cs="宋体"/>
      <w:szCs w:val="21"/>
    </w:rPr>
  </w:style>
  <w:style w:type="paragraph" w:styleId="8">
    <w:name w:val="toc 3"/>
    <w:basedOn w:val="1"/>
    <w:next w:val="1"/>
    <w:unhideWhenUsed/>
    <w:qFormat/>
    <w:uiPriority w:val="39"/>
    <w:pPr>
      <w:ind w:left="840" w:leftChars="400"/>
    </w:pPr>
  </w:style>
  <w:style w:type="paragraph" w:styleId="9">
    <w:name w:val="Date"/>
    <w:basedOn w:val="1"/>
    <w:next w:val="1"/>
    <w:link w:val="23"/>
    <w:semiHidden/>
    <w:unhideWhenUsed/>
    <w:qFormat/>
    <w:uiPriority w:val="99"/>
    <w:pPr>
      <w:ind w:left="100" w:leftChars="2500"/>
    </w:pPr>
  </w:style>
  <w:style w:type="paragraph" w:styleId="10">
    <w:name w:val="Balloon Text"/>
    <w:basedOn w:val="1"/>
    <w:link w:val="22"/>
    <w:semiHidden/>
    <w:unhideWhenUsed/>
    <w:qFormat/>
    <w:uiPriority w:val="99"/>
    <w:rPr>
      <w:sz w:val="18"/>
      <w:szCs w:val="18"/>
    </w:rPr>
  </w:style>
  <w:style w:type="paragraph" w:styleId="11">
    <w:name w:val="footer"/>
    <w:basedOn w:val="1"/>
    <w:link w:val="25"/>
    <w:unhideWhenUsed/>
    <w:qFormat/>
    <w:uiPriority w:val="99"/>
    <w:pPr>
      <w:tabs>
        <w:tab w:val="center" w:pos="4153"/>
        <w:tab w:val="right" w:pos="8306"/>
      </w:tabs>
      <w:snapToGrid w:val="0"/>
      <w:jc w:val="left"/>
    </w:pPr>
    <w:rPr>
      <w:sz w:val="18"/>
      <w:szCs w:val="18"/>
    </w:rPr>
  </w:style>
  <w:style w:type="paragraph" w:styleId="12">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unhideWhenUsed/>
    <w:qFormat/>
    <w:uiPriority w:val="39"/>
    <w:pPr>
      <w:ind w:left="420" w:leftChars="200"/>
    </w:pPr>
  </w:style>
  <w:style w:type="paragraph" w:styleId="14">
    <w:name w:val="Normal (Web)"/>
    <w:basedOn w:val="1"/>
    <w:qFormat/>
    <w:uiPriority w:val="0"/>
    <w:pPr>
      <w:spacing w:beforeAutospacing="1" w:afterAutospacing="1"/>
      <w:jc w:val="left"/>
    </w:pPr>
    <w:rPr>
      <w:rFonts w:cs="Times New Roman"/>
      <w:kern w:val="0"/>
      <w:sz w:val="24"/>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rPr>
  </w:style>
  <w:style w:type="character" w:styleId="19">
    <w:name w:val="Emphasis"/>
    <w:basedOn w:val="17"/>
    <w:qFormat/>
    <w:uiPriority w:val="20"/>
    <w:rPr>
      <w:i/>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paragraph" w:styleId="21">
    <w:name w:val="List Paragraph"/>
    <w:basedOn w:val="1"/>
    <w:qFormat/>
    <w:uiPriority w:val="34"/>
    <w:pPr>
      <w:ind w:firstLine="420" w:firstLineChars="200"/>
    </w:pPr>
  </w:style>
  <w:style w:type="character" w:customStyle="1" w:styleId="22">
    <w:name w:val="批注框文本 Char"/>
    <w:basedOn w:val="17"/>
    <w:link w:val="10"/>
    <w:semiHidden/>
    <w:qFormat/>
    <w:uiPriority w:val="99"/>
    <w:rPr>
      <w:sz w:val="18"/>
      <w:szCs w:val="18"/>
    </w:rPr>
  </w:style>
  <w:style w:type="character" w:customStyle="1" w:styleId="23">
    <w:name w:val="日期 Char"/>
    <w:basedOn w:val="17"/>
    <w:link w:val="9"/>
    <w:semiHidden/>
    <w:qFormat/>
    <w:uiPriority w:val="99"/>
    <w:rPr>
      <w:rFonts w:asciiTheme="minorHAnsi" w:hAnsiTheme="minorHAnsi" w:eastAsiaTheme="minorEastAsia" w:cstheme="minorBidi"/>
      <w:kern w:val="2"/>
      <w:sz w:val="21"/>
      <w:szCs w:val="22"/>
    </w:rPr>
  </w:style>
  <w:style w:type="character" w:customStyle="1" w:styleId="24">
    <w:name w:val="页眉 Char"/>
    <w:basedOn w:val="17"/>
    <w:link w:val="12"/>
    <w:qFormat/>
    <w:uiPriority w:val="99"/>
    <w:rPr>
      <w:rFonts w:asciiTheme="minorHAnsi" w:hAnsiTheme="minorHAnsi" w:eastAsiaTheme="minorEastAsia" w:cstheme="minorBidi"/>
      <w:kern w:val="2"/>
      <w:sz w:val="18"/>
      <w:szCs w:val="18"/>
    </w:rPr>
  </w:style>
  <w:style w:type="character" w:customStyle="1" w:styleId="25">
    <w:name w:val="页脚 Char"/>
    <w:basedOn w:val="17"/>
    <w:link w:val="11"/>
    <w:qFormat/>
    <w:uiPriority w:val="99"/>
    <w:rPr>
      <w:rFonts w:asciiTheme="minorHAnsi" w:hAnsiTheme="minorHAnsi" w:eastAsiaTheme="minorEastAsia" w:cstheme="minorBidi"/>
      <w:kern w:val="2"/>
      <w:sz w:val="18"/>
      <w:szCs w:val="18"/>
    </w:rPr>
  </w:style>
  <w:style w:type="character" w:customStyle="1" w:styleId="26">
    <w:name w:val="标题 2 Char"/>
    <w:link w:val="3"/>
    <w:qFormat/>
    <w:uiPriority w:val="0"/>
    <w:rPr>
      <w:rFonts w:ascii="Arial" w:hAnsi="Arial" w:eastAsia="黑体"/>
      <w:b/>
      <w:sz w:val="32"/>
    </w:rPr>
  </w:style>
  <w:style w:type="character" w:customStyle="1" w:styleId="27">
    <w:name w:val="标题 3 Char"/>
    <w:link w:val="4"/>
    <w:qFormat/>
    <w:uiPriority w:val="0"/>
    <w:rPr>
      <w:b/>
      <w:sz w:val="32"/>
    </w:rPr>
  </w:style>
  <w:style w:type="character" w:customStyle="1" w:styleId="28">
    <w:name w:val="标题 1 Char"/>
    <w:link w:val="2"/>
    <w:qFormat/>
    <w:uiPriority w:val="0"/>
    <w:rPr>
      <w:b/>
      <w:kern w:val="44"/>
      <w:sz w:val="44"/>
    </w:rPr>
  </w:style>
  <w:style w:type="character" w:customStyle="1" w:styleId="29">
    <w:name w:val="标题 4 Char"/>
    <w:basedOn w:val="17"/>
    <w:link w:val="5"/>
    <w:qFormat/>
    <w:uiPriority w:val="9"/>
    <w:rPr>
      <w:rFonts w:asciiTheme="majorHAnsi" w:hAnsiTheme="majorHAnsi" w:eastAsiaTheme="majorEastAsia" w:cstheme="majorBidi"/>
      <w:b/>
      <w:bCs/>
      <w:kern w:val="2"/>
      <w:sz w:val="28"/>
      <w:szCs w:val="28"/>
    </w:rPr>
  </w:style>
  <w:style w:type="paragraph" w:customStyle="1" w:styleId="3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1">
    <w:name w:val="Table Paragraph"/>
    <w:basedOn w:val="1"/>
    <w:qFormat/>
    <w:uiPriority w:val="1"/>
    <w:pPr>
      <w:ind w:left="106"/>
    </w:pPr>
    <w:rPr>
      <w:rFonts w:ascii="宋体" w:hAnsi="宋体" w:eastAsia="宋体" w:cs="宋体"/>
      <w:lang w:val="en-US" w:eastAsia="zh-CN" w:bidi="ar-SA"/>
    </w:rPr>
  </w:style>
  <w:style w:type="character" w:customStyle="1" w:styleId="32">
    <w:name w:val="font11"/>
    <w:basedOn w:val="17"/>
    <w:qFormat/>
    <w:uiPriority w:val="0"/>
    <w:rPr>
      <w:rFonts w:hint="eastAsia" w:ascii="宋体" w:hAnsi="宋体" w:eastAsia="宋体" w:cs="宋体"/>
      <w:color w:val="000000"/>
      <w:sz w:val="18"/>
      <w:szCs w:val="18"/>
      <w:u w:val="none"/>
    </w:rPr>
  </w:style>
  <w:style w:type="character" w:customStyle="1" w:styleId="33">
    <w:name w:val="font31"/>
    <w:basedOn w:val="1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53</Pages>
  <Words>16607</Words>
  <Characters>20966</Characters>
  <Lines>160</Lines>
  <Paragraphs>45</Paragraphs>
  <TotalTime>2</TotalTime>
  <ScaleCrop>false</ScaleCrop>
  <LinksUpToDate>false</LinksUpToDate>
  <CharactersWithSpaces>21911</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2024-04-30T10:07:00Z</dcterms:created>
  <dc:creator>Administrator</dc:creator>
  <cp:lastModifiedBy>baixin</cp:lastModifiedBy>
  <cp:lastPrinted>2024-06-18T10:01:00Z</cp:lastPrinted>
  <dcterms:modified xsi:type="dcterms:W3CDTF">2024-07-02T10:03:06Z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E696CFA9D70B423595F4E4F85DB86DFD_13</vt:lpwstr>
  </property>
</Properties>
</file>