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459"/>
        <w:spacing w:before="111" w:line="217" w:lineRule="auto"/>
        <w:outlineLvl w:val="0"/>
        <w:rPr/>
      </w:pPr>
      <w:r>
        <w:rPr>
          <w:spacing w:val="-6"/>
        </w:rPr>
        <w:t>古 县</w:t>
      </w:r>
      <w:r>
        <w:rPr>
          <w:spacing w:val="-13"/>
        </w:rPr>
        <w:t xml:space="preserve"> </w:t>
      </w:r>
      <w:r>
        <w:rPr>
          <w:spacing w:val="-6"/>
        </w:rPr>
        <w:t>教 育</w:t>
      </w:r>
      <w:r>
        <w:rPr>
          <w:spacing w:val="-17"/>
        </w:rPr>
        <w:t xml:space="preserve"> </w:t>
      </w:r>
      <w:r>
        <w:rPr>
          <w:spacing w:val="-6"/>
        </w:rPr>
        <w:t>科</w:t>
      </w:r>
      <w:r>
        <w:rPr>
          <w:spacing w:val="-18"/>
        </w:rPr>
        <w:t xml:space="preserve"> </w:t>
      </w:r>
      <w:r>
        <w:rPr>
          <w:spacing w:val="-6"/>
        </w:rPr>
        <w:t>技 局</w:t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1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4" w:right="937" w:firstLine="512"/>
        <w:spacing w:before="269" w:line="316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全面贯彻执行教育改革与发展的战略、政策和规划，组织实施教育法律、法规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和方针、政策，组织开展教育行政执法。负责深</w:t>
      </w:r>
      <w:r>
        <w:rPr>
          <w:rFonts w:ascii="FangSong" w:hAnsi="FangSong" w:eastAsia="FangSong" w:cs="FangSong"/>
          <w:sz w:val="25"/>
          <w:szCs w:val="25"/>
          <w:spacing w:val="1"/>
        </w:rPr>
        <w:t>化教育领域综合改革和全县各级各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统筹规划和协调管理。负责推进义务教育均衡发</w:t>
      </w:r>
      <w:r>
        <w:rPr>
          <w:rFonts w:ascii="FangSong" w:hAnsi="FangSong" w:eastAsia="FangSong" w:cs="FangSong"/>
          <w:sz w:val="25"/>
          <w:szCs w:val="25"/>
          <w:spacing w:val="1"/>
        </w:rPr>
        <w:t>展和促进教育公平。负责我县教育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行政部门及教育人事制度改革工作。指导全县的</w:t>
      </w:r>
      <w:r>
        <w:rPr>
          <w:rFonts w:ascii="FangSong" w:hAnsi="FangSong" w:eastAsia="FangSong" w:cs="FangSong"/>
          <w:sz w:val="25"/>
          <w:szCs w:val="25"/>
          <w:spacing w:val="1"/>
        </w:rPr>
        <w:t>教育督导工作。指导全县职业教育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的发展与改革。负责本部门教育经费的统筹管理</w:t>
      </w:r>
      <w:r>
        <w:rPr>
          <w:rFonts w:ascii="FangSong" w:hAnsi="FangSong" w:eastAsia="FangSong" w:cs="FangSong"/>
          <w:sz w:val="25"/>
          <w:szCs w:val="25"/>
          <w:spacing w:val="1"/>
        </w:rPr>
        <w:t>。负责全县教师管理工作。负责推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进全县考试招生制度改革。承担全县民办教育的</w:t>
      </w:r>
      <w:r>
        <w:rPr>
          <w:rFonts w:ascii="FangSong" w:hAnsi="FangSong" w:eastAsia="FangSong" w:cs="FangSong"/>
          <w:sz w:val="25"/>
          <w:szCs w:val="25"/>
          <w:spacing w:val="1"/>
        </w:rPr>
        <w:t>统筹规划、综合协调和宏观管理的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有关工作。贯彻执行国家、省、市有关科学技术</w:t>
      </w:r>
      <w:r>
        <w:rPr>
          <w:rFonts w:ascii="FangSong" w:hAnsi="FangSong" w:eastAsia="FangSong" w:cs="FangSong"/>
          <w:sz w:val="25"/>
          <w:szCs w:val="25"/>
          <w:spacing w:val="1"/>
        </w:rPr>
        <w:t>发展的方针、政策和法规，研究制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定或拟定全县科技发展的战略和促进经济与社会</w:t>
      </w:r>
      <w:r>
        <w:rPr>
          <w:rFonts w:ascii="FangSong" w:hAnsi="FangSong" w:eastAsia="FangSong" w:cs="FangSong"/>
          <w:sz w:val="25"/>
          <w:szCs w:val="25"/>
          <w:spacing w:val="1"/>
        </w:rPr>
        <w:t>发展的措施。制定全县科学技术普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及工作规划，实行政策引导，推动科普工作发展，建立全县科技服务体系。</w:t>
      </w:r>
    </w:p>
    <w:p>
      <w:pPr>
        <w:ind w:left="12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6" w:right="1063" w:firstLine="509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古县教育科技局设下列5个内设机构：办公室、人事股（行政审批股）、教育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股、教育工委办公室、科学和技术办公室。</w:t>
      </w:r>
    </w:p>
    <w:p>
      <w:pPr>
        <w:spacing w:line="30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部门名称：古县教育科技局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9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1,883.89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1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3,240.00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54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1,587.24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5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70.00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337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10.59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223.08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83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12.92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46"/>
              <w:spacing w:before="159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3,241.24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5,134.48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5,134.48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5,134.48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5,134.48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61"/>
        <w:gridCol w:w="1019"/>
        <w:gridCol w:w="1343"/>
        <w:gridCol w:w="1235"/>
        <w:gridCol w:w="719"/>
        <w:gridCol w:w="803"/>
        <w:gridCol w:w="863"/>
        <w:gridCol w:w="684"/>
        <w:gridCol w:w="989"/>
      </w:tblGrid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36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8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14" w:hRule="atLeast"/>
        </w:trPr>
        <w:tc>
          <w:tcPr>
            <w:tcW w:w="372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9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58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0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3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38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380" w:type="dxa"/>
            <w:vAlign w:val="top"/>
            <w:gridSpan w:val="2"/>
          </w:tcPr>
          <w:p>
            <w:pPr>
              <w:pStyle w:val="TableText"/>
              <w:ind w:left="996"/>
              <w:spacing w:before="45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4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 w:right="102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4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6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3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1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9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303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0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380" w:type="dxa"/>
            <w:vAlign w:val="top"/>
            <w:gridSpan w:val="2"/>
          </w:tcPr>
          <w:p>
            <w:pPr>
              <w:ind w:left="98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43" w:type="dxa"/>
            <w:vAlign w:val="top"/>
          </w:tcPr>
          <w:p>
            <w:pPr>
              <w:ind w:left="61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19" w:type="dxa"/>
            <w:vAlign w:val="top"/>
          </w:tcPr>
          <w:p>
            <w:pPr>
              <w:ind w:left="30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03" w:type="dxa"/>
            <w:vAlign w:val="top"/>
          </w:tcPr>
          <w:p>
            <w:pPr>
              <w:ind w:left="34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63" w:type="dxa"/>
            <w:vAlign w:val="top"/>
          </w:tcPr>
          <w:p>
            <w:pPr>
              <w:ind w:left="374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84" w:type="dxa"/>
            <w:vAlign w:val="top"/>
          </w:tcPr>
          <w:p>
            <w:pPr>
              <w:ind w:left="28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989" w:type="dxa"/>
            <w:vAlign w:val="top"/>
          </w:tcPr>
          <w:p>
            <w:pPr>
              <w:ind w:left="43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380" w:type="dxa"/>
            <w:vAlign w:val="top"/>
            <w:gridSpan w:val="2"/>
          </w:tcPr>
          <w:p>
            <w:pPr>
              <w:ind w:left="98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5,134.48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5,123.89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17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10.59</w:t>
            </w:r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1,587.24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1,576.64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17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10.59</w:t>
            </w:r>
          </w:p>
        </w:tc>
      </w:tr>
      <w:tr>
        <w:trPr>
          <w:trHeight w:val="409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20501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教育管理事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2050101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1,386.00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1,375.41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17"/>
              <w:spacing w:before="75" w:line="184" w:lineRule="auto"/>
              <w:rPr/>
            </w:pPr>
            <w:r>
              <w:rPr>
                <w:color w:val="212529"/>
                <w:spacing w:val="-5"/>
              </w:rPr>
              <w:t>10.59</w:t>
            </w:r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8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260.28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260.28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1" w:right="112" w:hanging="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育支出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1,125.72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1,115.13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17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10.59</w:t>
            </w:r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9" w:right="112" w:hanging="15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科学技术支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2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5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20699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其他科学技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术支出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2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5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2069901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科技奖励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2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5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223.08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223.08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 w:firstLine="2"/>
              <w:spacing w:before="2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128.36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128.36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 w:firstLine="2"/>
              <w:spacing w:before="2" w:line="204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13.87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13.87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6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 w:right="112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1"/>
              <w:spacing w:before="59" w:line="184" w:lineRule="auto"/>
              <w:rPr/>
            </w:pPr>
            <w:r>
              <w:rPr>
                <w:color w:val="212529"/>
                <w:spacing w:val="-5"/>
              </w:rPr>
              <w:t>12.47</w:t>
            </w:r>
          </w:p>
        </w:tc>
        <w:tc>
          <w:tcPr>
            <w:tcW w:w="123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4"/>
              <w:spacing w:before="59" w:line="184" w:lineRule="auto"/>
              <w:rPr/>
            </w:pPr>
            <w:r>
              <w:rPr>
                <w:color w:val="212529"/>
                <w:spacing w:val="-5"/>
              </w:rPr>
              <w:t>12.47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" w:right="11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8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94.50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94.50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8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8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9" w:right="112" w:hanging="1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9" w:right="112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1" w:hRule="atLeast"/>
        </w:trPr>
        <w:tc>
          <w:tcPr>
            <w:tcW w:w="1361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 w:right="112" w:firstLine="1"/>
              <w:spacing w:before="6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其他政府性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基金及对应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专项债务收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235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1" w:hRule="atLeast"/>
        </w:trPr>
        <w:tc>
          <w:tcPr>
            <w:tcW w:w="1361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 w:right="112" w:firstLine="1"/>
              <w:spacing w:before="6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其他地方自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行试点项目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收益专项债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券收入安排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343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235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50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235"/>
        <w:gridCol w:w="1427"/>
        <w:gridCol w:w="515"/>
        <w:gridCol w:w="887"/>
        <w:gridCol w:w="893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9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5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部门名称：古县教育科技局</w:t>
            </w:r>
          </w:p>
        </w:tc>
        <w:tc>
          <w:tcPr>
            <w:tcW w:w="266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45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ind w:left="111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1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1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89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1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2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3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0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1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27" w:type="dxa"/>
            <w:vAlign w:val="top"/>
          </w:tcPr>
          <w:p>
            <w:pPr>
              <w:ind w:left="65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27" w:type="dxa"/>
            <w:vAlign w:val="top"/>
          </w:tcPr>
          <w:p>
            <w:pPr>
              <w:ind w:left="654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19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93" w:type="dxa"/>
            <w:vAlign w:val="top"/>
          </w:tcPr>
          <w:p>
            <w:pPr>
              <w:ind w:left="389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2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5,134.48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425.68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1"/>
              </w:rPr>
              <w:t>4,708.81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4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1,587.24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1,397.57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3" w:line="184" w:lineRule="auto"/>
              <w:rPr/>
            </w:pPr>
            <w:r>
              <w:rPr>
                <w:color w:val="212529"/>
                <w:spacing w:val="-2"/>
              </w:rPr>
              <w:t>20501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"/>
              <w:spacing w:before="46" w:line="219" w:lineRule="auto"/>
              <w:rPr/>
            </w:pPr>
            <w:r>
              <w:rPr>
                <w:color w:val="212529"/>
                <w:spacing w:val="-2"/>
              </w:rPr>
              <w:t>教育管理事务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73" w:line="184" w:lineRule="auto"/>
              <w:rPr/>
            </w:pPr>
            <w:r>
              <w:rPr>
                <w:color w:val="212529"/>
                <w:spacing w:val="-5"/>
              </w:rPr>
              <w:t>11.57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3" w:line="184" w:lineRule="auto"/>
              <w:rPr/>
            </w:pPr>
            <w:r>
              <w:rPr>
                <w:color w:val="212529"/>
                <w:spacing w:val="-2"/>
              </w:rPr>
              <w:t>2050101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7"/>
              <w:spacing w:before="4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73" w:line="184" w:lineRule="auto"/>
              <w:rPr/>
            </w:pPr>
            <w:r>
              <w:rPr>
                <w:color w:val="212529"/>
                <w:spacing w:val="-5"/>
              </w:rPr>
              <w:t>11.57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4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46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1,386.00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1,386.00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8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260.28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260.28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1,125.72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1,125.72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3" w:lineRule="auto"/>
              <w:rPr/>
            </w:pPr>
            <w:r>
              <w:rPr>
                <w:color w:val="212529"/>
                <w:spacing w:val="-4"/>
              </w:rPr>
              <w:t>206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科学技术支出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20699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其他科学技术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2069901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科技奖励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223.08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223.08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128.36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128.36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13.87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13.87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233" w:line="184" w:lineRule="auto"/>
              <w:rPr/>
            </w:pPr>
            <w:r>
              <w:rPr>
                <w:color w:val="212529"/>
                <w:spacing w:val="-5"/>
              </w:rPr>
              <w:t>12.47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233" w:line="184" w:lineRule="auto"/>
              <w:rPr/>
            </w:pPr>
            <w:r>
              <w:rPr>
                <w:color w:val="212529"/>
                <w:spacing w:val="-5"/>
              </w:rPr>
              <w:t>12.47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2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94.50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94.50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2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2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2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6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其他政府性基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金及对应专项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债务收入安排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的支出</w:t>
            </w:r>
          </w:p>
        </w:tc>
        <w:tc>
          <w:tcPr>
            <w:tcW w:w="142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6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7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其他地方自行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试点项目收益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专项债券收入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安排的支出</w:t>
            </w:r>
          </w:p>
        </w:tc>
        <w:tc>
          <w:tcPr>
            <w:tcW w:w="142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41"/>
        <w:gridCol w:w="420"/>
        <w:gridCol w:w="1487"/>
        <w:gridCol w:w="1427"/>
        <w:gridCol w:w="443"/>
        <w:gridCol w:w="995"/>
        <w:gridCol w:w="1235"/>
        <w:gridCol w:w="995"/>
        <w:gridCol w:w="773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4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168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2" w:hRule="atLeast"/>
        </w:trPr>
        <w:tc>
          <w:tcPr>
            <w:tcW w:w="314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42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733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148" w:type="dxa"/>
            <w:vAlign w:val="top"/>
            <w:gridSpan w:val="3"/>
          </w:tcPr>
          <w:p>
            <w:pPr>
              <w:pStyle w:val="TableText"/>
              <w:ind w:left="1383"/>
              <w:spacing w:before="107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868" w:type="dxa"/>
            <w:vAlign w:val="top"/>
            <w:gridSpan w:val="6"/>
          </w:tcPr>
          <w:p>
            <w:pPr>
              <w:pStyle w:val="TableText"/>
              <w:ind w:left="2737"/>
              <w:spacing w:before="106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4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6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2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2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99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43" w:right="89" w:hanging="177"/>
              <w:spacing w:before="215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34"/>
              <w:spacing w:before="119" w:line="209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</w:p>
          <w:p>
            <w:pPr>
              <w:pStyle w:val="TableText"/>
              <w:ind w:left="36"/>
              <w:spacing w:line="209" w:lineRule="auto"/>
              <w:rPr/>
            </w:pPr>
            <w:r>
              <w:rPr>
                <w:color w:val="212529"/>
                <w:spacing w:val="-2"/>
              </w:rPr>
              <w:t>预算财政拨</w:t>
            </w:r>
          </w:p>
          <w:p>
            <w:pPr>
              <w:pStyle w:val="TableText"/>
              <w:ind w:left="395"/>
              <w:spacing w:line="220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13" w:right="38" w:firstLine="16"/>
              <w:spacing w:before="117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ind w:left="415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>
            <w:pPr>
              <w:ind w:left="508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ind w:left="438"/>
              <w:spacing w:before="13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35" w:type="dxa"/>
            <w:vAlign w:val="top"/>
          </w:tcPr>
          <w:p>
            <w:pPr>
              <w:ind w:left="560"/>
              <w:spacing w:before="13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995" w:type="dxa"/>
            <w:vAlign w:val="top"/>
          </w:tcPr>
          <w:p>
            <w:pPr>
              <w:ind w:left="440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13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pStyle w:val="TableText"/>
              <w:ind w:left="10" w:right="150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6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50"/>
              <w:spacing w:before="135" w:line="184" w:lineRule="auto"/>
              <w:rPr/>
            </w:pPr>
            <w:r>
              <w:rPr>
                <w:color w:val="212529"/>
                <w:spacing w:val="-3"/>
              </w:rPr>
              <w:t>1,883.89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7" w:right="159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41" w:type="dxa"/>
            <w:vAlign w:val="top"/>
          </w:tcPr>
          <w:p>
            <w:pPr>
              <w:pStyle w:val="TableText"/>
              <w:ind w:left="9" w:right="150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0"/>
              <w:spacing w:before="23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40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8"/>
              <w:spacing w:before="204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2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41" w:type="dxa"/>
            <w:vAlign w:val="top"/>
          </w:tcPr>
          <w:p>
            <w:pPr>
              <w:pStyle w:val="TableText"/>
              <w:ind w:left="10" w:right="150" w:hanging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234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5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4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21" w:right="159" w:firstLine="1"/>
              <w:spacing w:before="2" w:line="210" w:lineRule="auto"/>
              <w:rPr/>
            </w:pPr>
            <w:r>
              <w:rPr>
                <w:color w:val="212529"/>
                <w:spacing w:val="-4"/>
              </w:rPr>
              <w:t>四、公共安全支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1,576.64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1,576.64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21" w:right="159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六、科学技术支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8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0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12" w:right="159" w:hanging="7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七、文化旅游体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7" w:right="159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八、社会保障和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223.08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223.08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21" w:right="159" w:hanging="1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九、卫生健康支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20" w:right="159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十、节能环保支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" w:right="15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十二、农林水支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" w:right="15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7" w:right="159" w:hanging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工业信息等支出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5" w:right="15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业等支出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5" w:right="15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地区支出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5" w:right="159" w:firstLine="1"/>
              <w:spacing w:before="4" w:line="209" w:lineRule="auto"/>
              <w:rPr/>
            </w:pPr>
            <w:r>
              <w:rPr>
                <w:color w:val="212529"/>
                <w:spacing w:val="-7"/>
              </w:rPr>
              <w:t>十八、</w:t>
            </w:r>
            <w:r>
              <w:rPr>
                <w:color w:val="212529"/>
                <w:spacing w:val="-51"/>
              </w:rPr>
              <w:t xml:space="preserve"> </w:t>
            </w:r>
            <w:r>
              <w:rPr>
                <w:color w:val="212529"/>
                <w:spacing w:val="-7"/>
              </w:rPr>
              <w:t>自然资源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海洋气象等支出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" w:right="15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5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7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1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5" w:right="15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二十、粮油物资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储备支出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" w:right="15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二十一、国有资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本经营预算支出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237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" w:right="159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二十二、灾害防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治及应急管理支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7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20" w:right="15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二十三、其他支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" w:right="15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12" w:right="159" w:hanging="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二十五、债务付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息支出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41"/>
        <w:gridCol w:w="420"/>
        <w:gridCol w:w="1487"/>
        <w:gridCol w:w="1427"/>
        <w:gridCol w:w="443"/>
        <w:gridCol w:w="995"/>
        <w:gridCol w:w="1235"/>
        <w:gridCol w:w="995"/>
        <w:gridCol w:w="773"/>
      </w:tblGrid>
      <w:tr>
        <w:trPr>
          <w:trHeight w:val="619" w:hRule="atLeast"/>
        </w:trPr>
        <w:tc>
          <w:tcPr>
            <w:tcW w:w="12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8" w:right="159"/>
              <w:spacing w:before="3" w:line="207" w:lineRule="auto"/>
              <w:jc w:val="both"/>
              <w:rPr/>
            </w:pPr>
            <w:r>
              <w:rPr>
                <w:color w:val="212529"/>
                <w:spacing w:val="-2"/>
              </w:rPr>
              <w:t>二十六、抗疫特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别国债安排的支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41" w:type="dxa"/>
            <w:vAlign w:val="top"/>
          </w:tcPr>
          <w:p>
            <w:pPr>
              <w:pStyle w:val="TableText"/>
              <w:ind w:left="63"/>
              <w:spacing w:before="106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40"/>
              <w:spacing w:before="133" w:line="184" w:lineRule="auto"/>
              <w:rPr/>
            </w:pPr>
            <w:r>
              <w:rPr>
                <w:color w:val="212529"/>
                <w:spacing w:val="-2"/>
              </w:rPr>
              <w:t>5,123.89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156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5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5,123.89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3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1,883.89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1"/>
              <w:spacing w:before="13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41" w:type="dxa"/>
            <w:vAlign w:val="top"/>
          </w:tcPr>
          <w:p>
            <w:pPr>
              <w:pStyle w:val="TableText"/>
              <w:ind w:left="12" w:right="150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" w:right="15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41" w:type="dxa"/>
            <w:vAlign w:val="top"/>
          </w:tcPr>
          <w:p>
            <w:pPr>
              <w:pStyle w:val="TableText"/>
              <w:ind w:left="10" w:right="150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41" w:type="dxa"/>
            <w:vAlign w:val="top"/>
          </w:tcPr>
          <w:p>
            <w:pPr>
              <w:pStyle w:val="TableText"/>
              <w:ind w:left="10" w:right="150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41" w:type="dxa"/>
            <w:vAlign w:val="top"/>
          </w:tcPr>
          <w:p>
            <w:pPr>
              <w:pStyle w:val="TableText"/>
              <w:ind w:left="9" w:right="150" w:firstLine="196"/>
              <w:spacing w:before="3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9"/>
              <w:spacing w:before="234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41" w:type="dxa"/>
            <w:vAlign w:val="top"/>
          </w:tcPr>
          <w:p>
            <w:pPr>
              <w:pStyle w:val="TableText"/>
              <w:ind w:left="428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40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5,123.89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520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5,123.89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1,883.89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2"/>
        <w:gridCol w:w="2518"/>
        <w:gridCol w:w="1714"/>
        <w:gridCol w:w="1403"/>
        <w:gridCol w:w="1649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04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2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71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6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0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614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250" w:type="dxa"/>
            <w:vAlign w:val="top"/>
            <w:gridSpan w:val="2"/>
          </w:tcPr>
          <w:p>
            <w:pPr>
              <w:ind w:left="192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766" w:type="dxa"/>
            <w:vAlign w:val="top"/>
            <w:gridSpan w:val="3"/>
          </w:tcPr>
          <w:p>
            <w:pPr>
              <w:ind w:left="200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32" w:type="dxa"/>
            <w:vAlign w:val="top"/>
          </w:tcPr>
          <w:p>
            <w:pPr>
              <w:ind w:left="483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18" w:type="dxa"/>
            <w:vAlign w:val="top"/>
          </w:tcPr>
          <w:p>
            <w:pPr>
              <w:ind w:left="8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14" w:type="dxa"/>
            <w:vAlign w:val="top"/>
          </w:tcPr>
          <w:p>
            <w:pPr>
              <w:ind w:left="656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03" w:type="dxa"/>
            <w:vAlign w:val="top"/>
          </w:tcPr>
          <w:p>
            <w:pPr>
              <w:ind w:left="32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49" w:type="dxa"/>
            <w:vAlign w:val="top"/>
          </w:tcPr>
          <w:p>
            <w:pPr>
              <w:ind w:left="444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250" w:type="dxa"/>
            <w:vAlign w:val="top"/>
            <w:gridSpan w:val="2"/>
          </w:tcPr>
          <w:p>
            <w:pPr>
              <w:ind w:left="192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807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643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765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250" w:type="dxa"/>
            <w:vAlign w:val="top"/>
            <w:gridSpan w:val="2"/>
          </w:tcPr>
          <w:p>
            <w:pPr>
              <w:pStyle w:val="TableText"/>
              <w:ind w:left="1930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1,883.89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425.68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1,458.21</w:t>
            </w:r>
          </w:p>
        </w:tc>
      </w:tr>
      <w:tr>
        <w:trPr>
          <w:trHeight w:val="313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1,576.64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1,386.97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20501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7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教育管理事务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11.57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2050101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11.57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1,375.41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1,375.41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9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260.28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260.28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1,115.13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1,115.13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4"/>
              </w:rPr>
              <w:t>206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科学技术支出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20699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其他科学技术支出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2069901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科技奖励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223.08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223.08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128.36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128.36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13.87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13.87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4" w:right="170" w:hanging="10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12.47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12.47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0" w:right="170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94.50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3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94.50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3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3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94.72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12.92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295.51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82.53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94.50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116.11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94.72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5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411.62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14.05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751"/>
        <w:gridCol w:w="887"/>
        <w:gridCol w:w="995"/>
        <w:gridCol w:w="1187"/>
        <w:gridCol w:w="659"/>
        <w:gridCol w:w="1199"/>
        <w:gridCol w:w="797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54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88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2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2"/>
          </w:tcPr>
          <w:p>
            <w:pPr>
              <w:pStyle w:val="TableText"/>
              <w:ind w:left="14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 w:right="99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年初结转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3045" w:type="dxa"/>
            <w:vAlign w:val="top"/>
            <w:gridSpan w:val="3"/>
          </w:tcPr>
          <w:p>
            <w:pPr>
              <w:pStyle w:val="TableText"/>
              <w:ind w:left="1149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7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5" w:right="50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49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03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40" w:right="71" w:hanging="195"/>
              <w:spacing w:before="2" w:line="210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2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7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2"/>
          </w:tcPr>
          <w:p>
            <w:pPr>
              <w:pStyle w:val="TableText"/>
              <w:ind w:left="1449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887" w:type="dxa"/>
            <w:vAlign w:val="top"/>
          </w:tcPr>
          <w:p>
            <w:pPr>
              <w:pStyle w:val="TableText"/>
              <w:ind w:left="391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5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534"/>
              <w:spacing w:before="138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42"/>
              <w:spacing w:before="139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797" w:type="dxa"/>
            <w:vAlign w:val="top"/>
          </w:tcPr>
          <w:p>
            <w:pPr>
              <w:pStyle w:val="TableText"/>
              <w:ind w:left="337"/>
              <w:spacing w:before="138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292" w:type="dxa"/>
            <w:vAlign w:val="top"/>
            <w:gridSpan w:val="2"/>
          </w:tcPr>
          <w:p>
            <w:pPr>
              <w:pStyle w:val="TableText"/>
              <w:ind w:left="1450"/>
              <w:spacing w:before="110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5"/>
              <w:spacing w:before="111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4" w:right="124"/>
              <w:spacing w:before="3" w:line="205" w:lineRule="auto"/>
              <w:jc w:val="both"/>
              <w:rPr/>
            </w:pPr>
            <w:r>
              <w:rPr>
                <w:color w:val="212529"/>
                <w:spacing w:val="-1"/>
              </w:rPr>
              <w:t>其他政府性基金及对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1"/>
              </w:rPr>
              <w:t>应专项债务收入安排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7" w:right="124" w:hanging="2"/>
              <w:spacing w:before="6" w:line="204" w:lineRule="auto"/>
              <w:jc w:val="both"/>
              <w:rPr/>
            </w:pPr>
            <w:r>
              <w:rPr>
                <w:color w:val="212529"/>
                <w:spacing w:val="-1"/>
              </w:rPr>
              <w:t>其他地方自行试点项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目收益专项债券收入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06"/>
        <w:gridCol w:w="1391"/>
        <w:gridCol w:w="1044"/>
        <w:gridCol w:w="1044"/>
        <w:gridCol w:w="1044"/>
        <w:gridCol w:w="1224"/>
        <w:gridCol w:w="1224"/>
        <w:gridCol w:w="1391"/>
        <w:gridCol w:w="1056"/>
        <w:gridCol w:w="1056"/>
        <w:gridCol w:w="1056"/>
        <w:gridCol w:w="1230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20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63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9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6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206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01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ind w:left="586" w:right="108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132" w:type="dxa"/>
            <w:vAlign w:val="top"/>
            <w:gridSpan w:val="3"/>
          </w:tcPr>
          <w:p>
            <w:pPr>
              <w:ind w:left="46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22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3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22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1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ind w:left="591" w:right="10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168" w:type="dxa"/>
            <w:vAlign w:val="top"/>
            <w:gridSpan w:val="3"/>
          </w:tcPr>
          <w:p>
            <w:pPr>
              <w:ind w:left="48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23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20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ind w:left="31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44" w:type="dxa"/>
            <w:vAlign w:val="top"/>
          </w:tcPr>
          <w:p>
            <w:pPr>
              <w:ind w:left="320" w:right="8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044" w:type="dxa"/>
            <w:vAlign w:val="top"/>
          </w:tcPr>
          <w:p>
            <w:pPr>
              <w:ind w:left="52" w:right="8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2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ind w:left="329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56" w:type="dxa"/>
            <w:vAlign w:val="top"/>
          </w:tcPr>
          <w:p>
            <w:pPr>
              <w:ind w:left="331" w:right="88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056" w:type="dxa"/>
            <w:vAlign w:val="top"/>
          </w:tcPr>
          <w:p>
            <w:pPr>
              <w:ind w:left="63" w:right="88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2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06" w:type="dxa"/>
            <w:vAlign w:val="top"/>
          </w:tcPr>
          <w:p>
            <w:pPr>
              <w:pStyle w:val="TableText"/>
              <w:ind w:left="556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6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55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55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44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230" w:type="dxa"/>
            <w:vAlign w:val="top"/>
          </w:tcPr>
          <w:p>
            <w:pPr>
              <w:pStyle w:val="TableText"/>
              <w:ind w:left="52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206" w:type="dxa"/>
            <w:vAlign w:val="top"/>
          </w:tcPr>
          <w:p>
            <w:pPr>
              <w:pStyle w:val="TableText"/>
              <w:ind w:left="815"/>
              <w:spacing w:before="141" w:line="184" w:lineRule="auto"/>
              <w:rPr/>
            </w:pPr>
            <w:r>
              <w:rPr>
                <w:color w:val="212529"/>
                <w:spacing w:val="-3"/>
              </w:rPr>
              <w:t>2.51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2.51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2.51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2.51</w:t>
            </w:r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94"/>
        <w:gridCol w:w="971"/>
        <w:gridCol w:w="3651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04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单位名称：古县教育科技局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5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533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600.39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1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211.53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388.86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79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14.05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11"/>
              <w:spacing w:before="92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11"/>
              <w:spacing w:before="93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17" w:right="937" w:firstLine="48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2023年度收入总计5,134.48万元，支出总计5,134.48万元。与上年相比，收入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总计增加3,989.83万元，增长348.56%，支出总计增加3,989.83万元，</w:t>
      </w:r>
      <w:r>
        <w:rPr>
          <w:rFonts w:ascii="FangSong" w:hAnsi="FangSong" w:eastAsia="FangSong" w:cs="FangSong"/>
          <w:sz w:val="25"/>
          <w:szCs w:val="25"/>
        </w:rPr>
        <w:t>增长</w:t>
      </w:r>
    </w:p>
    <w:p>
      <w:pPr>
        <w:ind w:left="704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348.56%。主要原因是增加新建古县城镇幼儿园工程项目。</w:t>
      </w:r>
    </w:p>
    <w:p>
      <w:pPr>
        <w:ind w:left="1202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2023年度收入合计5,134.48万元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77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财政拨款收入5,123.89万元，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占比99.79%；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其他收入10.59万元，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占比0.21%。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2023年度支出合计5,134.48万元，其中：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基本支出425.68万元，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占比8.29%；</w:t>
      </w:r>
    </w:p>
    <w:p>
      <w:pPr>
        <w:ind w:left="12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项目支出4,708.81万元，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占比91.71%；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4" w:right="937" w:firstLine="502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2023年度财政拨款收入总计5,123.89万元，支出总计5,123.89万元。与上年相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比，财政拨款收入总计增加3,979.2</w:t>
      </w:r>
      <w:r>
        <w:rPr>
          <w:rFonts w:ascii="FangSong" w:hAnsi="FangSong" w:eastAsia="FangSong" w:cs="FangSong"/>
          <w:sz w:val="25"/>
          <w:szCs w:val="25"/>
          <w:spacing w:val="1"/>
        </w:rPr>
        <w:t>4万元，增长347.64%；财政拨款支出总计增加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3,979.24万元，增长347.64%。主要原因是增加新建古县城镇幼儿园工程项目。</w:t>
      </w:r>
    </w:p>
    <w:p>
      <w:pPr>
        <w:ind w:left="12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704" w:right="1441" w:firstLine="50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2023年一般公共预算财政拨款决算支出1,883.89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36.69%。与上年相比，一般公共预算财政拨款支出增加739.24万元，增长</w:t>
      </w:r>
    </w:p>
    <w:p>
      <w:pPr>
        <w:ind w:left="701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64.58%。主要原因是增加新建古县城镇幼儿园工程项目。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496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2023年度一般公共预算财政拨款支出1,883.89万元，主要用于以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教育支出(类)1,576.64万元，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占比83.69%；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科学技术支出(类)70.00万元，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占比3.72%；</w:t>
      </w:r>
    </w:p>
    <w:p>
      <w:pPr>
        <w:spacing w:line="224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422" w:lineRule="auto"/>
        <w:rPr>
          <w:rFonts w:ascii="Arial"/>
          <w:sz w:val="21"/>
        </w:rPr>
      </w:pPr>
      <w:r/>
    </w:p>
    <w:p>
      <w:pPr>
        <w:ind w:left="1210" w:right="376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社会保障和就业支出(类)223.08万元，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占比11.84%；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住房保障支出(类)12.92万元，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占比0.69%；</w:t>
      </w:r>
    </w:p>
    <w:p>
      <w:pPr>
        <w:ind w:left="12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其他支出(类)1.24万元，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占比0.07%。</w:t>
      </w:r>
    </w:p>
    <w:p>
      <w:pPr>
        <w:ind w:left="12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7" w:right="1693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2023年度一般公共预算财政拨款支出年初预算1,497.33万元，支出决算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1,883.89万元，完成年初预算的125.82%。其中：</w:t>
      </w:r>
    </w:p>
    <w:p>
      <w:pPr>
        <w:ind w:left="1210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教育支出年初预算1272.04万元，支出决算1587.24万元，完成年初预算的</w:t>
      </w:r>
    </w:p>
    <w:p>
      <w:pPr>
        <w:ind w:left="698" w:right="810" w:firstLine="19"/>
        <w:spacing w:before="128" w:line="31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124.78%，用于人员经费，公用经费、临时劳务派遣费、义务教育学校校舍维修、义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务教育薄弱环节改善与能力提升、教师节奖励、考试费等</w:t>
      </w:r>
      <w:r>
        <w:rPr>
          <w:rFonts w:ascii="FangSong" w:hAnsi="FangSong" w:eastAsia="FangSong" w:cs="FangSong"/>
          <w:sz w:val="25"/>
          <w:szCs w:val="25"/>
          <w:spacing w:val="1"/>
        </w:rPr>
        <w:t>支出。较2022年决算增加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472.75万元，增加42.42%，主要原</w:t>
      </w:r>
      <w:r>
        <w:rPr>
          <w:rFonts w:ascii="FangSong" w:hAnsi="FangSong" w:eastAsia="FangSong" w:cs="FangSong"/>
          <w:sz w:val="25"/>
          <w:szCs w:val="25"/>
          <w:spacing w:val="1"/>
        </w:rPr>
        <w:t>因是增加新建古县城镇幼儿园工程项目。科学技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术支出年初预算90万元，支出决算70万元，完</w:t>
      </w:r>
      <w:r>
        <w:rPr>
          <w:rFonts w:ascii="FangSong" w:hAnsi="FangSong" w:eastAsia="FangSong" w:cs="FangSong"/>
          <w:sz w:val="25"/>
          <w:szCs w:val="25"/>
          <w:spacing w:val="1"/>
        </w:rPr>
        <w:t>成年初预算的77.78%，用于企业奖励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等，较2022年决算增加70万元，增长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∞%，主要原因人员2022年无</w:t>
      </w:r>
      <w:r>
        <w:rPr>
          <w:rFonts w:ascii="FangSong" w:hAnsi="FangSong" w:eastAsia="FangSong" w:cs="FangSong"/>
          <w:sz w:val="25"/>
          <w:szCs w:val="25"/>
        </w:rPr>
        <w:t>高新技术企业奖励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项目。社会保障和就业支出年初预算120.8</w:t>
      </w:r>
      <w:r>
        <w:rPr>
          <w:rFonts w:ascii="FangSong" w:hAnsi="FangSong" w:eastAsia="FangSong" w:cs="FangSong"/>
          <w:sz w:val="25"/>
          <w:szCs w:val="25"/>
          <w:spacing w:val="1"/>
        </w:rPr>
        <w:t>1万元，支出决算223.08万元，完成年初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预算的184.65%，用于人员单位部分养老保险、</w:t>
      </w:r>
      <w:r>
        <w:rPr>
          <w:rFonts w:ascii="FangSong" w:hAnsi="FangSong" w:eastAsia="FangSong" w:cs="FangSong"/>
          <w:sz w:val="25"/>
          <w:szCs w:val="25"/>
          <w:spacing w:val="1"/>
        </w:rPr>
        <w:t>抚恤金、退休人员生活补贴、单位职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业年金记实支出。较2022年决算增加增加205.01万元，增加1134.53%，主要原因是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抚恤金增加、职业年金单位部分记实增加。住房和保障支</w:t>
      </w:r>
      <w:r>
        <w:rPr>
          <w:rFonts w:ascii="FangSong" w:hAnsi="FangSong" w:eastAsia="FangSong" w:cs="FangSong"/>
          <w:sz w:val="25"/>
          <w:szCs w:val="25"/>
          <w:spacing w:val="1"/>
        </w:rPr>
        <w:t>出年初预算14.48万元，支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出决算12.92万元，完成年初预算的89.</w:t>
      </w:r>
      <w:r>
        <w:rPr>
          <w:rFonts w:ascii="FangSong" w:hAnsi="FangSong" w:eastAsia="FangSong" w:cs="FangSong"/>
          <w:sz w:val="25"/>
          <w:szCs w:val="25"/>
          <w:spacing w:val="1"/>
        </w:rPr>
        <w:t>23%，用于人员单位部分住房公积金。较2022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年决算增加1.54万元，增长13.53%，主</w:t>
      </w:r>
      <w:r>
        <w:rPr>
          <w:rFonts w:ascii="FangSong" w:hAnsi="FangSong" w:eastAsia="FangSong" w:cs="FangSong"/>
          <w:sz w:val="25"/>
          <w:szCs w:val="25"/>
          <w:spacing w:val="1"/>
        </w:rPr>
        <w:t>要原因人员调资工资增加，住房公积金基数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增加。其他支出年初预算0万元，支出决算1.24万元，完成年初预算的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∞%，用于目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标责任制考核奖励。较2022年决算增加1.24万元，增长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∞%，主要原</w:t>
      </w:r>
      <w:r>
        <w:rPr>
          <w:rFonts w:ascii="FangSong" w:hAnsi="FangSong" w:eastAsia="FangSong" w:cs="FangSong"/>
          <w:sz w:val="25"/>
          <w:szCs w:val="25"/>
        </w:rPr>
        <w:t>因是2022年无目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标责任制考核奖励项目。</w:t>
      </w:r>
    </w:p>
    <w:p>
      <w:pPr>
        <w:ind w:left="12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2023年度财政拨款基本支出425.68万元，其中：</w:t>
      </w:r>
    </w:p>
    <w:p>
      <w:pPr>
        <w:ind w:left="711" w:right="937" w:firstLine="503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人员经费411.62万元，主要包括基本工资，津贴，绩效，社会保障缴费，住房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公积金，退休人员取暖费、抚恤金等；</w:t>
      </w:r>
    </w:p>
    <w:p>
      <w:pPr>
        <w:ind w:left="1216"/>
        <w:spacing w:before="4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公用经费14.05万元，主要包括办公费、印刷费、工会经费、福利费等。</w:t>
      </w:r>
    </w:p>
    <w:p>
      <w:pPr>
        <w:ind w:left="1197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708" w:right="936" w:firstLine="497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2023年度政府性基金预算财政拨款收入总计3,240.00万元、支出总计3,240.00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万元。与上年相比，政府性基金预算财政拨款收入总计增加3,240.00万元，增长</w:t>
      </w:r>
    </w:p>
    <w:p>
      <w:pPr>
        <w:ind w:left="707" w:right="1177" w:firstLine="10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∞%；政府性基金预算财政拨款支出总计增加3,</w:t>
      </w:r>
      <w:r>
        <w:rPr>
          <w:rFonts w:ascii="FangSong" w:hAnsi="FangSong" w:eastAsia="FangSong" w:cs="FangSong"/>
          <w:sz w:val="25"/>
          <w:szCs w:val="25"/>
        </w:rPr>
        <w:t>240.00万元，增长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∞%。主要原因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是新增新建古县城镇幼儿园项目。</w:t>
      </w:r>
    </w:p>
    <w:p>
      <w:pPr>
        <w:ind w:left="1198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spacing w:line="222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12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1" w:id="65"/>
      <w:bookmarkEnd w:id="65"/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08" w:right="925" w:firstLine="497"/>
        <w:spacing w:before="13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”经费财政拨款支出全年预算2.51万元，支出</w:t>
      </w:r>
      <w:r>
        <w:rPr>
          <w:rFonts w:ascii="FangSong" w:hAnsi="FangSong" w:eastAsia="FangSong" w:cs="FangSong"/>
          <w:sz w:val="25"/>
          <w:szCs w:val="25"/>
        </w:rPr>
        <w:t>决算2.51万元，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比上年度减少0.17万元，下降6.34%，主要原因是：厉行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勤俭节约，公务接待人次和批次减少。其中：</w:t>
      </w:r>
    </w:p>
    <w:p>
      <w:pPr>
        <w:ind w:left="707" w:right="1309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</w:t>
      </w:r>
    </w:p>
    <w:p>
      <w:pPr>
        <w:ind w:left="724"/>
        <w:spacing w:before="164" w:line="174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;</w:t>
      </w:r>
    </w:p>
    <w:p>
      <w:pPr>
        <w:ind w:left="711" w:right="805" w:firstLine="504"/>
        <w:spacing w:before="13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</w:t>
      </w:r>
    </w:p>
    <w:p>
      <w:pPr>
        <w:ind w:left="724"/>
        <w:spacing w:before="166" w:line="175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;</w:t>
      </w:r>
    </w:p>
    <w:p>
      <w:pPr>
        <w:ind w:left="707" w:right="1057" w:firstLine="508"/>
        <w:spacing w:before="13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</w:t>
      </w:r>
    </w:p>
    <w:p>
      <w:pPr>
        <w:ind w:left="724"/>
        <w:spacing w:before="166" w:line="174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;</w:t>
      </w:r>
    </w:p>
    <w:p>
      <w:pPr>
        <w:ind w:left="710" w:right="1309" w:firstLine="505"/>
        <w:spacing w:before="136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公务接待费支出2.51万元，完成全年预算的100.00%，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</w:t>
      </w:r>
      <w:r>
        <w:rPr>
          <w:rFonts w:ascii="FangSong" w:hAnsi="FangSong" w:eastAsia="FangSong" w:cs="FangSong"/>
          <w:sz w:val="25"/>
          <w:szCs w:val="25"/>
          <w:spacing w:val="-1"/>
        </w:rPr>
        <w:t>0.17万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元，下降6.34%，主要原因是：减少接待批次和人次。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4、公务接待费支出2.51万元，共接待63批次，166人次</w:t>
      </w:r>
      <w:r>
        <w:rPr>
          <w:rFonts w:ascii="FangSong" w:hAnsi="FangSong" w:eastAsia="FangSong" w:cs="FangSong"/>
          <w:sz w:val="25"/>
          <w:szCs w:val="25"/>
          <w:spacing w:val="1"/>
        </w:rPr>
        <w:t>。国内接待费2.51万</w:t>
      </w:r>
    </w:p>
    <w:p>
      <w:pPr>
        <w:ind w:left="707" w:right="856" w:firstLine="3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元，共接待63批次，166人次，其中外事接待费0万元，共接待0批次，</w:t>
      </w:r>
      <w:r>
        <w:rPr>
          <w:rFonts w:ascii="FangSong" w:hAnsi="FangSong" w:eastAsia="FangSong" w:cs="FangSong"/>
          <w:sz w:val="25"/>
          <w:szCs w:val="25"/>
          <w:spacing w:val="1"/>
        </w:rPr>
        <w:t>0人次，主要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是接待高考、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中考、学业水平考试等巡视、监考等人员；国（境）外接待费</w:t>
      </w:r>
      <w:r>
        <w:rPr>
          <w:rFonts w:ascii="FangSong" w:hAnsi="FangSong" w:eastAsia="FangSong" w:cs="FangSong"/>
          <w:sz w:val="25"/>
          <w:szCs w:val="25"/>
          <w:spacing w:val="-2"/>
        </w:rPr>
        <w:t>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共接待国（境）外0批次，0人次，主要是本单</w:t>
      </w:r>
      <w:r>
        <w:rPr>
          <w:rFonts w:ascii="FangSong" w:hAnsi="FangSong" w:eastAsia="FangSong" w:cs="FangSong"/>
          <w:sz w:val="25"/>
          <w:szCs w:val="25"/>
          <w:spacing w:val="1"/>
        </w:rPr>
        <w:t>位无国（境）外接待费。</w:t>
      </w:r>
    </w:p>
    <w:p>
      <w:pPr>
        <w:ind w:left="1201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2023年机关运行经费支出14.05万元，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比2022年减少2.98万元，下降17.5%，主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要原因落实过紧日子要求压缩支出。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20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2023年度政府采购支出总额600.39万元，其中：政府采购货物支出211.53万</w:t>
      </w:r>
    </w:p>
    <w:p>
      <w:pPr>
        <w:ind w:left="706" w:right="805" w:firstLine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元、政府采购工程支出388.86万元、政府采购服务支出0万元。政府采购授予中小企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业合同金额0万元，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</w:t>
      </w:r>
    </w:p>
    <w:p>
      <w:pPr>
        <w:spacing w:line="304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ind w:left="710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4"/>
        </w:rPr>
        <w:t>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占政府采购支出总额的0%。</w:t>
      </w:r>
    </w:p>
    <w:p>
      <w:pPr>
        <w:ind w:left="1221"/>
        <w:spacing w:before="12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执勤用车0辆、特种专业技术用车0辆、离退休干部服务用车0辆，其他用车1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他用车主要是已报废未下账车辆；单价100万元（含）以上设备（不含车辆）0台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02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2023年二级项目绩效自评个数19个，涉及资金4708.8万元：19个项目自评等级</w:t>
      </w:r>
    </w:p>
    <w:p>
      <w:pPr>
        <w:ind w:left="709" w:right="811" w:firstLine="6"/>
        <w:spacing w:before="129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</w:t>
      </w:r>
    </w:p>
    <w:p>
      <w:pPr>
        <w:ind w:left="717"/>
        <w:spacing w:before="3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709" w:right="6860" w:firstLine="496"/>
        <w:spacing w:before="128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十三、教育支出：反映政府教育事务支出</w:t>
      </w:r>
    </w:p>
    <w:p>
      <w:pPr>
        <w:ind w:left="713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十四、科学技术支出：反映科学技术方面的支出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十五、社会保障和就业支出：反映政府在社会保障与就业方面的支出</w:t>
      </w:r>
    </w:p>
    <w:p>
      <w:pPr>
        <w:ind w:left="713"/>
        <w:spacing w:before="13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十六、住房和保障支出：集中反映政府用于住房方面的支出</w:t>
      </w:r>
    </w:p>
    <w:p>
      <w:pPr>
        <w:spacing w:line="222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14" w:lineRule="auto"/>
        <w:rPr>
          <w:rFonts w:ascii="Arial"/>
          <w:sz w:val="21"/>
        </w:rPr>
      </w:pPr>
      <w:r/>
    </w:p>
    <w:p>
      <w:pPr>
        <w:ind w:left="713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十七、其他支出：反映不能划分到上述功能科目的其他政府支出</w:t>
      </w:r>
    </w:p>
    <w:p>
      <w:pPr>
        <w:ind w:left="45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9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-39-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古县教育科技局2023年单位决算公开报告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古县教育科技局2023年单位决算公开报告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3" Type="http://schemas.openxmlformats.org/officeDocument/2006/relationships/fontTable" Target="fontTable.xml"/><Relationship Id="rId62" Type="http://schemas.openxmlformats.org/officeDocument/2006/relationships/styles" Target="styles.xml"/><Relationship Id="rId61" Type="http://schemas.openxmlformats.org/officeDocument/2006/relationships/settings" Target="settings.xml"/><Relationship Id="rId60" Type="http://schemas.openxmlformats.org/officeDocument/2006/relationships/image" Target="media/image19.jpeg"/><Relationship Id="rId6" Type="http://schemas.openxmlformats.org/officeDocument/2006/relationships/footer" Target="footer5.xml"/><Relationship Id="rId59" Type="http://schemas.openxmlformats.org/officeDocument/2006/relationships/footer" Target="footer39.xml"/><Relationship Id="rId58" Type="http://schemas.openxmlformats.org/officeDocument/2006/relationships/image" Target="media/image18.jpeg"/><Relationship Id="rId57" Type="http://schemas.openxmlformats.org/officeDocument/2006/relationships/footer" Target="footer38.xml"/><Relationship Id="rId56" Type="http://schemas.openxmlformats.org/officeDocument/2006/relationships/image" Target="media/image17.jpeg"/><Relationship Id="rId55" Type="http://schemas.openxmlformats.org/officeDocument/2006/relationships/footer" Target="footer37.xml"/><Relationship Id="rId54" Type="http://schemas.openxmlformats.org/officeDocument/2006/relationships/image" Target="media/image16.jpeg"/><Relationship Id="rId53" Type="http://schemas.openxmlformats.org/officeDocument/2006/relationships/footer" Target="footer36.xml"/><Relationship Id="rId52" Type="http://schemas.openxmlformats.org/officeDocument/2006/relationships/image" Target="media/image15.jpeg"/><Relationship Id="rId51" Type="http://schemas.openxmlformats.org/officeDocument/2006/relationships/footer" Target="footer35.xml"/><Relationship Id="rId50" Type="http://schemas.openxmlformats.org/officeDocument/2006/relationships/image" Target="media/image14.jpeg"/><Relationship Id="rId5" Type="http://schemas.openxmlformats.org/officeDocument/2006/relationships/footer" Target="footer4.xml"/><Relationship Id="rId49" Type="http://schemas.openxmlformats.org/officeDocument/2006/relationships/footer" Target="footer34.xml"/><Relationship Id="rId48" Type="http://schemas.openxmlformats.org/officeDocument/2006/relationships/image" Target="media/image13.jpeg"/><Relationship Id="rId47" Type="http://schemas.openxmlformats.org/officeDocument/2006/relationships/footer" Target="footer33.xml"/><Relationship Id="rId46" Type="http://schemas.openxmlformats.org/officeDocument/2006/relationships/image" Target="media/image12.jpeg"/><Relationship Id="rId45" Type="http://schemas.openxmlformats.org/officeDocument/2006/relationships/footer" Target="footer32.xml"/><Relationship Id="rId44" Type="http://schemas.openxmlformats.org/officeDocument/2006/relationships/image" Target="media/image11.jpeg"/><Relationship Id="rId43" Type="http://schemas.openxmlformats.org/officeDocument/2006/relationships/footer" Target="footer31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2024-09-05T11:25:33Z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2024-09-20T10:37:37</vt:filetime>
  </property>
</Properties>
</file>