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附件6</w:t>
      </w:r>
    </w:p>
    <w:p>
      <w:pPr>
        <w:spacing w:before="100" w:line="345" w:lineRule="auto"/>
        <w:jc w:val="center"/>
        <w:rPr>
          <w:rFonts w:hint="default" w:ascii="Times New Roman" w:hAnsi="Times New Roman" w:eastAsia="方正小标宋简体" w:cs="Times New Roman"/>
          <w:spacing w:val="1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pacing w:val="10"/>
          <w:sz w:val="44"/>
          <w:szCs w:val="44"/>
          <w:lang w:val="en-US" w:eastAsia="zh-CN"/>
        </w:rPr>
        <w:t>古县县域商业体系建设类型和标准</w:t>
      </w:r>
      <w:bookmarkEnd w:id="0"/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4"/>
        <w:tblW w:w="91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4"/>
        <w:gridCol w:w="3020"/>
        <w:gridCol w:w="2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3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2022年现状分类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2025年目标类型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县城综合商贸服务中心</w:t>
            </w:r>
          </w:p>
        </w:tc>
        <w:tc>
          <w:tcPr>
            <w:tcW w:w="3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基本型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县级物流配送中心</w:t>
            </w:r>
          </w:p>
        </w:tc>
        <w:tc>
          <w:tcPr>
            <w:tcW w:w="3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未达基本型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乡镇商贸中心</w:t>
            </w:r>
          </w:p>
        </w:tc>
        <w:tc>
          <w:tcPr>
            <w:tcW w:w="3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未达基本型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村级便民商店</w:t>
            </w:r>
          </w:p>
        </w:tc>
        <w:tc>
          <w:tcPr>
            <w:tcW w:w="3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未达基本型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基本型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“快递进村”</w:t>
            </w:r>
          </w:p>
        </w:tc>
        <w:tc>
          <w:tcPr>
            <w:tcW w:w="3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覆盖率66%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100%覆盖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</w:trPr>
        <w:tc>
          <w:tcPr>
            <w:tcW w:w="3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县域物流共同配送</w:t>
            </w:r>
          </w:p>
        </w:tc>
        <w:tc>
          <w:tcPr>
            <w:tcW w:w="3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配送率0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配送率30%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GIzNGI5NjVkNzhjZWJlY2E5YmE0OTdlNmM3OTcifQ=="/>
  </w:docVars>
  <w:rsids>
    <w:rsidRoot w:val="00000000"/>
    <w:rsid w:val="655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2024-04-10T02:58:36Z</dcterms:created>
  <dc:creator>Lenovo</dc:creator>
  <cp:lastModifiedBy>Lenovo</cp:lastModifiedBy>
  <dcterms:modified xsi:type="dcterms:W3CDTF">2024-04-10T02:58:58Z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2FF512822BAD4854BB986F42D9497371_12</vt:lpwstr>
  </property>
</Properties>
</file>